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6201E">
      <w:pPr>
        <w:rPr>
          <w:rFonts w:ascii="黑体" w:eastAsia="黑体"/>
          <w:color w:val="auto"/>
          <w:sz w:val="32"/>
          <w:szCs w:val="32"/>
          <w:highlight w:val="none"/>
        </w:rPr>
      </w:pPr>
    </w:p>
    <w:p w14:paraId="361AF391">
      <w:pPr>
        <w:rPr>
          <w:rFonts w:ascii="黑体" w:eastAsia="黑体"/>
          <w:color w:val="auto"/>
          <w:sz w:val="32"/>
          <w:szCs w:val="32"/>
          <w:highlight w:val="none"/>
        </w:rPr>
      </w:pPr>
    </w:p>
    <w:p w14:paraId="42FEE541">
      <w:pPr>
        <w:rPr>
          <w:rFonts w:ascii="黑体" w:eastAsia="黑体"/>
          <w:color w:val="auto"/>
          <w:sz w:val="32"/>
          <w:szCs w:val="32"/>
          <w:highlight w:val="none"/>
        </w:rPr>
      </w:pPr>
    </w:p>
    <w:p w14:paraId="47ADD7D0">
      <w:pPr>
        <w:rPr>
          <w:rFonts w:ascii="黑体" w:eastAsia="黑体"/>
          <w:color w:val="auto"/>
          <w:sz w:val="32"/>
          <w:szCs w:val="32"/>
          <w:highlight w:val="none"/>
        </w:rPr>
      </w:pPr>
    </w:p>
    <w:p w14:paraId="733D214C">
      <w:pPr>
        <w:adjustRightInd w:val="0"/>
        <w:snapToGrid w:val="0"/>
        <w:spacing w:line="240" w:lineRule="atLeast"/>
        <w:jc w:val="center"/>
        <w:rPr>
          <w:rFonts w:hint="eastAsia" w:ascii="宋体" w:hAnsi="宋体" w:cs="宋体"/>
          <w:b/>
          <w:color w:val="auto"/>
          <w:kern w:val="0"/>
          <w:sz w:val="76"/>
          <w:szCs w:val="84"/>
          <w:highlight w:val="none"/>
        </w:rPr>
      </w:pPr>
      <w:r>
        <w:rPr>
          <w:rFonts w:hint="eastAsia" w:ascii="宋体" w:hAnsi="宋体" w:cs="宋体"/>
          <w:bCs/>
          <w:color w:val="auto"/>
          <w:sz w:val="72"/>
          <w:szCs w:val="72"/>
          <w:highlight w:val="none"/>
        </w:rPr>
        <w:t>【郴州】</w:t>
      </w:r>
      <w:r>
        <w:rPr>
          <w:rFonts w:hint="eastAsia" w:ascii="宋体" w:hAnsi="宋体" w:cs="宋体"/>
          <w:b/>
          <w:color w:val="auto"/>
          <w:kern w:val="0"/>
          <w:sz w:val="76"/>
          <w:szCs w:val="84"/>
          <w:highlight w:val="none"/>
        </w:rPr>
        <w:t xml:space="preserve">政府采购  </w:t>
      </w:r>
    </w:p>
    <w:p w14:paraId="0B335F8B">
      <w:pPr>
        <w:adjustRightInd w:val="0"/>
        <w:snapToGrid w:val="0"/>
        <w:spacing w:line="240" w:lineRule="atLeast"/>
        <w:jc w:val="center"/>
        <w:rPr>
          <w:rFonts w:hint="eastAsia" w:ascii="宋体" w:hAnsi="宋体" w:cs="宋体"/>
          <w:b/>
          <w:color w:val="auto"/>
          <w:kern w:val="0"/>
          <w:sz w:val="76"/>
          <w:szCs w:val="84"/>
          <w:highlight w:val="none"/>
        </w:rPr>
      </w:pPr>
    </w:p>
    <w:p w14:paraId="4CE4FF95">
      <w:pPr>
        <w:adjustRightInd w:val="0"/>
        <w:snapToGrid w:val="0"/>
        <w:spacing w:line="360" w:lineRule="auto"/>
        <w:jc w:val="center"/>
        <w:outlineLvl w:val="0"/>
        <w:rPr>
          <w:rFonts w:hint="eastAsia" w:ascii="宋体" w:hAnsi="宋体" w:cs="宋体"/>
          <w:b/>
          <w:color w:val="auto"/>
          <w:kern w:val="0"/>
          <w:sz w:val="76"/>
          <w:szCs w:val="84"/>
          <w:highlight w:val="none"/>
        </w:rPr>
      </w:pPr>
      <w:bookmarkStart w:id="0" w:name="_Toc1512"/>
      <w:bookmarkStart w:id="1" w:name="_Toc485"/>
      <w:bookmarkStart w:id="2" w:name="_Toc30057"/>
      <w:bookmarkStart w:id="3" w:name="_Toc14126"/>
      <w:r>
        <w:rPr>
          <w:rFonts w:hint="eastAsia" w:ascii="宋体" w:hAnsi="宋体" w:cs="宋体"/>
          <w:b/>
          <w:color w:val="auto"/>
          <w:kern w:val="0"/>
          <w:sz w:val="76"/>
          <w:szCs w:val="84"/>
          <w:highlight w:val="none"/>
        </w:rPr>
        <w:t>竞争性磋商文件</w:t>
      </w:r>
      <w:bookmarkEnd w:id="0"/>
      <w:bookmarkEnd w:id="1"/>
      <w:bookmarkEnd w:id="2"/>
      <w:bookmarkEnd w:id="3"/>
    </w:p>
    <w:p w14:paraId="082DD7CA">
      <w:pPr>
        <w:adjustRightInd w:val="0"/>
        <w:snapToGrid w:val="0"/>
        <w:spacing w:line="240" w:lineRule="atLeast"/>
        <w:jc w:val="center"/>
        <w:rPr>
          <w:rFonts w:hint="eastAsia" w:ascii="宋体" w:hAnsi="宋体" w:cs="宋体"/>
          <w:b/>
          <w:bCs/>
          <w:color w:val="auto"/>
          <w:sz w:val="84"/>
          <w:szCs w:val="84"/>
          <w:highlight w:val="none"/>
        </w:rPr>
      </w:pPr>
      <w:r>
        <w:rPr>
          <w:rFonts w:hint="eastAsia" w:ascii="宋体" w:hAnsi="宋体" w:cs="宋体"/>
          <w:b/>
          <w:bCs/>
          <w:color w:val="auto"/>
          <w:sz w:val="52"/>
          <w:szCs w:val="52"/>
          <w:highlight w:val="none"/>
        </w:rPr>
        <w:t>（电子标）</w:t>
      </w:r>
    </w:p>
    <w:p w14:paraId="61BC1FFF">
      <w:pPr>
        <w:pStyle w:val="22"/>
        <w:adjustRightInd w:val="0"/>
        <w:snapToGrid w:val="0"/>
        <w:spacing w:line="360" w:lineRule="auto"/>
        <w:jc w:val="center"/>
        <w:rPr>
          <w:rFonts w:hint="eastAsia" w:hAnsi="宋体"/>
          <w:b/>
          <w:color w:val="auto"/>
          <w:sz w:val="84"/>
          <w:szCs w:val="84"/>
          <w:highlight w:val="none"/>
        </w:rPr>
      </w:pPr>
    </w:p>
    <w:p w14:paraId="09245BA6">
      <w:pPr>
        <w:pStyle w:val="22"/>
        <w:adjustRightInd w:val="0"/>
        <w:snapToGrid w:val="0"/>
        <w:spacing w:line="360" w:lineRule="auto"/>
        <w:rPr>
          <w:rFonts w:hint="eastAsia" w:hAnsi="宋体"/>
          <w:color w:val="auto"/>
          <w:sz w:val="32"/>
          <w:szCs w:val="32"/>
          <w:highlight w:val="none"/>
        </w:rPr>
      </w:pPr>
    </w:p>
    <w:p w14:paraId="52DC92E5">
      <w:pPr>
        <w:pStyle w:val="22"/>
        <w:adjustRightInd w:val="0"/>
        <w:snapToGrid w:val="0"/>
        <w:spacing w:line="360" w:lineRule="auto"/>
        <w:ind w:left="3517" w:leftChars="608" w:hanging="2240" w:hangingChars="700"/>
        <w:rPr>
          <w:rFonts w:hint="eastAsia" w:hAnsi="宋体"/>
          <w:color w:val="auto"/>
          <w:sz w:val="32"/>
          <w:szCs w:val="32"/>
          <w:highlight w:val="none"/>
          <w:u w:val="single"/>
        </w:rPr>
      </w:pPr>
      <w:r>
        <w:rPr>
          <w:rFonts w:hint="eastAsia" w:hAnsi="宋体"/>
          <w:color w:val="auto"/>
          <w:sz w:val="32"/>
          <w:szCs w:val="32"/>
          <w:highlight w:val="none"/>
        </w:rPr>
        <w:t>采购项目名称：</w:t>
      </w:r>
      <w:r>
        <w:rPr>
          <w:rFonts w:hint="eastAsia" w:hAnsi="宋体"/>
          <w:color w:val="auto"/>
          <w:sz w:val="32"/>
          <w:szCs w:val="32"/>
          <w:highlight w:val="none"/>
          <w:u w:val="single"/>
        </w:rPr>
        <w:t>南岭地方特色作物种质资源保护利用中心建设项目-仪器具采购（第二批）</w:t>
      </w:r>
    </w:p>
    <w:p w14:paraId="72FC3FBE">
      <w:pPr>
        <w:pStyle w:val="22"/>
        <w:adjustRightInd w:val="0"/>
        <w:snapToGrid w:val="0"/>
        <w:spacing w:line="360" w:lineRule="auto"/>
        <w:ind w:firstLine="1280" w:firstLineChars="400"/>
        <w:rPr>
          <w:rFonts w:hint="eastAsia" w:hAnsi="宋体"/>
          <w:color w:val="auto"/>
          <w:sz w:val="32"/>
          <w:szCs w:val="32"/>
          <w:highlight w:val="none"/>
          <w:u w:val="single"/>
        </w:rPr>
      </w:pPr>
      <w:r>
        <w:rPr>
          <w:rFonts w:hint="eastAsia" w:hAnsi="宋体"/>
          <w:color w:val="auto"/>
          <w:sz w:val="32"/>
          <w:szCs w:val="32"/>
          <w:highlight w:val="none"/>
        </w:rPr>
        <w:t>采   购   人：</w:t>
      </w:r>
      <w:r>
        <w:rPr>
          <w:rFonts w:hint="eastAsia" w:hAnsi="宋体"/>
          <w:color w:val="auto"/>
          <w:sz w:val="32"/>
          <w:szCs w:val="32"/>
          <w:highlight w:val="none"/>
          <w:u w:val="single"/>
        </w:rPr>
        <w:t xml:space="preserve">郴州市农业科学研究所 </w:t>
      </w:r>
    </w:p>
    <w:p w14:paraId="52265315">
      <w:pPr>
        <w:pStyle w:val="22"/>
        <w:adjustRightInd w:val="0"/>
        <w:snapToGrid w:val="0"/>
        <w:spacing w:line="360" w:lineRule="auto"/>
        <w:ind w:firstLine="1280" w:firstLineChars="400"/>
        <w:rPr>
          <w:rFonts w:hint="eastAsia" w:hAnsi="宋体"/>
          <w:color w:val="auto"/>
          <w:sz w:val="32"/>
          <w:szCs w:val="32"/>
          <w:highlight w:val="none"/>
          <w:u w:val="single"/>
        </w:rPr>
      </w:pPr>
      <w:r>
        <w:rPr>
          <w:rFonts w:hint="eastAsia" w:hAnsi="宋体"/>
          <w:color w:val="auto"/>
          <w:sz w:val="32"/>
          <w:szCs w:val="32"/>
          <w:highlight w:val="none"/>
        </w:rPr>
        <w:t>政府采购编号：</w:t>
      </w:r>
      <w:r>
        <w:rPr>
          <w:rFonts w:hint="eastAsia" w:hAnsi="宋体"/>
          <w:color w:val="auto"/>
          <w:sz w:val="32"/>
          <w:szCs w:val="32"/>
          <w:highlight w:val="none"/>
          <w:u w:val="single"/>
        </w:rPr>
        <w:t xml:space="preserve"> (2026)431000000318-1</w:t>
      </w:r>
    </w:p>
    <w:p w14:paraId="234E3E99">
      <w:pPr>
        <w:pStyle w:val="22"/>
        <w:adjustRightInd w:val="0"/>
        <w:snapToGrid w:val="0"/>
        <w:spacing w:line="360" w:lineRule="auto"/>
        <w:ind w:firstLine="1280" w:firstLineChars="400"/>
        <w:rPr>
          <w:rFonts w:hint="eastAsia" w:hAnsi="宋体"/>
          <w:color w:val="auto"/>
          <w:sz w:val="32"/>
          <w:szCs w:val="32"/>
          <w:highlight w:val="none"/>
          <w:u w:val="single"/>
        </w:rPr>
      </w:pPr>
      <w:r>
        <w:rPr>
          <w:rFonts w:hint="eastAsia" w:hAnsi="宋体"/>
          <w:color w:val="auto"/>
          <w:sz w:val="32"/>
          <w:szCs w:val="32"/>
          <w:highlight w:val="none"/>
        </w:rPr>
        <w:t>采购代理编号：</w:t>
      </w:r>
      <w:r>
        <w:rPr>
          <w:rFonts w:hint="eastAsia" w:hAnsi="宋体"/>
          <w:color w:val="auto"/>
          <w:sz w:val="32"/>
          <w:szCs w:val="32"/>
          <w:highlight w:val="none"/>
          <w:u w:val="single"/>
        </w:rPr>
        <w:t>HNXXZC2026-CZ-051</w:t>
      </w:r>
    </w:p>
    <w:p w14:paraId="0BC431A0">
      <w:pPr>
        <w:pStyle w:val="22"/>
        <w:adjustRightInd w:val="0"/>
        <w:snapToGrid w:val="0"/>
        <w:spacing w:line="360" w:lineRule="auto"/>
        <w:ind w:firstLine="1280" w:firstLineChars="400"/>
        <w:rPr>
          <w:rFonts w:hint="eastAsia" w:hAnsi="宋体"/>
          <w:color w:val="auto"/>
          <w:sz w:val="32"/>
          <w:szCs w:val="32"/>
          <w:highlight w:val="none"/>
          <w:u w:val="single"/>
        </w:rPr>
      </w:pPr>
      <w:r>
        <w:rPr>
          <w:rFonts w:hint="eastAsia" w:hAnsi="宋体"/>
          <w:color w:val="auto"/>
          <w:sz w:val="32"/>
          <w:szCs w:val="32"/>
          <w:highlight w:val="none"/>
        </w:rPr>
        <w:t>采购代理机构：</w:t>
      </w:r>
      <w:r>
        <w:rPr>
          <w:rFonts w:hint="eastAsia" w:hAnsi="宋体"/>
          <w:color w:val="auto"/>
          <w:sz w:val="32"/>
          <w:szCs w:val="32"/>
          <w:highlight w:val="none"/>
          <w:u w:val="single"/>
        </w:rPr>
        <w:t>湖南新星项目管理有限公司</w:t>
      </w:r>
    </w:p>
    <w:p w14:paraId="00B089E4">
      <w:pPr>
        <w:pStyle w:val="22"/>
        <w:adjustRightInd w:val="0"/>
        <w:snapToGrid w:val="0"/>
        <w:spacing w:line="360" w:lineRule="auto"/>
        <w:jc w:val="center"/>
        <w:rPr>
          <w:rFonts w:hint="eastAsia" w:ascii="仿宋_GB2312" w:hAnsi="宋体" w:eastAsia="仿宋_GB2312"/>
          <w:b/>
          <w:color w:val="auto"/>
          <w:sz w:val="32"/>
          <w:highlight w:val="none"/>
        </w:rPr>
      </w:pPr>
    </w:p>
    <w:p w14:paraId="0FA69D3D">
      <w:pPr>
        <w:pStyle w:val="22"/>
        <w:adjustRightInd w:val="0"/>
        <w:snapToGrid w:val="0"/>
        <w:spacing w:line="360" w:lineRule="auto"/>
        <w:jc w:val="center"/>
        <w:rPr>
          <w:rFonts w:hint="eastAsia" w:hAnsi="宋体"/>
          <w:b/>
          <w:color w:val="auto"/>
          <w:sz w:val="32"/>
          <w:highlight w:val="none"/>
        </w:rPr>
      </w:pPr>
      <w:r>
        <w:rPr>
          <w:rFonts w:hint="eastAsia" w:hAnsi="宋体"/>
          <w:b/>
          <w:color w:val="auto"/>
          <w:sz w:val="32"/>
          <w:highlight w:val="none"/>
        </w:rPr>
        <w:t>2026年10月</w:t>
      </w:r>
    </w:p>
    <w:p w14:paraId="05EAE37D">
      <w:pPr>
        <w:pStyle w:val="22"/>
        <w:adjustRightInd w:val="0"/>
        <w:snapToGrid w:val="0"/>
        <w:spacing w:line="360" w:lineRule="auto"/>
        <w:rPr>
          <w:rFonts w:hint="eastAsia" w:ascii="方正小标宋_GBK" w:hAnsi="宋体" w:eastAsia="方正小标宋_GBK"/>
          <w:color w:val="auto"/>
          <w:spacing w:val="160"/>
          <w:sz w:val="36"/>
          <w:szCs w:val="36"/>
          <w:highlight w:val="none"/>
        </w:rPr>
        <w:sectPr>
          <w:headerReference r:id="rId3" w:type="default"/>
          <w:footerReference r:id="rId4" w:type="default"/>
          <w:type w:val="continuous"/>
          <w:pgSz w:w="11906" w:h="16838"/>
          <w:pgMar w:top="1134" w:right="1134" w:bottom="1134" w:left="1418" w:header="851" w:footer="992" w:gutter="0"/>
          <w:cols w:space="720" w:num="1"/>
          <w:docGrid w:linePitch="312" w:charSpace="0"/>
        </w:sectPr>
      </w:pPr>
    </w:p>
    <w:p w14:paraId="1F25E57A">
      <w:pPr>
        <w:pStyle w:val="22"/>
        <w:adjustRightInd w:val="0"/>
        <w:snapToGrid w:val="0"/>
        <w:spacing w:line="360" w:lineRule="auto"/>
        <w:jc w:val="center"/>
        <w:rPr>
          <w:rFonts w:hint="eastAsia" w:ascii="方正小标宋_GBK" w:hAnsi="宋体" w:eastAsia="方正小标宋_GBK"/>
          <w:color w:val="auto"/>
          <w:spacing w:val="160"/>
          <w:sz w:val="36"/>
          <w:szCs w:val="36"/>
          <w:highlight w:val="none"/>
        </w:rPr>
      </w:pPr>
      <w:r>
        <w:rPr>
          <w:rFonts w:hint="eastAsia" w:ascii="方正小标宋_GBK" w:hAnsi="宋体" w:eastAsia="方正小标宋_GBK"/>
          <w:color w:val="auto"/>
          <w:spacing w:val="160"/>
          <w:sz w:val="36"/>
          <w:szCs w:val="36"/>
          <w:highlight w:val="none"/>
        </w:rPr>
        <w:t>目录</w:t>
      </w:r>
    </w:p>
    <w:p w14:paraId="0BE137DA">
      <w:pPr>
        <w:pStyle w:val="22"/>
        <w:adjustRightInd w:val="0"/>
        <w:snapToGrid w:val="0"/>
        <w:spacing w:line="360" w:lineRule="auto"/>
        <w:ind w:left="2553" w:leftChars="945" w:hanging="569" w:hangingChars="236"/>
        <w:rPr>
          <w:rFonts w:hint="eastAsia" w:hAnsi="宋体"/>
          <w:b/>
          <w:color w:val="auto"/>
          <w:sz w:val="24"/>
          <w:szCs w:val="24"/>
          <w:highlight w:val="none"/>
        </w:rPr>
      </w:pPr>
    </w:p>
    <w:p w14:paraId="5A285CB4">
      <w:pPr>
        <w:widowControl/>
        <w:adjustRightInd w:val="0"/>
        <w:snapToGrid w:val="0"/>
        <w:spacing w:line="480" w:lineRule="exact"/>
        <w:rPr>
          <w:rFonts w:hint="eastAsia" w:ascii="宋体" w:hAnsi="宋体" w:cs="宋体"/>
          <w:b/>
          <w:color w:val="auto"/>
          <w:szCs w:val="21"/>
          <w:highlight w:val="none"/>
          <w:lang w:bidi="ar"/>
        </w:rPr>
      </w:pPr>
      <w:r>
        <w:rPr>
          <w:rFonts w:hint="eastAsia" w:ascii="宋体" w:hAnsi="宋体" w:cs="宋体"/>
          <w:b/>
          <w:color w:val="auto"/>
          <w:szCs w:val="21"/>
          <w:highlight w:val="none"/>
          <w:lang w:bidi="ar"/>
        </w:rPr>
        <w:t>第一章  磋商通知</w:t>
      </w:r>
    </w:p>
    <w:p w14:paraId="597957EB">
      <w:pPr>
        <w:widowControl/>
        <w:adjustRightInd w:val="0"/>
        <w:snapToGrid w:val="0"/>
        <w:spacing w:line="480" w:lineRule="exact"/>
        <w:rPr>
          <w:rFonts w:hint="eastAsia" w:ascii="宋体" w:hAnsi="宋体" w:cs="宋体"/>
          <w:b/>
          <w:color w:val="auto"/>
          <w:szCs w:val="21"/>
          <w:highlight w:val="none"/>
          <w:lang w:bidi="ar"/>
        </w:rPr>
      </w:pPr>
      <w:r>
        <w:rPr>
          <w:rFonts w:hint="eastAsia" w:ascii="宋体" w:hAnsi="宋体" w:cs="宋体"/>
          <w:b/>
          <w:color w:val="auto"/>
          <w:szCs w:val="21"/>
          <w:highlight w:val="none"/>
          <w:lang w:bidi="ar"/>
        </w:rPr>
        <w:t>第二章  磋商须知</w:t>
      </w:r>
    </w:p>
    <w:p w14:paraId="1F2EB188">
      <w:pPr>
        <w:widowControl/>
        <w:tabs>
          <w:tab w:val="left" w:pos="1440"/>
        </w:tabs>
        <w:adjustRightInd w:val="0"/>
        <w:snapToGrid w:val="0"/>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磋商须知前附表</w:t>
      </w:r>
    </w:p>
    <w:p w14:paraId="5D5D7C1B">
      <w:pPr>
        <w:widowControl/>
        <w:tabs>
          <w:tab w:val="left" w:pos="1440"/>
        </w:tabs>
        <w:adjustRightInd w:val="0"/>
        <w:snapToGrid w:val="0"/>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磋商须知正文</w:t>
      </w:r>
    </w:p>
    <w:p w14:paraId="666EFF82">
      <w:pPr>
        <w:widowControl/>
        <w:tabs>
          <w:tab w:val="left" w:pos="1440"/>
        </w:tabs>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一、说明</w:t>
      </w:r>
      <w:bookmarkStart w:id="212" w:name="_GoBack"/>
      <w:bookmarkEnd w:id="212"/>
    </w:p>
    <w:p w14:paraId="4B4D070D">
      <w:pPr>
        <w:widowControl/>
        <w:tabs>
          <w:tab w:val="left" w:pos="1440"/>
        </w:tabs>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二、</w:t>
      </w:r>
      <w:r>
        <w:rPr>
          <w:rFonts w:hint="eastAsia" w:ascii="宋体" w:hAnsi="宋体" w:cs="宋体"/>
          <w:bCs/>
          <w:color w:val="auto"/>
          <w:szCs w:val="21"/>
          <w:highlight w:val="none"/>
          <w:lang w:bidi="ar"/>
        </w:rPr>
        <w:t>磋商</w:t>
      </w:r>
      <w:r>
        <w:rPr>
          <w:rFonts w:hint="eastAsia" w:ascii="宋体" w:hAnsi="宋体" w:cs="宋体"/>
          <w:color w:val="auto"/>
          <w:szCs w:val="21"/>
          <w:highlight w:val="none"/>
          <w:lang w:bidi="ar"/>
        </w:rPr>
        <w:t>文件</w:t>
      </w:r>
    </w:p>
    <w:p w14:paraId="65145BFB">
      <w:pPr>
        <w:widowControl/>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三、响应文件</w:t>
      </w:r>
    </w:p>
    <w:p w14:paraId="5919995A">
      <w:pPr>
        <w:widowControl/>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四、响应文件的递交</w:t>
      </w:r>
    </w:p>
    <w:p w14:paraId="461D047C">
      <w:pPr>
        <w:widowControl/>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五、响应文件的评审与磋商</w:t>
      </w:r>
    </w:p>
    <w:p w14:paraId="6241ED60">
      <w:pPr>
        <w:widowControl/>
        <w:adjustRightInd w:val="0"/>
        <w:snapToGrid w:val="0"/>
        <w:spacing w:line="48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lang w:bidi="ar"/>
        </w:rPr>
        <w:t>六、成交结果信息公布与授予合同</w:t>
      </w:r>
    </w:p>
    <w:p w14:paraId="163C5E09">
      <w:pPr>
        <w:widowControl/>
        <w:adjustRightInd w:val="0"/>
        <w:snapToGrid w:val="0"/>
        <w:spacing w:line="48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lang w:bidi="ar"/>
        </w:rPr>
        <w:t>七、其他规定</w:t>
      </w:r>
    </w:p>
    <w:p w14:paraId="24F030CD">
      <w:pPr>
        <w:widowControl/>
        <w:adjustRightInd w:val="0"/>
        <w:snapToGrid w:val="0"/>
        <w:spacing w:line="480" w:lineRule="exact"/>
        <w:rPr>
          <w:rFonts w:hint="eastAsia" w:ascii="宋体" w:hAnsi="宋体" w:cs="宋体"/>
          <w:b/>
          <w:color w:val="auto"/>
          <w:szCs w:val="21"/>
          <w:highlight w:val="none"/>
        </w:rPr>
      </w:pPr>
      <w:r>
        <w:rPr>
          <w:rFonts w:hint="eastAsia" w:ascii="宋体" w:hAnsi="宋体" w:cs="宋体"/>
          <w:b/>
          <w:color w:val="auto"/>
          <w:szCs w:val="21"/>
          <w:highlight w:val="none"/>
          <w:lang w:bidi="ar"/>
        </w:rPr>
        <w:t>第三章  评审方法及标准</w:t>
      </w:r>
    </w:p>
    <w:p w14:paraId="2D8CDE6C">
      <w:pPr>
        <w:widowControl/>
        <w:adjustRightInd w:val="0"/>
        <w:snapToGrid w:val="0"/>
        <w:spacing w:line="480" w:lineRule="exact"/>
        <w:rPr>
          <w:rFonts w:hint="eastAsia" w:ascii="宋体" w:hAnsi="宋体" w:cs="宋体"/>
          <w:b/>
          <w:color w:val="auto"/>
          <w:szCs w:val="21"/>
          <w:highlight w:val="none"/>
        </w:rPr>
      </w:pPr>
      <w:r>
        <w:rPr>
          <w:rFonts w:hint="eastAsia" w:ascii="宋体" w:hAnsi="宋体" w:cs="宋体"/>
          <w:b/>
          <w:color w:val="auto"/>
          <w:szCs w:val="21"/>
          <w:highlight w:val="none"/>
          <w:lang w:bidi="ar"/>
        </w:rPr>
        <w:t>第四章  采购合同格式</w:t>
      </w:r>
    </w:p>
    <w:p w14:paraId="103DA6AF">
      <w:pPr>
        <w:widowControl/>
        <w:adjustRightInd w:val="0"/>
        <w:snapToGrid w:val="0"/>
        <w:spacing w:line="480" w:lineRule="exact"/>
        <w:rPr>
          <w:rFonts w:hint="eastAsia" w:ascii="宋体" w:hAnsi="宋体" w:cs="宋体"/>
          <w:b/>
          <w:color w:val="auto"/>
          <w:kern w:val="0"/>
          <w:sz w:val="24"/>
          <w:highlight w:val="none"/>
        </w:rPr>
      </w:pPr>
      <w:r>
        <w:rPr>
          <w:rFonts w:hint="eastAsia" w:ascii="宋体" w:hAnsi="宋体" w:cs="宋体"/>
          <w:b/>
          <w:color w:val="auto"/>
          <w:kern w:val="0"/>
          <w:sz w:val="20"/>
          <w:szCs w:val="21"/>
          <w:highlight w:val="none"/>
          <w:lang w:bidi="ar"/>
        </w:rPr>
        <w:t>第五章  采购需求</w:t>
      </w:r>
    </w:p>
    <w:p w14:paraId="28304C0F">
      <w:pPr>
        <w:widowControl/>
        <w:autoSpaceDE w:val="0"/>
        <w:autoSpaceDN w:val="0"/>
        <w:adjustRightInd w:val="0"/>
        <w:snapToGrid w:val="0"/>
        <w:spacing w:line="480" w:lineRule="exact"/>
        <w:rPr>
          <w:rFonts w:hint="eastAsia" w:ascii="宋体" w:hAnsi="宋体" w:cs="宋体"/>
          <w:b/>
          <w:color w:val="auto"/>
          <w:szCs w:val="21"/>
          <w:highlight w:val="none"/>
        </w:rPr>
      </w:pPr>
      <w:r>
        <w:rPr>
          <w:rFonts w:hint="eastAsia" w:ascii="宋体" w:hAnsi="宋体" w:cs="宋体"/>
          <w:b/>
          <w:color w:val="auto"/>
          <w:szCs w:val="21"/>
          <w:highlight w:val="none"/>
          <w:lang w:bidi="ar"/>
        </w:rPr>
        <w:t>第六章  响应文件组成</w:t>
      </w:r>
    </w:p>
    <w:p w14:paraId="5FE2B609">
      <w:pPr>
        <w:spacing w:line="360" w:lineRule="auto"/>
        <w:rPr>
          <w:rFonts w:hint="eastAsia" w:ascii="华文中宋" w:hAnsi="华文中宋" w:eastAsia="华文中宋" w:cs="华文中宋"/>
          <w:color w:val="auto"/>
          <w:spacing w:val="160"/>
          <w:sz w:val="36"/>
          <w:szCs w:val="36"/>
          <w:highlight w:val="none"/>
          <w:lang w:bidi="ar"/>
        </w:rPr>
        <w:sectPr>
          <w:headerReference r:id="rId5" w:type="default"/>
          <w:footerReference r:id="rId6" w:type="default"/>
          <w:pgSz w:w="11906" w:h="16838"/>
          <w:pgMar w:top="1627" w:right="1531" w:bottom="1440" w:left="1531" w:header="860" w:footer="772" w:gutter="0"/>
          <w:pgNumType w:start="1"/>
          <w:cols w:space="720" w:num="1"/>
          <w:docGrid w:type="lines" w:linePitch="312" w:charSpace="0"/>
        </w:sectPr>
      </w:pPr>
    </w:p>
    <w:p w14:paraId="176E6844">
      <w:pPr>
        <w:pStyle w:val="2"/>
        <w:rPr>
          <w:rFonts w:hint="eastAsia" w:ascii="黑体" w:hAnsi="宋体" w:eastAsia="黑体"/>
          <w:color w:val="auto"/>
          <w:sz w:val="32"/>
          <w:szCs w:val="32"/>
          <w:highlight w:val="none"/>
        </w:rPr>
      </w:pPr>
      <w:r>
        <w:rPr>
          <w:rFonts w:hint="eastAsia" w:ascii="黑体" w:hAnsi="宋体" w:eastAsia="黑体"/>
          <w:color w:val="auto"/>
          <w:sz w:val="32"/>
          <w:szCs w:val="32"/>
          <w:highlight w:val="none"/>
        </w:rPr>
        <w:t>第一章  磋商邀请公告</w:t>
      </w:r>
    </w:p>
    <w:p w14:paraId="01A2A8E3">
      <w:pPr>
        <w:adjustRightInd w:val="0"/>
        <w:snapToGrid w:val="0"/>
        <w:spacing w:line="360" w:lineRule="auto"/>
        <w:ind w:firstLine="525" w:firstLineChars="250"/>
        <w:rPr>
          <w:rFonts w:hint="eastAsia" w:ascii="宋体" w:hAnsi="宋体" w:cs="宋体"/>
          <w:color w:val="auto"/>
          <w:szCs w:val="21"/>
          <w:highlight w:val="none"/>
        </w:rPr>
      </w:pPr>
      <w:bookmarkStart w:id="4" w:name="_Hlk511829295"/>
      <w:r>
        <w:rPr>
          <w:rFonts w:hint="eastAsia" w:ascii="宋体" w:hAnsi="宋体" w:cs="宋体"/>
          <w:color w:val="auto"/>
          <w:szCs w:val="21"/>
          <w:highlight w:val="none"/>
          <w:u w:val="single"/>
        </w:rPr>
        <w:t xml:space="preserve">郴州市农业科学研究所 </w:t>
      </w:r>
      <w:r>
        <w:rPr>
          <w:rFonts w:hint="eastAsia" w:ascii="宋体" w:hAnsi="宋体" w:cs="宋体"/>
          <w:color w:val="auto"/>
          <w:szCs w:val="21"/>
          <w:highlight w:val="none"/>
        </w:rPr>
        <w:t>的</w:t>
      </w:r>
      <w:r>
        <w:rPr>
          <w:rFonts w:hint="eastAsia" w:ascii="宋体" w:hAnsi="宋体" w:cs="宋体"/>
          <w:color w:val="auto"/>
          <w:szCs w:val="21"/>
          <w:highlight w:val="none"/>
          <w:u w:val="single"/>
        </w:rPr>
        <w:t>南岭地方特色作物种质资源保护利用中心建设项目-仪器具采购（第二批）</w:t>
      </w:r>
      <w:r>
        <w:rPr>
          <w:rFonts w:hint="eastAsia" w:ascii="宋体" w:hAnsi="宋体" w:cs="宋体"/>
          <w:color w:val="auto"/>
          <w:szCs w:val="21"/>
          <w:highlight w:val="none"/>
        </w:rPr>
        <w:t>进行竞争性磋商采购，现采用发布公告方式，邀请符合资格条件的潜在供应商参与竞争性磋商采购活动。</w:t>
      </w:r>
    </w:p>
    <w:p w14:paraId="5835B812">
      <w:pPr>
        <w:widowControl/>
        <w:spacing w:after="150" w:line="23" w:lineRule="atLeast"/>
        <w:jc w:val="left"/>
        <w:rPr>
          <w:color w:val="auto"/>
          <w:highlight w:val="none"/>
        </w:rPr>
      </w:pPr>
      <w:r>
        <w:rPr>
          <w:rFonts w:hint="eastAsia" w:ascii="宋体" w:hAnsi="宋体" w:cs="宋体"/>
          <w:b/>
          <w:bCs/>
          <w:color w:val="auto"/>
          <w:kern w:val="0"/>
          <w:szCs w:val="21"/>
          <w:highlight w:val="none"/>
          <w:lang w:bidi="ar"/>
        </w:rPr>
        <w:t>一、项目概况</w:t>
      </w:r>
    </w:p>
    <w:p w14:paraId="1FE37FCE">
      <w:pPr>
        <w:widowControl/>
        <w:spacing w:after="150" w:line="23" w:lineRule="atLeast"/>
        <w:ind w:firstLine="420" w:firstLineChars="200"/>
        <w:rPr>
          <w:color w:val="auto"/>
          <w:highlight w:val="none"/>
        </w:rPr>
      </w:pPr>
      <w:r>
        <w:rPr>
          <w:rFonts w:hint="eastAsia" w:ascii="宋体" w:hAnsi="宋体" w:cs="宋体"/>
          <w:color w:val="auto"/>
          <w:kern w:val="0"/>
          <w:szCs w:val="21"/>
          <w:highlight w:val="none"/>
          <w:lang w:bidi="ar"/>
        </w:rPr>
        <w:t>1、采购项目名称：南岭地方特色作物种质资源保护利用中心建设项目-仪器具采购（第二批）</w:t>
      </w:r>
    </w:p>
    <w:p w14:paraId="75AACB0A">
      <w:pPr>
        <w:widowControl/>
        <w:spacing w:after="150" w:line="23" w:lineRule="atLeas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2、采购计划编号： (2026)431000000318-1</w:t>
      </w:r>
    </w:p>
    <w:p w14:paraId="343C2A3B">
      <w:pPr>
        <w:widowControl/>
        <w:spacing w:after="150" w:line="23" w:lineRule="atLeast"/>
        <w:ind w:firstLine="420" w:firstLineChars="200"/>
        <w:rPr>
          <w:color w:val="auto"/>
          <w:highlight w:val="none"/>
        </w:rPr>
      </w:pPr>
      <w:r>
        <w:rPr>
          <w:rFonts w:hint="eastAsia" w:ascii="宋体" w:hAnsi="宋体" w:cs="宋体"/>
          <w:color w:val="auto"/>
          <w:kern w:val="0"/>
          <w:szCs w:val="21"/>
          <w:highlight w:val="none"/>
          <w:lang w:bidi="ar"/>
        </w:rPr>
        <w:t>3、采购代理机构编号：HNXXZC2026-CZ-051</w:t>
      </w:r>
    </w:p>
    <w:p w14:paraId="032CECFC">
      <w:pPr>
        <w:widowControl/>
        <w:spacing w:after="150" w:line="23" w:lineRule="atLeast"/>
        <w:ind w:firstLine="420" w:firstLineChars="200"/>
        <w:rPr>
          <w:color w:val="auto"/>
          <w:highlight w:val="none"/>
        </w:rPr>
      </w:pPr>
      <w:r>
        <w:rPr>
          <w:rFonts w:hint="eastAsia" w:ascii="宋体" w:hAnsi="宋体" w:cs="宋体"/>
          <w:color w:val="auto"/>
          <w:kern w:val="0"/>
          <w:szCs w:val="21"/>
          <w:highlight w:val="none"/>
          <w:lang w:bidi="ar"/>
        </w:rPr>
        <w:t>4、采购项目预算：1003300.00元</w:t>
      </w:r>
    </w:p>
    <w:p w14:paraId="6D8C20F6">
      <w:pPr>
        <w:widowControl/>
        <w:spacing w:after="150" w:line="23" w:lineRule="atLeast"/>
        <w:ind w:firstLine="420" w:firstLineChars="200"/>
        <w:rPr>
          <w:color w:val="auto"/>
          <w:highlight w:val="none"/>
        </w:rPr>
      </w:pPr>
      <w:r>
        <w:rPr>
          <w:rFonts w:hint="eastAsia" w:ascii="宋体" w:hAnsi="宋体" w:cs="宋体"/>
          <w:color w:val="auto"/>
          <w:kern w:val="0"/>
          <w:szCs w:val="21"/>
          <w:highlight w:val="none"/>
          <w:lang w:bidi="ar"/>
        </w:rPr>
        <w:t>支持预付款，预付比例：</w:t>
      </w:r>
      <w:r>
        <w:rPr>
          <w:rFonts w:hint="eastAsia" w:ascii="宋体" w:hAnsi="宋体" w:cs="宋体"/>
          <w:color w:val="auto"/>
          <w:kern w:val="0"/>
          <w:szCs w:val="21"/>
          <w:highlight w:val="none"/>
          <w:u w:val="single"/>
          <w:lang w:bidi="ar"/>
        </w:rPr>
        <w:t> / </w:t>
      </w:r>
      <w:r>
        <w:rPr>
          <w:rFonts w:hint="eastAsia" w:ascii="宋体" w:hAnsi="宋体" w:cs="宋体"/>
          <w:color w:val="auto"/>
          <w:kern w:val="0"/>
          <w:szCs w:val="21"/>
          <w:highlight w:val="none"/>
          <w:lang w:bidi="ar"/>
        </w:rPr>
        <w:t> </w:t>
      </w:r>
    </w:p>
    <w:p w14:paraId="33D97E06">
      <w:pPr>
        <w:widowControl/>
        <w:numPr>
          <w:ilvl w:val="0"/>
          <w:numId w:val="1"/>
        </w:numPr>
        <w:spacing w:after="150" w:line="23" w:lineRule="atLeast"/>
        <w:ind w:firstLine="420" w:firstLineChars="200"/>
        <w:rPr>
          <w:rFonts w:hint="eastAsia"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本项目对应的中小企业划分标准所属行业：</w:t>
      </w:r>
      <w:r>
        <w:rPr>
          <w:rFonts w:hint="eastAsia" w:ascii="宋体" w:hAnsi="宋体" w:cs="宋体"/>
          <w:color w:val="auto"/>
          <w:kern w:val="0"/>
          <w:szCs w:val="21"/>
          <w:highlight w:val="none"/>
          <w:u w:val="single"/>
          <w:lang w:bidi="ar"/>
        </w:rPr>
        <w:t>工业；</w:t>
      </w:r>
    </w:p>
    <w:p w14:paraId="39C471F0">
      <w:pPr>
        <w:adjustRightInd w:val="0"/>
        <w:snapToGrid w:val="0"/>
        <w:spacing w:line="360" w:lineRule="auto"/>
        <w:ind w:firstLine="420" w:firstLineChars="200"/>
        <w:rPr>
          <w:rFonts w:hint="eastAsia" w:ascii="宋体" w:hAnsi="宋体" w:cs="宋体"/>
          <w:color w:val="auto"/>
          <w:kern w:val="0"/>
          <w:szCs w:val="21"/>
          <w:highlight w:val="none"/>
          <w:u w:val="single"/>
          <w:lang w:bidi="ar"/>
        </w:rPr>
      </w:pPr>
      <w:r>
        <w:rPr>
          <w:rFonts w:hint="eastAsia" w:ascii="宋体" w:hAnsi="宋体" w:cs="宋体"/>
          <w:color w:val="auto"/>
          <w:szCs w:val="21"/>
          <w:highlight w:val="none"/>
        </w:rPr>
        <w:t>6、评分办法：□最低价法 ☑综合评分法</w:t>
      </w:r>
    </w:p>
    <w:p w14:paraId="4053E226">
      <w:pPr>
        <w:widowControl/>
        <w:spacing w:after="150" w:line="23" w:lineRule="atLeast"/>
        <w:ind w:firstLine="420" w:firstLineChars="200"/>
        <w:rPr>
          <w:color w:val="auto"/>
          <w:highlight w:val="none"/>
        </w:rPr>
      </w:pPr>
      <w:r>
        <w:rPr>
          <w:rFonts w:hint="eastAsia" w:ascii="宋体" w:hAnsi="宋体" w:cs="宋体"/>
          <w:color w:val="auto"/>
          <w:kern w:val="0"/>
          <w:szCs w:val="21"/>
          <w:highlight w:val="none"/>
          <w:lang w:bidi="ar"/>
        </w:rPr>
        <w:t>7、合同定价方式：☑固定总价 □固定单价 □成本补偿 □绩效激励</w:t>
      </w:r>
    </w:p>
    <w:p w14:paraId="6D179D19">
      <w:pPr>
        <w:widowControl/>
        <w:spacing w:after="150" w:line="23" w:lineRule="atLeas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8、合同履行期限：</w:t>
      </w:r>
      <w:r>
        <w:rPr>
          <w:rFonts w:hint="eastAsia" w:ascii="宋体" w:hAnsi="宋体" w:cs="宋体"/>
          <w:color w:val="auto"/>
          <w:kern w:val="0"/>
          <w:szCs w:val="21"/>
          <w:highlight w:val="none"/>
          <w:u w:val="single"/>
          <w:lang w:bidi="ar"/>
        </w:rPr>
        <w:t>合同签订后</w:t>
      </w:r>
      <w:r>
        <w:rPr>
          <w:rFonts w:hint="default" w:ascii="宋体" w:hAnsi="宋体" w:cs="宋体"/>
          <w:color w:val="auto"/>
          <w:kern w:val="0"/>
          <w:szCs w:val="21"/>
          <w:highlight w:val="none"/>
          <w:u w:val="single"/>
          <w:lang w:val="en-US" w:bidi="ar"/>
        </w:rPr>
        <w:t>3</w:t>
      </w:r>
      <w:r>
        <w:rPr>
          <w:rFonts w:hint="eastAsia" w:ascii="宋体" w:hAnsi="宋体" w:cs="宋体"/>
          <w:color w:val="auto"/>
          <w:kern w:val="0"/>
          <w:szCs w:val="21"/>
          <w:highlight w:val="none"/>
          <w:u w:val="single"/>
          <w:lang w:bidi="ar"/>
        </w:rPr>
        <w:t>0日内交货并完成安装调试、正常使用</w:t>
      </w:r>
      <w:r>
        <w:rPr>
          <w:rFonts w:hint="eastAsia" w:ascii="宋体" w:hAnsi="宋体" w:cs="宋体"/>
          <w:color w:val="auto"/>
          <w:kern w:val="0"/>
          <w:szCs w:val="21"/>
          <w:highlight w:val="none"/>
          <w:lang w:bidi="ar"/>
        </w:rPr>
        <w:t>。</w:t>
      </w:r>
    </w:p>
    <w:p w14:paraId="3DF2CB5B">
      <w:pPr>
        <w:pStyle w:val="41"/>
        <w:ind w:left="0" w:leftChars="0" w:firstLineChars="200"/>
        <w:rPr>
          <w:rFonts w:hint="eastAsia" w:ascii="宋体" w:hAnsi="宋体" w:cs="宋体"/>
          <w:color w:val="auto"/>
          <w:szCs w:val="21"/>
          <w:highlight w:val="none"/>
        </w:rPr>
      </w:pPr>
      <w:r>
        <w:rPr>
          <w:rFonts w:hint="eastAsia" w:ascii="宋体" w:hAnsi="宋体" w:cs="宋体"/>
          <w:color w:val="auto"/>
          <w:szCs w:val="21"/>
          <w:highlight w:val="none"/>
        </w:rPr>
        <w:t>9、根据《关于进一步优化政府采购领域营商环境的通知》郴财采资〔2024〕6号文件精神，本项目取消磋商保证金及履约保证金。</w:t>
      </w:r>
    </w:p>
    <w:p w14:paraId="267044E4">
      <w:pPr>
        <w:pStyle w:val="36"/>
        <w:spacing w:before="0" w:beforeAutospacing="0" w:after="150" w:afterAutospacing="0" w:line="380" w:lineRule="exact"/>
        <w:rPr>
          <w:rFonts w:hint="eastAsia"/>
          <w:color w:val="auto"/>
          <w:highlight w:val="none"/>
        </w:rPr>
      </w:pPr>
      <w:r>
        <w:rPr>
          <w:rFonts w:hint="eastAsia"/>
          <w:b/>
          <w:bCs/>
          <w:color w:val="auto"/>
          <w:sz w:val="21"/>
          <w:szCs w:val="21"/>
          <w:highlight w:val="none"/>
        </w:rPr>
        <w:t>二、采购需求</w:t>
      </w:r>
    </w:p>
    <w:tbl>
      <w:tblPr>
        <w:tblStyle w:val="42"/>
        <w:tblW w:w="932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7"/>
        <w:gridCol w:w="1292"/>
        <w:gridCol w:w="1292"/>
        <w:gridCol w:w="925"/>
        <w:gridCol w:w="671"/>
        <w:gridCol w:w="1466"/>
        <w:gridCol w:w="1492"/>
        <w:gridCol w:w="713"/>
        <w:gridCol w:w="727"/>
      </w:tblGrid>
      <w:tr w14:paraId="5327CA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47" w:type="dxa"/>
            <w:vAlign w:val="center"/>
          </w:tcPr>
          <w:p w14:paraId="3C0FA8B5">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包号</w:t>
            </w:r>
          </w:p>
        </w:tc>
        <w:tc>
          <w:tcPr>
            <w:tcW w:w="1292" w:type="dxa"/>
            <w:vAlign w:val="center"/>
          </w:tcPr>
          <w:p w14:paraId="3FC80557">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包名称</w:t>
            </w:r>
          </w:p>
        </w:tc>
        <w:tc>
          <w:tcPr>
            <w:tcW w:w="1292" w:type="dxa"/>
            <w:vAlign w:val="center"/>
          </w:tcPr>
          <w:p w14:paraId="7781AF6C">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标的名称</w:t>
            </w:r>
          </w:p>
        </w:tc>
        <w:tc>
          <w:tcPr>
            <w:tcW w:w="925" w:type="dxa"/>
            <w:tcBorders>
              <w:left w:val="single" w:color="auto" w:sz="4" w:space="0"/>
            </w:tcBorders>
            <w:vAlign w:val="center"/>
          </w:tcPr>
          <w:p w14:paraId="4533B3C0">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简要技术要求</w:t>
            </w:r>
          </w:p>
        </w:tc>
        <w:tc>
          <w:tcPr>
            <w:tcW w:w="671" w:type="dxa"/>
            <w:tcBorders>
              <w:left w:val="single" w:color="auto" w:sz="4" w:space="0"/>
            </w:tcBorders>
            <w:vAlign w:val="center"/>
          </w:tcPr>
          <w:p w14:paraId="6B83ADC8">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数量</w:t>
            </w:r>
          </w:p>
        </w:tc>
        <w:tc>
          <w:tcPr>
            <w:tcW w:w="1466" w:type="dxa"/>
            <w:vAlign w:val="center"/>
          </w:tcPr>
          <w:p w14:paraId="35AEB41D">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标的预算</w:t>
            </w:r>
          </w:p>
        </w:tc>
        <w:tc>
          <w:tcPr>
            <w:tcW w:w="1492" w:type="dxa"/>
            <w:vAlign w:val="center"/>
          </w:tcPr>
          <w:p w14:paraId="0A408A17">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最高限价</w:t>
            </w:r>
          </w:p>
        </w:tc>
        <w:tc>
          <w:tcPr>
            <w:tcW w:w="713" w:type="dxa"/>
            <w:vAlign w:val="center"/>
          </w:tcPr>
          <w:p w14:paraId="68FE47C1">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节能产品</w:t>
            </w:r>
          </w:p>
        </w:tc>
        <w:tc>
          <w:tcPr>
            <w:tcW w:w="727" w:type="dxa"/>
            <w:vAlign w:val="center"/>
          </w:tcPr>
          <w:p w14:paraId="7E13A82D">
            <w:pPr>
              <w:widowControl/>
              <w:adjustRightInd w:val="0"/>
              <w:snapToGrid w:val="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进口产品</w:t>
            </w:r>
          </w:p>
        </w:tc>
      </w:tr>
      <w:tr w14:paraId="2C729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98" w:hRule="atLeast"/>
          <w:jc w:val="center"/>
        </w:trPr>
        <w:tc>
          <w:tcPr>
            <w:tcW w:w="747" w:type="dxa"/>
            <w:vAlign w:val="center"/>
          </w:tcPr>
          <w:p w14:paraId="3885BA8F">
            <w:pPr>
              <w:widowControl/>
              <w:adjustRightInd w:val="0"/>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292" w:type="dxa"/>
            <w:vAlign w:val="center"/>
          </w:tcPr>
          <w:p w14:paraId="7D52CF38">
            <w:pPr>
              <w:widowControl/>
              <w:adjustRightInd w:val="0"/>
              <w:snapToGrid w:val="0"/>
              <w:jc w:val="left"/>
              <w:rPr>
                <w:rFonts w:hint="eastAsia" w:ascii="宋体" w:hAnsi="宋体" w:cs="宋体"/>
                <w:color w:val="auto"/>
                <w:kern w:val="0"/>
                <w:szCs w:val="21"/>
                <w:highlight w:val="none"/>
              </w:rPr>
            </w:pPr>
            <w:r>
              <w:rPr>
                <w:rFonts w:hint="eastAsia" w:ascii="宋体" w:hAnsi="宋体" w:cs="宋体"/>
                <w:color w:val="auto"/>
                <w:szCs w:val="21"/>
                <w:highlight w:val="none"/>
                <w:u w:val="single"/>
              </w:rPr>
              <w:t>南岭地方特色作物种质资源保护利用中心建设项目-仪器具采购（第二批）</w:t>
            </w:r>
          </w:p>
        </w:tc>
        <w:tc>
          <w:tcPr>
            <w:tcW w:w="1292" w:type="dxa"/>
            <w:vAlign w:val="center"/>
          </w:tcPr>
          <w:p w14:paraId="6CE49E4A">
            <w:pPr>
              <w:widowControl/>
              <w:adjustRightInd w:val="0"/>
              <w:snapToGrid w:val="0"/>
              <w:jc w:val="left"/>
              <w:rPr>
                <w:rFonts w:hint="eastAsia" w:ascii="宋体" w:hAnsi="宋体" w:cs="宋体"/>
                <w:color w:val="auto"/>
                <w:kern w:val="0"/>
                <w:szCs w:val="21"/>
                <w:highlight w:val="none"/>
              </w:rPr>
            </w:pPr>
            <w:r>
              <w:rPr>
                <w:rFonts w:hint="eastAsia" w:ascii="宋体" w:hAnsi="宋体" w:cs="宋体"/>
                <w:color w:val="auto"/>
                <w:szCs w:val="21"/>
                <w:highlight w:val="none"/>
                <w:u w:val="single"/>
              </w:rPr>
              <w:t>南岭地方特色作物种质资源保护利用中心建设项目-仪器具采购（第二批）</w:t>
            </w:r>
          </w:p>
        </w:tc>
        <w:tc>
          <w:tcPr>
            <w:tcW w:w="925" w:type="dxa"/>
            <w:tcBorders>
              <w:left w:val="single" w:color="auto" w:sz="4" w:space="0"/>
            </w:tcBorders>
            <w:vAlign w:val="center"/>
          </w:tcPr>
          <w:p w14:paraId="19995BF8">
            <w:pPr>
              <w:widowControl/>
              <w:adjustRightInd w:val="0"/>
              <w:snapToGrid w:val="0"/>
              <w:jc w:val="center"/>
              <w:rPr>
                <w:rFonts w:hint="eastAsia" w:ascii="宋体" w:hAnsi="宋体" w:cs="宋体"/>
                <w:color w:val="auto"/>
                <w:kern w:val="0"/>
                <w:szCs w:val="21"/>
                <w:highlight w:val="none"/>
              </w:rPr>
            </w:pPr>
            <w:r>
              <w:rPr>
                <w:rFonts w:hint="eastAsia" w:ascii="宋体" w:hAnsi="宋体" w:cs="宋体"/>
                <w:color w:val="auto"/>
                <w:szCs w:val="21"/>
                <w:highlight w:val="none"/>
                <w:u w:val="single"/>
              </w:rPr>
              <w:t>详见采购需求</w:t>
            </w:r>
          </w:p>
        </w:tc>
        <w:tc>
          <w:tcPr>
            <w:tcW w:w="671" w:type="dxa"/>
            <w:tcBorders>
              <w:left w:val="single" w:color="auto" w:sz="4" w:space="0"/>
            </w:tcBorders>
            <w:vAlign w:val="center"/>
          </w:tcPr>
          <w:p w14:paraId="2B69FFE7">
            <w:pPr>
              <w:widowControl/>
              <w:adjustRightInd w:val="0"/>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1批</w:t>
            </w:r>
          </w:p>
        </w:tc>
        <w:tc>
          <w:tcPr>
            <w:tcW w:w="1466" w:type="dxa"/>
            <w:vAlign w:val="center"/>
          </w:tcPr>
          <w:p w14:paraId="1C8B0D59">
            <w:pPr>
              <w:widowControl/>
              <w:adjustRightInd w:val="0"/>
              <w:snapToGrid w:val="0"/>
              <w:jc w:val="right"/>
              <w:rPr>
                <w:rFonts w:hint="eastAsia" w:ascii="宋体" w:hAnsi="宋体" w:cs="宋体"/>
                <w:color w:val="auto"/>
                <w:kern w:val="0"/>
                <w:szCs w:val="21"/>
                <w:highlight w:val="none"/>
              </w:rPr>
            </w:pPr>
            <w:r>
              <w:rPr>
                <w:rFonts w:hint="eastAsia" w:ascii="宋体" w:hAnsi="宋体" w:cs="宋体"/>
                <w:color w:val="auto"/>
                <w:szCs w:val="21"/>
                <w:highlight w:val="none"/>
                <w:u w:val="single"/>
                <w:lang w:val="en-US" w:eastAsia="zh-CN"/>
              </w:rPr>
              <w:t>1003300.00</w:t>
            </w:r>
            <w:r>
              <w:rPr>
                <w:rFonts w:hint="eastAsia" w:ascii="宋体" w:hAnsi="宋体" w:cs="宋体"/>
                <w:color w:val="auto"/>
                <w:szCs w:val="21"/>
                <w:highlight w:val="none"/>
                <w:u w:val="single"/>
              </w:rPr>
              <w:t>元</w:t>
            </w:r>
          </w:p>
        </w:tc>
        <w:tc>
          <w:tcPr>
            <w:tcW w:w="1492" w:type="dxa"/>
            <w:vAlign w:val="center"/>
          </w:tcPr>
          <w:p w14:paraId="1D8BCD4D">
            <w:pPr>
              <w:widowControl/>
              <w:adjustRightInd w:val="0"/>
              <w:snapToGrid w:val="0"/>
              <w:jc w:val="right"/>
              <w:rPr>
                <w:rFonts w:hint="eastAsia" w:ascii="宋体" w:hAnsi="宋体" w:cs="宋体"/>
                <w:color w:val="auto"/>
                <w:kern w:val="0"/>
                <w:szCs w:val="21"/>
                <w:highlight w:val="none"/>
              </w:rPr>
            </w:pPr>
            <w:r>
              <w:rPr>
                <w:rFonts w:hint="eastAsia" w:ascii="宋体" w:hAnsi="宋体" w:cs="宋体"/>
                <w:color w:val="auto"/>
                <w:szCs w:val="21"/>
                <w:highlight w:val="none"/>
                <w:u w:val="single"/>
                <w:lang w:val="en-US" w:eastAsia="zh-CN"/>
              </w:rPr>
              <w:t>1003300.00</w:t>
            </w:r>
            <w:r>
              <w:rPr>
                <w:rFonts w:hint="eastAsia" w:ascii="宋体" w:hAnsi="宋体" w:cs="宋体"/>
                <w:color w:val="auto"/>
                <w:szCs w:val="21"/>
                <w:highlight w:val="none"/>
                <w:u w:val="single"/>
              </w:rPr>
              <w:t>元</w:t>
            </w:r>
          </w:p>
        </w:tc>
        <w:tc>
          <w:tcPr>
            <w:tcW w:w="713" w:type="dxa"/>
            <w:vAlign w:val="center"/>
          </w:tcPr>
          <w:p w14:paraId="174FBEC5">
            <w:pPr>
              <w:widowControl/>
              <w:adjustRightInd w:val="0"/>
              <w:snapToGrid w:val="0"/>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w:t>
            </w:r>
          </w:p>
        </w:tc>
        <w:tc>
          <w:tcPr>
            <w:tcW w:w="727" w:type="dxa"/>
            <w:vAlign w:val="center"/>
          </w:tcPr>
          <w:p w14:paraId="69563D18">
            <w:pPr>
              <w:widowControl/>
              <w:adjustRightInd w:val="0"/>
              <w:snapToGrid w:val="0"/>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w:t>
            </w:r>
          </w:p>
        </w:tc>
      </w:tr>
    </w:tbl>
    <w:p w14:paraId="44256A5A">
      <w:pPr>
        <w:widowControl/>
        <w:spacing w:after="150" w:line="380" w:lineRule="exact"/>
        <w:jc w:val="left"/>
        <w:rPr>
          <w:color w:val="auto"/>
          <w:highlight w:val="none"/>
        </w:rPr>
      </w:pPr>
      <w:r>
        <w:rPr>
          <w:rFonts w:hint="eastAsia" w:ascii="宋体" w:hAnsi="宋体" w:cs="宋体"/>
          <w:color w:val="auto"/>
          <w:kern w:val="0"/>
          <w:szCs w:val="21"/>
          <w:highlight w:val="none"/>
          <w:lang w:bidi="ar"/>
        </w:rPr>
        <w:t>★注：各供应商的磋商报价均不得超过本项目采购预算和最高限价，否则将被视为无效磋商。</w:t>
      </w:r>
    </w:p>
    <w:p w14:paraId="6A6DE98A">
      <w:pPr>
        <w:widowControl/>
        <w:spacing w:after="150" w:line="380" w:lineRule="exact"/>
        <w:jc w:val="left"/>
        <w:rPr>
          <w:color w:val="auto"/>
          <w:highlight w:val="none"/>
        </w:rPr>
      </w:pPr>
      <w:r>
        <w:rPr>
          <w:rFonts w:hint="eastAsia" w:ascii="宋体" w:hAnsi="宋体" w:cs="宋体"/>
          <w:b/>
          <w:color w:val="auto"/>
          <w:kern w:val="0"/>
          <w:szCs w:val="21"/>
          <w:highlight w:val="none"/>
          <w:lang w:bidi="ar"/>
        </w:rPr>
        <w:t>三、采购项目需落实的政府采购政策</w:t>
      </w:r>
    </w:p>
    <w:p w14:paraId="15A55416">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（1）强制采购：政府采购实行强制采购的节能产品。</w:t>
      </w:r>
    </w:p>
    <w:p w14:paraId="02979AA0">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r>
        <w:rPr>
          <w:rFonts w:ascii="宋体" w:hAnsi="宋体" w:cs="宋体"/>
          <w:color w:val="auto"/>
          <w:kern w:val="0"/>
          <w:szCs w:val="21"/>
          <w:highlight w:val="none"/>
          <w:lang w:bidi="ar"/>
        </w:rPr>
        <w:t>2</w:t>
      </w:r>
      <w:r>
        <w:rPr>
          <w:rFonts w:hint="eastAsia" w:ascii="宋体" w:hAnsi="宋体" w:cs="宋体"/>
          <w:color w:val="auto"/>
          <w:kern w:val="0"/>
          <w:szCs w:val="21"/>
          <w:highlight w:val="none"/>
          <w:lang w:bidi="ar"/>
        </w:rPr>
        <w:t>）优先采购：政府采购鼓励采购节能产品、环境标志产品。</w:t>
      </w:r>
    </w:p>
    <w:p w14:paraId="0D139C4F">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r>
        <w:rPr>
          <w:rFonts w:ascii="宋体" w:hAnsi="宋体" w:cs="宋体"/>
          <w:color w:val="auto"/>
          <w:kern w:val="0"/>
          <w:szCs w:val="21"/>
          <w:highlight w:val="none"/>
          <w:lang w:bidi="ar"/>
        </w:rPr>
        <w:t>3</w:t>
      </w:r>
      <w:r>
        <w:rPr>
          <w:rFonts w:hint="eastAsia" w:ascii="宋体" w:hAnsi="宋体" w:cs="宋体"/>
          <w:color w:val="auto"/>
          <w:kern w:val="0"/>
          <w:szCs w:val="21"/>
          <w:highlight w:val="none"/>
          <w:lang w:bidi="ar"/>
        </w:rPr>
        <w:t>）价格评审优惠：政府采购促进中小企业发展（包括政府采购支持监狱企业发展、政府采购促进残疾人就业）。</w:t>
      </w:r>
    </w:p>
    <w:p w14:paraId="44602E4F">
      <w:pPr>
        <w:pStyle w:val="36"/>
        <w:spacing w:before="0" w:beforeAutospacing="0" w:after="150" w:afterAutospacing="0" w:line="380" w:lineRule="exact"/>
        <w:rPr>
          <w:rFonts w:hint="eastAsia"/>
          <w:b/>
          <w:bCs/>
          <w:color w:val="auto"/>
          <w:sz w:val="21"/>
          <w:szCs w:val="21"/>
          <w:highlight w:val="none"/>
        </w:rPr>
      </w:pPr>
    </w:p>
    <w:p w14:paraId="38DD7298">
      <w:pPr>
        <w:pStyle w:val="36"/>
        <w:spacing w:before="0" w:beforeAutospacing="0" w:after="150" w:afterAutospacing="0" w:line="380" w:lineRule="exact"/>
        <w:rPr>
          <w:rFonts w:hint="eastAsia"/>
          <w:color w:val="auto"/>
          <w:highlight w:val="none"/>
        </w:rPr>
      </w:pPr>
      <w:r>
        <w:rPr>
          <w:rFonts w:hint="eastAsia"/>
          <w:b/>
          <w:bCs/>
          <w:color w:val="auto"/>
          <w:sz w:val="21"/>
          <w:szCs w:val="21"/>
          <w:highlight w:val="none"/>
        </w:rPr>
        <w:t>四、供应商的资格要求</w:t>
      </w:r>
    </w:p>
    <w:p w14:paraId="2281FCF9">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1、供应商基本资格条件：符合《中华人民共和国政府采购法》第二十二条规定的供应商条件：</w:t>
      </w:r>
    </w:p>
    <w:p w14:paraId="6FD2A86F">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（1）具有独立承担民事责任的能力；</w:t>
      </w:r>
    </w:p>
    <w:p w14:paraId="7F948B34">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（2）具有良好的商业信誉和健全的财务会计制度；</w:t>
      </w:r>
    </w:p>
    <w:p w14:paraId="00AD44DA">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（3）具有履行合同所必需的设备和专业技术能力；</w:t>
      </w:r>
    </w:p>
    <w:p w14:paraId="12371585">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（4）有依法缴纳税收和社会保障资金的良好记录；</w:t>
      </w:r>
    </w:p>
    <w:p w14:paraId="66415D3E">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（5）参加政府采购活动前三年内，在经营活动中没有重大违法记录；</w:t>
      </w:r>
    </w:p>
    <w:p w14:paraId="74A2F544">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（6）法律、行政法规规定的其他条件。</w:t>
      </w:r>
    </w:p>
    <w:p w14:paraId="2AA81CDA">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2、落实政府采购政策需满足的资格要求：</w:t>
      </w:r>
    </w:p>
    <w:p w14:paraId="0E67A772">
      <w:pPr>
        <w:pStyle w:val="36"/>
        <w:spacing w:before="0" w:beforeAutospacing="0" w:after="0" w:afterAutospacing="0" w:line="380" w:lineRule="exact"/>
        <w:ind w:firstLine="525" w:firstLineChars="250"/>
        <w:rPr>
          <w:rFonts w:hint="eastAsia"/>
          <w:color w:val="auto"/>
          <w:highlight w:val="none"/>
        </w:rPr>
      </w:pPr>
      <w:r>
        <w:rPr>
          <w:rFonts w:hint="eastAsia"/>
          <w:color w:val="auto"/>
          <w:sz w:val="21"/>
          <w:szCs w:val="21"/>
          <w:highlight w:val="none"/>
        </w:rPr>
        <w:t>□专门面向：□中小企业  □小微企业  □监狱企业  □福利性单位。</w:t>
      </w:r>
    </w:p>
    <w:p w14:paraId="398F887F">
      <w:pPr>
        <w:widowControl/>
        <w:adjustRightInd w:val="0"/>
        <w:spacing w:after="150" w:line="380" w:lineRule="exact"/>
        <w:ind w:firstLine="630" w:firstLineChars="300"/>
        <w:jc w:val="left"/>
        <w:rPr>
          <w:rFonts w:hint="eastAsia" w:ascii="宋体" w:hAnsi="宋体" w:cs="宋体"/>
          <w:bCs/>
          <w:color w:val="auto"/>
          <w:szCs w:val="21"/>
          <w:highlight w:val="none"/>
        </w:rPr>
      </w:pPr>
      <w:r>
        <w:rPr>
          <w:rFonts w:hint="eastAsia" w:ascii="宋体" w:hAnsi="宋体" w:cs="宋体"/>
          <w:color w:val="auto"/>
          <w:szCs w:val="21"/>
          <w:highlight w:val="none"/>
        </w:rPr>
        <w:t>□强制</w:t>
      </w:r>
      <w:r>
        <w:rPr>
          <w:rFonts w:hint="eastAsia" w:ascii="宋体" w:hAnsi="宋体" w:cs="宋体"/>
          <w:bCs/>
          <w:color w:val="auto"/>
          <w:szCs w:val="21"/>
          <w:highlight w:val="none"/>
        </w:rPr>
        <w:t>分包：大型企业应将采购份额的</w:t>
      </w:r>
      <w:r>
        <w:rPr>
          <w:rFonts w:hint="eastAsia" w:ascii="宋体" w:hAnsi="宋体" w:cs="宋体"/>
          <w:bCs/>
          <w:color w:val="auto"/>
          <w:szCs w:val="21"/>
          <w:highlight w:val="none"/>
          <w:u w:val="single"/>
        </w:rPr>
        <w:t>  /  </w:t>
      </w:r>
      <w:r>
        <w:rPr>
          <w:rFonts w:hint="eastAsia" w:ascii="宋体" w:hAnsi="宋体" w:cs="宋体"/>
          <w:bCs/>
          <w:color w:val="auto"/>
          <w:szCs w:val="21"/>
          <w:highlight w:val="none"/>
        </w:rPr>
        <w:t>%分包给中小企业。</w:t>
      </w:r>
    </w:p>
    <w:p w14:paraId="52743FEF">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说明：依据湖南省财政厅《关于政府采购促进中小企业发展有关措施的通知》，符合法定条件的供应商凭《湖南省政府采购供应商资格承诺函》（格式见附件1）参与政府采购活动，无需提供财务状况、缴纳税收和社会保障资金等资格证明材料。</w:t>
      </w:r>
    </w:p>
    <w:p w14:paraId="50C59ED2">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3、本项目的特定资格要求：无</w:t>
      </w:r>
    </w:p>
    <w:p w14:paraId="486AC6D0">
      <w:pPr>
        <w:keepNext/>
        <w:keepLines/>
        <w:adjustRightInd w:val="0"/>
        <w:spacing w:after="150" w:line="380" w:lineRule="exact"/>
        <w:jc w:val="left"/>
        <w:outlineLvl w:val="1"/>
        <w:rPr>
          <w:color w:val="auto"/>
          <w:highlight w:val="none"/>
        </w:rPr>
      </w:pPr>
      <w:r>
        <w:rPr>
          <w:rFonts w:hint="eastAsia" w:ascii="宋体" w:hAnsi="宋体" w:cs="宋体"/>
          <w:b/>
          <w:color w:val="auto"/>
          <w:kern w:val="0"/>
          <w:szCs w:val="21"/>
          <w:highlight w:val="none"/>
          <w:lang w:bidi="ar"/>
        </w:rPr>
        <w:t>五、</w:t>
      </w:r>
      <w:r>
        <w:rPr>
          <w:rFonts w:hint="eastAsia" w:ascii="宋体" w:hAnsi="宋体" w:cs="宋体"/>
          <w:b/>
          <w:bCs/>
          <w:color w:val="auto"/>
          <w:kern w:val="0"/>
          <w:szCs w:val="21"/>
          <w:highlight w:val="none"/>
          <w:lang w:bidi="ar"/>
        </w:rPr>
        <w:t>获取磋商文件的时间、地点及方式</w:t>
      </w:r>
    </w:p>
    <w:p w14:paraId="435A0250">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磋商文件的获取时间：凡符合磋商资格要求并有意参加磋商者，可在公告发布之日起至提交响应文件截止之日通过郴州市政府采购（非标）电子交易平台（网址：http：//cz.hbncp.com.cn/#/）免费获取及下载电子磋商文件。</w:t>
      </w:r>
    </w:p>
    <w:p w14:paraId="6F178E5A">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2、磋商文件及修改、澄清文件的获取方式：</w:t>
      </w:r>
    </w:p>
    <w:p w14:paraId="75BD03FC">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2.1 供应商应在本项目获取磋商文件截止时间前登录湖南省公共资源交易统一注册平台（网址：http：//222.240.80.14：8888/G2/register!verification.do?systemId=4028c7b35a8cfff2015a8df8bba001fc）中进行账号注册和数字证书申请。</w:t>
      </w:r>
    </w:p>
    <w:p w14:paraId="6F4ECCF6">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2.2 已完成审核的供应商应在本项目获取磋商文件截止时间前登录郴州市政府采购（非标） 电子交易平台（网址：http：//cz.hbncp.com.cn/#/）中进行“公告”--“立即投递”--“下载文件” 的操作，逾期将不能获取文件。未按照相关程序操作的供应商，所产生的后果由供应商自行承担 全部责任。修改、澄清后的磋商文件请供应商自行在以上网站下载或查阅，恕不另行通知，如有 遗漏，由供应商自行承担全部责任。 </w:t>
      </w:r>
    </w:p>
    <w:p w14:paraId="3D19E14B">
      <w:pPr>
        <w:widowControl/>
        <w:adjustRightInd w:val="0"/>
        <w:spacing w:after="150" w:line="38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3、通过网络下载，其磋商文件与备案的书面磋商文件具有同等法律效力。供应商应及时关注 网上相关采购信息，如有遗漏（包括但不限于文件未下载或下载不完整），采购人概不负责，所 造成的磋商失败或损失由供应商自行承担。</w:t>
      </w:r>
    </w:p>
    <w:p w14:paraId="24E4D1B0">
      <w:pPr>
        <w:keepNext/>
        <w:keepLines/>
        <w:adjustRightInd w:val="0"/>
        <w:spacing w:after="150" w:line="380" w:lineRule="exact"/>
        <w:jc w:val="left"/>
        <w:outlineLvl w:val="1"/>
        <w:rPr>
          <w:color w:val="auto"/>
          <w:highlight w:val="none"/>
        </w:rPr>
      </w:pPr>
      <w:r>
        <w:rPr>
          <w:rFonts w:hint="eastAsia" w:ascii="宋体" w:hAnsi="宋体" w:cs="宋体"/>
          <w:b/>
          <w:bCs/>
          <w:color w:val="auto"/>
          <w:kern w:val="0"/>
          <w:szCs w:val="21"/>
          <w:highlight w:val="none"/>
          <w:lang w:bidi="ar"/>
        </w:rPr>
        <w:t>六、响应文件提交的截止时间、开标时间及地点:</w:t>
      </w:r>
    </w:p>
    <w:p w14:paraId="794D25CD">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1、响应文件的提交方式：供应商应在本项目获取磋商文件截止时间前登录郴州市公共资源（非标）电子交易平台（网址：http：//cz.hbncp.com.cn/#/）进行线上上传。</w:t>
      </w:r>
    </w:p>
    <w:p w14:paraId="1FB013A6">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2、首次响应文件</w:t>
      </w:r>
      <w:r>
        <w:rPr>
          <w:rFonts w:hint="eastAsia" w:ascii="宋体" w:hAnsi="宋体" w:cs="宋体"/>
          <w:color w:val="auto"/>
          <w:kern w:val="0"/>
          <w:szCs w:val="21"/>
          <w:highlight w:val="none"/>
          <w:lang w:bidi="ar"/>
        </w:rPr>
        <w:t>的提交截止时间：2026年</w:t>
      </w:r>
      <w:r>
        <w:rPr>
          <w:rFonts w:hint="eastAsia" w:ascii="宋体" w:hAnsi="宋体" w:cs="宋体"/>
          <w:color w:val="auto"/>
          <w:kern w:val="0"/>
          <w:szCs w:val="21"/>
          <w:highlight w:val="none"/>
          <w:lang w:val="en-US" w:eastAsia="zh-CN" w:bidi="ar"/>
        </w:rPr>
        <w:t>11</w:t>
      </w:r>
      <w:r>
        <w:rPr>
          <w:rFonts w:hint="eastAsia" w:ascii="宋体" w:hAnsi="宋体" w:cs="宋体"/>
          <w:color w:val="auto"/>
          <w:kern w:val="0"/>
          <w:szCs w:val="21"/>
          <w:highlight w:val="none"/>
          <w:lang w:bidi="ar"/>
        </w:rPr>
        <w:t>月</w:t>
      </w:r>
      <w:r>
        <w:rPr>
          <w:rFonts w:hint="eastAsia" w:ascii="宋体" w:hAnsi="宋体" w:cs="宋体"/>
          <w:color w:val="auto"/>
          <w:kern w:val="0"/>
          <w:szCs w:val="21"/>
          <w:highlight w:val="none"/>
          <w:lang w:val="en-US" w:eastAsia="zh-CN" w:bidi="ar"/>
        </w:rPr>
        <w:t>02</w:t>
      </w:r>
      <w:r>
        <w:rPr>
          <w:rFonts w:hint="eastAsia" w:ascii="宋体" w:hAnsi="宋体" w:cs="宋体"/>
          <w:color w:val="auto"/>
          <w:kern w:val="0"/>
          <w:szCs w:val="21"/>
          <w:highlight w:val="none"/>
          <w:lang w:bidi="ar"/>
        </w:rPr>
        <w:t>日上午09时30分（北京时间），超过截止时间的磋商将被拒绝。</w:t>
      </w:r>
    </w:p>
    <w:p w14:paraId="40EE899E">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3、首次响应文件的开启时间：2026年</w:t>
      </w:r>
      <w:r>
        <w:rPr>
          <w:rFonts w:hint="eastAsia" w:ascii="宋体" w:hAnsi="宋体" w:cs="宋体"/>
          <w:color w:val="auto"/>
          <w:kern w:val="0"/>
          <w:szCs w:val="21"/>
          <w:highlight w:val="none"/>
          <w:lang w:val="en-US" w:eastAsia="zh-CN" w:bidi="ar"/>
        </w:rPr>
        <w:t>11</w:t>
      </w:r>
      <w:r>
        <w:rPr>
          <w:rFonts w:hint="eastAsia" w:ascii="宋体" w:hAnsi="宋体" w:cs="宋体"/>
          <w:color w:val="auto"/>
          <w:kern w:val="0"/>
          <w:szCs w:val="21"/>
          <w:highlight w:val="none"/>
          <w:lang w:bidi="ar"/>
        </w:rPr>
        <w:t>月</w:t>
      </w:r>
      <w:r>
        <w:rPr>
          <w:rFonts w:hint="eastAsia" w:ascii="宋体" w:hAnsi="宋体" w:cs="宋体"/>
          <w:color w:val="auto"/>
          <w:kern w:val="0"/>
          <w:szCs w:val="21"/>
          <w:highlight w:val="none"/>
          <w:lang w:val="en-US" w:eastAsia="zh-CN" w:bidi="ar"/>
        </w:rPr>
        <w:t>02</w:t>
      </w:r>
      <w:r>
        <w:rPr>
          <w:rFonts w:hint="eastAsia" w:ascii="宋体" w:hAnsi="宋体" w:cs="宋体"/>
          <w:color w:val="auto"/>
          <w:kern w:val="0"/>
          <w:szCs w:val="21"/>
          <w:highlight w:val="none"/>
          <w:lang w:bidi="ar"/>
        </w:rPr>
        <w:t>日上午09时30分（北京时间）</w:t>
      </w:r>
    </w:p>
    <w:p w14:paraId="1A2242B9">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4、首次响应文件的开启地点：郴州市市民服务中心4楼市公共资源交易中心第4开标室。</w:t>
      </w:r>
    </w:p>
    <w:p w14:paraId="2F668242">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5、本项目实行全流程电子化，供应商应在规定时间内使用电脑自行远程解密开启文件，并参加网上开标活动。电子响应文件解密时限：30分钟。请供应商确保响应文件如期解密。</w:t>
      </w:r>
    </w:p>
    <w:p w14:paraId="0A9FE9A8">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6、首次响应文件的开启时间与提交首次响应文件的截止时间为同一时间。</w:t>
      </w:r>
    </w:p>
    <w:p w14:paraId="33D3970B">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7、本项目电子响应文件容量应当控制在100MB以内（如文件大小超过100MB，请联系系统客服协助），请供应商注意控制文件大小，若因响应文件容量较大而影响磋商的，其责任由供应商自行承担。</w:t>
      </w:r>
    </w:p>
    <w:p w14:paraId="57563FA3">
      <w:pPr>
        <w:widowControl/>
        <w:adjustRightInd w:val="0"/>
        <w:spacing w:after="150" w:line="380" w:lineRule="exact"/>
        <w:ind w:firstLine="420" w:firstLineChars="200"/>
        <w:jc w:val="left"/>
        <w:rPr>
          <w:color w:val="auto"/>
          <w:highlight w:val="none"/>
        </w:rPr>
      </w:pPr>
      <w:r>
        <w:rPr>
          <w:rFonts w:hint="eastAsia" w:ascii="宋体" w:hAnsi="宋体" w:cs="宋体"/>
          <w:color w:val="auto"/>
          <w:kern w:val="0"/>
          <w:szCs w:val="21"/>
          <w:highlight w:val="none"/>
          <w:lang w:bidi="ar"/>
        </w:rPr>
        <w:t>8、为保证本项目的顺利进行，供应商应在投递页面填写本项目的磋商代表的手机号码，以便顺利进行视频会议进行磋商。</w:t>
      </w:r>
    </w:p>
    <w:p w14:paraId="22D4245D">
      <w:pPr>
        <w:pStyle w:val="36"/>
        <w:spacing w:before="0" w:beforeAutospacing="0" w:after="0" w:afterAutospacing="0" w:line="380" w:lineRule="exact"/>
        <w:rPr>
          <w:rFonts w:hint="eastAsia"/>
          <w:color w:val="auto"/>
          <w:highlight w:val="none"/>
        </w:rPr>
      </w:pPr>
      <w:r>
        <w:rPr>
          <w:rFonts w:hint="eastAsia"/>
          <w:b/>
          <w:bCs/>
          <w:color w:val="auto"/>
          <w:sz w:val="21"/>
          <w:szCs w:val="21"/>
          <w:highlight w:val="none"/>
        </w:rPr>
        <w:t>七、磋商邀请公告</w:t>
      </w:r>
    </w:p>
    <w:p w14:paraId="3F83B696">
      <w:pPr>
        <w:pStyle w:val="36"/>
        <w:spacing w:before="0" w:beforeAutospacing="0" w:after="0" w:afterAutospacing="0" w:line="380" w:lineRule="exact"/>
        <w:ind w:firstLine="210"/>
        <w:rPr>
          <w:rFonts w:hint="eastAsia"/>
          <w:color w:val="auto"/>
          <w:highlight w:val="none"/>
        </w:rPr>
      </w:pPr>
      <w:r>
        <w:rPr>
          <w:rFonts w:hint="eastAsia"/>
          <w:color w:val="auto"/>
          <w:sz w:val="21"/>
          <w:szCs w:val="21"/>
          <w:highlight w:val="none"/>
        </w:rPr>
        <w:t>本磋商邀请公告在中国湖南政府采购网（网址：http://www.ccgp-hunan.gov.cn）和郴州市公共资源交易中心网（网址：http://czggzy.czs.gov.cn/）发布。在其他媒体发布的磋商邀请公告，公告内容以本磋商邀请公告指定媒体发布的公告为准；公告期限自本磋商邀请公告指定媒体最先发布公告之日起计算。</w:t>
      </w:r>
    </w:p>
    <w:p w14:paraId="3B00782D">
      <w:pPr>
        <w:pStyle w:val="36"/>
        <w:spacing w:before="0" w:beforeAutospacing="0" w:after="0" w:afterAutospacing="0" w:line="380" w:lineRule="exact"/>
        <w:rPr>
          <w:rFonts w:hint="eastAsia"/>
          <w:b/>
          <w:bCs/>
          <w:color w:val="auto"/>
          <w:sz w:val="21"/>
          <w:szCs w:val="21"/>
          <w:highlight w:val="none"/>
        </w:rPr>
      </w:pPr>
      <w:r>
        <w:rPr>
          <w:rFonts w:hint="eastAsia"/>
          <w:b/>
          <w:bCs/>
          <w:color w:val="auto"/>
          <w:sz w:val="21"/>
          <w:szCs w:val="21"/>
          <w:highlight w:val="none"/>
        </w:rPr>
        <w:t>八、确定邀请供应商</w:t>
      </w:r>
    </w:p>
    <w:p w14:paraId="1C0F2E77">
      <w:pPr>
        <w:pStyle w:val="36"/>
        <w:spacing w:before="0" w:beforeAutospacing="0" w:after="0" w:afterAutospacing="0" w:line="380" w:lineRule="exact"/>
        <w:ind w:firstLine="210"/>
        <w:rPr>
          <w:rFonts w:hint="eastAsia"/>
          <w:color w:val="auto"/>
          <w:highlight w:val="none"/>
        </w:rPr>
      </w:pPr>
      <w:r>
        <w:rPr>
          <w:rFonts w:hint="eastAsia"/>
          <w:color w:val="auto"/>
          <w:sz w:val="21"/>
          <w:szCs w:val="21"/>
          <w:highlight w:val="none"/>
        </w:rPr>
        <w:t>磋商小组确定所有符合相应资格条件的供应商参与竞争性磋商采购活动。</w:t>
      </w:r>
    </w:p>
    <w:p w14:paraId="0D765616">
      <w:pPr>
        <w:pStyle w:val="36"/>
        <w:spacing w:before="0" w:beforeAutospacing="0" w:after="0" w:afterAutospacing="0" w:line="380" w:lineRule="exact"/>
        <w:rPr>
          <w:rFonts w:hint="eastAsia"/>
          <w:color w:val="auto"/>
          <w:highlight w:val="none"/>
        </w:rPr>
      </w:pPr>
      <w:r>
        <w:rPr>
          <w:rFonts w:hint="eastAsia"/>
          <w:b/>
          <w:bCs/>
          <w:color w:val="auto"/>
          <w:sz w:val="21"/>
          <w:szCs w:val="21"/>
          <w:highlight w:val="none"/>
        </w:rPr>
        <w:t>九、询问及质疑</w:t>
      </w:r>
    </w:p>
    <w:p w14:paraId="0FD14F14">
      <w:pPr>
        <w:pStyle w:val="36"/>
        <w:spacing w:before="0" w:beforeAutospacing="0" w:after="0" w:afterAutospacing="0" w:line="380" w:lineRule="exact"/>
        <w:ind w:firstLine="210"/>
        <w:rPr>
          <w:rFonts w:hint="eastAsia"/>
          <w:color w:val="auto"/>
          <w:sz w:val="21"/>
          <w:szCs w:val="21"/>
          <w:highlight w:val="none"/>
        </w:rPr>
      </w:pPr>
      <w:r>
        <w:rPr>
          <w:rFonts w:hint="eastAsia"/>
          <w:color w:val="auto"/>
          <w:sz w:val="21"/>
          <w:szCs w:val="21"/>
          <w:highlight w:val="none"/>
        </w:rPr>
        <w:t>1、供应商对政府采购活动事项如有疑问的，可以向采购人、采购代理机构提出询问。采购人、采购代理机构将在3个工作日内作出答复。</w:t>
      </w:r>
    </w:p>
    <w:p w14:paraId="6BD377DF">
      <w:pPr>
        <w:pStyle w:val="36"/>
        <w:spacing w:before="0" w:beforeAutospacing="0" w:after="0" w:afterAutospacing="0" w:line="380" w:lineRule="exact"/>
        <w:ind w:firstLine="210"/>
        <w:rPr>
          <w:rFonts w:hint="eastAsia"/>
          <w:color w:val="auto"/>
          <w:sz w:val="21"/>
          <w:szCs w:val="21"/>
          <w:highlight w:val="none"/>
        </w:rPr>
      </w:pPr>
      <w:r>
        <w:rPr>
          <w:rFonts w:hint="eastAsia"/>
          <w:color w:val="auto"/>
          <w:sz w:val="21"/>
          <w:szCs w:val="21"/>
          <w:highlight w:val="none"/>
        </w:rPr>
        <w:t>2、潜在供应商认为采购文件或采购公告使自己的合法权益受到损害的，可以在收到采购文件之日或招标公告期限届满之日起7个工作日内，按《湖南省财政厅关于印发＜政府采购质疑答复和投诉处理操作规程＞的通知》(湘财购【2024】67号)规定，以书面形式一次性向采购人、采购代理机构提出针对同一采购程序环 节的质疑。</w:t>
      </w:r>
    </w:p>
    <w:p w14:paraId="2AAA9C66">
      <w:pPr>
        <w:pStyle w:val="36"/>
        <w:spacing w:before="0" w:beforeAutospacing="0" w:after="150" w:afterAutospacing="0" w:line="380" w:lineRule="exact"/>
        <w:rPr>
          <w:rFonts w:hint="eastAsia"/>
          <w:color w:val="auto"/>
          <w:highlight w:val="none"/>
        </w:rPr>
      </w:pPr>
      <w:r>
        <w:rPr>
          <w:rFonts w:hint="eastAsia"/>
          <w:b/>
          <w:color w:val="auto"/>
          <w:sz w:val="21"/>
          <w:szCs w:val="21"/>
          <w:highlight w:val="none"/>
        </w:rPr>
        <w:t>十、采购人、采购代理机构的名称、地址和联系方法</w:t>
      </w:r>
    </w:p>
    <w:p w14:paraId="6E3ECE97">
      <w:pPr>
        <w:kinsoku w:val="0"/>
        <w:autoSpaceDE w:val="0"/>
        <w:autoSpaceDN w:val="0"/>
        <w:adjustRightInd w:val="0"/>
        <w:snapToGrid w:val="0"/>
        <w:spacing w:before="196" w:line="219" w:lineRule="auto"/>
        <w:ind w:left="540"/>
        <w:jc w:val="left"/>
        <w:textAlignment w:val="baseline"/>
        <w:rPr>
          <w:rFonts w:hint="eastAsia" w:ascii="宋体" w:hAnsi="宋体" w:cs="宋体"/>
          <w:snapToGrid w:val="0"/>
          <w:color w:val="auto"/>
          <w:kern w:val="0"/>
          <w:szCs w:val="21"/>
          <w:highlight w:val="none"/>
        </w:rPr>
      </w:pPr>
      <w:r>
        <w:rPr>
          <w:rFonts w:hint="eastAsia" w:ascii="宋体" w:hAnsi="宋体" w:cs="宋体"/>
          <w:b/>
          <w:bCs/>
          <w:snapToGrid w:val="0"/>
          <w:color w:val="auto"/>
          <w:spacing w:val="-10"/>
          <w:kern w:val="0"/>
          <w:szCs w:val="21"/>
          <w:highlight w:val="none"/>
        </w:rPr>
        <w:t>1</w:t>
      </w:r>
      <w:r>
        <w:rPr>
          <w:rFonts w:hint="eastAsia" w:ascii="宋体" w:hAnsi="宋体" w:cs="宋体"/>
          <w:snapToGrid w:val="0"/>
          <w:color w:val="auto"/>
          <w:spacing w:val="-10"/>
          <w:kern w:val="0"/>
          <w:szCs w:val="21"/>
          <w:highlight w:val="none"/>
        </w:rPr>
        <w:t>、</w:t>
      </w:r>
      <w:r>
        <w:rPr>
          <w:rFonts w:hint="eastAsia" w:ascii="宋体" w:hAnsi="宋体" w:cs="宋体"/>
          <w:b/>
          <w:bCs/>
          <w:snapToGrid w:val="0"/>
          <w:color w:val="auto"/>
          <w:spacing w:val="-10"/>
          <w:kern w:val="0"/>
          <w:szCs w:val="21"/>
          <w:highlight w:val="none"/>
        </w:rPr>
        <w:t>采购人信息</w:t>
      </w:r>
    </w:p>
    <w:p w14:paraId="7A887961">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（1）采购人：郴州市农业科学研究所       </w:t>
      </w:r>
    </w:p>
    <w:p w14:paraId="60A56843">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（2）地  址：郴州市苏仙区青年大道509号  </w:t>
      </w:r>
    </w:p>
    <w:p w14:paraId="449DAD14">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（3）联 系 人：刘金保                      </w:t>
      </w:r>
    </w:p>
    <w:p w14:paraId="7005B0D4">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 xml:space="preserve">（4）联系电话：19973561696 </w:t>
      </w:r>
    </w:p>
    <w:p w14:paraId="255DA9AE">
      <w:pPr>
        <w:kinsoku w:val="0"/>
        <w:autoSpaceDE w:val="0"/>
        <w:autoSpaceDN w:val="0"/>
        <w:adjustRightInd w:val="0"/>
        <w:snapToGrid w:val="0"/>
        <w:spacing w:before="189" w:line="219" w:lineRule="auto"/>
        <w:ind w:left="511"/>
        <w:jc w:val="left"/>
        <w:textAlignment w:val="baseline"/>
        <w:rPr>
          <w:rFonts w:hint="eastAsia" w:ascii="宋体" w:hAnsi="宋体" w:cs="宋体"/>
          <w:snapToGrid w:val="0"/>
          <w:color w:val="auto"/>
          <w:kern w:val="0"/>
          <w:szCs w:val="21"/>
          <w:highlight w:val="none"/>
        </w:rPr>
      </w:pPr>
      <w:r>
        <w:rPr>
          <w:rFonts w:hint="eastAsia" w:ascii="宋体" w:hAnsi="宋体" w:cs="宋体"/>
          <w:b/>
          <w:bCs/>
          <w:snapToGrid w:val="0"/>
          <w:color w:val="auto"/>
          <w:spacing w:val="-6"/>
          <w:kern w:val="0"/>
          <w:szCs w:val="21"/>
          <w:highlight w:val="none"/>
        </w:rPr>
        <w:t>2</w:t>
      </w:r>
      <w:r>
        <w:rPr>
          <w:rFonts w:hint="eastAsia" w:ascii="宋体" w:hAnsi="宋体" w:cs="宋体"/>
          <w:snapToGrid w:val="0"/>
          <w:color w:val="auto"/>
          <w:spacing w:val="-6"/>
          <w:kern w:val="0"/>
          <w:szCs w:val="21"/>
          <w:highlight w:val="none"/>
        </w:rPr>
        <w:t>、</w:t>
      </w:r>
      <w:r>
        <w:rPr>
          <w:rFonts w:hint="eastAsia" w:ascii="宋体" w:hAnsi="宋体" w:cs="宋体"/>
          <w:b/>
          <w:bCs/>
          <w:snapToGrid w:val="0"/>
          <w:color w:val="auto"/>
          <w:spacing w:val="-6"/>
          <w:kern w:val="0"/>
          <w:szCs w:val="21"/>
          <w:highlight w:val="none"/>
        </w:rPr>
        <w:t>采购代理机构信息</w:t>
      </w:r>
    </w:p>
    <w:p w14:paraId="15434B02">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（1）名  称：湖南新星项目管理有限公司</w:t>
      </w:r>
    </w:p>
    <w:p w14:paraId="51A15A8D">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（2）地址：长沙市开福区芙蓉中路一段479号(建鸿达现代城1811房)</w:t>
      </w:r>
    </w:p>
    <w:p w14:paraId="361BB05C">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 xml:space="preserve">（3）联 系 人：李丽霞 </w:t>
      </w:r>
    </w:p>
    <w:p w14:paraId="5F498ACB">
      <w:pPr>
        <w:adjustRightInd w:val="0"/>
        <w:snapToGrid w:val="0"/>
        <w:spacing w:line="5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（4）电    话：18570558897</w:t>
      </w:r>
    </w:p>
    <w:p w14:paraId="235E71A1">
      <w:pPr>
        <w:widowControl/>
        <w:spacing w:after="150" w:line="38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十一、其它补充事宜</w:t>
      </w:r>
    </w:p>
    <w:p w14:paraId="7939E5D5">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1、本邀请公告选项：■表示选择  □表示未选择</w:t>
      </w:r>
    </w:p>
    <w:p w14:paraId="3D330CFF">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2、招标代理服务费3000.00元由采购人支付。</w:t>
      </w:r>
    </w:p>
    <w:p w14:paraId="6A866CC6">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3、各供应商可在郴州市公共资源交易中心网“下载中心”中下载“政府采购电子标操作手册”。</w:t>
      </w:r>
    </w:p>
    <w:p w14:paraId="4207D57A">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4、若因供应商对网上招磋商操作不熟悉或自身电脑、个人网络等原因导致不能在磋商截止时间之前完成响应文件上传的，所造成的磋商失败或损失由供应商自行承担。建议在各供应商在工作时间段内上传响应文件，在操作系统过程中有疑问或困难请及时进行咨询。</w:t>
      </w:r>
    </w:p>
    <w:p w14:paraId="4195723A">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5、若开标时出现网络故障、交易系统技术故障等情形，导致解密无法完成而影响采购活动开展的，采购人有权采取非加密文件上传或者将项目延期、延长响应文件解密时间等相应措施，以保障采购活动的公开、公平和公正，供应商不得对此持有异议。</w:t>
      </w:r>
    </w:p>
    <w:p w14:paraId="1D4BEACC">
      <w:pPr>
        <w:widowControl/>
        <w:spacing w:after="150" w:line="380" w:lineRule="exact"/>
        <w:ind w:firstLine="210"/>
        <w:jc w:val="left"/>
        <w:rPr>
          <w:color w:val="auto"/>
          <w:highlight w:val="none"/>
        </w:rPr>
      </w:pPr>
      <w:r>
        <w:rPr>
          <w:rFonts w:hint="eastAsia" w:ascii="宋体" w:hAnsi="宋体" w:cs="宋体"/>
          <w:color w:val="auto"/>
          <w:kern w:val="0"/>
          <w:szCs w:val="21"/>
          <w:highlight w:val="none"/>
          <w:lang w:bidi="ar"/>
        </w:rPr>
        <w:t>6、交易平台技术支持联系方式：平台客服电话：400-112-9919；客服QQ：800182906。</w:t>
      </w:r>
    </w:p>
    <w:p w14:paraId="047B51C8">
      <w:pPr>
        <w:adjustRightInd w:val="0"/>
        <w:snapToGrid w:val="0"/>
        <w:spacing w:line="360" w:lineRule="auto"/>
        <w:jc w:val="left"/>
        <w:rPr>
          <w:rFonts w:hint="eastAsia" w:ascii="宋体" w:hAnsi="宋体"/>
          <w:b/>
          <w:color w:val="auto"/>
          <w:szCs w:val="21"/>
          <w:highlight w:val="none"/>
        </w:rPr>
      </w:pPr>
    </w:p>
    <w:p w14:paraId="09FD0594">
      <w:pPr>
        <w:adjustRightInd w:val="0"/>
        <w:snapToGrid w:val="0"/>
        <w:spacing w:line="360" w:lineRule="auto"/>
        <w:jc w:val="left"/>
        <w:rPr>
          <w:rFonts w:hint="eastAsia" w:ascii="宋体" w:hAnsi="宋体"/>
          <w:b/>
          <w:color w:val="auto"/>
          <w:szCs w:val="21"/>
          <w:highlight w:val="none"/>
        </w:rPr>
      </w:pPr>
    </w:p>
    <w:p w14:paraId="4ACBC0C7">
      <w:pPr>
        <w:adjustRightInd w:val="0"/>
        <w:snapToGrid w:val="0"/>
        <w:spacing w:line="360" w:lineRule="auto"/>
        <w:jc w:val="left"/>
        <w:rPr>
          <w:rFonts w:hint="eastAsia" w:ascii="宋体" w:hAnsi="宋体"/>
          <w:b/>
          <w:color w:val="auto"/>
          <w:szCs w:val="21"/>
          <w:highlight w:val="none"/>
        </w:rPr>
      </w:pPr>
    </w:p>
    <w:p w14:paraId="05AF6D1C">
      <w:pPr>
        <w:adjustRightInd w:val="0"/>
        <w:snapToGrid w:val="0"/>
        <w:spacing w:line="360" w:lineRule="auto"/>
        <w:jc w:val="left"/>
        <w:rPr>
          <w:rFonts w:hint="eastAsia" w:ascii="宋体" w:hAnsi="宋体"/>
          <w:b/>
          <w:color w:val="auto"/>
          <w:szCs w:val="21"/>
          <w:highlight w:val="none"/>
        </w:rPr>
      </w:pPr>
    </w:p>
    <w:bookmarkEnd w:id="4"/>
    <w:p w14:paraId="35F98458">
      <w:pPr>
        <w:jc w:val="center"/>
        <w:rPr>
          <w:rFonts w:hint="eastAsia" w:ascii="黑体" w:hAnsi="宋体" w:eastAsia="黑体"/>
          <w:color w:val="auto"/>
          <w:sz w:val="32"/>
          <w:szCs w:val="32"/>
          <w:highlight w:val="none"/>
        </w:rPr>
      </w:pPr>
      <w:r>
        <w:rPr>
          <w:color w:val="auto"/>
          <w:highlight w:val="none"/>
        </w:rPr>
        <w:br w:type="page"/>
      </w:r>
      <w:r>
        <w:rPr>
          <w:rFonts w:hint="eastAsia" w:ascii="黑体" w:hAnsi="宋体" w:eastAsia="黑体"/>
          <w:color w:val="auto"/>
          <w:sz w:val="32"/>
          <w:szCs w:val="32"/>
          <w:highlight w:val="none"/>
        </w:rPr>
        <w:t>第二章 磋商须知</w:t>
      </w:r>
    </w:p>
    <w:p w14:paraId="4056EE26">
      <w:pPr>
        <w:pStyle w:val="22"/>
        <w:rPr>
          <w:rFonts w:ascii="黑体" w:eastAsia="黑体"/>
          <w:b/>
          <w:color w:val="auto"/>
          <w:sz w:val="24"/>
          <w:szCs w:val="24"/>
          <w:highlight w:val="none"/>
        </w:rPr>
      </w:pPr>
      <w:r>
        <w:rPr>
          <w:rFonts w:hint="eastAsia" w:ascii="黑体" w:eastAsia="黑体"/>
          <w:b/>
          <w:color w:val="auto"/>
          <w:sz w:val="24"/>
          <w:szCs w:val="24"/>
          <w:highlight w:val="none"/>
        </w:rPr>
        <w:t>磋商须知前附表</w:t>
      </w:r>
    </w:p>
    <w:p w14:paraId="61FAFAE6">
      <w:pPr>
        <w:pStyle w:val="22"/>
        <w:rPr>
          <w:rFonts w:hint="eastAsia" w:ascii="楷体_GB2312" w:hAnsi="宋体" w:eastAsia="楷体_GB2312"/>
          <w:color w:val="auto"/>
          <w:highlight w:val="none"/>
        </w:rPr>
      </w:pPr>
      <w:r>
        <w:rPr>
          <w:rFonts w:hint="eastAsia" w:ascii="楷体_GB2312" w:hAnsi="宋体" w:eastAsia="楷体_GB2312"/>
          <w:color w:val="auto"/>
          <w:highlight w:val="none"/>
        </w:rPr>
        <w:t>注： 请在方框□内划√选择，在“条款号”内限选一项。（本项目采用的条款用“■”标示）</w:t>
      </w:r>
    </w:p>
    <w:p w14:paraId="74783440">
      <w:pPr>
        <w:jc w:val="center"/>
        <w:rPr>
          <w:rFonts w:ascii="黑体" w:hAnsi="Courier New" w:eastAsia="黑体"/>
          <w:b/>
          <w:color w:val="auto"/>
          <w:kern w:val="0"/>
          <w:sz w:val="24"/>
          <w:highlight w:val="none"/>
        </w:rPr>
      </w:pPr>
      <w:bookmarkStart w:id="5" w:name="_Toc95920511"/>
      <w:bookmarkStart w:id="6" w:name="_Toc215740664"/>
    </w:p>
    <w:tbl>
      <w:tblPr>
        <w:tblStyle w:val="42"/>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15"/>
        <w:gridCol w:w="5186"/>
      </w:tblGrid>
      <w:tr w14:paraId="656A8B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tcBorders>
              <w:top w:val="double" w:color="auto" w:sz="4" w:space="0"/>
            </w:tcBorders>
            <w:vAlign w:val="center"/>
          </w:tcPr>
          <w:p w14:paraId="42796E44">
            <w:pPr>
              <w:adjustRightInd w:val="0"/>
              <w:snapToGrid w:val="0"/>
              <w:spacing w:line="320" w:lineRule="exact"/>
              <w:jc w:val="center"/>
              <w:rPr>
                <w:rFonts w:ascii="宋体"/>
                <w:b/>
                <w:color w:val="auto"/>
                <w:szCs w:val="21"/>
                <w:highlight w:val="none"/>
              </w:rPr>
            </w:pPr>
            <w:r>
              <w:rPr>
                <w:rFonts w:hint="eastAsia" w:ascii="宋体" w:hAnsi="宋体"/>
                <w:b/>
                <w:color w:val="auto"/>
                <w:szCs w:val="21"/>
                <w:highlight w:val="none"/>
              </w:rPr>
              <w:t>条款号</w:t>
            </w:r>
          </w:p>
        </w:tc>
        <w:tc>
          <w:tcPr>
            <w:tcW w:w="1815" w:type="dxa"/>
            <w:tcBorders>
              <w:top w:val="double" w:color="auto" w:sz="4" w:space="0"/>
            </w:tcBorders>
            <w:vAlign w:val="center"/>
          </w:tcPr>
          <w:p w14:paraId="4787F9A6">
            <w:pPr>
              <w:adjustRightInd w:val="0"/>
              <w:snapToGrid w:val="0"/>
              <w:spacing w:line="320" w:lineRule="exact"/>
              <w:jc w:val="center"/>
              <w:rPr>
                <w:rFonts w:ascii="宋体"/>
                <w:b/>
                <w:color w:val="auto"/>
                <w:szCs w:val="21"/>
                <w:highlight w:val="none"/>
              </w:rPr>
            </w:pPr>
            <w:r>
              <w:rPr>
                <w:rFonts w:hint="eastAsia" w:ascii="宋体" w:hAnsi="宋体"/>
                <w:b/>
                <w:color w:val="auto"/>
                <w:szCs w:val="21"/>
                <w:highlight w:val="none"/>
              </w:rPr>
              <w:t>条款名称</w:t>
            </w:r>
          </w:p>
        </w:tc>
        <w:tc>
          <w:tcPr>
            <w:tcW w:w="5186" w:type="dxa"/>
            <w:tcBorders>
              <w:top w:val="double" w:color="auto" w:sz="4" w:space="0"/>
            </w:tcBorders>
            <w:vAlign w:val="center"/>
          </w:tcPr>
          <w:p w14:paraId="46813211">
            <w:pPr>
              <w:adjustRightInd w:val="0"/>
              <w:snapToGrid w:val="0"/>
              <w:spacing w:line="320" w:lineRule="exact"/>
              <w:jc w:val="center"/>
              <w:rPr>
                <w:rFonts w:ascii="宋体"/>
                <w:b/>
                <w:color w:val="auto"/>
                <w:szCs w:val="21"/>
                <w:highlight w:val="none"/>
              </w:rPr>
            </w:pPr>
            <w:r>
              <w:rPr>
                <w:rFonts w:hint="eastAsia" w:ascii="宋体" w:hAnsi="宋体"/>
                <w:b/>
                <w:color w:val="auto"/>
                <w:szCs w:val="21"/>
                <w:highlight w:val="none"/>
              </w:rPr>
              <w:t>编列内容规定</w:t>
            </w:r>
          </w:p>
        </w:tc>
      </w:tr>
      <w:tr w14:paraId="3BA747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3"/>
            <w:vAlign w:val="center"/>
          </w:tcPr>
          <w:p w14:paraId="436603A9">
            <w:pPr>
              <w:adjustRightInd w:val="0"/>
              <w:snapToGrid w:val="0"/>
              <w:spacing w:line="320" w:lineRule="exact"/>
              <w:rPr>
                <w:rFonts w:ascii="宋体"/>
                <w:color w:val="auto"/>
                <w:szCs w:val="21"/>
                <w:highlight w:val="none"/>
              </w:rPr>
            </w:pPr>
            <w:r>
              <w:rPr>
                <w:rFonts w:hint="eastAsia" w:ascii="宋体" w:hAnsi="宋体"/>
                <w:b/>
                <w:color w:val="auto"/>
                <w:szCs w:val="21"/>
                <w:highlight w:val="none"/>
              </w:rPr>
              <w:t>一、说明</w:t>
            </w:r>
          </w:p>
        </w:tc>
      </w:tr>
      <w:tr w14:paraId="6EF8CE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B647E4C">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1.1</w:t>
            </w:r>
            <w:r>
              <w:rPr>
                <w:rFonts w:hint="eastAsia" w:ascii="宋体" w:hAnsi="宋体"/>
                <w:color w:val="auto"/>
                <w:szCs w:val="21"/>
                <w:highlight w:val="none"/>
              </w:rPr>
              <w:t>款</w:t>
            </w:r>
          </w:p>
        </w:tc>
        <w:tc>
          <w:tcPr>
            <w:tcW w:w="1815" w:type="dxa"/>
            <w:vAlign w:val="center"/>
          </w:tcPr>
          <w:p w14:paraId="794DF79B">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采购项目</w:t>
            </w:r>
          </w:p>
        </w:tc>
        <w:tc>
          <w:tcPr>
            <w:tcW w:w="5186" w:type="dxa"/>
            <w:vAlign w:val="center"/>
          </w:tcPr>
          <w:p w14:paraId="3F20F8E2">
            <w:pPr>
              <w:adjustRightInd w:val="0"/>
              <w:snapToGrid w:val="0"/>
              <w:spacing w:line="320" w:lineRule="exact"/>
              <w:rPr>
                <w:rFonts w:ascii="宋体"/>
                <w:color w:val="auto"/>
                <w:szCs w:val="21"/>
                <w:highlight w:val="none"/>
              </w:rPr>
            </w:pPr>
            <w:r>
              <w:rPr>
                <w:rFonts w:hint="eastAsia" w:ascii="宋体" w:hAnsi="宋体"/>
                <w:b/>
                <w:bCs/>
                <w:color w:val="auto"/>
                <w:szCs w:val="21"/>
                <w:highlight w:val="none"/>
              </w:rPr>
              <w:t>详见第一章磋商邀请</w:t>
            </w:r>
          </w:p>
        </w:tc>
      </w:tr>
      <w:tr w14:paraId="3BBC09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A14A4CF">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2.1</w:t>
            </w:r>
            <w:r>
              <w:rPr>
                <w:rFonts w:hint="eastAsia" w:ascii="宋体" w:hAnsi="宋体"/>
                <w:color w:val="auto"/>
                <w:szCs w:val="21"/>
                <w:highlight w:val="none"/>
              </w:rPr>
              <w:t>款</w:t>
            </w:r>
          </w:p>
        </w:tc>
        <w:tc>
          <w:tcPr>
            <w:tcW w:w="1815" w:type="dxa"/>
            <w:vAlign w:val="center"/>
          </w:tcPr>
          <w:p w14:paraId="6503786E">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采购人</w:t>
            </w:r>
          </w:p>
        </w:tc>
        <w:tc>
          <w:tcPr>
            <w:tcW w:w="5186" w:type="dxa"/>
            <w:vAlign w:val="center"/>
          </w:tcPr>
          <w:p w14:paraId="51300EFE">
            <w:pPr>
              <w:adjustRightInd w:val="0"/>
              <w:snapToGrid w:val="0"/>
              <w:spacing w:line="320" w:lineRule="exact"/>
              <w:rPr>
                <w:rFonts w:hint="eastAsia" w:ascii="宋体" w:hAnsi="宋体" w:cs="宋体"/>
                <w:color w:val="auto"/>
                <w:szCs w:val="21"/>
                <w:highlight w:val="none"/>
              </w:rPr>
            </w:pPr>
            <w:r>
              <w:rPr>
                <w:rFonts w:hint="eastAsia" w:ascii="宋体" w:hAnsi="宋体"/>
                <w:b/>
                <w:bCs/>
                <w:color w:val="auto"/>
                <w:szCs w:val="21"/>
                <w:highlight w:val="none"/>
              </w:rPr>
              <w:t>详见第一章磋商邀请</w:t>
            </w:r>
          </w:p>
        </w:tc>
      </w:tr>
      <w:tr w14:paraId="30A96F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7D2D965">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2.2</w:t>
            </w:r>
            <w:r>
              <w:rPr>
                <w:rFonts w:hint="eastAsia" w:ascii="宋体" w:hAnsi="宋体"/>
                <w:color w:val="auto"/>
                <w:szCs w:val="21"/>
                <w:highlight w:val="none"/>
              </w:rPr>
              <w:t>款</w:t>
            </w:r>
          </w:p>
        </w:tc>
        <w:tc>
          <w:tcPr>
            <w:tcW w:w="1815" w:type="dxa"/>
            <w:vAlign w:val="center"/>
          </w:tcPr>
          <w:p w14:paraId="2EEAD26E">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采购代理机构</w:t>
            </w:r>
          </w:p>
        </w:tc>
        <w:tc>
          <w:tcPr>
            <w:tcW w:w="5186" w:type="dxa"/>
            <w:vAlign w:val="center"/>
          </w:tcPr>
          <w:p w14:paraId="01979E88">
            <w:pPr>
              <w:adjustRightInd w:val="0"/>
              <w:snapToGrid w:val="0"/>
              <w:spacing w:line="320" w:lineRule="exact"/>
              <w:rPr>
                <w:rFonts w:hint="eastAsia" w:ascii="宋体" w:hAnsi="宋体" w:cs="宋体"/>
                <w:color w:val="auto"/>
                <w:szCs w:val="21"/>
                <w:highlight w:val="none"/>
              </w:rPr>
            </w:pPr>
            <w:r>
              <w:rPr>
                <w:rFonts w:hint="eastAsia" w:ascii="宋体" w:hAnsi="宋体"/>
                <w:b/>
                <w:bCs/>
                <w:color w:val="auto"/>
                <w:szCs w:val="21"/>
                <w:highlight w:val="none"/>
              </w:rPr>
              <w:t>详见第一章磋商邀请</w:t>
            </w:r>
          </w:p>
        </w:tc>
      </w:tr>
      <w:tr w14:paraId="2ADDCE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844" w:type="dxa"/>
            <w:vAlign w:val="center"/>
          </w:tcPr>
          <w:p w14:paraId="6F2155B0">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2.3</w:t>
            </w:r>
            <w:r>
              <w:rPr>
                <w:rFonts w:hint="eastAsia" w:ascii="宋体" w:hAnsi="宋体"/>
                <w:color w:val="auto"/>
                <w:szCs w:val="21"/>
                <w:highlight w:val="none"/>
              </w:rPr>
              <w:t>款</w:t>
            </w:r>
          </w:p>
        </w:tc>
        <w:tc>
          <w:tcPr>
            <w:tcW w:w="1815" w:type="dxa"/>
            <w:vAlign w:val="center"/>
          </w:tcPr>
          <w:p w14:paraId="6CE13AA8">
            <w:pPr>
              <w:adjustRightInd w:val="0"/>
              <w:snapToGrid w:val="0"/>
              <w:spacing w:line="320" w:lineRule="exact"/>
              <w:jc w:val="center"/>
              <w:rPr>
                <w:rFonts w:ascii="宋体"/>
                <w:bCs/>
                <w:color w:val="auto"/>
                <w:szCs w:val="21"/>
                <w:highlight w:val="none"/>
              </w:rPr>
            </w:pPr>
            <w:r>
              <w:rPr>
                <w:rFonts w:hint="eastAsia" w:ascii="宋体" w:hAnsi="宋体" w:cs="宋体"/>
                <w:color w:val="auto"/>
                <w:kern w:val="0"/>
                <w:szCs w:val="21"/>
                <w:highlight w:val="none"/>
              </w:rPr>
              <w:t>投标人的</w:t>
            </w:r>
            <w:r>
              <w:rPr>
                <w:rFonts w:hint="eastAsia" w:ascii="宋体" w:hAnsi="宋体"/>
                <w:color w:val="auto"/>
                <w:szCs w:val="21"/>
                <w:highlight w:val="none"/>
              </w:rPr>
              <w:t>产生方式</w:t>
            </w:r>
          </w:p>
        </w:tc>
        <w:tc>
          <w:tcPr>
            <w:tcW w:w="5186" w:type="dxa"/>
            <w:vAlign w:val="center"/>
          </w:tcPr>
          <w:p w14:paraId="17942F0D">
            <w:pPr>
              <w:adjustRightInd w:val="0"/>
              <w:snapToGrid w:val="0"/>
              <w:spacing w:line="360" w:lineRule="auto"/>
              <w:rPr>
                <w:rFonts w:ascii="宋体"/>
                <w:color w:val="auto"/>
                <w:szCs w:val="21"/>
                <w:highlight w:val="none"/>
              </w:rPr>
            </w:pPr>
            <w:r>
              <w:rPr>
                <w:rFonts w:hint="eastAsia" w:ascii="MS Gothic" w:hAnsi="MS Gothic" w:eastAsia="MS Gothic" w:cs="MS Gothic"/>
                <w:color w:val="auto"/>
                <w:szCs w:val="21"/>
                <w:highlight w:val="none"/>
              </w:rPr>
              <w:t>☑</w:t>
            </w:r>
            <w:r>
              <w:rPr>
                <w:rFonts w:hint="eastAsia" w:ascii="宋体" w:hAnsi="宋体"/>
                <w:color w:val="auto"/>
                <w:szCs w:val="21"/>
                <w:highlight w:val="none"/>
              </w:rPr>
              <w:t>发布公告</w:t>
            </w:r>
          </w:p>
        </w:tc>
      </w:tr>
      <w:tr w14:paraId="372AF3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844" w:type="dxa"/>
            <w:vAlign w:val="center"/>
          </w:tcPr>
          <w:p w14:paraId="1A470679">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3.1</w:t>
            </w:r>
            <w:r>
              <w:rPr>
                <w:rFonts w:hint="eastAsia" w:ascii="宋体" w:hAnsi="宋体"/>
                <w:color w:val="auto"/>
                <w:szCs w:val="21"/>
                <w:highlight w:val="none"/>
              </w:rPr>
              <w:t>款</w:t>
            </w:r>
          </w:p>
        </w:tc>
        <w:tc>
          <w:tcPr>
            <w:tcW w:w="1815" w:type="dxa"/>
            <w:vAlign w:val="center"/>
          </w:tcPr>
          <w:p w14:paraId="31D015DE">
            <w:pPr>
              <w:adjustRightInd w:val="0"/>
              <w:snapToGrid w:val="0"/>
              <w:spacing w:line="320" w:lineRule="exact"/>
              <w:jc w:val="center"/>
              <w:rPr>
                <w:rFonts w:ascii="宋体"/>
                <w:color w:val="auto"/>
                <w:szCs w:val="21"/>
                <w:highlight w:val="none"/>
              </w:rPr>
            </w:pPr>
            <w:r>
              <w:rPr>
                <w:rFonts w:hint="eastAsia" w:ascii="宋体" w:hAnsi="宋体"/>
                <w:bCs/>
                <w:color w:val="auto"/>
                <w:szCs w:val="21"/>
                <w:highlight w:val="none"/>
              </w:rPr>
              <w:t>投标人</w:t>
            </w:r>
            <w:r>
              <w:rPr>
                <w:rFonts w:hint="eastAsia" w:ascii="宋体" w:hAnsi="宋体"/>
                <w:color w:val="auto"/>
                <w:szCs w:val="21"/>
                <w:highlight w:val="none"/>
              </w:rPr>
              <w:t>资格条件</w:t>
            </w:r>
          </w:p>
        </w:tc>
        <w:tc>
          <w:tcPr>
            <w:tcW w:w="5186" w:type="dxa"/>
            <w:vAlign w:val="center"/>
          </w:tcPr>
          <w:p w14:paraId="16E3AB2F">
            <w:pPr>
              <w:snapToGrid w:val="0"/>
              <w:spacing w:line="440" w:lineRule="exact"/>
              <w:rPr>
                <w:color w:val="auto"/>
                <w:szCs w:val="21"/>
                <w:highlight w:val="none"/>
              </w:rPr>
            </w:pPr>
            <w:r>
              <w:rPr>
                <w:rFonts w:hint="eastAsia" w:ascii="宋体" w:hAnsi="宋体"/>
                <w:b/>
                <w:bCs/>
                <w:color w:val="auto"/>
                <w:szCs w:val="21"/>
                <w:highlight w:val="none"/>
              </w:rPr>
              <w:t>详见第一章磋商邀请</w:t>
            </w:r>
          </w:p>
        </w:tc>
      </w:tr>
      <w:tr w14:paraId="0E8934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05BE16A7">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6.1</w:t>
            </w:r>
            <w:r>
              <w:rPr>
                <w:rFonts w:hint="eastAsia" w:ascii="宋体" w:hAnsi="宋体"/>
                <w:color w:val="auto"/>
                <w:szCs w:val="21"/>
                <w:highlight w:val="none"/>
              </w:rPr>
              <w:t>款</w:t>
            </w:r>
          </w:p>
        </w:tc>
        <w:tc>
          <w:tcPr>
            <w:tcW w:w="1815" w:type="dxa"/>
            <w:vAlign w:val="center"/>
          </w:tcPr>
          <w:p w14:paraId="6877BA17">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联合体形式</w:t>
            </w:r>
          </w:p>
        </w:tc>
        <w:tc>
          <w:tcPr>
            <w:tcW w:w="5186" w:type="dxa"/>
            <w:vAlign w:val="center"/>
          </w:tcPr>
          <w:p w14:paraId="542AF1C0">
            <w:pPr>
              <w:adjustRightInd w:val="0"/>
              <w:snapToGrid w:val="0"/>
              <w:spacing w:line="320" w:lineRule="exact"/>
              <w:rPr>
                <w:rFonts w:hint="eastAsia" w:ascii="宋体" w:hAnsi="宋体"/>
                <w:color w:val="auto"/>
                <w:szCs w:val="21"/>
                <w:highlight w:val="none"/>
              </w:rPr>
            </w:pPr>
            <w:r>
              <w:rPr>
                <w:rFonts w:hint="eastAsia" w:ascii="宋体" w:hAnsi="宋体"/>
                <w:color w:val="auto"/>
                <w:szCs w:val="21"/>
                <w:highlight w:val="none"/>
              </w:rPr>
              <w:t>不接受</w:t>
            </w:r>
          </w:p>
        </w:tc>
      </w:tr>
      <w:tr w14:paraId="4C7697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1844" w:type="dxa"/>
            <w:vAlign w:val="center"/>
          </w:tcPr>
          <w:p w14:paraId="409FE198">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6.2</w:t>
            </w:r>
            <w:r>
              <w:rPr>
                <w:rFonts w:hint="eastAsia" w:ascii="宋体" w:hAnsi="宋体"/>
                <w:color w:val="auto"/>
                <w:szCs w:val="21"/>
                <w:highlight w:val="none"/>
              </w:rPr>
              <w:t>款</w:t>
            </w:r>
          </w:p>
        </w:tc>
        <w:tc>
          <w:tcPr>
            <w:tcW w:w="1815" w:type="dxa"/>
            <w:vAlign w:val="center"/>
          </w:tcPr>
          <w:p w14:paraId="509E6780">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对联合体各方的要求</w:t>
            </w:r>
          </w:p>
        </w:tc>
        <w:tc>
          <w:tcPr>
            <w:tcW w:w="5186" w:type="dxa"/>
            <w:vAlign w:val="center"/>
          </w:tcPr>
          <w:p w14:paraId="67F566D3">
            <w:pPr>
              <w:adjustRightInd w:val="0"/>
              <w:snapToGrid w:val="0"/>
              <w:spacing w:line="320" w:lineRule="exact"/>
              <w:rPr>
                <w:rFonts w:ascii="宋体"/>
                <w:color w:val="auto"/>
                <w:szCs w:val="21"/>
                <w:highlight w:val="none"/>
              </w:rPr>
            </w:pPr>
            <w:r>
              <w:rPr>
                <w:rFonts w:hint="eastAsia" w:ascii="宋体" w:hAnsi="宋体"/>
                <w:b/>
                <w:bCs/>
                <w:color w:val="auto"/>
                <w:szCs w:val="21"/>
                <w:highlight w:val="none"/>
              </w:rPr>
              <w:t>不作要求</w:t>
            </w:r>
          </w:p>
        </w:tc>
      </w:tr>
      <w:tr w14:paraId="1DBAD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7CAD4370">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7.1</w:t>
            </w:r>
            <w:r>
              <w:rPr>
                <w:rFonts w:hint="eastAsia" w:ascii="宋体" w:hAnsi="宋体"/>
                <w:color w:val="auto"/>
                <w:szCs w:val="21"/>
                <w:highlight w:val="none"/>
              </w:rPr>
              <w:t>款</w:t>
            </w:r>
          </w:p>
        </w:tc>
        <w:tc>
          <w:tcPr>
            <w:tcW w:w="1815" w:type="dxa"/>
            <w:vAlign w:val="center"/>
          </w:tcPr>
          <w:p w14:paraId="1E012271">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现场勘察</w:t>
            </w:r>
          </w:p>
        </w:tc>
        <w:tc>
          <w:tcPr>
            <w:tcW w:w="5186" w:type="dxa"/>
            <w:vAlign w:val="center"/>
          </w:tcPr>
          <w:p w14:paraId="2C92FB2E">
            <w:pPr>
              <w:adjustRightInd w:val="0"/>
              <w:snapToGrid w:val="0"/>
              <w:spacing w:line="320" w:lineRule="exact"/>
              <w:rPr>
                <w:rFonts w:ascii="宋体"/>
                <w:color w:val="auto"/>
                <w:szCs w:val="21"/>
                <w:highlight w:val="none"/>
              </w:rPr>
            </w:pPr>
            <w:r>
              <w:rPr>
                <w:rFonts w:hint="eastAsia" w:ascii="宋体" w:hAnsi="宋体"/>
                <w:color w:val="auto"/>
                <w:szCs w:val="21"/>
                <w:highlight w:val="none"/>
              </w:rPr>
              <w:t>不组织</w:t>
            </w:r>
          </w:p>
        </w:tc>
      </w:tr>
      <w:tr w14:paraId="66742D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24720BD7">
            <w:pP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8.1</w:t>
            </w:r>
            <w:r>
              <w:rPr>
                <w:rFonts w:hint="eastAsia" w:ascii="宋体" w:hAnsi="宋体"/>
                <w:color w:val="auto"/>
                <w:szCs w:val="21"/>
                <w:highlight w:val="none"/>
              </w:rPr>
              <w:t>款</w:t>
            </w:r>
          </w:p>
        </w:tc>
        <w:tc>
          <w:tcPr>
            <w:tcW w:w="1815" w:type="dxa"/>
            <w:vAlign w:val="center"/>
          </w:tcPr>
          <w:p w14:paraId="463CFE96">
            <w:pPr>
              <w:jc w:val="center"/>
              <w:rPr>
                <w:rFonts w:ascii="宋体"/>
                <w:color w:val="auto"/>
                <w:szCs w:val="21"/>
                <w:highlight w:val="none"/>
              </w:rPr>
            </w:pPr>
            <w:r>
              <w:rPr>
                <w:rFonts w:hint="eastAsia" w:ascii="宋体" w:hAnsi="宋体"/>
                <w:color w:val="auto"/>
                <w:szCs w:val="21"/>
                <w:highlight w:val="none"/>
              </w:rPr>
              <w:t>答疑会</w:t>
            </w:r>
          </w:p>
        </w:tc>
        <w:tc>
          <w:tcPr>
            <w:tcW w:w="5186" w:type="dxa"/>
            <w:vAlign w:val="center"/>
          </w:tcPr>
          <w:p w14:paraId="2CFFA546">
            <w:pPr>
              <w:adjustRightInd w:val="0"/>
              <w:snapToGrid w:val="0"/>
              <w:spacing w:line="320" w:lineRule="exact"/>
              <w:rPr>
                <w:rFonts w:ascii="宋体"/>
                <w:color w:val="auto"/>
                <w:szCs w:val="21"/>
                <w:highlight w:val="none"/>
              </w:rPr>
            </w:pPr>
            <w:r>
              <w:rPr>
                <w:rFonts w:hint="eastAsia" w:ascii="宋体" w:hAnsi="宋体"/>
                <w:color w:val="auto"/>
                <w:szCs w:val="21"/>
                <w:highlight w:val="none"/>
              </w:rPr>
              <w:t>不组织</w:t>
            </w:r>
          </w:p>
        </w:tc>
      </w:tr>
      <w:tr w14:paraId="006C6A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restart"/>
            <w:vAlign w:val="center"/>
          </w:tcPr>
          <w:p w14:paraId="1208DEA7">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第二章</w:t>
            </w:r>
            <w:r>
              <w:rPr>
                <w:rFonts w:hint="eastAsia" w:ascii="宋体" w:hAnsi="宋体" w:cs="宋体"/>
                <w:color w:val="auto"/>
                <w:szCs w:val="22"/>
                <w:highlight w:val="none"/>
              </w:rPr>
              <w:t>第9.1款</w:t>
            </w:r>
          </w:p>
        </w:tc>
        <w:tc>
          <w:tcPr>
            <w:tcW w:w="1815" w:type="dxa"/>
            <w:vAlign w:val="center"/>
          </w:tcPr>
          <w:p w14:paraId="795264DC">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政府采购优先采购非标记</w:t>
            </w:r>
            <w:r>
              <w:rPr>
                <w:rFonts w:hint="eastAsia" w:ascii="宋体" w:hAnsi="宋体" w:cs="宋体"/>
                <w:color w:val="auto"/>
                <w:szCs w:val="22"/>
                <w:highlight w:val="none"/>
              </w:rPr>
              <w:t>★符号</w:t>
            </w:r>
            <w:r>
              <w:rPr>
                <w:rFonts w:hint="eastAsia" w:ascii="宋体" w:hAnsi="宋体"/>
                <w:color w:val="auto"/>
                <w:szCs w:val="22"/>
                <w:highlight w:val="none"/>
              </w:rPr>
              <w:t>的节能产品</w:t>
            </w:r>
          </w:p>
        </w:tc>
        <w:tc>
          <w:tcPr>
            <w:tcW w:w="5186" w:type="dxa"/>
            <w:vAlign w:val="center"/>
          </w:tcPr>
          <w:p w14:paraId="68F454F7">
            <w:pPr>
              <w:spacing w:line="360" w:lineRule="exact"/>
              <w:rPr>
                <w:rFonts w:hint="eastAsia" w:ascii="宋体" w:hAnsi="宋体"/>
                <w:color w:val="auto"/>
                <w:szCs w:val="21"/>
                <w:highlight w:val="none"/>
              </w:rPr>
            </w:pPr>
            <w:r>
              <w:rPr>
                <w:rFonts w:hint="eastAsia" w:ascii="宋体" w:hAnsi="宋体"/>
                <w:color w:val="auto"/>
                <w:szCs w:val="22"/>
                <w:highlight w:val="none"/>
              </w:rPr>
              <w:t>采购产品为《节能产品政府采购品目清单》（最新发布）内非标记</w:t>
            </w:r>
            <w:r>
              <w:rPr>
                <w:rFonts w:hint="eastAsia" w:ascii="宋体" w:hAnsi="宋体" w:cs="宋体"/>
                <w:color w:val="auto"/>
                <w:szCs w:val="22"/>
                <w:highlight w:val="none"/>
              </w:rPr>
              <w:t>★符号</w:t>
            </w:r>
            <w:r>
              <w:rPr>
                <w:rFonts w:hint="eastAsia" w:ascii="宋体" w:hAnsi="宋体"/>
                <w:color w:val="auto"/>
                <w:szCs w:val="22"/>
                <w:highlight w:val="none"/>
              </w:rPr>
              <w:t>的节能产品：对于技术和价格分，应分别给予总分值4%-8%的加分。本项目具体加分比例分别为：技术</w:t>
            </w:r>
            <w:r>
              <w:rPr>
                <w:rFonts w:hint="eastAsia" w:ascii="宋体" w:hAnsi="宋体"/>
                <w:color w:val="auto"/>
                <w:szCs w:val="22"/>
                <w:highlight w:val="none"/>
                <w:u w:val="single"/>
              </w:rPr>
              <w:t xml:space="preserve"> 4 </w:t>
            </w:r>
            <w:r>
              <w:rPr>
                <w:rFonts w:hint="eastAsia" w:ascii="宋体" w:hAnsi="宋体"/>
                <w:color w:val="auto"/>
                <w:szCs w:val="22"/>
                <w:highlight w:val="none"/>
              </w:rPr>
              <w:t>%，价格</w:t>
            </w:r>
            <w:r>
              <w:rPr>
                <w:rFonts w:hint="eastAsia" w:ascii="宋体" w:hAnsi="宋体"/>
                <w:color w:val="auto"/>
                <w:szCs w:val="22"/>
                <w:highlight w:val="none"/>
                <w:u w:val="single"/>
              </w:rPr>
              <w:t xml:space="preserve"> 4 </w:t>
            </w:r>
            <w:r>
              <w:rPr>
                <w:rFonts w:hint="eastAsia" w:ascii="宋体" w:hAnsi="宋体"/>
                <w:color w:val="auto"/>
                <w:szCs w:val="22"/>
                <w:highlight w:val="none"/>
              </w:rPr>
              <w:t>%。</w:t>
            </w:r>
          </w:p>
        </w:tc>
      </w:tr>
      <w:tr w14:paraId="34A96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5A2FA0F7">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703F1A0A">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政府采购优先采购环境标志产品</w:t>
            </w:r>
          </w:p>
        </w:tc>
        <w:tc>
          <w:tcPr>
            <w:tcW w:w="5186" w:type="dxa"/>
            <w:vAlign w:val="center"/>
          </w:tcPr>
          <w:p w14:paraId="3FD6F608">
            <w:pPr>
              <w:spacing w:line="360" w:lineRule="exact"/>
              <w:rPr>
                <w:rFonts w:hint="eastAsia" w:ascii="宋体" w:hAnsi="宋体"/>
                <w:color w:val="auto"/>
                <w:szCs w:val="21"/>
                <w:highlight w:val="none"/>
              </w:rPr>
            </w:pPr>
            <w:r>
              <w:rPr>
                <w:rFonts w:hint="eastAsia" w:ascii="宋体" w:hAnsi="宋体"/>
                <w:color w:val="auto"/>
                <w:szCs w:val="22"/>
                <w:highlight w:val="none"/>
              </w:rPr>
              <w:t>采购产品为《环境标志产品政府采购品目清单》（最新发布）内的：对于技术和价格分，应分别给予总分值4%-8%的加分。本项目具体加分比例分别为：技术</w:t>
            </w:r>
            <w:r>
              <w:rPr>
                <w:rFonts w:hint="eastAsia" w:ascii="宋体" w:hAnsi="宋体"/>
                <w:color w:val="auto"/>
                <w:szCs w:val="22"/>
                <w:highlight w:val="none"/>
                <w:u w:val="single"/>
              </w:rPr>
              <w:t xml:space="preserve"> 4 </w:t>
            </w:r>
            <w:r>
              <w:rPr>
                <w:rFonts w:hint="eastAsia" w:ascii="宋体" w:hAnsi="宋体"/>
                <w:color w:val="auto"/>
                <w:szCs w:val="22"/>
                <w:highlight w:val="none"/>
              </w:rPr>
              <w:t>%、价格</w:t>
            </w:r>
            <w:r>
              <w:rPr>
                <w:rFonts w:hint="eastAsia" w:ascii="宋体" w:hAnsi="宋体"/>
                <w:color w:val="auto"/>
                <w:szCs w:val="22"/>
                <w:highlight w:val="none"/>
                <w:u w:val="single"/>
              </w:rPr>
              <w:t xml:space="preserve"> 4 </w:t>
            </w:r>
            <w:r>
              <w:rPr>
                <w:rFonts w:hint="eastAsia" w:ascii="宋体" w:hAnsi="宋体"/>
                <w:color w:val="auto"/>
                <w:szCs w:val="22"/>
                <w:highlight w:val="none"/>
              </w:rPr>
              <w:t>%。</w:t>
            </w:r>
          </w:p>
        </w:tc>
      </w:tr>
      <w:tr w14:paraId="0D0D5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623775A5">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04A91A08">
            <w:pPr>
              <w:adjustRightInd w:val="0"/>
              <w:snapToGrid w:val="0"/>
              <w:spacing w:line="360" w:lineRule="exact"/>
              <w:jc w:val="center"/>
              <w:rPr>
                <w:rFonts w:hint="eastAsia" w:ascii="宋体" w:hAnsi="宋体"/>
                <w:color w:val="auto"/>
                <w:szCs w:val="22"/>
                <w:highlight w:val="none"/>
              </w:rPr>
            </w:pPr>
            <w:r>
              <w:rPr>
                <w:rFonts w:hint="eastAsia" w:ascii="宋体" w:hAnsi="宋体" w:cs="宋体"/>
                <w:color w:val="auto"/>
                <w:szCs w:val="22"/>
                <w:highlight w:val="none"/>
              </w:rPr>
              <w:t>优先采购</w:t>
            </w:r>
          </w:p>
        </w:tc>
        <w:tc>
          <w:tcPr>
            <w:tcW w:w="5186" w:type="dxa"/>
            <w:vAlign w:val="center"/>
          </w:tcPr>
          <w:p w14:paraId="66584546">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1、同时属于“节能产品”、“环境标志产品”的，评审时只有其中一项产品能享受优先采购优惠（供应商自行选择，并在响应文件中填报相关信息及数据）。</w:t>
            </w:r>
          </w:p>
          <w:p w14:paraId="63667A40">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2、中小企业的价格评审优惠可以与同时属于“节能产品”、“环境标志产品”中的一项优先采购优惠累加计算。</w:t>
            </w:r>
          </w:p>
          <w:p w14:paraId="6D6CD1B3">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3、在货物采购项目中，供应商提供的货物既有中小企业制造货物，也有大型企业制造货物的，不享受政府采购中小企业扶持政策。</w:t>
            </w:r>
          </w:p>
          <w:p w14:paraId="02B5A1D0">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4、同一项目中部分产品属于优先采购政策的，以及小型和微型企业的供应商代理部分小型和微型企业产品的，评审时只对该部分产品的报价实行价格扣除及政策加分。</w:t>
            </w:r>
          </w:p>
        </w:tc>
      </w:tr>
      <w:tr w14:paraId="4AB535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54CFFA76">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第二章</w:t>
            </w:r>
            <w:r>
              <w:rPr>
                <w:rFonts w:hint="eastAsia" w:ascii="宋体" w:hAnsi="宋体" w:cs="宋体"/>
                <w:color w:val="auto"/>
                <w:szCs w:val="22"/>
                <w:highlight w:val="none"/>
              </w:rPr>
              <w:t>第9.2款</w:t>
            </w:r>
          </w:p>
        </w:tc>
        <w:tc>
          <w:tcPr>
            <w:tcW w:w="1815" w:type="dxa"/>
            <w:vAlign w:val="center"/>
          </w:tcPr>
          <w:p w14:paraId="49C86350">
            <w:pPr>
              <w:spacing w:line="360" w:lineRule="exact"/>
              <w:jc w:val="center"/>
              <w:rPr>
                <w:rFonts w:hint="eastAsia" w:ascii="宋体" w:hAnsi="宋体"/>
                <w:color w:val="auto"/>
                <w:szCs w:val="21"/>
                <w:highlight w:val="none"/>
              </w:rPr>
            </w:pPr>
            <w:r>
              <w:rPr>
                <w:rFonts w:hint="eastAsia" w:ascii="宋体" w:hAnsi="宋体" w:cs="宋体"/>
                <w:color w:val="auto"/>
                <w:szCs w:val="22"/>
                <w:highlight w:val="none"/>
              </w:rPr>
              <w:t>★</w:t>
            </w:r>
            <w:r>
              <w:rPr>
                <w:rFonts w:hint="eastAsia" w:ascii="宋体" w:hAnsi="宋体"/>
                <w:color w:val="auto"/>
                <w:szCs w:val="22"/>
                <w:highlight w:val="none"/>
              </w:rPr>
              <w:t>政府采购强制采购的节能产品</w:t>
            </w:r>
          </w:p>
        </w:tc>
        <w:tc>
          <w:tcPr>
            <w:tcW w:w="5186" w:type="dxa"/>
            <w:vAlign w:val="center"/>
          </w:tcPr>
          <w:p w14:paraId="2796D88B">
            <w:pPr>
              <w:spacing w:line="360" w:lineRule="exact"/>
              <w:rPr>
                <w:rFonts w:hint="eastAsia" w:ascii="宋体" w:hAnsi="宋体"/>
                <w:color w:val="auto"/>
                <w:szCs w:val="22"/>
                <w:highlight w:val="none"/>
              </w:rPr>
            </w:pPr>
            <w:r>
              <w:rPr>
                <w:rFonts w:hint="eastAsia" w:ascii="MS Gothic" w:hAnsi="MS Gothic" w:eastAsia="MS Gothic" w:cs="MS Gothic"/>
                <w:color w:val="auto"/>
                <w:szCs w:val="22"/>
                <w:highlight w:val="none"/>
              </w:rPr>
              <w:t>■</w:t>
            </w:r>
            <w:r>
              <w:rPr>
                <w:rFonts w:hint="eastAsia" w:ascii="宋体" w:hAnsi="宋体"/>
                <w:color w:val="auto"/>
                <w:szCs w:val="22"/>
                <w:highlight w:val="none"/>
              </w:rPr>
              <w:t>否</w:t>
            </w:r>
          </w:p>
          <w:p w14:paraId="60FE1639">
            <w:pPr>
              <w:spacing w:line="360" w:lineRule="exact"/>
              <w:rPr>
                <w:rFonts w:hint="eastAsia" w:ascii="宋体" w:hAnsi="宋体"/>
                <w:color w:val="auto"/>
                <w:szCs w:val="22"/>
                <w:highlight w:val="none"/>
              </w:rPr>
            </w:pPr>
            <w:r>
              <w:rPr>
                <w:rFonts w:hint="eastAsia" w:ascii="宋体" w:hAnsi="宋体"/>
                <w:color w:val="auto"/>
                <w:szCs w:val="22"/>
                <w:highlight w:val="none"/>
              </w:rPr>
              <w:t>□是，采购《节能产品政府采购品目清单》（最新发布）内标记</w:t>
            </w:r>
            <w:r>
              <w:rPr>
                <w:rFonts w:hint="eastAsia" w:ascii="宋体" w:hAnsi="宋体" w:cs="宋体"/>
                <w:color w:val="auto"/>
                <w:szCs w:val="22"/>
                <w:highlight w:val="none"/>
              </w:rPr>
              <w:t>★符号</w:t>
            </w:r>
            <w:r>
              <w:rPr>
                <w:rFonts w:hint="eastAsia" w:ascii="宋体" w:hAnsi="宋体"/>
                <w:color w:val="auto"/>
                <w:szCs w:val="22"/>
                <w:highlight w:val="none"/>
              </w:rPr>
              <w:t>的节能产品。</w:t>
            </w:r>
          </w:p>
          <w:p w14:paraId="0EA77EB9">
            <w:pPr>
              <w:spacing w:line="360" w:lineRule="exact"/>
              <w:rPr>
                <w:rFonts w:hint="eastAsia" w:ascii="宋体" w:hAnsi="宋体"/>
                <w:color w:val="auto"/>
                <w:szCs w:val="21"/>
                <w:highlight w:val="none"/>
              </w:rPr>
            </w:pPr>
            <w:r>
              <w:rPr>
                <w:rFonts w:hint="eastAsia" w:ascii="宋体" w:hAnsi="宋体" w:cs="宋体"/>
                <w:color w:val="auto"/>
                <w:szCs w:val="22"/>
                <w:highlight w:val="none"/>
              </w:rPr>
              <w:t>★本项目强制节能产品为：/</w:t>
            </w:r>
            <w:r>
              <w:rPr>
                <w:rFonts w:hint="eastAsia" w:ascii="宋体" w:hAnsi="宋体" w:cs="宋体"/>
                <w:snapToGrid w:val="0"/>
                <w:color w:val="auto"/>
                <w:kern w:val="0"/>
                <w:sz w:val="20"/>
                <w:szCs w:val="20"/>
                <w:highlight w:val="none"/>
                <w:lang w:bidi="ar"/>
              </w:rPr>
              <w:t>。</w:t>
            </w:r>
          </w:p>
        </w:tc>
      </w:tr>
      <w:tr w14:paraId="6C6054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restart"/>
            <w:vAlign w:val="center"/>
          </w:tcPr>
          <w:p w14:paraId="24E1CFB0">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第二章</w:t>
            </w:r>
            <w:r>
              <w:rPr>
                <w:rFonts w:hint="eastAsia" w:ascii="宋体" w:hAnsi="宋体" w:cs="宋体"/>
                <w:color w:val="auto"/>
                <w:szCs w:val="22"/>
                <w:highlight w:val="none"/>
              </w:rPr>
              <w:t>第9.3款</w:t>
            </w:r>
          </w:p>
        </w:tc>
        <w:tc>
          <w:tcPr>
            <w:tcW w:w="1815" w:type="dxa"/>
            <w:vAlign w:val="center"/>
          </w:tcPr>
          <w:p w14:paraId="05E95494">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政府采购支持中小企业发展</w:t>
            </w:r>
          </w:p>
        </w:tc>
        <w:tc>
          <w:tcPr>
            <w:tcW w:w="5186" w:type="dxa"/>
          </w:tcPr>
          <w:p w14:paraId="635E69BC">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w:t>
            </w:r>
            <w:r>
              <w:rPr>
                <w:rFonts w:hint="eastAsia" w:ascii="MS Gothic" w:hAnsi="MS Gothic" w:cs="MS Gothic"/>
                <w:color w:val="auto"/>
                <w:szCs w:val="22"/>
                <w:highlight w:val="none"/>
              </w:rPr>
              <w:t xml:space="preserve"> </w:t>
            </w:r>
            <w:r>
              <w:rPr>
                <w:rFonts w:hint="eastAsia" w:ascii="宋体" w:hAnsi="宋体"/>
                <w:color w:val="auto"/>
                <w:szCs w:val="22"/>
                <w:highlight w:val="none"/>
              </w:rPr>
              <w:t>专门面向中小企业采购</w:t>
            </w:r>
            <w:r>
              <w:rPr>
                <w:rFonts w:hint="eastAsia" w:ascii="宋体" w:hAnsi="宋体" w:cs="宋体"/>
                <w:color w:val="auto"/>
                <w:kern w:val="0"/>
                <w:szCs w:val="22"/>
                <w:highlight w:val="none"/>
              </w:rPr>
              <w:t>。</w:t>
            </w:r>
          </w:p>
          <w:p w14:paraId="380B4570">
            <w:pPr>
              <w:adjustRightInd w:val="0"/>
              <w:snapToGrid w:val="0"/>
              <w:spacing w:line="360" w:lineRule="exact"/>
              <w:rPr>
                <w:rFonts w:hint="eastAsia" w:ascii="宋体" w:hAnsi="宋体"/>
                <w:color w:val="auto"/>
                <w:szCs w:val="22"/>
                <w:highlight w:val="none"/>
              </w:rPr>
            </w:pPr>
            <w:r>
              <w:rPr>
                <w:rFonts w:hint="eastAsia" w:ascii="MS Gothic" w:hAnsi="MS Gothic" w:eastAsia="MS Gothic" w:cs="MS Gothic"/>
                <w:color w:val="auto"/>
                <w:szCs w:val="22"/>
                <w:highlight w:val="none"/>
              </w:rPr>
              <w:t>■</w:t>
            </w:r>
            <w:r>
              <w:rPr>
                <w:rFonts w:hint="eastAsia" w:ascii="宋体" w:hAnsi="宋体"/>
                <w:color w:val="auto"/>
                <w:szCs w:val="22"/>
                <w:highlight w:val="none"/>
              </w:rPr>
              <w:t xml:space="preserve"> 非专门面向中小企业采购</w:t>
            </w:r>
          </w:p>
          <w:p w14:paraId="2373A1FF">
            <w:pPr>
              <w:spacing w:line="360" w:lineRule="exact"/>
              <w:rPr>
                <w:rFonts w:hint="eastAsia" w:ascii="宋体" w:hAnsi="宋体"/>
                <w:color w:val="auto"/>
                <w:szCs w:val="22"/>
                <w:highlight w:val="none"/>
              </w:rPr>
            </w:pPr>
            <w:r>
              <w:rPr>
                <w:rFonts w:hint="eastAsia" w:ascii="宋体" w:hAnsi="宋体"/>
                <w:color w:val="auto"/>
                <w:szCs w:val="22"/>
                <w:highlight w:val="none"/>
              </w:rPr>
              <w:t>1、小型和微型企业给予10%-20%的价格扣除，用扣除后的价格参与评审。本项目具体扣除比例为</w:t>
            </w:r>
            <w:r>
              <w:rPr>
                <w:rFonts w:hint="eastAsia" w:ascii="宋体" w:hAnsi="宋体"/>
                <w:color w:val="auto"/>
                <w:szCs w:val="22"/>
                <w:highlight w:val="none"/>
                <w:u w:val="single"/>
              </w:rPr>
              <w:t xml:space="preserve"> 10 </w:t>
            </w:r>
            <w:r>
              <w:rPr>
                <w:rFonts w:hint="eastAsia" w:ascii="宋体" w:hAnsi="宋体"/>
                <w:color w:val="auto"/>
                <w:szCs w:val="22"/>
                <w:highlight w:val="none"/>
              </w:rPr>
              <w:t>%。</w:t>
            </w:r>
          </w:p>
          <w:p w14:paraId="261A71FB">
            <w:pPr>
              <w:spacing w:line="360" w:lineRule="exact"/>
              <w:rPr>
                <w:rFonts w:hint="eastAsia" w:ascii="宋体" w:hAnsi="宋体"/>
                <w:color w:val="auto"/>
                <w:szCs w:val="22"/>
                <w:highlight w:val="none"/>
              </w:rPr>
            </w:pPr>
            <w:r>
              <w:rPr>
                <w:rFonts w:hint="eastAsia" w:ascii="宋体" w:hAnsi="宋体"/>
                <w:color w:val="auto"/>
                <w:szCs w:val="22"/>
                <w:highlight w:val="none"/>
              </w:rPr>
              <w:t>2、</w:t>
            </w:r>
            <w:r>
              <w:rPr>
                <w:rFonts w:hint="eastAsia" w:ascii="宋体" w:hAnsi="宋体" w:cs="宋体"/>
                <w:color w:val="auto"/>
                <w:szCs w:val="22"/>
                <w:highlight w:val="none"/>
              </w:rPr>
              <w:t>接受大中型企业与小型、微型企业组成</w:t>
            </w:r>
            <w:r>
              <w:rPr>
                <w:rFonts w:hint="eastAsia" w:ascii="宋体" w:hAnsi="宋体"/>
                <w:color w:val="auto"/>
                <w:szCs w:val="22"/>
                <w:highlight w:val="none"/>
              </w:rPr>
              <w:t>联合体的给予4%-6%的价格扣除，用扣除后的价格参与评审。本项目具体扣除比例为</w:t>
            </w:r>
            <w:r>
              <w:rPr>
                <w:rFonts w:hint="eastAsia" w:ascii="宋体" w:hAnsi="宋体"/>
                <w:color w:val="auto"/>
                <w:szCs w:val="22"/>
                <w:highlight w:val="none"/>
                <w:u w:val="single"/>
              </w:rPr>
              <w:t xml:space="preserve"> 4 </w:t>
            </w:r>
            <w:r>
              <w:rPr>
                <w:rFonts w:hint="eastAsia" w:ascii="宋体" w:hAnsi="宋体"/>
                <w:color w:val="auto"/>
                <w:szCs w:val="22"/>
                <w:highlight w:val="none"/>
              </w:rPr>
              <w:t>%。</w:t>
            </w:r>
          </w:p>
          <w:p w14:paraId="5F936274">
            <w:pPr>
              <w:spacing w:line="360" w:lineRule="exact"/>
              <w:rPr>
                <w:rFonts w:hint="eastAsia" w:ascii="宋体" w:hAnsi="宋体"/>
                <w:color w:val="auto"/>
                <w:szCs w:val="22"/>
                <w:highlight w:val="none"/>
              </w:rPr>
            </w:pPr>
            <w:r>
              <w:rPr>
                <w:rFonts w:hint="eastAsia" w:ascii="宋体" w:hAnsi="宋体"/>
                <w:color w:val="auto"/>
                <w:szCs w:val="22"/>
                <w:highlight w:val="none"/>
              </w:rPr>
              <w:t>3、</w:t>
            </w:r>
            <w:r>
              <w:rPr>
                <w:rFonts w:hint="eastAsia" w:ascii="宋体" w:hAnsi="宋体" w:cs="宋体"/>
                <w:color w:val="auto"/>
                <w:szCs w:val="22"/>
                <w:highlight w:val="none"/>
              </w:rPr>
              <w:t>允许大中型企业向一家或多家小型、微型企业分包</w:t>
            </w:r>
            <w:r>
              <w:rPr>
                <w:rFonts w:hint="eastAsia" w:ascii="宋体" w:hAnsi="宋体"/>
                <w:color w:val="auto"/>
                <w:szCs w:val="22"/>
                <w:highlight w:val="none"/>
              </w:rPr>
              <w:t>的给予4%-6%的价格扣除，用扣除后的价格参与评审。本项目具体扣除比例为</w:t>
            </w:r>
          </w:p>
          <w:p w14:paraId="3434E5CA">
            <w:pPr>
              <w:spacing w:line="360" w:lineRule="exact"/>
              <w:rPr>
                <w:rFonts w:hint="eastAsia" w:ascii="宋体" w:hAnsi="宋体"/>
                <w:color w:val="auto"/>
                <w:szCs w:val="21"/>
                <w:highlight w:val="none"/>
              </w:rPr>
            </w:pPr>
            <w:r>
              <w:rPr>
                <w:rFonts w:hint="eastAsia" w:ascii="宋体" w:hAnsi="宋体"/>
                <w:color w:val="auto"/>
                <w:szCs w:val="22"/>
                <w:highlight w:val="none"/>
                <w:u w:val="single"/>
              </w:rPr>
              <w:t xml:space="preserve"> 4 </w:t>
            </w:r>
            <w:r>
              <w:rPr>
                <w:rFonts w:hint="eastAsia" w:ascii="宋体" w:hAnsi="宋体"/>
                <w:color w:val="auto"/>
                <w:szCs w:val="22"/>
                <w:highlight w:val="none"/>
              </w:rPr>
              <w:t>%。</w:t>
            </w:r>
          </w:p>
        </w:tc>
      </w:tr>
      <w:tr w14:paraId="545EFE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469924E1">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7C289C48">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政府采购支持个体工商户发展</w:t>
            </w:r>
          </w:p>
        </w:tc>
        <w:tc>
          <w:tcPr>
            <w:tcW w:w="5186" w:type="dxa"/>
            <w:vAlign w:val="center"/>
          </w:tcPr>
          <w:p w14:paraId="3D008079">
            <w:pPr>
              <w:widowControl/>
              <w:spacing w:line="360" w:lineRule="exact"/>
              <w:rPr>
                <w:rFonts w:hint="eastAsia" w:ascii="宋体" w:hAnsi="宋体" w:cs="宋体"/>
                <w:color w:val="auto"/>
                <w:highlight w:val="none"/>
              </w:rPr>
            </w:pPr>
            <w:r>
              <w:rPr>
                <w:rFonts w:hint="eastAsia" w:ascii="宋体" w:hAnsi="宋体" w:cs="宋体"/>
                <w:color w:val="auto"/>
                <w:highlight w:val="none"/>
              </w:rPr>
              <w:t>在政府采购活动中，符合中小企业划分标准的个体工商户视同小型、微型企业，享受评审中价格扣除等促进中小企业发展的政府采购政策。</w:t>
            </w:r>
          </w:p>
          <w:p w14:paraId="574D87C9">
            <w:pPr>
              <w:widowControl/>
              <w:spacing w:line="360" w:lineRule="exact"/>
              <w:rPr>
                <w:rFonts w:hint="eastAsia" w:ascii="宋体" w:hAnsi="宋体" w:cs="宋体"/>
                <w:color w:val="auto"/>
                <w:kern w:val="0"/>
                <w:sz w:val="24"/>
                <w:szCs w:val="21"/>
                <w:highlight w:val="none"/>
              </w:rPr>
            </w:pPr>
            <w:r>
              <w:rPr>
                <w:rFonts w:hint="eastAsia" w:ascii="宋体" w:hAnsi="宋体" w:cs="宋体"/>
                <w:color w:val="auto"/>
                <w:highlight w:val="none"/>
              </w:rPr>
              <w:t>评审中价格扣除参照政府采购支持中小企业发展中给予小型、微型企业扣除比例标准，本项目具体扣除比例为</w:t>
            </w:r>
            <w:r>
              <w:rPr>
                <w:rFonts w:hint="eastAsia" w:ascii="宋体" w:hAnsi="宋体" w:cs="宋体"/>
                <w:color w:val="auto"/>
                <w:kern w:val="0"/>
                <w:szCs w:val="21"/>
                <w:highlight w:val="none"/>
                <w:u w:val="single"/>
              </w:rPr>
              <w:t>10</w:t>
            </w:r>
            <w:r>
              <w:rPr>
                <w:rFonts w:hint="eastAsia" w:ascii="宋体" w:hAnsi="宋体" w:cs="宋体"/>
                <w:color w:val="auto"/>
                <w:kern w:val="0"/>
                <w:sz w:val="24"/>
                <w:highlight w:val="none"/>
              </w:rPr>
              <w:t>%</w:t>
            </w:r>
            <w:r>
              <w:rPr>
                <w:rFonts w:hint="eastAsia" w:ascii="宋体" w:hAnsi="宋体" w:cs="宋体"/>
                <w:color w:val="auto"/>
                <w:highlight w:val="none"/>
              </w:rPr>
              <w:t>。</w:t>
            </w:r>
          </w:p>
        </w:tc>
      </w:tr>
      <w:tr w14:paraId="74EDF7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5B468A8D">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3C3E2707">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政府采购支持残疾人福利性单位发展</w:t>
            </w:r>
          </w:p>
        </w:tc>
        <w:tc>
          <w:tcPr>
            <w:tcW w:w="5186" w:type="dxa"/>
            <w:vAlign w:val="center"/>
          </w:tcPr>
          <w:p w14:paraId="376C0F49">
            <w:pPr>
              <w:widowControl/>
              <w:spacing w:line="360" w:lineRule="exact"/>
              <w:rPr>
                <w:rFonts w:hint="eastAsia" w:ascii="宋体" w:hAnsi="宋体" w:cs="宋体"/>
                <w:color w:val="auto"/>
                <w:highlight w:val="none"/>
              </w:rPr>
            </w:pPr>
            <w:r>
              <w:rPr>
                <w:rFonts w:hint="eastAsia" w:ascii="宋体" w:hAnsi="宋体" w:cs="宋体"/>
                <w:color w:val="auto"/>
                <w:highlight w:val="none"/>
              </w:rPr>
              <w:t>在政府采购活动中，残疾人福利性单位视同小型、微型企业，享受评审中价格扣除等促进中小企业发展的政府采购政策。向残疾人福利性单位采购的金额，计入面向中小企业采购的统计数据。残疾人福利性单位属于小型、微型企业的，不重复享受政策。</w:t>
            </w:r>
          </w:p>
          <w:p w14:paraId="479331E5">
            <w:pPr>
              <w:widowControl/>
              <w:spacing w:line="360" w:lineRule="exact"/>
              <w:rPr>
                <w:rFonts w:hint="eastAsia" w:ascii="宋体" w:hAnsi="宋体" w:cs="宋体"/>
                <w:color w:val="auto"/>
                <w:kern w:val="0"/>
                <w:sz w:val="24"/>
                <w:szCs w:val="21"/>
                <w:highlight w:val="none"/>
              </w:rPr>
            </w:pPr>
            <w:r>
              <w:rPr>
                <w:rFonts w:hint="eastAsia" w:ascii="宋体" w:hAnsi="宋体" w:cs="宋体"/>
                <w:color w:val="auto"/>
                <w:highlight w:val="none"/>
              </w:rPr>
              <w:t>评审中价格扣除参照政府采购支持中小企业发展中给予小型、微型企业扣除比例标准，本项目具体扣除比例为</w:t>
            </w:r>
            <w:r>
              <w:rPr>
                <w:rFonts w:hint="eastAsia" w:ascii="宋体" w:hAnsi="宋体" w:cs="宋体"/>
                <w:color w:val="auto"/>
                <w:kern w:val="0"/>
                <w:szCs w:val="21"/>
                <w:highlight w:val="none"/>
                <w:u w:val="single"/>
              </w:rPr>
              <w:t>10</w:t>
            </w:r>
            <w:r>
              <w:rPr>
                <w:rFonts w:hint="eastAsia" w:ascii="宋体" w:hAnsi="宋体" w:cs="宋体"/>
                <w:color w:val="auto"/>
                <w:kern w:val="0"/>
                <w:sz w:val="24"/>
                <w:highlight w:val="none"/>
              </w:rPr>
              <w:t>%</w:t>
            </w:r>
            <w:r>
              <w:rPr>
                <w:rFonts w:hint="eastAsia" w:ascii="宋体" w:hAnsi="宋体" w:cs="宋体"/>
                <w:color w:val="auto"/>
                <w:highlight w:val="none"/>
              </w:rPr>
              <w:t>。</w:t>
            </w:r>
          </w:p>
        </w:tc>
      </w:tr>
      <w:tr w14:paraId="6C73EE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684B5CD6">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2E355F60">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政府采购支持监狱企业发展</w:t>
            </w:r>
          </w:p>
        </w:tc>
        <w:tc>
          <w:tcPr>
            <w:tcW w:w="5186" w:type="dxa"/>
            <w:vAlign w:val="center"/>
          </w:tcPr>
          <w:p w14:paraId="5098B35A">
            <w:pPr>
              <w:spacing w:line="360" w:lineRule="exact"/>
              <w:rPr>
                <w:rFonts w:hint="eastAsia" w:ascii="宋体" w:hAnsi="宋体"/>
                <w:color w:val="auto"/>
                <w:szCs w:val="22"/>
                <w:highlight w:val="none"/>
              </w:rPr>
            </w:pPr>
            <w:r>
              <w:rPr>
                <w:rFonts w:hint="eastAsia" w:ascii="宋体" w:hAnsi="宋体"/>
                <w:color w:val="auto"/>
                <w:szCs w:val="22"/>
                <w:highlight w:val="none"/>
              </w:rPr>
              <w:t>在政府采购活动中，监狱企业视同小型、微型企业，享受评审中价格扣除等促进中小企业发展的政府采购政策。向监狱企业采购的金额，计入面向中小企业采购的统计数据。</w:t>
            </w:r>
          </w:p>
          <w:p w14:paraId="0D25567F">
            <w:pPr>
              <w:spacing w:line="360" w:lineRule="exact"/>
              <w:rPr>
                <w:rFonts w:hint="eastAsia" w:ascii="宋体" w:hAnsi="宋体"/>
                <w:color w:val="auto"/>
                <w:szCs w:val="21"/>
                <w:highlight w:val="none"/>
              </w:rPr>
            </w:pPr>
            <w:r>
              <w:rPr>
                <w:rFonts w:hint="eastAsia" w:ascii="宋体" w:hAnsi="宋体"/>
                <w:color w:val="auto"/>
                <w:szCs w:val="22"/>
                <w:highlight w:val="none"/>
              </w:rPr>
              <w:t>评审中价格扣除参照政府采购支持中小企业发展中给予小型、微型企业扣除比例标准，本项目具体扣除比例为</w:t>
            </w:r>
            <w:r>
              <w:rPr>
                <w:rFonts w:hint="eastAsia" w:ascii="宋体" w:hAnsi="宋体"/>
                <w:color w:val="auto"/>
                <w:szCs w:val="22"/>
                <w:highlight w:val="none"/>
                <w:u w:val="single"/>
              </w:rPr>
              <w:t xml:space="preserve"> 10 </w:t>
            </w:r>
            <w:r>
              <w:rPr>
                <w:rFonts w:hint="eastAsia" w:ascii="宋体" w:hAnsi="宋体"/>
                <w:color w:val="auto"/>
                <w:szCs w:val="22"/>
                <w:highlight w:val="none"/>
              </w:rPr>
              <w:t>%。</w:t>
            </w:r>
          </w:p>
        </w:tc>
      </w:tr>
      <w:tr w14:paraId="45E90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Merge w:val="continue"/>
            <w:vAlign w:val="center"/>
          </w:tcPr>
          <w:p w14:paraId="369540B8">
            <w:pPr>
              <w:adjustRightInd w:val="0"/>
              <w:snapToGrid w:val="0"/>
              <w:spacing w:line="360" w:lineRule="exact"/>
              <w:jc w:val="center"/>
              <w:rPr>
                <w:rFonts w:hint="eastAsia" w:ascii="宋体" w:hAnsi="宋体"/>
                <w:color w:val="auto"/>
                <w:szCs w:val="21"/>
                <w:highlight w:val="none"/>
              </w:rPr>
            </w:pPr>
          </w:p>
        </w:tc>
        <w:tc>
          <w:tcPr>
            <w:tcW w:w="1815" w:type="dxa"/>
            <w:vAlign w:val="center"/>
          </w:tcPr>
          <w:p w14:paraId="16E0A44B">
            <w:pPr>
              <w:spacing w:line="360" w:lineRule="exact"/>
              <w:jc w:val="center"/>
              <w:rPr>
                <w:rFonts w:hint="eastAsia" w:ascii="宋体" w:hAnsi="宋体"/>
                <w:color w:val="auto"/>
                <w:szCs w:val="21"/>
                <w:highlight w:val="none"/>
              </w:rPr>
            </w:pPr>
            <w:r>
              <w:rPr>
                <w:rFonts w:hint="eastAsia" w:ascii="宋体" w:hAnsi="宋体"/>
                <w:color w:val="auto"/>
                <w:szCs w:val="22"/>
                <w:highlight w:val="none"/>
              </w:rPr>
              <w:t>政府采购本国产品支持政策</w:t>
            </w:r>
          </w:p>
        </w:tc>
        <w:tc>
          <w:tcPr>
            <w:tcW w:w="5186" w:type="dxa"/>
            <w:vAlign w:val="center"/>
          </w:tcPr>
          <w:p w14:paraId="430B95BB">
            <w:pPr>
              <w:spacing w:line="360" w:lineRule="exact"/>
              <w:rPr>
                <w:rFonts w:hint="eastAsia" w:ascii="宋体" w:hAnsi="宋体"/>
                <w:b/>
                <w:color w:val="auto"/>
                <w:szCs w:val="22"/>
                <w:highlight w:val="none"/>
              </w:rPr>
            </w:pPr>
            <w:r>
              <w:rPr>
                <w:rFonts w:hint="eastAsia" w:ascii="宋体" w:hAnsi="宋体"/>
                <w:b/>
                <w:color w:val="auto"/>
                <w:szCs w:val="22"/>
                <w:highlight w:val="none"/>
              </w:rPr>
              <w:t>1、政府采购活动中，采购项目或采购包既有本国产品又有非本国产品参与投标的：</w:t>
            </w:r>
          </w:p>
          <w:p w14:paraId="2E7C0186">
            <w:pPr>
              <w:spacing w:line="360" w:lineRule="exact"/>
              <w:rPr>
                <w:rFonts w:hint="eastAsia" w:ascii="宋体" w:hAnsi="宋体"/>
                <w:color w:val="auto"/>
                <w:szCs w:val="22"/>
                <w:highlight w:val="none"/>
              </w:rPr>
            </w:pPr>
            <w:r>
              <w:rPr>
                <w:rFonts w:hint="eastAsia" w:ascii="宋体" w:hAnsi="宋体"/>
                <w:color w:val="auto"/>
                <w:szCs w:val="22"/>
                <w:highlight w:val="none"/>
              </w:rPr>
              <w:t>1.1 采购项目或采购包中仅有一个标的，且在本国产品政策适用范围内时，对供应商所投产品符合本国产品标准的产品给予价格扣除，用扣除后的价格参与评审。本项目具体扣除比例为</w:t>
            </w:r>
            <w:r>
              <w:rPr>
                <w:rFonts w:hint="eastAsia" w:ascii="宋体" w:hAnsi="宋体"/>
                <w:color w:val="auto"/>
                <w:szCs w:val="22"/>
                <w:highlight w:val="none"/>
                <w:u w:val="single"/>
              </w:rPr>
              <w:t xml:space="preserve"> 20 </w:t>
            </w:r>
            <w:r>
              <w:rPr>
                <w:rFonts w:hint="eastAsia" w:ascii="宋体" w:hAnsi="宋体"/>
                <w:color w:val="auto"/>
                <w:szCs w:val="22"/>
                <w:highlight w:val="none"/>
              </w:rPr>
              <w:t>%。</w:t>
            </w:r>
          </w:p>
          <w:p w14:paraId="66533C4E">
            <w:pPr>
              <w:spacing w:line="360" w:lineRule="exact"/>
              <w:rPr>
                <w:rFonts w:hint="eastAsia" w:ascii="宋体" w:hAnsi="宋体"/>
                <w:color w:val="auto"/>
                <w:szCs w:val="22"/>
                <w:highlight w:val="none"/>
              </w:rPr>
            </w:pPr>
            <w:r>
              <w:rPr>
                <w:rFonts w:hint="eastAsia" w:ascii="宋体" w:hAnsi="宋体"/>
                <w:color w:val="auto"/>
                <w:szCs w:val="22"/>
                <w:highlight w:val="none"/>
              </w:rPr>
              <w:t>1.2 采购项目或采购包中有多个标的时，供应商为该采购项目或采购包提供的符合本国产品标准的产品成本之和占该供应商提供的全部产品成本之和的比例达到80%以上（含）时，对该供应商提供的全部产品给予价格扣除，即对该供应商提供的全部产品的总投标报价给予价格扣除，用扣除后的价格参与评审。本项目具体扣除比例为</w:t>
            </w:r>
            <w:r>
              <w:rPr>
                <w:rFonts w:hint="eastAsia" w:ascii="宋体" w:hAnsi="宋体"/>
                <w:color w:val="auto"/>
                <w:szCs w:val="22"/>
                <w:highlight w:val="none"/>
                <w:u w:val="single"/>
              </w:rPr>
              <w:t xml:space="preserve"> 20 </w:t>
            </w:r>
            <w:r>
              <w:rPr>
                <w:rFonts w:hint="eastAsia" w:ascii="宋体" w:hAnsi="宋体"/>
                <w:color w:val="auto"/>
                <w:szCs w:val="22"/>
                <w:highlight w:val="none"/>
              </w:rPr>
              <w:t>%。</w:t>
            </w:r>
          </w:p>
          <w:p w14:paraId="223D793E">
            <w:pPr>
              <w:spacing w:line="360" w:lineRule="exact"/>
              <w:rPr>
                <w:rFonts w:hint="eastAsia" w:ascii="宋体" w:hAnsi="宋体"/>
                <w:b/>
                <w:color w:val="auto"/>
                <w:szCs w:val="22"/>
                <w:highlight w:val="none"/>
              </w:rPr>
            </w:pPr>
            <w:r>
              <w:rPr>
                <w:rFonts w:hint="eastAsia" w:ascii="宋体" w:hAnsi="宋体"/>
                <w:b/>
                <w:color w:val="auto"/>
                <w:szCs w:val="22"/>
                <w:highlight w:val="none"/>
              </w:rPr>
              <w:t>2、政府采购活动中，采购项目或采购包仅有本国产品参与投标的，不享受政府采购本国产品支持政策。</w:t>
            </w:r>
          </w:p>
          <w:p w14:paraId="2B61117F">
            <w:pPr>
              <w:spacing w:line="360" w:lineRule="exact"/>
              <w:rPr>
                <w:rFonts w:hint="eastAsia" w:ascii="宋体" w:hAnsi="宋体"/>
                <w:b/>
                <w:color w:val="auto"/>
                <w:szCs w:val="22"/>
                <w:highlight w:val="none"/>
              </w:rPr>
            </w:pPr>
            <w:r>
              <w:rPr>
                <w:rFonts w:hint="eastAsia" w:ascii="宋体" w:hAnsi="宋体"/>
                <w:b/>
                <w:color w:val="auto"/>
                <w:szCs w:val="22"/>
                <w:highlight w:val="none"/>
              </w:rPr>
              <w:t>3、中小企业的价格评审优惠可以与本国产品的价格评审优惠累加计算。</w:t>
            </w:r>
          </w:p>
        </w:tc>
      </w:tr>
      <w:tr w14:paraId="1ABE01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174CB160">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第二章</w:t>
            </w:r>
            <w:r>
              <w:rPr>
                <w:rFonts w:hint="eastAsia" w:ascii="宋体" w:hAnsi="宋体" w:cs="宋体"/>
                <w:color w:val="auto"/>
                <w:szCs w:val="22"/>
                <w:highlight w:val="none"/>
              </w:rPr>
              <w:t>第9.8款</w:t>
            </w:r>
          </w:p>
        </w:tc>
        <w:tc>
          <w:tcPr>
            <w:tcW w:w="1815" w:type="dxa"/>
            <w:vAlign w:val="center"/>
          </w:tcPr>
          <w:p w14:paraId="743D7D20">
            <w:pPr>
              <w:adjustRightInd w:val="0"/>
              <w:snapToGrid w:val="0"/>
              <w:spacing w:line="360" w:lineRule="exact"/>
              <w:jc w:val="center"/>
              <w:rPr>
                <w:rFonts w:hint="eastAsia" w:ascii="宋体" w:hAnsi="宋体"/>
                <w:color w:val="auto"/>
                <w:szCs w:val="21"/>
                <w:highlight w:val="none"/>
              </w:rPr>
            </w:pPr>
            <w:r>
              <w:rPr>
                <w:rFonts w:hint="eastAsia" w:ascii="宋体" w:hAnsi="宋体" w:cs="宋体"/>
                <w:color w:val="auto"/>
                <w:szCs w:val="22"/>
                <w:highlight w:val="none"/>
              </w:rPr>
              <w:t>采购进口产品</w:t>
            </w:r>
          </w:p>
        </w:tc>
        <w:tc>
          <w:tcPr>
            <w:tcW w:w="5186" w:type="dxa"/>
            <w:vAlign w:val="center"/>
          </w:tcPr>
          <w:p w14:paraId="75F618E0">
            <w:pPr>
              <w:adjustRightInd w:val="0"/>
              <w:snapToGrid w:val="0"/>
              <w:spacing w:line="360" w:lineRule="exact"/>
              <w:rPr>
                <w:rFonts w:hint="eastAsia" w:ascii="宋体" w:hAnsi="宋体"/>
                <w:color w:val="auto"/>
                <w:szCs w:val="22"/>
                <w:highlight w:val="none"/>
              </w:rPr>
            </w:pPr>
            <w:r>
              <w:rPr>
                <w:rFonts w:hint="eastAsia" w:ascii="MS Gothic" w:hAnsi="MS Gothic" w:eastAsia="MS Gothic" w:cs="MS Gothic"/>
                <w:color w:val="auto"/>
                <w:szCs w:val="22"/>
                <w:highlight w:val="none"/>
              </w:rPr>
              <w:t>■</w:t>
            </w:r>
            <w:r>
              <w:rPr>
                <w:rFonts w:hint="eastAsia" w:ascii="宋体" w:hAnsi="宋体"/>
                <w:color w:val="auto"/>
                <w:szCs w:val="22"/>
                <w:highlight w:val="none"/>
              </w:rPr>
              <w:t xml:space="preserve"> 本采购项目</w:t>
            </w:r>
            <w:r>
              <w:rPr>
                <w:rFonts w:hint="eastAsia" w:ascii="宋体" w:hAnsi="宋体" w:cs="宋体"/>
                <w:color w:val="auto"/>
                <w:kern w:val="0"/>
                <w:szCs w:val="22"/>
                <w:highlight w:val="none"/>
              </w:rPr>
              <w:t>拒绝进口产品参加投标。</w:t>
            </w:r>
          </w:p>
          <w:p w14:paraId="7D254B13">
            <w:pPr>
              <w:adjustRightInd w:val="0"/>
              <w:snapToGrid w:val="0"/>
              <w:spacing w:line="360" w:lineRule="exact"/>
              <w:rPr>
                <w:rFonts w:hint="eastAsia" w:ascii="宋体" w:hAnsi="宋体"/>
                <w:color w:val="auto"/>
                <w:szCs w:val="21"/>
                <w:highlight w:val="none"/>
              </w:rPr>
            </w:pPr>
            <w:r>
              <w:rPr>
                <w:rFonts w:hint="eastAsia" w:ascii="宋体" w:hAnsi="宋体"/>
                <w:color w:val="auto"/>
                <w:szCs w:val="22"/>
                <w:highlight w:val="none"/>
              </w:rPr>
              <w:t>□ 本采购项目涉及到进口产品的已经</w:t>
            </w:r>
            <w:r>
              <w:rPr>
                <w:rFonts w:hint="eastAsia" w:ascii="宋体" w:hAnsi="宋体" w:cs="宋体"/>
                <w:color w:val="auto"/>
                <w:kern w:val="0"/>
                <w:szCs w:val="22"/>
                <w:highlight w:val="none"/>
              </w:rPr>
              <w:t>财政部门审核同意购买进口产品。</w:t>
            </w:r>
          </w:p>
        </w:tc>
      </w:tr>
      <w:tr w14:paraId="636C24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065CBBD7">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第二章</w:t>
            </w:r>
            <w:r>
              <w:rPr>
                <w:rFonts w:hint="eastAsia" w:ascii="宋体" w:hAnsi="宋体" w:cs="宋体"/>
                <w:color w:val="auto"/>
                <w:szCs w:val="22"/>
                <w:highlight w:val="none"/>
              </w:rPr>
              <w:t>第9.9款</w:t>
            </w:r>
          </w:p>
        </w:tc>
        <w:tc>
          <w:tcPr>
            <w:tcW w:w="1815" w:type="dxa"/>
            <w:vAlign w:val="center"/>
          </w:tcPr>
          <w:p w14:paraId="2E9ED94F">
            <w:pPr>
              <w:adjustRightInd w:val="0"/>
              <w:snapToGrid w:val="0"/>
              <w:spacing w:line="360" w:lineRule="exact"/>
              <w:jc w:val="center"/>
              <w:rPr>
                <w:rFonts w:hint="eastAsia" w:ascii="宋体" w:hAnsi="宋体"/>
                <w:color w:val="auto"/>
                <w:szCs w:val="21"/>
                <w:highlight w:val="none"/>
              </w:rPr>
            </w:pPr>
            <w:r>
              <w:rPr>
                <w:rFonts w:hint="eastAsia" w:ascii="宋体" w:hAnsi="宋体" w:cs="宋体"/>
                <w:color w:val="auto"/>
                <w:szCs w:val="22"/>
                <w:highlight w:val="none"/>
              </w:rPr>
              <w:t>政府采购融资</w:t>
            </w:r>
          </w:p>
        </w:tc>
        <w:tc>
          <w:tcPr>
            <w:tcW w:w="5186" w:type="dxa"/>
            <w:vAlign w:val="center"/>
          </w:tcPr>
          <w:p w14:paraId="1F037A00">
            <w:pPr>
              <w:adjustRightInd w:val="0"/>
              <w:snapToGrid w:val="0"/>
              <w:spacing w:line="360" w:lineRule="exact"/>
              <w:rPr>
                <w:rFonts w:hint="eastAsia" w:ascii="宋体" w:hAnsi="宋体"/>
                <w:color w:val="auto"/>
                <w:szCs w:val="21"/>
                <w:highlight w:val="none"/>
              </w:rPr>
            </w:pPr>
            <w:r>
              <w:rPr>
                <w:rFonts w:hint="eastAsia" w:ascii="宋体" w:hAnsi="宋体"/>
                <w:color w:val="auto"/>
                <w:szCs w:val="22"/>
                <w:highlight w:val="none"/>
              </w:rPr>
              <w:t>有融资、担保需求的，可登录中国湖南政府采购网查询相关业务信息。</w:t>
            </w:r>
          </w:p>
        </w:tc>
      </w:tr>
      <w:tr w14:paraId="3E6868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8845" w:type="dxa"/>
            <w:gridSpan w:val="3"/>
            <w:vAlign w:val="center"/>
          </w:tcPr>
          <w:p w14:paraId="46C99510">
            <w:pPr>
              <w:adjustRightInd w:val="0"/>
              <w:snapToGrid w:val="0"/>
              <w:spacing w:line="320" w:lineRule="exact"/>
              <w:rPr>
                <w:rFonts w:ascii="宋体"/>
                <w:b/>
                <w:color w:val="auto"/>
                <w:szCs w:val="21"/>
                <w:highlight w:val="none"/>
              </w:rPr>
            </w:pPr>
            <w:r>
              <w:rPr>
                <w:rFonts w:hint="eastAsia" w:ascii="宋体" w:hAnsi="宋体"/>
                <w:b/>
                <w:color w:val="auto"/>
                <w:szCs w:val="21"/>
                <w:highlight w:val="none"/>
              </w:rPr>
              <w:t>二、磋商文件</w:t>
            </w:r>
          </w:p>
        </w:tc>
      </w:tr>
      <w:tr w14:paraId="3301B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466D4B89">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10.2</w:t>
            </w:r>
            <w:r>
              <w:rPr>
                <w:rFonts w:hint="eastAsia" w:ascii="宋体" w:hAnsi="宋体"/>
                <w:color w:val="auto"/>
                <w:szCs w:val="21"/>
                <w:highlight w:val="none"/>
              </w:rPr>
              <w:t>款</w:t>
            </w:r>
          </w:p>
        </w:tc>
        <w:tc>
          <w:tcPr>
            <w:tcW w:w="1815" w:type="dxa"/>
            <w:vAlign w:val="center"/>
          </w:tcPr>
          <w:p w14:paraId="69F7AE2B">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磋商文件中可能实质性变动的内容</w:t>
            </w:r>
          </w:p>
        </w:tc>
        <w:tc>
          <w:tcPr>
            <w:tcW w:w="5186" w:type="dxa"/>
            <w:vAlign w:val="center"/>
          </w:tcPr>
          <w:p w14:paraId="5DE19AEF">
            <w:pPr>
              <w:adjustRightInd w:val="0"/>
              <w:snapToGrid w:val="0"/>
              <w:spacing w:line="320" w:lineRule="exact"/>
              <w:jc w:val="left"/>
              <w:rPr>
                <w:rFonts w:ascii="宋体" w:cs="宋体"/>
                <w:color w:val="auto"/>
                <w:kern w:val="0"/>
                <w:highlight w:val="none"/>
              </w:rPr>
            </w:pPr>
            <w:r>
              <w:rPr>
                <w:rFonts w:hint="eastAsia" w:ascii="宋体" w:hAnsi="宋体" w:cs="宋体"/>
                <w:color w:val="auto"/>
                <w:kern w:val="0"/>
                <w:highlight w:val="none"/>
              </w:rPr>
              <w:t>合同条款</w:t>
            </w:r>
          </w:p>
        </w:tc>
      </w:tr>
      <w:tr w14:paraId="7E3853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6305F359">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11.1</w:t>
            </w:r>
            <w:r>
              <w:rPr>
                <w:rFonts w:hint="eastAsia" w:ascii="宋体" w:hAnsi="宋体"/>
                <w:color w:val="auto"/>
                <w:szCs w:val="21"/>
                <w:highlight w:val="none"/>
              </w:rPr>
              <w:t>款</w:t>
            </w:r>
          </w:p>
        </w:tc>
        <w:tc>
          <w:tcPr>
            <w:tcW w:w="1815" w:type="dxa"/>
            <w:vAlign w:val="center"/>
          </w:tcPr>
          <w:p w14:paraId="765577D8">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提供磋商文件期限</w:t>
            </w:r>
          </w:p>
        </w:tc>
        <w:tc>
          <w:tcPr>
            <w:tcW w:w="5186" w:type="dxa"/>
            <w:vAlign w:val="center"/>
          </w:tcPr>
          <w:p w14:paraId="47E3837E">
            <w:pPr>
              <w:adjustRightInd w:val="0"/>
              <w:snapToGrid w:val="0"/>
              <w:spacing w:line="320" w:lineRule="exact"/>
              <w:jc w:val="left"/>
              <w:rPr>
                <w:rFonts w:ascii="宋体"/>
                <w:color w:val="auto"/>
                <w:szCs w:val="21"/>
                <w:highlight w:val="none"/>
              </w:rPr>
            </w:pPr>
            <w:r>
              <w:rPr>
                <w:rFonts w:hint="eastAsia"/>
                <w:color w:val="auto"/>
                <w:szCs w:val="21"/>
                <w:highlight w:val="none"/>
              </w:rPr>
              <w:t>详见第一章磋商邀请</w:t>
            </w:r>
          </w:p>
        </w:tc>
      </w:tr>
      <w:tr w14:paraId="5BC3D8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51E8A128">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11.2</w:t>
            </w:r>
            <w:r>
              <w:rPr>
                <w:rFonts w:hint="eastAsia" w:ascii="宋体" w:hAnsi="宋体"/>
                <w:color w:val="auto"/>
                <w:szCs w:val="21"/>
                <w:highlight w:val="none"/>
              </w:rPr>
              <w:t>款</w:t>
            </w:r>
          </w:p>
        </w:tc>
        <w:tc>
          <w:tcPr>
            <w:tcW w:w="1815" w:type="dxa"/>
            <w:vAlign w:val="center"/>
          </w:tcPr>
          <w:p w14:paraId="647B49FB">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领取或购买磋商文件时应提供的资料</w:t>
            </w:r>
          </w:p>
        </w:tc>
        <w:tc>
          <w:tcPr>
            <w:tcW w:w="5186" w:type="dxa"/>
            <w:vAlign w:val="center"/>
          </w:tcPr>
          <w:p w14:paraId="68D202D7">
            <w:pPr>
              <w:adjustRightInd w:val="0"/>
              <w:snapToGrid w:val="0"/>
              <w:spacing w:line="320" w:lineRule="exact"/>
              <w:jc w:val="left"/>
              <w:rPr>
                <w:rFonts w:ascii="宋体"/>
                <w:color w:val="auto"/>
                <w:szCs w:val="21"/>
                <w:highlight w:val="none"/>
              </w:rPr>
            </w:pPr>
            <w:r>
              <w:rPr>
                <w:rFonts w:hint="eastAsia" w:ascii="宋体" w:hAnsi="宋体"/>
                <w:color w:val="auto"/>
                <w:szCs w:val="21"/>
                <w:highlight w:val="none"/>
              </w:rPr>
              <w:t>详见磋商公告“</w:t>
            </w:r>
            <w:r>
              <w:rPr>
                <w:rFonts w:ascii="宋体" w:hAnsi="宋体"/>
                <w:color w:val="auto"/>
                <w:szCs w:val="21"/>
                <w:highlight w:val="none"/>
              </w:rPr>
              <w:t>获取</w:t>
            </w:r>
            <w:r>
              <w:rPr>
                <w:rFonts w:hint="eastAsia" w:ascii="宋体" w:hAnsi="宋体"/>
                <w:color w:val="auto"/>
                <w:szCs w:val="21"/>
                <w:highlight w:val="none"/>
              </w:rPr>
              <w:t>磋商文件</w:t>
            </w:r>
            <w:r>
              <w:rPr>
                <w:rFonts w:ascii="宋体" w:hAnsi="宋体"/>
                <w:color w:val="auto"/>
                <w:szCs w:val="21"/>
                <w:highlight w:val="none"/>
              </w:rPr>
              <w:t>的时间、期限、地点及方式</w:t>
            </w:r>
            <w:r>
              <w:rPr>
                <w:rFonts w:hint="eastAsia" w:ascii="宋体" w:hAnsi="宋体"/>
                <w:color w:val="auto"/>
                <w:szCs w:val="21"/>
                <w:highlight w:val="none"/>
              </w:rPr>
              <w:t>”</w:t>
            </w:r>
          </w:p>
        </w:tc>
      </w:tr>
      <w:tr w14:paraId="2B448E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03457FA4">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12.1</w:t>
            </w:r>
            <w:r>
              <w:rPr>
                <w:rFonts w:hint="eastAsia" w:ascii="宋体" w:hAnsi="宋体"/>
                <w:color w:val="auto"/>
                <w:szCs w:val="21"/>
                <w:highlight w:val="none"/>
              </w:rPr>
              <w:t>款</w:t>
            </w:r>
          </w:p>
        </w:tc>
        <w:tc>
          <w:tcPr>
            <w:tcW w:w="1815" w:type="dxa"/>
            <w:vAlign w:val="center"/>
          </w:tcPr>
          <w:p w14:paraId="1C3E5A2C">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提交首次响应文件的截止时间</w:t>
            </w:r>
          </w:p>
        </w:tc>
        <w:tc>
          <w:tcPr>
            <w:tcW w:w="5186" w:type="dxa"/>
            <w:vAlign w:val="center"/>
          </w:tcPr>
          <w:p w14:paraId="1F16082E">
            <w:pPr>
              <w:adjustRightInd w:val="0"/>
              <w:snapToGrid w:val="0"/>
              <w:spacing w:line="320" w:lineRule="exact"/>
              <w:jc w:val="left"/>
              <w:rPr>
                <w:rFonts w:ascii="宋体"/>
                <w:color w:val="auto"/>
                <w:szCs w:val="21"/>
                <w:highlight w:val="none"/>
              </w:rPr>
            </w:pPr>
            <w:r>
              <w:rPr>
                <w:rFonts w:hint="eastAsia"/>
                <w:color w:val="auto"/>
                <w:szCs w:val="21"/>
                <w:highlight w:val="none"/>
              </w:rPr>
              <w:t>详见第一章磋商邀请</w:t>
            </w:r>
          </w:p>
        </w:tc>
      </w:tr>
      <w:tr w14:paraId="25F32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3"/>
            <w:vAlign w:val="center"/>
          </w:tcPr>
          <w:p w14:paraId="000A4B30">
            <w:pPr>
              <w:adjustRightInd w:val="0"/>
              <w:snapToGrid w:val="0"/>
              <w:spacing w:line="320" w:lineRule="exact"/>
              <w:rPr>
                <w:rFonts w:ascii="宋体"/>
                <w:color w:val="auto"/>
                <w:szCs w:val="21"/>
                <w:highlight w:val="none"/>
              </w:rPr>
            </w:pPr>
            <w:r>
              <w:rPr>
                <w:rFonts w:hint="eastAsia" w:ascii="宋体" w:hAnsi="宋体"/>
                <w:b/>
                <w:color w:val="auto"/>
                <w:szCs w:val="21"/>
                <w:highlight w:val="none"/>
              </w:rPr>
              <w:t>三、响应文件的编写</w:t>
            </w:r>
          </w:p>
        </w:tc>
      </w:tr>
      <w:tr w14:paraId="3EAE71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7C5F320C">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w:t>
            </w:r>
            <w:r>
              <w:rPr>
                <w:rFonts w:hint="eastAsia" w:ascii="宋体" w:hAnsi="宋体"/>
                <w:color w:val="auto"/>
                <w:szCs w:val="21"/>
                <w:highlight w:val="none"/>
              </w:rPr>
              <w:t>6</w:t>
            </w:r>
            <w:r>
              <w:rPr>
                <w:rFonts w:ascii="宋体" w:hAnsi="宋体"/>
                <w:color w:val="auto"/>
                <w:szCs w:val="21"/>
                <w:highlight w:val="none"/>
              </w:rPr>
              <w:t>.4</w:t>
            </w:r>
            <w:r>
              <w:rPr>
                <w:rFonts w:hint="eastAsia" w:ascii="宋体" w:hAnsi="宋体"/>
                <w:color w:val="auto"/>
                <w:szCs w:val="21"/>
                <w:highlight w:val="none"/>
              </w:rPr>
              <w:t>款</w:t>
            </w:r>
          </w:p>
        </w:tc>
        <w:tc>
          <w:tcPr>
            <w:tcW w:w="1815" w:type="dxa"/>
            <w:vAlign w:val="center"/>
          </w:tcPr>
          <w:p w14:paraId="6B0FF6C9">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采购项目预算及最高限价</w:t>
            </w:r>
          </w:p>
        </w:tc>
        <w:tc>
          <w:tcPr>
            <w:tcW w:w="5186" w:type="dxa"/>
            <w:vAlign w:val="center"/>
          </w:tcPr>
          <w:p w14:paraId="5E7B63BF">
            <w:pPr>
              <w:adjustRightInd w:val="0"/>
              <w:snapToGrid w:val="0"/>
              <w:spacing w:line="360" w:lineRule="auto"/>
              <w:rPr>
                <w:rFonts w:hint="eastAsia" w:ascii="宋体" w:hAnsi="宋体"/>
                <w:color w:val="auto"/>
                <w:szCs w:val="21"/>
                <w:highlight w:val="none"/>
              </w:rPr>
            </w:pPr>
            <w:r>
              <w:rPr>
                <w:rFonts w:hint="eastAsia" w:ascii="宋体" w:hAnsi="宋体" w:cs="宋体"/>
                <w:bCs/>
                <w:color w:val="auto"/>
                <w:szCs w:val="21"/>
                <w:highlight w:val="none"/>
              </w:rPr>
              <w:t>采购项目预算及最高限价：1003300.00元</w:t>
            </w:r>
          </w:p>
        </w:tc>
      </w:tr>
      <w:tr w14:paraId="7A32B9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844" w:type="dxa"/>
            <w:vAlign w:val="center"/>
          </w:tcPr>
          <w:p w14:paraId="454230AC">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18.1</w:t>
            </w:r>
            <w:r>
              <w:rPr>
                <w:rFonts w:hint="eastAsia" w:ascii="宋体" w:hAnsi="宋体"/>
                <w:color w:val="auto"/>
                <w:szCs w:val="21"/>
                <w:highlight w:val="none"/>
              </w:rPr>
              <w:t>款</w:t>
            </w:r>
          </w:p>
        </w:tc>
        <w:tc>
          <w:tcPr>
            <w:tcW w:w="1815" w:type="dxa"/>
            <w:vAlign w:val="center"/>
          </w:tcPr>
          <w:p w14:paraId="17521AAB">
            <w:pPr>
              <w:adjustRightInd w:val="0"/>
              <w:snapToGrid w:val="0"/>
              <w:spacing w:line="320" w:lineRule="exact"/>
              <w:ind w:left="-533" w:leftChars="-254" w:firstLine="533" w:firstLineChars="254"/>
              <w:jc w:val="center"/>
              <w:rPr>
                <w:rFonts w:ascii="宋体"/>
                <w:color w:val="auto"/>
                <w:szCs w:val="21"/>
                <w:highlight w:val="none"/>
              </w:rPr>
            </w:pPr>
            <w:r>
              <w:rPr>
                <w:rFonts w:hint="eastAsia" w:ascii="宋体" w:hAnsi="宋体"/>
                <w:color w:val="auto"/>
                <w:szCs w:val="21"/>
                <w:highlight w:val="none"/>
              </w:rPr>
              <w:t>磋商保证金</w:t>
            </w:r>
          </w:p>
        </w:tc>
        <w:tc>
          <w:tcPr>
            <w:tcW w:w="5186" w:type="dxa"/>
            <w:vAlign w:val="center"/>
          </w:tcPr>
          <w:p w14:paraId="43D5BFFA">
            <w:pPr>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根据《关于进一步优化政府采购领域营商环境的通知》郴财采资〔2024〕6号文件精神，本项目取消投标保证金及履约保证金。</w:t>
            </w:r>
          </w:p>
        </w:tc>
      </w:tr>
      <w:tr w14:paraId="74F57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714A135">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19.1</w:t>
            </w:r>
            <w:r>
              <w:rPr>
                <w:rFonts w:hint="eastAsia" w:ascii="宋体" w:hAnsi="宋体"/>
                <w:color w:val="auto"/>
                <w:szCs w:val="21"/>
                <w:highlight w:val="none"/>
              </w:rPr>
              <w:t>款</w:t>
            </w:r>
          </w:p>
        </w:tc>
        <w:tc>
          <w:tcPr>
            <w:tcW w:w="1815" w:type="dxa"/>
            <w:vAlign w:val="center"/>
          </w:tcPr>
          <w:p w14:paraId="3D792088">
            <w:pPr>
              <w:adjustRightInd w:val="0"/>
              <w:snapToGrid w:val="0"/>
              <w:spacing w:line="320" w:lineRule="exact"/>
              <w:jc w:val="center"/>
              <w:rPr>
                <w:rFonts w:ascii="宋体"/>
                <w:bCs/>
                <w:color w:val="auto"/>
                <w:szCs w:val="21"/>
                <w:highlight w:val="none"/>
              </w:rPr>
            </w:pPr>
            <w:r>
              <w:rPr>
                <w:rFonts w:hint="eastAsia" w:ascii="宋体" w:hAnsi="宋体"/>
                <w:bCs/>
                <w:color w:val="auto"/>
                <w:szCs w:val="21"/>
                <w:highlight w:val="none"/>
              </w:rPr>
              <w:t>响应文件有效期</w:t>
            </w:r>
          </w:p>
        </w:tc>
        <w:tc>
          <w:tcPr>
            <w:tcW w:w="5186" w:type="dxa"/>
            <w:vAlign w:val="center"/>
          </w:tcPr>
          <w:p w14:paraId="6AE1D6AC">
            <w:pPr>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90日（日历日）</w:t>
            </w:r>
          </w:p>
        </w:tc>
      </w:tr>
      <w:tr w14:paraId="627CF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840F916">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20.1</w:t>
            </w:r>
            <w:r>
              <w:rPr>
                <w:rFonts w:hint="eastAsia" w:ascii="宋体" w:hAnsi="宋体"/>
                <w:color w:val="auto"/>
                <w:szCs w:val="21"/>
                <w:highlight w:val="none"/>
              </w:rPr>
              <w:t>款</w:t>
            </w:r>
          </w:p>
        </w:tc>
        <w:tc>
          <w:tcPr>
            <w:tcW w:w="1815" w:type="dxa"/>
            <w:vAlign w:val="center"/>
          </w:tcPr>
          <w:p w14:paraId="3FA07F68">
            <w:pPr>
              <w:adjustRightInd w:val="0"/>
              <w:snapToGrid w:val="0"/>
              <w:spacing w:line="320" w:lineRule="exact"/>
              <w:jc w:val="center"/>
              <w:rPr>
                <w:rFonts w:ascii="宋体"/>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文件份数</w:t>
            </w:r>
          </w:p>
        </w:tc>
        <w:tc>
          <w:tcPr>
            <w:tcW w:w="5186" w:type="dxa"/>
            <w:vAlign w:val="center"/>
          </w:tcPr>
          <w:p w14:paraId="0B449E63">
            <w:pPr>
              <w:topLinePunct/>
              <w:autoSpaceDE w:val="0"/>
              <w:autoSpaceDN w:val="0"/>
              <w:adjustRightInd w:val="0"/>
              <w:spacing w:line="400" w:lineRule="exact"/>
              <w:ind w:left="2"/>
              <w:jc w:val="left"/>
              <w:rPr>
                <w:rFonts w:hint="eastAsia" w:ascii="宋体" w:hAnsi="宋体"/>
                <w:color w:val="auto"/>
                <w:kern w:val="0"/>
                <w:szCs w:val="21"/>
                <w:highlight w:val="none"/>
              </w:rPr>
            </w:pPr>
            <w:r>
              <w:rPr>
                <w:rFonts w:hint="eastAsia" w:ascii="宋体" w:hAnsi="宋体"/>
                <w:color w:val="auto"/>
                <w:kern w:val="0"/>
                <w:szCs w:val="21"/>
                <w:highlight w:val="none"/>
              </w:rPr>
              <w:t>中标后5个工作日内提供响应文件纸质版正本1份，副本2份。</w:t>
            </w:r>
          </w:p>
        </w:tc>
      </w:tr>
      <w:tr w14:paraId="73EA8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3"/>
            <w:vAlign w:val="center"/>
          </w:tcPr>
          <w:p w14:paraId="6FBAFF8C">
            <w:pPr>
              <w:adjustRightInd w:val="0"/>
              <w:snapToGrid w:val="0"/>
              <w:spacing w:line="320" w:lineRule="exact"/>
              <w:rPr>
                <w:rFonts w:ascii="宋体"/>
                <w:b/>
                <w:bCs/>
                <w:color w:val="auto"/>
                <w:szCs w:val="21"/>
                <w:highlight w:val="none"/>
              </w:rPr>
            </w:pPr>
            <w:r>
              <w:rPr>
                <w:rFonts w:hint="eastAsia" w:ascii="宋体" w:hAnsi="宋体"/>
                <w:b/>
                <w:color w:val="auto"/>
                <w:szCs w:val="21"/>
                <w:highlight w:val="none"/>
              </w:rPr>
              <w:t>四、响应文件的递交</w:t>
            </w:r>
          </w:p>
        </w:tc>
      </w:tr>
      <w:tr w14:paraId="307F0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6521084">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23.1</w:t>
            </w:r>
            <w:r>
              <w:rPr>
                <w:rFonts w:hint="eastAsia" w:ascii="宋体" w:hAnsi="宋体"/>
                <w:color w:val="auto"/>
                <w:szCs w:val="21"/>
                <w:highlight w:val="none"/>
              </w:rPr>
              <w:t>款</w:t>
            </w:r>
          </w:p>
        </w:tc>
        <w:tc>
          <w:tcPr>
            <w:tcW w:w="1815" w:type="dxa"/>
            <w:vAlign w:val="center"/>
          </w:tcPr>
          <w:p w14:paraId="15505E77">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响应文件的递交地点</w:t>
            </w:r>
          </w:p>
        </w:tc>
        <w:tc>
          <w:tcPr>
            <w:tcW w:w="5186" w:type="dxa"/>
            <w:vAlign w:val="center"/>
          </w:tcPr>
          <w:p w14:paraId="4744ABC9">
            <w:pPr>
              <w:adjustRightInd w:val="0"/>
              <w:snapToGrid w:val="0"/>
              <w:spacing w:line="320" w:lineRule="exact"/>
              <w:jc w:val="left"/>
              <w:rPr>
                <w:rFonts w:ascii="宋体"/>
                <w:bCs/>
                <w:color w:val="auto"/>
                <w:szCs w:val="21"/>
                <w:highlight w:val="none"/>
              </w:rPr>
            </w:pPr>
            <w:r>
              <w:rPr>
                <w:rFonts w:hint="eastAsia" w:ascii="宋体" w:hAnsi="宋体"/>
                <w:color w:val="auto"/>
                <w:szCs w:val="21"/>
                <w:highlight w:val="none"/>
              </w:rPr>
              <w:t>详见第一章磋商邀请</w:t>
            </w:r>
          </w:p>
        </w:tc>
      </w:tr>
      <w:tr w14:paraId="5D90D5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3"/>
            <w:vAlign w:val="center"/>
          </w:tcPr>
          <w:p w14:paraId="150E3841">
            <w:pPr>
              <w:adjustRightInd w:val="0"/>
              <w:snapToGrid w:val="0"/>
              <w:spacing w:line="320" w:lineRule="exact"/>
              <w:rPr>
                <w:rFonts w:ascii="宋体"/>
                <w:bCs/>
                <w:color w:val="auto"/>
                <w:szCs w:val="21"/>
                <w:highlight w:val="none"/>
              </w:rPr>
            </w:pPr>
            <w:r>
              <w:rPr>
                <w:rFonts w:hint="eastAsia" w:ascii="宋体" w:hAnsi="宋体"/>
                <w:b/>
                <w:color w:val="auto"/>
                <w:szCs w:val="21"/>
                <w:highlight w:val="none"/>
              </w:rPr>
              <w:t>五、响应文件的开启和开标仪式</w:t>
            </w:r>
          </w:p>
        </w:tc>
      </w:tr>
      <w:tr w14:paraId="4C9905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850F414">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24.1</w:t>
            </w:r>
            <w:r>
              <w:rPr>
                <w:rFonts w:hint="eastAsia" w:ascii="宋体" w:hAnsi="宋体"/>
                <w:color w:val="auto"/>
                <w:szCs w:val="21"/>
                <w:highlight w:val="none"/>
              </w:rPr>
              <w:t>款</w:t>
            </w:r>
          </w:p>
        </w:tc>
        <w:tc>
          <w:tcPr>
            <w:tcW w:w="1815" w:type="dxa"/>
            <w:vAlign w:val="center"/>
          </w:tcPr>
          <w:p w14:paraId="74B06D38">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响应文件</w:t>
            </w:r>
            <w:r>
              <w:rPr>
                <w:rFonts w:hint="eastAsia" w:ascii="宋体" w:hAnsi="宋体"/>
                <w:color w:val="auto"/>
                <w:highlight w:val="none"/>
              </w:rPr>
              <w:t>开启时间和地点</w:t>
            </w:r>
          </w:p>
        </w:tc>
        <w:tc>
          <w:tcPr>
            <w:tcW w:w="5186" w:type="dxa"/>
            <w:vAlign w:val="center"/>
          </w:tcPr>
          <w:p w14:paraId="2F5AE1E6">
            <w:pPr>
              <w:adjustRightInd w:val="0"/>
              <w:snapToGrid w:val="0"/>
              <w:spacing w:line="320" w:lineRule="exact"/>
              <w:rPr>
                <w:rFonts w:ascii="宋体" w:cs="宋体"/>
                <w:color w:val="auto"/>
                <w:kern w:val="0"/>
                <w:sz w:val="24"/>
                <w:highlight w:val="none"/>
              </w:rPr>
            </w:pPr>
            <w:r>
              <w:rPr>
                <w:rFonts w:hint="eastAsia" w:ascii="宋体" w:hAnsi="宋体"/>
                <w:bCs/>
                <w:color w:val="auto"/>
                <w:szCs w:val="21"/>
                <w:highlight w:val="none"/>
              </w:rPr>
              <w:t>详见第一章磋商邀请</w:t>
            </w:r>
          </w:p>
        </w:tc>
      </w:tr>
      <w:tr w14:paraId="7EFAC8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3"/>
            <w:vAlign w:val="center"/>
          </w:tcPr>
          <w:p w14:paraId="257119E2">
            <w:pPr>
              <w:adjustRightInd w:val="0"/>
              <w:snapToGrid w:val="0"/>
              <w:spacing w:line="320" w:lineRule="exact"/>
              <w:rPr>
                <w:rFonts w:ascii="宋体"/>
                <w:b/>
                <w:bCs/>
                <w:color w:val="auto"/>
                <w:szCs w:val="21"/>
                <w:highlight w:val="none"/>
              </w:rPr>
            </w:pPr>
            <w:r>
              <w:rPr>
                <w:rFonts w:hint="eastAsia" w:ascii="宋体" w:hAnsi="宋体"/>
                <w:b/>
                <w:bCs/>
                <w:color w:val="auto"/>
                <w:szCs w:val="21"/>
                <w:highlight w:val="none"/>
              </w:rPr>
              <w:t>六、响应文件的磋商与评审</w:t>
            </w:r>
          </w:p>
        </w:tc>
      </w:tr>
      <w:tr w14:paraId="47394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5E2D33D">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26.1</w:t>
            </w:r>
            <w:r>
              <w:rPr>
                <w:rFonts w:hint="eastAsia" w:ascii="宋体" w:hAnsi="宋体"/>
                <w:color w:val="auto"/>
                <w:szCs w:val="21"/>
                <w:highlight w:val="none"/>
              </w:rPr>
              <w:t>款</w:t>
            </w:r>
          </w:p>
        </w:tc>
        <w:tc>
          <w:tcPr>
            <w:tcW w:w="1815" w:type="dxa"/>
            <w:vAlign w:val="center"/>
          </w:tcPr>
          <w:p w14:paraId="19CEBDE1">
            <w:pPr>
              <w:adjustRightInd w:val="0"/>
              <w:snapToGrid w:val="0"/>
              <w:spacing w:line="320" w:lineRule="exact"/>
              <w:jc w:val="center"/>
              <w:rPr>
                <w:rFonts w:ascii="宋体"/>
                <w:color w:val="auto"/>
                <w:szCs w:val="21"/>
                <w:highlight w:val="none"/>
              </w:rPr>
            </w:pPr>
            <w:r>
              <w:rPr>
                <w:rFonts w:hint="eastAsia" w:ascii="宋体" w:hAnsi="宋体"/>
                <w:bCs/>
                <w:color w:val="auto"/>
                <w:szCs w:val="21"/>
                <w:highlight w:val="none"/>
              </w:rPr>
              <w:t>磋商小组人员数量及组成</w:t>
            </w:r>
          </w:p>
        </w:tc>
        <w:tc>
          <w:tcPr>
            <w:tcW w:w="5186" w:type="dxa"/>
            <w:vAlign w:val="center"/>
          </w:tcPr>
          <w:p w14:paraId="2B5717D0">
            <w:pPr>
              <w:adjustRightInd w:val="0"/>
              <w:snapToGrid w:val="0"/>
              <w:spacing w:line="320" w:lineRule="exact"/>
              <w:rPr>
                <w:rFonts w:ascii="宋体"/>
                <w:bCs/>
                <w:color w:val="auto"/>
                <w:szCs w:val="21"/>
                <w:highlight w:val="none"/>
              </w:rPr>
            </w:pPr>
            <w:r>
              <w:rPr>
                <w:rFonts w:hint="eastAsia" w:ascii="宋体" w:hAnsi="宋体"/>
                <w:bCs/>
                <w:color w:val="auto"/>
                <w:szCs w:val="21"/>
                <w:highlight w:val="none"/>
              </w:rPr>
              <w:t>磋商小组由采购人或采购代理机构依法组建，磋商小组人员数量3人。</w:t>
            </w:r>
          </w:p>
        </w:tc>
      </w:tr>
      <w:tr w14:paraId="124FA2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845" w:type="dxa"/>
            <w:gridSpan w:val="3"/>
            <w:vAlign w:val="center"/>
          </w:tcPr>
          <w:p w14:paraId="7C5CE1CE">
            <w:pPr>
              <w:adjustRightInd w:val="0"/>
              <w:snapToGrid w:val="0"/>
              <w:spacing w:line="320" w:lineRule="exact"/>
              <w:rPr>
                <w:rFonts w:ascii="宋体"/>
                <w:color w:val="auto"/>
                <w:szCs w:val="21"/>
                <w:highlight w:val="none"/>
              </w:rPr>
            </w:pPr>
            <w:r>
              <w:rPr>
                <w:rFonts w:hint="eastAsia" w:ascii="宋体" w:hAnsi="宋体"/>
                <w:b/>
                <w:color w:val="auto"/>
                <w:szCs w:val="21"/>
                <w:highlight w:val="none"/>
              </w:rPr>
              <w:t>七、成交结果信息公布与授予合同</w:t>
            </w:r>
          </w:p>
        </w:tc>
      </w:tr>
      <w:tr w14:paraId="44C23B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4165251">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38.1</w:t>
            </w:r>
            <w:r>
              <w:rPr>
                <w:rFonts w:hint="eastAsia" w:ascii="宋体" w:hAnsi="宋体"/>
                <w:color w:val="auto"/>
                <w:szCs w:val="21"/>
                <w:highlight w:val="none"/>
              </w:rPr>
              <w:t>款</w:t>
            </w:r>
          </w:p>
        </w:tc>
        <w:tc>
          <w:tcPr>
            <w:tcW w:w="1815" w:type="dxa"/>
            <w:vAlign w:val="center"/>
          </w:tcPr>
          <w:p w14:paraId="37609B6F">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财政部门指定的媒体</w:t>
            </w:r>
          </w:p>
        </w:tc>
        <w:tc>
          <w:tcPr>
            <w:tcW w:w="5186" w:type="dxa"/>
            <w:vAlign w:val="center"/>
          </w:tcPr>
          <w:p w14:paraId="1037B909">
            <w:pPr>
              <w:adjustRightInd w:val="0"/>
              <w:snapToGrid w:val="0"/>
              <w:spacing w:before="156" w:beforeLines="50" w:line="320" w:lineRule="exact"/>
              <w:jc w:val="left"/>
              <w:rPr>
                <w:rFonts w:ascii="宋体"/>
                <w:color w:val="auto"/>
                <w:szCs w:val="21"/>
                <w:highlight w:val="none"/>
              </w:rPr>
            </w:pPr>
            <w:r>
              <w:rPr>
                <w:rFonts w:hint="eastAsia" w:ascii="宋体" w:hAnsi="宋体" w:cs="宋体"/>
                <w:color w:val="auto"/>
                <w:kern w:val="0"/>
                <w:szCs w:val="21"/>
                <w:highlight w:val="none"/>
              </w:rPr>
              <w:t>中国湖南政府采购网 (</w:t>
            </w:r>
            <w:r>
              <w:rPr>
                <w:color w:val="auto"/>
                <w:highlight w:val="none"/>
              </w:rPr>
              <w:fldChar w:fldCharType="begin"/>
            </w:r>
            <w:r>
              <w:rPr>
                <w:color w:val="auto"/>
                <w:highlight w:val="none"/>
              </w:rPr>
              <w:instrText xml:space="preserve"> HYPERLINK "http://www.ccgp-hunan.gov.cn" </w:instrText>
            </w:r>
            <w:r>
              <w:rPr>
                <w:color w:val="auto"/>
                <w:highlight w:val="none"/>
              </w:rPr>
              <w:fldChar w:fldCharType="separate"/>
            </w:r>
            <w:r>
              <w:rPr>
                <w:rFonts w:ascii="宋体" w:hAnsi="宋体" w:cs="宋体"/>
                <w:color w:val="auto"/>
                <w:kern w:val="0"/>
                <w:szCs w:val="21"/>
                <w:highlight w:val="none"/>
              </w:rPr>
              <w:t>www.ccgp-hunan.gov.cn</w:t>
            </w:r>
            <w:r>
              <w:rPr>
                <w:rFonts w:ascii="宋体" w:hAnsi="宋体" w:cs="宋体"/>
                <w:color w:val="auto"/>
                <w:kern w:val="0"/>
                <w:szCs w:val="21"/>
                <w:highlight w:val="none"/>
              </w:rPr>
              <w:fldChar w:fldCharType="end"/>
            </w:r>
            <w:r>
              <w:rPr>
                <w:rFonts w:hint="eastAsia" w:ascii="宋体" w:hAnsi="宋体" w:cs="宋体"/>
                <w:color w:val="auto"/>
                <w:kern w:val="0"/>
                <w:szCs w:val="21"/>
                <w:highlight w:val="none"/>
              </w:rPr>
              <w:t>)、郴州市公共资源交易中心(</w:t>
            </w:r>
            <w:r>
              <w:rPr>
                <w:rFonts w:ascii="宋体" w:hAnsi="宋体" w:cs="宋体"/>
                <w:color w:val="auto"/>
                <w:kern w:val="0"/>
                <w:szCs w:val="21"/>
                <w:highlight w:val="none"/>
              </w:rPr>
              <w:t>http://czggzy.czs.gov.cn/</w:t>
            </w:r>
            <w:r>
              <w:rPr>
                <w:rFonts w:hint="eastAsia" w:ascii="宋体" w:hAnsi="宋体" w:cs="宋体"/>
                <w:color w:val="auto"/>
                <w:kern w:val="0"/>
                <w:szCs w:val="21"/>
                <w:highlight w:val="none"/>
              </w:rPr>
              <w:t>)</w:t>
            </w:r>
          </w:p>
        </w:tc>
      </w:tr>
      <w:tr w14:paraId="2A16A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6" w:hRule="exact"/>
          <w:jc w:val="center"/>
        </w:trPr>
        <w:tc>
          <w:tcPr>
            <w:tcW w:w="1844" w:type="dxa"/>
            <w:vAlign w:val="center"/>
          </w:tcPr>
          <w:p w14:paraId="6A66F94F">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第二章第42.1款</w:t>
            </w:r>
          </w:p>
        </w:tc>
        <w:tc>
          <w:tcPr>
            <w:tcW w:w="1815" w:type="dxa"/>
            <w:vAlign w:val="center"/>
          </w:tcPr>
          <w:p w14:paraId="0B77325B">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采购代理服务费</w:t>
            </w:r>
          </w:p>
        </w:tc>
        <w:tc>
          <w:tcPr>
            <w:tcW w:w="5186" w:type="dxa"/>
            <w:vAlign w:val="center"/>
          </w:tcPr>
          <w:p w14:paraId="76D37AB0">
            <w:pPr>
              <w:adjustRightInd w:val="0"/>
              <w:snapToGrid w:val="0"/>
              <w:spacing w:line="320" w:lineRule="exact"/>
              <w:rPr>
                <w:rFonts w:hint="eastAsia" w:ascii="宋体" w:hAnsi="宋体"/>
                <w:color w:val="auto"/>
                <w:szCs w:val="21"/>
                <w:highlight w:val="none"/>
              </w:rPr>
            </w:pPr>
            <w:r>
              <w:rPr>
                <w:rFonts w:hint="eastAsia" w:ascii="宋体" w:hAnsi="宋体"/>
                <w:color w:val="auto"/>
                <w:szCs w:val="21"/>
                <w:highlight w:val="none"/>
              </w:rPr>
              <w:t>招标代理服务费由采购人支付。</w:t>
            </w:r>
          </w:p>
        </w:tc>
      </w:tr>
      <w:tr w14:paraId="11C459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27" w:hRule="exact"/>
          <w:jc w:val="center"/>
        </w:trPr>
        <w:tc>
          <w:tcPr>
            <w:tcW w:w="1844" w:type="dxa"/>
            <w:vAlign w:val="center"/>
          </w:tcPr>
          <w:p w14:paraId="418C59F8">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第二章第43.4款</w:t>
            </w:r>
          </w:p>
        </w:tc>
        <w:tc>
          <w:tcPr>
            <w:tcW w:w="1815" w:type="dxa"/>
            <w:vAlign w:val="center"/>
          </w:tcPr>
          <w:p w14:paraId="40645676">
            <w:pPr>
              <w:adjustRightInd w:val="0"/>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非实质性偏离的范围和幅度</w:t>
            </w:r>
          </w:p>
        </w:tc>
        <w:tc>
          <w:tcPr>
            <w:tcW w:w="5186" w:type="dxa"/>
            <w:vAlign w:val="center"/>
          </w:tcPr>
          <w:p w14:paraId="6455BEC3">
            <w:pPr>
              <w:adjustRightInd w:val="0"/>
              <w:snapToGrid w:val="0"/>
              <w:spacing w:line="360" w:lineRule="auto"/>
              <w:ind w:left="105" w:hanging="105" w:hangingChars="50"/>
              <w:jc w:val="left"/>
              <w:rPr>
                <w:rFonts w:hint="eastAsia" w:ascii="宋体" w:hAnsi="宋体"/>
                <w:b/>
                <w:bCs/>
                <w:color w:val="auto"/>
                <w:szCs w:val="21"/>
                <w:highlight w:val="none"/>
              </w:rPr>
            </w:pPr>
            <w:r>
              <w:rPr>
                <w:rFonts w:hint="eastAsia" w:ascii="宋体" w:hAnsi="宋体"/>
                <w:b/>
                <w:bCs/>
                <w:color w:val="auto"/>
                <w:szCs w:val="21"/>
                <w:highlight w:val="none"/>
              </w:rPr>
              <w:t>磋商文件第五章【采购需求】中条款偏离项数之</w:t>
            </w:r>
            <w:r>
              <w:rPr>
                <w:rFonts w:hint="eastAsia" w:ascii="宋体" w:hAnsi="宋体"/>
                <w:b/>
                <w:bCs/>
                <w:color w:val="auto"/>
                <w:szCs w:val="21"/>
                <w:highlight w:val="none"/>
              </w:rPr>
              <w:t>和≥20项将导致无效磋商。</w:t>
            </w:r>
          </w:p>
          <w:p w14:paraId="48842D22">
            <w:pPr>
              <w:adjustRightInd w:val="0"/>
              <w:snapToGrid w:val="0"/>
              <w:spacing w:line="360" w:lineRule="auto"/>
              <w:ind w:left="100" w:hanging="100" w:hangingChars="50"/>
              <w:jc w:val="left"/>
              <w:rPr>
                <w:rFonts w:hint="eastAsia" w:ascii="宋体" w:hAnsi="宋体"/>
                <w:color w:val="auto"/>
                <w:szCs w:val="21"/>
                <w:highlight w:val="none"/>
              </w:rPr>
            </w:pPr>
            <w:r>
              <w:rPr>
                <w:rFonts w:hint="eastAsia" w:ascii="宋体" w:hAnsi="宋体" w:cs="宋体"/>
                <w:b/>
                <w:bCs/>
                <w:color w:val="auto"/>
                <w:kern w:val="0"/>
                <w:sz w:val="20"/>
                <w:szCs w:val="20"/>
                <w:highlight w:val="none"/>
                <w:lang w:bidi="ar"/>
              </w:rPr>
              <w:t>条款数（最高项数）的统计方法：招标文件中，凡编排有单独的中文序数或阿拉伯数字或英文字母序列号等字符的条款算一项商务或技术要求项数，相同内容的条款不重复计算项数。</w:t>
            </w:r>
          </w:p>
        </w:tc>
      </w:tr>
      <w:tr w14:paraId="77D52E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3"/>
            <w:vAlign w:val="center"/>
          </w:tcPr>
          <w:p w14:paraId="34AD4FA5">
            <w:pPr>
              <w:adjustRightInd w:val="0"/>
              <w:snapToGrid w:val="0"/>
              <w:spacing w:line="320" w:lineRule="exact"/>
              <w:rPr>
                <w:rFonts w:ascii="宋体"/>
                <w:b/>
                <w:color w:val="auto"/>
                <w:szCs w:val="21"/>
                <w:highlight w:val="none"/>
              </w:rPr>
            </w:pPr>
            <w:r>
              <w:rPr>
                <w:rFonts w:hint="eastAsia" w:ascii="宋体" w:hAnsi="宋体"/>
                <w:b/>
                <w:color w:val="auto"/>
                <w:szCs w:val="21"/>
                <w:highlight w:val="none"/>
              </w:rPr>
              <w:t>八、其他规定</w:t>
            </w:r>
          </w:p>
        </w:tc>
      </w:tr>
      <w:tr w14:paraId="4FB46C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860227D">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第二章第</w:t>
            </w:r>
            <w:r>
              <w:rPr>
                <w:rFonts w:ascii="宋体" w:hAnsi="宋体"/>
                <w:color w:val="auto"/>
                <w:szCs w:val="21"/>
                <w:highlight w:val="none"/>
              </w:rPr>
              <w:t>4</w:t>
            </w:r>
            <w:r>
              <w:rPr>
                <w:rFonts w:hint="eastAsia" w:ascii="宋体" w:hAnsi="宋体"/>
                <w:color w:val="auto"/>
                <w:szCs w:val="21"/>
                <w:highlight w:val="none"/>
              </w:rPr>
              <w:t>4</w:t>
            </w:r>
            <w:r>
              <w:rPr>
                <w:rFonts w:ascii="宋体" w:hAnsi="宋体"/>
                <w:color w:val="auto"/>
                <w:szCs w:val="21"/>
                <w:highlight w:val="none"/>
              </w:rPr>
              <w:t>.1</w:t>
            </w:r>
            <w:r>
              <w:rPr>
                <w:rFonts w:hint="eastAsia" w:ascii="宋体" w:hAnsi="宋体"/>
                <w:color w:val="auto"/>
                <w:szCs w:val="21"/>
                <w:highlight w:val="none"/>
              </w:rPr>
              <w:t>款</w:t>
            </w:r>
          </w:p>
        </w:tc>
        <w:tc>
          <w:tcPr>
            <w:tcW w:w="1815" w:type="dxa"/>
            <w:vAlign w:val="center"/>
          </w:tcPr>
          <w:p w14:paraId="2B17EF8D">
            <w:pPr>
              <w:adjustRightInd w:val="0"/>
              <w:snapToGrid w:val="0"/>
              <w:spacing w:line="320" w:lineRule="exact"/>
              <w:jc w:val="center"/>
              <w:rPr>
                <w:rFonts w:ascii="宋体"/>
                <w:color w:val="auto"/>
                <w:szCs w:val="21"/>
                <w:highlight w:val="none"/>
              </w:rPr>
            </w:pPr>
            <w:r>
              <w:rPr>
                <w:rFonts w:hint="eastAsia" w:ascii="宋体" w:hAnsi="宋体"/>
                <w:color w:val="auto"/>
                <w:szCs w:val="21"/>
                <w:highlight w:val="none"/>
              </w:rPr>
              <w:t>其他规定</w:t>
            </w:r>
          </w:p>
        </w:tc>
        <w:tc>
          <w:tcPr>
            <w:tcW w:w="5186" w:type="dxa"/>
            <w:vAlign w:val="center"/>
          </w:tcPr>
          <w:p w14:paraId="504DBB67">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1.磋商报价超过</w:t>
            </w:r>
            <w:r>
              <w:rPr>
                <w:rFonts w:hint="eastAsia" w:ascii="宋体" w:hAnsi="宋体" w:cs="宋体"/>
                <w:bCs/>
                <w:color w:val="auto"/>
                <w:szCs w:val="21"/>
                <w:highlight w:val="none"/>
              </w:rPr>
              <w:t>采购项目预算及最高限价</w:t>
            </w:r>
            <w:r>
              <w:rPr>
                <w:rFonts w:hint="eastAsia" w:ascii="宋体" w:hAnsi="宋体"/>
                <w:color w:val="auto"/>
                <w:szCs w:val="21"/>
                <w:highlight w:val="none"/>
              </w:rPr>
              <w:t>的，为无效磋商。</w:t>
            </w:r>
          </w:p>
          <w:p w14:paraId="511B4DB0">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2.根据《关于推动解决政府采购异常低价问题的通知》（财库〔2026〕2号）政府采购评审中出现下列情形之一的，评审委员会应当启动异常低价磋商（响应）审查程序： </w:t>
            </w:r>
          </w:p>
          <w:p w14:paraId="1F8028AA">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2.1磋商（响应）报价低于全部通过符合性审查供应商磋商（响应）报价平均值50%的，即磋商（响应）报价&lt;全部通过符合性审查供应商磋商（响应）报价平均值×50%； </w:t>
            </w:r>
          </w:p>
          <w:p w14:paraId="12A4BF6D">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2.2磋商（响应）报价低于通过符合性审查的次低报价供应商磋商（响应）报价50%的，即磋商（响应）报价&lt;通过符合性审查的次低报价供应商磋商（响应）报价×50%； </w:t>
            </w:r>
          </w:p>
          <w:p w14:paraId="55507EE1">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2.3磋商（响应）报价低于采购项目最高限价65%的，即磋商（响应）报价&lt;采购项目最高限价×65%； </w:t>
            </w:r>
          </w:p>
          <w:p w14:paraId="0C20661E">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2.4评审委员会基于专业判断，认为供应商报价过低，有可能影响产品质量或者不能诚信履约的其他情形。</w:t>
            </w:r>
          </w:p>
          <w:p w14:paraId="51FA4159">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2.5评审委员会启动异常低价磋商（响应）审查后，属于前述第2.1项至第2.4项情形的，应当要求相关供应商在评审现场合理的时间内对磋商（响应）价格作出解释，提供项目具体成本测算等与报价合理性相关的书面说明及必要的证明材料，包括但不限于原材料成本、人工成本、制造费用等，给予相关供应商的合理时间一般不少于30分钟。其中，属于第2.3项情形，供应商已随磋商（响应）文件一并提交相关书面说明及必要的证明材料的，在评审现场可不再重复提交。 </w:t>
            </w:r>
          </w:p>
          <w:p w14:paraId="08A9D2DF">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3.评审委员会依据专业经验，参考同类项目中标（成交）价格、类似产品市场价格水平、行业人工费用标准、国家有关部门指导行业协会发布的行业平均成本等情况，对报价合理性进行判断。磋商（响应）供应商不能提供书面说明、证明材料，或者提供的书面说明、证明材料不能证明其报价合理性的，评审委员会应当将其作为无效磋商（响应）处理。 </w:t>
            </w:r>
          </w:p>
          <w:p w14:paraId="760B58D3">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C5B901D">
            <w:pPr>
              <w:pStyle w:val="275"/>
              <w:spacing w:line="360" w:lineRule="exact"/>
              <w:rPr>
                <w:rFonts w:hint="eastAsia" w:ascii="宋体" w:hAnsi="宋体"/>
                <w:color w:val="auto"/>
                <w:szCs w:val="21"/>
                <w:highlight w:val="none"/>
              </w:rPr>
            </w:pPr>
            <w:r>
              <w:rPr>
                <w:rFonts w:hint="eastAsia" w:ascii="宋体" w:hAnsi="宋体"/>
                <w:color w:val="auto"/>
                <w:szCs w:val="21"/>
                <w:highlight w:val="none"/>
              </w:rPr>
              <w:t>5.异常低价磋商（响应）审查的启动原因、审查意见和审查结果应当在评审报告中记录，并随供应商提供的相关书面说明及证明材料，以及评审委员会有关互联网浏览、查询历史一并归档。</w:t>
            </w:r>
          </w:p>
        </w:tc>
      </w:tr>
      <w:tr w14:paraId="52386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97" w:hRule="atLeast"/>
          <w:jc w:val="center"/>
        </w:trPr>
        <w:tc>
          <w:tcPr>
            <w:tcW w:w="1844" w:type="dxa"/>
            <w:vMerge w:val="restart"/>
            <w:vAlign w:val="center"/>
          </w:tcPr>
          <w:p w14:paraId="57C45388">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其他条款</w:t>
            </w:r>
          </w:p>
        </w:tc>
        <w:tc>
          <w:tcPr>
            <w:tcW w:w="1815" w:type="dxa"/>
            <w:vAlign w:val="center"/>
          </w:tcPr>
          <w:p w14:paraId="21C57D85">
            <w:pPr>
              <w:adjustRightInd w:val="0"/>
              <w:snapToGrid w:val="0"/>
              <w:spacing w:line="360" w:lineRule="exact"/>
              <w:jc w:val="center"/>
              <w:rPr>
                <w:rFonts w:hint="eastAsia" w:ascii="宋体" w:hAnsi="宋体" w:cs="宋体"/>
                <w:bCs/>
                <w:color w:val="auto"/>
                <w:kern w:val="0"/>
                <w:szCs w:val="21"/>
                <w:highlight w:val="none"/>
              </w:rPr>
            </w:pPr>
            <w:r>
              <w:rPr>
                <w:rFonts w:hint="eastAsia" w:ascii="宋体" w:hAnsi="宋体" w:cs="宋体"/>
                <w:color w:val="auto"/>
                <w:szCs w:val="22"/>
                <w:highlight w:val="none"/>
              </w:rPr>
              <w:t>采购本国产品</w:t>
            </w:r>
          </w:p>
        </w:tc>
        <w:tc>
          <w:tcPr>
            <w:tcW w:w="5186" w:type="dxa"/>
            <w:vAlign w:val="center"/>
          </w:tcPr>
          <w:p w14:paraId="306D2D7C">
            <w:pPr>
              <w:spacing w:line="360" w:lineRule="exact"/>
              <w:rPr>
                <w:rFonts w:hint="eastAsia" w:ascii="宋体" w:hAnsi="宋体"/>
                <w:color w:val="auto"/>
                <w:szCs w:val="22"/>
                <w:highlight w:val="none"/>
              </w:rPr>
            </w:pPr>
            <w:r>
              <w:rPr>
                <w:rFonts w:hint="eastAsia" w:ascii="MS Gothic" w:hAnsi="MS Gothic" w:eastAsia="MS Gothic" w:cs="MS Gothic"/>
                <w:color w:val="auto"/>
                <w:szCs w:val="22"/>
                <w:highlight w:val="none"/>
              </w:rPr>
              <w:t>■</w:t>
            </w:r>
            <w:r>
              <w:rPr>
                <w:rFonts w:hint="eastAsia" w:ascii="宋体" w:hAnsi="宋体"/>
                <w:color w:val="auto"/>
                <w:szCs w:val="22"/>
                <w:highlight w:val="none"/>
              </w:rPr>
              <w:t xml:space="preserve"> 适用，本国产品标准适用于货物，包括政府采购货物项目和服务项目中涉及的货物，具体是指《政府采购品目分类目录》（财库【2022】31号）中的货物类产品，但不包括其中的房屋和构筑物（A01000000），文物和陈列品（A03000000），图书和档案（A04000000），特种动植物（A06000000），农林牧渔业产品（A07030000），矿与矿物（A07040000），电力、城市燃气、蒸汽和热水、水（A07050000），食品、饮料和烟草原料（A07060000），无形资产（A08000000）共9类品目及子品目的货物类产品。</w:t>
            </w:r>
          </w:p>
          <w:p w14:paraId="6776C38A">
            <w:pPr>
              <w:spacing w:line="360" w:lineRule="exact"/>
              <w:rPr>
                <w:rFonts w:hint="eastAsia" w:ascii="宋体" w:hAnsi="宋体"/>
                <w:color w:val="auto"/>
                <w:szCs w:val="21"/>
                <w:highlight w:val="none"/>
              </w:rPr>
            </w:pPr>
            <w:r>
              <w:rPr>
                <w:rFonts w:hint="eastAsia" w:ascii="宋体" w:hAnsi="宋体"/>
                <w:color w:val="auto"/>
                <w:szCs w:val="22"/>
                <w:highlight w:val="none"/>
              </w:rPr>
              <w:t>□ 不适用</w:t>
            </w:r>
          </w:p>
        </w:tc>
      </w:tr>
      <w:tr w14:paraId="5DEBF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59131772">
            <w:pPr>
              <w:adjustRightInd w:val="0"/>
              <w:snapToGrid w:val="0"/>
              <w:spacing w:line="320" w:lineRule="exact"/>
              <w:jc w:val="center"/>
              <w:rPr>
                <w:rFonts w:hint="eastAsia" w:ascii="宋体" w:hAnsi="宋体"/>
                <w:color w:val="auto"/>
                <w:szCs w:val="21"/>
                <w:highlight w:val="none"/>
              </w:rPr>
            </w:pPr>
          </w:p>
        </w:tc>
        <w:tc>
          <w:tcPr>
            <w:tcW w:w="1815" w:type="dxa"/>
            <w:vAlign w:val="center"/>
          </w:tcPr>
          <w:p w14:paraId="4C774F46">
            <w:pPr>
              <w:adjustRightInd w:val="0"/>
              <w:snapToGrid w:val="0"/>
              <w:spacing w:before="156" w:beforeLines="50" w:line="400" w:lineRule="exact"/>
              <w:jc w:val="center"/>
              <w:rPr>
                <w:rFonts w:hint="eastAsia" w:ascii="宋体" w:hAnsi="宋体"/>
                <w:color w:val="auto"/>
                <w:szCs w:val="21"/>
                <w:highlight w:val="none"/>
              </w:rPr>
            </w:pPr>
            <w:r>
              <w:rPr>
                <w:rFonts w:hint="eastAsia" w:ascii="宋体" w:hAnsi="宋体"/>
                <w:color w:val="auto"/>
                <w:szCs w:val="21"/>
                <w:highlight w:val="none"/>
              </w:rPr>
              <w:t>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调整</w:t>
            </w:r>
          </w:p>
          <w:p w14:paraId="1829089F">
            <w:pPr>
              <w:adjustRightInd w:val="0"/>
              <w:snapToGrid w:val="0"/>
              <w:spacing w:before="156" w:beforeLines="50" w:line="400" w:lineRule="exact"/>
              <w:jc w:val="center"/>
              <w:rPr>
                <w:rFonts w:hint="eastAsia" w:ascii="宋体" w:hAnsi="宋体" w:cs="宋体"/>
                <w:bCs/>
                <w:color w:val="auto"/>
                <w:kern w:val="0"/>
                <w:szCs w:val="21"/>
                <w:highlight w:val="none"/>
              </w:rPr>
            </w:pPr>
          </w:p>
        </w:tc>
        <w:tc>
          <w:tcPr>
            <w:tcW w:w="5186" w:type="dxa"/>
            <w:vAlign w:val="center"/>
          </w:tcPr>
          <w:p w14:paraId="793C8D95">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符合政府采购政策分值调整：</w:t>
            </w:r>
          </w:p>
          <w:p w14:paraId="23107475">
            <w:pPr>
              <w:numPr>
                <w:ilvl w:val="0"/>
                <w:numId w:val="2"/>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节能产品：</w:t>
            </w:r>
          </w:p>
          <w:p w14:paraId="49507290">
            <w:pPr>
              <w:adjustRightInd w:val="0"/>
              <w:snapToGrid w:val="0"/>
              <w:spacing w:line="400" w:lineRule="exact"/>
              <w:ind w:firstLine="105" w:firstLineChars="50"/>
              <w:rPr>
                <w:rFonts w:hint="eastAsia" w:ascii="宋体" w:hAnsi="宋体"/>
                <w:color w:val="auto"/>
                <w:szCs w:val="21"/>
                <w:highlight w:val="none"/>
              </w:rPr>
            </w:pPr>
            <w:r>
              <w:rPr>
                <w:rFonts w:hint="eastAsia" w:ascii="宋体" w:hAnsi="宋体"/>
                <w:color w:val="auto"/>
                <w:szCs w:val="21"/>
                <w:highlight w:val="none"/>
              </w:rPr>
              <w:t>技术加分＝技术分值× 加分比例（比例见前附表,下同）×（节能产品最后报价÷最后总报价）；</w:t>
            </w:r>
          </w:p>
          <w:p w14:paraId="2E47D1C9">
            <w:pPr>
              <w:adjustRightInd w:val="0"/>
              <w:snapToGrid w:val="0"/>
              <w:spacing w:line="400" w:lineRule="exact"/>
              <w:ind w:left="315" w:leftChars="50" w:hanging="210" w:hangingChars="100"/>
              <w:rPr>
                <w:rFonts w:hint="eastAsia" w:ascii="宋体" w:hAnsi="宋体"/>
                <w:color w:val="auto"/>
                <w:szCs w:val="21"/>
                <w:highlight w:val="none"/>
              </w:rPr>
            </w:pPr>
            <w:r>
              <w:rPr>
                <w:rFonts w:hint="eastAsia" w:ascii="宋体" w:hAnsi="宋体"/>
                <w:color w:val="auto"/>
                <w:szCs w:val="21"/>
                <w:highlight w:val="none"/>
              </w:rPr>
              <w:t>价格加分＝价格分值×加分比例×（节能产品最后报价÷最后总报价）。</w:t>
            </w:r>
          </w:p>
          <w:p w14:paraId="1447CCD6">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2、环境标志产品：</w:t>
            </w:r>
          </w:p>
          <w:p w14:paraId="2189E5CA">
            <w:pPr>
              <w:adjustRightInd w:val="0"/>
              <w:snapToGrid w:val="0"/>
              <w:spacing w:line="400" w:lineRule="exact"/>
              <w:ind w:firstLine="105" w:firstLineChars="50"/>
              <w:rPr>
                <w:rFonts w:hint="eastAsia" w:ascii="宋体" w:hAnsi="宋体"/>
                <w:color w:val="auto"/>
                <w:szCs w:val="21"/>
                <w:highlight w:val="none"/>
              </w:rPr>
            </w:pPr>
            <w:r>
              <w:rPr>
                <w:rFonts w:hint="eastAsia" w:ascii="宋体" w:hAnsi="宋体"/>
                <w:color w:val="auto"/>
                <w:szCs w:val="21"/>
                <w:highlight w:val="none"/>
              </w:rPr>
              <w:t>技术加分＝技术分值× 加分比例×（环境标志产品最后报价÷最后总报价）；</w:t>
            </w:r>
          </w:p>
          <w:p w14:paraId="42414B20">
            <w:pPr>
              <w:adjustRightInd w:val="0"/>
              <w:snapToGrid w:val="0"/>
              <w:spacing w:line="400" w:lineRule="exact"/>
              <w:ind w:left="315" w:leftChars="50" w:hanging="210" w:hangingChars="100"/>
              <w:rPr>
                <w:rFonts w:hint="eastAsia" w:ascii="宋体" w:hAnsi="宋体"/>
                <w:color w:val="auto"/>
                <w:szCs w:val="21"/>
                <w:highlight w:val="none"/>
              </w:rPr>
            </w:pPr>
            <w:r>
              <w:rPr>
                <w:rFonts w:hint="eastAsia" w:ascii="宋体" w:hAnsi="宋体"/>
                <w:color w:val="auto"/>
                <w:szCs w:val="21"/>
                <w:highlight w:val="none"/>
              </w:rPr>
              <w:t>价格加分＝价格分值×加分比例×（环境标志产品最后报价÷最后总报价）。</w:t>
            </w:r>
          </w:p>
        </w:tc>
      </w:tr>
      <w:tr w14:paraId="6F5150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40297E10">
            <w:pPr>
              <w:adjustRightInd w:val="0"/>
              <w:snapToGrid w:val="0"/>
              <w:spacing w:line="320" w:lineRule="exact"/>
              <w:jc w:val="center"/>
              <w:rPr>
                <w:rFonts w:hint="eastAsia" w:ascii="宋体" w:hAnsi="宋体"/>
                <w:color w:val="auto"/>
                <w:szCs w:val="21"/>
                <w:highlight w:val="none"/>
              </w:rPr>
            </w:pPr>
          </w:p>
        </w:tc>
        <w:tc>
          <w:tcPr>
            <w:tcW w:w="1815" w:type="dxa"/>
            <w:vAlign w:val="center"/>
          </w:tcPr>
          <w:p w14:paraId="12D606EE">
            <w:pPr>
              <w:adjustRightInd w:val="0"/>
              <w:snapToGrid w:val="0"/>
              <w:spacing w:line="360" w:lineRule="exact"/>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相同品牌产品评审得分相同的规定</w:t>
            </w:r>
          </w:p>
        </w:tc>
        <w:tc>
          <w:tcPr>
            <w:tcW w:w="5186" w:type="dxa"/>
            <w:vAlign w:val="center"/>
          </w:tcPr>
          <w:p w14:paraId="37D48724">
            <w:pPr>
              <w:adjustRightInd w:val="0"/>
              <w:snapToGrid w:val="0"/>
              <w:spacing w:line="360" w:lineRule="exact"/>
              <w:jc w:val="left"/>
              <w:rPr>
                <w:rFonts w:hint="eastAsia" w:ascii="宋体" w:hAnsi="宋体"/>
                <w:color w:val="auto"/>
                <w:szCs w:val="21"/>
                <w:highlight w:val="none"/>
              </w:rPr>
            </w:pPr>
            <w:r>
              <w:rPr>
                <w:rFonts w:ascii="宋体" w:hAnsi="宋体"/>
                <w:color w:val="auto"/>
                <w:szCs w:val="21"/>
                <w:highlight w:val="none"/>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r>
              <w:rPr>
                <w:rFonts w:hint="eastAsia" w:ascii="宋体" w:hAnsi="宋体"/>
                <w:color w:val="auto"/>
                <w:szCs w:val="21"/>
                <w:highlight w:val="none"/>
              </w:rPr>
              <w:t>。</w:t>
            </w:r>
          </w:p>
        </w:tc>
      </w:tr>
      <w:tr w14:paraId="0313F9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1D7C2350">
            <w:pPr>
              <w:adjustRightInd w:val="0"/>
              <w:snapToGrid w:val="0"/>
              <w:spacing w:line="320" w:lineRule="exact"/>
              <w:jc w:val="center"/>
              <w:rPr>
                <w:rFonts w:hint="eastAsia" w:ascii="宋体" w:hAnsi="宋体"/>
                <w:color w:val="auto"/>
                <w:szCs w:val="21"/>
                <w:highlight w:val="none"/>
              </w:rPr>
            </w:pPr>
          </w:p>
        </w:tc>
        <w:tc>
          <w:tcPr>
            <w:tcW w:w="1815" w:type="dxa"/>
            <w:vAlign w:val="center"/>
          </w:tcPr>
          <w:p w14:paraId="3E636A63">
            <w:pPr>
              <w:adjustRightInd w:val="0"/>
              <w:snapToGrid w:val="0"/>
              <w:spacing w:line="360" w:lineRule="exact"/>
              <w:jc w:val="center"/>
              <w:rPr>
                <w:rFonts w:hint="eastAsia" w:ascii="宋体" w:hAnsi="宋体" w:cs="宋体"/>
                <w:bCs/>
                <w:color w:val="auto"/>
                <w:kern w:val="0"/>
                <w:szCs w:val="21"/>
                <w:highlight w:val="none"/>
              </w:rPr>
            </w:pPr>
            <w:r>
              <w:rPr>
                <w:rFonts w:hint="eastAsia" w:ascii="宋体" w:hAnsi="宋体" w:cs="宋体"/>
                <w:color w:val="auto"/>
                <w:szCs w:val="22"/>
                <w:highlight w:val="none"/>
              </w:rPr>
              <w:t>非单一产品采购项目的核心产品</w:t>
            </w:r>
          </w:p>
        </w:tc>
        <w:tc>
          <w:tcPr>
            <w:tcW w:w="5186" w:type="dxa"/>
            <w:vAlign w:val="center"/>
          </w:tcPr>
          <w:p w14:paraId="06F525E5">
            <w:pPr>
              <w:adjustRightInd w:val="0"/>
              <w:snapToGrid w:val="0"/>
              <w:spacing w:line="360" w:lineRule="exact"/>
              <w:rPr>
                <w:rFonts w:hint="eastAsia" w:ascii="宋体" w:hAnsi="宋体"/>
                <w:b/>
                <w:bCs/>
                <w:color w:val="auto"/>
                <w:szCs w:val="22"/>
                <w:highlight w:val="none"/>
                <w:u w:val="single"/>
              </w:rPr>
            </w:pPr>
            <w:r>
              <w:rPr>
                <w:rFonts w:hint="eastAsia" w:ascii="宋体" w:hAnsi="宋体"/>
                <w:b/>
                <w:bCs/>
                <w:color w:val="auto"/>
                <w:szCs w:val="22"/>
                <w:highlight w:val="none"/>
              </w:rPr>
              <w:t>本项目为非单一产品采购项目，核心产品为：</w:t>
            </w:r>
            <w:r>
              <w:rPr>
                <w:rFonts w:hint="eastAsia" w:ascii="宋体" w:hAnsi="宋体"/>
                <w:b/>
                <w:bCs/>
                <w:color w:val="auto"/>
                <w:szCs w:val="22"/>
                <w:highlight w:val="none"/>
                <w:u w:val="single"/>
              </w:rPr>
              <w:t>育种加速仓</w:t>
            </w:r>
            <w:r>
              <w:rPr>
                <w:rFonts w:hint="eastAsia" w:ascii="宋体" w:hAnsi="宋体"/>
                <w:b/>
                <w:bCs/>
                <w:color w:val="auto"/>
                <w:szCs w:val="22"/>
                <w:highlight w:val="none"/>
                <w:u w:val="single"/>
                <w:lang w:eastAsia="zh-CN"/>
              </w:rPr>
              <w:t>、</w:t>
            </w:r>
            <w:r>
              <w:rPr>
                <w:rFonts w:hint="eastAsia" w:ascii="宋体" w:hAnsi="宋体"/>
                <w:b/>
                <w:bCs/>
                <w:color w:val="auto"/>
                <w:szCs w:val="22"/>
                <w:highlight w:val="none"/>
                <w:u w:val="single"/>
              </w:rPr>
              <w:t>智能考种分析系统</w:t>
            </w:r>
            <w:r>
              <w:rPr>
                <w:rFonts w:hint="eastAsia" w:ascii="宋体" w:hAnsi="宋体"/>
                <w:b/>
                <w:bCs/>
                <w:color w:val="auto"/>
                <w:szCs w:val="22"/>
                <w:highlight w:val="none"/>
                <w:u w:val="single"/>
                <w:lang w:eastAsia="zh-CN"/>
              </w:rPr>
              <w:t>、</w:t>
            </w:r>
            <w:r>
              <w:rPr>
                <w:rFonts w:hint="eastAsia" w:ascii="宋体" w:hAnsi="宋体"/>
                <w:b/>
                <w:bCs/>
                <w:color w:val="auto"/>
                <w:szCs w:val="22"/>
                <w:highlight w:val="none"/>
                <w:u w:val="single"/>
              </w:rPr>
              <w:t>冷冻干燥机</w:t>
            </w:r>
            <w:r>
              <w:rPr>
                <w:rFonts w:hint="eastAsia" w:ascii="宋体" w:hAnsi="宋体"/>
                <w:b/>
                <w:bCs/>
                <w:color w:val="auto"/>
                <w:szCs w:val="22"/>
                <w:highlight w:val="none"/>
                <w:u w:val="single"/>
                <w:lang w:val="en-US" w:eastAsia="zh-CN"/>
              </w:rPr>
              <w:t xml:space="preserve"> </w:t>
            </w:r>
          </w:p>
          <w:p w14:paraId="05BB7213">
            <w:pPr>
              <w:adjustRightInd w:val="0"/>
              <w:snapToGrid w:val="0"/>
              <w:spacing w:line="360" w:lineRule="exact"/>
              <w:rPr>
                <w:rFonts w:hint="eastAsia" w:ascii="宋体" w:hAnsi="宋体"/>
                <w:color w:val="auto"/>
                <w:szCs w:val="21"/>
                <w:highlight w:val="none"/>
              </w:rPr>
            </w:pPr>
            <w:r>
              <w:rPr>
                <w:rFonts w:hint="eastAsia" w:ascii="宋体" w:hAnsi="宋体"/>
                <w:color w:val="auto"/>
                <w:szCs w:val="22"/>
                <w:highlight w:val="none"/>
              </w:rPr>
              <w:t>不同供应商参加同一项目不同包投标时，以上核心产品提供相同品牌产品且均通过资格审查、符合性审查的，在统计供应商数量时，作为一个供应商计算。</w:t>
            </w:r>
          </w:p>
        </w:tc>
      </w:tr>
      <w:tr w14:paraId="131AF6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30445463">
            <w:pPr>
              <w:adjustRightInd w:val="0"/>
              <w:snapToGrid w:val="0"/>
              <w:spacing w:line="320" w:lineRule="exact"/>
              <w:jc w:val="center"/>
              <w:rPr>
                <w:rFonts w:hint="eastAsia" w:ascii="宋体" w:hAnsi="宋体"/>
                <w:color w:val="auto"/>
                <w:szCs w:val="21"/>
                <w:highlight w:val="none"/>
              </w:rPr>
            </w:pPr>
          </w:p>
        </w:tc>
        <w:tc>
          <w:tcPr>
            <w:tcW w:w="1815" w:type="dxa"/>
            <w:vAlign w:val="center"/>
          </w:tcPr>
          <w:p w14:paraId="48661636">
            <w:pPr>
              <w:adjustRightInd w:val="0"/>
              <w:snapToGrid w:val="0"/>
              <w:spacing w:before="156" w:beforeLines="50" w:line="400" w:lineRule="exact"/>
              <w:rPr>
                <w:rFonts w:hint="eastAsia" w:ascii="宋体" w:hAnsi="宋体" w:cs="宋体"/>
                <w:color w:val="auto"/>
                <w:szCs w:val="22"/>
                <w:highlight w:val="none"/>
              </w:rPr>
            </w:pPr>
            <w:r>
              <w:rPr>
                <w:rFonts w:hint="eastAsia" w:ascii="宋体" w:hAnsi="宋体"/>
                <w:color w:val="auto"/>
                <w:szCs w:val="21"/>
                <w:highlight w:val="none"/>
              </w:rPr>
              <w:t>信用查询</w:t>
            </w:r>
          </w:p>
        </w:tc>
        <w:tc>
          <w:tcPr>
            <w:tcW w:w="5186" w:type="dxa"/>
            <w:vAlign w:val="center"/>
          </w:tcPr>
          <w:p w14:paraId="0F6EE199">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根据《湖南省财政厅关于做好政府采购有关信用主体标识码登记及在政府采购活动中查询使用信用记录有关问题的通知》湘财购[2017]2号文要求，对列入失信被执行人、重大税收违法案件当事人名单、政府采购严重违法失信行为记录名单及其他不符合《中华人民共和国政府采购法》第二十二条规定条件的供应商，应当拒绝其参与政府采购活动。</w:t>
            </w:r>
          </w:p>
          <w:p w14:paraId="2BD1651A">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B206AF8">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信用信息查询的查询渠道：“信用中国”网站（www.creditchina.gov.cn）、中国政府采购网（www.ccgp.gov.cn）。</w:t>
            </w:r>
          </w:p>
          <w:p w14:paraId="45B45B60">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信用信息查询的截止时点：至本项目首次响应文件的提交截止时间止。</w:t>
            </w:r>
          </w:p>
          <w:p w14:paraId="33223CF4">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信用信息查询记录的具体方式：由采购人或采购代理机构在规定的查询渠道进行查询。</w:t>
            </w:r>
          </w:p>
          <w:p w14:paraId="438936A1">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信用信息查询记录证据留存的具体方式：查询记录的网上打印件。</w:t>
            </w:r>
          </w:p>
          <w:p w14:paraId="02019E1A">
            <w:pPr>
              <w:adjustRightInd w:val="0"/>
              <w:snapToGrid w:val="0"/>
              <w:spacing w:line="360" w:lineRule="exact"/>
              <w:rPr>
                <w:rFonts w:hint="eastAsia" w:ascii="宋体" w:hAnsi="宋体"/>
                <w:color w:val="auto"/>
                <w:szCs w:val="22"/>
                <w:highlight w:val="none"/>
              </w:rPr>
            </w:pPr>
            <w:r>
              <w:rPr>
                <w:rFonts w:hint="eastAsia" w:ascii="宋体" w:hAnsi="宋体"/>
                <w:color w:val="auto"/>
                <w:szCs w:val="22"/>
                <w:highlight w:val="none"/>
              </w:rPr>
              <w:t>信用信息的使用规则：留存备查。</w:t>
            </w:r>
          </w:p>
        </w:tc>
      </w:tr>
    </w:tbl>
    <w:p w14:paraId="0C65046A">
      <w:pPr>
        <w:rPr>
          <w:rFonts w:ascii="黑体" w:eastAsia="黑体"/>
          <w:color w:val="auto"/>
          <w:sz w:val="24"/>
          <w:highlight w:val="none"/>
        </w:rPr>
      </w:pPr>
      <w:r>
        <w:rPr>
          <w:rFonts w:ascii="黑体" w:eastAsia="黑体"/>
          <w:color w:val="auto"/>
          <w:sz w:val="24"/>
          <w:highlight w:val="none"/>
        </w:rPr>
        <w:br w:type="page"/>
      </w:r>
      <w:r>
        <w:rPr>
          <w:rFonts w:hint="eastAsia" w:ascii="宋体" w:hAnsi="宋体"/>
          <w:b/>
          <w:bCs/>
          <w:color w:val="auto"/>
          <w:szCs w:val="21"/>
          <w:highlight w:val="none"/>
        </w:rPr>
        <w:t>附页</w:t>
      </w:r>
      <w:r>
        <w:rPr>
          <w:rFonts w:ascii="宋体" w:hAnsi="宋体"/>
          <w:b/>
          <w:bCs/>
          <w:color w:val="auto"/>
          <w:szCs w:val="21"/>
          <w:highlight w:val="none"/>
        </w:rPr>
        <w:t>1</w:t>
      </w:r>
    </w:p>
    <w:p w14:paraId="1A670BDC">
      <w:pPr>
        <w:adjustRightInd w:val="0"/>
        <w:snapToGrid w:val="0"/>
        <w:spacing w:line="360" w:lineRule="auto"/>
        <w:jc w:val="center"/>
        <w:rPr>
          <w:rFonts w:ascii="宋体"/>
          <w:b/>
          <w:bCs/>
          <w:color w:val="auto"/>
          <w:sz w:val="28"/>
          <w:szCs w:val="28"/>
          <w:highlight w:val="none"/>
        </w:rPr>
      </w:pPr>
      <w:r>
        <w:rPr>
          <w:rFonts w:hint="eastAsia" w:ascii="宋体" w:hAnsi="宋体" w:cs="宋体"/>
          <w:b/>
          <w:bCs/>
          <w:color w:val="auto"/>
          <w:kern w:val="0"/>
          <w:sz w:val="28"/>
          <w:szCs w:val="28"/>
          <w:highlight w:val="none"/>
        </w:rPr>
        <w:t>湖南省采购支持中小企业融资合作银行及联系人名单</w:t>
      </w:r>
    </w:p>
    <w:tbl>
      <w:tblPr>
        <w:tblStyle w:val="42"/>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2DE69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tcBorders>
              <w:top w:val="double" w:color="auto" w:sz="4" w:space="0"/>
            </w:tcBorders>
            <w:vAlign w:val="center"/>
          </w:tcPr>
          <w:p w14:paraId="7E3EB6FB">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银行名称</w:t>
            </w:r>
          </w:p>
        </w:tc>
        <w:tc>
          <w:tcPr>
            <w:tcW w:w="1080" w:type="dxa"/>
            <w:tcBorders>
              <w:top w:val="double" w:color="auto" w:sz="4" w:space="0"/>
            </w:tcBorders>
            <w:vAlign w:val="center"/>
          </w:tcPr>
          <w:p w14:paraId="46FEC700">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联系人</w:t>
            </w:r>
          </w:p>
        </w:tc>
        <w:tc>
          <w:tcPr>
            <w:tcW w:w="3060" w:type="dxa"/>
            <w:tcBorders>
              <w:top w:val="double" w:color="auto" w:sz="4" w:space="0"/>
            </w:tcBorders>
            <w:vAlign w:val="center"/>
          </w:tcPr>
          <w:p w14:paraId="372522BE">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职</w:t>
            </w:r>
            <w:r>
              <w:rPr>
                <w:rFonts w:ascii="宋体" w:cs="宋体"/>
                <w:b/>
                <w:bCs/>
                <w:color w:val="auto"/>
                <w:kern w:val="0"/>
                <w:szCs w:val="21"/>
                <w:highlight w:val="none"/>
              </w:rPr>
              <w:t> </w:t>
            </w:r>
            <w:r>
              <w:rPr>
                <w:rFonts w:hint="eastAsia" w:ascii="宋体" w:hAnsi="宋体" w:cs="宋体"/>
                <w:b/>
                <w:bCs/>
                <w:color w:val="auto"/>
                <w:kern w:val="0"/>
                <w:szCs w:val="21"/>
                <w:highlight w:val="none"/>
              </w:rPr>
              <w:t>务</w:t>
            </w:r>
          </w:p>
        </w:tc>
        <w:tc>
          <w:tcPr>
            <w:tcW w:w="2340" w:type="dxa"/>
            <w:tcBorders>
              <w:top w:val="double" w:color="auto" w:sz="4" w:space="0"/>
            </w:tcBorders>
            <w:vAlign w:val="center"/>
          </w:tcPr>
          <w:p w14:paraId="26B2A166">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联系电话</w:t>
            </w:r>
          </w:p>
        </w:tc>
      </w:tr>
      <w:tr w14:paraId="7B23A2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038B2620">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0C4254E6">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刘</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波</w:t>
            </w:r>
          </w:p>
        </w:tc>
        <w:tc>
          <w:tcPr>
            <w:tcW w:w="3060" w:type="dxa"/>
            <w:vAlign w:val="center"/>
          </w:tcPr>
          <w:p w14:paraId="67BFA2AA">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名城支行客户经理</w:t>
            </w:r>
          </w:p>
        </w:tc>
        <w:tc>
          <w:tcPr>
            <w:tcW w:w="2340" w:type="dxa"/>
            <w:vAlign w:val="center"/>
          </w:tcPr>
          <w:p w14:paraId="3DD04CE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13874998873</w:t>
            </w:r>
          </w:p>
        </w:tc>
      </w:tr>
      <w:tr w14:paraId="71DEDC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2112354D">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52939C6B">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肖勇光</w:t>
            </w:r>
          </w:p>
        </w:tc>
        <w:tc>
          <w:tcPr>
            <w:tcW w:w="3060" w:type="dxa"/>
            <w:vAlign w:val="center"/>
          </w:tcPr>
          <w:p w14:paraId="03E49FB9">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分行高级经理</w:t>
            </w:r>
          </w:p>
        </w:tc>
        <w:tc>
          <w:tcPr>
            <w:tcW w:w="2340" w:type="dxa"/>
            <w:vAlign w:val="center"/>
          </w:tcPr>
          <w:p w14:paraId="74D0306E">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13755192647</w:t>
            </w:r>
          </w:p>
        </w:tc>
      </w:tr>
      <w:tr w14:paraId="46ECB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DCF5330">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65B7041E">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黄飞燕</w:t>
            </w:r>
          </w:p>
        </w:tc>
        <w:tc>
          <w:tcPr>
            <w:tcW w:w="3060" w:type="dxa"/>
            <w:vAlign w:val="center"/>
          </w:tcPr>
          <w:p w14:paraId="3925EF21">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营业部总经理</w:t>
            </w:r>
          </w:p>
        </w:tc>
        <w:tc>
          <w:tcPr>
            <w:tcW w:w="2340" w:type="dxa"/>
            <w:vAlign w:val="center"/>
          </w:tcPr>
          <w:p w14:paraId="7F53A4F8">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13308463468</w:t>
            </w:r>
          </w:p>
        </w:tc>
      </w:tr>
      <w:tr w14:paraId="6E8C9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178B05E">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0E12A65F">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蒋寒奇</w:t>
            </w:r>
          </w:p>
        </w:tc>
        <w:tc>
          <w:tcPr>
            <w:tcW w:w="3060" w:type="dxa"/>
            <w:vAlign w:val="center"/>
          </w:tcPr>
          <w:p w14:paraId="7C85420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营业部中小企业客户经理</w:t>
            </w:r>
          </w:p>
        </w:tc>
        <w:tc>
          <w:tcPr>
            <w:tcW w:w="2340" w:type="dxa"/>
            <w:vAlign w:val="center"/>
          </w:tcPr>
          <w:p w14:paraId="1F43291A">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13548982975</w:t>
            </w:r>
          </w:p>
        </w:tc>
      </w:tr>
      <w:tr w14:paraId="7F8AC9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220EF2A5">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327F6F65">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刘栅延</w:t>
            </w:r>
          </w:p>
        </w:tc>
        <w:tc>
          <w:tcPr>
            <w:tcW w:w="3060" w:type="dxa"/>
            <w:vAlign w:val="center"/>
          </w:tcPr>
          <w:p w14:paraId="5DE14C2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支行行长</w:t>
            </w:r>
          </w:p>
        </w:tc>
        <w:tc>
          <w:tcPr>
            <w:tcW w:w="2340" w:type="dxa"/>
            <w:vAlign w:val="center"/>
          </w:tcPr>
          <w:p w14:paraId="27338BE6">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13337316405</w:t>
            </w:r>
          </w:p>
        </w:tc>
      </w:tr>
      <w:tr w14:paraId="728196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0A63F023">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37001933">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蒋修远</w:t>
            </w:r>
          </w:p>
        </w:tc>
        <w:tc>
          <w:tcPr>
            <w:tcW w:w="3060" w:type="dxa"/>
            <w:vAlign w:val="center"/>
          </w:tcPr>
          <w:p w14:paraId="19D392FF">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支行客户经理</w:t>
            </w:r>
          </w:p>
        </w:tc>
        <w:tc>
          <w:tcPr>
            <w:tcW w:w="2340" w:type="dxa"/>
            <w:vAlign w:val="center"/>
          </w:tcPr>
          <w:p w14:paraId="64BAEF77">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18607310422</w:t>
            </w:r>
          </w:p>
        </w:tc>
      </w:tr>
      <w:tr w14:paraId="7A099F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706CFB6B">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中国光大银行长沙分行</w:t>
            </w:r>
          </w:p>
        </w:tc>
        <w:tc>
          <w:tcPr>
            <w:tcW w:w="1080" w:type="dxa"/>
            <w:vAlign w:val="center"/>
          </w:tcPr>
          <w:p w14:paraId="1FF63BAC">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邓永胜</w:t>
            </w:r>
          </w:p>
        </w:tc>
        <w:tc>
          <w:tcPr>
            <w:tcW w:w="3060" w:type="dxa"/>
            <w:vAlign w:val="center"/>
          </w:tcPr>
          <w:p w14:paraId="445BFC71">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岳麓支行副行长</w:t>
            </w:r>
          </w:p>
        </w:tc>
        <w:tc>
          <w:tcPr>
            <w:tcW w:w="2340" w:type="dxa"/>
            <w:vAlign w:val="center"/>
          </w:tcPr>
          <w:p w14:paraId="17F0556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13617319650</w:t>
            </w:r>
          </w:p>
        </w:tc>
      </w:tr>
      <w:tr w14:paraId="6F49D3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5E3C6D1F">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4F333579">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蔡学军</w:t>
            </w:r>
          </w:p>
        </w:tc>
        <w:tc>
          <w:tcPr>
            <w:tcW w:w="3060" w:type="dxa"/>
            <w:vAlign w:val="center"/>
          </w:tcPr>
          <w:p w14:paraId="7A973C6B">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公司银行部负责人</w:t>
            </w:r>
          </w:p>
        </w:tc>
        <w:tc>
          <w:tcPr>
            <w:tcW w:w="2340" w:type="dxa"/>
            <w:vAlign w:val="center"/>
          </w:tcPr>
          <w:p w14:paraId="16F5D06E">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13055167195</w:t>
            </w:r>
          </w:p>
        </w:tc>
      </w:tr>
      <w:tr w14:paraId="657C4A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tcBorders>
              <w:bottom w:val="double" w:color="auto" w:sz="4" w:space="0"/>
            </w:tcBorders>
            <w:vAlign w:val="center"/>
          </w:tcPr>
          <w:p w14:paraId="7E4A1A70">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中信银行长沙分行</w:t>
            </w:r>
          </w:p>
        </w:tc>
        <w:tc>
          <w:tcPr>
            <w:tcW w:w="1080" w:type="dxa"/>
            <w:tcBorders>
              <w:bottom w:val="double" w:color="auto" w:sz="4" w:space="0"/>
            </w:tcBorders>
            <w:vAlign w:val="center"/>
          </w:tcPr>
          <w:p w14:paraId="7BE53A49">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宋学农</w:t>
            </w:r>
          </w:p>
        </w:tc>
        <w:tc>
          <w:tcPr>
            <w:tcW w:w="3060" w:type="dxa"/>
            <w:tcBorders>
              <w:bottom w:val="double" w:color="auto" w:sz="4" w:space="0"/>
            </w:tcBorders>
            <w:vAlign w:val="center"/>
          </w:tcPr>
          <w:p w14:paraId="23FA0F9D">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银行部综合管理部副总经理</w:t>
            </w:r>
          </w:p>
        </w:tc>
        <w:tc>
          <w:tcPr>
            <w:tcW w:w="2340" w:type="dxa"/>
            <w:tcBorders>
              <w:bottom w:val="double" w:color="auto" w:sz="4" w:space="0"/>
            </w:tcBorders>
            <w:vAlign w:val="center"/>
          </w:tcPr>
          <w:p w14:paraId="4B35AEB6">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0731-845822141</w:t>
            </w:r>
          </w:p>
        </w:tc>
      </w:tr>
    </w:tbl>
    <w:p w14:paraId="6C371DFA">
      <w:pPr>
        <w:adjustRightInd w:val="0"/>
        <w:snapToGrid w:val="0"/>
        <w:spacing w:line="360" w:lineRule="auto"/>
        <w:rPr>
          <w:rFonts w:ascii="宋体"/>
          <w:b/>
          <w:bCs/>
          <w:color w:val="auto"/>
          <w:szCs w:val="21"/>
          <w:highlight w:val="none"/>
        </w:rPr>
      </w:pPr>
    </w:p>
    <w:p w14:paraId="1985FA68">
      <w:pPr>
        <w:adjustRightInd w:val="0"/>
        <w:snapToGrid w:val="0"/>
        <w:spacing w:line="360" w:lineRule="auto"/>
        <w:rPr>
          <w:rFonts w:ascii="宋体"/>
          <w:b/>
          <w:bCs/>
          <w:color w:val="auto"/>
          <w:szCs w:val="21"/>
          <w:highlight w:val="none"/>
        </w:rPr>
      </w:pPr>
      <w:r>
        <w:rPr>
          <w:rFonts w:hint="eastAsia" w:ascii="宋体" w:hAnsi="宋体"/>
          <w:b/>
          <w:bCs/>
          <w:color w:val="auto"/>
          <w:szCs w:val="21"/>
          <w:highlight w:val="none"/>
        </w:rPr>
        <w:t>附页</w:t>
      </w:r>
      <w:r>
        <w:rPr>
          <w:rFonts w:ascii="宋体" w:hAnsi="宋体"/>
          <w:b/>
          <w:bCs/>
          <w:color w:val="auto"/>
          <w:szCs w:val="21"/>
          <w:highlight w:val="none"/>
        </w:rPr>
        <w:t>2</w:t>
      </w:r>
    </w:p>
    <w:p w14:paraId="43E4218D">
      <w:pPr>
        <w:adjustRightInd w:val="0"/>
        <w:snapToGrid w:val="0"/>
        <w:spacing w:line="360" w:lineRule="auto"/>
        <w:jc w:val="center"/>
        <w:rPr>
          <w:rFonts w:ascii="宋体"/>
          <w:b/>
          <w:bCs/>
          <w:color w:val="auto"/>
          <w:sz w:val="28"/>
          <w:szCs w:val="28"/>
          <w:highlight w:val="none"/>
        </w:rPr>
      </w:pPr>
      <w:r>
        <w:rPr>
          <w:rFonts w:hint="eastAsia" w:ascii="宋体" w:hAnsi="宋体" w:cs="宋体"/>
          <w:b/>
          <w:bCs/>
          <w:color w:val="auto"/>
          <w:kern w:val="0"/>
          <w:sz w:val="28"/>
          <w:szCs w:val="28"/>
          <w:highlight w:val="none"/>
        </w:rPr>
        <w:t>湖南省采购信用担保试点工作的</w:t>
      </w:r>
      <w:r>
        <w:rPr>
          <w:rFonts w:hint="eastAsia" w:ascii="宋体" w:hAnsi="宋体"/>
          <w:b/>
          <w:color w:val="auto"/>
          <w:sz w:val="28"/>
          <w:szCs w:val="28"/>
          <w:highlight w:val="none"/>
        </w:rPr>
        <w:t>信用担保机构名单</w:t>
      </w:r>
    </w:p>
    <w:tbl>
      <w:tblPr>
        <w:tblStyle w:val="42"/>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3A8CC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tcBorders>
              <w:top w:val="double" w:color="auto" w:sz="4" w:space="0"/>
            </w:tcBorders>
            <w:vAlign w:val="center"/>
          </w:tcPr>
          <w:p w14:paraId="21E7F9CA">
            <w:pPr>
              <w:adjustRightInd w:val="0"/>
              <w:snapToGrid w:val="0"/>
              <w:spacing w:line="280" w:lineRule="exact"/>
              <w:jc w:val="center"/>
              <w:rPr>
                <w:rFonts w:ascii="宋体" w:cs="宋体"/>
                <w:b/>
                <w:bCs/>
                <w:color w:val="auto"/>
                <w:kern w:val="0"/>
                <w:szCs w:val="21"/>
                <w:highlight w:val="none"/>
              </w:rPr>
            </w:pPr>
            <w:r>
              <w:rPr>
                <w:rFonts w:hint="eastAsia" w:ascii="宋体" w:hAnsi="宋体"/>
                <w:b/>
                <w:color w:val="auto"/>
                <w:szCs w:val="21"/>
                <w:highlight w:val="none"/>
              </w:rPr>
              <w:t>信用担保机构</w:t>
            </w:r>
          </w:p>
        </w:tc>
        <w:tc>
          <w:tcPr>
            <w:tcW w:w="1080" w:type="dxa"/>
            <w:tcBorders>
              <w:top w:val="double" w:color="auto" w:sz="4" w:space="0"/>
            </w:tcBorders>
            <w:vAlign w:val="center"/>
          </w:tcPr>
          <w:p w14:paraId="5B666C82">
            <w:pPr>
              <w:adjustRightInd w:val="0"/>
              <w:snapToGrid w:val="0"/>
              <w:spacing w:line="280" w:lineRule="exact"/>
              <w:jc w:val="center"/>
              <w:rPr>
                <w:rFonts w:ascii="宋体" w:cs="宋体"/>
                <w:b/>
                <w:bCs/>
                <w:color w:val="auto"/>
                <w:kern w:val="0"/>
                <w:szCs w:val="21"/>
                <w:highlight w:val="none"/>
              </w:rPr>
            </w:pPr>
            <w:r>
              <w:rPr>
                <w:rFonts w:hint="eastAsia" w:ascii="宋体" w:hAnsi="宋体"/>
                <w:b/>
                <w:color w:val="auto"/>
                <w:szCs w:val="21"/>
                <w:highlight w:val="none"/>
              </w:rPr>
              <w:t>联系人</w:t>
            </w:r>
          </w:p>
        </w:tc>
        <w:tc>
          <w:tcPr>
            <w:tcW w:w="3780" w:type="dxa"/>
            <w:tcBorders>
              <w:top w:val="double" w:color="auto" w:sz="4" w:space="0"/>
            </w:tcBorders>
            <w:vAlign w:val="center"/>
          </w:tcPr>
          <w:p w14:paraId="035DA4ED">
            <w:pPr>
              <w:adjustRightInd w:val="0"/>
              <w:snapToGrid w:val="0"/>
              <w:spacing w:line="280" w:lineRule="exact"/>
              <w:jc w:val="center"/>
              <w:rPr>
                <w:rFonts w:ascii="宋体" w:cs="宋体"/>
                <w:b/>
                <w:bCs/>
                <w:color w:val="auto"/>
                <w:kern w:val="0"/>
                <w:szCs w:val="21"/>
                <w:highlight w:val="none"/>
              </w:rPr>
            </w:pPr>
            <w:r>
              <w:rPr>
                <w:rFonts w:hint="eastAsia" w:ascii="宋体" w:hAnsi="宋体"/>
                <w:b/>
                <w:color w:val="auto"/>
                <w:szCs w:val="21"/>
                <w:highlight w:val="none"/>
              </w:rPr>
              <w:t>联系电话</w:t>
            </w:r>
          </w:p>
        </w:tc>
      </w:tr>
      <w:tr w14:paraId="0DECF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4320" w:type="dxa"/>
            <w:vAlign w:val="center"/>
          </w:tcPr>
          <w:p w14:paraId="45F79D3F">
            <w:pPr>
              <w:adjustRightInd w:val="0"/>
              <w:snapToGrid w:val="0"/>
              <w:spacing w:line="280" w:lineRule="exact"/>
              <w:rPr>
                <w:rFonts w:ascii="宋体" w:cs="宋体"/>
                <w:bCs/>
                <w:color w:val="auto"/>
                <w:kern w:val="0"/>
                <w:szCs w:val="21"/>
                <w:highlight w:val="none"/>
              </w:rPr>
            </w:pPr>
            <w:r>
              <w:rPr>
                <w:rFonts w:hint="eastAsia" w:ascii="宋体" w:hAnsi="宋体"/>
                <w:color w:val="auto"/>
                <w:szCs w:val="21"/>
                <w:highlight w:val="none"/>
              </w:rPr>
              <w:t>中国投资担保公司</w:t>
            </w:r>
          </w:p>
        </w:tc>
        <w:tc>
          <w:tcPr>
            <w:tcW w:w="1080" w:type="dxa"/>
            <w:vAlign w:val="center"/>
          </w:tcPr>
          <w:p w14:paraId="47585EAA">
            <w:pPr>
              <w:adjustRightInd w:val="0"/>
              <w:snapToGrid w:val="0"/>
              <w:spacing w:line="280" w:lineRule="exact"/>
              <w:jc w:val="center"/>
              <w:rPr>
                <w:rFonts w:ascii="宋体" w:cs="宋体"/>
                <w:bCs/>
                <w:color w:val="auto"/>
                <w:kern w:val="0"/>
                <w:szCs w:val="21"/>
                <w:highlight w:val="none"/>
              </w:rPr>
            </w:pPr>
            <w:r>
              <w:rPr>
                <w:rFonts w:hint="eastAsia" w:ascii="宋体" w:hAnsi="宋体"/>
                <w:color w:val="auto"/>
                <w:szCs w:val="21"/>
                <w:highlight w:val="none"/>
              </w:rPr>
              <w:t>何</w:t>
            </w:r>
            <w:r>
              <w:rPr>
                <w:rFonts w:ascii="宋体" w:hAnsi="宋体"/>
                <w:color w:val="auto"/>
                <w:szCs w:val="21"/>
                <w:highlight w:val="none"/>
              </w:rPr>
              <w:t xml:space="preserve">  </w:t>
            </w:r>
            <w:r>
              <w:rPr>
                <w:rFonts w:hint="eastAsia" w:ascii="宋体" w:hAnsi="宋体"/>
                <w:color w:val="auto"/>
                <w:szCs w:val="21"/>
                <w:highlight w:val="none"/>
              </w:rPr>
              <w:t>嘉</w:t>
            </w:r>
          </w:p>
        </w:tc>
        <w:tc>
          <w:tcPr>
            <w:tcW w:w="3780" w:type="dxa"/>
            <w:vAlign w:val="center"/>
          </w:tcPr>
          <w:p w14:paraId="2434855D">
            <w:pPr>
              <w:adjustRightInd w:val="0"/>
              <w:snapToGrid w:val="0"/>
              <w:spacing w:line="280" w:lineRule="exact"/>
              <w:jc w:val="left"/>
              <w:rPr>
                <w:rFonts w:ascii="宋体" w:cs="宋体"/>
                <w:bCs/>
                <w:color w:val="auto"/>
                <w:kern w:val="0"/>
                <w:szCs w:val="21"/>
                <w:highlight w:val="none"/>
              </w:rPr>
            </w:pPr>
            <w:r>
              <w:rPr>
                <w:rFonts w:ascii="宋体" w:hAnsi="宋体"/>
                <w:color w:val="auto"/>
                <w:szCs w:val="21"/>
                <w:highlight w:val="none"/>
              </w:rPr>
              <w:t>010-88822659/13718642233</w:t>
            </w:r>
          </w:p>
        </w:tc>
      </w:tr>
      <w:tr w14:paraId="50F1EB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5823EBD6">
            <w:pPr>
              <w:adjustRightInd w:val="0"/>
              <w:snapToGrid w:val="0"/>
              <w:spacing w:line="280" w:lineRule="exact"/>
              <w:rPr>
                <w:rFonts w:asci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vAlign w:val="center"/>
          </w:tcPr>
          <w:p w14:paraId="751B536B">
            <w:pPr>
              <w:adjustRightInd w:val="0"/>
              <w:snapToGrid w:val="0"/>
              <w:spacing w:line="280" w:lineRule="exact"/>
              <w:jc w:val="center"/>
              <w:rPr>
                <w:rFonts w:ascii="宋体" w:cs="宋体"/>
                <w:bCs/>
                <w:color w:val="auto"/>
                <w:kern w:val="0"/>
                <w:szCs w:val="21"/>
                <w:highlight w:val="none"/>
              </w:rPr>
            </w:pPr>
            <w:r>
              <w:rPr>
                <w:rFonts w:hint="eastAsia" w:ascii="宋体" w:hAnsi="宋体"/>
                <w:color w:val="auto"/>
                <w:szCs w:val="21"/>
                <w:highlight w:val="none"/>
              </w:rPr>
              <w:t>蔡建雄</w:t>
            </w:r>
          </w:p>
        </w:tc>
        <w:tc>
          <w:tcPr>
            <w:tcW w:w="3780" w:type="dxa"/>
            <w:vAlign w:val="center"/>
          </w:tcPr>
          <w:p w14:paraId="345C388B">
            <w:pPr>
              <w:adjustRightInd w:val="0"/>
              <w:snapToGrid w:val="0"/>
              <w:spacing w:line="280" w:lineRule="exact"/>
              <w:jc w:val="left"/>
              <w:rPr>
                <w:rFonts w:ascii="宋体" w:cs="宋体"/>
                <w:bCs/>
                <w:color w:val="auto"/>
                <w:kern w:val="0"/>
                <w:szCs w:val="21"/>
                <w:highlight w:val="none"/>
              </w:rPr>
            </w:pPr>
            <w:r>
              <w:rPr>
                <w:rFonts w:ascii="宋体" w:hAnsi="宋体"/>
                <w:color w:val="auto"/>
                <w:szCs w:val="21"/>
                <w:highlight w:val="none"/>
              </w:rPr>
              <w:t>0731-84172390-201/15573193555</w:t>
            </w:r>
          </w:p>
        </w:tc>
      </w:tr>
      <w:tr w14:paraId="103165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8" w:hRule="atLeast"/>
        </w:trPr>
        <w:tc>
          <w:tcPr>
            <w:tcW w:w="4320" w:type="dxa"/>
            <w:tcBorders>
              <w:bottom w:val="double" w:color="auto" w:sz="4" w:space="0"/>
            </w:tcBorders>
            <w:vAlign w:val="center"/>
          </w:tcPr>
          <w:p w14:paraId="6BF6106F">
            <w:pPr>
              <w:adjustRightInd w:val="0"/>
              <w:snapToGrid w:val="0"/>
              <w:spacing w:line="280" w:lineRule="exact"/>
              <w:rPr>
                <w:rFonts w:ascii="宋体" w:cs="宋体"/>
                <w:color w:val="auto"/>
                <w:szCs w:val="21"/>
                <w:highlight w:val="none"/>
              </w:rPr>
            </w:pPr>
            <w:r>
              <w:rPr>
                <w:rFonts w:hint="eastAsia" w:ascii="宋体" w:hAnsi="宋体"/>
                <w:color w:val="auto"/>
                <w:szCs w:val="21"/>
                <w:highlight w:val="none"/>
              </w:rPr>
              <w:t>湖南农业信用担保有限公司</w:t>
            </w:r>
          </w:p>
        </w:tc>
        <w:tc>
          <w:tcPr>
            <w:tcW w:w="1080" w:type="dxa"/>
            <w:tcBorders>
              <w:bottom w:val="double" w:color="auto" w:sz="4" w:space="0"/>
            </w:tcBorders>
            <w:vAlign w:val="center"/>
          </w:tcPr>
          <w:p w14:paraId="59E16AE2">
            <w:pPr>
              <w:adjustRightInd w:val="0"/>
              <w:snapToGrid w:val="0"/>
              <w:spacing w:line="280" w:lineRule="exact"/>
              <w:jc w:val="center"/>
              <w:rPr>
                <w:rFonts w:ascii="宋体"/>
                <w:color w:val="auto"/>
                <w:szCs w:val="21"/>
                <w:highlight w:val="none"/>
              </w:rPr>
            </w:pPr>
            <w:r>
              <w:rPr>
                <w:rFonts w:hint="eastAsia" w:ascii="宋体" w:hAnsi="宋体"/>
                <w:color w:val="auto"/>
                <w:szCs w:val="21"/>
                <w:highlight w:val="none"/>
              </w:rPr>
              <w:t>彭</w:t>
            </w:r>
            <w:r>
              <w:rPr>
                <w:rFonts w:ascii="宋体" w:hAnsi="宋体"/>
                <w:color w:val="auto"/>
                <w:szCs w:val="21"/>
                <w:highlight w:val="none"/>
              </w:rPr>
              <w:t xml:space="preserve">  </w:t>
            </w:r>
            <w:r>
              <w:rPr>
                <w:rFonts w:hint="eastAsia" w:ascii="宋体" w:hAnsi="宋体"/>
                <w:color w:val="auto"/>
                <w:szCs w:val="21"/>
                <w:highlight w:val="none"/>
              </w:rPr>
              <w:t>球</w:t>
            </w:r>
          </w:p>
          <w:p w14:paraId="37CE43FB">
            <w:pPr>
              <w:adjustRightInd w:val="0"/>
              <w:snapToGrid w:val="0"/>
              <w:spacing w:line="280" w:lineRule="exact"/>
              <w:jc w:val="center"/>
              <w:rPr>
                <w:rFonts w:ascii="宋体" w:cs="宋体"/>
                <w:bCs/>
                <w:color w:val="auto"/>
                <w:kern w:val="0"/>
                <w:szCs w:val="21"/>
                <w:highlight w:val="none"/>
              </w:rPr>
            </w:pPr>
            <w:r>
              <w:rPr>
                <w:rFonts w:hint="eastAsia" w:ascii="宋体" w:hAnsi="宋体"/>
                <w:color w:val="auto"/>
                <w:szCs w:val="21"/>
                <w:highlight w:val="none"/>
              </w:rPr>
              <w:t>邓霞英</w:t>
            </w:r>
          </w:p>
        </w:tc>
        <w:tc>
          <w:tcPr>
            <w:tcW w:w="3780" w:type="dxa"/>
            <w:tcBorders>
              <w:bottom w:val="double" w:color="auto" w:sz="4" w:space="0"/>
            </w:tcBorders>
            <w:vAlign w:val="center"/>
          </w:tcPr>
          <w:p w14:paraId="7F12D2E4">
            <w:pPr>
              <w:adjustRightInd w:val="0"/>
              <w:snapToGrid w:val="0"/>
              <w:spacing w:line="280" w:lineRule="exact"/>
              <w:jc w:val="left"/>
              <w:rPr>
                <w:rFonts w:ascii="宋体" w:cs="宋体"/>
                <w:bCs/>
                <w:color w:val="auto"/>
                <w:kern w:val="0"/>
                <w:szCs w:val="21"/>
                <w:highlight w:val="none"/>
              </w:rPr>
            </w:pPr>
            <w:r>
              <w:rPr>
                <w:rFonts w:ascii="宋体" w:hAnsi="宋体"/>
                <w:color w:val="auto"/>
                <w:szCs w:val="21"/>
                <w:highlight w:val="none"/>
              </w:rPr>
              <w:t>0731-89761702/13875980906 0731-89761706/13574125851</w:t>
            </w:r>
          </w:p>
        </w:tc>
      </w:tr>
    </w:tbl>
    <w:p w14:paraId="520DA08D">
      <w:pPr>
        <w:adjustRightInd w:val="0"/>
        <w:snapToGrid w:val="0"/>
        <w:spacing w:line="360" w:lineRule="auto"/>
        <w:rPr>
          <w:rFonts w:ascii="宋体"/>
          <w:b/>
          <w:color w:val="auto"/>
          <w:szCs w:val="21"/>
          <w:highlight w:val="none"/>
        </w:rPr>
        <w:sectPr>
          <w:headerReference r:id="rId7" w:type="default"/>
          <w:footerReference r:id="rId8" w:type="default"/>
          <w:pgSz w:w="11906" w:h="16838"/>
          <w:pgMar w:top="1418" w:right="1418" w:bottom="1134" w:left="1588" w:header="851" w:footer="992" w:gutter="0"/>
          <w:cols w:space="720" w:num="1"/>
          <w:docGrid w:type="lines" w:linePitch="312" w:charSpace="0"/>
        </w:sectPr>
      </w:pPr>
    </w:p>
    <w:p w14:paraId="6FD52EC4">
      <w:pPr>
        <w:jc w:val="center"/>
        <w:outlineLvl w:val="1"/>
        <w:rPr>
          <w:rFonts w:ascii="黑体" w:hAnsi="Courier New" w:eastAsia="黑体"/>
          <w:b/>
          <w:color w:val="auto"/>
          <w:kern w:val="0"/>
          <w:sz w:val="24"/>
          <w:highlight w:val="none"/>
        </w:rPr>
      </w:pPr>
      <w:bookmarkStart w:id="7" w:name="_Toc432109648"/>
      <w:bookmarkStart w:id="8" w:name="_Toc18111"/>
      <w:bookmarkStart w:id="9" w:name="_Toc9918"/>
      <w:bookmarkStart w:id="10" w:name="_Toc15549"/>
      <w:bookmarkStart w:id="11" w:name="_Toc187939530"/>
      <w:bookmarkStart w:id="12" w:name="_Toc4481"/>
      <w:r>
        <w:rPr>
          <w:rFonts w:hint="eastAsia" w:ascii="黑体" w:hAnsi="Courier New" w:eastAsia="黑体"/>
          <w:b/>
          <w:color w:val="auto"/>
          <w:kern w:val="0"/>
          <w:sz w:val="24"/>
          <w:highlight w:val="none"/>
        </w:rPr>
        <w:t>磋商须知正文</w:t>
      </w:r>
      <w:bookmarkEnd w:id="7"/>
      <w:bookmarkEnd w:id="8"/>
      <w:bookmarkEnd w:id="9"/>
      <w:bookmarkEnd w:id="10"/>
      <w:bookmarkEnd w:id="11"/>
      <w:bookmarkEnd w:id="12"/>
    </w:p>
    <w:p w14:paraId="60700478">
      <w:pPr>
        <w:adjustRightInd w:val="0"/>
        <w:snapToGrid w:val="0"/>
        <w:spacing w:line="360" w:lineRule="auto"/>
        <w:outlineLvl w:val="1"/>
        <w:rPr>
          <w:rFonts w:hint="eastAsia" w:ascii="黑体" w:hAnsi="宋体" w:eastAsia="黑体"/>
          <w:b/>
          <w:bCs/>
          <w:color w:val="auto"/>
          <w:sz w:val="24"/>
          <w:highlight w:val="none"/>
        </w:rPr>
      </w:pPr>
      <w:bookmarkStart w:id="13" w:name="_Toc187939531"/>
      <w:bookmarkStart w:id="14" w:name="_Toc5854"/>
      <w:bookmarkStart w:id="15" w:name="_Toc432109649"/>
      <w:bookmarkStart w:id="16" w:name="_Toc15792"/>
      <w:bookmarkStart w:id="17" w:name="_Toc152247515"/>
      <w:bookmarkStart w:id="18" w:name="_Toc20693"/>
      <w:r>
        <w:rPr>
          <w:rFonts w:hint="eastAsia" w:ascii="黑体" w:hAnsi="宋体" w:eastAsia="黑体"/>
          <w:b/>
          <w:bCs/>
          <w:color w:val="auto"/>
          <w:sz w:val="24"/>
          <w:highlight w:val="none"/>
        </w:rPr>
        <w:t>一、说明</w:t>
      </w:r>
      <w:bookmarkEnd w:id="13"/>
      <w:bookmarkEnd w:id="14"/>
      <w:bookmarkEnd w:id="15"/>
      <w:bookmarkEnd w:id="16"/>
      <w:bookmarkEnd w:id="17"/>
      <w:bookmarkEnd w:id="18"/>
    </w:p>
    <w:p w14:paraId="446865C1">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w:t>
      </w:r>
      <w:r>
        <w:rPr>
          <w:rFonts w:hint="eastAsia" w:ascii="宋体" w:hAnsi="宋体"/>
          <w:b/>
          <w:bCs/>
          <w:color w:val="auto"/>
          <w:szCs w:val="21"/>
          <w:highlight w:val="none"/>
        </w:rPr>
        <w:t>适用范围</w:t>
      </w:r>
    </w:p>
    <w:p w14:paraId="7414881C">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1.1 </w:t>
      </w:r>
      <w:r>
        <w:rPr>
          <w:rFonts w:hint="eastAsia" w:ascii="宋体" w:hAnsi="宋体"/>
          <w:color w:val="auto"/>
          <w:szCs w:val="21"/>
          <w:highlight w:val="none"/>
        </w:rPr>
        <w:t>本磋商文件仅适用于磋商须知前附表</w:t>
      </w:r>
      <w:r>
        <w:rPr>
          <w:rFonts w:ascii="宋体" w:hAnsi="宋体"/>
          <w:color w:val="auto"/>
          <w:szCs w:val="21"/>
          <w:highlight w:val="none"/>
        </w:rPr>
        <w:t>(</w:t>
      </w:r>
      <w:r>
        <w:rPr>
          <w:rFonts w:hint="eastAsia" w:ascii="宋体" w:hAnsi="宋体"/>
          <w:color w:val="auto"/>
          <w:szCs w:val="21"/>
          <w:highlight w:val="none"/>
        </w:rPr>
        <w:t>以下简称</w:t>
      </w:r>
      <w:r>
        <w:rPr>
          <w:rFonts w:hint="eastAsia" w:ascii="宋体" w:hAnsi="宋体"/>
          <w:b/>
          <w:color w:val="auto"/>
          <w:szCs w:val="21"/>
          <w:highlight w:val="none"/>
        </w:rPr>
        <w:t>磋商须知前附表</w:t>
      </w:r>
      <w:r>
        <w:rPr>
          <w:rFonts w:ascii="宋体" w:hAnsi="宋体"/>
          <w:b/>
          <w:color w:val="auto"/>
          <w:szCs w:val="21"/>
          <w:highlight w:val="none"/>
        </w:rPr>
        <w:t>)</w:t>
      </w:r>
      <w:r>
        <w:rPr>
          <w:rFonts w:hint="eastAsia" w:ascii="宋体" w:hAnsi="宋体"/>
          <w:color w:val="auto"/>
          <w:szCs w:val="21"/>
          <w:highlight w:val="none"/>
        </w:rPr>
        <w:t>中所叙述的采购项目。</w:t>
      </w:r>
    </w:p>
    <w:p w14:paraId="52B682B2">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定义</w:t>
      </w:r>
    </w:p>
    <w:p w14:paraId="3EC0CF7D">
      <w:pPr>
        <w:adjustRightInd w:val="0"/>
        <w:snapToGrid w:val="0"/>
        <w:spacing w:line="360" w:lineRule="auto"/>
        <w:ind w:firstLine="420" w:firstLineChars="200"/>
        <w:rPr>
          <w:rFonts w:hint="eastAsia" w:ascii="宋体" w:hAnsi="宋体"/>
          <w:b/>
          <w:color w:val="auto"/>
          <w:szCs w:val="21"/>
          <w:highlight w:val="none"/>
        </w:rPr>
      </w:pPr>
      <w:r>
        <w:rPr>
          <w:rFonts w:ascii="宋体" w:hAnsi="宋体"/>
          <w:color w:val="auto"/>
          <w:szCs w:val="21"/>
          <w:highlight w:val="none"/>
        </w:rPr>
        <w:t xml:space="preserve">2.1 </w:t>
      </w:r>
      <w:r>
        <w:rPr>
          <w:rFonts w:hint="eastAsia" w:ascii="宋体" w:hAnsi="宋体"/>
          <w:color w:val="auto"/>
          <w:szCs w:val="21"/>
          <w:highlight w:val="none"/>
        </w:rPr>
        <w:t>“采购人”是指依法进行采购的国家机关、事业单位、团体组织。本次采购的采购人名称、地址、电话、联系人见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05E4CCAC">
      <w:pPr>
        <w:adjustRightInd w:val="0"/>
        <w:snapToGrid w:val="0"/>
        <w:spacing w:line="360" w:lineRule="auto"/>
        <w:ind w:firstLine="420" w:firstLineChars="200"/>
        <w:rPr>
          <w:rFonts w:hint="eastAsia" w:ascii="宋体" w:hAnsi="宋体"/>
          <w:b/>
          <w:color w:val="auto"/>
          <w:szCs w:val="21"/>
          <w:highlight w:val="none"/>
        </w:rPr>
      </w:pPr>
      <w:r>
        <w:rPr>
          <w:rFonts w:ascii="宋体" w:hAnsi="宋体"/>
          <w:color w:val="auto"/>
          <w:szCs w:val="21"/>
          <w:highlight w:val="none"/>
        </w:rPr>
        <w:t xml:space="preserve">2.2 </w:t>
      </w:r>
      <w:r>
        <w:rPr>
          <w:rFonts w:hint="eastAsia" w:ascii="宋体" w:hAnsi="宋体"/>
          <w:color w:val="auto"/>
          <w:szCs w:val="21"/>
          <w:highlight w:val="none"/>
        </w:rPr>
        <w:t>“采购代理机构”是指接受采购人委托，代理采购项目的集中采购机构和其他采购代理机构。本次采购的采购委托代理机构、地址、电话、联系人见</w:t>
      </w:r>
      <w:r>
        <w:rPr>
          <w:rFonts w:hint="eastAsia" w:ascii="宋体" w:hAnsi="宋体"/>
          <w:b/>
          <w:color w:val="auto"/>
          <w:szCs w:val="21"/>
          <w:highlight w:val="none"/>
        </w:rPr>
        <w:t>磋商须知前附表。</w:t>
      </w:r>
    </w:p>
    <w:p w14:paraId="358CA94B">
      <w:pPr>
        <w:adjustRightInd w:val="0"/>
        <w:snapToGrid w:val="0"/>
        <w:spacing w:line="360" w:lineRule="auto"/>
        <w:ind w:firstLine="420" w:firstLineChars="200"/>
        <w:rPr>
          <w:rFonts w:hint="eastAsia" w:ascii="宋体" w:hAnsi="宋体" w:cs="宋体"/>
          <w:bCs/>
          <w:color w:val="auto"/>
          <w:kern w:val="36"/>
          <w:szCs w:val="21"/>
          <w:highlight w:val="none"/>
        </w:rPr>
      </w:pPr>
      <w:r>
        <w:rPr>
          <w:rFonts w:ascii="宋体" w:hAnsi="宋体"/>
          <w:color w:val="auto"/>
          <w:szCs w:val="21"/>
          <w:highlight w:val="none"/>
        </w:rPr>
        <w:t xml:space="preserve">2.3 </w:t>
      </w:r>
      <w:r>
        <w:rPr>
          <w:rFonts w:hint="eastAsia" w:ascii="宋体" w:hAnsi="宋体"/>
          <w:color w:val="auto"/>
          <w:szCs w:val="21"/>
          <w:highlight w:val="none"/>
        </w:rPr>
        <w:t>“投标人”是指响应磋商文件要求、参加竞争性磋商采购的法人、其他组织或者自然人。本次采购项目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投标人通过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，邀请符合资格条件的投标人提交响应文件（含资格证明资料），参与竞争性磋商采购活动。</w:t>
      </w:r>
    </w:p>
    <w:p w14:paraId="70476EAC">
      <w:pPr>
        <w:adjustRightInd w:val="0"/>
        <w:snapToGrid w:val="0"/>
        <w:spacing w:line="360" w:lineRule="auto"/>
        <w:ind w:firstLine="420" w:firstLineChars="200"/>
        <w:rPr>
          <w:rFonts w:hint="eastAsia" w:ascii="宋体" w:hAnsi="宋体" w:cs="宋体"/>
          <w:color w:val="auto"/>
          <w:kern w:val="0"/>
          <w:szCs w:val="21"/>
          <w:highlight w:val="none"/>
        </w:rPr>
      </w:pPr>
      <w:r>
        <w:rPr>
          <w:rFonts w:ascii="宋体" w:hAnsi="宋体"/>
          <w:color w:val="auto"/>
          <w:szCs w:val="21"/>
          <w:highlight w:val="none"/>
        </w:rPr>
        <w:t xml:space="preserve">2.4 </w:t>
      </w:r>
      <w:r>
        <w:rPr>
          <w:rFonts w:hint="eastAsia" w:ascii="宋体" w:hAnsi="宋体"/>
          <w:color w:val="auto"/>
          <w:szCs w:val="21"/>
          <w:highlight w:val="none"/>
        </w:rPr>
        <w:t>“磋商小组”是指</w:t>
      </w:r>
      <w:r>
        <w:rPr>
          <w:rFonts w:hint="eastAsia" w:ascii="宋体" w:hAnsi="宋体" w:cs="宋体"/>
          <w:color w:val="auto"/>
          <w:kern w:val="0"/>
          <w:szCs w:val="21"/>
          <w:highlight w:val="none"/>
        </w:rPr>
        <w:t>依据财政部</w:t>
      </w:r>
      <w:r>
        <w:rPr>
          <w:rFonts w:hint="eastAsia" w:ascii="宋体" w:hAnsi="宋体" w:cs="宋体"/>
          <w:bCs/>
          <w:color w:val="auto"/>
          <w:kern w:val="36"/>
          <w:szCs w:val="21"/>
          <w:highlight w:val="none"/>
        </w:rPr>
        <w:t>《采购竞争性磋商采购方式管理暂行办法》等有关规定组建，依法依规</w:t>
      </w:r>
      <w:r>
        <w:rPr>
          <w:rFonts w:hint="eastAsia" w:ascii="宋体" w:hAnsi="宋体" w:cs="宋体"/>
          <w:color w:val="auto"/>
          <w:kern w:val="0"/>
          <w:szCs w:val="21"/>
          <w:highlight w:val="none"/>
        </w:rPr>
        <w:t>履行其职责和义务的机构。</w:t>
      </w:r>
    </w:p>
    <w:p w14:paraId="7F6DA0CF">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2.5 </w:t>
      </w:r>
      <w:r>
        <w:rPr>
          <w:rFonts w:hint="eastAsia" w:ascii="宋体" w:hAnsi="宋体"/>
          <w:color w:val="auto"/>
          <w:szCs w:val="21"/>
          <w:highlight w:val="none"/>
        </w:rPr>
        <w:t>“货物”是指各种形态和种类的物品，包括原资料、燃料、设备、产品等，详见《采购品目分类目录》</w:t>
      </w:r>
      <w:r>
        <w:rPr>
          <w:rFonts w:ascii="宋体" w:hAnsi="宋体"/>
          <w:color w:val="auto"/>
          <w:szCs w:val="21"/>
          <w:highlight w:val="none"/>
        </w:rPr>
        <w:t>(</w:t>
      </w:r>
      <w:r>
        <w:rPr>
          <w:rFonts w:hint="eastAsia" w:ascii="宋体" w:hAnsi="宋体"/>
          <w:b/>
          <w:bCs/>
          <w:color w:val="auto"/>
          <w:szCs w:val="22"/>
          <w:highlight w:val="none"/>
        </w:rPr>
        <w:t>财库</w:t>
      </w:r>
      <w:r>
        <w:rPr>
          <w:rFonts w:ascii="宋体" w:hAnsi="宋体"/>
          <w:b/>
          <w:bCs/>
          <w:color w:val="auto"/>
          <w:szCs w:val="22"/>
          <w:highlight w:val="none"/>
        </w:rPr>
        <w:t>[2013]189</w:t>
      </w:r>
      <w:r>
        <w:rPr>
          <w:rFonts w:hint="eastAsia" w:ascii="宋体" w:hAnsi="宋体"/>
          <w:b/>
          <w:bCs/>
          <w:color w:val="auto"/>
          <w:szCs w:val="22"/>
          <w:highlight w:val="none"/>
        </w:rPr>
        <w:t>号</w:t>
      </w:r>
      <w:r>
        <w:rPr>
          <w:rFonts w:ascii="宋体" w:hAnsi="宋体"/>
          <w:color w:val="auto"/>
          <w:szCs w:val="21"/>
          <w:highlight w:val="none"/>
        </w:rPr>
        <w:t>)</w:t>
      </w:r>
      <w:r>
        <w:rPr>
          <w:rFonts w:hint="eastAsia" w:ascii="宋体" w:hAnsi="宋体"/>
          <w:color w:val="auto"/>
          <w:szCs w:val="21"/>
          <w:highlight w:val="none"/>
        </w:rPr>
        <w:t>。</w:t>
      </w:r>
    </w:p>
    <w:p w14:paraId="2BBF2DCC">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2.6 </w:t>
      </w:r>
      <w:r>
        <w:rPr>
          <w:rFonts w:hint="eastAsia" w:ascii="宋体" w:hAnsi="宋体"/>
          <w:color w:val="auto"/>
          <w:szCs w:val="21"/>
          <w:highlight w:val="none"/>
        </w:rPr>
        <w:t>“工程”是指建设工程，包括建筑物和构筑物的新建、改建、扩建、装修、拆除、修缮等，详见《采购品目分类目录》</w:t>
      </w:r>
      <w:r>
        <w:rPr>
          <w:rFonts w:ascii="宋体" w:hAnsi="宋体"/>
          <w:color w:val="auto"/>
          <w:szCs w:val="21"/>
          <w:highlight w:val="none"/>
        </w:rPr>
        <w:t>(</w:t>
      </w:r>
      <w:r>
        <w:rPr>
          <w:rFonts w:hint="eastAsia" w:ascii="宋体" w:hAnsi="宋体"/>
          <w:b/>
          <w:bCs/>
          <w:color w:val="auto"/>
          <w:szCs w:val="22"/>
          <w:highlight w:val="none"/>
        </w:rPr>
        <w:t>财库</w:t>
      </w:r>
      <w:r>
        <w:rPr>
          <w:rFonts w:ascii="宋体" w:hAnsi="宋体"/>
          <w:b/>
          <w:bCs/>
          <w:color w:val="auto"/>
          <w:szCs w:val="22"/>
          <w:highlight w:val="none"/>
        </w:rPr>
        <w:t>[2013]189</w:t>
      </w:r>
      <w:r>
        <w:rPr>
          <w:rFonts w:hint="eastAsia" w:ascii="宋体" w:hAnsi="宋体"/>
          <w:b/>
          <w:bCs/>
          <w:color w:val="auto"/>
          <w:szCs w:val="22"/>
          <w:highlight w:val="none"/>
        </w:rPr>
        <w:t>号</w:t>
      </w:r>
      <w:r>
        <w:rPr>
          <w:rFonts w:ascii="宋体" w:hAnsi="宋体"/>
          <w:color w:val="auto"/>
          <w:szCs w:val="21"/>
          <w:highlight w:val="none"/>
        </w:rPr>
        <w:t>)</w:t>
      </w:r>
      <w:r>
        <w:rPr>
          <w:rFonts w:hint="eastAsia" w:ascii="宋体" w:hAnsi="宋体"/>
          <w:color w:val="auto"/>
          <w:szCs w:val="21"/>
          <w:highlight w:val="none"/>
        </w:rPr>
        <w:t>。</w:t>
      </w:r>
    </w:p>
    <w:p w14:paraId="604CA3AE">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2.7 </w:t>
      </w:r>
      <w:r>
        <w:rPr>
          <w:rFonts w:hint="eastAsia" w:ascii="宋体" w:hAnsi="宋体"/>
          <w:color w:val="auto"/>
          <w:szCs w:val="21"/>
          <w:highlight w:val="none"/>
        </w:rPr>
        <w:t>“服务”是指除货物和工程以外的其他采购对象，详见《采购品目分类目录》</w:t>
      </w:r>
      <w:r>
        <w:rPr>
          <w:rFonts w:ascii="宋体" w:hAnsi="宋体"/>
          <w:color w:val="auto"/>
          <w:szCs w:val="21"/>
          <w:highlight w:val="none"/>
        </w:rPr>
        <w:t>(</w:t>
      </w:r>
      <w:r>
        <w:rPr>
          <w:rFonts w:hint="eastAsia" w:ascii="宋体" w:hAnsi="宋体"/>
          <w:b/>
          <w:bCs/>
          <w:color w:val="auto"/>
          <w:szCs w:val="22"/>
          <w:highlight w:val="none"/>
        </w:rPr>
        <w:t>财库</w:t>
      </w:r>
      <w:r>
        <w:rPr>
          <w:rFonts w:ascii="宋体" w:hAnsi="宋体"/>
          <w:b/>
          <w:bCs/>
          <w:color w:val="auto"/>
          <w:szCs w:val="22"/>
          <w:highlight w:val="none"/>
        </w:rPr>
        <w:t>[2013]189</w:t>
      </w:r>
      <w:r>
        <w:rPr>
          <w:rFonts w:hint="eastAsia" w:ascii="宋体" w:hAnsi="宋体"/>
          <w:b/>
          <w:bCs/>
          <w:color w:val="auto"/>
          <w:szCs w:val="22"/>
          <w:highlight w:val="none"/>
        </w:rPr>
        <w:t>号</w:t>
      </w:r>
      <w:r>
        <w:rPr>
          <w:rFonts w:ascii="宋体" w:hAnsi="宋体"/>
          <w:color w:val="auto"/>
          <w:szCs w:val="21"/>
          <w:highlight w:val="none"/>
        </w:rPr>
        <w:t>)</w:t>
      </w:r>
      <w:r>
        <w:rPr>
          <w:rFonts w:hint="eastAsia" w:ascii="宋体" w:hAnsi="宋体"/>
          <w:color w:val="auto"/>
          <w:szCs w:val="21"/>
          <w:highlight w:val="none"/>
        </w:rPr>
        <w:t>。</w:t>
      </w:r>
    </w:p>
    <w:p w14:paraId="7730295E">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w:t>
      </w:r>
      <w:r>
        <w:rPr>
          <w:rFonts w:hint="eastAsia" w:ascii="宋体" w:hAnsi="宋体" w:cs="宋体"/>
          <w:b/>
          <w:bCs/>
          <w:color w:val="auto"/>
          <w:szCs w:val="21"/>
          <w:highlight w:val="none"/>
        </w:rPr>
        <w:t>投标人</w:t>
      </w:r>
      <w:r>
        <w:rPr>
          <w:rFonts w:hint="eastAsia" w:ascii="宋体" w:hAnsi="宋体"/>
          <w:b/>
          <w:bCs/>
          <w:color w:val="auto"/>
          <w:szCs w:val="21"/>
          <w:highlight w:val="none"/>
        </w:rPr>
        <w:t>的资格要求</w:t>
      </w:r>
    </w:p>
    <w:p w14:paraId="0DAFEF37">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3.1 </w:t>
      </w:r>
      <w:r>
        <w:rPr>
          <w:rFonts w:hint="eastAsia" w:ascii="宋体" w:hAnsi="宋体"/>
          <w:color w:val="auto"/>
          <w:szCs w:val="21"/>
          <w:highlight w:val="none"/>
        </w:rPr>
        <w:t>投标人应当符合</w:t>
      </w:r>
      <w:r>
        <w:rPr>
          <w:rFonts w:hint="eastAsia" w:ascii="宋体" w:hAnsi="宋体"/>
          <w:b/>
          <w:bCs/>
          <w:color w:val="auto"/>
          <w:szCs w:val="21"/>
          <w:highlight w:val="none"/>
        </w:rPr>
        <w:t>磋商须知前附表</w:t>
      </w:r>
      <w:r>
        <w:rPr>
          <w:rFonts w:hint="eastAsia" w:ascii="宋体" w:hAnsi="宋体"/>
          <w:color w:val="auto"/>
          <w:szCs w:val="21"/>
          <w:highlight w:val="none"/>
        </w:rPr>
        <w:t>中规定的资格条件要求。</w:t>
      </w:r>
    </w:p>
    <w:p w14:paraId="3178D265">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3.2 </w:t>
      </w:r>
      <w:r>
        <w:rPr>
          <w:rFonts w:hint="eastAsia" w:ascii="宋体" w:hAnsi="宋体"/>
          <w:color w:val="auto"/>
          <w:szCs w:val="21"/>
          <w:highlight w:val="none"/>
        </w:rPr>
        <w:t>投标人不得存在下列情形之一：</w:t>
      </w:r>
    </w:p>
    <w:p w14:paraId="032C362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l</w:t>
      </w:r>
      <w:r>
        <w:rPr>
          <w:rFonts w:hint="eastAsia" w:ascii="宋体" w:hAnsi="宋体"/>
          <w:color w:val="auto"/>
          <w:szCs w:val="21"/>
          <w:highlight w:val="none"/>
        </w:rPr>
        <w:t>）与采购人和采购代理机构存在隶属关系或者其他利害关系；</w:t>
      </w:r>
    </w:p>
    <w:p w14:paraId="52251D6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）有违反法律、法规行为，依法被取消投标资格且期限未满的；</w:t>
      </w:r>
    </w:p>
    <w:p w14:paraId="74E5BF9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）申请人因采购活动中有违法违规等不良行为，被采购监督管理部门公示限制且限制期限未满的。</w:t>
      </w:r>
    </w:p>
    <w:p w14:paraId="2CF456DB">
      <w:pPr>
        <w:adjustRightInd w:val="0"/>
        <w:snapToGrid w:val="0"/>
        <w:spacing w:line="440" w:lineRule="exact"/>
        <w:outlineLvl w:val="3"/>
        <w:rPr>
          <w:rFonts w:hint="eastAsia" w:ascii="宋体" w:hAnsi="宋体"/>
          <w:b/>
          <w:bCs/>
          <w:color w:val="auto"/>
          <w:szCs w:val="21"/>
          <w:highlight w:val="none"/>
        </w:rPr>
      </w:pPr>
      <w:r>
        <w:rPr>
          <w:rFonts w:ascii="宋体" w:hAnsi="宋体"/>
          <w:b/>
          <w:bCs/>
          <w:color w:val="auto"/>
          <w:szCs w:val="21"/>
          <w:highlight w:val="none"/>
        </w:rPr>
        <w:t>4.</w:t>
      </w:r>
      <w:r>
        <w:rPr>
          <w:rFonts w:hint="eastAsia" w:ascii="宋体" w:hAnsi="宋体"/>
          <w:b/>
          <w:bCs/>
          <w:color w:val="auto"/>
          <w:szCs w:val="21"/>
          <w:highlight w:val="none"/>
        </w:rPr>
        <w:t>参与磋商的费用</w:t>
      </w:r>
      <w:r>
        <w:rPr>
          <w:rFonts w:ascii="宋体" w:hAnsi="宋体"/>
          <w:b/>
          <w:bCs/>
          <w:color w:val="auto"/>
          <w:szCs w:val="21"/>
          <w:highlight w:val="none"/>
        </w:rPr>
        <w:t xml:space="preserve"> </w:t>
      </w:r>
    </w:p>
    <w:p w14:paraId="34B4D638">
      <w:pPr>
        <w:adjustRightInd w:val="0"/>
        <w:snapToGrid w:val="0"/>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t xml:space="preserve">4.1 </w:t>
      </w:r>
      <w:r>
        <w:rPr>
          <w:rFonts w:hint="eastAsia" w:ascii="宋体" w:hAnsi="宋体"/>
          <w:color w:val="auto"/>
          <w:szCs w:val="21"/>
          <w:highlight w:val="none"/>
        </w:rPr>
        <w:t>无论磋商的结果如何，</w:t>
      </w:r>
      <w:r>
        <w:rPr>
          <w:rFonts w:hint="eastAsia" w:ascii="宋体" w:hAnsi="宋体" w:cs="宋体"/>
          <w:color w:val="auto"/>
          <w:szCs w:val="21"/>
          <w:highlight w:val="none"/>
        </w:rPr>
        <w:t>投标人</w:t>
      </w:r>
      <w:r>
        <w:rPr>
          <w:rFonts w:hint="eastAsia" w:ascii="宋体" w:hAnsi="宋体"/>
          <w:color w:val="auto"/>
          <w:szCs w:val="21"/>
          <w:highlight w:val="none"/>
        </w:rPr>
        <w:t>应自行承担所有与竞争性磋商采购活动有关的全部费用。</w:t>
      </w:r>
    </w:p>
    <w:p w14:paraId="188AE0D6">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5</w:t>
      </w:r>
      <w:r>
        <w:rPr>
          <w:rFonts w:hint="eastAsia" w:ascii="宋体" w:hAnsi="宋体"/>
          <w:b/>
          <w:bCs/>
          <w:color w:val="auto"/>
          <w:szCs w:val="21"/>
          <w:highlight w:val="none"/>
        </w:rPr>
        <w:t>．授权委托</w:t>
      </w:r>
    </w:p>
    <w:p w14:paraId="22E037F4">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5.1</w:t>
      </w:r>
      <w:r>
        <w:rPr>
          <w:rFonts w:hint="eastAsia" w:ascii="宋体" w:hAnsi="宋体" w:cs="宋体"/>
          <w:color w:val="auto"/>
          <w:kern w:val="0"/>
          <w:szCs w:val="21"/>
          <w:highlight w:val="none"/>
        </w:rPr>
        <w:t>投标人</w:t>
      </w:r>
      <w:r>
        <w:rPr>
          <w:rFonts w:hint="eastAsia" w:ascii="宋体" w:hAnsi="宋体"/>
          <w:color w:val="auto"/>
          <w:kern w:val="0"/>
          <w:szCs w:val="21"/>
          <w:highlight w:val="none"/>
        </w:rPr>
        <w:t>代表为</w:t>
      </w:r>
      <w:r>
        <w:rPr>
          <w:rFonts w:hint="eastAsia" w:ascii="宋体" w:hAnsi="宋体" w:cs="宋体"/>
          <w:color w:val="auto"/>
          <w:kern w:val="0"/>
          <w:szCs w:val="21"/>
          <w:highlight w:val="none"/>
        </w:rPr>
        <w:t>投标人</w:t>
      </w:r>
      <w:r>
        <w:rPr>
          <w:rFonts w:hint="eastAsia" w:ascii="宋体" w:hAnsi="宋体"/>
          <w:color w:val="auto"/>
          <w:kern w:val="0"/>
          <w:szCs w:val="21"/>
          <w:highlight w:val="none"/>
        </w:rPr>
        <w:t>法定代表人的，应持有法定代表人身份证明。</w:t>
      </w:r>
      <w:r>
        <w:rPr>
          <w:rFonts w:hint="eastAsia" w:ascii="宋体" w:hAnsi="宋体" w:cs="宋体"/>
          <w:color w:val="auto"/>
          <w:kern w:val="0"/>
          <w:szCs w:val="21"/>
          <w:highlight w:val="none"/>
        </w:rPr>
        <w:t>投标人</w:t>
      </w:r>
      <w:r>
        <w:rPr>
          <w:rFonts w:hint="eastAsia" w:ascii="宋体" w:hAnsi="宋体"/>
          <w:color w:val="auto"/>
          <w:kern w:val="0"/>
          <w:szCs w:val="21"/>
          <w:highlight w:val="none"/>
        </w:rPr>
        <w:t>代表不是</w:t>
      </w:r>
      <w:r>
        <w:rPr>
          <w:rFonts w:hint="eastAsia" w:ascii="宋体" w:hAnsi="宋体" w:cs="宋体"/>
          <w:color w:val="auto"/>
          <w:kern w:val="0"/>
          <w:szCs w:val="21"/>
          <w:highlight w:val="none"/>
        </w:rPr>
        <w:t>投标人</w:t>
      </w:r>
      <w:r>
        <w:rPr>
          <w:rFonts w:hint="eastAsia" w:ascii="宋体" w:hAnsi="宋体"/>
          <w:color w:val="auto"/>
          <w:kern w:val="0"/>
          <w:szCs w:val="21"/>
          <w:highlight w:val="none"/>
        </w:rPr>
        <w:t>法定代表人的，应持有法定代表人授权书，并附法定代表人身份证明。</w:t>
      </w:r>
    </w:p>
    <w:p w14:paraId="0ECF46B0">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6</w:t>
      </w:r>
      <w:r>
        <w:rPr>
          <w:rFonts w:hint="eastAsia" w:ascii="宋体" w:hAnsi="宋体"/>
          <w:b/>
          <w:bCs/>
          <w:color w:val="auto"/>
          <w:szCs w:val="21"/>
          <w:highlight w:val="none"/>
        </w:rPr>
        <w:t>．联合体形式</w:t>
      </w:r>
    </w:p>
    <w:p w14:paraId="40D78682">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6.1</w:t>
      </w:r>
      <w:r>
        <w:rPr>
          <w:rFonts w:hint="eastAsia" w:ascii="宋体" w:hAnsi="宋体"/>
          <w:color w:val="auto"/>
          <w:kern w:val="0"/>
          <w:szCs w:val="21"/>
          <w:highlight w:val="none"/>
        </w:rPr>
        <w:t>除</w:t>
      </w:r>
      <w:r>
        <w:rPr>
          <w:rFonts w:hint="eastAsia" w:ascii="宋体" w:hAnsi="宋体"/>
          <w:b/>
          <w:color w:val="auto"/>
          <w:kern w:val="0"/>
          <w:szCs w:val="21"/>
          <w:highlight w:val="none"/>
        </w:rPr>
        <w:t>磋商须知前附表</w:t>
      </w:r>
      <w:r>
        <w:rPr>
          <w:rFonts w:hint="eastAsia" w:ascii="宋体" w:hAnsi="宋体"/>
          <w:color w:val="auto"/>
          <w:kern w:val="0"/>
          <w:szCs w:val="21"/>
          <w:highlight w:val="none"/>
        </w:rPr>
        <w:t>中另有规定，本次磋商采购不接受为联合体形式的</w:t>
      </w:r>
      <w:r>
        <w:rPr>
          <w:rFonts w:hint="eastAsia" w:ascii="宋体" w:hAnsi="宋体" w:cs="宋体"/>
          <w:color w:val="auto"/>
          <w:kern w:val="0"/>
          <w:szCs w:val="21"/>
          <w:highlight w:val="none"/>
        </w:rPr>
        <w:t>投标人</w:t>
      </w:r>
      <w:r>
        <w:rPr>
          <w:rFonts w:hint="eastAsia" w:ascii="宋体" w:hAnsi="宋体"/>
          <w:color w:val="auto"/>
          <w:kern w:val="0"/>
          <w:szCs w:val="21"/>
          <w:highlight w:val="none"/>
        </w:rPr>
        <w:t>。</w:t>
      </w:r>
    </w:p>
    <w:p w14:paraId="27500863">
      <w:pPr>
        <w:ind w:firstLine="420"/>
        <w:rPr>
          <w:color w:val="auto"/>
          <w:szCs w:val="22"/>
          <w:highlight w:val="none"/>
        </w:rPr>
      </w:pPr>
      <w:r>
        <w:rPr>
          <w:rFonts w:hint="eastAsia" w:ascii="宋体" w:hAnsi="宋体"/>
          <w:color w:val="auto"/>
          <w:kern w:val="0"/>
          <w:szCs w:val="21"/>
          <w:highlight w:val="none"/>
        </w:rPr>
        <w:t>6.2对联合体各方的要求：</w:t>
      </w:r>
      <w:r>
        <w:rPr>
          <w:rFonts w:hint="eastAsia" w:ascii="宋体" w:hAnsi="宋体"/>
          <w:color w:val="auto"/>
          <w:szCs w:val="21"/>
          <w:highlight w:val="none"/>
        </w:rPr>
        <w:t>投标人应当符合</w:t>
      </w:r>
      <w:r>
        <w:rPr>
          <w:rFonts w:hint="eastAsia" w:ascii="宋体" w:hAnsi="宋体"/>
          <w:b/>
          <w:bCs/>
          <w:color w:val="auto"/>
          <w:szCs w:val="21"/>
          <w:highlight w:val="none"/>
        </w:rPr>
        <w:t>磋商须知前附表</w:t>
      </w:r>
      <w:r>
        <w:rPr>
          <w:rFonts w:hint="eastAsia" w:ascii="宋体" w:hAnsi="宋体"/>
          <w:color w:val="auto"/>
          <w:szCs w:val="21"/>
          <w:highlight w:val="none"/>
        </w:rPr>
        <w:t>中规定的要求。</w:t>
      </w:r>
    </w:p>
    <w:p w14:paraId="445E8BAA">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7.</w:t>
      </w:r>
      <w:r>
        <w:rPr>
          <w:rFonts w:hint="eastAsia" w:ascii="宋体" w:hAnsi="宋体"/>
          <w:b/>
          <w:bCs/>
          <w:color w:val="auto"/>
          <w:szCs w:val="21"/>
          <w:highlight w:val="none"/>
        </w:rPr>
        <w:t>现场勘察</w:t>
      </w:r>
    </w:p>
    <w:p w14:paraId="7A20E075">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7.1</w:t>
      </w:r>
      <w:r>
        <w:rPr>
          <w:rFonts w:hint="eastAsia" w:ascii="宋体" w:hAnsi="宋体" w:cs="宋体"/>
          <w:color w:val="auto"/>
          <w:szCs w:val="21"/>
          <w:highlight w:val="none"/>
        </w:rPr>
        <w:t>投标人</w:t>
      </w:r>
      <w:r>
        <w:rPr>
          <w:rFonts w:hint="eastAsia" w:ascii="宋体" w:hAnsi="宋体"/>
          <w:color w:val="auto"/>
          <w:szCs w:val="21"/>
          <w:highlight w:val="none"/>
        </w:rPr>
        <w:t>应按</w:t>
      </w:r>
      <w:r>
        <w:rPr>
          <w:rFonts w:hint="eastAsia" w:ascii="宋体" w:hAnsi="宋体"/>
          <w:b/>
          <w:color w:val="auto"/>
          <w:szCs w:val="21"/>
          <w:highlight w:val="none"/>
        </w:rPr>
        <w:t>磋商须知前附表</w:t>
      </w:r>
      <w:r>
        <w:rPr>
          <w:rFonts w:hint="eastAsia" w:ascii="宋体" w:hAnsi="宋体"/>
          <w:color w:val="auto"/>
          <w:szCs w:val="21"/>
          <w:highlight w:val="none"/>
        </w:rPr>
        <w:t>中规定对采购项目现场和周围环境的现场考察。</w:t>
      </w:r>
    </w:p>
    <w:p w14:paraId="5A4FD154">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7.2</w:t>
      </w:r>
      <w:r>
        <w:rPr>
          <w:rFonts w:hint="eastAsia" w:ascii="宋体" w:hAnsi="宋体"/>
          <w:color w:val="auto"/>
          <w:szCs w:val="21"/>
          <w:highlight w:val="none"/>
        </w:rPr>
        <w:t>勘察现场的费用由</w:t>
      </w:r>
      <w:r>
        <w:rPr>
          <w:rFonts w:hint="eastAsia" w:ascii="宋体" w:hAnsi="宋体" w:cs="宋体"/>
          <w:color w:val="auto"/>
          <w:szCs w:val="21"/>
          <w:highlight w:val="none"/>
        </w:rPr>
        <w:t>投标人</w:t>
      </w:r>
      <w:r>
        <w:rPr>
          <w:rFonts w:hint="eastAsia" w:ascii="宋体" w:hAnsi="宋体"/>
          <w:color w:val="auto"/>
          <w:szCs w:val="21"/>
          <w:highlight w:val="none"/>
        </w:rPr>
        <w:t>自己承担，勘察期间所发生的人身伤害及财产损失由投标人自己负责。</w:t>
      </w:r>
    </w:p>
    <w:p w14:paraId="431E61DA">
      <w:pPr>
        <w:adjustRightInd w:val="0"/>
        <w:snapToGrid w:val="0"/>
        <w:spacing w:line="360" w:lineRule="auto"/>
        <w:ind w:firstLine="420" w:firstLineChars="200"/>
        <w:jc w:val="left"/>
        <w:rPr>
          <w:rFonts w:hint="eastAsia" w:ascii="宋体" w:hAnsi="宋体"/>
          <w:b/>
          <w:color w:val="auto"/>
          <w:szCs w:val="21"/>
          <w:highlight w:val="none"/>
        </w:rPr>
      </w:pPr>
      <w:r>
        <w:rPr>
          <w:rFonts w:ascii="宋体" w:hAnsi="宋体"/>
          <w:color w:val="auto"/>
          <w:szCs w:val="21"/>
          <w:highlight w:val="none"/>
        </w:rPr>
        <w:t>7.3</w:t>
      </w:r>
      <w:r>
        <w:rPr>
          <w:rFonts w:hint="eastAsia" w:ascii="宋体" w:hAnsi="宋体"/>
          <w:color w:val="auto"/>
          <w:szCs w:val="21"/>
          <w:highlight w:val="none"/>
        </w:rPr>
        <w:t>采购人不对</w:t>
      </w:r>
      <w:r>
        <w:rPr>
          <w:rFonts w:hint="eastAsia" w:ascii="宋体" w:hAnsi="宋体" w:cs="宋体"/>
          <w:color w:val="auto"/>
          <w:szCs w:val="21"/>
          <w:highlight w:val="none"/>
        </w:rPr>
        <w:t>投标人</w:t>
      </w:r>
      <w:r>
        <w:rPr>
          <w:rFonts w:hint="eastAsia" w:ascii="宋体" w:hAnsi="宋体"/>
          <w:color w:val="auto"/>
          <w:szCs w:val="21"/>
          <w:highlight w:val="none"/>
        </w:rPr>
        <w:t>据此而做出的推论、理解和结论负责。一旦成交，投标人不得以任何借口，提出额外补偿，或延长合同期限的要求。</w:t>
      </w:r>
    </w:p>
    <w:p w14:paraId="7F9CB5F8">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8.</w:t>
      </w:r>
      <w:r>
        <w:rPr>
          <w:rFonts w:hint="eastAsia" w:ascii="宋体" w:hAnsi="宋体"/>
          <w:b/>
          <w:bCs/>
          <w:color w:val="auto"/>
          <w:szCs w:val="21"/>
          <w:highlight w:val="none"/>
        </w:rPr>
        <w:t>答疑会</w:t>
      </w:r>
    </w:p>
    <w:p w14:paraId="39FDD9C3">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8.1</w:t>
      </w:r>
      <w:r>
        <w:rPr>
          <w:rFonts w:hint="eastAsia" w:ascii="宋体" w:hAnsi="宋体" w:cs="宋体"/>
          <w:color w:val="auto"/>
          <w:szCs w:val="21"/>
          <w:highlight w:val="none"/>
        </w:rPr>
        <w:t>投标人</w:t>
      </w:r>
      <w:r>
        <w:rPr>
          <w:rFonts w:hint="eastAsia" w:ascii="宋体" w:hAnsi="宋体"/>
          <w:color w:val="auto"/>
          <w:szCs w:val="21"/>
          <w:highlight w:val="none"/>
        </w:rPr>
        <w:t>应按</w:t>
      </w:r>
      <w:r>
        <w:rPr>
          <w:rFonts w:hint="eastAsia" w:ascii="宋体" w:hAnsi="宋体"/>
          <w:b/>
          <w:color w:val="auto"/>
          <w:szCs w:val="21"/>
          <w:highlight w:val="none"/>
        </w:rPr>
        <w:t>磋商须知前附表</w:t>
      </w:r>
      <w:r>
        <w:rPr>
          <w:rFonts w:hint="eastAsia" w:ascii="宋体" w:hAnsi="宋体"/>
          <w:color w:val="auto"/>
          <w:szCs w:val="21"/>
          <w:highlight w:val="none"/>
        </w:rPr>
        <w:t>中规定参与采购项目答疑会。</w:t>
      </w:r>
    </w:p>
    <w:p w14:paraId="5A97F29E">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 xml:space="preserve">9. </w:t>
      </w:r>
      <w:r>
        <w:rPr>
          <w:rFonts w:hint="eastAsia" w:ascii="宋体" w:hAnsi="宋体"/>
          <w:b/>
          <w:bCs/>
          <w:color w:val="auto"/>
          <w:szCs w:val="21"/>
          <w:highlight w:val="none"/>
        </w:rPr>
        <w:t>采购政策支持</w:t>
      </w:r>
    </w:p>
    <w:p w14:paraId="12437D01">
      <w:pPr>
        <w:adjustRightInd w:val="0"/>
        <w:snapToGrid w:val="0"/>
        <w:spacing w:line="440" w:lineRule="exact"/>
        <w:ind w:firstLine="420" w:firstLineChars="200"/>
        <w:jc w:val="left"/>
        <w:rPr>
          <w:rFonts w:ascii="宋体" w:cs="宋体"/>
          <w:color w:val="auto"/>
          <w:kern w:val="0"/>
          <w:highlight w:val="none"/>
        </w:rPr>
      </w:pPr>
      <w:bookmarkStart w:id="19" w:name="_Toc152247516"/>
      <w:bookmarkStart w:id="20" w:name="_Toc25073"/>
      <w:bookmarkStart w:id="21" w:name="_Toc12356"/>
      <w:bookmarkStart w:id="22" w:name="_Toc187939532"/>
      <w:bookmarkStart w:id="23" w:name="_Toc432109650"/>
      <w:bookmarkStart w:id="24" w:name="_Toc29890"/>
      <w:r>
        <w:rPr>
          <w:rFonts w:hint="eastAsia" w:ascii="宋体" w:hAnsi="宋体" w:cs="宋体"/>
          <w:color w:val="auto"/>
          <w:kern w:val="0"/>
          <w:highlight w:val="none"/>
        </w:rPr>
        <w:t>9</w:t>
      </w:r>
      <w:r>
        <w:rPr>
          <w:rFonts w:ascii="宋体" w:hAnsi="宋体" w:cs="宋体"/>
          <w:color w:val="auto"/>
          <w:kern w:val="0"/>
          <w:highlight w:val="none"/>
        </w:rPr>
        <w:t>.1</w:t>
      </w:r>
      <w:r>
        <w:rPr>
          <w:rFonts w:hint="eastAsia" w:ascii="宋体" w:hAnsi="宋体" w:cs="宋体"/>
          <w:color w:val="auto"/>
          <w:kern w:val="0"/>
          <w:highlight w:val="none"/>
        </w:rPr>
        <w:t xml:space="preserve"> 优先采购：</w:t>
      </w:r>
    </w:p>
    <w:p w14:paraId="421F4E87">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纳入财政部会同国务院有关部门发布的节能产品、环境标志产品政府采购品目清单，按财政部、发展改革委、生态环境部、市场监管总局《关于调整优化节能产品、环境标志产品政府采购执行机制的通知》（财库【2019】9号）规定，实施政府优先采购的，评审时按相应评标方法给予政策加分。具体加分</w:t>
      </w:r>
      <w:r>
        <w:rPr>
          <w:rFonts w:hint="eastAsia" w:ascii="宋体" w:hAnsi="宋体"/>
          <w:color w:val="auto"/>
          <w:highlight w:val="none"/>
        </w:rPr>
        <w:t>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46146F9A">
      <w:pPr>
        <w:adjustRightInd w:val="0"/>
        <w:snapToGrid w:val="0"/>
        <w:spacing w:line="440" w:lineRule="exact"/>
        <w:ind w:firstLine="420" w:firstLineChars="200"/>
        <w:jc w:val="left"/>
        <w:rPr>
          <w:rFonts w:ascii="宋体" w:cs="宋体"/>
          <w:color w:val="auto"/>
          <w:kern w:val="0"/>
          <w:highlight w:val="none"/>
        </w:rPr>
      </w:pPr>
      <w:r>
        <w:rPr>
          <w:rFonts w:hint="eastAsia" w:ascii="宋体" w:hAnsi="宋体" w:cs="宋体"/>
          <w:color w:val="auto"/>
          <w:kern w:val="0"/>
          <w:highlight w:val="none"/>
        </w:rPr>
        <w:t>9</w:t>
      </w:r>
      <w:r>
        <w:rPr>
          <w:rFonts w:ascii="宋体" w:hAnsi="宋体" w:cs="宋体"/>
          <w:color w:val="auto"/>
          <w:kern w:val="0"/>
          <w:highlight w:val="none"/>
        </w:rPr>
        <w:t>.2</w:t>
      </w:r>
      <w:r>
        <w:rPr>
          <w:rFonts w:hint="eastAsia" w:ascii="宋体" w:hAnsi="宋体" w:cs="宋体"/>
          <w:color w:val="auto"/>
          <w:kern w:val="0"/>
          <w:highlight w:val="none"/>
        </w:rPr>
        <w:t xml:space="preserve"> 强制采购：</w:t>
      </w:r>
    </w:p>
    <w:p w14:paraId="190A49A1">
      <w:pPr>
        <w:adjustRightInd w:val="0"/>
        <w:snapToGrid w:val="0"/>
        <w:spacing w:line="440" w:lineRule="exact"/>
        <w:ind w:firstLine="315" w:firstLineChars="150"/>
        <w:jc w:val="left"/>
        <w:rPr>
          <w:rFonts w:ascii="宋体" w:cs="宋体"/>
          <w:color w:val="auto"/>
          <w:kern w:val="0"/>
          <w:highlight w:val="none"/>
        </w:rPr>
      </w:pPr>
      <w:r>
        <w:rPr>
          <w:rFonts w:hint="eastAsia" w:ascii="宋体" w:hAnsi="宋体" w:cs="宋体"/>
          <w:color w:val="auto"/>
          <w:kern w:val="0"/>
          <w:highlight w:val="none"/>
        </w:rPr>
        <w:t>（</w:t>
      </w:r>
      <w:r>
        <w:rPr>
          <w:rFonts w:ascii="宋体" w:hAnsi="宋体" w:cs="宋体"/>
          <w:color w:val="auto"/>
          <w:kern w:val="0"/>
          <w:highlight w:val="none"/>
        </w:rPr>
        <w:t>1</w:t>
      </w:r>
      <w:r>
        <w:rPr>
          <w:rFonts w:hint="eastAsia" w:ascii="宋体" w:hAnsi="宋体" w:cs="宋体"/>
          <w:color w:val="auto"/>
          <w:kern w:val="0"/>
          <w:highlight w:val="none"/>
        </w:rPr>
        <w:t>）纳入财政部会同国务院有关部门发布的节能产品政府采购品目清单，</w:t>
      </w:r>
      <w:r>
        <w:rPr>
          <w:rFonts w:hint="eastAsia" w:ascii="宋体" w:hAnsi="宋体" w:cs="宋体"/>
          <w:color w:val="auto"/>
          <w:highlight w:val="none"/>
        </w:rPr>
        <w:t>按财政部、发展改革委、生态环境部、市场监管总局《关于调整优化节能产品、环境标志产品政府采购执行机制的通知》（财库【2019】9号）规定，</w:t>
      </w:r>
      <w:r>
        <w:rPr>
          <w:rFonts w:hint="eastAsia" w:ascii="宋体" w:hAnsi="宋体" w:cs="宋体"/>
          <w:color w:val="auto"/>
          <w:kern w:val="0"/>
          <w:highlight w:val="none"/>
        </w:rPr>
        <w:t>实施政府强制采购的（品目清单标注</w:t>
      </w:r>
      <w:r>
        <w:rPr>
          <w:rFonts w:hint="eastAsia" w:ascii="宋体" w:hAnsi="Wingdings"/>
          <w:color w:val="auto"/>
          <w:kern w:val="0"/>
          <w:szCs w:val="20"/>
          <w:highlight w:val="none"/>
        </w:rPr>
        <w:t>★</w:t>
      </w:r>
      <w:r>
        <w:rPr>
          <w:rFonts w:hint="eastAsia" w:ascii="宋体" w:hAnsi="宋体" w:cs="宋体"/>
          <w:color w:val="auto"/>
          <w:kern w:val="0"/>
          <w:highlight w:val="none"/>
        </w:rPr>
        <w:t>符号产品），供应商投标产品应当取得国家确定的认证机构出具的、处于有效期之内的节能产品认证证书，否则，其投标无效。</w:t>
      </w:r>
    </w:p>
    <w:p w14:paraId="3AB7616E">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9</w:t>
      </w:r>
      <w:r>
        <w:rPr>
          <w:rFonts w:ascii="宋体" w:hAnsi="宋体" w:cs="宋体"/>
          <w:color w:val="auto"/>
          <w:highlight w:val="none"/>
        </w:rPr>
        <w:t>.3</w:t>
      </w:r>
      <w:r>
        <w:rPr>
          <w:rFonts w:hint="eastAsia" w:ascii="宋体" w:hAnsi="宋体" w:cs="宋体"/>
          <w:color w:val="auto"/>
          <w:highlight w:val="none"/>
        </w:rPr>
        <w:t xml:space="preserve"> 价格评审优惠：</w:t>
      </w:r>
    </w:p>
    <w:p w14:paraId="28219ECA">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1）在政府采购活动中，供应商提供的货物、工程或服务符合下列情形的：①在货物采购项目中，货物由中小企业制造，即货物由中小企业生产且使用该中小企业商号或注册商标；②在工程采购项目中，工程由中小企业承建，即工程施工单位为中小企业；③在服务采购项目中，服务由中小企业承接，即提供服务的人员为中小企业依照《中华人民共和国劳动合同法》订立劳动合同的从业人员；给予一定比例的价格折扣，用扣除后的价格参与评审。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2CD57F74">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color w:val="auto"/>
          <w:highlight w:val="none"/>
        </w:rPr>
        <w:t>（2）对于经主管预算单位统筹后未预留份额专门面向中小企业采购的采购项目，以及预留份额项目中的非预留部分采购包，符合小型、微型企业生产的货物或提供的服务、工程情形的，给予一定比例的价格折扣，用扣除后的价格参与评审。</w:t>
      </w:r>
    </w:p>
    <w:p w14:paraId="15875757">
      <w:pPr>
        <w:adjustRightInd w:val="0"/>
        <w:snapToGrid w:val="0"/>
        <w:spacing w:line="440" w:lineRule="exact"/>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接受大中型企业与小型、微型企业组成联合体的采购项目，对于联合体协议中明确约定小型、微型企业的合同份额占到合同总金额 40%以上的，该联合体投标价格给予一定的价格折扣，用扣除后的价格参与评审。以联合体形式参加政府采购活动的，联合体各方均为中小企业的，联合体视同为中小企业。其中，联合体各方均为小型、微型企业的，联合体视同小型、微型企业。</w:t>
      </w:r>
      <w:r>
        <w:rPr>
          <w:rFonts w:hint="eastAsia" w:ascii="宋体" w:hAnsi="宋体" w:cs="宋体"/>
          <w:color w:val="auto"/>
          <w:highlight w:val="none"/>
        </w:rPr>
        <w:t>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042E620D">
      <w:pPr>
        <w:adjustRightInd w:val="0"/>
        <w:snapToGrid w:val="0"/>
        <w:spacing w:line="440" w:lineRule="exact"/>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允许大中型企业向一家或者多家小型、微型企业分包的采购项目，</w:t>
      </w:r>
      <w:r>
        <w:rPr>
          <w:rFonts w:hint="eastAsia" w:ascii="宋体" w:hAnsi="宋体" w:cs="宋体"/>
          <w:color w:val="auto"/>
          <w:highlight w:val="none"/>
        </w:rPr>
        <w:t>对于分包意向协议中明确约定小型、微型企业的合同份额占到合同总金额40%以上的，该大中型企业投标价格给予一定的价格折扣，用扣除后的价格参与评审。</w:t>
      </w:r>
      <w:r>
        <w:rPr>
          <w:rFonts w:hint="eastAsia" w:ascii="宋体" w:hAnsi="宋体" w:cs="宋体"/>
          <w:bCs/>
          <w:color w:val="auto"/>
          <w:highlight w:val="none"/>
        </w:rPr>
        <w:t>以联合体形式参加政府采购活动的，联合体各方均为中小企业的，联合体视同为中小企业。其中，联合体各方均为小型、微型企业的，联合体视同小型、微型企业。</w:t>
      </w:r>
      <w:r>
        <w:rPr>
          <w:rFonts w:hint="eastAsia" w:ascii="宋体" w:hAnsi="宋体" w:cs="宋体"/>
          <w:color w:val="auto"/>
          <w:highlight w:val="none"/>
        </w:rPr>
        <w:t>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02743E1B">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bCs/>
          <w:color w:val="auto"/>
          <w:highlight w:val="none"/>
        </w:rPr>
        <w:t>（3）符合中小企业划分标准的个体工商户视同中小企业，享受评审中价格扣除等促进中小企业发展的政府采购政策。</w:t>
      </w:r>
      <w:r>
        <w:rPr>
          <w:rFonts w:hint="eastAsia" w:ascii="宋体" w:hAnsi="宋体" w:cs="宋体"/>
          <w:color w:val="auto"/>
          <w:highlight w:val="none"/>
        </w:rPr>
        <w:t>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407F39D2">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color w:val="auto"/>
          <w:highlight w:val="none"/>
        </w:rPr>
        <w:t>（4）监狱企业、残疾人福利性单位视同小型、微型企业，享受评审中价格扣除等促进中小企业发展的政府采购政策。具体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6BDA06FA">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bCs/>
          <w:color w:val="auto"/>
          <w:highlight w:val="none"/>
        </w:rPr>
        <w:t>（5）与大企业的负责人为同一人，或与大企业存在直接控股、管理关系的中小企业，不享受评审中价格扣除等促进中小企业发展的政府采购政策。</w:t>
      </w:r>
    </w:p>
    <w:p w14:paraId="264AA5EC">
      <w:pPr>
        <w:adjustRightInd w:val="0"/>
        <w:snapToGrid w:val="0"/>
        <w:spacing w:line="440" w:lineRule="exact"/>
        <w:ind w:firstLine="315" w:firstLineChars="150"/>
        <w:jc w:val="left"/>
        <w:rPr>
          <w:rFonts w:hint="eastAsia" w:ascii="宋体" w:hAnsi="宋体" w:cs="宋体"/>
          <w:bCs/>
          <w:color w:val="auto"/>
          <w:highlight w:val="none"/>
        </w:rPr>
      </w:pPr>
      <w:r>
        <w:rPr>
          <w:rFonts w:hint="eastAsia" w:ascii="宋体" w:hAnsi="宋体" w:cs="宋体"/>
          <w:bCs/>
          <w:color w:val="auto"/>
          <w:highlight w:val="none"/>
        </w:rPr>
        <w:t>（6）在政府采购活动中，采购项目或采购包既有本国产品又有非本国产品参与投标的，依法对本国产品</w:t>
      </w:r>
      <w:r>
        <w:rPr>
          <w:rFonts w:hint="eastAsia" w:ascii="宋体" w:hAnsi="宋体" w:cs="宋体"/>
          <w:color w:val="auto"/>
          <w:highlight w:val="none"/>
        </w:rPr>
        <w:t>给予一定比例的价格折扣，用扣除后的价格参与评审。具体</w:t>
      </w:r>
      <w:r>
        <w:rPr>
          <w:rFonts w:hint="eastAsia" w:ascii="宋体" w:hAnsi="宋体"/>
          <w:color w:val="auto"/>
          <w:highlight w:val="none"/>
        </w:rPr>
        <w:t>价格扣除比例见</w:t>
      </w:r>
      <w:r>
        <w:rPr>
          <w:rFonts w:hint="eastAsia" w:ascii="宋体" w:hAnsi="宋体" w:cs="宋体"/>
          <w:b/>
          <w:bCs/>
          <w:color w:val="auto"/>
          <w:highlight w:val="none"/>
        </w:rPr>
        <w:t>【磋商须知前附表】</w:t>
      </w:r>
      <w:r>
        <w:rPr>
          <w:rFonts w:hint="eastAsia" w:ascii="宋体" w:hAnsi="宋体" w:cs="宋体"/>
          <w:bCs/>
          <w:color w:val="auto"/>
          <w:highlight w:val="none"/>
        </w:rPr>
        <w:t>。</w:t>
      </w:r>
    </w:p>
    <w:p w14:paraId="18CC2761">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9</w:t>
      </w:r>
      <w:r>
        <w:rPr>
          <w:rFonts w:ascii="宋体" w:hAnsi="宋体" w:cs="宋体"/>
          <w:color w:val="auto"/>
          <w:highlight w:val="none"/>
        </w:rPr>
        <w:t>.4</w:t>
      </w:r>
      <w:r>
        <w:rPr>
          <w:rFonts w:hint="eastAsia" w:ascii="宋体" w:hAnsi="宋体" w:cs="宋体"/>
          <w:color w:val="auto"/>
          <w:highlight w:val="none"/>
        </w:rPr>
        <w:t xml:space="preserve"> 政府采购政策交叉与叠加</w:t>
      </w:r>
    </w:p>
    <w:p w14:paraId="6B0F6324">
      <w:pPr>
        <w:adjustRightInd w:val="0"/>
        <w:snapToGrid w:val="0"/>
        <w:spacing w:line="440" w:lineRule="exact"/>
        <w:ind w:firstLine="315" w:firstLineChars="150"/>
        <w:jc w:val="left"/>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）优先采购同时属于“节能产品”、“环境标志产品”的，评审时只有其中一项产品能享受优先采购优惠（供应商自行选择，并在响应文件中并填报相关信息及数据）；</w:t>
      </w:r>
    </w:p>
    <w:p w14:paraId="485B510A">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hAnsi="宋体"/>
          <w:color w:val="auto"/>
          <w:highlight w:val="none"/>
        </w:rPr>
        <w:t>供应商同时符合小型、微型企业及监狱企业、残疾人福利性单位要求的，评审时只有一种类型享受价格评审优惠政策；</w:t>
      </w:r>
    </w:p>
    <w:p w14:paraId="7240DB4D">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）中小企业的价格评审优惠可以与同时属于“节能产品”、“环境标志产品”中的一项优先采购优惠累加计算。</w:t>
      </w:r>
    </w:p>
    <w:p w14:paraId="3D29FDAD">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olor w:val="auto"/>
          <w:highlight w:val="none"/>
        </w:rPr>
        <w:t>（4）中小企业的价格评审优惠可以与本国产品的价格评审优惠累加计算；</w:t>
      </w:r>
    </w:p>
    <w:p w14:paraId="0EF5B47C">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（5）中小企业、本国产品的价格评审优惠可以与同时属于“节能产品”及“环境标志产品”中的一项优先采购优惠累加计算。</w:t>
      </w:r>
    </w:p>
    <w:p w14:paraId="0319BC56">
      <w:pPr>
        <w:adjustRightInd w:val="0"/>
        <w:snapToGrid w:val="0"/>
        <w:spacing w:line="44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9.5 在货物采购项目中，供应商提供的货物既有中小企业制造货物，也有大型企业制造货物的，不享受政府采购中小企业扶持政策。</w:t>
      </w:r>
    </w:p>
    <w:p w14:paraId="0D5AE711">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9</w:t>
      </w:r>
      <w:r>
        <w:rPr>
          <w:rFonts w:ascii="宋体" w:hAnsi="宋体" w:cs="宋体"/>
          <w:color w:val="auto"/>
          <w:highlight w:val="none"/>
        </w:rPr>
        <w:t>.</w:t>
      </w:r>
      <w:r>
        <w:rPr>
          <w:rFonts w:hint="eastAsia" w:ascii="宋体" w:hAnsi="宋体" w:cs="宋体"/>
          <w:color w:val="auto"/>
          <w:highlight w:val="none"/>
        </w:rPr>
        <w:t>6 部分投标产品属于优先采购的，以及中小企业的供应商代理部分小型和微型企业产品的，评审时只对该部分产品的报价实行价格扣除及政策加分。供应商应按本章第</w:t>
      </w:r>
      <w:r>
        <w:rPr>
          <w:rFonts w:ascii="宋体" w:hAnsi="宋体" w:cs="宋体"/>
          <w:color w:val="auto"/>
          <w:highlight w:val="none"/>
        </w:rPr>
        <w:t>3</w:t>
      </w:r>
      <w:r>
        <w:rPr>
          <w:rFonts w:hint="eastAsia" w:ascii="宋体" w:hAnsi="宋体" w:cs="宋体"/>
          <w:color w:val="auto"/>
          <w:highlight w:val="none"/>
        </w:rPr>
        <w:t>4</w:t>
      </w:r>
      <w:r>
        <w:rPr>
          <w:rFonts w:ascii="宋体" w:hAnsi="宋体" w:cs="宋体"/>
          <w:color w:val="auto"/>
          <w:highlight w:val="none"/>
        </w:rPr>
        <w:t>.</w:t>
      </w:r>
      <w:r>
        <w:rPr>
          <w:rFonts w:hint="eastAsia" w:ascii="宋体" w:hAnsi="宋体" w:cs="宋体"/>
          <w:color w:val="auto"/>
          <w:highlight w:val="none"/>
        </w:rPr>
        <w:t>7款规定提供相关证明资料，并按第六章第三节“投标分项价格表”格式提供相关证明资料（包括提供相关报价）。</w:t>
      </w:r>
    </w:p>
    <w:p w14:paraId="735F3704">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9</w:t>
      </w:r>
      <w:r>
        <w:rPr>
          <w:rFonts w:ascii="宋体" w:hAnsi="宋体" w:cs="宋体"/>
          <w:color w:val="auto"/>
          <w:highlight w:val="none"/>
        </w:rPr>
        <w:t>.</w:t>
      </w:r>
      <w:r>
        <w:rPr>
          <w:rFonts w:hint="eastAsia" w:ascii="宋体" w:hAnsi="宋体" w:cs="宋体"/>
          <w:color w:val="auto"/>
          <w:highlight w:val="none"/>
        </w:rPr>
        <w:t>7 供应商符合本章第9</w:t>
      </w:r>
      <w:r>
        <w:rPr>
          <w:rFonts w:ascii="宋体" w:hAnsi="宋体" w:cs="宋体"/>
          <w:color w:val="auto"/>
          <w:highlight w:val="none"/>
        </w:rPr>
        <w:t>.1</w:t>
      </w:r>
      <w:r>
        <w:rPr>
          <w:rFonts w:hint="eastAsia" w:ascii="宋体" w:hAnsi="宋体" w:cs="宋体"/>
          <w:color w:val="auto"/>
          <w:highlight w:val="none"/>
        </w:rPr>
        <w:t>款、第9</w:t>
      </w:r>
      <w:r>
        <w:rPr>
          <w:rFonts w:ascii="宋体" w:hAnsi="宋体" w:cs="宋体"/>
          <w:color w:val="auto"/>
          <w:highlight w:val="none"/>
        </w:rPr>
        <w:t>.2</w:t>
      </w:r>
      <w:r>
        <w:rPr>
          <w:rFonts w:hint="eastAsia" w:ascii="宋体" w:hAnsi="宋体" w:cs="宋体"/>
          <w:color w:val="auto"/>
          <w:highlight w:val="none"/>
        </w:rPr>
        <w:t>款、第9</w:t>
      </w:r>
      <w:r>
        <w:rPr>
          <w:rFonts w:ascii="宋体" w:hAnsi="宋体" w:cs="宋体"/>
          <w:color w:val="auto"/>
          <w:highlight w:val="none"/>
        </w:rPr>
        <w:t>.3</w:t>
      </w:r>
      <w:r>
        <w:rPr>
          <w:rFonts w:hint="eastAsia" w:ascii="宋体" w:hAnsi="宋体" w:cs="宋体"/>
          <w:color w:val="auto"/>
          <w:highlight w:val="none"/>
        </w:rPr>
        <w:t>款规定的，应提供相关证明资料。</w:t>
      </w:r>
    </w:p>
    <w:p w14:paraId="26CE7C02">
      <w:pPr>
        <w:adjustRightInd w:val="0"/>
        <w:snapToGrid w:val="0"/>
        <w:spacing w:line="440" w:lineRule="exact"/>
        <w:ind w:firstLine="315" w:firstLineChars="150"/>
        <w:jc w:val="left"/>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）节能产品、环境标志产品：提供国家确定的认证机构出具的、处于有效期之内的节能产品、环境标志产品认证证书（复印件）。</w:t>
      </w:r>
    </w:p>
    <w:p w14:paraId="5A780D66">
      <w:pPr>
        <w:adjustRightInd w:val="0"/>
        <w:snapToGrid w:val="0"/>
        <w:spacing w:line="440" w:lineRule="exact"/>
        <w:ind w:firstLine="315" w:firstLineChars="150"/>
        <w:jc w:val="left"/>
        <w:rPr>
          <w:rFonts w:ascii="宋体" w:cs="宋体"/>
          <w:color w:val="auto"/>
          <w:highlight w:val="none"/>
        </w:rPr>
      </w:pPr>
      <w:r>
        <w:rPr>
          <w:rFonts w:hint="eastAsia" w:ascii="宋体" w:hAnsi="宋体" w:cs="宋体"/>
          <w:color w:val="auto"/>
          <w:highlight w:val="none"/>
        </w:rPr>
        <w:t>（2）中小企业：根据工信部等部委发布的《关于印发中小企业划型标准规定的通知》（工信部联企业【2011】300号）规定的所属行业的划型标准，货物类采购项目按《财政部、工业和信息化部关于印发&lt;政府采购促进中小企业发展管理办法&gt;的通知》（财库【2020】46号）文件规定，提供《中小企业声明函》（格式）；服务类采购项目，按《湖南省财政厅关于政府采购促进中小企业发展的有关措施的通知》（湘财购【2022】17号）文件规定，提供《湖南省政府采购供应商资格承诺函》（格式）。</w:t>
      </w:r>
    </w:p>
    <w:p w14:paraId="4AA6F67E">
      <w:pPr>
        <w:adjustRightInd w:val="0"/>
        <w:snapToGrid w:val="0"/>
        <w:spacing w:line="440" w:lineRule="exact"/>
        <w:ind w:firstLine="315" w:firstLineChars="150"/>
        <w:jc w:val="left"/>
        <w:rPr>
          <w:rFonts w:hint="eastAsia" w:ascii="宋体" w:hAnsi="宋体"/>
          <w:color w:val="auto"/>
          <w:spacing w:val="6"/>
          <w:szCs w:val="21"/>
          <w:highlight w:val="none"/>
        </w:rPr>
      </w:pPr>
      <w:r>
        <w:rPr>
          <w:rFonts w:hint="eastAsia" w:ascii="宋体" w:hAnsi="宋体" w:cs="宋体"/>
          <w:color w:val="auto"/>
          <w:highlight w:val="none"/>
        </w:rPr>
        <w:t>（3）监狱企业：按《关于政府采购支持监狱企业发展有关问题的通知》（财库【</w:t>
      </w:r>
      <w:r>
        <w:rPr>
          <w:rFonts w:ascii="宋体" w:hAnsi="宋体" w:cs="宋体"/>
          <w:color w:val="auto"/>
          <w:highlight w:val="none"/>
        </w:rPr>
        <w:t>2014</w:t>
      </w:r>
      <w:r>
        <w:rPr>
          <w:rFonts w:hint="eastAsia" w:ascii="宋体" w:hAnsi="宋体" w:cs="宋体"/>
          <w:color w:val="auto"/>
          <w:highlight w:val="none"/>
        </w:rPr>
        <w:t>】</w:t>
      </w:r>
      <w:r>
        <w:rPr>
          <w:rFonts w:ascii="宋体" w:hAnsi="宋体" w:cs="宋体"/>
          <w:color w:val="auto"/>
          <w:highlight w:val="none"/>
        </w:rPr>
        <w:t>68</w:t>
      </w:r>
      <w:r>
        <w:rPr>
          <w:rFonts w:hint="eastAsia" w:ascii="宋体" w:hAnsi="宋体" w:cs="宋体"/>
          <w:color w:val="auto"/>
          <w:highlight w:val="none"/>
        </w:rPr>
        <w:t>号）文件规定提供</w:t>
      </w:r>
      <w:r>
        <w:rPr>
          <w:rFonts w:hint="eastAsia" w:ascii="宋体" w:hAnsi="宋体"/>
          <w:color w:val="auto"/>
          <w:spacing w:val="6"/>
          <w:szCs w:val="21"/>
          <w:highlight w:val="none"/>
        </w:rPr>
        <w:t>省级以上监狱管理局、戒毒管理局（含新疆生产建设兵团）出具的属于监狱企业的证明文件</w:t>
      </w:r>
      <w:r>
        <w:rPr>
          <w:rFonts w:hint="eastAsia" w:ascii="宋体" w:hAnsi="宋体" w:cs="宋体"/>
          <w:color w:val="auto"/>
          <w:highlight w:val="none"/>
        </w:rPr>
        <w:t>（复印件）。</w:t>
      </w:r>
    </w:p>
    <w:p w14:paraId="024B23F5">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（4）残疾人福利性单位：按《关于促进残疾人就业政府采购政策的通知》（财库【2017】</w:t>
      </w:r>
      <w:r>
        <w:rPr>
          <w:rFonts w:ascii="宋体" w:hAnsi="宋体" w:cs="宋体"/>
          <w:color w:val="auto"/>
          <w:highlight w:val="none"/>
        </w:rPr>
        <w:t>141</w:t>
      </w:r>
      <w:r>
        <w:rPr>
          <w:rFonts w:hint="eastAsia" w:ascii="宋体" w:hAnsi="宋体" w:cs="宋体"/>
          <w:color w:val="auto"/>
          <w:highlight w:val="none"/>
        </w:rPr>
        <w:t>号）文件规定提供《残疾人福利性单位声明函》（格式）。</w:t>
      </w:r>
    </w:p>
    <w:p w14:paraId="17AF1BDD">
      <w:pPr>
        <w:adjustRightInd w:val="0"/>
        <w:snapToGrid w:val="0"/>
        <w:spacing w:line="440" w:lineRule="exact"/>
        <w:ind w:firstLine="315" w:firstLineChars="150"/>
        <w:jc w:val="left"/>
        <w:rPr>
          <w:rFonts w:hint="eastAsia" w:ascii="宋体" w:hAnsi="宋体" w:cs="宋体"/>
          <w:color w:val="auto"/>
          <w:highlight w:val="none"/>
        </w:rPr>
      </w:pPr>
      <w:r>
        <w:rPr>
          <w:rFonts w:hint="eastAsia" w:ascii="宋体" w:hAnsi="宋体" w:cs="宋体"/>
          <w:color w:val="auto"/>
          <w:highlight w:val="none"/>
        </w:rPr>
        <w:t>（5）符合本国产品标准的产品：按《国务院办公厅关于在政府采购中实施本国产品标准及相关政策的通知》（国办发【2025】34号）文件规定提供《中国境内生产的组件成本核算基本规则》、《关于符合本国产品标准的声明函》（格式）、《本国产品成本比例承诺函》（格式）、《供应商提交的其他资料》（如有，复印件）。</w:t>
      </w:r>
    </w:p>
    <w:p w14:paraId="33CCA70F">
      <w:pPr>
        <w:adjustRightInd w:val="0"/>
        <w:snapToGrid w:val="0"/>
        <w:spacing w:line="44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9.8 进口产品是指符合《政府采购进口产品管理办法》（财库【2007】119号）和《关于政府采购进口产品管理有关问题的通知》（财办库【2008】248号）文件规定的产品。除【磋商须知前附表】另有规定外，采购项目拒绝进口产品参加投标。本款规定同意购买进口产品的，不得限制满足磋商文件要求的国内产品参与投标竞争。</w:t>
      </w:r>
    </w:p>
    <w:p w14:paraId="4D31B6A7">
      <w:pPr>
        <w:adjustRightInd w:val="0"/>
        <w:snapToGrid w:val="0"/>
        <w:spacing w:line="44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9</w:t>
      </w:r>
      <w:r>
        <w:rPr>
          <w:rFonts w:ascii="宋体" w:hAnsi="宋体" w:cs="宋体"/>
          <w:color w:val="auto"/>
          <w:highlight w:val="none"/>
        </w:rPr>
        <w:t>.</w:t>
      </w:r>
      <w:r>
        <w:rPr>
          <w:rFonts w:hint="eastAsia" w:ascii="宋体" w:hAnsi="宋体" w:cs="宋体"/>
          <w:color w:val="auto"/>
          <w:highlight w:val="none"/>
        </w:rPr>
        <w:t>9 供应商有融资、担保需求的，可登录中国湖南政府采购网查询相关业务信息。</w:t>
      </w:r>
    </w:p>
    <w:p w14:paraId="0738F419">
      <w:pPr>
        <w:adjustRightInd w:val="0"/>
        <w:snapToGrid w:val="0"/>
        <w:spacing w:line="360" w:lineRule="auto"/>
        <w:outlineLvl w:val="1"/>
        <w:rPr>
          <w:rFonts w:hint="eastAsia" w:ascii="宋体" w:hAnsi="宋体"/>
          <w:color w:val="auto"/>
          <w:szCs w:val="21"/>
          <w:highlight w:val="none"/>
        </w:rPr>
      </w:pPr>
      <w:r>
        <w:rPr>
          <w:rFonts w:hint="eastAsia" w:ascii="宋体" w:hAnsi="宋体"/>
          <w:color w:val="auto"/>
          <w:szCs w:val="21"/>
          <w:highlight w:val="none"/>
        </w:rPr>
        <w:t>二、磋商文件</w:t>
      </w:r>
      <w:bookmarkEnd w:id="19"/>
      <w:bookmarkEnd w:id="20"/>
      <w:bookmarkEnd w:id="21"/>
      <w:bookmarkEnd w:id="22"/>
      <w:bookmarkEnd w:id="23"/>
      <w:bookmarkEnd w:id="24"/>
    </w:p>
    <w:p w14:paraId="2EF904E0">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10</w:t>
      </w:r>
      <w:r>
        <w:rPr>
          <w:rFonts w:hint="eastAsia" w:ascii="宋体" w:hAnsi="宋体"/>
          <w:b/>
          <w:bCs/>
          <w:color w:val="auto"/>
          <w:szCs w:val="21"/>
          <w:highlight w:val="none"/>
        </w:rPr>
        <w:t>．磋商文件的组成</w:t>
      </w:r>
    </w:p>
    <w:p w14:paraId="223CDC25">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 xml:space="preserve">10.1 </w:t>
      </w:r>
      <w:r>
        <w:rPr>
          <w:rFonts w:hint="eastAsia" w:ascii="宋体" w:hAnsi="宋体"/>
          <w:color w:val="auto"/>
          <w:kern w:val="0"/>
          <w:szCs w:val="21"/>
          <w:highlight w:val="none"/>
        </w:rPr>
        <w:t>磋商文件由下列文件组成：</w:t>
      </w:r>
    </w:p>
    <w:p w14:paraId="13D637F5">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第一章</w:t>
      </w:r>
      <w:r>
        <w:rPr>
          <w:rFonts w:ascii="宋体" w:hAnsi="宋体"/>
          <w:color w:val="auto"/>
          <w:kern w:val="0"/>
          <w:szCs w:val="21"/>
          <w:highlight w:val="none"/>
        </w:rPr>
        <w:t xml:space="preserve"> </w:t>
      </w:r>
      <w:r>
        <w:rPr>
          <w:rFonts w:hint="eastAsia" w:ascii="宋体" w:hAnsi="宋体"/>
          <w:color w:val="auto"/>
          <w:kern w:val="0"/>
          <w:szCs w:val="21"/>
          <w:highlight w:val="none"/>
        </w:rPr>
        <w:t>磋商邀请公告</w:t>
      </w:r>
    </w:p>
    <w:p w14:paraId="1C2D748B">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第二章</w:t>
      </w:r>
      <w:r>
        <w:rPr>
          <w:rFonts w:ascii="宋体" w:hAnsi="宋体"/>
          <w:color w:val="auto"/>
          <w:kern w:val="0"/>
          <w:szCs w:val="21"/>
          <w:highlight w:val="none"/>
        </w:rPr>
        <w:t xml:space="preserve"> </w:t>
      </w:r>
      <w:r>
        <w:rPr>
          <w:rFonts w:hint="eastAsia" w:ascii="宋体" w:hAnsi="宋体"/>
          <w:color w:val="auto"/>
          <w:kern w:val="0"/>
          <w:szCs w:val="21"/>
          <w:highlight w:val="none"/>
        </w:rPr>
        <w:t>磋商须知</w:t>
      </w:r>
    </w:p>
    <w:p w14:paraId="16DCB75D">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第三章</w:t>
      </w:r>
      <w:r>
        <w:rPr>
          <w:rFonts w:ascii="宋体" w:hAnsi="宋体"/>
          <w:color w:val="auto"/>
          <w:kern w:val="0"/>
          <w:szCs w:val="21"/>
          <w:highlight w:val="none"/>
        </w:rPr>
        <w:t xml:space="preserve"> </w:t>
      </w:r>
      <w:r>
        <w:rPr>
          <w:rFonts w:hint="eastAsia" w:ascii="宋体" w:hAnsi="宋体"/>
          <w:color w:val="auto"/>
          <w:kern w:val="0"/>
          <w:szCs w:val="21"/>
          <w:highlight w:val="none"/>
        </w:rPr>
        <w:t>评审办法及标准</w:t>
      </w:r>
    </w:p>
    <w:p w14:paraId="2C732D79">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 xml:space="preserve">第四章 </w:t>
      </w:r>
      <w:r>
        <w:rPr>
          <w:rFonts w:hint="eastAsia" w:ascii="宋体" w:hAnsi="宋体"/>
          <w:bCs/>
          <w:color w:val="auto"/>
          <w:kern w:val="0"/>
          <w:szCs w:val="21"/>
          <w:highlight w:val="none"/>
        </w:rPr>
        <w:t>政府采购合同通用条款及格式合同</w:t>
      </w:r>
    </w:p>
    <w:p w14:paraId="59A447C2">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第五章</w:t>
      </w:r>
      <w:r>
        <w:rPr>
          <w:rFonts w:ascii="宋体" w:hAnsi="宋体"/>
          <w:color w:val="auto"/>
          <w:kern w:val="0"/>
          <w:szCs w:val="21"/>
          <w:highlight w:val="none"/>
        </w:rPr>
        <w:t xml:space="preserve"> </w:t>
      </w:r>
      <w:r>
        <w:rPr>
          <w:rFonts w:hint="eastAsia" w:ascii="宋体" w:hAnsi="宋体"/>
          <w:color w:val="auto"/>
          <w:kern w:val="0"/>
          <w:szCs w:val="21"/>
          <w:highlight w:val="none"/>
        </w:rPr>
        <w:t>采购需求</w:t>
      </w:r>
    </w:p>
    <w:p w14:paraId="0E61BE4A">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第六章</w:t>
      </w:r>
      <w:r>
        <w:rPr>
          <w:rFonts w:ascii="宋体" w:hAnsi="宋体"/>
          <w:color w:val="auto"/>
          <w:kern w:val="0"/>
          <w:szCs w:val="21"/>
          <w:highlight w:val="none"/>
        </w:rPr>
        <w:t xml:space="preserve"> </w:t>
      </w:r>
      <w:r>
        <w:rPr>
          <w:rFonts w:hint="eastAsia" w:ascii="宋体" w:hAnsi="宋体"/>
          <w:color w:val="auto"/>
          <w:kern w:val="0"/>
          <w:szCs w:val="21"/>
          <w:highlight w:val="none"/>
        </w:rPr>
        <w:t>响应文件</w:t>
      </w:r>
      <w:r>
        <w:rPr>
          <w:rFonts w:hint="eastAsia" w:ascii="宋体" w:hAnsi="宋体"/>
          <w:color w:val="auto"/>
          <w:kern w:val="0"/>
          <w:szCs w:val="21"/>
          <w:highlight w:val="none"/>
        </w:rPr>
        <w:t>组成</w:t>
      </w:r>
    </w:p>
    <w:p w14:paraId="56CDC412">
      <w:pPr>
        <w:adjustRightInd w:val="0"/>
        <w:snapToGrid w:val="0"/>
        <w:spacing w:line="360" w:lineRule="auto"/>
        <w:ind w:firstLine="420" w:firstLineChars="200"/>
        <w:rPr>
          <w:rFonts w:hint="eastAsia" w:ascii="宋体" w:hAnsi="宋体" w:cs="宋体"/>
          <w:color w:val="auto"/>
          <w:kern w:val="0"/>
          <w:szCs w:val="21"/>
          <w:highlight w:val="none"/>
        </w:rPr>
      </w:pPr>
      <w:r>
        <w:rPr>
          <w:rFonts w:ascii="宋体" w:hAnsi="宋体"/>
          <w:color w:val="auto"/>
          <w:kern w:val="0"/>
          <w:szCs w:val="21"/>
          <w:highlight w:val="none"/>
        </w:rPr>
        <w:t>10.2</w:t>
      </w:r>
      <w:r>
        <w:rPr>
          <w:rFonts w:hint="eastAsia" w:ascii="宋体" w:hAnsi="宋体" w:cs="宋体"/>
          <w:color w:val="auto"/>
          <w:kern w:val="0"/>
          <w:szCs w:val="21"/>
          <w:highlight w:val="none"/>
        </w:rPr>
        <w:t>磋商小组根据与投标人磋商情况可能实质性变动的内容，包括采购需求中的技术、服务要求以及合同条款等，具体</w:t>
      </w:r>
      <w:r>
        <w:rPr>
          <w:rFonts w:hint="eastAsia" w:ascii="宋体" w:hAnsi="宋体"/>
          <w:color w:val="auto"/>
          <w:kern w:val="0"/>
          <w:szCs w:val="21"/>
          <w:highlight w:val="none"/>
        </w:rPr>
        <w:t>在</w:t>
      </w:r>
      <w:r>
        <w:rPr>
          <w:rFonts w:hint="eastAsia" w:ascii="宋体" w:hAnsi="宋体"/>
          <w:b/>
          <w:color w:val="auto"/>
          <w:kern w:val="0"/>
          <w:szCs w:val="21"/>
          <w:highlight w:val="none"/>
        </w:rPr>
        <w:t>磋商须知前附表</w:t>
      </w:r>
      <w:r>
        <w:rPr>
          <w:rFonts w:hint="eastAsia" w:ascii="宋体" w:hAnsi="宋体"/>
          <w:color w:val="auto"/>
          <w:kern w:val="0"/>
          <w:szCs w:val="21"/>
          <w:highlight w:val="none"/>
        </w:rPr>
        <w:t>中明确。</w:t>
      </w:r>
    </w:p>
    <w:p w14:paraId="2EE7C04E">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10.3</w:t>
      </w:r>
      <w:r>
        <w:rPr>
          <w:rFonts w:hint="eastAsia" w:ascii="宋体" w:hAnsi="宋体" w:cs="宋体"/>
          <w:color w:val="auto"/>
          <w:szCs w:val="21"/>
          <w:highlight w:val="none"/>
        </w:rPr>
        <w:t>投标人</w:t>
      </w:r>
      <w:r>
        <w:rPr>
          <w:rFonts w:hint="eastAsia" w:ascii="宋体" w:hAnsi="宋体"/>
          <w:color w:val="auto"/>
          <w:szCs w:val="21"/>
          <w:highlight w:val="none"/>
        </w:rPr>
        <w:t>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文件要求编制响应文件。任何对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文件的忽略或误解不能作为响应文件存在缺陷或瑕疵的理由，其风险由</w:t>
      </w:r>
      <w:r>
        <w:rPr>
          <w:rFonts w:hint="eastAsia" w:ascii="宋体" w:hAnsi="宋体" w:cs="宋体"/>
          <w:color w:val="auto"/>
          <w:szCs w:val="21"/>
          <w:highlight w:val="none"/>
        </w:rPr>
        <w:t>投标人</w:t>
      </w:r>
      <w:r>
        <w:rPr>
          <w:rFonts w:hint="eastAsia" w:ascii="宋体" w:hAnsi="宋体"/>
          <w:color w:val="auto"/>
          <w:szCs w:val="21"/>
          <w:highlight w:val="none"/>
        </w:rPr>
        <w:t>承担。</w:t>
      </w:r>
    </w:p>
    <w:p w14:paraId="0BC93B0B">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 xml:space="preserve">11. </w:t>
      </w:r>
      <w:r>
        <w:rPr>
          <w:rFonts w:hint="eastAsia" w:ascii="宋体" w:hAnsi="宋体"/>
          <w:b/>
          <w:bCs/>
          <w:color w:val="auto"/>
          <w:szCs w:val="21"/>
          <w:highlight w:val="none"/>
        </w:rPr>
        <w:t>磋商文件的提供期限</w:t>
      </w:r>
    </w:p>
    <w:p w14:paraId="41EACC25">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11.1</w:t>
      </w:r>
      <w:r>
        <w:rPr>
          <w:rFonts w:hint="eastAsia" w:ascii="宋体" w:hAnsi="宋体"/>
          <w:color w:val="auto"/>
          <w:szCs w:val="21"/>
          <w:highlight w:val="none"/>
        </w:rPr>
        <w:t>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67A6754A">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11.2</w:t>
      </w:r>
      <w:r>
        <w:rPr>
          <w:rFonts w:hint="eastAsia" w:ascii="宋体" w:hAnsi="宋体" w:cs="宋体"/>
          <w:color w:val="auto"/>
          <w:szCs w:val="21"/>
          <w:highlight w:val="none"/>
        </w:rPr>
        <w:t>投标人</w:t>
      </w:r>
      <w:r>
        <w:rPr>
          <w:rFonts w:hint="eastAsia" w:ascii="宋体" w:hAnsi="宋体"/>
          <w:color w:val="auto"/>
          <w:szCs w:val="21"/>
          <w:highlight w:val="none"/>
        </w:rPr>
        <w:t>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规定的资料领取磋商文件。</w:t>
      </w:r>
    </w:p>
    <w:p w14:paraId="77EE8D84">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12.</w:t>
      </w:r>
      <w:r>
        <w:rPr>
          <w:rFonts w:hint="eastAsia" w:ascii="宋体" w:hAnsi="宋体"/>
          <w:b/>
          <w:bCs/>
          <w:color w:val="auto"/>
          <w:szCs w:val="21"/>
          <w:highlight w:val="none"/>
        </w:rPr>
        <w:t>提交首次响应文件的截止时间</w:t>
      </w:r>
    </w:p>
    <w:p w14:paraId="15B807E7">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12.1</w:t>
      </w:r>
      <w:r>
        <w:rPr>
          <w:rFonts w:hint="eastAsia" w:ascii="宋体" w:hAnsi="宋体" w:cs="宋体"/>
          <w:color w:val="auto"/>
          <w:kern w:val="0"/>
          <w:szCs w:val="21"/>
          <w:highlight w:val="none"/>
        </w:rPr>
        <w:t>投标人提交首次响应文件截止</w:t>
      </w:r>
      <w:r>
        <w:rPr>
          <w:rFonts w:hint="eastAsia" w:ascii="宋体" w:hAnsi="宋体"/>
          <w:color w:val="auto"/>
          <w:kern w:val="0"/>
          <w:szCs w:val="21"/>
          <w:highlight w:val="none"/>
        </w:rPr>
        <w:t>时间见</w:t>
      </w:r>
      <w:r>
        <w:rPr>
          <w:rFonts w:hint="eastAsia" w:ascii="宋体" w:hAnsi="宋体"/>
          <w:b/>
          <w:color w:val="auto"/>
          <w:kern w:val="0"/>
          <w:szCs w:val="21"/>
          <w:highlight w:val="none"/>
        </w:rPr>
        <w:t>磋商须知前附表</w:t>
      </w:r>
      <w:r>
        <w:rPr>
          <w:rFonts w:hint="eastAsia" w:ascii="宋体" w:hAnsi="宋体"/>
          <w:color w:val="auto"/>
          <w:kern w:val="0"/>
          <w:szCs w:val="21"/>
          <w:highlight w:val="none"/>
        </w:rPr>
        <w:t>。</w:t>
      </w:r>
    </w:p>
    <w:p w14:paraId="5013E1A3">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13.</w:t>
      </w:r>
      <w:r>
        <w:rPr>
          <w:rFonts w:hint="eastAsia" w:ascii="宋体" w:hAnsi="宋体"/>
          <w:b/>
          <w:bCs/>
          <w:color w:val="auto"/>
          <w:szCs w:val="21"/>
          <w:highlight w:val="none"/>
        </w:rPr>
        <w:t>磋商文件的澄清或者修改</w:t>
      </w:r>
    </w:p>
    <w:p w14:paraId="25C41750">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ascii="宋体" w:hAnsi="宋体"/>
          <w:color w:val="auto"/>
          <w:szCs w:val="21"/>
          <w:highlight w:val="none"/>
        </w:rPr>
        <w:t>13.1</w:t>
      </w:r>
      <w:r>
        <w:rPr>
          <w:rFonts w:hint="eastAsia" w:ascii="宋体" w:hAnsi="宋体"/>
          <w:color w:val="auto"/>
          <w:szCs w:val="21"/>
          <w:highlight w:val="none"/>
        </w:rPr>
        <w:t>在</w:t>
      </w:r>
      <w:r>
        <w:rPr>
          <w:rFonts w:hint="eastAsia" w:ascii="宋体" w:hAnsi="宋体" w:cs="宋体"/>
          <w:color w:val="auto"/>
          <w:kern w:val="0"/>
          <w:szCs w:val="21"/>
          <w:highlight w:val="none"/>
        </w:rPr>
        <w:t>提交首次响应文件截止之日前，采购人、采购代理机构可以对已发出的磋商文件进行必要的澄清或者修改。</w:t>
      </w:r>
      <w:r>
        <w:rPr>
          <w:rFonts w:ascii="宋体" w:hAnsi="宋体" w:cs="宋体"/>
          <w:color w:val="auto"/>
          <w:kern w:val="0"/>
          <w:szCs w:val="21"/>
          <w:highlight w:val="none"/>
        </w:rPr>
        <w:t xml:space="preserve"> </w:t>
      </w:r>
    </w:p>
    <w:p w14:paraId="6EBF1D85">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澄清或者修改的内容可能影响响应文件编制的，采购人、采购代理机构应当在提交首次响应文件截止时间</w:t>
      </w:r>
      <w:r>
        <w:rPr>
          <w:rFonts w:ascii="宋体" w:hAnsi="宋体" w:cs="宋体"/>
          <w:color w:val="auto"/>
          <w:kern w:val="0"/>
          <w:szCs w:val="21"/>
          <w:highlight w:val="none"/>
        </w:rPr>
        <w:t>5</w:t>
      </w:r>
      <w:r>
        <w:rPr>
          <w:rFonts w:hint="eastAsia" w:ascii="宋体" w:hAnsi="宋体" w:cs="宋体"/>
          <w:color w:val="auto"/>
          <w:kern w:val="0"/>
          <w:szCs w:val="21"/>
          <w:highlight w:val="none"/>
        </w:rPr>
        <w:t>日前，以书面形式通知所有接收磋商文件的投标人，不足</w:t>
      </w:r>
      <w:r>
        <w:rPr>
          <w:rFonts w:ascii="宋体" w:hAnsi="宋体" w:cs="宋体"/>
          <w:color w:val="auto"/>
          <w:kern w:val="0"/>
          <w:szCs w:val="21"/>
          <w:highlight w:val="none"/>
        </w:rPr>
        <w:t>5</w:t>
      </w:r>
      <w:r>
        <w:rPr>
          <w:rFonts w:hint="eastAsia" w:ascii="宋体" w:hAnsi="宋体" w:cs="宋体"/>
          <w:color w:val="auto"/>
          <w:kern w:val="0"/>
          <w:szCs w:val="21"/>
          <w:highlight w:val="none"/>
        </w:rPr>
        <w:t>日的，顺延投标人提交首次响应文件截止时间。</w:t>
      </w:r>
    </w:p>
    <w:p w14:paraId="34DC5FC4">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13.3</w:t>
      </w:r>
      <w:r>
        <w:rPr>
          <w:rFonts w:hint="eastAsia" w:ascii="宋体" w:hAnsi="宋体" w:cs="宋体"/>
          <w:color w:val="auto"/>
          <w:kern w:val="0"/>
          <w:szCs w:val="21"/>
          <w:highlight w:val="none"/>
        </w:rPr>
        <w:t>提交首次响应文件截止时间前对磋商文件澄清或者修改内容，为磋商文件的组成部分。</w:t>
      </w:r>
    </w:p>
    <w:p w14:paraId="0552C423">
      <w:pPr>
        <w:adjustRightInd w:val="0"/>
        <w:snapToGrid w:val="0"/>
        <w:spacing w:line="360" w:lineRule="auto"/>
        <w:outlineLvl w:val="1"/>
        <w:rPr>
          <w:rFonts w:hint="eastAsia" w:ascii="宋体" w:hAnsi="宋体"/>
          <w:color w:val="auto"/>
          <w:szCs w:val="21"/>
          <w:highlight w:val="none"/>
        </w:rPr>
      </w:pPr>
      <w:bookmarkStart w:id="25" w:name="_Toc432109651"/>
      <w:bookmarkStart w:id="26" w:name="_Toc13420"/>
      <w:bookmarkStart w:id="27" w:name="_Toc152247517"/>
      <w:bookmarkStart w:id="28" w:name="_Toc5067"/>
      <w:bookmarkStart w:id="29" w:name="_Toc187939533"/>
      <w:bookmarkStart w:id="30" w:name="_Toc21951"/>
      <w:r>
        <w:rPr>
          <w:rFonts w:hint="eastAsia" w:ascii="宋体" w:hAnsi="宋体"/>
          <w:color w:val="auto"/>
          <w:szCs w:val="21"/>
          <w:highlight w:val="none"/>
        </w:rPr>
        <w:t>三、响应文件</w:t>
      </w:r>
      <w:bookmarkEnd w:id="25"/>
      <w:bookmarkEnd w:id="26"/>
      <w:bookmarkEnd w:id="27"/>
      <w:bookmarkEnd w:id="28"/>
      <w:bookmarkEnd w:id="29"/>
      <w:bookmarkEnd w:id="30"/>
    </w:p>
    <w:p w14:paraId="533B35B3">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14.</w:t>
      </w:r>
      <w:r>
        <w:rPr>
          <w:rFonts w:hint="eastAsia" w:ascii="宋体" w:hAnsi="宋体"/>
          <w:b/>
          <w:bCs/>
          <w:color w:val="auto"/>
          <w:szCs w:val="21"/>
          <w:highlight w:val="none"/>
        </w:rPr>
        <w:t>一般要求</w:t>
      </w:r>
    </w:p>
    <w:p w14:paraId="2187FCB4">
      <w:pPr>
        <w:adjustRightInd w:val="0"/>
        <w:snapToGrid w:val="0"/>
        <w:spacing w:line="360" w:lineRule="auto"/>
        <w:ind w:firstLine="420" w:firstLineChars="200"/>
        <w:rPr>
          <w:rFonts w:hint="eastAsia" w:ascii="宋体" w:hAnsi="宋体"/>
          <w:bCs/>
          <w:color w:val="auto"/>
          <w:szCs w:val="21"/>
          <w:highlight w:val="none"/>
        </w:rPr>
      </w:pPr>
      <w:r>
        <w:rPr>
          <w:rFonts w:ascii="宋体" w:hAnsi="宋体"/>
          <w:bCs/>
          <w:color w:val="auto"/>
          <w:szCs w:val="21"/>
          <w:highlight w:val="none"/>
        </w:rPr>
        <w:t xml:space="preserve">14.1 </w:t>
      </w:r>
      <w:r>
        <w:rPr>
          <w:rFonts w:hint="eastAsia" w:ascii="宋体" w:hAnsi="宋体" w:cs="宋体"/>
          <w:bCs/>
          <w:color w:val="auto"/>
          <w:szCs w:val="21"/>
          <w:highlight w:val="none"/>
        </w:rPr>
        <w:t>投标人</w:t>
      </w:r>
      <w:r>
        <w:rPr>
          <w:rFonts w:hint="eastAsia" w:ascii="宋体" w:hAnsi="宋体"/>
          <w:bCs/>
          <w:color w:val="auto"/>
          <w:szCs w:val="21"/>
          <w:highlight w:val="none"/>
        </w:rPr>
        <w:t>应仔细阅读磋商文件的所有内容，按磋商文件的要求编制响应文件，并保证所提供的全部资料的真实性，以使其响应文件对磋商文件做出实质性的响应。</w:t>
      </w:r>
    </w:p>
    <w:p w14:paraId="78F655B6">
      <w:pPr>
        <w:adjustRightInd w:val="0"/>
        <w:snapToGrid w:val="0"/>
        <w:spacing w:line="360" w:lineRule="auto"/>
        <w:ind w:firstLine="420" w:firstLineChars="200"/>
        <w:rPr>
          <w:rFonts w:hint="eastAsia" w:ascii="宋体" w:hAnsi="宋体"/>
          <w:bCs/>
          <w:color w:val="auto"/>
          <w:szCs w:val="21"/>
          <w:highlight w:val="none"/>
        </w:rPr>
      </w:pPr>
      <w:r>
        <w:rPr>
          <w:rFonts w:ascii="宋体" w:hAnsi="宋体"/>
          <w:bCs/>
          <w:color w:val="auto"/>
          <w:szCs w:val="21"/>
          <w:highlight w:val="none"/>
        </w:rPr>
        <w:t xml:space="preserve">14.2 </w:t>
      </w:r>
      <w:r>
        <w:rPr>
          <w:rFonts w:hint="eastAsia" w:ascii="宋体" w:hAnsi="宋体" w:cs="宋体"/>
          <w:color w:val="auto"/>
          <w:szCs w:val="21"/>
          <w:highlight w:val="none"/>
        </w:rPr>
        <w:t>投标人</w:t>
      </w:r>
      <w:r>
        <w:rPr>
          <w:rFonts w:hint="eastAsia" w:ascii="宋体" w:hAnsi="宋体"/>
          <w:color w:val="auto"/>
          <w:szCs w:val="21"/>
          <w:highlight w:val="none"/>
        </w:rPr>
        <w:t>提交的响应文件及</w:t>
      </w:r>
      <w:r>
        <w:rPr>
          <w:rFonts w:hint="eastAsia" w:ascii="宋体" w:hAnsi="宋体" w:cs="宋体"/>
          <w:color w:val="auto"/>
          <w:szCs w:val="21"/>
          <w:highlight w:val="none"/>
        </w:rPr>
        <w:t>投标人</w:t>
      </w:r>
      <w:r>
        <w:rPr>
          <w:rFonts w:hint="eastAsia" w:ascii="宋体" w:hAnsi="宋体"/>
          <w:color w:val="auto"/>
          <w:szCs w:val="21"/>
          <w:highlight w:val="none"/>
        </w:rPr>
        <w:t>与采购人或采购代理机构、磋商小组就有关磋商的所有来往函电均使用中文。</w:t>
      </w:r>
      <w:r>
        <w:rPr>
          <w:rFonts w:hint="eastAsia" w:ascii="宋体" w:hAnsi="宋体" w:cs="宋体"/>
          <w:color w:val="auto"/>
          <w:szCs w:val="21"/>
          <w:highlight w:val="none"/>
        </w:rPr>
        <w:t>投标人</w:t>
      </w:r>
      <w:r>
        <w:rPr>
          <w:rFonts w:hint="eastAsia" w:ascii="宋体" w:hAnsi="宋体"/>
          <w:color w:val="auto"/>
          <w:szCs w:val="21"/>
          <w:highlight w:val="none"/>
        </w:rPr>
        <w:t>可以提交其它语言的资料，但应附中文注释，在有差异时以中文为准。</w:t>
      </w:r>
    </w:p>
    <w:p w14:paraId="1D431C88">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bCs/>
          <w:color w:val="auto"/>
          <w:kern w:val="0"/>
          <w:szCs w:val="21"/>
          <w:highlight w:val="none"/>
        </w:rPr>
        <w:t xml:space="preserve">14.3 </w:t>
      </w:r>
      <w:r>
        <w:rPr>
          <w:rFonts w:hint="eastAsia" w:ascii="宋体" w:hAnsi="宋体"/>
          <w:color w:val="auto"/>
          <w:kern w:val="0"/>
          <w:szCs w:val="21"/>
          <w:highlight w:val="none"/>
        </w:rPr>
        <w:t>计量单位应使用我国法定计量单位，未列明时应默认为我国法定计量单位。</w:t>
      </w:r>
    </w:p>
    <w:p w14:paraId="32AA5929">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 xml:space="preserve">14.4 </w:t>
      </w:r>
      <w:r>
        <w:rPr>
          <w:rFonts w:hint="eastAsia" w:ascii="宋体" w:hAnsi="宋体"/>
          <w:color w:val="auto"/>
          <w:kern w:val="0"/>
          <w:szCs w:val="21"/>
          <w:highlight w:val="none"/>
        </w:rPr>
        <w:t>响应文件应采用书面形式，电报、传真、电子邮件形式的响应文件概不接受。</w:t>
      </w:r>
    </w:p>
    <w:p w14:paraId="4C2B45DF">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 xml:space="preserve">14.5 </w:t>
      </w:r>
      <w:r>
        <w:rPr>
          <w:rFonts w:hint="eastAsia" w:ascii="宋体" w:hAnsi="宋体" w:cs="宋体"/>
          <w:color w:val="auto"/>
          <w:szCs w:val="21"/>
          <w:highlight w:val="none"/>
        </w:rPr>
        <w:t>投标人</w:t>
      </w:r>
      <w:r>
        <w:rPr>
          <w:rFonts w:hint="eastAsia" w:ascii="宋体" w:hAnsi="宋体"/>
          <w:color w:val="auto"/>
          <w:szCs w:val="21"/>
          <w:highlight w:val="none"/>
        </w:rPr>
        <w:t>应按磋商文件中提供的响应文件格式填写。</w:t>
      </w:r>
    </w:p>
    <w:p w14:paraId="33245CE5">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15.</w:t>
      </w:r>
      <w:r>
        <w:rPr>
          <w:rFonts w:hint="eastAsia" w:ascii="宋体" w:hAnsi="宋体"/>
          <w:b/>
          <w:bCs/>
          <w:color w:val="auto"/>
          <w:szCs w:val="21"/>
          <w:highlight w:val="none"/>
        </w:rPr>
        <w:t>响应文件的组成</w:t>
      </w:r>
    </w:p>
    <w:p w14:paraId="150C91B7">
      <w:pPr>
        <w:adjustRightInd w:val="0"/>
        <w:snapToGrid w:val="0"/>
        <w:spacing w:line="360" w:lineRule="auto"/>
        <w:ind w:firstLine="420" w:firstLineChars="200"/>
        <w:jc w:val="left"/>
        <w:rPr>
          <w:rFonts w:hint="eastAsia" w:ascii="宋体" w:hAnsi="宋体"/>
          <w:color w:val="auto"/>
          <w:szCs w:val="21"/>
          <w:highlight w:val="none"/>
        </w:rPr>
      </w:pPr>
      <w:bookmarkStart w:id="31" w:name="_Toc431750582"/>
      <w:r>
        <w:rPr>
          <w:rFonts w:ascii="宋体" w:hAnsi="宋体"/>
          <w:color w:val="auto"/>
          <w:szCs w:val="21"/>
          <w:highlight w:val="none"/>
        </w:rPr>
        <w:t xml:space="preserve">15.1 </w:t>
      </w:r>
      <w:r>
        <w:rPr>
          <w:rFonts w:hint="eastAsia" w:ascii="宋体" w:hAnsi="宋体"/>
          <w:color w:val="auto"/>
          <w:szCs w:val="21"/>
          <w:highlight w:val="none"/>
        </w:rPr>
        <w:t>响应文件包括下列内容：</w:t>
      </w:r>
      <w:bookmarkEnd w:id="31"/>
      <w:r>
        <w:rPr>
          <w:rFonts w:ascii="宋体" w:hAnsi="宋体"/>
          <w:color w:val="auto"/>
          <w:szCs w:val="21"/>
          <w:highlight w:val="none"/>
        </w:rPr>
        <w:t xml:space="preserve"> </w:t>
      </w:r>
    </w:p>
    <w:p w14:paraId="1E3EC8C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（1）磋商响应声明</w:t>
      </w:r>
    </w:p>
    <w:p w14:paraId="69A8ABE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（2）投标人的基本情况表及其他说明</w:t>
      </w:r>
    </w:p>
    <w:p w14:paraId="06D8305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（3）货物说明一览表</w:t>
      </w:r>
    </w:p>
    <w:p w14:paraId="2EC4190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（4）技术/商务响应与偏离表</w:t>
      </w:r>
    </w:p>
    <w:p w14:paraId="3401190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（5）报价一览表及报价文件</w:t>
      </w:r>
    </w:p>
    <w:p w14:paraId="292AFD1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（6）投标人认为需提供的其它资料</w:t>
      </w:r>
    </w:p>
    <w:p w14:paraId="713B138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（7）享受政府采购政策优惠的证明资料</w:t>
      </w:r>
    </w:p>
    <w:p w14:paraId="0268C4D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（8）最后报价</w:t>
      </w:r>
    </w:p>
    <w:p w14:paraId="08531DD5">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15.2</w:t>
      </w:r>
      <w:r>
        <w:rPr>
          <w:rFonts w:hint="eastAsia" w:ascii="宋体" w:hAnsi="宋体"/>
          <w:color w:val="auto"/>
          <w:szCs w:val="21"/>
          <w:highlight w:val="none"/>
        </w:rPr>
        <w:t>在磋商过程中，</w:t>
      </w:r>
      <w:r>
        <w:rPr>
          <w:rFonts w:hint="eastAsia" w:ascii="宋体" w:hAnsi="宋体" w:cs="宋体"/>
          <w:color w:val="auto"/>
          <w:szCs w:val="21"/>
          <w:highlight w:val="none"/>
        </w:rPr>
        <w:t>投标人</w:t>
      </w:r>
      <w:r>
        <w:rPr>
          <w:rFonts w:hint="eastAsia" w:ascii="宋体" w:hAnsi="宋体"/>
          <w:color w:val="auto"/>
          <w:szCs w:val="21"/>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书面形式要求重</w:t>
      </w:r>
      <w:r>
        <w:rPr>
          <w:rFonts w:hint="eastAsia" w:ascii="宋体" w:hAnsi="宋体" w:cs="宋体"/>
          <w:color w:val="auto"/>
          <w:kern w:val="0"/>
          <w:szCs w:val="21"/>
          <w:highlight w:val="none"/>
        </w:rPr>
        <w:t>新提交的</w:t>
      </w:r>
      <w:r>
        <w:rPr>
          <w:rFonts w:hint="eastAsia" w:ascii="宋体" w:hAnsi="宋体"/>
          <w:color w:val="auto"/>
          <w:szCs w:val="21"/>
          <w:highlight w:val="none"/>
        </w:rPr>
        <w:t>最后报价</w:t>
      </w:r>
      <w:r>
        <w:rPr>
          <w:rFonts w:ascii="宋体" w:hAnsi="宋体"/>
          <w:color w:val="auto"/>
          <w:szCs w:val="21"/>
          <w:highlight w:val="none"/>
        </w:rPr>
        <w:t>(</w:t>
      </w:r>
      <w:r>
        <w:rPr>
          <w:rFonts w:hint="eastAsia" w:ascii="宋体" w:hAnsi="宋体"/>
          <w:color w:val="auto"/>
          <w:szCs w:val="21"/>
          <w:highlight w:val="none"/>
        </w:rPr>
        <w:t>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ascii="宋体" w:hAnsi="宋体"/>
          <w:color w:val="auto"/>
          <w:szCs w:val="21"/>
          <w:highlight w:val="none"/>
        </w:rPr>
        <w:t>最后报价</w:t>
      </w:r>
      <w:r>
        <w:rPr>
          <w:rFonts w:ascii="宋体" w:hAnsi="宋体"/>
          <w:color w:val="auto"/>
          <w:szCs w:val="21"/>
          <w:highlight w:val="none"/>
        </w:rPr>
        <w:t>)</w:t>
      </w:r>
      <w:r>
        <w:rPr>
          <w:rFonts w:hint="eastAsia" w:ascii="宋体" w:hAnsi="宋体"/>
          <w:color w:val="auto"/>
          <w:szCs w:val="21"/>
          <w:highlight w:val="none"/>
        </w:rPr>
        <w:t>是响应文件的有效组成部分。</w:t>
      </w:r>
    </w:p>
    <w:p w14:paraId="77AC25AE">
      <w:pPr>
        <w:adjustRightInd w:val="0"/>
        <w:snapToGrid w:val="0"/>
        <w:spacing w:line="360" w:lineRule="auto"/>
        <w:ind w:firstLine="420" w:firstLineChars="200"/>
        <w:rPr>
          <w:rFonts w:hint="eastAsia" w:ascii="宋体" w:hAnsi="宋体"/>
          <w:b/>
          <w:color w:val="auto"/>
          <w:szCs w:val="21"/>
          <w:highlight w:val="none"/>
        </w:rPr>
      </w:pPr>
      <w:r>
        <w:rPr>
          <w:rFonts w:ascii="宋体" w:hAnsi="宋体"/>
          <w:color w:val="auto"/>
          <w:szCs w:val="21"/>
          <w:highlight w:val="none"/>
        </w:rPr>
        <w:t>15.3</w:t>
      </w:r>
      <w:r>
        <w:rPr>
          <w:rFonts w:hint="eastAsia" w:ascii="宋体" w:hAnsi="宋体" w:cs="宋体"/>
          <w:color w:val="auto"/>
          <w:kern w:val="0"/>
          <w:szCs w:val="21"/>
          <w:highlight w:val="none"/>
        </w:rPr>
        <w:t>磋商文件规定可能发生实质性变动的，投标人应当在</w:t>
      </w:r>
      <w:r>
        <w:rPr>
          <w:rFonts w:hint="eastAsia" w:ascii="宋体" w:hAnsi="宋体"/>
          <w:color w:val="auto"/>
          <w:szCs w:val="21"/>
          <w:highlight w:val="none"/>
        </w:rPr>
        <w:t>《技术</w:t>
      </w:r>
      <w:r>
        <w:rPr>
          <w:rFonts w:ascii="宋体" w:hAnsi="宋体"/>
          <w:color w:val="auto"/>
          <w:szCs w:val="21"/>
          <w:highlight w:val="none"/>
        </w:rPr>
        <w:t>/</w:t>
      </w:r>
      <w:r>
        <w:rPr>
          <w:rFonts w:hint="eastAsia" w:ascii="宋体" w:hAnsi="宋体"/>
          <w:color w:val="auto"/>
          <w:szCs w:val="21"/>
          <w:highlight w:val="none"/>
        </w:rPr>
        <w:t>商务响应与偏离表》中对应内容注明。</w:t>
      </w:r>
    </w:p>
    <w:p w14:paraId="222E88FA">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15.4</w:t>
      </w:r>
      <w:r>
        <w:rPr>
          <w:rFonts w:hint="eastAsia" w:ascii="宋体" w:hAnsi="宋体"/>
          <w:color w:val="auto"/>
          <w:szCs w:val="21"/>
          <w:highlight w:val="none"/>
        </w:rPr>
        <w:t>根据《政府采购法》的规定，供应商无论成交与否，其响应文件不予退还。</w:t>
      </w:r>
    </w:p>
    <w:p w14:paraId="6E49A46D">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16.</w:t>
      </w:r>
      <w:r>
        <w:rPr>
          <w:rFonts w:hint="eastAsia" w:ascii="宋体" w:hAnsi="宋体"/>
          <w:b/>
          <w:bCs/>
          <w:color w:val="auto"/>
          <w:szCs w:val="21"/>
          <w:highlight w:val="none"/>
        </w:rPr>
        <w:t>报价</w:t>
      </w:r>
    </w:p>
    <w:p w14:paraId="1A35DFFD">
      <w:pPr>
        <w:widowControl/>
        <w:snapToGri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16.1供应商应当根据磋商文件要求和范围，以</w:t>
      </w:r>
      <w:r>
        <w:rPr>
          <w:rFonts w:hint="eastAsia" w:ascii="宋体" w:hAnsi="宋体" w:cs="宋体"/>
          <w:bCs/>
          <w:color w:val="auto"/>
          <w:szCs w:val="21"/>
          <w:highlight w:val="none"/>
        </w:rPr>
        <w:t>人民币</w:t>
      </w:r>
      <w:r>
        <w:rPr>
          <w:rFonts w:hint="eastAsia" w:ascii="宋体" w:hAnsi="宋体" w:cs="宋体"/>
          <w:color w:val="auto"/>
          <w:szCs w:val="21"/>
          <w:highlight w:val="none"/>
        </w:rPr>
        <w:t>报价，以元为单位，保留小数点后两位。</w:t>
      </w:r>
    </w:p>
    <w:p w14:paraId="1FDEA017">
      <w:pPr>
        <w:snapToGri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highlight w:val="none"/>
        </w:rPr>
        <w:t>16.2供应商应按第</w:t>
      </w:r>
      <w:r>
        <w:rPr>
          <w:rFonts w:hint="eastAsia" w:ascii="宋体" w:hAnsi="宋体" w:cs="宋体"/>
          <w:color w:val="auto"/>
          <w:highlight w:val="none"/>
          <w:lang w:val="en-US" w:eastAsia="zh-CN"/>
        </w:rPr>
        <w:t>六</w:t>
      </w:r>
      <w:r>
        <w:rPr>
          <w:rFonts w:hint="eastAsia" w:ascii="宋体" w:hAnsi="宋体" w:cs="宋体"/>
          <w:color w:val="auto"/>
          <w:highlight w:val="none"/>
        </w:rPr>
        <w:t>章 响应文件组成格式填写。</w:t>
      </w:r>
    </w:p>
    <w:p w14:paraId="3AB04828">
      <w:pPr>
        <w:snapToGri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highlight w:val="none"/>
        </w:rPr>
        <w:t>16.3响应文件中标明的价格在合同执行过程中是固定不变的，不得以任何理由予以变更。以可变动价格提交的报价将被认为是非实质响应而被拒绝。</w:t>
      </w:r>
    </w:p>
    <w:p w14:paraId="17CCEA0B">
      <w:pPr>
        <w:adjustRightInd w:val="0"/>
        <w:snapToGrid w:val="0"/>
        <w:spacing w:line="360" w:lineRule="auto"/>
        <w:ind w:firstLine="420" w:firstLineChars="200"/>
        <w:rPr>
          <w:color w:val="auto"/>
          <w:szCs w:val="22"/>
          <w:highlight w:val="none"/>
        </w:rPr>
      </w:pPr>
      <w:r>
        <w:rPr>
          <w:rFonts w:hint="eastAsia" w:ascii="宋体" w:hAnsi="宋体" w:cs="宋体"/>
          <w:color w:val="auto"/>
          <w:highlight w:val="none"/>
        </w:rPr>
        <w:t>16.4</w:t>
      </w:r>
      <w:r>
        <w:rPr>
          <w:rFonts w:hint="eastAsia" w:ascii="宋体" w:hAnsi="宋体" w:cs="宋体"/>
          <w:color w:val="auto"/>
          <w:highlight w:val="none"/>
          <w:lang w:val="zh-CN"/>
        </w:rPr>
        <w:t>供应商</w:t>
      </w:r>
      <w:r>
        <w:rPr>
          <w:rFonts w:hint="eastAsia" w:ascii="宋体" w:hAnsi="宋体" w:cs="宋体"/>
          <w:color w:val="auto"/>
          <w:highlight w:val="none"/>
        </w:rPr>
        <w:t>的报价不得超过采购项目预算，采购项目预算或其计算方法见</w:t>
      </w:r>
      <w:r>
        <w:rPr>
          <w:rFonts w:hint="eastAsia" w:ascii="宋体" w:hAnsi="宋体" w:cs="宋体"/>
          <w:b/>
          <w:bCs/>
          <w:color w:val="auto"/>
          <w:highlight w:val="none"/>
        </w:rPr>
        <w:t>磋商须知前附表</w:t>
      </w:r>
      <w:r>
        <w:rPr>
          <w:rFonts w:hint="eastAsia" w:ascii="宋体" w:hAnsi="宋体" w:cs="宋体"/>
          <w:color w:val="auto"/>
          <w:highlight w:val="none"/>
        </w:rPr>
        <w:t>。</w:t>
      </w:r>
    </w:p>
    <w:p w14:paraId="2B3B74B9">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17.</w:t>
      </w:r>
      <w:r>
        <w:rPr>
          <w:rFonts w:hint="eastAsia" w:ascii="宋体" w:hAnsi="宋体"/>
          <w:b/>
          <w:bCs/>
          <w:color w:val="auto"/>
          <w:szCs w:val="21"/>
          <w:highlight w:val="none"/>
        </w:rPr>
        <w:t>投标人符合磋商文件规定的证明文件</w:t>
      </w:r>
    </w:p>
    <w:p w14:paraId="22F9B70C">
      <w:pPr>
        <w:adjustRightInd w:val="0"/>
        <w:snapToGrid w:val="0"/>
        <w:spacing w:line="360" w:lineRule="auto"/>
        <w:ind w:firstLine="420" w:firstLineChars="200"/>
        <w:jc w:val="left"/>
        <w:rPr>
          <w:rFonts w:hint="eastAsia" w:ascii="宋体" w:hAnsi="宋体"/>
          <w:color w:val="auto"/>
          <w:szCs w:val="21"/>
          <w:highlight w:val="none"/>
        </w:rPr>
      </w:pPr>
      <w:r>
        <w:rPr>
          <w:rFonts w:ascii="宋体" w:hAnsi="宋体"/>
          <w:color w:val="auto"/>
          <w:szCs w:val="21"/>
          <w:highlight w:val="none"/>
        </w:rPr>
        <w:t>17.1</w:t>
      </w:r>
      <w:r>
        <w:rPr>
          <w:rFonts w:hint="eastAsia" w:ascii="宋体" w:hAnsi="宋体" w:cs="宋体"/>
          <w:color w:val="auto"/>
          <w:szCs w:val="21"/>
          <w:highlight w:val="none"/>
        </w:rPr>
        <w:t>投标人</w:t>
      </w:r>
      <w:r>
        <w:rPr>
          <w:rFonts w:hint="eastAsia" w:ascii="宋体" w:hAnsi="宋体"/>
          <w:color w:val="auto"/>
          <w:szCs w:val="21"/>
          <w:highlight w:val="none"/>
        </w:rPr>
        <w:t>应满足本章第</w:t>
      </w:r>
      <w:r>
        <w:rPr>
          <w:rFonts w:ascii="宋体" w:hAnsi="宋体"/>
          <w:color w:val="auto"/>
          <w:szCs w:val="21"/>
          <w:highlight w:val="none"/>
        </w:rPr>
        <w:t>3.1</w:t>
      </w:r>
      <w:r>
        <w:rPr>
          <w:rFonts w:hint="eastAsia" w:ascii="宋体" w:hAnsi="宋体"/>
          <w:color w:val="auto"/>
          <w:szCs w:val="21"/>
          <w:highlight w:val="none"/>
        </w:rPr>
        <w:t>款规定的资格条件，本项目已进行过资格预审，可不再提供资格审查资料（竞争性磋商文件或评分标准需提供的相关证明文件除外）。如投标人资格条件发生重大变化，影响或者可能影响资格条件的，应更新或者补充提供的资格证明材料，以证实其各项条件仍能继续满足规定的资格条件要求。</w:t>
      </w:r>
    </w:p>
    <w:p w14:paraId="60F01908">
      <w:pPr>
        <w:adjustRightInd w:val="0"/>
        <w:snapToGrid w:val="0"/>
        <w:spacing w:line="360" w:lineRule="auto"/>
        <w:ind w:firstLine="422" w:firstLineChars="200"/>
        <w:jc w:val="left"/>
        <w:rPr>
          <w:rFonts w:hint="eastAsia" w:ascii="宋体" w:hAnsi="宋体"/>
          <w:b/>
          <w:color w:val="auto"/>
          <w:szCs w:val="21"/>
          <w:highlight w:val="none"/>
        </w:rPr>
      </w:pPr>
      <w:r>
        <w:rPr>
          <w:rFonts w:ascii="宋体" w:hAnsi="宋体"/>
          <w:b/>
          <w:color w:val="auto"/>
          <w:szCs w:val="21"/>
          <w:highlight w:val="none"/>
        </w:rPr>
        <w:t>17.</w:t>
      </w:r>
      <w:r>
        <w:rPr>
          <w:rFonts w:hint="eastAsia" w:ascii="宋体" w:hAnsi="宋体"/>
          <w:b/>
          <w:color w:val="auto"/>
          <w:szCs w:val="21"/>
          <w:highlight w:val="none"/>
        </w:rPr>
        <w:t>2采购人有权核查投标人在响应文件中提供的材料，若在评审期间发现投标人提供了虚假资料，采购人有权对投标人的响应文件作废标处理；若在成交投标人公示期间发现作为预成交人提供了虚假资料，采购人有权取消其成交资格；若在项目合同签订后发现投标人提供了虚假资料，采购人有权与投标人解除合同。</w:t>
      </w:r>
    </w:p>
    <w:p w14:paraId="75FD214B">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 xml:space="preserve">18. </w:t>
      </w:r>
      <w:r>
        <w:rPr>
          <w:rFonts w:hint="eastAsia" w:ascii="宋体" w:hAnsi="宋体"/>
          <w:b/>
          <w:bCs/>
          <w:color w:val="auto"/>
          <w:szCs w:val="21"/>
          <w:highlight w:val="none"/>
        </w:rPr>
        <w:t>磋商保证金</w:t>
      </w:r>
    </w:p>
    <w:p w14:paraId="0AF32ED7">
      <w:pPr>
        <w:adjustRightInd w:val="0"/>
        <w:snapToGrid w:val="0"/>
        <w:spacing w:line="360" w:lineRule="auto"/>
        <w:ind w:firstLine="420" w:firstLineChars="200"/>
        <w:outlineLvl w:val="1"/>
        <w:rPr>
          <w:rFonts w:hint="eastAsia" w:ascii="宋体" w:hAnsi="宋体"/>
          <w:color w:val="auto"/>
          <w:kern w:val="0"/>
          <w:szCs w:val="21"/>
          <w:highlight w:val="none"/>
        </w:rPr>
      </w:pPr>
      <w:bookmarkStart w:id="32" w:name="_Toc187939534"/>
      <w:r>
        <w:rPr>
          <w:rFonts w:hint="eastAsia" w:ascii="宋体" w:hAnsi="宋体"/>
          <w:color w:val="auto"/>
          <w:kern w:val="0"/>
          <w:szCs w:val="21"/>
          <w:highlight w:val="none"/>
        </w:rPr>
        <w:t>18.1根据《关于进一步优化政府采购领域营商环境的通知》郴财采资〔2024〕6号文件精神，本项目取消投标保证金及履约保证金。</w:t>
      </w:r>
      <w:bookmarkEnd w:id="32"/>
    </w:p>
    <w:p w14:paraId="2E58937F">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 xml:space="preserve">19. </w:t>
      </w:r>
      <w:r>
        <w:rPr>
          <w:rFonts w:hint="eastAsia" w:ascii="宋体" w:hAnsi="宋体"/>
          <w:b/>
          <w:bCs/>
          <w:color w:val="auto"/>
          <w:szCs w:val="21"/>
          <w:highlight w:val="none"/>
        </w:rPr>
        <w:t>响应文件有效期</w:t>
      </w:r>
    </w:p>
    <w:p w14:paraId="171F3B1E">
      <w:pPr>
        <w:adjustRightInd w:val="0"/>
        <w:snapToGrid w:val="0"/>
        <w:spacing w:line="360" w:lineRule="auto"/>
        <w:ind w:firstLine="420" w:firstLineChars="200"/>
        <w:jc w:val="left"/>
        <w:rPr>
          <w:rFonts w:hint="eastAsia" w:ascii="宋体" w:hAnsi="宋体"/>
          <w:color w:val="auto"/>
          <w:szCs w:val="21"/>
          <w:highlight w:val="none"/>
        </w:rPr>
      </w:pPr>
      <w:r>
        <w:rPr>
          <w:rFonts w:ascii="宋体" w:hAnsi="宋体"/>
          <w:color w:val="auto"/>
          <w:szCs w:val="21"/>
          <w:highlight w:val="none"/>
        </w:rPr>
        <w:t>19.1</w:t>
      </w:r>
      <w:r>
        <w:rPr>
          <w:rFonts w:hint="eastAsia" w:ascii="宋体" w:hAnsi="宋体"/>
          <w:color w:val="auto"/>
          <w:szCs w:val="21"/>
          <w:highlight w:val="none"/>
        </w:rPr>
        <w:t>响应文件有效期见</w:t>
      </w:r>
      <w:r>
        <w:rPr>
          <w:rFonts w:hint="eastAsia" w:ascii="宋体" w:hAnsi="宋体"/>
          <w:b/>
          <w:color w:val="auto"/>
          <w:szCs w:val="21"/>
          <w:highlight w:val="none"/>
        </w:rPr>
        <w:t>磋商须知前附表</w:t>
      </w:r>
      <w:r>
        <w:rPr>
          <w:rFonts w:hint="eastAsia" w:ascii="宋体" w:hAnsi="宋体"/>
          <w:color w:val="auto"/>
          <w:szCs w:val="21"/>
          <w:highlight w:val="none"/>
        </w:rPr>
        <w:t>，在此期间响应文件对</w:t>
      </w:r>
      <w:r>
        <w:rPr>
          <w:rFonts w:hint="eastAsia" w:ascii="宋体" w:hAnsi="宋体" w:cs="宋体"/>
          <w:color w:val="auto"/>
          <w:szCs w:val="21"/>
          <w:highlight w:val="none"/>
        </w:rPr>
        <w:t>投标人</w:t>
      </w:r>
      <w:r>
        <w:rPr>
          <w:rFonts w:hint="eastAsia" w:ascii="宋体" w:hAnsi="宋体"/>
          <w:color w:val="auto"/>
          <w:szCs w:val="21"/>
          <w:highlight w:val="none"/>
        </w:rPr>
        <w:t>具有法律约束力，</w:t>
      </w:r>
      <w:r>
        <w:rPr>
          <w:rFonts w:hint="eastAsia" w:ascii="宋体" w:hAnsi="宋体" w:cs="Arial"/>
          <w:color w:val="auto"/>
          <w:szCs w:val="21"/>
          <w:highlight w:val="none"/>
        </w:rPr>
        <w:t>从</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之日</w:t>
      </w:r>
      <w:r>
        <w:rPr>
          <w:rFonts w:hint="eastAsia" w:ascii="宋体" w:hAnsi="宋体" w:cs="Arial"/>
          <w:color w:val="auto"/>
          <w:szCs w:val="21"/>
          <w:highlight w:val="none"/>
        </w:rPr>
        <w:t>起计算。</w:t>
      </w:r>
      <w:r>
        <w:rPr>
          <w:rFonts w:hint="eastAsia" w:ascii="宋体" w:hAnsi="宋体"/>
          <w:color w:val="auto"/>
          <w:szCs w:val="21"/>
          <w:highlight w:val="none"/>
        </w:rPr>
        <w:t>响应文件有效期不足的将被视为无效响应，采购人有权拒绝其响应文件。</w:t>
      </w:r>
    </w:p>
    <w:p w14:paraId="242BA86B">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20.</w:t>
      </w:r>
      <w:r>
        <w:rPr>
          <w:rFonts w:hint="eastAsia" w:ascii="宋体" w:hAnsi="宋体"/>
          <w:b/>
          <w:bCs/>
          <w:color w:val="auto"/>
          <w:szCs w:val="21"/>
          <w:highlight w:val="none"/>
        </w:rPr>
        <w:t>响应文件的签署及规定</w:t>
      </w:r>
    </w:p>
    <w:p w14:paraId="39E8E564">
      <w:pPr>
        <w:adjustRightInd w:val="0"/>
        <w:snapToGrid w:val="0"/>
        <w:spacing w:line="360" w:lineRule="auto"/>
        <w:ind w:firstLine="420" w:firstLineChars="200"/>
        <w:outlineLvl w:val="1"/>
        <w:rPr>
          <w:rFonts w:hint="eastAsia" w:ascii="宋体" w:hAnsi="宋体"/>
          <w:color w:val="auto"/>
          <w:kern w:val="0"/>
          <w:szCs w:val="21"/>
          <w:highlight w:val="none"/>
        </w:rPr>
      </w:pPr>
      <w:bookmarkStart w:id="33" w:name="_Toc187939535"/>
      <w:bookmarkStart w:id="34" w:name="_Toc1954"/>
      <w:bookmarkStart w:id="35" w:name="_Toc25121"/>
      <w:bookmarkStart w:id="36" w:name="_Toc152247518"/>
      <w:bookmarkStart w:id="37" w:name="_Toc432109652"/>
      <w:bookmarkStart w:id="38" w:name="_Toc19931"/>
      <w:r>
        <w:rPr>
          <w:rFonts w:hint="eastAsia" w:ascii="宋体" w:hAnsi="宋体"/>
          <w:color w:val="auto"/>
          <w:kern w:val="0"/>
          <w:szCs w:val="21"/>
          <w:highlight w:val="none"/>
        </w:rPr>
        <w:t>20.1 投标人应当按照采购文件的要求编制投标文件。投标文件应当对采购文件提出的要求和条件作出明确响应。</w:t>
      </w:r>
      <w:bookmarkEnd w:id="33"/>
    </w:p>
    <w:p w14:paraId="36B502F9">
      <w:pPr>
        <w:adjustRightInd w:val="0"/>
        <w:snapToGrid w:val="0"/>
        <w:spacing w:line="360" w:lineRule="auto"/>
        <w:ind w:firstLine="420" w:firstLineChars="200"/>
        <w:outlineLvl w:val="1"/>
        <w:rPr>
          <w:rFonts w:hint="eastAsia" w:ascii="宋体" w:hAnsi="宋体"/>
          <w:color w:val="auto"/>
          <w:kern w:val="0"/>
          <w:szCs w:val="21"/>
          <w:highlight w:val="none"/>
        </w:rPr>
      </w:pPr>
      <w:bookmarkStart w:id="39" w:name="_Toc187939536"/>
      <w:r>
        <w:rPr>
          <w:rFonts w:hint="eastAsia" w:ascii="宋体" w:hAnsi="宋体"/>
          <w:color w:val="auto"/>
          <w:kern w:val="0"/>
          <w:szCs w:val="21"/>
          <w:highlight w:val="none"/>
        </w:rPr>
        <w:t>20.2 投标人应当使用郴州市政府采购（非标）电子交易平台“投标文件制作软件”编制投标文件（含澄清、说明文件）并进行固化、加密。</w:t>
      </w:r>
      <w:bookmarkEnd w:id="39"/>
    </w:p>
    <w:p w14:paraId="593FD589">
      <w:pPr>
        <w:adjustRightInd w:val="0"/>
        <w:snapToGrid w:val="0"/>
        <w:spacing w:line="360" w:lineRule="auto"/>
        <w:ind w:firstLine="420" w:firstLineChars="200"/>
        <w:outlineLvl w:val="1"/>
        <w:rPr>
          <w:rFonts w:hint="eastAsia" w:ascii="宋体" w:hAnsi="宋体"/>
          <w:color w:val="auto"/>
          <w:kern w:val="0"/>
          <w:szCs w:val="21"/>
          <w:highlight w:val="none"/>
        </w:rPr>
      </w:pPr>
      <w:bookmarkStart w:id="40" w:name="_Toc187939537"/>
      <w:r>
        <w:rPr>
          <w:rFonts w:hint="eastAsia" w:ascii="宋体" w:hAnsi="宋体"/>
          <w:color w:val="auto"/>
          <w:kern w:val="0"/>
          <w:szCs w:val="21"/>
          <w:highlight w:val="none"/>
        </w:rPr>
        <w:t>20.3 投标人在编制电子投标文件时应当建立分级目录，并按照标签提示导入相关内容。在投标文件目录中属于本节点内容的必须上传或填写，未按要求上传或填写的，所造成的投标失败或损失由投标人自行承担。</w:t>
      </w:r>
      <w:bookmarkEnd w:id="40"/>
    </w:p>
    <w:p w14:paraId="00EFC2C3">
      <w:pPr>
        <w:adjustRightInd w:val="0"/>
        <w:snapToGrid w:val="0"/>
        <w:spacing w:line="360" w:lineRule="auto"/>
        <w:ind w:firstLine="420" w:firstLineChars="200"/>
        <w:outlineLvl w:val="1"/>
        <w:rPr>
          <w:rFonts w:hint="eastAsia" w:ascii="宋体" w:hAnsi="宋体"/>
          <w:color w:val="auto"/>
          <w:kern w:val="0"/>
          <w:szCs w:val="21"/>
          <w:highlight w:val="none"/>
        </w:rPr>
      </w:pPr>
      <w:bookmarkStart w:id="41" w:name="_Toc187939538"/>
      <w:r>
        <w:rPr>
          <w:rFonts w:hint="eastAsia" w:ascii="宋体" w:hAnsi="宋体"/>
          <w:color w:val="auto"/>
          <w:kern w:val="0"/>
          <w:szCs w:val="21"/>
          <w:highlight w:val="none"/>
        </w:rPr>
        <w:t>20.4 投标人在编制电子投标文件时，采购文件要求的有关原件扫描件的尺寸和清晰度应该能够在电脑上被阅读、识别和判断。若投标人未按要求提供证明材料或提供的是部分证明材料或提供不清晰的原件扫描件的，采购人或评标委员会有权认定其投标文件未对采购文件有关内容进行响应，涉及资格性审查或符合性审查的予以无效投标处理，涉及评分项的则该项评分记0分处理。</w:t>
      </w:r>
      <w:bookmarkEnd w:id="41"/>
    </w:p>
    <w:p w14:paraId="090F6C17">
      <w:pPr>
        <w:adjustRightInd w:val="0"/>
        <w:snapToGrid w:val="0"/>
        <w:spacing w:line="360" w:lineRule="auto"/>
        <w:ind w:firstLine="420" w:firstLineChars="200"/>
        <w:outlineLvl w:val="1"/>
        <w:rPr>
          <w:rFonts w:hint="eastAsia" w:ascii="宋体" w:hAnsi="宋体"/>
          <w:color w:val="auto"/>
          <w:kern w:val="0"/>
          <w:szCs w:val="21"/>
          <w:highlight w:val="none"/>
        </w:rPr>
      </w:pPr>
      <w:bookmarkStart w:id="42" w:name="_Toc187939539"/>
      <w:r>
        <w:rPr>
          <w:rFonts w:hint="eastAsia" w:ascii="宋体" w:hAnsi="宋体"/>
          <w:color w:val="auto"/>
          <w:kern w:val="0"/>
          <w:szCs w:val="21"/>
          <w:highlight w:val="none"/>
        </w:rPr>
        <w:t>20.5投标文件应按照磋商文件要求在指定盖章处进行签章。</w:t>
      </w:r>
      <w:bookmarkEnd w:id="42"/>
    </w:p>
    <w:p w14:paraId="2FB25924">
      <w:pPr>
        <w:adjustRightInd w:val="0"/>
        <w:snapToGrid w:val="0"/>
        <w:spacing w:line="360" w:lineRule="auto"/>
        <w:outlineLvl w:val="1"/>
        <w:rPr>
          <w:rFonts w:hint="eastAsia" w:ascii="宋体" w:hAnsi="宋体"/>
          <w:b/>
          <w:color w:val="auto"/>
          <w:szCs w:val="21"/>
          <w:highlight w:val="none"/>
        </w:rPr>
      </w:pPr>
      <w:bookmarkStart w:id="43" w:name="_Toc187939540"/>
      <w:r>
        <w:rPr>
          <w:rFonts w:hint="eastAsia" w:ascii="宋体" w:hAnsi="宋体"/>
          <w:b/>
          <w:color w:val="auto"/>
          <w:szCs w:val="21"/>
          <w:highlight w:val="none"/>
        </w:rPr>
        <w:t>四、响应文件的递交</w:t>
      </w:r>
      <w:bookmarkEnd w:id="34"/>
      <w:bookmarkEnd w:id="35"/>
      <w:bookmarkEnd w:id="36"/>
      <w:bookmarkEnd w:id="37"/>
      <w:bookmarkEnd w:id="38"/>
      <w:bookmarkEnd w:id="43"/>
    </w:p>
    <w:p w14:paraId="6812948D">
      <w:pPr>
        <w:adjustRightInd w:val="0"/>
        <w:snapToGrid w:val="0"/>
        <w:spacing w:line="360" w:lineRule="auto"/>
        <w:rPr>
          <w:rFonts w:hint="eastAsia" w:ascii="宋体" w:hAnsi="宋体"/>
          <w:b/>
          <w:bCs/>
          <w:color w:val="auto"/>
          <w:szCs w:val="21"/>
          <w:highlight w:val="none"/>
        </w:rPr>
      </w:pPr>
      <w:r>
        <w:rPr>
          <w:rFonts w:ascii="宋体" w:hAnsi="宋体"/>
          <w:b/>
          <w:bCs/>
          <w:color w:val="auto"/>
          <w:szCs w:val="21"/>
          <w:highlight w:val="none"/>
        </w:rPr>
        <w:t>21.</w:t>
      </w:r>
      <w:r>
        <w:rPr>
          <w:rFonts w:hint="eastAsia" w:ascii="宋体" w:hAnsi="宋体"/>
          <w:b/>
          <w:color w:val="auto"/>
          <w:szCs w:val="21"/>
          <w:highlight w:val="none"/>
        </w:rPr>
        <w:t xml:space="preserve"> 响应文件</w:t>
      </w:r>
      <w:r>
        <w:rPr>
          <w:rFonts w:hint="eastAsia" w:ascii="宋体" w:hAnsi="宋体"/>
          <w:b/>
          <w:bCs/>
          <w:color w:val="auto"/>
          <w:szCs w:val="21"/>
          <w:highlight w:val="none"/>
        </w:rPr>
        <w:t>的加密</w:t>
      </w:r>
    </w:p>
    <w:p w14:paraId="2BD9DEF2">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21.1供应商应在本文件规定的递交截止时间之前，在平台中递交电子版响应文件，电子版响应文件递交成功后会自动加密，任何单位或个人均无法在开标时间之前查看或篡改。协商项目还需在投递页面填写本项目的协商代表的手机号码，以便顺利进行视频会议邀请通知。</w:t>
      </w:r>
    </w:p>
    <w:p w14:paraId="604AB37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21.2供应商须在采购文件规定解密截止时间前，进行响应文件的解密，未在规定时间解密的将视为未提交响应文件。</w:t>
      </w:r>
    </w:p>
    <w:p w14:paraId="2CD4D0DA">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22.</w:t>
      </w:r>
      <w:r>
        <w:rPr>
          <w:rFonts w:hint="eastAsia" w:ascii="宋体" w:hAnsi="宋体"/>
          <w:b/>
          <w:bCs/>
          <w:color w:val="auto"/>
          <w:szCs w:val="21"/>
          <w:highlight w:val="none"/>
        </w:rPr>
        <w:t>响应文件的补充、修改或者撤回</w:t>
      </w:r>
    </w:p>
    <w:p w14:paraId="7B5CFA22">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22.1供应商在递交响应文件后，可以撤回并修改其响应文件，但供应商必须在规定的截止期之前将修改的响应文件在郴州市政府采购电子交易平台（https://cz.hbncp.com.cn/）重新递交。在截止期之后，供应商不得对其响应文件做任何修改。</w:t>
      </w:r>
    </w:p>
    <w:p w14:paraId="38F4DA5F">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23.</w:t>
      </w:r>
      <w:r>
        <w:rPr>
          <w:rFonts w:hint="eastAsia" w:ascii="宋体" w:hAnsi="宋体"/>
          <w:b/>
          <w:bCs/>
          <w:color w:val="auto"/>
          <w:szCs w:val="21"/>
          <w:highlight w:val="none"/>
        </w:rPr>
        <w:t>响应文件的递交与接收</w:t>
      </w:r>
    </w:p>
    <w:p w14:paraId="246A3745">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szCs w:val="21"/>
          <w:highlight w:val="none"/>
        </w:rPr>
        <w:t>23.1 供应商应在本章规定的递交响应文件截止时间之前，将响应文件上传至郴州市政府采购电子交易平台（https://cz.hbncp.com.cn/）。</w:t>
      </w:r>
    </w:p>
    <w:p w14:paraId="19D713DB">
      <w:pPr>
        <w:adjustRightInd w:val="0"/>
        <w:snapToGrid w:val="0"/>
        <w:spacing w:line="360" w:lineRule="auto"/>
        <w:outlineLvl w:val="1"/>
        <w:rPr>
          <w:rFonts w:hint="eastAsia" w:ascii="宋体" w:hAnsi="宋体"/>
          <w:b/>
          <w:color w:val="auto"/>
          <w:szCs w:val="21"/>
          <w:highlight w:val="none"/>
        </w:rPr>
      </w:pPr>
      <w:bookmarkStart w:id="44" w:name="_Toc432109653"/>
      <w:bookmarkStart w:id="45" w:name="_Toc187939541"/>
      <w:bookmarkStart w:id="46" w:name="_Toc152247519"/>
      <w:bookmarkStart w:id="47" w:name="_Toc2830"/>
      <w:bookmarkStart w:id="48" w:name="_Toc514"/>
      <w:bookmarkStart w:id="49" w:name="_Toc19522"/>
      <w:r>
        <w:rPr>
          <w:rFonts w:hint="eastAsia" w:ascii="宋体" w:hAnsi="宋体"/>
          <w:b/>
          <w:color w:val="auto"/>
          <w:szCs w:val="21"/>
          <w:highlight w:val="none"/>
        </w:rPr>
        <w:t>五、响应文件的开启及开标仪式</w:t>
      </w:r>
      <w:bookmarkEnd w:id="44"/>
      <w:bookmarkEnd w:id="45"/>
      <w:bookmarkEnd w:id="46"/>
      <w:bookmarkEnd w:id="47"/>
      <w:bookmarkEnd w:id="48"/>
      <w:bookmarkEnd w:id="49"/>
    </w:p>
    <w:p w14:paraId="6B217E77">
      <w:pPr>
        <w:spacing w:line="440" w:lineRule="exact"/>
        <w:rPr>
          <w:rFonts w:hint="eastAsia" w:ascii="宋体" w:hAnsi="宋体"/>
          <w:b/>
          <w:color w:val="auto"/>
          <w:szCs w:val="21"/>
          <w:highlight w:val="none"/>
        </w:rPr>
      </w:pPr>
      <w:r>
        <w:rPr>
          <w:rFonts w:ascii="宋体" w:hAnsi="宋体"/>
          <w:b/>
          <w:color w:val="auto"/>
          <w:szCs w:val="21"/>
          <w:highlight w:val="none"/>
        </w:rPr>
        <w:t>24.</w:t>
      </w:r>
      <w:r>
        <w:rPr>
          <w:rFonts w:hint="eastAsia" w:ascii="宋体" w:hAnsi="宋体"/>
          <w:b/>
          <w:color w:val="auto"/>
          <w:szCs w:val="21"/>
          <w:highlight w:val="none"/>
        </w:rPr>
        <w:t>开启时间和地点</w:t>
      </w:r>
    </w:p>
    <w:p w14:paraId="7EFD8720">
      <w:pPr>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t>24.1</w:t>
      </w:r>
      <w:r>
        <w:rPr>
          <w:rFonts w:hint="eastAsia" w:ascii="宋体" w:hAnsi="宋体"/>
          <w:color w:val="auto"/>
          <w:szCs w:val="21"/>
          <w:highlight w:val="none"/>
        </w:rPr>
        <w:t>采购人将按照本章磋商须知前附表中规定的开启时间和地点公开开标，并邀请所有投标人的法定代表人或其委托代理人准时参加。</w:t>
      </w:r>
    </w:p>
    <w:p w14:paraId="5F35C60B">
      <w:pPr>
        <w:spacing w:line="440" w:lineRule="exact"/>
        <w:rPr>
          <w:rFonts w:hint="eastAsia" w:ascii="宋体" w:hAnsi="宋体"/>
          <w:color w:val="auto"/>
          <w:szCs w:val="21"/>
          <w:highlight w:val="none"/>
        </w:rPr>
      </w:pPr>
      <w:r>
        <w:rPr>
          <w:rFonts w:hint="eastAsia" w:ascii="宋体" w:hAnsi="宋体"/>
          <w:color w:val="auto"/>
          <w:szCs w:val="21"/>
          <w:highlight w:val="none"/>
        </w:rPr>
        <w:t>投标人若未派法定代表人或委托代理人出席开标活动，视为该投标人默认开标结果。</w:t>
      </w:r>
    </w:p>
    <w:p w14:paraId="2CFB71BC">
      <w:pPr>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t>24.2</w:t>
      </w:r>
      <w:r>
        <w:rPr>
          <w:rFonts w:hint="eastAsia" w:ascii="宋体" w:hAnsi="宋体"/>
          <w:color w:val="auto"/>
          <w:szCs w:val="21"/>
          <w:highlight w:val="none"/>
        </w:rPr>
        <w:t>开标程序</w:t>
      </w:r>
    </w:p>
    <w:p w14:paraId="4546F5B0">
      <w:pPr>
        <w:spacing w:line="440" w:lineRule="exact"/>
        <w:rPr>
          <w:rFonts w:hint="eastAsia" w:ascii="宋体" w:hAnsi="宋体"/>
          <w:color w:val="auto"/>
          <w:szCs w:val="21"/>
          <w:highlight w:val="none"/>
        </w:rPr>
      </w:pPr>
      <w:r>
        <w:rPr>
          <w:rFonts w:hint="eastAsia" w:ascii="宋体" w:hAnsi="宋体"/>
          <w:color w:val="auto"/>
          <w:szCs w:val="21"/>
          <w:highlight w:val="none"/>
        </w:rPr>
        <w:t>主持人按下列程序进行开标：</w:t>
      </w:r>
    </w:p>
    <w:p w14:paraId="4E4C4A36">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宣布开标纪律；</w:t>
      </w:r>
    </w:p>
    <w:p w14:paraId="5FC7DB52">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公布在投标截止时间前提交首次响应文件的供应商名称，并点名确认投标人是否派人到场；</w:t>
      </w:r>
    </w:p>
    <w:p w14:paraId="1135D39A">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宣布开标人、唱标人、记录人、监标人等有关部门代表；</w:t>
      </w:r>
    </w:p>
    <w:p w14:paraId="59036341">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由投标人代表当场检查响应文件的密封情况；</w:t>
      </w:r>
    </w:p>
    <w:p w14:paraId="7203AA2C">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）采购人或采购代理机构不当场拆封响应文件；</w:t>
      </w:r>
    </w:p>
    <w:p w14:paraId="11A459F7">
      <w:pPr>
        <w:spacing w:line="440" w:lineRule="exac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）开标会议结束。</w:t>
      </w:r>
    </w:p>
    <w:p w14:paraId="691C157F">
      <w:pPr>
        <w:adjustRightInd w:val="0"/>
        <w:snapToGrid w:val="0"/>
        <w:spacing w:line="360" w:lineRule="auto"/>
        <w:outlineLvl w:val="1"/>
        <w:rPr>
          <w:rFonts w:hint="eastAsia" w:ascii="宋体" w:hAnsi="宋体"/>
          <w:color w:val="auto"/>
          <w:szCs w:val="21"/>
          <w:highlight w:val="none"/>
        </w:rPr>
      </w:pPr>
      <w:bookmarkStart w:id="50" w:name="_Toc18469"/>
      <w:bookmarkStart w:id="51" w:name="_Toc432109654"/>
      <w:bookmarkStart w:id="52" w:name="_Toc1379"/>
      <w:bookmarkStart w:id="53" w:name="_Toc187939542"/>
      <w:bookmarkStart w:id="54" w:name="_Toc31482"/>
      <w:bookmarkStart w:id="55" w:name="_Toc152247520"/>
      <w:r>
        <w:rPr>
          <w:rFonts w:hint="eastAsia" w:ascii="宋体" w:hAnsi="宋体"/>
          <w:color w:val="auto"/>
          <w:szCs w:val="21"/>
          <w:highlight w:val="none"/>
        </w:rPr>
        <w:t>六、响应文件的磋商与评审</w:t>
      </w:r>
      <w:bookmarkEnd w:id="50"/>
      <w:bookmarkEnd w:id="51"/>
      <w:bookmarkEnd w:id="52"/>
      <w:bookmarkEnd w:id="53"/>
      <w:bookmarkEnd w:id="54"/>
      <w:bookmarkEnd w:id="55"/>
    </w:p>
    <w:p w14:paraId="75718EE3">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25.</w:t>
      </w:r>
      <w:r>
        <w:rPr>
          <w:rFonts w:hint="eastAsia" w:ascii="宋体" w:hAnsi="宋体"/>
          <w:b/>
          <w:bCs/>
          <w:color w:val="auto"/>
          <w:szCs w:val="21"/>
          <w:highlight w:val="none"/>
        </w:rPr>
        <w:t>磋商程序</w:t>
      </w:r>
    </w:p>
    <w:p w14:paraId="20838DEE">
      <w:pPr>
        <w:widowControl/>
        <w:adjustRightInd w:val="0"/>
        <w:snapToGrid w:val="0"/>
        <w:spacing w:line="360" w:lineRule="auto"/>
        <w:ind w:firstLine="420"/>
        <w:jc w:val="left"/>
        <w:rPr>
          <w:rFonts w:hint="eastAsia" w:ascii="宋体" w:hAnsi="宋体"/>
          <w:bCs/>
          <w:color w:val="auto"/>
          <w:szCs w:val="21"/>
          <w:highlight w:val="none"/>
        </w:rPr>
      </w:pPr>
      <w:r>
        <w:rPr>
          <w:rFonts w:ascii="宋体" w:hAnsi="宋体" w:cs="宋体"/>
          <w:color w:val="auto"/>
          <w:kern w:val="0"/>
          <w:szCs w:val="21"/>
          <w:highlight w:val="none"/>
        </w:rPr>
        <w:t>25.1</w:t>
      </w:r>
      <w:r>
        <w:rPr>
          <w:rFonts w:hint="eastAsia" w:ascii="宋体" w:hAnsi="宋体" w:cs="宋体"/>
          <w:color w:val="auto"/>
          <w:kern w:val="0"/>
          <w:szCs w:val="21"/>
          <w:highlight w:val="none"/>
        </w:rPr>
        <w:t>磋商程序：响应文件审查、磋商（包括澄清）、响应文件评审、</w:t>
      </w:r>
      <w:r>
        <w:rPr>
          <w:rFonts w:hint="eastAsia" w:ascii="宋体" w:hAnsi="宋体"/>
          <w:bCs/>
          <w:color w:val="auto"/>
          <w:szCs w:val="21"/>
          <w:highlight w:val="none"/>
        </w:rPr>
        <w:t>候选投标人排序。其中，</w:t>
      </w:r>
      <w:r>
        <w:rPr>
          <w:rFonts w:hint="eastAsia" w:ascii="宋体" w:hAnsi="宋体" w:cs="宋体"/>
          <w:color w:val="auto"/>
          <w:kern w:val="0"/>
          <w:szCs w:val="21"/>
          <w:highlight w:val="none"/>
        </w:rPr>
        <w:t>磋商按</w:t>
      </w:r>
      <w:r>
        <w:rPr>
          <w:rFonts w:hint="eastAsia" w:ascii="宋体" w:hAnsi="宋体"/>
          <w:color w:val="auto"/>
          <w:szCs w:val="21"/>
          <w:highlight w:val="none"/>
        </w:rPr>
        <w:t>本章第</w:t>
      </w:r>
      <w:r>
        <w:rPr>
          <w:rFonts w:ascii="宋体" w:hAnsi="宋体"/>
          <w:color w:val="auto"/>
          <w:szCs w:val="21"/>
          <w:highlight w:val="none"/>
        </w:rPr>
        <w:t>31</w:t>
      </w:r>
      <w:r>
        <w:rPr>
          <w:rFonts w:hint="eastAsia" w:ascii="宋体" w:hAnsi="宋体" w:cs="宋体"/>
          <w:color w:val="auto"/>
          <w:kern w:val="0"/>
          <w:szCs w:val="21"/>
          <w:highlight w:val="none"/>
          <w:lang w:val="zh-CN"/>
        </w:rPr>
        <w:t>款</w:t>
      </w:r>
      <w:r>
        <w:rPr>
          <w:rFonts w:hint="eastAsia" w:ascii="宋体" w:hAnsi="宋体"/>
          <w:color w:val="auto"/>
          <w:szCs w:val="21"/>
          <w:highlight w:val="none"/>
        </w:rPr>
        <w:t>情形</w:t>
      </w:r>
      <w:r>
        <w:rPr>
          <w:rFonts w:hint="eastAsia" w:ascii="宋体" w:hAnsi="宋体"/>
          <w:bCs/>
          <w:color w:val="auto"/>
          <w:szCs w:val="21"/>
          <w:highlight w:val="none"/>
        </w:rPr>
        <w:t>进行。</w:t>
      </w:r>
    </w:p>
    <w:p w14:paraId="71E8B9DA">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 xml:space="preserve">26. </w:t>
      </w:r>
      <w:r>
        <w:rPr>
          <w:rFonts w:hint="eastAsia" w:ascii="宋体" w:hAnsi="宋体"/>
          <w:b/>
          <w:bCs/>
          <w:color w:val="auto"/>
          <w:szCs w:val="21"/>
          <w:highlight w:val="none"/>
        </w:rPr>
        <w:t>磋商小组</w:t>
      </w:r>
    </w:p>
    <w:p w14:paraId="082ECA99">
      <w:pPr>
        <w:adjustRightInd w:val="0"/>
        <w:snapToGrid w:val="0"/>
        <w:spacing w:line="360" w:lineRule="auto"/>
        <w:ind w:firstLine="420" w:firstLineChars="200"/>
        <w:rPr>
          <w:rFonts w:hint="eastAsia" w:ascii="宋体" w:hAnsi="宋体"/>
          <w:bCs/>
          <w:color w:val="auto"/>
          <w:szCs w:val="21"/>
          <w:highlight w:val="none"/>
        </w:rPr>
      </w:pPr>
      <w:r>
        <w:rPr>
          <w:rFonts w:ascii="宋体" w:hAnsi="宋体"/>
          <w:bCs/>
          <w:color w:val="auto"/>
          <w:szCs w:val="21"/>
          <w:highlight w:val="none"/>
        </w:rPr>
        <w:t>26.1</w:t>
      </w:r>
      <w:r>
        <w:rPr>
          <w:rFonts w:hint="eastAsia" w:ascii="宋体" w:hAnsi="宋体"/>
          <w:bCs/>
          <w:color w:val="auto"/>
          <w:szCs w:val="21"/>
          <w:highlight w:val="none"/>
        </w:rPr>
        <w:t>磋商小组人员数量及组成</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bCs/>
          <w:color w:val="auto"/>
          <w:szCs w:val="21"/>
          <w:highlight w:val="none"/>
        </w:rPr>
        <w:t>。</w:t>
      </w:r>
    </w:p>
    <w:p w14:paraId="061F005D">
      <w:pPr>
        <w:adjustRightInd w:val="0"/>
        <w:snapToGrid w:val="0"/>
        <w:spacing w:line="440" w:lineRule="exact"/>
        <w:outlineLvl w:val="3"/>
        <w:rPr>
          <w:rFonts w:hint="eastAsia" w:ascii="宋体" w:hAnsi="宋体"/>
          <w:b/>
          <w:color w:val="auto"/>
          <w:szCs w:val="21"/>
          <w:highlight w:val="none"/>
        </w:rPr>
      </w:pPr>
      <w:r>
        <w:rPr>
          <w:rFonts w:ascii="宋体" w:hAnsi="宋体"/>
          <w:b/>
          <w:bCs/>
          <w:color w:val="auto"/>
          <w:szCs w:val="21"/>
          <w:highlight w:val="none"/>
        </w:rPr>
        <w:t>27.</w:t>
      </w:r>
      <w:r>
        <w:rPr>
          <w:rFonts w:hint="eastAsia" w:ascii="宋体" w:hAnsi="宋体"/>
          <w:b/>
          <w:bCs/>
          <w:color w:val="auto"/>
          <w:szCs w:val="21"/>
          <w:highlight w:val="none"/>
        </w:rPr>
        <w:t>响应文件审查</w:t>
      </w:r>
      <w:r>
        <w:rPr>
          <w:rFonts w:ascii="宋体" w:hAnsi="宋体"/>
          <w:b/>
          <w:color w:val="auto"/>
          <w:szCs w:val="21"/>
          <w:highlight w:val="none"/>
        </w:rPr>
        <w:t xml:space="preserve"> </w:t>
      </w:r>
    </w:p>
    <w:p w14:paraId="6E5DACC6">
      <w:pPr>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t xml:space="preserve">27.1 </w:t>
      </w:r>
      <w:r>
        <w:rPr>
          <w:rFonts w:hint="eastAsia" w:ascii="宋体" w:hAnsi="宋体"/>
          <w:color w:val="auto"/>
          <w:spacing w:val="-2"/>
          <w:szCs w:val="21"/>
          <w:highlight w:val="none"/>
        </w:rPr>
        <w:t>资格性审查：</w:t>
      </w:r>
      <w:r>
        <w:rPr>
          <w:rFonts w:hint="eastAsia" w:ascii="宋体" w:hAnsi="宋体" w:cs="宋体"/>
          <w:color w:val="auto"/>
          <w:spacing w:val="-2"/>
          <w:szCs w:val="21"/>
          <w:highlight w:val="none"/>
        </w:rPr>
        <w:t>投标人</w:t>
      </w:r>
      <w:r>
        <w:rPr>
          <w:rFonts w:hint="eastAsia" w:ascii="宋体" w:hAnsi="宋体"/>
          <w:color w:val="auto"/>
          <w:spacing w:val="-2"/>
          <w:szCs w:val="21"/>
          <w:highlight w:val="none"/>
        </w:rPr>
        <w:t>应满足本章第</w:t>
      </w:r>
      <w:r>
        <w:rPr>
          <w:rFonts w:ascii="宋体" w:hAnsi="宋体"/>
          <w:color w:val="auto"/>
          <w:spacing w:val="-2"/>
          <w:szCs w:val="21"/>
          <w:highlight w:val="none"/>
        </w:rPr>
        <w:t>3.1</w:t>
      </w:r>
      <w:r>
        <w:rPr>
          <w:rFonts w:hint="eastAsia" w:ascii="宋体" w:hAnsi="宋体"/>
          <w:color w:val="auto"/>
          <w:spacing w:val="-2"/>
          <w:szCs w:val="21"/>
          <w:highlight w:val="none"/>
        </w:rPr>
        <w:t>款规定的资格条件，本项目已进行过资格预审，可不再进行资格预审。如投标人资格条件发生重大变化，影响或者可能影响资格条件的，应更新或者补充提供的资格证明材料，以证实其各项条件仍能继续满足规定的资格条件要求。</w:t>
      </w:r>
    </w:p>
    <w:p w14:paraId="1ABA2297">
      <w:pPr>
        <w:spacing w:line="440" w:lineRule="exact"/>
        <w:ind w:firstLine="420" w:firstLineChars="200"/>
        <w:rPr>
          <w:rFonts w:hint="eastAsia" w:ascii="宋体" w:hAnsi="宋体"/>
          <w:color w:val="auto"/>
          <w:spacing w:val="-2"/>
          <w:szCs w:val="21"/>
          <w:highlight w:val="none"/>
        </w:rPr>
      </w:pPr>
      <w:r>
        <w:rPr>
          <w:rFonts w:ascii="宋体" w:hAnsi="宋体"/>
          <w:color w:val="auto"/>
          <w:szCs w:val="21"/>
          <w:highlight w:val="none"/>
        </w:rPr>
        <w:t>27.2</w:t>
      </w:r>
      <w:r>
        <w:rPr>
          <w:rFonts w:hint="eastAsia" w:ascii="宋体" w:hAnsi="宋体"/>
          <w:color w:val="auto"/>
          <w:szCs w:val="21"/>
          <w:highlight w:val="none"/>
        </w:rPr>
        <w:t>符合性审查</w:t>
      </w:r>
      <w:r>
        <w:rPr>
          <w:rFonts w:ascii="宋体" w:hAnsi="宋体"/>
          <w:color w:val="auto"/>
          <w:szCs w:val="21"/>
          <w:highlight w:val="none"/>
        </w:rPr>
        <w:t xml:space="preserve">: </w:t>
      </w:r>
      <w:r>
        <w:rPr>
          <w:rFonts w:hint="eastAsia" w:ascii="宋体" w:hAnsi="宋体"/>
          <w:color w:val="auto"/>
          <w:szCs w:val="21"/>
          <w:highlight w:val="none"/>
        </w:rPr>
        <w:t>对响应文件</w:t>
      </w:r>
      <w:r>
        <w:rPr>
          <w:rFonts w:ascii="宋体" w:hAnsi="宋体"/>
          <w:color w:val="auto"/>
          <w:szCs w:val="21"/>
          <w:highlight w:val="none"/>
        </w:rPr>
        <w:t>(</w:t>
      </w:r>
      <w:r>
        <w:rPr>
          <w:rFonts w:hint="eastAsia" w:ascii="宋体" w:hAnsi="宋体"/>
          <w:color w:val="auto"/>
          <w:szCs w:val="21"/>
          <w:highlight w:val="none"/>
        </w:rPr>
        <w:t>包括首次提交的响应文件、重新提交的响应文件</w:t>
      </w:r>
      <w:r>
        <w:rPr>
          <w:rFonts w:ascii="宋体" w:hAnsi="宋体"/>
          <w:color w:val="auto"/>
          <w:szCs w:val="21"/>
          <w:highlight w:val="none"/>
        </w:rPr>
        <w:t>)</w:t>
      </w:r>
      <w:r>
        <w:rPr>
          <w:rFonts w:hint="eastAsia" w:ascii="宋体" w:hAnsi="宋体"/>
          <w:color w:val="auto"/>
          <w:szCs w:val="21"/>
          <w:highlight w:val="none"/>
        </w:rPr>
        <w:t>的有效性、</w:t>
      </w:r>
      <w:r>
        <w:rPr>
          <w:rFonts w:hint="eastAsia" w:ascii="宋体" w:hAnsi="宋体"/>
          <w:color w:val="auto"/>
          <w:spacing w:val="-2"/>
          <w:szCs w:val="21"/>
          <w:highlight w:val="none"/>
        </w:rPr>
        <w:t>完整性和响应程度进行审查，以确定是否对磋商文件的实质性要求作出响应。</w:t>
      </w:r>
    </w:p>
    <w:p w14:paraId="71CDBBAA">
      <w:pPr>
        <w:spacing w:line="440" w:lineRule="exact"/>
        <w:ind w:firstLine="412" w:firstLineChars="200"/>
        <w:rPr>
          <w:rFonts w:hint="eastAsia" w:ascii="宋体" w:hAnsi="宋体"/>
          <w:color w:val="auto"/>
          <w:szCs w:val="21"/>
          <w:highlight w:val="none"/>
        </w:rPr>
      </w:pPr>
      <w:r>
        <w:rPr>
          <w:rFonts w:ascii="宋体" w:hAnsi="宋体"/>
          <w:color w:val="auto"/>
          <w:spacing w:val="-2"/>
          <w:szCs w:val="21"/>
          <w:highlight w:val="none"/>
        </w:rPr>
        <w:t>27.3</w:t>
      </w:r>
      <w:r>
        <w:rPr>
          <w:rFonts w:hint="eastAsia" w:ascii="宋体" w:hAnsi="宋体"/>
          <w:color w:val="auto"/>
          <w:spacing w:val="-2"/>
          <w:szCs w:val="21"/>
          <w:highlight w:val="none"/>
        </w:rPr>
        <w:t>响应文件审查结束后，磋商小组所有成员集中与单一投标人分别进行磋商，并给予</w:t>
      </w:r>
      <w:r>
        <w:rPr>
          <w:rFonts w:hint="eastAsia" w:ascii="宋体" w:hAnsi="宋体"/>
          <w:color w:val="auto"/>
          <w:szCs w:val="21"/>
          <w:highlight w:val="none"/>
        </w:rPr>
        <w:t>所有参加磋商的投标人平等的磋商机会。投标人应派其法定代表人或委托代理人参加磋商。</w:t>
      </w:r>
    </w:p>
    <w:p w14:paraId="7CA56D87">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28.</w:t>
      </w:r>
      <w:r>
        <w:rPr>
          <w:rFonts w:hint="eastAsia" w:ascii="宋体" w:hAnsi="宋体"/>
          <w:b/>
          <w:bCs/>
          <w:color w:val="auto"/>
          <w:szCs w:val="21"/>
          <w:highlight w:val="none"/>
        </w:rPr>
        <w:t>实质性响应与实质性修改</w:t>
      </w:r>
    </w:p>
    <w:p w14:paraId="7167CF26">
      <w:pPr>
        <w:adjustRightInd w:val="0"/>
        <w:snapToGrid w:val="0"/>
        <w:spacing w:line="360" w:lineRule="auto"/>
        <w:ind w:firstLine="420" w:firstLineChars="200"/>
        <w:rPr>
          <w:rFonts w:hint="eastAsia" w:ascii="宋体" w:hAnsi="宋体" w:cs="Arial"/>
          <w:color w:val="auto"/>
          <w:kern w:val="0"/>
          <w:szCs w:val="21"/>
          <w:highlight w:val="none"/>
          <w:u w:val="single"/>
        </w:rPr>
      </w:pPr>
      <w:r>
        <w:rPr>
          <w:rFonts w:ascii="宋体" w:hAnsi="宋体" w:cs="宋体"/>
          <w:color w:val="auto"/>
          <w:kern w:val="0"/>
          <w:szCs w:val="21"/>
          <w:highlight w:val="none"/>
        </w:rPr>
        <w:t>28.1</w:t>
      </w:r>
      <w:r>
        <w:rPr>
          <w:rFonts w:hint="eastAsia" w:ascii="宋体" w:hAnsi="宋体"/>
          <w:color w:val="auto"/>
          <w:kern w:val="0"/>
          <w:szCs w:val="21"/>
          <w:highlight w:val="none"/>
        </w:rPr>
        <w:t>实质性响应是指响应文件</w:t>
      </w:r>
      <w:r>
        <w:rPr>
          <w:rFonts w:ascii="宋体" w:hAnsi="宋体"/>
          <w:color w:val="auto"/>
          <w:kern w:val="0"/>
          <w:szCs w:val="21"/>
          <w:highlight w:val="none"/>
        </w:rPr>
        <w:t>(</w:t>
      </w:r>
      <w:r>
        <w:rPr>
          <w:rFonts w:hint="eastAsia" w:ascii="宋体" w:hAnsi="宋体"/>
          <w:color w:val="auto"/>
          <w:kern w:val="0"/>
          <w:szCs w:val="21"/>
          <w:highlight w:val="none"/>
        </w:rPr>
        <w:t>包括首次响应文件、重新提交的响应文件</w:t>
      </w:r>
      <w:r>
        <w:rPr>
          <w:rFonts w:ascii="宋体" w:hAnsi="宋体"/>
          <w:color w:val="auto"/>
          <w:kern w:val="0"/>
          <w:szCs w:val="21"/>
          <w:highlight w:val="none"/>
        </w:rPr>
        <w:t>)</w:t>
      </w:r>
      <w:r>
        <w:rPr>
          <w:rFonts w:hint="eastAsia" w:ascii="宋体" w:hAnsi="宋体"/>
          <w:color w:val="auto"/>
          <w:kern w:val="0"/>
          <w:szCs w:val="21"/>
          <w:highlight w:val="none"/>
        </w:rPr>
        <w:t>与磋商文件要求的所有条款、条件相符，没有偏离。偏离指不满足、或不响应磋商文件的要求。</w:t>
      </w:r>
    </w:p>
    <w:p w14:paraId="3682CF6E">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highlight w:val="none"/>
        </w:rPr>
      </w:pPr>
      <w:r>
        <w:rPr>
          <w:rFonts w:ascii="宋体" w:hAnsi="宋体"/>
          <w:color w:val="auto"/>
          <w:szCs w:val="21"/>
          <w:highlight w:val="none"/>
        </w:rPr>
        <w:t>28.2</w:t>
      </w:r>
      <w:r>
        <w:rPr>
          <w:rFonts w:hint="eastAsia" w:ascii="宋体" w:hAnsi="宋体"/>
          <w:color w:val="auto"/>
          <w:szCs w:val="21"/>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olor w:val="auto"/>
          <w:szCs w:val="21"/>
          <w:highlight w:val="none"/>
        </w:rPr>
        <w:t>决定响应文件的响应性只根据响应文件本身的真实无误的内容，而不依据外部的证据。</w:t>
      </w:r>
    </w:p>
    <w:p w14:paraId="535C74B8">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highlight w:val="none"/>
        </w:rPr>
      </w:pPr>
      <w:r>
        <w:rPr>
          <w:rFonts w:ascii="宋体" w:hAnsi="宋体"/>
          <w:color w:val="auto"/>
          <w:szCs w:val="21"/>
          <w:highlight w:val="none"/>
        </w:rPr>
        <w:t>28.3</w:t>
      </w:r>
      <w:r>
        <w:rPr>
          <w:rFonts w:hint="eastAsia" w:ascii="宋体" w:hAnsi="宋体"/>
          <w:color w:val="auto"/>
          <w:szCs w:val="21"/>
          <w:highlight w:val="none"/>
        </w:rPr>
        <w:t>在磋商过程中，磋商小组认为磋商文件需要进行实质性修改或调整的，磋商小组应将需要修改的内容书面告知投标人，并给予所有投标人均等的谈判机会。</w:t>
      </w:r>
    </w:p>
    <w:p w14:paraId="1CF694CE">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29.</w:t>
      </w:r>
      <w:r>
        <w:rPr>
          <w:rFonts w:hint="eastAsia" w:ascii="宋体" w:hAnsi="宋体"/>
          <w:b/>
          <w:bCs/>
          <w:color w:val="auto"/>
          <w:szCs w:val="21"/>
          <w:highlight w:val="none"/>
        </w:rPr>
        <w:t>无效响应</w:t>
      </w:r>
      <w:r>
        <w:rPr>
          <w:rFonts w:ascii="宋体" w:hAnsi="宋体"/>
          <w:b/>
          <w:bCs/>
          <w:color w:val="auto"/>
          <w:szCs w:val="21"/>
          <w:highlight w:val="none"/>
        </w:rPr>
        <w:t xml:space="preserve"> </w:t>
      </w:r>
    </w:p>
    <w:p w14:paraId="3AB77422">
      <w:pPr>
        <w:adjustRightInd w:val="0"/>
        <w:snapToGrid w:val="0"/>
        <w:spacing w:line="360" w:lineRule="auto"/>
        <w:ind w:firstLine="411" w:firstLineChars="196"/>
        <w:rPr>
          <w:rFonts w:hint="eastAsia" w:ascii="宋体" w:hAnsi="宋体" w:cs="宋体"/>
          <w:b/>
          <w:color w:val="auto"/>
          <w:kern w:val="0"/>
          <w:szCs w:val="21"/>
          <w:highlight w:val="none"/>
        </w:rPr>
      </w:pPr>
      <w:r>
        <w:rPr>
          <w:rFonts w:ascii="宋体" w:hAnsi="宋体" w:cs="宋体"/>
          <w:color w:val="auto"/>
          <w:kern w:val="0"/>
          <w:szCs w:val="21"/>
          <w:highlight w:val="none"/>
        </w:rPr>
        <w:t>29.1</w:t>
      </w:r>
      <w:r>
        <w:rPr>
          <w:rFonts w:hint="eastAsia" w:ascii="宋体" w:hAnsi="宋体"/>
          <w:color w:val="auto"/>
          <w:kern w:val="0"/>
          <w:szCs w:val="21"/>
          <w:highlight w:val="none"/>
        </w:rPr>
        <w:t>磋商小组在对符合性进行审查时，有下列情况之一的，属无效响应，</w:t>
      </w:r>
      <w:r>
        <w:rPr>
          <w:rFonts w:hint="eastAsia" w:ascii="宋体" w:hAnsi="宋体" w:cs="宋体"/>
          <w:color w:val="auto"/>
          <w:kern w:val="0"/>
          <w:szCs w:val="21"/>
          <w:highlight w:val="none"/>
        </w:rPr>
        <w:t>磋商小组应当告知有关投标人</w:t>
      </w:r>
      <w:r>
        <w:rPr>
          <w:rFonts w:hint="eastAsia" w:ascii="宋体" w:hAnsi="宋体"/>
          <w:color w:val="auto"/>
          <w:kern w:val="0"/>
          <w:szCs w:val="21"/>
          <w:highlight w:val="none"/>
        </w:rPr>
        <w:t>：</w:t>
      </w:r>
    </w:p>
    <w:p w14:paraId="2AEF1944">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（1）响应文件未按照磋商文件要求签署、盖章的；</w:t>
      </w:r>
    </w:p>
    <w:p w14:paraId="31A9022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（2）响应文件不满足本章第</w:t>
      </w:r>
      <w:r>
        <w:rPr>
          <w:rFonts w:ascii="宋体" w:hAnsi="宋体"/>
          <w:color w:val="auto"/>
          <w:szCs w:val="21"/>
          <w:highlight w:val="none"/>
        </w:rPr>
        <w:t>28.1</w:t>
      </w:r>
      <w:r>
        <w:rPr>
          <w:rFonts w:hint="eastAsia" w:ascii="宋体" w:hAnsi="宋体"/>
          <w:color w:val="auto"/>
          <w:szCs w:val="21"/>
          <w:highlight w:val="none"/>
        </w:rPr>
        <w:t>款规定的实质性要求的；</w:t>
      </w:r>
    </w:p>
    <w:p w14:paraId="3BC51BD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（3）响应文件有效期不足的；</w:t>
      </w:r>
    </w:p>
    <w:p w14:paraId="13CACAE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（4）响应文件不符合法律、规章、规范性文件和磋商文件规定及要求的。</w:t>
      </w:r>
    </w:p>
    <w:p w14:paraId="65D5A1D4">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30.</w:t>
      </w:r>
      <w:r>
        <w:rPr>
          <w:rFonts w:hint="eastAsia" w:ascii="宋体" w:hAnsi="宋体"/>
          <w:b/>
          <w:bCs/>
          <w:color w:val="auto"/>
          <w:szCs w:val="21"/>
          <w:highlight w:val="none"/>
        </w:rPr>
        <w:t>澄清</w:t>
      </w:r>
    </w:p>
    <w:p w14:paraId="4FAE3388">
      <w:pPr>
        <w:widowControl/>
        <w:adjustRightInd w:val="0"/>
        <w:snapToGrid w:val="0"/>
        <w:spacing w:line="360" w:lineRule="auto"/>
        <w:ind w:firstLine="420"/>
        <w:jc w:val="left"/>
        <w:rPr>
          <w:rFonts w:hint="eastAsia" w:ascii="宋体" w:hAnsi="宋体" w:cs="宋体"/>
          <w:color w:val="auto"/>
          <w:kern w:val="0"/>
          <w:szCs w:val="21"/>
          <w:highlight w:val="none"/>
        </w:rPr>
      </w:pPr>
      <w:r>
        <w:rPr>
          <w:rFonts w:ascii="宋体" w:hAnsi="宋体" w:cs="宋体"/>
          <w:color w:val="auto"/>
          <w:kern w:val="0"/>
          <w:szCs w:val="21"/>
          <w:highlight w:val="none"/>
        </w:rPr>
        <w:t xml:space="preserve">30.1 </w:t>
      </w:r>
      <w:r>
        <w:rPr>
          <w:rFonts w:hint="eastAsia" w:ascii="宋体" w:hAnsi="宋体" w:cs="宋体"/>
          <w:color w:val="auto"/>
          <w:kern w:val="0"/>
          <w:szCs w:val="21"/>
          <w:highlight w:val="none"/>
        </w:rPr>
        <w:t>磋商小组在对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或者加盖公章。投标人的澄清、说明或者更正不得超出响应文件的范围或者改变响应文件的实质性内容。</w:t>
      </w:r>
    </w:p>
    <w:p w14:paraId="68FBC95C">
      <w:pPr>
        <w:tabs>
          <w:tab w:val="left" w:pos="0"/>
        </w:tabs>
        <w:adjustRightInd w:val="0"/>
        <w:snapToGrid w:val="0"/>
        <w:spacing w:line="360" w:lineRule="auto"/>
        <w:ind w:firstLine="422" w:firstLineChars="200"/>
        <w:rPr>
          <w:rFonts w:hint="eastAsia" w:ascii="宋体" w:hAnsi="宋体"/>
          <w:color w:val="auto"/>
          <w:szCs w:val="21"/>
          <w:highlight w:val="none"/>
        </w:rPr>
      </w:pPr>
      <w:r>
        <w:rPr>
          <w:rFonts w:ascii="宋体" w:hAnsi="宋体"/>
          <w:b/>
          <w:bCs/>
          <w:color w:val="auto"/>
          <w:szCs w:val="21"/>
          <w:highlight w:val="none"/>
        </w:rPr>
        <w:t>31.</w:t>
      </w:r>
      <w:r>
        <w:rPr>
          <w:rFonts w:hint="eastAsia" w:ascii="宋体" w:hAnsi="宋体"/>
          <w:b/>
          <w:bCs/>
          <w:color w:val="auto"/>
          <w:szCs w:val="21"/>
          <w:highlight w:val="none"/>
        </w:rPr>
        <w:t xml:space="preserve"> 视频磋商</w:t>
      </w:r>
    </w:p>
    <w:p w14:paraId="1E68D046">
      <w:pPr>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投标人在开标结束后，可以提前登录郴州市政府采购（非标）电子交易平台等待磋商小组的视频磋商邀请。</w:t>
      </w:r>
    </w:p>
    <w:p w14:paraId="360ADEF4">
      <w:pPr>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（1）请各投标人使用 360、QQ、谷歌（Google）浏览器登录郴州市政府采购（非标）电子交易系统，并确保电脑有麦克风及视频功能（台式电脑需具备扩音器，笔记本电脑若已配备视频通话功能，则无需另配）。</w:t>
      </w:r>
    </w:p>
    <w:p w14:paraId="5A180218">
      <w:pPr>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（2）通过郴州市政府采购（非标）电子交易系统的视频会议功能，系统机器人会电话通知投标人准备视频会议（系统机器人默认拨打投标人注册手机号码），投标人应及时接听，以免错过视频会议。</w:t>
      </w:r>
    </w:p>
    <w:p w14:paraId="6615292F">
      <w:pPr>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（3）使用电脑端视频（推荐首选使用）：投标人接听电话后，应立即打开郴州市政府采购（非标）电子交易平台登录报名此次项目的系统账号，点击进入页面自动弹出的“进房邀请”对话框进行视频通话。</w:t>
      </w:r>
    </w:p>
    <w:p w14:paraId="54D9E171">
      <w:pPr>
        <w:adjustRightInd w:val="0"/>
        <w:snapToGrid w:val="0"/>
        <w:spacing w:line="360" w:lineRule="auto"/>
        <w:ind w:firstLine="420"/>
        <w:jc w:val="left"/>
        <w:rPr>
          <w:color w:val="auto"/>
          <w:highlight w:val="none"/>
        </w:rPr>
      </w:pPr>
      <w:r>
        <w:rPr>
          <w:rFonts w:hint="eastAsia" w:ascii="宋体" w:hAnsi="宋体" w:cs="宋体"/>
          <w:color w:val="auto"/>
          <w:kern w:val="0"/>
          <w:szCs w:val="21"/>
          <w:highlight w:val="none"/>
        </w:rPr>
        <w:t>（4）使用微信小程序：投标人接听电话后，应立即在开标大厅点击“微信小程序”，扫描二维码</w:t>
      </w:r>
      <w:r>
        <w:rPr>
          <w:color w:val="auto"/>
          <w:highlight w:val="none"/>
        </w:rPr>
        <w:drawing>
          <wp:inline distT="0" distB="0" distL="114300" distR="114300">
            <wp:extent cx="651510" cy="651510"/>
            <wp:effectExtent l="0" t="0" r="15240" b="152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a:stretch>
                      <a:fillRect/>
                    </a:stretch>
                  </pic:blipFill>
                  <pic:spPr>
                    <a:xfrm>
                      <a:off x="0" y="0"/>
                      <a:ext cx="651510" cy="651510"/>
                    </a:xfrm>
                    <a:prstGeom prst="rect">
                      <a:avLst/>
                    </a:prstGeom>
                    <a:noFill/>
                    <a:ln>
                      <a:noFill/>
                    </a:ln>
                  </pic:spPr>
                </pic:pic>
              </a:graphicData>
            </a:graphic>
          </wp:inline>
        </w:drawing>
      </w:r>
      <w:r>
        <w:rPr>
          <w:rFonts w:hint="eastAsia"/>
          <w:color w:val="auto"/>
          <w:highlight w:val="none"/>
        </w:rPr>
        <w:t>，然后输入郴州市政府采购（非标）电子交易平台所使用的账号、密码，点击进入页面自动弹出的“邀请视频”对话框进行视频通话。</w:t>
      </w:r>
    </w:p>
    <w:p w14:paraId="45AA7F12">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32.</w:t>
      </w:r>
      <w:r>
        <w:rPr>
          <w:rFonts w:hint="eastAsia" w:ascii="宋体" w:hAnsi="宋体"/>
          <w:b/>
          <w:bCs/>
          <w:color w:val="auto"/>
          <w:szCs w:val="21"/>
          <w:highlight w:val="none"/>
        </w:rPr>
        <w:t>响应文件评审</w:t>
      </w:r>
    </w:p>
    <w:p w14:paraId="38D9B945">
      <w:pPr>
        <w:widowControl/>
        <w:adjustRightInd w:val="0"/>
        <w:snapToGrid w:val="0"/>
        <w:spacing w:line="360" w:lineRule="auto"/>
        <w:ind w:firstLine="420" w:firstLineChars="200"/>
        <w:jc w:val="left"/>
        <w:rPr>
          <w:rFonts w:hint="eastAsia" w:ascii="宋体" w:hAnsi="宋体"/>
          <w:bCs/>
          <w:color w:val="auto"/>
          <w:szCs w:val="21"/>
          <w:highlight w:val="none"/>
        </w:rPr>
      </w:pPr>
      <w:r>
        <w:rPr>
          <w:rFonts w:ascii="宋体" w:hAnsi="宋体"/>
          <w:bCs/>
          <w:color w:val="auto"/>
          <w:szCs w:val="21"/>
          <w:highlight w:val="none"/>
        </w:rPr>
        <w:t>32.1</w:t>
      </w:r>
      <w:r>
        <w:rPr>
          <w:rFonts w:hint="eastAsia" w:ascii="宋体" w:hAnsi="宋体"/>
          <w:bCs/>
          <w:color w:val="auto"/>
          <w:szCs w:val="21"/>
          <w:highlight w:val="none"/>
        </w:rPr>
        <w:t>评审活动遵循客观、公正、审慎的原则，根据磋商文件规定的程序、方法和标准进行独立评审。本项目已进行资格预审，磋商小组在评审阶段不再对投标人进行资格审查（除非投标人资格条件发生了重大变化）。未实质性响应磋商文件的响应文件按无效响应处理（磋商文件中规定允许实质性变动的内容除外），采购人应当告知提交响应文件的投标人。</w:t>
      </w:r>
    </w:p>
    <w:p w14:paraId="13A55CD8">
      <w:pPr>
        <w:widowControl/>
        <w:adjustRightInd w:val="0"/>
        <w:snapToGrid w:val="0"/>
        <w:spacing w:line="360" w:lineRule="auto"/>
        <w:ind w:firstLine="420" w:firstLineChars="200"/>
        <w:jc w:val="left"/>
        <w:rPr>
          <w:rFonts w:hint="eastAsia" w:ascii="宋体" w:hAnsi="宋体"/>
          <w:bCs/>
          <w:color w:val="auto"/>
          <w:szCs w:val="21"/>
          <w:highlight w:val="none"/>
        </w:rPr>
      </w:pPr>
      <w:r>
        <w:rPr>
          <w:rFonts w:ascii="宋体" w:hAnsi="宋体"/>
          <w:bCs/>
          <w:color w:val="auto"/>
          <w:szCs w:val="21"/>
          <w:highlight w:val="none"/>
        </w:rPr>
        <w:t>32.2</w:t>
      </w:r>
      <w:r>
        <w:rPr>
          <w:rFonts w:hint="eastAsia" w:ascii="宋体" w:hAnsi="宋体"/>
          <w:bCs/>
          <w:color w:val="auto"/>
          <w:szCs w:val="21"/>
          <w:highlight w:val="none"/>
        </w:rPr>
        <w:t>经磋商确定最终采购需求投标人后，由磋商小组采用综合评分法对提交</w:t>
      </w:r>
      <w:r>
        <w:rPr>
          <w:rFonts w:hint="eastAsia" w:ascii="宋体" w:hAnsi="宋体" w:cs="宋体"/>
          <w:bCs/>
          <w:color w:val="auto"/>
          <w:szCs w:val="21"/>
          <w:highlight w:val="none"/>
        </w:rPr>
        <w:t>投标人</w:t>
      </w:r>
      <w:r>
        <w:rPr>
          <w:rFonts w:hint="eastAsia" w:ascii="宋体" w:hAnsi="宋体"/>
          <w:bCs/>
          <w:color w:val="auto"/>
          <w:szCs w:val="21"/>
          <w:highlight w:val="none"/>
        </w:rPr>
        <w:t>的响应文件和最后报价进行综合评价。</w:t>
      </w:r>
    </w:p>
    <w:p w14:paraId="49E7769A">
      <w:pPr>
        <w:widowControl/>
        <w:adjustRightInd w:val="0"/>
        <w:snapToGrid w:val="0"/>
        <w:spacing w:line="360" w:lineRule="auto"/>
        <w:ind w:firstLine="420" w:firstLineChars="200"/>
        <w:jc w:val="left"/>
        <w:rPr>
          <w:rFonts w:hint="eastAsia" w:ascii="宋体" w:hAnsi="宋体"/>
          <w:bCs/>
          <w:color w:val="auto"/>
          <w:szCs w:val="21"/>
          <w:highlight w:val="none"/>
        </w:rPr>
      </w:pPr>
      <w:r>
        <w:rPr>
          <w:rFonts w:ascii="宋体" w:hAnsi="宋体"/>
          <w:bCs/>
          <w:color w:val="auto"/>
          <w:szCs w:val="21"/>
          <w:highlight w:val="none"/>
        </w:rPr>
        <w:t>32.3</w:t>
      </w:r>
      <w:r>
        <w:rPr>
          <w:rFonts w:hint="eastAsia" w:ascii="宋体" w:hAnsi="宋体"/>
          <w:bCs/>
          <w:color w:val="auto"/>
          <w:szCs w:val="21"/>
          <w:highlight w:val="none"/>
        </w:rPr>
        <w:t>综合评分法，是指响应文件满足磋商文件全部实质性要求且按评审因素的量化指标评审得分最高的投标人为成交候选投标人排序的评审方法。本采购项目的评审程序、因素和标准见</w:t>
      </w:r>
      <w:r>
        <w:rPr>
          <w:rFonts w:hint="eastAsia" w:ascii="宋体" w:hAnsi="宋体"/>
          <w:b/>
          <w:bCs/>
          <w:color w:val="auto"/>
          <w:szCs w:val="21"/>
          <w:highlight w:val="none"/>
        </w:rPr>
        <w:t>第三章</w:t>
      </w:r>
      <w:r>
        <w:rPr>
          <w:rFonts w:ascii="宋体" w:hAnsi="宋体"/>
          <w:b/>
          <w:bCs/>
          <w:color w:val="auto"/>
          <w:szCs w:val="21"/>
          <w:highlight w:val="none"/>
        </w:rPr>
        <w:t xml:space="preserve"> </w:t>
      </w:r>
      <w:r>
        <w:rPr>
          <w:rFonts w:hint="eastAsia" w:ascii="宋体" w:hAnsi="宋体"/>
          <w:b/>
          <w:bCs/>
          <w:color w:val="auto"/>
          <w:szCs w:val="21"/>
          <w:highlight w:val="none"/>
        </w:rPr>
        <w:t>评审办法。</w:t>
      </w:r>
    </w:p>
    <w:p w14:paraId="4FBDCB42">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ascii="宋体" w:hAnsi="宋体" w:cs="宋体"/>
          <w:color w:val="auto"/>
          <w:kern w:val="0"/>
          <w:szCs w:val="21"/>
          <w:highlight w:val="none"/>
        </w:rPr>
        <w:t>32.4</w:t>
      </w:r>
      <w:r>
        <w:rPr>
          <w:rFonts w:hint="eastAsia" w:ascii="宋体" w:hAnsi="宋体" w:cs="宋体"/>
          <w:color w:val="auto"/>
          <w:kern w:val="0"/>
          <w:szCs w:val="21"/>
          <w:highlight w:val="none"/>
        </w:rPr>
        <w:t>综合评分法中的价格分采用低价优先法计算，即满足磋商文件要求且经调整后的最后报价最低的投标人的价格为磋商基准价，其价格分为满分。其他投标人的价格分按照下列公式计算：</w:t>
      </w:r>
    </w:p>
    <w:p w14:paraId="3F2B9099">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磋商报价得分</w:t>
      </w:r>
      <w:r>
        <w:rPr>
          <w:rFonts w:ascii="宋体" w:hAnsi="宋体" w:cs="宋体"/>
          <w:color w:val="auto"/>
          <w:kern w:val="0"/>
          <w:szCs w:val="21"/>
          <w:highlight w:val="none"/>
        </w:rPr>
        <w:t>=</w:t>
      </w:r>
      <w:r>
        <w:rPr>
          <w:rFonts w:hint="eastAsia" w:ascii="宋体" w:hAnsi="宋体" w:cs="宋体"/>
          <w:color w:val="auto"/>
          <w:kern w:val="0"/>
          <w:szCs w:val="21"/>
          <w:highlight w:val="none"/>
        </w:rPr>
        <w:t>（磋商基准价</w:t>
      </w:r>
      <w:r>
        <w:rPr>
          <w:rFonts w:ascii="宋体" w:hAnsi="宋体" w:cs="宋体"/>
          <w:color w:val="auto"/>
          <w:kern w:val="0"/>
          <w:szCs w:val="21"/>
          <w:highlight w:val="none"/>
        </w:rPr>
        <w:t>/</w:t>
      </w:r>
      <w:r>
        <w:rPr>
          <w:rFonts w:hint="eastAsia" w:ascii="宋体" w:hAnsi="宋体" w:cs="宋体"/>
          <w:color w:val="auto"/>
          <w:kern w:val="0"/>
          <w:szCs w:val="21"/>
          <w:highlight w:val="none"/>
        </w:rPr>
        <w:t>最后磋商报价）×价格权值×</w:t>
      </w:r>
      <w:r>
        <w:rPr>
          <w:rFonts w:ascii="宋体" w:hAnsi="宋体" w:cs="宋体"/>
          <w:color w:val="auto"/>
          <w:kern w:val="0"/>
          <w:szCs w:val="21"/>
          <w:highlight w:val="none"/>
        </w:rPr>
        <w:t>100</w:t>
      </w:r>
    </w:p>
    <w:p w14:paraId="05570D76">
      <w:pPr>
        <w:widowControl/>
        <w:adjustRightInd w:val="0"/>
        <w:snapToGri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77AC0D1A">
      <w:pPr>
        <w:widowControl/>
        <w:adjustRightInd w:val="0"/>
        <w:snapToGrid w:val="0"/>
        <w:spacing w:before="156" w:beforeLines="50" w:line="440" w:lineRule="exact"/>
        <w:ind w:firstLine="420" w:firstLineChars="200"/>
        <w:jc w:val="left"/>
        <w:rPr>
          <w:rFonts w:hint="eastAsia" w:ascii="宋体" w:hAnsi="宋体"/>
          <w:color w:val="auto"/>
          <w:szCs w:val="21"/>
          <w:highlight w:val="none"/>
        </w:rPr>
      </w:pPr>
      <w:r>
        <w:rPr>
          <w:rFonts w:ascii="宋体" w:hAnsi="宋体" w:cs="宋体"/>
          <w:color w:val="auto"/>
          <w:kern w:val="0"/>
          <w:szCs w:val="21"/>
          <w:highlight w:val="none"/>
        </w:rPr>
        <w:t>32.5</w:t>
      </w:r>
      <w:r>
        <w:rPr>
          <w:rFonts w:hint="eastAsia" w:ascii="宋体" w:hAnsi="宋体"/>
          <w:color w:val="auto"/>
          <w:szCs w:val="21"/>
          <w:highlight w:val="none"/>
        </w:rPr>
        <w:t>评审时，磋商小组各成员应当独立对每个</w:t>
      </w:r>
      <w:r>
        <w:rPr>
          <w:rFonts w:hint="eastAsia" w:ascii="宋体" w:hAnsi="宋体" w:cs="宋体"/>
          <w:color w:val="auto"/>
          <w:szCs w:val="21"/>
          <w:highlight w:val="none"/>
        </w:rPr>
        <w:t>投标人</w:t>
      </w:r>
      <w:r>
        <w:rPr>
          <w:rFonts w:hint="eastAsia" w:ascii="宋体" w:hAnsi="宋体"/>
          <w:color w:val="auto"/>
          <w:szCs w:val="21"/>
          <w:highlight w:val="none"/>
        </w:rPr>
        <w:t>的</w:t>
      </w:r>
      <w:r>
        <w:rPr>
          <w:rFonts w:hint="eastAsia" w:ascii="宋体" w:hAnsi="宋体"/>
          <w:bCs/>
          <w:color w:val="auto"/>
          <w:szCs w:val="21"/>
          <w:highlight w:val="none"/>
        </w:rPr>
        <w:t>响应文件</w:t>
      </w:r>
      <w:r>
        <w:rPr>
          <w:rFonts w:hint="eastAsia" w:ascii="宋体" w:hAnsi="宋体"/>
          <w:color w:val="auto"/>
          <w:szCs w:val="21"/>
          <w:highlight w:val="none"/>
        </w:rPr>
        <w:t>进行评价、评分，汇总各投标人的总得分。</w:t>
      </w:r>
    </w:p>
    <w:p w14:paraId="1E7FA937">
      <w:pPr>
        <w:adjustRightInd w:val="0"/>
        <w:snapToGrid w:val="0"/>
        <w:spacing w:line="440" w:lineRule="exact"/>
        <w:outlineLvl w:val="3"/>
        <w:rPr>
          <w:rFonts w:hint="eastAsia" w:ascii="宋体" w:hAnsi="宋体"/>
          <w:b/>
          <w:bCs/>
          <w:color w:val="auto"/>
          <w:szCs w:val="21"/>
          <w:highlight w:val="none"/>
        </w:rPr>
      </w:pPr>
      <w:r>
        <w:rPr>
          <w:rFonts w:ascii="宋体" w:hAnsi="宋体"/>
          <w:b/>
          <w:bCs/>
          <w:color w:val="auto"/>
          <w:szCs w:val="21"/>
          <w:highlight w:val="none"/>
        </w:rPr>
        <w:t>33.</w:t>
      </w:r>
      <w:r>
        <w:rPr>
          <w:rFonts w:hint="eastAsia" w:ascii="宋体" w:hAnsi="宋体"/>
          <w:b/>
          <w:bCs/>
          <w:color w:val="auto"/>
          <w:szCs w:val="21"/>
          <w:highlight w:val="none"/>
        </w:rPr>
        <w:t>推荐</w:t>
      </w:r>
    </w:p>
    <w:p w14:paraId="228B65BE">
      <w:pPr>
        <w:widowControl/>
        <w:spacing w:line="440" w:lineRule="exact"/>
        <w:rPr>
          <w:rFonts w:hint="eastAsia" w:ascii="宋体" w:hAnsi="宋体"/>
          <w:bCs/>
          <w:color w:val="auto"/>
          <w:szCs w:val="21"/>
          <w:highlight w:val="none"/>
        </w:rPr>
      </w:pPr>
      <w:r>
        <w:rPr>
          <w:rFonts w:ascii="宋体" w:hAnsi="宋体" w:cs="宋体"/>
          <w:color w:val="auto"/>
          <w:kern w:val="0"/>
          <w:szCs w:val="21"/>
          <w:highlight w:val="none"/>
        </w:rPr>
        <w:t xml:space="preserve">     33.1</w:t>
      </w:r>
      <w:r>
        <w:rPr>
          <w:rFonts w:hint="eastAsia" w:ascii="宋体" w:hAnsi="宋体"/>
          <w:bCs/>
          <w:color w:val="auto"/>
          <w:szCs w:val="21"/>
          <w:highlight w:val="none"/>
        </w:rPr>
        <w:t>磋商小组应当根据综合评分情况，按照评审得分由高到低顺序推荐成交候选投标人，并编写评审报告。评审得分相同的，按照最后报价得分由低到高的顺序推荐。评审得分且最后报价得分相同的，按照技术指标优劣顺序推荐。符合《采购竞争性磋商采购方式管理暂行办法》</w:t>
      </w:r>
      <w:r>
        <w:rPr>
          <w:rFonts w:ascii="宋体" w:hAnsi="宋体"/>
          <w:bCs/>
          <w:color w:val="auto"/>
          <w:szCs w:val="21"/>
          <w:highlight w:val="none"/>
        </w:rPr>
        <w:t>(</w:t>
      </w:r>
      <w:r>
        <w:rPr>
          <w:rFonts w:hint="eastAsia" w:ascii="宋体" w:hAnsi="宋体"/>
          <w:bCs/>
          <w:color w:val="auto"/>
          <w:szCs w:val="21"/>
          <w:highlight w:val="none"/>
        </w:rPr>
        <w:t>财库〔</w:t>
      </w:r>
      <w:r>
        <w:rPr>
          <w:rFonts w:ascii="宋体" w:hAnsi="宋体"/>
          <w:bCs/>
          <w:color w:val="auto"/>
          <w:szCs w:val="21"/>
          <w:highlight w:val="none"/>
        </w:rPr>
        <w:t>2014</w:t>
      </w:r>
      <w:r>
        <w:rPr>
          <w:rFonts w:hint="eastAsia" w:ascii="宋体" w:hAnsi="宋体"/>
          <w:bCs/>
          <w:color w:val="auto"/>
          <w:szCs w:val="21"/>
          <w:highlight w:val="none"/>
        </w:rPr>
        <w:t>〕</w:t>
      </w:r>
      <w:r>
        <w:rPr>
          <w:rFonts w:ascii="宋体" w:hAnsi="宋体"/>
          <w:bCs/>
          <w:color w:val="auto"/>
          <w:szCs w:val="21"/>
          <w:highlight w:val="none"/>
        </w:rPr>
        <w:t>214</w:t>
      </w:r>
      <w:r>
        <w:rPr>
          <w:rFonts w:hint="eastAsia" w:ascii="宋体" w:hAnsi="宋体"/>
          <w:bCs/>
          <w:color w:val="auto"/>
          <w:szCs w:val="21"/>
          <w:highlight w:val="none"/>
        </w:rPr>
        <w:t>号</w:t>
      </w:r>
      <w:r>
        <w:rPr>
          <w:rFonts w:ascii="宋体" w:hAnsi="宋体"/>
          <w:bCs/>
          <w:color w:val="auto"/>
          <w:szCs w:val="21"/>
          <w:highlight w:val="none"/>
        </w:rPr>
        <w:t>)</w:t>
      </w:r>
      <w:r>
        <w:rPr>
          <w:rFonts w:hint="eastAsia" w:ascii="宋体" w:hAnsi="宋体" w:cs="宋体"/>
          <w:color w:val="auto"/>
          <w:kern w:val="0"/>
          <w:szCs w:val="21"/>
          <w:highlight w:val="none"/>
        </w:rPr>
        <w:t>和《财政部关于采购竞争性磋商采购方式管理暂行办法有关问题的补充通知》（财库〔</w:t>
      </w:r>
      <w:r>
        <w:rPr>
          <w:rFonts w:ascii="宋体" w:hAnsi="宋体" w:cs="宋体"/>
          <w:color w:val="auto"/>
          <w:kern w:val="0"/>
          <w:szCs w:val="21"/>
          <w:highlight w:val="none"/>
        </w:rPr>
        <w:t>201</w:t>
      </w:r>
      <w:r>
        <w:rPr>
          <w:rFonts w:hint="eastAsia" w:ascii="宋体" w:hAnsi="宋体" w:cs="宋体"/>
          <w:color w:val="auto"/>
          <w:kern w:val="0"/>
          <w:szCs w:val="21"/>
          <w:highlight w:val="none"/>
        </w:rPr>
        <w:t>5〕</w:t>
      </w:r>
      <w:r>
        <w:rPr>
          <w:rFonts w:ascii="宋体" w:hAnsi="宋体" w:cs="宋体"/>
          <w:color w:val="auto"/>
          <w:kern w:val="0"/>
          <w:szCs w:val="21"/>
          <w:highlight w:val="none"/>
        </w:rPr>
        <w:t>124</w:t>
      </w:r>
      <w:r>
        <w:rPr>
          <w:rFonts w:hint="eastAsia" w:ascii="宋体" w:hAnsi="宋体" w:cs="宋体"/>
          <w:color w:val="auto"/>
          <w:kern w:val="0"/>
          <w:szCs w:val="21"/>
          <w:highlight w:val="none"/>
        </w:rPr>
        <w:t>号）所列“政府购买服务项目（含政府和投标人合作项目）、市场竞争不充分的科研项目以及需要扶持的科技成果转化项目”情形的，</w:t>
      </w:r>
      <w:r>
        <w:rPr>
          <w:rFonts w:hint="eastAsia" w:ascii="宋体" w:hAnsi="宋体"/>
          <w:bCs/>
          <w:color w:val="auto"/>
          <w:szCs w:val="21"/>
          <w:highlight w:val="none"/>
        </w:rPr>
        <w:t>可以推荐</w:t>
      </w:r>
      <w:r>
        <w:rPr>
          <w:rFonts w:ascii="宋体" w:hAnsi="宋体"/>
          <w:bCs/>
          <w:color w:val="auto"/>
          <w:szCs w:val="21"/>
          <w:highlight w:val="none"/>
        </w:rPr>
        <w:t>2</w:t>
      </w:r>
      <w:r>
        <w:rPr>
          <w:rFonts w:hint="eastAsia" w:ascii="宋体" w:hAnsi="宋体"/>
          <w:bCs/>
          <w:color w:val="auto"/>
          <w:szCs w:val="21"/>
          <w:highlight w:val="none"/>
        </w:rPr>
        <w:t>家成交候选投标人。</w:t>
      </w:r>
    </w:p>
    <w:p w14:paraId="58CAFDCB">
      <w:pPr>
        <w:adjustRightInd w:val="0"/>
        <w:snapToGrid w:val="0"/>
        <w:spacing w:line="440" w:lineRule="exact"/>
        <w:outlineLvl w:val="3"/>
        <w:rPr>
          <w:rFonts w:hint="eastAsia" w:ascii="宋体" w:hAnsi="宋体"/>
          <w:b/>
          <w:bCs/>
          <w:color w:val="auto"/>
          <w:szCs w:val="21"/>
          <w:highlight w:val="none"/>
        </w:rPr>
      </w:pPr>
      <w:r>
        <w:rPr>
          <w:rFonts w:ascii="宋体" w:hAnsi="宋体"/>
          <w:b/>
          <w:bCs/>
          <w:color w:val="auto"/>
          <w:szCs w:val="21"/>
          <w:highlight w:val="none"/>
        </w:rPr>
        <w:t>34.</w:t>
      </w:r>
      <w:r>
        <w:rPr>
          <w:rFonts w:hint="eastAsia" w:ascii="宋体" w:hAnsi="宋体"/>
          <w:b/>
          <w:bCs/>
          <w:color w:val="auto"/>
          <w:szCs w:val="21"/>
          <w:highlight w:val="none"/>
        </w:rPr>
        <w:t>确定成交投标人</w:t>
      </w:r>
    </w:p>
    <w:p w14:paraId="7E77316E">
      <w:pPr>
        <w:widowControl/>
        <w:adjustRightInd w:val="0"/>
        <w:snapToGrid w:val="0"/>
        <w:spacing w:line="440" w:lineRule="exact"/>
        <w:ind w:firstLine="420" w:firstLineChars="200"/>
        <w:jc w:val="left"/>
        <w:rPr>
          <w:rFonts w:hint="eastAsia" w:ascii="宋体" w:hAnsi="宋体" w:cs="宋体"/>
          <w:color w:val="auto"/>
          <w:kern w:val="0"/>
          <w:szCs w:val="21"/>
          <w:highlight w:val="none"/>
        </w:rPr>
      </w:pPr>
      <w:r>
        <w:rPr>
          <w:rFonts w:ascii="宋体" w:hAnsi="宋体" w:cs="宋体"/>
          <w:color w:val="auto"/>
          <w:kern w:val="0"/>
          <w:szCs w:val="21"/>
          <w:highlight w:val="none"/>
        </w:rPr>
        <w:t>34.1</w:t>
      </w:r>
      <w:r>
        <w:rPr>
          <w:rFonts w:hint="eastAsia" w:ascii="宋体" w:hAnsi="宋体" w:cs="宋体"/>
          <w:color w:val="auto"/>
          <w:kern w:val="0"/>
          <w:szCs w:val="21"/>
          <w:highlight w:val="none"/>
        </w:rPr>
        <w:t>采购代理机构应当在评审结束后</w:t>
      </w:r>
      <w:r>
        <w:rPr>
          <w:rFonts w:ascii="宋体" w:hAnsi="宋体" w:cs="宋体"/>
          <w:color w:val="auto"/>
          <w:kern w:val="0"/>
          <w:szCs w:val="21"/>
          <w:highlight w:val="none"/>
        </w:rPr>
        <w:t>2</w:t>
      </w:r>
      <w:r>
        <w:rPr>
          <w:rFonts w:hint="eastAsia" w:ascii="宋体" w:hAnsi="宋体" w:cs="宋体"/>
          <w:color w:val="auto"/>
          <w:kern w:val="0"/>
          <w:szCs w:val="21"/>
          <w:highlight w:val="none"/>
        </w:rPr>
        <w:t>个工作日内将评审报告送采购人确认。</w:t>
      </w:r>
    </w:p>
    <w:p w14:paraId="3DB03D40">
      <w:pPr>
        <w:widowControl/>
        <w:adjustRightInd w:val="0"/>
        <w:snapToGrid w:val="0"/>
        <w:spacing w:line="440" w:lineRule="exact"/>
        <w:ind w:firstLine="420" w:firstLineChars="200"/>
        <w:jc w:val="left"/>
        <w:rPr>
          <w:rFonts w:hint="eastAsia" w:ascii="宋体" w:hAnsi="宋体" w:cs="宋体"/>
          <w:color w:val="auto"/>
          <w:kern w:val="0"/>
          <w:szCs w:val="21"/>
          <w:highlight w:val="none"/>
        </w:rPr>
      </w:pPr>
      <w:r>
        <w:rPr>
          <w:rFonts w:ascii="宋体" w:hAnsi="宋体" w:cs="宋体"/>
          <w:color w:val="auto"/>
          <w:kern w:val="0"/>
          <w:szCs w:val="21"/>
          <w:highlight w:val="none"/>
        </w:rPr>
        <w:t>34.2</w:t>
      </w:r>
      <w:r>
        <w:rPr>
          <w:rFonts w:hint="eastAsia" w:ascii="宋体" w:hAnsi="宋体" w:cs="宋体"/>
          <w:color w:val="auto"/>
          <w:kern w:val="0"/>
          <w:szCs w:val="21"/>
          <w:highlight w:val="none"/>
        </w:rPr>
        <w:t>采购人应当在收到评审报告后</w:t>
      </w:r>
      <w:r>
        <w:rPr>
          <w:rFonts w:ascii="宋体" w:hAnsi="宋体" w:cs="宋体"/>
          <w:color w:val="auto"/>
          <w:kern w:val="0"/>
          <w:szCs w:val="21"/>
          <w:highlight w:val="none"/>
        </w:rPr>
        <w:t>5</w:t>
      </w:r>
      <w:r>
        <w:rPr>
          <w:rFonts w:hint="eastAsia" w:ascii="宋体" w:hAnsi="宋体" w:cs="宋体"/>
          <w:color w:val="auto"/>
          <w:kern w:val="0"/>
          <w:szCs w:val="21"/>
          <w:highlight w:val="none"/>
        </w:rPr>
        <w:t>个工作日内，从评审报告提出的成交候选供应商中，按照排序由高到低的原则确定成交供应商，也可以书面授权磋商小组直接确定成交供应商。</w:t>
      </w:r>
    </w:p>
    <w:p w14:paraId="2D2A967E">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35.</w:t>
      </w:r>
      <w:r>
        <w:rPr>
          <w:rFonts w:hint="eastAsia" w:ascii="宋体" w:hAnsi="宋体"/>
          <w:b/>
          <w:bCs/>
          <w:color w:val="auto"/>
          <w:szCs w:val="21"/>
          <w:highlight w:val="none"/>
        </w:rPr>
        <w:t>磋商终止</w:t>
      </w:r>
    </w:p>
    <w:p w14:paraId="55DC3C3C">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ascii="宋体" w:hAnsi="宋体"/>
          <w:bCs/>
          <w:color w:val="auto"/>
          <w:szCs w:val="21"/>
          <w:highlight w:val="none"/>
        </w:rPr>
        <w:t>35.1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szCs w:val="21"/>
          <w:highlight w:val="none"/>
        </w:rPr>
        <w:t>在本章第</w:t>
      </w:r>
      <w:r>
        <w:rPr>
          <w:rFonts w:ascii="宋体" w:hAnsi="宋体"/>
          <w:color w:val="auto"/>
          <w:szCs w:val="21"/>
          <w:highlight w:val="none"/>
        </w:rPr>
        <w:t>38.1</w:t>
      </w:r>
      <w:r>
        <w:rPr>
          <w:rFonts w:hint="eastAsia" w:ascii="宋体" w:hAnsi="宋体"/>
          <w:color w:val="auto"/>
          <w:szCs w:val="21"/>
          <w:highlight w:val="none"/>
        </w:rPr>
        <w:t>款指定的媒体上</w:t>
      </w:r>
      <w:r>
        <w:rPr>
          <w:rFonts w:hint="eastAsia" w:ascii="宋体" w:hAnsi="宋体" w:cs="宋体"/>
          <w:color w:val="auto"/>
          <w:kern w:val="0"/>
          <w:szCs w:val="21"/>
          <w:highlight w:val="none"/>
        </w:rPr>
        <w:t>发布项目终止公告并说明原因，重新开展采购活动：</w:t>
      </w:r>
      <w:r>
        <w:rPr>
          <w:rFonts w:ascii="宋体" w:hAnsi="宋体" w:cs="宋体"/>
          <w:color w:val="auto"/>
          <w:kern w:val="0"/>
          <w:szCs w:val="21"/>
          <w:highlight w:val="none"/>
        </w:rPr>
        <w:t xml:space="preserve"> </w:t>
      </w:r>
    </w:p>
    <w:p w14:paraId="7CFFA92D">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）因情况变化，不再符合规定的竞争性磋商采购方式适用情形的；</w:t>
      </w:r>
    </w:p>
    <w:p w14:paraId="770A2C5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）出现影响采购公正的违法、违规行为的；</w:t>
      </w:r>
    </w:p>
    <w:p w14:paraId="5C52FAC3">
      <w:pPr>
        <w:widowControl/>
        <w:adjustRightInd w:val="0"/>
        <w:snapToGrid w:val="0"/>
        <w:spacing w:line="360" w:lineRule="auto"/>
        <w:ind w:firstLine="420"/>
        <w:jc w:val="left"/>
        <w:rPr>
          <w:rFonts w:hint="eastAsia" w:ascii="宋体" w:hAnsi="宋体"/>
          <w:bCs/>
          <w:color w:val="auto"/>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）因重大变故，采购任务取消的。</w:t>
      </w:r>
    </w:p>
    <w:p w14:paraId="766AF4DC">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36.</w:t>
      </w:r>
      <w:r>
        <w:rPr>
          <w:rFonts w:hint="eastAsia" w:ascii="宋体" w:hAnsi="宋体"/>
          <w:b/>
          <w:bCs/>
          <w:color w:val="auto"/>
          <w:szCs w:val="21"/>
          <w:highlight w:val="none"/>
        </w:rPr>
        <w:t>重新评审</w:t>
      </w:r>
    </w:p>
    <w:p w14:paraId="00409CF4">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ascii="宋体" w:hAnsi="宋体" w:cs="宋体"/>
          <w:color w:val="auto"/>
          <w:kern w:val="0"/>
          <w:szCs w:val="21"/>
          <w:highlight w:val="none"/>
        </w:rPr>
        <w:t>36.1</w:t>
      </w:r>
      <w:r>
        <w:rPr>
          <w:rFonts w:hint="eastAsia" w:ascii="宋体" w:hAnsi="宋体" w:cs="宋体"/>
          <w:color w:val="auto"/>
          <w:kern w:val="0"/>
          <w:szCs w:val="21"/>
          <w:highlight w:val="none"/>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49D1E806">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37.</w:t>
      </w:r>
      <w:r>
        <w:rPr>
          <w:rFonts w:hint="eastAsia" w:ascii="宋体" w:hAnsi="宋体"/>
          <w:b/>
          <w:bCs/>
          <w:color w:val="auto"/>
          <w:szCs w:val="21"/>
          <w:highlight w:val="none"/>
        </w:rPr>
        <w:t>保密及串通行为</w:t>
      </w:r>
    </w:p>
    <w:p w14:paraId="14BF0E8B">
      <w:pPr>
        <w:adjustRightInd w:val="0"/>
        <w:snapToGrid w:val="0"/>
        <w:spacing w:line="360" w:lineRule="auto"/>
        <w:ind w:firstLine="420" w:firstLineChars="200"/>
        <w:rPr>
          <w:rFonts w:hint="eastAsia" w:ascii="宋体" w:hAnsi="宋体"/>
          <w:b/>
          <w:bCs/>
          <w:color w:val="auto"/>
          <w:szCs w:val="21"/>
          <w:highlight w:val="none"/>
        </w:rPr>
      </w:pPr>
      <w:r>
        <w:rPr>
          <w:rFonts w:ascii="宋体" w:hAnsi="宋体"/>
          <w:color w:val="auto"/>
          <w:szCs w:val="21"/>
          <w:highlight w:val="none"/>
        </w:rPr>
        <w:t>37.1</w:t>
      </w:r>
      <w:r>
        <w:rPr>
          <w:rFonts w:hint="eastAsia" w:ascii="宋体" w:hAnsi="宋体"/>
          <w:color w:val="auto"/>
          <w:szCs w:val="21"/>
          <w:highlight w:val="none"/>
        </w:rPr>
        <w:t>采购人不得泄漏采购活动中应当保密的情况和资料，不得与</w:t>
      </w:r>
      <w:r>
        <w:rPr>
          <w:rFonts w:hint="eastAsia" w:ascii="宋体" w:hAnsi="宋体" w:cs="宋体"/>
          <w:color w:val="auto"/>
          <w:szCs w:val="21"/>
          <w:highlight w:val="none"/>
        </w:rPr>
        <w:t>投标人</w:t>
      </w:r>
      <w:r>
        <w:rPr>
          <w:rFonts w:hint="eastAsia" w:ascii="宋体" w:hAnsi="宋体"/>
          <w:color w:val="auto"/>
          <w:szCs w:val="21"/>
          <w:highlight w:val="none"/>
        </w:rPr>
        <w:t>串通损害国家利益、社会公共利益或者他人合法权益。</w:t>
      </w:r>
    </w:p>
    <w:p w14:paraId="009D9CA1">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37.2</w:t>
      </w:r>
      <w:r>
        <w:rPr>
          <w:rFonts w:hint="eastAsia" w:ascii="宋体" w:hAnsi="宋体"/>
          <w:color w:val="auto"/>
          <w:szCs w:val="21"/>
          <w:highlight w:val="none"/>
        </w:rPr>
        <w:t>磋商小组成员以及与评审工作有关的人员不得泄露评审情况以及评审过程中获悉的国家秘密、商业秘密。</w:t>
      </w:r>
    </w:p>
    <w:p w14:paraId="398E6D7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磋商小组成员在评审过程中发现投标人有行贿、提供虚假材料或者串通等违法行为的，应当及时向财政部门报告。</w:t>
      </w:r>
    </w:p>
    <w:p w14:paraId="2809F85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成员不得收受他人的财物或者其他好处，不得向他人透漏对评审有关的情况。在评审活动中，采购人成员不得擅离职守，影响评审程序正常进行，不得使用第三章“评审办法”没有规定的评审因素和标准进行评审。</w:t>
      </w:r>
    </w:p>
    <w:p w14:paraId="21894148">
      <w:pPr>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37.3</w:t>
      </w:r>
      <w:r>
        <w:rPr>
          <w:rFonts w:hint="eastAsia" w:ascii="宋体" w:hAnsi="宋体" w:cs="宋体"/>
          <w:color w:val="auto"/>
          <w:kern w:val="0"/>
          <w:szCs w:val="21"/>
          <w:highlight w:val="none"/>
        </w:rPr>
        <w:t>投标人不得以他人名义投标或者以其他方式弄虚作假骗取中标；</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采购人、采购代理机构、其他投标人恶意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299A1D8E">
      <w:pPr>
        <w:widowControl/>
        <w:adjustRightInd w:val="0"/>
        <w:snapToGrid w:val="0"/>
        <w:spacing w:line="360" w:lineRule="auto"/>
        <w:ind w:firstLine="420" w:firstLineChars="200"/>
        <w:jc w:val="left"/>
        <w:rPr>
          <w:rFonts w:hint="eastAsia" w:ascii="宋体" w:hAnsi="宋体" w:cs="Arial"/>
          <w:color w:val="auto"/>
          <w:kern w:val="0"/>
          <w:szCs w:val="21"/>
          <w:highlight w:val="none"/>
        </w:rPr>
      </w:pPr>
      <w:r>
        <w:rPr>
          <w:rFonts w:ascii="宋体" w:hAnsi="宋体" w:cs="Arial"/>
          <w:color w:val="auto"/>
          <w:kern w:val="0"/>
          <w:szCs w:val="21"/>
          <w:highlight w:val="none"/>
        </w:rPr>
        <w:t>37.4</w:t>
      </w:r>
      <w:r>
        <w:rPr>
          <w:rFonts w:hint="eastAsia" w:ascii="宋体" w:hAnsi="宋体" w:cs="Arial"/>
          <w:color w:val="auto"/>
          <w:kern w:val="0"/>
          <w:szCs w:val="21"/>
          <w:highlight w:val="none"/>
        </w:rPr>
        <w:t>与评审活动有关的工作人员不得收受他人的财物或者其他好处，不得向他人透漏对响应文件的评审和比较、候选人的推荐情况以及评审有关的其他情况。在评审活动中，与评审活动有关的工作人员不得擅离职守，影响评审程序正常进行。</w:t>
      </w:r>
    </w:p>
    <w:p w14:paraId="186CA57C">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ascii="宋体" w:hAnsi="宋体" w:cs="宋体"/>
          <w:color w:val="auto"/>
          <w:kern w:val="0"/>
          <w:szCs w:val="21"/>
          <w:highlight w:val="none"/>
          <w:lang w:val="zh-CN"/>
        </w:rPr>
        <w:t>37.5</w:t>
      </w:r>
      <w:r>
        <w:rPr>
          <w:rFonts w:hint="eastAsia" w:ascii="宋体" w:hAnsi="宋体" w:cs="宋体"/>
          <w:color w:val="auto"/>
          <w:kern w:val="0"/>
          <w:szCs w:val="21"/>
          <w:highlight w:val="none"/>
          <w:lang w:val="zh-CN"/>
        </w:rPr>
        <w:t>有下列情形之一的，属于恶意串通，对投标人依照采购法第七十七条第一款的规定追究法律责任：</w:t>
      </w:r>
    </w:p>
    <w:p w14:paraId="1B1531CF">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（一）投标人直接或者间接从采购人或者采购代理机构处获得其他投标人的相关情况并修改其投标文件或者响应文件；</w:t>
      </w:r>
    </w:p>
    <w:p w14:paraId="172488AD">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（二）投标人按照采购人或者采购代理机构的授意撤换、修改投标文件或者响应文件；</w:t>
      </w:r>
    </w:p>
    <w:p w14:paraId="6F9C0A58">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（三）投标人之间协商报价、技术方案等投标文件或者响应文件的实质性内容；</w:t>
      </w:r>
    </w:p>
    <w:p w14:paraId="5045C655">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（四）属于同一集团、协会、商会等组织成员的投标人按照该组织要求协同参加采购活动；</w:t>
      </w:r>
    </w:p>
    <w:p w14:paraId="1FD6882B">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（五）投标人之间事先约定由某一特定投标人中标、成交；</w:t>
      </w:r>
    </w:p>
    <w:p w14:paraId="04329292">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（六）投标人之间商定部分投标人放弃参加采购活动或者放弃中标、成交；</w:t>
      </w:r>
    </w:p>
    <w:p w14:paraId="232DA051">
      <w:pPr>
        <w:widowControl/>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（七）投标人与采购人或者采购代理机构之间、投标人相互之间，为谋求特定投标人中标、成交或者排斥其他投标人的其他串通行为。</w:t>
      </w:r>
    </w:p>
    <w:p w14:paraId="286BFC86">
      <w:pPr>
        <w:adjustRightInd w:val="0"/>
        <w:snapToGrid w:val="0"/>
        <w:spacing w:line="360" w:lineRule="auto"/>
        <w:outlineLvl w:val="1"/>
        <w:rPr>
          <w:rFonts w:hint="eastAsia" w:ascii="宋体" w:hAnsi="宋体"/>
          <w:color w:val="auto"/>
          <w:szCs w:val="21"/>
          <w:highlight w:val="none"/>
        </w:rPr>
      </w:pPr>
      <w:bookmarkStart w:id="56" w:name="_Toc187939543"/>
      <w:bookmarkStart w:id="57" w:name="_Toc20283"/>
      <w:bookmarkStart w:id="58" w:name="_Toc14484"/>
      <w:bookmarkStart w:id="59" w:name="_Toc432109655"/>
      <w:bookmarkStart w:id="60" w:name="_Toc21836"/>
      <w:bookmarkStart w:id="61" w:name="_Toc152247521"/>
      <w:r>
        <w:rPr>
          <w:rFonts w:hint="eastAsia" w:ascii="宋体" w:hAnsi="宋体"/>
          <w:color w:val="auto"/>
          <w:szCs w:val="21"/>
          <w:highlight w:val="none"/>
        </w:rPr>
        <w:t>七、成交结果信息公布与授予合同</w:t>
      </w:r>
      <w:bookmarkEnd w:id="56"/>
      <w:bookmarkEnd w:id="57"/>
      <w:bookmarkEnd w:id="58"/>
      <w:bookmarkEnd w:id="59"/>
      <w:bookmarkEnd w:id="60"/>
      <w:bookmarkEnd w:id="61"/>
    </w:p>
    <w:p w14:paraId="51C363E4">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38.</w:t>
      </w:r>
      <w:r>
        <w:rPr>
          <w:rFonts w:hint="eastAsia" w:ascii="宋体" w:hAnsi="宋体"/>
          <w:b/>
          <w:bCs/>
          <w:color w:val="auto"/>
          <w:szCs w:val="21"/>
          <w:highlight w:val="none"/>
        </w:rPr>
        <w:t>成交信息的公布</w:t>
      </w:r>
    </w:p>
    <w:p w14:paraId="4FDBF90B">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38.1</w:t>
      </w:r>
      <w:r>
        <w:rPr>
          <w:rFonts w:hint="eastAsia" w:ascii="宋体" w:hAnsi="宋体"/>
          <w:color w:val="auto"/>
          <w:kern w:val="0"/>
          <w:szCs w:val="21"/>
          <w:highlight w:val="none"/>
        </w:rPr>
        <w:t>成交</w:t>
      </w:r>
      <w:r>
        <w:rPr>
          <w:rFonts w:hint="eastAsia" w:ascii="宋体" w:hAnsi="宋体" w:cs="宋体"/>
          <w:color w:val="auto"/>
          <w:kern w:val="0"/>
          <w:szCs w:val="21"/>
          <w:highlight w:val="none"/>
        </w:rPr>
        <w:t>投标人</w:t>
      </w:r>
      <w:r>
        <w:rPr>
          <w:rFonts w:hint="eastAsia" w:ascii="宋体" w:hAnsi="宋体"/>
          <w:color w:val="auto"/>
          <w:kern w:val="0"/>
          <w:szCs w:val="21"/>
          <w:highlight w:val="none"/>
        </w:rPr>
        <w:t>确定后</w:t>
      </w:r>
      <w:r>
        <w:rPr>
          <w:rFonts w:ascii="宋体" w:hAnsi="宋体"/>
          <w:color w:val="auto"/>
          <w:kern w:val="0"/>
          <w:szCs w:val="21"/>
          <w:highlight w:val="none"/>
        </w:rPr>
        <w:t>2</w:t>
      </w:r>
      <w:r>
        <w:rPr>
          <w:rFonts w:hint="eastAsia" w:ascii="宋体" w:hAnsi="宋体"/>
          <w:color w:val="auto"/>
          <w:kern w:val="0"/>
          <w:szCs w:val="21"/>
          <w:highlight w:val="none"/>
        </w:rPr>
        <w:t>个工作日内，成交结果信息将在</w:t>
      </w:r>
      <w:r>
        <w:rPr>
          <w:rFonts w:hint="eastAsia" w:ascii="宋体" w:hAnsi="宋体"/>
          <w:b/>
          <w:color w:val="auto"/>
          <w:kern w:val="0"/>
          <w:szCs w:val="21"/>
          <w:highlight w:val="none"/>
        </w:rPr>
        <w:t>磋商须知前附表</w:t>
      </w:r>
      <w:r>
        <w:rPr>
          <w:rFonts w:hint="eastAsia" w:ascii="宋体" w:hAnsi="宋体"/>
          <w:color w:val="auto"/>
          <w:kern w:val="0"/>
          <w:szCs w:val="21"/>
          <w:highlight w:val="none"/>
        </w:rPr>
        <w:t>指定的媒体上公布。</w:t>
      </w:r>
    </w:p>
    <w:p w14:paraId="44EE0552">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39.</w:t>
      </w:r>
      <w:r>
        <w:rPr>
          <w:rFonts w:hint="eastAsia" w:ascii="宋体" w:hAnsi="宋体"/>
          <w:b/>
          <w:bCs/>
          <w:color w:val="auto"/>
          <w:szCs w:val="21"/>
          <w:highlight w:val="none"/>
        </w:rPr>
        <w:t>询问及质疑</w:t>
      </w:r>
    </w:p>
    <w:p w14:paraId="7A4EEAF6">
      <w:pPr>
        <w:adjustRightInd w:val="0"/>
        <w:snapToGrid w:val="0"/>
        <w:spacing w:line="360" w:lineRule="auto"/>
        <w:ind w:firstLine="420" w:firstLineChars="200"/>
        <w:jc w:val="left"/>
        <w:rPr>
          <w:rFonts w:hint="eastAsia" w:ascii="宋体" w:hAnsi="宋体"/>
          <w:color w:val="auto"/>
          <w:szCs w:val="21"/>
          <w:highlight w:val="none"/>
        </w:rPr>
      </w:pPr>
      <w:r>
        <w:rPr>
          <w:rFonts w:ascii="宋体" w:hAnsi="宋体"/>
          <w:color w:val="auto"/>
          <w:szCs w:val="21"/>
          <w:highlight w:val="none"/>
        </w:rPr>
        <w:t>39.1</w:t>
      </w:r>
      <w:r>
        <w:rPr>
          <w:rFonts w:hint="eastAsia" w:ascii="宋体" w:hAnsi="宋体"/>
          <w:color w:val="auto"/>
          <w:szCs w:val="21"/>
          <w:highlight w:val="none"/>
        </w:rPr>
        <w:t>投标人对采购活动事项有疑问的，可以向采购人或采购代理机构提出询问。</w:t>
      </w:r>
    </w:p>
    <w:p w14:paraId="4098C6D8">
      <w:pPr>
        <w:adjustRightInd w:val="0"/>
        <w:snapToGrid w:val="0"/>
        <w:spacing w:line="360" w:lineRule="auto"/>
        <w:ind w:firstLine="420" w:firstLineChars="200"/>
        <w:jc w:val="left"/>
        <w:rPr>
          <w:rFonts w:hint="eastAsia" w:ascii="宋体" w:hAnsi="宋体"/>
          <w:color w:val="auto"/>
          <w:szCs w:val="21"/>
          <w:highlight w:val="none"/>
        </w:rPr>
      </w:pPr>
      <w:r>
        <w:rPr>
          <w:rFonts w:ascii="宋体" w:hAnsi="宋体"/>
          <w:color w:val="auto"/>
          <w:szCs w:val="21"/>
          <w:highlight w:val="none"/>
        </w:rPr>
        <w:t>39.2</w:t>
      </w:r>
      <w:r>
        <w:rPr>
          <w:rFonts w:hint="eastAsia" w:ascii="宋体" w:hAnsi="宋体"/>
          <w:color w:val="auto"/>
          <w:szCs w:val="21"/>
          <w:highlight w:val="none"/>
        </w:rPr>
        <w:t>投标人若认为磋商文件、采购过程和成交结果使自己的权益受到损害，可以按法律、行政法规及湖南省财政厅规范性文件规定向采购人或采购代理机构提出质疑。</w:t>
      </w:r>
    </w:p>
    <w:p w14:paraId="40112077">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4</w:t>
      </w:r>
      <w:r>
        <w:rPr>
          <w:rFonts w:hint="eastAsia" w:ascii="宋体" w:hAnsi="宋体"/>
          <w:b/>
          <w:bCs/>
          <w:color w:val="auto"/>
          <w:szCs w:val="21"/>
          <w:highlight w:val="none"/>
        </w:rPr>
        <w:t>0</w:t>
      </w:r>
      <w:r>
        <w:rPr>
          <w:rFonts w:ascii="宋体" w:hAnsi="宋体"/>
          <w:b/>
          <w:bCs/>
          <w:color w:val="auto"/>
          <w:szCs w:val="21"/>
          <w:highlight w:val="none"/>
        </w:rPr>
        <w:t>.</w:t>
      </w:r>
      <w:r>
        <w:rPr>
          <w:rFonts w:hint="eastAsia" w:ascii="宋体" w:hAnsi="宋体"/>
          <w:b/>
          <w:bCs/>
          <w:color w:val="auto"/>
          <w:szCs w:val="21"/>
          <w:highlight w:val="none"/>
        </w:rPr>
        <w:t>成交通知</w:t>
      </w:r>
    </w:p>
    <w:p w14:paraId="6C174075">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4</w:t>
      </w:r>
      <w:r>
        <w:rPr>
          <w:rFonts w:hint="eastAsia" w:ascii="宋体" w:hAnsi="宋体"/>
          <w:color w:val="auto"/>
          <w:kern w:val="0"/>
          <w:szCs w:val="21"/>
          <w:highlight w:val="none"/>
        </w:rPr>
        <w:t>0</w:t>
      </w:r>
      <w:r>
        <w:rPr>
          <w:rFonts w:ascii="宋体" w:hAnsi="宋体"/>
          <w:color w:val="auto"/>
          <w:kern w:val="0"/>
          <w:szCs w:val="21"/>
          <w:highlight w:val="none"/>
        </w:rPr>
        <w:t>.1</w:t>
      </w:r>
      <w:r>
        <w:rPr>
          <w:rFonts w:hint="eastAsia" w:ascii="宋体" w:hAnsi="宋体"/>
          <w:color w:val="auto"/>
          <w:kern w:val="0"/>
          <w:szCs w:val="21"/>
          <w:highlight w:val="none"/>
        </w:rPr>
        <w:t>采购人在成交</w:t>
      </w:r>
      <w:r>
        <w:rPr>
          <w:rFonts w:hint="eastAsia" w:ascii="宋体" w:hAnsi="宋体" w:cs="宋体"/>
          <w:color w:val="auto"/>
          <w:kern w:val="0"/>
          <w:szCs w:val="21"/>
          <w:highlight w:val="none"/>
        </w:rPr>
        <w:t>投标人</w:t>
      </w:r>
      <w:r>
        <w:rPr>
          <w:rFonts w:hint="eastAsia" w:ascii="宋体" w:hAnsi="宋体"/>
          <w:color w:val="auto"/>
          <w:kern w:val="0"/>
          <w:szCs w:val="21"/>
          <w:highlight w:val="none"/>
        </w:rPr>
        <w:t>确定，公示期满无异议后</w:t>
      </w:r>
      <w:r>
        <w:rPr>
          <w:rFonts w:ascii="宋体" w:hAnsi="宋体"/>
          <w:color w:val="auto"/>
          <w:kern w:val="0"/>
          <w:szCs w:val="21"/>
          <w:highlight w:val="none"/>
        </w:rPr>
        <w:t>2</w:t>
      </w:r>
      <w:r>
        <w:rPr>
          <w:rFonts w:hint="eastAsia" w:ascii="宋体" w:hAnsi="宋体"/>
          <w:color w:val="auto"/>
          <w:kern w:val="0"/>
          <w:szCs w:val="21"/>
          <w:highlight w:val="none"/>
        </w:rPr>
        <w:t>个工作日内，将中标、成交结果在省级以上人民政府财政部门指定的采购信息发布媒体上进行公告，同时以书面形式向成交</w:t>
      </w:r>
      <w:r>
        <w:rPr>
          <w:rFonts w:hint="eastAsia" w:ascii="宋体" w:hAnsi="宋体" w:cs="宋体"/>
          <w:color w:val="auto"/>
          <w:kern w:val="0"/>
          <w:szCs w:val="21"/>
          <w:highlight w:val="none"/>
        </w:rPr>
        <w:t>投标人</w:t>
      </w:r>
      <w:r>
        <w:rPr>
          <w:rFonts w:hint="eastAsia" w:ascii="宋体" w:hAnsi="宋体"/>
          <w:color w:val="auto"/>
          <w:kern w:val="0"/>
          <w:szCs w:val="21"/>
          <w:highlight w:val="none"/>
        </w:rPr>
        <w:t>发出中标、成交通知书。</w:t>
      </w:r>
    </w:p>
    <w:p w14:paraId="5310B06E">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4</w:t>
      </w:r>
      <w:r>
        <w:rPr>
          <w:rFonts w:hint="eastAsia" w:ascii="宋体" w:hAnsi="宋体"/>
          <w:color w:val="auto"/>
          <w:kern w:val="0"/>
          <w:szCs w:val="21"/>
          <w:highlight w:val="none"/>
        </w:rPr>
        <w:t>0</w:t>
      </w:r>
      <w:r>
        <w:rPr>
          <w:rFonts w:ascii="宋体" w:hAnsi="宋体"/>
          <w:color w:val="auto"/>
          <w:kern w:val="0"/>
          <w:szCs w:val="21"/>
          <w:highlight w:val="none"/>
        </w:rPr>
        <w:t>.2</w:t>
      </w:r>
      <w:r>
        <w:rPr>
          <w:rFonts w:hint="eastAsia" w:ascii="宋体" w:hAnsi="宋体"/>
          <w:color w:val="auto"/>
          <w:kern w:val="0"/>
          <w:szCs w:val="21"/>
          <w:highlight w:val="none"/>
        </w:rPr>
        <w:t>成交通知书对采购人和成交</w:t>
      </w:r>
      <w:r>
        <w:rPr>
          <w:rFonts w:hint="eastAsia" w:ascii="宋体" w:hAnsi="宋体" w:cs="宋体"/>
          <w:color w:val="auto"/>
          <w:kern w:val="0"/>
          <w:szCs w:val="21"/>
          <w:highlight w:val="none"/>
        </w:rPr>
        <w:t>投标人</w:t>
      </w:r>
      <w:r>
        <w:rPr>
          <w:rFonts w:hint="eastAsia" w:ascii="宋体" w:hAnsi="宋体"/>
          <w:color w:val="auto"/>
          <w:kern w:val="0"/>
          <w:szCs w:val="21"/>
          <w:highlight w:val="none"/>
        </w:rPr>
        <w:t>具有同等法律效力，成交通知书是合同文件的组成部分。</w:t>
      </w:r>
    </w:p>
    <w:p w14:paraId="424D4367">
      <w:pPr>
        <w:adjustRightInd w:val="0"/>
        <w:snapToGrid w:val="0"/>
        <w:spacing w:line="440" w:lineRule="exact"/>
        <w:outlineLvl w:val="3"/>
        <w:rPr>
          <w:rFonts w:hint="eastAsia" w:ascii="宋体" w:hAnsi="宋体"/>
          <w:b/>
          <w:bCs/>
          <w:color w:val="auto"/>
          <w:szCs w:val="21"/>
          <w:highlight w:val="none"/>
        </w:rPr>
      </w:pPr>
      <w:r>
        <w:rPr>
          <w:rFonts w:ascii="宋体" w:hAnsi="宋体"/>
          <w:b/>
          <w:bCs/>
          <w:color w:val="auto"/>
          <w:szCs w:val="21"/>
          <w:highlight w:val="none"/>
        </w:rPr>
        <w:t>4</w:t>
      </w:r>
      <w:r>
        <w:rPr>
          <w:rFonts w:hint="eastAsia" w:ascii="宋体" w:hAnsi="宋体"/>
          <w:b/>
          <w:bCs/>
          <w:color w:val="auto"/>
          <w:szCs w:val="21"/>
          <w:highlight w:val="none"/>
        </w:rPr>
        <w:t>1</w:t>
      </w:r>
      <w:r>
        <w:rPr>
          <w:rFonts w:ascii="宋体" w:hAnsi="宋体"/>
          <w:b/>
          <w:bCs/>
          <w:color w:val="auto"/>
          <w:szCs w:val="21"/>
          <w:highlight w:val="none"/>
        </w:rPr>
        <w:t xml:space="preserve">. </w:t>
      </w:r>
      <w:r>
        <w:rPr>
          <w:rFonts w:hint="eastAsia" w:ascii="宋体" w:hAnsi="宋体"/>
          <w:b/>
          <w:bCs/>
          <w:color w:val="auto"/>
          <w:szCs w:val="21"/>
          <w:highlight w:val="none"/>
        </w:rPr>
        <w:t>签订项目合同</w:t>
      </w:r>
    </w:p>
    <w:p w14:paraId="291F9F49">
      <w:pPr>
        <w:ind w:firstLine="428" w:firstLineChars="200"/>
        <w:rPr>
          <w:rFonts w:hint="eastAsia" w:ascii="宋体" w:hAnsi="宋体"/>
          <w:color w:val="auto"/>
          <w:spacing w:val="2"/>
          <w:kern w:val="0"/>
          <w:szCs w:val="21"/>
          <w:highlight w:val="none"/>
        </w:rPr>
      </w:pPr>
      <w:r>
        <w:rPr>
          <w:rFonts w:ascii="宋体" w:hAnsi="宋体"/>
          <w:color w:val="auto"/>
          <w:spacing w:val="2"/>
          <w:kern w:val="0"/>
          <w:szCs w:val="21"/>
          <w:highlight w:val="none"/>
        </w:rPr>
        <w:t>4</w:t>
      </w:r>
      <w:r>
        <w:rPr>
          <w:rFonts w:hint="eastAsia" w:ascii="宋体" w:hAnsi="宋体"/>
          <w:color w:val="auto"/>
          <w:spacing w:val="2"/>
          <w:kern w:val="0"/>
          <w:szCs w:val="21"/>
          <w:highlight w:val="none"/>
        </w:rPr>
        <w:t>1</w:t>
      </w:r>
      <w:r>
        <w:rPr>
          <w:rFonts w:ascii="宋体" w:hAnsi="宋体"/>
          <w:color w:val="auto"/>
          <w:spacing w:val="2"/>
          <w:kern w:val="0"/>
          <w:szCs w:val="21"/>
          <w:highlight w:val="none"/>
        </w:rPr>
        <w:t>.</w:t>
      </w:r>
      <w:r>
        <w:rPr>
          <w:rFonts w:hint="eastAsia" w:ascii="宋体" w:hAnsi="宋体"/>
          <w:color w:val="auto"/>
          <w:spacing w:val="2"/>
          <w:kern w:val="0"/>
          <w:szCs w:val="21"/>
          <w:highlight w:val="none"/>
        </w:rPr>
        <w:t>1竞争性磋商文件、成交</w:t>
      </w:r>
      <w:r>
        <w:rPr>
          <w:rFonts w:hint="eastAsia" w:ascii="宋体" w:hAnsi="宋体" w:cs="宋体"/>
          <w:color w:val="auto"/>
          <w:spacing w:val="2"/>
          <w:kern w:val="0"/>
          <w:szCs w:val="21"/>
          <w:highlight w:val="none"/>
        </w:rPr>
        <w:t>投标人</w:t>
      </w:r>
      <w:r>
        <w:rPr>
          <w:rFonts w:hint="eastAsia" w:ascii="宋体" w:hAnsi="宋体"/>
          <w:color w:val="auto"/>
          <w:spacing w:val="2"/>
          <w:kern w:val="0"/>
          <w:szCs w:val="21"/>
          <w:highlight w:val="none"/>
        </w:rPr>
        <w:t>的响应文件、各种承诺、保证及其澄清文件等，均为签订合同的依据，并与合同具有相同的法律效力。</w:t>
      </w:r>
    </w:p>
    <w:p w14:paraId="3D2E7755">
      <w:pPr>
        <w:adjustRightInd w:val="0"/>
        <w:snapToGrid w:val="0"/>
        <w:spacing w:line="360" w:lineRule="auto"/>
        <w:ind w:firstLine="428" w:firstLineChars="200"/>
        <w:rPr>
          <w:rFonts w:hint="eastAsia" w:ascii="宋体" w:hAnsi="宋体"/>
          <w:color w:val="auto"/>
          <w:spacing w:val="2"/>
          <w:kern w:val="0"/>
          <w:szCs w:val="21"/>
          <w:highlight w:val="none"/>
        </w:rPr>
      </w:pPr>
      <w:r>
        <w:rPr>
          <w:rFonts w:ascii="宋体" w:hAnsi="宋体"/>
          <w:color w:val="auto"/>
          <w:spacing w:val="2"/>
          <w:kern w:val="0"/>
          <w:szCs w:val="21"/>
          <w:highlight w:val="none"/>
        </w:rPr>
        <w:t>4</w:t>
      </w:r>
      <w:r>
        <w:rPr>
          <w:rFonts w:hint="eastAsia" w:ascii="宋体" w:hAnsi="宋体"/>
          <w:color w:val="auto"/>
          <w:spacing w:val="2"/>
          <w:kern w:val="0"/>
          <w:szCs w:val="21"/>
          <w:highlight w:val="none"/>
        </w:rPr>
        <w:t>1</w:t>
      </w:r>
      <w:r>
        <w:rPr>
          <w:rFonts w:ascii="宋体" w:hAnsi="宋体"/>
          <w:color w:val="auto"/>
          <w:spacing w:val="2"/>
          <w:kern w:val="0"/>
          <w:szCs w:val="21"/>
          <w:highlight w:val="none"/>
        </w:rPr>
        <w:t>.</w:t>
      </w:r>
      <w:r>
        <w:rPr>
          <w:rFonts w:hint="eastAsia" w:ascii="宋体" w:hAnsi="宋体"/>
          <w:color w:val="auto"/>
          <w:spacing w:val="2"/>
          <w:kern w:val="0"/>
          <w:szCs w:val="21"/>
          <w:highlight w:val="none"/>
        </w:rPr>
        <w:t>2项目合同必须经采购人审核同意，在获得同意前项目合同不得生效。</w:t>
      </w:r>
    </w:p>
    <w:p w14:paraId="3AA4BA1E">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4</w:t>
      </w:r>
      <w:r>
        <w:rPr>
          <w:rFonts w:hint="eastAsia" w:ascii="宋体" w:hAnsi="宋体"/>
          <w:color w:val="auto"/>
          <w:kern w:val="0"/>
          <w:szCs w:val="21"/>
          <w:highlight w:val="none"/>
        </w:rPr>
        <w:t>1</w:t>
      </w:r>
      <w:r>
        <w:rPr>
          <w:rFonts w:ascii="宋体" w:hAnsi="宋体"/>
          <w:color w:val="auto"/>
          <w:kern w:val="0"/>
          <w:szCs w:val="21"/>
          <w:highlight w:val="none"/>
        </w:rPr>
        <w:t>.</w:t>
      </w:r>
      <w:r>
        <w:rPr>
          <w:rFonts w:hint="eastAsia" w:ascii="宋体" w:hAnsi="宋体"/>
          <w:color w:val="auto"/>
          <w:kern w:val="0"/>
          <w:szCs w:val="21"/>
          <w:highlight w:val="none"/>
        </w:rPr>
        <w:t>3成交投标人应当按照合同约定履行义务。未经采购人书面同意，成交投标人不得向他人转让成交项目，也不得将成交项目分包后分别向他人转让。确需分包的，应经采购人书面同意，且分包单位资质不得低于投标人资质。</w:t>
      </w:r>
    </w:p>
    <w:p w14:paraId="5C84DA40">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4</w:t>
      </w:r>
      <w:r>
        <w:rPr>
          <w:rFonts w:hint="eastAsia" w:ascii="宋体" w:hAnsi="宋体"/>
          <w:color w:val="auto"/>
          <w:kern w:val="0"/>
          <w:szCs w:val="21"/>
          <w:highlight w:val="none"/>
        </w:rPr>
        <w:t>1</w:t>
      </w:r>
      <w:r>
        <w:rPr>
          <w:rFonts w:ascii="宋体" w:hAnsi="宋体"/>
          <w:color w:val="auto"/>
          <w:kern w:val="0"/>
          <w:szCs w:val="21"/>
          <w:highlight w:val="none"/>
        </w:rPr>
        <w:t>.</w:t>
      </w:r>
      <w:r>
        <w:rPr>
          <w:rFonts w:hint="eastAsia" w:ascii="宋体" w:hAnsi="宋体"/>
          <w:color w:val="auto"/>
          <w:kern w:val="0"/>
          <w:szCs w:val="21"/>
          <w:highlight w:val="none"/>
        </w:rPr>
        <w:t>4成交</w:t>
      </w:r>
      <w:r>
        <w:rPr>
          <w:rFonts w:hint="eastAsia" w:ascii="宋体" w:hAnsi="宋体" w:cs="宋体"/>
          <w:color w:val="auto"/>
          <w:kern w:val="0"/>
          <w:szCs w:val="21"/>
          <w:highlight w:val="none"/>
        </w:rPr>
        <w:t>投标人</w:t>
      </w:r>
      <w:r>
        <w:rPr>
          <w:rFonts w:hint="eastAsia" w:ascii="宋体" w:hAnsi="宋体"/>
          <w:color w:val="auto"/>
          <w:kern w:val="0"/>
          <w:szCs w:val="21"/>
          <w:highlight w:val="none"/>
        </w:rPr>
        <w:t>有下列情形之一的，责令限期改正，情节严重的，列入不良行为记录名单，在</w:t>
      </w:r>
      <w:r>
        <w:rPr>
          <w:rFonts w:ascii="宋体" w:hAnsi="宋体"/>
          <w:color w:val="auto"/>
          <w:kern w:val="0"/>
          <w:szCs w:val="21"/>
          <w:highlight w:val="none"/>
        </w:rPr>
        <w:t>1</w:t>
      </w:r>
      <w:r>
        <w:rPr>
          <w:rFonts w:hint="eastAsia" w:ascii="宋体" w:hAnsi="宋体"/>
          <w:color w:val="auto"/>
          <w:kern w:val="0"/>
          <w:szCs w:val="21"/>
          <w:highlight w:val="none"/>
        </w:rPr>
        <w:t>至</w:t>
      </w:r>
      <w:r>
        <w:rPr>
          <w:rFonts w:ascii="宋体" w:hAnsi="宋体"/>
          <w:color w:val="auto"/>
          <w:kern w:val="0"/>
          <w:szCs w:val="21"/>
          <w:highlight w:val="none"/>
        </w:rPr>
        <w:t>3</w:t>
      </w:r>
      <w:r>
        <w:rPr>
          <w:rFonts w:hint="eastAsia" w:ascii="宋体" w:hAnsi="宋体"/>
          <w:color w:val="auto"/>
          <w:kern w:val="0"/>
          <w:szCs w:val="21"/>
          <w:highlight w:val="none"/>
        </w:rPr>
        <w:t>年内禁止参加采购活动，并予以通报：</w:t>
      </w:r>
    </w:p>
    <w:p w14:paraId="6FB5C2C8">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（一）成交后无正当理由不与</w:t>
      </w:r>
      <w:r>
        <w:rPr>
          <w:rFonts w:hint="eastAsia" w:ascii="宋体" w:hAnsi="宋体"/>
          <w:color w:val="auto"/>
          <w:spacing w:val="2"/>
          <w:kern w:val="0"/>
          <w:szCs w:val="21"/>
          <w:highlight w:val="none"/>
        </w:rPr>
        <w:t>采购人</w:t>
      </w:r>
      <w:r>
        <w:rPr>
          <w:rFonts w:hint="eastAsia" w:ascii="宋体" w:hAnsi="宋体"/>
          <w:color w:val="auto"/>
          <w:kern w:val="0"/>
          <w:szCs w:val="21"/>
          <w:highlight w:val="none"/>
        </w:rPr>
        <w:t>签订合同的；</w:t>
      </w:r>
    </w:p>
    <w:p w14:paraId="2AFE6453">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（二）未按照采购文件确定的事项签订采购合同，或者与采购人另行订立背离合同实质性内容的协议的；</w:t>
      </w:r>
    </w:p>
    <w:p w14:paraId="7C5B8CC1">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（三）拒绝履行合同义务的；</w:t>
      </w:r>
    </w:p>
    <w:p w14:paraId="5F33C8B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olor w:val="auto"/>
          <w:kern w:val="0"/>
          <w:szCs w:val="21"/>
          <w:highlight w:val="none"/>
        </w:rPr>
        <w:t>（四）</w:t>
      </w:r>
      <w:r>
        <w:rPr>
          <w:rFonts w:hint="eastAsia" w:ascii="宋体" w:hAnsi="宋体" w:cs="宋体"/>
          <w:color w:val="auto"/>
          <w:kern w:val="0"/>
          <w:szCs w:val="21"/>
          <w:highlight w:val="none"/>
        </w:rPr>
        <w:t>违反法律、规章、规范性文件规定的。</w:t>
      </w:r>
    </w:p>
    <w:p w14:paraId="60A6FC73">
      <w:pPr>
        <w:adjustRightInd w:val="0"/>
        <w:snapToGrid w:val="0"/>
        <w:spacing w:line="360" w:lineRule="auto"/>
        <w:outlineLvl w:val="1"/>
        <w:rPr>
          <w:rFonts w:hint="eastAsia" w:ascii="宋体" w:hAnsi="宋体"/>
          <w:color w:val="auto"/>
          <w:szCs w:val="21"/>
          <w:highlight w:val="none"/>
        </w:rPr>
      </w:pPr>
      <w:bookmarkStart w:id="62" w:name="_Toc28328"/>
      <w:bookmarkStart w:id="63" w:name="_Toc27336"/>
      <w:bookmarkStart w:id="64" w:name="_Toc152247522"/>
      <w:bookmarkStart w:id="65" w:name="_Toc432109656"/>
      <w:bookmarkStart w:id="66" w:name="_Toc187939544"/>
      <w:bookmarkStart w:id="67" w:name="_Toc16944"/>
      <w:r>
        <w:rPr>
          <w:rFonts w:hint="eastAsia" w:ascii="宋体" w:hAnsi="宋体"/>
          <w:color w:val="auto"/>
          <w:szCs w:val="21"/>
          <w:highlight w:val="none"/>
        </w:rPr>
        <w:t>八、其他规定</w:t>
      </w:r>
      <w:bookmarkEnd w:id="62"/>
      <w:bookmarkEnd w:id="63"/>
      <w:bookmarkEnd w:id="64"/>
      <w:bookmarkEnd w:id="65"/>
      <w:bookmarkEnd w:id="66"/>
      <w:bookmarkEnd w:id="67"/>
    </w:p>
    <w:p w14:paraId="012FB2EE">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4</w:t>
      </w:r>
      <w:r>
        <w:rPr>
          <w:rFonts w:hint="eastAsia" w:ascii="宋体" w:hAnsi="宋体"/>
          <w:b/>
          <w:bCs/>
          <w:color w:val="auto"/>
          <w:szCs w:val="21"/>
          <w:highlight w:val="none"/>
        </w:rPr>
        <w:t>2．采购代理服务费</w:t>
      </w:r>
    </w:p>
    <w:p w14:paraId="1DEFFE33">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2</w:t>
      </w:r>
      <w:r>
        <w:rPr>
          <w:rFonts w:ascii="宋体" w:hAnsi="宋体"/>
          <w:color w:val="auto"/>
          <w:szCs w:val="21"/>
          <w:highlight w:val="none"/>
        </w:rPr>
        <w:t>.1</w:t>
      </w:r>
      <w:r>
        <w:rPr>
          <w:rFonts w:hint="eastAsia" w:ascii="宋体" w:hAnsi="宋体"/>
          <w:color w:val="auto"/>
          <w:szCs w:val="21"/>
          <w:highlight w:val="none"/>
        </w:rPr>
        <w:t>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1AF7A4AD">
      <w:pPr>
        <w:adjustRightInd w:val="0"/>
        <w:snapToGrid w:val="0"/>
        <w:spacing w:line="360" w:lineRule="auto"/>
        <w:outlineLvl w:val="3"/>
        <w:rPr>
          <w:rFonts w:hint="eastAsia" w:ascii="宋体" w:hAnsi="宋体"/>
          <w:b/>
          <w:bCs/>
          <w:color w:val="auto"/>
          <w:szCs w:val="21"/>
          <w:highlight w:val="none"/>
        </w:rPr>
      </w:pPr>
      <w:r>
        <w:rPr>
          <w:rFonts w:hint="eastAsia" w:ascii="宋体" w:hAnsi="宋体"/>
          <w:b/>
          <w:bCs/>
          <w:color w:val="auto"/>
          <w:szCs w:val="21"/>
          <w:highlight w:val="none"/>
        </w:rPr>
        <w:t>43.偏离与实质性响应</w:t>
      </w:r>
    </w:p>
    <w:p w14:paraId="29753E07">
      <w:pPr>
        <w:adjustRightInd w:val="0"/>
        <w:snapToGrid w:val="0"/>
        <w:spacing w:line="440" w:lineRule="exact"/>
        <w:ind w:firstLine="420" w:firstLineChars="200"/>
        <w:rPr>
          <w:rFonts w:ascii="宋体" w:cs="宋体"/>
          <w:color w:val="auto"/>
          <w:highlight w:val="none"/>
        </w:rPr>
      </w:pPr>
      <w:r>
        <w:rPr>
          <w:rFonts w:hint="eastAsia" w:ascii="宋体" w:hAnsi="宋体" w:cs="宋体"/>
          <w:color w:val="auto"/>
          <w:highlight w:val="none"/>
        </w:rPr>
        <w:t>43</w:t>
      </w:r>
      <w:r>
        <w:rPr>
          <w:rFonts w:ascii="宋体" w:hAnsi="宋体" w:cs="宋体"/>
          <w:color w:val="auto"/>
          <w:highlight w:val="none"/>
        </w:rPr>
        <w:t>.1</w:t>
      </w:r>
      <w:r>
        <w:rPr>
          <w:rFonts w:hint="eastAsia" w:ascii="宋体" w:hAnsi="宋体" w:cs="宋体"/>
          <w:color w:val="auto"/>
          <w:highlight w:val="none"/>
        </w:rPr>
        <w:t xml:space="preserve"> 供应商应当按照磋商文件的要求编制响应文件。响应文件应当对磋商文件提出的要求和条件作出明确响应。</w:t>
      </w:r>
    </w:p>
    <w:p w14:paraId="11D96514">
      <w:pPr>
        <w:adjustRightInd w:val="0"/>
        <w:snapToGrid w:val="0"/>
        <w:spacing w:line="440" w:lineRule="exact"/>
        <w:ind w:firstLine="420" w:firstLineChars="200"/>
        <w:rPr>
          <w:rFonts w:ascii="宋体" w:cs="宋体"/>
          <w:color w:val="auto"/>
          <w:highlight w:val="none"/>
        </w:rPr>
      </w:pPr>
      <w:r>
        <w:rPr>
          <w:rFonts w:hint="eastAsia" w:ascii="宋体" w:hAnsi="宋体" w:cs="宋体"/>
          <w:color w:val="auto"/>
          <w:highlight w:val="none"/>
        </w:rPr>
        <w:t>43</w:t>
      </w:r>
      <w:r>
        <w:rPr>
          <w:rFonts w:ascii="宋体" w:hAnsi="宋体" w:cs="宋体"/>
          <w:color w:val="auto"/>
          <w:highlight w:val="none"/>
        </w:rPr>
        <w:t>.2</w:t>
      </w:r>
      <w:r>
        <w:rPr>
          <w:rFonts w:hint="eastAsia" w:ascii="宋体" w:hAnsi="宋体" w:cs="宋体"/>
          <w:color w:val="auto"/>
          <w:highlight w:val="none"/>
        </w:rPr>
        <w:t xml:space="preserve"> 偏离是指响应文件不响应或者不满足磋商文件提出的要求和条件，分为实质性偏离和非实质性偏离。</w:t>
      </w:r>
    </w:p>
    <w:p w14:paraId="5C0779E2">
      <w:pPr>
        <w:adjustRightInd w:val="0"/>
        <w:snapToGrid w:val="0"/>
        <w:spacing w:line="440" w:lineRule="exact"/>
        <w:ind w:firstLine="420" w:firstLineChars="200"/>
        <w:rPr>
          <w:rFonts w:ascii="宋体" w:cs="宋体"/>
          <w:color w:val="auto"/>
          <w:highlight w:val="none"/>
        </w:rPr>
      </w:pPr>
      <w:r>
        <w:rPr>
          <w:rFonts w:hint="eastAsia" w:ascii="宋体" w:hAnsi="宋体" w:cs="宋体"/>
          <w:color w:val="auto"/>
          <w:highlight w:val="none"/>
        </w:rPr>
        <w:t>43</w:t>
      </w:r>
      <w:r>
        <w:rPr>
          <w:rFonts w:ascii="宋体" w:hAnsi="宋体" w:cs="宋体"/>
          <w:color w:val="auto"/>
          <w:highlight w:val="none"/>
        </w:rPr>
        <w:t>.3</w:t>
      </w:r>
      <w:r>
        <w:rPr>
          <w:rFonts w:hint="eastAsia" w:ascii="宋体" w:hAnsi="宋体" w:cs="宋体"/>
          <w:color w:val="auto"/>
          <w:highlight w:val="none"/>
        </w:rPr>
        <w:t xml:space="preserve"> 磋商文件中用“★”符号标明的条款或注明了“其投标无效”的条款为实质性要求和条件，对其中任何一条的偏离，为实质性偏离，其投标无效。</w:t>
      </w:r>
    </w:p>
    <w:p w14:paraId="25DBAB7B">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43</w:t>
      </w:r>
      <w:r>
        <w:rPr>
          <w:rFonts w:ascii="宋体" w:hAnsi="宋体" w:cs="宋体"/>
          <w:color w:val="auto"/>
          <w:highlight w:val="none"/>
        </w:rPr>
        <w:t>.4</w:t>
      </w:r>
      <w:r>
        <w:rPr>
          <w:rFonts w:hint="eastAsia" w:ascii="宋体" w:hAnsi="宋体" w:cs="宋体"/>
          <w:color w:val="auto"/>
          <w:highlight w:val="none"/>
        </w:rPr>
        <w:t xml:space="preserve"> 响应文件偏离磋商文件的非实质性要求和条件，为非实质性偏离。非实质性偏离的范围和幅度超出</w:t>
      </w:r>
      <w:r>
        <w:rPr>
          <w:rFonts w:hint="eastAsia" w:ascii="宋体" w:hAnsi="宋体" w:cs="宋体"/>
          <w:b/>
          <w:bCs/>
          <w:color w:val="auto"/>
          <w:highlight w:val="none"/>
        </w:rPr>
        <w:t>【磋商须知前附表】</w:t>
      </w:r>
      <w:r>
        <w:rPr>
          <w:rFonts w:hint="eastAsia" w:ascii="宋体" w:hAnsi="宋体" w:cs="宋体"/>
          <w:color w:val="auto"/>
          <w:highlight w:val="none"/>
        </w:rPr>
        <w:t>规定的，其投标无效。</w:t>
      </w:r>
    </w:p>
    <w:p w14:paraId="774E5DB4">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highlight w:val="none"/>
        </w:rPr>
      </w:pPr>
    </w:p>
    <w:p w14:paraId="146DC24C">
      <w:pPr>
        <w:adjustRightInd w:val="0"/>
        <w:snapToGrid w:val="0"/>
        <w:spacing w:line="360" w:lineRule="auto"/>
        <w:outlineLvl w:val="3"/>
        <w:rPr>
          <w:rFonts w:hint="eastAsia" w:ascii="宋体" w:hAnsi="宋体"/>
          <w:b/>
          <w:bCs/>
          <w:color w:val="auto"/>
          <w:szCs w:val="21"/>
          <w:highlight w:val="none"/>
        </w:rPr>
      </w:pPr>
      <w:r>
        <w:rPr>
          <w:rFonts w:ascii="宋体" w:hAnsi="宋体"/>
          <w:b/>
          <w:bCs/>
          <w:color w:val="auto"/>
          <w:szCs w:val="21"/>
          <w:highlight w:val="none"/>
        </w:rPr>
        <w:t>4</w:t>
      </w:r>
      <w:r>
        <w:rPr>
          <w:rFonts w:hint="eastAsia" w:ascii="宋体" w:hAnsi="宋体"/>
          <w:b/>
          <w:bCs/>
          <w:color w:val="auto"/>
          <w:szCs w:val="21"/>
          <w:highlight w:val="none"/>
        </w:rPr>
        <w:t>4</w:t>
      </w:r>
      <w:r>
        <w:rPr>
          <w:rFonts w:ascii="宋体" w:hAnsi="宋体"/>
          <w:b/>
          <w:bCs/>
          <w:color w:val="auto"/>
          <w:szCs w:val="21"/>
          <w:highlight w:val="none"/>
        </w:rPr>
        <w:t xml:space="preserve">. </w:t>
      </w:r>
      <w:r>
        <w:rPr>
          <w:rFonts w:hint="eastAsia" w:ascii="宋体" w:hAnsi="宋体"/>
          <w:b/>
          <w:bCs/>
          <w:color w:val="auto"/>
          <w:szCs w:val="21"/>
          <w:highlight w:val="none"/>
        </w:rPr>
        <w:t>其他规定</w:t>
      </w:r>
    </w:p>
    <w:p w14:paraId="51C3937B">
      <w:pPr>
        <w:keepNext/>
        <w:keepLines/>
        <w:spacing w:line="0" w:lineRule="atLeast"/>
        <w:ind w:firstLine="420" w:firstLineChars="200"/>
        <w:outlineLvl w:val="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4</w:t>
      </w:r>
      <w:r>
        <w:rPr>
          <w:rFonts w:ascii="宋体" w:hAnsi="宋体"/>
          <w:color w:val="auto"/>
          <w:szCs w:val="21"/>
          <w:highlight w:val="none"/>
        </w:rPr>
        <w:t>.1</w:t>
      </w:r>
      <w:r>
        <w:rPr>
          <w:rFonts w:hint="eastAsia" w:ascii="宋体" w:hAnsi="宋体"/>
          <w:color w:val="auto"/>
          <w:szCs w:val="21"/>
          <w:highlight w:val="none"/>
        </w:rPr>
        <w:t>磋商文件的其他规定见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56FDC686">
      <w:pPr>
        <w:keepNext/>
        <w:keepLines/>
        <w:spacing w:line="0" w:lineRule="atLeast"/>
        <w:jc w:val="center"/>
        <w:outlineLvl w:val="0"/>
        <w:rPr>
          <w:rFonts w:hint="eastAsia" w:ascii="黑体" w:hAnsi="黑体" w:eastAsia="黑体" w:cs="黑体"/>
          <w:b/>
          <w:bCs/>
          <w:color w:val="auto"/>
          <w:kern w:val="44"/>
          <w:sz w:val="32"/>
          <w:szCs w:val="32"/>
          <w:highlight w:val="none"/>
        </w:rPr>
      </w:pPr>
      <w:r>
        <w:rPr>
          <w:rFonts w:hint="eastAsia" w:ascii="宋体" w:hAnsi="宋体"/>
          <w:color w:val="auto"/>
          <w:szCs w:val="21"/>
          <w:highlight w:val="none"/>
        </w:rPr>
        <w:br w:type="page"/>
      </w:r>
      <w:r>
        <w:rPr>
          <w:rFonts w:hint="eastAsia" w:ascii="黑体" w:hAnsi="黑体" w:eastAsia="黑体" w:cs="黑体"/>
          <w:b/>
          <w:bCs/>
          <w:color w:val="auto"/>
          <w:kern w:val="44"/>
          <w:sz w:val="32"/>
          <w:szCs w:val="32"/>
          <w:highlight w:val="none"/>
        </w:rPr>
        <w:t>第三章 评审办法及标准</w:t>
      </w:r>
      <w:bookmarkEnd w:id="5"/>
      <w:bookmarkEnd w:id="6"/>
    </w:p>
    <w:p w14:paraId="60B5F1A6">
      <w:pPr>
        <w:spacing w:line="240" w:lineRule="atLeast"/>
        <w:ind w:firstLine="472" w:firstLineChars="196"/>
        <w:outlineLvl w:val="1"/>
        <w:rPr>
          <w:b/>
          <w:color w:val="auto"/>
          <w:sz w:val="24"/>
          <w:highlight w:val="none"/>
        </w:rPr>
      </w:pPr>
      <w:bookmarkStart w:id="68" w:name="_Toc431750580"/>
      <w:bookmarkStart w:id="69" w:name="_Toc369778597"/>
      <w:bookmarkStart w:id="70" w:name="_Toc427733906"/>
      <w:bookmarkStart w:id="71" w:name="_Toc10374"/>
      <w:bookmarkStart w:id="72" w:name="_Toc187939546"/>
      <w:bookmarkStart w:id="73" w:name="_Toc398281556"/>
      <w:bookmarkStart w:id="74" w:name="_Toc15344"/>
      <w:bookmarkStart w:id="75" w:name="_Toc152247524"/>
      <w:r>
        <w:rPr>
          <w:b/>
          <w:color w:val="auto"/>
          <w:sz w:val="24"/>
          <w:highlight w:val="none"/>
        </w:rPr>
        <w:t>1</w:t>
      </w:r>
      <w:r>
        <w:rPr>
          <w:rFonts w:hint="eastAsia"/>
          <w:b/>
          <w:color w:val="auto"/>
          <w:sz w:val="24"/>
          <w:highlight w:val="none"/>
        </w:rPr>
        <w:t>．通则</w:t>
      </w:r>
      <w:bookmarkEnd w:id="68"/>
      <w:bookmarkEnd w:id="69"/>
      <w:bookmarkEnd w:id="70"/>
      <w:bookmarkEnd w:id="71"/>
      <w:bookmarkEnd w:id="72"/>
      <w:bookmarkEnd w:id="73"/>
      <w:bookmarkEnd w:id="74"/>
      <w:bookmarkEnd w:id="75"/>
    </w:p>
    <w:p w14:paraId="3F044785">
      <w:pPr>
        <w:tabs>
          <w:tab w:val="left" w:pos="630"/>
        </w:tabs>
        <w:adjustRightInd w:val="0"/>
        <w:snapToGrid w:val="0"/>
        <w:spacing w:before="156" w:beforeLines="50" w:after="156" w:afterLines="50" w:line="240" w:lineRule="atLeast"/>
        <w:ind w:firstLine="315" w:firstLineChars="150"/>
        <w:rPr>
          <w:rFonts w:ascii="宋体"/>
          <w:color w:val="auto"/>
          <w:highlight w:val="none"/>
        </w:rPr>
      </w:pPr>
      <w:r>
        <w:rPr>
          <w:rFonts w:hint="eastAsia" w:ascii="宋体" w:hAnsi="宋体"/>
          <w:color w:val="auto"/>
          <w:highlight w:val="none"/>
        </w:rPr>
        <w:t>1.1评审根据本磋商文件第二章“响应文件的磋商与评审”进行。</w:t>
      </w:r>
    </w:p>
    <w:p w14:paraId="22388778">
      <w:pPr>
        <w:tabs>
          <w:tab w:val="left" w:pos="630"/>
        </w:tabs>
        <w:adjustRightInd w:val="0"/>
        <w:snapToGrid w:val="0"/>
        <w:spacing w:before="156" w:beforeLines="50" w:after="156" w:afterLines="50" w:line="240" w:lineRule="atLeast"/>
        <w:ind w:firstLine="315" w:firstLineChars="150"/>
        <w:rPr>
          <w:rFonts w:ascii="宋体"/>
          <w:color w:val="auto"/>
          <w:highlight w:val="none"/>
        </w:rPr>
      </w:pPr>
      <w:r>
        <w:rPr>
          <w:rFonts w:hint="eastAsia" w:ascii="宋体" w:hAnsi="宋体"/>
          <w:color w:val="auto"/>
          <w:highlight w:val="none"/>
        </w:rPr>
        <w:t>1.2评审因素：价格、技术、商务的响应程序以及相应的比重或者权值等，但不包括本项目“磋商文件前附表”第二章第</w:t>
      </w:r>
      <w:r>
        <w:rPr>
          <w:rFonts w:ascii="宋体" w:hAnsi="宋体"/>
          <w:color w:val="auto"/>
          <w:highlight w:val="none"/>
        </w:rPr>
        <w:t>3.1</w:t>
      </w:r>
      <w:r>
        <w:rPr>
          <w:rFonts w:hint="eastAsia" w:ascii="宋体" w:hAnsi="宋体"/>
          <w:color w:val="auto"/>
          <w:highlight w:val="none"/>
        </w:rPr>
        <w:t>项规定的投标人资格条件。</w:t>
      </w:r>
    </w:p>
    <w:p w14:paraId="6DB1CB60">
      <w:pPr>
        <w:tabs>
          <w:tab w:val="left" w:pos="630"/>
        </w:tabs>
        <w:adjustRightInd w:val="0"/>
        <w:snapToGrid w:val="0"/>
        <w:spacing w:before="156" w:beforeLines="50" w:after="156" w:afterLines="50" w:line="240" w:lineRule="atLeast"/>
        <w:ind w:firstLine="315" w:firstLineChars="150"/>
        <w:rPr>
          <w:rFonts w:ascii="宋体"/>
          <w:color w:val="auto"/>
          <w:highlight w:val="none"/>
        </w:rPr>
      </w:pPr>
      <w:r>
        <w:rPr>
          <w:rFonts w:hint="eastAsia" w:ascii="宋体" w:hAnsi="宋体"/>
          <w:color w:val="auto"/>
          <w:highlight w:val="none"/>
        </w:rPr>
        <w:t>1.3权值的取值范围</w:t>
      </w:r>
    </w:p>
    <w:tbl>
      <w:tblPr>
        <w:tblStyle w:val="42"/>
        <w:tblW w:w="80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12"/>
        <w:gridCol w:w="3027"/>
        <w:gridCol w:w="4040"/>
      </w:tblGrid>
      <w:tr w14:paraId="14F335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1012" w:type="dxa"/>
            <w:tcBorders>
              <w:top w:val="double" w:color="auto" w:sz="4" w:space="0"/>
            </w:tcBorders>
            <w:vAlign w:val="center"/>
          </w:tcPr>
          <w:p w14:paraId="58D41856">
            <w:pPr>
              <w:adjustRightInd w:val="0"/>
              <w:snapToGrid w:val="0"/>
              <w:spacing w:line="240" w:lineRule="exact"/>
              <w:jc w:val="center"/>
              <w:rPr>
                <w:rFonts w:ascii="宋体"/>
                <w:b/>
                <w:color w:val="auto"/>
                <w:highlight w:val="none"/>
              </w:rPr>
            </w:pPr>
            <w:bookmarkStart w:id="76" w:name="_Toc219807340"/>
            <w:bookmarkStart w:id="77" w:name="_Toc237242324"/>
            <w:bookmarkStart w:id="78" w:name="_Toc277625816"/>
            <w:r>
              <w:rPr>
                <w:rFonts w:hint="eastAsia" w:ascii="宋体" w:hAnsi="宋体"/>
                <w:b/>
                <w:color w:val="auto"/>
                <w:highlight w:val="none"/>
              </w:rPr>
              <w:t>序号</w:t>
            </w:r>
          </w:p>
        </w:tc>
        <w:tc>
          <w:tcPr>
            <w:tcW w:w="3027" w:type="dxa"/>
            <w:tcBorders>
              <w:top w:val="double" w:color="auto" w:sz="4" w:space="0"/>
            </w:tcBorders>
            <w:vAlign w:val="center"/>
          </w:tcPr>
          <w:p w14:paraId="5BB67BD3">
            <w:pPr>
              <w:adjustRightInd w:val="0"/>
              <w:snapToGrid w:val="0"/>
              <w:spacing w:line="240" w:lineRule="exact"/>
              <w:jc w:val="center"/>
              <w:rPr>
                <w:rFonts w:ascii="宋体"/>
                <w:b/>
                <w:color w:val="auto"/>
                <w:highlight w:val="none"/>
              </w:rPr>
            </w:pPr>
            <w:r>
              <w:rPr>
                <w:rFonts w:hint="eastAsia" w:ascii="宋体" w:hAnsi="宋体"/>
                <w:b/>
                <w:color w:val="auto"/>
                <w:highlight w:val="none"/>
              </w:rPr>
              <w:t>项</w:t>
            </w:r>
            <w:r>
              <w:rPr>
                <w:rFonts w:ascii="宋体" w:hAnsi="宋体"/>
                <w:b/>
                <w:color w:val="auto"/>
                <w:highlight w:val="none"/>
              </w:rPr>
              <w:t xml:space="preserve">     </w:t>
            </w:r>
            <w:r>
              <w:rPr>
                <w:rFonts w:hint="eastAsia" w:ascii="宋体" w:hAnsi="宋体"/>
                <w:b/>
                <w:color w:val="auto"/>
                <w:highlight w:val="none"/>
              </w:rPr>
              <w:t>目</w:t>
            </w:r>
          </w:p>
        </w:tc>
        <w:tc>
          <w:tcPr>
            <w:tcW w:w="4040" w:type="dxa"/>
            <w:tcBorders>
              <w:top w:val="double" w:color="auto" w:sz="4" w:space="0"/>
            </w:tcBorders>
            <w:vAlign w:val="center"/>
          </w:tcPr>
          <w:p w14:paraId="02B92CAA">
            <w:pPr>
              <w:adjustRightInd w:val="0"/>
              <w:snapToGrid w:val="0"/>
              <w:spacing w:line="240" w:lineRule="exact"/>
              <w:jc w:val="center"/>
              <w:rPr>
                <w:rFonts w:ascii="宋体"/>
                <w:b/>
                <w:color w:val="auto"/>
                <w:highlight w:val="none"/>
              </w:rPr>
            </w:pPr>
            <w:r>
              <w:rPr>
                <w:rFonts w:hint="eastAsia" w:ascii="宋体" w:hAnsi="宋体"/>
                <w:b/>
                <w:color w:val="auto"/>
                <w:highlight w:val="none"/>
              </w:rPr>
              <w:t>权值/比重</w:t>
            </w:r>
          </w:p>
        </w:tc>
      </w:tr>
      <w:tr w14:paraId="736B1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1012" w:type="dxa"/>
            <w:vAlign w:val="center"/>
          </w:tcPr>
          <w:p w14:paraId="51591F43">
            <w:pPr>
              <w:adjustRightInd w:val="0"/>
              <w:snapToGrid w:val="0"/>
              <w:spacing w:line="240" w:lineRule="exact"/>
              <w:jc w:val="center"/>
              <w:rPr>
                <w:rFonts w:ascii="宋体"/>
                <w:color w:val="auto"/>
                <w:highlight w:val="none"/>
              </w:rPr>
            </w:pPr>
            <w:r>
              <w:rPr>
                <w:rFonts w:ascii="宋体" w:hAnsi="宋体"/>
                <w:color w:val="auto"/>
                <w:highlight w:val="none"/>
              </w:rPr>
              <w:t>1</w:t>
            </w:r>
          </w:p>
        </w:tc>
        <w:tc>
          <w:tcPr>
            <w:tcW w:w="3027" w:type="dxa"/>
            <w:vAlign w:val="center"/>
          </w:tcPr>
          <w:p w14:paraId="6311260E">
            <w:pPr>
              <w:widowControl/>
              <w:spacing w:line="360" w:lineRule="exact"/>
              <w:jc w:val="center"/>
              <w:textAlignment w:val="baseline"/>
              <w:rPr>
                <w:rFonts w:ascii="宋体"/>
                <w:color w:val="auto"/>
                <w:szCs w:val="21"/>
                <w:highlight w:val="none"/>
              </w:rPr>
            </w:pPr>
            <w:r>
              <w:rPr>
                <w:rFonts w:hint="eastAsia" w:ascii="宋体" w:hAnsi="宋体" w:cs="宋体"/>
                <w:color w:val="auto"/>
                <w:szCs w:val="21"/>
                <w:highlight w:val="none"/>
                <w:lang w:bidi="ar"/>
              </w:rPr>
              <w:t>投标报价</w:t>
            </w:r>
          </w:p>
        </w:tc>
        <w:tc>
          <w:tcPr>
            <w:tcW w:w="4040" w:type="dxa"/>
          </w:tcPr>
          <w:p w14:paraId="23EDC353">
            <w:pPr>
              <w:widowControl/>
              <w:spacing w:line="360" w:lineRule="auto"/>
              <w:jc w:val="center"/>
              <w:textAlignment w:val="baseline"/>
              <w:rPr>
                <w:rFonts w:ascii="宋体"/>
                <w:color w:val="auto"/>
                <w:highlight w:val="none"/>
              </w:rPr>
            </w:pPr>
            <w:r>
              <w:rPr>
                <w:rFonts w:hint="eastAsia" w:ascii="宋体" w:hAnsi="宋体" w:cs="宋体"/>
                <w:color w:val="auto"/>
                <w:szCs w:val="21"/>
                <w:highlight w:val="none"/>
                <w:lang w:val="en-US" w:eastAsia="zh-CN" w:bidi="ar"/>
              </w:rPr>
              <w:t>0.3</w:t>
            </w:r>
            <w:r>
              <w:rPr>
                <w:rFonts w:hint="eastAsia" w:ascii="宋体" w:hAnsi="宋体" w:cs="宋体"/>
                <w:color w:val="auto"/>
                <w:szCs w:val="21"/>
                <w:highlight w:val="none"/>
                <w:lang w:bidi="ar"/>
              </w:rPr>
              <w:t>分</w:t>
            </w:r>
          </w:p>
        </w:tc>
      </w:tr>
      <w:tr w14:paraId="034D43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1012" w:type="dxa"/>
            <w:vAlign w:val="center"/>
          </w:tcPr>
          <w:p w14:paraId="6D903C74">
            <w:pPr>
              <w:adjustRightInd w:val="0"/>
              <w:snapToGrid w:val="0"/>
              <w:spacing w:line="240" w:lineRule="exact"/>
              <w:jc w:val="center"/>
              <w:rPr>
                <w:rFonts w:ascii="宋体"/>
                <w:color w:val="auto"/>
                <w:highlight w:val="none"/>
              </w:rPr>
            </w:pPr>
            <w:r>
              <w:rPr>
                <w:rFonts w:ascii="宋体" w:hAnsi="宋体"/>
                <w:color w:val="auto"/>
                <w:highlight w:val="none"/>
              </w:rPr>
              <w:t>2</w:t>
            </w:r>
          </w:p>
        </w:tc>
        <w:tc>
          <w:tcPr>
            <w:tcW w:w="3027" w:type="dxa"/>
            <w:vAlign w:val="center"/>
          </w:tcPr>
          <w:p w14:paraId="516C2ECB">
            <w:pPr>
              <w:widowControl/>
              <w:spacing w:line="360" w:lineRule="exact"/>
              <w:jc w:val="center"/>
              <w:textAlignment w:val="baseline"/>
              <w:rPr>
                <w:rFonts w:ascii="宋体"/>
                <w:color w:val="auto"/>
                <w:szCs w:val="21"/>
                <w:highlight w:val="none"/>
              </w:rPr>
            </w:pPr>
            <w:r>
              <w:rPr>
                <w:rFonts w:hint="eastAsia" w:ascii="宋体" w:hAnsi="宋体" w:cs="宋体"/>
                <w:color w:val="auto"/>
                <w:szCs w:val="21"/>
                <w:highlight w:val="none"/>
                <w:lang w:bidi="ar"/>
              </w:rPr>
              <w:t>商务部分</w:t>
            </w:r>
          </w:p>
        </w:tc>
        <w:tc>
          <w:tcPr>
            <w:tcW w:w="4040" w:type="dxa"/>
          </w:tcPr>
          <w:p w14:paraId="3E4BF6F1">
            <w:pPr>
              <w:widowControl/>
              <w:spacing w:line="360" w:lineRule="auto"/>
              <w:jc w:val="center"/>
              <w:textAlignment w:val="baseline"/>
              <w:rPr>
                <w:rFonts w:ascii="宋体"/>
                <w:color w:val="auto"/>
                <w:highlight w:val="none"/>
              </w:rPr>
            </w:pPr>
            <w:r>
              <w:rPr>
                <w:rFonts w:hint="eastAsia" w:ascii="宋体" w:hAnsi="宋体" w:cs="宋体"/>
                <w:color w:val="auto"/>
                <w:szCs w:val="21"/>
                <w:highlight w:val="none"/>
                <w:lang w:val="en-US" w:eastAsia="zh-CN" w:bidi="ar"/>
              </w:rPr>
              <w:t>0.2</w:t>
            </w:r>
            <w:r>
              <w:rPr>
                <w:rFonts w:hint="eastAsia" w:ascii="宋体" w:hAnsi="宋体" w:cs="宋体"/>
                <w:color w:val="auto"/>
                <w:szCs w:val="21"/>
                <w:highlight w:val="none"/>
                <w:lang w:bidi="ar"/>
              </w:rPr>
              <w:t>分</w:t>
            </w:r>
          </w:p>
        </w:tc>
      </w:tr>
      <w:tr w14:paraId="67184A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1012" w:type="dxa"/>
            <w:vAlign w:val="center"/>
          </w:tcPr>
          <w:p w14:paraId="46172E6D">
            <w:pPr>
              <w:adjustRightInd w:val="0"/>
              <w:snapToGrid w:val="0"/>
              <w:spacing w:line="240" w:lineRule="exact"/>
              <w:jc w:val="center"/>
              <w:rPr>
                <w:rFonts w:ascii="宋体"/>
                <w:color w:val="auto"/>
                <w:highlight w:val="none"/>
              </w:rPr>
            </w:pPr>
            <w:r>
              <w:rPr>
                <w:rFonts w:ascii="宋体" w:hAnsi="宋体"/>
                <w:color w:val="auto"/>
                <w:highlight w:val="none"/>
              </w:rPr>
              <w:t>3</w:t>
            </w:r>
          </w:p>
        </w:tc>
        <w:tc>
          <w:tcPr>
            <w:tcW w:w="3027" w:type="dxa"/>
            <w:vAlign w:val="center"/>
          </w:tcPr>
          <w:p w14:paraId="025CE8F7">
            <w:pPr>
              <w:widowControl/>
              <w:spacing w:line="360" w:lineRule="exact"/>
              <w:jc w:val="center"/>
              <w:textAlignment w:val="baseline"/>
              <w:rPr>
                <w:rFonts w:ascii="宋体"/>
                <w:color w:val="auto"/>
                <w:szCs w:val="21"/>
                <w:highlight w:val="none"/>
              </w:rPr>
            </w:pPr>
            <w:r>
              <w:rPr>
                <w:rFonts w:hint="eastAsia" w:ascii="宋体" w:hAnsi="宋体" w:cs="宋体"/>
                <w:color w:val="auto"/>
                <w:szCs w:val="21"/>
                <w:highlight w:val="none"/>
                <w:lang w:bidi="ar"/>
              </w:rPr>
              <w:t>技术部分</w:t>
            </w:r>
          </w:p>
        </w:tc>
        <w:tc>
          <w:tcPr>
            <w:tcW w:w="4040" w:type="dxa"/>
          </w:tcPr>
          <w:p w14:paraId="4161FC49">
            <w:pPr>
              <w:widowControl/>
              <w:spacing w:line="360" w:lineRule="auto"/>
              <w:jc w:val="center"/>
              <w:textAlignment w:val="baseline"/>
              <w:rPr>
                <w:rFonts w:ascii="宋体"/>
                <w:color w:val="auto"/>
                <w:szCs w:val="21"/>
                <w:highlight w:val="none"/>
              </w:rPr>
            </w:pPr>
            <w:r>
              <w:rPr>
                <w:rFonts w:hint="eastAsia" w:ascii="宋体" w:hAnsi="宋体" w:cs="宋体"/>
                <w:color w:val="auto"/>
                <w:szCs w:val="21"/>
                <w:highlight w:val="none"/>
                <w:lang w:val="en-US" w:eastAsia="zh-CN" w:bidi="ar"/>
              </w:rPr>
              <w:t>0.5</w:t>
            </w:r>
            <w:r>
              <w:rPr>
                <w:rFonts w:hint="eastAsia" w:ascii="宋体" w:hAnsi="宋体" w:cs="宋体"/>
                <w:color w:val="auto"/>
                <w:szCs w:val="21"/>
                <w:highlight w:val="none"/>
                <w:lang w:bidi="ar"/>
              </w:rPr>
              <w:t>分</w:t>
            </w:r>
          </w:p>
        </w:tc>
      </w:tr>
      <w:tr w14:paraId="241429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7" w:hRule="atLeast"/>
          <w:jc w:val="center"/>
        </w:trPr>
        <w:tc>
          <w:tcPr>
            <w:tcW w:w="4039" w:type="dxa"/>
            <w:gridSpan w:val="2"/>
            <w:tcBorders>
              <w:bottom w:val="double" w:color="auto" w:sz="4" w:space="0"/>
            </w:tcBorders>
            <w:vAlign w:val="center"/>
          </w:tcPr>
          <w:p w14:paraId="2A0103C2">
            <w:pPr>
              <w:adjustRightInd w:val="0"/>
              <w:snapToGrid w:val="0"/>
              <w:spacing w:line="240" w:lineRule="exact"/>
              <w:jc w:val="center"/>
              <w:rPr>
                <w:rFonts w:hint="eastAsia" w:ascii="宋体" w:eastAsia="宋体"/>
                <w:color w:val="auto"/>
                <w:highlight w:val="none"/>
                <w:lang w:val="en-US" w:eastAsia="zh-CN"/>
              </w:rPr>
            </w:pPr>
            <w:r>
              <w:rPr>
                <w:rFonts w:hint="eastAsia" w:ascii="宋体" w:hAnsi="宋体"/>
                <w:color w:val="auto"/>
                <w:highlight w:val="none"/>
              </w:rPr>
              <w:t>∑（</w:t>
            </w:r>
            <w:r>
              <w:rPr>
                <w:rFonts w:ascii="宋体" w:hAnsi="宋体"/>
                <w:color w:val="auto"/>
                <w:highlight w:val="none"/>
              </w:rPr>
              <w:t>1+2+3</w:t>
            </w:r>
            <w:r>
              <w:rPr>
                <w:rFonts w:hint="eastAsia" w:ascii="宋体" w:hAnsi="宋体"/>
                <w:color w:val="auto"/>
                <w:highlight w:val="none"/>
              </w:rPr>
              <w:t>）</w:t>
            </w:r>
            <w:r>
              <w:rPr>
                <w:rFonts w:ascii="宋体" w:hAnsi="宋体"/>
                <w:color w:val="auto"/>
                <w:highlight w:val="none"/>
              </w:rPr>
              <w:t>=</w:t>
            </w:r>
            <w:r>
              <w:rPr>
                <w:rFonts w:hint="eastAsia" w:ascii="宋体" w:hAnsi="宋体"/>
                <w:color w:val="auto"/>
                <w:highlight w:val="none"/>
                <w:lang w:val="en-US" w:eastAsia="zh-CN"/>
              </w:rPr>
              <w:t>1</w:t>
            </w:r>
          </w:p>
        </w:tc>
        <w:tc>
          <w:tcPr>
            <w:tcW w:w="4040" w:type="dxa"/>
            <w:tcBorders>
              <w:bottom w:val="double" w:color="auto" w:sz="4" w:space="0"/>
            </w:tcBorders>
            <w:vAlign w:val="center"/>
          </w:tcPr>
          <w:p w14:paraId="03F9E007">
            <w:pPr>
              <w:adjustRightInd w:val="0"/>
              <w:snapToGrid w:val="0"/>
              <w:spacing w:line="240" w:lineRule="exact"/>
              <w:jc w:val="center"/>
              <w:rPr>
                <w:rFonts w:ascii="宋体"/>
                <w:color w:val="auto"/>
                <w:highlight w:val="none"/>
              </w:rPr>
            </w:pPr>
            <w:r>
              <w:rPr>
                <w:rFonts w:hint="eastAsia" w:ascii="宋体" w:hAnsi="宋体"/>
                <w:color w:val="auto"/>
                <w:highlight w:val="none"/>
              </w:rPr>
              <w:t>1</w:t>
            </w:r>
          </w:p>
        </w:tc>
      </w:tr>
    </w:tbl>
    <w:p w14:paraId="347621F8">
      <w:pPr>
        <w:ind w:firstLine="472" w:firstLineChars="196"/>
        <w:rPr>
          <w:b/>
          <w:color w:val="auto"/>
          <w:sz w:val="24"/>
          <w:highlight w:val="none"/>
        </w:rPr>
      </w:pPr>
      <w:r>
        <w:rPr>
          <w:b/>
          <w:color w:val="auto"/>
          <w:sz w:val="24"/>
          <w:highlight w:val="none"/>
        </w:rPr>
        <w:tab/>
      </w:r>
      <w:bookmarkEnd w:id="76"/>
      <w:bookmarkEnd w:id="77"/>
      <w:bookmarkEnd w:id="78"/>
      <w:bookmarkStart w:id="79" w:name="_Toc431750581"/>
      <w:bookmarkStart w:id="80" w:name="_Toc324196836"/>
      <w:bookmarkStart w:id="81" w:name="_Toc427733907"/>
      <w:bookmarkStart w:id="82" w:name="_Toc369778598"/>
      <w:bookmarkStart w:id="83" w:name="_Toc398281557"/>
    </w:p>
    <w:p w14:paraId="330204AE">
      <w:pPr>
        <w:spacing w:line="240" w:lineRule="exact"/>
        <w:ind w:firstLine="472" w:firstLineChars="196"/>
        <w:outlineLvl w:val="1"/>
        <w:rPr>
          <w:rFonts w:ascii="宋体"/>
          <w:b/>
          <w:color w:val="auto"/>
          <w:sz w:val="24"/>
          <w:highlight w:val="none"/>
        </w:rPr>
      </w:pPr>
      <w:bookmarkStart w:id="84" w:name="_Toc913"/>
      <w:bookmarkStart w:id="85" w:name="_Toc152247525"/>
      <w:bookmarkStart w:id="86" w:name="_Toc26806"/>
      <w:bookmarkStart w:id="87" w:name="_Toc187939547"/>
      <w:r>
        <w:rPr>
          <w:rFonts w:ascii="宋体" w:hAnsi="宋体"/>
          <w:b/>
          <w:color w:val="auto"/>
          <w:sz w:val="24"/>
          <w:highlight w:val="none"/>
        </w:rPr>
        <w:t>2</w:t>
      </w:r>
      <w:r>
        <w:rPr>
          <w:rFonts w:hint="eastAsia" w:ascii="宋体" w:hAnsi="宋体"/>
          <w:b/>
          <w:color w:val="auto"/>
          <w:sz w:val="24"/>
          <w:highlight w:val="none"/>
        </w:rPr>
        <w:t>．磋商程序</w:t>
      </w:r>
      <w:bookmarkEnd w:id="79"/>
      <w:bookmarkEnd w:id="80"/>
      <w:bookmarkEnd w:id="81"/>
      <w:bookmarkEnd w:id="82"/>
      <w:bookmarkEnd w:id="83"/>
      <w:bookmarkEnd w:id="84"/>
      <w:bookmarkEnd w:id="85"/>
      <w:bookmarkEnd w:id="86"/>
      <w:bookmarkEnd w:id="87"/>
    </w:p>
    <w:p w14:paraId="6F7A5C07">
      <w:pPr>
        <w:adjustRightInd w:val="0"/>
        <w:snapToGrid w:val="0"/>
        <w:spacing w:before="156" w:beforeLines="50" w:line="240" w:lineRule="exact"/>
        <w:ind w:right="-109" w:rightChars="-52" w:firstLine="420" w:firstLineChars="200"/>
        <w:rPr>
          <w:rFonts w:ascii="宋体"/>
          <w:bCs/>
          <w:color w:val="auto"/>
          <w:kern w:val="0"/>
          <w:highlight w:val="none"/>
        </w:rPr>
      </w:pPr>
      <w:r>
        <w:rPr>
          <w:rFonts w:hint="eastAsia" w:ascii="宋体" w:hAnsi="宋体"/>
          <w:color w:val="auto"/>
          <w:kern w:val="0"/>
          <w:highlight w:val="none"/>
        </w:rPr>
        <w:t>磋商程序：响应文件审查、磋商（包括澄清）、响应文件评审、</w:t>
      </w:r>
      <w:r>
        <w:rPr>
          <w:rFonts w:hint="eastAsia" w:ascii="宋体" w:hAnsi="宋体"/>
          <w:bCs/>
          <w:color w:val="auto"/>
          <w:kern w:val="0"/>
          <w:highlight w:val="none"/>
        </w:rPr>
        <w:t>推荐候选</w:t>
      </w:r>
      <w:r>
        <w:rPr>
          <w:rFonts w:hint="eastAsia" w:ascii="宋体" w:hAnsi="宋体" w:cs="宋体"/>
          <w:bCs/>
          <w:color w:val="auto"/>
          <w:kern w:val="0"/>
          <w:highlight w:val="none"/>
        </w:rPr>
        <w:t>投标人</w:t>
      </w:r>
      <w:r>
        <w:rPr>
          <w:rFonts w:hint="eastAsia" w:ascii="宋体" w:hAnsi="宋体"/>
          <w:bCs/>
          <w:color w:val="auto"/>
          <w:kern w:val="0"/>
          <w:highlight w:val="none"/>
        </w:rPr>
        <w:t>排序。其中，</w:t>
      </w:r>
      <w:r>
        <w:rPr>
          <w:rFonts w:hint="eastAsia" w:ascii="宋体" w:hAnsi="宋体"/>
          <w:color w:val="auto"/>
          <w:kern w:val="0"/>
          <w:highlight w:val="none"/>
        </w:rPr>
        <w:t>磋商按第二章第</w:t>
      </w:r>
      <w:r>
        <w:rPr>
          <w:rFonts w:ascii="宋体" w:hAnsi="宋体"/>
          <w:color w:val="auto"/>
          <w:kern w:val="0"/>
          <w:highlight w:val="none"/>
        </w:rPr>
        <w:t>31</w:t>
      </w:r>
      <w:r>
        <w:rPr>
          <w:rFonts w:hint="eastAsia" w:ascii="宋体" w:hAnsi="宋体"/>
          <w:color w:val="auto"/>
          <w:kern w:val="0"/>
          <w:highlight w:val="none"/>
        </w:rPr>
        <w:t>款情形</w:t>
      </w:r>
      <w:r>
        <w:rPr>
          <w:rFonts w:hint="eastAsia" w:ascii="宋体" w:hAnsi="宋体"/>
          <w:bCs/>
          <w:color w:val="auto"/>
          <w:kern w:val="0"/>
          <w:highlight w:val="none"/>
        </w:rPr>
        <w:t>进行。</w:t>
      </w:r>
      <w:bookmarkStart w:id="88" w:name="_Toc324196837"/>
    </w:p>
    <w:bookmarkEnd w:id="88"/>
    <w:p w14:paraId="44296A0F">
      <w:pPr>
        <w:adjustRightInd w:val="0"/>
        <w:snapToGrid w:val="0"/>
        <w:spacing w:before="156" w:beforeLines="50" w:after="156" w:afterLines="50" w:line="240" w:lineRule="exact"/>
        <w:ind w:right="-109" w:rightChars="-52" w:firstLine="422" w:firstLineChars="200"/>
        <w:rPr>
          <w:rFonts w:ascii="宋体"/>
          <w:b/>
          <w:color w:val="auto"/>
          <w:kern w:val="0"/>
          <w:highlight w:val="none"/>
        </w:rPr>
      </w:pPr>
      <w:r>
        <w:rPr>
          <w:rFonts w:ascii="宋体" w:hAnsi="宋体"/>
          <w:b/>
          <w:color w:val="auto"/>
          <w:highlight w:val="none"/>
        </w:rPr>
        <w:t>2.1</w:t>
      </w:r>
      <w:r>
        <w:rPr>
          <w:rFonts w:hint="eastAsia" w:ascii="宋体" w:hAnsi="宋体"/>
          <w:b/>
          <w:color w:val="auto"/>
          <w:kern w:val="0"/>
          <w:highlight w:val="none"/>
        </w:rPr>
        <w:t>响应文件审查</w:t>
      </w:r>
    </w:p>
    <w:p w14:paraId="03D6A27C">
      <w:pPr>
        <w:numPr>
          <w:ilvl w:val="0"/>
          <w:numId w:val="3"/>
        </w:numPr>
        <w:adjustRightInd w:val="0"/>
        <w:snapToGrid w:val="0"/>
        <w:spacing w:before="156" w:beforeLines="50" w:after="156" w:afterLines="50" w:line="240" w:lineRule="exact"/>
        <w:ind w:right="-109" w:rightChars="-52"/>
        <w:rPr>
          <w:rFonts w:ascii="宋体"/>
          <w:color w:val="auto"/>
          <w:highlight w:val="none"/>
        </w:rPr>
      </w:pPr>
      <w:r>
        <w:rPr>
          <w:rFonts w:hint="eastAsia" w:ascii="宋体" w:hAnsi="宋体"/>
          <w:color w:val="auto"/>
          <w:highlight w:val="none"/>
        </w:rPr>
        <w:t>资格检查</w:t>
      </w:r>
    </w:p>
    <w:p w14:paraId="5C242B23">
      <w:pPr>
        <w:adjustRightInd w:val="0"/>
        <w:snapToGrid w:val="0"/>
        <w:spacing w:before="156" w:beforeLines="50" w:line="240" w:lineRule="exact"/>
        <w:ind w:left="397" w:right="-109" w:rightChars="-52"/>
        <w:rPr>
          <w:rFonts w:ascii="宋体"/>
          <w:color w:val="auto"/>
          <w:kern w:val="0"/>
          <w:highlight w:val="none"/>
        </w:rPr>
      </w:pPr>
      <w:r>
        <w:rPr>
          <w:rFonts w:hint="eastAsia" w:ascii="宋体" w:hAnsi="宋体"/>
          <w:color w:val="auto"/>
          <w:kern w:val="0"/>
          <w:highlight w:val="none"/>
        </w:rPr>
        <w:t>投标人应满足第二章第</w:t>
      </w:r>
      <w:r>
        <w:rPr>
          <w:rFonts w:ascii="宋体" w:hAnsi="宋体"/>
          <w:color w:val="auto"/>
          <w:kern w:val="0"/>
          <w:highlight w:val="none"/>
        </w:rPr>
        <w:t>3.1</w:t>
      </w:r>
      <w:r>
        <w:rPr>
          <w:rFonts w:hint="eastAsia" w:ascii="宋体" w:hAnsi="宋体"/>
          <w:color w:val="auto"/>
          <w:kern w:val="0"/>
          <w:highlight w:val="none"/>
        </w:rPr>
        <w:t>款规定的资格条件，并提供以下证件及材料复印件，同时在磋商响应文件内提供相应的复印件进行资格检查。</w:t>
      </w:r>
    </w:p>
    <w:p w14:paraId="7297D17A">
      <w:pPr>
        <w:widowControl/>
        <w:spacing w:line="495" w:lineRule="atLeast"/>
        <w:ind w:firstLine="103" w:firstLineChars="49"/>
        <w:jc w:val="center"/>
        <w:rPr>
          <w:rFonts w:ascii="宋体"/>
          <w:b/>
          <w:color w:val="auto"/>
          <w:highlight w:val="none"/>
        </w:rPr>
      </w:pPr>
      <w:r>
        <w:rPr>
          <w:rFonts w:hint="eastAsia" w:ascii="宋体" w:hAnsi="宋体"/>
          <w:b/>
          <w:color w:val="auto"/>
          <w:highlight w:val="none"/>
        </w:rPr>
        <w:t>附</w:t>
      </w:r>
      <w:r>
        <w:rPr>
          <w:rFonts w:ascii="宋体" w:hAnsi="宋体"/>
          <w:b/>
          <w:color w:val="auto"/>
          <w:highlight w:val="none"/>
        </w:rPr>
        <w:t xml:space="preserve">1  </w:t>
      </w:r>
      <w:r>
        <w:rPr>
          <w:rFonts w:hint="eastAsia" w:ascii="宋体" w:hAnsi="宋体"/>
          <w:b/>
          <w:color w:val="auto"/>
          <w:highlight w:val="none"/>
        </w:rPr>
        <w:t>资格性检查表（投标文件中须有的内容）</w:t>
      </w:r>
    </w:p>
    <w:tbl>
      <w:tblPr>
        <w:tblStyle w:val="42"/>
        <w:tblW w:w="895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77"/>
        <w:gridCol w:w="4542"/>
      </w:tblGrid>
      <w:tr w14:paraId="372E6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9" w:hRule="atLeast"/>
        </w:trPr>
        <w:tc>
          <w:tcPr>
            <w:tcW w:w="640" w:type="dxa"/>
            <w:tcBorders>
              <w:top w:val="double" w:color="auto" w:sz="4" w:space="0"/>
            </w:tcBorders>
            <w:vAlign w:val="center"/>
          </w:tcPr>
          <w:p w14:paraId="454C2783">
            <w:pPr>
              <w:adjustRightInd w:val="0"/>
              <w:snapToGrid w:val="0"/>
              <w:spacing w:before="156" w:beforeLines="50" w:line="350" w:lineRule="exact"/>
              <w:jc w:val="center"/>
              <w:rPr>
                <w:rFonts w:ascii="宋体" w:cs="宋体"/>
                <w:b/>
                <w:color w:val="auto"/>
                <w:kern w:val="0"/>
                <w:szCs w:val="21"/>
                <w:highlight w:val="none"/>
              </w:rPr>
            </w:pPr>
            <w:r>
              <w:rPr>
                <w:rFonts w:hint="eastAsia" w:ascii="宋体" w:hAnsi="宋体" w:cs="宋体"/>
                <w:b/>
                <w:color w:val="auto"/>
                <w:kern w:val="0"/>
                <w:szCs w:val="21"/>
                <w:highlight w:val="none"/>
              </w:rPr>
              <w:t>序号</w:t>
            </w:r>
          </w:p>
        </w:tc>
        <w:tc>
          <w:tcPr>
            <w:tcW w:w="3777" w:type="dxa"/>
            <w:tcBorders>
              <w:top w:val="double" w:color="auto" w:sz="4" w:space="0"/>
            </w:tcBorders>
            <w:vAlign w:val="center"/>
          </w:tcPr>
          <w:p w14:paraId="15949F8A">
            <w:pPr>
              <w:adjustRightInd w:val="0"/>
              <w:snapToGrid w:val="0"/>
              <w:spacing w:before="156" w:beforeLines="50" w:line="350" w:lineRule="exact"/>
              <w:jc w:val="center"/>
              <w:rPr>
                <w:rFonts w:ascii="宋体" w:cs="宋体"/>
                <w:b/>
                <w:color w:val="auto"/>
                <w:kern w:val="0"/>
                <w:szCs w:val="21"/>
                <w:highlight w:val="none"/>
              </w:rPr>
            </w:pPr>
            <w:r>
              <w:rPr>
                <w:rFonts w:hint="eastAsia" w:ascii="宋体" w:hAnsi="宋体" w:cs="宋体"/>
                <w:b/>
                <w:color w:val="auto"/>
                <w:kern w:val="0"/>
                <w:szCs w:val="21"/>
                <w:highlight w:val="none"/>
              </w:rPr>
              <w:t>审查项目</w:t>
            </w:r>
          </w:p>
        </w:tc>
        <w:tc>
          <w:tcPr>
            <w:tcW w:w="4542" w:type="dxa"/>
            <w:tcBorders>
              <w:top w:val="double" w:color="auto" w:sz="4" w:space="0"/>
            </w:tcBorders>
            <w:vAlign w:val="center"/>
          </w:tcPr>
          <w:p w14:paraId="01B92789">
            <w:pPr>
              <w:adjustRightInd w:val="0"/>
              <w:snapToGrid w:val="0"/>
              <w:spacing w:before="156" w:beforeLines="50" w:line="350" w:lineRule="exact"/>
              <w:jc w:val="center"/>
              <w:rPr>
                <w:rFonts w:ascii="宋体" w:cs="宋体"/>
                <w:b/>
                <w:color w:val="auto"/>
                <w:kern w:val="0"/>
                <w:szCs w:val="21"/>
                <w:highlight w:val="none"/>
              </w:rPr>
            </w:pPr>
            <w:r>
              <w:rPr>
                <w:rFonts w:hint="eastAsia" w:ascii="宋体" w:hAnsi="宋体" w:cs="宋体"/>
                <w:b/>
                <w:color w:val="auto"/>
                <w:kern w:val="0"/>
                <w:szCs w:val="21"/>
                <w:highlight w:val="none"/>
              </w:rPr>
              <w:t>审查标准</w:t>
            </w:r>
          </w:p>
        </w:tc>
      </w:tr>
      <w:tr w14:paraId="009C27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7" w:hRule="atLeast"/>
        </w:trPr>
        <w:tc>
          <w:tcPr>
            <w:tcW w:w="640" w:type="dxa"/>
            <w:vAlign w:val="center"/>
          </w:tcPr>
          <w:p w14:paraId="0957991A">
            <w:pPr>
              <w:adjustRightInd w:val="0"/>
              <w:snapToGrid w:val="0"/>
              <w:spacing w:before="156" w:beforeLines="50" w:line="35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1</w:t>
            </w:r>
          </w:p>
        </w:tc>
        <w:tc>
          <w:tcPr>
            <w:tcW w:w="3777" w:type="dxa"/>
            <w:vAlign w:val="center"/>
          </w:tcPr>
          <w:p w14:paraId="00992190">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具有独立承担民事责任的能力</w:t>
            </w:r>
          </w:p>
        </w:tc>
        <w:tc>
          <w:tcPr>
            <w:tcW w:w="4542" w:type="dxa"/>
            <w:vAlign w:val="center"/>
          </w:tcPr>
          <w:p w14:paraId="0DA93DC0">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（1）投标人为法人的，应提交营业执照或法人登记证书的复印件；</w:t>
            </w:r>
          </w:p>
          <w:p w14:paraId="30B29737">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（2）投标人为非法人组织的，应提交依法登记证书复印件；</w:t>
            </w:r>
          </w:p>
          <w:p w14:paraId="4E5FDB41">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（3）投标人为个体工商户的，应提交个体工商户营业执照复印件；</w:t>
            </w:r>
          </w:p>
          <w:p w14:paraId="4E6B2CA2">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（4）投标人为自然人的，应提交自然人的身份证明复印件。</w:t>
            </w:r>
          </w:p>
        </w:tc>
      </w:tr>
      <w:tr w14:paraId="110107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8" w:hRule="atLeast"/>
        </w:trPr>
        <w:tc>
          <w:tcPr>
            <w:tcW w:w="640" w:type="dxa"/>
            <w:vAlign w:val="center"/>
          </w:tcPr>
          <w:p w14:paraId="01951200">
            <w:pPr>
              <w:adjustRightInd w:val="0"/>
              <w:snapToGrid w:val="0"/>
              <w:spacing w:before="156" w:beforeLines="50" w:line="35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2</w:t>
            </w:r>
          </w:p>
        </w:tc>
        <w:tc>
          <w:tcPr>
            <w:tcW w:w="3777" w:type="dxa"/>
          </w:tcPr>
          <w:p w14:paraId="4EE03FA6">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cs="宋体"/>
                <w:color w:val="auto"/>
                <w:szCs w:val="21"/>
                <w:highlight w:val="none"/>
              </w:rPr>
              <w:t>具有良好的商业信誉和健全的财务会计制度</w:t>
            </w:r>
          </w:p>
        </w:tc>
        <w:tc>
          <w:tcPr>
            <w:tcW w:w="4542" w:type="dxa"/>
            <w:vAlign w:val="center"/>
          </w:tcPr>
          <w:p w14:paraId="0BF6AABF">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cs="宋体"/>
                <w:color w:val="auto"/>
                <w:kern w:val="0"/>
                <w:szCs w:val="21"/>
                <w:highlight w:val="none"/>
              </w:rPr>
              <w:t>提供了《湖南省政府采购供应商资格承诺函》，签署、盖章符合要求</w:t>
            </w:r>
          </w:p>
        </w:tc>
      </w:tr>
      <w:tr w14:paraId="252A1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8" w:hRule="atLeast"/>
        </w:trPr>
        <w:tc>
          <w:tcPr>
            <w:tcW w:w="640" w:type="dxa"/>
            <w:vAlign w:val="center"/>
          </w:tcPr>
          <w:p w14:paraId="6F904AB7">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3777" w:type="dxa"/>
          </w:tcPr>
          <w:p w14:paraId="0D8F4AA4">
            <w:pPr>
              <w:adjustRightInd w:val="0"/>
              <w:snapToGrid w:val="0"/>
              <w:spacing w:before="156" w:beforeLines="50" w:line="350" w:lineRule="exact"/>
              <w:jc w:val="left"/>
              <w:rPr>
                <w:rFonts w:hint="eastAsia" w:ascii="宋体" w:hAnsi="宋体" w:cs="宋体"/>
                <w:color w:val="auto"/>
                <w:szCs w:val="21"/>
                <w:highlight w:val="none"/>
              </w:rPr>
            </w:pPr>
            <w:r>
              <w:rPr>
                <w:rFonts w:hint="eastAsia" w:ascii="宋体" w:hAnsi="宋体" w:cs="宋体"/>
                <w:color w:val="auto"/>
                <w:szCs w:val="21"/>
                <w:highlight w:val="none"/>
              </w:rPr>
              <w:t>具有履行合同所必需的设备和专业技术能力</w:t>
            </w:r>
          </w:p>
        </w:tc>
        <w:tc>
          <w:tcPr>
            <w:tcW w:w="4542" w:type="dxa"/>
            <w:vAlign w:val="center"/>
          </w:tcPr>
          <w:p w14:paraId="4D2F284E">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提供了“供应商资格声明”，签署、盖章符合要求</w:t>
            </w:r>
          </w:p>
        </w:tc>
      </w:tr>
      <w:tr w14:paraId="15B0A1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4" w:hRule="atLeast"/>
        </w:trPr>
        <w:tc>
          <w:tcPr>
            <w:tcW w:w="640" w:type="dxa"/>
            <w:vAlign w:val="center"/>
          </w:tcPr>
          <w:p w14:paraId="59DCFBF5">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3777" w:type="dxa"/>
          </w:tcPr>
          <w:p w14:paraId="0DBAD6D9">
            <w:pPr>
              <w:adjustRightInd w:val="0"/>
              <w:snapToGrid w:val="0"/>
              <w:spacing w:before="156" w:beforeLines="50" w:line="350" w:lineRule="exact"/>
              <w:jc w:val="left"/>
              <w:rPr>
                <w:rFonts w:hint="eastAsia" w:ascii="宋体" w:hAnsi="宋体"/>
                <w:color w:val="auto"/>
                <w:szCs w:val="21"/>
                <w:highlight w:val="none"/>
              </w:rPr>
            </w:pPr>
            <w:r>
              <w:rPr>
                <w:rFonts w:hint="eastAsia" w:ascii="宋体" w:hAnsi="宋体" w:cs="宋体"/>
                <w:color w:val="auto"/>
                <w:szCs w:val="21"/>
                <w:highlight w:val="none"/>
              </w:rPr>
              <w:t>有依法缴纳税收和社会保障资金的良好记录</w:t>
            </w:r>
          </w:p>
        </w:tc>
        <w:tc>
          <w:tcPr>
            <w:tcW w:w="4542" w:type="dxa"/>
            <w:vAlign w:val="center"/>
          </w:tcPr>
          <w:p w14:paraId="53D10B70">
            <w:pPr>
              <w:adjustRightInd w:val="0"/>
              <w:snapToGrid w:val="0"/>
              <w:spacing w:before="156" w:beforeLines="50" w:line="35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提供了《湖南省政府采购供应商资格承诺函》，签署、盖章符合要求</w:t>
            </w:r>
          </w:p>
        </w:tc>
      </w:tr>
      <w:tr w14:paraId="2409B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8" w:hRule="atLeast"/>
        </w:trPr>
        <w:tc>
          <w:tcPr>
            <w:tcW w:w="640" w:type="dxa"/>
            <w:vAlign w:val="center"/>
          </w:tcPr>
          <w:p w14:paraId="343FE912">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3777" w:type="dxa"/>
          </w:tcPr>
          <w:p w14:paraId="12DD1C54">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color w:val="auto"/>
                <w:szCs w:val="21"/>
                <w:highlight w:val="none"/>
              </w:rPr>
              <w:t>参加政府采购活动前三年内，在经营活动中没有重大违法记录</w:t>
            </w:r>
          </w:p>
        </w:tc>
        <w:tc>
          <w:tcPr>
            <w:tcW w:w="4542" w:type="dxa"/>
            <w:vAlign w:val="center"/>
          </w:tcPr>
          <w:p w14:paraId="47946C40">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cs="宋体"/>
                <w:color w:val="auto"/>
                <w:kern w:val="0"/>
                <w:szCs w:val="21"/>
                <w:highlight w:val="none"/>
              </w:rPr>
              <w:t>提供了《湖南省政府采购供应商资格承诺函》，签署、盖章符合要求</w:t>
            </w:r>
          </w:p>
        </w:tc>
      </w:tr>
      <w:tr w14:paraId="1529B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0" w:hRule="atLeast"/>
        </w:trPr>
        <w:tc>
          <w:tcPr>
            <w:tcW w:w="640" w:type="dxa"/>
            <w:vAlign w:val="center"/>
          </w:tcPr>
          <w:p w14:paraId="2341F185">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3777" w:type="dxa"/>
          </w:tcPr>
          <w:p w14:paraId="33DB3F34">
            <w:pPr>
              <w:adjustRightInd w:val="0"/>
              <w:snapToGrid w:val="0"/>
              <w:spacing w:before="156" w:beforeLines="50" w:line="350" w:lineRule="exact"/>
              <w:jc w:val="left"/>
              <w:rPr>
                <w:rFonts w:ascii="宋体"/>
                <w:color w:val="auto"/>
                <w:szCs w:val="21"/>
                <w:highlight w:val="none"/>
              </w:rPr>
            </w:pPr>
            <w:r>
              <w:rPr>
                <w:rFonts w:hint="eastAsia" w:ascii="宋体" w:hAnsi="宋体" w:cs="宋体"/>
                <w:color w:val="auto"/>
                <w:kern w:val="0"/>
                <w:szCs w:val="21"/>
                <w:highlight w:val="none"/>
              </w:rPr>
              <w:t>法定代表人参加投标时，提供法定代表人身份证明；非法定代表人参加投标时，提供法定代表人授权委托书及双方身份证原件的扫描件或复印件加盖公章</w:t>
            </w:r>
          </w:p>
        </w:tc>
        <w:tc>
          <w:tcPr>
            <w:tcW w:w="4542" w:type="dxa"/>
            <w:vAlign w:val="center"/>
          </w:tcPr>
          <w:p w14:paraId="7D147718">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cs="宋体"/>
                <w:color w:val="auto"/>
                <w:kern w:val="0"/>
                <w:szCs w:val="21"/>
                <w:highlight w:val="none"/>
              </w:rPr>
              <w:t>提供签字或盖章的法定代表人身份证明或授权委托书及双方身份证原件的扫描件或复印件加盖公章</w:t>
            </w:r>
          </w:p>
        </w:tc>
      </w:tr>
      <w:tr w14:paraId="307CA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1" w:hRule="atLeast"/>
        </w:trPr>
        <w:tc>
          <w:tcPr>
            <w:tcW w:w="640" w:type="dxa"/>
            <w:vAlign w:val="center"/>
          </w:tcPr>
          <w:p w14:paraId="7D9D59F8">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3777" w:type="dxa"/>
            <w:vAlign w:val="center"/>
          </w:tcPr>
          <w:p w14:paraId="18916D3E">
            <w:pPr>
              <w:adjustRightInd w:val="0"/>
              <w:snapToGrid w:val="0"/>
              <w:spacing w:before="156" w:beforeLines="50" w:line="350" w:lineRule="exact"/>
              <w:rPr>
                <w:rFonts w:ascii="宋体" w:cs="宋体"/>
                <w:color w:val="auto"/>
                <w:kern w:val="0"/>
                <w:szCs w:val="21"/>
                <w:highlight w:val="none"/>
              </w:rPr>
            </w:pPr>
            <w:r>
              <w:rPr>
                <w:rFonts w:hint="eastAsia" w:ascii="宋体" w:hAnsi="宋体"/>
                <w:color w:val="auto"/>
                <w:szCs w:val="21"/>
                <w:highlight w:val="none"/>
              </w:rPr>
              <w:t>本次招标不接受联合体投标</w:t>
            </w:r>
          </w:p>
        </w:tc>
        <w:tc>
          <w:tcPr>
            <w:tcW w:w="4542" w:type="dxa"/>
            <w:vAlign w:val="center"/>
          </w:tcPr>
          <w:p w14:paraId="1E18979A">
            <w:pPr>
              <w:adjustRightInd w:val="0"/>
              <w:snapToGrid w:val="0"/>
              <w:spacing w:before="156" w:beforeLines="50" w:line="350" w:lineRule="exact"/>
              <w:rPr>
                <w:rFonts w:ascii="宋体" w:cs="宋体"/>
                <w:color w:val="auto"/>
                <w:kern w:val="0"/>
                <w:szCs w:val="21"/>
                <w:highlight w:val="none"/>
              </w:rPr>
            </w:pPr>
            <w:r>
              <w:rPr>
                <w:rFonts w:hint="eastAsia" w:ascii="宋体" w:hAnsi="宋体" w:cs="宋体"/>
                <w:color w:val="auto"/>
                <w:kern w:val="0"/>
                <w:szCs w:val="21"/>
                <w:highlight w:val="none"/>
              </w:rPr>
              <w:t>不是联合体参加投标</w:t>
            </w:r>
          </w:p>
        </w:tc>
      </w:tr>
      <w:tr w14:paraId="2E35D7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8" w:hRule="atLeast"/>
        </w:trPr>
        <w:tc>
          <w:tcPr>
            <w:tcW w:w="640" w:type="dxa"/>
            <w:vAlign w:val="center"/>
          </w:tcPr>
          <w:p w14:paraId="39D16B00">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3777" w:type="dxa"/>
            <w:vAlign w:val="center"/>
          </w:tcPr>
          <w:p w14:paraId="3202B039">
            <w:pPr>
              <w:adjustRightInd w:val="0"/>
              <w:snapToGrid w:val="0"/>
              <w:spacing w:before="156" w:beforeLines="50" w:line="350" w:lineRule="exact"/>
              <w:rPr>
                <w:rFonts w:ascii="宋体"/>
                <w:color w:val="auto"/>
                <w:szCs w:val="21"/>
                <w:highlight w:val="none"/>
              </w:rPr>
            </w:pPr>
            <w:r>
              <w:rPr>
                <w:rFonts w:hint="eastAsia" w:ascii="宋体" w:hAnsi="宋体"/>
                <w:color w:val="auto"/>
                <w:szCs w:val="21"/>
                <w:highlight w:val="none"/>
              </w:rPr>
              <w:t>投标报价未超过磋商文件中规定的预算价及最高限价</w:t>
            </w:r>
          </w:p>
        </w:tc>
        <w:tc>
          <w:tcPr>
            <w:tcW w:w="4542" w:type="dxa"/>
            <w:vAlign w:val="center"/>
          </w:tcPr>
          <w:p w14:paraId="2C2F50A7">
            <w:pPr>
              <w:adjustRightInd w:val="0"/>
              <w:snapToGrid w:val="0"/>
              <w:spacing w:before="156" w:beforeLines="50" w:line="350" w:lineRule="exact"/>
              <w:rPr>
                <w:rFonts w:ascii="宋体" w:cs="宋体"/>
                <w:color w:val="auto"/>
                <w:kern w:val="0"/>
                <w:szCs w:val="21"/>
                <w:highlight w:val="none"/>
              </w:rPr>
            </w:pPr>
            <w:r>
              <w:rPr>
                <w:rFonts w:hint="eastAsia" w:ascii="宋体" w:hAnsi="宋体"/>
                <w:color w:val="auto"/>
                <w:szCs w:val="21"/>
                <w:highlight w:val="none"/>
              </w:rPr>
              <w:t>投标报价未超过磋商文件中规定的预算价及最高限价</w:t>
            </w:r>
          </w:p>
        </w:tc>
      </w:tr>
      <w:tr w14:paraId="55A673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640" w:type="dxa"/>
            <w:vAlign w:val="center"/>
          </w:tcPr>
          <w:p w14:paraId="628FC87B">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3777" w:type="dxa"/>
            <w:vAlign w:val="center"/>
          </w:tcPr>
          <w:p w14:paraId="410AF7CA">
            <w:pPr>
              <w:spacing w:line="320" w:lineRule="exact"/>
              <w:rPr>
                <w:rFonts w:hint="eastAsia" w:ascii="宋体" w:hAnsi="宋体"/>
                <w:color w:val="auto"/>
                <w:szCs w:val="21"/>
                <w:highlight w:val="none"/>
              </w:rPr>
            </w:pPr>
            <w:r>
              <w:rPr>
                <w:rFonts w:hint="eastAsia" w:ascii="宋体" w:hAnsi="宋体" w:cs="宋体"/>
                <w:color w:val="auto"/>
                <w:szCs w:val="21"/>
                <w:highlight w:val="none"/>
              </w:rPr>
              <w:t>单位负责人为同一人或者存在直接控股、管理关系的不同供应商，不得参加同一合同项下的采购活动</w:t>
            </w:r>
          </w:p>
        </w:tc>
        <w:tc>
          <w:tcPr>
            <w:tcW w:w="4542" w:type="dxa"/>
            <w:vAlign w:val="center"/>
          </w:tcPr>
          <w:p w14:paraId="5CD0E9CE">
            <w:pPr>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提供了“供应商资格声明”，签署、盖章符合要求</w:t>
            </w:r>
          </w:p>
        </w:tc>
      </w:tr>
      <w:tr w14:paraId="49CC34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640" w:type="dxa"/>
            <w:vAlign w:val="center"/>
          </w:tcPr>
          <w:p w14:paraId="6DA901E2">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3777" w:type="dxa"/>
            <w:vAlign w:val="center"/>
          </w:tcPr>
          <w:p w14:paraId="07BA30E5">
            <w:pPr>
              <w:spacing w:line="320" w:lineRule="exact"/>
              <w:rPr>
                <w:rFonts w:hint="eastAsia" w:ascii="宋体" w:hAnsi="宋体"/>
                <w:color w:val="auto"/>
                <w:szCs w:val="21"/>
                <w:highlight w:val="none"/>
              </w:rPr>
            </w:pPr>
            <w:r>
              <w:rPr>
                <w:rFonts w:hint="eastAsia" w:ascii="宋体" w:hAnsi="宋体" w:cs="宋体"/>
                <w:color w:val="auto"/>
                <w:szCs w:val="21"/>
                <w:highlight w:val="none"/>
              </w:rPr>
              <w:t>为本采购项目提供整体设计、规范编制或者项目管理、监理、检测等服务的，不得再参加此项目的其他采购活动</w:t>
            </w:r>
          </w:p>
        </w:tc>
        <w:tc>
          <w:tcPr>
            <w:tcW w:w="4542" w:type="dxa"/>
            <w:vAlign w:val="center"/>
          </w:tcPr>
          <w:p w14:paraId="0CF262FD">
            <w:pPr>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提供了“供应商资格声明”，签署、盖章符合要求</w:t>
            </w:r>
          </w:p>
        </w:tc>
      </w:tr>
      <w:tr w14:paraId="6073DD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trPr>
        <w:tc>
          <w:tcPr>
            <w:tcW w:w="640" w:type="dxa"/>
            <w:vAlign w:val="center"/>
          </w:tcPr>
          <w:p w14:paraId="39FFC7F1">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3777" w:type="dxa"/>
            <w:vAlign w:val="center"/>
          </w:tcPr>
          <w:p w14:paraId="24A62B17">
            <w:pPr>
              <w:spacing w:line="320" w:lineRule="exact"/>
              <w:rPr>
                <w:rFonts w:hint="eastAsia" w:ascii="宋体" w:hAnsi="宋体"/>
                <w:color w:val="auto"/>
                <w:szCs w:val="21"/>
                <w:highlight w:val="none"/>
              </w:rPr>
            </w:pPr>
            <w:r>
              <w:rPr>
                <w:rFonts w:hint="eastAsia" w:ascii="宋体" w:hAnsi="宋体"/>
                <w:color w:val="auto"/>
                <w:szCs w:val="21"/>
                <w:highlight w:val="none"/>
              </w:rPr>
              <w:t>信用记录</w:t>
            </w:r>
          </w:p>
        </w:tc>
        <w:tc>
          <w:tcPr>
            <w:tcW w:w="4542" w:type="dxa"/>
            <w:vAlign w:val="center"/>
          </w:tcPr>
          <w:p w14:paraId="15CFD039">
            <w:pPr>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olor w:val="auto"/>
                <w:szCs w:val="21"/>
                <w:highlight w:val="none"/>
              </w:rPr>
              <w:t>信用记录符合法律法规要求的</w:t>
            </w:r>
          </w:p>
        </w:tc>
      </w:tr>
      <w:tr w14:paraId="7DBF5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9" w:hRule="atLeast"/>
        </w:trPr>
        <w:tc>
          <w:tcPr>
            <w:tcW w:w="640" w:type="dxa"/>
            <w:vAlign w:val="center"/>
          </w:tcPr>
          <w:p w14:paraId="5801387E">
            <w:pPr>
              <w:adjustRightInd w:val="0"/>
              <w:snapToGrid w:val="0"/>
              <w:spacing w:before="156" w:beforeLines="50" w:line="35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3777" w:type="dxa"/>
            <w:vAlign w:val="center"/>
          </w:tcPr>
          <w:p w14:paraId="41E11A95">
            <w:pPr>
              <w:spacing w:line="320" w:lineRule="exact"/>
              <w:rPr>
                <w:rFonts w:hint="eastAsia" w:ascii="宋体" w:hAnsi="宋体"/>
                <w:color w:val="auto"/>
                <w:szCs w:val="21"/>
                <w:highlight w:val="none"/>
              </w:rPr>
            </w:pPr>
            <w:r>
              <w:rPr>
                <w:rFonts w:hint="eastAsia" w:ascii="宋体" w:hAnsi="宋体" w:cs="宋体"/>
                <w:color w:val="auto"/>
                <w:szCs w:val="21"/>
                <w:highlight w:val="none"/>
              </w:rPr>
              <w:t>响应文件没有法律法规和竞争性磋商文件规定的其他投标无效情形的</w:t>
            </w:r>
          </w:p>
        </w:tc>
        <w:tc>
          <w:tcPr>
            <w:tcW w:w="4542" w:type="dxa"/>
            <w:vAlign w:val="center"/>
          </w:tcPr>
          <w:p w14:paraId="73C593AD">
            <w:pPr>
              <w:adjustRightInd w:val="0"/>
              <w:snapToGrid w:val="0"/>
              <w:spacing w:before="156" w:beforeLines="50" w:line="360" w:lineRule="auto"/>
              <w:jc w:val="left"/>
              <w:rPr>
                <w:rFonts w:hint="eastAsia" w:ascii="宋体" w:hAnsi="宋体"/>
                <w:color w:val="auto"/>
                <w:szCs w:val="21"/>
                <w:highlight w:val="none"/>
              </w:rPr>
            </w:pPr>
            <w:r>
              <w:rPr>
                <w:rFonts w:hint="eastAsia" w:ascii="宋体" w:hAnsi="宋体" w:cs="宋体"/>
                <w:color w:val="auto"/>
                <w:szCs w:val="21"/>
                <w:highlight w:val="none"/>
              </w:rPr>
              <w:t>响应文件没有法律法规和竞争性磋商规定的其他投标无效情形的</w:t>
            </w:r>
          </w:p>
        </w:tc>
      </w:tr>
      <w:tr w14:paraId="008E6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8" w:hRule="atLeast"/>
        </w:trPr>
        <w:tc>
          <w:tcPr>
            <w:tcW w:w="640" w:type="dxa"/>
            <w:tcBorders>
              <w:bottom w:val="double" w:color="auto" w:sz="4" w:space="0"/>
            </w:tcBorders>
            <w:vAlign w:val="center"/>
          </w:tcPr>
          <w:p w14:paraId="300568AD">
            <w:pPr>
              <w:adjustRightInd w:val="0"/>
              <w:snapToGrid w:val="0"/>
              <w:spacing w:before="156" w:beforeLines="50" w:line="350" w:lineRule="exact"/>
              <w:jc w:val="center"/>
              <w:rPr>
                <w:rFonts w:ascii="宋体" w:cs="宋体"/>
                <w:color w:val="auto"/>
                <w:kern w:val="0"/>
                <w:sz w:val="20"/>
                <w:szCs w:val="21"/>
                <w:highlight w:val="none"/>
              </w:rPr>
            </w:pPr>
            <w:r>
              <w:rPr>
                <w:rFonts w:hint="eastAsia" w:ascii="宋体" w:hAnsi="宋体"/>
                <w:color w:val="auto"/>
                <w:kern w:val="0"/>
                <w:sz w:val="20"/>
                <w:szCs w:val="21"/>
                <w:highlight w:val="none"/>
              </w:rPr>
              <w:t>结论</w:t>
            </w:r>
          </w:p>
        </w:tc>
        <w:tc>
          <w:tcPr>
            <w:tcW w:w="8319" w:type="dxa"/>
            <w:gridSpan w:val="2"/>
            <w:tcBorders>
              <w:bottom w:val="double" w:color="auto" w:sz="4" w:space="0"/>
            </w:tcBorders>
            <w:vAlign w:val="center"/>
          </w:tcPr>
          <w:p w14:paraId="5A8D7A01">
            <w:pPr>
              <w:adjustRightInd w:val="0"/>
              <w:snapToGrid w:val="0"/>
              <w:spacing w:before="156" w:beforeLines="50" w:line="350" w:lineRule="exact"/>
              <w:jc w:val="left"/>
              <w:rPr>
                <w:rFonts w:ascii="宋体" w:cs="宋体"/>
                <w:color w:val="auto"/>
                <w:kern w:val="0"/>
                <w:szCs w:val="21"/>
                <w:highlight w:val="none"/>
              </w:rPr>
            </w:pPr>
            <w:r>
              <w:rPr>
                <w:rFonts w:hint="eastAsia" w:ascii="宋体" w:hAnsi="宋体"/>
                <w:b/>
                <w:color w:val="auto"/>
                <w:kern w:val="0"/>
                <w:szCs w:val="21"/>
                <w:highlight w:val="none"/>
              </w:rPr>
              <w:t>（合格</w:t>
            </w:r>
            <w:r>
              <w:rPr>
                <w:rFonts w:ascii="宋体" w:hAnsi="宋体"/>
                <w:b/>
                <w:color w:val="auto"/>
                <w:kern w:val="0"/>
                <w:szCs w:val="21"/>
                <w:highlight w:val="none"/>
              </w:rPr>
              <w:t>/</w:t>
            </w:r>
            <w:r>
              <w:rPr>
                <w:rFonts w:hint="eastAsia" w:ascii="宋体" w:hAnsi="宋体"/>
                <w:b/>
                <w:color w:val="auto"/>
                <w:kern w:val="0"/>
                <w:szCs w:val="21"/>
                <w:highlight w:val="none"/>
              </w:rPr>
              <w:t>不合格）</w:t>
            </w:r>
          </w:p>
        </w:tc>
      </w:tr>
    </w:tbl>
    <w:p w14:paraId="72B75B3C">
      <w:pPr>
        <w:spacing w:before="50" w:after="120" w:line="360" w:lineRule="atLeast"/>
        <w:rPr>
          <w:rFonts w:ascii="宋体"/>
          <w:color w:val="auto"/>
          <w:kern w:val="0"/>
          <w:sz w:val="20"/>
          <w:highlight w:val="none"/>
        </w:rPr>
      </w:pPr>
      <w:r>
        <w:rPr>
          <w:rFonts w:hint="eastAsia" w:ascii="宋体" w:hAnsi="宋体"/>
          <w:color w:val="auto"/>
          <w:kern w:val="0"/>
          <w:sz w:val="20"/>
          <w:highlight w:val="none"/>
        </w:rPr>
        <w:t>注：</w:t>
      </w:r>
      <w:r>
        <w:rPr>
          <w:rFonts w:ascii="宋体" w:hAnsi="宋体"/>
          <w:color w:val="auto"/>
          <w:highlight w:val="none"/>
        </w:rPr>
        <w:t>1</w:t>
      </w:r>
      <w:r>
        <w:rPr>
          <w:rFonts w:hint="eastAsia" w:ascii="宋体" w:hAnsi="宋体"/>
          <w:color w:val="auto"/>
          <w:highlight w:val="none"/>
        </w:rPr>
        <w:t>、上述内容合格用“√”表示，不合格用“×”表示；</w:t>
      </w:r>
    </w:p>
    <w:p w14:paraId="7F340D12">
      <w:pPr>
        <w:adjustRightInd w:val="0"/>
        <w:snapToGrid w:val="0"/>
        <w:spacing w:before="156" w:beforeLines="50" w:line="360" w:lineRule="auto"/>
        <w:ind w:right="-109" w:rightChars="-52" w:firstLine="420" w:firstLineChars="200"/>
        <w:rPr>
          <w:rFonts w:ascii="宋体"/>
          <w:color w:val="auto"/>
          <w:highlight w:val="none"/>
        </w:rPr>
      </w:pPr>
      <w:r>
        <w:rPr>
          <w:rFonts w:hint="eastAsia" w:ascii="宋体" w:hAnsi="宋体"/>
          <w:color w:val="auto"/>
          <w:highlight w:val="none"/>
        </w:rPr>
        <w:t>2、上述内容有一项不合格的，则初步评审的综合评定结果为不合格。</w:t>
      </w:r>
    </w:p>
    <w:p w14:paraId="0AE67616">
      <w:pPr>
        <w:adjustRightInd w:val="0"/>
        <w:snapToGrid w:val="0"/>
        <w:spacing w:before="156" w:beforeLines="50" w:line="360" w:lineRule="auto"/>
        <w:ind w:right="-109" w:rightChars="-52"/>
        <w:rPr>
          <w:rFonts w:ascii="宋体"/>
          <w:color w:val="auto"/>
          <w:highlight w:val="none"/>
        </w:rPr>
      </w:pPr>
    </w:p>
    <w:p w14:paraId="464CD7EC">
      <w:pPr>
        <w:numPr>
          <w:ilvl w:val="0"/>
          <w:numId w:val="3"/>
        </w:numPr>
        <w:adjustRightInd w:val="0"/>
        <w:snapToGrid w:val="0"/>
        <w:spacing w:before="156" w:beforeLines="50" w:after="156" w:afterLines="50" w:line="360" w:lineRule="exact"/>
        <w:ind w:right="-109" w:rightChars="-52"/>
        <w:rPr>
          <w:rFonts w:ascii="宋体"/>
          <w:color w:val="auto"/>
          <w:highlight w:val="none"/>
        </w:rPr>
      </w:pPr>
      <w:r>
        <w:rPr>
          <w:rFonts w:hint="eastAsia" w:ascii="宋体" w:hAnsi="宋体"/>
          <w:color w:val="auto"/>
          <w:highlight w:val="none"/>
        </w:rPr>
        <w:t>符合性检查：</w:t>
      </w:r>
    </w:p>
    <w:p w14:paraId="7BDD6C2E">
      <w:pPr>
        <w:adjustRightInd w:val="0"/>
        <w:snapToGrid w:val="0"/>
        <w:spacing w:line="320" w:lineRule="exact"/>
        <w:ind w:left="630" w:leftChars="300" w:right="-109" w:rightChars="-52"/>
        <w:rPr>
          <w:rFonts w:hint="eastAsia" w:ascii="宋体" w:hAnsi="宋体"/>
          <w:b/>
          <w:color w:val="auto"/>
          <w:highlight w:val="none"/>
        </w:rPr>
      </w:pPr>
      <w:r>
        <w:rPr>
          <w:rFonts w:hint="eastAsia" w:ascii="宋体" w:hAnsi="宋体"/>
          <w:color w:val="auto"/>
          <w:highlight w:val="none"/>
        </w:rPr>
        <w:t>依据磋商文件的规定，从响应文件的有效性、完整性和对磋商文件的响应程度进行审查，以确定是否对磋商文件的实质性要求作出响应。</w:t>
      </w:r>
    </w:p>
    <w:p w14:paraId="788C1FF0">
      <w:pPr>
        <w:widowControl/>
        <w:spacing w:line="495" w:lineRule="atLeast"/>
        <w:ind w:right="210" w:firstLine="1897" w:firstLineChars="900"/>
        <w:rPr>
          <w:rFonts w:ascii="宋体"/>
          <w:b/>
          <w:color w:val="auto"/>
          <w:highlight w:val="none"/>
        </w:rPr>
      </w:pPr>
      <w:r>
        <w:rPr>
          <w:rFonts w:hint="eastAsia" w:ascii="宋体" w:hAnsi="宋体"/>
          <w:b/>
          <w:color w:val="auto"/>
          <w:highlight w:val="none"/>
        </w:rPr>
        <w:br w:type="page"/>
      </w:r>
      <w:r>
        <w:rPr>
          <w:rFonts w:hint="eastAsia" w:ascii="宋体" w:hAnsi="宋体"/>
          <w:b/>
          <w:color w:val="auto"/>
          <w:highlight w:val="none"/>
        </w:rPr>
        <w:t>附2</w:t>
      </w:r>
      <w:r>
        <w:rPr>
          <w:rFonts w:ascii="宋体" w:hAnsi="宋体"/>
          <w:b/>
          <w:color w:val="auto"/>
          <w:highlight w:val="none"/>
        </w:rPr>
        <w:t xml:space="preserve"> </w:t>
      </w:r>
      <w:r>
        <w:rPr>
          <w:rFonts w:hint="eastAsia" w:ascii="宋体" w:hAnsi="宋体"/>
          <w:b/>
          <w:color w:val="auto"/>
          <w:highlight w:val="none"/>
        </w:rPr>
        <w:t>符合性检查表（响应文件中须有的内容）</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6"/>
        <w:gridCol w:w="4011"/>
        <w:gridCol w:w="3701"/>
      </w:tblGrid>
      <w:tr w14:paraId="0CED6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726" w:type="dxa"/>
            <w:vAlign w:val="center"/>
          </w:tcPr>
          <w:p w14:paraId="32B22483">
            <w:pPr>
              <w:spacing w:before="31" w:beforeLines="10" w:after="31" w:afterLines="10" w:line="320" w:lineRule="exact"/>
              <w:jc w:val="center"/>
              <w:rPr>
                <w:rFonts w:hint="eastAsia" w:ascii="宋体" w:hAnsi="宋体"/>
                <w:color w:val="auto"/>
                <w:highlight w:val="none"/>
              </w:rPr>
            </w:pPr>
            <w:r>
              <w:rPr>
                <w:rFonts w:hint="eastAsia" w:ascii="宋体" w:hAnsi="宋体"/>
                <w:b/>
                <w:color w:val="auto"/>
                <w:highlight w:val="none"/>
              </w:rPr>
              <w:t>序号</w:t>
            </w:r>
          </w:p>
        </w:tc>
        <w:tc>
          <w:tcPr>
            <w:tcW w:w="4011" w:type="dxa"/>
            <w:vAlign w:val="center"/>
          </w:tcPr>
          <w:p w14:paraId="772F85D6">
            <w:pPr>
              <w:spacing w:before="31" w:beforeLines="10" w:after="31" w:afterLines="10" w:line="320" w:lineRule="exact"/>
              <w:jc w:val="center"/>
              <w:rPr>
                <w:rFonts w:hint="eastAsia" w:ascii="宋体" w:hAnsi="宋体"/>
                <w:color w:val="auto"/>
                <w:highlight w:val="none"/>
              </w:rPr>
            </w:pPr>
            <w:r>
              <w:rPr>
                <w:rFonts w:hint="eastAsia" w:ascii="宋体" w:hAnsi="宋体"/>
                <w:b/>
                <w:color w:val="auto"/>
                <w:highlight w:val="none"/>
              </w:rPr>
              <w:t>检查项目</w:t>
            </w:r>
          </w:p>
        </w:tc>
        <w:tc>
          <w:tcPr>
            <w:tcW w:w="3701" w:type="dxa"/>
            <w:vAlign w:val="center"/>
          </w:tcPr>
          <w:p w14:paraId="752E512F">
            <w:pPr>
              <w:widowControl/>
              <w:spacing w:before="31" w:beforeLines="10" w:after="31" w:afterLines="10" w:line="320" w:lineRule="exact"/>
              <w:jc w:val="center"/>
              <w:rPr>
                <w:rFonts w:hint="eastAsia" w:ascii="宋体" w:hAnsi="宋体"/>
                <w:b/>
                <w:color w:val="auto"/>
                <w:highlight w:val="none"/>
              </w:rPr>
            </w:pPr>
            <w:r>
              <w:rPr>
                <w:rFonts w:hint="eastAsia" w:ascii="宋体" w:hAnsi="宋体" w:cs="宋体"/>
                <w:b/>
                <w:color w:val="auto"/>
                <w:kern w:val="0"/>
                <w:szCs w:val="21"/>
                <w:highlight w:val="none"/>
              </w:rPr>
              <w:t>审查标准</w:t>
            </w:r>
          </w:p>
        </w:tc>
      </w:tr>
      <w:tr w14:paraId="265555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726" w:type="dxa"/>
            <w:vAlign w:val="center"/>
          </w:tcPr>
          <w:p w14:paraId="0BB09E9D">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1</w:t>
            </w:r>
          </w:p>
        </w:tc>
        <w:tc>
          <w:tcPr>
            <w:tcW w:w="4011" w:type="dxa"/>
            <w:vAlign w:val="center"/>
          </w:tcPr>
          <w:p w14:paraId="11C1ADED">
            <w:pPr>
              <w:spacing w:before="31" w:beforeLines="10" w:after="31" w:afterLines="10" w:line="320" w:lineRule="exact"/>
              <w:jc w:val="left"/>
              <w:rPr>
                <w:rFonts w:hint="eastAsia" w:ascii="宋体" w:hAnsi="宋体"/>
                <w:b/>
                <w:color w:val="auto"/>
                <w:highlight w:val="none"/>
              </w:rPr>
            </w:pPr>
            <w:r>
              <w:rPr>
                <w:rFonts w:ascii="宋体" w:hAnsi="宋体" w:cs="宋体"/>
                <w:color w:val="auto"/>
                <w:kern w:val="0"/>
                <w:szCs w:val="21"/>
                <w:highlight w:val="none"/>
              </w:rPr>
              <w:t>合同履行期限</w:t>
            </w:r>
          </w:p>
        </w:tc>
        <w:tc>
          <w:tcPr>
            <w:tcW w:w="3701" w:type="dxa"/>
            <w:vAlign w:val="center"/>
          </w:tcPr>
          <w:p w14:paraId="4E3A1C1D">
            <w:pPr>
              <w:adjustRightInd w:val="0"/>
              <w:snapToGrid w:val="0"/>
              <w:spacing w:line="276" w:lineRule="auto"/>
              <w:jc w:val="left"/>
              <w:rPr>
                <w:rFonts w:hint="eastAsia" w:ascii="宋体" w:hAnsi="宋体" w:cs="宋体"/>
                <w:b/>
                <w:color w:val="auto"/>
                <w:kern w:val="0"/>
                <w:szCs w:val="21"/>
                <w:highlight w:val="none"/>
              </w:rPr>
            </w:pPr>
            <w:r>
              <w:rPr>
                <w:rFonts w:ascii="宋体" w:hAnsi="宋体" w:cs="宋体"/>
                <w:color w:val="auto"/>
                <w:szCs w:val="21"/>
                <w:highlight w:val="none"/>
              </w:rPr>
              <w:t>是否响应磋商文件</w:t>
            </w:r>
          </w:p>
        </w:tc>
      </w:tr>
      <w:tr w14:paraId="11B78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726" w:type="dxa"/>
            <w:vAlign w:val="center"/>
          </w:tcPr>
          <w:p w14:paraId="32B0CA74">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2</w:t>
            </w:r>
          </w:p>
        </w:tc>
        <w:tc>
          <w:tcPr>
            <w:tcW w:w="4011" w:type="dxa"/>
            <w:vAlign w:val="center"/>
          </w:tcPr>
          <w:p w14:paraId="4353A5B3">
            <w:pPr>
              <w:spacing w:before="31" w:beforeLines="10" w:after="31" w:afterLines="10" w:line="320" w:lineRule="exact"/>
              <w:jc w:val="left"/>
              <w:rPr>
                <w:rFonts w:hint="eastAsia" w:ascii="宋体" w:hAnsi="宋体" w:cs="宋体"/>
                <w:color w:val="auto"/>
                <w:kern w:val="0"/>
                <w:szCs w:val="21"/>
                <w:highlight w:val="none"/>
              </w:rPr>
            </w:pPr>
            <w:r>
              <w:rPr>
                <w:rFonts w:ascii="宋体" w:hAnsi="宋体" w:cs="宋体"/>
                <w:color w:val="auto"/>
                <w:highlight w:val="none"/>
              </w:rPr>
              <w:t>响应文件有效期</w:t>
            </w:r>
          </w:p>
        </w:tc>
        <w:tc>
          <w:tcPr>
            <w:tcW w:w="3701" w:type="dxa"/>
            <w:vAlign w:val="center"/>
          </w:tcPr>
          <w:p w14:paraId="7B088A88">
            <w:pPr>
              <w:spacing w:line="276" w:lineRule="auto"/>
              <w:rPr>
                <w:rFonts w:hint="eastAsia" w:ascii="宋体" w:hAnsi="宋体" w:cs="宋体"/>
                <w:b/>
                <w:color w:val="auto"/>
                <w:kern w:val="0"/>
                <w:szCs w:val="21"/>
                <w:highlight w:val="none"/>
              </w:rPr>
            </w:pPr>
            <w:r>
              <w:rPr>
                <w:rFonts w:ascii="宋体" w:hAnsi="宋体" w:cs="宋体"/>
                <w:color w:val="auto"/>
                <w:highlight w:val="none"/>
              </w:rPr>
              <w:t>是否符合磋商文件的规定</w:t>
            </w:r>
          </w:p>
        </w:tc>
      </w:tr>
      <w:tr w14:paraId="4C19B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726" w:type="dxa"/>
            <w:vAlign w:val="center"/>
          </w:tcPr>
          <w:p w14:paraId="47D0AE63">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3</w:t>
            </w:r>
          </w:p>
        </w:tc>
        <w:tc>
          <w:tcPr>
            <w:tcW w:w="4011" w:type="dxa"/>
            <w:vAlign w:val="center"/>
          </w:tcPr>
          <w:p w14:paraId="2BBEECA0">
            <w:pPr>
              <w:spacing w:before="31" w:beforeLines="10" w:after="31" w:afterLines="10" w:line="320" w:lineRule="exact"/>
              <w:jc w:val="left"/>
              <w:rPr>
                <w:rFonts w:hint="eastAsia" w:ascii="宋体" w:hAnsi="宋体" w:cs="宋体"/>
                <w:color w:val="auto"/>
                <w:highlight w:val="none"/>
              </w:rPr>
            </w:pPr>
            <w:r>
              <w:rPr>
                <w:rFonts w:ascii="宋体" w:hAnsi="宋体" w:cs="宋体"/>
                <w:color w:val="auto"/>
                <w:highlight w:val="none"/>
              </w:rPr>
              <w:t>响应文件的签署、盖章</w:t>
            </w:r>
          </w:p>
        </w:tc>
        <w:tc>
          <w:tcPr>
            <w:tcW w:w="3701" w:type="dxa"/>
            <w:vAlign w:val="center"/>
          </w:tcPr>
          <w:p w14:paraId="568875BD">
            <w:pPr>
              <w:spacing w:line="276" w:lineRule="auto"/>
              <w:rPr>
                <w:rFonts w:hint="eastAsia" w:ascii="宋体" w:hAnsi="宋体" w:cs="宋体"/>
                <w:b/>
                <w:color w:val="auto"/>
                <w:kern w:val="0"/>
                <w:szCs w:val="21"/>
                <w:highlight w:val="none"/>
              </w:rPr>
            </w:pPr>
            <w:r>
              <w:rPr>
                <w:rFonts w:ascii="宋体" w:hAnsi="宋体" w:cs="宋体"/>
                <w:color w:val="auto"/>
                <w:highlight w:val="none"/>
              </w:rPr>
              <w:t>是否符合磋商文件的规定</w:t>
            </w:r>
          </w:p>
        </w:tc>
      </w:tr>
      <w:tr w14:paraId="58952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115B2B14">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4</w:t>
            </w:r>
          </w:p>
        </w:tc>
        <w:tc>
          <w:tcPr>
            <w:tcW w:w="4011" w:type="dxa"/>
            <w:vAlign w:val="center"/>
          </w:tcPr>
          <w:p w14:paraId="71905C74">
            <w:pPr>
              <w:widowControl/>
              <w:spacing w:before="31" w:beforeLines="10" w:after="31" w:afterLines="10" w:line="320" w:lineRule="exact"/>
              <w:rPr>
                <w:rFonts w:hint="eastAsia" w:ascii="宋体" w:hAnsi="宋体"/>
                <w:color w:val="auto"/>
                <w:highlight w:val="none"/>
              </w:rPr>
            </w:pPr>
            <w:r>
              <w:rPr>
                <w:rFonts w:ascii="宋体" w:hAnsi="宋体" w:cs="宋体"/>
                <w:color w:val="auto"/>
                <w:highlight w:val="none"/>
              </w:rPr>
              <w:t>供应商对采购项目只允许有一个首次报价，否则其响应无效。</w:t>
            </w:r>
          </w:p>
        </w:tc>
        <w:tc>
          <w:tcPr>
            <w:tcW w:w="3701" w:type="dxa"/>
            <w:vAlign w:val="center"/>
          </w:tcPr>
          <w:p w14:paraId="4A37C534">
            <w:pPr>
              <w:spacing w:line="276" w:lineRule="auto"/>
              <w:rPr>
                <w:rFonts w:hint="eastAsia" w:ascii="宋体" w:hAnsi="宋体"/>
                <w:color w:val="auto"/>
                <w:highlight w:val="none"/>
              </w:rPr>
            </w:pPr>
            <w:r>
              <w:rPr>
                <w:rFonts w:ascii="宋体" w:hAnsi="宋体" w:cs="宋体"/>
                <w:color w:val="auto"/>
                <w:highlight w:val="none"/>
              </w:rPr>
              <w:t>是否符合磋商文件的规定</w:t>
            </w:r>
          </w:p>
        </w:tc>
      </w:tr>
      <w:tr w14:paraId="2C467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6D18F12D">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5</w:t>
            </w:r>
          </w:p>
        </w:tc>
        <w:tc>
          <w:tcPr>
            <w:tcW w:w="4011" w:type="dxa"/>
            <w:vAlign w:val="center"/>
          </w:tcPr>
          <w:p w14:paraId="70E93478">
            <w:pPr>
              <w:widowControl/>
              <w:spacing w:before="31" w:beforeLines="10" w:after="31" w:afterLines="10" w:line="320" w:lineRule="exact"/>
              <w:rPr>
                <w:rFonts w:hint="eastAsia" w:ascii="宋体" w:hAnsi="宋体" w:cs="宋体"/>
                <w:color w:val="auto"/>
                <w:highlight w:val="none"/>
              </w:rPr>
            </w:pPr>
            <w:r>
              <w:rPr>
                <w:rFonts w:hint="eastAsia" w:ascii="宋体" w:hAnsi="宋体" w:cs="宋体"/>
                <w:color w:val="auto"/>
                <w:highlight w:val="none"/>
              </w:rPr>
              <w:t>付款方式及条件</w:t>
            </w:r>
            <w:r>
              <w:rPr>
                <w:rFonts w:ascii="宋体" w:hAnsi="宋体" w:cs="宋体"/>
                <w:color w:val="auto"/>
                <w:highlight w:val="none"/>
              </w:rPr>
              <w:t>符合磋商文件的规定</w:t>
            </w:r>
          </w:p>
        </w:tc>
        <w:tc>
          <w:tcPr>
            <w:tcW w:w="3701" w:type="dxa"/>
            <w:vAlign w:val="center"/>
          </w:tcPr>
          <w:p w14:paraId="3D8ED9CD">
            <w:pPr>
              <w:spacing w:line="276" w:lineRule="auto"/>
              <w:rPr>
                <w:rFonts w:hint="eastAsia" w:ascii="宋体" w:hAnsi="宋体" w:cs="宋体"/>
                <w:color w:val="auto"/>
                <w:highlight w:val="none"/>
              </w:rPr>
            </w:pPr>
            <w:r>
              <w:rPr>
                <w:rFonts w:ascii="宋体" w:hAnsi="宋体" w:cs="宋体"/>
                <w:color w:val="auto"/>
                <w:highlight w:val="none"/>
              </w:rPr>
              <w:t>是否符合磋商文件的规定</w:t>
            </w:r>
          </w:p>
        </w:tc>
      </w:tr>
      <w:tr w14:paraId="164EE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726" w:type="dxa"/>
            <w:vAlign w:val="center"/>
          </w:tcPr>
          <w:p w14:paraId="2571A8AA">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6</w:t>
            </w:r>
          </w:p>
        </w:tc>
        <w:tc>
          <w:tcPr>
            <w:tcW w:w="4011" w:type="dxa"/>
            <w:vAlign w:val="center"/>
          </w:tcPr>
          <w:p w14:paraId="14605442">
            <w:pPr>
              <w:widowControl/>
              <w:spacing w:before="31" w:beforeLines="10" w:after="31" w:afterLines="10" w:line="320" w:lineRule="exact"/>
              <w:rPr>
                <w:rFonts w:hint="eastAsia" w:ascii="宋体" w:hAnsi="宋体"/>
                <w:color w:val="auto"/>
                <w:highlight w:val="none"/>
              </w:rPr>
            </w:pPr>
            <w:r>
              <w:rPr>
                <w:rFonts w:ascii="宋体" w:hAnsi="宋体" w:cs="宋体"/>
                <w:color w:val="auto"/>
                <w:kern w:val="0"/>
                <w:szCs w:val="21"/>
                <w:highlight w:val="none"/>
              </w:rPr>
              <w:t>响应文件载明的范围符合磋商文件规定的范围</w:t>
            </w:r>
          </w:p>
        </w:tc>
        <w:tc>
          <w:tcPr>
            <w:tcW w:w="3701" w:type="dxa"/>
            <w:vAlign w:val="center"/>
          </w:tcPr>
          <w:p w14:paraId="4E8D1AED">
            <w:pPr>
              <w:adjustRightInd w:val="0"/>
              <w:snapToGrid w:val="0"/>
              <w:spacing w:line="276" w:lineRule="auto"/>
              <w:jc w:val="left"/>
              <w:rPr>
                <w:rFonts w:hint="eastAsia" w:ascii="宋体" w:hAnsi="宋体"/>
                <w:color w:val="auto"/>
                <w:highlight w:val="none"/>
              </w:rPr>
            </w:pPr>
            <w:r>
              <w:rPr>
                <w:rFonts w:ascii="宋体" w:hAnsi="宋体" w:cs="宋体"/>
                <w:color w:val="auto"/>
                <w:highlight w:val="none"/>
              </w:rPr>
              <w:t>是否符合磋商文件的规定</w:t>
            </w:r>
          </w:p>
        </w:tc>
      </w:tr>
      <w:tr w14:paraId="58369A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726" w:type="dxa"/>
            <w:vAlign w:val="center"/>
          </w:tcPr>
          <w:p w14:paraId="6B82D9B7">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7</w:t>
            </w:r>
          </w:p>
        </w:tc>
        <w:tc>
          <w:tcPr>
            <w:tcW w:w="4011" w:type="dxa"/>
            <w:vAlign w:val="center"/>
          </w:tcPr>
          <w:p w14:paraId="15E73373">
            <w:pPr>
              <w:widowControl/>
              <w:spacing w:before="31" w:beforeLines="10" w:after="31" w:afterLines="10" w:line="320" w:lineRule="exact"/>
              <w:rPr>
                <w:rFonts w:hint="eastAsia" w:ascii="宋体" w:hAnsi="宋体" w:cs="宋体"/>
                <w:color w:val="auto"/>
                <w:kern w:val="0"/>
                <w:szCs w:val="21"/>
                <w:highlight w:val="none"/>
              </w:rPr>
            </w:pPr>
            <w:r>
              <w:rPr>
                <w:rFonts w:hint="eastAsia" w:ascii="宋体" w:hAnsi="宋体"/>
                <w:color w:val="auto"/>
                <w:szCs w:val="21"/>
                <w:highlight w:val="none"/>
              </w:rPr>
              <w:t>非实质性偏离的范围和幅度</w:t>
            </w:r>
          </w:p>
        </w:tc>
        <w:tc>
          <w:tcPr>
            <w:tcW w:w="3701" w:type="dxa"/>
            <w:vAlign w:val="center"/>
          </w:tcPr>
          <w:p w14:paraId="61AD80E4">
            <w:pPr>
              <w:adjustRightInd w:val="0"/>
              <w:snapToGrid w:val="0"/>
              <w:spacing w:line="276" w:lineRule="auto"/>
              <w:jc w:val="left"/>
              <w:rPr>
                <w:rFonts w:hint="eastAsia" w:ascii="宋体" w:hAnsi="宋体" w:cs="宋体"/>
                <w:color w:val="auto"/>
                <w:highlight w:val="none"/>
              </w:rPr>
            </w:pPr>
            <w:r>
              <w:rPr>
                <w:rFonts w:ascii="宋体" w:hAnsi="宋体" w:cs="宋体"/>
                <w:color w:val="auto"/>
                <w:highlight w:val="none"/>
              </w:rPr>
              <w:t>是否符合磋商文件的规定</w:t>
            </w:r>
          </w:p>
        </w:tc>
      </w:tr>
      <w:tr w14:paraId="37B147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26" w:type="dxa"/>
            <w:vAlign w:val="center"/>
          </w:tcPr>
          <w:p w14:paraId="41E21F62">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8</w:t>
            </w:r>
          </w:p>
        </w:tc>
        <w:tc>
          <w:tcPr>
            <w:tcW w:w="4011" w:type="dxa"/>
            <w:vAlign w:val="center"/>
          </w:tcPr>
          <w:p w14:paraId="1ADACFAA">
            <w:pPr>
              <w:widowControl/>
              <w:spacing w:before="31" w:beforeLines="10" w:after="31" w:afterLines="10" w:line="320" w:lineRule="exact"/>
              <w:rPr>
                <w:rFonts w:hint="eastAsia" w:ascii="宋体" w:hAnsi="宋体" w:cs="宋体"/>
                <w:color w:val="auto"/>
                <w:highlight w:val="none"/>
              </w:rPr>
            </w:pPr>
            <w:r>
              <w:rPr>
                <w:rFonts w:hint="eastAsia" w:ascii="宋体" w:hAnsi="宋体" w:cs="宋体"/>
                <w:color w:val="auto"/>
                <w:highlight w:val="none"/>
              </w:rPr>
              <w:t>响应文件没有采购人不能接受的附加条件</w:t>
            </w:r>
          </w:p>
        </w:tc>
        <w:tc>
          <w:tcPr>
            <w:tcW w:w="3701" w:type="dxa"/>
            <w:vAlign w:val="center"/>
          </w:tcPr>
          <w:p w14:paraId="575D7729">
            <w:pPr>
              <w:adjustRightInd w:val="0"/>
              <w:snapToGrid w:val="0"/>
              <w:spacing w:line="276" w:lineRule="auto"/>
              <w:jc w:val="left"/>
              <w:rPr>
                <w:rFonts w:hint="eastAsia" w:ascii="宋体" w:hAnsi="宋体"/>
                <w:color w:val="auto"/>
                <w:highlight w:val="none"/>
              </w:rPr>
            </w:pPr>
            <w:r>
              <w:rPr>
                <w:rFonts w:ascii="宋体" w:hAnsi="宋体" w:cs="宋体"/>
                <w:color w:val="auto"/>
                <w:szCs w:val="21"/>
                <w:highlight w:val="none"/>
              </w:rPr>
              <w:t>是否符合磋商文件的规定</w:t>
            </w:r>
          </w:p>
        </w:tc>
      </w:tr>
      <w:tr w14:paraId="007E15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271FFA87">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9</w:t>
            </w:r>
          </w:p>
        </w:tc>
        <w:tc>
          <w:tcPr>
            <w:tcW w:w="4011" w:type="dxa"/>
            <w:vAlign w:val="center"/>
          </w:tcPr>
          <w:p w14:paraId="10DADAD2">
            <w:pPr>
              <w:widowControl/>
              <w:spacing w:before="31" w:beforeLines="10" w:after="31" w:afterLines="10" w:line="320" w:lineRule="exact"/>
              <w:rPr>
                <w:rFonts w:hint="eastAsia" w:ascii="宋体" w:hAnsi="宋体"/>
                <w:color w:val="auto"/>
                <w:highlight w:val="none"/>
              </w:rPr>
            </w:pPr>
            <w:r>
              <w:rPr>
                <w:rFonts w:hint="eastAsia" w:ascii="宋体" w:hAnsi="宋体"/>
                <w:color w:val="auto"/>
                <w:highlight w:val="none"/>
              </w:rPr>
              <w:t>响应文件中没有不符合法律、法规和磋商文件规定其他实质性要求的</w:t>
            </w:r>
          </w:p>
        </w:tc>
        <w:tc>
          <w:tcPr>
            <w:tcW w:w="3701" w:type="dxa"/>
            <w:vAlign w:val="center"/>
          </w:tcPr>
          <w:p w14:paraId="37097299">
            <w:pPr>
              <w:adjustRightInd w:val="0"/>
              <w:snapToGrid w:val="0"/>
              <w:spacing w:line="276" w:lineRule="auto"/>
              <w:jc w:val="left"/>
              <w:rPr>
                <w:rFonts w:hint="eastAsia" w:ascii="宋体" w:hAnsi="宋体"/>
                <w:color w:val="auto"/>
                <w:highlight w:val="none"/>
              </w:rPr>
            </w:pPr>
            <w:r>
              <w:rPr>
                <w:rFonts w:ascii="宋体" w:hAnsi="宋体" w:cs="宋体"/>
                <w:color w:val="auto"/>
                <w:szCs w:val="21"/>
                <w:highlight w:val="none"/>
              </w:rPr>
              <w:t>是否符合磋商文件的规定</w:t>
            </w:r>
          </w:p>
        </w:tc>
      </w:tr>
      <w:tr w14:paraId="00DDA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737" w:type="dxa"/>
            <w:gridSpan w:val="2"/>
            <w:vAlign w:val="center"/>
          </w:tcPr>
          <w:p w14:paraId="001BDD5F">
            <w:pPr>
              <w:widowControl/>
              <w:spacing w:before="31" w:beforeLines="10" w:after="31" w:afterLines="10" w:line="320" w:lineRule="exact"/>
              <w:jc w:val="center"/>
              <w:rPr>
                <w:rFonts w:hint="eastAsia" w:ascii="宋体" w:hAnsi="宋体"/>
                <w:color w:val="auto"/>
                <w:highlight w:val="none"/>
              </w:rPr>
            </w:pPr>
            <w:r>
              <w:rPr>
                <w:rFonts w:hint="eastAsia" w:ascii="宋体" w:hAnsi="宋体"/>
                <w:color w:val="auto"/>
                <w:highlight w:val="none"/>
              </w:rPr>
              <w:t>结论</w:t>
            </w:r>
          </w:p>
        </w:tc>
        <w:tc>
          <w:tcPr>
            <w:tcW w:w="3701" w:type="dxa"/>
            <w:vAlign w:val="center"/>
          </w:tcPr>
          <w:p w14:paraId="480848CC">
            <w:pPr>
              <w:widowControl/>
              <w:spacing w:before="31" w:beforeLines="10" w:after="31" w:afterLines="10" w:line="320" w:lineRule="exact"/>
              <w:jc w:val="center"/>
              <w:rPr>
                <w:rFonts w:hint="eastAsia" w:ascii="宋体" w:hAnsi="宋体"/>
                <w:color w:val="auto"/>
                <w:highlight w:val="none"/>
              </w:rPr>
            </w:pPr>
          </w:p>
        </w:tc>
      </w:tr>
    </w:tbl>
    <w:p w14:paraId="51E1837A">
      <w:pPr>
        <w:adjustRightInd w:val="0"/>
        <w:snapToGrid w:val="0"/>
        <w:spacing w:before="156" w:beforeLines="50"/>
        <w:ind w:right="-109" w:rightChars="-52"/>
        <w:rPr>
          <w:rFonts w:hint="eastAsia" w:ascii="宋体" w:hAnsi="宋体"/>
          <w:color w:val="auto"/>
          <w:highlight w:val="none"/>
        </w:rPr>
      </w:pPr>
      <w:r>
        <w:rPr>
          <w:rFonts w:hint="eastAsia" w:ascii="宋体" w:hAnsi="宋体"/>
          <w:color w:val="auto"/>
          <w:highlight w:val="none"/>
        </w:rPr>
        <w:t>注：</w:t>
      </w:r>
      <w:r>
        <w:rPr>
          <w:rFonts w:ascii="宋体" w:hAnsi="宋体"/>
          <w:color w:val="auto"/>
          <w:highlight w:val="none"/>
        </w:rPr>
        <w:t>1</w:t>
      </w:r>
      <w:r>
        <w:rPr>
          <w:rFonts w:hint="eastAsia" w:ascii="宋体" w:hAnsi="宋体"/>
          <w:color w:val="auto"/>
          <w:highlight w:val="none"/>
        </w:rPr>
        <w:t>、上述内容合格用“√”表示，不合格用“×”表示。</w:t>
      </w:r>
    </w:p>
    <w:p w14:paraId="537DCC44">
      <w:pPr>
        <w:adjustRightInd w:val="0"/>
        <w:snapToGrid w:val="0"/>
        <w:spacing w:before="156" w:beforeLines="50"/>
        <w:ind w:right="-109" w:rightChars="-52" w:firstLine="420" w:firstLineChars="200"/>
        <w:rPr>
          <w:rFonts w:ascii="宋体"/>
          <w:color w:val="auto"/>
          <w:highlight w:val="none"/>
        </w:rPr>
      </w:pPr>
      <w:r>
        <w:rPr>
          <w:rFonts w:ascii="宋体" w:hAnsi="宋体"/>
          <w:color w:val="auto"/>
          <w:highlight w:val="none"/>
        </w:rPr>
        <w:t>2</w:t>
      </w:r>
      <w:r>
        <w:rPr>
          <w:rFonts w:hint="eastAsia" w:ascii="宋体" w:hAnsi="宋体"/>
          <w:color w:val="auto"/>
          <w:highlight w:val="none"/>
        </w:rPr>
        <w:t>、以上内容有一项不合格的，则初步评审的综合评定结果为不合格。</w:t>
      </w:r>
    </w:p>
    <w:p w14:paraId="1C12360E">
      <w:pPr>
        <w:adjustRightInd w:val="0"/>
        <w:snapToGrid w:val="0"/>
        <w:spacing w:before="156" w:beforeLines="50" w:line="360" w:lineRule="exact"/>
        <w:ind w:left="632" w:hanging="632" w:hangingChars="300"/>
        <w:rPr>
          <w:rFonts w:ascii="宋体"/>
          <w:b/>
          <w:color w:val="auto"/>
          <w:highlight w:val="none"/>
        </w:rPr>
      </w:pPr>
      <w:r>
        <w:rPr>
          <w:rFonts w:ascii="宋体" w:hAnsi="宋体"/>
          <w:b/>
          <w:color w:val="auto"/>
          <w:highlight w:val="none"/>
        </w:rPr>
        <w:t>2.2</w:t>
      </w:r>
      <w:r>
        <w:rPr>
          <w:rFonts w:ascii="宋体" w:hAnsi="宋体"/>
          <w:b/>
          <w:color w:val="auto"/>
          <w:highlight w:val="none"/>
        </w:rPr>
        <w:tab/>
      </w:r>
      <w:bookmarkStart w:id="89" w:name="_Toc324196838"/>
      <w:r>
        <w:rPr>
          <w:rFonts w:hint="eastAsia" w:ascii="宋体" w:hAnsi="宋体"/>
          <w:b/>
          <w:color w:val="auto"/>
          <w:highlight w:val="none"/>
        </w:rPr>
        <w:t>澄清有关问题</w:t>
      </w:r>
      <w:bookmarkEnd w:id="89"/>
    </w:p>
    <w:p w14:paraId="01B07967">
      <w:pPr>
        <w:widowControl/>
        <w:adjustRightInd w:val="0"/>
        <w:snapToGrid w:val="0"/>
        <w:spacing w:line="440" w:lineRule="exact"/>
        <w:ind w:firstLine="420"/>
        <w:jc w:val="left"/>
        <w:rPr>
          <w:rFonts w:ascii="宋体" w:cs="宋体"/>
          <w:color w:val="auto"/>
          <w:kern w:val="0"/>
          <w:szCs w:val="21"/>
          <w:highlight w:val="none"/>
        </w:rPr>
      </w:pPr>
      <w:r>
        <w:rPr>
          <w:rFonts w:ascii="宋体" w:hAnsi="宋体" w:cs="宋体"/>
          <w:color w:val="auto"/>
          <w:kern w:val="0"/>
          <w:szCs w:val="21"/>
          <w:highlight w:val="none"/>
        </w:rPr>
        <w:t xml:space="preserve">2.2.1 </w:t>
      </w:r>
      <w:r>
        <w:rPr>
          <w:rFonts w:hint="eastAsia" w:ascii="宋体" w:hAnsi="宋体" w:cs="宋体"/>
          <w:color w:val="auto"/>
          <w:kern w:val="0"/>
          <w:szCs w:val="21"/>
          <w:highlight w:val="none"/>
        </w:rPr>
        <w:t>磋商小组在对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或者加盖公章。投标人的澄清、说明或者更正不得超出响应文件的范围或者改变响应文件的实质性内容。</w:t>
      </w:r>
    </w:p>
    <w:p w14:paraId="6A2E0E60">
      <w:pPr>
        <w:widowControl/>
        <w:adjustRightInd w:val="0"/>
        <w:snapToGrid w:val="0"/>
        <w:spacing w:line="440" w:lineRule="exact"/>
        <w:ind w:firstLine="420"/>
        <w:jc w:val="left"/>
        <w:rPr>
          <w:rFonts w:ascii="宋体" w:cs="宋体"/>
          <w:color w:val="auto"/>
          <w:kern w:val="0"/>
          <w:szCs w:val="21"/>
          <w:highlight w:val="none"/>
        </w:rPr>
      </w:pPr>
      <w:r>
        <w:rPr>
          <w:rFonts w:ascii="宋体" w:hAnsi="宋体" w:cs="宋体"/>
          <w:color w:val="auto"/>
          <w:kern w:val="0"/>
          <w:szCs w:val="21"/>
          <w:highlight w:val="none"/>
        </w:rPr>
        <w:t xml:space="preserve">2.2.2 </w:t>
      </w:r>
      <w:r>
        <w:rPr>
          <w:rFonts w:hint="eastAsia" w:ascii="宋体" w:hAnsi="宋体" w:cs="宋体"/>
          <w:color w:val="auto"/>
          <w:kern w:val="0"/>
          <w:szCs w:val="21"/>
          <w:highlight w:val="none"/>
        </w:rPr>
        <w:t>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03EA6E4B">
      <w:pPr>
        <w:adjustRightInd w:val="0"/>
        <w:snapToGrid w:val="0"/>
        <w:spacing w:line="320" w:lineRule="exact"/>
        <w:ind w:right="-109" w:rightChars="-52"/>
        <w:jc w:val="right"/>
        <w:rPr>
          <w:rFonts w:ascii="宋体"/>
          <w:b/>
          <w:color w:val="auto"/>
          <w:highlight w:val="none"/>
        </w:rPr>
      </w:pPr>
    </w:p>
    <w:p w14:paraId="5395EF90">
      <w:pPr>
        <w:adjustRightInd w:val="0"/>
        <w:snapToGrid w:val="0"/>
        <w:spacing w:line="320" w:lineRule="exact"/>
        <w:ind w:right="-109" w:rightChars="-52"/>
        <w:jc w:val="center"/>
        <w:rPr>
          <w:rFonts w:ascii="宋体"/>
          <w:color w:val="auto"/>
          <w:highlight w:val="none"/>
        </w:rPr>
      </w:pPr>
      <w:r>
        <w:rPr>
          <w:rFonts w:hint="eastAsia" w:ascii="宋体" w:hAnsi="宋体"/>
          <w:b/>
          <w:color w:val="auto"/>
          <w:highlight w:val="none"/>
        </w:rPr>
        <w:t>附3</w:t>
      </w:r>
      <w:r>
        <w:rPr>
          <w:rFonts w:ascii="宋体" w:hAnsi="宋体"/>
          <w:b/>
          <w:color w:val="auto"/>
          <w:highlight w:val="none"/>
        </w:rPr>
        <w:t xml:space="preserve">  </w:t>
      </w:r>
      <w:r>
        <w:rPr>
          <w:rFonts w:hint="eastAsia" w:ascii="宋体" w:hAnsi="宋体"/>
          <w:b/>
          <w:color w:val="auto"/>
          <w:highlight w:val="none"/>
        </w:rPr>
        <w:t>澄清、说明、补正事项纪要表</w:t>
      </w:r>
    </w:p>
    <w:tbl>
      <w:tblPr>
        <w:tblStyle w:val="42"/>
        <w:tblW w:w="958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588"/>
        <w:gridCol w:w="1631"/>
        <w:gridCol w:w="1631"/>
        <w:gridCol w:w="1631"/>
        <w:gridCol w:w="1633"/>
      </w:tblGrid>
      <w:tr w14:paraId="7C6F50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68" w:type="dxa"/>
            <w:tcBorders>
              <w:top w:val="double" w:color="auto" w:sz="4" w:space="0"/>
            </w:tcBorders>
            <w:vAlign w:val="center"/>
          </w:tcPr>
          <w:p w14:paraId="3A14499E">
            <w:pPr>
              <w:widowControl/>
              <w:spacing w:line="240" w:lineRule="atLeast"/>
              <w:rPr>
                <w:rFonts w:ascii="宋体"/>
                <w:color w:val="auto"/>
                <w:highlight w:val="none"/>
              </w:rPr>
            </w:pPr>
            <w:r>
              <w:rPr>
                <w:rFonts w:hint="eastAsia" w:ascii="宋体" w:hAnsi="宋体"/>
                <w:color w:val="auto"/>
                <w:highlight w:val="none"/>
              </w:rPr>
              <w:t>序号</w:t>
            </w:r>
          </w:p>
        </w:tc>
        <w:tc>
          <w:tcPr>
            <w:tcW w:w="2588" w:type="dxa"/>
            <w:tcBorders>
              <w:top w:val="double" w:color="auto" w:sz="4" w:space="0"/>
            </w:tcBorders>
            <w:vAlign w:val="center"/>
          </w:tcPr>
          <w:p w14:paraId="3759183A">
            <w:pPr>
              <w:widowControl/>
              <w:spacing w:line="495" w:lineRule="atLeast"/>
              <w:jc w:val="center"/>
              <w:rPr>
                <w:rFonts w:ascii="宋体"/>
                <w:color w:val="auto"/>
                <w:highlight w:val="none"/>
              </w:rPr>
            </w:pPr>
            <w:r>
              <w:rPr>
                <w:rFonts w:hint="eastAsia" w:ascii="宋体" w:hAnsi="宋体"/>
                <w:color w:val="auto"/>
                <w:highlight w:val="none"/>
              </w:rPr>
              <w:t>投标人</w:t>
            </w:r>
          </w:p>
        </w:tc>
        <w:tc>
          <w:tcPr>
            <w:tcW w:w="1631" w:type="dxa"/>
            <w:tcBorders>
              <w:top w:val="double" w:color="auto" w:sz="4" w:space="0"/>
            </w:tcBorders>
            <w:vAlign w:val="center"/>
          </w:tcPr>
          <w:p w14:paraId="70033D23">
            <w:pPr>
              <w:widowControl/>
              <w:spacing w:line="240" w:lineRule="atLeast"/>
              <w:jc w:val="center"/>
              <w:rPr>
                <w:color w:val="auto"/>
                <w:highlight w:val="none"/>
              </w:rPr>
            </w:pPr>
            <w:r>
              <w:rPr>
                <w:rFonts w:hint="eastAsia" w:ascii="宋体" w:hAnsi="宋体"/>
                <w:color w:val="auto"/>
                <w:highlight w:val="none"/>
              </w:rPr>
              <w:t>磋商文件中需要澄清的页次</w:t>
            </w:r>
          </w:p>
        </w:tc>
        <w:tc>
          <w:tcPr>
            <w:tcW w:w="1631" w:type="dxa"/>
            <w:tcBorders>
              <w:top w:val="double" w:color="auto" w:sz="4" w:space="0"/>
            </w:tcBorders>
            <w:vAlign w:val="center"/>
          </w:tcPr>
          <w:p w14:paraId="474D6046">
            <w:pPr>
              <w:widowControl/>
              <w:spacing w:line="240" w:lineRule="atLeast"/>
              <w:jc w:val="center"/>
              <w:rPr>
                <w:color w:val="auto"/>
                <w:highlight w:val="none"/>
              </w:rPr>
            </w:pPr>
            <w:r>
              <w:rPr>
                <w:rFonts w:hint="eastAsia" w:ascii="宋体" w:hAnsi="宋体"/>
                <w:color w:val="auto"/>
                <w:highlight w:val="none"/>
              </w:rPr>
              <w:t>对投标文件中含义不明确</w:t>
            </w:r>
          </w:p>
        </w:tc>
        <w:tc>
          <w:tcPr>
            <w:tcW w:w="1631" w:type="dxa"/>
            <w:tcBorders>
              <w:top w:val="double" w:color="auto" w:sz="4" w:space="0"/>
            </w:tcBorders>
            <w:vAlign w:val="center"/>
          </w:tcPr>
          <w:p w14:paraId="7E73414E">
            <w:pPr>
              <w:widowControl/>
              <w:spacing w:line="240" w:lineRule="atLeast"/>
              <w:jc w:val="center"/>
              <w:rPr>
                <w:color w:val="auto"/>
                <w:highlight w:val="none"/>
              </w:rPr>
            </w:pPr>
            <w:r>
              <w:rPr>
                <w:rFonts w:hint="eastAsia" w:ascii="宋体" w:hAnsi="宋体"/>
                <w:color w:val="auto"/>
                <w:highlight w:val="none"/>
              </w:rPr>
              <w:t>对同类问题表述不一致</w:t>
            </w:r>
          </w:p>
        </w:tc>
        <w:tc>
          <w:tcPr>
            <w:tcW w:w="1633" w:type="dxa"/>
            <w:tcBorders>
              <w:top w:val="double" w:color="auto" w:sz="4" w:space="0"/>
            </w:tcBorders>
            <w:vAlign w:val="center"/>
          </w:tcPr>
          <w:p w14:paraId="269D5269">
            <w:pPr>
              <w:widowControl/>
              <w:spacing w:line="240" w:lineRule="atLeast"/>
              <w:jc w:val="center"/>
              <w:rPr>
                <w:color w:val="auto"/>
                <w:highlight w:val="none"/>
              </w:rPr>
            </w:pPr>
            <w:r>
              <w:rPr>
                <w:rFonts w:hint="eastAsia" w:ascii="宋体" w:hAnsi="宋体"/>
                <w:color w:val="auto"/>
                <w:highlight w:val="none"/>
              </w:rPr>
              <w:t>明显文字和计算错误的内容</w:t>
            </w:r>
          </w:p>
        </w:tc>
      </w:tr>
      <w:tr w14:paraId="5BC1D6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bottom"/>
          </w:tcPr>
          <w:p w14:paraId="556C331E">
            <w:pPr>
              <w:widowControl/>
              <w:spacing w:line="240" w:lineRule="atLeast"/>
              <w:jc w:val="center"/>
              <w:rPr>
                <w:rFonts w:ascii="宋体"/>
                <w:color w:val="auto"/>
                <w:highlight w:val="none"/>
              </w:rPr>
            </w:pPr>
            <w:r>
              <w:rPr>
                <w:rFonts w:ascii="宋体" w:hAnsi="宋体"/>
                <w:color w:val="auto"/>
                <w:highlight w:val="none"/>
              </w:rPr>
              <w:t>1</w:t>
            </w:r>
          </w:p>
        </w:tc>
        <w:tc>
          <w:tcPr>
            <w:tcW w:w="2588" w:type="dxa"/>
            <w:vAlign w:val="center"/>
          </w:tcPr>
          <w:p w14:paraId="32F1ECA0">
            <w:pPr>
              <w:widowControl/>
              <w:spacing w:line="495" w:lineRule="atLeast"/>
              <w:rPr>
                <w:rFonts w:ascii="宋体"/>
                <w:color w:val="auto"/>
                <w:highlight w:val="none"/>
              </w:rPr>
            </w:pPr>
          </w:p>
        </w:tc>
        <w:tc>
          <w:tcPr>
            <w:tcW w:w="1631" w:type="dxa"/>
            <w:vAlign w:val="center"/>
          </w:tcPr>
          <w:p w14:paraId="060F9118">
            <w:pPr>
              <w:widowControl/>
              <w:spacing w:line="495" w:lineRule="atLeast"/>
              <w:rPr>
                <w:color w:val="auto"/>
                <w:highlight w:val="none"/>
              </w:rPr>
            </w:pPr>
          </w:p>
        </w:tc>
        <w:tc>
          <w:tcPr>
            <w:tcW w:w="1631" w:type="dxa"/>
            <w:vAlign w:val="center"/>
          </w:tcPr>
          <w:p w14:paraId="1E3DE677">
            <w:pPr>
              <w:widowControl/>
              <w:spacing w:line="495" w:lineRule="atLeast"/>
              <w:rPr>
                <w:color w:val="auto"/>
                <w:highlight w:val="none"/>
              </w:rPr>
            </w:pPr>
          </w:p>
        </w:tc>
        <w:tc>
          <w:tcPr>
            <w:tcW w:w="1631" w:type="dxa"/>
            <w:vAlign w:val="center"/>
          </w:tcPr>
          <w:p w14:paraId="47BF252B">
            <w:pPr>
              <w:widowControl/>
              <w:spacing w:line="495" w:lineRule="atLeast"/>
              <w:rPr>
                <w:color w:val="auto"/>
                <w:highlight w:val="none"/>
              </w:rPr>
            </w:pPr>
          </w:p>
        </w:tc>
        <w:tc>
          <w:tcPr>
            <w:tcW w:w="1633" w:type="dxa"/>
            <w:vAlign w:val="center"/>
          </w:tcPr>
          <w:p w14:paraId="0B01B678">
            <w:pPr>
              <w:widowControl/>
              <w:spacing w:line="495" w:lineRule="atLeast"/>
              <w:rPr>
                <w:color w:val="auto"/>
                <w:highlight w:val="none"/>
              </w:rPr>
            </w:pPr>
          </w:p>
        </w:tc>
      </w:tr>
      <w:tr w14:paraId="03240A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14:paraId="365D8C45">
            <w:pPr>
              <w:widowControl/>
              <w:spacing w:line="495" w:lineRule="atLeast"/>
              <w:jc w:val="center"/>
              <w:rPr>
                <w:rFonts w:ascii="宋体"/>
                <w:color w:val="auto"/>
                <w:highlight w:val="none"/>
              </w:rPr>
            </w:pPr>
            <w:r>
              <w:rPr>
                <w:rFonts w:ascii="宋体" w:hAnsi="宋体"/>
                <w:color w:val="auto"/>
                <w:highlight w:val="none"/>
              </w:rPr>
              <w:t>2</w:t>
            </w:r>
          </w:p>
        </w:tc>
        <w:tc>
          <w:tcPr>
            <w:tcW w:w="2588" w:type="dxa"/>
            <w:vAlign w:val="center"/>
          </w:tcPr>
          <w:p w14:paraId="3DDB09AF">
            <w:pPr>
              <w:widowControl/>
              <w:spacing w:line="495" w:lineRule="atLeast"/>
              <w:rPr>
                <w:rFonts w:ascii="宋体"/>
                <w:color w:val="auto"/>
                <w:highlight w:val="none"/>
              </w:rPr>
            </w:pPr>
          </w:p>
        </w:tc>
        <w:tc>
          <w:tcPr>
            <w:tcW w:w="1631" w:type="dxa"/>
            <w:vAlign w:val="center"/>
          </w:tcPr>
          <w:p w14:paraId="170F5784">
            <w:pPr>
              <w:widowControl/>
              <w:spacing w:line="495" w:lineRule="atLeast"/>
              <w:rPr>
                <w:color w:val="auto"/>
                <w:highlight w:val="none"/>
              </w:rPr>
            </w:pPr>
          </w:p>
        </w:tc>
        <w:tc>
          <w:tcPr>
            <w:tcW w:w="1631" w:type="dxa"/>
            <w:vAlign w:val="center"/>
          </w:tcPr>
          <w:p w14:paraId="429D2DBB">
            <w:pPr>
              <w:widowControl/>
              <w:spacing w:line="495" w:lineRule="atLeast"/>
              <w:rPr>
                <w:color w:val="auto"/>
                <w:highlight w:val="none"/>
              </w:rPr>
            </w:pPr>
          </w:p>
        </w:tc>
        <w:tc>
          <w:tcPr>
            <w:tcW w:w="1631" w:type="dxa"/>
            <w:vAlign w:val="center"/>
          </w:tcPr>
          <w:p w14:paraId="22F0436A">
            <w:pPr>
              <w:widowControl/>
              <w:spacing w:line="495" w:lineRule="atLeast"/>
              <w:rPr>
                <w:color w:val="auto"/>
                <w:highlight w:val="none"/>
              </w:rPr>
            </w:pPr>
          </w:p>
        </w:tc>
        <w:tc>
          <w:tcPr>
            <w:tcW w:w="1633" w:type="dxa"/>
            <w:vAlign w:val="center"/>
          </w:tcPr>
          <w:p w14:paraId="7657033C">
            <w:pPr>
              <w:widowControl/>
              <w:spacing w:line="495" w:lineRule="atLeast"/>
              <w:rPr>
                <w:color w:val="auto"/>
                <w:highlight w:val="none"/>
              </w:rPr>
            </w:pPr>
          </w:p>
        </w:tc>
      </w:tr>
      <w:tr w14:paraId="4C040F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tcBorders>
              <w:bottom w:val="double" w:color="auto" w:sz="4" w:space="0"/>
            </w:tcBorders>
          </w:tcPr>
          <w:p w14:paraId="18BF8456">
            <w:pPr>
              <w:widowControl/>
              <w:spacing w:line="495" w:lineRule="atLeast"/>
              <w:jc w:val="center"/>
              <w:rPr>
                <w:rFonts w:ascii="宋体"/>
                <w:color w:val="auto"/>
                <w:highlight w:val="none"/>
              </w:rPr>
            </w:pPr>
            <w:r>
              <w:rPr>
                <w:rFonts w:ascii="宋体" w:hAnsi="宋体"/>
                <w:color w:val="auto"/>
                <w:highlight w:val="none"/>
              </w:rPr>
              <w:t>3</w:t>
            </w:r>
          </w:p>
        </w:tc>
        <w:tc>
          <w:tcPr>
            <w:tcW w:w="2588" w:type="dxa"/>
            <w:tcBorders>
              <w:bottom w:val="double" w:color="auto" w:sz="4" w:space="0"/>
            </w:tcBorders>
            <w:vAlign w:val="center"/>
          </w:tcPr>
          <w:p w14:paraId="0644A89F">
            <w:pPr>
              <w:widowControl/>
              <w:spacing w:line="495" w:lineRule="atLeast"/>
              <w:rPr>
                <w:rFonts w:ascii="宋体"/>
                <w:color w:val="auto"/>
                <w:highlight w:val="none"/>
              </w:rPr>
            </w:pPr>
          </w:p>
        </w:tc>
        <w:tc>
          <w:tcPr>
            <w:tcW w:w="1631" w:type="dxa"/>
            <w:tcBorders>
              <w:bottom w:val="double" w:color="auto" w:sz="4" w:space="0"/>
            </w:tcBorders>
            <w:vAlign w:val="center"/>
          </w:tcPr>
          <w:p w14:paraId="130589EC">
            <w:pPr>
              <w:widowControl/>
              <w:spacing w:line="495" w:lineRule="atLeast"/>
              <w:rPr>
                <w:color w:val="auto"/>
                <w:highlight w:val="none"/>
              </w:rPr>
            </w:pPr>
          </w:p>
        </w:tc>
        <w:tc>
          <w:tcPr>
            <w:tcW w:w="1631" w:type="dxa"/>
            <w:tcBorders>
              <w:bottom w:val="double" w:color="auto" w:sz="4" w:space="0"/>
            </w:tcBorders>
            <w:vAlign w:val="center"/>
          </w:tcPr>
          <w:p w14:paraId="5688D203">
            <w:pPr>
              <w:widowControl/>
              <w:spacing w:line="495" w:lineRule="atLeast"/>
              <w:rPr>
                <w:color w:val="auto"/>
                <w:highlight w:val="none"/>
              </w:rPr>
            </w:pPr>
          </w:p>
        </w:tc>
        <w:tc>
          <w:tcPr>
            <w:tcW w:w="1631" w:type="dxa"/>
            <w:tcBorders>
              <w:bottom w:val="double" w:color="auto" w:sz="4" w:space="0"/>
            </w:tcBorders>
            <w:vAlign w:val="center"/>
          </w:tcPr>
          <w:p w14:paraId="59EDAE88">
            <w:pPr>
              <w:widowControl/>
              <w:spacing w:line="495" w:lineRule="atLeast"/>
              <w:rPr>
                <w:color w:val="auto"/>
                <w:highlight w:val="none"/>
              </w:rPr>
            </w:pPr>
          </w:p>
        </w:tc>
        <w:tc>
          <w:tcPr>
            <w:tcW w:w="1633" w:type="dxa"/>
            <w:tcBorders>
              <w:bottom w:val="double" w:color="auto" w:sz="4" w:space="0"/>
            </w:tcBorders>
            <w:vAlign w:val="center"/>
          </w:tcPr>
          <w:p w14:paraId="0E4D7166">
            <w:pPr>
              <w:widowControl/>
              <w:spacing w:line="495" w:lineRule="atLeast"/>
              <w:rPr>
                <w:color w:val="auto"/>
                <w:highlight w:val="none"/>
              </w:rPr>
            </w:pPr>
          </w:p>
        </w:tc>
      </w:tr>
    </w:tbl>
    <w:p w14:paraId="52CBCE1F">
      <w:pPr>
        <w:adjustRightInd w:val="0"/>
        <w:snapToGrid w:val="0"/>
        <w:spacing w:line="440" w:lineRule="exact"/>
        <w:ind w:left="-315" w:leftChars="-150" w:right="-109" w:rightChars="-52" w:firstLine="422" w:firstLineChars="200"/>
        <w:rPr>
          <w:rFonts w:hint="eastAsia" w:ascii="宋体" w:hAnsi="宋体"/>
          <w:b/>
          <w:color w:val="auto"/>
          <w:highlight w:val="none"/>
        </w:rPr>
      </w:pPr>
      <w:bookmarkStart w:id="90" w:name="_Toc324196839"/>
      <w:r>
        <w:rPr>
          <w:rFonts w:hint="eastAsia" w:ascii="宋体" w:hAnsi="宋体"/>
          <w:b/>
          <w:color w:val="auto"/>
          <w:highlight w:val="none"/>
        </w:rPr>
        <w:t>2.3   磋商</w:t>
      </w:r>
    </w:p>
    <w:p w14:paraId="6FAF4A3C">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2.3.1</w:t>
      </w:r>
      <w:r>
        <w:rPr>
          <w:rFonts w:hint="eastAsia" w:ascii="宋体" w:hAnsi="宋体"/>
          <w:color w:val="auto"/>
          <w:highlight w:val="none"/>
        </w:rPr>
        <w:t>以投标人递交首次响应文件的顺序确定为磋商评审顺序，并按此顺序根据第二章第</w:t>
      </w:r>
      <w:r>
        <w:rPr>
          <w:rFonts w:ascii="宋体" w:hAnsi="宋体"/>
          <w:color w:val="auto"/>
          <w:highlight w:val="none"/>
        </w:rPr>
        <w:t>31</w:t>
      </w:r>
      <w:r>
        <w:rPr>
          <w:rFonts w:hint="eastAsia" w:ascii="宋体" w:hAnsi="宋体"/>
          <w:color w:val="auto"/>
          <w:highlight w:val="none"/>
        </w:rPr>
        <w:t>款“磋商”内容及要求进行磋商。</w:t>
      </w:r>
    </w:p>
    <w:p w14:paraId="32BFCADF">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2.3.2</w:t>
      </w:r>
      <w:r>
        <w:rPr>
          <w:rFonts w:hint="eastAsia" w:ascii="宋体" w:hAnsi="宋体"/>
          <w:color w:val="auto"/>
          <w:highlight w:val="none"/>
        </w:rPr>
        <w:t>磋商小组所有成员将集中与单一投标人分别进行磋商，并给予所有参加磋商的投标人平等磋商的机会，投标人应派其法定代表人或委托代理人参加。</w:t>
      </w:r>
    </w:p>
    <w:p w14:paraId="02D69639">
      <w:pPr>
        <w:adjustRightInd w:val="0"/>
        <w:snapToGrid w:val="0"/>
        <w:spacing w:line="440" w:lineRule="exact"/>
        <w:ind w:left="-315" w:leftChars="-150" w:right="-109" w:rightChars="-52" w:firstLine="422" w:firstLineChars="200"/>
        <w:rPr>
          <w:rFonts w:hint="eastAsia" w:ascii="宋体" w:hAnsi="宋体"/>
          <w:b/>
          <w:color w:val="auto"/>
          <w:highlight w:val="none"/>
        </w:rPr>
      </w:pPr>
      <w:r>
        <w:rPr>
          <w:rFonts w:ascii="宋体" w:hAnsi="宋体"/>
          <w:b/>
          <w:color w:val="auto"/>
          <w:highlight w:val="none"/>
        </w:rPr>
        <w:t>2.4</w:t>
      </w:r>
      <w:bookmarkEnd w:id="90"/>
      <w:r>
        <w:rPr>
          <w:rFonts w:ascii="宋体" w:hAnsi="宋体"/>
          <w:b/>
          <w:color w:val="auto"/>
          <w:highlight w:val="none"/>
        </w:rPr>
        <w:t xml:space="preserve">  </w:t>
      </w:r>
      <w:r>
        <w:rPr>
          <w:rFonts w:hint="eastAsia" w:ascii="宋体" w:hAnsi="宋体"/>
          <w:b/>
          <w:color w:val="auto"/>
          <w:highlight w:val="none"/>
        </w:rPr>
        <w:t>响应文件评审</w:t>
      </w:r>
    </w:p>
    <w:p w14:paraId="7D4DA793">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磋商小组按照磋商文件中规定的评审因素和标准，对资格性检查和符合性检查合格的响应文件两阶段评审：</w:t>
      </w:r>
    </w:p>
    <w:p w14:paraId="2722AC51">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第一阶段：磋商小组可以与投标人进行多轮磋商，磋商过程中可实质性修订磋商文件的技术、服务要求以及合同条件条款，但不得修订磋商文件中规定的不可磋商的核心条件。实质性变动的内容，须经采购人确认，并通知所有参与谈判的投标人。</w:t>
      </w:r>
    </w:p>
    <w:p w14:paraId="783957D8">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第二阶段：综合评分。由磋商小组对投标人提交的最终响应文件进行综合评分，编写评审报告并向采购人提交候选投标人的排序名单（评审得分相同的，按照最后报价得分由高到低的顺序。评审得分且最后报价得分相同的，按照技术指标优劣顺序）。</w:t>
      </w:r>
    </w:p>
    <w:p w14:paraId="4AEBF10E">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 xml:space="preserve">2.4.1   </w:t>
      </w:r>
      <w:r>
        <w:rPr>
          <w:rFonts w:hint="eastAsia" w:ascii="宋体" w:hAnsi="宋体"/>
          <w:color w:val="auto"/>
          <w:highlight w:val="none"/>
        </w:rPr>
        <w:t>响应程度、商务、技术、价格评分标准（采取百分制）</w:t>
      </w:r>
    </w:p>
    <w:p w14:paraId="588B7C07">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 xml:space="preserve">2.4.2   </w:t>
      </w:r>
      <w:r>
        <w:rPr>
          <w:rFonts w:hint="eastAsia" w:ascii="宋体" w:hAnsi="宋体"/>
          <w:color w:val="auto"/>
          <w:highlight w:val="none"/>
        </w:rPr>
        <w:t>基准价</w:t>
      </w:r>
    </w:p>
    <w:p w14:paraId="7A21FF7E">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满足磋商文件要求且每一项最后磋商报价最低的报价为磋商基准价</w:t>
      </w:r>
      <w:r>
        <w:rPr>
          <w:rFonts w:ascii="宋体" w:hAnsi="宋体"/>
          <w:color w:val="auto"/>
          <w:highlight w:val="none"/>
        </w:rPr>
        <w:t>,</w:t>
      </w:r>
      <w:r>
        <w:rPr>
          <w:rFonts w:hint="eastAsia" w:ascii="宋体" w:hAnsi="宋体"/>
          <w:color w:val="auto"/>
          <w:highlight w:val="none"/>
        </w:rPr>
        <w:t>其价格分为满分。</w:t>
      </w:r>
    </w:p>
    <w:p w14:paraId="055374A5">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 xml:space="preserve">  </w:t>
      </w:r>
      <w:r>
        <w:rPr>
          <w:rFonts w:hint="eastAsia" w:ascii="宋体" w:hAnsi="宋体"/>
          <w:color w:val="auto"/>
          <w:highlight w:val="none"/>
        </w:rPr>
        <w:t>评分准则</w:t>
      </w:r>
    </w:p>
    <w:p w14:paraId="6DAE98C2">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评分按以下计算汇总投标人最后得分。其计算公式如下：</w:t>
      </w:r>
    </w:p>
    <w:p w14:paraId="5E273ADE">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评审总得分＝</w:t>
      </w:r>
      <w:r>
        <w:rPr>
          <w:rFonts w:ascii="宋体" w:hAnsi="宋体"/>
          <w:color w:val="auto"/>
          <w:highlight w:val="none"/>
        </w:rPr>
        <w:t>F1</w:t>
      </w:r>
      <w:r>
        <w:rPr>
          <w:rFonts w:hint="eastAsia" w:ascii="宋体" w:hAnsi="宋体"/>
          <w:color w:val="auto"/>
          <w:highlight w:val="none"/>
        </w:rPr>
        <w:t>×</w:t>
      </w:r>
      <w:r>
        <w:rPr>
          <w:rFonts w:ascii="宋体" w:hAnsi="宋体"/>
          <w:color w:val="auto"/>
          <w:highlight w:val="none"/>
        </w:rPr>
        <w:t>A1</w:t>
      </w:r>
      <w:r>
        <w:rPr>
          <w:rFonts w:hint="eastAsia" w:ascii="宋体" w:hAnsi="宋体"/>
          <w:color w:val="auto"/>
          <w:highlight w:val="none"/>
        </w:rPr>
        <w:t>＋</w:t>
      </w:r>
      <w:r>
        <w:rPr>
          <w:rFonts w:ascii="宋体" w:hAnsi="宋体"/>
          <w:color w:val="auto"/>
          <w:highlight w:val="none"/>
        </w:rPr>
        <w:t>F2</w:t>
      </w:r>
      <w:r>
        <w:rPr>
          <w:rFonts w:hint="eastAsia" w:ascii="宋体" w:hAnsi="宋体"/>
          <w:color w:val="auto"/>
          <w:highlight w:val="none"/>
        </w:rPr>
        <w:t>×</w:t>
      </w:r>
      <w:r>
        <w:rPr>
          <w:rFonts w:ascii="宋体" w:hAnsi="宋体"/>
          <w:color w:val="auto"/>
          <w:highlight w:val="none"/>
        </w:rPr>
        <w:t>A2</w:t>
      </w:r>
      <w:r>
        <w:rPr>
          <w:rFonts w:hint="eastAsia" w:ascii="宋体" w:hAnsi="宋体"/>
          <w:color w:val="auto"/>
          <w:highlight w:val="none"/>
        </w:rPr>
        <w:t>＋……＋</w:t>
      </w:r>
      <w:r>
        <w:rPr>
          <w:rFonts w:ascii="宋体" w:hAnsi="宋体"/>
          <w:color w:val="auto"/>
          <w:highlight w:val="none"/>
        </w:rPr>
        <w:t>Fn</w:t>
      </w:r>
      <w:r>
        <w:rPr>
          <w:rFonts w:hint="eastAsia" w:ascii="宋体" w:hAnsi="宋体"/>
          <w:color w:val="auto"/>
          <w:highlight w:val="none"/>
        </w:rPr>
        <w:t>×</w:t>
      </w:r>
      <w:r>
        <w:rPr>
          <w:rFonts w:ascii="宋体" w:hAnsi="宋体"/>
          <w:color w:val="auto"/>
          <w:highlight w:val="none"/>
        </w:rPr>
        <w:t>An</w:t>
      </w:r>
    </w:p>
    <w:p w14:paraId="220A422C">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F1</w:t>
      </w:r>
      <w:r>
        <w:rPr>
          <w:rFonts w:hint="eastAsia" w:ascii="宋体" w:hAnsi="宋体"/>
          <w:color w:val="auto"/>
          <w:highlight w:val="none"/>
        </w:rPr>
        <w:t>、</w:t>
      </w:r>
      <w:r>
        <w:rPr>
          <w:rFonts w:ascii="宋体" w:hAnsi="宋体"/>
          <w:color w:val="auto"/>
          <w:highlight w:val="none"/>
        </w:rPr>
        <w:t>F2</w:t>
      </w:r>
      <w:r>
        <w:rPr>
          <w:rFonts w:hint="eastAsia" w:ascii="宋体" w:hAnsi="宋体"/>
          <w:color w:val="auto"/>
          <w:highlight w:val="none"/>
        </w:rPr>
        <w:t>……</w:t>
      </w:r>
      <w:r>
        <w:rPr>
          <w:rFonts w:ascii="宋体" w:hAnsi="宋体"/>
          <w:color w:val="auto"/>
          <w:highlight w:val="none"/>
        </w:rPr>
        <w:t>Fn</w:t>
      </w:r>
      <w:r>
        <w:rPr>
          <w:rFonts w:hint="eastAsia" w:ascii="宋体" w:hAnsi="宋体"/>
          <w:color w:val="auto"/>
          <w:highlight w:val="none"/>
        </w:rPr>
        <w:t>分别为各项评分因素的汇总得分；</w:t>
      </w:r>
    </w:p>
    <w:p w14:paraId="7E995E8F">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A1</w:t>
      </w:r>
      <w:r>
        <w:rPr>
          <w:rFonts w:hint="eastAsia" w:ascii="宋体" w:hAnsi="宋体"/>
          <w:color w:val="auto"/>
          <w:highlight w:val="none"/>
        </w:rPr>
        <w:t>、</w:t>
      </w:r>
      <w:r>
        <w:rPr>
          <w:rFonts w:ascii="宋体" w:hAnsi="宋体"/>
          <w:color w:val="auto"/>
          <w:highlight w:val="none"/>
        </w:rPr>
        <w:t>A2</w:t>
      </w:r>
      <w:r>
        <w:rPr>
          <w:rFonts w:hint="eastAsia" w:ascii="宋体" w:hAnsi="宋体"/>
          <w:color w:val="auto"/>
          <w:highlight w:val="none"/>
        </w:rPr>
        <w:t>、……</w:t>
      </w:r>
      <w:r>
        <w:rPr>
          <w:rFonts w:ascii="宋体" w:hAnsi="宋体"/>
          <w:color w:val="auto"/>
          <w:highlight w:val="none"/>
        </w:rPr>
        <w:t xml:space="preserve">An </w:t>
      </w:r>
      <w:r>
        <w:rPr>
          <w:rFonts w:hint="eastAsia" w:ascii="宋体" w:hAnsi="宋体"/>
          <w:color w:val="auto"/>
          <w:highlight w:val="none"/>
        </w:rPr>
        <w:t>分别为各项评分因素所占的权重</w:t>
      </w:r>
      <w:r>
        <w:rPr>
          <w:rFonts w:ascii="宋体" w:hAnsi="宋体"/>
          <w:color w:val="auto"/>
          <w:highlight w:val="none"/>
        </w:rPr>
        <w:t>(A1</w:t>
      </w:r>
      <w:r>
        <w:rPr>
          <w:rFonts w:hint="eastAsia" w:ascii="宋体" w:hAnsi="宋体"/>
          <w:color w:val="auto"/>
          <w:highlight w:val="none"/>
        </w:rPr>
        <w:t>＋</w:t>
      </w:r>
      <w:r>
        <w:rPr>
          <w:rFonts w:ascii="宋体" w:hAnsi="宋体"/>
          <w:color w:val="auto"/>
          <w:highlight w:val="none"/>
        </w:rPr>
        <w:t>A2</w:t>
      </w:r>
      <w:r>
        <w:rPr>
          <w:rFonts w:hint="eastAsia" w:ascii="宋体" w:hAnsi="宋体"/>
          <w:color w:val="auto"/>
          <w:highlight w:val="none"/>
        </w:rPr>
        <w:t>＋……＋</w:t>
      </w:r>
      <w:r>
        <w:rPr>
          <w:rFonts w:ascii="宋体" w:hAnsi="宋体"/>
          <w:color w:val="auto"/>
          <w:highlight w:val="none"/>
        </w:rPr>
        <w:t>An</w:t>
      </w: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w:t>
      </w:r>
    </w:p>
    <w:p w14:paraId="5CCD8637">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F1</w:t>
      </w:r>
      <w:r>
        <w:rPr>
          <w:rFonts w:hint="eastAsia" w:ascii="宋体" w:hAnsi="宋体"/>
          <w:color w:val="auto"/>
          <w:highlight w:val="none"/>
        </w:rPr>
        <w:t>：各磋商小组技术评分的算术平均值：</w:t>
      </w:r>
      <w:r>
        <w:rPr>
          <w:rFonts w:ascii="宋体" w:hAnsi="宋体"/>
          <w:color w:val="auto"/>
          <w:highlight w:val="none"/>
        </w:rPr>
        <w:t>F2=(F2-1+F2-2+</w:t>
      </w:r>
      <w:r>
        <w:rPr>
          <w:rFonts w:hint="eastAsia" w:ascii="宋体" w:hAnsi="宋体"/>
          <w:color w:val="auto"/>
          <w:highlight w:val="none"/>
        </w:rPr>
        <w:t>…</w:t>
      </w:r>
      <w:r>
        <w:rPr>
          <w:rFonts w:ascii="宋体" w:hAnsi="宋体"/>
          <w:color w:val="auto"/>
          <w:highlight w:val="none"/>
        </w:rPr>
        <w:t>.F2-N)/N</w:t>
      </w:r>
    </w:p>
    <w:p w14:paraId="53A2C5F8">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F1-N</w:t>
      </w:r>
      <w:r>
        <w:rPr>
          <w:rFonts w:hint="eastAsia" w:ascii="宋体" w:hAnsi="宋体"/>
          <w:color w:val="auto"/>
          <w:highlight w:val="none"/>
        </w:rPr>
        <w:t>：每个磋商小组的技术评分，</w:t>
      </w:r>
      <w:r>
        <w:rPr>
          <w:rFonts w:ascii="宋体" w:hAnsi="宋体"/>
          <w:color w:val="auto"/>
          <w:highlight w:val="none"/>
        </w:rPr>
        <w:t>N</w:t>
      </w:r>
      <w:r>
        <w:rPr>
          <w:rFonts w:hint="eastAsia" w:ascii="宋体" w:hAnsi="宋体"/>
          <w:color w:val="auto"/>
          <w:highlight w:val="none"/>
        </w:rPr>
        <w:t>为磋商小组人数。</w:t>
      </w:r>
    </w:p>
    <w:p w14:paraId="26919AB4">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 xml:space="preserve">2.4.4   </w:t>
      </w:r>
      <w:r>
        <w:rPr>
          <w:rFonts w:hint="eastAsia" w:ascii="宋体" w:hAnsi="宋体"/>
          <w:color w:val="auto"/>
          <w:highlight w:val="none"/>
        </w:rPr>
        <w:t>记分、计算规则</w:t>
      </w:r>
    </w:p>
    <w:p w14:paraId="3AE8BC8A">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A</w:t>
      </w:r>
      <w:r>
        <w:rPr>
          <w:rFonts w:hint="eastAsia" w:ascii="宋体" w:hAnsi="宋体"/>
          <w:color w:val="auto"/>
          <w:highlight w:val="none"/>
        </w:rPr>
        <w:t>每次评分计算人民币报价的，保留小数点后三位；以百分比报价的，保留小数点后两位。投标人最终得分保留小数点后两位，第三位四舍五入。</w:t>
      </w:r>
    </w:p>
    <w:p w14:paraId="0D95C91C">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B</w:t>
      </w:r>
      <w:r>
        <w:rPr>
          <w:rFonts w:hint="eastAsia" w:ascii="宋体" w:hAnsi="宋体"/>
          <w:color w:val="auto"/>
          <w:highlight w:val="none"/>
        </w:rPr>
        <w:t>有下列情况之一者单项评分为无效分，磋商小组须作出解释，并重新打分：</w:t>
      </w:r>
    </w:p>
    <w:p w14:paraId="4650FBE2">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①</w:t>
      </w:r>
      <w:r>
        <w:rPr>
          <w:rFonts w:ascii="宋体" w:hAnsi="宋体"/>
          <w:color w:val="auto"/>
          <w:highlight w:val="none"/>
        </w:rPr>
        <w:t xml:space="preserve"> </w:t>
      </w:r>
      <w:r>
        <w:rPr>
          <w:rFonts w:hint="eastAsia" w:ascii="宋体" w:hAnsi="宋体"/>
          <w:color w:val="auto"/>
          <w:highlight w:val="none"/>
        </w:rPr>
        <w:t>评分高出规定最高分或低于规定最低分的；</w:t>
      </w:r>
    </w:p>
    <w:p w14:paraId="2BDBD63C">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②</w:t>
      </w:r>
      <w:r>
        <w:rPr>
          <w:rFonts w:ascii="宋体" w:hAnsi="宋体"/>
          <w:color w:val="auto"/>
          <w:highlight w:val="none"/>
        </w:rPr>
        <w:t xml:space="preserve"> </w:t>
      </w:r>
      <w:r>
        <w:rPr>
          <w:rFonts w:hint="eastAsia" w:ascii="宋体" w:hAnsi="宋体"/>
          <w:color w:val="auto"/>
          <w:highlight w:val="none"/>
        </w:rPr>
        <w:t>一个记分内容有</w:t>
      </w:r>
      <w:r>
        <w:rPr>
          <w:rFonts w:ascii="宋体" w:hAnsi="宋体"/>
          <w:color w:val="auto"/>
          <w:highlight w:val="none"/>
        </w:rPr>
        <w:t>2</w:t>
      </w:r>
      <w:r>
        <w:rPr>
          <w:rFonts w:hint="eastAsia" w:ascii="宋体" w:hAnsi="宋体"/>
          <w:color w:val="auto"/>
          <w:highlight w:val="none"/>
        </w:rPr>
        <w:t>个或</w:t>
      </w:r>
      <w:r>
        <w:rPr>
          <w:rFonts w:ascii="宋体" w:hAnsi="宋体"/>
          <w:color w:val="auto"/>
          <w:highlight w:val="none"/>
        </w:rPr>
        <w:t>2</w:t>
      </w:r>
      <w:r>
        <w:rPr>
          <w:rFonts w:hint="eastAsia" w:ascii="宋体" w:hAnsi="宋体"/>
          <w:color w:val="auto"/>
          <w:highlight w:val="none"/>
        </w:rPr>
        <w:t>个以上记分的；</w:t>
      </w:r>
    </w:p>
    <w:p w14:paraId="2BB67A10">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③</w:t>
      </w:r>
      <w:r>
        <w:rPr>
          <w:rFonts w:ascii="宋体" w:hAnsi="宋体"/>
          <w:color w:val="auto"/>
          <w:highlight w:val="none"/>
        </w:rPr>
        <w:t xml:space="preserve"> </w:t>
      </w:r>
      <w:r>
        <w:rPr>
          <w:rFonts w:hint="eastAsia" w:ascii="宋体" w:hAnsi="宋体"/>
          <w:color w:val="auto"/>
          <w:highlight w:val="none"/>
        </w:rPr>
        <w:t>无记分；</w:t>
      </w:r>
    </w:p>
    <w:p w14:paraId="12758F7B">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hint="eastAsia" w:ascii="宋体" w:hAnsi="宋体"/>
          <w:color w:val="auto"/>
          <w:highlight w:val="none"/>
        </w:rPr>
        <w:t>④</w:t>
      </w:r>
      <w:r>
        <w:rPr>
          <w:rFonts w:ascii="宋体" w:hAnsi="宋体"/>
          <w:color w:val="auto"/>
          <w:highlight w:val="none"/>
        </w:rPr>
        <w:t xml:space="preserve"> </w:t>
      </w:r>
      <w:r>
        <w:rPr>
          <w:rFonts w:hint="eastAsia" w:ascii="宋体" w:hAnsi="宋体"/>
          <w:color w:val="auto"/>
          <w:highlight w:val="none"/>
        </w:rPr>
        <w:t>其它明显不合理记分。</w:t>
      </w:r>
      <w:bookmarkStart w:id="91" w:name="_Toc369778600"/>
      <w:bookmarkStart w:id="92" w:name="_Toc427733908"/>
      <w:bookmarkStart w:id="93" w:name="_Toc398281558"/>
    </w:p>
    <w:p w14:paraId="430E2917">
      <w:pPr>
        <w:adjustRightInd w:val="0"/>
        <w:snapToGrid w:val="0"/>
        <w:spacing w:line="440" w:lineRule="exact"/>
        <w:ind w:left="-315" w:leftChars="-150" w:right="-109" w:rightChars="-52" w:firstLine="420" w:firstLineChars="200"/>
        <w:rPr>
          <w:rFonts w:hint="eastAsia" w:ascii="宋体" w:hAnsi="宋体"/>
          <w:color w:val="auto"/>
          <w:highlight w:val="none"/>
        </w:rPr>
      </w:pPr>
      <w:r>
        <w:rPr>
          <w:rFonts w:ascii="宋体" w:hAnsi="宋体"/>
          <w:color w:val="auto"/>
          <w:highlight w:val="none"/>
        </w:rPr>
        <w:t xml:space="preserve">2.4.5   </w:t>
      </w:r>
      <w:r>
        <w:rPr>
          <w:rFonts w:hint="eastAsia" w:ascii="宋体" w:hAnsi="宋体"/>
          <w:color w:val="auto"/>
          <w:highlight w:val="none"/>
        </w:rPr>
        <w:t>评审因素及标准详见以下评分附表。</w:t>
      </w:r>
    </w:p>
    <w:bookmarkEnd w:id="91"/>
    <w:bookmarkEnd w:id="92"/>
    <w:bookmarkEnd w:id="93"/>
    <w:p w14:paraId="114B352B">
      <w:pPr>
        <w:adjustRightInd w:val="0"/>
        <w:snapToGrid w:val="0"/>
        <w:spacing w:line="360" w:lineRule="auto"/>
        <w:ind w:firstLine="422" w:firstLineChars="200"/>
        <w:rPr>
          <w:rFonts w:hint="eastAsia" w:ascii="宋体" w:hAnsi="宋体" w:cs="宋体"/>
          <w:b/>
          <w:color w:val="auto"/>
          <w:szCs w:val="21"/>
          <w:highlight w:val="none"/>
        </w:rPr>
      </w:pPr>
      <w:r>
        <w:rPr>
          <w:rFonts w:hint="eastAsia"/>
          <w:b/>
          <w:bCs/>
          <w:color w:val="auto"/>
          <w:szCs w:val="21"/>
          <w:highlight w:val="none"/>
        </w:rPr>
        <w:t xml:space="preserve">     </w:t>
      </w:r>
    </w:p>
    <w:p w14:paraId="083B8FF4">
      <w:pPr>
        <w:adjustRightInd w:val="0"/>
        <w:snapToGrid w:val="0"/>
        <w:spacing w:line="360" w:lineRule="auto"/>
        <w:ind w:firstLine="422" w:firstLineChars="200"/>
        <w:rPr>
          <w:rFonts w:hint="eastAsia" w:ascii="宋体" w:hAnsi="宋体" w:cs="宋体"/>
          <w:b/>
          <w:color w:val="auto"/>
          <w:szCs w:val="21"/>
          <w:highlight w:val="none"/>
        </w:rPr>
      </w:pPr>
    </w:p>
    <w:p w14:paraId="58D6B3D5">
      <w:pPr>
        <w:jc w:val="center"/>
        <w:rPr>
          <w:rFonts w:hint="eastAsia" w:ascii="宋体" w:hAnsi="宋体"/>
          <w:b/>
          <w:color w:val="auto"/>
          <w:sz w:val="28"/>
          <w:szCs w:val="28"/>
          <w:highlight w:val="none"/>
        </w:rPr>
      </w:pPr>
      <w:r>
        <w:rPr>
          <w:rFonts w:hint="eastAsia" w:ascii="宋体" w:hAnsi="宋体"/>
          <w:b/>
          <w:color w:val="auto"/>
          <w:sz w:val="28"/>
          <w:szCs w:val="28"/>
          <w:highlight w:val="none"/>
        </w:rPr>
        <w:t>评审因素和标准</w:t>
      </w:r>
    </w:p>
    <w:tbl>
      <w:tblPr>
        <w:tblStyle w:val="42"/>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918"/>
        <w:gridCol w:w="7742"/>
      </w:tblGrid>
      <w:tr w14:paraId="3DF0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blHeader/>
          <w:jc w:val="center"/>
        </w:trPr>
        <w:tc>
          <w:tcPr>
            <w:tcW w:w="1617" w:type="dxa"/>
            <w:gridSpan w:val="2"/>
            <w:vAlign w:val="center"/>
          </w:tcPr>
          <w:p w14:paraId="3FBDDA88">
            <w:pPr>
              <w:widowControl/>
              <w:spacing w:line="276" w:lineRule="auto"/>
              <w:jc w:val="center"/>
              <w:rPr>
                <w:rFonts w:hint="eastAsia" w:ascii="宋体" w:hAnsi="宋体" w:cs="Arial"/>
                <w:b/>
                <w:bCs/>
                <w:color w:val="auto"/>
                <w:szCs w:val="21"/>
                <w:highlight w:val="none"/>
              </w:rPr>
            </w:pPr>
            <w:r>
              <w:rPr>
                <w:rFonts w:hint="eastAsia" w:ascii="宋体" w:hAnsi="宋体" w:cs="Arial"/>
                <w:b/>
                <w:bCs/>
                <w:color w:val="auto"/>
                <w:szCs w:val="21"/>
                <w:highlight w:val="none"/>
              </w:rPr>
              <w:t>评审因素</w:t>
            </w:r>
          </w:p>
        </w:tc>
        <w:tc>
          <w:tcPr>
            <w:tcW w:w="7742" w:type="dxa"/>
            <w:vAlign w:val="center"/>
          </w:tcPr>
          <w:p w14:paraId="71755950">
            <w:pPr>
              <w:widowControl/>
              <w:spacing w:line="276" w:lineRule="auto"/>
              <w:jc w:val="center"/>
              <w:rPr>
                <w:rFonts w:hint="eastAsia" w:ascii="宋体" w:hAnsi="宋体" w:cs="Arial"/>
                <w:b/>
                <w:bCs/>
                <w:color w:val="auto"/>
                <w:szCs w:val="21"/>
                <w:highlight w:val="none"/>
              </w:rPr>
            </w:pPr>
            <w:r>
              <w:rPr>
                <w:rFonts w:hint="eastAsia" w:ascii="宋体" w:hAnsi="宋体" w:cs="Arial"/>
                <w:b/>
                <w:bCs/>
                <w:color w:val="auto"/>
                <w:szCs w:val="21"/>
                <w:highlight w:val="none"/>
              </w:rPr>
              <w:t>评分标准</w:t>
            </w:r>
          </w:p>
        </w:tc>
      </w:tr>
      <w:tr w14:paraId="1D7E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7" w:type="dxa"/>
            <w:gridSpan w:val="2"/>
            <w:vAlign w:val="center"/>
          </w:tcPr>
          <w:p w14:paraId="4485CF6C">
            <w:pPr>
              <w:widowControl/>
              <w:spacing w:line="276" w:lineRule="auto"/>
              <w:jc w:val="center"/>
              <w:rPr>
                <w:rFonts w:hint="eastAsia" w:ascii="宋体" w:hAnsi="宋体" w:cs="Arial"/>
                <w:color w:val="auto"/>
                <w:szCs w:val="21"/>
                <w:highlight w:val="none"/>
              </w:rPr>
            </w:pPr>
            <w:r>
              <w:rPr>
                <w:rFonts w:hint="eastAsia" w:ascii="宋体" w:hAnsi="宋体" w:cs="Arial"/>
                <w:color w:val="auto"/>
                <w:szCs w:val="21"/>
                <w:highlight w:val="none"/>
              </w:rPr>
              <w:t>价格</w:t>
            </w:r>
          </w:p>
          <w:p w14:paraId="5C733FE5">
            <w:pPr>
              <w:widowControl/>
              <w:spacing w:line="276" w:lineRule="auto"/>
              <w:jc w:val="center"/>
              <w:rPr>
                <w:rFonts w:hint="eastAsia" w:ascii="宋体" w:hAnsi="宋体" w:cs="Arial"/>
                <w:color w:val="auto"/>
                <w:szCs w:val="21"/>
                <w:highlight w:val="none"/>
              </w:rPr>
            </w:pPr>
            <w:r>
              <w:rPr>
                <w:rFonts w:hint="eastAsia" w:ascii="宋体" w:hAnsi="宋体" w:cs="Arial"/>
                <w:color w:val="auto"/>
                <w:szCs w:val="21"/>
                <w:highlight w:val="none"/>
                <w:lang w:val="en-US" w:eastAsia="zh-CN"/>
              </w:rPr>
              <w:t>100</w:t>
            </w:r>
            <w:r>
              <w:rPr>
                <w:rFonts w:hint="eastAsia" w:ascii="宋体" w:hAnsi="宋体" w:cs="Arial"/>
                <w:color w:val="auto"/>
                <w:szCs w:val="21"/>
                <w:highlight w:val="none"/>
              </w:rPr>
              <w:t>分</w:t>
            </w:r>
          </w:p>
        </w:tc>
        <w:tc>
          <w:tcPr>
            <w:tcW w:w="7742" w:type="dxa"/>
          </w:tcPr>
          <w:p w14:paraId="4C670FFA">
            <w:pPr>
              <w:spacing w:before="111" w:line="317" w:lineRule="auto"/>
              <w:ind w:right="256"/>
              <w:rPr>
                <w:rFonts w:hint="eastAsia" w:ascii="宋体" w:hAnsi="宋体" w:cs="宋体"/>
                <w:color w:val="auto"/>
                <w:szCs w:val="21"/>
                <w:highlight w:val="none"/>
              </w:rPr>
            </w:pPr>
            <w:r>
              <w:rPr>
                <w:rFonts w:hint="eastAsia" w:ascii="宋体" w:hAnsi="宋体" w:cs="宋体"/>
                <w:color w:val="auto"/>
                <w:spacing w:val="-1"/>
                <w:szCs w:val="21"/>
                <w:highlight w:val="none"/>
              </w:rPr>
              <w:t>1.</w:t>
            </w:r>
            <w:r>
              <w:rPr>
                <w:rFonts w:ascii="宋体" w:hAnsi="宋体" w:cs="宋体"/>
                <w:color w:val="auto"/>
                <w:spacing w:val="-1"/>
                <w:szCs w:val="21"/>
                <w:highlight w:val="none"/>
              </w:rPr>
              <w:t>满足招标</w:t>
            </w:r>
            <w:r>
              <w:rPr>
                <w:rFonts w:ascii="宋体" w:hAnsi="宋体" w:cs="宋体"/>
                <w:color w:val="auto"/>
                <w:szCs w:val="21"/>
                <w:highlight w:val="none"/>
              </w:rPr>
              <w:t>文件要求且</w:t>
            </w:r>
            <w:r>
              <w:rPr>
                <w:rFonts w:hint="eastAsia" w:ascii="宋体" w:hAnsi="宋体" w:cs="宋体"/>
                <w:color w:val="auto"/>
                <w:szCs w:val="21"/>
                <w:highlight w:val="none"/>
              </w:rPr>
              <w:t>磋商报价</w:t>
            </w:r>
            <w:r>
              <w:rPr>
                <w:rFonts w:ascii="宋体" w:hAnsi="宋体" w:cs="宋体"/>
                <w:color w:val="auto"/>
                <w:szCs w:val="21"/>
                <w:highlight w:val="none"/>
              </w:rPr>
              <w:t>最低的</w:t>
            </w:r>
            <w:r>
              <w:rPr>
                <w:rFonts w:hint="eastAsia" w:ascii="宋体" w:hAnsi="宋体" w:cs="宋体"/>
                <w:color w:val="auto"/>
                <w:szCs w:val="21"/>
                <w:highlight w:val="none"/>
              </w:rPr>
              <w:t>磋商报价</w:t>
            </w:r>
            <w:r>
              <w:rPr>
                <w:rFonts w:ascii="宋体" w:hAnsi="宋体" w:cs="宋体"/>
                <w:color w:val="auto"/>
                <w:szCs w:val="21"/>
                <w:highlight w:val="none"/>
              </w:rPr>
              <w:t>为评标基准价其</w:t>
            </w:r>
            <w:r>
              <w:rPr>
                <w:rFonts w:ascii="宋体" w:hAnsi="宋体" w:cs="宋体"/>
                <w:color w:val="auto"/>
                <w:spacing w:val="-2"/>
                <w:szCs w:val="21"/>
                <w:highlight w:val="none"/>
              </w:rPr>
              <w:t>价格分为满分；其他</w:t>
            </w:r>
            <w:r>
              <w:rPr>
                <w:rFonts w:hint="eastAsia" w:ascii="宋体" w:hAnsi="宋体" w:cs="宋体"/>
                <w:color w:val="auto"/>
                <w:spacing w:val="-2"/>
                <w:szCs w:val="21"/>
                <w:highlight w:val="none"/>
              </w:rPr>
              <w:t>供应商</w:t>
            </w:r>
            <w:r>
              <w:rPr>
                <w:rFonts w:ascii="宋体" w:hAnsi="宋体" w:cs="宋体"/>
                <w:color w:val="auto"/>
                <w:spacing w:val="-2"/>
                <w:szCs w:val="21"/>
                <w:highlight w:val="none"/>
              </w:rPr>
              <w:t>的价格分</w:t>
            </w:r>
            <w:r>
              <w:rPr>
                <w:rFonts w:ascii="宋体" w:hAnsi="宋体" w:cs="宋体"/>
                <w:color w:val="auto"/>
                <w:spacing w:val="-1"/>
                <w:szCs w:val="21"/>
                <w:highlight w:val="none"/>
              </w:rPr>
              <w:t>统一按照以下公式计算：</w:t>
            </w:r>
          </w:p>
          <w:p w14:paraId="28DCD738">
            <w:pPr>
              <w:spacing w:line="219" w:lineRule="auto"/>
              <w:ind w:left="495"/>
              <w:rPr>
                <w:rFonts w:hint="eastAsia" w:ascii="宋体" w:hAnsi="宋体" w:cs="宋体"/>
                <w:color w:val="auto"/>
                <w:szCs w:val="21"/>
                <w:highlight w:val="none"/>
              </w:rPr>
            </w:pPr>
            <w:r>
              <w:rPr>
                <w:rFonts w:hint="eastAsia" w:ascii="宋体" w:hAnsi="宋体" w:cs="宋体"/>
                <w:color w:val="auto"/>
                <w:spacing w:val="6"/>
                <w:szCs w:val="21"/>
                <w:highlight w:val="none"/>
              </w:rPr>
              <w:t>磋商报价</w:t>
            </w:r>
            <w:r>
              <w:rPr>
                <w:rFonts w:ascii="宋体" w:hAnsi="宋体" w:cs="宋体"/>
                <w:color w:val="auto"/>
                <w:spacing w:val="3"/>
                <w:szCs w:val="21"/>
                <w:highlight w:val="none"/>
              </w:rPr>
              <w:t>得分= (评标基准价/</w:t>
            </w:r>
            <w:r>
              <w:rPr>
                <w:rFonts w:hint="eastAsia" w:ascii="宋体" w:hAnsi="宋体" w:cs="宋体"/>
                <w:color w:val="auto"/>
                <w:spacing w:val="3"/>
                <w:szCs w:val="21"/>
                <w:highlight w:val="none"/>
              </w:rPr>
              <w:t>磋商报价</w:t>
            </w:r>
            <w:r>
              <w:rPr>
                <w:rFonts w:ascii="宋体" w:hAnsi="宋体" w:cs="宋体"/>
                <w:color w:val="auto"/>
                <w:spacing w:val="3"/>
                <w:szCs w:val="21"/>
                <w:highlight w:val="none"/>
              </w:rPr>
              <w:t>)×价格权值×100</w:t>
            </w:r>
          </w:p>
          <w:p w14:paraId="3B393A50">
            <w:pPr>
              <w:rPr>
                <w:rFonts w:ascii="宋体" w:hAnsi="Courier New" w:cs="Courier New"/>
                <w:color w:val="auto"/>
                <w:szCs w:val="21"/>
                <w:highlight w:val="none"/>
              </w:rPr>
            </w:pPr>
            <w:r>
              <w:rPr>
                <w:color w:val="auto"/>
                <w:spacing w:val="-5"/>
                <w:highlight w:val="none"/>
              </w:rPr>
              <w:t>2、</w:t>
            </w:r>
            <w:r>
              <w:rPr>
                <w:b/>
                <w:bCs/>
                <w:color w:val="auto"/>
                <w:spacing w:val="-5"/>
                <w:highlight w:val="none"/>
              </w:rPr>
              <w:t>异常低价审查情形:按照《关于推动解决政府采购异常低价问题</w:t>
            </w:r>
            <w:r>
              <w:rPr>
                <w:b/>
                <w:bCs/>
                <w:color w:val="auto"/>
                <w:spacing w:val="-6"/>
                <w:highlight w:val="none"/>
              </w:rPr>
              <w:t>的通知》</w:t>
            </w:r>
            <w:r>
              <w:rPr>
                <w:color w:val="auto"/>
                <w:spacing w:val="-71"/>
                <w:highlight w:val="none"/>
              </w:rPr>
              <w:t xml:space="preserve"> </w:t>
            </w:r>
            <w:r>
              <w:rPr>
                <w:b/>
                <w:bCs/>
                <w:color w:val="auto"/>
                <w:spacing w:val="-6"/>
                <w:highlight w:val="none"/>
              </w:rPr>
              <w:t>(财库(2026)2号)规定，</w:t>
            </w:r>
            <w:r>
              <w:rPr>
                <w:b/>
                <w:bCs/>
                <w:color w:val="auto"/>
                <w:spacing w:val="-7"/>
                <w:highlight w:val="none"/>
              </w:rPr>
              <w:t>政府采购评审中出现异常低价情形</w:t>
            </w:r>
            <w:r>
              <w:rPr>
                <w:color w:val="auto"/>
                <w:highlight w:val="none"/>
              </w:rPr>
              <w:t xml:space="preserve"> </w:t>
            </w:r>
            <w:r>
              <w:rPr>
                <w:b/>
                <w:bCs/>
                <w:color w:val="auto"/>
                <w:spacing w:val="-7"/>
                <w:highlight w:val="none"/>
              </w:rPr>
              <w:t>,</w:t>
            </w:r>
            <w:r>
              <w:rPr>
                <w:color w:val="auto"/>
                <w:spacing w:val="59"/>
                <w:highlight w:val="none"/>
              </w:rPr>
              <w:t xml:space="preserve"> </w:t>
            </w:r>
            <w:r>
              <w:rPr>
                <w:b/>
                <w:bCs/>
                <w:color w:val="auto"/>
                <w:spacing w:val="-7"/>
                <w:highlight w:val="none"/>
              </w:rPr>
              <w:t>评审委员会应当启动异常低价</w:t>
            </w:r>
            <w:r>
              <w:rPr>
                <w:rFonts w:hint="eastAsia"/>
                <w:b/>
                <w:bCs/>
                <w:color w:val="auto"/>
                <w:spacing w:val="-7"/>
                <w:highlight w:val="none"/>
              </w:rPr>
              <w:t>磋商</w:t>
            </w:r>
            <w:r>
              <w:rPr>
                <w:b/>
                <w:bCs/>
                <w:color w:val="auto"/>
                <w:spacing w:val="-7"/>
                <w:highlight w:val="none"/>
              </w:rPr>
              <w:t>审查程序。本项目适用情</w:t>
            </w:r>
            <w:r>
              <w:rPr>
                <w:b/>
                <w:bCs/>
                <w:color w:val="auto"/>
                <w:spacing w:val="-8"/>
                <w:highlight w:val="none"/>
              </w:rPr>
              <w:t>形详</w:t>
            </w:r>
            <w:r>
              <w:rPr>
                <w:b/>
                <w:bCs/>
                <w:color w:val="auto"/>
                <w:spacing w:val="-7"/>
                <w:highlight w:val="none"/>
              </w:rPr>
              <w:t>见“</w:t>
            </w:r>
            <w:r>
              <w:rPr>
                <w:rFonts w:hint="eastAsia"/>
                <w:b/>
                <w:bCs/>
                <w:color w:val="auto"/>
                <w:spacing w:val="-7"/>
                <w:highlight w:val="none"/>
              </w:rPr>
              <w:t>第二章第44.1款</w:t>
            </w:r>
            <w:r>
              <w:rPr>
                <w:b/>
                <w:bCs/>
                <w:color w:val="auto"/>
                <w:spacing w:val="-7"/>
                <w:highlight w:val="none"/>
              </w:rPr>
              <w:t>”</w:t>
            </w:r>
            <w:r>
              <w:rPr>
                <w:rFonts w:hint="eastAsia"/>
                <w:b/>
                <w:bCs/>
                <w:color w:val="auto"/>
                <w:spacing w:val="-7"/>
                <w:highlight w:val="none"/>
              </w:rPr>
              <w:t>其他条款</w:t>
            </w:r>
            <w:r>
              <w:rPr>
                <w:b/>
                <w:bCs/>
                <w:color w:val="auto"/>
                <w:spacing w:val="-7"/>
                <w:highlight w:val="none"/>
              </w:rPr>
              <w:t>的规定。</w:t>
            </w:r>
          </w:p>
        </w:tc>
      </w:tr>
      <w:tr w14:paraId="0493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jc w:val="center"/>
        </w:trPr>
        <w:tc>
          <w:tcPr>
            <w:tcW w:w="699" w:type="dxa"/>
            <w:vMerge w:val="restart"/>
            <w:vAlign w:val="center"/>
          </w:tcPr>
          <w:p w14:paraId="2871DAD3">
            <w:pPr>
              <w:widowControl/>
              <w:spacing w:line="276" w:lineRule="auto"/>
              <w:jc w:val="center"/>
              <w:rPr>
                <w:rFonts w:hint="eastAsia" w:ascii="宋体" w:hAnsi="宋体" w:cs="Arial"/>
                <w:color w:val="auto"/>
                <w:szCs w:val="21"/>
                <w:highlight w:val="none"/>
              </w:rPr>
            </w:pPr>
            <w:r>
              <w:rPr>
                <w:rFonts w:hint="eastAsia" w:ascii="宋体" w:hAnsi="宋体" w:cs="Arial"/>
                <w:color w:val="auto"/>
                <w:szCs w:val="21"/>
                <w:highlight w:val="none"/>
              </w:rPr>
              <w:t>技术</w:t>
            </w:r>
          </w:p>
          <w:p w14:paraId="32E49DFB">
            <w:pPr>
              <w:widowControl/>
              <w:spacing w:line="276" w:lineRule="auto"/>
              <w:jc w:val="center"/>
              <w:rPr>
                <w:rFonts w:hint="eastAsia" w:ascii="宋体" w:hAnsi="宋体" w:cs="Arial"/>
                <w:color w:val="auto"/>
                <w:szCs w:val="21"/>
                <w:highlight w:val="none"/>
              </w:rPr>
            </w:pPr>
            <w:r>
              <w:rPr>
                <w:rFonts w:hint="eastAsia" w:ascii="宋体" w:hAnsi="宋体" w:cs="Arial"/>
                <w:color w:val="auto"/>
                <w:szCs w:val="21"/>
                <w:highlight w:val="none"/>
                <w:lang w:val="en-US" w:eastAsia="zh-CN"/>
              </w:rPr>
              <w:t>100</w:t>
            </w:r>
            <w:r>
              <w:rPr>
                <w:rFonts w:hint="eastAsia" w:ascii="宋体" w:hAnsi="宋体" w:cs="Arial"/>
                <w:color w:val="auto"/>
                <w:szCs w:val="21"/>
                <w:highlight w:val="none"/>
              </w:rPr>
              <w:t>分</w:t>
            </w:r>
          </w:p>
        </w:tc>
        <w:tc>
          <w:tcPr>
            <w:tcW w:w="918" w:type="dxa"/>
            <w:vAlign w:val="center"/>
          </w:tcPr>
          <w:p w14:paraId="078D6B0C">
            <w:pPr>
              <w:widowControl/>
              <w:jc w:val="center"/>
              <w:rPr>
                <w:rFonts w:hint="eastAsia" w:ascii="宋体" w:hAnsi="宋体" w:cs="宋体"/>
                <w:b/>
                <w:bCs/>
                <w:color w:val="auto"/>
                <w:kern w:val="0"/>
                <w:sz w:val="18"/>
                <w:szCs w:val="18"/>
                <w:highlight w:val="none"/>
                <w:lang w:bidi="ar"/>
              </w:rPr>
            </w:pPr>
            <w:r>
              <w:rPr>
                <w:rFonts w:hint="eastAsia" w:ascii="宋体" w:hAnsi="宋体" w:cs="宋体"/>
                <w:b/>
                <w:bCs/>
                <w:color w:val="auto"/>
                <w:kern w:val="0"/>
                <w:sz w:val="18"/>
                <w:szCs w:val="18"/>
                <w:highlight w:val="none"/>
                <w:lang w:bidi="ar"/>
              </w:rPr>
              <w:t>对所投产品的技术参数、性能指标、功能响应程度的评价</w:t>
            </w:r>
          </w:p>
          <w:p w14:paraId="57505C10">
            <w:pPr>
              <w:widowControl/>
              <w:spacing w:line="276" w:lineRule="auto"/>
              <w:jc w:val="center"/>
              <w:rPr>
                <w:rFonts w:hint="eastAsia" w:ascii="宋体" w:hAnsi="宋体" w:cs="Arial"/>
                <w:color w:val="auto"/>
                <w:szCs w:val="21"/>
                <w:highlight w:val="none"/>
              </w:rPr>
            </w:pPr>
            <w:r>
              <w:rPr>
                <w:rFonts w:hint="eastAsia" w:ascii="宋体" w:hAnsi="宋体" w:cs="Arial"/>
                <w:b/>
                <w:bCs/>
                <w:color w:val="auto"/>
                <w:szCs w:val="21"/>
                <w:highlight w:val="none"/>
              </w:rPr>
              <w:t>（</w:t>
            </w:r>
            <w:r>
              <w:rPr>
                <w:rFonts w:hint="eastAsia" w:ascii="宋体" w:hAnsi="宋体" w:cs="Arial"/>
                <w:b/>
                <w:bCs/>
                <w:color w:val="auto"/>
                <w:szCs w:val="21"/>
                <w:highlight w:val="none"/>
                <w:lang w:val="en-US" w:eastAsia="zh-CN"/>
              </w:rPr>
              <w:t>44</w:t>
            </w:r>
            <w:r>
              <w:rPr>
                <w:rFonts w:hint="eastAsia" w:ascii="宋体" w:hAnsi="宋体" w:cs="Arial"/>
                <w:b/>
                <w:bCs/>
                <w:color w:val="auto"/>
                <w:szCs w:val="21"/>
                <w:highlight w:val="none"/>
              </w:rPr>
              <w:t>分）</w:t>
            </w:r>
          </w:p>
        </w:tc>
        <w:tc>
          <w:tcPr>
            <w:tcW w:w="7742" w:type="dxa"/>
            <w:vAlign w:val="center"/>
          </w:tcPr>
          <w:p w14:paraId="40E8AE33">
            <w:pPr>
              <w:pStyle w:val="281"/>
              <w:spacing w:line="360" w:lineRule="exact"/>
              <w:rPr>
                <w:rFonts w:ascii="宋体" w:cs="宋体"/>
                <w:color w:val="auto"/>
                <w:sz w:val="21"/>
                <w:szCs w:val="21"/>
                <w:highlight w:val="none"/>
                <w:lang w:bidi="ar"/>
              </w:rPr>
            </w:pPr>
            <w:bookmarkStart w:id="94" w:name="OLE_LINK20"/>
            <w:bookmarkStart w:id="95" w:name="OLE_LINK21"/>
            <w:r>
              <w:rPr>
                <w:rFonts w:hint="eastAsia" w:ascii="宋体" w:cs="宋体"/>
                <w:color w:val="auto"/>
                <w:sz w:val="21"/>
                <w:szCs w:val="21"/>
                <w:highlight w:val="none"/>
                <w:lang w:bidi="ar"/>
              </w:rPr>
              <w:t>以</w:t>
            </w:r>
            <w:bookmarkStart w:id="96" w:name="OLE_LINK1"/>
            <w:r>
              <w:rPr>
                <w:rFonts w:hint="eastAsia" w:ascii="宋体" w:cs="宋体"/>
                <w:color w:val="auto"/>
                <w:sz w:val="21"/>
                <w:szCs w:val="21"/>
                <w:highlight w:val="none"/>
                <w:lang w:bidi="ar"/>
              </w:rPr>
              <w:t>磋商文件第五章</w:t>
            </w:r>
            <w:bookmarkEnd w:id="96"/>
            <w:r>
              <w:rPr>
                <w:rFonts w:hint="eastAsia" w:ascii="宋体" w:cs="宋体"/>
                <w:color w:val="auto"/>
                <w:sz w:val="21"/>
                <w:szCs w:val="21"/>
                <w:highlight w:val="none"/>
                <w:lang w:bidi="ar"/>
              </w:rPr>
              <w:t>“第一节、技术要求”为基准，所有技术参数须逐条应答，完全满足或优于磋商文件采购需求的，本项</w:t>
            </w:r>
            <w:r>
              <w:rPr>
                <w:rFonts w:hint="eastAsia" w:ascii="宋体" w:cs="宋体"/>
                <w:color w:val="auto"/>
                <w:sz w:val="21"/>
                <w:szCs w:val="21"/>
                <w:highlight w:val="none"/>
                <w:lang w:bidi="ar"/>
              </w:rPr>
              <w:t>满分计</w:t>
            </w:r>
            <w:r>
              <w:rPr>
                <w:rFonts w:hint="eastAsia" w:ascii="宋体" w:cs="宋体"/>
                <w:color w:val="auto"/>
                <w:sz w:val="21"/>
                <w:szCs w:val="21"/>
                <w:highlight w:val="none"/>
                <w:lang w:val="en-US" w:eastAsia="zh-CN" w:bidi="ar"/>
              </w:rPr>
              <w:t>44</w:t>
            </w:r>
            <w:r>
              <w:rPr>
                <w:rFonts w:hint="eastAsia" w:ascii="宋体" w:cs="宋体"/>
                <w:color w:val="auto"/>
                <w:sz w:val="21"/>
                <w:szCs w:val="21"/>
                <w:highlight w:val="none"/>
                <w:lang w:bidi="ar"/>
              </w:rPr>
              <w:t>分，</w:t>
            </w:r>
            <w:r>
              <w:rPr>
                <w:rFonts w:hint="eastAsia" w:ascii="宋体" w:cs="宋体"/>
                <w:color w:val="auto"/>
                <w:sz w:val="21"/>
                <w:szCs w:val="21"/>
                <w:highlight w:val="none"/>
                <w:lang w:bidi="ar"/>
              </w:rPr>
              <w:t>评审规则如下：</w:t>
            </w:r>
          </w:p>
          <w:p w14:paraId="396FB2F2">
            <w:pPr>
              <w:adjustRightInd w:val="0"/>
              <w:snapToGrid w:val="0"/>
              <w:spacing w:line="300" w:lineRule="auto"/>
              <w:jc w:val="left"/>
              <w:rPr>
                <w:rFonts w:hint="eastAsia" w:ascii="宋体" w:hAnsi="宋体" w:cs="宋体"/>
                <w:color w:val="auto"/>
                <w:highlight w:val="none"/>
              </w:rPr>
            </w:pPr>
            <w:r>
              <w:rPr>
                <w:rFonts w:hint="eastAsia" w:ascii="宋体" w:hAnsi="宋体" w:cs="宋体"/>
                <w:color w:val="auto"/>
                <w:szCs w:val="21"/>
                <w:highlight w:val="none"/>
              </w:rPr>
              <w:t>1.标注为“★”的核心技术条款出现负偏离的视为无效投标。</w:t>
            </w:r>
          </w:p>
          <w:p w14:paraId="0D30AE48">
            <w:pPr>
              <w:widowControl/>
              <w:jc w:val="left"/>
              <w:rPr>
                <w:rFonts w:hint="eastAsia" w:ascii="宋体" w:hAnsi="宋体" w:cs="宋体"/>
                <w:color w:val="auto"/>
                <w:highlight w:val="none"/>
              </w:rPr>
            </w:pPr>
            <w:r>
              <w:rPr>
                <w:rFonts w:hint="eastAsia" w:ascii="宋体" w:hAnsi="宋体" w:cs="宋体"/>
                <w:color w:val="auto"/>
                <w:highlight w:val="none"/>
              </w:rPr>
              <w:t>2.标注为“▲”的重要技术条款（</w:t>
            </w:r>
            <w:r>
              <w:rPr>
                <w:rFonts w:hint="eastAsia" w:ascii="宋体" w:hAnsi="宋体" w:cs="宋体"/>
                <w:color w:val="auto"/>
                <w:highlight w:val="none"/>
              </w:rPr>
              <w:t>标注为“▲”的重要技术条款共</w:t>
            </w:r>
            <w:r>
              <w:rPr>
                <w:rFonts w:hint="eastAsia" w:ascii="宋体" w:hAnsi="宋体" w:cs="宋体"/>
                <w:color w:val="auto"/>
                <w:highlight w:val="none"/>
                <w:lang w:val="en-US" w:eastAsia="zh-CN"/>
              </w:rPr>
              <w:t>6</w:t>
            </w:r>
            <w:r>
              <w:rPr>
                <w:rFonts w:hint="eastAsia" w:ascii="宋体" w:hAnsi="宋体" w:cs="宋体"/>
                <w:color w:val="auto"/>
                <w:highlight w:val="none"/>
              </w:rPr>
              <w:t>条</w:t>
            </w:r>
            <w:r>
              <w:rPr>
                <w:rFonts w:hint="eastAsia" w:ascii="宋体" w:hAnsi="宋体" w:cs="宋体"/>
                <w:color w:val="auto"/>
                <w:highlight w:val="none"/>
              </w:rPr>
              <w:t>）</w:t>
            </w:r>
            <w:r>
              <w:rPr>
                <w:rFonts w:eastAsia="Times New Roman"/>
                <w:color w:val="auto"/>
                <w:highlight w:val="none"/>
              </w:rPr>
              <w:t>全部满足</w:t>
            </w:r>
            <w:r>
              <w:rPr>
                <w:rFonts w:hint="eastAsia"/>
                <w:color w:val="auto"/>
                <w:highlight w:val="none"/>
              </w:rPr>
              <w:t>、</w:t>
            </w:r>
            <w:r>
              <w:rPr>
                <w:rFonts w:hint="eastAsia" w:ascii="宋体" w:hAnsi="宋体" w:cs="宋体"/>
                <w:color w:val="auto"/>
                <w:highlight w:val="none"/>
              </w:rPr>
              <w:t>无偏离</w:t>
            </w:r>
            <w:r>
              <w:rPr>
                <w:rFonts w:hint="eastAsia" w:ascii="宋体" w:hAnsi="宋体" w:cs="宋体"/>
                <w:color w:val="auto"/>
                <w:highlight w:val="none"/>
              </w:rPr>
              <w:t>计</w:t>
            </w:r>
            <w:r>
              <w:rPr>
                <w:rFonts w:hint="eastAsia" w:ascii="宋体" w:hAnsi="宋体" w:cs="宋体"/>
                <w:color w:val="auto"/>
                <w:highlight w:val="none"/>
                <w:lang w:val="en-US" w:eastAsia="zh-CN"/>
              </w:rPr>
              <w:t>36</w:t>
            </w:r>
            <w:r>
              <w:rPr>
                <w:rFonts w:hint="eastAsia" w:ascii="宋体" w:hAnsi="宋体" w:cs="宋体"/>
                <w:color w:val="auto"/>
                <w:highlight w:val="none"/>
              </w:rPr>
              <w:t>分</w:t>
            </w:r>
            <w:r>
              <w:rPr>
                <w:rFonts w:hint="eastAsia" w:ascii="宋体" w:hAnsi="宋体" w:cs="宋体"/>
                <w:color w:val="auto"/>
                <w:highlight w:val="none"/>
              </w:rPr>
              <w:t>，负偏离每一项</w:t>
            </w:r>
            <w:r>
              <w:rPr>
                <w:rFonts w:hint="eastAsia" w:ascii="宋体" w:hAnsi="宋体" w:cs="宋体"/>
                <w:color w:val="auto"/>
                <w:highlight w:val="none"/>
              </w:rPr>
              <w:t>扣</w:t>
            </w:r>
            <w:r>
              <w:rPr>
                <w:rFonts w:hint="eastAsia" w:ascii="宋体" w:hAnsi="宋体" w:cs="宋体"/>
                <w:color w:val="auto"/>
                <w:highlight w:val="none"/>
                <w:lang w:val="en-US" w:eastAsia="zh-CN"/>
              </w:rPr>
              <w:t>6</w:t>
            </w:r>
            <w:r>
              <w:rPr>
                <w:rFonts w:hint="eastAsia" w:ascii="宋体" w:hAnsi="宋体" w:cs="宋体"/>
                <w:color w:val="auto"/>
                <w:highlight w:val="none"/>
              </w:rPr>
              <w:t>分</w:t>
            </w:r>
            <w:r>
              <w:rPr>
                <w:rFonts w:hint="eastAsia" w:ascii="宋体" w:hAnsi="宋体" w:cs="宋体"/>
                <w:color w:val="auto"/>
                <w:highlight w:val="none"/>
              </w:rPr>
              <w:t>，扣完为止。</w:t>
            </w:r>
          </w:p>
          <w:p w14:paraId="1F9AB4C2">
            <w:pPr>
              <w:widowControl/>
              <w:jc w:val="left"/>
              <w:rPr>
                <w:rFonts w:hint="eastAsia" w:ascii="宋体" w:hAnsi="宋体" w:cs="宋体"/>
                <w:color w:val="auto"/>
                <w:highlight w:val="none"/>
              </w:rPr>
            </w:pPr>
            <w:r>
              <w:rPr>
                <w:rFonts w:hint="eastAsia" w:ascii="宋体" w:hAnsi="宋体" w:cs="宋体"/>
                <w:color w:val="auto"/>
                <w:highlight w:val="none"/>
              </w:rPr>
              <w:t>3.未标注“▲”的一般技术条款</w:t>
            </w:r>
            <w:r>
              <w:rPr>
                <w:rFonts w:eastAsia="Times New Roman"/>
                <w:color w:val="auto"/>
                <w:highlight w:val="none"/>
              </w:rPr>
              <w:t>全部满足</w:t>
            </w:r>
            <w:r>
              <w:rPr>
                <w:rFonts w:hint="eastAsia"/>
                <w:color w:val="auto"/>
                <w:highlight w:val="none"/>
              </w:rPr>
              <w:t>、</w:t>
            </w:r>
            <w:r>
              <w:rPr>
                <w:rFonts w:hint="eastAsia" w:ascii="宋体" w:hAnsi="宋体" w:cs="宋体"/>
                <w:color w:val="auto"/>
                <w:highlight w:val="none"/>
              </w:rPr>
              <w:t>无偏离</w:t>
            </w:r>
            <w:r>
              <w:rPr>
                <w:rFonts w:hint="eastAsia" w:ascii="宋体" w:hAnsi="宋体" w:cs="宋体"/>
                <w:color w:val="auto"/>
                <w:highlight w:val="none"/>
              </w:rPr>
              <w:t>计</w:t>
            </w:r>
            <w:r>
              <w:rPr>
                <w:rFonts w:hint="eastAsia" w:ascii="宋体" w:hAnsi="宋体" w:cs="宋体"/>
                <w:color w:val="auto"/>
                <w:highlight w:val="none"/>
                <w:lang w:val="en-US" w:eastAsia="zh-CN"/>
              </w:rPr>
              <w:t>8</w:t>
            </w:r>
            <w:r>
              <w:rPr>
                <w:rFonts w:hint="eastAsia" w:ascii="宋体" w:hAnsi="宋体" w:cs="宋体"/>
                <w:color w:val="auto"/>
                <w:highlight w:val="none"/>
              </w:rPr>
              <w:t>分</w:t>
            </w:r>
            <w:r>
              <w:rPr>
                <w:rFonts w:hint="eastAsia" w:ascii="宋体" w:hAnsi="宋体" w:cs="宋体"/>
                <w:color w:val="auto"/>
                <w:highlight w:val="none"/>
              </w:rPr>
              <w:t>，偏离项数在2项以内（含2项）负偏离每一项</w:t>
            </w:r>
            <w:r>
              <w:rPr>
                <w:rFonts w:hint="eastAsia" w:ascii="宋体" w:hAnsi="宋体" w:cs="宋体"/>
                <w:color w:val="auto"/>
                <w:highlight w:val="none"/>
              </w:rPr>
              <w:t>扣</w:t>
            </w:r>
            <w:r>
              <w:rPr>
                <w:rFonts w:hint="eastAsia" w:ascii="宋体" w:hAnsi="宋体" w:cs="宋体"/>
                <w:color w:val="auto"/>
                <w:highlight w:val="none"/>
                <w:lang w:val="en-US" w:eastAsia="zh-CN"/>
              </w:rPr>
              <w:t>4</w:t>
            </w:r>
            <w:r>
              <w:rPr>
                <w:rFonts w:hint="eastAsia" w:ascii="宋体" w:hAnsi="宋体" w:cs="宋体"/>
                <w:color w:val="auto"/>
                <w:highlight w:val="none"/>
              </w:rPr>
              <w:t>分</w:t>
            </w:r>
            <w:r>
              <w:rPr>
                <w:rFonts w:hint="eastAsia" w:ascii="宋体" w:hAnsi="宋体" w:cs="宋体"/>
                <w:color w:val="auto"/>
                <w:highlight w:val="none"/>
              </w:rPr>
              <w:t>，扣完为止。</w:t>
            </w:r>
          </w:p>
          <w:bookmarkEnd w:id="94"/>
          <w:bookmarkEnd w:id="95"/>
          <w:p w14:paraId="0D153D96">
            <w:pPr>
              <w:adjustRightInd w:val="0"/>
              <w:snapToGrid w:val="0"/>
              <w:spacing w:line="300" w:lineRule="auto"/>
              <w:rPr>
                <w:rFonts w:hint="eastAsia" w:ascii="宋体" w:hAnsi="宋体" w:cs="宋体"/>
                <w:color w:val="auto"/>
                <w:szCs w:val="21"/>
                <w:highlight w:val="none"/>
              </w:rPr>
            </w:pPr>
            <w:r>
              <w:rPr>
                <w:rFonts w:hint="eastAsia" w:ascii="宋体" w:hAnsi="宋体" w:cs="宋体"/>
                <w:color w:val="auto"/>
                <w:szCs w:val="21"/>
                <w:highlight w:val="none"/>
              </w:rPr>
              <w:t>（1）存在缺项、漏项、参数无法响应、参数描述模糊不明确、设备配置描述不详等任一情形，均认定为负偏离。</w:t>
            </w:r>
          </w:p>
          <w:p w14:paraId="02E8656F">
            <w:pPr>
              <w:pStyle w:val="264"/>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（2）响应文件未按要求编制、提交《货物说明一览表》的，</w:t>
            </w:r>
            <w:r>
              <w:rPr>
                <w:rFonts w:hint="eastAsia" w:ascii="宋体" w:hAnsi="宋体" w:eastAsia="宋体" w:cs="宋体"/>
                <w:color w:val="auto"/>
                <w:sz w:val="21"/>
                <w:szCs w:val="21"/>
                <w:highlight w:val="none"/>
              </w:rPr>
              <w:t>均认定为负偏离。</w:t>
            </w:r>
          </w:p>
          <w:p w14:paraId="288800CF">
            <w:pPr>
              <w:rPr>
                <w:rFonts w:hint="eastAsia" w:ascii="宋体" w:hAnsi="宋体" w:cs="Arial"/>
                <w:color w:val="auto"/>
                <w:szCs w:val="21"/>
                <w:highlight w:val="none"/>
              </w:rPr>
            </w:pPr>
            <w:r>
              <w:rPr>
                <w:rFonts w:hint="eastAsia" w:ascii="宋体" w:hAnsi="宋体" w:cs="宋体"/>
                <w:color w:val="auto"/>
                <w:highlight w:val="none"/>
              </w:rPr>
              <w:t>（3）▲条款需提供采购需求中所要求的证明材料，在提供的证明文件上醒目标注其技术指标相对应的磋商文件技术参数条款，方便专家查找，否则</w:t>
            </w:r>
            <w:r>
              <w:rPr>
                <w:rFonts w:hint="eastAsia" w:ascii="宋体" w:hAnsi="宋体" w:cs="宋体"/>
                <w:color w:val="auto"/>
                <w:szCs w:val="21"/>
                <w:highlight w:val="none"/>
              </w:rPr>
              <w:t>均认定为负偏离。</w:t>
            </w:r>
          </w:p>
        </w:tc>
      </w:tr>
      <w:tr w14:paraId="0789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9" w:type="dxa"/>
            <w:vMerge w:val="continue"/>
            <w:vAlign w:val="center"/>
          </w:tcPr>
          <w:p w14:paraId="33993C95">
            <w:pPr>
              <w:widowControl/>
              <w:spacing w:line="276" w:lineRule="auto"/>
              <w:jc w:val="left"/>
              <w:rPr>
                <w:rFonts w:hint="eastAsia" w:ascii="宋体" w:hAnsi="宋体" w:cs="Arial"/>
                <w:color w:val="auto"/>
                <w:szCs w:val="21"/>
                <w:highlight w:val="none"/>
              </w:rPr>
            </w:pPr>
          </w:p>
        </w:tc>
        <w:tc>
          <w:tcPr>
            <w:tcW w:w="918" w:type="dxa"/>
            <w:vAlign w:val="center"/>
          </w:tcPr>
          <w:p w14:paraId="18B5EDAF">
            <w:pPr>
              <w:widowControl/>
              <w:jc w:val="center"/>
              <w:rPr>
                <w:rFonts w:ascii="宋体" w:hAnsi="Calibri" w:cs="宋体"/>
                <w:b/>
                <w:bCs/>
                <w:color w:val="auto"/>
                <w:kern w:val="0"/>
                <w:highlight w:val="none"/>
              </w:rPr>
            </w:pPr>
            <w:r>
              <w:rPr>
                <w:b/>
                <w:bCs/>
                <w:color w:val="auto"/>
                <w:spacing w:val="6"/>
                <w:highlight w:val="none"/>
              </w:rPr>
              <w:t>实施方案</w:t>
            </w:r>
            <w:r>
              <w:rPr>
                <w:rFonts w:hint="eastAsia"/>
                <w:b/>
                <w:bCs/>
                <w:color w:val="auto"/>
                <w:spacing w:val="6"/>
                <w:highlight w:val="none"/>
              </w:rPr>
              <w:t>（</w:t>
            </w:r>
            <w:r>
              <w:rPr>
                <w:rFonts w:hint="eastAsia"/>
                <w:b/>
                <w:bCs/>
                <w:color w:val="auto"/>
                <w:spacing w:val="6"/>
                <w:highlight w:val="none"/>
                <w:lang w:val="en-US" w:eastAsia="zh-CN"/>
              </w:rPr>
              <w:t>56</w:t>
            </w:r>
            <w:r>
              <w:rPr>
                <w:rFonts w:hint="eastAsia"/>
                <w:b/>
                <w:bCs/>
                <w:color w:val="auto"/>
                <w:spacing w:val="6"/>
                <w:highlight w:val="none"/>
              </w:rPr>
              <w:t>分）</w:t>
            </w:r>
          </w:p>
        </w:tc>
        <w:tc>
          <w:tcPr>
            <w:tcW w:w="7742" w:type="dxa"/>
            <w:vAlign w:val="center"/>
          </w:tcPr>
          <w:p w14:paraId="166C05FA">
            <w:pPr>
              <w:spacing w:before="33" w:line="251" w:lineRule="auto"/>
              <w:ind w:right="97"/>
              <w:rPr>
                <w:rFonts w:hint="eastAsia" w:ascii="宋体" w:hAnsi="宋体" w:cs="宋体"/>
                <w:color w:val="auto"/>
                <w:spacing w:val="6"/>
                <w:szCs w:val="21"/>
                <w:highlight w:val="none"/>
              </w:rPr>
            </w:pPr>
            <w:r>
              <w:rPr>
                <w:rFonts w:hint="eastAsia" w:ascii="宋体" w:hAnsi="宋体" w:cs="宋体"/>
                <w:color w:val="auto"/>
                <w:spacing w:val="6"/>
                <w:szCs w:val="21"/>
                <w:highlight w:val="none"/>
              </w:rPr>
              <w:t>根据磋商文件中提供的项目实施方案进行评审。项目实施方案应包含:</w:t>
            </w:r>
            <w:r>
              <w:rPr>
                <w:rFonts w:ascii="宋体" w:hAnsi="宋体" w:cs="宋体"/>
                <w:color w:val="auto"/>
                <w:spacing w:val="9"/>
                <w:szCs w:val="21"/>
                <w:highlight w:val="none"/>
              </w:rPr>
              <w:t>①</w:t>
            </w:r>
            <w:r>
              <w:rPr>
                <w:rFonts w:hint="eastAsia" w:ascii="宋体" w:hAnsi="宋体" w:cs="宋体"/>
                <w:color w:val="auto"/>
                <w:spacing w:val="6"/>
                <w:szCs w:val="21"/>
                <w:highlight w:val="none"/>
              </w:rPr>
              <w:t>实施方案说明；</w:t>
            </w:r>
            <w:r>
              <w:rPr>
                <w:rFonts w:ascii="宋体" w:hAnsi="宋体" w:cs="宋体"/>
                <w:color w:val="auto"/>
                <w:spacing w:val="9"/>
                <w:szCs w:val="21"/>
                <w:highlight w:val="none"/>
              </w:rPr>
              <w:t>②</w:t>
            </w:r>
            <w:r>
              <w:rPr>
                <w:rFonts w:hint="eastAsia" w:ascii="宋体" w:hAnsi="宋体" w:cs="宋体"/>
                <w:color w:val="auto"/>
                <w:spacing w:val="6"/>
                <w:szCs w:val="21"/>
                <w:highlight w:val="none"/>
              </w:rPr>
              <w:t>人员配备及安排；</w:t>
            </w:r>
            <w:r>
              <w:rPr>
                <w:rFonts w:ascii="宋体" w:hAnsi="宋体" w:cs="宋体"/>
                <w:color w:val="auto"/>
                <w:spacing w:val="9"/>
                <w:szCs w:val="21"/>
                <w:highlight w:val="none"/>
              </w:rPr>
              <w:t>③</w:t>
            </w:r>
            <w:r>
              <w:rPr>
                <w:rFonts w:hint="eastAsia" w:ascii="宋体" w:hAnsi="宋体" w:cs="宋体"/>
                <w:color w:val="auto"/>
                <w:spacing w:val="6"/>
                <w:szCs w:val="21"/>
                <w:highlight w:val="none"/>
              </w:rPr>
              <w:t>供货进度计划及保证措施；</w:t>
            </w:r>
            <w:r>
              <w:rPr>
                <w:rFonts w:ascii="宋体" w:hAnsi="宋体" w:cs="宋体"/>
                <w:color w:val="auto"/>
                <w:spacing w:val="6"/>
                <w:szCs w:val="21"/>
                <w:highlight w:val="none"/>
              </w:rPr>
              <w:t>④</w:t>
            </w:r>
            <w:r>
              <w:rPr>
                <w:rFonts w:hint="eastAsia" w:ascii="宋体" w:hAnsi="宋体" w:cs="宋体"/>
                <w:color w:val="auto"/>
                <w:spacing w:val="6"/>
                <w:szCs w:val="21"/>
                <w:highlight w:val="none"/>
              </w:rPr>
              <w:t>安装调试程序、质量保证措施等内容。</w:t>
            </w:r>
          </w:p>
          <w:p w14:paraId="492E1286">
            <w:pPr>
              <w:widowControl/>
              <w:jc w:val="left"/>
              <w:rPr>
                <w:color w:val="auto"/>
                <w:highlight w:val="none"/>
              </w:rPr>
            </w:pPr>
            <w:r>
              <w:rPr>
                <w:rFonts w:hint="eastAsia" w:ascii="宋体" w:hAnsi="宋体" w:cs="宋体"/>
                <w:color w:val="auto"/>
                <w:szCs w:val="21"/>
                <w:highlight w:val="none"/>
              </w:rPr>
              <w:t>上述小项方案具有针对性和可行性，内容完整合理满足采购需求要求的每项得</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分。存在一般缺陷的小项方案得</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分（一般缺陷是指方案内容前后不一致或前后逻辑错误或内容有缺失，不影响项目的实施）。未提供或存在重大缺陷的小项方案不得分（重大缺陷是指方案凭空编造或与采购项目和采购需求无关，无法指导项目实施）。</w:t>
            </w:r>
          </w:p>
        </w:tc>
      </w:tr>
      <w:tr w14:paraId="51E8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99" w:type="dxa"/>
            <w:vMerge w:val="restart"/>
            <w:vAlign w:val="center"/>
          </w:tcPr>
          <w:p w14:paraId="406E31A7">
            <w:pPr>
              <w:widowControl/>
              <w:spacing w:line="276" w:lineRule="auto"/>
              <w:jc w:val="center"/>
              <w:rPr>
                <w:rFonts w:hint="eastAsia" w:ascii="宋体" w:hAnsi="宋体" w:cs="Arial"/>
                <w:color w:val="auto"/>
                <w:sz w:val="20"/>
                <w:highlight w:val="none"/>
              </w:rPr>
            </w:pPr>
            <w:r>
              <w:rPr>
                <w:rFonts w:hint="eastAsia" w:ascii="宋体" w:hAnsi="宋体" w:cs="Arial"/>
                <w:color w:val="auto"/>
                <w:sz w:val="20"/>
                <w:highlight w:val="none"/>
              </w:rPr>
              <w:t>商务</w:t>
            </w:r>
          </w:p>
          <w:p w14:paraId="5E73A2F1">
            <w:pPr>
              <w:widowControl/>
              <w:spacing w:line="276" w:lineRule="auto"/>
              <w:jc w:val="center"/>
              <w:rPr>
                <w:rFonts w:hint="eastAsia" w:ascii="宋体" w:hAnsi="宋体" w:cs="Arial"/>
                <w:color w:val="auto"/>
                <w:sz w:val="20"/>
                <w:highlight w:val="none"/>
              </w:rPr>
            </w:pPr>
            <w:r>
              <w:rPr>
                <w:rFonts w:hint="eastAsia" w:ascii="宋体" w:hAnsi="宋体" w:cs="Arial"/>
                <w:color w:val="auto"/>
                <w:sz w:val="20"/>
                <w:highlight w:val="none"/>
                <w:lang w:val="en-US" w:eastAsia="zh-CN"/>
              </w:rPr>
              <w:t>100</w:t>
            </w:r>
            <w:r>
              <w:rPr>
                <w:rFonts w:hint="eastAsia" w:ascii="宋体" w:hAnsi="宋体" w:cs="Arial"/>
                <w:color w:val="auto"/>
                <w:sz w:val="20"/>
                <w:highlight w:val="none"/>
              </w:rPr>
              <w:t>分</w:t>
            </w:r>
          </w:p>
        </w:tc>
        <w:tc>
          <w:tcPr>
            <w:tcW w:w="918" w:type="dxa"/>
            <w:vAlign w:val="center"/>
          </w:tcPr>
          <w:p w14:paraId="153ED823">
            <w:pPr>
              <w:pStyle w:val="271"/>
              <w:widowControl/>
              <w:kinsoku w:val="0"/>
              <w:autoSpaceDE w:val="0"/>
              <w:autoSpaceDN w:val="0"/>
              <w:adjustRightInd w:val="0"/>
              <w:snapToGrid w:val="0"/>
              <w:spacing w:line="420" w:lineRule="exact"/>
              <w:jc w:val="center"/>
              <w:textAlignment w:val="baseline"/>
              <w:rPr>
                <w:rFonts w:hint="eastAsia"/>
                <w:b/>
                <w:bCs/>
                <w:color w:val="auto"/>
                <w:sz w:val="21"/>
                <w:szCs w:val="21"/>
                <w:highlight w:val="none"/>
              </w:rPr>
            </w:pPr>
            <w:r>
              <w:rPr>
                <w:rFonts w:hint="eastAsia"/>
                <w:b/>
                <w:bCs/>
                <w:color w:val="auto"/>
                <w:spacing w:val="5"/>
                <w:sz w:val="21"/>
                <w:szCs w:val="21"/>
                <w:highlight w:val="none"/>
              </w:rPr>
              <w:t>项目业</w:t>
            </w:r>
            <w:r>
              <w:rPr>
                <w:rFonts w:hint="eastAsia"/>
                <w:b/>
                <w:bCs/>
                <w:color w:val="auto"/>
                <w:sz w:val="21"/>
                <w:szCs w:val="21"/>
                <w:highlight w:val="none"/>
              </w:rPr>
              <w:t>绩</w:t>
            </w:r>
          </w:p>
          <w:p w14:paraId="26F66F5D">
            <w:pPr>
              <w:pStyle w:val="271"/>
              <w:widowControl/>
              <w:kinsoku w:val="0"/>
              <w:autoSpaceDE w:val="0"/>
              <w:autoSpaceDN w:val="0"/>
              <w:adjustRightInd w:val="0"/>
              <w:snapToGrid w:val="0"/>
              <w:spacing w:line="420" w:lineRule="exact"/>
              <w:jc w:val="center"/>
              <w:textAlignment w:val="baseline"/>
              <w:rPr>
                <w:rFonts w:hint="eastAsia" w:cs="Arial"/>
                <w:b/>
                <w:bCs/>
                <w:color w:val="auto"/>
                <w:szCs w:val="21"/>
                <w:highlight w:val="none"/>
              </w:rPr>
            </w:pPr>
            <w:r>
              <w:rPr>
                <w:rFonts w:hint="eastAsia"/>
                <w:b/>
                <w:bCs/>
                <w:color w:val="auto"/>
                <w:sz w:val="21"/>
                <w:szCs w:val="21"/>
                <w:highlight w:val="none"/>
                <w:lang w:eastAsia="zh-CN"/>
              </w:rPr>
              <w:t>（</w:t>
            </w:r>
            <w:r>
              <w:rPr>
                <w:rFonts w:hint="eastAsia"/>
                <w:b/>
                <w:bCs/>
                <w:color w:val="auto"/>
                <w:sz w:val="21"/>
                <w:szCs w:val="21"/>
                <w:highlight w:val="none"/>
                <w:lang w:val="en-US" w:eastAsia="zh-CN"/>
              </w:rPr>
              <w:t>34</w:t>
            </w:r>
            <w:r>
              <w:rPr>
                <w:rFonts w:hint="eastAsia"/>
                <w:b/>
                <w:bCs/>
                <w:color w:val="auto"/>
                <w:sz w:val="21"/>
                <w:szCs w:val="21"/>
                <w:highlight w:val="none"/>
                <w:lang w:eastAsia="zh-CN"/>
              </w:rPr>
              <w:t>分）</w:t>
            </w:r>
          </w:p>
        </w:tc>
        <w:tc>
          <w:tcPr>
            <w:tcW w:w="7742" w:type="dxa"/>
            <w:vAlign w:val="center"/>
          </w:tcPr>
          <w:p w14:paraId="571B028C">
            <w:pPr>
              <w:pStyle w:val="271"/>
              <w:widowControl/>
              <w:kinsoku w:val="0"/>
              <w:autoSpaceDE w:val="0"/>
              <w:autoSpaceDN w:val="0"/>
              <w:adjustRightInd w:val="0"/>
              <w:snapToGrid w:val="0"/>
              <w:spacing w:line="360" w:lineRule="atLeast"/>
              <w:textAlignment w:val="baseline"/>
              <w:rPr>
                <w:rFonts w:hint="eastAsia"/>
                <w:color w:val="auto"/>
                <w:sz w:val="21"/>
                <w:szCs w:val="21"/>
                <w:highlight w:val="none"/>
                <w:lang w:eastAsia="zh-CN"/>
              </w:rPr>
            </w:pPr>
            <w:r>
              <w:rPr>
                <w:rFonts w:hint="eastAsia"/>
                <w:color w:val="auto"/>
                <w:sz w:val="21"/>
                <w:szCs w:val="21"/>
                <w:highlight w:val="none"/>
                <w:lang w:eastAsia="zh-CN"/>
              </w:rPr>
              <w:t>供应商近 3 年（以递交响应文件截止之日前 36 个月内为有效，具体以类似项目合同签订日期为准）已完成的同类设备供货安装业绩，业绩内容包含本项目第五章采购清单中任意一项设备的，每提供 1 份有效合同业绩得</w:t>
            </w:r>
            <w:r>
              <w:rPr>
                <w:rFonts w:hint="eastAsia"/>
                <w:color w:val="auto"/>
                <w:sz w:val="21"/>
                <w:szCs w:val="21"/>
                <w:highlight w:val="none"/>
                <w:lang w:val="en-US" w:eastAsia="zh-CN"/>
              </w:rPr>
              <w:t>17</w:t>
            </w:r>
            <w:r>
              <w:rPr>
                <w:rFonts w:hint="eastAsia"/>
                <w:color w:val="auto"/>
                <w:sz w:val="21"/>
                <w:szCs w:val="21"/>
                <w:highlight w:val="none"/>
                <w:lang w:eastAsia="zh-CN"/>
              </w:rPr>
              <w:t xml:space="preserve"> 分，本项最高计</w:t>
            </w:r>
            <w:r>
              <w:rPr>
                <w:rFonts w:hint="eastAsia"/>
                <w:color w:val="auto"/>
                <w:sz w:val="21"/>
                <w:szCs w:val="21"/>
                <w:highlight w:val="none"/>
                <w:lang w:val="en-US" w:eastAsia="zh-CN"/>
              </w:rPr>
              <w:t>34</w:t>
            </w:r>
            <w:r>
              <w:rPr>
                <w:rFonts w:hint="eastAsia"/>
                <w:color w:val="auto"/>
                <w:sz w:val="21"/>
                <w:szCs w:val="21"/>
                <w:highlight w:val="none"/>
                <w:lang w:eastAsia="zh-CN"/>
              </w:rPr>
              <w:t>分；同一份合同仅计 1 次分，不重复计分。</w:t>
            </w:r>
          </w:p>
          <w:p w14:paraId="423DA4CD">
            <w:pPr>
              <w:pStyle w:val="271"/>
              <w:widowControl/>
              <w:kinsoku w:val="0"/>
              <w:autoSpaceDE w:val="0"/>
              <w:autoSpaceDN w:val="0"/>
              <w:adjustRightInd w:val="0"/>
              <w:snapToGrid w:val="0"/>
              <w:spacing w:line="360" w:lineRule="atLeast"/>
              <w:textAlignment w:val="baseline"/>
              <w:rPr>
                <w:rFonts w:hint="eastAsia" w:cs="Arial"/>
                <w:color w:val="auto"/>
                <w:szCs w:val="21"/>
                <w:highlight w:val="none"/>
                <w:lang w:eastAsia="zh-CN"/>
              </w:rPr>
            </w:pPr>
            <w:r>
              <w:rPr>
                <w:rFonts w:hint="eastAsia"/>
                <w:color w:val="auto"/>
                <w:sz w:val="21"/>
                <w:szCs w:val="21"/>
                <w:highlight w:val="none"/>
                <w:lang w:eastAsia="zh-CN"/>
              </w:rPr>
              <w:t>注：①业绩证明材料须提供完整合同复印件，仅提供合同节选、发票、验收单等单独材料未附合同原件复印件的不予计分；②合同文本内需清晰体现对应供货设备名称（属于本项目第五章采购清单任一品类），方可认定为 1 份有效业绩；③若合同正文未载明对应设备品类，可额外提供加盖供应商公章的项目内容说明函作为佐证材料，佐证材料无法单独作为业绩依据，须配套合同一并提交。</w:t>
            </w:r>
          </w:p>
        </w:tc>
      </w:tr>
      <w:tr w14:paraId="43AF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699" w:type="dxa"/>
            <w:vMerge w:val="continue"/>
            <w:vAlign w:val="center"/>
          </w:tcPr>
          <w:p w14:paraId="5434C429">
            <w:pPr>
              <w:widowControl/>
              <w:spacing w:line="276" w:lineRule="auto"/>
              <w:jc w:val="center"/>
              <w:rPr>
                <w:rFonts w:hint="eastAsia" w:ascii="宋体" w:hAnsi="宋体" w:cs="Arial"/>
                <w:color w:val="auto"/>
                <w:sz w:val="20"/>
                <w:highlight w:val="none"/>
              </w:rPr>
            </w:pPr>
          </w:p>
        </w:tc>
        <w:tc>
          <w:tcPr>
            <w:tcW w:w="918" w:type="dxa"/>
            <w:vAlign w:val="center"/>
          </w:tcPr>
          <w:p w14:paraId="075648EB">
            <w:pPr>
              <w:widowControl/>
              <w:spacing w:line="276" w:lineRule="auto"/>
              <w:jc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售后服务方案（</w:t>
            </w:r>
            <w:r>
              <w:rPr>
                <w:rFonts w:hint="eastAsia" w:ascii="宋体" w:hAnsi="宋体" w:cs="宋体"/>
                <w:b/>
                <w:bCs/>
                <w:color w:val="auto"/>
                <w:kern w:val="0"/>
                <w:szCs w:val="21"/>
                <w:highlight w:val="none"/>
                <w:lang w:val="en-US" w:eastAsia="zh-CN" w:bidi="ar"/>
              </w:rPr>
              <w:t>66</w:t>
            </w:r>
            <w:r>
              <w:rPr>
                <w:rFonts w:hint="eastAsia" w:ascii="宋体" w:hAnsi="宋体" w:cs="宋体"/>
                <w:b/>
                <w:bCs/>
                <w:color w:val="auto"/>
                <w:kern w:val="0"/>
                <w:szCs w:val="21"/>
                <w:highlight w:val="none"/>
                <w:lang w:bidi="ar"/>
              </w:rPr>
              <w:t>分）</w:t>
            </w:r>
          </w:p>
        </w:tc>
        <w:tc>
          <w:tcPr>
            <w:tcW w:w="7742" w:type="dxa"/>
            <w:vAlign w:val="center"/>
          </w:tcPr>
          <w:p w14:paraId="143801B1">
            <w:pPr>
              <w:spacing w:before="33" w:line="251" w:lineRule="auto"/>
              <w:ind w:right="97"/>
              <w:rPr>
                <w:rFonts w:hint="eastAsia" w:ascii="宋体" w:hAnsi="宋体" w:cs="宋体"/>
                <w:color w:val="auto"/>
                <w:spacing w:val="6"/>
                <w:szCs w:val="21"/>
                <w:highlight w:val="none"/>
              </w:rPr>
            </w:pPr>
            <w:r>
              <w:rPr>
                <w:rFonts w:hint="eastAsia" w:ascii="宋体" w:hAnsi="宋体" w:cs="宋体"/>
                <w:color w:val="auto"/>
                <w:spacing w:val="6"/>
                <w:szCs w:val="21"/>
                <w:highlight w:val="none"/>
              </w:rPr>
              <w:t>根据磋商文件中提供的项目实施方案进行评审。售后服务方案包括但不限于:</w:t>
            </w:r>
            <w:r>
              <w:rPr>
                <w:rFonts w:ascii="宋体" w:hAnsi="宋体" w:cs="宋体"/>
                <w:color w:val="auto"/>
                <w:spacing w:val="9"/>
                <w:szCs w:val="21"/>
                <w:highlight w:val="none"/>
              </w:rPr>
              <w:t>①</w:t>
            </w:r>
            <w:r>
              <w:rPr>
                <w:rFonts w:hint="eastAsia"/>
                <w:color w:val="auto"/>
                <w:szCs w:val="21"/>
                <w:highlight w:val="none"/>
              </w:rPr>
              <w:t>售后服务处理流程；</w:t>
            </w:r>
            <w:r>
              <w:rPr>
                <w:rFonts w:ascii="宋体" w:hAnsi="宋体" w:cs="宋体"/>
                <w:color w:val="auto"/>
                <w:spacing w:val="9"/>
                <w:szCs w:val="21"/>
                <w:highlight w:val="none"/>
              </w:rPr>
              <w:t>②</w:t>
            </w:r>
            <w:r>
              <w:rPr>
                <w:rFonts w:hint="eastAsia"/>
                <w:color w:val="auto"/>
                <w:szCs w:val="21"/>
                <w:highlight w:val="none"/>
              </w:rPr>
              <w:t>故障响应、恢复时间</w:t>
            </w:r>
            <w:r>
              <w:rPr>
                <w:rFonts w:hint="eastAsia" w:ascii="宋体" w:hAnsi="宋体" w:cs="宋体"/>
                <w:color w:val="auto"/>
                <w:spacing w:val="6"/>
                <w:szCs w:val="21"/>
                <w:highlight w:val="none"/>
              </w:rPr>
              <w:t>；</w:t>
            </w:r>
            <w:r>
              <w:rPr>
                <w:rFonts w:hint="eastAsia" w:ascii="宋体" w:hAnsi="宋体" w:cs="宋体"/>
                <w:color w:val="auto"/>
                <w:szCs w:val="21"/>
                <w:highlight w:val="none"/>
              </w:rPr>
              <w:t>③</w:t>
            </w:r>
            <w:r>
              <w:rPr>
                <w:rFonts w:hint="eastAsia"/>
                <w:color w:val="auto"/>
                <w:szCs w:val="21"/>
                <w:highlight w:val="none"/>
              </w:rPr>
              <w:t>技术支持方式、</w:t>
            </w:r>
            <w:r>
              <w:rPr>
                <w:rFonts w:hint="eastAsia"/>
                <w:color w:val="auto"/>
                <w:highlight w:val="none"/>
              </w:rPr>
              <w:t>培训方案</w:t>
            </w:r>
            <w:r>
              <w:rPr>
                <w:rFonts w:hint="eastAsia" w:ascii="宋体" w:hAnsi="宋体" w:cs="宋体"/>
                <w:color w:val="auto"/>
                <w:spacing w:val="6"/>
                <w:szCs w:val="21"/>
                <w:highlight w:val="none"/>
              </w:rPr>
              <w:t>等内容。</w:t>
            </w:r>
          </w:p>
          <w:p w14:paraId="43A59E1F">
            <w:pPr>
              <w:rPr>
                <w:rFonts w:hint="eastAsia" w:ascii="宋体" w:hAnsi="宋体" w:cs="宋体"/>
                <w:color w:val="auto"/>
                <w:szCs w:val="21"/>
                <w:highlight w:val="none"/>
              </w:rPr>
            </w:pPr>
            <w:r>
              <w:rPr>
                <w:rFonts w:hint="eastAsia" w:ascii="宋体" w:hAnsi="宋体" w:cs="宋体"/>
                <w:color w:val="auto"/>
                <w:szCs w:val="21"/>
                <w:highlight w:val="none"/>
              </w:rPr>
              <w:t>上述小项方案具有针对性和可行性，内容完整合理满足采购需求要求的每项得</w:t>
            </w:r>
            <w:r>
              <w:rPr>
                <w:rFonts w:hint="eastAsia" w:ascii="宋体" w:hAnsi="宋体" w:cs="宋体"/>
                <w:color w:val="auto"/>
                <w:szCs w:val="21"/>
                <w:highlight w:val="none"/>
                <w:lang w:val="en-US" w:eastAsia="zh-CN"/>
              </w:rPr>
              <w:t>22</w:t>
            </w:r>
            <w:r>
              <w:rPr>
                <w:rFonts w:hint="eastAsia" w:ascii="宋体" w:hAnsi="宋体" w:cs="宋体"/>
                <w:color w:val="auto"/>
                <w:szCs w:val="21"/>
                <w:highlight w:val="none"/>
              </w:rPr>
              <w:t>分。存在一般缺陷的小项方案得</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分（一般缺陷是指方案内容前后不一致或前后逻辑错误或内容有缺失，不影响项目的实施）。未提供或存在重大缺陷的小项方案不得分（重大缺陷是指方案凭空编造或与采购项目和采购需求无关，无法指导项目实施）。</w:t>
            </w:r>
          </w:p>
        </w:tc>
      </w:tr>
    </w:tbl>
    <w:p w14:paraId="51CA4C11">
      <w:pPr>
        <w:jc w:val="center"/>
        <w:rPr>
          <w:rFonts w:ascii="黑体" w:eastAsia="黑体"/>
          <w:b/>
          <w:color w:val="auto"/>
          <w:sz w:val="36"/>
          <w:szCs w:val="36"/>
          <w:highlight w:val="none"/>
        </w:rPr>
      </w:pPr>
      <w:r>
        <w:rPr>
          <w:rFonts w:hint="eastAsia" w:ascii="黑体" w:hAnsi="宋体" w:eastAsia="黑体"/>
          <w:b/>
          <w:bCs/>
          <w:color w:val="auto"/>
          <w:sz w:val="32"/>
          <w:szCs w:val="32"/>
          <w:highlight w:val="none"/>
        </w:rPr>
        <w:br w:type="page"/>
      </w:r>
      <w:r>
        <w:rPr>
          <w:rFonts w:hint="eastAsia" w:ascii="宋体" w:hAnsi="宋体" w:cs="宋体"/>
          <w:b/>
          <w:color w:val="auto"/>
          <w:sz w:val="32"/>
          <w:szCs w:val="32"/>
          <w:highlight w:val="none"/>
        </w:rPr>
        <w:t>第四章</w:t>
      </w:r>
      <w:r>
        <w:rPr>
          <w:rFonts w:hint="eastAsia" w:ascii="宋体" w:hAnsi="宋体"/>
          <w:color w:val="auto"/>
          <w:sz w:val="32"/>
          <w:szCs w:val="32"/>
          <w:highlight w:val="none"/>
        </w:rPr>
        <w:t xml:space="preserve">  </w:t>
      </w:r>
      <w:r>
        <w:rPr>
          <w:rFonts w:hint="eastAsia" w:ascii="宋体" w:hAnsi="宋体" w:cs="宋体"/>
          <w:b/>
          <w:color w:val="auto"/>
          <w:sz w:val="32"/>
          <w:szCs w:val="32"/>
          <w:highlight w:val="none"/>
        </w:rPr>
        <w:t>政府采购合同协议书</w:t>
      </w:r>
    </w:p>
    <w:p w14:paraId="58D500D1">
      <w:pPr>
        <w:adjustRightInd w:val="0"/>
        <w:snapToGrid w:val="0"/>
        <w:spacing w:before="156" w:beforeLines="50" w:line="360" w:lineRule="auto"/>
        <w:jc w:val="center"/>
        <w:rPr>
          <w:rFonts w:hint="eastAsia" w:ascii="宋体" w:hAnsi="宋体"/>
          <w:color w:val="auto"/>
          <w:szCs w:val="21"/>
          <w:highlight w:val="none"/>
        </w:rPr>
      </w:pPr>
      <w:r>
        <w:rPr>
          <w:rFonts w:hint="eastAsia" w:ascii="宋体" w:hAnsi="宋体" w:cs="宋体"/>
          <w:b/>
          <w:color w:val="auto"/>
          <w:sz w:val="30"/>
          <w:szCs w:val="30"/>
          <w:highlight w:val="none"/>
        </w:rPr>
        <w:t xml:space="preserve"> </w:t>
      </w:r>
      <w:r>
        <w:rPr>
          <w:rFonts w:hint="eastAsia" w:ascii="黑体" w:eastAsia="黑体"/>
          <w:color w:val="auto"/>
          <w:sz w:val="24"/>
          <w:highlight w:val="none"/>
        </w:rPr>
        <w:t>（请按照《中华人民共和国民法典》、《政府采购货物买卖合同（试行）》财办库〔2024〕84号及本采购项目特点确定合同格式，以实际签订的合同为准）</w:t>
      </w:r>
    </w:p>
    <w:p w14:paraId="7E8D2731">
      <w:pPr>
        <w:spacing w:line="360" w:lineRule="exact"/>
        <w:jc w:val="center"/>
        <w:rPr>
          <w:rFonts w:hint="eastAsia" w:ascii="黑体" w:hAnsi="宋体" w:eastAsia="黑体"/>
          <w:b/>
          <w:bCs/>
          <w:color w:val="auto"/>
          <w:sz w:val="32"/>
          <w:szCs w:val="32"/>
          <w:highlight w:val="none"/>
        </w:rPr>
      </w:pPr>
    </w:p>
    <w:p w14:paraId="082577C5">
      <w:pPr>
        <w:autoSpaceDE w:val="0"/>
        <w:autoSpaceDN w:val="0"/>
        <w:jc w:val="center"/>
        <w:rPr>
          <w:rFonts w:hint="eastAsia" w:ascii="宋体" w:hAnsi="宋体" w:cs="宋体"/>
          <w:b/>
          <w:bCs/>
          <w:color w:val="auto"/>
          <w:spacing w:val="-20"/>
          <w:kern w:val="44"/>
          <w:sz w:val="48"/>
          <w:szCs w:val="48"/>
          <w:highlight w:val="none"/>
          <w:lang w:val="zh-CN" w:bidi="zh-CN"/>
        </w:rPr>
      </w:pPr>
      <w:bookmarkStart w:id="97" w:name="_Toc3995"/>
    </w:p>
    <w:p w14:paraId="20706283">
      <w:pPr>
        <w:autoSpaceDE w:val="0"/>
        <w:autoSpaceDN w:val="0"/>
        <w:jc w:val="center"/>
        <w:rPr>
          <w:rFonts w:hint="eastAsia" w:ascii="宋体" w:hAnsi="宋体" w:cs="宋体"/>
          <w:b/>
          <w:bCs/>
          <w:color w:val="auto"/>
          <w:spacing w:val="-20"/>
          <w:kern w:val="44"/>
          <w:sz w:val="48"/>
          <w:szCs w:val="48"/>
          <w:highlight w:val="none"/>
          <w:lang w:val="zh-CN" w:bidi="zh-CN"/>
        </w:rPr>
      </w:pPr>
    </w:p>
    <w:p w14:paraId="127FF9EF">
      <w:pPr>
        <w:autoSpaceDE w:val="0"/>
        <w:autoSpaceDN w:val="0"/>
        <w:jc w:val="center"/>
        <w:rPr>
          <w:rFonts w:hint="eastAsia" w:ascii="宋体" w:hAnsi="宋体" w:cs="宋体"/>
          <w:b/>
          <w:bCs/>
          <w:color w:val="auto"/>
          <w:spacing w:val="-20"/>
          <w:kern w:val="44"/>
          <w:sz w:val="48"/>
          <w:szCs w:val="48"/>
          <w:highlight w:val="none"/>
          <w:lang w:val="zh-CN" w:bidi="zh-CN"/>
        </w:rPr>
      </w:pPr>
    </w:p>
    <w:p w14:paraId="52A3FE18">
      <w:pPr>
        <w:autoSpaceDE w:val="0"/>
        <w:autoSpaceDN w:val="0"/>
        <w:jc w:val="center"/>
        <w:rPr>
          <w:rFonts w:hint="eastAsia" w:ascii="宋体" w:hAnsi="宋体" w:cs="宋体"/>
          <w:b/>
          <w:bCs/>
          <w:color w:val="auto"/>
          <w:spacing w:val="-20"/>
          <w:kern w:val="44"/>
          <w:sz w:val="48"/>
          <w:szCs w:val="48"/>
          <w:highlight w:val="none"/>
          <w:lang w:val="zh-CN" w:bidi="zh-CN"/>
        </w:rPr>
      </w:pPr>
      <w:r>
        <w:rPr>
          <w:rFonts w:hint="eastAsia" w:ascii="宋体" w:hAnsi="宋体" w:cs="宋体"/>
          <w:b/>
          <w:bCs/>
          <w:color w:val="auto"/>
          <w:spacing w:val="-20"/>
          <w:kern w:val="44"/>
          <w:sz w:val="48"/>
          <w:szCs w:val="48"/>
          <w:highlight w:val="none"/>
          <w:lang w:val="zh-CN" w:bidi="zh-CN"/>
        </w:rPr>
        <w:t>政府采购货物买卖合同</w:t>
      </w:r>
    </w:p>
    <w:p w14:paraId="7857C85D">
      <w:pPr>
        <w:autoSpaceDE w:val="0"/>
        <w:autoSpaceDN w:val="0"/>
        <w:jc w:val="center"/>
        <w:rPr>
          <w:rFonts w:hint="eastAsia" w:ascii="宋体" w:hAnsi="宋体" w:cs="宋体"/>
          <w:b/>
          <w:bCs/>
          <w:color w:val="auto"/>
          <w:spacing w:val="-20"/>
          <w:kern w:val="44"/>
          <w:sz w:val="48"/>
          <w:szCs w:val="48"/>
          <w:highlight w:val="none"/>
          <w:lang w:val="zh-CN" w:bidi="zh-CN"/>
        </w:rPr>
      </w:pPr>
      <w:r>
        <w:rPr>
          <w:rFonts w:hint="eastAsia" w:ascii="宋体" w:hAnsi="宋体" w:cs="宋体"/>
          <w:b/>
          <w:bCs/>
          <w:color w:val="auto"/>
          <w:spacing w:val="-20"/>
          <w:kern w:val="44"/>
          <w:sz w:val="48"/>
          <w:szCs w:val="48"/>
          <w:highlight w:val="none"/>
          <w:lang w:val="zh-CN" w:bidi="zh-CN"/>
        </w:rPr>
        <w:t>（试行）</w:t>
      </w:r>
    </w:p>
    <w:p w14:paraId="5AAE9C55">
      <w:pPr>
        <w:jc w:val="center"/>
        <w:rPr>
          <w:color w:val="auto"/>
          <w:highlight w:val="none"/>
        </w:rPr>
      </w:pPr>
    </w:p>
    <w:p w14:paraId="77B04F27">
      <w:pPr>
        <w:rPr>
          <w:rFonts w:hint="eastAsia" w:ascii="宋体" w:hAnsi="宋体" w:cs="宋体"/>
          <w:b/>
          <w:bCs/>
          <w:color w:val="auto"/>
          <w:spacing w:val="-20"/>
          <w:kern w:val="44"/>
          <w:sz w:val="40"/>
          <w:szCs w:val="40"/>
          <w:highlight w:val="none"/>
        </w:rPr>
      </w:pPr>
    </w:p>
    <w:p w14:paraId="41D9890C">
      <w:pPr>
        <w:rPr>
          <w:rFonts w:hint="eastAsia" w:ascii="宋体" w:hAnsi="宋体" w:cs="宋体"/>
          <w:b/>
          <w:bCs/>
          <w:color w:val="auto"/>
          <w:spacing w:val="-20"/>
          <w:kern w:val="44"/>
          <w:sz w:val="40"/>
          <w:szCs w:val="40"/>
          <w:highlight w:val="none"/>
        </w:rPr>
      </w:pPr>
    </w:p>
    <w:p w14:paraId="516B7131">
      <w:pPr>
        <w:rPr>
          <w:rFonts w:hint="eastAsia" w:ascii="宋体" w:hAnsi="宋体" w:cs="宋体"/>
          <w:b/>
          <w:bCs/>
          <w:color w:val="auto"/>
          <w:spacing w:val="-20"/>
          <w:kern w:val="44"/>
          <w:sz w:val="40"/>
          <w:szCs w:val="40"/>
          <w:highlight w:val="none"/>
        </w:rPr>
      </w:pPr>
    </w:p>
    <w:p w14:paraId="21E24ADB">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015E762D">
      <w:pPr>
        <w:spacing w:line="360" w:lineRule="auto"/>
        <w:ind w:left="42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1FE83BD2">
      <w:pPr>
        <w:spacing w:line="360" w:lineRule="auto"/>
        <w:ind w:left="42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2B4BA5DB">
      <w:pPr>
        <w:spacing w:line="360" w:lineRule="auto"/>
        <w:ind w:left="42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10269B3D">
      <w:pPr>
        <w:spacing w:line="360" w:lineRule="auto"/>
        <w:ind w:left="42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341E38BB">
      <w:pPr>
        <w:rPr>
          <w:color w:val="auto"/>
          <w:highlight w:val="none"/>
        </w:rPr>
      </w:pPr>
    </w:p>
    <w:p w14:paraId="06733DA9">
      <w:pPr>
        <w:rPr>
          <w:rFonts w:eastAsia="黑体"/>
          <w:color w:val="auto"/>
          <w:sz w:val="44"/>
          <w:szCs w:val="44"/>
          <w:highlight w:val="none"/>
        </w:rPr>
      </w:pPr>
      <w:r>
        <w:rPr>
          <w:rFonts w:eastAsia="黑体"/>
          <w:color w:val="auto"/>
          <w:sz w:val="44"/>
          <w:szCs w:val="44"/>
          <w:highlight w:val="none"/>
        </w:rPr>
        <w:br w:type="page"/>
      </w:r>
    </w:p>
    <w:p w14:paraId="0E111E74">
      <w:pPr>
        <w:jc w:val="center"/>
        <w:rPr>
          <w:rFonts w:eastAsia="黑体"/>
          <w:color w:val="auto"/>
          <w:sz w:val="44"/>
          <w:szCs w:val="44"/>
          <w:highlight w:val="none"/>
        </w:rPr>
      </w:pPr>
      <w:r>
        <w:rPr>
          <w:rFonts w:hint="eastAsia" w:eastAsia="黑体"/>
          <w:color w:val="auto"/>
          <w:sz w:val="44"/>
          <w:szCs w:val="44"/>
          <w:highlight w:val="none"/>
        </w:rPr>
        <w:t>使 用 说 明</w:t>
      </w:r>
    </w:p>
    <w:p w14:paraId="41C9FDC1">
      <w:pPr>
        <w:ind w:firstLine="640" w:firstLineChars="200"/>
        <w:rPr>
          <w:rFonts w:hint="eastAsia" w:ascii="仿宋_GB2312" w:hAnsi="仿宋_GB2312" w:eastAsia="仿宋_GB2312" w:cs="仿宋_GB2312"/>
          <w:color w:val="auto"/>
          <w:sz w:val="32"/>
          <w:szCs w:val="32"/>
          <w:highlight w:val="none"/>
        </w:rPr>
      </w:pPr>
    </w:p>
    <w:p w14:paraId="7D189A6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1.本合同标准文本适用于购买现成货物的采购项目，不包括需要供应商定制开发、创新研发的货物采购项目。</w:t>
      </w:r>
    </w:p>
    <w:p w14:paraId="33E78BDA">
      <w:pPr>
        <w:rPr>
          <w:rFonts w:eastAsia="黑体"/>
          <w:color w:val="auto"/>
          <w:sz w:val="44"/>
          <w:szCs w:val="44"/>
          <w:highlight w:val="none"/>
        </w:rPr>
      </w:pPr>
      <w:r>
        <w:rPr>
          <w:rFonts w:hint="eastAsia" w:eastAsia="黑体"/>
          <w:color w:val="auto"/>
          <w:sz w:val="44"/>
          <w:szCs w:val="44"/>
          <w:highlight w:val="none"/>
        </w:rPr>
        <w:t xml:space="preserve">   </w:t>
      </w:r>
      <w:r>
        <w:rPr>
          <w:rFonts w:hint="eastAsia" w:ascii="仿宋_GB2312" w:hAnsi="仿宋_GB2312" w:eastAsia="仿宋_GB2312" w:cs="仿宋_GB2312"/>
          <w:color w:val="auto"/>
          <w:sz w:val="32"/>
          <w:szCs w:val="32"/>
          <w:highlight w:val="none"/>
        </w:rPr>
        <w:t>2.本合同标准文本为政府采购货物买卖合同编制提供参考，可以结合采购项目具体情况，对文本作必要的调整修订后使用。</w:t>
      </w:r>
    </w:p>
    <w:p w14:paraId="54ECF38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3.本合同标准文本各条款中，如涉及填写多家供应商、制造商，多种采购标的、分包主要内容等信息的，可根据采购项目具体情况添加信息项。</w:t>
      </w:r>
    </w:p>
    <w:p w14:paraId="21483B65">
      <w:pPr>
        <w:ind w:firstLine="880" w:firstLineChars="200"/>
        <w:rPr>
          <w:rFonts w:eastAsia="黑体"/>
          <w:color w:val="auto"/>
          <w:sz w:val="44"/>
          <w:szCs w:val="44"/>
          <w:highlight w:val="none"/>
        </w:rPr>
        <w:sectPr>
          <w:headerReference r:id="rId9" w:type="default"/>
          <w:footerReference r:id="rId10" w:type="default"/>
          <w:pgSz w:w="11906" w:h="16838"/>
          <w:pgMar w:top="1440" w:right="1800" w:bottom="1440" w:left="1800" w:header="851" w:footer="992" w:gutter="0"/>
          <w:cols w:space="720" w:num="1"/>
          <w:docGrid w:type="lines" w:linePitch="312" w:charSpace="0"/>
        </w:sectPr>
      </w:pPr>
    </w:p>
    <w:bookmarkEnd w:id="97"/>
    <w:p w14:paraId="6B1B5CFE">
      <w:pPr>
        <w:keepNext/>
        <w:keepLines/>
        <w:adjustRightInd w:val="0"/>
        <w:snapToGrid w:val="0"/>
        <w:spacing w:line="400" w:lineRule="exact"/>
        <w:jc w:val="center"/>
        <w:rPr>
          <w:rFonts w:hint="eastAsia" w:ascii="黑体" w:hAnsi="黑体" w:eastAsia="黑体"/>
          <w:color w:val="auto"/>
          <w:sz w:val="28"/>
          <w:szCs w:val="28"/>
          <w:highlight w:val="none"/>
        </w:rPr>
      </w:pPr>
      <w:bookmarkStart w:id="98" w:name="_Toc22209"/>
    </w:p>
    <w:p w14:paraId="13CB6B2C">
      <w:pPr>
        <w:keepNext/>
        <w:keepLines/>
        <w:adjustRightInd w:val="0"/>
        <w:snapToGrid w:val="0"/>
        <w:spacing w:line="400" w:lineRule="exact"/>
        <w:jc w:val="center"/>
        <w:outlineLvl w:val="1"/>
        <w:rPr>
          <w:rFonts w:hint="eastAsia" w:ascii="黑体" w:hAnsi="华文中宋" w:eastAsia="黑体"/>
          <w:color w:val="auto"/>
          <w:sz w:val="28"/>
          <w:szCs w:val="28"/>
          <w:highlight w:val="none"/>
        </w:rPr>
      </w:pPr>
      <w:r>
        <w:rPr>
          <w:rFonts w:hint="eastAsia" w:ascii="黑体" w:hAnsi="黑体" w:eastAsia="黑体"/>
          <w:color w:val="auto"/>
          <w:sz w:val="28"/>
          <w:szCs w:val="28"/>
          <w:highlight w:val="none"/>
        </w:rPr>
        <w:t xml:space="preserve">第一节 </w:t>
      </w:r>
      <w:r>
        <w:rPr>
          <w:rFonts w:hint="eastAsia" w:ascii="黑体" w:hAnsi="华文中宋" w:eastAsia="黑体"/>
          <w:color w:val="auto"/>
          <w:sz w:val="28"/>
          <w:szCs w:val="28"/>
          <w:highlight w:val="none"/>
        </w:rPr>
        <w:t>政府采购合同协议书</w:t>
      </w:r>
      <w:bookmarkEnd w:id="98"/>
    </w:p>
    <w:p w14:paraId="7DDB23DD">
      <w:pPr>
        <w:keepNext/>
        <w:keepLines/>
        <w:adjustRightInd w:val="0"/>
        <w:snapToGrid w:val="0"/>
        <w:spacing w:line="400" w:lineRule="exact"/>
        <w:jc w:val="center"/>
        <w:rPr>
          <w:rFonts w:hint="eastAsia" w:ascii="黑体" w:hAnsi="华文中宋" w:eastAsia="黑体"/>
          <w:color w:val="auto"/>
          <w:sz w:val="28"/>
          <w:szCs w:val="28"/>
          <w:highlight w:val="none"/>
        </w:rPr>
      </w:pPr>
    </w:p>
    <w:p w14:paraId="5AFBCDEB">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09179B4C">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69AD6DCD">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5A3E58">
      <w:pPr>
        <w:adjustRightInd w:val="0"/>
        <w:snapToGrid w:val="0"/>
        <w:spacing w:line="400" w:lineRule="exact"/>
        <w:rPr>
          <w:rFonts w:hint="eastAsia"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4A168CE3">
      <w:pPr>
        <w:spacing w:line="400" w:lineRule="exact"/>
        <w:rPr>
          <w:color w:val="auto"/>
          <w:highlight w:val="none"/>
        </w:rPr>
      </w:pPr>
    </w:p>
    <w:p w14:paraId="5E27AEEA">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36E27AB">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项目信息</w:t>
      </w:r>
    </w:p>
    <w:p w14:paraId="23F48ABD">
      <w:pPr>
        <w:numPr>
          <w:ilvl w:val="0"/>
          <w:numId w:val="5"/>
        </w:numPr>
        <w:adjustRightInd w:val="0"/>
        <w:snapToGrid w:val="0"/>
        <w:spacing w:line="40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777B304D">
      <w:pPr>
        <w:tabs>
          <w:tab w:val="left" w:pos="999"/>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4BF8EA4A">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2740FD83">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（3）项目内容：</w:t>
      </w:r>
    </w:p>
    <w:p w14:paraId="034A6243">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7A84562">
      <w:pPr>
        <w:adjustRightInd w:val="0"/>
        <w:snapToGrid w:val="0"/>
        <w:spacing w:line="400" w:lineRule="exact"/>
        <w:ind w:firstLine="420" w:firstLineChars="200"/>
        <w:rPr>
          <w:rFonts w:hint="eastAsia"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6D7A9E69">
      <w:pPr>
        <w:adjustRightInd w:val="0"/>
        <w:snapToGrid w:val="0"/>
        <w:spacing w:line="400" w:lineRule="exact"/>
        <w:ind w:firstLine="945" w:firstLineChars="450"/>
        <w:rPr>
          <w:rFonts w:hint="eastAsia"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141C22E0">
      <w:pPr>
        <w:adjustRightInd w:val="0"/>
        <w:snapToGrid w:val="0"/>
        <w:spacing w:line="400" w:lineRule="exact"/>
        <w:ind w:firstLine="945" w:firstLineChars="450"/>
        <w:rPr>
          <w:rFonts w:hint="eastAsia"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1672A140">
      <w:pPr>
        <w:adjustRightInd w:val="0"/>
        <w:snapToGrid w:val="0"/>
        <w:spacing w:line="40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46A0DEBB">
      <w:pPr>
        <w:adjustRightInd w:val="0"/>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48D748B">
      <w:pPr>
        <w:pStyle w:val="283"/>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61BCAC58">
      <w:pPr>
        <w:pStyle w:val="283"/>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1E2CA07C">
      <w:pPr>
        <w:pStyle w:val="283"/>
        <w:snapToGrid w:val="0"/>
        <w:ind w:firstLine="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311579D5">
      <w:pPr>
        <w:pStyle w:val="283"/>
        <w:snapToGrid w:val="0"/>
        <w:ind w:firstLine="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1FEFB07B">
      <w:pPr>
        <w:pStyle w:val="283"/>
        <w:snapToGrid w:val="0"/>
        <w:ind w:firstLine="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495218D4">
      <w:pPr>
        <w:pStyle w:val="283"/>
        <w:snapToGrid w:val="0"/>
        <w:ind w:firstLine="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否</w:t>
      </w:r>
    </w:p>
    <w:p w14:paraId="6D8F550E">
      <w:pPr>
        <w:pStyle w:val="283"/>
        <w:snapToGrid w:val="0"/>
        <w:ind w:firstLine="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分散采购</w:t>
      </w:r>
    </w:p>
    <w:p w14:paraId="2EBEE456">
      <w:pPr>
        <w:pStyle w:val="283"/>
        <w:snapToGrid w:val="0"/>
        <w:ind w:firstLine="42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竞争性磋商</w:t>
      </w:r>
    </w:p>
    <w:p w14:paraId="6C4A8098">
      <w:pPr>
        <w:pStyle w:val="283"/>
        <w:snapToGrid w:val="0"/>
        <w:ind w:firstLine="420" w:firstLineChars="0"/>
        <w:rPr>
          <w:rFonts w:hint="eastAsia"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013440C2">
      <w:pPr>
        <w:pStyle w:val="283"/>
        <w:snapToGrid w:val="0"/>
        <w:ind w:firstLine="420" w:firstLineChars="0"/>
        <w:rPr>
          <w:rFonts w:hint="eastAsia" w:ascii="宋体" w:hAnsi="宋体" w:eastAsia="宋体" w:cs="宋体"/>
          <w:color w:val="auto"/>
          <w:sz w:val="21"/>
          <w:highlight w:val="none"/>
        </w:rPr>
      </w:pPr>
      <w:r>
        <w:rPr>
          <w:rFonts w:hint="eastAsia" w:ascii="宋体" w:hAnsi="宋体" w:eastAsia="宋体" w:cs="宋体"/>
          <w:color w:val="auto"/>
          <w:sz w:val="21"/>
          <w:highlight w:val="none"/>
        </w:rPr>
        <w:t>（注：在框架协议采购的第二阶段，可选择使用该合同文本）</w:t>
      </w:r>
    </w:p>
    <w:p w14:paraId="4CA4F791">
      <w:pPr>
        <w:pStyle w:val="283"/>
        <w:snapToGrid w:val="0"/>
        <w:ind w:firstLine="220" w:firstLineChars="100"/>
        <w:rPr>
          <w:rFonts w:hint="eastAsia"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6FBA4C24">
      <w:pPr>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5907FDE8">
      <w:p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22A49ECD">
      <w:p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206CD912">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0AD03CAB">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1B41747">
      <w:pPr>
        <w:adjustRightInd w:val="0"/>
        <w:snapToGrid w:val="0"/>
        <w:spacing w:line="400" w:lineRule="exact"/>
        <w:ind w:firstLine="840" w:firstLineChars="400"/>
        <w:rPr>
          <w:rFonts w:hint="eastAsia"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24EDF09C">
      <w:pPr>
        <w:adjustRightInd w:val="0"/>
        <w:snapToGrid w:val="0"/>
        <w:spacing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57346737">
      <w:pPr>
        <w:adjustRightInd w:val="0"/>
        <w:snapToGrid w:val="0"/>
        <w:spacing w:line="400" w:lineRule="exact"/>
        <w:ind w:firstLine="840" w:firstLineChars="400"/>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10687AF5">
      <w:pPr>
        <w:adjustRightInd w:val="0"/>
        <w:snapToGrid w:val="0"/>
        <w:spacing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1341B18B">
      <w:pPr>
        <w:adjustRightInd w:val="0"/>
        <w:snapToGrid w:val="0"/>
        <w:spacing w:line="400" w:lineRule="exact"/>
        <w:ind w:firstLine="840" w:firstLineChars="400"/>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5A44DF3C">
      <w:pPr>
        <w:adjustRightInd w:val="0"/>
        <w:snapToGrid w:val="0"/>
        <w:spacing w:line="400" w:lineRule="exact"/>
        <w:ind w:firstLine="840"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1F34F46A">
      <w:pPr>
        <w:adjustRightInd w:val="0"/>
        <w:snapToGrid w:val="0"/>
        <w:spacing w:line="400" w:lineRule="exact"/>
        <w:rPr>
          <w:rFonts w:hint="eastAsia"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4D914466">
      <w:pPr>
        <w:pStyle w:val="283"/>
        <w:tabs>
          <w:tab w:val="left" w:pos="1340"/>
        </w:tabs>
        <w:ind w:firstLine="420"/>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58F9D83E">
      <w:pPr>
        <w:adjustRightInd w:val="0"/>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03E99E8A">
      <w:pPr>
        <w:adjustRightInd w:val="0"/>
        <w:snapToGrid w:val="0"/>
        <w:spacing w:line="40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3473C9B5">
      <w:pPr>
        <w:adjustRightInd w:val="0"/>
        <w:snapToGrid w:val="0"/>
        <w:spacing w:line="400" w:lineRule="exact"/>
        <w:ind w:firstLine="840" w:firstLineChars="400"/>
        <w:rPr>
          <w:rFonts w:hint="eastAsia"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590DF9B9">
      <w:pPr>
        <w:adjustRightInd w:val="0"/>
        <w:snapToGrid w:val="0"/>
        <w:spacing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0832074D">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024EC754">
      <w:p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23419764">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2659A1D0">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是否涉及环境标志产品：</w:t>
      </w:r>
    </w:p>
    <w:p w14:paraId="57A161CE">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65321358">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4D1D0C4E">
      <w:pPr>
        <w:pStyle w:val="283"/>
        <w:snapToGrid w:val="0"/>
        <w:ind w:firstLine="0" w:firstLineChars="0"/>
        <w:rPr>
          <w:rFonts w:hint="eastAsia"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6E6DF768">
      <w:pPr>
        <w:pStyle w:val="283"/>
        <w:ind w:firstLine="420" w:firstLineChars="0"/>
        <w:rPr>
          <w:rFonts w:hint="eastAsia"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0BB94047">
      <w:p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5CE3A20F">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23CCF11E">
      <w:pPr>
        <w:adjustRightInd w:val="0"/>
        <w:snapToGrid w:val="0"/>
        <w:spacing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084AD34F">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合同金额</w:t>
      </w:r>
    </w:p>
    <w:p w14:paraId="39993526">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4598B62A">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0E914E6A">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7779F439">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1C9B25FF">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070D61B6">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276A2DD4">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2F6CE606">
      <w:pPr>
        <w:spacing w:line="400" w:lineRule="exact"/>
        <w:ind w:firstLine="420" w:firstLineChars="200"/>
        <w:rPr>
          <w:rFonts w:ascii="Calibri" w:hAnsi="Calibri"/>
          <w:color w:val="auto"/>
          <w:szCs w:val="22"/>
          <w:highlight w:val="none"/>
        </w:rPr>
      </w:pPr>
      <w:r>
        <w:rPr>
          <w:rFonts w:hint="eastAsia" w:ascii="宋体" w:hAnsi="宋体"/>
          <w:color w:val="auto"/>
          <w:szCs w:val="22"/>
          <w:highlight w:val="none"/>
        </w:rPr>
        <w:t>（3）付款方式（按项目实际勾选填写）：</w:t>
      </w:r>
    </w:p>
    <w:p w14:paraId="7FC13D02">
      <w:pPr>
        <w:adjustRightInd w:val="0"/>
        <w:snapToGrid w:val="0"/>
        <w:spacing w:line="400" w:lineRule="exact"/>
        <w:ind w:firstLine="63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334E64D9">
      <w:pPr>
        <w:snapToGrid w:val="0"/>
        <w:spacing w:line="400" w:lineRule="exact"/>
        <w:ind w:firstLine="630" w:firstLineChars="300"/>
        <w:rPr>
          <w:color w:val="auto"/>
          <w:highlight w:val="none"/>
        </w:rPr>
      </w:pPr>
      <w:r>
        <w:rPr>
          <w:rFonts w:hint="eastAsia" w:ascii="宋体" w:hAnsi="宋体"/>
          <w:color w:val="auto"/>
          <w:szCs w:val="21"/>
          <w:highlight w:val="none"/>
        </w:rPr>
        <w:sym w:font="Wingdings" w:char="00FE"/>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（应明确分期支付合同款项的各期比例和支付条件，各期支付条件应与分期履约验收情况挂钩） </w:t>
      </w:r>
      <w:r>
        <w:rPr>
          <w:rFonts w:hint="eastAsia" w:ascii="宋体" w:hAnsi="宋体"/>
          <w:color w:val="auto"/>
          <w:szCs w:val="21"/>
          <w:highlight w:val="none"/>
        </w:rPr>
        <w:t>，其中涉及预付款的：</w:t>
      </w:r>
      <w:r>
        <w:rPr>
          <w:rFonts w:hint="eastAsia" w:ascii="宋体" w:hAnsi="宋体"/>
          <w:color w:val="auto"/>
          <w:szCs w:val="21"/>
          <w:highlight w:val="none"/>
          <w:u w:val="single"/>
        </w:rPr>
        <w:t xml:space="preserve"> （应明确预付款的支付比例和支付条件） </w:t>
      </w:r>
    </w:p>
    <w:p w14:paraId="617F9AB1">
      <w:pPr>
        <w:adjustRightInd w:val="0"/>
        <w:snapToGrid w:val="0"/>
        <w:spacing w:line="400" w:lineRule="exact"/>
        <w:ind w:firstLine="63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775E6B8A">
      <w:pPr>
        <w:adjustRightInd w:val="0"/>
        <w:snapToGrid w:val="0"/>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7C5074E8">
      <w:pPr>
        <w:numPr>
          <w:ilvl w:val="0"/>
          <w:numId w:val="4"/>
        </w:numPr>
        <w:adjustRightInd w:val="0"/>
        <w:snapToGrid w:val="0"/>
        <w:spacing w:line="400" w:lineRule="exact"/>
        <w:ind w:firstLine="422" w:firstLineChars="200"/>
        <w:rPr>
          <w:rFonts w:hint="eastAsia" w:ascii="宋体" w:hAnsi="宋体"/>
          <w:b/>
          <w:color w:val="auto"/>
          <w:szCs w:val="21"/>
          <w:highlight w:val="none"/>
          <w:u w:val="single"/>
        </w:rPr>
      </w:pPr>
      <w:r>
        <w:rPr>
          <w:rFonts w:hint="eastAsia" w:ascii="宋体" w:hAnsi="宋体"/>
          <w:b/>
          <w:color w:val="auto"/>
          <w:szCs w:val="21"/>
          <w:highlight w:val="none"/>
        </w:rPr>
        <w:t>合同履行</w:t>
      </w:r>
    </w:p>
    <w:p w14:paraId="35A1D826">
      <w:pPr>
        <w:adjustRightInd w:val="0"/>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CEE0AFD">
      <w:pPr>
        <w:adjustRightInd w:val="0"/>
        <w:snapToGrid w:val="0"/>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732855F0">
      <w:pPr>
        <w:adjustRightInd w:val="0"/>
        <w:snapToGrid w:val="0"/>
        <w:spacing w:line="400" w:lineRule="exact"/>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6D75C3B5">
      <w:pPr>
        <w:pStyle w:val="283"/>
        <w:rPr>
          <w:rFonts w:hint="eastAsia"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bCs/>
          <w:color w:val="auto"/>
          <w:sz w:val="21"/>
          <w:highlight w:val="none"/>
          <w:u w:val="single"/>
        </w:rPr>
        <w:t xml:space="preserve">                            </w:t>
      </w:r>
    </w:p>
    <w:p w14:paraId="59E1E9C5">
      <w:pPr>
        <w:pStyle w:val="283"/>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bCs/>
          <w:color w:val="auto"/>
          <w:sz w:val="21"/>
          <w:highlight w:val="none"/>
          <w:u w:val="single"/>
        </w:rPr>
        <w:t xml:space="preserve">                            </w:t>
      </w:r>
    </w:p>
    <w:p w14:paraId="4AD1FD83">
      <w:pPr>
        <w:snapToGrid w:val="0"/>
        <w:spacing w:line="400" w:lineRule="exact"/>
        <w:ind w:firstLine="420" w:firstLineChars="200"/>
        <w:rPr>
          <w:rFonts w:hint="eastAsia"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74F76759">
      <w:pPr>
        <w:adjustRightInd w:val="0"/>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5244BC97">
      <w:pPr>
        <w:adjustRightInd w:val="0"/>
        <w:snapToGrid w:val="0"/>
        <w:spacing w:line="400" w:lineRule="exact"/>
        <w:ind w:firstLine="42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3203BF0E">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合同验收</w:t>
      </w:r>
    </w:p>
    <w:p w14:paraId="54C53987">
      <w:pPr>
        <w:numPr>
          <w:ilvl w:val="0"/>
          <w:numId w:val="6"/>
        </w:numPr>
        <w:adjustRightInd w:val="0"/>
        <w:snapToGrid w:val="0"/>
        <w:spacing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2D3CC7C9">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0FC93866">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35855462">
      <w:pPr>
        <w:adjustRightInd w:val="0"/>
        <w:snapToGrid w:val="0"/>
        <w:spacing w:line="400" w:lineRule="exact"/>
        <w:ind w:firstLine="840" w:firstLineChars="400"/>
        <w:rPr>
          <w:rFonts w:hint="eastAsia"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702F756">
      <w:pPr>
        <w:adjustRightInd w:val="0"/>
        <w:snapToGrid w:val="0"/>
        <w:spacing w:line="400" w:lineRule="exact"/>
        <w:ind w:firstLine="840" w:firstLineChars="400"/>
        <w:rPr>
          <w:rFonts w:hint="eastAsia"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27D77FE0">
      <w:pPr>
        <w:adjustRightInd w:val="0"/>
        <w:snapToGrid w:val="0"/>
        <w:spacing w:line="400" w:lineRule="exact"/>
        <w:ind w:firstLine="840" w:firstLineChars="400"/>
        <w:rPr>
          <w:rFonts w:hint="eastAsia"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15181DB">
      <w:pPr>
        <w:adjustRightInd w:val="0"/>
        <w:snapToGrid w:val="0"/>
        <w:spacing w:line="400" w:lineRule="exact"/>
        <w:ind w:firstLine="840" w:firstLineChars="400"/>
        <w:rPr>
          <w:rFonts w:hint="eastAsia"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EEF5AFD">
      <w:pPr>
        <w:adjustRightInd w:val="0"/>
        <w:snapToGrid w:val="0"/>
        <w:spacing w:line="400" w:lineRule="exact"/>
        <w:ind w:firstLine="840" w:firstLineChars="400"/>
        <w:rPr>
          <w:rFonts w:hint="eastAsia" w:ascii="宋体" w:hAnsi="宋体"/>
          <w:bCs/>
          <w:color w:val="auto"/>
          <w:szCs w:val="21"/>
          <w:highlight w:val="non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3F829119">
      <w:pPr>
        <w:adjustRightInd w:val="0"/>
        <w:snapToGrid w:val="0"/>
        <w:spacing w:line="400" w:lineRule="exact"/>
        <w:ind w:firstLine="840" w:firstLineChars="400"/>
        <w:rPr>
          <w:rFonts w:hint="eastAsia"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0F054939">
      <w:pPr>
        <w:adjustRightInd w:val="0"/>
        <w:snapToGrid w:val="0"/>
        <w:spacing w:line="400" w:lineRule="exact"/>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8D6BAB7">
      <w:pPr>
        <w:adjustRightInd w:val="0"/>
        <w:snapToGrid w:val="0"/>
        <w:spacing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40C5E25C">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0289C223">
      <w:pPr>
        <w:adjustRightInd w:val="0"/>
        <w:snapToGrid w:val="0"/>
        <w:spacing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79E95C9A">
      <w:pPr>
        <w:adjustRightInd w:val="0"/>
        <w:snapToGrid w:val="0"/>
        <w:spacing w:line="400" w:lineRule="exact"/>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08928061">
      <w:pPr>
        <w:adjustRightInd w:val="0"/>
        <w:snapToGrid w:val="0"/>
        <w:spacing w:line="400" w:lineRule="exact"/>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7753BA2A">
      <w:pPr>
        <w:pStyle w:val="283"/>
        <w:ind w:firstLine="420"/>
        <w:rPr>
          <w:rFonts w:hint="eastAsia"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否</w:t>
      </w:r>
    </w:p>
    <w:p w14:paraId="6219CE8C">
      <w:pPr>
        <w:adjustRightInd w:val="0"/>
        <w:snapToGrid w:val="0"/>
        <w:spacing w:line="400" w:lineRule="exact"/>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1315C347">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组成合同的文件</w:t>
      </w:r>
    </w:p>
    <w:p w14:paraId="44F13C48">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75A2668D">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（1）政府采购合同协议书及其变更、补充协议</w:t>
      </w:r>
    </w:p>
    <w:p w14:paraId="72452B9A">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（2）政府采购合同专用条款</w:t>
      </w:r>
    </w:p>
    <w:p w14:paraId="62A6A0DD">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（3）政府采购合同通用条款</w:t>
      </w:r>
    </w:p>
    <w:p w14:paraId="2D762A1C">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（4）中标（成交）通知书</w:t>
      </w:r>
    </w:p>
    <w:p w14:paraId="293A3643">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（5）投标（响应）文件</w:t>
      </w:r>
    </w:p>
    <w:p w14:paraId="394063C2">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（6）采购文件</w:t>
      </w:r>
    </w:p>
    <w:p w14:paraId="763FE4E3">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（7）有关技术文件，图纸</w:t>
      </w:r>
    </w:p>
    <w:p w14:paraId="0C3CC963">
      <w:pPr>
        <w:pStyle w:val="283"/>
        <w:ind w:firstLine="420"/>
        <w:rPr>
          <w:rFonts w:hint="eastAsia"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13068441">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合同生效</w:t>
      </w:r>
    </w:p>
    <w:p w14:paraId="7C0C684F">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030A8F78">
      <w:pPr>
        <w:numPr>
          <w:ilvl w:val="0"/>
          <w:numId w:val="4"/>
        </w:numPr>
        <w:adjustRightInd w:val="0"/>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合同份数</w:t>
      </w:r>
    </w:p>
    <w:p w14:paraId="472EB04E">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652E85A4">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4C9C53C">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0BA074C7">
      <w:pPr>
        <w:adjustRightInd w:val="0"/>
        <w:snapToGrid w:val="0"/>
        <w:spacing w:line="400" w:lineRule="exact"/>
        <w:ind w:firstLine="420"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25ACB1F0">
      <w:pPr>
        <w:ind w:firstLine="420" w:firstLineChars="200"/>
        <w:rPr>
          <w:rFonts w:ascii="Calibri" w:hAnsi="Calibri"/>
          <w:color w:val="auto"/>
          <w:szCs w:val="22"/>
          <w:highlight w:val="none"/>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22"/>
        <w:gridCol w:w="2709"/>
        <w:gridCol w:w="2222"/>
        <w:gridCol w:w="2377"/>
      </w:tblGrid>
      <w:tr w14:paraId="080B9A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1" w:type="pct"/>
            <w:gridSpan w:val="2"/>
            <w:tcBorders>
              <w:bottom w:val="single" w:color="auto" w:sz="2" w:space="0"/>
              <w:right w:val="single" w:color="auto" w:sz="2" w:space="0"/>
            </w:tcBorders>
            <w:vAlign w:val="center"/>
          </w:tcPr>
          <w:p w14:paraId="6D330E24">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8" w:type="pct"/>
            <w:gridSpan w:val="2"/>
            <w:tcBorders>
              <w:left w:val="single" w:color="auto" w:sz="2" w:space="0"/>
              <w:bottom w:val="single" w:color="auto" w:sz="2" w:space="0"/>
            </w:tcBorders>
            <w:vAlign w:val="center"/>
          </w:tcPr>
          <w:p w14:paraId="5AB25FA1">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1FB71F1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5" w:type="pct"/>
            <w:tcBorders>
              <w:top w:val="single" w:color="auto" w:sz="2" w:space="0"/>
              <w:bottom w:val="single" w:color="auto" w:sz="2" w:space="0"/>
              <w:right w:val="single" w:color="auto" w:sz="2" w:space="0"/>
            </w:tcBorders>
            <w:vAlign w:val="center"/>
          </w:tcPr>
          <w:p w14:paraId="403A9E7E">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3DF1CF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1671DBA">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vAlign w:val="center"/>
          </w:tcPr>
          <w:p w14:paraId="2BEC34EC">
            <w:pPr>
              <w:adjustRightInd w:val="0"/>
              <w:snapToGrid w:val="0"/>
              <w:spacing w:line="300" w:lineRule="exact"/>
              <w:jc w:val="center"/>
              <w:rPr>
                <w:color w:val="auto"/>
                <w:spacing w:val="20"/>
                <w:szCs w:val="21"/>
                <w:highlight w:val="none"/>
              </w:rPr>
            </w:pPr>
          </w:p>
        </w:tc>
      </w:tr>
      <w:tr w14:paraId="11DB6C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5" w:type="pct"/>
            <w:vMerge w:val="restart"/>
            <w:tcBorders>
              <w:top w:val="single" w:color="auto" w:sz="2" w:space="0"/>
              <w:right w:val="single" w:color="auto" w:sz="2" w:space="0"/>
            </w:tcBorders>
            <w:vAlign w:val="center"/>
          </w:tcPr>
          <w:p w14:paraId="4F30C1FF">
            <w:pPr>
              <w:adjustRightInd w:val="0"/>
              <w:snapToGrid w:val="0"/>
              <w:spacing w:line="300" w:lineRule="exact"/>
              <w:jc w:val="center"/>
              <w:rPr>
                <w:color w:val="auto"/>
                <w:szCs w:val="21"/>
                <w:highlight w:val="none"/>
              </w:rPr>
            </w:pPr>
            <w:r>
              <w:rPr>
                <w:color w:val="auto"/>
                <w:szCs w:val="21"/>
                <w:highlight w:val="none"/>
              </w:rPr>
              <w:t>法定代表人</w:t>
            </w:r>
          </w:p>
          <w:p w14:paraId="1C8F2B28">
            <w:pPr>
              <w:adjustRightInd w:val="0"/>
              <w:snapToGrid w:val="0"/>
              <w:spacing w:line="300" w:lineRule="exact"/>
              <w:ind w:firstLine="100"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3B77570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6C51810D">
            <w:pPr>
              <w:adjustRightInd w:val="0"/>
              <w:snapToGrid w:val="0"/>
              <w:spacing w:line="300" w:lineRule="exact"/>
              <w:jc w:val="center"/>
              <w:rPr>
                <w:color w:val="auto"/>
                <w:szCs w:val="21"/>
                <w:highlight w:val="none"/>
              </w:rPr>
            </w:pPr>
            <w:r>
              <w:rPr>
                <w:color w:val="auto"/>
                <w:szCs w:val="21"/>
                <w:highlight w:val="none"/>
              </w:rPr>
              <w:t>法定代表人</w:t>
            </w:r>
          </w:p>
          <w:p w14:paraId="0DD0B8B3">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vAlign w:val="center"/>
          </w:tcPr>
          <w:p w14:paraId="1B4A70F0">
            <w:pPr>
              <w:adjustRightInd w:val="0"/>
              <w:snapToGrid w:val="0"/>
              <w:spacing w:line="300" w:lineRule="exact"/>
              <w:jc w:val="center"/>
              <w:rPr>
                <w:color w:val="auto"/>
                <w:szCs w:val="21"/>
                <w:highlight w:val="none"/>
              </w:rPr>
            </w:pPr>
          </w:p>
        </w:tc>
      </w:tr>
      <w:tr w14:paraId="6DD4B8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vMerge w:val="continue"/>
            <w:tcBorders>
              <w:bottom w:val="single" w:color="auto" w:sz="2" w:space="0"/>
              <w:right w:val="single" w:color="auto" w:sz="2" w:space="0"/>
            </w:tcBorders>
            <w:vAlign w:val="center"/>
          </w:tcPr>
          <w:p w14:paraId="29E6BE44">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141DEE0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B4051C9">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vAlign w:val="center"/>
          </w:tcPr>
          <w:p w14:paraId="4D8E796A">
            <w:pPr>
              <w:adjustRightInd w:val="0"/>
              <w:snapToGrid w:val="0"/>
              <w:spacing w:line="300" w:lineRule="exact"/>
              <w:jc w:val="center"/>
              <w:rPr>
                <w:color w:val="auto"/>
                <w:spacing w:val="20"/>
                <w:szCs w:val="21"/>
                <w:highlight w:val="none"/>
              </w:rPr>
            </w:pPr>
          </w:p>
        </w:tc>
      </w:tr>
      <w:tr w14:paraId="2F8A437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4C3E813">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3AAADDF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8124E5B">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259" w:type="pct"/>
            <w:tcBorders>
              <w:top w:val="single" w:color="auto" w:sz="2" w:space="0"/>
              <w:left w:val="single" w:color="auto" w:sz="2" w:space="0"/>
              <w:bottom w:val="single" w:color="auto" w:sz="2" w:space="0"/>
            </w:tcBorders>
            <w:vAlign w:val="center"/>
          </w:tcPr>
          <w:p w14:paraId="0154DC0B">
            <w:pPr>
              <w:adjustRightInd w:val="0"/>
              <w:snapToGrid w:val="0"/>
              <w:spacing w:line="300" w:lineRule="exact"/>
              <w:jc w:val="center"/>
              <w:rPr>
                <w:color w:val="auto"/>
                <w:spacing w:val="20"/>
                <w:szCs w:val="21"/>
                <w:highlight w:val="none"/>
              </w:rPr>
            </w:pPr>
          </w:p>
        </w:tc>
      </w:tr>
      <w:tr w14:paraId="3CF6F5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64A681F">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F894E5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18EE599">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vAlign w:val="center"/>
          </w:tcPr>
          <w:p w14:paraId="420B0CCD">
            <w:pPr>
              <w:adjustRightInd w:val="0"/>
              <w:snapToGrid w:val="0"/>
              <w:spacing w:line="300" w:lineRule="exact"/>
              <w:jc w:val="center"/>
              <w:rPr>
                <w:color w:val="auto"/>
                <w:spacing w:val="20"/>
                <w:szCs w:val="21"/>
                <w:highlight w:val="none"/>
              </w:rPr>
            </w:pPr>
          </w:p>
        </w:tc>
      </w:tr>
      <w:tr w14:paraId="6EE534C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93DD7EE">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0491ACD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3A1673C">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4202578B">
            <w:pPr>
              <w:adjustRightInd w:val="0"/>
              <w:snapToGrid w:val="0"/>
              <w:spacing w:line="300" w:lineRule="exact"/>
              <w:jc w:val="center"/>
              <w:rPr>
                <w:color w:val="auto"/>
                <w:spacing w:val="20"/>
                <w:szCs w:val="21"/>
                <w:highlight w:val="none"/>
              </w:rPr>
            </w:pPr>
          </w:p>
        </w:tc>
      </w:tr>
      <w:tr w14:paraId="1A7C654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A279D59">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0CCC495C">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42702BA">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vAlign w:val="center"/>
          </w:tcPr>
          <w:p w14:paraId="37A044CE">
            <w:pPr>
              <w:adjustRightInd w:val="0"/>
              <w:snapToGrid w:val="0"/>
              <w:spacing w:line="300" w:lineRule="exact"/>
              <w:jc w:val="center"/>
              <w:rPr>
                <w:color w:val="auto"/>
                <w:spacing w:val="20"/>
                <w:szCs w:val="21"/>
                <w:highlight w:val="none"/>
              </w:rPr>
            </w:pPr>
          </w:p>
        </w:tc>
      </w:tr>
      <w:tr w14:paraId="0D65BD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31456753">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E99A68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7967EE7">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638F5967">
            <w:pPr>
              <w:adjustRightInd w:val="0"/>
              <w:snapToGrid w:val="0"/>
              <w:spacing w:line="300" w:lineRule="exact"/>
              <w:jc w:val="center"/>
              <w:rPr>
                <w:color w:val="auto"/>
                <w:spacing w:val="20"/>
                <w:szCs w:val="21"/>
                <w:highlight w:val="none"/>
              </w:rPr>
            </w:pPr>
          </w:p>
        </w:tc>
      </w:tr>
      <w:tr w14:paraId="5DB0A9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320E5DA">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01E9B3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135373D">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51950A15">
            <w:pPr>
              <w:adjustRightInd w:val="0"/>
              <w:snapToGrid w:val="0"/>
              <w:spacing w:line="300" w:lineRule="exact"/>
              <w:jc w:val="center"/>
              <w:rPr>
                <w:color w:val="auto"/>
                <w:spacing w:val="20"/>
                <w:szCs w:val="21"/>
                <w:highlight w:val="none"/>
              </w:rPr>
            </w:pPr>
          </w:p>
        </w:tc>
      </w:tr>
      <w:tr w14:paraId="292D5C5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5D575CF2">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7B9586D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26267D4">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043610C1">
            <w:pPr>
              <w:adjustRightInd w:val="0"/>
              <w:snapToGrid w:val="0"/>
              <w:spacing w:line="300" w:lineRule="exact"/>
              <w:jc w:val="center"/>
              <w:rPr>
                <w:color w:val="auto"/>
                <w:spacing w:val="20"/>
                <w:szCs w:val="21"/>
                <w:highlight w:val="none"/>
              </w:rPr>
            </w:pPr>
          </w:p>
        </w:tc>
      </w:tr>
      <w:tr w14:paraId="5B57FCD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4C3C06C3">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35DC578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116DD70">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4539F425">
            <w:pPr>
              <w:adjustRightInd w:val="0"/>
              <w:snapToGrid w:val="0"/>
              <w:spacing w:line="300" w:lineRule="exact"/>
              <w:jc w:val="center"/>
              <w:rPr>
                <w:color w:val="auto"/>
                <w:spacing w:val="20"/>
                <w:szCs w:val="21"/>
                <w:highlight w:val="none"/>
              </w:rPr>
            </w:pPr>
          </w:p>
        </w:tc>
      </w:tr>
      <w:tr w14:paraId="394E0A3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598BB64C">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FDD548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901A859">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5FA43339">
            <w:pPr>
              <w:adjustRightInd w:val="0"/>
              <w:snapToGrid w:val="0"/>
              <w:spacing w:line="300" w:lineRule="exact"/>
              <w:jc w:val="center"/>
              <w:rPr>
                <w:color w:val="auto"/>
                <w:spacing w:val="20"/>
                <w:szCs w:val="21"/>
                <w:highlight w:val="none"/>
              </w:rPr>
            </w:pPr>
          </w:p>
        </w:tc>
      </w:tr>
      <w:tr w14:paraId="777504A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01E9D6A4">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02DC071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E085845">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312F1CEA">
            <w:pPr>
              <w:adjustRightInd w:val="0"/>
              <w:snapToGrid w:val="0"/>
              <w:spacing w:line="300" w:lineRule="exact"/>
              <w:jc w:val="center"/>
              <w:rPr>
                <w:color w:val="auto"/>
                <w:spacing w:val="20"/>
                <w:szCs w:val="21"/>
                <w:highlight w:val="none"/>
              </w:rPr>
            </w:pPr>
          </w:p>
        </w:tc>
      </w:tr>
    </w:tbl>
    <w:p w14:paraId="5F3FD3EE">
      <w:pPr>
        <w:keepNext/>
        <w:keepLines/>
        <w:adjustRightInd w:val="0"/>
        <w:snapToGrid w:val="0"/>
        <w:spacing w:before="120" w:beforeLines="50" w:line="360" w:lineRule="auto"/>
        <w:jc w:val="center"/>
        <w:outlineLvl w:val="1"/>
        <w:rPr>
          <w:rFonts w:hint="eastAsia" w:ascii="黑体" w:hAnsi="黑体" w:eastAsia="黑体"/>
          <w:b/>
          <w:bCs/>
          <w:color w:val="auto"/>
          <w:sz w:val="28"/>
          <w:szCs w:val="28"/>
          <w:highlight w:val="none"/>
        </w:rPr>
      </w:pPr>
      <w:r>
        <w:rPr>
          <w:rFonts w:ascii="宋体" w:hAnsi="宋体"/>
          <w:b/>
          <w:bCs/>
          <w:color w:val="auto"/>
          <w:szCs w:val="21"/>
          <w:highlight w:val="none"/>
          <w:u w:val="single"/>
        </w:rPr>
        <w:br w:type="page"/>
      </w:r>
      <w:bookmarkStart w:id="99" w:name="_Toc27624"/>
      <w:r>
        <w:rPr>
          <w:rFonts w:hint="eastAsia" w:ascii="黑体" w:hAnsi="黑体" w:eastAsia="黑体"/>
          <w:color w:val="auto"/>
          <w:sz w:val="28"/>
          <w:szCs w:val="28"/>
          <w:highlight w:val="none"/>
        </w:rPr>
        <w:t>第二节 政府采购合同通用条款</w:t>
      </w:r>
      <w:bookmarkEnd w:id="99"/>
    </w:p>
    <w:p w14:paraId="2EB22EE6">
      <w:pPr>
        <w:tabs>
          <w:tab w:val="left" w:pos="8820"/>
          <w:tab w:val="left" w:pos="9345"/>
          <w:tab w:val="left" w:pos="9765"/>
        </w:tabs>
        <w:adjustRightInd w:val="0"/>
        <w:snapToGrid w:val="0"/>
        <w:spacing w:line="400" w:lineRule="exact"/>
        <w:jc w:val="left"/>
        <w:rPr>
          <w:rFonts w:hint="eastAsia" w:ascii="宋体" w:hAnsi="宋体"/>
          <w:b/>
          <w:bCs/>
          <w:color w:val="auto"/>
          <w:sz w:val="24"/>
          <w:highlight w:val="none"/>
        </w:rPr>
      </w:pPr>
      <w:r>
        <w:rPr>
          <w:rFonts w:hint="eastAsia" w:ascii="宋体" w:hAnsi="宋体"/>
          <w:b/>
          <w:color w:val="auto"/>
          <w:sz w:val="24"/>
          <w:highlight w:val="none"/>
        </w:rPr>
        <w:t xml:space="preserve">1. </w:t>
      </w:r>
      <w:r>
        <w:rPr>
          <w:rFonts w:hint="eastAsia" w:ascii="宋体" w:hAnsi="宋体"/>
          <w:b/>
          <w:bCs/>
          <w:color w:val="auto"/>
          <w:sz w:val="24"/>
          <w:highlight w:val="none"/>
        </w:rPr>
        <w:t>定义</w:t>
      </w:r>
    </w:p>
    <w:p w14:paraId="04BDF471">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1.1合同当事人</w:t>
      </w:r>
    </w:p>
    <w:p w14:paraId="0657401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5C4245D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757E0545">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7E9D22CC">
      <w:pPr>
        <w:tabs>
          <w:tab w:val="left" w:pos="570"/>
          <w:tab w:val="left" w:pos="9240"/>
          <w:tab w:val="left" w:pos="955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1.2本合同下列术语应解释为：</w:t>
      </w:r>
    </w:p>
    <w:p w14:paraId="6D4CDA54">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3860A9D9">
      <w:pPr>
        <w:tabs>
          <w:tab w:val="left" w:pos="570"/>
          <w:tab w:val="left" w:pos="9240"/>
          <w:tab w:val="left" w:pos="955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6F60C1DF">
      <w:pPr>
        <w:tabs>
          <w:tab w:val="left" w:pos="570"/>
          <w:tab w:val="left" w:pos="9240"/>
          <w:tab w:val="left" w:pos="955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w:t>
      </w:r>
      <w:r>
        <w:rPr>
          <w:rFonts w:hint="eastAsia" w:ascii="宋体" w:hAnsi="宋体"/>
          <w:color w:val="auto"/>
          <w:szCs w:val="21"/>
          <w:highlight w:val="none"/>
        </w:rPr>
        <w:t>包括软件）及相关的其备品备件、工具、手册及</w:t>
      </w:r>
      <w:r>
        <w:rPr>
          <w:rFonts w:ascii="宋体" w:hAnsi="宋体"/>
          <w:color w:val="auto"/>
          <w:szCs w:val="21"/>
          <w:highlight w:val="none"/>
          <w:lang w:val="en"/>
        </w:rPr>
        <w:t>其他</w:t>
      </w:r>
      <w:r>
        <w:rPr>
          <w:rFonts w:hint="eastAsia" w:ascii="宋体" w:hAnsi="宋体"/>
          <w:color w:val="auto"/>
          <w:szCs w:val="21"/>
          <w:highlight w:val="none"/>
        </w:rPr>
        <w:t>技术资料和材料等。</w:t>
      </w:r>
    </w:p>
    <w:p w14:paraId="6DFA7242">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rPr>
        <w:t>相关</w:t>
      </w:r>
      <w:r>
        <w:rPr>
          <w:rFonts w:hint="eastAsia" w:ascii="宋体" w:hAnsi="宋体"/>
          <w:color w:val="auto"/>
          <w:szCs w:val="21"/>
          <w:highlight w:val="none"/>
        </w:rPr>
        <w:t>服务”系指根据合同规定，乙方应提供的与货物有关的技术、管理和</w:t>
      </w:r>
      <w:r>
        <w:rPr>
          <w:rFonts w:ascii="宋体" w:hAnsi="宋体"/>
          <w:color w:val="auto"/>
          <w:szCs w:val="21"/>
          <w:highlight w:val="none"/>
          <w:lang w:val="en"/>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lang w:val="en"/>
        </w:rPr>
        <w:t>其他</w:t>
      </w:r>
      <w:r>
        <w:rPr>
          <w:rFonts w:hint="eastAsia" w:ascii="宋体" w:hAnsi="宋体"/>
          <w:color w:val="auto"/>
          <w:szCs w:val="21"/>
          <w:highlight w:val="none"/>
        </w:rPr>
        <w:t>义务。</w:t>
      </w:r>
    </w:p>
    <w:p w14:paraId="3BFE3DB2">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2391A8E9">
      <w:pPr>
        <w:tabs>
          <w:tab w:val="left" w:pos="570"/>
          <w:tab w:val="left" w:pos="9240"/>
          <w:tab w:val="left" w:pos="955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rPr>
        <w:t>“联合体”系指由两个以上的自然人、法人或者非法人组织组成，以一个供应商的身份共同参加政府采购的主体</w:t>
      </w:r>
      <w:r>
        <w:rPr>
          <w:rFonts w:hint="eastAsia" w:ascii="宋体" w:hAnsi="宋体"/>
          <w:color w:val="auto"/>
          <w:szCs w:val="21"/>
          <w:highlight w:val="none"/>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2609C4EB">
      <w:pPr>
        <w:tabs>
          <w:tab w:val="left" w:pos="570"/>
          <w:tab w:val="left" w:pos="9240"/>
          <w:tab w:val="left" w:pos="955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5FD42FC7">
      <w:pPr>
        <w:numPr>
          <w:ilvl w:val="0"/>
          <w:numId w:val="7"/>
        </w:num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color w:val="auto"/>
          <w:sz w:val="24"/>
          <w:highlight w:val="none"/>
        </w:rPr>
        <w:t>合同标的及金额</w:t>
      </w:r>
    </w:p>
    <w:p w14:paraId="6A39DF46">
      <w:pPr>
        <w:autoSpaceDE w:val="0"/>
        <w:autoSpaceDN w:val="0"/>
        <w:adjustRightInd w:val="0"/>
        <w:snapToGrid w:val="0"/>
        <w:spacing w:line="400" w:lineRule="exact"/>
        <w:ind w:firstLine="420" w:firstLineChars="200"/>
        <w:jc w:val="left"/>
        <w:rPr>
          <w:rFonts w:hint="eastAsia"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lang w:val="en"/>
        </w:rPr>
        <w:t>其他</w:t>
      </w:r>
      <w:r>
        <w:rPr>
          <w:rFonts w:hint="eastAsia" w:ascii="宋体" w:hAnsi="宋体"/>
          <w:color w:val="auto"/>
          <w:szCs w:val="21"/>
          <w:highlight w:val="none"/>
        </w:rPr>
        <w:t>任何费用。</w:t>
      </w:r>
    </w:p>
    <w:p w14:paraId="4937758B">
      <w:pPr>
        <w:adjustRightInd w:val="0"/>
        <w:snapToGrid w:val="0"/>
        <w:spacing w:line="400" w:lineRule="exact"/>
        <w:jc w:val="left"/>
        <w:rPr>
          <w:rFonts w:hint="eastAsia" w:ascii="宋体" w:hAnsi="宋体"/>
          <w:b/>
          <w:color w:val="auto"/>
          <w:sz w:val="24"/>
          <w:highlight w:val="none"/>
        </w:rPr>
      </w:pPr>
      <w:r>
        <w:rPr>
          <w:rFonts w:hint="eastAsia" w:ascii="宋体" w:hAnsi="宋体"/>
          <w:b/>
          <w:color w:val="auto"/>
          <w:sz w:val="24"/>
          <w:highlight w:val="none"/>
        </w:rPr>
        <w:t>3. 履行合同的时间、地点和方式</w:t>
      </w:r>
    </w:p>
    <w:p w14:paraId="6FA52BA9">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2E88EE41">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4. 甲方的权利和义务</w:t>
      </w:r>
    </w:p>
    <w:p w14:paraId="5628F0D4">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7BABDE3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0B78BEB9">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甲方</w:t>
      </w:r>
      <w:r>
        <w:rPr>
          <w:rFonts w:hint="eastAsia" w:ascii="宋体" w:hAnsi="宋体"/>
          <w:color w:val="auto"/>
          <w:szCs w:val="21"/>
          <w:highlight w:val="none"/>
        </w:rPr>
        <w:t>有权要求乙方对缺陷部分予以修复，并按合同约定享有货物保修及其他合同约定的权利。</w:t>
      </w:r>
    </w:p>
    <w:p w14:paraId="3239717C">
      <w:pPr>
        <w:snapToGrid w:val="0"/>
        <w:spacing w:line="400" w:lineRule="exact"/>
        <w:ind w:firstLine="420"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60C37750">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 xml:space="preserve">5 </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45C52D07">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 xml:space="preserve"> </w:t>
      </w:r>
      <w:r>
        <w:rPr>
          <w:rFonts w:hint="eastAsia" w:ascii="宋体" w:hAnsi="宋体"/>
          <w:color w:val="auto"/>
          <w:szCs w:val="21"/>
          <w:highlight w:val="none"/>
        </w:rPr>
        <w:t>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385D2DC6">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5. 乙方的权利和义务</w:t>
      </w:r>
    </w:p>
    <w:p w14:paraId="69B1E2A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68517683">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183C68DE">
      <w:pPr>
        <w:autoSpaceDE w:val="0"/>
        <w:autoSpaceDN w:val="0"/>
        <w:spacing w:line="400" w:lineRule="exact"/>
        <w:ind w:firstLine="369" w:firstLineChars="176"/>
        <w:rPr>
          <w:rFonts w:hint="eastAsia" w:ascii="宋体" w:hAnsi="宋体" w:cs="宋体"/>
          <w:color w:val="auto"/>
          <w:szCs w:val="21"/>
          <w:highlight w:val="none"/>
          <w:lang w:val="zh-CN" w:bidi="zh-CN"/>
        </w:rPr>
      </w:pPr>
      <w:r>
        <w:rPr>
          <w:rFonts w:hint="eastAsia" w:ascii="宋体" w:hAnsi="宋体" w:cs="宋体"/>
          <w:color w:val="auto"/>
          <w:szCs w:val="21"/>
          <w:highlight w:val="none"/>
          <w:lang w:val="zh-CN" w:bidi="zh-CN"/>
        </w:rPr>
        <w:t>5.</w:t>
      </w:r>
      <w:r>
        <w:rPr>
          <w:rFonts w:ascii="宋体" w:hAnsi="宋体" w:cs="宋体"/>
          <w:color w:val="auto"/>
          <w:szCs w:val="21"/>
          <w:highlight w:val="none"/>
          <w:lang w:val="zh-CN" w:bidi="zh-CN"/>
        </w:rPr>
        <w:t>3</w:t>
      </w:r>
      <w:r>
        <w:rPr>
          <w:rFonts w:hint="eastAsia" w:ascii="宋体" w:hAnsi="宋体" w:cs="宋体"/>
          <w:color w:val="auto"/>
          <w:szCs w:val="21"/>
          <w:highlight w:val="none"/>
          <w:lang w:val="zh-CN" w:bidi="zh-CN"/>
        </w:rPr>
        <w:t>乙方有权根据合同约定向甲方收取合同价款。</w:t>
      </w:r>
    </w:p>
    <w:p w14:paraId="608FC7FD">
      <w:pPr>
        <w:autoSpaceDE w:val="0"/>
        <w:autoSpaceDN w:val="0"/>
        <w:spacing w:line="400" w:lineRule="exact"/>
        <w:ind w:firstLine="369" w:firstLineChars="176"/>
        <w:rPr>
          <w:rFonts w:hint="eastAsia" w:ascii="宋体" w:hAnsi="宋体" w:cs="宋体"/>
          <w:color w:val="auto"/>
          <w:szCs w:val="21"/>
          <w:highlight w:val="none"/>
          <w:lang w:val="zh-CN" w:bidi="zh-CN"/>
        </w:rPr>
      </w:pPr>
      <w:r>
        <w:rPr>
          <w:rFonts w:hint="eastAsia" w:ascii="宋体" w:hAnsi="宋体" w:cs="宋体"/>
          <w:color w:val="auto"/>
          <w:szCs w:val="21"/>
          <w:highlight w:val="none"/>
          <w:lang w:val="zh-CN" w:bidi="zh-CN"/>
        </w:rPr>
        <w:t>5.</w:t>
      </w:r>
      <w:r>
        <w:rPr>
          <w:rFonts w:ascii="宋体" w:hAnsi="宋体" w:cs="宋体"/>
          <w:color w:val="auto"/>
          <w:szCs w:val="21"/>
          <w:highlight w:val="none"/>
          <w:lang w:val="zh-CN" w:bidi="zh-CN"/>
        </w:rPr>
        <w:t>4</w:t>
      </w:r>
      <w:r>
        <w:rPr>
          <w:rFonts w:hint="eastAsia" w:ascii="宋体" w:hAnsi="宋体" w:cs="宋体"/>
          <w:color w:val="auto"/>
          <w:szCs w:val="21"/>
          <w:highlight w:val="none"/>
          <w:lang w:val="zh-CN" w:bidi="zh-CN"/>
        </w:rPr>
        <w:t>国家法律法规规定及</w:t>
      </w:r>
      <w:r>
        <w:rPr>
          <w:rFonts w:hint="eastAsia" w:ascii="宋体" w:hAnsi="宋体" w:cs="宋体"/>
          <w:b/>
          <w:bCs/>
          <w:color w:val="auto"/>
          <w:szCs w:val="21"/>
          <w:highlight w:val="none"/>
          <w:lang w:val="zh-CN" w:bidi="zh-CN"/>
        </w:rPr>
        <w:t>【政府采购合同专用条款】</w:t>
      </w:r>
      <w:r>
        <w:rPr>
          <w:rFonts w:hint="eastAsia" w:ascii="宋体" w:hAnsi="宋体" w:cs="宋体"/>
          <w:color w:val="auto"/>
          <w:szCs w:val="21"/>
          <w:highlight w:val="none"/>
          <w:lang w:val="zh-CN" w:bidi="zh-CN"/>
        </w:rPr>
        <w:t>约定应</w:t>
      </w:r>
      <w:r>
        <w:rPr>
          <w:rFonts w:hint="eastAsia" w:ascii="宋体" w:hAnsi="宋体" w:cs="宋体"/>
          <w:color w:val="auto"/>
          <w:szCs w:val="21"/>
          <w:highlight w:val="none"/>
          <w:lang w:val="zh-CN" w:bidi="zh-CN"/>
        </w:rPr>
        <w:t>由乙方承担的其他义务和责任。</w:t>
      </w:r>
    </w:p>
    <w:p w14:paraId="06F82FB9">
      <w:pPr>
        <w:numPr>
          <w:ilvl w:val="0"/>
          <w:numId w:val="8"/>
        </w:num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合同履行</w:t>
      </w:r>
    </w:p>
    <w:p w14:paraId="7A4B7484">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3BC1E184">
      <w:pPr>
        <w:autoSpaceDE w:val="0"/>
        <w:autoSpaceDN w:val="0"/>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17F55EA5">
      <w:pPr>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7. 货物包装、运输、保险和交付要求</w:t>
      </w:r>
    </w:p>
    <w:p w14:paraId="3B3CA3AD">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2060057B">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1EBF0D29">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2268B0B1">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54F4521">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6D1BB9C2">
      <w:pPr>
        <w:pStyle w:val="283"/>
        <w:ind w:firstLine="420"/>
        <w:rPr>
          <w:rFonts w:hint="eastAsia"/>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5BB23F36">
      <w:pPr>
        <w:adjustRightInd w:val="0"/>
        <w:snapToGrid w:val="0"/>
        <w:spacing w:line="400" w:lineRule="exact"/>
        <w:jc w:val="left"/>
        <w:rPr>
          <w:rFonts w:hint="eastAsia" w:ascii="宋体" w:hAnsi="宋体"/>
          <w:b/>
          <w:color w:val="auto"/>
          <w:sz w:val="24"/>
          <w:highlight w:val="none"/>
        </w:rPr>
      </w:pPr>
      <w:r>
        <w:rPr>
          <w:rFonts w:hint="eastAsia" w:ascii="宋体" w:hAnsi="宋体"/>
          <w:b/>
          <w:color w:val="auto"/>
          <w:sz w:val="24"/>
          <w:highlight w:val="none"/>
        </w:rPr>
        <w:t xml:space="preserve">8. </w:t>
      </w:r>
      <w:r>
        <w:rPr>
          <w:rFonts w:hint="eastAsia" w:ascii="宋体" w:hAnsi="宋体"/>
          <w:b/>
          <w:color w:val="auto"/>
          <w:sz w:val="24"/>
          <w:highlight w:val="none"/>
        </w:rPr>
        <w:t>质量标准和保证</w:t>
      </w:r>
    </w:p>
    <w:p w14:paraId="602FDEA5">
      <w:pPr>
        <w:adjustRightInd w:val="0"/>
        <w:snapToGrid w:val="0"/>
        <w:spacing w:line="400" w:lineRule="exact"/>
        <w:ind w:firstLine="420" w:firstLineChars="200"/>
        <w:jc w:val="left"/>
        <w:rPr>
          <w:rFonts w:hint="eastAsia" w:ascii="宋体" w:hAnsi="宋体" w:cs="Courier New"/>
          <w:b/>
          <w:color w:val="auto"/>
          <w:szCs w:val="21"/>
          <w:highlight w:val="none"/>
        </w:rPr>
      </w:pPr>
      <w:r>
        <w:rPr>
          <w:rFonts w:hint="eastAsia" w:ascii="宋体" w:hAnsi="宋体" w:cs="Courier New"/>
          <w:color w:val="auto"/>
          <w:szCs w:val="21"/>
          <w:highlight w:val="none"/>
        </w:rPr>
        <w:t>8.1 质量标准</w:t>
      </w:r>
    </w:p>
    <w:p w14:paraId="277D4C97">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w:t>
      </w:r>
      <w:r>
        <w:rPr>
          <w:rFonts w:hint="eastAsia" w:ascii="宋体" w:hAnsi="宋体" w:cs="宋体"/>
          <w:color w:val="auto"/>
          <w:szCs w:val="21"/>
          <w:highlight w:val="none"/>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CEFFEDF">
      <w:pPr>
        <w:adjustRightInd w:val="0"/>
        <w:snapToGrid w:val="0"/>
        <w:spacing w:line="40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（2）采用中华人民共和国法定计量单位。</w:t>
      </w:r>
    </w:p>
    <w:p w14:paraId="6E11657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2C6E3F67">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1C831CAD">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8.2 保证</w:t>
      </w:r>
    </w:p>
    <w:p w14:paraId="6CEFCC8C">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。存在质量保证期的，货物最终交付验收合格后在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4686FD70">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43B57EC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24CDE1B4">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auto"/>
          <w:szCs w:val="21"/>
          <w:highlight w:val="none"/>
        </w:rPr>
        <w:t>5</w:t>
      </w:r>
      <w:r>
        <w:rPr>
          <w:rFonts w:hint="eastAsia" w:ascii="宋体" w:hAnsi="宋体"/>
          <w:color w:val="auto"/>
          <w:szCs w:val="21"/>
          <w:highlight w:val="none"/>
        </w:rPr>
        <w:t>.1条规定以书面形式</w:t>
      </w:r>
      <w:r>
        <w:rPr>
          <w:rFonts w:hint="eastAsia" w:ascii="宋体" w:hAnsi="宋体"/>
          <w:color w:val="auto"/>
          <w:szCs w:val="21"/>
          <w:highlight w:val="none"/>
        </w:rPr>
        <w:t>追究</w:t>
      </w:r>
      <w:r>
        <w:rPr>
          <w:rFonts w:hint="eastAsia" w:ascii="宋体" w:hAnsi="宋体"/>
          <w:color w:val="auto"/>
          <w:szCs w:val="21"/>
          <w:highlight w:val="none"/>
        </w:rPr>
        <w:t>乙方</w:t>
      </w:r>
      <w:r>
        <w:rPr>
          <w:rFonts w:hint="eastAsia" w:ascii="宋体" w:hAnsi="宋体"/>
          <w:color w:val="auto"/>
          <w:szCs w:val="21"/>
          <w:highlight w:val="none"/>
        </w:rPr>
        <w:t>的违约责任</w:t>
      </w:r>
      <w:r>
        <w:rPr>
          <w:rFonts w:hint="eastAsia" w:ascii="宋体" w:hAnsi="宋体"/>
          <w:color w:val="auto"/>
          <w:szCs w:val="21"/>
          <w:highlight w:val="none"/>
        </w:rPr>
        <w:t>。</w:t>
      </w:r>
    </w:p>
    <w:p w14:paraId="09587376">
      <w:pPr>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21522AC5">
      <w:pPr>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9</w:t>
      </w:r>
      <w:r>
        <w:rPr>
          <w:rFonts w:hint="eastAsia" w:ascii="宋体" w:hAnsi="宋体"/>
          <w:b/>
          <w:bCs/>
          <w:color w:val="auto"/>
          <w:sz w:val="24"/>
          <w:highlight w:val="none"/>
        </w:rPr>
        <w:t>.</w:t>
      </w:r>
      <w:r>
        <w:rPr>
          <w:rFonts w:hint="eastAsia" w:ascii="宋体" w:hAnsi="宋体"/>
          <w:b/>
          <w:bCs/>
          <w:color w:val="auto"/>
          <w:sz w:val="24"/>
          <w:highlight w:val="none"/>
        </w:rPr>
        <w:t xml:space="preserve"> </w:t>
      </w:r>
      <w:r>
        <w:rPr>
          <w:rFonts w:hint="eastAsia" w:ascii="宋体" w:hAnsi="宋体"/>
          <w:b/>
          <w:bCs/>
          <w:color w:val="auto"/>
          <w:sz w:val="24"/>
          <w:highlight w:val="none"/>
        </w:rPr>
        <w:t>权利瑕疵担保</w:t>
      </w:r>
    </w:p>
    <w:p w14:paraId="683F842E">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9.1 乙方保证对其出售的货物享有合法的权利。</w:t>
      </w:r>
    </w:p>
    <w:p w14:paraId="67BED6E3">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1F46BE2C">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77FA738D">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10. 知识产权保护</w:t>
      </w:r>
    </w:p>
    <w:p w14:paraId="5E2FD2B2">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100"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100"/>
      <w:r>
        <w:rPr>
          <w:rFonts w:hint="eastAsia" w:ascii="宋体" w:hAnsi="宋体"/>
          <w:color w:val="auto"/>
          <w:szCs w:val="21"/>
          <w:highlight w:val="none"/>
        </w:rPr>
        <w:t>。</w:t>
      </w:r>
    </w:p>
    <w:p w14:paraId="6BB2D4D9">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11. 保密义务</w:t>
      </w:r>
    </w:p>
    <w:p w14:paraId="469C6F09">
      <w:pPr>
        <w:autoSpaceDE w:val="0"/>
        <w:autoSpaceDN w:val="0"/>
        <w:adjustRightInd w:val="0"/>
        <w:snapToGrid w:val="0"/>
        <w:spacing w:line="400" w:lineRule="exact"/>
        <w:ind w:firstLine="420" w:firstLineChars="200"/>
        <w:jc w:val="left"/>
        <w:rPr>
          <w:rFonts w:hint="eastAsia"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7A5C7CD0">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12. 合同价款支付</w:t>
      </w:r>
    </w:p>
    <w:p w14:paraId="492D41E1">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12.1 合同价款支付按照国库集中支付制度及财政管理相关规定执行。</w:t>
      </w:r>
    </w:p>
    <w:p w14:paraId="68453A90">
      <w:pPr>
        <w:keepNext/>
        <w:keepLines/>
        <w:spacing w:line="400" w:lineRule="exact"/>
        <w:ind w:firstLine="420" w:firstLineChars="200"/>
        <w:rPr>
          <w:color w:val="auto"/>
          <w:highlight w:val="none"/>
        </w:rPr>
      </w:pPr>
      <w:r>
        <w:rPr>
          <w:rFonts w:hint="eastAsia" w:ascii="宋体" w:hAnsi="宋体"/>
          <w:color w:val="auto"/>
          <w:szCs w:val="21"/>
          <w:highlight w:val="none"/>
        </w:rPr>
        <w:t>12.2 对于满足合同约定支付条件的，甲方应当自收到发票后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color w:val="auto"/>
          <w:szCs w:val="21"/>
          <w:highlight w:val="none"/>
        </w:rPr>
        <w:t>政府采购合同专用条款</w:t>
      </w:r>
      <w:r>
        <w:rPr>
          <w:rFonts w:hint="eastAsia" w:ascii="宋体" w:hAnsi="宋体"/>
          <w:color w:val="auto"/>
          <w:szCs w:val="21"/>
          <w:highlight w:val="none"/>
        </w:rPr>
        <w:t>】中约定。</w:t>
      </w:r>
    </w:p>
    <w:p w14:paraId="42E4A0BF">
      <w:pPr>
        <w:autoSpaceDE w:val="0"/>
        <w:autoSpaceDN w:val="0"/>
        <w:spacing w:line="400" w:lineRule="exact"/>
        <w:rPr>
          <w:rFonts w:hint="eastAsia" w:ascii="宋体" w:hAnsi="宋体" w:cs="宋体"/>
          <w:b/>
          <w:bCs/>
          <w:color w:val="auto"/>
          <w:sz w:val="24"/>
          <w:highlight w:val="none"/>
          <w:lang w:val="zh-CN" w:bidi="zh-CN"/>
        </w:rPr>
      </w:pPr>
      <w:r>
        <w:rPr>
          <w:rFonts w:hint="eastAsia" w:ascii="宋体" w:hAnsi="宋体" w:cs="宋体"/>
          <w:b/>
          <w:bCs/>
          <w:color w:val="auto"/>
          <w:sz w:val="24"/>
          <w:highlight w:val="none"/>
          <w:lang w:val="zh-CN" w:bidi="zh-CN"/>
        </w:rPr>
        <w:t>13.</w:t>
      </w:r>
      <w:r>
        <w:rPr>
          <w:rFonts w:hint="eastAsia" w:ascii="宋体" w:hAnsi="宋体" w:cs="宋体"/>
          <w:b/>
          <w:bCs/>
          <w:color w:val="auto"/>
          <w:sz w:val="24"/>
          <w:highlight w:val="none"/>
          <w:lang w:bidi="zh-CN"/>
        </w:rPr>
        <w:t xml:space="preserve"> </w:t>
      </w:r>
      <w:r>
        <w:rPr>
          <w:rFonts w:hint="eastAsia" w:ascii="宋体" w:hAnsi="宋体" w:cs="宋体"/>
          <w:b/>
          <w:bCs/>
          <w:color w:val="auto"/>
          <w:sz w:val="24"/>
          <w:highlight w:val="none"/>
          <w:lang w:val="zh-CN" w:bidi="zh-CN"/>
        </w:rPr>
        <w:t>履约保证金</w:t>
      </w:r>
    </w:p>
    <w:p w14:paraId="57F79195">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4F98E4EF">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37937C91">
      <w:pPr>
        <w:spacing w:line="400" w:lineRule="exact"/>
        <w:ind w:firstLine="42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301E950D">
      <w:pPr>
        <w:autoSpaceDE w:val="0"/>
        <w:autoSpaceDN w:val="0"/>
        <w:adjustRightInd w:val="0"/>
        <w:snapToGrid w:val="0"/>
        <w:spacing w:line="400" w:lineRule="exact"/>
        <w:jc w:val="left"/>
        <w:rPr>
          <w:rFonts w:hint="eastAsia" w:ascii="宋体" w:hAnsi="宋体"/>
          <w:b/>
          <w:color w:val="auto"/>
          <w:sz w:val="24"/>
          <w:highlight w:val="none"/>
        </w:rPr>
      </w:pPr>
      <w:r>
        <w:rPr>
          <w:rFonts w:hint="eastAsia" w:ascii="宋体" w:hAnsi="宋体"/>
          <w:b/>
          <w:bCs/>
          <w:color w:val="auto"/>
          <w:sz w:val="24"/>
          <w:highlight w:val="none"/>
        </w:rPr>
        <w:t xml:space="preserve">14. </w:t>
      </w:r>
      <w:r>
        <w:rPr>
          <w:rFonts w:hint="eastAsia"/>
          <w:b/>
          <w:color w:val="auto"/>
          <w:sz w:val="24"/>
          <w:highlight w:val="none"/>
        </w:rPr>
        <w:t>售后</w:t>
      </w:r>
      <w:r>
        <w:rPr>
          <w:rFonts w:hint="eastAsia" w:ascii="宋体" w:hAnsi="宋体"/>
          <w:b/>
          <w:color w:val="auto"/>
          <w:sz w:val="24"/>
          <w:highlight w:val="none"/>
        </w:rPr>
        <w:t>服务</w:t>
      </w:r>
    </w:p>
    <w:p w14:paraId="2048ED6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28C8BF3F">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385D8F28">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7849BF01">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4031828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46691D94">
      <w:pPr>
        <w:pStyle w:val="283"/>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49A09ADF">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31622A44">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1DFC3099">
      <w:pPr>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15. 违约责任</w:t>
      </w:r>
    </w:p>
    <w:p w14:paraId="6EE11267">
      <w:pPr>
        <w:adjustRightInd w:val="0"/>
        <w:snapToGrid w:val="0"/>
        <w:spacing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15.1质量瑕疵的违约责任</w:t>
      </w:r>
    </w:p>
    <w:p w14:paraId="4B8BFBCB">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544776AF">
      <w:pPr>
        <w:autoSpaceDE w:val="0"/>
        <w:autoSpaceDN w:val="0"/>
        <w:adjustRightInd w:val="0"/>
        <w:snapToGrid w:val="0"/>
        <w:spacing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15.2 迟延交货的违约责任</w:t>
      </w:r>
    </w:p>
    <w:p w14:paraId="54A0EC8B">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C9F6996">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4AA27835">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15.3 迟延支付的违约责任</w:t>
      </w:r>
    </w:p>
    <w:p w14:paraId="55EA657D">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1C445D41">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05BA4F39">
      <w:pPr>
        <w:numPr>
          <w:ilvl w:val="0"/>
          <w:numId w:val="9"/>
        </w:numPr>
        <w:autoSpaceDE w:val="0"/>
        <w:autoSpaceDN w:val="0"/>
        <w:adjustRightInd w:val="0"/>
        <w:snapToGrid w:val="0"/>
        <w:spacing w:line="400" w:lineRule="exact"/>
        <w:jc w:val="left"/>
        <w:rPr>
          <w:rFonts w:hint="eastAsia" w:ascii="宋体" w:hAnsi="宋体"/>
          <w:b/>
          <w:color w:val="auto"/>
          <w:sz w:val="24"/>
          <w:highlight w:val="none"/>
        </w:rPr>
      </w:pPr>
      <w:r>
        <w:rPr>
          <w:rFonts w:hint="eastAsia" w:ascii="宋体" w:hAnsi="宋体"/>
          <w:b/>
          <w:color w:val="auto"/>
          <w:sz w:val="24"/>
          <w:highlight w:val="none"/>
        </w:rPr>
        <w:t>合同变更、中止与终止</w:t>
      </w:r>
    </w:p>
    <w:p w14:paraId="577DF18E">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 xml:space="preserve">    16.1合同的变更</w:t>
      </w:r>
    </w:p>
    <w:p w14:paraId="15A8C91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0737AF3C">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16.2合同的中止</w:t>
      </w:r>
    </w:p>
    <w:p w14:paraId="7E4A3A87">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00B453EB">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104100D">
      <w:pPr>
        <w:pStyle w:val="283"/>
        <w:ind w:firstLine="420"/>
        <w:jc w:val="both"/>
        <w:rPr>
          <w:rFonts w:hint="eastAsia"/>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33E8869C">
      <w:pPr>
        <w:snapToGrid w:val="0"/>
        <w:spacing w:line="400" w:lineRule="exact"/>
        <w:ind w:firstLine="420"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7A80E360">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16.3合同的终止</w:t>
      </w:r>
    </w:p>
    <w:p w14:paraId="3D9FD41F">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（1）合同因有效期限届满而终止；</w:t>
      </w:r>
    </w:p>
    <w:p w14:paraId="37997D42">
      <w:pPr>
        <w:snapToGrid w:val="0"/>
        <w:spacing w:line="4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16671835">
      <w:pPr>
        <w:pStyle w:val="283"/>
        <w:rPr>
          <w:rFonts w:hint="eastAsia"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0C186AD2">
      <w:pPr>
        <w:pStyle w:val="283"/>
        <w:ind w:firstLine="420"/>
        <w:jc w:val="both"/>
        <w:rPr>
          <w:rFonts w:hint="eastAsia"/>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1FC6AB4B">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17. 合同分包</w:t>
      </w:r>
    </w:p>
    <w:p w14:paraId="23A62E25">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39450960">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288569BD">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18. 不可抗力</w:t>
      </w:r>
    </w:p>
    <w:p w14:paraId="2136448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39F0238C">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4C907B4A">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DD6A005">
      <w:pPr>
        <w:autoSpaceDE w:val="0"/>
        <w:autoSpaceDN w:val="0"/>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19. 解决争议的方法</w:t>
      </w:r>
    </w:p>
    <w:p w14:paraId="0DC5CD5D">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786431B0">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36D32306">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5CF38135">
      <w:pPr>
        <w:autoSpaceDE w:val="0"/>
        <w:autoSpaceDN w:val="0"/>
        <w:adjustRightInd w:val="0"/>
        <w:snapToGrid w:val="0"/>
        <w:spacing w:line="400" w:lineRule="exact"/>
        <w:jc w:val="left"/>
        <w:rPr>
          <w:rFonts w:hint="eastAsia" w:ascii="宋体" w:hAnsi="宋体"/>
          <w:color w:val="auto"/>
          <w:sz w:val="24"/>
          <w:highlight w:val="none"/>
        </w:rPr>
      </w:pPr>
      <w:r>
        <w:rPr>
          <w:rFonts w:hint="eastAsia" w:ascii="宋体" w:hAnsi="宋体"/>
          <w:b/>
          <w:color w:val="auto"/>
          <w:sz w:val="24"/>
          <w:highlight w:val="none"/>
        </w:rPr>
        <w:t>20. 政府采购政策</w:t>
      </w:r>
    </w:p>
    <w:p w14:paraId="04B0BAE7">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0AFEF1EF">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1941245">
      <w:pPr>
        <w:autoSpaceDE w:val="0"/>
        <w:autoSpaceDN w:val="0"/>
        <w:spacing w:line="400" w:lineRule="exact"/>
        <w:ind w:firstLine="420" w:firstLineChars="200"/>
        <w:rPr>
          <w:rFonts w:hint="eastAsia" w:ascii="宋体" w:hAnsi="宋体" w:cs="宋体"/>
          <w:color w:val="auto"/>
          <w:szCs w:val="21"/>
          <w:highlight w:val="none"/>
          <w:lang w:val="zh-CN" w:bidi="zh-CN"/>
        </w:rPr>
      </w:pPr>
      <w:r>
        <w:rPr>
          <w:rFonts w:ascii="宋体" w:hAnsi="宋体" w:cs="宋体"/>
          <w:color w:val="auto"/>
          <w:szCs w:val="21"/>
          <w:highlight w:val="none"/>
          <w:lang w:val="zh-CN" w:bidi="zh-CN"/>
        </w:rPr>
        <w:t>2</w:t>
      </w:r>
      <w:r>
        <w:rPr>
          <w:rFonts w:hint="eastAsia" w:ascii="宋体" w:hAnsi="宋体" w:cs="宋体"/>
          <w:color w:val="auto"/>
          <w:szCs w:val="21"/>
          <w:highlight w:val="none"/>
          <w:lang w:bidi="zh-CN"/>
        </w:rPr>
        <w:t>0</w:t>
      </w:r>
      <w:r>
        <w:rPr>
          <w:rFonts w:hint="eastAsia" w:ascii="宋体" w:hAnsi="宋体" w:cs="宋体"/>
          <w:color w:val="auto"/>
          <w:szCs w:val="21"/>
          <w:highlight w:val="none"/>
          <w:lang w:val="zh-CN" w:bidi="zh-CN"/>
        </w:rPr>
        <w:t>.</w:t>
      </w:r>
      <w:r>
        <w:rPr>
          <w:rFonts w:hint="eastAsia" w:ascii="宋体" w:hAnsi="宋体" w:cs="宋体"/>
          <w:color w:val="auto"/>
          <w:szCs w:val="21"/>
          <w:highlight w:val="none"/>
          <w:lang w:bidi="zh-CN"/>
        </w:rPr>
        <w:t>3</w:t>
      </w:r>
      <w:r>
        <w:rPr>
          <w:rFonts w:hint="eastAsia" w:ascii="宋体" w:hAnsi="宋体" w:cs="宋体"/>
          <w:color w:val="auto"/>
          <w:szCs w:val="21"/>
          <w:highlight w:val="none"/>
          <w:lang w:val="zh-CN" w:bidi="zh-CN"/>
        </w:rPr>
        <w:t xml:space="preserve">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88DE6F6">
      <w:pPr>
        <w:autoSpaceDE w:val="0"/>
        <w:autoSpaceDN w:val="0"/>
        <w:adjustRightInd w:val="0"/>
        <w:snapToGrid w:val="0"/>
        <w:spacing w:line="400" w:lineRule="exact"/>
        <w:jc w:val="left"/>
        <w:rPr>
          <w:rFonts w:hint="eastAsia" w:ascii="宋体" w:hAnsi="宋体"/>
          <w:b/>
          <w:color w:val="auto"/>
          <w:sz w:val="24"/>
          <w:highlight w:val="none"/>
        </w:rPr>
      </w:pPr>
      <w:r>
        <w:rPr>
          <w:rFonts w:hint="eastAsia" w:ascii="宋体" w:hAnsi="宋体"/>
          <w:b/>
          <w:color w:val="auto"/>
          <w:sz w:val="24"/>
          <w:highlight w:val="none"/>
        </w:rPr>
        <w:t>21. 法律适用</w:t>
      </w:r>
    </w:p>
    <w:p w14:paraId="56E25BFC">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44EFAC9C">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39BDC340">
      <w:pPr>
        <w:autoSpaceDE w:val="0"/>
        <w:autoSpaceDN w:val="0"/>
        <w:adjustRightInd w:val="0"/>
        <w:snapToGrid w:val="0"/>
        <w:spacing w:line="400" w:lineRule="exact"/>
        <w:jc w:val="left"/>
        <w:rPr>
          <w:rFonts w:hint="eastAsia" w:ascii="宋体" w:hAnsi="宋体"/>
          <w:b/>
          <w:color w:val="auto"/>
          <w:sz w:val="24"/>
          <w:highlight w:val="none"/>
        </w:rPr>
      </w:pPr>
      <w:r>
        <w:rPr>
          <w:rFonts w:hint="eastAsia" w:ascii="宋体" w:hAnsi="宋体"/>
          <w:b/>
          <w:color w:val="auto"/>
          <w:sz w:val="24"/>
          <w:highlight w:val="none"/>
        </w:rPr>
        <w:t>22. 通知</w:t>
      </w:r>
    </w:p>
    <w:p w14:paraId="3FF83B47">
      <w:pPr>
        <w:pStyle w:val="283"/>
        <w:ind w:firstLine="420"/>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22.1 本合同任何一方向对方发出的通知、信件、数据电文等，应当发送至本合同第一部分《政府采购合同协议书》所约定的通讯地址、联系人、联系电话或电子邮箱。</w:t>
      </w:r>
    </w:p>
    <w:p w14:paraId="3106E225">
      <w:pPr>
        <w:pStyle w:val="283"/>
        <w:ind w:firstLine="0" w:firstLineChars="0"/>
        <w:jc w:val="both"/>
        <w:rPr>
          <w:rFonts w:hint="eastAsia"/>
          <w:color w:val="auto"/>
          <w:sz w:val="21"/>
          <w:highlight w:val="none"/>
        </w:rPr>
      </w:pPr>
      <w:r>
        <w:rPr>
          <w:rFonts w:hint="eastAsia" w:ascii="宋体" w:hAnsi="宋体" w:eastAsia="宋体" w:cs="宋体"/>
          <w:color w:val="auto"/>
          <w:sz w:val="21"/>
          <w:highlight w:val="none"/>
        </w:rPr>
        <w:t xml:space="preserve">    22.2 一方当事人变更名称、住所、联系人、联系电话或电子邮箱等信息的，应当在变更后3日内及时书面通知对方，对方实际收到变更通知前的送达仍为有效送达。</w:t>
      </w:r>
    </w:p>
    <w:p w14:paraId="701E66A0">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59540960">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07F88E75">
      <w:pPr>
        <w:numPr>
          <w:ilvl w:val="0"/>
          <w:numId w:val="10"/>
        </w:numPr>
        <w:adjustRightInd w:val="0"/>
        <w:snapToGrid w:val="0"/>
        <w:spacing w:line="400" w:lineRule="exact"/>
        <w:jc w:val="left"/>
        <w:rPr>
          <w:rFonts w:hint="eastAsia" w:ascii="宋体" w:hAnsi="宋体"/>
          <w:b/>
          <w:bCs/>
          <w:color w:val="auto"/>
          <w:sz w:val="24"/>
          <w:highlight w:val="none"/>
        </w:rPr>
      </w:pPr>
      <w:r>
        <w:rPr>
          <w:rFonts w:hint="eastAsia" w:ascii="宋体" w:hAnsi="宋体"/>
          <w:b/>
          <w:bCs/>
          <w:color w:val="auto"/>
          <w:sz w:val="24"/>
          <w:highlight w:val="none"/>
        </w:rPr>
        <w:t>合同未尽事项</w:t>
      </w:r>
    </w:p>
    <w:p w14:paraId="657DC52A">
      <w:pPr>
        <w:adjustRightInd w:val="0"/>
        <w:snapToGrid w:val="0"/>
        <w:spacing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2501D1F9">
      <w:pPr>
        <w:adjustRightInd w:val="0"/>
        <w:snapToGrid w:val="0"/>
        <w:spacing w:line="400" w:lineRule="exact"/>
        <w:jc w:val="left"/>
        <w:rPr>
          <w:rFonts w:hint="eastAsia"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101" w:name="_Toc20313"/>
    </w:p>
    <w:p w14:paraId="51E0FEA5">
      <w:pPr>
        <w:adjustRightInd w:val="0"/>
        <w:snapToGrid w:val="0"/>
        <w:jc w:val="center"/>
        <w:rPr>
          <w:rFonts w:hint="eastAsia"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bookmarkEnd w:id="101"/>
    <w:p w14:paraId="3F95DAD4">
      <w:pPr>
        <w:adjustRightInd w:val="0"/>
        <w:snapToGrid w:val="0"/>
        <w:jc w:val="center"/>
        <w:rPr>
          <w:rFonts w:hint="eastAsia" w:ascii="黑体" w:hAnsi="华文中宋" w:eastAsia="黑体"/>
          <w:color w:val="auto"/>
          <w:sz w:val="28"/>
          <w:szCs w:val="28"/>
          <w:highlight w:val="none"/>
        </w:rPr>
      </w:pPr>
    </w:p>
    <w:p w14:paraId="72F8DD84">
      <w:pPr>
        <w:keepNext/>
        <w:keepLines/>
        <w:adjustRightInd w:val="0"/>
        <w:snapToGrid w:val="0"/>
        <w:spacing w:line="360" w:lineRule="auto"/>
        <w:jc w:val="center"/>
        <w:outlineLvl w:val="1"/>
        <w:rPr>
          <w:rFonts w:hint="eastAsia" w:ascii="黑体" w:hAnsi="华文中宋" w:eastAsia="黑体"/>
          <w:color w:val="auto"/>
          <w:sz w:val="28"/>
          <w:szCs w:val="28"/>
          <w:highlight w:val="none"/>
        </w:rPr>
      </w:pPr>
      <w:r>
        <w:rPr>
          <w:rFonts w:hint="eastAsia" w:ascii="黑体" w:hAnsi="华文中宋" w:eastAsia="黑体"/>
          <w:color w:val="auto"/>
          <w:sz w:val="28"/>
          <w:szCs w:val="28"/>
          <w:highlight w:val="none"/>
        </w:rPr>
        <w:t>第三节 政府采购合同专用条款</w:t>
      </w:r>
    </w:p>
    <w:tbl>
      <w:tblPr>
        <w:tblStyle w:val="42"/>
        <w:tblW w:w="935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11"/>
        <w:gridCol w:w="2409"/>
        <w:gridCol w:w="5239"/>
      </w:tblGrid>
      <w:tr w14:paraId="65BE9F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trPr>
        <w:tc>
          <w:tcPr>
            <w:tcW w:w="1711" w:type="dxa"/>
            <w:vAlign w:val="center"/>
          </w:tcPr>
          <w:p w14:paraId="5056FD60">
            <w:pPr>
              <w:adjustRightInd w:val="0"/>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34431F6C">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第1.2（6）项</w:t>
            </w:r>
          </w:p>
        </w:tc>
        <w:tc>
          <w:tcPr>
            <w:tcW w:w="2409" w:type="dxa"/>
            <w:vAlign w:val="center"/>
          </w:tcPr>
          <w:p w14:paraId="0E193A05">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联合体具体要求</w:t>
            </w:r>
          </w:p>
        </w:tc>
        <w:tc>
          <w:tcPr>
            <w:tcW w:w="5239" w:type="dxa"/>
            <w:vAlign w:val="center"/>
          </w:tcPr>
          <w:p w14:paraId="78D385BD">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本项目不接受联合体参与采购活动</w:t>
            </w:r>
          </w:p>
        </w:tc>
      </w:tr>
      <w:tr w14:paraId="61C943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35" w:hRule="atLeast"/>
        </w:trPr>
        <w:tc>
          <w:tcPr>
            <w:tcW w:w="1711" w:type="dxa"/>
            <w:vAlign w:val="center"/>
          </w:tcPr>
          <w:p w14:paraId="5CEC0F1A">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70C4F48">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第1.2（7）项</w:t>
            </w:r>
          </w:p>
        </w:tc>
        <w:tc>
          <w:tcPr>
            <w:tcW w:w="2409" w:type="dxa"/>
            <w:vAlign w:val="center"/>
          </w:tcPr>
          <w:p w14:paraId="5E4A5A24">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其他术语解释</w:t>
            </w:r>
          </w:p>
        </w:tc>
        <w:tc>
          <w:tcPr>
            <w:tcW w:w="5239" w:type="dxa"/>
            <w:vAlign w:val="center"/>
          </w:tcPr>
          <w:p w14:paraId="657100E0">
            <w:pPr>
              <w:numPr>
                <w:ilvl w:val="0"/>
                <w:numId w:val="11"/>
              </w:num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 xml:space="preserve">货物：包含本项目谈判文件采购需求载明的全部设备、主机、辅材、配件、耗材、配套工具、软件系统、说明书、质保资料等； </w:t>
            </w:r>
          </w:p>
          <w:p w14:paraId="3B3B7D7F">
            <w:pPr>
              <w:numPr>
                <w:ilvl w:val="0"/>
                <w:numId w:val="11"/>
              </w:num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 xml:space="preserve">配套服务：包含运输、装卸、上楼、安装、调试、检测、操作培训、质保维修、旧设备清运、终身技术咨询等全部伴随服务； </w:t>
            </w:r>
          </w:p>
          <w:p w14:paraId="744A4F18">
            <w:p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（3）验收合格：指全部货物安装调试完毕，经采购人对照采购需求、响应文件承诺、国家现行标准逐项核查，无参数缺失、无质量缺陷，出具验收合格意见书。</w:t>
            </w:r>
          </w:p>
        </w:tc>
      </w:tr>
      <w:tr w14:paraId="09AF66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711" w:type="dxa"/>
            <w:vAlign w:val="center"/>
          </w:tcPr>
          <w:p w14:paraId="012ABD3A">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FAA1D81">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第4.4款</w:t>
            </w:r>
          </w:p>
        </w:tc>
        <w:tc>
          <w:tcPr>
            <w:tcW w:w="2409" w:type="dxa"/>
            <w:vAlign w:val="center"/>
          </w:tcPr>
          <w:p w14:paraId="1C3AC9FD">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5239" w:type="dxa"/>
            <w:vAlign w:val="center"/>
          </w:tcPr>
          <w:p w14:paraId="1663B1F9">
            <w:p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采购人收到成交供应商提交的验收申请及</w:t>
            </w:r>
            <w:r>
              <w:rPr>
                <w:rFonts w:hint="eastAsia" w:ascii="宋体" w:hAnsi="宋体"/>
                <w:color w:val="auto"/>
                <w:szCs w:val="21"/>
                <w:highlight w:val="none"/>
              </w:rPr>
              <w:t>、</w:t>
            </w:r>
            <w:r>
              <w:rPr>
                <w:rFonts w:ascii="宋体" w:hAnsi="宋体"/>
                <w:color w:val="auto"/>
                <w:szCs w:val="21"/>
                <w:highlight w:val="none"/>
              </w:rPr>
              <w:t>全套验收资料</w:t>
            </w:r>
            <w:r>
              <w:rPr>
                <w:rFonts w:hint="eastAsia" w:ascii="宋体" w:hAnsi="宋体"/>
                <w:color w:val="auto"/>
                <w:szCs w:val="21"/>
                <w:highlight w:val="none"/>
              </w:rPr>
              <w:t>且已完成</w:t>
            </w:r>
            <w:r>
              <w:rPr>
                <w:rFonts w:hint="eastAsia" w:ascii="宋体" w:hAnsi="宋体"/>
                <w:color w:val="auto"/>
                <w:szCs w:val="21"/>
                <w:highlight w:val="none"/>
                <w:u w:val="single"/>
              </w:rPr>
              <w:t xml:space="preserve"> 5 天 </w:t>
            </w:r>
            <w:r>
              <w:rPr>
                <w:rFonts w:hint="eastAsia" w:ascii="宋体" w:hAnsi="宋体"/>
                <w:color w:val="auto"/>
                <w:szCs w:val="21"/>
                <w:highlight w:val="none"/>
              </w:rPr>
              <w:t>试运行</w:t>
            </w:r>
            <w:r>
              <w:rPr>
                <w:rFonts w:ascii="宋体" w:hAnsi="宋体"/>
                <w:color w:val="auto"/>
                <w:szCs w:val="21"/>
                <w:highlight w:val="none"/>
              </w:rPr>
              <w:t>后，</w:t>
            </w:r>
            <w:r>
              <w:rPr>
                <w:rFonts w:hint="eastAsia" w:ascii="宋体" w:hAnsi="宋体"/>
                <w:color w:val="auto"/>
                <w:szCs w:val="21"/>
                <w:highlight w:val="none"/>
                <w:u w:val="single"/>
              </w:rPr>
              <w:t xml:space="preserve">  15</w:t>
            </w:r>
            <w:r>
              <w:rPr>
                <w:rFonts w:ascii="宋体" w:hAnsi="宋体"/>
                <w:color w:val="auto"/>
                <w:szCs w:val="21"/>
                <w:highlight w:val="none"/>
                <w:u w:val="single"/>
              </w:rPr>
              <w:t>个</w:t>
            </w:r>
            <w:r>
              <w:rPr>
                <w:rFonts w:hint="eastAsia" w:ascii="宋体" w:hAnsi="宋体"/>
                <w:color w:val="auto"/>
                <w:szCs w:val="21"/>
                <w:highlight w:val="none"/>
                <w:u w:val="single"/>
              </w:rPr>
              <w:t xml:space="preserve">  </w:t>
            </w:r>
            <w:r>
              <w:rPr>
                <w:rFonts w:ascii="宋体" w:hAnsi="宋体"/>
                <w:color w:val="auto"/>
                <w:szCs w:val="21"/>
                <w:highlight w:val="none"/>
              </w:rPr>
              <w:t>工作日内完成现场核查，存在问题书面一次性告知供应商整改。</w:t>
            </w:r>
          </w:p>
        </w:tc>
      </w:tr>
      <w:tr w14:paraId="11C974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1711" w:type="dxa"/>
            <w:vAlign w:val="center"/>
          </w:tcPr>
          <w:p w14:paraId="29052CDD">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4696E9B6">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第4.6款</w:t>
            </w:r>
          </w:p>
        </w:tc>
        <w:tc>
          <w:tcPr>
            <w:tcW w:w="2409" w:type="dxa"/>
            <w:vAlign w:val="center"/>
          </w:tcPr>
          <w:p w14:paraId="2690B346">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约定甲方承担的其他义务和责任</w:t>
            </w:r>
          </w:p>
        </w:tc>
        <w:tc>
          <w:tcPr>
            <w:tcW w:w="5239" w:type="dxa"/>
            <w:vAlign w:val="center"/>
          </w:tcPr>
          <w:p w14:paraId="183A5B33">
            <w:pPr>
              <w:pStyle w:val="283"/>
              <w:spacing w:line="440" w:lineRule="exact"/>
              <w:ind w:firstLine="0" w:firstLineChars="0"/>
              <w:rPr>
                <w:rFonts w:hint="eastAsia" w:ascii="宋体" w:hAnsi="宋体" w:eastAsia="宋体" w:cs="Times New Roman"/>
                <w:color w:val="auto"/>
                <w:kern w:val="2"/>
                <w:sz w:val="21"/>
                <w:highlight w:val="none"/>
              </w:rPr>
            </w:pPr>
            <w:r>
              <w:rPr>
                <w:rFonts w:ascii="宋体" w:hAnsi="宋体" w:eastAsia="宋体" w:cs="宋体"/>
                <w:color w:val="auto"/>
                <w:sz w:val="21"/>
                <w:highlight w:val="none"/>
              </w:rPr>
              <w:t>提供货物存放、安装所需场地、基础水电接口，协调现场作业环境；无其他额外配套条件。</w:t>
            </w:r>
          </w:p>
        </w:tc>
      </w:tr>
      <w:tr w14:paraId="23EAF0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78758C88">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09D22A2">
            <w:pPr>
              <w:snapToGrid w:val="0"/>
              <w:spacing w:line="440" w:lineRule="exact"/>
              <w:jc w:val="center"/>
              <w:rPr>
                <w:color w:val="auto"/>
                <w:szCs w:val="21"/>
                <w:highlight w:val="none"/>
              </w:rPr>
            </w:pPr>
            <w:r>
              <w:rPr>
                <w:rFonts w:hint="eastAsia" w:ascii="宋体" w:hAnsi="宋体"/>
                <w:color w:val="auto"/>
                <w:szCs w:val="21"/>
                <w:highlight w:val="none"/>
              </w:rPr>
              <w:t>第5.4款</w:t>
            </w:r>
          </w:p>
        </w:tc>
        <w:tc>
          <w:tcPr>
            <w:tcW w:w="2409" w:type="dxa"/>
            <w:vAlign w:val="center"/>
          </w:tcPr>
          <w:p w14:paraId="374689FA">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约定乙方承担的其他义务和责任</w:t>
            </w:r>
          </w:p>
        </w:tc>
        <w:tc>
          <w:tcPr>
            <w:tcW w:w="5239" w:type="dxa"/>
            <w:vAlign w:val="center"/>
          </w:tcPr>
          <w:p w14:paraId="28280F98">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详见 “第五章 采购需求”</w:t>
            </w:r>
          </w:p>
        </w:tc>
      </w:tr>
      <w:tr w14:paraId="392DCE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2" w:hRule="atLeast"/>
        </w:trPr>
        <w:tc>
          <w:tcPr>
            <w:tcW w:w="1711" w:type="dxa"/>
            <w:vAlign w:val="center"/>
          </w:tcPr>
          <w:p w14:paraId="071AD26D">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B074F7A">
            <w:pPr>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第6.1款</w:t>
            </w:r>
          </w:p>
        </w:tc>
        <w:tc>
          <w:tcPr>
            <w:tcW w:w="2409" w:type="dxa"/>
            <w:vAlign w:val="center"/>
          </w:tcPr>
          <w:p w14:paraId="5280D7C8">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履行合同义务的顺序</w:t>
            </w:r>
          </w:p>
        </w:tc>
        <w:tc>
          <w:tcPr>
            <w:tcW w:w="5239" w:type="dxa"/>
            <w:vAlign w:val="center"/>
          </w:tcPr>
          <w:p w14:paraId="33E2F30B">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甲乙双方签订正式政府采购合同；</w:t>
            </w:r>
          </w:p>
          <w:p w14:paraId="2492A93E">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乙方按约定时限完成全部货物运输、卸货、就位、安装、调试工作，交付产品合格证、出厂检测报告、原厂质保卡、操作手册等全套纸质及电子资料；</w:t>
            </w:r>
          </w:p>
          <w:p w14:paraId="29736480">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乙方免费完成采购人操作人员实操培训；</w:t>
            </w:r>
          </w:p>
          <w:p w14:paraId="4AE34616">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乙方整理全套验收材料，向甲方书面提交验收申请；</w:t>
            </w:r>
          </w:p>
          <w:p w14:paraId="0C048DB1">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甲方组织现场验收，出具验收意见；</w:t>
            </w:r>
          </w:p>
          <w:p w14:paraId="25BC6EA8">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验收合格后，乙方提供合规增值税发票；</w:t>
            </w:r>
          </w:p>
          <w:p w14:paraId="48EDF514">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7）</w:t>
            </w:r>
            <w:r>
              <w:rPr>
                <w:rFonts w:ascii="宋体" w:hAnsi="宋体"/>
                <w:color w:val="auto"/>
                <w:szCs w:val="21"/>
                <w:highlight w:val="none"/>
              </w:rPr>
              <w:t>甲方</w:t>
            </w:r>
            <w:r>
              <w:rPr>
                <w:rFonts w:hint="eastAsia" w:ascii="宋体" w:hAnsi="宋体"/>
                <w:color w:val="auto"/>
                <w:szCs w:val="21"/>
                <w:highlight w:val="none"/>
              </w:rPr>
              <w:t>按约定</w:t>
            </w:r>
            <w:r>
              <w:rPr>
                <w:rFonts w:ascii="宋体" w:hAnsi="宋体"/>
                <w:color w:val="auto"/>
                <w:szCs w:val="21"/>
                <w:highlight w:val="none"/>
              </w:rPr>
              <w:t>支付合同价款；</w:t>
            </w:r>
          </w:p>
          <w:p w14:paraId="6BDFD622">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8）</w:t>
            </w:r>
            <w:r>
              <w:rPr>
                <w:rFonts w:ascii="宋体" w:hAnsi="宋体"/>
                <w:color w:val="auto"/>
                <w:szCs w:val="21"/>
                <w:highlight w:val="none"/>
              </w:rPr>
              <w:t>质保期内乙方提供上门维修、定期巡检、备用设备等售后服务；</w:t>
            </w:r>
          </w:p>
          <w:p w14:paraId="0526B657">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9）</w:t>
            </w:r>
            <w:r>
              <w:rPr>
                <w:rFonts w:ascii="宋体" w:hAnsi="宋体"/>
                <w:color w:val="auto"/>
                <w:szCs w:val="21"/>
                <w:highlight w:val="none"/>
              </w:rPr>
              <w:t>质保期满且无任何违约、质量纠纷，甲方无息</w:t>
            </w:r>
            <w:r>
              <w:rPr>
                <w:rFonts w:hint="eastAsia" w:ascii="宋体" w:hAnsi="宋体"/>
                <w:color w:val="auto"/>
                <w:szCs w:val="21"/>
                <w:highlight w:val="none"/>
              </w:rPr>
              <w:t>支付合同余款</w:t>
            </w:r>
            <w:r>
              <w:rPr>
                <w:rFonts w:ascii="宋体" w:hAnsi="宋体"/>
                <w:color w:val="auto"/>
                <w:szCs w:val="21"/>
                <w:highlight w:val="none"/>
              </w:rPr>
              <w:t>。</w:t>
            </w:r>
          </w:p>
        </w:tc>
      </w:tr>
      <w:tr w14:paraId="6642DC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Merge w:val="restart"/>
            <w:vAlign w:val="center"/>
          </w:tcPr>
          <w:p w14:paraId="2D68DB41">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AB00F1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第7.1款</w:t>
            </w:r>
          </w:p>
        </w:tc>
        <w:tc>
          <w:tcPr>
            <w:tcW w:w="2409" w:type="dxa"/>
            <w:vAlign w:val="center"/>
          </w:tcPr>
          <w:p w14:paraId="3F3F2A2A">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包装特殊要求</w:t>
            </w:r>
          </w:p>
        </w:tc>
        <w:tc>
          <w:tcPr>
            <w:tcW w:w="5239" w:type="dxa"/>
            <w:vAlign w:val="center"/>
          </w:tcPr>
          <w:p w14:paraId="75415410">
            <w:pPr>
              <w:spacing w:line="440" w:lineRule="exact"/>
              <w:rPr>
                <w:color w:val="auto"/>
                <w:szCs w:val="21"/>
                <w:highlight w:val="none"/>
              </w:rPr>
            </w:pPr>
            <w:r>
              <w:rPr>
                <w:rFonts w:hint="eastAsia"/>
                <w:color w:val="auto"/>
                <w:szCs w:val="21"/>
                <w:highlight w:val="none"/>
              </w:rPr>
              <w:t>成交供应商采用防潮、防震、防锈、防碰撞标准包装，包装物归采购人所有。</w:t>
            </w:r>
          </w:p>
        </w:tc>
      </w:tr>
      <w:tr w14:paraId="092660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711" w:type="dxa"/>
            <w:vMerge w:val="continue"/>
            <w:vAlign w:val="center"/>
          </w:tcPr>
          <w:p w14:paraId="2E15E447">
            <w:pPr>
              <w:adjustRightInd w:val="0"/>
              <w:snapToGrid w:val="0"/>
              <w:spacing w:line="440" w:lineRule="exact"/>
              <w:jc w:val="center"/>
              <w:rPr>
                <w:rFonts w:hint="eastAsia" w:ascii="宋体" w:hAnsi="宋体"/>
                <w:color w:val="auto"/>
                <w:szCs w:val="21"/>
                <w:highlight w:val="none"/>
              </w:rPr>
            </w:pPr>
          </w:p>
        </w:tc>
        <w:tc>
          <w:tcPr>
            <w:tcW w:w="2409" w:type="dxa"/>
            <w:vAlign w:val="center"/>
          </w:tcPr>
          <w:p w14:paraId="18E33397">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指定现场</w:t>
            </w:r>
          </w:p>
        </w:tc>
        <w:tc>
          <w:tcPr>
            <w:tcW w:w="5239" w:type="dxa"/>
            <w:vAlign w:val="center"/>
          </w:tcPr>
          <w:p w14:paraId="5F3ED962">
            <w:pPr>
              <w:spacing w:line="440" w:lineRule="exact"/>
              <w:rPr>
                <w:color w:val="auto"/>
                <w:szCs w:val="21"/>
                <w:highlight w:val="none"/>
              </w:rPr>
            </w:pPr>
            <w:r>
              <w:rPr>
                <w:rFonts w:hint="eastAsia" w:ascii="宋体"/>
                <w:color w:val="auto"/>
                <w:szCs w:val="21"/>
                <w:highlight w:val="none"/>
              </w:rPr>
              <w:t>采购人指定地点</w:t>
            </w:r>
            <w:r>
              <w:rPr>
                <w:rFonts w:hint="eastAsia" w:ascii="宋体" w:hAnsi="宋体"/>
                <w:color w:val="auto"/>
                <w:szCs w:val="21"/>
                <w:highlight w:val="none"/>
              </w:rPr>
              <w:t>。</w:t>
            </w:r>
          </w:p>
        </w:tc>
      </w:tr>
      <w:tr w14:paraId="3A38F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2060C275">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3B10C6FD">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第7.2款</w:t>
            </w:r>
          </w:p>
        </w:tc>
        <w:tc>
          <w:tcPr>
            <w:tcW w:w="2409" w:type="dxa"/>
            <w:vAlign w:val="center"/>
          </w:tcPr>
          <w:p w14:paraId="0DAEB280">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运输特殊要求</w:t>
            </w:r>
          </w:p>
        </w:tc>
        <w:tc>
          <w:tcPr>
            <w:tcW w:w="5239" w:type="dxa"/>
            <w:vAlign w:val="center"/>
          </w:tcPr>
          <w:p w14:paraId="0202A322">
            <w:pPr>
              <w:spacing w:line="440" w:lineRule="exact"/>
              <w:rPr>
                <w:color w:val="auto"/>
                <w:szCs w:val="21"/>
                <w:highlight w:val="none"/>
              </w:rPr>
            </w:pPr>
            <w:r>
              <w:rPr>
                <w:rFonts w:hint="eastAsia"/>
                <w:color w:val="auto"/>
                <w:szCs w:val="21"/>
                <w:highlight w:val="none"/>
              </w:rPr>
              <w:t>全程包干运输、搬运，运输途中破损、丢失由供应商无条件免费更换、补齐。</w:t>
            </w:r>
          </w:p>
        </w:tc>
      </w:tr>
      <w:tr w14:paraId="6542D1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37AFD662">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FC02D2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第7.3款</w:t>
            </w:r>
          </w:p>
        </w:tc>
        <w:tc>
          <w:tcPr>
            <w:tcW w:w="2409" w:type="dxa"/>
            <w:vAlign w:val="center"/>
          </w:tcPr>
          <w:p w14:paraId="3A90991E">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保险要求</w:t>
            </w:r>
          </w:p>
        </w:tc>
        <w:tc>
          <w:tcPr>
            <w:tcW w:w="5239" w:type="dxa"/>
            <w:vAlign w:val="center"/>
          </w:tcPr>
          <w:p w14:paraId="584EE20C">
            <w:pPr>
              <w:spacing w:line="440" w:lineRule="exact"/>
              <w:rPr>
                <w:color w:val="auto"/>
                <w:szCs w:val="21"/>
                <w:highlight w:val="none"/>
              </w:rPr>
            </w:pPr>
            <w:r>
              <w:rPr>
                <w:rFonts w:hint="eastAsia"/>
                <w:color w:val="auto"/>
                <w:szCs w:val="21"/>
                <w:highlight w:val="none"/>
              </w:rPr>
              <w:t>供应商自行投保足额货物运输保险，保险责任覆盖至验收合格之日。</w:t>
            </w:r>
          </w:p>
        </w:tc>
      </w:tr>
      <w:tr w14:paraId="0B3DB7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4F6C385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05B9A8AA">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第8.2（1）项</w:t>
            </w:r>
          </w:p>
        </w:tc>
        <w:tc>
          <w:tcPr>
            <w:tcW w:w="2409" w:type="dxa"/>
            <w:vAlign w:val="center"/>
          </w:tcPr>
          <w:p w14:paraId="3E883370">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质量保证期</w:t>
            </w:r>
          </w:p>
        </w:tc>
        <w:tc>
          <w:tcPr>
            <w:tcW w:w="5239" w:type="dxa"/>
            <w:vAlign w:val="center"/>
          </w:tcPr>
          <w:p w14:paraId="0A2A1393">
            <w:pPr>
              <w:autoSpaceDE w:val="0"/>
              <w:autoSpaceDN w:val="0"/>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详见 “第五章 采购需求”</w:t>
            </w:r>
          </w:p>
        </w:tc>
      </w:tr>
      <w:tr w14:paraId="3411D9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711" w:type="dxa"/>
            <w:vAlign w:val="center"/>
          </w:tcPr>
          <w:p w14:paraId="59B9A0E8">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415EB7D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第8.2（3）项</w:t>
            </w:r>
          </w:p>
        </w:tc>
        <w:tc>
          <w:tcPr>
            <w:tcW w:w="2409" w:type="dxa"/>
            <w:vAlign w:val="center"/>
          </w:tcPr>
          <w:p w14:paraId="69BF07CB">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货物质量缺陷响应时间</w:t>
            </w:r>
          </w:p>
        </w:tc>
        <w:tc>
          <w:tcPr>
            <w:tcW w:w="5239" w:type="dxa"/>
            <w:vAlign w:val="center"/>
          </w:tcPr>
          <w:p w14:paraId="609AF765">
            <w:p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提供 7×24 小时售后服务热线；</w:t>
            </w:r>
            <w:r>
              <w:rPr>
                <w:rFonts w:hint="eastAsia" w:ascii="宋体" w:hAnsi="宋体"/>
                <w:color w:val="auto"/>
                <w:szCs w:val="21"/>
                <w:highlight w:val="none"/>
                <w:u w:val="single"/>
              </w:rPr>
              <w:t xml:space="preserve">  4  </w:t>
            </w:r>
            <w:r>
              <w:rPr>
                <w:rFonts w:ascii="宋体" w:hAnsi="宋体"/>
                <w:color w:val="auto"/>
                <w:szCs w:val="21"/>
                <w:highlight w:val="none"/>
              </w:rPr>
              <w:t xml:space="preserve">小时内工程师到场维修；设备故障 </w:t>
            </w:r>
            <w:r>
              <w:rPr>
                <w:rFonts w:hint="eastAsia" w:ascii="宋体" w:hAnsi="宋体"/>
                <w:color w:val="auto"/>
                <w:szCs w:val="21"/>
                <w:highlight w:val="none"/>
              </w:rPr>
              <w:t>8</w:t>
            </w:r>
            <w:r>
              <w:rPr>
                <w:rFonts w:ascii="宋体" w:hAnsi="宋体"/>
                <w:color w:val="auto"/>
                <w:szCs w:val="21"/>
                <w:highlight w:val="none"/>
              </w:rPr>
              <w:t xml:space="preserve"> 小时无法修复，成交供应商须免费提供同规格备用设备直至原设备维修完毕。</w:t>
            </w:r>
          </w:p>
        </w:tc>
      </w:tr>
      <w:tr w14:paraId="3FB979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6" w:hRule="atLeast"/>
        </w:trPr>
        <w:tc>
          <w:tcPr>
            <w:tcW w:w="1711" w:type="dxa"/>
            <w:vAlign w:val="center"/>
          </w:tcPr>
          <w:p w14:paraId="2BC55403">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第二节</w:t>
            </w:r>
          </w:p>
          <w:p w14:paraId="4C34C790">
            <w:pPr>
              <w:pStyle w:val="283"/>
              <w:spacing w:line="440" w:lineRule="exact"/>
              <w:ind w:firstLine="0" w:firstLineChars="0"/>
              <w:jc w:val="center"/>
              <w:rPr>
                <w:rFonts w:hint="eastAsia"/>
                <w:color w:val="auto"/>
                <w:sz w:val="21"/>
                <w:highlight w:val="none"/>
              </w:rPr>
            </w:pPr>
            <w:r>
              <w:rPr>
                <w:rFonts w:hint="eastAsia" w:ascii="宋体" w:hAnsi="宋体" w:eastAsia="宋体" w:cs="宋体"/>
                <w:color w:val="auto"/>
                <w:sz w:val="21"/>
                <w:highlight w:val="none"/>
              </w:rPr>
              <w:t>第11.1款</w:t>
            </w:r>
          </w:p>
        </w:tc>
        <w:tc>
          <w:tcPr>
            <w:tcW w:w="2409" w:type="dxa"/>
            <w:vAlign w:val="center"/>
          </w:tcPr>
          <w:p w14:paraId="1FD8BC4D">
            <w:pPr>
              <w:adjustRightInd w:val="0"/>
              <w:snapToGrid w:val="0"/>
              <w:spacing w:line="440" w:lineRule="exact"/>
              <w:rPr>
                <w:rFonts w:hint="eastAsia" w:ascii="宋体" w:hAnsi="宋体"/>
                <w:color w:val="auto"/>
                <w:szCs w:val="21"/>
                <w:highlight w:val="none"/>
              </w:rPr>
            </w:pPr>
            <w:r>
              <w:rPr>
                <w:rFonts w:hint="eastAsia" w:ascii="宋体" w:hAnsi="宋体"/>
                <w:color w:val="auto"/>
                <w:szCs w:val="21"/>
                <w:highlight w:val="none"/>
              </w:rPr>
              <w:t>其他应当保密的信息</w:t>
            </w:r>
          </w:p>
        </w:tc>
        <w:tc>
          <w:tcPr>
            <w:tcW w:w="5239" w:type="dxa"/>
            <w:vAlign w:val="center"/>
          </w:tcPr>
          <w:p w14:paraId="58BC9968">
            <w:pPr>
              <w:numPr>
                <w:ilvl w:val="0"/>
                <w:numId w:val="12"/>
              </w:num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成交供应商应对采购过程、设备参数、单位业务数据、内部台账、涉密资料永久保密，不得向第三方泄露；项目结束后不得留存采购人涉密数据、内部资料。</w:t>
            </w:r>
          </w:p>
          <w:p w14:paraId="565616E7">
            <w:pPr>
              <w:numPr>
                <w:ilvl w:val="0"/>
                <w:numId w:val="12"/>
              </w:numPr>
              <w:adjustRightInd w:val="0"/>
              <w:snapToGrid w:val="0"/>
              <w:spacing w:line="440" w:lineRule="exact"/>
              <w:jc w:val="left"/>
              <w:rPr>
                <w:rFonts w:hint="eastAsia" w:ascii="宋体" w:hAnsi="宋体"/>
                <w:color w:val="auto"/>
                <w:szCs w:val="21"/>
                <w:highlight w:val="none"/>
              </w:rPr>
            </w:pPr>
            <w:r>
              <w:rPr>
                <w:rFonts w:ascii="宋体" w:hAnsi="宋体"/>
                <w:color w:val="auto"/>
                <w:szCs w:val="21"/>
                <w:highlight w:val="none"/>
              </w:rPr>
              <w:t>如发生泄密行为，供应商承担合同总价 10% 违约金，同时赔偿采购人全部经济损失，采购人有权单方解除合同。</w:t>
            </w:r>
          </w:p>
        </w:tc>
      </w:tr>
      <w:tr w14:paraId="685CD1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49857E09">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140FC2F">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第12.2款</w:t>
            </w:r>
          </w:p>
        </w:tc>
        <w:tc>
          <w:tcPr>
            <w:tcW w:w="2409" w:type="dxa"/>
            <w:vAlign w:val="center"/>
          </w:tcPr>
          <w:p w14:paraId="5517538A">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合同价款支付时间</w:t>
            </w:r>
          </w:p>
        </w:tc>
        <w:tc>
          <w:tcPr>
            <w:tcW w:w="5239" w:type="dxa"/>
            <w:vAlign w:val="center"/>
          </w:tcPr>
          <w:p w14:paraId="7AECC55F">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详见 “第五章 采购需求”</w:t>
            </w:r>
          </w:p>
        </w:tc>
      </w:tr>
      <w:tr w14:paraId="1654B4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4BDC70C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2DEBAF6">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第13.2款</w:t>
            </w:r>
          </w:p>
        </w:tc>
        <w:tc>
          <w:tcPr>
            <w:tcW w:w="2409" w:type="dxa"/>
            <w:vAlign w:val="center"/>
          </w:tcPr>
          <w:p w14:paraId="15B74C35">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履约保证金不予退还的情形</w:t>
            </w:r>
          </w:p>
        </w:tc>
        <w:tc>
          <w:tcPr>
            <w:tcW w:w="5239" w:type="dxa"/>
            <w:vAlign w:val="center"/>
          </w:tcPr>
          <w:p w14:paraId="33F342C1">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w:t>
            </w:r>
          </w:p>
        </w:tc>
      </w:tr>
      <w:tr w14:paraId="03838E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4A8E99BF">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BAD0CBA">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第13.3款</w:t>
            </w:r>
          </w:p>
        </w:tc>
        <w:tc>
          <w:tcPr>
            <w:tcW w:w="2409" w:type="dxa"/>
            <w:vAlign w:val="center"/>
          </w:tcPr>
          <w:p w14:paraId="18CE1B55">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5239" w:type="dxa"/>
            <w:vAlign w:val="center"/>
          </w:tcPr>
          <w:p w14:paraId="35FB449A">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w:t>
            </w:r>
          </w:p>
        </w:tc>
      </w:tr>
      <w:tr w14:paraId="16E2BD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trPr>
        <w:tc>
          <w:tcPr>
            <w:tcW w:w="1711" w:type="dxa"/>
            <w:vAlign w:val="center"/>
          </w:tcPr>
          <w:p w14:paraId="69056EAB">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0737E9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第14.1（3）项</w:t>
            </w:r>
          </w:p>
        </w:tc>
        <w:tc>
          <w:tcPr>
            <w:tcW w:w="2409" w:type="dxa"/>
            <w:vAlign w:val="center"/>
          </w:tcPr>
          <w:p w14:paraId="39CB88D2">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运行监督、维修期限</w:t>
            </w:r>
          </w:p>
        </w:tc>
        <w:tc>
          <w:tcPr>
            <w:tcW w:w="5239" w:type="dxa"/>
            <w:vAlign w:val="center"/>
          </w:tcPr>
          <w:p w14:paraId="504CBBB3">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质保期内每</w:t>
            </w:r>
            <w:r>
              <w:rPr>
                <w:rFonts w:hint="eastAsia" w:ascii="宋体" w:hAnsi="宋体"/>
                <w:color w:val="auto"/>
                <w:szCs w:val="21"/>
                <w:highlight w:val="none"/>
                <w:u w:val="single"/>
              </w:rPr>
              <w:t xml:space="preserve">  1  </w:t>
            </w:r>
            <w:r>
              <w:rPr>
                <w:rFonts w:ascii="宋体" w:hAnsi="宋体"/>
                <w:color w:val="auto"/>
                <w:szCs w:val="21"/>
                <w:highlight w:val="none"/>
              </w:rPr>
              <w:t xml:space="preserve">个月提供一次免费上门巡检，排查设备隐患并出具巡检记录。 </w:t>
            </w:r>
          </w:p>
          <w:p w14:paraId="2AC9B2F2">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配套软件</w:t>
            </w:r>
            <w:r>
              <w:rPr>
                <w:rFonts w:hint="eastAsia" w:ascii="宋体" w:hAnsi="宋体"/>
                <w:color w:val="auto"/>
                <w:szCs w:val="21"/>
                <w:highlight w:val="none"/>
              </w:rPr>
              <w:t>（如有）</w:t>
            </w:r>
            <w:r>
              <w:rPr>
                <w:rFonts w:ascii="宋体" w:hAnsi="宋体"/>
                <w:color w:val="auto"/>
                <w:szCs w:val="21"/>
                <w:highlight w:val="none"/>
              </w:rPr>
              <w:t>提供免费终身基础升级服务，如需功能升级另行协商。</w:t>
            </w:r>
          </w:p>
        </w:tc>
      </w:tr>
      <w:tr w14:paraId="1F74D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138C3A81">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05AD356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第14.1（5）项</w:t>
            </w:r>
          </w:p>
        </w:tc>
        <w:tc>
          <w:tcPr>
            <w:tcW w:w="2409" w:type="dxa"/>
            <w:vAlign w:val="center"/>
          </w:tcPr>
          <w:p w14:paraId="60E5FE97">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货物回收的约定</w:t>
            </w:r>
          </w:p>
        </w:tc>
        <w:tc>
          <w:tcPr>
            <w:tcW w:w="5239" w:type="dxa"/>
            <w:vAlign w:val="center"/>
          </w:tcPr>
          <w:p w14:paraId="7264C8B6">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设</w:t>
            </w:r>
            <w:r>
              <w:rPr>
                <w:rFonts w:ascii="宋体" w:hAnsi="宋体"/>
                <w:color w:val="auto"/>
                <w:szCs w:val="21"/>
                <w:highlight w:val="none"/>
              </w:rPr>
              <w:t>备报废后，采购人可要求供应商免费上门回收、无害化合规处置；无回收需求则本条作废。</w:t>
            </w:r>
          </w:p>
        </w:tc>
      </w:tr>
      <w:tr w14:paraId="569E73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711" w:type="dxa"/>
            <w:vAlign w:val="center"/>
          </w:tcPr>
          <w:p w14:paraId="5F6F8502">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44E74A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第14.1（6）项</w:t>
            </w:r>
          </w:p>
        </w:tc>
        <w:tc>
          <w:tcPr>
            <w:tcW w:w="2409" w:type="dxa"/>
            <w:vAlign w:val="center"/>
          </w:tcPr>
          <w:p w14:paraId="60DDAC64">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乙方提供的其他服务</w:t>
            </w:r>
          </w:p>
        </w:tc>
        <w:tc>
          <w:tcPr>
            <w:tcW w:w="5239" w:type="dxa"/>
            <w:vAlign w:val="center"/>
          </w:tcPr>
          <w:p w14:paraId="332B58FD">
            <w:pPr>
              <w:autoSpaceDE w:val="0"/>
              <w:autoSpaceDN w:val="0"/>
              <w:adjustRightInd w:val="0"/>
              <w:spacing w:line="440" w:lineRule="exact"/>
              <w:rPr>
                <w:rFonts w:hint="eastAsia" w:ascii="宋体" w:hAnsi="宋体"/>
                <w:color w:val="auto"/>
                <w:szCs w:val="21"/>
                <w:highlight w:val="none"/>
              </w:rPr>
            </w:pPr>
            <w:r>
              <w:rPr>
                <w:rFonts w:hint="eastAsia" w:ascii="宋体" w:hAnsi="宋体"/>
                <w:color w:val="auto"/>
                <w:szCs w:val="21"/>
                <w:highlight w:val="none"/>
              </w:rPr>
              <w:t>1、中标人应指派专人负责与采购人联系售后服务事宜。</w:t>
            </w:r>
          </w:p>
          <w:p w14:paraId="2101A187">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2、非采购人的人为原因而出现产品质量问题，由中标人负责退换，并承担因此而产生的一切费用。</w:t>
            </w:r>
          </w:p>
        </w:tc>
      </w:tr>
      <w:tr w14:paraId="11EBA7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711" w:type="dxa"/>
            <w:vAlign w:val="center"/>
          </w:tcPr>
          <w:p w14:paraId="17C8F0E5">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2CE3F6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第15.1款</w:t>
            </w:r>
          </w:p>
        </w:tc>
        <w:tc>
          <w:tcPr>
            <w:tcW w:w="2409" w:type="dxa"/>
            <w:vAlign w:val="center"/>
          </w:tcPr>
          <w:p w14:paraId="0D62634E">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修理、重作、更换相关具体规定</w:t>
            </w:r>
          </w:p>
        </w:tc>
        <w:tc>
          <w:tcPr>
            <w:tcW w:w="5239" w:type="dxa"/>
            <w:vAlign w:val="center"/>
          </w:tcPr>
          <w:p w14:paraId="12884C81">
            <w:pPr>
              <w:adjustRightInd w:val="0"/>
              <w:snapToGrid w:val="0"/>
              <w:spacing w:line="440" w:lineRule="exact"/>
              <w:jc w:val="left"/>
              <w:rPr>
                <w:rFonts w:hint="eastAsia" w:ascii="宋体" w:hAnsi="宋体"/>
                <w:color w:val="auto"/>
                <w:szCs w:val="21"/>
                <w:highlight w:val="none"/>
              </w:rPr>
            </w:pPr>
            <w:r>
              <w:rPr>
                <w:rFonts w:ascii="宋体" w:hAnsi="宋体" w:cs="宋体"/>
                <w:color w:val="auto"/>
                <w:szCs w:val="21"/>
                <w:highlight w:val="none"/>
              </w:rPr>
              <w:t>货物参数、规格、质量不符合采购需求及响应承诺，供应商须在 7 日内更换全新合格产品，并向采购人支付合同总价 5% 违约金；造成采购人损失的另行赔偿。</w:t>
            </w:r>
          </w:p>
        </w:tc>
      </w:tr>
      <w:tr w14:paraId="5E8189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711" w:type="dxa"/>
            <w:vAlign w:val="center"/>
          </w:tcPr>
          <w:p w14:paraId="1896691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D49AAEF">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第15.2（2）项</w:t>
            </w:r>
          </w:p>
        </w:tc>
        <w:tc>
          <w:tcPr>
            <w:tcW w:w="2409" w:type="dxa"/>
            <w:vAlign w:val="center"/>
          </w:tcPr>
          <w:p w14:paraId="6E2F7308">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迟延交货赔偿费</w:t>
            </w:r>
          </w:p>
        </w:tc>
        <w:tc>
          <w:tcPr>
            <w:tcW w:w="5239" w:type="dxa"/>
            <w:vAlign w:val="center"/>
          </w:tcPr>
          <w:p w14:paraId="2D5CDC70">
            <w:pPr>
              <w:adjustRightInd w:val="0"/>
              <w:snapToGrid w:val="0"/>
              <w:spacing w:line="440" w:lineRule="exact"/>
              <w:jc w:val="left"/>
              <w:rPr>
                <w:rFonts w:hint="eastAsia" w:ascii="宋体" w:hAnsi="宋体"/>
                <w:color w:val="auto"/>
                <w:szCs w:val="21"/>
                <w:highlight w:val="none"/>
                <w:u w:val="single"/>
              </w:rPr>
            </w:pPr>
            <w:r>
              <w:rPr>
                <w:rFonts w:ascii="宋体" w:hAnsi="宋体"/>
                <w:color w:val="auto"/>
                <w:szCs w:val="21"/>
                <w:highlight w:val="none"/>
              </w:rPr>
              <w:t>供应商未按约定工期完成交货安装，每逾期一日按合同总价款 0.1% 支付违约金，违约金累计上限不超过合同总价 10%；逾期超过 15 日，采购人有权单方解除合同，供应商须退还已支付全部款项并承担合同总价 10% 违约金。</w:t>
            </w:r>
          </w:p>
        </w:tc>
      </w:tr>
      <w:tr w14:paraId="49F73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11" w:type="dxa"/>
            <w:vAlign w:val="center"/>
          </w:tcPr>
          <w:p w14:paraId="2A76AC07">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5B257BE">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第15.3款</w:t>
            </w:r>
          </w:p>
        </w:tc>
        <w:tc>
          <w:tcPr>
            <w:tcW w:w="2409" w:type="dxa"/>
            <w:vAlign w:val="center"/>
          </w:tcPr>
          <w:p w14:paraId="45DCEDA3">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逾期付款利息</w:t>
            </w:r>
          </w:p>
        </w:tc>
        <w:tc>
          <w:tcPr>
            <w:tcW w:w="5239" w:type="dxa"/>
            <w:vAlign w:val="center"/>
          </w:tcPr>
          <w:p w14:paraId="47956958">
            <w:pPr>
              <w:adjustRightInd w:val="0"/>
              <w:snapToGrid w:val="0"/>
              <w:spacing w:line="440" w:lineRule="exact"/>
              <w:jc w:val="left"/>
              <w:rPr>
                <w:rFonts w:hint="eastAsia" w:ascii="宋体" w:hAnsi="宋体"/>
                <w:color w:val="auto"/>
                <w:szCs w:val="21"/>
                <w:highlight w:val="none"/>
                <w:u w:val="single"/>
              </w:rPr>
            </w:pPr>
            <w:r>
              <w:rPr>
                <w:rFonts w:hint="eastAsia" w:ascii="宋体" w:hAnsi="宋体"/>
                <w:color w:val="auto"/>
                <w:szCs w:val="21"/>
                <w:highlight w:val="none"/>
              </w:rPr>
              <w:t>无</w:t>
            </w:r>
          </w:p>
        </w:tc>
      </w:tr>
      <w:tr w14:paraId="34C7DC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711" w:type="dxa"/>
            <w:tcBorders>
              <w:bottom w:val="single" w:color="auto" w:sz="2" w:space="0"/>
              <w:right w:val="single" w:color="auto" w:sz="2" w:space="0"/>
            </w:tcBorders>
            <w:vAlign w:val="center"/>
          </w:tcPr>
          <w:p w14:paraId="2C94984F">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BA3E50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第15.4款</w:t>
            </w:r>
          </w:p>
        </w:tc>
        <w:tc>
          <w:tcPr>
            <w:tcW w:w="2409" w:type="dxa"/>
            <w:tcBorders>
              <w:left w:val="single" w:color="auto" w:sz="2" w:space="0"/>
              <w:bottom w:val="single" w:color="auto" w:sz="2" w:space="0"/>
              <w:right w:val="single" w:color="auto" w:sz="2" w:space="0"/>
            </w:tcBorders>
            <w:vAlign w:val="center"/>
          </w:tcPr>
          <w:p w14:paraId="3995ADE2">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其他违约责任</w:t>
            </w:r>
          </w:p>
        </w:tc>
        <w:tc>
          <w:tcPr>
            <w:tcW w:w="5239" w:type="dxa"/>
            <w:tcBorders>
              <w:left w:val="single" w:color="auto" w:sz="2" w:space="0"/>
              <w:bottom w:val="single" w:color="auto" w:sz="2" w:space="0"/>
            </w:tcBorders>
            <w:vAlign w:val="center"/>
          </w:tcPr>
          <w:p w14:paraId="3E3C925D">
            <w:pPr>
              <w:adjustRightInd w:val="0"/>
              <w:snapToGrid w:val="0"/>
              <w:spacing w:line="440" w:lineRule="exact"/>
              <w:jc w:val="left"/>
              <w:rPr>
                <w:rFonts w:hint="eastAsia" w:ascii="宋体" w:hAnsi="宋体"/>
                <w:color w:val="auto"/>
                <w:szCs w:val="21"/>
                <w:highlight w:val="none"/>
                <w:u w:val="single"/>
              </w:rPr>
            </w:pPr>
            <w:r>
              <w:rPr>
                <w:rFonts w:ascii="宋体" w:hAnsi="宋体"/>
                <w:color w:val="auto"/>
                <w:szCs w:val="21"/>
                <w:highlight w:val="none"/>
              </w:rPr>
              <w:t>供应商存在提供虚假材料、假冒伪劣产品、侵权产品等严重违约行为，采购人直接解除合同、没收履约保证金，并上报政府采购监管部门列入不良行为记录。</w:t>
            </w:r>
          </w:p>
        </w:tc>
      </w:tr>
      <w:tr w14:paraId="7148FD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4" w:hRule="atLeast"/>
        </w:trPr>
        <w:tc>
          <w:tcPr>
            <w:tcW w:w="1711" w:type="dxa"/>
            <w:tcBorders>
              <w:top w:val="single" w:color="auto" w:sz="2" w:space="0"/>
              <w:right w:val="single" w:color="auto" w:sz="2" w:space="0"/>
            </w:tcBorders>
            <w:vAlign w:val="center"/>
          </w:tcPr>
          <w:p w14:paraId="726D2304">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FE54C28">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第19.2款</w:t>
            </w:r>
          </w:p>
        </w:tc>
        <w:tc>
          <w:tcPr>
            <w:tcW w:w="2409" w:type="dxa"/>
            <w:tcBorders>
              <w:top w:val="single" w:color="auto" w:sz="2" w:space="0"/>
              <w:left w:val="single" w:color="auto" w:sz="2" w:space="0"/>
              <w:right w:val="single" w:color="auto" w:sz="2" w:space="0"/>
            </w:tcBorders>
            <w:vAlign w:val="center"/>
          </w:tcPr>
          <w:p w14:paraId="7AA79689">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解决争议的方法</w:t>
            </w:r>
          </w:p>
        </w:tc>
        <w:tc>
          <w:tcPr>
            <w:tcW w:w="5239" w:type="dxa"/>
            <w:tcBorders>
              <w:top w:val="single" w:color="auto" w:sz="2" w:space="0"/>
              <w:left w:val="single" w:color="auto" w:sz="2" w:space="0"/>
            </w:tcBorders>
            <w:vAlign w:val="center"/>
          </w:tcPr>
          <w:p w14:paraId="0A46F737">
            <w:pPr>
              <w:autoSpaceDE w:val="0"/>
              <w:autoSpaceDN w:val="0"/>
              <w:adjustRightInd w:val="0"/>
              <w:snapToGrid w:val="0"/>
              <w:spacing w:line="440" w:lineRule="exact"/>
              <w:jc w:val="left"/>
              <w:rPr>
                <w:rFonts w:hint="eastAsia"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w:t>
            </w:r>
            <w:r>
              <w:rPr>
                <w:rFonts w:hint="eastAsia" w:ascii="宋体" w:hAnsi="宋体" w:cs="宋体"/>
                <w:iCs/>
                <w:color w:val="auto"/>
                <w:szCs w:val="21"/>
                <w:highlight w:val="none"/>
                <w:u w:val="single"/>
              </w:rPr>
              <w:t xml:space="preserve"> 2 </w:t>
            </w:r>
            <w:r>
              <w:rPr>
                <w:rFonts w:hint="eastAsia" w:ascii="宋体" w:hAnsi="宋体" w:cs="宋体"/>
                <w:iCs/>
                <w:color w:val="auto"/>
                <w:szCs w:val="21"/>
                <w:highlight w:val="none"/>
              </w:rPr>
              <w:t>种方式解决：</w:t>
            </w:r>
          </w:p>
          <w:p w14:paraId="5F86ACC1">
            <w:pPr>
              <w:autoSpaceDE w:val="0"/>
              <w:autoSpaceDN w:val="0"/>
              <w:adjustRightInd w:val="0"/>
              <w:snapToGrid w:val="0"/>
              <w:spacing w:line="440" w:lineRule="exact"/>
              <w:jc w:val="left"/>
              <w:rPr>
                <w:rFonts w:hint="eastAsia" w:ascii="宋体" w:hAnsi="宋体" w:cs="宋体"/>
                <w:iCs/>
                <w:color w:val="auto"/>
                <w:szCs w:val="21"/>
                <w:highlight w:val="none"/>
              </w:rPr>
            </w:pPr>
            <w:r>
              <w:rPr>
                <w:rFonts w:hint="eastAsia" w:ascii="宋体" w:hAnsi="宋体" w:cs="宋体"/>
                <w:iCs/>
                <w:color w:val="auto"/>
                <w:szCs w:val="21"/>
                <w:highlight w:val="none"/>
              </w:rPr>
              <w:t>（1）向</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仲裁委员会申请仲裁，仲裁地点为</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w:t>
            </w:r>
          </w:p>
          <w:p w14:paraId="4C9E55A8">
            <w:pPr>
              <w:adjustRightInd w:val="0"/>
              <w:snapToGrid w:val="0"/>
              <w:spacing w:line="440" w:lineRule="exact"/>
              <w:jc w:val="left"/>
              <w:rPr>
                <w:rFonts w:hint="eastAsia" w:ascii="宋体" w:hAnsi="宋体"/>
                <w:color w:val="auto"/>
                <w:szCs w:val="21"/>
                <w:highlight w:val="none"/>
                <w:u w:val="single"/>
              </w:rPr>
            </w:pPr>
            <w:r>
              <w:rPr>
                <w:rFonts w:hint="eastAsia" w:ascii="宋体" w:hAnsi="宋体" w:cs="宋体"/>
                <w:iCs/>
                <w:color w:val="auto"/>
                <w:szCs w:val="21"/>
                <w:highlight w:val="none"/>
              </w:rPr>
              <w:t>（2）向</w:t>
            </w:r>
            <w:r>
              <w:rPr>
                <w:rFonts w:hint="eastAsia" w:ascii="宋体" w:hAnsi="宋体" w:cs="宋体"/>
                <w:iCs/>
                <w:color w:val="auto"/>
                <w:szCs w:val="21"/>
                <w:highlight w:val="none"/>
                <w:u w:val="single"/>
              </w:rPr>
              <w:t xml:space="preserve">  项目所在地  </w:t>
            </w:r>
            <w:r>
              <w:rPr>
                <w:rFonts w:hint="eastAsia" w:ascii="宋体" w:hAnsi="宋体" w:cs="宋体"/>
                <w:iCs/>
                <w:color w:val="auto"/>
                <w:szCs w:val="21"/>
                <w:highlight w:val="none"/>
              </w:rPr>
              <w:t>人民法院起诉。</w:t>
            </w:r>
          </w:p>
        </w:tc>
      </w:tr>
      <w:tr w14:paraId="24608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1711" w:type="dxa"/>
            <w:vAlign w:val="center"/>
          </w:tcPr>
          <w:p w14:paraId="182A42B3">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84D8AB2">
            <w:pPr>
              <w:adjustRightInd w:val="0"/>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第23.1款</w:t>
            </w:r>
          </w:p>
        </w:tc>
        <w:tc>
          <w:tcPr>
            <w:tcW w:w="2409" w:type="dxa"/>
            <w:vAlign w:val="center"/>
          </w:tcPr>
          <w:p w14:paraId="41CE94F2">
            <w:pPr>
              <w:adjustRightInd w:val="0"/>
              <w:snapToGrid w:val="0"/>
              <w:spacing w:line="440" w:lineRule="exact"/>
              <w:jc w:val="left"/>
              <w:rPr>
                <w:rFonts w:hint="eastAsia" w:ascii="宋体" w:hAnsi="宋体"/>
                <w:color w:val="auto"/>
                <w:szCs w:val="21"/>
                <w:highlight w:val="none"/>
              </w:rPr>
            </w:pPr>
            <w:r>
              <w:rPr>
                <w:rFonts w:hint="eastAsia" w:ascii="宋体" w:hAnsi="宋体"/>
                <w:bCs/>
                <w:color w:val="auto"/>
                <w:szCs w:val="21"/>
                <w:highlight w:val="none"/>
              </w:rPr>
              <w:t>其他专用条款</w:t>
            </w:r>
          </w:p>
        </w:tc>
        <w:tc>
          <w:tcPr>
            <w:tcW w:w="5239" w:type="dxa"/>
            <w:vAlign w:val="center"/>
          </w:tcPr>
          <w:p w14:paraId="2D34F04A">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1）成交供应商须落实中小企业预留、价格扣除、节能、环保、强制采购等政府采购政策，所供产品须符合国家相关政策要求，未达标视为违约。</w:t>
            </w:r>
          </w:p>
          <w:p w14:paraId="62F321B2">
            <w:pPr>
              <w:adjustRightInd w:val="0"/>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按相关法律法规及合同双方协商拟定</w:t>
            </w:r>
            <w:r>
              <w:rPr>
                <w:rFonts w:hint="eastAsia" w:ascii="宋体" w:hAnsi="宋体"/>
                <w:color w:val="auto"/>
                <w:szCs w:val="21"/>
                <w:highlight w:val="none"/>
              </w:rPr>
              <w:t>。</w:t>
            </w:r>
          </w:p>
        </w:tc>
      </w:tr>
    </w:tbl>
    <w:p w14:paraId="267C33B5">
      <w:pPr>
        <w:rPr>
          <w:color w:val="auto"/>
          <w:highlight w:val="none"/>
        </w:rPr>
      </w:pPr>
    </w:p>
    <w:p w14:paraId="05D879DA">
      <w:pPr>
        <w:pStyle w:val="2"/>
        <w:rPr>
          <w:rFonts w:hint="eastAsia" w:ascii="宋体" w:hAnsi="宋体" w:cs="Courier New"/>
          <w:color w:val="auto"/>
          <w:sz w:val="52"/>
          <w:szCs w:val="30"/>
          <w:highlight w:val="none"/>
        </w:rPr>
        <w:sectPr>
          <w:footerReference r:id="rId11" w:type="default"/>
          <w:pgSz w:w="11906" w:h="16838"/>
          <w:pgMar w:top="1134" w:right="1134" w:bottom="1134" w:left="1418" w:header="851" w:footer="992" w:gutter="0"/>
          <w:cols w:space="720" w:num="1"/>
          <w:docGrid w:linePitch="312" w:charSpace="0"/>
        </w:sectPr>
      </w:pPr>
    </w:p>
    <w:p w14:paraId="5CC76487">
      <w:pPr>
        <w:rPr>
          <w:rFonts w:hint="eastAsia" w:ascii="黑体" w:hAnsi="华文中宋" w:eastAsia="黑体"/>
          <w:color w:val="auto"/>
          <w:sz w:val="36"/>
          <w:szCs w:val="36"/>
          <w:highlight w:val="none"/>
        </w:rPr>
      </w:pPr>
      <w:r>
        <w:rPr>
          <w:rFonts w:hint="eastAsia" w:ascii="黑体" w:hAnsi="华文中宋" w:eastAsia="黑体"/>
          <w:color w:val="auto"/>
          <w:sz w:val="36"/>
          <w:szCs w:val="36"/>
          <w:highlight w:val="none"/>
        </w:rPr>
        <w:br w:type="page"/>
      </w:r>
    </w:p>
    <w:p w14:paraId="6868820E">
      <w:pPr>
        <w:pStyle w:val="2"/>
        <w:rPr>
          <w:rFonts w:hint="eastAsia" w:ascii="黑体" w:hAnsi="宋体" w:eastAsia="黑体"/>
          <w:color w:val="auto"/>
          <w:sz w:val="32"/>
          <w:szCs w:val="32"/>
          <w:highlight w:val="none"/>
        </w:rPr>
      </w:pPr>
      <w:r>
        <w:rPr>
          <w:rFonts w:hint="eastAsia" w:ascii="黑体" w:hAnsi="华文中宋" w:eastAsia="黑体"/>
          <w:color w:val="auto"/>
          <w:sz w:val="36"/>
          <w:szCs w:val="36"/>
          <w:highlight w:val="none"/>
        </w:rPr>
        <w:t>第五章 采购需求</w:t>
      </w:r>
    </w:p>
    <w:p w14:paraId="0C524C53">
      <w:pPr>
        <w:pStyle w:val="222"/>
        <w:rPr>
          <w:color w:val="auto"/>
          <w:highlight w:val="none"/>
        </w:rPr>
      </w:pPr>
    </w:p>
    <w:p w14:paraId="4C46BB95">
      <w:pPr>
        <w:pStyle w:val="2"/>
        <w:rPr>
          <w:rFonts w:hint="eastAsia" w:ascii="宋体" w:hAnsi="宋体" w:cs="宋体"/>
          <w:color w:val="auto"/>
          <w:kern w:val="0"/>
          <w:sz w:val="36"/>
          <w:szCs w:val="36"/>
          <w:highlight w:val="none"/>
          <w:lang w:bidi="ar"/>
        </w:rPr>
      </w:pPr>
      <w:r>
        <w:rPr>
          <w:rFonts w:hint="eastAsia" w:ascii="宋体" w:hAnsi="宋体" w:cs="宋体"/>
          <w:color w:val="auto"/>
          <w:kern w:val="0"/>
          <w:sz w:val="36"/>
          <w:szCs w:val="36"/>
          <w:highlight w:val="none"/>
          <w:lang w:bidi="ar"/>
        </w:rPr>
        <w:t>第一节、技术要求</w:t>
      </w:r>
    </w:p>
    <w:tbl>
      <w:tblPr>
        <w:tblStyle w:val="42"/>
        <w:tblW w:w="9570" w:type="dxa"/>
        <w:jc w:val="center"/>
        <w:tblLayout w:type="autofit"/>
        <w:tblCellMar>
          <w:top w:w="0" w:type="dxa"/>
          <w:left w:w="108" w:type="dxa"/>
          <w:bottom w:w="0" w:type="dxa"/>
          <w:right w:w="108" w:type="dxa"/>
        </w:tblCellMar>
      </w:tblPr>
      <w:tblGrid>
        <w:gridCol w:w="839"/>
        <w:gridCol w:w="704"/>
        <w:gridCol w:w="6349"/>
        <w:gridCol w:w="839"/>
        <w:gridCol w:w="839"/>
      </w:tblGrid>
      <w:tr w14:paraId="7EB306A0">
        <w:tblPrEx>
          <w:tblCellMar>
            <w:top w:w="0" w:type="dxa"/>
            <w:left w:w="108" w:type="dxa"/>
            <w:bottom w:w="0" w:type="dxa"/>
            <w:right w:w="108" w:type="dxa"/>
          </w:tblCellMar>
        </w:tblPrEx>
        <w:trPr>
          <w:tblHeade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0971C25">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序号</w:t>
            </w:r>
          </w:p>
        </w:tc>
        <w:tc>
          <w:tcPr>
            <w:tcW w:w="0" w:type="auto"/>
            <w:tcBorders>
              <w:top w:val="single" w:color="000000" w:sz="4" w:space="0"/>
              <w:left w:val="nil"/>
              <w:bottom w:val="single" w:color="000000" w:sz="4" w:space="0"/>
              <w:right w:val="single" w:color="000000" w:sz="4" w:space="0"/>
            </w:tcBorders>
            <w:vAlign w:val="center"/>
          </w:tcPr>
          <w:p w14:paraId="501F8930">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产品名称</w:t>
            </w:r>
          </w:p>
        </w:tc>
        <w:tc>
          <w:tcPr>
            <w:tcW w:w="6350" w:type="dxa"/>
            <w:tcBorders>
              <w:top w:val="single" w:color="000000" w:sz="4" w:space="0"/>
              <w:left w:val="single" w:color="000000" w:sz="4" w:space="0"/>
              <w:bottom w:val="single" w:color="000000" w:sz="4" w:space="0"/>
              <w:right w:val="single" w:color="000000" w:sz="4" w:space="0"/>
            </w:tcBorders>
            <w:vAlign w:val="center"/>
          </w:tcPr>
          <w:p w14:paraId="64DED6CB">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产品参数</w:t>
            </w:r>
          </w:p>
        </w:tc>
        <w:tc>
          <w:tcPr>
            <w:tcW w:w="839" w:type="dxa"/>
            <w:tcBorders>
              <w:top w:val="single" w:color="000000" w:sz="4" w:space="0"/>
              <w:left w:val="single" w:color="000000" w:sz="4" w:space="0"/>
              <w:bottom w:val="single" w:color="000000" w:sz="4" w:space="0"/>
              <w:right w:val="single" w:color="000000" w:sz="4" w:space="0"/>
            </w:tcBorders>
            <w:vAlign w:val="center"/>
          </w:tcPr>
          <w:p w14:paraId="53E31A36">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数量</w:t>
            </w:r>
          </w:p>
        </w:tc>
        <w:tc>
          <w:tcPr>
            <w:tcW w:w="839" w:type="dxa"/>
            <w:tcBorders>
              <w:top w:val="single" w:color="000000" w:sz="4" w:space="0"/>
              <w:left w:val="single" w:color="000000" w:sz="4" w:space="0"/>
              <w:bottom w:val="single" w:color="000000" w:sz="4" w:space="0"/>
              <w:right w:val="single" w:color="000000" w:sz="4" w:space="0"/>
            </w:tcBorders>
            <w:vAlign w:val="center"/>
          </w:tcPr>
          <w:p w14:paraId="4A717C1B">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单位</w:t>
            </w:r>
          </w:p>
        </w:tc>
      </w:tr>
      <w:tr w14:paraId="6ED55B71">
        <w:tblPrEx>
          <w:tblCellMar>
            <w:top w:w="0" w:type="dxa"/>
            <w:left w:w="108" w:type="dxa"/>
            <w:bottom w:w="0" w:type="dxa"/>
            <w:right w:w="108" w:type="dxa"/>
          </w:tblCellMar>
        </w:tblPrEx>
        <w:trPr>
          <w:trHeight w:val="312" w:hRule="atLeast"/>
          <w:jc w:val="center"/>
        </w:trPr>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35121AC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0" w:type="auto"/>
            <w:vMerge w:val="restart"/>
            <w:tcBorders>
              <w:top w:val="single" w:color="000000" w:sz="4" w:space="0"/>
              <w:left w:val="nil"/>
              <w:bottom w:val="single" w:color="000000" w:sz="4" w:space="0"/>
              <w:right w:val="single" w:color="000000" w:sz="4" w:space="0"/>
            </w:tcBorders>
            <w:vAlign w:val="center"/>
          </w:tcPr>
          <w:p w14:paraId="1299A7C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育种加速仓</w:t>
            </w:r>
          </w:p>
        </w:tc>
        <w:tc>
          <w:tcPr>
            <w:tcW w:w="6350" w:type="dxa"/>
            <w:vMerge w:val="restart"/>
            <w:tcBorders>
              <w:top w:val="single" w:color="000000" w:sz="4" w:space="0"/>
              <w:left w:val="single" w:color="000000" w:sz="4" w:space="0"/>
              <w:bottom w:val="single" w:color="000000" w:sz="4" w:space="0"/>
              <w:right w:val="single" w:color="000000" w:sz="4" w:space="0"/>
            </w:tcBorders>
            <w:vAlign w:val="center"/>
          </w:tcPr>
          <w:p w14:paraId="2BC51C5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功能参数要求：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箱体工艺及结构要求：外箱表面静电喷塑，箱体中间隔热采用环戊烷硬质聚氨酯发泡材质，保温性能好；内胆采用镜面不锈钢材质，四周大圆角，以防实验中金属锋利受伤。内置6mm厚度全景式钢化玻璃内门，可在不打开内门情况下对培养箱内的实验样本全景观察，减少开门导致的箱体内温、湿度变化对实验样本的影响，方便观察实验情况；当玻璃门开启时，箱体内风机智能联动停止运行，减少开门对箱体内温度造成的影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交互系统要求：≥7寸全彩全视角液晶触摸显示屏，屏幕分辨率≥1024*600，支持多点触摸。界面同屏显示：循环次数，当前时段，总剩余时间，距下一时段，程序详情，报警提醒，温度，湿度，光照，风速；控制界面：开锁，报警声，灭菌等操作。</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设置控制要求：用户可以在显示屏上设置程序名称、循环次数、时段数量、每个时段温度值、湿度值、光照值、时段时长、新建实验程序、增加程序、填写操作员信息、实验类型、备注信息、程序界面锁定、锁定密码、报警上下限值、修改当前运行时段的时间的移时设置、电磁锁启用、灭菌等操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网架支撑系统与光照系统：（1）可根据植物在不同阶段的生长高度，可任意调整网架（抽拉式结构）及LED灯板的高度（采用防水快接头设计）；（2）可实现光照强度0~70,000lux，0~100%无级调节，满足高光照植物或植物全生育期培养、植物快速育种需求，适用于多种应用场景。程序及时段要求：可自动预设和存储30个不同实验程序；每个程序时段可设1～99段，每段程序时间段：1小时00分钟～99小时59分钟，循环次数：1～99或者无限循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5.化霜功能要求：热气旁通化霜方式，按需化霜，避免化霜过程对箱体内温度造成影响。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6.电磁锁功能要求：标配电磁锁设计，用户可以根据需求设置密码，输入密码后才打开培养箱外门，满足保护实验样本需求。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7.背出风系统：采用箱体背部大面积矩阵网孔出风结构设计，以实现可水平气流的平稳前送，出风柔和均匀，确保箱体内部温度、湿度、风速均匀分布，保证实验样本放置的层与层之间的温湿度保持一致。</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8.屏幕锁功能要求：标配屏幕锁设计，用户可以将屏幕锁定，输入密码后才可以操作屏幕，防止其他人操作仪器，影响用户实验。</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9.箱体灭菌功能要求：箱体内集成了紫外线灭菌线灯，可对箱体进行杀菌消毒，灭菌时间可通过屏幕设置进行选择自动进行，时间到时后灭菌完成；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内置一体化加湿结构，采用‌内循环通路设计，有效‌减少需水量和整机功耗。‌内置304不锈钢水箱，‌外接自动供水装置或≥20L专用储水箱，实现自动化补水与长时间连续运行。‌‌超声加湿头防水标准：≥IP68。</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内部循环风系统设计，集成风速调控功能，通过直观的‌触摸屏界面或远程web平台，用户便捷设置并实时显示箱内循环风的风速值。‌支持风速的分档调节，支持不同程序段分别设定不同的风速值。‌客户可根据植物不同生长阶段调整风速。</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12.箱体自带新风系统，可‌实现内外气体的持续性对流交换。用户可手动打开或关闭新风口，并可通过旋转机械结构调节进出风口大小来调节新风换气量，‌以满足植物生长需求。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13.网架支撑系统与光照系统，可根据植物在不同阶段的生长高度，可任意调整网架（抽拉式结构）及LED灯板的高度（采用防水快接头设计），适用于多种实验应用场景。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安全保护要求：电源采用了空气开关，确保设备发生短路或者严重过载时切断故障电路，确保设备安全，加热器采用硅胶防水样式；具有软、硬件高温保护功能，高温时自动切断加热丝加热，保护设备和实验样本安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15.异常报警功能要求：超温和超湿报警、传感器异常报警、开门未关报警等，通过设备发出声光报警信号，也可通过平台或者手机远程查看报警信息，报警信息可以实时推送到微信公众号，避免错失报警信息；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16.掉电记忆功能要求：设备出现异常断电后再次通电，可自动恢复上次运行程序，避免意外情况导致的实验异常；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17.历史报警记录展示要求：可查看培养箱运行过程产生的报警记录，报警记录可以根据选择时间段进行查看。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实时显示参数要求：同一屏幕显示多种设置及运行参数，包括：循环次数、当前时段、总剩余时间、距下一时段时间、程序详情、报警提醒、温度、湿度、光照的设定值、当前值以及当前箱体工作状态（制冷、加热、加湿、除湿、光照级别等）显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历史数据展示要求：有数据列表展示及温湿度实时曲线展示模式，用户可在此界面中查看、删除、导出实验数据记录，也可选择时间段查询。用户可在此界面中查看温度设定值、温度实时值、湿度设定值、湿度实时值的曲线图，可快速掌握实验数据趋势变化。可PC的Web端、微信等多平台实时查看运行情况以及历史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实验数据管理要求：每次实验均会自动生成实验号（含实验程序设置情况、操作员信息、实验类型、备注信息等），可生成的唯一二维码，通过实验号可以查看对应的实验数据并可微信实验绑定，实时查看实验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21.数据查看及导出要求：以上数据均可由U盘从设备中导出；可通过微信查看数据：培养箱程序运行时，可通过微信扫描二维码实时获取实验运行数据。可进行分析和溯源。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光照系统要求：采用≥两层顶置光源照明方式，向光性植物长势更均匀。全光谱灯板照明光源，内置四色LED光源，波段包含白光400-700nm、红光波长660nm、蓝光波长450nm、红外光波长730nm，可独立调节每种颜色LED光源的光强，获得不同的光谱组合（≥1000种）；满足植物不同阶段对光的需求。光照强度支持无极调光。</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远程控制设备要求：带管理云平台，无论身在何处，可随时随地通过登录PC端、Web端、手机微信端实时查看设备运行情况，并根据需要进行远程控制设备的运行操作，操作包括：对设备远程开启程序运行、对运行中的程序进行停止、时段切换、移时等操作，远程新建、编辑、删除实验程序，平台端的实验程序与设备端会自动同步，实现对设备的远程控制。异常信息可推送至手机微信及时提醒，保证实验的顺利进行；软件支持远程在线升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24.OTA自动升级功能要求：利用有线网络、Wi-Fi等通信技术，实现设备自动从远程服务器获取和更新应用。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25.★手机App种子发芽率自动识别功能要求：可通过图像识别，专用培养装置内直接分析种子数量、发芽数，并对发芽情况进行精准标记，可与气象、墒情数据在同平台上查看。</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技术参数要求：1.箱体容积：≥1000L；2.控温范围：0～65℃；3.温度分辨率：0.1℃；4.温度波动度：±0.3℃(箱体运行温度25.0℃湿度50%RH时测试数据)；5.控湿范围：50～95%RH；6.湿度偏差：±3%RH（箱体运行温度25.0℃湿度50%RH时测试数据）；7.光照范围：0-70,000lx（距灯板15CM垂直距离）；8.光照等级：0～100%；9.灭菌方式：紫外线灭菌；10.外部接口：CO₂进气口*1个；USB接口*1个；新风口*2个；网线接口*1个；11.工作方式：连续运行（压缩机间歇工作）；12.电源：AC220V/50Hz，16A。</w:t>
            </w:r>
          </w:p>
        </w:tc>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43DDC45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2DC161E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6FC45D2">
        <w:tblPrEx>
          <w:tblCellMar>
            <w:top w:w="0" w:type="dxa"/>
            <w:left w:w="108" w:type="dxa"/>
            <w:bottom w:w="0" w:type="dxa"/>
            <w:right w:w="108" w:type="dxa"/>
          </w:tblCellMar>
        </w:tblPrEx>
        <w:trPr>
          <w:trHeight w:val="312" w:hRule="atLeast"/>
          <w:jc w:val="center"/>
        </w:trPr>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0A21E24F">
            <w:pPr>
              <w:snapToGrid w:val="0"/>
              <w:jc w:val="center"/>
              <w:rPr>
                <w:rFonts w:hint="eastAsia" w:ascii="宋体" w:hAnsi="宋体" w:cs="宋体"/>
                <w:color w:val="auto"/>
                <w:sz w:val="20"/>
                <w:szCs w:val="20"/>
                <w:highlight w:val="none"/>
              </w:rPr>
            </w:pPr>
          </w:p>
        </w:tc>
        <w:tc>
          <w:tcPr>
            <w:tcW w:w="0" w:type="auto"/>
            <w:vMerge w:val="continue"/>
            <w:tcBorders>
              <w:top w:val="single" w:color="000000" w:sz="4" w:space="0"/>
              <w:left w:val="nil"/>
              <w:bottom w:val="single" w:color="000000" w:sz="4" w:space="0"/>
              <w:right w:val="single" w:color="000000" w:sz="4" w:space="0"/>
            </w:tcBorders>
            <w:vAlign w:val="center"/>
          </w:tcPr>
          <w:p w14:paraId="50F3A5AC">
            <w:pPr>
              <w:snapToGrid w:val="0"/>
              <w:jc w:val="center"/>
              <w:rPr>
                <w:rFonts w:hint="eastAsia" w:ascii="宋体" w:hAnsi="宋体" w:cs="宋体"/>
                <w:color w:val="auto"/>
                <w:sz w:val="20"/>
                <w:szCs w:val="20"/>
                <w:highlight w:val="none"/>
              </w:rPr>
            </w:pPr>
          </w:p>
        </w:tc>
        <w:tc>
          <w:tcPr>
            <w:tcW w:w="6350" w:type="dxa"/>
            <w:vMerge w:val="continue"/>
            <w:tcBorders>
              <w:top w:val="single" w:color="000000" w:sz="4" w:space="0"/>
              <w:left w:val="single" w:color="000000" w:sz="4" w:space="0"/>
              <w:bottom w:val="single" w:color="000000" w:sz="4" w:space="0"/>
              <w:right w:val="single" w:color="000000" w:sz="4" w:space="0"/>
            </w:tcBorders>
            <w:vAlign w:val="center"/>
          </w:tcPr>
          <w:p w14:paraId="2E27A16F">
            <w:pPr>
              <w:snapToGrid w:val="0"/>
              <w:jc w:val="left"/>
              <w:rPr>
                <w:rFonts w:hint="eastAsia" w:ascii="宋体" w:hAnsi="宋体" w:cs="宋体"/>
                <w:color w:val="auto"/>
                <w:sz w:val="20"/>
                <w:szCs w:val="20"/>
                <w:highlight w:val="none"/>
              </w:rPr>
            </w:pPr>
          </w:p>
        </w:tc>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4168F305">
            <w:pPr>
              <w:snapToGrid w:val="0"/>
              <w:jc w:val="center"/>
              <w:rPr>
                <w:rFonts w:hint="eastAsia" w:ascii="宋体" w:hAnsi="宋体" w:cs="宋体"/>
                <w:color w:val="auto"/>
                <w:sz w:val="20"/>
                <w:szCs w:val="20"/>
                <w:highlight w:val="none"/>
              </w:rPr>
            </w:pPr>
          </w:p>
        </w:tc>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723FDC88">
            <w:pPr>
              <w:snapToGrid w:val="0"/>
              <w:jc w:val="center"/>
              <w:rPr>
                <w:rFonts w:hint="eastAsia" w:ascii="宋体" w:hAnsi="宋体" w:cs="宋体"/>
                <w:color w:val="auto"/>
                <w:sz w:val="20"/>
                <w:szCs w:val="20"/>
                <w:highlight w:val="none"/>
              </w:rPr>
            </w:pPr>
          </w:p>
        </w:tc>
      </w:tr>
      <w:tr w14:paraId="53898F5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70F38D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0" w:type="auto"/>
            <w:tcBorders>
              <w:top w:val="single" w:color="000000" w:sz="4" w:space="0"/>
              <w:left w:val="nil"/>
              <w:bottom w:val="single" w:color="000000" w:sz="4" w:space="0"/>
              <w:right w:val="single" w:color="000000" w:sz="4" w:space="0"/>
            </w:tcBorders>
            <w:vAlign w:val="center"/>
          </w:tcPr>
          <w:p w14:paraId="4E05839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谷物水分仪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4496747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其他分析仪器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1.自动称重；自动温度补偿；自动测量水分；自动关机。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2.空机修正水分；最新补偿模式；交直流两用。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3.用户可自行定标和修正误差。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技术参数：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测量对象：稻谷、大豆、小麦、油菜籽、玉米、大麦等非金属颗粒状物质。2.测量误差：≤±0.5％（主要水分范围）。3.重复误差：≤0.2％。4.测量范围：3~35％。5.测量时间：≤10s。6.取样方式：定重150g（特殊样品除外）过3分钟未操作，将自动关机。7.使用环境温度：0~40℃ 。8.温度补偿：自动。9.定标：浮动三点定标，品种不限。10.工作电源：5号干电池四节。</w:t>
            </w:r>
          </w:p>
        </w:tc>
        <w:tc>
          <w:tcPr>
            <w:tcW w:w="839" w:type="dxa"/>
            <w:tcBorders>
              <w:top w:val="single" w:color="000000" w:sz="4" w:space="0"/>
              <w:left w:val="single" w:color="000000" w:sz="4" w:space="0"/>
              <w:bottom w:val="single" w:color="000000" w:sz="4" w:space="0"/>
              <w:right w:val="single" w:color="000000" w:sz="4" w:space="0"/>
            </w:tcBorders>
            <w:vAlign w:val="center"/>
          </w:tcPr>
          <w:p w14:paraId="5AFE40E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70C078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CCBE9F4">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F4C2F5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0" w:type="auto"/>
            <w:tcBorders>
              <w:top w:val="single" w:color="000000" w:sz="4" w:space="0"/>
              <w:left w:val="nil"/>
              <w:bottom w:val="single" w:color="000000" w:sz="4" w:space="0"/>
              <w:right w:val="single" w:color="000000" w:sz="4" w:space="0"/>
            </w:tcBorders>
            <w:vAlign w:val="center"/>
          </w:tcPr>
          <w:p w14:paraId="08C1857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电子自动数粒仪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032AAE35">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其他分析仪器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不小于7寸的彩色触摸屏，智能化动感画面，可通过触摸屏进行调控。2.★显示屏可直观窗口实时信息展示：品种名称、设定粒数值、当前数粒数、计数模式、灵敏度、数粒时间、日期、北京时间、仪器工作状态等数字和图形信息。</w:t>
            </w:r>
            <w:r>
              <w:rPr>
                <w:rFonts w:ascii="宋体" w:hAnsi="宋体" w:cs="宋体"/>
                <w:color w:val="auto"/>
                <w:kern w:val="0"/>
                <w:sz w:val="20"/>
                <w:szCs w:val="20"/>
                <w:highlight w:val="none"/>
                <w:lang w:bidi="ar"/>
              </w:rPr>
              <w:t>（提供产品说明书</w:t>
            </w:r>
            <w:r>
              <w:rPr>
                <w:rFonts w:hint="eastAsia" w:ascii="宋体" w:hAnsi="宋体" w:cs="宋体"/>
                <w:color w:val="auto"/>
                <w:kern w:val="0"/>
                <w:sz w:val="20"/>
                <w:szCs w:val="20"/>
                <w:highlight w:val="none"/>
                <w:lang w:val="en-US" w:eastAsia="zh-CN" w:bidi="ar"/>
              </w:rPr>
              <w:t>或技术白皮书或产品彩页，</w:t>
            </w:r>
            <w:r>
              <w:rPr>
                <w:rFonts w:ascii="宋体" w:hAnsi="宋体" w:cs="宋体"/>
                <w:color w:val="auto"/>
                <w:kern w:val="0"/>
                <w:sz w:val="20"/>
                <w:szCs w:val="20"/>
                <w:highlight w:val="none"/>
                <w:lang w:bidi="ar"/>
              </w:rPr>
              <w:t>加盖供应商公章）</w:t>
            </w:r>
          </w:p>
          <w:p w14:paraId="1769D7A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3.预值数粒、计数自停：预值设置数值，当数粒达到所设粒数时，数粒仪自动停止数粒。</w:t>
            </w:r>
          </w:p>
          <w:p w14:paraId="52832EE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4.关联程序设置：品种类型和灵敏度、速度、减速粒数相关联，方便进行参数设置。</w:t>
            </w:r>
          </w:p>
          <w:p w14:paraId="0DAB7A30">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5.内置不小于6类种子类型（大粒长种子、大粒圆种子、中粒长种子、中粒圆种子、小粒长种子、小粒圆种子）。</w:t>
            </w:r>
          </w:p>
          <w:p w14:paraId="067B393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6.具备灵敏度调节功能：可根据种子类型选择并设置相应的灵敏度、速度和减速粒数，实现只对所选量级的颗粒计数，避免杂质等干扰，使数粒更精准。</w:t>
            </w:r>
          </w:p>
          <w:p w14:paraId="404F9CA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7.速度可调：具有无极调速功能，数粒速度快慢可调，数粒过程中也可随时无级调速。</w:t>
            </w:r>
          </w:p>
          <w:p w14:paraId="493A3F3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8.模式切换功能：具有速度优先和精度优先可选功能。速度优先（数粒速度更快）和精度优先（数粒数量更精准）两种模式可进行自由切换，满足客户不同需求。</w:t>
            </w:r>
          </w:p>
          <w:p w14:paraId="5A97D47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9.保护设置功能：产品可进行保护设置，自动检测无种子5min后，振动盘将保护性停止工作。</w:t>
            </w:r>
          </w:p>
          <w:p w14:paraId="0DBE5E2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10.内置减速程序：在接近设定种子数量后会自动进行减速精数，防止物料惯性过冲，影响精度。</w:t>
            </w:r>
          </w:p>
          <w:p w14:paraId="5B2FBDB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11.蜂鸣报警：增加蜂鸣器声光报警，在数粒完成、设置错误、故障、保护性停止工作时都会有报警声音，增强用户的体验感和使用感。</w:t>
            </w:r>
          </w:p>
          <w:p w14:paraId="518EC9E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12.数据存储：主机可存储不小于10万条数据，并可导出至U盘中。</w:t>
            </w:r>
          </w:p>
          <w:p w14:paraId="6DE3D53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13.数据管理和查询：用户所测数据可进行自动记录和保存（品种名称、测量粒数、测试时间等），方便对数据进行管理；可实时查询历史数据，输入开始和起止时间可进行数据搜索、查询。</w:t>
            </w:r>
          </w:p>
          <w:p w14:paraId="5877915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14.蜂鸣报警：增加蜂鸣器声光报警，在数粒完成、设置错误、故障、保护性停止工作时都会有报警声音。</w:t>
            </w:r>
          </w:p>
          <w:p w14:paraId="7E0ED7D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15.数据导出：支持U盘对数据进行Excel导出,数据可上传至仪器云平台，可通过USB口在线进行内部程序升级。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1.颗粒适用范围长度：1-23mm。2.计数误差：±2‰。3.计数速度：≥1000粒/3分钟（以芝麻为例）。4.震动噪音：≤80dB。5.计数容量：1～99999粒。6.连续工作时间：≥8小时。</w:t>
            </w:r>
          </w:p>
        </w:tc>
        <w:tc>
          <w:tcPr>
            <w:tcW w:w="839" w:type="dxa"/>
            <w:tcBorders>
              <w:top w:val="single" w:color="000000" w:sz="4" w:space="0"/>
              <w:left w:val="single" w:color="000000" w:sz="4" w:space="0"/>
              <w:bottom w:val="single" w:color="000000" w:sz="4" w:space="0"/>
              <w:right w:val="single" w:color="000000" w:sz="4" w:space="0"/>
            </w:tcBorders>
            <w:vAlign w:val="center"/>
          </w:tcPr>
          <w:p w14:paraId="1A7A75B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6703EDE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4D65005">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5DB005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0" w:type="auto"/>
            <w:tcBorders>
              <w:top w:val="single" w:color="000000" w:sz="4" w:space="0"/>
              <w:left w:val="nil"/>
              <w:bottom w:val="single" w:color="000000" w:sz="4" w:space="0"/>
              <w:right w:val="single" w:color="000000" w:sz="4" w:space="0"/>
            </w:tcBorders>
            <w:vAlign w:val="center"/>
          </w:tcPr>
          <w:p w14:paraId="4DA90D7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数据采集仪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6976F58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1.作物表型数据采集仪主要用于测量作物植株表型性状数据，包含角度测量、长度测量、粗度测量、叶面积测量等功能。</w:t>
            </w:r>
          </w:p>
          <w:p w14:paraId="13B6580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2.超轻便设计：单人可操作使用。</w:t>
            </w:r>
          </w:p>
          <w:p w14:paraId="555C7E9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3.多功能模式组合：长度、宽度、角度、粗度模式组合，功能强大。</w:t>
            </w:r>
          </w:p>
          <w:p w14:paraId="5870D2C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4.功能模式切换自如：7个功能模式可自由切换。</w:t>
            </w:r>
          </w:p>
          <w:p w14:paraId="7B52DC0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5.分批次分组测量：可根据种植小区行号分批次进行测量。</w:t>
            </w:r>
          </w:p>
          <w:p w14:paraId="34D0F50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6.数据记录：自动记录测量数据，提高工作效率，测量精确度高。</w:t>
            </w:r>
          </w:p>
          <w:p w14:paraId="4F54F5C5">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7.数据导出：测量数据可通过U盘导出，无需再手工输入。</w:t>
            </w:r>
          </w:p>
          <w:p w14:paraId="0965537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8.测量参数：叶（叶长、叶宽）；茎（茎长、节长、节粗）； 穗（雄穗长、果穗长、果穗粗、秃尖）；根（根长）；果实直径等。</w:t>
            </w:r>
          </w:p>
          <w:p w14:paraId="0F3EFDD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9.角度：茎叶夹角、雄穗分枝角度、果穗倾角、剑叶夹角等。</w:t>
            </w:r>
          </w:p>
          <w:p w14:paraId="7E9C7771">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10.面积：玉米、小麦、水稻等作物叶面积等。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技术参数：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1.材质：ABS树脂。</w:t>
            </w:r>
          </w:p>
          <w:p w14:paraId="539F2A8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2.长度测量范围：0-120cm。</w:t>
            </w:r>
          </w:p>
          <w:p w14:paraId="1C3050D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3.角度测量范围：0°~±180°。</w:t>
            </w:r>
          </w:p>
          <w:p w14:paraId="049A3E5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4.长度分辨率：0.01cm。</w:t>
            </w:r>
          </w:p>
          <w:p w14:paraId="2C56819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5.长度精度：±0.5%。</w:t>
            </w:r>
          </w:p>
          <w:p w14:paraId="0DB5A27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6.角度分辨率：0.01°。</w:t>
            </w:r>
          </w:p>
          <w:p w14:paraId="0C25B22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7.角度精度：±1°。8.响应时间：＜1s。</w:t>
            </w:r>
          </w:p>
          <w:p w14:paraId="1D313C1F">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9.储存空间：一次可存储200组数据。</w:t>
            </w:r>
          </w:p>
          <w:p w14:paraId="04DC279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10.供电方式：5v充电锂电池。</w:t>
            </w:r>
          </w:p>
          <w:p w14:paraId="0CE7736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11.续航时间：设备持续工作可以使用3-4小时。</w:t>
            </w:r>
          </w:p>
        </w:tc>
        <w:tc>
          <w:tcPr>
            <w:tcW w:w="839" w:type="dxa"/>
            <w:tcBorders>
              <w:top w:val="single" w:color="000000" w:sz="4" w:space="0"/>
              <w:left w:val="single" w:color="000000" w:sz="4" w:space="0"/>
              <w:bottom w:val="single" w:color="000000" w:sz="4" w:space="0"/>
              <w:right w:val="single" w:color="000000" w:sz="4" w:space="0"/>
            </w:tcBorders>
            <w:vAlign w:val="center"/>
          </w:tcPr>
          <w:p w14:paraId="2643A61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0C48830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B34AD3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CC8B26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0" w:type="auto"/>
            <w:tcBorders>
              <w:top w:val="single" w:color="000000" w:sz="4" w:space="0"/>
              <w:left w:val="nil"/>
              <w:bottom w:val="single" w:color="000000" w:sz="4" w:space="0"/>
              <w:right w:val="single" w:color="000000" w:sz="4" w:space="0"/>
            </w:tcBorders>
            <w:vAlign w:val="center"/>
          </w:tcPr>
          <w:p w14:paraId="7A71B49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显微镜</w:t>
            </w:r>
          </w:p>
        </w:tc>
        <w:tc>
          <w:tcPr>
            <w:tcW w:w="6350" w:type="dxa"/>
            <w:tcBorders>
              <w:top w:val="single" w:color="000000" w:sz="4" w:space="0"/>
              <w:left w:val="single" w:color="000000" w:sz="4" w:space="0"/>
              <w:bottom w:val="single" w:color="000000" w:sz="4" w:space="0"/>
              <w:right w:val="single" w:color="000000" w:sz="4" w:space="0"/>
            </w:tcBorders>
            <w:vAlign w:val="center"/>
          </w:tcPr>
          <w:p w14:paraId="77292EF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显微镜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1.带IPS液晶显示屏，不小于7英寸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2.放大倍数：最大2400X</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3.拍照：2.0M 1920×1080px</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4.支持FHD录像功能，分辨率不低于1920×1080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5.支持数码放大功能，2X，可分20档位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6.转换器：3孔外倾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7.载物台：双层移动平台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8.自带充电电池，电池容量不低于2000mAh</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9.支持手机APP连接功能，可通过手机APP控制显微镜进行拍照、录像</w:t>
            </w:r>
          </w:p>
        </w:tc>
        <w:tc>
          <w:tcPr>
            <w:tcW w:w="839" w:type="dxa"/>
            <w:tcBorders>
              <w:top w:val="single" w:color="000000" w:sz="4" w:space="0"/>
              <w:left w:val="single" w:color="000000" w:sz="4" w:space="0"/>
              <w:bottom w:val="single" w:color="000000" w:sz="4" w:space="0"/>
              <w:right w:val="single" w:color="000000" w:sz="4" w:space="0"/>
            </w:tcBorders>
            <w:vAlign w:val="center"/>
          </w:tcPr>
          <w:p w14:paraId="01FC73C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4CF196D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8F76F8C">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nil"/>
              <w:right w:val="single" w:color="000000" w:sz="4" w:space="0"/>
            </w:tcBorders>
            <w:vAlign w:val="center"/>
          </w:tcPr>
          <w:p w14:paraId="5EE70D0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0" w:type="auto"/>
            <w:tcBorders>
              <w:top w:val="single" w:color="000000" w:sz="4" w:space="0"/>
              <w:left w:val="nil"/>
              <w:bottom w:val="nil"/>
              <w:right w:val="single" w:color="000000" w:sz="4" w:space="0"/>
            </w:tcBorders>
            <w:vAlign w:val="center"/>
          </w:tcPr>
          <w:p w14:paraId="60EB6F6D">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除湿机</w:t>
            </w:r>
          </w:p>
        </w:tc>
        <w:tc>
          <w:tcPr>
            <w:tcW w:w="6350" w:type="dxa"/>
            <w:tcBorders>
              <w:top w:val="single" w:color="000000" w:sz="4" w:space="0"/>
              <w:left w:val="single" w:color="000000" w:sz="4" w:space="0"/>
              <w:bottom w:val="nil"/>
              <w:right w:val="single" w:color="000000" w:sz="4" w:space="0"/>
            </w:tcBorders>
            <w:vAlign w:val="center"/>
          </w:tcPr>
          <w:p w14:paraId="431E970B">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其他电气设备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1.除湿原理：压缩机式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2.名义除湿量≥1.35kg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3.操控方式：APP操控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4.噪音≤49dB</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5.定时功能：支持定时功能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6.水箱容量：8L</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7.变频/定频：定频</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8.附带排水管：带排水管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9.额定功率≤715W</w:t>
            </w:r>
          </w:p>
        </w:tc>
        <w:tc>
          <w:tcPr>
            <w:tcW w:w="839" w:type="dxa"/>
            <w:tcBorders>
              <w:top w:val="single" w:color="000000" w:sz="4" w:space="0"/>
              <w:left w:val="single" w:color="000000" w:sz="4" w:space="0"/>
              <w:bottom w:val="nil"/>
              <w:right w:val="single" w:color="000000" w:sz="4" w:space="0"/>
            </w:tcBorders>
            <w:vAlign w:val="center"/>
          </w:tcPr>
          <w:p w14:paraId="079550C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nil"/>
              <w:right w:val="single" w:color="000000" w:sz="4" w:space="0"/>
            </w:tcBorders>
            <w:vAlign w:val="center"/>
          </w:tcPr>
          <w:p w14:paraId="064966B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89FB789">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77F369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vAlign w:val="center"/>
          </w:tcPr>
          <w:p w14:paraId="465ED5F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大米外观品质检测仪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3F432FA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收获后处理机械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可自动分析评价各类大米（籼米、粳米、糯米、丝苗米，特种米、有机米等），采用光学分辨率4800×9600dpi的双光源扫描仪，透扫幅面30cm×20cm，最小像素尺寸0.0053mm×0.0026mm，大米外观轮廓更清晰。可自动一次性测量分析30g以上大米样品；配备铺米器，可在扫描时更均匀的进行米粒的铺洒，以便得出更准确的分析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检测指标：可检测稻米的粒型，包括米粒的总数、千粒重、长度、宽度、长宽比、周长、面积、圆度、国标整精米数、纯整精米数、整精米率、大碎米数、小碎米数、碎米率、异品种粒、异品种率等指标（整精米率、碎米率指标测量误差≤±1.0%、重复性误差≤±0.25%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可自动一次性测量分析30g以上大米样品的：垩白度、垩白粒率、垩白面积、碎米率及小碎米率、整精米数、整精米率、黄粒米、杂质量、异品种粒、不完善粒，及糯米的阴糯米粒数、阴糯米率、大米的裂纹率，糙米胚芽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4.单粒米分析：自动测量每粒的长度、宽度、长宽比、圆度、直径、周长、面积、垩白度、RGB等参数（长度测量误差≤±0.05mm，长宽比测量误差≤±0.05，重复性误差≤±0.02）。可大批量自动分析处理与输出结果；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5.图像识别：采用图像成像和长形目标自动分割技术，采用灰度变换，自动阈值分割，区域标记等方法，对粳米、籼米、黄粒米、黑米、胚芽米、糯米等各种米粒进行米质、粒型等数据分析；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6.一键分析：一键自动分析快速得出米质、粒型、整精米、碎米、垩白、不完善粒的数据分析结果。用户可根据自己需求分析黄米、黑米等其它米质。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7.★米粒转换：点击“转换”，然后点击对应样品颗粒，用户可以对整碎米、裂纹粒、黄米、胚芽米、阴糯米和黑米进行转换。（</w:t>
            </w:r>
            <w:r>
              <w:rPr>
                <w:rFonts w:hint="eastAsia" w:ascii="宋体" w:hAnsi="宋体" w:cs="宋体"/>
                <w:color w:val="auto"/>
                <w:kern w:val="0"/>
                <w:sz w:val="20"/>
                <w:szCs w:val="20"/>
                <w:highlight w:val="none"/>
                <w:lang w:eastAsia="zh-CN" w:bidi="ar"/>
              </w:rPr>
              <w:t>提供产品说明书或技术白皮书或产品彩页，加盖供应商公章</w:t>
            </w:r>
            <w:r>
              <w:rPr>
                <w:rFonts w:hint="eastAsia" w:ascii="宋体" w:hAnsi="宋体" w:cs="宋体"/>
                <w:color w:val="auto"/>
                <w:kern w:val="0"/>
                <w:sz w:val="20"/>
                <w:szCs w:val="20"/>
                <w:highlight w:val="none"/>
                <w:lang w:bidi="ar"/>
              </w:rPr>
              <w:t>）</w:t>
            </w:r>
          </w:p>
          <w:p w14:paraId="0F88327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8.显示方式：支持对图片分析的参数颜色进行勾选设置，可用不同颜色方框显示出碎米、整精米、米粒编号和异常米等各种米质以及垩白区域和边缘，便于检测中的直观显示与区分，满足用户个性化需要。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9.具有自动学习与识别特性，可自动分割粘连的大米、种粒，可做自动分类分析，还可对大米按要求进行排列、对比和筛选。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10.可自动一次性测量分析30g以上黑米样品的黑色度、黑米率、整黑米率、碎米率及小碎米率，完全符合NY/T832-2004标准中的相关这几项的检测指标。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11.垩白调整：可通过整体和单粒手动调整实现对米粒的阈值修改，使垩白结果更准确。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12.图片名称修改：软件提供图片名称修改功能，可在分析界面进行图片名称修改，无需保存至电脑后再进行修改；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13.区域选择分析：可对手工框定的目标区内米质进行粒型、整精米率、垩白度和垩白粒率等分析。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14.手动修正功能：图像可放大、缩小和局部观察，可根据分析结果选择分割、合并、转换、删除、过滤杂质和调整碎米筛孔直径大小等修正项进行修正，垩白可根据实际米质进行阈值调节，分析结果更准确；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默认向导：系统提供黄米、黑米、糯米等米质类型的默认向导设置，可用“一键”向导完成大米的粒型检测、整精米率检测、垩白粒率和垩白度、黄米率等的检测。可以通过对扫描模式、杂质面积、筛孔直径、垩白参数等修改来添加或修改向导；</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16.添加文字：用于在大米图像上做标记符号，以便于筛选感兴趣大米；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17.批量分析：可大批量自动分析处理与输出结果。图片分析结果可在当前图片下拉列表窗口查看，分析图片能任意切换查看；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18.快捷键操作：使用键盘上某几个键的组合可以完成撤销、恢复、保存图片、放大缩小、数据导出的命令；</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19.图像保存与输出：可输出分析标记图像，以及按宽度、长度、面积等输出的排列分布图、对比图，可导出Excel表，并可对其他已经导出过数据的Excel文件上追加保存。</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20.数据打印：标配热敏打印机，可以打印大米的粒型、整精米率、垩白度和垩白粒率等数据，方便查看；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21.软件加密：采用动态二维码+加密狗加密，登记具体使用单位的信息，防止加密狗丢失；</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22.具有样本条码、电子天平RS232数据软件接口。</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23.仪器有云平台支持，可将分析数据保存到云端随时随地查看。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24.技术参数：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25.扫描仪：光学分辨率4800×9600dpi，透扫幅面30cm×20cm，最小像素尺寸0.0053mm×0.0026mm，一次扫描大米重量可达30g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26.操作环境10℃~35℃/湿度20%~85%RH</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27.自动检测30克大米外观品质指标时间＜30s左右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28.单次检测样品量：1～1200粒，推荐样品量约12g，可累加，最多连续检测9次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29.长宽度测量误差：≤±0.05mm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30.整精米率误差：≤±1.0%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31.垩白度：≤±1.0%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32.黄粒米：重复性误差≤±0.5%</w:t>
            </w:r>
          </w:p>
        </w:tc>
        <w:tc>
          <w:tcPr>
            <w:tcW w:w="839" w:type="dxa"/>
            <w:tcBorders>
              <w:top w:val="single" w:color="000000" w:sz="4" w:space="0"/>
              <w:left w:val="single" w:color="000000" w:sz="4" w:space="0"/>
              <w:bottom w:val="single" w:color="000000" w:sz="4" w:space="0"/>
              <w:right w:val="single" w:color="000000" w:sz="4" w:space="0"/>
            </w:tcBorders>
            <w:vAlign w:val="center"/>
          </w:tcPr>
          <w:p w14:paraId="7704274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75632C1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97E3513">
        <w:tblPrEx>
          <w:tblCellMar>
            <w:top w:w="0" w:type="dxa"/>
            <w:left w:w="108" w:type="dxa"/>
            <w:bottom w:w="0" w:type="dxa"/>
            <w:right w:w="108" w:type="dxa"/>
          </w:tblCellMar>
        </w:tblPrEx>
        <w:trPr>
          <w:jc w:val="center"/>
        </w:trPr>
        <w:tc>
          <w:tcPr>
            <w:tcW w:w="839" w:type="dxa"/>
            <w:tcBorders>
              <w:top w:val="nil"/>
              <w:left w:val="single" w:color="000000" w:sz="4" w:space="0"/>
              <w:bottom w:val="single" w:color="000000" w:sz="4" w:space="0"/>
              <w:right w:val="single" w:color="000000" w:sz="4" w:space="0"/>
            </w:tcBorders>
            <w:vAlign w:val="center"/>
          </w:tcPr>
          <w:p w14:paraId="2250F7B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0" w:type="auto"/>
            <w:tcBorders>
              <w:top w:val="nil"/>
              <w:left w:val="nil"/>
              <w:bottom w:val="single" w:color="000000" w:sz="4" w:space="0"/>
              <w:right w:val="single" w:color="000000" w:sz="4" w:space="0"/>
            </w:tcBorders>
            <w:vAlign w:val="center"/>
          </w:tcPr>
          <w:p w14:paraId="173CAF9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考种脱粒机</w:t>
            </w:r>
          </w:p>
        </w:tc>
        <w:tc>
          <w:tcPr>
            <w:tcW w:w="6350" w:type="dxa"/>
            <w:tcBorders>
              <w:top w:val="nil"/>
              <w:left w:val="single" w:color="000000" w:sz="4" w:space="0"/>
              <w:bottom w:val="single" w:color="000000" w:sz="4" w:space="0"/>
              <w:right w:val="single" w:color="000000" w:sz="4" w:space="0"/>
            </w:tcBorders>
            <w:vAlign w:val="center"/>
          </w:tcPr>
          <w:p w14:paraId="0E298BA7">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收获后处理机械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1.用于稻麦谷物的单株和单穗脱粒。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2.可将1-6穗的谷物脱粒并清选和分离，可方便的将罩盖打开检查并清扫残余物，无清扫死角，完全保证无混杂。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3.要求设备外机耐腐蚀性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4.提起分离筛板，可作为清选机使用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1.滚筒直径：≤175mm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2.滚筒转速：≥900rpm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3.配套动力：≥180ｗ、220V</w:t>
            </w:r>
          </w:p>
        </w:tc>
        <w:tc>
          <w:tcPr>
            <w:tcW w:w="839" w:type="dxa"/>
            <w:tcBorders>
              <w:top w:val="nil"/>
              <w:left w:val="single" w:color="000000" w:sz="4" w:space="0"/>
              <w:bottom w:val="single" w:color="000000" w:sz="4" w:space="0"/>
              <w:right w:val="single" w:color="000000" w:sz="4" w:space="0"/>
            </w:tcBorders>
            <w:vAlign w:val="center"/>
          </w:tcPr>
          <w:p w14:paraId="6ADF3DF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nil"/>
              <w:left w:val="single" w:color="000000" w:sz="4" w:space="0"/>
              <w:bottom w:val="single" w:color="000000" w:sz="4" w:space="0"/>
              <w:right w:val="single" w:color="000000" w:sz="4" w:space="0"/>
            </w:tcBorders>
            <w:vAlign w:val="center"/>
          </w:tcPr>
          <w:p w14:paraId="115809D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372DF0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9C70E0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0" w:type="auto"/>
            <w:tcBorders>
              <w:top w:val="single" w:color="000000" w:sz="4" w:space="0"/>
              <w:left w:val="nil"/>
              <w:bottom w:val="single" w:color="000000" w:sz="4" w:space="0"/>
              <w:right w:val="single" w:color="000000" w:sz="4" w:space="0"/>
            </w:tcBorders>
            <w:vAlign w:val="center"/>
          </w:tcPr>
          <w:p w14:paraId="6472847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智能考种分析系统</w:t>
            </w:r>
          </w:p>
        </w:tc>
        <w:tc>
          <w:tcPr>
            <w:tcW w:w="6350" w:type="dxa"/>
            <w:tcBorders>
              <w:top w:val="single" w:color="000000" w:sz="4" w:space="0"/>
              <w:left w:val="single" w:color="000000" w:sz="4" w:space="0"/>
              <w:bottom w:val="single" w:color="000000" w:sz="4" w:space="0"/>
              <w:right w:val="single" w:color="000000" w:sz="4" w:space="0"/>
            </w:tcBorders>
            <w:vAlign w:val="center"/>
          </w:tcPr>
          <w:p w14:paraId="1850227F">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多种原理分析仪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可用于≥30种水稻、小麦、玉米、大豆、高粱、谷子、油菜，蔬菜、花卉等同粒型种子的粒型指标分析，可对每一粒籽粒分析计算，分析种子的详细结果：自动检测单粒种子的粒型参数（长、宽、长宽比、面积、周长）。可分析各类种子总结果：可测出所有种子的总粒数、千粒重/百粒重、粒色、平均值（长、宽、长宽比、面积、周长）、标准差，半自动检测容重、水分，并排序输出，并可输出种子大小排列对比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2.玉米整穗分析要求：可自动计算出玉米果穗的穗长、穗粗、秃尖长、左右穗缘角、穗行角、平均行粒数、粒厚、截面穗行数、穗粗、轴粗，颜色以及其平均值。</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3.玉米截面分析功能要求：可测出各玉米截面上的粒长、粒宽、颜色（RGB具体数值表示）、粒高等参数，一次性最少可测15个截面。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需配有黑玉米成像套件，可自动分析黑玉米果穗、截面、籽粒等；可自动测出黑玉米的穗长、穗粗、秃尖长、左右穗缘角、穗行角、平均行粒数、粒厚、截面穗行数、穗粗、轴粗，以及其平均值，可自动测出各黑玉米截面上的平均粒长、平均粒宽等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水稻结实率分析要求：可通过图像识别技术，能精准显示种粒外接矩形，得出空粒数，实粒数，结实率百分比数据，并可直接标记空粒、实粒，显示各籽粒粒型数据（长、宽、长宽比、面积、周长），可预设水稻粳粒结实率模型和水稻籼粒结实率模型，并支持根据自己的品种重新学习建模。</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豆荚表型分析要求：可用于测定≥5种毛豆、蚕豆、豌豆等作物的果身、果柄等表型指标，支持单次测量≥50个毛豆豆荚，可自动分析豆荚数量、豆荚粒数、豆荚重、果身长、果身粗、果身周长、果身面积、果身凸弧长、果身凹弧长、果身弦长、果身弦高、果身弯曲度、果身弯曲夹角、果柄长、果柄粗、果柄周长、果柄投影面积等参数；豆荚测量参数可导出，支持对豆荚测量端点、果柄、豆荚粒数等进行修正，适用于扫描仪或高拍仪获取的图片。</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瓜果表型分析要求：用于测量西瓜切面的瓜瓤、瓜皮等果形指标，可自动分析切面横径、切面纵径、果形指数、切面周长、切面面积、瓜皮厚度、瓜皮面积、瓜瓤面积、瓜瓤空洞面积、颜色以及瓜重等果形参数，软件支持圆形水果表型测定，也可支持定制其它园艺作物果实切面表型指标。常用于西瓜果实育种、西瓜关键基因定位、逆境胁迫、西瓜表型指标测定等领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种子萌发和根系分析：用于种子活力、种子萌发率、种子品质性状研究、基因育种、基因定位等研究领域，可用于单次自动识别≥30粒黄豆、绿豆等种子发芽后的胚轴长（芽长）、根长、种子发芽率等参数，分析数据可通过Excel表格的形式导出，手动标定：软件支持通过手动标定的方式自动识别相机或手机拍摄的发芽图片并分析（黑背景），识别正确率＞98%，辅助修正：软件支持将粘连或识别错误的豆芽通过手动的方式修正。</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9.硬件成像装置要求：A3幅面定制化发光扫描装置（最高分辨率1600dpi × 1600dpi、紫光M1彩色扫描仪、发光装置）；≥2200万像素高清A3幅面成像高拍仪，最大分辨率4896*3672，超薄的背光光源板，自然光与自带全新超高LED补光灯，超薄透明并带有自动标定功能的种子托盘，铺上种子后无阴影，使粒型计算精准，高拍仪内置高清摄像头，采用上下仰角可达45°，左右270°的广角设计，做到种子拍摄无死角，高拍仪自动校正，具有相机画面畸变、背光板均匀性的自动矫正特性，有效减小尺寸测量误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10.要求考种背光板和称重模块一体化，可直接对籽粒、果穗进行称重，重量数据通过接口传输，输入后自动换算成千/百粒重。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可视化称重台及多用途显示台：称重台显示屏能够支持考种过程中对称量的种子重量进行直观感知，方便对称量种子粒数进行取舍。显示台既可以连接电脑直接读取种子重量，也可以单独作为天平使用（称重量程范围：0-5kg），称重台具有去皮、校准功能，能够减少测量误差，提高称量精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▲12.功能区块分析功能要求：玉米/黑玉米果穗、截面、水稻结实率、豆荚表型、瓜果表型、种子萌发和根系分析等功能，可在同一软件上功能界面上直接切换模块分析。</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可配套扫码装置使用，扫码后设备自动分析果穗数据，并可自定义选择穗型数据：长筒、短筒、长锥、短锥等；粒型数据：马齿型、偏马齿型、偏硬粒型、硬粒型等；轴色数据：红色、粉色、白色、紫色等；粒色数据：黄色、橙色、紫色、红色、白色、黑色、浅黄、花色等，其他数据可根据用户需求直接添加备注。</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14.水分：通过水分测定仪，能得到谷物的水分含量，可将水分值输入系统中自动导出。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▲15.配套移动计数APP，可通过移动端计数，保存，查看历史数据，包含作物名称，品种信息，种子数量，测量时间等。可自定义新增作物名称，单个/批量品种添加，一键式选择通用/辅助算法。</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eastAsia="zh-CN" w:bidi="ar"/>
              </w:rPr>
              <w:t>提供产品说明书或技术白皮书或产品彩页，加盖供应商公章</w:t>
            </w:r>
            <w:r>
              <w:rPr>
                <w:rFonts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16.图像检索：可以任意放大、缩小、局部观察功能，能精准显示种粒外接矩形，方便查看结果。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17.数据：可自动导出EXCEL表格，及具有追加保存的功能。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18.采用图像分割、图像定位、图像识别、局部二值算法、直线拟合等技术实现快速识别。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19.智能对比：能精准显示种粒外接矩形，对不同品种的种子进行长和宽的对比，并输出排列、对比图。深度学习：根据颜色或是形状的不同对种子进行自学习和再学习，并实现自动分类识别。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20.颜色：采用公认的具体的RGB数值来表示种子的颜色。</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21.胚尖数：能自动识别玉米籽粒带有胚尖的数量并标记出胚尖。</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22.语言：中英文可一键式切换。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23.辅助修正：用鼠标选择分割/合并，来对识别错误的种子进行修正，以确保100%正确。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24.目标区的个性化计数：对工作区视野中任选范围或矩形范围内的种子进行框选计数。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25.数据保存：图像结果可保存，自动形成总报表，可导出excel表，具有追加保存的功能。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26.数据打印：软件支持通过热敏打印机将分析数据打印出来。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27.支持数据上传至云平台，可以保存查看和下载数据。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28.加密要求：软件采用动态二维码加密，防止丢失。</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29.数据同步：电脑网络连接正常时，自动同步至云平台，可以在云平台或手机APP上查看、分析、管理数据。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30.数据管理平台要求：应自带管理云平台，可随时随地通过电脑网页在线查看历史数据和实时数据；也可以通过智能手机APP端查看历史和实时数据；平台内数据可下载，分析，打印；可按种子类别及时段查看各形数据，包括：测量时间、种子类别、种子数量、千粒重、平均面积、平均周长、平均长度、平均宽度、平均长宽比、重量、缩略图等；云平台具备种子详细数据信息、可放大缩小历史检测种子图片，并按比例分析各项指标分布图，以柱状、分类颜色方式表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1.数粒速度：玉米籽粒为1500～3000粒/分钟，其它籽粒为1200-20000粒/分钟；精确度：数粒误差≤±0.5%，监视修正即达100%正确，可分析各类种粒的直径1.0～20.0mm。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2.称重量程范围：0-5kg；自动千粒重分析的精度误差：≤±0.5%。</w:t>
            </w:r>
          </w:p>
        </w:tc>
        <w:tc>
          <w:tcPr>
            <w:tcW w:w="839" w:type="dxa"/>
            <w:tcBorders>
              <w:top w:val="single" w:color="000000" w:sz="4" w:space="0"/>
              <w:left w:val="single" w:color="000000" w:sz="4" w:space="0"/>
              <w:bottom w:val="single" w:color="000000" w:sz="4" w:space="0"/>
              <w:right w:val="single" w:color="000000" w:sz="4" w:space="0"/>
            </w:tcBorders>
            <w:vAlign w:val="center"/>
          </w:tcPr>
          <w:p w14:paraId="5548192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49F913A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r>
      <w:tr w14:paraId="68E0DC07">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8E2093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0" w:type="auto"/>
            <w:tcBorders>
              <w:top w:val="single" w:color="000000" w:sz="4" w:space="0"/>
              <w:left w:val="nil"/>
              <w:bottom w:val="single" w:color="000000" w:sz="4" w:space="0"/>
              <w:right w:val="single" w:color="000000" w:sz="4" w:space="0"/>
            </w:tcBorders>
            <w:vAlign w:val="center"/>
          </w:tcPr>
          <w:p w14:paraId="3287A94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水稻开沟机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19766BD4">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1、170四冲程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2、7.5马力汽油机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3、开沟宽12-28厘米，深度30-50厘米</w:t>
            </w:r>
          </w:p>
        </w:tc>
        <w:tc>
          <w:tcPr>
            <w:tcW w:w="839" w:type="dxa"/>
            <w:tcBorders>
              <w:top w:val="single" w:color="000000" w:sz="4" w:space="0"/>
              <w:left w:val="single" w:color="000000" w:sz="4" w:space="0"/>
              <w:bottom w:val="single" w:color="000000" w:sz="4" w:space="0"/>
              <w:right w:val="single" w:color="000000" w:sz="4" w:space="0"/>
            </w:tcBorders>
            <w:vAlign w:val="center"/>
          </w:tcPr>
          <w:p w14:paraId="6F1365B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563275D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E80E47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565E79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0" w:type="auto"/>
            <w:tcBorders>
              <w:top w:val="single" w:color="000000" w:sz="4" w:space="0"/>
              <w:left w:val="nil"/>
              <w:bottom w:val="single" w:color="000000" w:sz="4" w:space="0"/>
              <w:right w:val="single" w:color="000000" w:sz="4" w:space="0"/>
            </w:tcBorders>
            <w:vAlign w:val="center"/>
          </w:tcPr>
          <w:p w14:paraId="017246A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北斗插秧机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EFCF38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设施农业设备</w:t>
            </w:r>
          </w:p>
          <w:p w14:paraId="0215CF2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1、驱动方式：四轮驱动。</w:t>
            </w:r>
          </w:p>
          <w:p w14:paraId="1457E27F">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2、插植行数：≥9行机。</w:t>
            </w:r>
          </w:p>
          <w:p w14:paraId="3B76DE2A">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3、插植行距：≥25 cm。</w:t>
            </w:r>
          </w:p>
          <w:p w14:paraId="2E92D72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4、插植株距：≥10-22 cm。</w:t>
            </w:r>
          </w:p>
          <w:p w14:paraId="4DCF70DA">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5、6档可调，深度9档可调。</w:t>
            </w:r>
          </w:p>
          <w:p w14:paraId="1CC22E41">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6、加装北斗导航系统。</w:t>
            </w:r>
          </w:p>
          <w:p w14:paraId="180E24E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7、整机质保三年。如原厂标准不足三年，由成交供应商承担额外质保责任。</w:t>
            </w:r>
          </w:p>
        </w:tc>
        <w:tc>
          <w:tcPr>
            <w:tcW w:w="839" w:type="dxa"/>
            <w:tcBorders>
              <w:top w:val="single" w:color="000000" w:sz="4" w:space="0"/>
              <w:left w:val="single" w:color="000000" w:sz="4" w:space="0"/>
              <w:bottom w:val="single" w:color="000000" w:sz="4" w:space="0"/>
              <w:right w:val="single" w:color="000000" w:sz="4" w:space="0"/>
            </w:tcBorders>
            <w:vAlign w:val="center"/>
          </w:tcPr>
          <w:p w14:paraId="71A990E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11289FA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53075F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1C88DA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0" w:type="auto"/>
            <w:tcBorders>
              <w:top w:val="single" w:color="000000" w:sz="4" w:space="0"/>
              <w:left w:val="nil"/>
              <w:bottom w:val="single" w:color="000000" w:sz="4" w:space="0"/>
              <w:right w:val="single" w:color="000000" w:sz="4" w:space="0"/>
            </w:tcBorders>
            <w:vAlign w:val="center"/>
          </w:tcPr>
          <w:p w14:paraId="55F022C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太阳能杀虫灯</w:t>
            </w:r>
          </w:p>
        </w:tc>
        <w:tc>
          <w:tcPr>
            <w:tcW w:w="6350" w:type="dxa"/>
            <w:tcBorders>
              <w:top w:val="single" w:color="000000" w:sz="4" w:space="0"/>
              <w:left w:val="single" w:color="000000" w:sz="4" w:space="0"/>
              <w:bottom w:val="single" w:color="000000" w:sz="4" w:space="0"/>
              <w:right w:val="single" w:color="000000" w:sz="4" w:space="0"/>
            </w:tcBorders>
            <w:vAlign w:val="center"/>
          </w:tcPr>
          <w:p w14:paraId="7872181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1、直流电12V，太阳能板电池功率≥30w，电网电压≥5.5KV，撞击面积≥0.15m2，功率≤11w，光管波长320-680nm。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2、可通过app和web远程控制。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3、具有光控、时控模式。内置定位功能。</w:t>
            </w:r>
          </w:p>
        </w:tc>
        <w:tc>
          <w:tcPr>
            <w:tcW w:w="839" w:type="dxa"/>
            <w:tcBorders>
              <w:top w:val="single" w:color="000000" w:sz="4" w:space="0"/>
              <w:left w:val="single" w:color="000000" w:sz="4" w:space="0"/>
              <w:bottom w:val="single" w:color="000000" w:sz="4" w:space="0"/>
              <w:right w:val="single" w:color="000000" w:sz="4" w:space="0"/>
            </w:tcBorders>
            <w:vAlign w:val="center"/>
          </w:tcPr>
          <w:p w14:paraId="4C12D2E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9 </w:t>
            </w:r>
          </w:p>
        </w:tc>
        <w:tc>
          <w:tcPr>
            <w:tcW w:w="839" w:type="dxa"/>
            <w:tcBorders>
              <w:top w:val="single" w:color="000000" w:sz="4" w:space="0"/>
              <w:left w:val="single" w:color="000000" w:sz="4" w:space="0"/>
              <w:bottom w:val="single" w:color="000000" w:sz="4" w:space="0"/>
              <w:right w:val="single" w:color="000000" w:sz="4" w:space="0"/>
            </w:tcBorders>
            <w:vAlign w:val="center"/>
          </w:tcPr>
          <w:p w14:paraId="0931590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07CE3E3B">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F29A50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13</w:t>
            </w:r>
          </w:p>
        </w:tc>
        <w:tc>
          <w:tcPr>
            <w:tcW w:w="0" w:type="auto"/>
            <w:tcBorders>
              <w:top w:val="single" w:color="000000" w:sz="4" w:space="0"/>
              <w:left w:val="nil"/>
              <w:bottom w:val="single" w:color="000000" w:sz="4" w:space="0"/>
              <w:right w:val="single" w:color="000000" w:sz="4" w:space="0"/>
            </w:tcBorders>
            <w:vAlign w:val="center"/>
          </w:tcPr>
          <w:p w14:paraId="2BAD98E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虫情测报灯</w:t>
            </w:r>
          </w:p>
        </w:tc>
        <w:tc>
          <w:tcPr>
            <w:tcW w:w="6350" w:type="dxa"/>
            <w:tcBorders>
              <w:top w:val="single" w:color="000000" w:sz="4" w:space="0"/>
              <w:left w:val="single" w:color="000000" w:sz="4" w:space="0"/>
              <w:bottom w:val="single" w:color="000000" w:sz="4" w:space="0"/>
              <w:right w:val="single" w:color="000000" w:sz="4" w:space="0"/>
            </w:tcBorders>
            <w:vAlign w:val="center"/>
          </w:tcPr>
          <w:p w14:paraId="3DD06E60">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1、整体结构采用304不锈钢喷塑壳体，采用光、电、数控技术，可远程自动控制及识别计数。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2、直流12V电源（太阳能板供电240w），待机≤25W，整灯功率≤200W，通信方式4g，防护等级IP65，工作环境温度0-70℃，工作环境湿度≤85%。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3、20W黑光灯、诱捕光源波长365nm。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4、灯管启动时间≤5s。</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5、摄像头2000万高清像素；显示屏10寸电容式触摸屏，系统 android 虫体识别率≥95%。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6、自动拍照、自动传输、远程查询监控。内置定位功能。</w:t>
            </w:r>
          </w:p>
        </w:tc>
        <w:tc>
          <w:tcPr>
            <w:tcW w:w="839" w:type="dxa"/>
            <w:tcBorders>
              <w:top w:val="single" w:color="000000" w:sz="4" w:space="0"/>
              <w:left w:val="single" w:color="000000" w:sz="4" w:space="0"/>
              <w:bottom w:val="single" w:color="000000" w:sz="4" w:space="0"/>
              <w:right w:val="single" w:color="000000" w:sz="4" w:space="0"/>
            </w:tcBorders>
            <w:vAlign w:val="center"/>
          </w:tcPr>
          <w:p w14:paraId="00272E2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3 </w:t>
            </w:r>
          </w:p>
        </w:tc>
        <w:tc>
          <w:tcPr>
            <w:tcW w:w="839" w:type="dxa"/>
            <w:tcBorders>
              <w:top w:val="single" w:color="000000" w:sz="4" w:space="0"/>
              <w:left w:val="single" w:color="000000" w:sz="4" w:space="0"/>
              <w:bottom w:val="single" w:color="000000" w:sz="4" w:space="0"/>
              <w:right w:val="single" w:color="000000" w:sz="4" w:space="0"/>
            </w:tcBorders>
            <w:vAlign w:val="center"/>
          </w:tcPr>
          <w:p w14:paraId="7A22100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2AA7DE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E36233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0" w:type="auto"/>
            <w:tcBorders>
              <w:top w:val="single" w:color="000000" w:sz="4" w:space="0"/>
              <w:left w:val="nil"/>
              <w:bottom w:val="single" w:color="000000" w:sz="4" w:space="0"/>
              <w:right w:val="single" w:color="000000" w:sz="4" w:space="0"/>
            </w:tcBorders>
            <w:vAlign w:val="center"/>
          </w:tcPr>
          <w:p w14:paraId="4DF0ECC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茶叶烘干平台机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EB7C62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1、380v，30kw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2、带机头尺寸3050*1000*870mm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3、平台尺寸2000*1000*870mm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4、平台底部为斜坡型</w:t>
            </w:r>
          </w:p>
        </w:tc>
        <w:tc>
          <w:tcPr>
            <w:tcW w:w="839" w:type="dxa"/>
            <w:tcBorders>
              <w:top w:val="single" w:color="000000" w:sz="4" w:space="0"/>
              <w:left w:val="single" w:color="000000" w:sz="4" w:space="0"/>
              <w:bottom w:val="single" w:color="000000" w:sz="4" w:space="0"/>
              <w:right w:val="single" w:color="000000" w:sz="4" w:space="0"/>
            </w:tcBorders>
            <w:vAlign w:val="center"/>
          </w:tcPr>
          <w:p w14:paraId="5B3909A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63321F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AAE8171">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1AC24B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0" w:type="auto"/>
            <w:tcBorders>
              <w:top w:val="single" w:color="000000" w:sz="4" w:space="0"/>
              <w:left w:val="nil"/>
              <w:bottom w:val="single" w:color="000000" w:sz="4" w:space="0"/>
              <w:right w:val="single" w:color="000000" w:sz="4" w:space="0"/>
            </w:tcBorders>
            <w:vAlign w:val="center"/>
          </w:tcPr>
          <w:p w14:paraId="040848C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电动滚筒杀青机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CDC05A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变频调速50型，380v，32kw。</w:t>
            </w:r>
          </w:p>
        </w:tc>
        <w:tc>
          <w:tcPr>
            <w:tcW w:w="839" w:type="dxa"/>
            <w:tcBorders>
              <w:top w:val="single" w:color="000000" w:sz="4" w:space="0"/>
              <w:left w:val="single" w:color="000000" w:sz="4" w:space="0"/>
              <w:bottom w:val="single" w:color="000000" w:sz="4" w:space="0"/>
              <w:right w:val="single" w:color="000000" w:sz="4" w:space="0"/>
            </w:tcBorders>
            <w:vAlign w:val="center"/>
          </w:tcPr>
          <w:p w14:paraId="2FD0D27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79263AE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296CB0D">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3A8978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16</w:t>
            </w:r>
          </w:p>
        </w:tc>
        <w:tc>
          <w:tcPr>
            <w:tcW w:w="0" w:type="auto"/>
            <w:tcBorders>
              <w:top w:val="single" w:color="000000" w:sz="4" w:space="0"/>
              <w:left w:val="nil"/>
              <w:bottom w:val="single" w:color="000000" w:sz="4" w:space="0"/>
              <w:right w:val="single" w:color="000000" w:sz="4" w:space="0"/>
            </w:tcBorders>
            <w:vAlign w:val="center"/>
          </w:tcPr>
          <w:p w14:paraId="15C9065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试验台</w:t>
            </w:r>
          </w:p>
        </w:tc>
        <w:tc>
          <w:tcPr>
            <w:tcW w:w="6350" w:type="dxa"/>
            <w:tcBorders>
              <w:top w:val="single" w:color="000000" w:sz="4" w:space="0"/>
              <w:left w:val="single" w:color="000000" w:sz="4" w:space="0"/>
              <w:bottom w:val="single" w:color="000000" w:sz="4" w:space="0"/>
              <w:right w:val="single" w:color="000000" w:sz="4" w:space="0"/>
            </w:tcBorders>
            <w:vAlign w:val="center"/>
          </w:tcPr>
          <w:p w14:paraId="5C04B5E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其他用具</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1、尺寸长*宽*高3.5m*0.75m*0.8m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2、抗腐蚀2级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3、台面黑色</w:t>
            </w:r>
          </w:p>
        </w:tc>
        <w:tc>
          <w:tcPr>
            <w:tcW w:w="839" w:type="dxa"/>
            <w:tcBorders>
              <w:top w:val="single" w:color="000000" w:sz="4" w:space="0"/>
              <w:left w:val="single" w:color="000000" w:sz="4" w:space="0"/>
              <w:bottom w:val="single" w:color="000000" w:sz="4" w:space="0"/>
              <w:right w:val="single" w:color="000000" w:sz="4" w:space="0"/>
            </w:tcBorders>
            <w:vAlign w:val="center"/>
          </w:tcPr>
          <w:p w14:paraId="3BC2721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2DA0F2F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r>
      <w:tr w14:paraId="196DE648">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DF85DD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17</w:t>
            </w:r>
          </w:p>
        </w:tc>
        <w:tc>
          <w:tcPr>
            <w:tcW w:w="0" w:type="auto"/>
            <w:tcBorders>
              <w:top w:val="single" w:color="000000" w:sz="4" w:space="0"/>
              <w:left w:val="nil"/>
              <w:bottom w:val="single" w:color="000000" w:sz="4" w:space="0"/>
              <w:right w:val="single" w:color="000000" w:sz="4" w:space="0"/>
            </w:tcBorders>
            <w:vAlign w:val="center"/>
          </w:tcPr>
          <w:p w14:paraId="7C3573D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茶叶抖青机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9AB1FA2">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1、电压220v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2、功率250w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3、尺寸74*71*102</w:t>
            </w:r>
          </w:p>
        </w:tc>
        <w:tc>
          <w:tcPr>
            <w:tcW w:w="839" w:type="dxa"/>
            <w:tcBorders>
              <w:top w:val="single" w:color="000000" w:sz="4" w:space="0"/>
              <w:left w:val="single" w:color="000000" w:sz="4" w:space="0"/>
              <w:bottom w:val="single" w:color="000000" w:sz="4" w:space="0"/>
              <w:right w:val="single" w:color="000000" w:sz="4" w:space="0"/>
            </w:tcBorders>
            <w:vAlign w:val="center"/>
          </w:tcPr>
          <w:p w14:paraId="24E959CD">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2726E00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892516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8281B4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18</w:t>
            </w:r>
          </w:p>
        </w:tc>
        <w:tc>
          <w:tcPr>
            <w:tcW w:w="0" w:type="auto"/>
            <w:tcBorders>
              <w:top w:val="single" w:color="000000" w:sz="4" w:space="0"/>
              <w:left w:val="nil"/>
              <w:bottom w:val="single" w:color="000000" w:sz="4" w:space="0"/>
              <w:right w:val="single" w:color="000000" w:sz="4" w:space="0"/>
            </w:tcBorders>
            <w:vAlign w:val="center"/>
          </w:tcPr>
          <w:p w14:paraId="25ABDC7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秸秆揉丝粉碎一体机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D36BC38">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粉碎机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1、结构形式：铡揉粉一体</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2、配套动力：4-7.5kW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3、配套动力额定转速：1450 r/min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4、锤片数量：40片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5、主轴额定转速：1450 r/min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6、生产效率：4800kg/h（4.8吨/小时）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7、外形尺寸：1950×1200×1800 mm</w:t>
            </w:r>
          </w:p>
        </w:tc>
        <w:tc>
          <w:tcPr>
            <w:tcW w:w="839" w:type="dxa"/>
            <w:tcBorders>
              <w:top w:val="single" w:color="000000" w:sz="4" w:space="0"/>
              <w:left w:val="single" w:color="000000" w:sz="4" w:space="0"/>
              <w:bottom w:val="single" w:color="000000" w:sz="4" w:space="0"/>
              <w:right w:val="single" w:color="000000" w:sz="4" w:space="0"/>
            </w:tcBorders>
            <w:vAlign w:val="center"/>
          </w:tcPr>
          <w:p w14:paraId="47DF802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443D01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0359F46D">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04AAB5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19</w:t>
            </w:r>
          </w:p>
        </w:tc>
        <w:tc>
          <w:tcPr>
            <w:tcW w:w="0" w:type="auto"/>
            <w:tcBorders>
              <w:top w:val="single" w:color="000000" w:sz="4" w:space="0"/>
              <w:left w:val="nil"/>
              <w:bottom w:val="single" w:color="000000" w:sz="4" w:space="0"/>
              <w:right w:val="single" w:color="000000" w:sz="4" w:space="0"/>
            </w:tcBorders>
            <w:vAlign w:val="center"/>
          </w:tcPr>
          <w:p w14:paraId="0B9C4CA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冷冻干燥机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0634610F">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干燥机械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1、本机采用进口压缩机制冷，制冷迅速，冷阱温度低，高效节能、使用寿命长、噪音低。</w:t>
            </w:r>
          </w:p>
          <w:p w14:paraId="227C222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2、工业嵌入式操作系统，操作响应速度快，存储数据量大。</w:t>
            </w:r>
          </w:p>
          <w:p w14:paraId="0F36809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3、7寸触摸屏操作，PID工业控制器，控制精度高，性能稳定可靠。清晰地显示冷阱温度、样品温度、真空度等干燥数据。</w:t>
            </w:r>
          </w:p>
          <w:p w14:paraId="38EF0B1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4、可设置用户等级和密码，分权管理和操作，真空泵与主机连接采用国际标准KF快速接头，简洁可靠。</w:t>
            </w:r>
          </w:p>
          <w:p w14:paraId="4588ADE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5、方形隔板加热具备超温保护功能，压缩机延时保护功能，方形隔板温度可升温降温、可控、可摸索、中试和生产工艺。</w:t>
            </w:r>
          </w:p>
          <w:p w14:paraId="2784FE4B">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6、可保存近百组工艺配方，每组配方包含近50个控温区段，提高工艺优化率。</w:t>
            </w:r>
          </w:p>
          <w:p w14:paraId="341C48A1">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7、方形隔板采用36V安全电压硅橡胶电加热板为加热元件，独特的升温曲线计算方式，升温更稳定，更安全，控温更精确。</w:t>
            </w:r>
          </w:p>
          <w:p w14:paraId="3C1B29F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8、充气（放水）阀门采用安全隔膜阀门，可接惰性气源，干燥后充惰性气体，延长物料保质期。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1、冻干面积：0.4㎡。</w:t>
            </w:r>
          </w:p>
          <w:p w14:paraId="7925F4F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2、板层温度范围(空载）：-50℃～+60℃。</w:t>
            </w:r>
          </w:p>
          <w:p w14:paraId="4034B5A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3、冷阱最低温度(空载）：≤-60℃。</w:t>
            </w:r>
          </w:p>
          <w:p w14:paraId="412A7C00">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4、极限真空度（空载)：≤5Pa。</w:t>
            </w:r>
          </w:p>
          <w:p w14:paraId="15E3D0C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5、捕水容量：4kg/批。</w:t>
            </w:r>
          </w:p>
          <w:p w14:paraId="5FCD7F1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6、盘装溶液：4L(料厚10mm)。</w:t>
            </w:r>
          </w:p>
          <w:p w14:paraId="6992826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★7、智能控制：手机APP远程。（</w:t>
            </w:r>
            <w:r>
              <w:rPr>
                <w:rFonts w:hint="eastAsia" w:ascii="宋体" w:hAnsi="宋体" w:cs="宋体"/>
                <w:color w:val="auto"/>
                <w:kern w:val="0"/>
                <w:sz w:val="20"/>
                <w:szCs w:val="20"/>
                <w:highlight w:val="none"/>
                <w:lang w:eastAsia="zh-CN" w:bidi="ar"/>
              </w:rPr>
              <w:t>提供产品说明书或技术白皮书或产品彩页，加盖供应商公章</w:t>
            </w:r>
            <w:r>
              <w:rPr>
                <w:rFonts w:hint="eastAsia" w:ascii="宋体" w:hAnsi="宋体" w:cs="宋体"/>
                <w:color w:val="auto"/>
                <w:kern w:val="0"/>
                <w:sz w:val="20"/>
                <w:szCs w:val="20"/>
                <w:highlight w:val="none"/>
                <w:lang w:bidi="ar"/>
              </w:rPr>
              <w:t>）。</w:t>
            </w:r>
          </w:p>
          <w:p w14:paraId="34A1A7D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8、板层间距：50mm。</w:t>
            </w:r>
          </w:p>
          <w:p w14:paraId="38B00D8A">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9、板层数量：4层。</w:t>
            </w:r>
          </w:p>
          <w:p w14:paraId="5504305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10、隔板尺寸：300x340mm。</w:t>
            </w:r>
          </w:p>
          <w:p w14:paraId="1CBF3ED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11、可装西林瓶：Φ12mm2916支；Φ16mm1600支；Φ22mm872支。</w:t>
            </w:r>
          </w:p>
          <w:p w14:paraId="6FDA91A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12、环境温度：≤25℃。</w:t>
            </w:r>
          </w:p>
          <w:p w14:paraId="2F127B7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13、电压功率 ：220V，2.7Kw。</w:t>
            </w:r>
          </w:p>
          <w:p w14:paraId="7316C53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14、外形尺寸mm：高度1390mm*宽880mm*厚度750+60门mm。</w:t>
            </w:r>
          </w:p>
          <w:p w14:paraId="4B98B209">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15、整机重量：400 kg。</w:t>
            </w:r>
          </w:p>
        </w:tc>
        <w:tc>
          <w:tcPr>
            <w:tcW w:w="839" w:type="dxa"/>
            <w:tcBorders>
              <w:top w:val="single" w:color="000000" w:sz="4" w:space="0"/>
              <w:left w:val="single" w:color="000000" w:sz="4" w:space="0"/>
              <w:bottom w:val="single" w:color="000000" w:sz="4" w:space="0"/>
              <w:right w:val="single" w:color="000000" w:sz="4" w:space="0"/>
            </w:tcBorders>
            <w:vAlign w:val="center"/>
          </w:tcPr>
          <w:p w14:paraId="3BF2E23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FDCC40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026C03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D02BB0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20</w:t>
            </w:r>
          </w:p>
        </w:tc>
        <w:tc>
          <w:tcPr>
            <w:tcW w:w="0" w:type="auto"/>
            <w:tcBorders>
              <w:top w:val="single" w:color="000000" w:sz="4" w:space="0"/>
              <w:left w:val="nil"/>
              <w:bottom w:val="single" w:color="000000" w:sz="4" w:space="0"/>
              <w:right w:val="single" w:color="000000" w:sz="4" w:space="0"/>
            </w:tcBorders>
            <w:vAlign w:val="center"/>
          </w:tcPr>
          <w:p w14:paraId="5CCD2B8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座驾式爬山虎</w:t>
            </w:r>
          </w:p>
        </w:tc>
        <w:tc>
          <w:tcPr>
            <w:tcW w:w="6350" w:type="dxa"/>
            <w:tcBorders>
              <w:top w:val="single" w:color="000000" w:sz="4" w:space="0"/>
              <w:left w:val="single" w:color="000000" w:sz="4" w:space="0"/>
              <w:bottom w:val="single" w:color="000000" w:sz="4" w:space="0"/>
              <w:right w:val="single" w:color="000000" w:sz="4" w:space="0"/>
            </w:tcBorders>
            <w:vAlign w:val="center"/>
          </w:tcPr>
          <w:p w14:paraId="460B677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其他装卸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设备一、载重与整机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额定载重：平路载重5000kg（5吨）；整机自重：约2000-3000kg；整车外形尺寸：3500×1600×2100mm（长 × 宽 × 高）；离地间隙：500mm；接地长度：1900-2100mm；最大爬坡角度：35-40°。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二、动力系统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发动机型号：490水冷四缸柴油机；额定功率：42kW（55-58马力）；启动方式：电启动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三、传动行走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变速箱型号：23型固力变速箱，带高低速；档位：6进2退；行驶速度：低速4-5km/h，高速13-18km/h；制动：双刹车 + 驻车制动，坡上不溜车；支重轮：单边8组；履带规格：400×90×62节（工程钢丝橡胶履带，宽度400mm）；底盘：加厚大梁、带防脱导齿。</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四、货箱（车厢）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货箱内尺寸：2200×1600×560 mm（长 × 宽 × 栏板高）；卸料方式：液压后自卸；自卸举升高度：约1900mm。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五、选配项目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半封闭驾驶室、1吨随车吊、加长货箱、加宽履带。</w:t>
            </w:r>
          </w:p>
        </w:tc>
        <w:tc>
          <w:tcPr>
            <w:tcW w:w="839" w:type="dxa"/>
            <w:tcBorders>
              <w:top w:val="single" w:color="000000" w:sz="4" w:space="0"/>
              <w:left w:val="single" w:color="000000" w:sz="4" w:space="0"/>
              <w:bottom w:val="single" w:color="000000" w:sz="4" w:space="0"/>
              <w:right w:val="single" w:color="000000" w:sz="4" w:space="0"/>
            </w:tcBorders>
            <w:vAlign w:val="center"/>
          </w:tcPr>
          <w:p w14:paraId="3E8CBAB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7E2BAD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95D0F0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9A7FBD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21</w:t>
            </w:r>
          </w:p>
        </w:tc>
        <w:tc>
          <w:tcPr>
            <w:tcW w:w="0" w:type="auto"/>
            <w:tcBorders>
              <w:top w:val="single" w:color="000000" w:sz="4" w:space="0"/>
              <w:left w:val="nil"/>
              <w:bottom w:val="single" w:color="000000" w:sz="4" w:space="0"/>
              <w:right w:val="single" w:color="000000" w:sz="4" w:space="0"/>
            </w:tcBorders>
            <w:vAlign w:val="center"/>
          </w:tcPr>
          <w:p w14:paraId="7C74E0A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挖掘机及配套拓灌机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ADB9BC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挖掘机械一、挖掘机：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1、整机参数：整机工作重量：6000 kg；标准铲斗容量：0.25 m³；铲斗类型：反铲。</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2、发动机 ：额定功率：36kW/2000rpm；最大扭矩：206.9 N·m；排量：2.615 L，4缸水冷。</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3、整机性能 ：行走速度（高/低）：4.1/2.4 km/h；回转速度：10.3 rpm；爬坡能力70%（35°）；接地比压：31kPa；铲斗挖掘力：45kN；斗杆挖掘力：33kN。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4、作业范围（标准臂） ：最大挖掘深度：3770 mm；最大挖掘半径：6090 mm；最大挖掘高度：5735 mm；最大卸载高度：3975 mm；垂直挖掘深度：3025 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5、运输外形尺寸 ：整机总长：5915 mm；整机总宽：2025 mm；整机总高：2560 mm；尾部回转半径：1635 mm；最小离地间隙：315 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6、底盘配置 ：履带板宽度：400 mm（钢履带）；轨距：1600 mm；单侧支重轮：5 个；单侧托链轮：1 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7、油箱容量 ：燃油箱：125 L；液压油箱：85 L。</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二、液压打草碎木机（与挖机适配）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1、属具主机技术参数（1米款）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适配挖机：5-7吨；标准工作割幅1000mm（可选800mm/1200mm）；整机宽度1350mm；设备自重420-480kg；最大粉碎树干直径80-100mm（灌木、杂草、小树枝）；液压马达，侧置高转速摆线马达；马达转速2500-3000r/min；所需流量35-55L/min；工作压力16*21MPa；刀轴实心加粗通轴，动平衡校正；刀片配置30组*36组，菱形/锤头式合金刀头，90片左右刀体；壳体钢板厚度4mm加厚耐磨板；连接方式：斗轴直连/选配快换接头；三一60原车备用破碎锤油路流量完全满足该款碎木机使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2、安装所需装配配件清单</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（1）、连接架（马拉头/斗耳支座，必须定制）；专用连接支架（马头）1 件，按挖机斗耳中心距定；销轴2根：φ45斗销（60标准斗销）；销卡、止退螺栓、垫片。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（2）、液压管路全套（3条油管：进油、回油、泄油）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高压油管（进油）-大臂外侧布置1根；回油管1根；泄油管1根（碎木马达必须单独回油箱，不能直接回先导）；管夹、抱箍、管路固定支架；加长弯头、过渡接头；平面式快速接头2套（进、回油），可选配防尘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（3）、阀件（如原车没有破碎锤管路，则需加装）</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破碎锤备用脚踏阀（如原车已经带锤管路，则不用再加阀，直接接脚踏开关即可）球阀开关1个（维修截止油路）；密封圈、接头垫片一包。</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（4）、可选加装配件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挖机快换连接器（不用反复拆装斗销，切换挖斗-碎木机）；溢流保护阀（防止憋压损坏马达）；防飞溅护板；加长款小臂连接耳（边坡远距离打草）。</w:t>
            </w:r>
          </w:p>
        </w:tc>
        <w:tc>
          <w:tcPr>
            <w:tcW w:w="839" w:type="dxa"/>
            <w:tcBorders>
              <w:top w:val="single" w:color="000000" w:sz="4" w:space="0"/>
              <w:left w:val="single" w:color="000000" w:sz="4" w:space="0"/>
              <w:bottom w:val="single" w:color="000000" w:sz="4" w:space="0"/>
              <w:right w:val="single" w:color="000000" w:sz="4" w:space="0"/>
            </w:tcBorders>
            <w:vAlign w:val="center"/>
          </w:tcPr>
          <w:p w14:paraId="45F3AF7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09EDBA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6B2A4E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215467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22</w:t>
            </w:r>
          </w:p>
        </w:tc>
        <w:tc>
          <w:tcPr>
            <w:tcW w:w="0" w:type="auto"/>
            <w:tcBorders>
              <w:top w:val="single" w:color="000000" w:sz="4" w:space="0"/>
              <w:left w:val="nil"/>
              <w:bottom w:val="single" w:color="000000" w:sz="4" w:space="0"/>
              <w:right w:val="single" w:color="000000" w:sz="4" w:space="0"/>
            </w:tcBorders>
            <w:vAlign w:val="center"/>
          </w:tcPr>
          <w:p w14:paraId="653D50C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电动三轮车</w:t>
            </w:r>
          </w:p>
        </w:tc>
        <w:tc>
          <w:tcPr>
            <w:tcW w:w="6350" w:type="dxa"/>
            <w:tcBorders>
              <w:top w:val="single" w:color="000000" w:sz="4" w:space="0"/>
              <w:left w:val="single" w:color="000000" w:sz="4" w:space="0"/>
              <w:bottom w:val="single" w:color="000000" w:sz="4" w:space="0"/>
              <w:right w:val="single" w:color="000000" w:sz="4" w:space="0"/>
            </w:tcBorders>
            <w:vAlign w:val="center"/>
          </w:tcPr>
          <w:p w14:paraId="7C5073F9">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电动三轮车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1、车厢1.5m*1.0m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2、电池续航100公里以上（空载）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3、电机功率≥1.2kW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4、前后轮胎为防爆耐磨轮胎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5、刹车为脚刹制动，前轮碟刹或鼓刹、后轮鼓刹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6、具备倒车功能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7、配置液晶仪表盘</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8、整车质保2年及以上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9、安装有遮阳棚</w:t>
            </w:r>
          </w:p>
        </w:tc>
        <w:tc>
          <w:tcPr>
            <w:tcW w:w="839" w:type="dxa"/>
            <w:tcBorders>
              <w:top w:val="single" w:color="000000" w:sz="4" w:space="0"/>
              <w:left w:val="single" w:color="000000" w:sz="4" w:space="0"/>
              <w:bottom w:val="single" w:color="000000" w:sz="4" w:space="0"/>
              <w:right w:val="single" w:color="000000" w:sz="4" w:space="0"/>
            </w:tcBorders>
            <w:vAlign w:val="center"/>
          </w:tcPr>
          <w:p w14:paraId="357E129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409B08F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971E061">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E6BD60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23</w:t>
            </w:r>
          </w:p>
        </w:tc>
        <w:tc>
          <w:tcPr>
            <w:tcW w:w="0" w:type="auto"/>
            <w:tcBorders>
              <w:top w:val="single" w:color="000000" w:sz="4" w:space="0"/>
              <w:left w:val="nil"/>
              <w:bottom w:val="single" w:color="000000" w:sz="4" w:space="0"/>
              <w:right w:val="single" w:color="000000" w:sz="4" w:space="0"/>
            </w:tcBorders>
            <w:vAlign w:val="center"/>
          </w:tcPr>
          <w:p w14:paraId="69FDB9C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全自动中药材蒸柜</w:t>
            </w:r>
          </w:p>
        </w:tc>
        <w:tc>
          <w:tcPr>
            <w:tcW w:w="6350" w:type="dxa"/>
            <w:tcBorders>
              <w:top w:val="single" w:color="000000" w:sz="4" w:space="0"/>
              <w:left w:val="single" w:color="000000" w:sz="4" w:space="0"/>
              <w:bottom w:val="single" w:color="000000" w:sz="4" w:space="0"/>
              <w:right w:val="single" w:color="000000" w:sz="4" w:space="0"/>
            </w:tcBorders>
            <w:vAlign w:val="center"/>
          </w:tcPr>
          <w:p w14:paraId="45CD0A3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其他农业和林业机械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1、产品电压220v，功率≥8kW。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2、蒸箱内最多可放10个蒸盘（尺寸40*60*4.5cm），配置无孔蒸盘1整套、有孔整盘1整套。</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3、缺水断电，内置防干烧浮球。</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4、可预约、定时、定温。</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5、加热方式，电热。</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6、开关为触屏控制。</w:t>
            </w:r>
          </w:p>
        </w:tc>
        <w:tc>
          <w:tcPr>
            <w:tcW w:w="839" w:type="dxa"/>
            <w:tcBorders>
              <w:top w:val="single" w:color="000000" w:sz="4" w:space="0"/>
              <w:left w:val="single" w:color="000000" w:sz="4" w:space="0"/>
              <w:bottom w:val="single" w:color="000000" w:sz="4" w:space="0"/>
              <w:right w:val="single" w:color="000000" w:sz="4" w:space="0"/>
            </w:tcBorders>
            <w:vAlign w:val="center"/>
          </w:tcPr>
          <w:p w14:paraId="660CE02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170016A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9EFDE1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0B9CFA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24</w:t>
            </w:r>
          </w:p>
        </w:tc>
        <w:tc>
          <w:tcPr>
            <w:tcW w:w="0" w:type="auto"/>
            <w:tcBorders>
              <w:top w:val="single" w:color="000000" w:sz="4" w:space="0"/>
              <w:left w:val="nil"/>
              <w:bottom w:val="single" w:color="000000" w:sz="4" w:space="0"/>
              <w:right w:val="single" w:color="000000" w:sz="4" w:space="0"/>
            </w:tcBorders>
            <w:vAlign w:val="center"/>
          </w:tcPr>
          <w:p w14:paraId="1360924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背负式割灌机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7AD8D91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排灌机械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1、全重15kg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2、净重9.3kg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3、功率1.47KW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4、排量40.1立方厘米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5、配原厂机油 + 配比壶</w:t>
            </w:r>
          </w:p>
        </w:tc>
        <w:tc>
          <w:tcPr>
            <w:tcW w:w="839" w:type="dxa"/>
            <w:tcBorders>
              <w:top w:val="single" w:color="000000" w:sz="4" w:space="0"/>
              <w:left w:val="single" w:color="000000" w:sz="4" w:space="0"/>
              <w:bottom w:val="single" w:color="000000" w:sz="4" w:space="0"/>
              <w:right w:val="single" w:color="000000" w:sz="4" w:space="0"/>
            </w:tcBorders>
            <w:vAlign w:val="center"/>
          </w:tcPr>
          <w:p w14:paraId="6C0CB6F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ED3444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24464A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228FBD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25</w:t>
            </w:r>
          </w:p>
        </w:tc>
        <w:tc>
          <w:tcPr>
            <w:tcW w:w="0" w:type="auto"/>
            <w:tcBorders>
              <w:top w:val="single" w:color="000000" w:sz="4" w:space="0"/>
              <w:left w:val="nil"/>
              <w:bottom w:val="nil"/>
              <w:right w:val="single" w:color="000000" w:sz="4" w:space="0"/>
            </w:tcBorders>
            <w:vAlign w:val="center"/>
          </w:tcPr>
          <w:p w14:paraId="49514F6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柴油开沟机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F5EF688">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1、配旋耕机、起垄器，开沟犁、翻转犁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2、柴油发动机，18马力四冲程电启动柴油机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3、配电池（含电瓶）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4、保修2年</w:t>
            </w:r>
          </w:p>
        </w:tc>
        <w:tc>
          <w:tcPr>
            <w:tcW w:w="839" w:type="dxa"/>
            <w:tcBorders>
              <w:top w:val="single" w:color="000000" w:sz="4" w:space="0"/>
              <w:left w:val="single" w:color="000000" w:sz="4" w:space="0"/>
              <w:bottom w:val="single" w:color="000000" w:sz="4" w:space="0"/>
              <w:right w:val="single" w:color="000000" w:sz="4" w:space="0"/>
            </w:tcBorders>
            <w:vAlign w:val="center"/>
          </w:tcPr>
          <w:p w14:paraId="0924A56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5DE9829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559087F">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4D532AD">
            <w:pPr>
              <w:snapToGrid w:val="0"/>
              <w:jc w:val="center"/>
              <w:rPr>
                <w:rFonts w:ascii="Arial" w:hAnsi="Arial" w:cs="Arial"/>
                <w:b/>
                <w:color w:val="auto"/>
                <w:sz w:val="22"/>
                <w:szCs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2060DE9">
            <w:pPr>
              <w:widowControl/>
              <w:snapToGrid w:val="0"/>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合计</w:t>
            </w:r>
          </w:p>
        </w:tc>
        <w:tc>
          <w:tcPr>
            <w:tcW w:w="6350" w:type="dxa"/>
            <w:tcBorders>
              <w:top w:val="single" w:color="000000" w:sz="4" w:space="0"/>
              <w:left w:val="nil"/>
              <w:bottom w:val="single" w:color="000000" w:sz="4" w:space="0"/>
              <w:right w:val="single" w:color="000000" w:sz="4" w:space="0"/>
            </w:tcBorders>
            <w:shd w:val="clear" w:color="auto" w:fill="F2F2F2"/>
            <w:vAlign w:val="center"/>
          </w:tcPr>
          <w:p w14:paraId="2D506F40">
            <w:pPr>
              <w:snapToGrid w:val="0"/>
              <w:jc w:val="left"/>
              <w:rPr>
                <w:rFonts w:hint="eastAsia" w:ascii="宋体" w:hAnsi="宋体" w:cs="宋体"/>
                <w:b/>
                <w:color w:val="auto"/>
                <w:sz w:val="20"/>
                <w:szCs w:val="20"/>
                <w:highlight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1C8A84B">
            <w:pPr>
              <w:widowControl/>
              <w:snapToGrid w:val="0"/>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 xml:space="preserve">38 </w:t>
            </w:r>
          </w:p>
        </w:tc>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9ED0803">
            <w:pPr>
              <w:snapToGrid w:val="0"/>
              <w:jc w:val="center"/>
              <w:rPr>
                <w:rFonts w:hint="eastAsia" w:ascii="宋体" w:hAnsi="宋体" w:cs="宋体"/>
                <w:b/>
                <w:color w:val="auto"/>
                <w:sz w:val="20"/>
                <w:szCs w:val="20"/>
                <w:highlight w:val="none"/>
              </w:rPr>
            </w:pPr>
          </w:p>
        </w:tc>
      </w:tr>
    </w:tbl>
    <w:p w14:paraId="23A7E3D2">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标有“★”号条款为实质性条款，若有任何一条负偏离或不满足则导致投标无效。</w:t>
      </w:r>
    </w:p>
    <w:p w14:paraId="7ADBA4DC">
      <w:pPr>
        <w:rPr>
          <w:rFonts w:hint="eastAsia"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bidi="ar"/>
        </w:rPr>
        <w:br w:type="page"/>
      </w:r>
    </w:p>
    <w:p w14:paraId="57508741">
      <w:pPr>
        <w:widowControl/>
        <w:spacing w:line="360" w:lineRule="auto"/>
        <w:ind w:firstLine="723" w:firstLineChars="200"/>
        <w:jc w:val="center"/>
        <w:rPr>
          <w:rFonts w:hint="eastAsia"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bidi="ar"/>
        </w:rPr>
        <w:t>第二节、商务要求</w:t>
      </w:r>
    </w:p>
    <w:p w14:paraId="4761A1DA">
      <w:pPr>
        <w:widowControl/>
        <w:spacing w:line="360" w:lineRule="auto"/>
        <w:jc w:val="left"/>
        <w:rPr>
          <w:rFonts w:hint="eastAsia" w:ascii="宋体" w:hAnsi="宋体"/>
          <w:b/>
          <w:bCs/>
          <w:color w:val="auto"/>
          <w:szCs w:val="21"/>
          <w:highlight w:val="none"/>
        </w:rPr>
      </w:pPr>
      <w:r>
        <w:rPr>
          <w:rFonts w:hint="eastAsia" w:ascii="宋体" w:hAnsi="宋体" w:cs="宋体"/>
          <w:b/>
          <w:bCs/>
          <w:color w:val="auto"/>
          <w:kern w:val="0"/>
          <w:szCs w:val="21"/>
          <w:highlight w:val="none"/>
          <w:lang w:bidi="ar"/>
        </w:rPr>
        <w:t xml:space="preserve">一、报价要求 </w:t>
      </w:r>
    </w:p>
    <w:p w14:paraId="078B0EDA">
      <w:pPr>
        <w:pStyle w:val="190"/>
        <w:spacing w:line="360" w:lineRule="auto"/>
        <w:rPr>
          <w:rFonts w:hint="eastAsia" w:ascii="宋体" w:hAnsi="宋体"/>
          <w:color w:val="auto"/>
          <w:szCs w:val="21"/>
          <w:highlight w:val="none"/>
        </w:rPr>
      </w:pPr>
      <w:r>
        <w:rPr>
          <w:rFonts w:hint="eastAsia" w:ascii="宋体" w:hAnsi="宋体"/>
          <w:color w:val="auto"/>
          <w:szCs w:val="21"/>
          <w:highlight w:val="none"/>
        </w:rPr>
        <w:t xml:space="preserve">供应商磋商的产品应包含直接费、管理费、保险费、利润、各项税金、配套货物的出厂价、到达最终目的地点的相关运输费、保险、仓储费、装卸费、安装费、检测费、评审费、人员培训费等伴随服务费和招标需求的有关内容。 </w:t>
      </w:r>
    </w:p>
    <w:p w14:paraId="7CC56ED3">
      <w:pPr>
        <w:pStyle w:val="190"/>
        <w:spacing w:line="36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 xml:space="preserve">二、质量保证，安装调试、培训要求及其它 </w:t>
      </w:r>
    </w:p>
    <w:p w14:paraId="3D39863E">
      <w:pPr>
        <w:pStyle w:val="190"/>
        <w:spacing w:line="360" w:lineRule="auto"/>
        <w:rPr>
          <w:rFonts w:hint="eastAsia" w:ascii="宋体" w:hAnsi="宋体"/>
          <w:color w:val="auto"/>
          <w:szCs w:val="21"/>
          <w:highlight w:val="none"/>
        </w:rPr>
      </w:pPr>
      <w:r>
        <w:rPr>
          <w:rFonts w:hint="eastAsia" w:ascii="宋体" w:hAnsi="宋体"/>
          <w:color w:val="auto"/>
          <w:szCs w:val="21"/>
          <w:highlight w:val="none"/>
        </w:rPr>
        <w:t xml:space="preserve">1、质量保证：中标供应商需保证所提供货物是全新的、未使用过的，并且各方面与合同规定的质量，规格和性能相一致。在使用过程中，如最终用户发现中标供应商提供的货物属于翻新的货物或假货，最终用户拥有不受时限的追索权，有权要求中标供应商赔偿其所有损失。 </w:t>
      </w:r>
    </w:p>
    <w:p w14:paraId="62DFE072">
      <w:pPr>
        <w:pStyle w:val="190"/>
        <w:spacing w:line="360" w:lineRule="auto"/>
        <w:rPr>
          <w:rFonts w:hint="eastAsia" w:ascii="宋体" w:hAnsi="宋体"/>
          <w:color w:val="auto"/>
          <w:szCs w:val="21"/>
          <w:highlight w:val="none"/>
        </w:rPr>
      </w:pPr>
      <w:r>
        <w:rPr>
          <w:rFonts w:hint="eastAsia" w:ascii="宋体" w:hAnsi="宋体"/>
          <w:color w:val="auto"/>
          <w:szCs w:val="21"/>
          <w:highlight w:val="none"/>
        </w:rPr>
        <w:t xml:space="preserve">3、中标供应商应配置工程技术人员，提供开箱验货、安装、调试或维修等服务。 </w:t>
      </w:r>
    </w:p>
    <w:p w14:paraId="41B27325">
      <w:pPr>
        <w:pStyle w:val="190"/>
        <w:spacing w:line="360" w:lineRule="auto"/>
        <w:rPr>
          <w:rFonts w:hint="eastAsia" w:ascii="宋体" w:hAnsi="宋体"/>
          <w:color w:val="auto"/>
          <w:szCs w:val="21"/>
          <w:highlight w:val="none"/>
        </w:rPr>
      </w:pPr>
      <w:r>
        <w:rPr>
          <w:rFonts w:hint="eastAsia" w:ascii="宋体" w:hAnsi="宋体"/>
          <w:color w:val="auto"/>
          <w:szCs w:val="21"/>
          <w:highlight w:val="none"/>
        </w:rPr>
        <w:t>4、技术培训要求: 供应商需提供详细培训方案，内容包括但不限于所提供设备的原理和技术性能、操作维护方法、排除故障等方面，中标供应商应配置专业技术人员提供现场技术培训，保证使用人员正常操作设备的各种功能；除现场培训外,厂方安排免费集中培训一次。 制定人员培训方案，培训方案应包括培训目的、培训时间安排、人数、次数、培训课程、培训组织方式等。</w:t>
      </w:r>
    </w:p>
    <w:p w14:paraId="75F82456">
      <w:pPr>
        <w:pStyle w:val="190"/>
        <w:spacing w:line="360" w:lineRule="auto"/>
        <w:rPr>
          <w:rFonts w:hint="eastAsia" w:ascii="宋体" w:hAnsi="宋体"/>
          <w:color w:val="auto"/>
          <w:szCs w:val="21"/>
          <w:highlight w:val="none"/>
        </w:rPr>
      </w:pPr>
      <w:r>
        <w:rPr>
          <w:rFonts w:hint="eastAsia" w:ascii="宋体" w:hAnsi="宋体"/>
          <w:color w:val="auto"/>
          <w:szCs w:val="21"/>
          <w:highlight w:val="none"/>
        </w:rPr>
        <w:t xml:space="preserve">5、安全性能：符合国家商品安全质量要求。 </w:t>
      </w:r>
    </w:p>
    <w:p w14:paraId="4B96E589">
      <w:pPr>
        <w:pStyle w:val="190"/>
        <w:spacing w:line="360" w:lineRule="auto"/>
        <w:rPr>
          <w:rFonts w:hint="eastAsia" w:ascii="宋体" w:hAnsi="宋体"/>
          <w:color w:val="auto"/>
          <w:szCs w:val="21"/>
          <w:highlight w:val="none"/>
        </w:rPr>
      </w:pPr>
      <w:r>
        <w:rPr>
          <w:rFonts w:hint="eastAsia" w:ascii="宋体" w:hAnsi="宋体"/>
          <w:color w:val="auto"/>
          <w:szCs w:val="21"/>
          <w:highlight w:val="none"/>
        </w:rPr>
        <w:t xml:space="preserve">6、供应商可根据现场考察的实际情况提供详细项目实施计划及安装调试措施，包括但不限于包括安装调试、试运行、测试等，交货时间和安装调试竣工时间要求、质量保证措施、进度保障措施。对于本项目实施所需的设备材料、工具等均需自备。中标供应商须负责安装期间的设备的妥善保管， 因中标供应商的责任造成的火灾、设备毁损、人员伤亡等事故，由中标供应商负责处理并承担相应的经济、民事及其它法律责任。 </w:t>
      </w:r>
    </w:p>
    <w:p w14:paraId="76F0A0FE">
      <w:pPr>
        <w:pStyle w:val="190"/>
        <w:spacing w:before="156" w:beforeLines="50" w:line="36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三、售后服务</w:t>
      </w:r>
    </w:p>
    <w:p w14:paraId="085D2384">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★1、质保期：第五章采购需求第一节、技术要求中单独列示质保期的设备，按其单独列明要求执行；其余设备质保期≥1 年。产品原厂质保年限高于前述要求的，以厂家质保年限为准，质保期自验收合格之日起计算。</w:t>
      </w:r>
    </w:p>
    <w:p w14:paraId="78284083">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质保期从验收合格后起计算，在质保期内中标人对产品质量实行三包，因设备配置、设备或零部件制造质量问题而引起的故障，中标人应在24小时内免费维修或更换，保证设备及时恢复正常，由此引起的一切费用由中标人承担。</w:t>
      </w:r>
    </w:p>
    <w:p w14:paraId="3B3FDF52">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在质保期内，中标人应提供免费上门维修和技术支持的服务，及时维修、更换有缺陷的货物或部件，并进行终身维护。如果中标人收到采购人通知后，未在规定的响应时间内赶到现场弥补缺陷，采购人可采取必要的补救措施，但风险和费用全部由中标人承担，并从质量保证金中抵扣。质保期后应提供长期优质服务。在使用寿命期内，中标人应保证对设备的零件、易损件的供应。</w:t>
      </w:r>
    </w:p>
    <w:p w14:paraId="1C671ED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4、中标人应能保证设备使用运行所需的备件和具备相关技术保障机制，并保证能提供5×8小时的故障响应，包含法定节假日。</w:t>
      </w:r>
    </w:p>
    <w:p w14:paraId="3B16CD9C">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在质保期间，中标人应承诺</w:t>
      </w:r>
      <w:r>
        <w:rPr>
          <w:rFonts w:hint="eastAsia" w:ascii="宋体" w:hAnsi="宋体"/>
          <w:color w:val="auto"/>
          <w:szCs w:val="21"/>
          <w:highlight w:val="none"/>
        </w:rPr>
        <w:t>设备在</w:t>
      </w:r>
      <w:r>
        <w:rPr>
          <w:rFonts w:ascii="宋体" w:hAnsi="宋体"/>
          <w:color w:val="auto"/>
          <w:szCs w:val="21"/>
          <w:highlight w:val="none"/>
        </w:rPr>
        <w:t>出现的一般性故障应在24小时内解决；对严重影响系统运行的故障应在48小时内解决</w:t>
      </w:r>
      <w:r>
        <w:rPr>
          <w:rFonts w:hint="eastAsia" w:ascii="宋体" w:hAnsi="宋体"/>
          <w:color w:val="auto"/>
          <w:szCs w:val="21"/>
          <w:highlight w:val="none"/>
        </w:rPr>
        <w:t>。</w:t>
      </w:r>
    </w:p>
    <w:p w14:paraId="74DAB9A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6、中标人的售后服务机构名称、联系方法等如有变化，应及时通知采购人。中标人不及时通知采购人，由此而造成的损失由中标人负责。</w:t>
      </w:r>
    </w:p>
    <w:p w14:paraId="06112FA9">
      <w:pPr>
        <w:adjustRightInd w:val="0"/>
        <w:snapToGrid w:val="0"/>
        <w:spacing w:line="440" w:lineRule="exact"/>
        <w:ind w:firstLine="420" w:firstLineChars="200"/>
        <w:jc w:val="left"/>
        <w:rPr>
          <w:rFonts w:hint="eastAsia"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、中标人售后服务机构不履行本合同质量和售后服务有关规定，由中标人承担一切责任。</w:t>
      </w:r>
    </w:p>
    <w:p w14:paraId="5C5E20C3">
      <w:pPr>
        <w:adjustRightInd w:val="0"/>
        <w:snapToGrid w:val="0"/>
        <w:spacing w:line="440" w:lineRule="exact"/>
        <w:ind w:firstLine="420" w:firstLineChars="200"/>
        <w:jc w:val="left"/>
        <w:rPr>
          <w:rFonts w:hint="eastAsia" w:ascii="宋体" w:hAnsi="宋体"/>
          <w:color w:val="auto"/>
          <w:szCs w:val="21"/>
          <w:highlight w:val="none"/>
        </w:rPr>
      </w:pPr>
      <w:r>
        <w:rPr>
          <w:rFonts w:ascii="宋体" w:hAnsi="宋体"/>
          <w:color w:val="auto"/>
          <w:szCs w:val="21"/>
          <w:highlight w:val="none"/>
        </w:rPr>
        <w:t>8</w:t>
      </w:r>
      <w:r>
        <w:rPr>
          <w:rFonts w:hint="eastAsia" w:ascii="宋体" w:hAnsi="宋体"/>
          <w:color w:val="auto"/>
          <w:szCs w:val="21"/>
          <w:highlight w:val="none"/>
        </w:rPr>
        <w:t>、自验收合格之日起，中标人所提供产品的质保期应满足清单中要求的质保时间。</w:t>
      </w:r>
    </w:p>
    <w:p w14:paraId="221BC5CA">
      <w:pPr>
        <w:pStyle w:val="190"/>
        <w:spacing w:before="156" w:beforeLines="50" w:line="360" w:lineRule="auto"/>
        <w:ind w:firstLine="0" w:firstLineChars="0"/>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四、验收方式</w:t>
      </w:r>
    </w:p>
    <w:p w14:paraId="1E7F8DE8">
      <w:pPr>
        <w:widowControl/>
        <w:spacing w:line="360" w:lineRule="auto"/>
        <w:ind w:firstLine="420" w:firstLineChars="200"/>
        <w:jc w:val="left"/>
        <w:rPr>
          <w:color w:val="auto"/>
          <w:szCs w:val="21"/>
          <w:highlight w:val="none"/>
        </w:rPr>
      </w:pPr>
      <w:r>
        <w:rPr>
          <w:rFonts w:hint="eastAsia" w:ascii="宋体" w:hAnsi="宋体" w:cs="宋体"/>
          <w:color w:val="auto"/>
          <w:kern w:val="0"/>
          <w:szCs w:val="21"/>
          <w:highlight w:val="none"/>
          <w:lang w:bidi="ar"/>
        </w:rPr>
        <w:t>1、在货物到达使用单位，现场场地符合安装条件后，供应商派技术人员安装、负责调试，并应在</w:t>
      </w:r>
      <w:r>
        <w:rPr>
          <w:rFonts w:hint="eastAsia"/>
          <w:color w:val="auto"/>
          <w:highlight w:val="none"/>
        </w:rPr>
        <w:t>7日</w:t>
      </w:r>
      <w:r>
        <w:rPr>
          <w:rFonts w:hint="eastAsia" w:ascii="宋体" w:hAnsi="宋体" w:cs="宋体"/>
          <w:color w:val="auto"/>
          <w:kern w:val="0"/>
          <w:szCs w:val="21"/>
          <w:highlight w:val="none"/>
          <w:lang w:bidi="ar"/>
        </w:rPr>
        <w:t>内到达采购人指定安装地点，在采购方人员在场的情况下开箱清点货物，组织安装、调试，并承 担因此发生的一切费用。如卖方</w:t>
      </w:r>
      <w:r>
        <w:rPr>
          <w:rFonts w:hint="eastAsia"/>
          <w:color w:val="auto"/>
          <w:highlight w:val="none"/>
        </w:rPr>
        <w:t>7日</w:t>
      </w:r>
      <w:r>
        <w:rPr>
          <w:rFonts w:hint="eastAsia" w:ascii="宋体" w:hAnsi="宋体" w:cs="宋体"/>
          <w:color w:val="auto"/>
          <w:kern w:val="0"/>
          <w:szCs w:val="21"/>
          <w:highlight w:val="none"/>
          <w:lang w:bidi="ar"/>
        </w:rPr>
        <w:t xml:space="preserve">内未到达采购人指定安装地点，采购人有权自行开箱安装调试。 开箱如有缺货、错装、损坏或技术问题，供应商应承担全部责任。 </w:t>
      </w:r>
    </w:p>
    <w:p w14:paraId="1E73C79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2、设备各项技术性能、指标必须达到合同和技术文件规定的要求，设备安装后，采购人按国际和国家标准及招标参数要求进行质量验收。 </w:t>
      </w:r>
    </w:p>
    <w:p w14:paraId="5ABD8CB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3、设备验收签字前如有任何质量问题，供应商必须无条件更换。 </w:t>
      </w:r>
    </w:p>
    <w:p w14:paraId="34CBB7D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4、供应商须承担货物验收前的财产保护责任，在验收前出现损坏由卖方负责。在安装运输过程中 如出现人员伤亡及财产损坏由供应商承担赔偿责任</w:t>
      </w:r>
    </w:p>
    <w:p w14:paraId="0658CD3D">
      <w:pPr>
        <w:widowControl/>
        <w:spacing w:line="360" w:lineRule="auto"/>
        <w:jc w:val="left"/>
        <w:rPr>
          <w:color w:val="auto"/>
          <w:szCs w:val="21"/>
          <w:highlight w:val="none"/>
        </w:rPr>
      </w:pPr>
      <w:r>
        <w:rPr>
          <w:rFonts w:hint="eastAsia" w:ascii="宋体" w:hAnsi="宋体" w:cs="宋体"/>
          <w:b/>
          <w:bCs/>
          <w:color w:val="auto"/>
          <w:kern w:val="0"/>
          <w:szCs w:val="21"/>
          <w:highlight w:val="none"/>
          <w:lang w:bidi="ar"/>
        </w:rPr>
        <w:t xml:space="preserve">五、交货时间、地点及要求 </w:t>
      </w:r>
    </w:p>
    <w:p w14:paraId="17C642A1">
      <w:pPr>
        <w:widowControl/>
        <w:spacing w:line="360" w:lineRule="auto"/>
        <w:ind w:firstLine="422" w:firstLineChars="200"/>
        <w:jc w:val="left"/>
        <w:rPr>
          <w:b/>
          <w:color w:val="auto"/>
          <w:szCs w:val="21"/>
          <w:highlight w:val="none"/>
        </w:rPr>
      </w:pPr>
      <w:r>
        <w:rPr>
          <w:rFonts w:hint="eastAsia" w:ascii="宋体" w:hAnsi="宋体" w:cs="宋体"/>
          <w:b/>
          <w:color w:val="auto"/>
          <w:kern w:val="0"/>
          <w:szCs w:val="21"/>
          <w:highlight w:val="none"/>
          <w:lang w:bidi="ar"/>
        </w:rPr>
        <w:t>★1、交货时间：合同签订后</w:t>
      </w:r>
      <w:r>
        <w:rPr>
          <w:rFonts w:hint="default" w:ascii="宋体" w:hAnsi="宋体" w:cs="宋体"/>
          <w:b/>
          <w:color w:val="auto"/>
          <w:kern w:val="0"/>
          <w:szCs w:val="21"/>
          <w:highlight w:val="none"/>
          <w:lang w:val="en-US" w:bidi="ar"/>
        </w:rPr>
        <w:t>3</w:t>
      </w:r>
      <w:r>
        <w:rPr>
          <w:rFonts w:hint="eastAsia" w:ascii="宋体" w:hAnsi="宋体" w:cs="宋体"/>
          <w:b/>
          <w:color w:val="auto"/>
          <w:kern w:val="0"/>
          <w:szCs w:val="21"/>
          <w:highlight w:val="none"/>
          <w:lang w:bidi="ar"/>
        </w:rPr>
        <w:t xml:space="preserve">0日内交货并完成安装调试、正常使用。 </w:t>
      </w:r>
    </w:p>
    <w:p w14:paraId="2BF6C712">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2、交货地点：采购人指定地点。 </w:t>
      </w:r>
    </w:p>
    <w:p w14:paraId="353FDA4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3、本项目为“交钥匙”工程，供应商应提供产品的供货、安装调试及售后服务等其他服务。 其所有费用由中标供应商负责。在采购项目实施中出现任何遗漏，均由中标供应商自行负责， 采购人不再支付任何费用。</w:t>
      </w:r>
      <w:r>
        <w:rPr>
          <w:rFonts w:hint="eastAsia" w:ascii="宋体" w:hAnsi="宋体" w:cs="宋体"/>
          <w:b/>
          <w:bCs/>
          <w:color w:val="auto"/>
          <w:kern w:val="0"/>
          <w:szCs w:val="21"/>
          <w:highlight w:val="none"/>
          <w:lang w:bidi="ar"/>
        </w:rPr>
        <w:t xml:space="preserve"> </w:t>
      </w:r>
    </w:p>
    <w:p w14:paraId="6DA690DD">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六、付款方式和条件</w:t>
      </w:r>
    </w:p>
    <w:p w14:paraId="2A1066C6">
      <w:pPr>
        <w:widowControl/>
        <w:spacing w:line="360" w:lineRule="auto"/>
        <w:jc w:val="left"/>
        <w:rPr>
          <w:rFonts w:hint="eastAsia" w:ascii="宋体" w:hAnsi="宋体" w:cs="宋体"/>
          <w:b/>
          <w:bCs/>
          <w:color w:val="auto"/>
          <w:kern w:val="0"/>
          <w:szCs w:val="21"/>
          <w:highlight w:val="none"/>
          <w:lang w:bidi="ar"/>
        </w:rPr>
      </w:pPr>
      <w:r>
        <w:rPr>
          <w:rFonts w:hint="eastAsia"/>
          <w:color w:val="auto"/>
          <w:highlight w:val="none"/>
        </w:rPr>
        <w:t>货物到达采购人指定地点，全部产品安装调试完毕并经采购人验收合格后，支付合同款项的 97%；剩余合同款项的 3% 作为质量保证金，待全部设备各自对应的质保期限均届满后予以支付。质保期限判定：第五章采购需求第一节、技术要求中单独列明质保期限的设备，按其列明要求执行；其余设备质保期不少于 1 年；若产品原厂厂家质保年限高于前述要求的，以厂家质保年限为准。</w:t>
      </w:r>
      <w:r>
        <w:rPr>
          <w:rFonts w:hint="eastAsia" w:ascii="宋体" w:hAnsi="宋体" w:cs="宋体"/>
          <w:b/>
          <w:bCs/>
          <w:color w:val="auto"/>
          <w:kern w:val="0"/>
          <w:szCs w:val="21"/>
          <w:highlight w:val="none"/>
          <w:lang w:bidi="ar"/>
        </w:rPr>
        <w:t>七、项目实施的其他要求</w:t>
      </w:r>
    </w:p>
    <w:p w14:paraId="5243706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1、本项目采用费用包干方式，供应商应根据项目要求和现场情况，详细列明项目所需产品的购置，以及产品运输保险保管、试用、产品通过验收、培训、管理、财务等所有费用，如一旦中标，在项目 实施中出现任何遗漏，均由中标人免费提供，采购人不再支付任何费用。 </w:t>
      </w:r>
    </w:p>
    <w:p w14:paraId="003BFB4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2、供应商在磋商前，须踏勘现场的，有关费用自理，踏勘期间发生的意外自负。 </w:t>
      </w:r>
    </w:p>
    <w:p w14:paraId="1823C729">
      <w:pPr>
        <w:widowControl/>
        <w:spacing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 xml:space="preserve">八、其他未尽事宜合同中约定 </w:t>
      </w:r>
    </w:p>
    <w:p w14:paraId="2F9C26BF">
      <w:pPr>
        <w:widowControl/>
        <w:jc w:val="left"/>
        <w:rPr>
          <w:rFonts w:hint="eastAsia" w:ascii="宋体" w:hAnsi="宋体" w:cs="宋体"/>
          <w:b/>
          <w:bCs/>
          <w:color w:val="auto"/>
          <w:kern w:val="0"/>
          <w:szCs w:val="21"/>
          <w:highlight w:val="none"/>
          <w:lang w:bidi="ar"/>
        </w:rPr>
      </w:pPr>
    </w:p>
    <w:p w14:paraId="14872DBC">
      <w:pPr>
        <w:adjustRightInd w:val="0"/>
        <w:snapToGrid w:val="0"/>
        <w:spacing w:before="156" w:beforeLines="50" w:line="360" w:lineRule="auto"/>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 xml:space="preserve">★对于上述商务要求，供应商不得负偏离，应在响应文件中进行回应，作出承诺，未作出承诺的为无效磋商。 </w:t>
      </w:r>
    </w:p>
    <w:p w14:paraId="20F241C4">
      <w:pPr>
        <w:jc w:val="center"/>
        <w:outlineLvl w:val="1"/>
        <w:rPr>
          <w:rFonts w:ascii="黑体" w:hAnsi="Courier New" w:eastAsia="黑体"/>
          <w:b/>
          <w:color w:val="auto"/>
          <w:kern w:val="0"/>
          <w:sz w:val="30"/>
          <w:szCs w:val="30"/>
          <w:highlight w:val="none"/>
        </w:rPr>
      </w:pPr>
      <w:r>
        <w:rPr>
          <w:rFonts w:hint="eastAsia" w:ascii="黑体" w:hAnsi="宋体" w:eastAsia="黑体"/>
          <w:color w:val="auto"/>
          <w:sz w:val="32"/>
          <w:szCs w:val="32"/>
          <w:highlight w:val="none"/>
        </w:rPr>
        <w:br w:type="page"/>
      </w:r>
      <w:r>
        <w:rPr>
          <w:rFonts w:hint="eastAsia" w:ascii="黑体" w:hAnsi="Courier New" w:eastAsia="黑体"/>
          <w:b/>
          <w:color w:val="auto"/>
          <w:kern w:val="0"/>
          <w:sz w:val="30"/>
          <w:szCs w:val="30"/>
          <w:highlight w:val="none"/>
        </w:rPr>
        <w:t>第六章</w:t>
      </w:r>
      <w:r>
        <w:rPr>
          <w:rFonts w:ascii="黑体" w:hAnsi="Courier New" w:eastAsia="黑体"/>
          <w:b/>
          <w:color w:val="auto"/>
          <w:kern w:val="0"/>
          <w:sz w:val="30"/>
          <w:szCs w:val="30"/>
          <w:highlight w:val="none"/>
        </w:rPr>
        <w:t xml:space="preserve">   </w:t>
      </w:r>
      <w:r>
        <w:rPr>
          <w:rFonts w:hint="eastAsia" w:ascii="黑体" w:hAnsi="Courier New" w:eastAsia="黑体"/>
          <w:b/>
          <w:color w:val="auto"/>
          <w:kern w:val="0"/>
          <w:sz w:val="30"/>
          <w:szCs w:val="30"/>
          <w:highlight w:val="none"/>
        </w:rPr>
        <w:t>响应文件组成</w:t>
      </w:r>
    </w:p>
    <w:p w14:paraId="08D1C616">
      <w:pPr>
        <w:spacing w:line="360" w:lineRule="exact"/>
        <w:rPr>
          <w:rFonts w:ascii="宋体"/>
          <w:color w:val="auto"/>
          <w:highlight w:val="none"/>
        </w:rPr>
      </w:pPr>
    </w:p>
    <w:p w14:paraId="72A8F136">
      <w:pPr>
        <w:spacing w:line="480" w:lineRule="auto"/>
        <w:rPr>
          <w:rFonts w:ascii="宋体"/>
          <w:color w:val="auto"/>
          <w:highlight w:val="none"/>
        </w:rPr>
      </w:pPr>
      <w:r>
        <w:rPr>
          <w:rFonts w:hint="eastAsia" w:ascii="宋体"/>
          <w:color w:val="auto"/>
          <w:highlight w:val="none"/>
        </w:rPr>
        <w:t>供应商的响应文件应包含以下八个部分：</w:t>
      </w:r>
    </w:p>
    <w:p w14:paraId="563A9FCC">
      <w:pPr>
        <w:adjustRightInd w:val="0"/>
        <w:snapToGrid w:val="0"/>
        <w:spacing w:line="480" w:lineRule="auto"/>
        <w:jc w:val="left"/>
        <w:rPr>
          <w:rFonts w:ascii="宋体"/>
          <w:b/>
          <w:color w:val="auto"/>
          <w:szCs w:val="21"/>
          <w:highlight w:val="none"/>
        </w:rPr>
      </w:pPr>
      <w:bookmarkStart w:id="102" w:name="_Toc431750605"/>
      <w:r>
        <w:rPr>
          <w:rFonts w:hint="eastAsia" w:ascii="宋体" w:hAnsi="宋体"/>
          <w:b/>
          <w:color w:val="auto"/>
          <w:szCs w:val="21"/>
          <w:highlight w:val="none"/>
        </w:rPr>
        <w:t>一、磋商响应声明</w:t>
      </w:r>
      <w:bookmarkEnd w:id="102"/>
    </w:p>
    <w:p w14:paraId="221146A1">
      <w:pPr>
        <w:adjustRightInd w:val="0"/>
        <w:snapToGrid w:val="0"/>
        <w:spacing w:line="480" w:lineRule="auto"/>
        <w:ind w:firstLine="420" w:firstLineChars="200"/>
        <w:jc w:val="left"/>
        <w:rPr>
          <w:rFonts w:ascii="宋体"/>
          <w:color w:val="auto"/>
          <w:szCs w:val="21"/>
          <w:highlight w:val="none"/>
        </w:rPr>
      </w:pPr>
      <w:bookmarkStart w:id="103" w:name="_Toc431750606"/>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bookmarkEnd w:id="103"/>
    </w:p>
    <w:p w14:paraId="0BCF4916">
      <w:pPr>
        <w:adjustRightInd w:val="0"/>
        <w:snapToGrid w:val="0"/>
        <w:spacing w:line="480" w:lineRule="auto"/>
        <w:ind w:firstLine="420" w:firstLineChars="200"/>
        <w:jc w:val="left"/>
        <w:rPr>
          <w:rFonts w:hint="eastAsia" w:ascii="宋体" w:hAnsi="宋体"/>
          <w:color w:val="auto"/>
          <w:szCs w:val="21"/>
          <w:highlight w:val="none"/>
        </w:rPr>
      </w:pPr>
      <w:bookmarkStart w:id="104" w:name="_Toc431750607"/>
      <w:r>
        <w:rPr>
          <w:rFonts w:hint="eastAsia" w:ascii="宋体" w:hAnsi="宋体"/>
          <w:color w:val="auto"/>
          <w:szCs w:val="21"/>
          <w:highlight w:val="none"/>
        </w:rPr>
        <w:t>附件</w:t>
      </w:r>
      <w:r>
        <w:rPr>
          <w:rFonts w:ascii="宋体" w:hAnsi="宋体"/>
          <w:color w:val="auto"/>
          <w:szCs w:val="21"/>
          <w:highlight w:val="none"/>
        </w:rPr>
        <w:t>2</w:t>
      </w:r>
      <w:r>
        <w:rPr>
          <w:rFonts w:hint="eastAsia" w:ascii="宋体" w:hAnsi="宋体"/>
          <w:color w:val="auto"/>
          <w:szCs w:val="21"/>
          <w:highlight w:val="none"/>
        </w:rPr>
        <w:t>：法定代表人授权委托书</w:t>
      </w:r>
      <w:bookmarkEnd w:id="104"/>
    </w:p>
    <w:p w14:paraId="2A33861E">
      <w:pPr>
        <w:adjustRightInd w:val="0"/>
        <w:snapToGrid w:val="0"/>
        <w:spacing w:line="480" w:lineRule="auto"/>
        <w:jc w:val="left"/>
        <w:rPr>
          <w:rFonts w:ascii="宋体"/>
          <w:b/>
          <w:color w:val="auto"/>
          <w:szCs w:val="21"/>
          <w:highlight w:val="none"/>
        </w:rPr>
      </w:pPr>
      <w:bookmarkStart w:id="105" w:name="_Toc431750610"/>
      <w:r>
        <w:rPr>
          <w:rFonts w:hint="eastAsia" w:ascii="宋体" w:hAnsi="宋体"/>
          <w:b/>
          <w:color w:val="auto"/>
          <w:szCs w:val="21"/>
          <w:highlight w:val="none"/>
        </w:rPr>
        <w:t>二、供应商的</w:t>
      </w:r>
      <w:bookmarkEnd w:id="105"/>
      <w:r>
        <w:rPr>
          <w:rFonts w:hint="eastAsia" w:ascii="宋体" w:hAnsi="宋体"/>
          <w:b/>
          <w:color w:val="auto"/>
          <w:szCs w:val="21"/>
          <w:highlight w:val="none"/>
        </w:rPr>
        <w:t>基本情况表及其他说明</w:t>
      </w:r>
    </w:p>
    <w:p w14:paraId="15ACFE6C">
      <w:pPr>
        <w:adjustRightInd w:val="0"/>
        <w:snapToGrid w:val="0"/>
        <w:spacing w:line="480" w:lineRule="auto"/>
        <w:ind w:firstLine="420" w:firstLineChars="200"/>
        <w:jc w:val="left"/>
        <w:rPr>
          <w:rFonts w:ascii="宋体"/>
          <w:color w:val="auto"/>
          <w:szCs w:val="21"/>
          <w:highlight w:val="none"/>
        </w:rPr>
      </w:pPr>
      <w:bookmarkStart w:id="106" w:name="_Toc431750611"/>
      <w:r>
        <w:rPr>
          <w:rFonts w:hint="eastAsia" w:ascii="宋体" w:hAnsi="宋体"/>
          <w:color w:val="auto"/>
          <w:szCs w:val="21"/>
          <w:highlight w:val="none"/>
        </w:rPr>
        <w:t>附件3：供应商基本情况表</w:t>
      </w:r>
      <w:bookmarkEnd w:id="106"/>
    </w:p>
    <w:p w14:paraId="28A940B0">
      <w:pPr>
        <w:adjustRightInd w:val="0"/>
        <w:snapToGrid w:val="0"/>
        <w:spacing w:line="480" w:lineRule="auto"/>
        <w:ind w:firstLine="420" w:firstLineChars="200"/>
        <w:rPr>
          <w:rFonts w:ascii="宋体"/>
          <w:bCs/>
          <w:color w:val="auto"/>
          <w:szCs w:val="21"/>
          <w:highlight w:val="none"/>
        </w:rPr>
      </w:pPr>
      <w:bookmarkStart w:id="107" w:name="_Toc431750614"/>
      <w:r>
        <w:rPr>
          <w:rFonts w:hint="eastAsia" w:ascii="宋体" w:hAnsi="宋体"/>
          <w:bCs/>
          <w:color w:val="auto"/>
          <w:szCs w:val="21"/>
          <w:highlight w:val="none"/>
        </w:rPr>
        <w:t>附件4：</w:t>
      </w:r>
      <w:bookmarkEnd w:id="107"/>
      <w:r>
        <w:rPr>
          <w:rFonts w:hint="eastAsia" w:ascii="宋体" w:hAnsi="宋体"/>
          <w:bCs/>
          <w:color w:val="auto"/>
          <w:szCs w:val="21"/>
          <w:highlight w:val="none"/>
        </w:rPr>
        <w:t>其他证明资料或说明</w:t>
      </w:r>
    </w:p>
    <w:p w14:paraId="00237669">
      <w:pPr>
        <w:adjustRightInd w:val="0"/>
        <w:snapToGrid w:val="0"/>
        <w:spacing w:line="480" w:lineRule="auto"/>
        <w:jc w:val="left"/>
        <w:outlineLvl w:val="0"/>
        <w:rPr>
          <w:rFonts w:hint="eastAsia" w:ascii="宋体" w:hAnsi="宋体" w:cs="宋体"/>
          <w:b/>
          <w:color w:val="auto"/>
          <w:szCs w:val="21"/>
          <w:highlight w:val="none"/>
        </w:rPr>
      </w:pPr>
      <w:bookmarkStart w:id="108" w:name="_Toc134193023"/>
      <w:bookmarkStart w:id="109" w:name="_Toc169515390"/>
      <w:bookmarkStart w:id="110" w:name="_Toc187939560"/>
      <w:bookmarkStart w:id="111" w:name="_Toc187243506"/>
      <w:r>
        <w:rPr>
          <w:rFonts w:hint="eastAsia" w:ascii="宋体" w:hAnsi="宋体" w:cs="宋体"/>
          <w:b/>
          <w:color w:val="auto"/>
          <w:szCs w:val="21"/>
          <w:highlight w:val="none"/>
        </w:rPr>
        <w:t>三、</w:t>
      </w:r>
      <w:bookmarkEnd w:id="108"/>
      <w:bookmarkEnd w:id="109"/>
      <w:bookmarkEnd w:id="110"/>
      <w:bookmarkEnd w:id="111"/>
      <w:r>
        <w:rPr>
          <w:rFonts w:hint="eastAsia" w:ascii="宋体" w:hAnsi="宋体" w:cs="宋体"/>
          <w:b/>
          <w:color w:val="auto"/>
          <w:szCs w:val="21"/>
          <w:highlight w:val="none"/>
        </w:rPr>
        <w:t>货物说明一览表</w:t>
      </w:r>
    </w:p>
    <w:p w14:paraId="6B823EC8">
      <w:pPr>
        <w:adjustRightInd w:val="0"/>
        <w:snapToGrid w:val="0"/>
        <w:spacing w:line="480" w:lineRule="auto"/>
        <w:jc w:val="left"/>
        <w:outlineLvl w:val="0"/>
        <w:rPr>
          <w:rFonts w:hint="eastAsia" w:ascii="宋体" w:hAnsi="宋体" w:cs="宋体"/>
          <w:b/>
          <w:color w:val="auto"/>
          <w:szCs w:val="21"/>
          <w:highlight w:val="none"/>
        </w:rPr>
      </w:pPr>
      <w:bookmarkStart w:id="112" w:name="_Toc169515391"/>
      <w:bookmarkStart w:id="113" w:name="_Toc187243507"/>
      <w:bookmarkStart w:id="114" w:name="_Toc187939561"/>
      <w:bookmarkStart w:id="115" w:name="_Toc134193024"/>
      <w:r>
        <w:rPr>
          <w:rFonts w:hint="eastAsia" w:ascii="宋体" w:hAnsi="宋体" w:cs="宋体"/>
          <w:b/>
          <w:color w:val="auto"/>
          <w:szCs w:val="21"/>
          <w:highlight w:val="none"/>
        </w:rPr>
        <w:t>四、技术</w:t>
      </w:r>
      <w:r>
        <w:rPr>
          <w:rFonts w:ascii="宋体" w:hAnsi="宋体" w:cs="宋体"/>
          <w:b/>
          <w:color w:val="auto"/>
          <w:szCs w:val="21"/>
          <w:highlight w:val="none"/>
        </w:rPr>
        <w:t>/</w:t>
      </w:r>
      <w:r>
        <w:rPr>
          <w:rFonts w:hint="eastAsia" w:ascii="宋体" w:hAnsi="宋体" w:cs="宋体"/>
          <w:b/>
          <w:color w:val="auto"/>
          <w:szCs w:val="21"/>
          <w:highlight w:val="none"/>
        </w:rPr>
        <w:t>商务响应与偏离表</w:t>
      </w:r>
      <w:bookmarkEnd w:id="112"/>
      <w:bookmarkEnd w:id="113"/>
      <w:bookmarkEnd w:id="114"/>
      <w:bookmarkEnd w:id="115"/>
    </w:p>
    <w:p w14:paraId="7EAF780A">
      <w:pPr>
        <w:adjustRightInd w:val="0"/>
        <w:snapToGrid w:val="0"/>
        <w:spacing w:line="480" w:lineRule="auto"/>
        <w:jc w:val="left"/>
        <w:outlineLvl w:val="0"/>
        <w:rPr>
          <w:rFonts w:hint="eastAsia" w:ascii="宋体" w:hAnsi="宋体" w:cs="宋体"/>
          <w:b/>
          <w:color w:val="auto"/>
          <w:szCs w:val="21"/>
          <w:highlight w:val="none"/>
        </w:rPr>
      </w:pPr>
      <w:bookmarkStart w:id="116" w:name="_Toc134193025"/>
      <w:bookmarkStart w:id="117" w:name="_Toc187243508"/>
      <w:bookmarkStart w:id="118" w:name="_Toc187939562"/>
      <w:bookmarkStart w:id="119" w:name="_Toc169515392"/>
      <w:r>
        <w:rPr>
          <w:rFonts w:hint="eastAsia" w:ascii="宋体" w:hAnsi="宋体" w:cs="宋体"/>
          <w:b/>
          <w:color w:val="auto"/>
          <w:szCs w:val="21"/>
          <w:highlight w:val="none"/>
        </w:rPr>
        <w:t>五、报价一览表及报价文件</w:t>
      </w:r>
      <w:bookmarkEnd w:id="116"/>
      <w:bookmarkEnd w:id="117"/>
      <w:bookmarkEnd w:id="118"/>
      <w:bookmarkEnd w:id="119"/>
    </w:p>
    <w:p w14:paraId="2C9D09C0">
      <w:pPr>
        <w:adjustRightInd w:val="0"/>
        <w:snapToGrid w:val="0"/>
        <w:spacing w:line="480" w:lineRule="auto"/>
        <w:ind w:firstLine="420" w:firstLineChars="200"/>
        <w:jc w:val="left"/>
        <w:outlineLvl w:val="0"/>
        <w:rPr>
          <w:rFonts w:hint="eastAsia" w:ascii="宋体" w:hAnsi="宋体" w:cs="宋体"/>
          <w:bCs/>
          <w:color w:val="auto"/>
          <w:szCs w:val="21"/>
          <w:highlight w:val="none"/>
        </w:rPr>
      </w:pPr>
      <w:bookmarkStart w:id="120" w:name="_Toc187243509"/>
      <w:bookmarkStart w:id="121" w:name="_Toc187939563"/>
      <w:bookmarkStart w:id="122" w:name="_Toc169515393"/>
      <w:bookmarkStart w:id="123" w:name="_Toc134193026"/>
      <w:r>
        <w:rPr>
          <w:rFonts w:hint="eastAsia" w:ascii="宋体" w:hAnsi="宋体" w:cs="宋体"/>
          <w:color w:val="auto"/>
          <w:szCs w:val="21"/>
          <w:highlight w:val="none"/>
        </w:rPr>
        <w:t>附件5：</w:t>
      </w:r>
      <w:r>
        <w:rPr>
          <w:rFonts w:hint="eastAsia" w:ascii="宋体" w:hAnsi="宋体" w:cs="宋体"/>
          <w:bCs/>
          <w:color w:val="auto"/>
          <w:szCs w:val="21"/>
          <w:highlight w:val="none"/>
        </w:rPr>
        <w:t>报价文件</w:t>
      </w:r>
      <w:bookmarkEnd w:id="120"/>
      <w:bookmarkEnd w:id="121"/>
      <w:bookmarkEnd w:id="122"/>
      <w:bookmarkEnd w:id="123"/>
    </w:p>
    <w:p w14:paraId="1F8BD6CE">
      <w:pPr>
        <w:adjustRightInd w:val="0"/>
        <w:snapToGrid w:val="0"/>
        <w:spacing w:line="480" w:lineRule="auto"/>
        <w:rPr>
          <w:rFonts w:hint="eastAsia" w:hAnsi="宋体"/>
          <w:b/>
          <w:color w:val="auto"/>
          <w:highlight w:val="none"/>
        </w:rPr>
      </w:pPr>
      <w:r>
        <w:rPr>
          <w:rFonts w:hint="eastAsia" w:hAnsi="宋体"/>
          <w:b/>
          <w:color w:val="auto"/>
          <w:highlight w:val="none"/>
        </w:rPr>
        <w:t>六、供应商认为需提供的其它资料</w:t>
      </w:r>
    </w:p>
    <w:p w14:paraId="52BC5E53">
      <w:pPr>
        <w:adjustRightInd w:val="0"/>
        <w:snapToGrid w:val="0"/>
        <w:spacing w:line="480" w:lineRule="auto"/>
        <w:rPr>
          <w:rFonts w:hint="eastAsia" w:hAnsi="宋体"/>
          <w:b/>
          <w:color w:val="auto"/>
          <w:highlight w:val="none"/>
        </w:rPr>
      </w:pPr>
      <w:r>
        <w:rPr>
          <w:rFonts w:hint="eastAsia" w:hAnsi="宋体"/>
          <w:b/>
          <w:color w:val="auto"/>
          <w:highlight w:val="none"/>
        </w:rPr>
        <w:t>七、享受政府采购政策优惠的证明资料</w:t>
      </w:r>
    </w:p>
    <w:p w14:paraId="1F7B668D">
      <w:pPr>
        <w:spacing w:line="360" w:lineRule="exact"/>
        <w:rPr>
          <w:rFonts w:hint="eastAsia" w:hAnsi="宋体"/>
          <w:b/>
          <w:color w:val="auto"/>
          <w:highlight w:val="none"/>
        </w:rPr>
      </w:pPr>
      <w:r>
        <w:rPr>
          <w:rFonts w:hint="eastAsia" w:hAnsi="宋体"/>
          <w:b/>
          <w:color w:val="auto"/>
          <w:highlight w:val="none"/>
        </w:rPr>
        <w:t>八、</w:t>
      </w:r>
      <w:r>
        <w:rPr>
          <w:rFonts w:hAnsi="宋体"/>
          <w:b/>
          <w:color w:val="auto"/>
          <w:highlight w:val="none"/>
        </w:rPr>
        <w:t>最后报价</w:t>
      </w:r>
    </w:p>
    <w:p w14:paraId="5C1A053D">
      <w:pPr>
        <w:adjustRightInd w:val="0"/>
        <w:snapToGrid w:val="0"/>
        <w:spacing w:line="480" w:lineRule="auto"/>
        <w:rPr>
          <w:rFonts w:hint="eastAsia" w:hAnsi="宋体"/>
          <w:b/>
          <w:color w:val="auto"/>
          <w:highlight w:val="none"/>
        </w:rPr>
      </w:pPr>
    </w:p>
    <w:p w14:paraId="6D47E314">
      <w:pPr>
        <w:spacing w:line="360" w:lineRule="exact"/>
        <w:rPr>
          <w:rFonts w:ascii="黑体" w:eastAsia="黑体"/>
          <w:color w:val="auto"/>
          <w:sz w:val="32"/>
          <w:szCs w:val="32"/>
          <w:highlight w:val="none"/>
        </w:rPr>
      </w:pPr>
      <w:r>
        <w:rPr>
          <w:rFonts w:ascii="黑体" w:eastAsia="黑体"/>
          <w:color w:val="auto"/>
          <w:sz w:val="32"/>
          <w:szCs w:val="32"/>
          <w:highlight w:val="none"/>
        </w:rPr>
        <w:br w:type="page"/>
      </w:r>
    </w:p>
    <w:p w14:paraId="79DF6202">
      <w:pPr>
        <w:spacing w:line="360" w:lineRule="exact"/>
        <w:jc w:val="center"/>
        <w:rPr>
          <w:rFonts w:ascii="黑体" w:eastAsia="黑体"/>
          <w:color w:val="auto"/>
          <w:sz w:val="32"/>
          <w:szCs w:val="32"/>
          <w:highlight w:val="none"/>
        </w:rPr>
        <w:sectPr>
          <w:headerReference r:id="rId12" w:type="default"/>
          <w:footerReference r:id="rId13" w:type="default"/>
          <w:type w:val="continuous"/>
          <w:pgSz w:w="11906" w:h="16838"/>
          <w:pgMar w:top="1474" w:right="1474" w:bottom="232" w:left="1588" w:header="851" w:footer="992" w:gutter="0"/>
          <w:cols w:space="720" w:num="1"/>
          <w:docGrid w:type="lines" w:linePitch="312" w:charSpace="0"/>
        </w:sectPr>
      </w:pPr>
    </w:p>
    <w:p w14:paraId="09BFEEBA">
      <w:pPr>
        <w:spacing w:line="360" w:lineRule="exact"/>
        <w:jc w:val="center"/>
        <w:outlineLvl w:val="1"/>
        <w:rPr>
          <w:rFonts w:ascii="黑体" w:eastAsia="黑体"/>
          <w:b/>
          <w:color w:val="auto"/>
          <w:sz w:val="32"/>
          <w:szCs w:val="32"/>
          <w:highlight w:val="none"/>
        </w:rPr>
      </w:pPr>
      <w:bookmarkStart w:id="124" w:name="_Toc169515395"/>
      <w:bookmarkStart w:id="125" w:name="_Toc432109678"/>
      <w:bookmarkStart w:id="126" w:name="_Toc187243510"/>
      <w:bookmarkStart w:id="127" w:name="_Toc187939564"/>
      <w:bookmarkStart w:id="128" w:name="_Toc16380"/>
      <w:r>
        <w:rPr>
          <w:rFonts w:hint="eastAsia" w:ascii="黑体" w:eastAsia="黑体"/>
          <w:b/>
          <w:color w:val="auto"/>
          <w:sz w:val="32"/>
          <w:szCs w:val="32"/>
          <w:highlight w:val="none"/>
        </w:rPr>
        <w:t>一、</w:t>
      </w:r>
      <w:r>
        <w:rPr>
          <w:rFonts w:hint="eastAsia" w:ascii="黑体" w:hAnsi="宋体" w:eastAsia="黑体"/>
          <w:b/>
          <w:color w:val="auto"/>
          <w:sz w:val="32"/>
          <w:szCs w:val="32"/>
          <w:highlight w:val="none"/>
        </w:rPr>
        <w:t>磋商响应声明</w:t>
      </w:r>
      <w:bookmarkEnd w:id="124"/>
      <w:bookmarkEnd w:id="125"/>
      <w:bookmarkEnd w:id="126"/>
      <w:bookmarkEnd w:id="127"/>
      <w:bookmarkEnd w:id="128"/>
    </w:p>
    <w:p w14:paraId="2335FCC3">
      <w:pPr>
        <w:adjustRightInd w:val="0"/>
        <w:snapToGrid w:val="0"/>
        <w:spacing w:line="360" w:lineRule="auto"/>
        <w:rPr>
          <w:rFonts w:ascii="宋体"/>
          <w:color w:val="auto"/>
          <w:szCs w:val="21"/>
          <w:highlight w:val="none"/>
        </w:rPr>
      </w:pPr>
      <w:r>
        <w:rPr>
          <w:rFonts w:hint="eastAsia" w:ascii="宋体" w:hAnsi="宋体"/>
          <w:color w:val="auto"/>
          <w:szCs w:val="21"/>
          <w:highlight w:val="none"/>
        </w:rPr>
        <w:t>致</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采购人或采购代理机构</w:t>
      </w:r>
      <w:r>
        <w:rPr>
          <w:rFonts w:ascii="宋体" w:hAnsi="宋体"/>
          <w:color w:val="auto"/>
          <w:szCs w:val="21"/>
          <w:highlight w:val="none"/>
        </w:rPr>
        <w:t>)</w:t>
      </w:r>
      <w:r>
        <w:rPr>
          <w:rFonts w:hint="eastAsia" w:ascii="宋体" w:hAnsi="宋体"/>
          <w:color w:val="auto"/>
          <w:szCs w:val="21"/>
          <w:highlight w:val="none"/>
        </w:rPr>
        <w:t>：</w:t>
      </w:r>
    </w:p>
    <w:p w14:paraId="692E783D">
      <w:pPr>
        <w:adjustRightInd w:val="0"/>
        <w:snapToGrid w:val="0"/>
        <w:spacing w:line="360" w:lineRule="auto"/>
        <w:ind w:firstLine="420" w:firstLineChars="200"/>
        <w:rPr>
          <w:rFonts w:ascii="宋体"/>
          <w:color w:val="auto"/>
          <w:szCs w:val="21"/>
          <w:highlight w:val="none"/>
        </w:rPr>
      </w:pPr>
      <w:r>
        <w:rPr>
          <w:rFonts w:hint="eastAsia" w:ascii="宋体" w:hAnsi="宋体"/>
          <w:color w:val="auto"/>
          <w:szCs w:val="21"/>
          <w:highlight w:val="none"/>
        </w:rPr>
        <w:t>我方已仔细研究了</w:t>
      </w:r>
      <w:r>
        <w:rPr>
          <w:rFonts w:ascii="宋体" w:hAnsi="宋体"/>
          <w:color w:val="auto"/>
          <w:szCs w:val="21"/>
          <w:highlight w:val="none"/>
          <w:u w:val="single"/>
        </w:rPr>
        <w:t xml:space="preserve">                 (</w:t>
      </w:r>
      <w:r>
        <w:rPr>
          <w:rFonts w:hint="eastAsia" w:ascii="宋体" w:hAnsi="宋体"/>
          <w:color w:val="auto"/>
          <w:szCs w:val="21"/>
          <w:highlight w:val="none"/>
        </w:rPr>
        <w:t>项目名称</w:t>
      </w:r>
      <w:r>
        <w:rPr>
          <w:rFonts w:ascii="宋体" w:hAnsi="宋体"/>
          <w:color w:val="auto"/>
          <w:szCs w:val="21"/>
          <w:highlight w:val="none"/>
        </w:rPr>
        <w:t>)</w:t>
      </w:r>
      <w:r>
        <w:rPr>
          <w:rFonts w:hint="eastAsia" w:ascii="宋体" w:hAnsi="宋体"/>
          <w:color w:val="auto"/>
          <w:szCs w:val="21"/>
          <w:highlight w:val="none"/>
        </w:rPr>
        <w:t>的竞争性磋商文件（委托代理编号：</w:t>
      </w:r>
      <w:r>
        <w:rPr>
          <w:rFonts w:hint="eastAsia" w:ascii="宋体" w:hAnsi="宋体"/>
          <w:color w:val="auto"/>
          <w:szCs w:val="21"/>
          <w:highlight w:val="none"/>
          <w:u w:val="single"/>
        </w:rPr>
        <w:t>        </w:t>
      </w: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）的全部内容，</w:t>
      </w:r>
      <w:r>
        <w:rPr>
          <w:rFonts w:hint="eastAsia" w:hAnsi="宋体"/>
          <w:color w:val="auto"/>
          <w:highlight w:val="none"/>
        </w:rPr>
        <w:t>知悉参加竞争性磋商的风险，我方承诺接受磋商文件的全部条款且无任何异议。</w:t>
      </w:r>
    </w:p>
    <w:p w14:paraId="36C7AD3A">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一、我方同意在磋商文件中规定的提交首次响应文件截止时间起</w:t>
      </w:r>
      <w:r>
        <w:rPr>
          <w:rFonts w:ascii="宋体" w:hAnsi="宋体"/>
          <w:color w:val="auto"/>
          <w:kern w:val="0"/>
          <w:szCs w:val="21"/>
          <w:highlight w:val="none"/>
          <w:u w:val="single"/>
        </w:rPr>
        <w:t xml:space="preserve">    </w:t>
      </w:r>
      <w:r>
        <w:rPr>
          <w:rFonts w:hint="eastAsia" w:ascii="宋体" w:hAnsi="宋体"/>
          <w:color w:val="auto"/>
          <w:kern w:val="0"/>
          <w:szCs w:val="21"/>
          <w:highlight w:val="none"/>
        </w:rPr>
        <w:t>日内</w:t>
      </w:r>
      <w:r>
        <w:rPr>
          <w:rFonts w:ascii="宋体" w:hAnsi="宋体"/>
          <w:color w:val="auto"/>
          <w:kern w:val="0"/>
          <w:szCs w:val="21"/>
          <w:highlight w:val="none"/>
        </w:rPr>
        <w:t>(</w:t>
      </w:r>
      <w:r>
        <w:rPr>
          <w:rFonts w:hint="eastAsia" w:ascii="宋体" w:hAnsi="宋体"/>
          <w:color w:val="auto"/>
          <w:kern w:val="0"/>
          <w:szCs w:val="21"/>
          <w:highlight w:val="none"/>
        </w:rPr>
        <w:t>响应文件有效期</w:t>
      </w:r>
      <w:r>
        <w:rPr>
          <w:rFonts w:ascii="宋体" w:hAnsi="宋体"/>
          <w:color w:val="auto"/>
          <w:kern w:val="0"/>
          <w:szCs w:val="21"/>
          <w:highlight w:val="none"/>
        </w:rPr>
        <w:t>)</w:t>
      </w:r>
      <w:r>
        <w:rPr>
          <w:rFonts w:hint="eastAsia" w:ascii="宋体" w:hAnsi="宋体"/>
          <w:color w:val="auto"/>
          <w:kern w:val="0"/>
          <w:szCs w:val="21"/>
          <w:highlight w:val="none"/>
        </w:rPr>
        <w:t>遵守本响应文件中的承诺且在此期限期满之前均具有法律约束力。</w:t>
      </w:r>
    </w:p>
    <w:p w14:paraId="254D6795">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二、我方提交</w:t>
      </w:r>
      <w:r>
        <w:rPr>
          <w:rFonts w:hint="eastAsia" w:ascii="宋体" w:hAnsi="宋体"/>
          <w:color w:val="auto"/>
          <w:szCs w:val="21"/>
          <w:highlight w:val="none"/>
        </w:rPr>
        <w:t>电子投标文件一份上传至</w:t>
      </w:r>
      <w:r>
        <w:rPr>
          <w:rFonts w:hint="eastAsia" w:ascii="宋体" w:hAnsi="宋体" w:cs="宋体"/>
          <w:color w:val="auto"/>
          <w:kern w:val="0"/>
          <w:szCs w:val="21"/>
          <w:highlight w:val="none"/>
        </w:rPr>
        <w:t>郴州市公共资源（非标）电子交易平台（网址：http://cz.hbncp.com.cn/#/）</w:t>
      </w:r>
      <w:r>
        <w:rPr>
          <w:rFonts w:hint="eastAsia" w:ascii="宋体" w:hAnsi="宋体"/>
          <w:color w:val="auto"/>
          <w:kern w:val="0"/>
          <w:szCs w:val="21"/>
          <w:highlight w:val="none"/>
        </w:rPr>
        <w:t>，并保证响应文件提供的数据和资料全部内容真实、合法、准确和完整，我们对此负责，并愿承担由此引起的法律责任。</w:t>
      </w:r>
    </w:p>
    <w:p w14:paraId="258B8CFB">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三、我方愿意向贵方提供任何与本项采购有关的数据、情况和技术资料。若贵方需要，我方愿意提供我方作出的一切承诺的证明资料。</w:t>
      </w:r>
    </w:p>
    <w:p w14:paraId="75AC4874">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四、我方愿意按磋商文件规定和磋商小组要求重新提交响应文件和最后报价。</w:t>
      </w:r>
    </w:p>
    <w:p w14:paraId="6D649116">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五、</w:t>
      </w:r>
      <w:r>
        <w:rPr>
          <w:rFonts w:hint="eastAsia" w:ascii="宋体" w:hAnsi="宋体"/>
          <w:color w:val="auto"/>
          <w:spacing w:val="-2"/>
          <w:kern w:val="0"/>
          <w:szCs w:val="21"/>
          <w:highlight w:val="none"/>
        </w:rPr>
        <w:t>我方承诺遵守《中华人民共和国政府采购法》的有关规定，保证在获得成交资格后，按照磋商文件确定的事项签订采购合同，履行双方所签订的合同，并承担合同规定的责任和义务。</w:t>
      </w:r>
    </w:p>
    <w:p w14:paraId="461ED813">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六、我方在此声明：</w:t>
      </w:r>
      <w:r>
        <w:rPr>
          <w:rFonts w:ascii="宋体" w:hAnsi="宋体"/>
          <w:color w:val="auto"/>
          <w:kern w:val="0"/>
          <w:szCs w:val="21"/>
          <w:highlight w:val="none"/>
        </w:rPr>
        <w:t xml:space="preserve"> </w:t>
      </w:r>
    </w:p>
    <w:p w14:paraId="28543E13">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（一）我方与采购人或采购代理机构不存在隶属关系或者其他利害关系。</w:t>
      </w:r>
    </w:p>
    <w:p w14:paraId="42DE2B54">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（二）我方与参加本项目的其他投标人不存在控股、关联关系，或者与其他投标人法定代表人（或者负责人）为同一人。</w:t>
      </w:r>
    </w:p>
    <w:p w14:paraId="603119D8">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（三）我方未为本项目前期准备提供设计或咨询服务。</w:t>
      </w:r>
    </w:p>
    <w:p w14:paraId="56B955A0">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（四）我方承诺（承诺期：成立三年以上的，为提交首次响应文件截止时间前三年内；成立不足三年的，为实际时间）：</w:t>
      </w:r>
    </w:p>
    <w:p w14:paraId="1F16B305">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1</w:t>
      </w:r>
      <w:r>
        <w:rPr>
          <w:rFonts w:hint="eastAsia" w:ascii="宋体" w:hAnsi="宋体"/>
          <w:color w:val="auto"/>
          <w:kern w:val="0"/>
          <w:szCs w:val="21"/>
          <w:highlight w:val="none"/>
        </w:rPr>
        <w:t>、我方依法缴纳了各项税费及各项社会保障资金，没有偷税、漏税及欠缴行为。</w:t>
      </w:r>
    </w:p>
    <w:p w14:paraId="44DE7CC4">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2</w:t>
      </w:r>
      <w:r>
        <w:rPr>
          <w:rFonts w:hint="eastAsia" w:ascii="宋体" w:hAnsi="宋体"/>
          <w:color w:val="auto"/>
          <w:kern w:val="0"/>
          <w:szCs w:val="21"/>
          <w:highlight w:val="none"/>
        </w:rPr>
        <w:t>、我方在经营活动中没有存在下列重大违法记录：</w:t>
      </w:r>
    </w:p>
    <w:p w14:paraId="26653CA7">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(1)</w:t>
      </w:r>
      <w:r>
        <w:rPr>
          <w:rFonts w:hint="eastAsia" w:ascii="宋体" w:hAnsi="宋体"/>
          <w:color w:val="auto"/>
          <w:kern w:val="0"/>
          <w:szCs w:val="21"/>
          <w:highlight w:val="none"/>
        </w:rPr>
        <w:t>受到刑事处罚；</w:t>
      </w:r>
    </w:p>
    <w:p w14:paraId="14D49728">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(2)</w:t>
      </w:r>
      <w:r>
        <w:rPr>
          <w:rFonts w:hint="eastAsia" w:ascii="宋体" w:hAnsi="宋体"/>
          <w:color w:val="auto"/>
          <w:kern w:val="0"/>
          <w:szCs w:val="21"/>
          <w:highlight w:val="none"/>
        </w:rPr>
        <w:t>受到三万元以上的罚款、责令停产停业、在一至三年内禁止参加采购活动、暂扣或者吊销许可证、暂扣或者吊销执照的行政处罚。</w:t>
      </w:r>
    </w:p>
    <w:p w14:paraId="3AB78DC2">
      <w:pPr>
        <w:adjustRightInd w:val="0"/>
        <w:snapToGrid w:val="0"/>
        <w:spacing w:line="360" w:lineRule="auto"/>
        <w:ind w:firstLine="4725" w:firstLineChars="2250"/>
        <w:rPr>
          <w:rFonts w:hint="eastAsia" w:ascii="宋体" w:hAnsi="宋体"/>
          <w:bCs/>
          <w:color w:val="auto"/>
          <w:szCs w:val="21"/>
          <w:highlight w:val="none"/>
        </w:rPr>
      </w:pPr>
    </w:p>
    <w:p w14:paraId="2EC6161B">
      <w:pPr>
        <w:adjustRightInd w:val="0"/>
        <w:snapToGrid w:val="0"/>
        <w:spacing w:line="360" w:lineRule="auto"/>
        <w:ind w:firstLine="4725" w:firstLineChars="2250"/>
        <w:rPr>
          <w:rFonts w:hint="eastAsia" w:ascii="宋体" w:hAnsi="宋体"/>
          <w:bCs/>
          <w:color w:val="auto"/>
          <w:szCs w:val="21"/>
          <w:highlight w:val="none"/>
        </w:rPr>
      </w:pPr>
    </w:p>
    <w:p w14:paraId="004AE05B">
      <w:pPr>
        <w:adjustRightInd w:val="0"/>
        <w:snapToGrid w:val="0"/>
        <w:spacing w:line="360" w:lineRule="auto"/>
        <w:ind w:firstLine="4725" w:firstLineChars="2250"/>
        <w:rPr>
          <w:rFonts w:hint="eastAsia" w:ascii="宋体" w:hAnsi="宋体"/>
          <w:color w:val="auto"/>
          <w:kern w:val="0"/>
          <w:szCs w:val="21"/>
          <w:highlight w:val="none"/>
        </w:rPr>
      </w:pPr>
      <w:r>
        <w:rPr>
          <w:rFonts w:hint="eastAsia" w:ascii="宋体" w:hAnsi="宋体"/>
          <w:color w:val="auto"/>
          <w:kern w:val="0"/>
          <w:szCs w:val="21"/>
          <w:highlight w:val="none"/>
        </w:rPr>
        <w:t>供应商名称</w:t>
      </w:r>
      <w:r>
        <w:rPr>
          <w:rFonts w:ascii="宋体" w:hAnsi="宋体"/>
          <w:color w:val="auto"/>
          <w:kern w:val="0"/>
          <w:szCs w:val="21"/>
          <w:highlight w:val="none"/>
        </w:rPr>
        <w:t>(</w:t>
      </w:r>
      <w:r>
        <w:rPr>
          <w:rFonts w:hint="eastAsia" w:ascii="宋体" w:hAnsi="宋体"/>
          <w:color w:val="auto"/>
          <w:kern w:val="0"/>
          <w:szCs w:val="21"/>
          <w:highlight w:val="none"/>
        </w:rPr>
        <w:t>盖单位章</w:t>
      </w:r>
      <w:r>
        <w:rPr>
          <w:rFonts w:ascii="宋体" w:hAnsi="宋体"/>
          <w:color w:val="auto"/>
          <w:kern w:val="0"/>
          <w:szCs w:val="21"/>
          <w:highlight w:val="none"/>
        </w:rPr>
        <w:t>)</w:t>
      </w:r>
      <w:r>
        <w:rPr>
          <w:rFonts w:hint="eastAsia" w:ascii="宋体" w:hAnsi="宋体"/>
          <w:color w:val="auto"/>
          <w:kern w:val="0"/>
          <w:szCs w:val="21"/>
          <w:highlight w:val="none"/>
        </w:rPr>
        <w:t>：</w:t>
      </w:r>
    </w:p>
    <w:p w14:paraId="538DAEAA">
      <w:pPr>
        <w:adjustRightInd w:val="0"/>
        <w:snapToGrid w:val="0"/>
        <w:spacing w:line="360" w:lineRule="auto"/>
        <w:ind w:firstLine="4725" w:firstLineChars="2250"/>
        <w:rPr>
          <w:rFonts w:ascii="宋体"/>
          <w:color w:val="auto"/>
          <w:szCs w:val="21"/>
          <w:highlight w:val="none"/>
        </w:rPr>
      </w:pPr>
      <w:r>
        <w:rPr>
          <w:rFonts w:hint="eastAsia" w:ascii="宋体" w:hAnsi="宋体"/>
          <w:color w:val="auto"/>
          <w:szCs w:val="21"/>
          <w:highlight w:val="none"/>
        </w:rPr>
        <w:t>法定代表人或其委托代理人</w:t>
      </w:r>
      <w:r>
        <w:rPr>
          <w:rFonts w:ascii="宋体" w:hAnsi="宋体"/>
          <w:color w:val="auto"/>
          <w:szCs w:val="21"/>
          <w:highlight w:val="none"/>
        </w:rPr>
        <w:t xml:space="preserve"> (</w:t>
      </w:r>
      <w:r>
        <w:rPr>
          <w:rFonts w:hint="eastAsia" w:ascii="宋体" w:hAnsi="宋体"/>
          <w:color w:val="auto"/>
          <w:szCs w:val="21"/>
          <w:highlight w:val="none"/>
        </w:rPr>
        <w:t>签字</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u w:val="single"/>
        </w:rPr>
        <w:t xml:space="preserve">            </w:t>
      </w:r>
    </w:p>
    <w:p w14:paraId="7D72A505">
      <w:pPr>
        <w:adjustRightInd w:val="0"/>
        <w:snapToGrid w:val="0"/>
        <w:spacing w:line="360" w:lineRule="auto"/>
        <w:jc w:val="right"/>
        <w:rPr>
          <w:rFonts w:ascii="宋体"/>
          <w:color w:val="auto"/>
          <w:szCs w:val="21"/>
          <w:highlight w:val="none"/>
        </w:rPr>
      </w:pPr>
      <w:r>
        <w:rPr>
          <w:rFonts w:hint="eastAsia" w:ascii="宋体" w:hAnsi="宋体"/>
          <w:color w:val="auto"/>
          <w:szCs w:val="21"/>
          <w:highlight w:val="none"/>
        </w:rPr>
        <w:t>日</w:t>
      </w:r>
      <w:r>
        <w:rPr>
          <w:rFonts w:ascii="宋体" w:hAnsi="宋体"/>
          <w:color w:val="auto"/>
          <w:szCs w:val="21"/>
          <w:highlight w:val="none"/>
        </w:rPr>
        <w:t xml:space="preserve">     </w:t>
      </w:r>
      <w:r>
        <w:rPr>
          <w:rFonts w:hint="eastAsia" w:ascii="宋体" w:hAnsi="宋体"/>
          <w:color w:val="auto"/>
          <w:szCs w:val="21"/>
          <w:highlight w:val="none"/>
        </w:rPr>
        <w:t>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w:t>
      </w:r>
    </w:p>
    <w:p w14:paraId="128EADD4">
      <w:pPr>
        <w:rPr>
          <w:rFonts w:hint="eastAsia" w:ascii="黑体" w:hAnsi="黑体" w:eastAsia="黑体"/>
          <w:bCs/>
          <w:color w:val="auto"/>
          <w:sz w:val="30"/>
          <w:szCs w:val="30"/>
          <w:highlight w:val="none"/>
        </w:rPr>
      </w:pPr>
      <w:r>
        <w:rPr>
          <w:rFonts w:hint="eastAsia" w:ascii="黑体" w:hAnsi="黑体" w:eastAsia="黑体"/>
          <w:bCs/>
          <w:color w:val="auto"/>
          <w:sz w:val="30"/>
          <w:szCs w:val="30"/>
          <w:highlight w:val="none"/>
        </w:rPr>
        <w:br w:type="page"/>
      </w:r>
    </w:p>
    <w:p w14:paraId="3231A34F">
      <w:pPr>
        <w:adjustRightInd w:val="0"/>
        <w:snapToGrid w:val="0"/>
        <w:spacing w:line="360" w:lineRule="auto"/>
        <w:ind w:right="24"/>
        <w:rPr>
          <w:rFonts w:hint="eastAsia" w:ascii="黑体" w:hAnsi="黑体" w:eastAsia="黑体"/>
          <w:bCs/>
          <w:color w:val="auto"/>
          <w:sz w:val="30"/>
          <w:szCs w:val="30"/>
          <w:highlight w:val="none"/>
        </w:rPr>
      </w:pPr>
      <w:r>
        <w:rPr>
          <w:rFonts w:hint="eastAsia" w:ascii="黑体" w:hAnsi="黑体" w:eastAsia="黑体"/>
          <w:bCs/>
          <w:color w:val="auto"/>
          <w:sz w:val="30"/>
          <w:szCs w:val="30"/>
          <w:highlight w:val="none"/>
        </w:rPr>
        <w:t>附件</w:t>
      </w:r>
      <w:r>
        <w:rPr>
          <w:rFonts w:ascii="黑体" w:hAnsi="黑体" w:eastAsia="黑体"/>
          <w:bCs/>
          <w:color w:val="auto"/>
          <w:sz w:val="30"/>
          <w:szCs w:val="30"/>
          <w:highlight w:val="none"/>
        </w:rPr>
        <w:t>1</w:t>
      </w:r>
    </w:p>
    <w:p w14:paraId="3552D628">
      <w:pPr>
        <w:jc w:val="center"/>
        <w:rPr>
          <w:rFonts w:hint="eastAsia" w:ascii="黑体" w:hAnsi="黑体" w:eastAsia="黑体"/>
          <w:b/>
          <w:color w:val="auto"/>
          <w:sz w:val="30"/>
          <w:szCs w:val="30"/>
          <w:highlight w:val="none"/>
        </w:rPr>
      </w:pPr>
      <w:r>
        <w:rPr>
          <w:rFonts w:hint="eastAsia" w:ascii="黑体" w:hAnsi="黑体" w:eastAsia="黑体"/>
          <w:b/>
          <w:color w:val="auto"/>
          <w:sz w:val="30"/>
          <w:szCs w:val="30"/>
          <w:highlight w:val="none"/>
        </w:rPr>
        <w:t>法定代表人身份证明</w:t>
      </w:r>
    </w:p>
    <w:p w14:paraId="45EE88CF">
      <w:pPr>
        <w:snapToGrid w:val="0"/>
        <w:spacing w:line="480" w:lineRule="auto"/>
        <w:rPr>
          <w:rFonts w:ascii="宋体"/>
          <w:color w:val="auto"/>
          <w:szCs w:val="21"/>
          <w:highlight w:val="none"/>
        </w:rPr>
      </w:pPr>
    </w:p>
    <w:p w14:paraId="6B034397">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olor w:val="auto"/>
          <w:szCs w:val="21"/>
          <w:highlight w:val="none"/>
        </w:rPr>
        <w:t>供应商名称</w:t>
      </w:r>
      <w:r>
        <w:rPr>
          <w:rFonts w:hint="eastAsia" w:ascii="宋体" w:hAnsi="宋体" w:cs="宋体"/>
          <w:color w:val="auto"/>
          <w:kern w:val="0"/>
          <w:szCs w:val="21"/>
          <w:highlight w:val="none"/>
        </w:rPr>
        <w:t>：</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p>
    <w:p w14:paraId="7744E240">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s="宋体"/>
          <w:color w:val="auto"/>
          <w:kern w:val="0"/>
          <w:szCs w:val="21"/>
          <w:highlight w:val="none"/>
        </w:rPr>
        <w:t>注册号：</w:t>
      </w:r>
      <w:r>
        <w:rPr>
          <w:rFonts w:ascii="宋体" w:hAnsi="宋体" w:cs="宋体"/>
          <w:color w:val="auto"/>
          <w:kern w:val="0"/>
          <w:szCs w:val="21"/>
          <w:highlight w:val="none"/>
          <w:u w:val="single"/>
        </w:rPr>
        <w:t xml:space="preserve">                  </w:t>
      </w:r>
    </w:p>
    <w:p w14:paraId="28A8AEC2">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s="宋体"/>
          <w:color w:val="auto"/>
          <w:kern w:val="0"/>
          <w:szCs w:val="21"/>
          <w:highlight w:val="none"/>
        </w:rPr>
        <w:t>注册地址：</w:t>
      </w:r>
      <w:r>
        <w:rPr>
          <w:rFonts w:ascii="宋体" w:hAnsi="宋体" w:cs="宋体"/>
          <w:color w:val="auto"/>
          <w:kern w:val="0"/>
          <w:szCs w:val="21"/>
          <w:highlight w:val="none"/>
          <w:u w:val="single"/>
        </w:rPr>
        <w:t xml:space="preserve">                                    </w:t>
      </w:r>
    </w:p>
    <w:p w14:paraId="6A45058A">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s="宋体"/>
          <w:color w:val="auto"/>
          <w:kern w:val="0"/>
          <w:szCs w:val="21"/>
          <w:highlight w:val="none"/>
        </w:rPr>
        <w:t>成立时间：</w:t>
      </w:r>
      <w:r>
        <w:rPr>
          <w:rFonts w:ascii="宋体" w:hAnsi="宋体" w:cs="宋体"/>
          <w:color w:val="auto"/>
          <w:kern w:val="0"/>
          <w:szCs w:val="21"/>
          <w:highlight w:val="non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ascii="宋体" w:hAnsi="宋体" w:cs="宋体"/>
          <w:color w:val="auto"/>
          <w:kern w:val="0"/>
          <w:szCs w:val="21"/>
          <w:highlight w:val="non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日</w:t>
      </w:r>
    </w:p>
    <w:p w14:paraId="74F280C1">
      <w:pPr>
        <w:autoSpaceDE w:val="0"/>
        <w:autoSpaceDN w:val="0"/>
        <w:adjustRightInd w:val="0"/>
        <w:snapToGrid w:val="0"/>
        <w:spacing w:line="360" w:lineRule="auto"/>
        <w:jc w:val="left"/>
        <w:rPr>
          <w:rFonts w:ascii="宋体" w:cs="宋体"/>
          <w:color w:val="auto"/>
          <w:kern w:val="0"/>
          <w:szCs w:val="21"/>
          <w:highlight w:val="none"/>
          <w:u w:val="single"/>
        </w:rPr>
      </w:pPr>
      <w:r>
        <w:rPr>
          <w:rFonts w:hint="eastAsia" w:ascii="宋体" w:hAnsi="宋体" w:cs="宋体"/>
          <w:color w:val="auto"/>
          <w:kern w:val="0"/>
          <w:szCs w:val="21"/>
          <w:highlight w:val="none"/>
        </w:rPr>
        <w:t>经营期限：</w:t>
      </w:r>
      <w:r>
        <w:rPr>
          <w:rFonts w:ascii="宋体" w:hAnsi="宋体" w:cs="宋体"/>
          <w:color w:val="auto"/>
          <w:kern w:val="0"/>
          <w:szCs w:val="21"/>
          <w:highlight w:val="none"/>
          <w:u w:val="single"/>
        </w:rPr>
        <w:t xml:space="preserve">                  </w:t>
      </w:r>
    </w:p>
    <w:p w14:paraId="16427576">
      <w:pPr>
        <w:autoSpaceDE w:val="0"/>
        <w:autoSpaceDN w:val="0"/>
        <w:adjustRightInd w:val="0"/>
        <w:snapToGrid w:val="0"/>
        <w:spacing w:line="360" w:lineRule="auto"/>
        <w:jc w:val="left"/>
        <w:rPr>
          <w:rFonts w:ascii="宋体" w:cs="宋体"/>
          <w:color w:val="auto"/>
          <w:kern w:val="0"/>
          <w:szCs w:val="21"/>
          <w:highlight w:val="none"/>
          <w:u w:val="single"/>
        </w:rPr>
      </w:pPr>
      <w:r>
        <w:rPr>
          <w:rFonts w:hint="eastAsia" w:ascii="宋体" w:hAnsi="宋体" w:cs="宋体"/>
          <w:color w:val="auto"/>
          <w:kern w:val="0"/>
          <w:szCs w:val="21"/>
          <w:highlight w:val="none"/>
        </w:rPr>
        <w:t>经营范围：主营：</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；兼营：</w:t>
      </w:r>
      <w:r>
        <w:rPr>
          <w:rFonts w:ascii="宋体" w:hAnsi="宋体" w:cs="宋体"/>
          <w:color w:val="auto"/>
          <w:kern w:val="0"/>
          <w:szCs w:val="21"/>
          <w:highlight w:val="none"/>
          <w:u w:val="single"/>
        </w:rPr>
        <w:t xml:space="preserve">              </w:t>
      </w:r>
    </w:p>
    <w:p w14:paraId="0EA0E166">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s="宋体"/>
          <w:color w:val="auto"/>
          <w:kern w:val="0"/>
          <w:szCs w:val="21"/>
          <w:highlight w:val="none"/>
        </w:rPr>
        <w:t>姓名：</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性别：</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年龄：</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系</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供应商名称</w:t>
      </w:r>
      <w:r>
        <w:rPr>
          <w:rFonts w:hint="eastAsia" w:ascii="宋体" w:hAnsi="宋体" w:cs="宋体"/>
          <w:color w:val="auto"/>
          <w:kern w:val="0"/>
          <w:szCs w:val="21"/>
          <w:highlight w:val="none"/>
        </w:rPr>
        <w:t>）的法定代表人。</w:t>
      </w:r>
    </w:p>
    <w:p w14:paraId="4CF3BC01">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s="宋体"/>
          <w:color w:val="auto"/>
          <w:kern w:val="0"/>
          <w:szCs w:val="21"/>
          <w:highlight w:val="none"/>
        </w:rPr>
        <w:t>特此证明。</w:t>
      </w:r>
    </w:p>
    <w:p w14:paraId="3D8043D0">
      <w:pPr>
        <w:autoSpaceDE w:val="0"/>
        <w:autoSpaceDN w:val="0"/>
        <w:adjustRightInd w:val="0"/>
        <w:snapToGrid w:val="0"/>
        <w:spacing w:line="360" w:lineRule="auto"/>
        <w:jc w:val="left"/>
        <w:rPr>
          <w:rFonts w:ascii="宋体" w:cs="宋体"/>
          <w:color w:val="auto"/>
          <w:kern w:val="0"/>
          <w:szCs w:val="21"/>
          <w:highlight w:val="none"/>
        </w:rPr>
      </w:pPr>
      <w:r>
        <w:rPr>
          <w:rFonts w:hint="eastAsia" w:ascii="宋体" w:hAnsi="宋体"/>
          <w:color w:val="auto"/>
          <w:szCs w:val="21"/>
          <w:highlight w:val="none"/>
        </w:rPr>
        <w:t>附：法定代表人身份证复印件</w:t>
      </w:r>
    </w:p>
    <w:p w14:paraId="7CB6470B">
      <w:pPr>
        <w:snapToGrid w:val="0"/>
        <w:spacing w:line="480" w:lineRule="auto"/>
        <w:rPr>
          <w:rFonts w:ascii="宋体"/>
          <w:color w:val="auto"/>
          <w:szCs w:val="21"/>
          <w:highlight w:val="none"/>
        </w:rPr>
      </w:pPr>
    </w:p>
    <w:p w14:paraId="77D071F2">
      <w:pPr>
        <w:snapToGrid w:val="0"/>
        <w:rPr>
          <w:rFonts w:ascii="宋体"/>
          <w:color w:val="auto"/>
          <w:szCs w:val="21"/>
          <w:highlight w:val="none"/>
        </w:rPr>
      </w:pPr>
    </w:p>
    <w:p w14:paraId="12B041FC">
      <w:pPr>
        <w:snapToGrid w:val="0"/>
        <w:rPr>
          <w:rFonts w:ascii="宋体"/>
          <w:color w:val="auto"/>
          <w:szCs w:val="21"/>
          <w:highlight w:val="none"/>
        </w:rPr>
      </w:pPr>
    </w:p>
    <w:p w14:paraId="0EE017C6">
      <w:pPr>
        <w:snapToGrid w:val="0"/>
        <w:rPr>
          <w:rFonts w:ascii="宋体"/>
          <w:color w:val="auto"/>
          <w:szCs w:val="21"/>
          <w:highlight w:val="none"/>
        </w:rPr>
      </w:pPr>
    </w:p>
    <w:p w14:paraId="45FCB563">
      <w:pPr>
        <w:snapToGrid w:val="0"/>
        <w:rPr>
          <w:rFonts w:ascii="宋体"/>
          <w:color w:val="auto"/>
          <w:szCs w:val="21"/>
          <w:highlight w:val="none"/>
        </w:rPr>
      </w:pPr>
    </w:p>
    <w:p w14:paraId="0AC7621F">
      <w:pPr>
        <w:adjustRightInd w:val="0"/>
        <w:snapToGrid w:val="0"/>
        <w:spacing w:line="360" w:lineRule="auto"/>
        <w:rPr>
          <w:rFonts w:ascii="宋体"/>
          <w:color w:val="auto"/>
          <w:szCs w:val="21"/>
          <w:highlight w:val="none"/>
        </w:rPr>
      </w:pPr>
    </w:p>
    <w:p w14:paraId="1E0BF9DC">
      <w:pPr>
        <w:adjustRightInd w:val="0"/>
        <w:snapToGrid w:val="0"/>
        <w:spacing w:line="360" w:lineRule="auto"/>
        <w:ind w:right="420"/>
        <w:rPr>
          <w:rFonts w:ascii="宋体"/>
          <w:color w:val="auto"/>
          <w:szCs w:val="21"/>
          <w:highlight w:val="none"/>
        </w:rPr>
      </w:pPr>
      <w:r>
        <w:rPr>
          <w:rFonts w:hint="eastAsia" w:ascii="宋体" w:hAnsi="宋体"/>
          <w:color w:val="auto"/>
          <w:szCs w:val="21"/>
          <w:highlight w:val="none"/>
        </w:rPr>
        <w:t>供应商名称（盖单位章）：</w:t>
      </w:r>
    </w:p>
    <w:p w14:paraId="4C7D220C">
      <w:pPr>
        <w:adjustRightInd w:val="0"/>
        <w:snapToGrid w:val="0"/>
        <w:spacing w:line="360" w:lineRule="auto"/>
        <w:ind w:right="420"/>
        <w:rPr>
          <w:rFonts w:hint="eastAsia" w:ascii="仿宋_GB2312" w:hAnsi="宋体" w:eastAsia="仿宋_GB2312"/>
          <w:color w:val="auto"/>
          <w:szCs w:val="21"/>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w:t>
      </w:r>
      <w:r>
        <w:rPr>
          <w:rFonts w:ascii="宋体" w:hAnsi="宋体"/>
          <w:color w:val="auto"/>
          <w:szCs w:val="21"/>
          <w:highlight w:val="none"/>
        </w:rPr>
        <w:t xml:space="preserve">      </w:t>
      </w:r>
    </w:p>
    <w:p w14:paraId="778FF7E1">
      <w:pPr>
        <w:adjustRightInd w:val="0"/>
        <w:snapToGrid w:val="0"/>
        <w:spacing w:before="156" w:beforeLines="50" w:line="360" w:lineRule="auto"/>
        <w:rPr>
          <w:rFonts w:hint="eastAsia" w:ascii="黑体" w:hAnsi="黑体" w:eastAsia="黑体"/>
          <w:bCs/>
          <w:color w:val="auto"/>
          <w:sz w:val="30"/>
          <w:szCs w:val="30"/>
          <w:highlight w:val="none"/>
        </w:rPr>
      </w:pPr>
    </w:p>
    <w:p w14:paraId="6925648D">
      <w:pPr>
        <w:widowControl/>
        <w:jc w:val="left"/>
        <w:rPr>
          <w:rFonts w:hint="eastAsia" w:ascii="黑体" w:hAnsi="黑体" w:eastAsia="黑体"/>
          <w:bCs/>
          <w:color w:val="auto"/>
          <w:sz w:val="30"/>
          <w:szCs w:val="30"/>
          <w:highlight w:val="none"/>
        </w:rPr>
      </w:pPr>
    </w:p>
    <w:p w14:paraId="5A8F7220">
      <w:pPr>
        <w:widowControl/>
        <w:jc w:val="left"/>
        <w:rPr>
          <w:rFonts w:hint="eastAsia" w:ascii="黑体" w:hAnsi="黑体" w:eastAsia="黑体"/>
          <w:bCs/>
          <w:color w:val="auto"/>
          <w:sz w:val="30"/>
          <w:szCs w:val="30"/>
          <w:highlight w:val="none"/>
        </w:rPr>
      </w:pPr>
    </w:p>
    <w:p w14:paraId="4C1A2DF6">
      <w:pPr>
        <w:widowControl/>
        <w:jc w:val="left"/>
        <w:rPr>
          <w:rFonts w:hint="eastAsia" w:ascii="黑体" w:hAnsi="黑体" w:eastAsia="黑体"/>
          <w:bCs/>
          <w:color w:val="auto"/>
          <w:sz w:val="30"/>
          <w:szCs w:val="30"/>
          <w:highlight w:val="none"/>
        </w:rPr>
      </w:pPr>
    </w:p>
    <w:p w14:paraId="23620545">
      <w:pPr>
        <w:widowControl/>
        <w:jc w:val="left"/>
        <w:rPr>
          <w:rFonts w:hint="eastAsia" w:ascii="黑体" w:hAnsi="黑体" w:eastAsia="黑体"/>
          <w:bCs/>
          <w:color w:val="auto"/>
          <w:sz w:val="30"/>
          <w:szCs w:val="30"/>
          <w:highlight w:val="none"/>
        </w:rPr>
      </w:pPr>
    </w:p>
    <w:p w14:paraId="0270E5D0">
      <w:pPr>
        <w:widowControl/>
        <w:jc w:val="left"/>
        <w:rPr>
          <w:rFonts w:hint="eastAsia" w:ascii="黑体" w:hAnsi="黑体" w:eastAsia="黑体"/>
          <w:bCs/>
          <w:color w:val="auto"/>
          <w:sz w:val="30"/>
          <w:szCs w:val="30"/>
          <w:highlight w:val="none"/>
        </w:rPr>
      </w:pPr>
    </w:p>
    <w:p w14:paraId="402D0373">
      <w:pPr>
        <w:widowControl/>
        <w:jc w:val="left"/>
        <w:rPr>
          <w:rFonts w:hint="eastAsia" w:ascii="黑体" w:hAnsi="黑体" w:eastAsia="黑体"/>
          <w:bCs/>
          <w:color w:val="auto"/>
          <w:sz w:val="30"/>
          <w:szCs w:val="30"/>
          <w:highlight w:val="none"/>
        </w:rPr>
      </w:pPr>
    </w:p>
    <w:p w14:paraId="19EA3709">
      <w:pPr>
        <w:widowControl/>
        <w:jc w:val="left"/>
        <w:rPr>
          <w:rFonts w:hint="eastAsia" w:ascii="黑体" w:hAnsi="黑体" w:eastAsia="黑体"/>
          <w:bCs/>
          <w:color w:val="auto"/>
          <w:sz w:val="30"/>
          <w:szCs w:val="30"/>
          <w:highlight w:val="none"/>
        </w:rPr>
      </w:pPr>
    </w:p>
    <w:p w14:paraId="494E2019">
      <w:pPr>
        <w:widowControl/>
        <w:jc w:val="left"/>
        <w:rPr>
          <w:rFonts w:hint="eastAsia" w:ascii="黑体" w:hAnsi="黑体" w:eastAsia="黑体"/>
          <w:bCs/>
          <w:color w:val="auto"/>
          <w:sz w:val="30"/>
          <w:szCs w:val="30"/>
          <w:highlight w:val="none"/>
        </w:rPr>
      </w:pPr>
    </w:p>
    <w:p w14:paraId="55323207">
      <w:pPr>
        <w:adjustRightInd w:val="0"/>
        <w:snapToGrid w:val="0"/>
        <w:spacing w:before="156" w:beforeLines="50" w:line="360" w:lineRule="auto"/>
        <w:rPr>
          <w:rFonts w:hint="eastAsia" w:ascii="黑体" w:hAnsi="黑体" w:eastAsia="黑体"/>
          <w:color w:val="auto"/>
          <w:sz w:val="30"/>
          <w:szCs w:val="30"/>
          <w:highlight w:val="none"/>
        </w:rPr>
      </w:pPr>
      <w:r>
        <w:rPr>
          <w:rFonts w:hint="eastAsia" w:ascii="黑体" w:hAnsi="黑体" w:eastAsia="黑体"/>
          <w:bCs/>
          <w:color w:val="auto"/>
          <w:sz w:val="30"/>
          <w:szCs w:val="30"/>
          <w:highlight w:val="none"/>
        </w:rPr>
        <w:t>附件</w:t>
      </w:r>
      <w:r>
        <w:rPr>
          <w:rFonts w:ascii="黑体" w:hAnsi="黑体" w:eastAsia="黑体"/>
          <w:bCs/>
          <w:color w:val="auto"/>
          <w:sz w:val="30"/>
          <w:szCs w:val="30"/>
          <w:highlight w:val="none"/>
        </w:rPr>
        <w:t>2</w:t>
      </w:r>
    </w:p>
    <w:p w14:paraId="01B6134F">
      <w:pPr>
        <w:jc w:val="center"/>
        <w:rPr>
          <w:rFonts w:hint="eastAsia" w:ascii="黑体" w:hAnsi="黑体" w:eastAsia="黑体"/>
          <w:b/>
          <w:color w:val="auto"/>
          <w:sz w:val="30"/>
          <w:szCs w:val="30"/>
          <w:highlight w:val="none"/>
        </w:rPr>
      </w:pPr>
      <w:r>
        <w:rPr>
          <w:rFonts w:hint="eastAsia" w:ascii="黑体" w:hAnsi="黑体" w:eastAsia="黑体"/>
          <w:b/>
          <w:color w:val="auto"/>
          <w:sz w:val="30"/>
          <w:szCs w:val="30"/>
          <w:highlight w:val="none"/>
        </w:rPr>
        <w:t>法定代表人授权委托书</w:t>
      </w:r>
    </w:p>
    <w:p w14:paraId="410F6C3B">
      <w:pPr>
        <w:adjustRightInd w:val="0"/>
        <w:snapToGrid w:val="0"/>
        <w:spacing w:line="360" w:lineRule="auto"/>
        <w:jc w:val="center"/>
        <w:rPr>
          <w:rFonts w:hint="eastAsia" w:ascii="黑体" w:hAnsi="华文中宋" w:eastAsia="黑体"/>
          <w:b/>
          <w:color w:val="auto"/>
          <w:sz w:val="28"/>
          <w:szCs w:val="28"/>
          <w:highlight w:val="none"/>
        </w:rPr>
      </w:pPr>
    </w:p>
    <w:p w14:paraId="07B7E590">
      <w:pPr>
        <w:autoSpaceDE w:val="0"/>
        <w:autoSpaceDN w:val="0"/>
        <w:adjustRightInd w:val="0"/>
        <w:snapToGrid w:val="0"/>
        <w:spacing w:before="156" w:beforeLines="50" w:line="360" w:lineRule="auto"/>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本人</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供应商名称</w:t>
      </w:r>
      <w:r>
        <w:rPr>
          <w:rFonts w:hint="eastAsia" w:ascii="宋体" w:hAnsi="宋体" w:cs="宋体"/>
          <w:color w:val="auto"/>
          <w:kern w:val="0"/>
          <w:szCs w:val="21"/>
          <w:highlight w:val="none"/>
        </w:rPr>
        <w:t>）的法定代表人，现授权</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w:t>
      </w:r>
      <w:r>
        <w:rPr>
          <w:rFonts w:ascii="宋体" w:hAnsi="宋体" w:cs="宋体"/>
          <w:color w:val="auto"/>
          <w:kern w:val="0"/>
          <w:szCs w:val="21"/>
          <w:highlight w:val="none"/>
        </w:rPr>
        <w:t>(1)</w:t>
      </w:r>
      <w:r>
        <w:rPr>
          <w:rFonts w:hint="eastAsia" w:ascii="宋体" w:hAnsi="宋体" w:cs="宋体"/>
          <w:color w:val="auto"/>
          <w:kern w:val="0"/>
          <w:szCs w:val="21"/>
          <w:highlight w:val="none"/>
        </w:rPr>
        <w:t>签署、澄清、补正、修改、撤回、提交</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w:t>
      </w:r>
      <w:r>
        <w:rPr>
          <w:rFonts w:hint="eastAsia" w:ascii="宋体" w:hAnsi="宋体" w:cs="Arial"/>
          <w:color w:val="auto"/>
          <w:kern w:val="0"/>
          <w:szCs w:val="21"/>
          <w:highlight w:val="none"/>
        </w:rPr>
        <w:t>委托代理编号、政府采购计划编号</w:t>
      </w:r>
      <w:r>
        <w:rPr>
          <w:rFonts w:hint="eastAsia" w:ascii="宋体" w:hAnsi="宋体" w:cs="宋体"/>
          <w:color w:val="auto"/>
          <w:kern w:val="0"/>
          <w:szCs w:val="21"/>
          <w:highlight w:val="none"/>
        </w:rPr>
        <w:t>）响应文件；</w:t>
      </w:r>
      <w:r>
        <w:rPr>
          <w:rFonts w:ascii="宋体" w:hAnsi="宋体" w:cs="宋体"/>
          <w:color w:val="auto"/>
          <w:kern w:val="0"/>
          <w:szCs w:val="21"/>
          <w:highlight w:val="none"/>
        </w:rPr>
        <w:t>(2)</w:t>
      </w:r>
      <w:r>
        <w:rPr>
          <w:rFonts w:hint="eastAsia" w:ascii="宋体" w:hAnsi="宋体" w:cs="宋体"/>
          <w:color w:val="auto"/>
          <w:kern w:val="0"/>
          <w:szCs w:val="21"/>
          <w:highlight w:val="none"/>
        </w:rPr>
        <w:t>签署并重新提交响应文件及最后报价；</w:t>
      </w:r>
      <w:r>
        <w:rPr>
          <w:rFonts w:ascii="宋体" w:hAnsi="宋体" w:cs="宋体"/>
          <w:color w:val="auto"/>
          <w:kern w:val="0"/>
          <w:szCs w:val="21"/>
          <w:highlight w:val="none"/>
        </w:rPr>
        <w:t>(3)</w:t>
      </w:r>
      <w:r>
        <w:rPr>
          <w:rFonts w:hint="eastAsia" w:ascii="宋体" w:hAnsi="宋体" w:cs="宋体"/>
          <w:color w:val="auto"/>
          <w:kern w:val="0"/>
          <w:szCs w:val="21"/>
          <w:highlight w:val="none"/>
        </w:rPr>
        <w:t>签订合同和处理有关事宜，其法律后果由我方承担。</w:t>
      </w:r>
    </w:p>
    <w:p w14:paraId="34EE6C6D">
      <w:pPr>
        <w:autoSpaceDE w:val="0"/>
        <w:autoSpaceDN w:val="0"/>
        <w:adjustRightInd w:val="0"/>
        <w:snapToGrid w:val="0"/>
        <w:spacing w:before="156" w:beforeLines="50" w:line="360" w:lineRule="auto"/>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委托期限：</w:t>
      </w:r>
      <w:r>
        <w:rPr>
          <w:rFonts w:ascii="宋体" w:hAnsi="宋体" w:cs="宋体"/>
          <w:color w:val="auto"/>
          <w:kern w:val="0"/>
          <w:szCs w:val="21"/>
          <w:highlight w:val="none"/>
          <w:u w:val="singl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w:t>
      </w:r>
    </w:p>
    <w:p w14:paraId="39C26465">
      <w:pPr>
        <w:spacing w:line="360" w:lineRule="auto"/>
        <w:ind w:firstLine="435"/>
        <w:rPr>
          <w:rFonts w:ascii="宋体" w:cs="宋体"/>
          <w:color w:val="auto"/>
          <w:kern w:val="0"/>
          <w:szCs w:val="21"/>
          <w:highlight w:val="none"/>
        </w:rPr>
      </w:pPr>
      <w:r>
        <w:rPr>
          <w:rFonts w:hint="eastAsia" w:ascii="宋体" w:hAnsi="宋体" w:cs="宋体"/>
          <w:color w:val="auto"/>
          <w:kern w:val="0"/>
          <w:szCs w:val="21"/>
          <w:highlight w:val="none"/>
        </w:rPr>
        <w:t>代理人无转委托权。</w:t>
      </w:r>
    </w:p>
    <w:p w14:paraId="71924583">
      <w:pPr>
        <w:spacing w:line="360" w:lineRule="auto"/>
        <w:ind w:firstLine="435"/>
        <w:rPr>
          <w:rFonts w:ascii="宋体"/>
          <w:color w:val="auto"/>
          <w:szCs w:val="21"/>
          <w:highlight w:val="none"/>
        </w:rPr>
      </w:pPr>
      <w:r>
        <w:rPr>
          <w:rFonts w:hint="eastAsia" w:ascii="宋体" w:hAnsi="宋体"/>
          <w:color w:val="auto"/>
          <w:szCs w:val="21"/>
          <w:highlight w:val="none"/>
        </w:rPr>
        <w:t>本授权书于</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1381B618">
      <w:pPr>
        <w:adjustRightInd w:val="0"/>
        <w:snapToGrid w:val="0"/>
        <w:spacing w:before="156" w:beforeLines="50" w:line="360" w:lineRule="auto"/>
        <w:ind w:firstLine="420" w:firstLineChars="200"/>
        <w:rPr>
          <w:rFonts w:ascii="宋体"/>
          <w:color w:val="auto"/>
          <w:szCs w:val="21"/>
          <w:highlight w:val="none"/>
        </w:rPr>
      </w:pPr>
      <w:r>
        <w:rPr>
          <w:rFonts w:hint="eastAsia" w:ascii="宋体" w:hAnsi="宋体"/>
          <w:color w:val="auto"/>
          <w:szCs w:val="21"/>
          <w:highlight w:val="none"/>
        </w:rPr>
        <w:t>附：委托代理人身份证复印件及法定代表人身份证明</w:t>
      </w:r>
      <w:r>
        <w:rPr>
          <w:rFonts w:ascii="宋体" w:hAnsi="宋体"/>
          <w:color w:val="auto"/>
          <w:szCs w:val="21"/>
          <w:highlight w:val="none"/>
        </w:rPr>
        <w:t>(</w:t>
      </w: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，原件</w:t>
      </w:r>
      <w:r>
        <w:rPr>
          <w:rFonts w:ascii="宋体" w:hAnsi="宋体"/>
          <w:color w:val="auto"/>
          <w:szCs w:val="21"/>
          <w:highlight w:val="none"/>
        </w:rPr>
        <w:t>)</w:t>
      </w:r>
    </w:p>
    <w:p w14:paraId="723361CD">
      <w:pPr>
        <w:adjustRightInd w:val="0"/>
        <w:snapToGrid w:val="0"/>
        <w:spacing w:line="360" w:lineRule="auto"/>
        <w:ind w:right="420"/>
        <w:rPr>
          <w:rFonts w:ascii="宋体"/>
          <w:color w:val="auto"/>
          <w:szCs w:val="21"/>
          <w:highlight w:val="none"/>
        </w:rPr>
      </w:pPr>
    </w:p>
    <w:p w14:paraId="383BE052">
      <w:pPr>
        <w:adjustRightInd w:val="0"/>
        <w:snapToGrid w:val="0"/>
        <w:spacing w:line="360" w:lineRule="auto"/>
        <w:ind w:right="420"/>
        <w:rPr>
          <w:rFonts w:ascii="宋体"/>
          <w:color w:val="auto"/>
          <w:szCs w:val="21"/>
          <w:highlight w:val="none"/>
        </w:rPr>
      </w:pPr>
    </w:p>
    <w:p w14:paraId="6C198486">
      <w:pPr>
        <w:adjustRightInd w:val="0"/>
        <w:snapToGrid w:val="0"/>
        <w:spacing w:line="360" w:lineRule="auto"/>
        <w:ind w:right="420"/>
        <w:rPr>
          <w:rFonts w:ascii="宋体"/>
          <w:color w:val="auto"/>
          <w:szCs w:val="21"/>
          <w:highlight w:val="none"/>
        </w:rPr>
      </w:pPr>
    </w:p>
    <w:p w14:paraId="29FE079C">
      <w:pPr>
        <w:adjustRightInd w:val="0"/>
        <w:snapToGrid w:val="0"/>
        <w:spacing w:line="360" w:lineRule="auto"/>
        <w:ind w:right="420"/>
        <w:rPr>
          <w:rFonts w:ascii="宋体"/>
          <w:color w:val="auto"/>
          <w:szCs w:val="21"/>
          <w:highlight w:val="none"/>
        </w:rPr>
      </w:pPr>
    </w:p>
    <w:p w14:paraId="1176BA20">
      <w:pPr>
        <w:adjustRightInd w:val="0"/>
        <w:snapToGrid w:val="0"/>
        <w:spacing w:line="360" w:lineRule="auto"/>
        <w:ind w:right="420"/>
        <w:rPr>
          <w:rFonts w:ascii="宋体"/>
          <w:color w:val="auto"/>
          <w:szCs w:val="21"/>
          <w:highlight w:val="none"/>
        </w:rPr>
      </w:pPr>
    </w:p>
    <w:p w14:paraId="12CF17EC">
      <w:pPr>
        <w:adjustRightInd w:val="0"/>
        <w:snapToGrid w:val="0"/>
        <w:spacing w:line="360" w:lineRule="auto"/>
        <w:ind w:right="420"/>
        <w:rPr>
          <w:rFonts w:ascii="宋体"/>
          <w:color w:val="auto"/>
          <w:szCs w:val="21"/>
          <w:highlight w:val="none"/>
        </w:rPr>
      </w:pPr>
    </w:p>
    <w:p w14:paraId="2DD5785A">
      <w:pPr>
        <w:adjustRightInd w:val="0"/>
        <w:snapToGrid w:val="0"/>
        <w:spacing w:line="360" w:lineRule="auto"/>
        <w:ind w:right="420"/>
        <w:rPr>
          <w:rFonts w:ascii="宋体"/>
          <w:color w:val="auto"/>
          <w:szCs w:val="21"/>
          <w:highlight w:val="none"/>
        </w:rPr>
      </w:pPr>
    </w:p>
    <w:p w14:paraId="7176D056">
      <w:pPr>
        <w:adjustRightInd w:val="0"/>
        <w:snapToGrid w:val="0"/>
        <w:spacing w:line="360" w:lineRule="auto"/>
        <w:ind w:right="420"/>
        <w:rPr>
          <w:rFonts w:ascii="宋体"/>
          <w:color w:val="auto"/>
          <w:szCs w:val="21"/>
          <w:highlight w:val="none"/>
        </w:rPr>
      </w:pPr>
    </w:p>
    <w:p w14:paraId="7623638F">
      <w:pPr>
        <w:adjustRightInd w:val="0"/>
        <w:snapToGrid w:val="0"/>
        <w:spacing w:line="360" w:lineRule="auto"/>
        <w:ind w:right="420"/>
        <w:rPr>
          <w:rFonts w:ascii="宋体"/>
          <w:color w:val="auto"/>
          <w:szCs w:val="21"/>
          <w:highlight w:val="none"/>
        </w:rPr>
      </w:pPr>
      <w:r>
        <w:rPr>
          <w:rFonts w:hint="eastAsia" w:ascii="宋体" w:hAnsi="宋体"/>
          <w:color w:val="auto"/>
          <w:szCs w:val="21"/>
          <w:highlight w:val="none"/>
        </w:rPr>
        <w:t>法定代表人（签字）：</w:t>
      </w:r>
      <w:r>
        <w:rPr>
          <w:rFonts w:ascii="宋体" w:hAnsi="宋体"/>
          <w:color w:val="auto"/>
          <w:szCs w:val="21"/>
          <w:highlight w:val="none"/>
          <w:u w:val="single"/>
        </w:rPr>
        <w:t xml:space="preserve">                     </w:t>
      </w:r>
    </w:p>
    <w:p w14:paraId="46AF4994">
      <w:pPr>
        <w:adjustRightInd w:val="0"/>
        <w:snapToGrid w:val="0"/>
        <w:spacing w:line="360" w:lineRule="auto"/>
        <w:ind w:right="420"/>
        <w:rPr>
          <w:rFonts w:ascii="宋体"/>
          <w:color w:val="auto"/>
          <w:szCs w:val="21"/>
          <w:highlight w:val="none"/>
        </w:rPr>
      </w:pPr>
      <w:r>
        <w:rPr>
          <w:rFonts w:hint="eastAsia" w:ascii="宋体" w:hAnsi="宋体"/>
          <w:color w:val="auto"/>
          <w:szCs w:val="21"/>
          <w:highlight w:val="none"/>
        </w:rPr>
        <w:t>委托代理人（签字）：</w:t>
      </w:r>
      <w:r>
        <w:rPr>
          <w:rFonts w:ascii="宋体" w:hAnsi="宋体"/>
          <w:color w:val="auto"/>
          <w:szCs w:val="21"/>
          <w:highlight w:val="none"/>
          <w:u w:val="single"/>
        </w:rPr>
        <w:t xml:space="preserve">                     </w:t>
      </w:r>
    </w:p>
    <w:p w14:paraId="4DA68A82">
      <w:pPr>
        <w:adjustRightInd w:val="0"/>
        <w:snapToGrid w:val="0"/>
        <w:spacing w:line="360" w:lineRule="auto"/>
        <w:ind w:right="24"/>
        <w:rPr>
          <w:rFonts w:hint="eastAsia"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w:t>
      </w:r>
    </w:p>
    <w:p w14:paraId="091C6B9B">
      <w:pPr>
        <w:adjustRightInd w:val="0"/>
        <w:snapToGrid w:val="0"/>
        <w:spacing w:line="360" w:lineRule="auto"/>
        <w:ind w:right="24"/>
        <w:rPr>
          <w:rFonts w:hint="eastAsia" w:ascii="宋体" w:hAnsi="宋体"/>
          <w:color w:val="auto"/>
          <w:szCs w:val="21"/>
          <w:highlight w:val="none"/>
        </w:rPr>
      </w:pPr>
    </w:p>
    <w:p w14:paraId="2258CCA3">
      <w:pPr>
        <w:adjustRightInd w:val="0"/>
        <w:snapToGrid w:val="0"/>
        <w:spacing w:line="360" w:lineRule="auto"/>
        <w:ind w:right="24"/>
        <w:rPr>
          <w:rFonts w:hint="eastAsia" w:ascii="宋体" w:hAnsi="宋体"/>
          <w:color w:val="auto"/>
          <w:szCs w:val="21"/>
          <w:highlight w:val="none"/>
        </w:rPr>
      </w:pPr>
    </w:p>
    <w:p w14:paraId="43AF4CF3">
      <w:pPr>
        <w:adjustRightInd w:val="0"/>
        <w:snapToGrid w:val="0"/>
        <w:spacing w:line="360" w:lineRule="auto"/>
        <w:ind w:right="24"/>
        <w:rPr>
          <w:rFonts w:hint="eastAsia" w:ascii="宋体" w:hAnsi="宋体"/>
          <w:color w:val="auto"/>
          <w:szCs w:val="21"/>
          <w:highlight w:val="none"/>
        </w:rPr>
      </w:pPr>
    </w:p>
    <w:p w14:paraId="3727E7E9">
      <w:pPr>
        <w:adjustRightInd w:val="0"/>
        <w:snapToGrid w:val="0"/>
        <w:spacing w:line="360" w:lineRule="auto"/>
        <w:ind w:right="24"/>
        <w:rPr>
          <w:rFonts w:hint="eastAsia" w:ascii="宋体" w:hAnsi="宋体"/>
          <w:color w:val="auto"/>
          <w:szCs w:val="21"/>
          <w:highlight w:val="none"/>
        </w:rPr>
      </w:pPr>
    </w:p>
    <w:p w14:paraId="10F8A320">
      <w:pPr>
        <w:adjustRightInd w:val="0"/>
        <w:snapToGrid w:val="0"/>
        <w:spacing w:line="360" w:lineRule="auto"/>
        <w:ind w:right="24"/>
        <w:rPr>
          <w:rFonts w:hint="eastAsia" w:ascii="宋体" w:hAnsi="宋体"/>
          <w:color w:val="auto"/>
          <w:szCs w:val="21"/>
          <w:highlight w:val="none"/>
        </w:rPr>
      </w:pPr>
    </w:p>
    <w:p w14:paraId="2D96AF0F">
      <w:pPr>
        <w:adjustRightInd w:val="0"/>
        <w:snapToGrid w:val="0"/>
        <w:spacing w:line="360" w:lineRule="auto"/>
        <w:ind w:right="24"/>
        <w:rPr>
          <w:rFonts w:hint="eastAsia" w:ascii="宋体" w:hAnsi="宋体"/>
          <w:color w:val="auto"/>
          <w:szCs w:val="21"/>
          <w:highlight w:val="none"/>
        </w:rPr>
      </w:pPr>
    </w:p>
    <w:p w14:paraId="08C6A147">
      <w:pPr>
        <w:adjustRightInd w:val="0"/>
        <w:snapToGrid w:val="0"/>
        <w:spacing w:line="360" w:lineRule="auto"/>
        <w:ind w:right="24"/>
        <w:rPr>
          <w:rFonts w:hint="eastAsia" w:ascii="宋体" w:hAnsi="宋体"/>
          <w:color w:val="auto"/>
          <w:szCs w:val="21"/>
          <w:highlight w:val="none"/>
        </w:rPr>
      </w:pPr>
    </w:p>
    <w:p w14:paraId="4725D791">
      <w:pPr>
        <w:adjustRightInd w:val="0"/>
        <w:snapToGrid w:val="0"/>
        <w:spacing w:line="360" w:lineRule="auto"/>
        <w:ind w:right="24"/>
        <w:rPr>
          <w:rFonts w:hint="eastAsia" w:ascii="宋体" w:hAnsi="宋体"/>
          <w:color w:val="auto"/>
          <w:szCs w:val="21"/>
          <w:highlight w:val="none"/>
        </w:rPr>
      </w:pPr>
    </w:p>
    <w:p w14:paraId="11CBA70D">
      <w:pPr>
        <w:adjustRightInd w:val="0"/>
        <w:snapToGrid w:val="0"/>
        <w:spacing w:line="360" w:lineRule="auto"/>
        <w:jc w:val="center"/>
        <w:outlineLvl w:val="1"/>
        <w:rPr>
          <w:rFonts w:hint="eastAsia" w:ascii="黑体" w:hAnsi="黑体" w:eastAsia="黑体"/>
          <w:b/>
          <w:color w:val="auto"/>
          <w:sz w:val="32"/>
          <w:szCs w:val="32"/>
          <w:highlight w:val="none"/>
        </w:rPr>
      </w:pPr>
      <w:bookmarkStart w:id="129" w:name="_Toc432109681"/>
      <w:bookmarkStart w:id="130" w:name="_Toc4543"/>
      <w:bookmarkStart w:id="131" w:name="_Toc187939565"/>
      <w:bookmarkStart w:id="132" w:name="_Toc169515398"/>
      <w:bookmarkStart w:id="133" w:name="_Toc187243511"/>
      <w:r>
        <w:rPr>
          <w:rFonts w:hint="eastAsia" w:ascii="黑体" w:hAnsi="黑体" w:eastAsia="黑体"/>
          <w:b/>
          <w:color w:val="auto"/>
          <w:sz w:val="32"/>
          <w:szCs w:val="32"/>
          <w:highlight w:val="none"/>
        </w:rPr>
        <w:t>二、投标人</w:t>
      </w:r>
      <w:bookmarkEnd w:id="129"/>
      <w:r>
        <w:rPr>
          <w:rFonts w:hint="eastAsia" w:ascii="黑体" w:hAnsi="黑体" w:eastAsia="黑体"/>
          <w:b/>
          <w:color w:val="auto"/>
          <w:sz w:val="32"/>
          <w:szCs w:val="32"/>
          <w:highlight w:val="none"/>
        </w:rPr>
        <w:t>基本情况表及其他文件</w:t>
      </w:r>
      <w:bookmarkEnd w:id="130"/>
      <w:bookmarkEnd w:id="131"/>
      <w:bookmarkEnd w:id="132"/>
      <w:bookmarkEnd w:id="133"/>
    </w:p>
    <w:p w14:paraId="4CD45B3D">
      <w:pPr>
        <w:spacing w:line="480" w:lineRule="exact"/>
        <w:rPr>
          <w:rFonts w:hint="eastAsia" w:ascii="黑体" w:hAnsi="黑体" w:eastAsia="黑体"/>
          <w:color w:val="auto"/>
          <w:sz w:val="30"/>
          <w:szCs w:val="30"/>
          <w:highlight w:val="none"/>
        </w:rPr>
      </w:pPr>
      <w:r>
        <w:rPr>
          <w:rFonts w:hint="eastAsia" w:ascii="黑体" w:hAnsi="黑体" w:eastAsia="黑体"/>
          <w:color w:val="auto"/>
          <w:sz w:val="30"/>
          <w:szCs w:val="30"/>
          <w:highlight w:val="none"/>
        </w:rPr>
        <w:t>附件3</w:t>
      </w:r>
      <w:r>
        <w:rPr>
          <w:rFonts w:ascii="黑体" w:hAnsi="黑体" w:eastAsia="黑体"/>
          <w:color w:val="auto"/>
          <w:sz w:val="30"/>
          <w:szCs w:val="30"/>
          <w:highlight w:val="none"/>
        </w:rPr>
        <w:t xml:space="preserve">              </w:t>
      </w:r>
      <w:r>
        <w:rPr>
          <w:rFonts w:hint="eastAsia" w:ascii="黑体" w:hAnsi="黑体" w:eastAsia="黑体"/>
          <w:color w:val="auto"/>
          <w:sz w:val="30"/>
          <w:szCs w:val="30"/>
          <w:highlight w:val="none"/>
        </w:rPr>
        <w:t>投标人基本情况表</w:t>
      </w:r>
    </w:p>
    <w:p w14:paraId="09BD11E0">
      <w:pPr>
        <w:spacing w:line="480" w:lineRule="exact"/>
        <w:rPr>
          <w:rFonts w:hint="eastAsia" w:ascii="黑体" w:hAnsi="黑体" w:eastAsia="黑体"/>
          <w:color w:val="auto"/>
          <w:sz w:val="30"/>
          <w:szCs w:val="30"/>
          <w:highlight w:val="none"/>
        </w:rPr>
      </w:pPr>
    </w:p>
    <w:p w14:paraId="35636244">
      <w:pPr>
        <w:adjustRightInd w:val="0"/>
        <w:snapToGrid w:val="0"/>
        <w:spacing w:line="360" w:lineRule="auto"/>
        <w:rPr>
          <w:rFonts w:ascii="宋体"/>
          <w:color w:val="auto"/>
          <w:szCs w:val="21"/>
          <w:highlight w:val="none"/>
        </w:rPr>
      </w:pPr>
      <w:r>
        <w:rPr>
          <w:rFonts w:hint="eastAsia" w:ascii="宋体" w:hAnsi="宋体"/>
          <w:color w:val="auto"/>
          <w:szCs w:val="21"/>
          <w:highlight w:val="none"/>
        </w:rPr>
        <w:t>盖供应商单位章</w:t>
      </w:r>
    </w:p>
    <w:tbl>
      <w:tblPr>
        <w:tblStyle w:val="42"/>
        <w:tblW w:w="930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842"/>
        <w:gridCol w:w="1143"/>
        <w:gridCol w:w="850"/>
        <w:gridCol w:w="590"/>
        <w:gridCol w:w="294"/>
        <w:gridCol w:w="1083"/>
        <w:gridCol w:w="1329"/>
        <w:gridCol w:w="1911"/>
      </w:tblGrid>
      <w:tr w14:paraId="3B1E17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100" w:type="dxa"/>
            <w:gridSpan w:val="3"/>
            <w:tcBorders>
              <w:top w:val="double" w:color="auto" w:sz="4" w:space="0"/>
              <w:left w:val="double" w:color="auto" w:sz="4" w:space="0"/>
              <w:bottom w:val="single" w:color="auto" w:sz="6" w:space="0"/>
              <w:right w:val="single" w:color="auto" w:sz="6" w:space="0"/>
            </w:tcBorders>
            <w:vAlign w:val="center"/>
          </w:tcPr>
          <w:p w14:paraId="40BDA4C4">
            <w:pPr>
              <w:topLinePunct/>
              <w:spacing w:line="440" w:lineRule="exact"/>
              <w:jc w:val="center"/>
              <w:rPr>
                <w:rFonts w:ascii="宋体"/>
                <w:color w:val="auto"/>
                <w:szCs w:val="21"/>
                <w:highlight w:val="none"/>
              </w:rPr>
            </w:pPr>
            <w:r>
              <w:rPr>
                <w:rFonts w:hint="eastAsia" w:ascii="宋体" w:hAnsi="宋体"/>
                <w:color w:val="auto"/>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4666D9C8">
            <w:pPr>
              <w:topLinePunct/>
              <w:spacing w:line="440" w:lineRule="exact"/>
              <w:jc w:val="center"/>
              <w:rPr>
                <w:rFonts w:ascii="宋体"/>
                <w:color w:val="auto"/>
                <w:szCs w:val="21"/>
                <w:highlight w:val="none"/>
              </w:rPr>
            </w:pPr>
          </w:p>
        </w:tc>
        <w:tc>
          <w:tcPr>
            <w:tcW w:w="1329" w:type="dxa"/>
            <w:tcBorders>
              <w:top w:val="double" w:color="auto" w:sz="4" w:space="0"/>
              <w:left w:val="single" w:color="auto" w:sz="6" w:space="0"/>
              <w:bottom w:val="single" w:color="auto" w:sz="6" w:space="0"/>
              <w:right w:val="single" w:color="auto" w:sz="6" w:space="0"/>
            </w:tcBorders>
            <w:vAlign w:val="center"/>
          </w:tcPr>
          <w:p w14:paraId="72BD9AAE">
            <w:pPr>
              <w:topLinePunct/>
              <w:spacing w:line="440" w:lineRule="exact"/>
              <w:jc w:val="center"/>
              <w:rPr>
                <w:rFonts w:ascii="宋体"/>
                <w:color w:val="auto"/>
                <w:szCs w:val="21"/>
                <w:highlight w:val="none"/>
              </w:rPr>
            </w:pPr>
            <w:r>
              <w:rPr>
                <w:rFonts w:hint="eastAsia" w:ascii="宋体" w:hAnsi="宋体"/>
                <w:color w:val="auto"/>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6EE3FAEC">
            <w:pPr>
              <w:topLinePunct/>
              <w:spacing w:line="440" w:lineRule="exact"/>
              <w:jc w:val="center"/>
              <w:rPr>
                <w:rFonts w:ascii="宋体"/>
                <w:color w:val="auto"/>
                <w:szCs w:val="21"/>
                <w:highlight w:val="none"/>
              </w:rPr>
            </w:pPr>
          </w:p>
        </w:tc>
      </w:tr>
      <w:tr w14:paraId="0C3DB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100" w:type="dxa"/>
            <w:gridSpan w:val="3"/>
            <w:tcBorders>
              <w:top w:val="single" w:color="auto" w:sz="6" w:space="0"/>
              <w:left w:val="double" w:color="auto" w:sz="4" w:space="0"/>
              <w:bottom w:val="single" w:color="auto" w:sz="6" w:space="0"/>
              <w:right w:val="single" w:color="auto" w:sz="6" w:space="0"/>
            </w:tcBorders>
            <w:vAlign w:val="center"/>
          </w:tcPr>
          <w:p w14:paraId="0C73065B">
            <w:pPr>
              <w:topLinePunct/>
              <w:spacing w:line="440" w:lineRule="exact"/>
              <w:jc w:val="center"/>
              <w:rPr>
                <w:rFonts w:ascii="宋体"/>
                <w:color w:val="auto"/>
                <w:szCs w:val="21"/>
                <w:highlight w:val="none"/>
              </w:rPr>
            </w:pPr>
            <w:r>
              <w:rPr>
                <w:rFonts w:hint="eastAsia" w:ascii="宋体" w:hAnsi="宋体"/>
                <w:color w:val="auto"/>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3C7940C">
            <w:pPr>
              <w:topLinePunct/>
              <w:spacing w:line="440" w:lineRule="exact"/>
              <w:jc w:val="center"/>
              <w:rPr>
                <w:rFonts w:asci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0A8752AD">
            <w:pPr>
              <w:topLinePunct/>
              <w:spacing w:line="440" w:lineRule="exact"/>
              <w:jc w:val="center"/>
              <w:rPr>
                <w:rFonts w:ascii="宋体"/>
                <w:color w:val="auto"/>
                <w:szCs w:val="21"/>
                <w:highlight w:val="none"/>
              </w:rPr>
            </w:pPr>
            <w:r>
              <w:rPr>
                <w:rFonts w:hint="eastAsia" w:ascii="宋体" w:hAnsi="宋体"/>
                <w:color w:val="auto"/>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047B60D0">
            <w:pPr>
              <w:topLinePunct/>
              <w:spacing w:line="440" w:lineRule="exact"/>
              <w:jc w:val="center"/>
              <w:rPr>
                <w:rFonts w:ascii="宋体"/>
                <w:color w:val="auto"/>
                <w:szCs w:val="21"/>
                <w:highlight w:val="none"/>
              </w:rPr>
            </w:pPr>
          </w:p>
        </w:tc>
      </w:tr>
      <w:tr w14:paraId="341786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2100" w:type="dxa"/>
            <w:gridSpan w:val="3"/>
            <w:tcBorders>
              <w:top w:val="single" w:color="auto" w:sz="6" w:space="0"/>
              <w:left w:val="double" w:color="auto" w:sz="4" w:space="0"/>
              <w:bottom w:val="single" w:color="auto" w:sz="6" w:space="0"/>
              <w:right w:val="single" w:color="auto" w:sz="6" w:space="0"/>
            </w:tcBorders>
            <w:vAlign w:val="center"/>
          </w:tcPr>
          <w:p w14:paraId="3638C6EE">
            <w:pPr>
              <w:topLinePunct/>
              <w:spacing w:line="440" w:lineRule="exact"/>
              <w:jc w:val="center"/>
              <w:rPr>
                <w:rFonts w:ascii="宋体"/>
                <w:color w:val="auto"/>
                <w:szCs w:val="21"/>
                <w:highlight w:val="none"/>
              </w:rPr>
            </w:pPr>
            <w:r>
              <w:rPr>
                <w:rFonts w:hint="eastAsia" w:ascii="宋体" w:hAnsi="宋体"/>
                <w:color w:val="auto"/>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B345D78">
            <w:pPr>
              <w:topLinePunct/>
              <w:spacing w:line="440" w:lineRule="exact"/>
              <w:jc w:val="center"/>
              <w:rPr>
                <w:rFonts w:asci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62F2A998">
            <w:pPr>
              <w:topLinePunct/>
              <w:spacing w:line="440" w:lineRule="exact"/>
              <w:jc w:val="center"/>
              <w:rPr>
                <w:rFonts w:ascii="宋体"/>
                <w:color w:val="auto"/>
                <w:szCs w:val="21"/>
                <w:highlight w:val="none"/>
              </w:rPr>
            </w:pPr>
            <w:r>
              <w:rPr>
                <w:rFonts w:hint="eastAsia" w:ascii="宋体" w:hAnsi="宋体"/>
                <w:color w:val="auto"/>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126126BB">
            <w:pPr>
              <w:topLinePunct/>
              <w:spacing w:line="440" w:lineRule="exact"/>
              <w:jc w:val="center"/>
              <w:rPr>
                <w:rFonts w:ascii="宋体"/>
                <w:color w:val="auto"/>
                <w:szCs w:val="21"/>
                <w:highlight w:val="none"/>
              </w:rPr>
            </w:pPr>
          </w:p>
        </w:tc>
      </w:tr>
      <w:tr w14:paraId="264916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2100" w:type="dxa"/>
            <w:gridSpan w:val="3"/>
            <w:tcBorders>
              <w:top w:val="single" w:color="auto" w:sz="6" w:space="0"/>
              <w:left w:val="double" w:color="auto" w:sz="4" w:space="0"/>
              <w:bottom w:val="single" w:color="auto" w:sz="6" w:space="0"/>
              <w:right w:val="single" w:color="auto" w:sz="6" w:space="0"/>
            </w:tcBorders>
            <w:vAlign w:val="center"/>
          </w:tcPr>
          <w:p w14:paraId="0598B9FC">
            <w:pPr>
              <w:topLinePunct/>
              <w:spacing w:line="440" w:lineRule="exact"/>
              <w:jc w:val="center"/>
              <w:rPr>
                <w:rFonts w:ascii="宋体"/>
                <w:color w:val="auto"/>
                <w:szCs w:val="21"/>
                <w:highlight w:val="none"/>
              </w:rPr>
            </w:pPr>
            <w:r>
              <w:rPr>
                <w:rFonts w:hint="eastAsia" w:ascii="宋体" w:hAnsi="宋体"/>
                <w:color w:val="auto"/>
                <w:szCs w:val="21"/>
                <w:highlight w:val="none"/>
              </w:rPr>
              <w:t>员工总人数</w:t>
            </w:r>
          </w:p>
        </w:tc>
        <w:tc>
          <w:tcPr>
            <w:tcW w:w="7200" w:type="dxa"/>
            <w:gridSpan w:val="7"/>
            <w:tcBorders>
              <w:top w:val="single" w:color="auto" w:sz="6" w:space="0"/>
              <w:left w:val="single" w:color="auto" w:sz="6" w:space="0"/>
              <w:bottom w:val="single" w:color="auto" w:sz="6" w:space="0"/>
              <w:right w:val="double" w:color="auto" w:sz="4" w:space="0"/>
            </w:tcBorders>
            <w:vAlign w:val="center"/>
          </w:tcPr>
          <w:p w14:paraId="4F23AA4C">
            <w:pPr>
              <w:topLinePunct/>
              <w:spacing w:line="440" w:lineRule="exact"/>
              <w:jc w:val="center"/>
              <w:rPr>
                <w:rFonts w:ascii="宋体"/>
                <w:color w:val="auto"/>
                <w:szCs w:val="21"/>
                <w:highlight w:val="none"/>
              </w:rPr>
            </w:pPr>
          </w:p>
        </w:tc>
      </w:tr>
      <w:tr w14:paraId="148A9A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5CFD8819">
            <w:pPr>
              <w:topLinePunct/>
              <w:spacing w:line="440" w:lineRule="exact"/>
              <w:jc w:val="center"/>
              <w:rPr>
                <w:rFonts w:ascii="宋体"/>
                <w:color w:val="auto"/>
                <w:szCs w:val="21"/>
                <w:highlight w:val="none"/>
              </w:rPr>
            </w:pPr>
            <w:r>
              <w:rPr>
                <w:rFonts w:hint="eastAsia" w:ascii="宋体" w:hAnsi="宋体"/>
                <w:color w:val="auto"/>
                <w:szCs w:val="21"/>
                <w:highlight w:val="none"/>
              </w:rPr>
              <w:t>营业执照</w:t>
            </w:r>
          </w:p>
        </w:tc>
        <w:tc>
          <w:tcPr>
            <w:tcW w:w="2524" w:type="dxa"/>
            <w:gridSpan w:val="3"/>
            <w:tcBorders>
              <w:top w:val="single" w:color="auto" w:sz="6" w:space="0"/>
              <w:left w:val="single" w:color="auto" w:sz="6" w:space="0"/>
              <w:bottom w:val="single" w:color="auto" w:sz="6" w:space="0"/>
              <w:right w:val="single" w:color="auto" w:sz="6" w:space="0"/>
            </w:tcBorders>
            <w:vAlign w:val="center"/>
          </w:tcPr>
          <w:p w14:paraId="055B130F">
            <w:pPr>
              <w:topLinePunct/>
              <w:spacing w:line="440" w:lineRule="exact"/>
              <w:jc w:val="center"/>
              <w:rPr>
                <w:rFonts w:ascii="宋体"/>
                <w:color w:val="auto"/>
                <w:szCs w:val="21"/>
                <w:highlight w:val="none"/>
              </w:rPr>
            </w:pPr>
            <w:r>
              <w:rPr>
                <w:rFonts w:hint="eastAsia" w:ascii="宋体" w:hAnsi="宋体"/>
                <w:color w:val="auto"/>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1F6D01D">
            <w:pPr>
              <w:topLinePunct/>
              <w:spacing w:line="440" w:lineRule="exact"/>
              <w:jc w:val="center"/>
              <w:rPr>
                <w:rFonts w:asci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449A9BB6">
            <w:pPr>
              <w:topLinePunct/>
              <w:spacing w:line="440" w:lineRule="exact"/>
              <w:ind w:firstLine="105" w:firstLineChars="50"/>
              <w:jc w:val="center"/>
              <w:rPr>
                <w:rFonts w:ascii="宋体"/>
                <w:color w:val="auto"/>
                <w:szCs w:val="21"/>
                <w:highlight w:val="none"/>
              </w:rPr>
            </w:pPr>
            <w:r>
              <w:rPr>
                <w:rFonts w:hint="eastAsia" w:ascii="宋体" w:hAnsi="宋体"/>
                <w:color w:val="auto"/>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7A547147">
            <w:pPr>
              <w:topLinePunct/>
              <w:spacing w:line="440" w:lineRule="exact"/>
              <w:ind w:firstLine="105" w:firstLineChars="50"/>
              <w:jc w:val="center"/>
              <w:rPr>
                <w:rFonts w:ascii="宋体"/>
                <w:color w:val="auto"/>
                <w:szCs w:val="21"/>
                <w:highlight w:val="none"/>
              </w:rPr>
            </w:pPr>
          </w:p>
        </w:tc>
      </w:tr>
      <w:tr w14:paraId="07E716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45C5EED">
            <w:pPr>
              <w:topLinePunct/>
              <w:spacing w:line="440" w:lineRule="exact"/>
              <w:jc w:val="center"/>
              <w:rPr>
                <w:rFonts w:ascii="宋体"/>
                <w:color w:val="auto"/>
                <w:szCs w:val="21"/>
                <w:highlight w:val="none"/>
              </w:rPr>
            </w:pPr>
          </w:p>
        </w:tc>
        <w:tc>
          <w:tcPr>
            <w:tcW w:w="2524" w:type="dxa"/>
            <w:gridSpan w:val="3"/>
            <w:tcBorders>
              <w:top w:val="single" w:color="auto" w:sz="6" w:space="0"/>
              <w:left w:val="single" w:color="auto" w:sz="6" w:space="0"/>
              <w:bottom w:val="single" w:color="auto" w:sz="6" w:space="0"/>
              <w:right w:val="single" w:color="auto" w:sz="6" w:space="0"/>
            </w:tcBorders>
            <w:vAlign w:val="center"/>
          </w:tcPr>
          <w:p w14:paraId="06B2648C">
            <w:pPr>
              <w:topLinePunct/>
              <w:spacing w:line="440" w:lineRule="exact"/>
              <w:jc w:val="center"/>
              <w:rPr>
                <w:rFonts w:ascii="宋体"/>
                <w:color w:val="auto"/>
                <w:szCs w:val="21"/>
                <w:highlight w:val="none"/>
              </w:rPr>
            </w:pPr>
            <w:r>
              <w:rPr>
                <w:rFonts w:hint="eastAsia" w:ascii="宋体" w:hAnsi="宋体"/>
                <w:color w:val="auto"/>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4C7F60D">
            <w:pPr>
              <w:topLinePunct/>
              <w:spacing w:line="440" w:lineRule="exact"/>
              <w:jc w:val="center"/>
              <w:rPr>
                <w:rFonts w:asci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06370421">
            <w:pPr>
              <w:topLinePunct/>
              <w:spacing w:line="440" w:lineRule="exact"/>
              <w:ind w:firstLine="105" w:firstLineChars="50"/>
              <w:jc w:val="center"/>
              <w:rPr>
                <w:rFonts w:ascii="宋体"/>
                <w:color w:val="auto"/>
                <w:szCs w:val="21"/>
                <w:highlight w:val="none"/>
              </w:rPr>
            </w:pPr>
            <w:r>
              <w:rPr>
                <w:rFonts w:hint="eastAsia" w:ascii="宋体" w:hAnsi="宋体"/>
                <w:color w:val="auto"/>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7A60A55">
            <w:pPr>
              <w:topLinePunct/>
              <w:spacing w:line="440" w:lineRule="exact"/>
              <w:ind w:firstLine="105" w:firstLineChars="50"/>
              <w:jc w:val="center"/>
              <w:rPr>
                <w:rFonts w:ascii="宋体"/>
                <w:color w:val="auto"/>
                <w:szCs w:val="21"/>
                <w:highlight w:val="none"/>
              </w:rPr>
            </w:pPr>
          </w:p>
        </w:tc>
      </w:tr>
      <w:tr w14:paraId="520621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744D865">
            <w:pPr>
              <w:topLinePunct/>
              <w:spacing w:line="440" w:lineRule="exact"/>
              <w:jc w:val="center"/>
              <w:rPr>
                <w:rFonts w:ascii="宋体"/>
                <w:color w:val="auto"/>
                <w:szCs w:val="21"/>
                <w:highlight w:val="none"/>
              </w:rPr>
            </w:pPr>
          </w:p>
        </w:tc>
        <w:tc>
          <w:tcPr>
            <w:tcW w:w="2524" w:type="dxa"/>
            <w:gridSpan w:val="3"/>
            <w:tcBorders>
              <w:top w:val="single" w:color="auto" w:sz="6" w:space="0"/>
              <w:left w:val="single" w:color="auto" w:sz="6" w:space="0"/>
              <w:bottom w:val="single" w:color="auto" w:sz="6" w:space="0"/>
              <w:right w:val="single" w:color="auto" w:sz="6" w:space="0"/>
            </w:tcBorders>
            <w:vAlign w:val="center"/>
          </w:tcPr>
          <w:p w14:paraId="372E69F7">
            <w:pPr>
              <w:topLinePunct/>
              <w:spacing w:line="440" w:lineRule="exact"/>
              <w:jc w:val="center"/>
              <w:rPr>
                <w:rFonts w:ascii="宋体"/>
                <w:color w:val="auto"/>
                <w:szCs w:val="21"/>
                <w:highlight w:val="none"/>
              </w:rPr>
            </w:pPr>
            <w:r>
              <w:rPr>
                <w:rFonts w:hint="eastAsia" w:ascii="宋体" w:hAnsi="宋体"/>
                <w:color w:val="auto"/>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AA40951">
            <w:pPr>
              <w:topLinePunct/>
              <w:spacing w:line="440" w:lineRule="exact"/>
              <w:ind w:firstLine="105" w:firstLineChars="50"/>
              <w:jc w:val="center"/>
              <w:rPr>
                <w:rFonts w:ascii="宋体"/>
                <w:color w:val="auto"/>
                <w:szCs w:val="21"/>
                <w:highlight w:val="none"/>
              </w:rPr>
            </w:pPr>
          </w:p>
        </w:tc>
      </w:tr>
      <w:tr w14:paraId="6E451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02F95AA">
            <w:pPr>
              <w:topLinePunct/>
              <w:spacing w:line="440" w:lineRule="exact"/>
              <w:jc w:val="center"/>
              <w:rPr>
                <w:rFonts w:ascii="宋体"/>
                <w:color w:val="auto"/>
                <w:szCs w:val="21"/>
                <w:highlight w:val="none"/>
              </w:rPr>
            </w:pPr>
          </w:p>
        </w:tc>
        <w:tc>
          <w:tcPr>
            <w:tcW w:w="2524" w:type="dxa"/>
            <w:gridSpan w:val="3"/>
            <w:tcBorders>
              <w:top w:val="single" w:color="auto" w:sz="6" w:space="0"/>
              <w:left w:val="single" w:color="auto" w:sz="6" w:space="0"/>
              <w:bottom w:val="single" w:color="auto" w:sz="6" w:space="0"/>
              <w:right w:val="single" w:color="auto" w:sz="6" w:space="0"/>
            </w:tcBorders>
            <w:vAlign w:val="center"/>
          </w:tcPr>
          <w:p w14:paraId="4C8D8AB3">
            <w:pPr>
              <w:topLinePunct/>
              <w:spacing w:line="440" w:lineRule="exact"/>
              <w:jc w:val="center"/>
              <w:rPr>
                <w:rFonts w:ascii="宋体"/>
                <w:color w:val="auto"/>
                <w:szCs w:val="21"/>
                <w:highlight w:val="none"/>
              </w:rPr>
            </w:pPr>
            <w:r>
              <w:rPr>
                <w:rFonts w:hint="eastAsia" w:ascii="宋体" w:hAnsi="宋体"/>
                <w:color w:val="auto"/>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D0EDD1A">
            <w:pPr>
              <w:topLinePunct/>
              <w:spacing w:line="440" w:lineRule="exact"/>
              <w:ind w:firstLine="105" w:firstLineChars="50"/>
              <w:jc w:val="center"/>
              <w:rPr>
                <w:rFonts w:ascii="宋体"/>
                <w:color w:val="auto"/>
                <w:szCs w:val="21"/>
                <w:highlight w:val="none"/>
              </w:rPr>
            </w:pPr>
          </w:p>
        </w:tc>
      </w:tr>
      <w:tr w14:paraId="24C93B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3243" w:type="dxa"/>
            <w:gridSpan w:val="4"/>
            <w:tcBorders>
              <w:top w:val="single" w:color="auto" w:sz="6" w:space="0"/>
              <w:left w:val="double" w:color="auto" w:sz="4" w:space="0"/>
              <w:bottom w:val="single" w:color="auto" w:sz="6" w:space="0"/>
              <w:right w:val="single" w:color="auto" w:sz="6" w:space="0"/>
            </w:tcBorders>
            <w:vAlign w:val="center"/>
          </w:tcPr>
          <w:p w14:paraId="6B137667">
            <w:pPr>
              <w:topLinePunct/>
              <w:spacing w:line="440" w:lineRule="exact"/>
              <w:jc w:val="center"/>
              <w:rPr>
                <w:rFonts w:ascii="宋体"/>
                <w:color w:val="auto"/>
                <w:szCs w:val="21"/>
                <w:highlight w:val="none"/>
              </w:rPr>
            </w:pPr>
            <w:r>
              <w:rPr>
                <w:rFonts w:hint="eastAsia" w:ascii="宋体" w:hAnsi="宋体"/>
                <w:color w:val="auto"/>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4B23C89">
            <w:pPr>
              <w:topLinePunct/>
              <w:spacing w:line="440" w:lineRule="exact"/>
              <w:jc w:val="center"/>
              <w:rPr>
                <w:rFonts w:ascii="宋体"/>
                <w:color w:val="auto"/>
                <w:szCs w:val="21"/>
                <w:highlight w:val="none"/>
              </w:rPr>
            </w:pPr>
          </w:p>
        </w:tc>
      </w:tr>
      <w:tr w14:paraId="1A8D2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3243" w:type="dxa"/>
            <w:gridSpan w:val="4"/>
            <w:tcBorders>
              <w:top w:val="single" w:color="auto" w:sz="6" w:space="0"/>
              <w:left w:val="double" w:color="auto" w:sz="4" w:space="0"/>
              <w:bottom w:val="single" w:color="auto" w:sz="6" w:space="0"/>
              <w:right w:val="single" w:color="auto" w:sz="6" w:space="0"/>
            </w:tcBorders>
            <w:vAlign w:val="center"/>
          </w:tcPr>
          <w:p w14:paraId="570F7283">
            <w:pPr>
              <w:topLinePunct/>
              <w:spacing w:line="440" w:lineRule="exact"/>
              <w:jc w:val="center"/>
              <w:rPr>
                <w:rFonts w:ascii="宋体"/>
                <w:color w:val="auto"/>
                <w:szCs w:val="21"/>
                <w:highlight w:val="none"/>
              </w:rPr>
            </w:pPr>
            <w:r>
              <w:rPr>
                <w:rFonts w:hint="eastAsia" w:ascii="宋体" w:hAnsi="宋体"/>
                <w:color w:val="auto"/>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6A8F35F">
            <w:pPr>
              <w:topLinePunct/>
              <w:spacing w:line="440" w:lineRule="exact"/>
              <w:jc w:val="center"/>
              <w:rPr>
                <w:rFonts w:ascii="宋体"/>
                <w:color w:val="auto"/>
                <w:szCs w:val="21"/>
                <w:highlight w:val="none"/>
              </w:rPr>
            </w:pPr>
          </w:p>
        </w:tc>
      </w:tr>
      <w:tr w14:paraId="53F46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4093" w:type="dxa"/>
            <w:gridSpan w:val="5"/>
            <w:tcBorders>
              <w:top w:val="single" w:color="auto" w:sz="6" w:space="0"/>
              <w:left w:val="double" w:color="auto" w:sz="4" w:space="0"/>
              <w:bottom w:val="single" w:color="auto" w:sz="6" w:space="0"/>
              <w:right w:val="single" w:color="auto" w:sz="6" w:space="0"/>
            </w:tcBorders>
            <w:vAlign w:val="center"/>
          </w:tcPr>
          <w:p w14:paraId="340DD5E8">
            <w:pPr>
              <w:topLinePunct/>
              <w:spacing w:line="440" w:lineRule="exact"/>
              <w:jc w:val="center"/>
              <w:rPr>
                <w:rFonts w:ascii="宋体"/>
                <w:color w:val="auto"/>
                <w:szCs w:val="21"/>
                <w:highlight w:val="none"/>
              </w:rPr>
            </w:pPr>
            <w:r>
              <w:rPr>
                <w:rFonts w:hint="eastAsia" w:ascii="宋体" w:hAnsi="宋体"/>
                <w:color w:val="auto"/>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1D3EC77">
            <w:pPr>
              <w:topLinePunct/>
              <w:spacing w:line="440" w:lineRule="exact"/>
              <w:jc w:val="center"/>
              <w:rPr>
                <w:rFonts w:ascii="宋体"/>
                <w:color w:val="auto"/>
                <w:szCs w:val="21"/>
                <w:highlight w:val="none"/>
              </w:rPr>
            </w:pPr>
            <w:r>
              <w:rPr>
                <w:rFonts w:hint="eastAsia" w:ascii="宋体" w:hAnsi="宋体"/>
                <w:color w:val="auto"/>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A235A24">
            <w:pPr>
              <w:topLinePunct/>
              <w:spacing w:line="440" w:lineRule="exact"/>
              <w:jc w:val="center"/>
              <w:rPr>
                <w:rFonts w:ascii="宋体"/>
                <w:color w:val="auto"/>
                <w:szCs w:val="21"/>
                <w:highlight w:val="none"/>
              </w:rPr>
            </w:pPr>
            <w:r>
              <w:rPr>
                <w:rFonts w:hint="eastAsia" w:ascii="宋体" w:hAnsi="宋体"/>
                <w:color w:val="auto"/>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945C071">
            <w:pPr>
              <w:topLinePunct/>
              <w:spacing w:line="440" w:lineRule="exact"/>
              <w:jc w:val="center"/>
              <w:rPr>
                <w:rFonts w:ascii="宋体"/>
                <w:color w:val="auto"/>
                <w:szCs w:val="21"/>
                <w:highlight w:val="none"/>
              </w:rPr>
            </w:pPr>
            <w:r>
              <w:rPr>
                <w:rFonts w:hint="eastAsia" w:ascii="宋体" w:hAnsi="宋体"/>
                <w:color w:val="auto"/>
                <w:szCs w:val="21"/>
                <w:highlight w:val="none"/>
              </w:rPr>
              <w:t>有效期</w:t>
            </w:r>
          </w:p>
        </w:tc>
      </w:tr>
      <w:tr w14:paraId="440BDB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4093" w:type="dxa"/>
            <w:gridSpan w:val="5"/>
            <w:tcBorders>
              <w:top w:val="single" w:color="auto" w:sz="6" w:space="0"/>
              <w:left w:val="double" w:color="auto" w:sz="4" w:space="0"/>
              <w:bottom w:val="single" w:color="auto" w:sz="6" w:space="0"/>
              <w:right w:val="single" w:color="auto" w:sz="6" w:space="0"/>
            </w:tcBorders>
            <w:vAlign w:val="center"/>
          </w:tcPr>
          <w:p w14:paraId="62FB9520">
            <w:pPr>
              <w:topLinePunct/>
              <w:spacing w:line="440" w:lineRule="exact"/>
              <w:jc w:val="center"/>
              <w:rPr>
                <w:rFonts w:asci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894D4FF">
            <w:pPr>
              <w:topLinePunct/>
              <w:spacing w:line="440" w:lineRule="exact"/>
              <w:jc w:val="center"/>
              <w:rPr>
                <w:rFonts w:asci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30BC3BD0">
            <w:pPr>
              <w:topLinePunct/>
              <w:spacing w:line="440" w:lineRule="exact"/>
              <w:jc w:val="center"/>
              <w:rPr>
                <w:rFonts w:asci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04F7A19">
            <w:pPr>
              <w:topLinePunct/>
              <w:spacing w:line="440" w:lineRule="exact"/>
              <w:jc w:val="center"/>
              <w:rPr>
                <w:rFonts w:ascii="宋体"/>
                <w:color w:val="auto"/>
                <w:szCs w:val="21"/>
                <w:highlight w:val="none"/>
              </w:rPr>
            </w:pPr>
          </w:p>
        </w:tc>
      </w:tr>
      <w:tr w14:paraId="19D52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4093" w:type="dxa"/>
            <w:gridSpan w:val="5"/>
            <w:tcBorders>
              <w:top w:val="single" w:color="auto" w:sz="6" w:space="0"/>
              <w:left w:val="double" w:color="auto" w:sz="4" w:space="0"/>
              <w:bottom w:val="single" w:color="auto" w:sz="6" w:space="0"/>
              <w:right w:val="single" w:color="auto" w:sz="6" w:space="0"/>
            </w:tcBorders>
            <w:vAlign w:val="center"/>
          </w:tcPr>
          <w:p w14:paraId="15E76C70">
            <w:pPr>
              <w:topLinePunct/>
              <w:spacing w:line="440" w:lineRule="exact"/>
              <w:jc w:val="center"/>
              <w:rPr>
                <w:rFonts w:asci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A37C905">
            <w:pPr>
              <w:topLinePunct/>
              <w:spacing w:line="440" w:lineRule="exact"/>
              <w:jc w:val="center"/>
              <w:rPr>
                <w:rFonts w:asci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927B7D4">
            <w:pPr>
              <w:topLinePunct/>
              <w:spacing w:line="440" w:lineRule="exact"/>
              <w:jc w:val="center"/>
              <w:rPr>
                <w:rFonts w:asci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3C43941">
            <w:pPr>
              <w:topLinePunct/>
              <w:spacing w:line="440" w:lineRule="exact"/>
              <w:jc w:val="center"/>
              <w:rPr>
                <w:rFonts w:ascii="宋体"/>
                <w:color w:val="auto"/>
                <w:szCs w:val="21"/>
                <w:highlight w:val="none"/>
              </w:rPr>
            </w:pPr>
          </w:p>
        </w:tc>
      </w:tr>
      <w:tr w14:paraId="55858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4093" w:type="dxa"/>
            <w:gridSpan w:val="5"/>
            <w:tcBorders>
              <w:top w:val="single" w:color="auto" w:sz="6" w:space="0"/>
              <w:left w:val="double" w:color="auto" w:sz="4" w:space="0"/>
              <w:bottom w:val="single" w:color="auto" w:sz="6" w:space="0"/>
              <w:right w:val="single" w:color="auto" w:sz="6" w:space="0"/>
            </w:tcBorders>
            <w:vAlign w:val="center"/>
          </w:tcPr>
          <w:p w14:paraId="208D98C1">
            <w:pPr>
              <w:topLinePunct/>
              <w:spacing w:line="440" w:lineRule="exact"/>
              <w:jc w:val="center"/>
              <w:rPr>
                <w:rFonts w:asci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329ED9D">
            <w:pPr>
              <w:topLinePunct/>
              <w:spacing w:line="440" w:lineRule="exact"/>
              <w:jc w:val="center"/>
              <w:rPr>
                <w:rFonts w:asci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2A8DA782">
            <w:pPr>
              <w:topLinePunct/>
              <w:spacing w:line="440" w:lineRule="exact"/>
              <w:jc w:val="center"/>
              <w:rPr>
                <w:rFonts w:asci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175FE94A">
            <w:pPr>
              <w:topLinePunct/>
              <w:spacing w:line="440" w:lineRule="exact"/>
              <w:jc w:val="center"/>
              <w:rPr>
                <w:rFonts w:ascii="宋体"/>
                <w:color w:val="auto"/>
                <w:szCs w:val="21"/>
                <w:highlight w:val="none"/>
              </w:rPr>
            </w:pPr>
          </w:p>
        </w:tc>
      </w:tr>
      <w:tr w14:paraId="6071A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4093" w:type="dxa"/>
            <w:gridSpan w:val="5"/>
            <w:tcBorders>
              <w:top w:val="single" w:color="auto" w:sz="6" w:space="0"/>
              <w:left w:val="double" w:color="auto" w:sz="4" w:space="0"/>
              <w:bottom w:val="single" w:color="auto" w:sz="6" w:space="0"/>
              <w:right w:val="single" w:color="auto" w:sz="6" w:space="0"/>
            </w:tcBorders>
            <w:vAlign w:val="center"/>
          </w:tcPr>
          <w:p w14:paraId="7E526875">
            <w:pPr>
              <w:topLinePunct/>
              <w:spacing w:line="440" w:lineRule="exact"/>
              <w:jc w:val="center"/>
              <w:rPr>
                <w:rFonts w:asci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A7E464B">
            <w:pPr>
              <w:topLinePunct/>
              <w:spacing w:line="440" w:lineRule="exact"/>
              <w:jc w:val="center"/>
              <w:rPr>
                <w:rFonts w:asci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195B7368">
            <w:pPr>
              <w:topLinePunct/>
              <w:spacing w:line="440" w:lineRule="exact"/>
              <w:jc w:val="center"/>
              <w:rPr>
                <w:rFonts w:asci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4670D2F">
            <w:pPr>
              <w:topLinePunct/>
              <w:spacing w:line="440" w:lineRule="exact"/>
              <w:jc w:val="center"/>
              <w:rPr>
                <w:rFonts w:ascii="宋体"/>
                <w:color w:val="auto"/>
                <w:szCs w:val="21"/>
                <w:highlight w:val="none"/>
              </w:rPr>
            </w:pPr>
          </w:p>
        </w:tc>
      </w:tr>
      <w:tr w14:paraId="5980A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9"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03B8152E">
            <w:pPr>
              <w:topLinePunct/>
              <w:spacing w:line="440" w:lineRule="exact"/>
              <w:jc w:val="center"/>
              <w:rPr>
                <w:rFonts w:ascii="宋体"/>
                <w:color w:val="auto"/>
                <w:szCs w:val="21"/>
                <w:highlight w:val="none"/>
              </w:rPr>
            </w:pPr>
            <w:r>
              <w:rPr>
                <w:rFonts w:hint="eastAsia" w:ascii="宋体" w:hAnsi="宋体"/>
                <w:color w:val="auto"/>
                <w:szCs w:val="21"/>
                <w:highlight w:val="none"/>
              </w:rPr>
              <w:t>备注</w:t>
            </w:r>
          </w:p>
        </w:tc>
        <w:tc>
          <w:tcPr>
            <w:tcW w:w="8042" w:type="dxa"/>
            <w:gridSpan w:val="8"/>
            <w:tcBorders>
              <w:top w:val="single" w:color="auto" w:sz="6" w:space="0"/>
              <w:left w:val="single" w:color="auto" w:sz="6" w:space="0"/>
              <w:bottom w:val="double" w:color="auto" w:sz="4" w:space="0"/>
              <w:right w:val="double" w:color="auto" w:sz="4" w:space="0"/>
            </w:tcBorders>
            <w:vAlign w:val="center"/>
          </w:tcPr>
          <w:p w14:paraId="48114493">
            <w:pPr>
              <w:topLinePunct/>
              <w:spacing w:line="440" w:lineRule="exact"/>
              <w:rPr>
                <w:rFonts w:hint="eastAsia" w:ascii="黑体" w:hAnsi="宋体" w:eastAsia="黑体"/>
                <w:color w:val="auto"/>
                <w:szCs w:val="21"/>
                <w:highlight w:val="none"/>
              </w:rPr>
            </w:pPr>
            <w:r>
              <w:rPr>
                <w:rFonts w:hint="eastAsia" w:ascii="黑体" w:hAnsi="宋体" w:eastAsia="黑体"/>
                <w:color w:val="auto"/>
                <w:szCs w:val="21"/>
                <w:highlight w:val="none"/>
              </w:rPr>
              <w:t>提供营业执照和组织机构代码证(副本复印件)。</w:t>
            </w:r>
          </w:p>
        </w:tc>
      </w:tr>
    </w:tbl>
    <w:p w14:paraId="3731C2F1">
      <w:pPr>
        <w:adjustRightInd w:val="0"/>
        <w:snapToGrid w:val="0"/>
        <w:spacing w:line="360" w:lineRule="auto"/>
        <w:rPr>
          <w:rFonts w:ascii="黑体" w:eastAsia="黑体"/>
          <w:b/>
          <w:color w:val="auto"/>
          <w:sz w:val="30"/>
          <w:szCs w:val="30"/>
          <w:highlight w:val="none"/>
        </w:rPr>
      </w:pPr>
    </w:p>
    <w:p w14:paraId="0B10785D">
      <w:pPr>
        <w:adjustRightInd w:val="0"/>
        <w:snapToGrid w:val="0"/>
        <w:spacing w:line="360" w:lineRule="auto"/>
        <w:rPr>
          <w:rFonts w:ascii="黑体" w:eastAsia="黑体"/>
          <w:b/>
          <w:color w:val="auto"/>
          <w:sz w:val="30"/>
          <w:szCs w:val="30"/>
          <w:highlight w:val="none"/>
        </w:rPr>
      </w:pPr>
    </w:p>
    <w:p w14:paraId="11E62EFA">
      <w:pPr>
        <w:adjustRightInd w:val="0"/>
        <w:snapToGrid w:val="0"/>
        <w:spacing w:line="360" w:lineRule="auto"/>
        <w:rPr>
          <w:rFonts w:ascii="黑体" w:eastAsia="黑体"/>
          <w:b/>
          <w:color w:val="auto"/>
          <w:sz w:val="30"/>
          <w:szCs w:val="30"/>
          <w:highlight w:val="none"/>
        </w:rPr>
      </w:pPr>
    </w:p>
    <w:p w14:paraId="46A4E039">
      <w:pPr>
        <w:adjustRightInd w:val="0"/>
        <w:snapToGrid w:val="0"/>
        <w:spacing w:line="360" w:lineRule="auto"/>
        <w:rPr>
          <w:rFonts w:ascii="黑体" w:eastAsia="黑体"/>
          <w:b/>
          <w:color w:val="auto"/>
          <w:sz w:val="30"/>
          <w:szCs w:val="30"/>
          <w:highlight w:val="none"/>
        </w:rPr>
      </w:pPr>
      <w:r>
        <w:rPr>
          <w:rFonts w:hint="eastAsia" w:ascii="黑体" w:eastAsia="黑体"/>
          <w:b/>
          <w:color w:val="auto"/>
          <w:sz w:val="30"/>
          <w:szCs w:val="30"/>
          <w:highlight w:val="none"/>
        </w:rPr>
        <w:t>附件4</w:t>
      </w:r>
      <w:r>
        <w:rPr>
          <w:rFonts w:ascii="黑体" w:eastAsia="黑体"/>
          <w:b/>
          <w:color w:val="auto"/>
          <w:sz w:val="30"/>
          <w:szCs w:val="30"/>
          <w:highlight w:val="none"/>
        </w:rPr>
        <w:t xml:space="preserve">          </w:t>
      </w:r>
      <w:r>
        <w:rPr>
          <w:rFonts w:hint="eastAsia" w:ascii="黑体" w:eastAsia="黑体"/>
          <w:b/>
          <w:color w:val="auto"/>
          <w:sz w:val="30"/>
          <w:szCs w:val="30"/>
          <w:highlight w:val="none"/>
        </w:rPr>
        <w:t>其他证明资料或说明</w:t>
      </w:r>
    </w:p>
    <w:p w14:paraId="3E3AB569">
      <w:pPr>
        <w:adjustRightInd w:val="0"/>
        <w:snapToGrid w:val="0"/>
        <w:spacing w:line="360" w:lineRule="auto"/>
        <w:rPr>
          <w:rFonts w:ascii="黑体" w:eastAsia="黑体"/>
          <w:color w:val="auto"/>
          <w:szCs w:val="21"/>
          <w:highlight w:val="none"/>
        </w:rPr>
      </w:pPr>
    </w:p>
    <w:p w14:paraId="6D4E5AA7">
      <w:pPr>
        <w:adjustRightInd w:val="0"/>
        <w:snapToGrid w:val="0"/>
        <w:spacing w:line="360" w:lineRule="auto"/>
        <w:rPr>
          <w:rFonts w:ascii="宋体"/>
          <w:color w:val="auto"/>
          <w:szCs w:val="21"/>
          <w:highlight w:val="none"/>
        </w:rPr>
      </w:pPr>
      <w:r>
        <w:rPr>
          <w:rFonts w:hint="eastAsia" w:ascii="宋体" w:hAnsi="宋体"/>
          <w:color w:val="auto"/>
          <w:szCs w:val="21"/>
          <w:highlight w:val="none"/>
        </w:rPr>
        <w:t>提供磋商文件中资格要求或评分标准要求需要提供的相关证明文件复印件。</w:t>
      </w:r>
    </w:p>
    <w:p w14:paraId="71F8ACE1">
      <w:pPr>
        <w:adjustRightInd w:val="0"/>
        <w:snapToGrid w:val="0"/>
        <w:spacing w:line="360" w:lineRule="auto"/>
        <w:jc w:val="center"/>
        <w:rPr>
          <w:rFonts w:ascii="黑体" w:eastAsia="黑体"/>
          <w:b/>
          <w:color w:val="auto"/>
          <w:sz w:val="32"/>
          <w:szCs w:val="32"/>
          <w:highlight w:val="none"/>
        </w:rPr>
      </w:pPr>
    </w:p>
    <w:p w14:paraId="6C0D2973">
      <w:pPr>
        <w:adjustRightInd w:val="0"/>
        <w:snapToGrid w:val="0"/>
        <w:spacing w:line="360" w:lineRule="auto"/>
        <w:jc w:val="center"/>
        <w:rPr>
          <w:rFonts w:ascii="黑体" w:eastAsia="黑体"/>
          <w:b/>
          <w:color w:val="auto"/>
          <w:sz w:val="32"/>
          <w:szCs w:val="32"/>
          <w:highlight w:val="none"/>
        </w:rPr>
      </w:pPr>
    </w:p>
    <w:p w14:paraId="4FFC0867">
      <w:pPr>
        <w:adjustRightInd w:val="0"/>
        <w:snapToGrid w:val="0"/>
        <w:spacing w:line="360" w:lineRule="auto"/>
        <w:jc w:val="center"/>
        <w:rPr>
          <w:rFonts w:ascii="黑体" w:eastAsia="黑体"/>
          <w:b/>
          <w:color w:val="auto"/>
          <w:sz w:val="32"/>
          <w:szCs w:val="32"/>
          <w:highlight w:val="none"/>
        </w:rPr>
      </w:pPr>
    </w:p>
    <w:p w14:paraId="12DB395A">
      <w:pPr>
        <w:widowControl/>
        <w:jc w:val="left"/>
        <w:rPr>
          <w:rFonts w:hint="eastAsia" w:ascii="黑体" w:hAnsi="黑体" w:eastAsia="黑体"/>
          <w:b/>
          <w:color w:val="auto"/>
          <w:sz w:val="32"/>
          <w:szCs w:val="32"/>
          <w:highlight w:val="none"/>
        </w:rPr>
      </w:pPr>
      <w:bookmarkStart w:id="134" w:name="_Toc29184"/>
      <w:bookmarkStart w:id="135" w:name="_Toc432109682"/>
    </w:p>
    <w:p w14:paraId="7F33F4AD">
      <w:pPr>
        <w:adjustRightInd w:val="0"/>
        <w:snapToGrid w:val="0"/>
        <w:spacing w:line="360" w:lineRule="auto"/>
        <w:jc w:val="center"/>
        <w:outlineLvl w:val="1"/>
        <w:rPr>
          <w:rFonts w:hint="eastAsia" w:ascii="黑体" w:hAnsi="黑体" w:eastAsia="黑体"/>
          <w:b/>
          <w:color w:val="auto"/>
          <w:sz w:val="32"/>
          <w:szCs w:val="32"/>
          <w:highlight w:val="none"/>
        </w:rPr>
      </w:pPr>
      <w:bookmarkStart w:id="136" w:name="_Toc187939566"/>
      <w:bookmarkStart w:id="137" w:name="_Toc187243512"/>
      <w:bookmarkStart w:id="138" w:name="_Toc169515399"/>
      <w:r>
        <w:rPr>
          <w:rFonts w:hint="eastAsia" w:ascii="黑体" w:hAnsi="黑体" w:eastAsia="黑体"/>
          <w:b/>
          <w:color w:val="auto"/>
          <w:sz w:val="32"/>
          <w:szCs w:val="32"/>
          <w:highlight w:val="none"/>
        </w:rPr>
        <w:t>三、</w:t>
      </w:r>
      <w:bookmarkEnd w:id="134"/>
      <w:bookmarkEnd w:id="135"/>
      <w:bookmarkEnd w:id="136"/>
      <w:bookmarkEnd w:id="137"/>
      <w:bookmarkEnd w:id="138"/>
      <w:r>
        <w:rPr>
          <w:rFonts w:hint="eastAsia" w:ascii="黑体" w:hAnsi="黑体" w:eastAsia="黑体"/>
          <w:b/>
          <w:color w:val="auto"/>
          <w:sz w:val="32"/>
          <w:szCs w:val="32"/>
          <w:highlight w:val="none"/>
        </w:rPr>
        <w:t>货物说明一览表</w:t>
      </w:r>
    </w:p>
    <w:p w14:paraId="073E9FE4">
      <w:pPr>
        <w:widowControl/>
        <w:jc w:val="left"/>
        <w:rPr>
          <w:color w:val="auto"/>
          <w:szCs w:val="22"/>
          <w:highlight w:val="none"/>
        </w:rPr>
      </w:pPr>
      <w:r>
        <w:rPr>
          <w:rFonts w:ascii="黑体" w:hAnsi="宋体" w:eastAsia="黑体" w:cs="黑体"/>
          <w:b/>
          <w:bCs/>
          <w:color w:val="auto"/>
          <w:kern w:val="0"/>
          <w:sz w:val="31"/>
          <w:szCs w:val="31"/>
          <w:highlight w:val="none"/>
          <w:lang w:bidi="ar"/>
        </w:rPr>
        <w:t>技术指标说明</w:t>
      </w:r>
    </w:p>
    <w:p w14:paraId="088897DE">
      <w:pPr>
        <w:spacing w:line="360" w:lineRule="exact"/>
        <w:rPr>
          <w:rFonts w:ascii="宋体"/>
          <w:color w:val="auto"/>
          <w:szCs w:val="21"/>
          <w:highlight w:val="none"/>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232"/>
        <w:gridCol w:w="1206"/>
        <w:gridCol w:w="1233"/>
        <w:gridCol w:w="1206"/>
        <w:gridCol w:w="1233"/>
        <w:gridCol w:w="1206"/>
      </w:tblGrid>
      <w:tr w14:paraId="6844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7B36CF4D">
            <w:pPr>
              <w:spacing w:line="360" w:lineRule="exact"/>
              <w:rPr>
                <w:rFonts w:ascii="宋体"/>
                <w:color w:val="auto"/>
                <w:szCs w:val="21"/>
                <w:highlight w:val="none"/>
              </w:rPr>
            </w:pPr>
            <w:r>
              <w:rPr>
                <w:rFonts w:hint="eastAsia" w:ascii="宋体"/>
                <w:color w:val="auto"/>
                <w:szCs w:val="21"/>
                <w:highlight w:val="none"/>
              </w:rPr>
              <w:t>序号</w:t>
            </w:r>
          </w:p>
        </w:tc>
        <w:tc>
          <w:tcPr>
            <w:tcW w:w="1318" w:type="dxa"/>
          </w:tcPr>
          <w:p w14:paraId="00BBAAE6">
            <w:pPr>
              <w:widowControl/>
              <w:jc w:val="left"/>
              <w:rPr>
                <w:rFonts w:ascii="宋体"/>
                <w:color w:val="auto"/>
                <w:szCs w:val="21"/>
                <w:highlight w:val="none"/>
              </w:rPr>
            </w:pPr>
            <w:r>
              <w:rPr>
                <w:rFonts w:hint="eastAsia" w:ascii="宋体" w:hAnsi="宋体" w:cs="宋体"/>
                <w:color w:val="auto"/>
                <w:kern w:val="0"/>
                <w:szCs w:val="21"/>
                <w:highlight w:val="none"/>
                <w:lang w:bidi="ar"/>
              </w:rPr>
              <w:t>货物名称（品目分类）</w:t>
            </w:r>
          </w:p>
        </w:tc>
        <w:tc>
          <w:tcPr>
            <w:tcW w:w="1318" w:type="dxa"/>
          </w:tcPr>
          <w:p w14:paraId="3A97D8A7">
            <w:pPr>
              <w:widowControl/>
              <w:jc w:val="left"/>
              <w:rPr>
                <w:color w:val="auto"/>
                <w:szCs w:val="22"/>
                <w:highlight w:val="none"/>
              </w:rPr>
            </w:pPr>
            <w:r>
              <w:rPr>
                <w:rFonts w:hint="eastAsia" w:ascii="宋体" w:hAnsi="宋体" w:cs="宋体"/>
                <w:color w:val="auto"/>
                <w:kern w:val="0"/>
                <w:szCs w:val="21"/>
                <w:highlight w:val="none"/>
                <w:lang w:bidi="ar"/>
              </w:rPr>
              <w:t>制造商名称</w:t>
            </w:r>
          </w:p>
          <w:p w14:paraId="6E5F40C1">
            <w:pPr>
              <w:spacing w:line="360" w:lineRule="exact"/>
              <w:rPr>
                <w:rFonts w:ascii="宋体"/>
                <w:color w:val="auto"/>
                <w:szCs w:val="21"/>
                <w:highlight w:val="none"/>
              </w:rPr>
            </w:pPr>
          </w:p>
        </w:tc>
        <w:tc>
          <w:tcPr>
            <w:tcW w:w="1319" w:type="dxa"/>
          </w:tcPr>
          <w:p w14:paraId="5744195C">
            <w:pPr>
              <w:spacing w:line="360" w:lineRule="exact"/>
              <w:rPr>
                <w:rFonts w:ascii="宋体"/>
                <w:color w:val="auto"/>
                <w:szCs w:val="21"/>
                <w:highlight w:val="none"/>
              </w:rPr>
            </w:pPr>
            <w:r>
              <w:rPr>
                <w:rFonts w:hint="eastAsia" w:ascii="宋体"/>
                <w:color w:val="auto"/>
                <w:szCs w:val="21"/>
                <w:highlight w:val="none"/>
              </w:rPr>
              <w:t>规格型号</w:t>
            </w:r>
            <w:r>
              <w:rPr>
                <w:rFonts w:hint="eastAsia" w:ascii="宋体" w:hAnsi="宋体" w:cs="宋体"/>
                <w:color w:val="auto"/>
                <w:szCs w:val="21"/>
                <w:highlight w:val="none"/>
              </w:rPr>
              <w:t>（如有）</w:t>
            </w:r>
          </w:p>
        </w:tc>
        <w:tc>
          <w:tcPr>
            <w:tcW w:w="1319" w:type="dxa"/>
          </w:tcPr>
          <w:p w14:paraId="6A8DB1F7">
            <w:pPr>
              <w:widowControl/>
              <w:jc w:val="left"/>
              <w:rPr>
                <w:rFonts w:ascii="宋体"/>
                <w:color w:val="auto"/>
                <w:szCs w:val="21"/>
                <w:highlight w:val="none"/>
              </w:rPr>
            </w:pPr>
            <w:r>
              <w:rPr>
                <w:rFonts w:hint="eastAsia" w:ascii="宋体" w:hAnsi="宋体" w:cs="宋体"/>
                <w:color w:val="auto"/>
                <w:kern w:val="0"/>
                <w:szCs w:val="21"/>
                <w:highlight w:val="none"/>
                <w:lang w:bidi="ar"/>
              </w:rPr>
              <w:t>主要技术参数和技术指标</w:t>
            </w:r>
          </w:p>
        </w:tc>
        <w:tc>
          <w:tcPr>
            <w:tcW w:w="1319" w:type="dxa"/>
          </w:tcPr>
          <w:p w14:paraId="58F13EE0">
            <w:pPr>
              <w:widowControl/>
              <w:jc w:val="left"/>
              <w:rPr>
                <w:color w:val="auto"/>
                <w:szCs w:val="22"/>
                <w:highlight w:val="none"/>
              </w:rPr>
            </w:pPr>
            <w:r>
              <w:rPr>
                <w:rFonts w:hint="eastAsia" w:ascii="宋体" w:hAnsi="宋体" w:cs="宋体"/>
                <w:color w:val="auto"/>
                <w:kern w:val="0"/>
                <w:szCs w:val="21"/>
                <w:highlight w:val="none"/>
                <w:lang w:bidi="ar"/>
              </w:rPr>
              <w:t>政策功能类型及</w:t>
            </w:r>
            <w:r>
              <w:rPr>
                <w:rFonts w:hint="eastAsia" w:ascii="宋体" w:hAnsi="宋体" w:cs="宋体"/>
                <w:color w:val="auto"/>
                <w:szCs w:val="21"/>
                <w:highlight w:val="none"/>
              </w:rPr>
              <w:t>政策功能编码（如有）</w:t>
            </w:r>
          </w:p>
          <w:p w14:paraId="3A05F1AA">
            <w:pPr>
              <w:spacing w:line="360" w:lineRule="exact"/>
              <w:rPr>
                <w:rFonts w:ascii="宋体"/>
                <w:color w:val="auto"/>
                <w:szCs w:val="21"/>
                <w:highlight w:val="none"/>
              </w:rPr>
            </w:pPr>
          </w:p>
        </w:tc>
        <w:tc>
          <w:tcPr>
            <w:tcW w:w="1319" w:type="dxa"/>
          </w:tcPr>
          <w:p w14:paraId="1114DBE1">
            <w:pPr>
              <w:spacing w:line="360" w:lineRule="exact"/>
              <w:rPr>
                <w:rFonts w:ascii="宋体"/>
                <w:color w:val="auto"/>
                <w:szCs w:val="21"/>
                <w:highlight w:val="none"/>
              </w:rPr>
            </w:pPr>
            <w:r>
              <w:rPr>
                <w:rFonts w:hint="eastAsia" w:ascii="宋体"/>
                <w:color w:val="auto"/>
                <w:szCs w:val="21"/>
                <w:highlight w:val="none"/>
              </w:rPr>
              <w:t>备注</w:t>
            </w:r>
          </w:p>
        </w:tc>
      </w:tr>
      <w:tr w14:paraId="41E6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14DCCAE5">
            <w:pPr>
              <w:spacing w:line="360" w:lineRule="exact"/>
              <w:rPr>
                <w:rFonts w:ascii="宋体"/>
                <w:color w:val="auto"/>
                <w:szCs w:val="21"/>
                <w:highlight w:val="none"/>
              </w:rPr>
            </w:pPr>
          </w:p>
        </w:tc>
        <w:tc>
          <w:tcPr>
            <w:tcW w:w="1318" w:type="dxa"/>
          </w:tcPr>
          <w:p w14:paraId="756069D0">
            <w:pPr>
              <w:spacing w:line="360" w:lineRule="exact"/>
              <w:rPr>
                <w:rFonts w:ascii="宋体"/>
                <w:color w:val="auto"/>
                <w:szCs w:val="21"/>
                <w:highlight w:val="none"/>
              </w:rPr>
            </w:pPr>
          </w:p>
        </w:tc>
        <w:tc>
          <w:tcPr>
            <w:tcW w:w="1318" w:type="dxa"/>
          </w:tcPr>
          <w:p w14:paraId="0EC83A5D">
            <w:pPr>
              <w:spacing w:line="360" w:lineRule="exact"/>
              <w:rPr>
                <w:rFonts w:ascii="宋体"/>
                <w:color w:val="auto"/>
                <w:szCs w:val="21"/>
                <w:highlight w:val="none"/>
              </w:rPr>
            </w:pPr>
          </w:p>
        </w:tc>
        <w:tc>
          <w:tcPr>
            <w:tcW w:w="1319" w:type="dxa"/>
          </w:tcPr>
          <w:p w14:paraId="3273C78B">
            <w:pPr>
              <w:spacing w:line="360" w:lineRule="exact"/>
              <w:rPr>
                <w:rFonts w:ascii="宋体"/>
                <w:color w:val="auto"/>
                <w:szCs w:val="21"/>
                <w:highlight w:val="none"/>
              </w:rPr>
            </w:pPr>
          </w:p>
        </w:tc>
        <w:tc>
          <w:tcPr>
            <w:tcW w:w="1319" w:type="dxa"/>
          </w:tcPr>
          <w:p w14:paraId="1EBAFD75">
            <w:pPr>
              <w:spacing w:line="360" w:lineRule="exact"/>
              <w:rPr>
                <w:rFonts w:ascii="宋体"/>
                <w:color w:val="auto"/>
                <w:szCs w:val="21"/>
                <w:highlight w:val="none"/>
              </w:rPr>
            </w:pPr>
          </w:p>
        </w:tc>
        <w:tc>
          <w:tcPr>
            <w:tcW w:w="1319" w:type="dxa"/>
          </w:tcPr>
          <w:p w14:paraId="069A42CE">
            <w:pPr>
              <w:spacing w:line="360" w:lineRule="exact"/>
              <w:rPr>
                <w:rFonts w:ascii="宋体"/>
                <w:color w:val="auto"/>
                <w:szCs w:val="21"/>
                <w:highlight w:val="none"/>
              </w:rPr>
            </w:pPr>
          </w:p>
        </w:tc>
        <w:tc>
          <w:tcPr>
            <w:tcW w:w="1319" w:type="dxa"/>
          </w:tcPr>
          <w:p w14:paraId="67018F62">
            <w:pPr>
              <w:spacing w:line="360" w:lineRule="exact"/>
              <w:rPr>
                <w:rFonts w:ascii="宋体"/>
                <w:color w:val="auto"/>
                <w:szCs w:val="21"/>
                <w:highlight w:val="none"/>
              </w:rPr>
            </w:pPr>
          </w:p>
        </w:tc>
      </w:tr>
      <w:tr w14:paraId="36D3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4399BD34">
            <w:pPr>
              <w:spacing w:line="360" w:lineRule="exact"/>
              <w:rPr>
                <w:rFonts w:ascii="宋体"/>
                <w:color w:val="auto"/>
                <w:szCs w:val="21"/>
                <w:highlight w:val="none"/>
              </w:rPr>
            </w:pPr>
          </w:p>
        </w:tc>
        <w:tc>
          <w:tcPr>
            <w:tcW w:w="1318" w:type="dxa"/>
          </w:tcPr>
          <w:p w14:paraId="7BFC5179">
            <w:pPr>
              <w:spacing w:line="360" w:lineRule="exact"/>
              <w:rPr>
                <w:rFonts w:ascii="宋体"/>
                <w:color w:val="auto"/>
                <w:szCs w:val="21"/>
                <w:highlight w:val="none"/>
              </w:rPr>
            </w:pPr>
          </w:p>
        </w:tc>
        <w:tc>
          <w:tcPr>
            <w:tcW w:w="1318" w:type="dxa"/>
          </w:tcPr>
          <w:p w14:paraId="19CE8A24">
            <w:pPr>
              <w:spacing w:line="360" w:lineRule="exact"/>
              <w:rPr>
                <w:rFonts w:ascii="宋体"/>
                <w:color w:val="auto"/>
                <w:szCs w:val="21"/>
                <w:highlight w:val="none"/>
              </w:rPr>
            </w:pPr>
          </w:p>
        </w:tc>
        <w:tc>
          <w:tcPr>
            <w:tcW w:w="1319" w:type="dxa"/>
          </w:tcPr>
          <w:p w14:paraId="2396523C">
            <w:pPr>
              <w:spacing w:line="360" w:lineRule="exact"/>
              <w:rPr>
                <w:rFonts w:ascii="宋体"/>
                <w:color w:val="auto"/>
                <w:szCs w:val="21"/>
                <w:highlight w:val="none"/>
              </w:rPr>
            </w:pPr>
          </w:p>
        </w:tc>
        <w:tc>
          <w:tcPr>
            <w:tcW w:w="1319" w:type="dxa"/>
          </w:tcPr>
          <w:p w14:paraId="58DD8264">
            <w:pPr>
              <w:spacing w:line="360" w:lineRule="exact"/>
              <w:rPr>
                <w:rFonts w:ascii="宋体"/>
                <w:color w:val="auto"/>
                <w:szCs w:val="21"/>
                <w:highlight w:val="none"/>
              </w:rPr>
            </w:pPr>
          </w:p>
        </w:tc>
        <w:tc>
          <w:tcPr>
            <w:tcW w:w="1319" w:type="dxa"/>
          </w:tcPr>
          <w:p w14:paraId="44E011D1">
            <w:pPr>
              <w:spacing w:line="360" w:lineRule="exact"/>
              <w:rPr>
                <w:rFonts w:ascii="宋体"/>
                <w:color w:val="auto"/>
                <w:szCs w:val="21"/>
                <w:highlight w:val="none"/>
              </w:rPr>
            </w:pPr>
          </w:p>
        </w:tc>
        <w:tc>
          <w:tcPr>
            <w:tcW w:w="1319" w:type="dxa"/>
          </w:tcPr>
          <w:p w14:paraId="63185072">
            <w:pPr>
              <w:spacing w:line="360" w:lineRule="exact"/>
              <w:rPr>
                <w:rFonts w:ascii="宋体"/>
                <w:color w:val="auto"/>
                <w:szCs w:val="21"/>
                <w:highlight w:val="none"/>
              </w:rPr>
            </w:pPr>
          </w:p>
        </w:tc>
      </w:tr>
      <w:tr w14:paraId="00D4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5B2F08E6">
            <w:pPr>
              <w:spacing w:line="360" w:lineRule="exact"/>
              <w:rPr>
                <w:rFonts w:ascii="宋体"/>
                <w:color w:val="auto"/>
                <w:szCs w:val="21"/>
                <w:highlight w:val="none"/>
              </w:rPr>
            </w:pPr>
          </w:p>
        </w:tc>
        <w:tc>
          <w:tcPr>
            <w:tcW w:w="1318" w:type="dxa"/>
          </w:tcPr>
          <w:p w14:paraId="367550EC">
            <w:pPr>
              <w:spacing w:line="360" w:lineRule="exact"/>
              <w:rPr>
                <w:rFonts w:ascii="宋体"/>
                <w:color w:val="auto"/>
                <w:szCs w:val="21"/>
                <w:highlight w:val="none"/>
              </w:rPr>
            </w:pPr>
          </w:p>
        </w:tc>
        <w:tc>
          <w:tcPr>
            <w:tcW w:w="1318" w:type="dxa"/>
          </w:tcPr>
          <w:p w14:paraId="4DAE40C1">
            <w:pPr>
              <w:spacing w:line="360" w:lineRule="exact"/>
              <w:rPr>
                <w:rFonts w:ascii="宋体"/>
                <w:color w:val="auto"/>
                <w:szCs w:val="21"/>
                <w:highlight w:val="none"/>
              </w:rPr>
            </w:pPr>
          </w:p>
        </w:tc>
        <w:tc>
          <w:tcPr>
            <w:tcW w:w="1319" w:type="dxa"/>
          </w:tcPr>
          <w:p w14:paraId="30F70FD8">
            <w:pPr>
              <w:spacing w:line="360" w:lineRule="exact"/>
              <w:rPr>
                <w:rFonts w:ascii="宋体"/>
                <w:color w:val="auto"/>
                <w:szCs w:val="21"/>
                <w:highlight w:val="none"/>
              </w:rPr>
            </w:pPr>
          </w:p>
        </w:tc>
        <w:tc>
          <w:tcPr>
            <w:tcW w:w="1319" w:type="dxa"/>
          </w:tcPr>
          <w:p w14:paraId="1127A23F">
            <w:pPr>
              <w:spacing w:line="360" w:lineRule="exact"/>
              <w:rPr>
                <w:rFonts w:ascii="宋体"/>
                <w:color w:val="auto"/>
                <w:szCs w:val="21"/>
                <w:highlight w:val="none"/>
              </w:rPr>
            </w:pPr>
          </w:p>
        </w:tc>
        <w:tc>
          <w:tcPr>
            <w:tcW w:w="1319" w:type="dxa"/>
          </w:tcPr>
          <w:p w14:paraId="3887F705">
            <w:pPr>
              <w:spacing w:line="360" w:lineRule="exact"/>
              <w:rPr>
                <w:rFonts w:ascii="宋体"/>
                <w:color w:val="auto"/>
                <w:szCs w:val="21"/>
                <w:highlight w:val="none"/>
              </w:rPr>
            </w:pPr>
          </w:p>
        </w:tc>
        <w:tc>
          <w:tcPr>
            <w:tcW w:w="1319" w:type="dxa"/>
          </w:tcPr>
          <w:p w14:paraId="531C5421">
            <w:pPr>
              <w:spacing w:line="360" w:lineRule="exact"/>
              <w:rPr>
                <w:rFonts w:ascii="宋体"/>
                <w:color w:val="auto"/>
                <w:szCs w:val="21"/>
                <w:highlight w:val="none"/>
              </w:rPr>
            </w:pPr>
          </w:p>
        </w:tc>
      </w:tr>
      <w:tr w14:paraId="7957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6EFE278B">
            <w:pPr>
              <w:spacing w:line="360" w:lineRule="exact"/>
              <w:rPr>
                <w:rFonts w:ascii="宋体"/>
                <w:color w:val="auto"/>
                <w:szCs w:val="21"/>
                <w:highlight w:val="none"/>
              </w:rPr>
            </w:pPr>
          </w:p>
        </w:tc>
        <w:tc>
          <w:tcPr>
            <w:tcW w:w="1318" w:type="dxa"/>
          </w:tcPr>
          <w:p w14:paraId="273FF177">
            <w:pPr>
              <w:spacing w:line="360" w:lineRule="exact"/>
              <w:rPr>
                <w:rFonts w:ascii="宋体"/>
                <w:color w:val="auto"/>
                <w:szCs w:val="21"/>
                <w:highlight w:val="none"/>
              </w:rPr>
            </w:pPr>
          </w:p>
        </w:tc>
        <w:tc>
          <w:tcPr>
            <w:tcW w:w="1318" w:type="dxa"/>
          </w:tcPr>
          <w:p w14:paraId="5B1F2BE2">
            <w:pPr>
              <w:spacing w:line="360" w:lineRule="exact"/>
              <w:rPr>
                <w:rFonts w:ascii="宋体"/>
                <w:color w:val="auto"/>
                <w:szCs w:val="21"/>
                <w:highlight w:val="none"/>
              </w:rPr>
            </w:pPr>
          </w:p>
        </w:tc>
        <w:tc>
          <w:tcPr>
            <w:tcW w:w="1319" w:type="dxa"/>
          </w:tcPr>
          <w:p w14:paraId="55E36C25">
            <w:pPr>
              <w:spacing w:line="360" w:lineRule="exact"/>
              <w:rPr>
                <w:rFonts w:ascii="宋体"/>
                <w:color w:val="auto"/>
                <w:szCs w:val="21"/>
                <w:highlight w:val="none"/>
              </w:rPr>
            </w:pPr>
          </w:p>
        </w:tc>
        <w:tc>
          <w:tcPr>
            <w:tcW w:w="1319" w:type="dxa"/>
          </w:tcPr>
          <w:p w14:paraId="10B8A8A0">
            <w:pPr>
              <w:spacing w:line="360" w:lineRule="exact"/>
              <w:rPr>
                <w:rFonts w:ascii="宋体"/>
                <w:color w:val="auto"/>
                <w:szCs w:val="21"/>
                <w:highlight w:val="none"/>
              </w:rPr>
            </w:pPr>
          </w:p>
        </w:tc>
        <w:tc>
          <w:tcPr>
            <w:tcW w:w="1319" w:type="dxa"/>
          </w:tcPr>
          <w:p w14:paraId="1729CC28">
            <w:pPr>
              <w:spacing w:line="360" w:lineRule="exact"/>
              <w:rPr>
                <w:rFonts w:ascii="宋体"/>
                <w:color w:val="auto"/>
                <w:szCs w:val="21"/>
                <w:highlight w:val="none"/>
              </w:rPr>
            </w:pPr>
          </w:p>
        </w:tc>
        <w:tc>
          <w:tcPr>
            <w:tcW w:w="1319" w:type="dxa"/>
          </w:tcPr>
          <w:p w14:paraId="3989DFB1">
            <w:pPr>
              <w:spacing w:line="360" w:lineRule="exact"/>
              <w:rPr>
                <w:rFonts w:ascii="宋体"/>
                <w:color w:val="auto"/>
                <w:szCs w:val="21"/>
                <w:highlight w:val="none"/>
              </w:rPr>
            </w:pPr>
          </w:p>
        </w:tc>
      </w:tr>
      <w:tr w14:paraId="7004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268664A4">
            <w:pPr>
              <w:spacing w:line="360" w:lineRule="exact"/>
              <w:rPr>
                <w:rFonts w:ascii="宋体"/>
                <w:color w:val="auto"/>
                <w:szCs w:val="21"/>
                <w:highlight w:val="none"/>
              </w:rPr>
            </w:pPr>
          </w:p>
        </w:tc>
        <w:tc>
          <w:tcPr>
            <w:tcW w:w="1318" w:type="dxa"/>
          </w:tcPr>
          <w:p w14:paraId="0CCFC192">
            <w:pPr>
              <w:spacing w:line="360" w:lineRule="exact"/>
              <w:rPr>
                <w:rFonts w:ascii="宋体"/>
                <w:color w:val="auto"/>
                <w:szCs w:val="21"/>
                <w:highlight w:val="none"/>
              </w:rPr>
            </w:pPr>
          </w:p>
        </w:tc>
        <w:tc>
          <w:tcPr>
            <w:tcW w:w="1318" w:type="dxa"/>
          </w:tcPr>
          <w:p w14:paraId="1941B749">
            <w:pPr>
              <w:spacing w:line="360" w:lineRule="exact"/>
              <w:rPr>
                <w:rFonts w:ascii="宋体"/>
                <w:color w:val="auto"/>
                <w:szCs w:val="21"/>
                <w:highlight w:val="none"/>
              </w:rPr>
            </w:pPr>
          </w:p>
        </w:tc>
        <w:tc>
          <w:tcPr>
            <w:tcW w:w="1319" w:type="dxa"/>
          </w:tcPr>
          <w:p w14:paraId="09213CAC">
            <w:pPr>
              <w:spacing w:line="360" w:lineRule="exact"/>
              <w:rPr>
                <w:rFonts w:ascii="宋体"/>
                <w:color w:val="auto"/>
                <w:szCs w:val="21"/>
                <w:highlight w:val="none"/>
              </w:rPr>
            </w:pPr>
          </w:p>
        </w:tc>
        <w:tc>
          <w:tcPr>
            <w:tcW w:w="1319" w:type="dxa"/>
          </w:tcPr>
          <w:p w14:paraId="5B213B18">
            <w:pPr>
              <w:spacing w:line="360" w:lineRule="exact"/>
              <w:rPr>
                <w:rFonts w:ascii="宋体"/>
                <w:color w:val="auto"/>
                <w:szCs w:val="21"/>
                <w:highlight w:val="none"/>
              </w:rPr>
            </w:pPr>
          </w:p>
        </w:tc>
        <w:tc>
          <w:tcPr>
            <w:tcW w:w="1319" w:type="dxa"/>
          </w:tcPr>
          <w:p w14:paraId="24E4F2CB">
            <w:pPr>
              <w:spacing w:line="360" w:lineRule="exact"/>
              <w:rPr>
                <w:rFonts w:ascii="宋体"/>
                <w:color w:val="auto"/>
                <w:szCs w:val="21"/>
                <w:highlight w:val="none"/>
              </w:rPr>
            </w:pPr>
          </w:p>
        </w:tc>
        <w:tc>
          <w:tcPr>
            <w:tcW w:w="1319" w:type="dxa"/>
          </w:tcPr>
          <w:p w14:paraId="7E431EDF">
            <w:pPr>
              <w:spacing w:line="360" w:lineRule="exact"/>
              <w:rPr>
                <w:rFonts w:ascii="宋体"/>
                <w:color w:val="auto"/>
                <w:szCs w:val="21"/>
                <w:highlight w:val="none"/>
              </w:rPr>
            </w:pPr>
          </w:p>
        </w:tc>
      </w:tr>
      <w:tr w14:paraId="2D33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724A6A1A">
            <w:pPr>
              <w:spacing w:line="360" w:lineRule="exact"/>
              <w:rPr>
                <w:rFonts w:ascii="宋体"/>
                <w:color w:val="auto"/>
                <w:szCs w:val="21"/>
                <w:highlight w:val="none"/>
              </w:rPr>
            </w:pPr>
          </w:p>
        </w:tc>
        <w:tc>
          <w:tcPr>
            <w:tcW w:w="1318" w:type="dxa"/>
          </w:tcPr>
          <w:p w14:paraId="2BD55C43">
            <w:pPr>
              <w:spacing w:line="360" w:lineRule="exact"/>
              <w:rPr>
                <w:rFonts w:ascii="宋体"/>
                <w:color w:val="auto"/>
                <w:szCs w:val="21"/>
                <w:highlight w:val="none"/>
              </w:rPr>
            </w:pPr>
          </w:p>
        </w:tc>
        <w:tc>
          <w:tcPr>
            <w:tcW w:w="1318" w:type="dxa"/>
          </w:tcPr>
          <w:p w14:paraId="334130B6">
            <w:pPr>
              <w:spacing w:line="360" w:lineRule="exact"/>
              <w:rPr>
                <w:rFonts w:ascii="宋体"/>
                <w:color w:val="auto"/>
                <w:szCs w:val="21"/>
                <w:highlight w:val="none"/>
              </w:rPr>
            </w:pPr>
          </w:p>
        </w:tc>
        <w:tc>
          <w:tcPr>
            <w:tcW w:w="1319" w:type="dxa"/>
          </w:tcPr>
          <w:p w14:paraId="66F67CB3">
            <w:pPr>
              <w:spacing w:line="360" w:lineRule="exact"/>
              <w:rPr>
                <w:rFonts w:ascii="宋体"/>
                <w:color w:val="auto"/>
                <w:szCs w:val="21"/>
                <w:highlight w:val="none"/>
              </w:rPr>
            </w:pPr>
          </w:p>
        </w:tc>
        <w:tc>
          <w:tcPr>
            <w:tcW w:w="1319" w:type="dxa"/>
          </w:tcPr>
          <w:p w14:paraId="191ABCEA">
            <w:pPr>
              <w:spacing w:line="360" w:lineRule="exact"/>
              <w:rPr>
                <w:rFonts w:ascii="宋体"/>
                <w:color w:val="auto"/>
                <w:szCs w:val="21"/>
                <w:highlight w:val="none"/>
              </w:rPr>
            </w:pPr>
          </w:p>
        </w:tc>
        <w:tc>
          <w:tcPr>
            <w:tcW w:w="1319" w:type="dxa"/>
          </w:tcPr>
          <w:p w14:paraId="31CE2756">
            <w:pPr>
              <w:spacing w:line="360" w:lineRule="exact"/>
              <w:rPr>
                <w:rFonts w:ascii="宋体"/>
                <w:color w:val="auto"/>
                <w:szCs w:val="21"/>
                <w:highlight w:val="none"/>
              </w:rPr>
            </w:pPr>
          </w:p>
        </w:tc>
        <w:tc>
          <w:tcPr>
            <w:tcW w:w="1319" w:type="dxa"/>
          </w:tcPr>
          <w:p w14:paraId="4CC7EF46">
            <w:pPr>
              <w:spacing w:line="360" w:lineRule="exact"/>
              <w:rPr>
                <w:rFonts w:ascii="宋体"/>
                <w:color w:val="auto"/>
                <w:szCs w:val="21"/>
                <w:highlight w:val="none"/>
              </w:rPr>
            </w:pPr>
          </w:p>
        </w:tc>
      </w:tr>
      <w:tr w14:paraId="73E1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Pr>
          <w:p w14:paraId="2033FBDE">
            <w:pPr>
              <w:spacing w:line="360" w:lineRule="exact"/>
              <w:rPr>
                <w:rFonts w:ascii="宋体"/>
                <w:color w:val="auto"/>
                <w:szCs w:val="21"/>
                <w:highlight w:val="none"/>
              </w:rPr>
            </w:pPr>
          </w:p>
        </w:tc>
        <w:tc>
          <w:tcPr>
            <w:tcW w:w="1318" w:type="dxa"/>
          </w:tcPr>
          <w:p w14:paraId="05523F7B">
            <w:pPr>
              <w:spacing w:line="360" w:lineRule="exact"/>
              <w:rPr>
                <w:rFonts w:ascii="宋体"/>
                <w:color w:val="auto"/>
                <w:szCs w:val="21"/>
                <w:highlight w:val="none"/>
              </w:rPr>
            </w:pPr>
          </w:p>
        </w:tc>
        <w:tc>
          <w:tcPr>
            <w:tcW w:w="1318" w:type="dxa"/>
          </w:tcPr>
          <w:p w14:paraId="3F59FE44">
            <w:pPr>
              <w:spacing w:line="360" w:lineRule="exact"/>
              <w:rPr>
                <w:rFonts w:ascii="宋体"/>
                <w:color w:val="auto"/>
                <w:szCs w:val="21"/>
                <w:highlight w:val="none"/>
              </w:rPr>
            </w:pPr>
          </w:p>
        </w:tc>
        <w:tc>
          <w:tcPr>
            <w:tcW w:w="1319" w:type="dxa"/>
          </w:tcPr>
          <w:p w14:paraId="7A7C5376">
            <w:pPr>
              <w:spacing w:line="360" w:lineRule="exact"/>
              <w:rPr>
                <w:rFonts w:ascii="宋体"/>
                <w:color w:val="auto"/>
                <w:szCs w:val="21"/>
                <w:highlight w:val="none"/>
              </w:rPr>
            </w:pPr>
          </w:p>
        </w:tc>
        <w:tc>
          <w:tcPr>
            <w:tcW w:w="1319" w:type="dxa"/>
          </w:tcPr>
          <w:p w14:paraId="0E9AD121">
            <w:pPr>
              <w:spacing w:line="360" w:lineRule="exact"/>
              <w:rPr>
                <w:rFonts w:ascii="宋体"/>
                <w:color w:val="auto"/>
                <w:szCs w:val="21"/>
                <w:highlight w:val="none"/>
              </w:rPr>
            </w:pPr>
          </w:p>
        </w:tc>
        <w:tc>
          <w:tcPr>
            <w:tcW w:w="1319" w:type="dxa"/>
          </w:tcPr>
          <w:p w14:paraId="64558AD2">
            <w:pPr>
              <w:spacing w:line="360" w:lineRule="exact"/>
              <w:rPr>
                <w:rFonts w:ascii="宋体"/>
                <w:color w:val="auto"/>
                <w:szCs w:val="21"/>
                <w:highlight w:val="none"/>
              </w:rPr>
            </w:pPr>
          </w:p>
        </w:tc>
        <w:tc>
          <w:tcPr>
            <w:tcW w:w="1319" w:type="dxa"/>
          </w:tcPr>
          <w:p w14:paraId="40BB7E18">
            <w:pPr>
              <w:spacing w:line="360" w:lineRule="exact"/>
              <w:rPr>
                <w:rFonts w:ascii="宋体"/>
                <w:color w:val="auto"/>
                <w:szCs w:val="21"/>
                <w:highlight w:val="none"/>
              </w:rPr>
            </w:pPr>
          </w:p>
        </w:tc>
      </w:tr>
    </w:tbl>
    <w:p w14:paraId="21F31B3F">
      <w:pPr>
        <w:spacing w:line="360" w:lineRule="exact"/>
        <w:rPr>
          <w:rFonts w:ascii="宋体"/>
          <w:color w:val="auto"/>
          <w:szCs w:val="21"/>
          <w:highlight w:val="none"/>
        </w:rPr>
      </w:pPr>
    </w:p>
    <w:p w14:paraId="0668F35E">
      <w:pPr>
        <w:spacing w:line="360" w:lineRule="exact"/>
        <w:rPr>
          <w:rFonts w:ascii="宋体"/>
          <w:color w:val="auto"/>
          <w:szCs w:val="21"/>
          <w:highlight w:val="none"/>
        </w:rPr>
      </w:pPr>
      <w:r>
        <w:rPr>
          <w:rFonts w:hint="eastAsia" w:ascii="宋体"/>
          <w:color w:val="auto"/>
          <w:szCs w:val="21"/>
          <w:highlight w:val="none"/>
        </w:rPr>
        <w:t>注：本表填写不完整或者填写错误的都视为负偏离不予计分。</w:t>
      </w:r>
    </w:p>
    <w:p w14:paraId="034D0876">
      <w:pPr>
        <w:spacing w:line="360" w:lineRule="exact"/>
        <w:rPr>
          <w:rFonts w:ascii="宋体"/>
          <w:color w:val="auto"/>
          <w:szCs w:val="21"/>
          <w:highlight w:val="none"/>
        </w:rPr>
      </w:pPr>
    </w:p>
    <w:p w14:paraId="3D4A49E5">
      <w:pPr>
        <w:adjustRightInd w:val="0"/>
        <w:snapToGrid w:val="0"/>
        <w:spacing w:line="360" w:lineRule="auto"/>
        <w:outlineLvl w:val="0"/>
        <w:rPr>
          <w:rFonts w:hint="eastAsia" w:ascii="宋体" w:hAnsi="宋体"/>
          <w:bCs/>
          <w:color w:val="auto"/>
          <w:szCs w:val="21"/>
          <w:highlight w:val="none"/>
        </w:rPr>
      </w:pPr>
      <w:bookmarkStart w:id="139" w:name="_Toc187939567"/>
      <w:bookmarkStart w:id="140" w:name="_Toc169515400"/>
      <w:bookmarkStart w:id="141" w:name="_Toc134193035"/>
      <w:bookmarkStart w:id="142" w:name="_Toc187243513"/>
      <w:r>
        <w:rPr>
          <w:rFonts w:hint="eastAsia" w:ascii="宋体" w:hAnsi="宋体"/>
          <w:color w:val="auto"/>
          <w:szCs w:val="21"/>
          <w:highlight w:val="none"/>
        </w:rPr>
        <w:t>供应商名称：</w:t>
      </w:r>
      <w:bookmarkEnd w:id="139"/>
      <w:bookmarkEnd w:id="140"/>
      <w:bookmarkEnd w:id="141"/>
      <w:bookmarkEnd w:id="142"/>
      <w:r>
        <w:rPr>
          <w:rFonts w:hint="eastAsia" w:ascii="宋体" w:hAnsi="宋体"/>
          <w:color w:val="auto"/>
          <w:szCs w:val="21"/>
          <w:highlight w:val="none"/>
          <w:u w:val="single"/>
        </w:rPr>
        <w:t xml:space="preserve">                </w:t>
      </w:r>
    </w:p>
    <w:p w14:paraId="6601A46B">
      <w:pPr>
        <w:adjustRightInd w:val="0"/>
        <w:snapToGrid w:val="0"/>
        <w:spacing w:line="360" w:lineRule="auto"/>
        <w:outlineLvl w:val="0"/>
        <w:rPr>
          <w:rFonts w:hint="eastAsia" w:ascii="宋体" w:hAnsi="宋体"/>
          <w:color w:val="auto"/>
          <w:szCs w:val="21"/>
          <w:highlight w:val="none"/>
        </w:rPr>
      </w:pPr>
      <w:bookmarkStart w:id="143" w:name="_Toc187939568"/>
      <w:bookmarkStart w:id="144" w:name="_Toc169515401"/>
      <w:bookmarkStart w:id="145" w:name="_Toc134193036"/>
      <w:bookmarkStart w:id="146" w:name="_Toc187243514"/>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_</w:t>
      </w:r>
      <w:bookmarkEnd w:id="143"/>
      <w:bookmarkEnd w:id="144"/>
      <w:bookmarkEnd w:id="145"/>
      <w:bookmarkEnd w:id="146"/>
    </w:p>
    <w:p w14:paraId="680D7FA0">
      <w:pPr>
        <w:spacing w:line="360" w:lineRule="exact"/>
        <w:rPr>
          <w:rFonts w:ascii="宋体"/>
          <w:color w:val="auto"/>
          <w:szCs w:val="21"/>
          <w:highlight w:val="none"/>
        </w:rPr>
      </w:pPr>
      <w:r>
        <w:rPr>
          <w:rFonts w:hint="eastAsia" w:ascii="宋体" w:hAnsi="宋体"/>
          <w:color w:val="auto"/>
          <w:szCs w:val="21"/>
          <w:highlight w:val="none"/>
        </w:rPr>
        <w:t xml:space="preserve">日期：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68E60666">
      <w:pPr>
        <w:spacing w:line="360" w:lineRule="exact"/>
        <w:rPr>
          <w:rFonts w:ascii="宋体"/>
          <w:color w:val="auto"/>
          <w:szCs w:val="21"/>
          <w:highlight w:val="none"/>
        </w:rPr>
      </w:pPr>
    </w:p>
    <w:p w14:paraId="5B9058C3">
      <w:pPr>
        <w:spacing w:line="360" w:lineRule="exact"/>
        <w:rPr>
          <w:rFonts w:ascii="宋体"/>
          <w:color w:val="auto"/>
          <w:szCs w:val="21"/>
          <w:highlight w:val="none"/>
        </w:rPr>
      </w:pPr>
    </w:p>
    <w:p w14:paraId="4BAA0549">
      <w:pPr>
        <w:spacing w:line="360" w:lineRule="exact"/>
        <w:rPr>
          <w:rFonts w:ascii="宋体"/>
          <w:color w:val="auto"/>
          <w:szCs w:val="21"/>
          <w:highlight w:val="none"/>
        </w:rPr>
      </w:pPr>
    </w:p>
    <w:p w14:paraId="54999031">
      <w:pPr>
        <w:adjustRightInd w:val="0"/>
        <w:snapToGrid w:val="0"/>
        <w:spacing w:line="360" w:lineRule="auto"/>
        <w:jc w:val="center"/>
        <w:outlineLvl w:val="1"/>
        <w:rPr>
          <w:rFonts w:hint="eastAsia" w:ascii="黑体" w:hAnsi="黑体" w:eastAsia="黑体"/>
          <w:b/>
          <w:color w:val="auto"/>
          <w:sz w:val="32"/>
          <w:szCs w:val="32"/>
          <w:highlight w:val="none"/>
        </w:rPr>
      </w:pPr>
      <w:bookmarkStart w:id="147" w:name="_Toc431750622"/>
      <w:bookmarkStart w:id="148" w:name="_Toc187939569"/>
      <w:bookmarkStart w:id="149" w:name="_Toc187243515"/>
      <w:bookmarkStart w:id="150" w:name="_Toc432109683"/>
      <w:bookmarkStart w:id="151" w:name="_Toc17851"/>
      <w:bookmarkStart w:id="152" w:name="_Toc169515402"/>
      <w:r>
        <w:rPr>
          <w:rFonts w:hint="eastAsia" w:ascii="黑体" w:hAnsi="黑体" w:eastAsia="黑体"/>
          <w:b/>
          <w:color w:val="auto"/>
          <w:sz w:val="32"/>
          <w:szCs w:val="32"/>
          <w:highlight w:val="none"/>
        </w:rPr>
        <w:t>四、技术响应与偏离表</w:t>
      </w:r>
      <w:bookmarkEnd w:id="147"/>
      <w:bookmarkEnd w:id="148"/>
      <w:bookmarkEnd w:id="149"/>
      <w:bookmarkEnd w:id="150"/>
      <w:bookmarkEnd w:id="151"/>
      <w:bookmarkEnd w:id="152"/>
    </w:p>
    <w:p w14:paraId="223D9D5E">
      <w:pPr>
        <w:adjustRightInd w:val="0"/>
        <w:snapToGrid w:val="0"/>
        <w:ind w:left="-88" w:leftChars="-42" w:firstLine="315" w:firstLineChars="150"/>
        <w:rPr>
          <w:rFonts w:ascii="宋体"/>
          <w:color w:val="auto"/>
          <w:szCs w:val="21"/>
          <w:highlight w:val="none"/>
          <w:u w:val="single"/>
        </w:rPr>
      </w:pPr>
    </w:p>
    <w:tbl>
      <w:tblPr>
        <w:tblStyle w:val="42"/>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607"/>
        <w:gridCol w:w="1612"/>
        <w:gridCol w:w="1863"/>
        <w:gridCol w:w="2487"/>
        <w:gridCol w:w="1161"/>
        <w:gridCol w:w="632"/>
      </w:tblGrid>
      <w:tr w14:paraId="3D3DF9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63" w:type="pct"/>
            <w:tcBorders>
              <w:top w:val="double" w:color="auto" w:sz="4" w:space="0"/>
            </w:tcBorders>
            <w:vAlign w:val="center"/>
          </w:tcPr>
          <w:p w14:paraId="30CAD267">
            <w:pPr>
              <w:adjustRightInd w:val="0"/>
              <w:snapToGrid w:val="0"/>
              <w:ind w:left="-88" w:leftChars="-42"/>
              <w:jc w:val="center"/>
              <w:rPr>
                <w:rFonts w:ascii="宋体"/>
                <w:bCs/>
                <w:color w:val="auto"/>
                <w:szCs w:val="21"/>
                <w:highlight w:val="none"/>
              </w:rPr>
            </w:pPr>
            <w:r>
              <w:rPr>
                <w:rFonts w:hint="eastAsia" w:ascii="宋体" w:hAnsi="宋体"/>
                <w:bCs/>
                <w:color w:val="auto"/>
                <w:szCs w:val="21"/>
                <w:highlight w:val="none"/>
              </w:rPr>
              <w:t>序号</w:t>
            </w:r>
          </w:p>
        </w:tc>
        <w:tc>
          <w:tcPr>
            <w:tcW w:w="964" w:type="pct"/>
            <w:tcBorders>
              <w:top w:val="double" w:color="auto" w:sz="4" w:space="0"/>
            </w:tcBorders>
            <w:vAlign w:val="center"/>
          </w:tcPr>
          <w:p w14:paraId="6FF6762F">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磋商文件条目号</w:t>
            </w:r>
          </w:p>
        </w:tc>
        <w:tc>
          <w:tcPr>
            <w:tcW w:w="1114" w:type="pct"/>
            <w:tcBorders>
              <w:top w:val="double" w:color="auto" w:sz="4" w:space="0"/>
            </w:tcBorders>
            <w:vAlign w:val="center"/>
          </w:tcPr>
          <w:p w14:paraId="5D20CED3">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采购规格</w:t>
            </w:r>
          </w:p>
        </w:tc>
        <w:tc>
          <w:tcPr>
            <w:tcW w:w="1487" w:type="pct"/>
            <w:tcBorders>
              <w:top w:val="double" w:color="auto" w:sz="4" w:space="0"/>
            </w:tcBorders>
            <w:vAlign w:val="center"/>
          </w:tcPr>
          <w:p w14:paraId="4EAB6844">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响应文件的规格</w:t>
            </w:r>
          </w:p>
        </w:tc>
        <w:tc>
          <w:tcPr>
            <w:tcW w:w="694" w:type="pct"/>
            <w:tcBorders>
              <w:top w:val="double" w:color="auto" w:sz="4" w:space="0"/>
            </w:tcBorders>
            <w:vAlign w:val="center"/>
          </w:tcPr>
          <w:p w14:paraId="20CBDCF6">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响应与偏离</w:t>
            </w:r>
          </w:p>
        </w:tc>
        <w:tc>
          <w:tcPr>
            <w:tcW w:w="378" w:type="pct"/>
            <w:tcBorders>
              <w:top w:val="double" w:color="auto" w:sz="4" w:space="0"/>
            </w:tcBorders>
            <w:vAlign w:val="center"/>
          </w:tcPr>
          <w:p w14:paraId="47E87E31">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说明</w:t>
            </w:r>
          </w:p>
        </w:tc>
      </w:tr>
      <w:tr w14:paraId="163A90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3" w:type="pct"/>
          </w:tcPr>
          <w:p w14:paraId="0DA57C81">
            <w:pPr>
              <w:adjustRightInd w:val="0"/>
              <w:snapToGrid w:val="0"/>
              <w:ind w:left="-88" w:leftChars="-42"/>
              <w:jc w:val="center"/>
              <w:rPr>
                <w:rFonts w:ascii="宋体"/>
                <w:color w:val="auto"/>
                <w:szCs w:val="21"/>
                <w:highlight w:val="none"/>
              </w:rPr>
            </w:pPr>
          </w:p>
        </w:tc>
        <w:tc>
          <w:tcPr>
            <w:tcW w:w="964" w:type="pct"/>
            <w:vAlign w:val="center"/>
          </w:tcPr>
          <w:p w14:paraId="20A60F79">
            <w:pPr>
              <w:adjustRightInd w:val="0"/>
              <w:snapToGrid w:val="0"/>
              <w:ind w:left="-88" w:leftChars="-42"/>
              <w:jc w:val="center"/>
              <w:rPr>
                <w:rFonts w:ascii="宋体"/>
                <w:color w:val="auto"/>
                <w:szCs w:val="21"/>
                <w:highlight w:val="none"/>
              </w:rPr>
            </w:pPr>
          </w:p>
        </w:tc>
        <w:tc>
          <w:tcPr>
            <w:tcW w:w="1114" w:type="pct"/>
            <w:vAlign w:val="center"/>
          </w:tcPr>
          <w:p w14:paraId="1DAC47B0">
            <w:pPr>
              <w:adjustRightInd w:val="0"/>
              <w:snapToGrid w:val="0"/>
              <w:ind w:left="-88" w:leftChars="-42"/>
              <w:jc w:val="center"/>
              <w:rPr>
                <w:rFonts w:ascii="宋体"/>
                <w:color w:val="auto"/>
                <w:szCs w:val="21"/>
                <w:highlight w:val="none"/>
              </w:rPr>
            </w:pPr>
          </w:p>
        </w:tc>
        <w:tc>
          <w:tcPr>
            <w:tcW w:w="1487" w:type="pct"/>
            <w:vAlign w:val="center"/>
          </w:tcPr>
          <w:p w14:paraId="7546DD49">
            <w:pPr>
              <w:adjustRightInd w:val="0"/>
              <w:snapToGrid w:val="0"/>
              <w:ind w:left="-88" w:leftChars="-42"/>
              <w:jc w:val="center"/>
              <w:rPr>
                <w:rFonts w:ascii="宋体"/>
                <w:color w:val="auto"/>
                <w:szCs w:val="21"/>
                <w:highlight w:val="none"/>
              </w:rPr>
            </w:pPr>
          </w:p>
        </w:tc>
        <w:tc>
          <w:tcPr>
            <w:tcW w:w="694" w:type="pct"/>
            <w:vAlign w:val="center"/>
          </w:tcPr>
          <w:p w14:paraId="3AA43C1F">
            <w:pPr>
              <w:adjustRightInd w:val="0"/>
              <w:snapToGrid w:val="0"/>
              <w:ind w:left="-88" w:leftChars="-42"/>
              <w:jc w:val="center"/>
              <w:rPr>
                <w:rFonts w:ascii="宋体"/>
                <w:color w:val="auto"/>
                <w:szCs w:val="21"/>
                <w:highlight w:val="none"/>
              </w:rPr>
            </w:pPr>
          </w:p>
        </w:tc>
        <w:tc>
          <w:tcPr>
            <w:tcW w:w="378" w:type="pct"/>
            <w:vAlign w:val="center"/>
          </w:tcPr>
          <w:p w14:paraId="49A33BD1">
            <w:pPr>
              <w:adjustRightInd w:val="0"/>
              <w:snapToGrid w:val="0"/>
              <w:ind w:left="-88" w:leftChars="-42"/>
              <w:jc w:val="center"/>
              <w:rPr>
                <w:rFonts w:ascii="宋体"/>
                <w:color w:val="auto"/>
                <w:szCs w:val="21"/>
                <w:highlight w:val="none"/>
              </w:rPr>
            </w:pPr>
          </w:p>
        </w:tc>
      </w:tr>
      <w:tr w14:paraId="5D1DD1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3" w:type="pct"/>
          </w:tcPr>
          <w:p w14:paraId="5FC65497">
            <w:pPr>
              <w:adjustRightInd w:val="0"/>
              <w:snapToGrid w:val="0"/>
              <w:ind w:left="-88" w:leftChars="-42"/>
              <w:jc w:val="center"/>
              <w:rPr>
                <w:rFonts w:ascii="宋体"/>
                <w:color w:val="auto"/>
                <w:szCs w:val="21"/>
                <w:highlight w:val="none"/>
              </w:rPr>
            </w:pPr>
          </w:p>
        </w:tc>
        <w:tc>
          <w:tcPr>
            <w:tcW w:w="964" w:type="pct"/>
            <w:vAlign w:val="center"/>
          </w:tcPr>
          <w:p w14:paraId="56A819BE">
            <w:pPr>
              <w:adjustRightInd w:val="0"/>
              <w:snapToGrid w:val="0"/>
              <w:ind w:left="-88" w:leftChars="-42"/>
              <w:jc w:val="center"/>
              <w:rPr>
                <w:rFonts w:ascii="宋体"/>
                <w:color w:val="auto"/>
                <w:szCs w:val="21"/>
                <w:highlight w:val="none"/>
              </w:rPr>
            </w:pPr>
          </w:p>
        </w:tc>
        <w:tc>
          <w:tcPr>
            <w:tcW w:w="1114" w:type="pct"/>
            <w:vAlign w:val="center"/>
          </w:tcPr>
          <w:p w14:paraId="09F075A7">
            <w:pPr>
              <w:adjustRightInd w:val="0"/>
              <w:snapToGrid w:val="0"/>
              <w:ind w:left="-88" w:leftChars="-42"/>
              <w:jc w:val="center"/>
              <w:rPr>
                <w:rFonts w:ascii="宋体"/>
                <w:color w:val="auto"/>
                <w:szCs w:val="21"/>
                <w:highlight w:val="none"/>
              </w:rPr>
            </w:pPr>
          </w:p>
        </w:tc>
        <w:tc>
          <w:tcPr>
            <w:tcW w:w="1487" w:type="pct"/>
            <w:vAlign w:val="center"/>
          </w:tcPr>
          <w:p w14:paraId="68DE4329">
            <w:pPr>
              <w:adjustRightInd w:val="0"/>
              <w:snapToGrid w:val="0"/>
              <w:ind w:left="-88" w:leftChars="-42"/>
              <w:jc w:val="center"/>
              <w:rPr>
                <w:rFonts w:ascii="宋体"/>
                <w:color w:val="auto"/>
                <w:szCs w:val="21"/>
                <w:highlight w:val="none"/>
              </w:rPr>
            </w:pPr>
          </w:p>
        </w:tc>
        <w:tc>
          <w:tcPr>
            <w:tcW w:w="694" w:type="pct"/>
            <w:vAlign w:val="center"/>
          </w:tcPr>
          <w:p w14:paraId="31C35E47">
            <w:pPr>
              <w:adjustRightInd w:val="0"/>
              <w:snapToGrid w:val="0"/>
              <w:ind w:left="-88" w:leftChars="-42"/>
              <w:jc w:val="center"/>
              <w:rPr>
                <w:rFonts w:ascii="宋体"/>
                <w:color w:val="auto"/>
                <w:szCs w:val="21"/>
                <w:highlight w:val="none"/>
              </w:rPr>
            </w:pPr>
          </w:p>
        </w:tc>
        <w:tc>
          <w:tcPr>
            <w:tcW w:w="378" w:type="pct"/>
            <w:vAlign w:val="center"/>
          </w:tcPr>
          <w:p w14:paraId="2F04903A">
            <w:pPr>
              <w:adjustRightInd w:val="0"/>
              <w:snapToGrid w:val="0"/>
              <w:ind w:left="-88" w:leftChars="-42"/>
              <w:jc w:val="center"/>
              <w:rPr>
                <w:rFonts w:ascii="宋体"/>
                <w:color w:val="auto"/>
                <w:szCs w:val="21"/>
                <w:highlight w:val="none"/>
              </w:rPr>
            </w:pPr>
          </w:p>
        </w:tc>
      </w:tr>
      <w:tr w14:paraId="6492ED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3" w:type="pct"/>
          </w:tcPr>
          <w:p w14:paraId="5BE87F63">
            <w:pPr>
              <w:adjustRightInd w:val="0"/>
              <w:snapToGrid w:val="0"/>
              <w:ind w:left="-88" w:leftChars="-42"/>
              <w:jc w:val="center"/>
              <w:rPr>
                <w:rFonts w:ascii="宋体"/>
                <w:color w:val="auto"/>
                <w:szCs w:val="21"/>
                <w:highlight w:val="none"/>
              </w:rPr>
            </w:pPr>
          </w:p>
        </w:tc>
        <w:tc>
          <w:tcPr>
            <w:tcW w:w="964" w:type="pct"/>
            <w:vAlign w:val="center"/>
          </w:tcPr>
          <w:p w14:paraId="016BD940">
            <w:pPr>
              <w:adjustRightInd w:val="0"/>
              <w:snapToGrid w:val="0"/>
              <w:ind w:left="-88" w:leftChars="-42"/>
              <w:jc w:val="center"/>
              <w:rPr>
                <w:rFonts w:ascii="宋体"/>
                <w:color w:val="auto"/>
                <w:szCs w:val="21"/>
                <w:highlight w:val="none"/>
              </w:rPr>
            </w:pPr>
          </w:p>
        </w:tc>
        <w:tc>
          <w:tcPr>
            <w:tcW w:w="1114" w:type="pct"/>
            <w:vAlign w:val="center"/>
          </w:tcPr>
          <w:p w14:paraId="217A2F63">
            <w:pPr>
              <w:adjustRightInd w:val="0"/>
              <w:snapToGrid w:val="0"/>
              <w:ind w:left="-88" w:leftChars="-42"/>
              <w:jc w:val="center"/>
              <w:rPr>
                <w:rFonts w:ascii="宋体"/>
                <w:color w:val="auto"/>
                <w:szCs w:val="21"/>
                <w:highlight w:val="none"/>
              </w:rPr>
            </w:pPr>
          </w:p>
        </w:tc>
        <w:tc>
          <w:tcPr>
            <w:tcW w:w="1487" w:type="pct"/>
            <w:vAlign w:val="center"/>
          </w:tcPr>
          <w:p w14:paraId="6778B936">
            <w:pPr>
              <w:adjustRightInd w:val="0"/>
              <w:snapToGrid w:val="0"/>
              <w:ind w:left="-88" w:leftChars="-42"/>
              <w:jc w:val="center"/>
              <w:rPr>
                <w:rFonts w:ascii="宋体"/>
                <w:color w:val="auto"/>
                <w:szCs w:val="21"/>
                <w:highlight w:val="none"/>
              </w:rPr>
            </w:pPr>
          </w:p>
        </w:tc>
        <w:tc>
          <w:tcPr>
            <w:tcW w:w="694" w:type="pct"/>
            <w:vAlign w:val="center"/>
          </w:tcPr>
          <w:p w14:paraId="1D664691">
            <w:pPr>
              <w:adjustRightInd w:val="0"/>
              <w:snapToGrid w:val="0"/>
              <w:ind w:left="-88" w:leftChars="-42"/>
              <w:jc w:val="center"/>
              <w:rPr>
                <w:rFonts w:ascii="宋体"/>
                <w:color w:val="auto"/>
                <w:szCs w:val="21"/>
                <w:highlight w:val="none"/>
              </w:rPr>
            </w:pPr>
          </w:p>
        </w:tc>
        <w:tc>
          <w:tcPr>
            <w:tcW w:w="378" w:type="pct"/>
            <w:vAlign w:val="center"/>
          </w:tcPr>
          <w:p w14:paraId="77ADE0B8">
            <w:pPr>
              <w:adjustRightInd w:val="0"/>
              <w:snapToGrid w:val="0"/>
              <w:ind w:left="-88" w:leftChars="-42"/>
              <w:jc w:val="center"/>
              <w:rPr>
                <w:rFonts w:ascii="宋体"/>
                <w:color w:val="auto"/>
                <w:szCs w:val="21"/>
                <w:highlight w:val="none"/>
              </w:rPr>
            </w:pPr>
          </w:p>
        </w:tc>
      </w:tr>
      <w:tr w14:paraId="7D2B51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3" w:type="pct"/>
          </w:tcPr>
          <w:p w14:paraId="73BF6DE6">
            <w:pPr>
              <w:adjustRightInd w:val="0"/>
              <w:snapToGrid w:val="0"/>
              <w:ind w:left="-88" w:leftChars="-42"/>
              <w:jc w:val="center"/>
              <w:rPr>
                <w:rFonts w:ascii="宋体"/>
                <w:color w:val="auto"/>
                <w:szCs w:val="21"/>
                <w:highlight w:val="none"/>
              </w:rPr>
            </w:pPr>
          </w:p>
        </w:tc>
        <w:tc>
          <w:tcPr>
            <w:tcW w:w="964" w:type="pct"/>
            <w:vAlign w:val="center"/>
          </w:tcPr>
          <w:p w14:paraId="11E7FC9B">
            <w:pPr>
              <w:adjustRightInd w:val="0"/>
              <w:snapToGrid w:val="0"/>
              <w:ind w:left="-88" w:leftChars="-42"/>
              <w:jc w:val="center"/>
              <w:rPr>
                <w:rFonts w:ascii="宋体"/>
                <w:color w:val="auto"/>
                <w:szCs w:val="21"/>
                <w:highlight w:val="none"/>
              </w:rPr>
            </w:pPr>
          </w:p>
        </w:tc>
        <w:tc>
          <w:tcPr>
            <w:tcW w:w="1114" w:type="pct"/>
            <w:vAlign w:val="center"/>
          </w:tcPr>
          <w:p w14:paraId="0BD27717">
            <w:pPr>
              <w:adjustRightInd w:val="0"/>
              <w:snapToGrid w:val="0"/>
              <w:ind w:left="-88" w:leftChars="-42"/>
              <w:jc w:val="center"/>
              <w:rPr>
                <w:rFonts w:ascii="宋体"/>
                <w:color w:val="auto"/>
                <w:szCs w:val="21"/>
                <w:highlight w:val="none"/>
              </w:rPr>
            </w:pPr>
          </w:p>
        </w:tc>
        <w:tc>
          <w:tcPr>
            <w:tcW w:w="1487" w:type="pct"/>
            <w:vAlign w:val="center"/>
          </w:tcPr>
          <w:p w14:paraId="242F6A59">
            <w:pPr>
              <w:adjustRightInd w:val="0"/>
              <w:snapToGrid w:val="0"/>
              <w:ind w:left="-88" w:leftChars="-42"/>
              <w:jc w:val="center"/>
              <w:rPr>
                <w:rFonts w:ascii="宋体"/>
                <w:color w:val="auto"/>
                <w:szCs w:val="21"/>
                <w:highlight w:val="none"/>
              </w:rPr>
            </w:pPr>
          </w:p>
        </w:tc>
        <w:tc>
          <w:tcPr>
            <w:tcW w:w="694" w:type="pct"/>
            <w:vAlign w:val="center"/>
          </w:tcPr>
          <w:p w14:paraId="4A0FACA0">
            <w:pPr>
              <w:adjustRightInd w:val="0"/>
              <w:snapToGrid w:val="0"/>
              <w:ind w:left="-88" w:leftChars="-42"/>
              <w:jc w:val="center"/>
              <w:rPr>
                <w:rFonts w:ascii="宋体"/>
                <w:color w:val="auto"/>
                <w:szCs w:val="21"/>
                <w:highlight w:val="none"/>
              </w:rPr>
            </w:pPr>
          </w:p>
        </w:tc>
        <w:tc>
          <w:tcPr>
            <w:tcW w:w="378" w:type="pct"/>
            <w:vAlign w:val="center"/>
          </w:tcPr>
          <w:p w14:paraId="565E5D3A">
            <w:pPr>
              <w:adjustRightInd w:val="0"/>
              <w:snapToGrid w:val="0"/>
              <w:ind w:left="-88" w:leftChars="-42"/>
              <w:jc w:val="center"/>
              <w:rPr>
                <w:rFonts w:ascii="宋体"/>
                <w:color w:val="auto"/>
                <w:szCs w:val="21"/>
                <w:highlight w:val="none"/>
              </w:rPr>
            </w:pPr>
          </w:p>
        </w:tc>
      </w:tr>
      <w:tr w14:paraId="698A5D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3" w:type="pct"/>
            <w:tcBorders>
              <w:bottom w:val="double" w:color="auto" w:sz="4" w:space="0"/>
            </w:tcBorders>
          </w:tcPr>
          <w:p w14:paraId="01E2E775">
            <w:pPr>
              <w:adjustRightInd w:val="0"/>
              <w:snapToGrid w:val="0"/>
              <w:ind w:left="-88" w:leftChars="-42"/>
              <w:jc w:val="center"/>
              <w:rPr>
                <w:rFonts w:ascii="宋体"/>
                <w:color w:val="auto"/>
                <w:szCs w:val="21"/>
                <w:highlight w:val="none"/>
              </w:rPr>
            </w:pPr>
          </w:p>
        </w:tc>
        <w:tc>
          <w:tcPr>
            <w:tcW w:w="964" w:type="pct"/>
            <w:tcBorders>
              <w:bottom w:val="double" w:color="auto" w:sz="4" w:space="0"/>
            </w:tcBorders>
            <w:vAlign w:val="center"/>
          </w:tcPr>
          <w:p w14:paraId="78D63776">
            <w:pPr>
              <w:adjustRightInd w:val="0"/>
              <w:snapToGrid w:val="0"/>
              <w:ind w:left="-88" w:leftChars="-42"/>
              <w:jc w:val="center"/>
              <w:rPr>
                <w:rFonts w:ascii="宋体"/>
                <w:color w:val="auto"/>
                <w:szCs w:val="21"/>
                <w:highlight w:val="none"/>
              </w:rPr>
            </w:pPr>
          </w:p>
        </w:tc>
        <w:tc>
          <w:tcPr>
            <w:tcW w:w="1114" w:type="pct"/>
            <w:tcBorders>
              <w:bottom w:val="double" w:color="auto" w:sz="4" w:space="0"/>
            </w:tcBorders>
            <w:vAlign w:val="center"/>
          </w:tcPr>
          <w:p w14:paraId="4D1AA068">
            <w:pPr>
              <w:adjustRightInd w:val="0"/>
              <w:snapToGrid w:val="0"/>
              <w:ind w:left="-88" w:leftChars="-42"/>
              <w:jc w:val="center"/>
              <w:rPr>
                <w:rFonts w:ascii="宋体"/>
                <w:color w:val="auto"/>
                <w:szCs w:val="21"/>
                <w:highlight w:val="none"/>
              </w:rPr>
            </w:pPr>
          </w:p>
        </w:tc>
        <w:tc>
          <w:tcPr>
            <w:tcW w:w="1487" w:type="pct"/>
            <w:tcBorders>
              <w:bottom w:val="double" w:color="auto" w:sz="4" w:space="0"/>
            </w:tcBorders>
            <w:vAlign w:val="center"/>
          </w:tcPr>
          <w:p w14:paraId="11888DFA">
            <w:pPr>
              <w:adjustRightInd w:val="0"/>
              <w:snapToGrid w:val="0"/>
              <w:ind w:left="-88" w:leftChars="-42"/>
              <w:jc w:val="center"/>
              <w:rPr>
                <w:rFonts w:ascii="宋体"/>
                <w:color w:val="auto"/>
                <w:szCs w:val="21"/>
                <w:highlight w:val="none"/>
              </w:rPr>
            </w:pPr>
          </w:p>
        </w:tc>
        <w:tc>
          <w:tcPr>
            <w:tcW w:w="694" w:type="pct"/>
            <w:tcBorders>
              <w:bottom w:val="double" w:color="auto" w:sz="4" w:space="0"/>
            </w:tcBorders>
            <w:vAlign w:val="center"/>
          </w:tcPr>
          <w:p w14:paraId="3EBB5B47">
            <w:pPr>
              <w:adjustRightInd w:val="0"/>
              <w:snapToGrid w:val="0"/>
              <w:ind w:left="-88" w:leftChars="-42"/>
              <w:jc w:val="center"/>
              <w:rPr>
                <w:rFonts w:ascii="宋体"/>
                <w:color w:val="auto"/>
                <w:szCs w:val="21"/>
                <w:highlight w:val="none"/>
              </w:rPr>
            </w:pPr>
          </w:p>
        </w:tc>
        <w:tc>
          <w:tcPr>
            <w:tcW w:w="378" w:type="pct"/>
            <w:tcBorders>
              <w:bottom w:val="double" w:color="auto" w:sz="4" w:space="0"/>
            </w:tcBorders>
            <w:vAlign w:val="center"/>
          </w:tcPr>
          <w:p w14:paraId="34A99A1F">
            <w:pPr>
              <w:adjustRightInd w:val="0"/>
              <w:snapToGrid w:val="0"/>
              <w:ind w:left="-88" w:leftChars="-42"/>
              <w:jc w:val="center"/>
              <w:rPr>
                <w:rFonts w:ascii="宋体"/>
                <w:color w:val="auto"/>
                <w:szCs w:val="21"/>
                <w:highlight w:val="none"/>
              </w:rPr>
            </w:pPr>
          </w:p>
        </w:tc>
      </w:tr>
    </w:tbl>
    <w:p w14:paraId="7C280663">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p>
    <w:p w14:paraId="2689EF44">
      <w:pPr>
        <w:adjustRightInd w:val="0"/>
        <w:snapToGrid w:val="0"/>
        <w:spacing w:line="360" w:lineRule="auto"/>
        <w:ind w:left="-88" w:leftChars="-42"/>
        <w:rPr>
          <w:rFonts w:hint="eastAsia" w:ascii="仿宋_GB2312" w:hAnsi="宋体" w:eastAsia="仿宋_GB2312"/>
          <w:color w:val="auto"/>
          <w:szCs w:val="21"/>
          <w:highlight w:val="none"/>
        </w:rPr>
      </w:pPr>
      <w:r>
        <w:rPr>
          <w:rFonts w:ascii="仿宋_GB2312" w:hAnsi="宋体" w:eastAsia="仿宋_GB2312"/>
          <w:color w:val="auto"/>
          <w:szCs w:val="21"/>
          <w:highlight w:val="none"/>
        </w:rPr>
        <w:t>1</w:t>
      </w:r>
      <w:r>
        <w:rPr>
          <w:rFonts w:hint="eastAsia" w:ascii="仿宋_GB2312" w:hAnsi="宋体" w:eastAsia="仿宋_GB2312"/>
          <w:color w:val="auto"/>
          <w:szCs w:val="21"/>
          <w:highlight w:val="none"/>
        </w:rPr>
        <w:t>、“响应与偏离”应注明“响应”或“偏离”，若没有注明的，则视为“响应”。</w:t>
      </w:r>
    </w:p>
    <w:p w14:paraId="14ACBB61">
      <w:pPr>
        <w:adjustRightInd w:val="0"/>
        <w:snapToGrid w:val="0"/>
        <w:spacing w:line="360" w:lineRule="auto"/>
        <w:rPr>
          <w:rFonts w:hint="eastAsia" w:ascii="仿宋_GB2312" w:hAnsi="宋体" w:eastAsia="仿宋_GB2312"/>
          <w:color w:val="auto"/>
          <w:szCs w:val="21"/>
          <w:highlight w:val="none"/>
        </w:rPr>
      </w:pPr>
      <w:r>
        <w:rPr>
          <w:rFonts w:ascii="仿宋_GB2312" w:hAnsi="宋体" w:eastAsia="仿宋_GB2312"/>
          <w:color w:val="auto"/>
          <w:szCs w:val="21"/>
          <w:highlight w:val="none"/>
        </w:rPr>
        <w:t>2</w:t>
      </w:r>
      <w:r>
        <w:rPr>
          <w:rFonts w:hint="eastAsia" w:ascii="仿宋_GB2312" w:hAnsi="宋体" w:eastAsia="仿宋_GB2312"/>
          <w:color w:val="auto"/>
          <w:szCs w:val="21"/>
          <w:highlight w:val="none"/>
        </w:rPr>
        <w:t>、属磋商文件规定有可能实质性变动的内容请在“说明”栏中注明。</w:t>
      </w:r>
    </w:p>
    <w:p w14:paraId="419D2A24">
      <w:pPr>
        <w:rPr>
          <w:color w:val="auto"/>
          <w:highlight w:val="none"/>
        </w:rPr>
      </w:pPr>
    </w:p>
    <w:p w14:paraId="45667FDE">
      <w:pPr>
        <w:rPr>
          <w:color w:val="auto"/>
          <w:highlight w:val="none"/>
        </w:rPr>
      </w:pPr>
    </w:p>
    <w:p w14:paraId="08444ADB">
      <w:pPr>
        <w:rPr>
          <w:color w:val="auto"/>
          <w:highlight w:val="none"/>
        </w:rPr>
      </w:pPr>
    </w:p>
    <w:p w14:paraId="3EF879EB">
      <w:pPr>
        <w:rPr>
          <w:color w:val="auto"/>
          <w:highlight w:val="none"/>
        </w:rPr>
      </w:pPr>
    </w:p>
    <w:p w14:paraId="5D69F55A">
      <w:pPr>
        <w:adjustRightInd w:val="0"/>
        <w:snapToGrid w:val="0"/>
        <w:spacing w:line="360" w:lineRule="auto"/>
        <w:rPr>
          <w:rFonts w:ascii="宋体"/>
          <w:bCs/>
          <w:color w:val="auto"/>
          <w:kern w:val="0"/>
          <w:szCs w:val="21"/>
          <w:highlight w:val="none"/>
        </w:rPr>
      </w:pPr>
      <w:bookmarkStart w:id="153" w:name="_Toc431750623"/>
      <w:r>
        <w:rPr>
          <w:rFonts w:hint="eastAsia" w:ascii="宋体" w:hAnsi="宋体"/>
          <w:color w:val="auto"/>
          <w:kern w:val="0"/>
          <w:szCs w:val="21"/>
          <w:highlight w:val="none"/>
        </w:rPr>
        <w:t>供应商名称：</w:t>
      </w:r>
      <w:bookmarkEnd w:id="153"/>
      <w:r>
        <w:rPr>
          <w:rFonts w:ascii="宋体" w:hAnsi="宋体"/>
          <w:color w:val="auto"/>
          <w:kern w:val="0"/>
          <w:szCs w:val="21"/>
          <w:highlight w:val="none"/>
          <w:u w:val="single"/>
        </w:rPr>
        <w:t xml:space="preserve">                   </w:t>
      </w:r>
    </w:p>
    <w:p w14:paraId="44F65463">
      <w:pPr>
        <w:adjustRightInd w:val="0"/>
        <w:snapToGrid w:val="0"/>
        <w:spacing w:line="360" w:lineRule="auto"/>
        <w:rPr>
          <w:rFonts w:ascii="宋体"/>
          <w:color w:val="auto"/>
          <w:szCs w:val="21"/>
          <w:highlight w:val="none"/>
        </w:rPr>
      </w:pPr>
      <w:bookmarkStart w:id="154" w:name="_Toc431750624"/>
      <w:r>
        <w:rPr>
          <w:rFonts w:hint="eastAsia" w:ascii="宋体" w:hAnsi="宋体"/>
          <w:color w:val="auto"/>
          <w:szCs w:val="21"/>
          <w:highlight w:val="none"/>
        </w:rPr>
        <w:t>法定代表人或其委托代理人</w:t>
      </w:r>
      <w:r>
        <w:rPr>
          <w:rFonts w:ascii="宋体" w:hAnsi="宋体"/>
          <w:color w:val="auto"/>
          <w:szCs w:val="21"/>
          <w:highlight w:val="none"/>
        </w:rPr>
        <w:t>(</w:t>
      </w:r>
      <w:r>
        <w:rPr>
          <w:rFonts w:hint="eastAsia" w:ascii="宋体" w:hAnsi="宋体"/>
          <w:color w:val="auto"/>
          <w:szCs w:val="21"/>
          <w:highlight w:val="none"/>
        </w:rPr>
        <w:t>签字</w:t>
      </w:r>
      <w:r>
        <w:rPr>
          <w:rFonts w:ascii="宋体" w:hAnsi="宋体"/>
          <w:color w:val="auto"/>
          <w:szCs w:val="21"/>
          <w:highlight w:val="none"/>
        </w:rPr>
        <w:t>)</w:t>
      </w:r>
      <w:r>
        <w:rPr>
          <w:rFonts w:hint="eastAsia" w:ascii="宋体" w:hAnsi="宋体"/>
          <w:color w:val="auto"/>
          <w:szCs w:val="21"/>
          <w:highlight w:val="none"/>
        </w:rPr>
        <w:t>：</w:t>
      </w:r>
      <w:bookmarkEnd w:id="154"/>
      <w:r>
        <w:rPr>
          <w:rFonts w:ascii="宋体" w:hAnsi="宋体"/>
          <w:color w:val="auto"/>
          <w:szCs w:val="21"/>
          <w:highlight w:val="none"/>
          <w:u w:val="single"/>
        </w:rPr>
        <w:t xml:space="preserve">                   </w:t>
      </w:r>
    </w:p>
    <w:p w14:paraId="391039E0">
      <w:pPr>
        <w:adjustRightInd w:val="0"/>
        <w:snapToGrid w:val="0"/>
        <w:spacing w:line="360" w:lineRule="auto"/>
        <w:rPr>
          <w:rFonts w:ascii="宋体"/>
          <w:color w:val="auto"/>
          <w:szCs w:val="21"/>
          <w:highlight w:val="none"/>
        </w:rPr>
      </w:pPr>
      <w:bookmarkStart w:id="155" w:name="_Toc431750625"/>
      <w:r>
        <w:rPr>
          <w:rFonts w:hint="eastAsia" w:ascii="宋体" w:hAnsi="宋体"/>
          <w:color w:val="auto"/>
          <w:szCs w:val="21"/>
          <w:highlight w:val="none"/>
        </w:rPr>
        <w:t>日</w:t>
      </w:r>
      <w:r>
        <w:rPr>
          <w:rFonts w:ascii="宋体" w:hAnsi="宋体"/>
          <w:color w:val="auto"/>
          <w:szCs w:val="21"/>
          <w:highlight w:val="none"/>
        </w:rPr>
        <w:t xml:space="preserve">          </w:t>
      </w:r>
      <w:r>
        <w:rPr>
          <w:rFonts w:hint="eastAsia" w:ascii="宋体" w:hAnsi="宋体"/>
          <w:color w:val="auto"/>
          <w:szCs w:val="21"/>
          <w:highlight w:val="none"/>
        </w:rPr>
        <w:t>期：</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日</w:t>
      </w:r>
      <w:bookmarkEnd w:id="155"/>
    </w:p>
    <w:p w14:paraId="3E890D08">
      <w:pPr>
        <w:adjustRightInd w:val="0"/>
        <w:snapToGrid w:val="0"/>
        <w:spacing w:line="360" w:lineRule="auto"/>
        <w:rPr>
          <w:rFonts w:ascii="宋体"/>
          <w:color w:val="auto"/>
          <w:szCs w:val="21"/>
          <w:highlight w:val="none"/>
        </w:rPr>
      </w:pPr>
    </w:p>
    <w:p w14:paraId="2AC5D0C3">
      <w:pPr>
        <w:widowControl/>
        <w:jc w:val="left"/>
        <w:rPr>
          <w:rFonts w:ascii="黑体" w:eastAsia="黑体"/>
          <w:b/>
          <w:color w:val="auto"/>
          <w:sz w:val="30"/>
          <w:szCs w:val="30"/>
          <w:highlight w:val="none"/>
        </w:rPr>
      </w:pPr>
    </w:p>
    <w:p w14:paraId="01E68F0D">
      <w:pPr>
        <w:widowControl/>
        <w:jc w:val="left"/>
        <w:rPr>
          <w:rFonts w:ascii="黑体" w:eastAsia="黑体"/>
          <w:b/>
          <w:color w:val="auto"/>
          <w:sz w:val="30"/>
          <w:szCs w:val="30"/>
          <w:highlight w:val="none"/>
        </w:rPr>
      </w:pPr>
    </w:p>
    <w:p w14:paraId="050AA0C5">
      <w:pPr>
        <w:widowControl/>
        <w:jc w:val="left"/>
        <w:rPr>
          <w:rFonts w:ascii="黑体" w:eastAsia="黑体"/>
          <w:b/>
          <w:color w:val="auto"/>
          <w:sz w:val="30"/>
          <w:szCs w:val="30"/>
          <w:highlight w:val="none"/>
        </w:rPr>
      </w:pPr>
    </w:p>
    <w:p w14:paraId="03C65E25">
      <w:pPr>
        <w:widowControl/>
        <w:jc w:val="left"/>
        <w:rPr>
          <w:rFonts w:ascii="黑体" w:eastAsia="黑体"/>
          <w:b/>
          <w:color w:val="auto"/>
          <w:sz w:val="30"/>
          <w:szCs w:val="30"/>
          <w:highlight w:val="none"/>
        </w:rPr>
      </w:pPr>
    </w:p>
    <w:p w14:paraId="6C165ADD">
      <w:pPr>
        <w:widowControl/>
        <w:jc w:val="left"/>
        <w:rPr>
          <w:rFonts w:ascii="黑体" w:eastAsia="黑体"/>
          <w:b/>
          <w:color w:val="auto"/>
          <w:sz w:val="30"/>
          <w:szCs w:val="30"/>
          <w:highlight w:val="none"/>
        </w:rPr>
      </w:pPr>
    </w:p>
    <w:p w14:paraId="30A8D264">
      <w:pPr>
        <w:widowControl/>
        <w:jc w:val="left"/>
        <w:rPr>
          <w:rFonts w:ascii="黑体" w:eastAsia="黑体"/>
          <w:b/>
          <w:color w:val="auto"/>
          <w:sz w:val="30"/>
          <w:szCs w:val="30"/>
          <w:highlight w:val="none"/>
        </w:rPr>
      </w:pPr>
    </w:p>
    <w:p w14:paraId="579C0DE2">
      <w:pPr>
        <w:widowControl/>
        <w:jc w:val="left"/>
        <w:rPr>
          <w:rFonts w:ascii="黑体" w:eastAsia="黑体"/>
          <w:b/>
          <w:color w:val="auto"/>
          <w:sz w:val="30"/>
          <w:szCs w:val="30"/>
          <w:highlight w:val="none"/>
        </w:rPr>
      </w:pPr>
    </w:p>
    <w:p w14:paraId="18CD82DA">
      <w:pPr>
        <w:widowControl/>
        <w:jc w:val="left"/>
        <w:rPr>
          <w:rFonts w:ascii="黑体" w:eastAsia="黑体"/>
          <w:b/>
          <w:color w:val="auto"/>
          <w:sz w:val="30"/>
          <w:szCs w:val="30"/>
          <w:highlight w:val="none"/>
        </w:rPr>
      </w:pPr>
    </w:p>
    <w:p w14:paraId="1F21A051">
      <w:pPr>
        <w:widowControl/>
        <w:jc w:val="left"/>
        <w:rPr>
          <w:rFonts w:ascii="黑体" w:eastAsia="黑体"/>
          <w:b/>
          <w:color w:val="auto"/>
          <w:sz w:val="30"/>
          <w:szCs w:val="30"/>
          <w:highlight w:val="none"/>
        </w:rPr>
      </w:pPr>
    </w:p>
    <w:p w14:paraId="681002F6">
      <w:pPr>
        <w:adjustRightInd w:val="0"/>
        <w:snapToGrid w:val="0"/>
        <w:spacing w:line="360" w:lineRule="auto"/>
        <w:ind w:firstLine="3000" w:firstLineChars="996"/>
        <w:outlineLvl w:val="1"/>
        <w:rPr>
          <w:rFonts w:hint="eastAsia" w:ascii="黑体" w:hAnsi="宋体" w:eastAsia="黑体"/>
          <w:b/>
          <w:color w:val="auto"/>
          <w:sz w:val="30"/>
          <w:szCs w:val="30"/>
          <w:highlight w:val="none"/>
        </w:rPr>
      </w:pPr>
      <w:bookmarkStart w:id="156" w:name="_Toc187939570"/>
      <w:bookmarkStart w:id="157" w:name="_Toc169515403"/>
      <w:bookmarkStart w:id="158" w:name="_Toc187243516"/>
      <w:bookmarkStart w:id="159" w:name="_Toc134193038"/>
      <w:r>
        <w:rPr>
          <w:rFonts w:hint="eastAsia" w:ascii="黑体" w:eastAsia="黑体"/>
          <w:b/>
          <w:color w:val="auto"/>
          <w:sz w:val="30"/>
          <w:szCs w:val="30"/>
          <w:highlight w:val="none"/>
        </w:rPr>
        <w:t>商务</w:t>
      </w:r>
      <w:r>
        <w:rPr>
          <w:rFonts w:hint="eastAsia" w:ascii="黑体" w:hAnsi="宋体" w:eastAsia="黑体"/>
          <w:b/>
          <w:color w:val="auto"/>
          <w:sz w:val="30"/>
          <w:szCs w:val="30"/>
          <w:highlight w:val="none"/>
        </w:rPr>
        <w:t>响应与偏离表</w:t>
      </w:r>
      <w:bookmarkEnd w:id="156"/>
      <w:bookmarkEnd w:id="157"/>
      <w:bookmarkEnd w:id="158"/>
      <w:bookmarkEnd w:id="159"/>
    </w:p>
    <w:p w14:paraId="494E98C5">
      <w:pPr>
        <w:adjustRightInd w:val="0"/>
        <w:snapToGrid w:val="0"/>
        <w:ind w:left="-88" w:leftChars="-42" w:firstLine="315" w:firstLineChars="150"/>
        <w:rPr>
          <w:rFonts w:ascii="宋体"/>
          <w:color w:val="auto"/>
          <w:szCs w:val="21"/>
          <w:highlight w:val="none"/>
          <w:u w:val="single"/>
        </w:rPr>
      </w:pPr>
    </w:p>
    <w:tbl>
      <w:tblPr>
        <w:tblStyle w:val="42"/>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781"/>
        <w:gridCol w:w="2074"/>
        <w:gridCol w:w="3200"/>
        <w:gridCol w:w="1494"/>
        <w:gridCol w:w="813"/>
      </w:tblGrid>
      <w:tr w14:paraId="77CC78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467" w:type="pct"/>
            <w:tcBorders>
              <w:top w:val="double" w:color="auto" w:sz="4" w:space="0"/>
            </w:tcBorders>
            <w:vAlign w:val="center"/>
          </w:tcPr>
          <w:p w14:paraId="67478BA4">
            <w:pPr>
              <w:adjustRightInd w:val="0"/>
              <w:snapToGrid w:val="0"/>
              <w:ind w:left="-88" w:leftChars="-42"/>
              <w:jc w:val="center"/>
              <w:rPr>
                <w:rFonts w:ascii="宋体"/>
                <w:bCs/>
                <w:color w:val="auto"/>
                <w:szCs w:val="21"/>
                <w:highlight w:val="none"/>
              </w:rPr>
            </w:pPr>
            <w:r>
              <w:rPr>
                <w:rFonts w:hint="eastAsia" w:ascii="宋体" w:hAnsi="宋体"/>
                <w:bCs/>
                <w:color w:val="auto"/>
                <w:szCs w:val="21"/>
                <w:highlight w:val="none"/>
              </w:rPr>
              <w:t>序号</w:t>
            </w:r>
          </w:p>
        </w:tc>
        <w:tc>
          <w:tcPr>
            <w:tcW w:w="1240" w:type="pct"/>
            <w:tcBorders>
              <w:top w:val="double" w:color="auto" w:sz="4" w:space="0"/>
            </w:tcBorders>
            <w:vAlign w:val="center"/>
          </w:tcPr>
          <w:p w14:paraId="3EC4F6C2">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磋商文件条目号</w:t>
            </w:r>
          </w:p>
        </w:tc>
        <w:tc>
          <w:tcPr>
            <w:tcW w:w="1913" w:type="pct"/>
            <w:tcBorders>
              <w:top w:val="double" w:color="auto" w:sz="4" w:space="0"/>
            </w:tcBorders>
            <w:vAlign w:val="center"/>
          </w:tcPr>
          <w:p w14:paraId="253B44B3">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响应文件商务条款</w:t>
            </w:r>
          </w:p>
        </w:tc>
        <w:tc>
          <w:tcPr>
            <w:tcW w:w="893" w:type="pct"/>
            <w:tcBorders>
              <w:top w:val="double" w:color="auto" w:sz="4" w:space="0"/>
            </w:tcBorders>
            <w:vAlign w:val="center"/>
          </w:tcPr>
          <w:p w14:paraId="6DC740CB">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响应与偏离</w:t>
            </w:r>
          </w:p>
        </w:tc>
        <w:tc>
          <w:tcPr>
            <w:tcW w:w="486" w:type="pct"/>
            <w:tcBorders>
              <w:top w:val="double" w:color="auto" w:sz="4" w:space="0"/>
            </w:tcBorders>
            <w:vAlign w:val="center"/>
          </w:tcPr>
          <w:p w14:paraId="100DADAD">
            <w:pPr>
              <w:adjustRightInd w:val="0"/>
              <w:snapToGrid w:val="0"/>
              <w:ind w:left="-88" w:leftChars="-42"/>
              <w:jc w:val="center"/>
              <w:rPr>
                <w:rFonts w:ascii="宋体"/>
                <w:color w:val="auto"/>
                <w:szCs w:val="21"/>
                <w:highlight w:val="none"/>
              </w:rPr>
            </w:pPr>
            <w:r>
              <w:rPr>
                <w:rFonts w:hint="eastAsia" w:ascii="宋体" w:hAnsi="宋体"/>
                <w:color w:val="auto"/>
                <w:szCs w:val="21"/>
                <w:highlight w:val="none"/>
              </w:rPr>
              <w:t>说明</w:t>
            </w:r>
          </w:p>
        </w:tc>
      </w:tr>
      <w:tr w14:paraId="0CBF4D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67" w:type="pct"/>
          </w:tcPr>
          <w:p w14:paraId="7A2938E4">
            <w:pPr>
              <w:adjustRightInd w:val="0"/>
              <w:snapToGrid w:val="0"/>
              <w:ind w:left="-88" w:leftChars="-42"/>
              <w:jc w:val="center"/>
              <w:rPr>
                <w:rFonts w:ascii="宋体"/>
                <w:color w:val="auto"/>
                <w:szCs w:val="21"/>
                <w:highlight w:val="none"/>
              </w:rPr>
            </w:pPr>
          </w:p>
        </w:tc>
        <w:tc>
          <w:tcPr>
            <w:tcW w:w="1240" w:type="pct"/>
            <w:vAlign w:val="center"/>
          </w:tcPr>
          <w:p w14:paraId="1A7877F2">
            <w:pPr>
              <w:adjustRightInd w:val="0"/>
              <w:snapToGrid w:val="0"/>
              <w:ind w:left="-88" w:leftChars="-42"/>
              <w:jc w:val="center"/>
              <w:rPr>
                <w:rFonts w:ascii="宋体"/>
                <w:color w:val="auto"/>
                <w:szCs w:val="21"/>
                <w:highlight w:val="none"/>
              </w:rPr>
            </w:pPr>
          </w:p>
        </w:tc>
        <w:tc>
          <w:tcPr>
            <w:tcW w:w="1913" w:type="pct"/>
            <w:vAlign w:val="center"/>
          </w:tcPr>
          <w:p w14:paraId="1A9E2ECC">
            <w:pPr>
              <w:adjustRightInd w:val="0"/>
              <w:snapToGrid w:val="0"/>
              <w:ind w:left="-88" w:leftChars="-42"/>
              <w:jc w:val="center"/>
              <w:rPr>
                <w:rFonts w:ascii="宋体"/>
                <w:color w:val="auto"/>
                <w:szCs w:val="21"/>
                <w:highlight w:val="none"/>
              </w:rPr>
            </w:pPr>
          </w:p>
        </w:tc>
        <w:tc>
          <w:tcPr>
            <w:tcW w:w="893" w:type="pct"/>
            <w:vAlign w:val="center"/>
          </w:tcPr>
          <w:p w14:paraId="4175FE35">
            <w:pPr>
              <w:adjustRightInd w:val="0"/>
              <w:snapToGrid w:val="0"/>
              <w:ind w:left="-88" w:leftChars="-42"/>
              <w:jc w:val="center"/>
              <w:rPr>
                <w:rFonts w:ascii="宋体"/>
                <w:color w:val="auto"/>
                <w:szCs w:val="21"/>
                <w:highlight w:val="none"/>
              </w:rPr>
            </w:pPr>
          </w:p>
        </w:tc>
        <w:tc>
          <w:tcPr>
            <w:tcW w:w="486" w:type="pct"/>
            <w:vAlign w:val="center"/>
          </w:tcPr>
          <w:p w14:paraId="66A616A3">
            <w:pPr>
              <w:adjustRightInd w:val="0"/>
              <w:snapToGrid w:val="0"/>
              <w:ind w:left="-88" w:leftChars="-42"/>
              <w:jc w:val="center"/>
              <w:rPr>
                <w:rFonts w:ascii="宋体"/>
                <w:color w:val="auto"/>
                <w:szCs w:val="21"/>
                <w:highlight w:val="none"/>
              </w:rPr>
            </w:pPr>
          </w:p>
        </w:tc>
      </w:tr>
      <w:tr w14:paraId="1B5DF8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67" w:type="pct"/>
          </w:tcPr>
          <w:p w14:paraId="22194CA1">
            <w:pPr>
              <w:adjustRightInd w:val="0"/>
              <w:snapToGrid w:val="0"/>
              <w:ind w:left="-88" w:leftChars="-42"/>
              <w:jc w:val="center"/>
              <w:rPr>
                <w:rFonts w:ascii="宋体"/>
                <w:color w:val="auto"/>
                <w:szCs w:val="21"/>
                <w:highlight w:val="none"/>
              </w:rPr>
            </w:pPr>
          </w:p>
        </w:tc>
        <w:tc>
          <w:tcPr>
            <w:tcW w:w="1240" w:type="pct"/>
            <w:vAlign w:val="center"/>
          </w:tcPr>
          <w:p w14:paraId="3F9D8013">
            <w:pPr>
              <w:adjustRightInd w:val="0"/>
              <w:snapToGrid w:val="0"/>
              <w:ind w:left="-88" w:leftChars="-42"/>
              <w:jc w:val="center"/>
              <w:rPr>
                <w:rFonts w:ascii="宋体"/>
                <w:color w:val="auto"/>
                <w:szCs w:val="21"/>
                <w:highlight w:val="none"/>
              </w:rPr>
            </w:pPr>
          </w:p>
        </w:tc>
        <w:tc>
          <w:tcPr>
            <w:tcW w:w="1913" w:type="pct"/>
            <w:vAlign w:val="center"/>
          </w:tcPr>
          <w:p w14:paraId="18472C9A">
            <w:pPr>
              <w:adjustRightInd w:val="0"/>
              <w:snapToGrid w:val="0"/>
              <w:ind w:left="-88" w:leftChars="-42"/>
              <w:jc w:val="center"/>
              <w:rPr>
                <w:rFonts w:ascii="宋体"/>
                <w:color w:val="auto"/>
                <w:szCs w:val="21"/>
                <w:highlight w:val="none"/>
              </w:rPr>
            </w:pPr>
          </w:p>
        </w:tc>
        <w:tc>
          <w:tcPr>
            <w:tcW w:w="893" w:type="pct"/>
            <w:vAlign w:val="center"/>
          </w:tcPr>
          <w:p w14:paraId="7D86BF4C">
            <w:pPr>
              <w:adjustRightInd w:val="0"/>
              <w:snapToGrid w:val="0"/>
              <w:ind w:left="-88" w:leftChars="-42"/>
              <w:jc w:val="center"/>
              <w:rPr>
                <w:rFonts w:ascii="宋体"/>
                <w:color w:val="auto"/>
                <w:szCs w:val="21"/>
                <w:highlight w:val="none"/>
              </w:rPr>
            </w:pPr>
          </w:p>
        </w:tc>
        <w:tc>
          <w:tcPr>
            <w:tcW w:w="486" w:type="pct"/>
            <w:vAlign w:val="center"/>
          </w:tcPr>
          <w:p w14:paraId="3565BF05">
            <w:pPr>
              <w:adjustRightInd w:val="0"/>
              <w:snapToGrid w:val="0"/>
              <w:ind w:left="-88" w:leftChars="-42"/>
              <w:jc w:val="center"/>
              <w:rPr>
                <w:rFonts w:ascii="宋体"/>
                <w:color w:val="auto"/>
                <w:szCs w:val="21"/>
                <w:highlight w:val="none"/>
              </w:rPr>
            </w:pPr>
          </w:p>
        </w:tc>
      </w:tr>
      <w:tr w14:paraId="5BA67C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67" w:type="pct"/>
          </w:tcPr>
          <w:p w14:paraId="7F1D116D">
            <w:pPr>
              <w:adjustRightInd w:val="0"/>
              <w:snapToGrid w:val="0"/>
              <w:ind w:left="-88" w:leftChars="-42"/>
              <w:jc w:val="center"/>
              <w:rPr>
                <w:rFonts w:ascii="宋体"/>
                <w:color w:val="auto"/>
                <w:szCs w:val="21"/>
                <w:highlight w:val="none"/>
              </w:rPr>
            </w:pPr>
          </w:p>
        </w:tc>
        <w:tc>
          <w:tcPr>
            <w:tcW w:w="1240" w:type="pct"/>
            <w:vAlign w:val="center"/>
          </w:tcPr>
          <w:p w14:paraId="19327278">
            <w:pPr>
              <w:adjustRightInd w:val="0"/>
              <w:snapToGrid w:val="0"/>
              <w:ind w:left="-88" w:leftChars="-42"/>
              <w:jc w:val="center"/>
              <w:rPr>
                <w:rFonts w:ascii="宋体"/>
                <w:color w:val="auto"/>
                <w:szCs w:val="21"/>
                <w:highlight w:val="none"/>
              </w:rPr>
            </w:pPr>
          </w:p>
        </w:tc>
        <w:tc>
          <w:tcPr>
            <w:tcW w:w="1913" w:type="pct"/>
            <w:vAlign w:val="center"/>
          </w:tcPr>
          <w:p w14:paraId="3F5E206A">
            <w:pPr>
              <w:adjustRightInd w:val="0"/>
              <w:snapToGrid w:val="0"/>
              <w:ind w:left="-88" w:leftChars="-42"/>
              <w:jc w:val="center"/>
              <w:rPr>
                <w:rFonts w:ascii="宋体"/>
                <w:color w:val="auto"/>
                <w:szCs w:val="21"/>
                <w:highlight w:val="none"/>
              </w:rPr>
            </w:pPr>
          </w:p>
        </w:tc>
        <w:tc>
          <w:tcPr>
            <w:tcW w:w="893" w:type="pct"/>
            <w:vAlign w:val="center"/>
          </w:tcPr>
          <w:p w14:paraId="190E4C8A">
            <w:pPr>
              <w:adjustRightInd w:val="0"/>
              <w:snapToGrid w:val="0"/>
              <w:ind w:left="-88" w:leftChars="-42"/>
              <w:jc w:val="center"/>
              <w:rPr>
                <w:rFonts w:ascii="宋体"/>
                <w:color w:val="auto"/>
                <w:szCs w:val="21"/>
                <w:highlight w:val="none"/>
              </w:rPr>
            </w:pPr>
          </w:p>
        </w:tc>
        <w:tc>
          <w:tcPr>
            <w:tcW w:w="486" w:type="pct"/>
            <w:vAlign w:val="center"/>
          </w:tcPr>
          <w:p w14:paraId="549B0F4A">
            <w:pPr>
              <w:adjustRightInd w:val="0"/>
              <w:snapToGrid w:val="0"/>
              <w:ind w:left="-88" w:leftChars="-42"/>
              <w:jc w:val="center"/>
              <w:rPr>
                <w:rFonts w:ascii="宋体"/>
                <w:color w:val="auto"/>
                <w:szCs w:val="21"/>
                <w:highlight w:val="none"/>
              </w:rPr>
            </w:pPr>
          </w:p>
        </w:tc>
      </w:tr>
      <w:tr w14:paraId="09A3F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67" w:type="pct"/>
          </w:tcPr>
          <w:p w14:paraId="1D0F768F">
            <w:pPr>
              <w:adjustRightInd w:val="0"/>
              <w:snapToGrid w:val="0"/>
              <w:ind w:left="-88" w:leftChars="-42"/>
              <w:jc w:val="center"/>
              <w:rPr>
                <w:rFonts w:ascii="宋体"/>
                <w:color w:val="auto"/>
                <w:szCs w:val="21"/>
                <w:highlight w:val="none"/>
              </w:rPr>
            </w:pPr>
          </w:p>
        </w:tc>
        <w:tc>
          <w:tcPr>
            <w:tcW w:w="1240" w:type="pct"/>
            <w:vAlign w:val="center"/>
          </w:tcPr>
          <w:p w14:paraId="7543FF7F">
            <w:pPr>
              <w:adjustRightInd w:val="0"/>
              <w:snapToGrid w:val="0"/>
              <w:ind w:left="-88" w:leftChars="-42"/>
              <w:jc w:val="center"/>
              <w:rPr>
                <w:rFonts w:ascii="宋体"/>
                <w:color w:val="auto"/>
                <w:szCs w:val="21"/>
                <w:highlight w:val="none"/>
              </w:rPr>
            </w:pPr>
          </w:p>
        </w:tc>
        <w:tc>
          <w:tcPr>
            <w:tcW w:w="1913" w:type="pct"/>
            <w:vAlign w:val="center"/>
          </w:tcPr>
          <w:p w14:paraId="4CADAA24">
            <w:pPr>
              <w:adjustRightInd w:val="0"/>
              <w:snapToGrid w:val="0"/>
              <w:ind w:left="-88" w:leftChars="-42"/>
              <w:jc w:val="center"/>
              <w:rPr>
                <w:rFonts w:ascii="宋体"/>
                <w:color w:val="auto"/>
                <w:szCs w:val="21"/>
                <w:highlight w:val="none"/>
              </w:rPr>
            </w:pPr>
          </w:p>
        </w:tc>
        <w:tc>
          <w:tcPr>
            <w:tcW w:w="893" w:type="pct"/>
            <w:vAlign w:val="center"/>
          </w:tcPr>
          <w:p w14:paraId="3D64FC6C">
            <w:pPr>
              <w:adjustRightInd w:val="0"/>
              <w:snapToGrid w:val="0"/>
              <w:ind w:left="-88" w:leftChars="-42"/>
              <w:jc w:val="center"/>
              <w:rPr>
                <w:rFonts w:ascii="宋体"/>
                <w:color w:val="auto"/>
                <w:szCs w:val="21"/>
                <w:highlight w:val="none"/>
              </w:rPr>
            </w:pPr>
          </w:p>
        </w:tc>
        <w:tc>
          <w:tcPr>
            <w:tcW w:w="486" w:type="pct"/>
            <w:vAlign w:val="center"/>
          </w:tcPr>
          <w:p w14:paraId="663490CD">
            <w:pPr>
              <w:adjustRightInd w:val="0"/>
              <w:snapToGrid w:val="0"/>
              <w:ind w:left="-88" w:leftChars="-42"/>
              <w:jc w:val="center"/>
              <w:rPr>
                <w:rFonts w:ascii="宋体"/>
                <w:color w:val="auto"/>
                <w:szCs w:val="21"/>
                <w:highlight w:val="none"/>
              </w:rPr>
            </w:pPr>
          </w:p>
        </w:tc>
      </w:tr>
      <w:tr w14:paraId="45D67E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67" w:type="pct"/>
            <w:tcBorders>
              <w:bottom w:val="double" w:color="auto" w:sz="4" w:space="0"/>
            </w:tcBorders>
          </w:tcPr>
          <w:p w14:paraId="71AC0C05">
            <w:pPr>
              <w:adjustRightInd w:val="0"/>
              <w:snapToGrid w:val="0"/>
              <w:ind w:left="-88" w:leftChars="-42"/>
              <w:jc w:val="center"/>
              <w:rPr>
                <w:rFonts w:ascii="宋体"/>
                <w:color w:val="auto"/>
                <w:szCs w:val="21"/>
                <w:highlight w:val="none"/>
              </w:rPr>
            </w:pPr>
          </w:p>
        </w:tc>
        <w:tc>
          <w:tcPr>
            <w:tcW w:w="1240" w:type="pct"/>
            <w:tcBorders>
              <w:bottom w:val="double" w:color="auto" w:sz="4" w:space="0"/>
            </w:tcBorders>
            <w:vAlign w:val="center"/>
          </w:tcPr>
          <w:p w14:paraId="70562169">
            <w:pPr>
              <w:adjustRightInd w:val="0"/>
              <w:snapToGrid w:val="0"/>
              <w:ind w:left="-88" w:leftChars="-42"/>
              <w:jc w:val="center"/>
              <w:rPr>
                <w:rFonts w:ascii="宋体"/>
                <w:color w:val="auto"/>
                <w:szCs w:val="21"/>
                <w:highlight w:val="none"/>
              </w:rPr>
            </w:pPr>
          </w:p>
        </w:tc>
        <w:tc>
          <w:tcPr>
            <w:tcW w:w="1913" w:type="pct"/>
            <w:tcBorders>
              <w:bottom w:val="double" w:color="auto" w:sz="4" w:space="0"/>
            </w:tcBorders>
            <w:vAlign w:val="center"/>
          </w:tcPr>
          <w:p w14:paraId="334CB441">
            <w:pPr>
              <w:adjustRightInd w:val="0"/>
              <w:snapToGrid w:val="0"/>
              <w:ind w:left="-88" w:leftChars="-42"/>
              <w:jc w:val="center"/>
              <w:rPr>
                <w:rFonts w:ascii="宋体"/>
                <w:color w:val="auto"/>
                <w:szCs w:val="21"/>
                <w:highlight w:val="none"/>
              </w:rPr>
            </w:pPr>
          </w:p>
        </w:tc>
        <w:tc>
          <w:tcPr>
            <w:tcW w:w="893" w:type="pct"/>
            <w:tcBorders>
              <w:bottom w:val="double" w:color="auto" w:sz="4" w:space="0"/>
            </w:tcBorders>
            <w:vAlign w:val="center"/>
          </w:tcPr>
          <w:p w14:paraId="20ABE5E0">
            <w:pPr>
              <w:adjustRightInd w:val="0"/>
              <w:snapToGrid w:val="0"/>
              <w:ind w:left="-88" w:leftChars="-42"/>
              <w:jc w:val="center"/>
              <w:rPr>
                <w:rFonts w:ascii="宋体"/>
                <w:color w:val="auto"/>
                <w:szCs w:val="21"/>
                <w:highlight w:val="none"/>
              </w:rPr>
            </w:pPr>
          </w:p>
        </w:tc>
        <w:tc>
          <w:tcPr>
            <w:tcW w:w="486" w:type="pct"/>
            <w:tcBorders>
              <w:bottom w:val="double" w:color="auto" w:sz="4" w:space="0"/>
            </w:tcBorders>
            <w:vAlign w:val="center"/>
          </w:tcPr>
          <w:p w14:paraId="7D9E880E">
            <w:pPr>
              <w:adjustRightInd w:val="0"/>
              <w:snapToGrid w:val="0"/>
              <w:ind w:left="-88" w:leftChars="-42"/>
              <w:jc w:val="center"/>
              <w:rPr>
                <w:rFonts w:ascii="宋体"/>
                <w:color w:val="auto"/>
                <w:szCs w:val="21"/>
                <w:highlight w:val="none"/>
              </w:rPr>
            </w:pPr>
          </w:p>
        </w:tc>
      </w:tr>
    </w:tbl>
    <w:p w14:paraId="50BD8A8B">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p>
    <w:p w14:paraId="1278DA01">
      <w:pPr>
        <w:adjustRightInd w:val="0"/>
        <w:snapToGrid w:val="0"/>
        <w:spacing w:line="360" w:lineRule="auto"/>
        <w:ind w:left="-88" w:leftChars="-42"/>
        <w:rPr>
          <w:rFonts w:hint="eastAsia" w:ascii="仿宋_GB2312" w:hAnsi="宋体" w:eastAsia="仿宋_GB2312"/>
          <w:color w:val="auto"/>
          <w:szCs w:val="21"/>
          <w:highlight w:val="none"/>
        </w:rPr>
      </w:pPr>
      <w:r>
        <w:rPr>
          <w:rFonts w:ascii="仿宋_GB2312" w:hAnsi="宋体" w:eastAsia="仿宋_GB2312"/>
          <w:color w:val="auto"/>
          <w:szCs w:val="21"/>
          <w:highlight w:val="none"/>
        </w:rPr>
        <w:t>1</w:t>
      </w:r>
      <w:r>
        <w:rPr>
          <w:rFonts w:hint="eastAsia" w:ascii="仿宋_GB2312" w:hAnsi="宋体" w:eastAsia="仿宋_GB2312"/>
          <w:color w:val="auto"/>
          <w:szCs w:val="21"/>
          <w:highlight w:val="none"/>
        </w:rPr>
        <w:t>、“响应与偏离”应注明“响应”或“偏离”，若没有注明的，则视为“响应”。</w:t>
      </w:r>
    </w:p>
    <w:p w14:paraId="4150143B">
      <w:pPr>
        <w:adjustRightInd w:val="0"/>
        <w:snapToGrid w:val="0"/>
        <w:spacing w:line="360" w:lineRule="auto"/>
        <w:ind w:left="-88" w:leftChars="-42"/>
        <w:rPr>
          <w:rFonts w:hint="eastAsia" w:ascii="仿宋_GB2312" w:hAnsi="宋体" w:eastAsia="仿宋_GB2312"/>
          <w:color w:val="auto"/>
          <w:szCs w:val="21"/>
          <w:highlight w:val="none"/>
        </w:rPr>
      </w:pPr>
      <w:r>
        <w:rPr>
          <w:rFonts w:ascii="仿宋_GB2312" w:hAnsi="宋体" w:eastAsia="仿宋_GB2312"/>
          <w:color w:val="auto"/>
          <w:szCs w:val="21"/>
          <w:highlight w:val="none"/>
        </w:rPr>
        <w:t>2</w:t>
      </w:r>
      <w:r>
        <w:rPr>
          <w:rFonts w:hint="eastAsia" w:ascii="仿宋_GB2312" w:hAnsi="宋体" w:eastAsia="仿宋_GB2312"/>
          <w:color w:val="auto"/>
          <w:szCs w:val="21"/>
          <w:highlight w:val="none"/>
        </w:rPr>
        <w:t>、属磋商文件规定有可能实质性变动的内容请在“说明”栏中注明。</w:t>
      </w:r>
    </w:p>
    <w:p w14:paraId="3824FA4B">
      <w:pPr>
        <w:rPr>
          <w:color w:val="auto"/>
          <w:highlight w:val="none"/>
        </w:rPr>
      </w:pPr>
    </w:p>
    <w:p w14:paraId="7DA2E76F">
      <w:pPr>
        <w:rPr>
          <w:color w:val="auto"/>
          <w:highlight w:val="none"/>
        </w:rPr>
      </w:pPr>
    </w:p>
    <w:p w14:paraId="6D958582">
      <w:pPr>
        <w:rPr>
          <w:color w:val="auto"/>
          <w:highlight w:val="none"/>
        </w:rPr>
      </w:pPr>
    </w:p>
    <w:p w14:paraId="1C2FB38E">
      <w:pPr>
        <w:rPr>
          <w:color w:val="auto"/>
          <w:highlight w:val="none"/>
        </w:rPr>
      </w:pPr>
    </w:p>
    <w:p w14:paraId="6D0814A4">
      <w:pPr>
        <w:adjustRightInd w:val="0"/>
        <w:snapToGrid w:val="0"/>
        <w:spacing w:line="360" w:lineRule="auto"/>
        <w:rPr>
          <w:rFonts w:ascii="宋体"/>
          <w:bCs/>
          <w:color w:val="auto"/>
          <w:kern w:val="0"/>
          <w:szCs w:val="21"/>
          <w:highlight w:val="none"/>
        </w:rPr>
      </w:pPr>
      <w:r>
        <w:rPr>
          <w:rFonts w:hint="eastAsia" w:ascii="宋体" w:hAnsi="宋体"/>
          <w:color w:val="auto"/>
          <w:kern w:val="0"/>
          <w:szCs w:val="21"/>
          <w:highlight w:val="none"/>
        </w:rPr>
        <w:t>供应商名称：</w:t>
      </w:r>
      <w:r>
        <w:rPr>
          <w:rFonts w:ascii="宋体" w:hAnsi="宋体"/>
          <w:color w:val="auto"/>
          <w:kern w:val="0"/>
          <w:szCs w:val="21"/>
          <w:highlight w:val="none"/>
          <w:u w:val="single"/>
        </w:rPr>
        <w:t xml:space="preserve">                   </w:t>
      </w:r>
    </w:p>
    <w:p w14:paraId="6A0CD169">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w:t>
      </w:r>
      <w:r>
        <w:rPr>
          <w:rFonts w:ascii="宋体" w:hAnsi="宋体"/>
          <w:color w:val="auto"/>
          <w:szCs w:val="21"/>
          <w:highlight w:val="none"/>
        </w:rPr>
        <w:t>(</w:t>
      </w:r>
      <w:r>
        <w:rPr>
          <w:rFonts w:hint="eastAsia" w:ascii="宋体" w:hAnsi="宋体"/>
          <w:color w:val="auto"/>
          <w:szCs w:val="21"/>
          <w:highlight w:val="none"/>
        </w:rPr>
        <w:t>签字</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u w:val="single"/>
        </w:rPr>
        <w:t xml:space="preserve">                   </w:t>
      </w:r>
    </w:p>
    <w:p w14:paraId="08CA9079">
      <w:pPr>
        <w:adjustRightInd w:val="0"/>
        <w:snapToGrid w:val="0"/>
        <w:spacing w:line="360" w:lineRule="auto"/>
        <w:rPr>
          <w:rFonts w:ascii="宋体"/>
          <w:color w:val="auto"/>
          <w:szCs w:val="21"/>
          <w:highlight w:val="none"/>
        </w:rPr>
      </w:pPr>
      <w:r>
        <w:rPr>
          <w:rFonts w:hint="eastAsia" w:ascii="宋体" w:hAnsi="宋体"/>
          <w:color w:val="auto"/>
          <w:szCs w:val="21"/>
          <w:highlight w:val="none"/>
        </w:rPr>
        <w:t>日</w:t>
      </w:r>
      <w:r>
        <w:rPr>
          <w:rFonts w:ascii="宋体" w:hAnsi="宋体"/>
          <w:color w:val="auto"/>
          <w:szCs w:val="21"/>
          <w:highlight w:val="none"/>
        </w:rPr>
        <w:t xml:space="preserve">          </w:t>
      </w:r>
      <w:r>
        <w:rPr>
          <w:rFonts w:hint="eastAsia" w:ascii="宋体" w:hAnsi="宋体"/>
          <w:color w:val="auto"/>
          <w:szCs w:val="21"/>
          <w:highlight w:val="none"/>
        </w:rPr>
        <w:t>期：</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日</w:t>
      </w:r>
    </w:p>
    <w:p w14:paraId="5E1537F0">
      <w:pPr>
        <w:tabs>
          <w:tab w:val="left" w:pos="3600"/>
        </w:tabs>
        <w:adjustRightInd w:val="0"/>
        <w:snapToGrid w:val="0"/>
        <w:jc w:val="center"/>
        <w:rPr>
          <w:rFonts w:ascii="黑体" w:eastAsia="黑体"/>
          <w:b/>
          <w:color w:val="auto"/>
          <w:sz w:val="32"/>
          <w:szCs w:val="32"/>
          <w:highlight w:val="none"/>
        </w:rPr>
      </w:pPr>
    </w:p>
    <w:p w14:paraId="6F0FE50D">
      <w:pPr>
        <w:tabs>
          <w:tab w:val="left" w:pos="3600"/>
        </w:tabs>
        <w:adjustRightInd w:val="0"/>
        <w:snapToGrid w:val="0"/>
        <w:jc w:val="center"/>
        <w:rPr>
          <w:rFonts w:ascii="黑体" w:eastAsia="黑体"/>
          <w:b/>
          <w:color w:val="auto"/>
          <w:sz w:val="32"/>
          <w:szCs w:val="32"/>
          <w:highlight w:val="none"/>
        </w:rPr>
      </w:pPr>
    </w:p>
    <w:p w14:paraId="4FD30F05">
      <w:pPr>
        <w:tabs>
          <w:tab w:val="left" w:pos="3600"/>
        </w:tabs>
        <w:adjustRightInd w:val="0"/>
        <w:snapToGrid w:val="0"/>
        <w:jc w:val="center"/>
        <w:rPr>
          <w:rFonts w:ascii="黑体" w:eastAsia="黑体"/>
          <w:b/>
          <w:color w:val="auto"/>
          <w:sz w:val="32"/>
          <w:szCs w:val="32"/>
          <w:highlight w:val="none"/>
        </w:rPr>
      </w:pPr>
    </w:p>
    <w:p w14:paraId="6EF410D9">
      <w:pPr>
        <w:tabs>
          <w:tab w:val="left" w:pos="3600"/>
        </w:tabs>
        <w:adjustRightInd w:val="0"/>
        <w:snapToGrid w:val="0"/>
        <w:jc w:val="center"/>
        <w:rPr>
          <w:rFonts w:ascii="黑体" w:eastAsia="黑体"/>
          <w:b/>
          <w:color w:val="auto"/>
          <w:sz w:val="32"/>
          <w:szCs w:val="32"/>
          <w:highlight w:val="none"/>
        </w:rPr>
      </w:pPr>
    </w:p>
    <w:p w14:paraId="24375376">
      <w:pPr>
        <w:tabs>
          <w:tab w:val="left" w:pos="3600"/>
        </w:tabs>
        <w:adjustRightInd w:val="0"/>
        <w:snapToGrid w:val="0"/>
        <w:jc w:val="center"/>
        <w:rPr>
          <w:rFonts w:ascii="黑体" w:eastAsia="黑体"/>
          <w:b/>
          <w:color w:val="auto"/>
          <w:sz w:val="32"/>
          <w:szCs w:val="32"/>
          <w:highlight w:val="none"/>
        </w:rPr>
      </w:pPr>
    </w:p>
    <w:p w14:paraId="7989AECE">
      <w:pPr>
        <w:tabs>
          <w:tab w:val="left" w:pos="3600"/>
        </w:tabs>
        <w:adjustRightInd w:val="0"/>
        <w:snapToGrid w:val="0"/>
        <w:jc w:val="center"/>
        <w:rPr>
          <w:rFonts w:ascii="黑体" w:eastAsia="黑体"/>
          <w:b/>
          <w:color w:val="auto"/>
          <w:sz w:val="32"/>
          <w:szCs w:val="32"/>
          <w:highlight w:val="none"/>
        </w:rPr>
      </w:pPr>
    </w:p>
    <w:p w14:paraId="320405FB">
      <w:pPr>
        <w:tabs>
          <w:tab w:val="left" w:pos="3600"/>
        </w:tabs>
        <w:adjustRightInd w:val="0"/>
        <w:snapToGrid w:val="0"/>
        <w:jc w:val="center"/>
        <w:rPr>
          <w:rFonts w:ascii="黑体" w:eastAsia="黑体"/>
          <w:b/>
          <w:color w:val="auto"/>
          <w:sz w:val="32"/>
          <w:szCs w:val="32"/>
          <w:highlight w:val="none"/>
        </w:rPr>
      </w:pPr>
    </w:p>
    <w:p w14:paraId="5F662C73">
      <w:pPr>
        <w:tabs>
          <w:tab w:val="left" w:pos="3600"/>
        </w:tabs>
        <w:adjustRightInd w:val="0"/>
        <w:snapToGrid w:val="0"/>
        <w:jc w:val="center"/>
        <w:rPr>
          <w:rFonts w:ascii="黑体" w:eastAsia="黑体"/>
          <w:b/>
          <w:color w:val="auto"/>
          <w:sz w:val="32"/>
          <w:szCs w:val="32"/>
          <w:highlight w:val="none"/>
        </w:rPr>
      </w:pPr>
    </w:p>
    <w:p w14:paraId="6DC40F71">
      <w:pPr>
        <w:tabs>
          <w:tab w:val="left" w:pos="3600"/>
        </w:tabs>
        <w:adjustRightInd w:val="0"/>
        <w:snapToGrid w:val="0"/>
        <w:jc w:val="center"/>
        <w:rPr>
          <w:rFonts w:ascii="黑体" w:eastAsia="黑体"/>
          <w:b/>
          <w:color w:val="auto"/>
          <w:sz w:val="32"/>
          <w:szCs w:val="32"/>
          <w:highlight w:val="none"/>
        </w:rPr>
      </w:pPr>
    </w:p>
    <w:p w14:paraId="15914FD3">
      <w:pPr>
        <w:tabs>
          <w:tab w:val="left" w:pos="3600"/>
        </w:tabs>
        <w:adjustRightInd w:val="0"/>
        <w:snapToGrid w:val="0"/>
        <w:rPr>
          <w:rFonts w:ascii="黑体" w:eastAsia="黑体"/>
          <w:b/>
          <w:color w:val="auto"/>
          <w:sz w:val="32"/>
          <w:szCs w:val="32"/>
          <w:highlight w:val="none"/>
        </w:rPr>
      </w:pPr>
    </w:p>
    <w:p w14:paraId="02B0092E">
      <w:pPr>
        <w:widowControl/>
        <w:jc w:val="left"/>
        <w:rPr>
          <w:rFonts w:hint="eastAsia" w:ascii="黑体" w:hAnsi="黑体" w:eastAsia="黑体"/>
          <w:b/>
          <w:color w:val="auto"/>
          <w:sz w:val="32"/>
          <w:szCs w:val="32"/>
          <w:highlight w:val="none"/>
        </w:rPr>
      </w:pPr>
      <w:bookmarkStart w:id="160" w:name="_Toc432109684"/>
      <w:bookmarkStart w:id="161" w:name="_Toc19843"/>
      <w:r>
        <w:rPr>
          <w:rFonts w:ascii="黑体" w:hAnsi="黑体" w:eastAsia="黑体"/>
          <w:b/>
          <w:color w:val="auto"/>
          <w:sz w:val="32"/>
          <w:szCs w:val="32"/>
          <w:highlight w:val="none"/>
        </w:rPr>
        <w:br w:type="page"/>
      </w:r>
    </w:p>
    <w:p w14:paraId="365CCDAD">
      <w:pPr>
        <w:adjustRightInd w:val="0"/>
        <w:snapToGrid w:val="0"/>
        <w:spacing w:line="360" w:lineRule="auto"/>
        <w:jc w:val="center"/>
        <w:outlineLvl w:val="1"/>
        <w:rPr>
          <w:rFonts w:hint="eastAsia" w:ascii="黑体" w:hAnsi="黑体" w:eastAsia="黑体"/>
          <w:b/>
          <w:color w:val="auto"/>
          <w:sz w:val="32"/>
          <w:szCs w:val="32"/>
          <w:highlight w:val="none"/>
        </w:rPr>
      </w:pPr>
      <w:bookmarkStart w:id="162" w:name="_Toc187939571"/>
      <w:bookmarkStart w:id="163" w:name="_Toc169515404"/>
      <w:bookmarkStart w:id="164" w:name="_Toc187243517"/>
      <w:r>
        <w:rPr>
          <w:rFonts w:hint="eastAsia" w:ascii="黑体" w:hAnsi="黑体" w:eastAsia="黑体"/>
          <w:b/>
          <w:color w:val="auto"/>
          <w:sz w:val="32"/>
          <w:szCs w:val="32"/>
          <w:highlight w:val="none"/>
        </w:rPr>
        <w:t>五、报价一览表及报价文件</w:t>
      </w:r>
      <w:bookmarkEnd w:id="160"/>
      <w:bookmarkEnd w:id="161"/>
      <w:bookmarkEnd w:id="162"/>
      <w:bookmarkEnd w:id="163"/>
      <w:bookmarkEnd w:id="164"/>
    </w:p>
    <w:p w14:paraId="214B46E2">
      <w:pPr>
        <w:adjustRightInd w:val="0"/>
        <w:snapToGrid w:val="0"/>
        <w:rPr>
          <w:rFonts w:hint="eastAsia" w:ascii="黑体" w:hAnsi="宋体" w:eastAsia="黑体"/>
          <w:b/>
          <w:color w:val="auto"/>
          <w:sz w:val="24"/>
          <w:highlight w:val="none"/>
        </w:rPr>
      </w:pPr>
      <w:r>
        <w:rPr>
          <w:rFonts w:hint="eastAsia" w:ascii="黑体" w:hAnsi="宋体" w:eastAsia="黑体"/>
          <w:b/>
          <w:color w:val="auto"/>
          <w:sz w:val="24"/>
          <w:highlight w:val="none"/>
        </w:rPr>
        <w:t>附件5-1：</w:t>
      </w:r>
    </w:p>
    <w:p w14:paraId="5FEB1F32">
      <w:pPr>
        <w:spacing w:line="360" w:lineRule="exact"/>
        <w:ind w:firstLine="211" w:firstLineChars="100"/>
        <w:rPr>
          <w:rFonts w:ascii="楷体_GB2312" w:eastAsia="楷体_GB2312"/>
          <w:b/>
          <w:color w:val="auto"/>
          <w:highlight w:val="none"/>
        </w:rPr>
      </w:pPr>
    </w:p>
    <w:p w14:paraId="5A18ABDC">
      <w:pPr>
        <w:adjustRightInd w:val="0"/>
        <w:snapToGrid w:val="0"/>
        <w:jc w:val="center"/>
        <w:rPr>
          <w:rFonts w:hint="eastAsia" w:ascii="黑体" w:hAnsi="宋体" w:eastAsia="黑体"/>
          <w:color w:val="auto"/>
          <w:sz w:val="24"/>
          <w:highlight w:val="none"/>
        </w:rPr>
      </w:pPr>
      <w:r>
        <w:rPr>
          <w:rFonts w:hint="eastAsia" w:ascii="黑体" w:hAnsi="宋体" w:eastAsia="黑体"/>
          <w:color w:val="auto"/>
          <w:sz w:val="24"/>
          <w:highlight w:val="none"/>
        </w:rPr>
        <w:t>首次报价表</w:t>
      </w:r>
    </w:p>
    <w:tbl>
      <w:tblPr>
        <w:tblStyle w:val="42"/>
        <w:tblW w:w="90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2"/>
        <w:gridCol w:w="3108"/>
        <w:gridCol w:w="1924"/>
        <w:gridCol w:w="1701"/>
      </w:tblGrid>
      <w:tr w14:paraId="7213D2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vMerge w:val="restart"/>
            <w:tcBorders>
              <w:top w:val="double" w:color="auto" w:sz="4" w:space="0"/>
              <w:left w:val="double" w:color="auto" w:sz="4" w:space="0"/>
              <w:bottom w:val="single" w:color="auto" w:sz="6" w:space="0"/>
              <w:right w:val="single" w:color="auto" w:sz="6" w:space="0"/>
            </w:tcBorders>
            <w:vAlign w:val="center"/>
          </w:tcPr>
          <w:p w14:paraId="7F8609EF">
            <w:pPr>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3108" w:type="dxa"/>
            <w:vMerge w:val="restart"/>
            <w:tcBorders>
              <w:top w:val="double" w:color="auto" w:sz="4" w:space="0"/>
              <w:left w:val="single" w:color="auto" w:sz="6" w:space="0"/>
              <w:bottom w:val="single" w:color="auto" w:sz="6" w:space="0"/>
              <w:right w:val="single" w:color="auto" w:sz="6" w:space="0"/>
            </w:tcBorders>
            <w:vAlign w:val="center"/>
          </w:tcPr>
          <w:p w14:paraId="54380F0F">
            <w:pPr>
              <w:jc w:val="center"/>
              <w:rPr>
                <w:rFonts w:hint="eastAsia" w:ascii="宋体" w:hAnsi="宋体"/>
                <w:color w:val="auto"/>
                <w:szCs w:val="21"/>
                <w:highlight w:val="none"/>
              </w:rPr>
            </w:pPr>
          </w:p>
        </w:tc>
        <w:tc>
          <w:tcPr>
            <w:tcW w:w="1924" w:type="dxa"/>
            <w:tcBorders>
              <w:top w:val="double" w:color="auto" w:sz="4" w:space="0"/>
              <w:left w:val="single" w:color="auto" w:sz="6" w:space="0"/>
              <w:bottom w:val="single" w:color="auto" w:sz="6" w:space="0"/>
              <w:right w:val="single" w:color="auto" w:sz="6" w:space="0"/>
            </w:tcBorders>
            <w:vAlign w:val="center"/>
          </w:tcPr>
          <w:p w14:paraId="05A68865">
            <w:pPr>
              <w:jc w:val="center"/>
              <w:rPr>
                <w:rFonts w:hint="eastAsia" w:ascii="宋体" w:hAnsi="宋体"/>
                <w:color w:val="auto"/>
                <w:szCs w:val="21"/>
                <w:highlight w:val="none"/>
              </w:rPr>
            </w:pPr>
            <w:r>
              <w:rPr>
                <w:rFonts w:hint="eastAsia" w:ascii="宋体" w:hAnsi="宋体"/>
                <w:color w:val="auto"/>
                <w:szCs w:val="21"/>
                <w:highlight w:val="none"/>
              </w:rPr>
              <w:t>采购计划编号</w:t>
            </w:r>
          </w:p>
        </w:tc>
        <w:tc>
          <w:tcPr>
            <w:tcW w:w="1701" w:type="dxa"/>
            <w:tcBorders>
              <w:top w:val="double" w:color="auto" w:sz="4" w:space="0"/>
              <w:left w:val="single" w:color="auto" w:sz="6" w:space="0"/>
              <w:bottom w:val="single" w:color="auto" w:sz="6" w:space="0"/>
              <w:right w:val="double" w:color="auto" w:sz="4" w:space="0"/>
            </w:tcBorders>
            <w:vAlign w:val="center"/>
          </w:tcPr>
          <w:p w14:paraId="60CB4B47">
            <w:pPr>
              <w:jc w:val="center"/>
              <w:rPr>
                <w:rFonts w:hint="eastAsia" w:ascii="宋体" w:hAnsi="宋体"/>
                <w:color w:val="auto"/>
                <w:szCs w:val="21"/>
                <w:highlight w:val="none"/>
              </w:rPr>
            </w:pPr>
          </w:p>
        </w:tc>
      </w:tr>
      <w:tr w14:paraId="63FBC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vMerge w:val="continue"/>
            <w:tcBorders>
              <w:top w:val="double" w:color="auto" w:sz="4" w:space="0"/>
              <w:left w:val="double" w:color="auto" w:sz="4" w:space="0"/>
              <w:bottom w:val="single" w:color="auto" w:sz="6" w:space="0"/>
              <w:right w:val="single" w:color="auto" w:sz="6" w:space="0"/>
            </w:tcBorders>
            <w:vAlign w:val="center"/>
          </w:tcPr>
          <w:p w14:paraId="7D857E80">
            <w:pPr>
              <w:widowControl/>
              <w:jc w:val="left"/>
              <w:rPr>
                <w:rFonts w:hint="eastAsia" w:ascii="宋体" w:hAnsi="宋体"/>
                <w:color w:val="auto"/>
                <w:szCs w:val="21"/>
                <w:highlight w:val="none"/>
              </w:rPr>
            </w:pPr>
          </w:p>
        </w:tc>
        <w:tc>
          <w:tcPr>
            <w:tcW w:w="3108" w:type="dxa"/>
            <w:vMerge w:val="continue"/>
            <w:tcBorders>
              <w:top w:val="double" w:color="auto" w:sz="4" w:space="0"/>
              <w:left w:val="single" w:color="auto" w:sz="6" w:space="0"/>
              <w:bottom w:val="single" w:color="auto" w:sz="6" w:space="0"/>
              <w:right w:val="single" w:color="auto" w:sz="6" w:space="0"/>
            </w:tcBorders>
            <w:vAlign w:val="center"/>
          </w:tcPr>
          <w:p w14:paraId="0552DDEE">
            <w:pPr>
              <w:widowControl/>
              <w:jc w:val="left"/>
              <w:rPr>
                <w:rFonts w:hint="eastAsia" w:ascii="宋体" w:hAnsi="宋体"/>
                <w:color w:val="auto"/>
                <w:szCs w:val="21"/>
                <w:highlight w:val="none"/>
              </w:rPr>
            </w:pPr>
          </w:p>
        </w:tc>
        <w:tc>
          <w:tcPr>
            <w:tcW w:w="1924" w:type="dxa"/>
            <w:tcBorders>
              <w:top w:val="single" w:color="auto" w:sz="6" w:space="0"/>
              <w:left w:val="single" w:color="auto" w:sz="6" w:space="0"/>
              <w:bottom w:val="single" w:color="auto" w:sz="6" w:space="0"/>
              <w:right w:val="single" w:color="auto" w:sz="6" w:space="0"/>
            </w:tcBorders>
            <w:vAlign w:val="center"/>
          </w:tcPr>
          <w:p w14:paraId="57189674">
            <w:pPr>
              <w:jc w:val="center"/>
              <w:rPr>
                <w:rFonts w:hint="eastAsia" w:ascii="宋体" w:hAnsi="宋体"/>
                <w:color w:val="auto"/>
                <w:szCs w:val="21"/>
                <w:highlight w:val="none"/>
              </w:rPr>
            </w:pPr>
            <w:r>
              <w:rPr>
                <w:rFonts w:hint="eastAsia" w:ascii="宋体" w:hAnsi="宋体"/>
                <w:color w:val="auto"/>
                <w:szCs w:val="21"/>
                <w:highlight w:val="none"/>
              </w:rPr>
              <w:t>委托代理编号</w:t>
            </w:r>
          </w:p>
        </w:tc>
        <w:tc>
          <w:tcPr>
            <w:tcW w:w="1701" w:type="dxa"/>
            <w:tcBorders>
              <w:top w:val="single" w:color="auto" w:sz="6" w:space="0"/>
              <w:left w:val="single" w:color="auto" w:sz="6" w:space="0"/>
              <w:bottom w:val="single" w:color="auto" w:sz="6" w:space="0"/>
              <w:right w:val="double" w:color="auto" w:sz="4" w:space="0"/>
            </w:tcBorders>
            <w:vAlign w:val="center"/>
          </w:tcPr>
          <w:p w14:paraId="6550B34F">
            <w:pPr>
              <w:jc w:val="center"/>
              <w:rPr>
                <w:rFonts w:hint="eastAsia" w:ascii="宋体" w:hAnsi="宋体"/>
                <w:color w:val="auto"/>
                <w:szCs w:val="21"/>
                <w:highlight w:val="none"/>
              </w:rPr>
            </w:pPr>
            <w:r>
              <w:rPr>
                <w:rFonts w:hint="eastAsia" w:ascii="宋体" w:hAnsi="宋体"/>
                <w:color w:val="auto"/>
                <w:szCs w:val="21"/>
                <w:highlight w:val="none"/>
              </w:rPr>
              <w:t xml:space="preserve">    </w:t>
            </w:r>
          </w:p>
        </w:tc>
      </w:tr>
      <w:tr w14:paraId="01015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single" w:color="auto" w:sz="6" w:space="0"/>
              <w:right w:val="single" w:color="auto" w:sz="6" w:space="0"/>
            </w:tcBorders>
            <w:vAlign w:val="center"/>
          </w:tcPr>
          <w:p w14:paraId="4E4F11AE">
            <w:pPr>
              <w:jc w:val="center"/>
              <w:rPr>
                <w:rFonts w:hint="eastAsia" w:ascii="宋体" w:hAnsi="宋体"/>
                <w:color w:val="auto"/>
                <w:szCs w:val="21"/>
                <w:highlight w:val="none"/>
              </w:rPr>
            </w:pPr>
            <w:r>
              <w:rPr>
                <w:rFonts w:hint="eastAsia" w:ascii="宋体" w:hAnsi="宋体"/>
                <w:color w:val="auto"/>
                <w:szCs w:val="21"/>
                <w:highlight w:val="none"/>
              </w:rPr>
              <w:t>报价</w:t>
            </w:r>
          </w:p>
        </w:tc>
        <w:tc>
          <w:tcPr>
            <w:tcW w:w="6733" w:type="dxa"/>
            <w:gridSpan w:val="3"/>
            <w:tcBorders>
              <w:top w:val="single" w:color="auto" w:sz="6" w:space="0"/>
              <w:left w:val="single" w:color="auto" w:sz="6" w:space="0"/>
              <w:bottom w:val="single" w:color="auto" w:sz="6" w:space="0"/>
              <w:right w:val="double" w:color="auto" w:sz="4" w:space="0"/>
            </w:tcBorders>
            <w:vAlign w:val="center"/>
          </w:tcPr>
          <w:p w14:paraId="4A661375">
            <w:pPr>
              <w:rPr>
                <w:rFonts w:hint="eastAsia" w:ascii="宋体" w:hAnsi="宋体"/>
                <w:color w:val="auto"/>
                <w:szCs w:val="21"/>
                <w:highlight w:val="none"/>
              </w:rPr>
            </w:pPr>
            <w:r>
              <w:rPr>
                <w:rFonts w:hint="eastAsia" w:ascii="宋体" w:hAnsi="宋体"/>
                <w:color w:val="auto"/>
                <w:szCs w:val="21"/>
                <w:highlight w:val="none"/>
              </w:rPr>
              <w:t>大写：</w:t>
            </w:r>
          </w:p>
          <w:p w14:paraId="490541C6">
            <w:pPr>
              <w:rPr>
                <w:rFonts w:hint="eastAsia" w:ascii="宋体" w:hAnsi="宋体"/>
                <w:color w:val="auto"/>
                <w:szCs w:val="21"/>
                <w:highlight w:val="none"/>
              </w:rPr>
            </w:pPr>
            <w:r>
              <w:rPr>
                <w:rFonts w:hint="eastAsia" w:ascii="宋体" w:hAnsi="宋体"/>
                <w:color w:val="auto"/>
                <w:szCs w:val="21"/>
                <w:highlight w:val="none"/>
              </w:rPr>
              <w:t>小写：</w:t>
            </w:r>
          </w:p>
          <w:p w14:paraId="69B933B3">
            <w:pPr>
              <w:rPr>
                <w:rFonts w:hint="eastAsia" w:ascii="宋体" w:hAnsi="宋体"/>
                <w:color w:val="auto"/>
                <w:szCs w:val="21"/>
                <w:highlight w:val="none"/>
              </w:rPr>
            </w:pPr>
            <w:r>
              <w:rPr>
                <w:rFonts w:hint="eastAsia" w:ascii="宋体" w:hAnsi="宋体"/>
                <w:color w:val="auto"/>
                <w:szCs w:val="21"/>
                <w:highlight w:val="none"/>
              </w:rPr>
              <w:t>备注：大写金额与小写金额不一致时，以大写金额为准</w:t>
            </w:r>
          </w:p>
        </w:tc>
      </w:tr>
      <w:tr w14:paraId="7A952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single" w:color="auto" w:sz="6" w:space="0"/>
              <w:right w:val="single" w:color="auto" w:sz="6" w:space="0"/>
            </w:tcBorders>
            <w:vAlign w:val="center"/>
          </w:tcPr>
          <w:p w14:paraId="2B00C5D7">
            <w:pPr>
              <w:jc w:val="center"/>
              <w:rPr>
                <w:rFonts w:hint="eastAsia" w:ascii="宋体" w:hAnsi="宋体"/>
                <w:color w:val="auto"/>
                <w:szCs w:val="21"/>
                <w:highlight w:val="none"/>
              </w:rPr>
            </w:pPr>
            <w:r>
              <w:rPr>
                <w:rFonts w:hint="eastAsia" w:ascii="宋体" w:hAnsi="宋体"/>
                <w:color w:val="auto"/>
                <w:szCs w:val="21"/>
                <w:highlight w:val="none"/>
              </w:rPr>
              <w:t>交货期</w:t>
            </w:r>
          </w:p>
        </w:tc>
        <w:tc>
          <w:tcPr>
            <w:tcW w:w="6733" w:type="dxa"/>
            <w:gridSpan w:val="3"/>
            <w:tcBorders>
              <w:top w:val="single" w:color="auto" w:sz="6" w:space="0"/>
              <w:left w:val="single" w:color="auto" w:sz="6" w:space="0"/>
              <w:bottom w:val="single" w:color="auto" w:sz="6" w:space="0"/>
              <w:right w:val="double" w:color="auto" w:sz="4" w:space="0"/>
            </w:tcBorders>
            <w:vAlign w:val="center"/>
          </w:tcPr>
          <w:p w14:paraId="57B29F46">
            <w:pPr>
              <w:jc w:val="center"/>
              <w:rPr>
                <w:rFonts w:hint="eastAsia" w:ascii="宋体" w:hAnsi="宋体"/>
                <w:color w:val="auto"/>
                <w:szCs w:val="21"/>
                <w:highlight w:val="none"/>
              </w:rPr>
            </w:pPr>
          </w:p>
        </w:tc>
      </w:tr>
      <w:tr w14:paraId="4C96C7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double" w:color="auto" w:sz="4" w:space="0"/>
              <w:right w:val="single" w:color="auto" w:sz="6" w:space="0"/>
            </w:tcBorders>
            <w:vAlign w:val="center"/>
          </w:tcPr>
          <w:p w14:paraId="46301E6D">
            <w:pPr>
              <w:jc w:val="center"/>
              <w:rPr>
                <w:rFonts w:hint="eastAsia" w:ascii="宋体" w:hAnsi="宋体"/>
                <w:color w:val="auto"/>
                <w:szCs w:val="21"/>
                <w:highlight w:val="none"/>
              </w:rPr>
            </w:pPr>
            <w:r>
              <w:rPr>
                <w:rFonts w:hint="eastAsia" w:ascii="宋体" w:hAnsi="宋体"/>
                <w:color w:val="auto"/>
                <w:szCs w:val="21"/>
                <w:highlight w:val="none"/>
              </w:rPr>
              <w:t>备  注</w:t>
            </w:r>
          </w:p>
        </w:tc>
        <w:tc>
          <w:tcPr>
            <w:tcW w:w="6733" w:type="dxa"/>
            <w:gridSpan w:val="3"/>
            <w:tcBorders>
              <w:top w:val="single" w:color="auto" w:sz="6" w:space="0"/>
              <w:left w:val="single" w:color="auto" w:sz="6" w:space="0"/>
              <w:bottom w:val="double" w:color="auto" w:sz="4" w:space="0"/>
              <w:right w:val="double" w:color="auto" w:sz="4" w:space="0"/>
            </w:tcBorders>
            <w:vAlign w:val="center"/>
          </w:tcPr>
          <w:p w14:paraId="3F0C0E8B">
            <w:pPr>
              <w:rPr>
                <w:rFonts w:hint="eastAsia" w:ascii="宋体" w:hAnsi="宋体"/>
                <w:color w:val="auto"/>
                <w:szCs w:val="21"/>
                <w:highlight w:val="none"/>
              </w:rPr>
            </w:pPr>
          </w:p>
        </w:tc>
      </w:tr>
    </w:tbl>
    <w:p w14:paraId="4F6703DF">
      <w:pPr>
        <w:adjustRightInd w:val="0"/>
        <w:snapToGrid w:val="0"/>
        <w:jc w:val="right"/>
        <w:rPr>
          <w:rFonts w:hint="eastAsia" w:ascii="宋体" w:hAnsi="宋体"/>
          <w:color w:val="auto"/>
          <w:szCs w:val="21"/>
          <w:highlight w:val="none"/>
        </w:rPr>
      </w:pPr>
    </w:p>
    <w:p w14:paraId="3E0C5422">
      <w:pPr>
        <w:adjustRightInd w:val="0"/>
        <w:snapToGrid w:val="0"/>
        <w:spacing w:line="360" w:lineRule="auto"/>
        <w:rPr>
          <w:rFonts w:ascii="宋体"/>
          <w:color w:val="auto"/>
          <w:highlight w:val="none"/>
        </w:rPr>
      </w:pPr>
    </w:p>
    <w:p w14:paraId="7A04792F">
      <w:pPr>
        <w:adjustRightInd w:val="0"/>
        <w:snapToGrid w:val="0"/>
        <w:spacing w:line="360" w:lineRule="auto"/>
        <w:rPr>
          <w:rFonts w:ascii="宋体"/>
          <w:color w:val="auto"/>
          <w:highlight w:val="none"/>
        </w:rPr>
      </w:pPr>
    </w:p>
    <w:p w14:paraId="18AA024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供应商（盖单位章）：</w:t>
      </w:r>
    </w:p>
    <w:p w14:paraId="4D27121F">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6EEF1A68">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165" w:name="_Toc19443"/>
      <w:bookmarkStart w:id="166" w:name="_Toc169515405"/>
      <w:bookmarkStart w:id="167" w:name="_Toc432109685"/>
    </w:p>
    <w:p w14:paraId="65D4FE3E">
      <w:pPr>
        <w:adjustRightInd w:val="0"/>
        <w:snapToGrid w:val="0"/>
        <w:spacing w:line="360" w:lineRule="auto"/>
        <w:rPr>
          <w:rFonts w:hint="eastAsia" w:ascii="宋体" w:hAnsi="宋体"/>
          <w:color w:val="auto"/>
          <w:szCs w:val="21"/>
          <w:highlight w:val="none"/>
        </w:rPr>
      </w:pPr>
    </w:p>
    <w:p w14:paraId="372A711B">
      <w:pPr>
        <w:adjustRightInd w:val="0"/>
        <w:snapToGrid w:val="0"/>
        <w:spacing w:line="360" w:lineRule="auto"/>
        <w:rPr>
          <w:rFonts w:hint="eastAsia" w:ascii="宋体" w:hAnsi="宋体"/>
          <w:color w:val="auto"/>
          <w:szCs w:val="21"/>
          <w:highlight w:val="none"/>
        </w:rPr>
      </w:pPr>
    </w:p>
    <w:p w14:paraId="7241F7D1">
      <w:pPr>
        <w:adjustRightInd w:val="0"/>
        <w:snapToGrid w:val="0"/>
        <w:spacing w:line="360" w:lineRule="auto"/>
        <w:rPr>
          <w:rFonts w:hint="eastAsia" w:ascii="宋体" w:hAnsi="宋体"/>
          <w:color w:val="auto"/>
          <w:szCs w:val="21"/>
          <w:highlight w:val="none"/>
        </w:rPr>
      </w:pPr>
    </w:p>
    <w:p w14:paraId="67CCF30D">
      <w:pPr>
        <w:adjustRightInd w:val="0"/>
        <w:snapToGrid w:val="0"/>
        <w:spacing w:line="360" w:lineRule="auto"/>
        <w:rPr>
          <w:rFonts w:hint="eastAsia" w:ascii="宋体" w:hAnsi="宋体"/>
          <w:color w:val="auto"/>
          <w:szCs w:val="21"/>
          <w:highlight w:val="none"/>
        </w:rPr>
      </w:pPr>
    </w:p>
    <w:p w14:paraId="3C9529BE">
      <w:pPr>
        <w:adjustRightInd w:val="0"/>
        <w:snapToGrid w:val="0"/>
        <w:spacing w:line="360" w:lineRule="auto"/>
        <w:rPr>
          <w:rFonts w:hint="eastAsia" w:ascii="宋体" w:hAnsi="宋体"/>
          <w:color w:val="auto"/>
          <w:szCs w:val="21"/>
          <w:highlight w:val="none"/>
        </w:rPr>
      </w:pPr>
    </w:p>
    <w:p w14:paraId="416F26B4">
      <w:pPr>
        <w:adjustRightInd w:val="0"/>
        <w:snapToGrid w:val="0"/>
        <w:spacing w:line="360" w:lineRule="auto"/>
        <w:rPr>
          <w:rFonts w:hint="eastAsia" w:ascii="宋体" w:hAnsi="宋体"/>
          <w:color w:val="auto"/>
          <w:szCs w:val="21"/>
          <w:highlight w:val="none"/>
        </w:rPr>
      </w:pPr>
    </w:p>
    <w:p w14:paraId="602CA892">
      <w:pPr>
        <w:adjustRightInd w:val="0"/>
        <w:snapToGrid w:val="0"/>
        <w:spacing w:line="360" w:lineRule="auto"/>
        <w:rPr>
          <w:rFonts w:hint="eastAsia" w:ascii="宋体" w:hAnsi="宋体"/>
          <w:color w:val="auto"/>
          <w:szCs w:val="21"/>
          <w:highlight w:val="none"/>
        </w:rPr>
      </w:pPr>
    </w:p>
    <w:p w14:paraId="2C4BD96F">
      <w:pPr>
        <w:adjustRightInd w:val="0"/>
        <w:snapToGrid w:val="0"/>
        <w:spacing w:line="360" w:lineRule="auto"/>
        <w:rPr>
          <w:rFonts w:hint="eastAsia" w:ascii="宋体" w:hAnsi="宋体"/>
          <w:color w:val="auto"/>
          <w:szCs w:val="21"/>
          <w:highlight w:val="none"/>
        </w:rPr>
      </w:pPr>
    </w:p>
    <w:p w14:paraId="74E13C7B">
      <w:pPr>
        <w:adjustRightInd w:val="0"/>
        <w:snapToGrid w:val="0"/>
        <w:spacing w:line="360" w:lineRule="auto"/>
        <w:rPr>
          <w:rFonts w:hint="eastAsia" w:ascii="宋体" w:hAnsi="宋体" w:cs="宋体"/>
          <w:color w:val="auto"/>
          <w:szCs w:val="21"/>
          <w:highlight w:val="none"/>
        </w:rPr>
      </w:pPr>
    </w:p>
    <w:p w14:paraId="7FDA2D9F">
      <w:pPr>
        <w:adjustRightInd w:val="0"/>
        <w:snapToGrid w:val="0"/>
        <w:spacing w:line="360" w:lineRule="auto"/>
        <w:jc w:val="center"/>
        <w:outlineLvl w:val="1"/>
        <w:rPr>
          <w:rFonts w:hint="eastAsia" w:ascii="黑体" w:hAnsi="黑体" w:eastAsia="黑体"/>
          <w:b/>
          <w:color w:val="auto"/>
          <w:sz w:val="32"/>
          <w:szCs w:val="32"/>
          <w:highlight w:val="none"/>
        </w:rPr>
      </w:pPr>
    </w:p>
    <w:p w14:paraId="70151F2D">
      <w:pPr>
        <w:adjustRightInd w:val="0"/>
        <w:snapToGrid w:val="0"/>
        <w:spacing w:line="360" w:lineRule="auto"/>
        <w:outlineLvl w:val="1"/>
        <w:rPr>
          <w:rFonts w:hint="eastAsia" w:ascii="黑体" w:hAnsi="黑体" w:eastAsia="黑体"/>
          <w:b/>
          <w:color w:val="auto"/>
          <w:sz w:val="32"/>
          <w:szCs w:val="32"/>
          <w:highlight w:val="none"/>
        </w:rPr>
      </w:pPr>
    </w:p>
    <w:p w14:paraId="7559E945">
      <w:pPr>
        <w:adjustRightInd w:val="0"/>
        <w:snapToGrid w:val="0"/>
        <w:spacing w:line="360" w:lineRule="auto"/>
        <w:outlineLvl w:val="1"/>
        <w:rPr>
          <w:rFonts w:hint="eastAsia" w:ascii="黑体" w:hAnsi="黑体" w:eastAsia="黑体"/>
          <w:b/>
          <w:color w:val="auto"/>
          <w:sz w:val="32"/>
          <w:szCs w:val="32"/>
          <w:highlight w:val="none"/>
        </w:rPr>
      </w:pPr>
    </w:p>
    <w:p w14:paraId="1556F9E0">
      <w:pPr>
        <w:adjustRightInd w:val="0"/>
        <w:snapToGrid w:val="0"/>
        <w:spacing w:line="360" w:lineRule="auto"/>
        <w:outlineLvl w:val="1"/>
        <w:rPr>
          <w:rFonts w:hint="eastAsia" w:ascii="黑体" w:hAnsi="黑体" w:eastAsia="黑体"/>
          <w:b/>
          <w:color w:val="auto"/>
          <w:sz w:val="32"/>
          <w:szCs w:val="32"/>
          <w:highlight w:val="none"/>
        </w:rPr>
      </w:pPr>
    </w:p>
    <w:p w14:paraId="44BCB8F4">
      <w:pPr>
        <w:adjustRightInd w:val="0"/>
        <w:snapToGrid w:val="0"/>
        <w:spacing w:line="360" w:lineRule="auto"/>
        <w:outlineLvl w:val="1"/>
        <w:rPr>
          <w:rFonts w:hint="eastAsia" w:ascii="黑体" w:hAnsi="黑体" w:eastAsia="黑体"/>
          <w:b/>
          <w:color w:val="auto"/>
          <w:sz w:val="32"/>
          <w:szCs w:val="32"/>
          <w:highlight w:val="none"/>
        </w:rPr>
      </w:pPr>
    </w:p>
    <w:p w14:paraId="1710336C">
      <w:pPr>
        <w:widowControl/>
        <w:jc w:val="left"/>
        <w:rPr>
          <w:color w:val="auto"/>
          <w:szCs w:val="22"/>
          <w:highlight w:val="none"/>
        </w:rPr>
      </w:pPr>
      <w:bookmarkStart w:id="168" w:name="_Toc187243518"/>
      <w:bookmarkStart w:id="169" w:name="_Toc187939572"/>
      <w:r>
        <w:rPr>
          <w:rFonts w:hint="eastAsia" w:ascii="宋体" w:hAnsi="宋体" w:cs="宋体"/>
          <w:b/>
          <w:bCs/>
          <w:color w:val="auto"/>
          <w:kern w:val="0"/>
          <w:szCs w:val="21"/>
          <w:highlight w:val="none"/>
          <w:lang w:bidi="ar"/>
        </w:rPr>
        <w:t xml:space="preserve">附件 5-2 分项报价说明 </w:t>
      </w:r>
    </w:p>
    <w:p w14:paraId="63917459">
      <w:pPr>
        <w:widowControl/>
        <w:jc w:val="center"/>
        <w:rPr>
          <w:color w:val="auto"/>
          <w:szCs w:val="22"/>
          <w:highlight w:val="none"/>
        </w:rPr>
      </w:pPr>
      <w:r>
        <w:rPr>
          <w:rFonts w:ascii="黑体" w:hAnsi="宋体" w:eastAsia="黑体" w:cs="黑体"/>
          <w:b/>
          <w:bCs/>
          <w:color w:val="auto"/>
          <w:kern w:val="0"/>
          <w:sz w:val="28"/>
          <w:szCs w:val="28"/>
          <w:highlight w:val="none"/>
          <w:lang w:bidi="ar"/>
        </w:rPr>
        <w:t>分项报价说明</w:t>
      </w:r>
    </w:p>
    <w:p w14:paraId="5E296A6C">
      <w:pPr>
        <w:widowControl/>
        <w:jc w:val="left"/>
        <w:rPr>
          <w:color w:val="auto"/>
          <w:szCs w:val="22"/>
          <w:highlight w:val="none"/>
        </w:rPr>
      </w:pPr>
      <w:r>
        <w:rPr>
          <w:rFonts w:hint="eastAsia" w:ascii="宋体" w:hAnsi="宋体" w:cs="宋体"/>
          <w:color w:val="auto"/>
          <w:kern w:val="0"/>
          <w:szCs w:val="21"/>
          <w:highlight w:val="none"/>
          <w:lang w:bidi="ar"/>
        </w:rPr>
        <w:t xml:space="preserve">注：1.供应商应按磋商文件第二章相关要求，对本节“分项报价明细表”进行编制，并说明。 </w:t>
      </w:r>
    </w:p>
    <w:p w14:paraId="75E4A73E">
      <w:pPr>
        <w:widowControl/>
        <w:jc w:val="left"/>
        <w:rPr>
          <w:color w:val="auto"/>
          <w:szCs w:val="22"/>
          <w:highlight w:val="none"/>
        </w:rPr>
      </w:pPr>
      <w:r>
        <w:rPr>
          <w:rFonts w:hint="eastAsia" w:ascii="宋体" w:hAnsi="宋体" w:cs="宋体"/>
          <w:b/>
          <w:bCs/>
          <w:color w:val="auto"/>
          <w:kern w:val="0"/>
          <w:szCs w:val="21"/>
          <w:highlight w:val="none"/>
          <w:lang w:bidi="ar"/>
        </w:rPr>
        <w:t xml:space="preserve">附件 5-3 分项报价明细表 </w:t>
      </w:r>
    </w:p>
    <w:p w14:paraId="5FF0F8F2">
      <w:pPr>
        <w:widowControl/>
        <w:jc w:val="center"/>
        <w:rPr>
          <w:color w:val="auto"/>
          <w:szCs w:val="22"/>
          <w:highlight w:val="none"/>
        </w:rPr>
      </w:pPr>
      <w:r>
        <w:rPr>
          <w:rFonts w:hint="eastAsia" w:ascii="黑体" w:hAnsi="宋体" w:eastAsia="黑体" w:cs="黑体"/>
          <w:b/>
          <w:bCs/>
          <w:color w:val="auto"/>
          <w:kern w:val="0"/>
          <w:sz w:val="28"/>
          <w:szCs w:val="28"/>
          <w:highlight w:val="none"/>
          <w:lang w:bidi="ar"/>
        </w:rPr>
        <w:t>分项报价明细表（货物）</w:t>
      </w:r>
    </w:p>
    <w:tbl>
      <w:tblPr>
        <w:tblStyle w:val="42"/>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54E31A1">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3A8B4CD5">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0D0F56F5">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规格型号</w:t>
            </w:r>
          </w:p>
          <w:p w14:paraId="2087A4BC">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（或项目特征描述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EC78ED3">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vAlign w:val="center"/>
          </w:tcPr>
          <w:p w14:paraId="18BEF5EB">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70ECF3DD">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4D5447AA">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备注</w:t>
            </w:r>
          </w:p>
        </w:tc>
      </w:tr>
      <w:tr w14:paraId="345A1B4C">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13D2C468">
            <w:pPr>
              <w:autoSpaceDE w:val="0"/>
              <w:autoSpaceDN w:val="0"/>
              <w:adjustRightInd w:val="0"/>
              <w:snapToGrid w:val="0"/>
              <w:spacing w:line="360" w:lineRule="auto"/>
              <w:ind w:left="352" w:right="-20"/>
              <w:jc w:val="left"/>
              <w:rPr>
                <w:rFonts w:hint="eastAsia" w:ascii="宋体" w:hAnsi="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17C5983C">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126DF018">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vAlign w:val="center"/>
          </w:tcPr>
          <w:p w14:paraId="1EA08856">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vAlign w:val="center"/>
          </w:tcPr>
          <w:p w14:paraId="0F9B06E3">
            <w:pPr>
              <w:autoSpaceDE w:val="0"/>
              <w:autoSpaceDN w:val="0"/>
              <w:adjustRightInd w:val="0"/>
              <w:snapToGrid w:val="0"/>
              <w:spacing w:line="360" w:lineRule="auto"/>
              <w:ind w:right="-20"/>
              <w:jc w:val="center"/>
              <w:rPr>
                <w:rFonts w:hint="eastAsia" w:ascii="宋体" w:hAnsi="宋体"/>
                <w:color w:val="auto"/>
                <w:kern w:val="0"/>
                <w:szCs w:val="21"/>
                <w:highlight w:val="none"/>
              </w:rPr>
            </w:pPr>
            <w:r>
              <w:rPr>
                <w:rFonts w:hint="eastAsia" w:ascii="宋体" w:hAnsi="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4963FC6B">
            <w:pPr>
              <w:autoSpaceDE w:val="0"/>
              <w:autoSpaceDN w:val="0"/>
              <w:adjustRightInd w:val="0"/>
              <w:snapToGrid w:val="0"/>
              <w:spacing w:line="360" w:lineRule="auto"/>
              <w:ind w:left="70" w:right="-20"/>
              <w:jc w:val="center"/>
              <w:rPr>
                <w:rFonts w:hint="eastAsia" w:ascii="宋体" w:hAnsi="宋体"/>
                <w:color w:val="auto"/>
                <w:kern w:val="0"/>
                <w:szCs w:val="21"/>
                <w:highlight w:val="none"/>
              </w:rPr>
            </w:pPr>
            <w:r>
              <w:rPr>
                <w:rFonts w:hint="eastAsia" w:ascii="宋体" w:hAnsi="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1BD7796D">
            <w:pPr>
              <w:autoSpaceDE w:val="0"/>
              <w:autoSpaceDN w:val="0"/>
              <w:adjustRightInd w:val="0"/>
              <w:snapToGrid w:val="0"/>
              <w:spacing w:line="360" w:lineRule="auto"/>
              <w:ind w:left="422" w:right="-20"/>
              <w:jc w:val="left"/>
              <w:rPr>
                <w:rFonts w:hint="eastAsia" w:ascii="宋体" w:hAnsi="宋体"/>
                <w:color w:val="auto"/>
                <w:kern w:val="0"/>
                <w:szCs w:val="21"/>
                <w:highlight w:val="none"/>
              </w:rPr>
            </w:pPr>
          </w:p>
        </w:tc>
      </w:tr>
      <w:tr w14:paraId="0A2B9C42">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7FD5FE22">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383" w:type="dxa"/>
            <w:tcBorders>
              <w:top w:val="single" w:color="auto" w:sz="6" w:space="0"/>
              <w:left w:val="single" w:color="auto" w:sz="6" w:space="0"/>
              <w:bottom w:val="single" w:color="auto" w:sz="6" w:space="0"/>
              <w:right w:val="single" w:color="auto" w:sz="6" w:space="0"/>
            </w:tcBorders>
            <w:vAlign w:val="center"/>
          </w:tcPr>
          <w:p w14:paraId="4F836226">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7E59391F">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3FF15AFD">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293C7826">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0FDA1449">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3C48FD20">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57238ED6">
            <w:pPr>
              <w:autoSpaceDE w:val="0"/>
              <w:autoSpaceDN w:val="0"/>
              <w:adjustRightInd w:val="0"/>
              <w:snapToGrid w:val="0"/>
              <w:spacing w:line="360" w:lineRule="auto"/>
              <w:jc w:val="left"/>
              <w:rPr>
                <w:rFonts w:hint="eastAsia" w:ascii="宋体" w:hAnsi="宋体"/>
                <w:color w:val="auto"/>
                <w:kern w:val="0"/>
                <w:szCs w:val="21"/>
                <w:highlight w:val="none"/>
              </w:rPr>
            </w:pPr>
          </w:p>
        </w:tc>
      </w:tr>
      <w:tr w14:paraId="461C6BA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61654C3">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383" w:type="dxa"/>
            <w:tcBorders>
              <w:top w:val="single" w:color="auto" w:sz="6" w:space="0"/>
              <w:left w:val="single" w:color="auto" w:sz="6" w:space="0"/>
              <w:bottom w:val="single" w:color="auto" w:sz="6" w:space="0"/>
              <w:right w:val="single" w:color="auto" w:sz="6" w:space="0"/>
            </w:tcBorders>
            <w:vAlign w:val="center"/>
          </w:tcPr>
          <w:p w14:paraId="61BE8CF0">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6631B3B1">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1BC78BB5">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514762A3">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3A9FF6C9">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25CB4241">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01B98B2A">
            <w:pPr>
              <w:autoSpaceDE w:val="0"/>
              <w:autoSpaceDN w:val="0"/>
              <w:adjustRightInd w:val="0"/>
              <w:snapToGrid w:val="0"/>
              <w:spacing w:line="360" w:lineRule="auto"/>
              <w:jc w:val="left"/>
              <w:rPr>
                <w:rFonts w:hint="eastAsia" w:ascii="宋体" w:hAnsi="宋体"/>
                <w:color w:val="auto"/>
                <w:kern w:val="0"/>
                <w:szCs w:val="21"/>
                <w:highlight w:val="none"/>
              </w:rPr>
            </w:pPr>
          </w:p>
        </w:tc>
      </w:tr>
      <w:tr w14:paraId="26A43A4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B5BA623">
            <w:pPr>
              <w:jc w:val="center"/>
              <w:rPr>
                <w:rFonts w:hint="eastAsia" w:ascii="宋体" w:hAnsi="宋体" w:cs="宋体"/>
                <w:color w:val="auto"/>
                <w:szCs w:val="22"/>
                <w:highlight w:val="none"/>
              </w:rPr>
            </w:pPr>
            <w:r>
              <w:rPr>
                <w:rFonts w:hint="eastAsia" w:ascii="宋体" w:hAnsi="宋体" w:cs="宋体"/>
                <w:color w:val="auto"/>
                <w:szCs w:val="22"/>
                <w:highlight w:val="none"/>
              </w:rPr>
              <w:t>3</w:t>
            </w:r>
          </w:p>
        </w:tc>
        <w:tc>
          <w:tcPr>
            <w:tcW w:w="1383" w:type="dxa"/>
            <w:tcBorders>
              <w:top w:val="single" w:color="auto" w:sz="6" w:space="0"/>
              <w:left w:val="single" w:color="auto" w:sz="6" w:space="0"/>
              <w:bottom w:val="single" w:color="auto" w:sz="6" w:space="0"/>
              <w:right w:val="single" w:color="auto" w:sz="6" w:space="0"/>
            </w:tcBorders>
            <w:vAlign w:val="center"/>
          </w:tcPr>
          <w:p w14:paraId="160178D7">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518587B4">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0AB3D5B1">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30199DDA">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61C970A9">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07F3F3A4">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34D691CD">
            <w:pPr>
              <w:autoSpaceDE w:val="0"/>
              <w:autoSpaceDN w:val="0"/>
              <w:adjustRightInd w:val="0"/>
              <w:snapToGrid w:val="0"/>
              <w:spacing w:line="360" w:lineRule="auto"/>
              <w:jc w:val="left"/>
              <w:rPr>
                <w:rFonts w:hint="eastAsia" w:ascii="宋体" w:hAnsi="宋体"/>
                <w:color w:val="auto"/>
                <w:kern w:val="0"/>
                <w:szCs w:val="21"/>
                <w:highlight w:val="none"/>
              </w:rPr>
            </w:pPr>
          </w:p>
        </w:tc>
      </w:tr>
      <w:tr w14:paraId="33D23AE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55D1A67">
            <w:pPr>
              <w:jc w:val="center"/>
              <w:rPr>
                <w:rFonts w:hint="eastAsia" w:ascii="宋体" w:hAnsi="宋体" w:cs="宋体"/>
                <w:color w:val="auto"/>
                <w:szCs w:val="22"/>
                <w:highlight w:val="none"/>
              </w:rPr>
            </w:pPr>
            <w:r>
              <w:rPr>
                <w:rFonts w:hint="eastAsia" w:ascii="宋体" w:hAnsi="宋体" w:cs="宋体"/>
                <w:color w:val="auto"/>
                <w:szCs w:val="22"/>
                <w:highlight w:val="none"/>
              </w:rPr>
              <w:t>4</w:t>
            </w:r>
          </w:p>
        </w:tc>
        <w:tc>
          <w:tcPr>
            <w:tcW w:w="1383" w:type="dxa"/>
            <w:tcBorders>
              <w:top w:val="single" w:color="auto" w:sz="6" w:space="0"/>
              <w:left w:val="single" w:color="auto" w:sz="6" w:space="0"/>
              <w:bottom w:val="single" w:color="auto" w:sz="6" w:space="0"/>
              <w:right w:val="single" w:color="auto" w:sz="6" w:space="0"/>
            </w:tcBorders>
            <w:vAlign w:val="center"/>
          </w:tcPr>
          <w:p w14:paraId="5FCA9C03">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7ACFFA93">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17CCD14A">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2785CF56">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536FECB5">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07D8CD20">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2341F149">
            <w:pPr>
              <w:autoSpaceDE w:val="0"/>
              <w:autoSpaceDN w:val="0"/>
              <w:adjustRightInd w:val="0"/>
              <w:snapToGrid w:val="0"/>
              <w:spacing w:line="360" w:lineRule="auto"/>
              <w:jc w:val="left"/>
              <w:rPr>
                <w:rFonts w:hint="eastAsia" w:ascii="宋体" w:hAnsi="宋体"/>
                <w:color w:val="auto"/>
                <w:kern w:val="0"/>
                <w:szCs w:val="21"/>
                <w:highlight w:val="none"/>
              </w:rPr>
            </w:pPr>
          </w:p>
        </w:tc>
      </w:tr>
      <w:tr w14:paraId="6DFAB85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2329E73D">
            <w:pPr>
              <w:jc w:val="center"/>
              <w:rPr>
                <w:rFonts w:hint="eastAsia" w:ascii="宋体" w:hAnsi="宋体" w:cs="宋体"/>
                <w:color w:val="auto"/>
                <w:szCs w:val="22"/>
                <w:highlight w:val="none"/>
              </w:rPr>
            </w:pPr>
            <w:r>
              <w:rPr>
                <w:rFonts w:hint="eastAsia" w:ascii="宋体" w:hAnsi="宋体" w:cs="宋体"/>
                <w:color w:val="auto"/>
                <w:szCs w:val="22"/>
                <w:highlight w:val="none"/>
              </w:rPr>
              <w:t>5</w:t>
            </w:r>
          </w:p>
        </w:tc>
        <w:tc>
          <w:tcPr>
            <w:tcW w:w="1383" w:type="dxa"/>
            <w:tcBorders>
              <w:top w:val="single" w:color="auto" w:sz="6" w:space="0"/>
              <w:left w:val="single" w:color="auto" w:sz="6" w:space="0"/>
              <w:bottom w:val="single" w:color="auto" w:sz="6" w:space="0"/>
              <w:right w:val="single" w:color="auto" w:sz="6" w:space="0"/>
            </w:tcBorders>
            <w:vAlign w:val="center"/>
          </w:tcPr>
          <w:p w14:paraId="1998E1A9">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1915C359">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72F3F496">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13FB14BB">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225715B0">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01E7CCEB">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34AD0DE4">
            <w:pPr>
              <w:autoSpaceDE w:val="0"/>
              <w:autoSpaceDN w:val="0"/>
              <w:adjustRightInd w:val="0"/>
              <w:snapToGrid w:val="0"/>
              <w:spacing w:line="360" w:lineRule="auto"/>
              <w:jc w:val="left"/>
              <w:rPr>
                <w:rFonts w:hint="eastAsia" w:ascii="宋体" w:hAnsi="宋体"/>
                <w:color w:val="auto"/>
                <w:kern w:val="0"/>
                <w:szCs w:val="21"/>
                <w:highlight w:val="none"/>
              </w:rPr>
            </w:pPr>
          </w:p>
        </w:tc>
      </w:tr>
      <w:tr w14:paraId="1754B13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67F1AFA">
            <w:pPr>
              <w:jc w:val="center"/>
              <w:rPr>
                <w:color w:val="auto"/>
                <w:szCs w:val="22"/>
                <w:highlight w:val="none"/>
              </w:rPr>
            </w:pPr>
            <w:r>
              <w:rPr>
                <w:color w:val="auto"/>
                <w:szCs w:val="22"/>
                <w:highlight w:val="none"/>
              </w:rPr>
              <w:t>…</w:t>
            </w:r>
          </w:p>
        </w:tc>
        <w:tc>
          <w:tcPr>
            <w:tcW w:w="1383" w:type="dxa"/>
            <w:tcBorders>
              <w:top w:val="single" w:color="auto" w:sz="6" w:space="0"/>
              <w:left w:val="single" w:color="auto" w:sz="6" w:space="0"/>
              <w:bottom w:val="single" w:color="auto" w:sz="6" w:space="0"/>
              <w:right w:val="single" w:color="auto" w:sz="6" w:space="0"/>
            </w:tcBorders>
          </w:tcPr>
          <w:p w14:paraId="153AD159">
            <w:pPr>
              <w:autoSpaceDE w:val="0"/>
              <w:autoSpaceDN w:val="0"/>
              <w:adjustRightInd w:val="0"/>
              <w:snapToGrid w:val="0"/>
              <w:spacing w:line="360" w:lineRule="auto"/>
              <w:ind w:left="527" w:right="507"/>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0C7E05B9">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59AE3B22">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0C1F78A6">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2E641DFF">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51DF8120">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06697907">
            <w:pPr>
              <w:autoSpaceDE w:val="0"/>
              <w:autoSpaceDN w:val="0"/>
              <w:adjustRightInd w:val="0"/>
              <w:snapToGrid w:val="0"/>
              <w:spacing w:line="360" w:lineRule="auto"/>
              <w:jc w:val="left"/>
              <w:rPr>
                <w:rFonts w:hint="eastAsia" w:ascii="宋体" w:hAnsi="宋体"/>
                <w:color w:val="auto"/>
                <w:kern w:val="0"/>
                <w:szCs w:val="21"/>
                <w:highlight w:val="none"/>
              </w:rPr>
            </w:pPr>
          </w:p>
        </w:tc>
      </w:tr>
      <w:tr w14:paraId="0A6632F7">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271EB916">
            <w:pPr>
              <w:autoSpaceDE w:val="0"/>
              <w:autoSpaceDN w:val="0"/>
              <w:adjustRightInd w:val="0"/>
              <w:snapToGrid w:val="0"/>
              <w:spacing w:line="360" w:lineRule="auto"/>
              <w:jc w:val="center"/>
              <w:rPr>
                <w:rFonts w:hint="eastAsia" w:ascii="宋体" w:hAnsi="宋体"/>
                <w:color w:val="auto"/>
                <w:kern w:val="0"/>
                <w:szCs w:val="21"/>
                <w:highlight w:val="none"/>
              </w:rPr>
            </w:pPr>
            <w:r>
              <w:rPr>
                <w:rFonts w:hint="eastAsia" w:ascii="宋体" w:hAnsi="宋体" w:cs="微软雅黑"/>
                <w:color w:val="auto"/>
                <w:kern w:val="0"/>
                <w:position w:val="-1"/>
                <w:szCs w:val="21"/>
                <w:highlight w:val="none"/>
              </w:rPr>
              <w:t>投标报价（元）：</w:t>
            </w:r>
          </w:p>
        </w:tc>
        <w:tc>
          <w:tcPr>
            <w:tcW w:w="916" w:type="dxa"/>
            <w:tcBorders>
              <w:top w:val="single" w:color="auto" w:sz="6" w:space="0"/>
              <w:left w:val="single" w:color="auto" w:sz="6" w:space="0"/>
              <w:bottom w:val="double" w:color="auto" w:sz="4" w:space="0"/>
              <w:right w:val="single" w:color="auto" w:sz="6" w:space="0"/>
            </w:tcBorders>
          </w:tcPr>
          <w:p w14:paraId="60AF4660">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tcPr>
          <w:p w14:paraId="3F2BB25B">
            <w:pPr>
              <w:autoSpaceDE w:val="0"/>
              <w:autoSpaceDN w:val="0"/>
              <w:adjustRightInd w:val="0"/>
              <w:snapToGrid w:val="0"/>
              <w:spacing w:line="360" w:lineRule="auto"/>
              <w:jc w:val="left"/>
              <w:rPr>
                <w:rFonts w:hint="eastAsia" w:ascii="宋体" w:hAnsi="宋体"/>
                <w:color w:val="auto"/>
                <w:kern w:val="0"/>
                <w:szCs w:val="21"/>
                <w:highlight w:val="none"/>
              </w:rPr>
            </w:pPr>
          </w:p>
        </w:tc>
      </w:tr>
    </w:tbl>
    <w:p w14:paraId="0DBDE269">
      <w:pPr>
        <w:widowControl/>
        <w:jc w:val="left"/>
        <w:rPr>
          <w:color w:val="auto"/>
          <w:szCs w:val="22"/>
          <w:highlight w:val="none"/>
        </w:rPr>
      </w:pPr>
      <w:r>
        <w:rPr>
          <w:rFonts w:hint="eastAsia" w:ascii="宋体" w:hAnsi="宋体" w:cs="宋体"/>
          <w:color w:val="auto"/>
          <w:kern w:val="0"/>
          <w:szCs w:val="21"/>
          <w:highlight w:val="none"/>
          <w:lang w:bidi="ar"/>
        </w:rPr>
        <w:t xml:space="preserve">注：（1）本表为本项目所有服务的报价明细表，应对应“附件 5-1 投标报价一览表”填写。投标人如果不提供分项报价明细表，其投标无效。 </w:t>
      </w:r>
    </w:p>
    <w:p w14:paraId="48A37DDB">
      <w:pPr>
        <w:widowControl/>
        <w:jc w:val="left"/>
        <w:rPr>
          <w:color w:val="auto"/>
          <w:szCs w:val="22"/>
          <w:highlight w:val="none"/>
        </w:rPr>
      </w:pPr>
      <w:r>
        <w:rPr>
          <w:rFonts w:hint="eastAsia" w:ascii="宋体" w:hAnsi="宋体" w:cs="宋体"/>
          <w:color w:val="auto"/>
          <w:kern w:val="0"/>
          <w:szCs w:val="21"/>
          <w:highlight w:val="none"/>
          <w:lang w:bidi="ar"/>
        </w:rPr>
        <w:t xml:space="preserve">（2）不得填写“免费”或“赠与”，也不得进行“零”报价，否则投标无效。 </w:t>
      </w:r>
    </w:p>
    <w:p w14:paraId="43201EBD">
      <w:pPr>
        <w:widowControl/>
        <w:jc w:val="left"/>
        <w:rPr>
          <w:color w:val="auto"/>
          <w:szCs w:val="22"/>
          <w:highlight w:val="none"/>
        </w:rPr>
      </w:pPr>
      <w:r>
        <w:rPr>
          <w:rFonts w:hint="eastAsia" w:ascii="宋体" w:hAnsi="宋体" w:cs="宋体"/>
          <w:color w:val="auto"/>
          <w:kern w:val="0"/>
          <w:szCs w:val="21"/>
          <w:highlight w:val="none"/>
          <w:lang w:bidi="ar"/>
        </w:rPr>
        <w:t xml:space="preserve">（3）投标总报价为含税全包价，应包含直接费、管理费、保险费、利润、各项税金、配套货物的出厂价、到达最终目的地点的相关运输费、保险、仓储费、装卸费、安装费、检测费、评审费、人员培训费等伴随服务费和招标需求的有关内容。如一旦中标，因中标人自身原因造成漏报、少报皆由其自行承担责任，采购人不再支付任何费用。 </w:t>
      </w:r>
    </w:p>
    <w:p w14:paraId="42480CE1">
      <w:pPr>
        <w:widowControl/>
        <w:jc w:val="left"/>
        <w:rPr>
          <w:color w:val="auto"/>
          <w:szCs w:val="22"/>
          <w:highlight w:val="none"/>
        </w:rPr>
      </w:pPr>
      <w:r>
        <w:rPr>
          <w:rFonts w:hint="eastAsia" w:ascii="宋体" w:hAnsi="宋体" w:cs="宋体"/>
          <w:color w:val="auto"/>
          <w:kern w:val="0"/>
          <w:szCs w:val="21"/>
          <w:highlight w:val="none"/>
          <w:lang w:bidi="ar"/>
        </w:rPr>
        <w:t>（4）投标人在提交响应文件的截止时间前修改“附件 5-1 投标报价一览表”中的投标报价的，本表相应内容应同时修改。否则，分项报价按投标报价修改的相同比例进行调整，其风险由投标人自己承担。</w:t>
      </w:r>
      <w:r>
        <w:rPr>
          <w:rFonts w:hint="eastAsia" w:ascii="宋体" w:hAnsi="宋体" w:cs="宋体"/>
          <w:b/>
          <w:bCs/>
          <w:color w:val="auto"/>
          <w:kern w:val="0"/>
          <w:szCs w:val="21"/>
          <w:highlight w:val="none"/>
          <w:lang w:bidi="ar"/>
        </w:rPr>
        <w:t xml:space="preserve"> </w:t>
      </w:r>
    </w:p>
    <w:p w14:paraId="6122F3DF">
      <w:pPr>
        <w:adjustRightInd w:val="0"/>
        <w:snapToGrid w:val="0"/>
        <w:spacing w:line="360" w:lineRule="auto"/>
        <w:rPr>
          <w:rFonts w:hint="eastAsia" w:ascii="宋体" w:hAnsi="宋体"/>
          <w:color w:val="auto"/>
          <w:szCs w:val="21"/>
          <w:highlight w:val="none"/>
        </w:rPr>
      </w:pPr>
    </w:p>
    <w:p w14:paraId="14F28D94">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供应商（盖单位章）：</w:t>
      </w:r>
    </w:p>
    <w:p w14:paraId="382E18E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5B7DD08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4B57B87">
      <w:pPr>
        <w:adjustRightInd w:val="0"/>
        <w:snapToGrid w:val="0"/>
        <w:spacing w:line="360" w:lineRule="auto"/>
        <w:jc w:val="center"/>
        <w:outlineLvl w:val="1"/>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br w:type="page"/>
      </w:r>
      <w:r>
        <w:rPr>
          <w:rFonts w:hint="eastAsia" w:ascii="黑体" w:hAnsi="黑体" w:eastAsia="黑体"/>
          <w:b/>
          <w:color w:val="auto"/>
          <w:sz w:val="32"/>
          <w:szCs w:val="32"/>
          <w:highlight w:val="none"/>
        </w:rPr>
        <w:t>六、</w:t>
      </w:r>
      <w:bookmarkEnd w:id="165"/>
      <w:bookmarkEnd w:id="166"/>
      <w:bookmarkEnd w:id="167"/>
      <w:bookmarkEnd w:id="168"/>
      <w:bookmarkEnd w:id="169"/>
      <w:r>
        <w:rPr>
          <w:rFonts w:hint="eastAsia" w:ascii="黑体" w:hAnsi="黑体" w:eastAsia="黑体"/>
          <w:b/>
          <w:color w:val="auto"/>
          <w:sz w:val="32"/>
          <w:szCs w:val="32"/>
          <w:highlight w:val="none"/>
        </w:rPr>
        <w:t>供应商认为需提供的其它资料</w:t>
      </w:r>
    </w:p>
    <w:p w14:paraId="41508B29">
      <w:pPr>
        <w:spacing w:line="600" w:lineRule="exact"/>
        <w:ind w:firstLine="420"/>
        <w:rPr>
          <w:rFonts w:ascii="仿宋_GB2312" w:hAnsi="Courier New" w:eastAsia="仿宋_GB2312"/>
          <w:b/>
          <w:bCs/>
          <w:color w:val="auto"/>
          <w:kern w:val="0"/>
          <w:sz w:val="32"/>
          <w:szCs w:val="32"/>
          <w:highlight w:val="none"/>
          <w:shd w:val="clear" w:color="auto" w:fill="FFFFFF"/>
        </w:rPr>
      </w:pPr>
      <w:r>
        <w:rPr>
          <w:rFonts w:hint="eastAsia" w:ascii="仿宋_GB2312" w:hAnsi="Courier New" w:eastAsia="仿宋_GB2312"/>
          <w:b/>
          <w:bCs/>
          <w:color w:val="auto"/>
          <w:kern w:val="0"/>
          <w:sz w:val="32"/>
          <w:szCs w:val="32"/>
          <w:highlight w:val="none"/>
          <w:shd w:val="clear" w:color="auto" w:fill="FFFFFF"/>
        </w:rPr>
        <w:t xml:space="preserve">  </w:t>
      </w:r>
    </w:p>
    <w:p w14:paraId="49F788AC">
      <w:pPr>
        <w:jc w:val="left"/>
        <w:rPr>
          <w:rFonts w:ascii="黑体" w:eastAsia="黑体"/>
          <w:b/>
          <w:color w:val="auto"/>
          <w:sz w:val="44"/>
          <w:szCs w:val="44"/>
          <w:highlight w:val="none"/>
        </w:rPr>
      </w:pPr>
      <w:bookmarkStart w:id="170" w:name="PO_S_HEAD"/>
      <w:r>
        <w:rPr>
          <w:rFonts w:hint="eastAsia" w:ascii="黑体" w:eastAsia="黑体"/>
          <w:b/>
          <w:color w:val="auto"/>
          <w:sz w:val="44"/>
          <w:szCs w:val="44"/>
          <w:highlight w:val="none"/>
        </w:rPr>
        <w:t xml:space="preserve"> </w:t>
      </w:r>
      <w:bookmarkEnd w:id="170"/>
      <w:r>
        <w:rPr>
          <w:rFonts w:hint="eastAsia" w:ascii="黑体" w:eastAsia="黑体"/>
          <w:b/>
          <w:color w:val="auto"/>
          <w:sz w:val="44"/>
          <w:szCs w:val="44"/>
          <w:highlight w:val="none"/>
        </w:rPr>
        <w:t xml:space="preserve"> </w:t>
      </w:r>
    </w:p>
    <w:p w14:paraId="38431417">
      <w:pPr>
        <w:adjustRightInd w:val="0"/>
        <w:snapToGrid w:val="0"/>
        <w:spacing w:line="360" w:lineRule="auto"/>
        <w:jc w:val="center"/>
        <w:outlineLvl w:val="1"/>
        <w:rPr>
          <w:rFonts w:hint="eastAsia" w:ascii="宋体" w:hAnsi="宋体" w:cs="宋体"/>
          <w:iCs/>
          <w:color w:val="auto"/>
          <w:sz w:val="28"/>
          <w:szCs w:val="28"/>
          <w:highlight w:val="none"/>
        </w:rPr>
      </w:pPr>
      <w:r>
        <w:rPr>
          <w:rFonts w:ascii="黑体" w:eastAsia="黑体"/>
          <w:b/>
          <w:color w:val="auto"/>
          <w:sz w:val="44"/>
          <w:szCs w:val="44"/>
          <w:highlight w:val="none"/>
        </w:rPr>
        <w:br w:type="page"/>
      </w:r>
      <w:bookmarkStart w:id="171" w:name="_Toc187939573"/>
      <w:bookmarkStart w:id="172" w:name="_Toc187243519"/>
      <w:bookmarkStart w:id="173" w:name="_Toc169515406"/>
      <w:r>
        <w:rPr>
          <w:rFonts w:hint="eastAsia" w:ascii="黑体" w:hAnsi="黑体" w:eastAsia="黑体"/>
          <w:b/>
          <w:color w:val="auto"/>
          <w:sz w:val="32"/>
          <w:szCs w:val="32"/>
          <w:highlight w:val="none"/>
        </w:rPr>
        <w:t>七、享受政府采购政策优惠的证明资料</w:t>
      </w:r>
      <w:bookmarkEnd w:id="171"/>
      <w:bookmarkEnd w:id="172"/>
      <w:bookmarkEnd w:id="173"/>
    </w:p>
    <w:p w14:paraId="00667586">
      <w:pPr>
        <w:adjustRightInd w:val="0"/>
        <w:snapToGrid w:val="0"/>
        <w:spacing w:line="360" w:lineRule="auto"/>
        <w:ind w:firstLine="444" w:firstLineChars="200"/>
        <w:rPr>
          <w:rFonts w:hint="eastAsia"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投标人符合要求的，应提供下列证明资料，并填写相关数据。否则，评审时不予以考虑。</w:t>
      </w:r>
    </w:p>
    <w:p w14:paraId="75B74DDF">
      <w:pPr>
        <w:widowControl/>
        <w:spacing w:before="100" w:beforeAutospacing="1" w:after="100" w:afterAutospacing="1" w:line="0" w:lineRule="atLeast"/>
        <w:rPr>
          <w:rFonts w:hint="eastAsia" w:ascii="宋体" w:hAnsi="宋体" w:cs="宋体"/>
          <w:b/>
          <w:bCs/>
          <w:color w:val="auto"/>
          <w:spacing w:val="6"/>
          <w:szCs w:val="26"/>
          <w:highlight w:val="none"/>
        </w:rPr>
      </w:pPr>
      <w:bookmarkStart w:id="174" w:name="_Toc134193042"/>
      <w:bookmarkStart w:id="175" w:name="_Toc169515407"/>
      <w:bookmarkStart w:id="176" w:name="_Toc34637805"/>
      <w:bookmarkStart w:id="177" w:name="_Toc22201162"/>
      <w:r>
        <w:rPr>
          <w:rFonts w:hint="eastAsia" w:ascii="宋体" w:hAnsi="宋体" w:cs="宋体"/>
          <w:b/>
          <w:bCs/>
          <w:color w:val="auto"/>
          <w:spacing w:val="6"/>
          <w:szCs w:val="26"/>
          <w:highlight w:val="none"/>
        </w:rPr>
        <w:br w:type="page"/>
      </w:r>
      <w:r>
        <w:rPr>
          <w:rFonts w:hint="eastAsia" w:ascii="宋体" w:hAnsi="宋体" w:cs="宋体"/>
          <w:b/>
          <w:bCs/>
          <w:color w:val="auto"/>
          <w:spacing w:val="6"/>
          <w:szCs w:val="26"/>
          <w:highlight w:val="none"/>
        </w:rPr>
        <w:t>附件7-1</w:t>
      </w:r>
      <w:bookmarkEnd w:id="174"/>
      <w:bookmarkEnd w:id="175"/>
      <w:bookmarkEnd w:id="176"/>
      <w:bookmarkEnd w:id="177"/>
      <w:bookmarkStart w:id="178" w:name="_Toc524615721"/>
      <w:bookmarkStart w:id="179" w:name="_Toc500271154"/>
      <w:bookmarkStart w:id="180" w:name="_Toc500269625"/>
      <w:bookmarkStart w:id="181" w:name="_Toc500271325"/>
      <w:r>
        <w:rPr>
          <w:rFonts w:hint="eastAsia" w:ascii="宋体" w:hAnsi="宋体" w:cs="宋体"/>
          <w:b/>
          <w:bCs/>
          <w:color w:val="auto"/>
          <w:spacing w:val="6"/>
          <w:szCs w:val="26"/>
          <w:highlight w:val="none"/>
        </w:rPr>
        <w:t xml:space="preserve">                      </w:t>
      </w:r>
    </w:p>
    <w:p w14:paraId="14336D0F">
      <w:pPr>
        <w:widowControl/>
        <w:spacing w:before="100" w:beforeAutospacing="1" w:after="100" w:afterAutospacing="1" w:line="0" w:lineRule="atLeast"/>
        <w:jc w:val="center"/>
        <w:rPr>
          <w:rFonts w:hint="eastAsia" w:ascii="宋体" w:hAnsi="宋体" w:cs="宋体"/>
          <w:color w:val="auto"/>
          <w:kern w:val="0"/>
          <w:sz w:val="28"/>
          <w:szCs w:val="28"/>
          <w:highlight w:val="none"/>
          <w:lang w:bidi="ar"/>
        </w:rPr>
      </w:pPr>
      <w:r>
        <w:rPr>
          <w:rFonts w:hint="eastAsia" w:ascii="宋体" w:hAnsi="宋体" w:cs="宋体"/>
          <w:b/>
          <w:bCs/>
          <w:color w:val="auto"/>
          <w:spacing w:val="6"/>
          <w:szCs w:val="26"/>
          <w:highlight w:val="none"/>
        </w:rPr>
        <w:t xml:space="preserve"> </w:t>
      </w:r>
      <w:bookmarkEnd w:id="178"/>
      <w:bookmarkEnd w:id="179"/>
      <w:bookmarkEnd w:id="180"/>
      <w:bookmarkEnd w:id="181"/>
      <w:r>
        <w:rPr>
          <w:rFonts w:hint="eastAsia" w:ascii="宋体" w:hAnsi="宋体" w:cs="宋体"/>
          <w:b/>
          <w:color w:val="auto"/>
          <w:kern w:val="0"/>
          <w:sz w:val="28"/>
          <w:szCs w:val="28"/>
          <w:highlight w:val="none"/>
          <w:lang w:bidi="ar"/>
        </w:rPr>
        <w:t>中小企业声明函（货物）</w:t>
      </w:r>
    </w:p>
    <w:p w14:paraId="13EBA2DB">
      <w:pPr>
        <w:widowControl/>
        <w:spacing w:before="100" w:beforeAutospacing="1" w:after="100" w:afterAutospacing="1" w:line="0" w:lineRule="atLeast"/>
        <w:jc w:val="center"/>
        <w:rPr>
          <w:rFonts w:hint="eastAsia" w:ascii="宋体" w:hAnsi="宋体" w:cs="宋体"/>
          <w:color w:val="auto"/>
          <w:kern w:val="0"/>
          <w:sz w:val="20"/>
          <w:szCs w:val="20"/>
          <w:highlight w:val="none"/>
          <w:lang w:bidi="ar"/>
        </w:rPr>
      </w:pPr>
      <w:r>
        <w:rPr>
          <w:rFonts w:hint="eastAsia" w:ascii="宋体" w:hAnsi="宋体" w:cs="宋体"/>
          <w:b/>
          <w:color w:val="auto"/>
          <w:kern w:val="0"/>
          <w:sz w:val="20"/>
          <w:szCs w:val="20"/>
          <w:highlight w:val="none"/>
          <w:lang w:bidi="ar"/>
        </w:rPr>
        <w:t>（不符合条件无需填写）</w:t>
      </w:r>
    </w:p>
    <w:p w14:paraId="51D36D32">
      <w:pPr>
        <w:widowControl/>
        <w:spacing w:before="100" w:beforeAutospacing="1" w:after="100" w:afterAutospacing="1" w:line="360" w:lineRule="auto"/>
        <w:ind w:firstLine="482"/>
        <w:jc w:val="left"/>
        <w:rPr>
          <w:color w:val="auto"/>
          <w:szCs w:val="21"/>
          <w:highlight w:val="none"/>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lang w:bidi="ar"/>
        </w:rPr>
        <w:t>     （单位名称）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    （项目名称）</w:t>
      </w:r>
      <w:r>
        <w:rPr>
          <w:rFonts w:hint="eastAsia" w:ascii="宋体" w:hAnsi="宋体" w:cs="宋体"/>
          <w:color w:val="auto"/>
          <w:kern w:val="0"/>
          <w:szCs w:val="21"/>
          <w:highlight w:val="none"/>
          <w:lang w:bidi="ar"/>
        </w:rPr>
        <w:t>采购活动，提供的货物全部由符合政策要求的中小企业制造。相关企业（含联合体中的中小企业、签订分包意向协议的中小企业）的具体情况如下：</w:t>
      </w:r>
    </w:p>
    <w:p w14:paraId="3710F580">
      <w:pPr>
        <w:widowControl/>
        <w:spacing w:before="100" w:beforeAutospacing="1" w:after="100" w:afterAutospacing="1" w:line="360" w:lineRule="auto"/>
        <w:ind w:firstLine="482"/>
        <w:jc w:val="left"/>
        <w:rPr>
          <w:color w:val="auto"/>
          <w:szCs w:val="21"/>
          <w:highlight w:val="none"/>
        </w:rPr>
      </w:pPr>
      <w:r>
        <w:rPr>
          <w:rFonts w:hint="eastAsia" w:ascii="宋体" w:hAnsi="宋体" w:cs="宋体"/>
          <w:color w:val="auto"/>
          <w:kern w:val="0"/>
          <w:szCs w:val="21"/>
          <w:highlight w:val="none"/>
          <w:lang w:bidi="ar"/>
        </w:rPr>
        <w:t>1.</w:t>
      </w:r>
      <w:r>
        <w:rPr>
          <w:rFonts w:hint="eastAsia" w:ascii="宋体" w:hAnsi="宋体" w:cs="宋体"/>
          <w:color w:val="auto"/>
          <w:kern w:val="0"/>
          <w:szCs w:val="21"/>
          <w:highlight w:val="none"/>
          <w:u w:val="single"/>
          <w:lang w:bidi="ar"/>
        </w:rPr>
        <w:t>     （标的名称）</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       （企业名称）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万元</w:t>
      </w:r>
      <w:r>
        <w:rPr>
          <w:rFonts w:hint="eastAsia" w:ascii="宋体" w:hAnsi="宋体" w:cs="宋体"/>
          <w:color w:val="auto"/>
          <w:kern w:val="0"/>
          <w:szCs w:val="21"/>
          <w:highlight w:val="none"/>
          <w:vertAlign w:val="superscript"/>
          <w:lang w:bidi="ar"/>
        </w:rPr>
        <w:t>1</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（中型企业、小型企业、微型企业）</w:t>
      </w:r>
      <w:r>
        <w:rPr>
          <w:rFonts w:hint="eastAsia" w:ascii="宋体" w:hAnsi="宋体" w:cs="宋体"/>
          <w:color w:val="auto"/>
          <w:kern w:val="0"/>
          <w:szCs w:val="21"/>
          <w:highlight w:val="none"/>
          <w:lang w:bidi="ar"/>
        </w:rPr>
        <w:t>；</w:t>
      </w:r>
    </w:p>
    <w:p w14:paraId="20A6FD47">
      <w:pPr>
        <w:widowControl/>
        <w:spacing w:before="100" w:beforeAutospacing="1" w:after="100" w:afterAutospacing="1" w:line="360" w:lineRule="auto"/>
        <w:ind w:firstLine="482"/>
        <w:jc w:val="left"/>
        <w:rPr>
          <w:color w:val="auto"/>
          <w:szCs w:val="21"/>
          <w:highlight w:val="none"/>
        </w:rPr>
      </w:pPr>
      <w:r>
        <w:rPr>
          <w:rFonts w:hint="eastAsia" w:ascii="宋体" w:hAnsi="宋体" w:cs="宋体"/>
          <w:color w:val="auto"/>
          <w:kern w:val="0"/>
          <w:szCs w:val="21"/>
          <w:highlight w:val="none"/>
          <w:lang w:bidi="ar"/>
        </w:rPr>
        <w:t>2.</w:t>
      </w:r>
      <w:r>
        <w:rPr>
          <w:rFonts w:hint="eastAsia" w:ascii="宋体" w:hAnsi="宋体" w:cs="宋体"/>
          <w:color w:val="auto"/>
          <w:kern w:val="0"/>
          <w:szCs w:val="21"/>
          <w:highlight w:val="none"/>
          <w:u w:val="single"/>
          <w:lang w:bidi="ar"/>
        </w:rPr>
        <w:t>     （标的名称）</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       （企业名称）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w:t>
      </w:r>
      <w:r>
        <w:rPr>
          <w:rFonts w:hint="eastAsia" w:ascii="宋体" w:hAnsi="宋体" w:cs="宋体"/>
          <w:color w:val="auto"/>
          <w:kern w:val="0"/>
          <w:szCs w:val="21"/>
          <w:highlight w:val="none"/>
          <w:lang w:bidi="ar"/>
        </w:rPr>
        <w:t>万元</w:t>
      </w:r>
      <w:r>
        <w:rPr>
          <w:rFonts w:hint="eastAsia" w:ascii="宋体" w:hAnsi="宋体" w:cs="宋体"/>
          <w:color w:val="auto"/>
          <w:kern w:val="0"/>
          <w:szCs w:val="21"/>
          <w:highlight w:val="none"/>
          <w:vertAlign w:val="superscript"/>
          <w:lang w:bidi="ar"/>
        </w:rPr>
        <w:t>1</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（中型企业、小型企业、微型企业）</w:t>
      </w:r>
      <w:r>
        <w:rPr>
          <w:rFonts w:hint="eastAsia" w:ascii="宋体" w:hAnsi="宋体" w:cs="宋体"/>
          <w:color w:val="auto"/>
          <w:kern w:val="0"/>
          <w:szCs w:val="21"/>
          <w:highlight w:val="none"/>
          <w:lang w:bidi="ar"/>
        </w:rPr>
        <w:t>；</w:t>
      </w:r>
    </w:p>
    <w:p w14:paraId="414F5519">
      <w:pPr>
        <w:widowControl/>
        <w:spacing w:before="100" w:beforeAutospacing="1" w:after="100" w:afterAutospacing="1" w:line="360" w:lineRule="auto"/>
        <w:ind w:firstLine="480"/>
        <w:jc w:val="left"/>
        <w:rPr>
          <w:color w:val="auto"/>
          <w:szCs w:val="21"/>
          <w:highlight w:val="none"/>
        </w:rPr>
      </w:pPr>
      <w:r>
        <w:rPr>
          <w:rFonts w:hint="eastAsia" w:ascii="宋体" w:hAnsi="宋体" w:cs="宋体"/>
          <w:color w:val="auto"/>
          <w:kern w:val="0"/>
          <w:szCs w:val="21"/>
          <w:highlight w:val="none"/>
          <w:lang w:bidi="ar"/>
        </w:rPr>
        <w:t>以上企业，不属于大企业的分支机构，不存在控股股东为大企业的情形，也不存在与大企业的负责人为同一人的情形。</w:t>
      </w:r>
    </w:p>
    <w:p w14:paraId="1B8084CA">
      <w:pPr>
        <w:widowControl/>
        <w:spacing w:before="100" w:beforeAutospacing="1" w:after="100" w:afterAutospacing="1" w:line="360" w:lineRule="auto"/>
        <w:ind w:firstLine="480"/>
        <w:jc w:val="left"/>
        <w:rPr>
          <w:color w:val="auto"/>
          <w:szCs w:val="21"/>
          <w:highlight w:val="none"/>
        </w:rPr>
      </w:pPr>
      <w:r>
        <w:rPr>
          <w:rFonts w:hint="eastAsia" w:ascii="宋体" w:hAnsi="宋体" w:cs="宋体"/>
          <w:color w:val="auto"/>
          <w:kern w:val="0"/>
          <w:szCs w:val="21"/>
          <w:highlight w:val="none"/>
          <w:lang w:bidi="ar"/>
        </w:rPr>
        <w:t>本企业对上述声明内容的真实性负责。如有虚假，将依法承担相应责任。</w:t>
      </w:r>
    </w:p>
    <w:p w14:paraId="2C72F1A8">
      <w:pPr>
        <w:widowControl/>
        <w:spacing w:before="100" w:beforeAutospacing="1" w:after="100" w:afterAutospacing="1" w:line="400" w:lineRule="exact"/>
        <w:ind w:firstLine="5278"/>
        <w:jc w:val="left"/>
        <w:rPr>
          <w:color w:val="auto"/>
          <w:szCs w:val="21"/>
          <w:highlight w:val="none"/>
        </w:rPr>
      </w:pPr>
      <w:r>
        <w:rPr>
          <w:rFonts w:hint="eastAsia" w:ascii="宋体" w:hAnsi="宋体" w:cs="宋体"/>
          <w:color w:val="auto"/>
          <w:kern w:val="0"/>
          <w:szCs w:val="21"/>
          <w:highlight w:val="none"/>
          <w:lang w:bidi="ar"/>
        </w:rPr>
        <w:t>企业名称（盖章）：</w:t>
      </w:r>
    </w:p>
    <w:p w14:paraId="50AD7D51">
      <w:pPr>
        <w:widowControl/>
        <w:spacing w:before="100" w:beforeAutospacing="1" w:after="100" w:afterAutospacing="1" w:line="400" w:lineRule="exact"/>
        <w:ind w:firstLine="5278"/>
        <w:jc w:val="left"/>
        <w:rPr>
          <w:color w:val="auto"/>
          <w:szCs w:val="21"/>
          <w:highlight w:val="none"/>
        </w:rPr>
      </w:pPr>
      <w:r>
        <w:rPr>
          <w:rFonts w:hint="eastAsia" w:ascii="宋体" w:hAnsi="宋体" w:cs="宋体"/>
          <w:color w:val="auto"/>
          <w:kern w:val="0"/>
          <w:szCs w:val="21"/>
          <w:highlight w:val="none"/>
          <w:lang w:bidi="ar"/>
        </w:rPr>
        <w:t>日 期：</w:t>
      </w:r>
    </w:p>
    <w:p w14:paraId="2AAD6A9D">
      <w:pPr>
        <w:widowControl/>
        <w:spacing w:before="100" w:beforeAutospacing="1" w:after="100" w:afterAutospacing="1" w:line="435" w:lineRule="atLeast"/>
        <w:jc w:val="left"/>
        <w:rPr>
          <w:color w:val="auto"/>
          <w:highlight w:val="none"/>
        </w:rPr>
      </w:pPr>
      <w:r>
        <w:rPr>
          <w:rFonts w:hint="eastAsia" w:ascii="宋体" w:hAnsi="宋体" w:cs="宋体"/>
          <w:color w:val="auto"/>
          <w:kern w:val="0"/>
          <w:sz w:val="18"/>
          <w:szCs w:val="18"/>
          <w:highlight w:val="none"/>
          <w:vertAlign w:val="superscript"/>
          <w:lang w:bidi="ar"/>
        </w:rPr>
        <w:t>1</w:t>
      </w:r>
      <w:r>
        <w:rPr>
          <w:rFonts w:hint="eastAsia" w:ascii="宋体" w:hAnsi="宋体" w:cs="宋体"/>
          <w:color w:val="auto"/>
          <w:kern w:val="0"/>
          <w:sz w:val="18"/>
          <w:szCs w:val="18"/>
          <w:highlight w:val="none"/>
          <w:lang w:bidi="ar"/>
        </w:rPr>
        <w:t>从业人员、营业收入、资产总额填报上一年度数据，无上一年度数据的新成立企业可不填报。</w:t>
      </w:r>
    </w:p>
    <w:p w14:paraId="59DFC8DF">
      <w:pPr>
        <w:spacing w:after="120"/>
        <w:rPr>
          <w:color w:val="auto"/>
          <w:highlight w:val="none"/>
        </w:rPr>
      </w:pPr>
    </w:p>
    <w:p w14:paraId="792A09EB">
      <w:pPr>
        <w:spacing w:after="120"/>
        <w:rPr>
          <w:rFonts w:hint="eastAsia" w:ascii="宋体" w:hAnsi="宋体" w:cs="宋体"/>
          <w:b/>
          <w:bCs/>
          <w:color w:val="auto"/>
          <w:spacing w:val="6"/>
          <w:szCs w:val="26"/>
          <w:highlight w:val="none"/>
        </w:rPr>
      </w:pPr>
    </w:p>
    <w:p w14:paraId="5CCB86B0">
      <w:pPr>
        <w:spacing w:after="120"/>
        <w:rPr>
          <w:color w:val="auto"/>
          <w:highlight w:val="none"/>
        </w:rPr>
      </w:pPr>
      <w:r>
        <w:rPr>
          <w:rFonts w:hint="eastAsia" w:ascii="宋体" w:hAnsi="宋体" w:cs="宋体"/>
          <w:b/>
          <w:bCs/>
          <w:color w:val="auto"/>
          <w:spacing w:val="6"/>
          <w:szCs w:val="26"/>
          <w:highlight w:val="none"/>
        </w:rPr>
        <w:br w:type="page"/>
      </w:r>
      <w:r>
        <w:rPr>
          <w:rFonts w:hint="eastAsia" w:ascii="宋体" w:hAnsi="宋体" w:cs="宋体"/>
          <w:b/>
          <w:bCs/>
          <w:color w:val="auto"/>
          <w:spacing w:val="6"/>
          <w:szCs w:val="26"/>
          <w:highlight w:val="none"/>
        </w:rPr>
        <w:t>附件7-1-1  湖南省政府采购供应商资格承诺函</w:t>
      </w:r>
    </w:p>
    <w:p w14:paraId="06FAF3C5">
      <w:pPr>
        <w:jc w:val="center"/>
        <w:rPr>
          <w:rFonts w:hint="eastAsia" w:ascii="宋体" w:hAnsi="宋体"/>
          <w:b/>
          <w:color w:val="auto"/>
          <w:sz w:val="28"/>
          <w:szCs w:val="28"/>
          <w:highlight w:val="none"/>
        </w:rPr>
      </w:pPr>
      <w:r>
        <w:rPr>
          <w:rFonts w:hint="eastAsia" w:ascii="宋体" w:hAnsi="宋体"/>
          <w:b/>
          <w:color w:val="auto"/>
          <w:sz w:val="28"/>
          <w:szCs w:val="28"/>
          <w:highlight w:val="none"/>
        </w:rPr>
        <w:t>湖南省政府采购供应商资格承诺函</w:t>
      </w:r>
    </w:p>
    <w:p w14:paraId="64667A45">
      <w:pPr>
        <w:widowControl/>
        <w:spacing w:line="480" w:lineRule="atLeast"/>
        <w:ind w:firstLine="422"/>
        <w:jc w:val="left"/>
        <w:rPr>
          <w:rFonts w:hint="eastAsia" w:ascii="微软雅黑" w:hAnsi="微软雅黑" w:eastAsia="微软雅黑" w:cs="宋体"/>
          <w:color w:val="auto"/>
          <w:kern w:val="0"/>
          <w:sz w:val="24"/>
          <w:highlight w:val="none"/>
        </w:rPr>
      </w:pPr>
      <w:r>
        <w:rPr>
          <w:rFonts w:hint="eastAsia" w:ascii="宋体" w:hAnsi="宋体" w:cs="宋体"/>
          <w:b/>
          <w:bCs/>
          <w:color w:val="auto"/>
          <w:kern w:val="0"/>
          <w:sz w:val="24"/>
          <w:highlight w:val="none"/>
        </w:rPr>
        <w:t>致</w:t>
      </w:r>
      <w:r>
        <w:rPr>
          <w:rFonts w:hint="eastAsia" w:ascii="宋体" w:hAnsi="宋体" w:cs="宋体"/>
          <w:b/>
          <w:bCs/>
          <w:color w:val="auto"/>
          <w:kern w:val="0"/>
          <w:sz w:val="24"/>
          <w:highlight w:val="none"/>
          <w:u w:val="single"/>
        </w:rPr>
        <w:t>            </w:t>
      </w:r>
      <w:r>
        <w:rPr>
          <w:rFonts w:hint="eastAsia" w:ascii="宋体" w:hAnsi="宋体" w:cs="宋体"/>
          <w:b/>
          <w:bCs/>
          <w:color w:val="auto"/>
          <w:kern w:val="0"/>
          <w:sz w:val="24"/>
          <w:highlight w:val="none"/>
        </w:rPr>
        <w:t>（采购人、采购代理机构）：</w:t>
      </w:r>
    </w:p>
    <w:p w14:paraId="4A6DA1A0">
      <w:pPr>
        <w:widowControl/>
        <w:spacing w:line="480" w:lineRule="atLeast"/>
        <w:ind w:firstLine="420"/>
        <w:jc w:val="left"/>
        <w:rPr>
          <w:rFonts w:hint="eastAsia" w:ascii="微软雅黑" w:hAnsi="微软雅黑" w:eastAsia="微软雅黑" w:cs="宋体"/>
          <w:color w:val="auto"/>
          <w:kern w:val="0"/>
          <w:sz w:val="24"/>
          <w:highlight w:val="none"/>
        </w:rPr>
      </w:pPr>
      <w:r>
        <w:rPr>
          <w:rFonts w:hint="eastAsia" w:ascii="宋体" w:hAnsi="宋体" w:cs="宋体"/>
          <w:color w:val="auto"/>
          <w:kern w:val="0"/>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ADE5AED">
      <w:pPr>
        <w:widowControl/>
        <w:spacing w:line="480" w:lineRule="atLeast"/>
        <w:ind w:firstLine="420"/>
        <w:jc w:val="left"/>
        <w:rPr>
          <w:rFonts w:hint="eastAsia" w:ascii="微软雅黑" w:hAnsi="微软雅黑" w:eastAsia="微软雅黑" w:cs="宋体"/>
          <w:color w:val="auto"/>
          <w:kern w:val="0"/>
          <w:sz w:val="24"/>
          <w:highlight w:val="none"/>
        </w:rPr>
      </w:pPr>
      <w:r>
        <w:rPr>
          <w:rFonts w:hint="eastAsia" w:ascii="宋体" w:hAnsi="宋体" w:cs="宋体"/>
          <w:color w:val="auto"/>
          <w:kern w:val="0"/>
          <w:szCs w:val="21"/>
          <w:highlight w:val="none"/>
        </w:rPr>
        <w:t>按照《政府采购促进中小企业发展管理办法》（财库〔2020〕46号），本公司企业规模为：□大型  □中型  □小型  □微型</w:t>
      </w:r>
    </w:p>
    <w:p w14:paraId="6F533433">
      <w:pPr>
        <w:widowControl/>
        <w:spacing w:line="360" w:lineRule="auto"/>
        <w:ind w:firstLine="420" w:firstLineChars="200"/>
        <w:jc w:val="left"/>
        <w:rPr>
          <w:rFonts w:hint="eastAsia" w:ascii="微软雅黑" w:hAnsi="微软雅黑" w:eastAsia="微软雅黑" w:cs="宋体"/>
          <w:color w:val="auto"/>
          <w:kern w:val="0"/>
          <w:sz w:val="24"/>
          <w:highlight w:val="none"/>
        </w:rPr>
      </w:pPr>
      <w:r>
        <w:rPr>
          <w:rFonts w:hint="eastAsia" w:ascii="宋体" w:hAnsi="宋体" w:cs="宋体"/>
          <w:color w:val="auto"/>
          <w:kern w:val="0"/>
          <w:szCs w:val="21"/>
          <w:highlight w:val="none"/>
        </w:rPr>
        <w:t>公司机构代码：</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；注册登记机构：</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；日期</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；有效期：</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；注册资本：</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；地址</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；经济行业：</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；经济性质：</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14:paraId="66067D57">
      <w:pPr>
        <w:widowControl/>
        <w:spacing w:line="360" w:lineRule="auto"/>
        <w:ind w:firstLine="420" w:firstLineChars="200"/>
        <w:jc w:val="left"/>
        <w:rPr>
          <w:rFonts w:hint="eastAsia" w:ascii="微软雅黑" w:hAnsi="微软雅黑" w:eastAsia="微软雅黑" w:cs="宋体"/>
          <w:color w:val="auto"/>
          <w:kern w:val="0"/>
          <w:sz w:val="24"/>
          <w:highlight w:val="none"/>
        </w:rPr>
      </w:pPr>
      <w:r>
        <w:rPr>
          <w:rFonts w:hint="eastAsia" w:ascii="宋体" w:hAnsi="宋体" w:cs="宋体"/>
          <w:color w:val="auto"/>
          <w:kern w:val="0"/>
          <w:szCs w:val="21"/>
          <w:highlight w:val="none"/>
        </w:rPr>
        <w:t>法定代表人姓名（签字）：</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；身份证号：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；手机号：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14:paraId="22035357">
      <w:pPr>
        <w:widowControl/>
        <w:spacing w:line="360" w:lineRule="auto"/>
        <w:ind w:firstLine="420" w:firstLineChars="200"/>
        <w:jc w:val="left"/>
        <w:rPr>
          <w:rFonts w:hint="eastAsia" w:ascii="微软雅黑" w:hAnsi="微软雅黑" w:eastAsia="微软雅黑" w:cs="宋体"/>
          <w:color w:val="auto"/>
          <w:kern w:val="0"/>
          <w:sz w:val="24"/>
          <w:highlight w:val="none"/>
        </w:rPr>
      </w:pPr>
      <w:r>
        <w:rPr>
          <w:rFonts w:hint="eastAsia" w:ascii="宋体" w:hAnsi="宋体" w:cs="宋体"/>
          <w:color w:val="auto"/>
          <w:kern w:val="0"/>
          <w:szCs w:val="21"/>
          <w:highlight w:val="none"/>
        </w:rPr>
        <w:t>授权代表人姓名（签字）：</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；身份证号：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；手机号：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14:paraId="74A0F72F">
      <w:pPr>
        <w:widowControl/>
        <w:spacing w:line="420" w:lineRule="atLeast"/>
        <w:ind w:left="228" w:firstLine="420"/>
        <w:jc w:val="left"/>
        <w:rPr>
          <w:rFonts w:hint="eastAsia" w:ascii="微软雅黑" w:hAnsi="微软雅黑" w:eastAsia="微软雅黑" w:cs="宋体"/>
          <w:color w:val="auto"/>
          <w:kern w:val="0"/>
          <w:sz w:val="24"/>
          <w:highlight w:val="none"/>
        </w:rPr>
      </w:pPr>
      <w:r>
        <w:rPr>
          <w:rFonts w:eastAsia="微软雅黑"/>
          <w:color w:val="auto"/>
          <w:kern w:val="0"/>
          <w:szCs w:val="21"/>
          <w:highlight w:val="none"/>
        </w:rPr>
        <w:t> </w:t>
      </w:r>
    </w:p>
    <w:p w14:paraId="5E37CA52">
      <w:pPr>
        <w:widowControl/>
        <w:spacing w:line="420" w:lineRule="atLeast"/>
        <w:ind w:left="228"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供应商名称（盖公章）：</w:t>
      </w:r>
    </w:p>
    <w:p w14:paraId="1D599C8F">
      <w:pPr>
        <w:ind w:firstLine="630" w:firstLineChars="300"/>
        <w:rPr>
          <w:color w:val="auto"/>
          <w:highlight w:val="none"/>
        </w:rPr>
      </w:pPr>
    </w:p>
    <w:p w14:paraId="11D7DB97">
      <w:pPr>
        <w:widowControl/>
        <w:spacing w:after="150" w:line="405" w:lineRule="atLeast"/>
        <w:ind w:firstLine="630" w:firstLineChars="300"/>
        <w:rPr>
          <w:rFonts w:hint="eastAsia" w:ascii="宋体" w:hAnsi="宋体" w:cs="Arial"/>
          <w:b/>
          <w:bCs/>
          <w:color w:val="auto"/>
          <w:kern w:val="0"/>
          <w:sz w:val="24"/>
          <w:highlight w:val="none"/>
        </w:rPr>
      </w:pPr>
      <w:r>
        <w:rPr>
          <w:rFonts w:hint="eastAsia"/>
          <w:color w:val="auto"/>
          <w:highlight w:val="none"/>
        </w:rPr>
        <w:t>日期：       年    月    日</w:t>
      </w:r>
    </w:p>
    <w:p w14:paraId="210FE7D4">
      <w:pPr>
        <w:widowControl/>
        <w:spacing w:after="150" w:line="405" w:lineRule="atLeast"/>
        <w:jc w:val="center"/>
        <w:rPr>
          <w:rFonts w:hint="eastAsia" w:ascii="宋体" w:hAnsi="宋体" w:cs="Arial"/>
          <w:b/>
          <w:bCs/>
          <w:color w:val="auto"/>
          <w:kern w:val="0"/>
          <w:sz w:val="24"/>
          <w:highlight w:val="none"/>
        </w:rPr>
      </w:pPr>
    </w:p>
    <w:p w14:paraId="7A3D7DCA">
      <w:pPr>
        <w:widowControl/>
        <w:spacing w:after="150" w:line="405" w:lineRule="atLeast"/>
        <w:jc w:val="center"/>
        <w:rPr>
          <w:rFonts w:hint="eastAsia" w:ascii="宋体" w:hAnsi="宋体" w:cs="Arial"/>
          <w:b/>
          <w:bCs/>
          <w:color w:val="auto"/>
          <w:kern w:val="0"/>
          <w:sz w:val="24"/>
          <w:highlight w:val="none"/>
        </w:rPr>
      </w:pPr>
    </w:p>
    <w:p w14:paraId="240F9D0E">
      <w:pPr>
        <w:widowControl/>
        <w:spacing w:after="150" w:line="405" w:lineRule="atLeast"/>
        <w:jc w:val="center"/>
        <w:rPr>
          <w:rFonts w:hint="eastAsia" w:ascii="宋体" w:hAnsi="宋体" w:cs="Arial"/>
          <w:b/>
          <w:bCs/>
          <w:color w:val="auto"/>
          <w:kern w:val="0"/>
          <w:sz w:val="24"/>
          <w:highlight w:val="none"/>
        </w:rPr>
      </w:pPr>
    </w:p>
    <w:p w14:paraId="0608E081">
      <w:pPr>
        <w:widowControl/>
        <w:spacing w:after="150" w:line="405" w:lineRule="atLeast"/>
        <w:jc w:val="center"/>
        <w:rPr>
          <w:rFonts w:hint="eastAsia" w:ascii="宋体" w:hAnsi="宋体" w:cs="Arial"/>
          <w:b/>
          <w:bCs/>
          <w:color w:val="auto"/>
          <w:kern w:val="0"/>
          <w:sz w:val="24"/>
          <w:highlight w:val="none"/>
        </w:rPr>
      </w:pPr>
    </w:p>
    <w:p w14:paraId="1D99741B">
      <w:pPr>
        <w:spacing w:after="120"/>
        <w:rPr>
          <w:rFonts w:hint="eastAsia" w:ascii="宋体" w:hAnsi="宋体" w:cs="宋体"/>
          <w:b/>
          <w:bCs/>
          <w:color w:val="auto"/>
          <w:spacing w:val="6"/>
          <w:szCs w:val="26"/>
          <w:highlight w:val="none"/>
        </w:rPr>
      </w:pPr>
    </w:p>
    <w:p w14:paraId="2307EEFA">
      <w:pPr>
        <w:spacing w:after="120"/>
        <w:rPr>
          <w:rFonts w:hint="eastAsia" w:ascii="宋体" w:hAnsi="宋体" w:cs="宋体"/>
          <w:b/>
          <w:bCs/>
          <w:color w:val="auto"/>
          <w:spacing w:val="6"/>
          <w:szCs w:val="26"/>
          <w:highlight w:val="none"/>
        </w:rPr>
      </w:pPr>
    </w:p>
    <w:p w14:paraId="0267A505">
      <w:pPr>
        <w:spacing w:after="120"/>
        <w:rPr>
          <w:rFonts w:hint="eastAsia" w:ascii="宋体" w:hAnsi="宋体" w:cs="宋体"/>
          <w:b/>
          <w:bCs/>
          <w:color w:val="auto"/>
          <w:spacing w:val="6"/>
          <w:szCs w:val="26"/>
          <w:highlight w:val="none"/>
        </w:rPr>
      </w:pPr>
    </w:p>
    <w:p w14:paraId="5D326D22">
      <w:pPr>
        <w:spacing w:after="120"/>
        <w:rPr>
          <w:rFonts w:hint="eastAsia" w:ascii="宋体" w:hAnsi="宋体" w:cs="宋体"/>
          <w:b/>
          <w:bCs/>
          <w:color w:val="auto"/>
          <w:spacing w:val="6"/>
          <w:szCs w:val="26"/>
          <w:highlight w:val="none"/>
        </w:rPr>
      </w:pPr>
    </w:p>
    <w:p w14:paraId="729193A8">
      <w:pPr>
        <w:spacing w:after="120"/>
        <w:rPr>
          <w:rFonts w:hint="eastAsia" w:ascii="宋体" w:hAnsi="宋体" w:cs="宋体"/>
          <w:b/>
          <w:bCs/>
          <w:color w:val="auto"/>
          <w:spacing w:val="6"/>
          <w:szCs w:val="26"/>
          <w:highlight w:val="none"/>
        </w:rPr>
      </w:pPr>
    </w:p>
    <w:p w14:paraId="55DA90DC">
      <w:pPr>
        <w:spacing w:after="120"/>
        <w:rPr>
          <w:rFonts w:hint="eastAsia" w:ascii="宋体" w:hAnsi="宋体" w:cs="宋体"/>
          <w:b/>
          <w:bCs/>
          <w:color w:val="auto"/>
          <w:spacing w:val="6"/>
          <w:szCs w:val="26"/>
          <w:highlight w:val="none"/>
        </w:rPr>
      </w:pPr>
    </w:p>
    <w:p w14:paraId="3CF43970">
      <w:pPr>
        <w:spacing w:after="120"/>
        <w:rPr>
          <w:rFonts w:hint="eastAsia" w:ascii="宋体" w:hAnsi="宋体" w:cs="Arial"/>
          <w:b/>
          <w:bCs/>
          <w:color w:val="auto"/>
          <w:kern w:val="0"/>
          <w:sz w:val="24"/>
          <w:highlight w:val="none"/>
        </w:rPr>
      </w:pPr>
      <w:r>
        <w:rPr>
          <w:rFonts w:hint="eastAsia" w:ascii="宋体" w:hAnsi="宋体" w:cs="宋体"/>
          <w:b/>
          <w:bCs/>
          <w:color w:val="auto"/>
          <w:spacing w:val="6"/>
          <w:szCs w:val="26"/>
          <w:highlight w:val="none"/>
        </w:rPr>
        <w:t>附件7-1-2  供应商资格声明(格式)</w:t>
      </w:r>
    </w:p>
    <w:p w14:paraId="004C5EA6">
      <w:pPr>
        <w:widowControl/>
        <w:spacing w:before="100" w:beforeAutospacing="1" w:after="100" w:afterAutospacing="1" w:line="440" w:lineRule="atLeast"/>
        <w:ind w:firstLine="200"/>
        <w:jc w:val="center"/>
        <w:rPr>
          <w:rFonts w:hint="eastAsia" w:ascii="微软雅黑" w:hAnsi="微软雅黑" w:eastAsia="微软雅黑" w:cs="微软雅黑"/>
          <w:color w:val="auto"/>
          <w:sz w:val="16"/>
          <w:szCs w:val="16"/>
          <w:highlight w:val="none"/>
        </w:rPr>
      </w:pPr>
      <w:r>
        <w:rPr>
          <w:rFonts w:hint="eastAsia" w:ascii="微软雅黑" w:hAnsi="微软雅黑" w:eastAsia="微软雅黑" w:cs="微软雅黑"/>
          <w:b/>
          <w:bCs/>
          <w:color w:val="auto"/>
          <w:kern w:val="0"/>
          <w:szCs w:val="21"/>
          <w:highlight w:val="none"/>
          <w:lang w:bidi="ar"/>
        </w:rPr>
        <w:t>供应商资格声明(格式)</w:t>
      </w:r>
    </w:p>
    <w:p w14:paraId="0CD7BB6F">
      <w:pPr>
        <w:spacing w:line="360" w:lineRule="auto"/>
        <w:rPr>
          <w:color w:val="auto"/>
          <w:szCs w:val="22"/>
          <w:highlight w:val="none"/>
        </w:rPr>
      </w:pPr>
      <w:r>
        <w:rPr>
          <w:rFonts w:hint="eastAsia"/>
          <w:color w:val="auto"/>
          <w:szCs w:val="22"/>
          <w:highlight w:val="none"/>
        </w:rPr>
        <w:t>致</w:t>
      </w:r>
      <w:r>
        <w:rPr>
          <w:rFonts w:hint="eastAsia"/>
          <w:color w:val="auto"/>
          <w:szCs w:val="22"/>
          <w:highlight w:val="none"/>
          <w:u w:val="single"/>
        </w:rPr>
        <w:t xml:space="preserve">          </w:t>
      </w:r>
      <w:r>
        <w:rPr>
          <w:rFonts w:hint="eastAsia"/>
          <w:color w:val="auto"/>
          <w:szCs w:val="22"/>
          <w:highlight w:val="none"/>
        </w:rPr>
        <w:t> (采购人、采购代理机构)：</w:t>
      </w:r>
    </w:p>
    <w:p w14:paraId="4B3E3C7C">
      <w:pPr>
        <w:spacing w:line="360" w:lineRule="auto"/>
        <w:ind w:firstLine="420" w:firstLineChars="200"/>
        <w:rPr>
          <w:color w:val="auto"/>
          <w:szCs w:val="22"/>
          <w:highlight w:val="none"/>
        </w:rPr>
      </w:pPr>
      <w:r>
        <w:rPr>
          <w:rFonts w:hint="eastAsia"/>
          <w:color w:val="auto"/>
          <w:szCs w:val="22"/>
          <w:highlight w:val="none"/>
        </w:rPr>
        <w:t>按照《中华人民共和国政府采购法》及实施条例和 </w:t>
      </w:r>
      <w:r>
        <w:rPr>
          <w:rFonts w:hint="eastAsia"/>
          <w:color w:val="auto"/>
          <w:szCs w:val="22"/>
          <w:highlight w:val="none"/>
          <w:u w:val="single"/>
        </w:rPr>
        <w:t xml:space="preserve">                      </w:t>
      </w:r>
      <w:r>
        <w:rPr>
          <w:rFonts w:hint="eastAsia"/>
          <w:color w:val="auto"/>
          <w:szCs w:val="22"/>
          <w:highlight w:val="none"/>
        </w:rPr>
        <w:t>（项目名称）邀请公告的规定，我单位郑重声明如下：</w:t>
      </w:r>
    </w:p>
    <w:p w14:paraId="2DA33AE1">
      <w:pPr>
        <w:spacing w:line="360" w:lineRule="auto"/>
        <w:ind w:firstLine="420" w:firstLineChars="200"/>
        <w:rPr>
          <w:color w:val="auto"/>
          <w:szCs w:val="22"/>
          <w:highlight w:val="none"/>
        </w:rPr>
      </w:pPr>
      <w:r>
        <w:rPr>
          <w:rFonts w:hint="eastAsia"/>
          <w:color w:val="auto"/>
          <w:szCs w:val="22"/>
          <w:highlight w:val="none"/>
        </w:rPr>
        <w:t>一、我单位是按照中华人民共和国法律规定登记注册的，注册地点为 </w:t>
      </w:r>
      <w:r>
        <w:rPr>
          <w:rFonts w:hint="eastAsia"/>
          <w:color w:val="auto"/>
          <w:szCs w:val="22"/>
          <w:highlight w:val="none"/>
          <w:u w:val="single"/>
        </w:rPr>
        <w:t xml:space="preserve">                </w:t>
      </w:r>
      <w:r>
        <w:rPr>
          <w:rFonts w:hint="eastAsia"/>
          <w:color w:val="auto"/>
          <w:szCs w:val="22"/>
          <w:highlight w:val="none"/>
        </w:rPr>
        <w:t>，全称为 </w:t>
      </w:r>
      <w:r>
        <w:rPr>
          <w:rFonts w:hint="eastAsia"/>
          <w:color w:val="auto"/>
          <w:szCs w:val="22"/>
          <w:highlight w:val="none"/>
          <w:u w:val="single"/>
        </w:rPr>
        <w:t xml:space="preserve">                </w:t>
      </w:r>
      <w:r>
        <w:rPr>
          <w:rFonts w:hint="eastAsia"/>
          <w:color w:val="auto"/>
          <w:szCs w:val="22"/>
          <w:highlight w:val="none"/>
        </w:rPr>
        <w:t>，统一社会信用代码为</w:t>
      </w:r>
      <w:r>
        <w:rPr>
          <w:rFonts w:hint="eastAsia"/>
          <w:color w:val="auto"/>
          <w:szCs w:val="22"/>
          <w:highlight w:val="none"/>
          <w:u w:val="single"/>
        </w:rPr>
        <w:t xml:space="preserve">                </w:t>
      </w:r>
      <w:r>
        <w:rPr>
          <w:rFonts w:hint="eastAsia"/>
          <w:color w:val="auto"/>
          <w:szCs w:val="22"/>
          <w:highlight w:val="none"/>
        </w:rPr>
        <w:t>  ，法定代表人（单位负责人）为 </w:t>
      </w:r>
      <w:r>
        <w:rPr>
          <w:rFonts w:hint="eastAsia"/>
          <w:color w:val="auto"/>
          <w:szCs w:val="22"/>
          <w:highlight w:val="none"/>
          <w:u w:val="single"/>
        </w:rPr>
        <w:t xml:space="preserve">               </w:t>
      </w:r>
      <w:r>
        <w:rPr>
          <w:rFonts w:hint="eastAsia"/>
          <w:color w:val="auto"/>
          <w:szCs w:val="22"/>
          <w:highlight w:val="none"/>
        </w:rPr>
        <w:t>，具有独立承担民事责任的能力。</w:t>
      </w:r>
    </w:p>
    <w:p w14:paraId="6A168C1F">
      <w:pPr>
        <w:spacing w:line="360" w:lineRule="auto"/>
        <w:ind w:firstLine="420" w:firstLineChars="200"/>
        <w:rPr>
          <w:color w:val="auto"/>
          <w:szCs w:val="22"/>
          <w:highlight w:val="none"/>
        </w:rPr>
      </w:pPr>
      <w:r>
        <w:rPr>
          <w:rFonts w:hint="eastAsia"/>
          <w:color w:val="auto"/>
          <w:szCs w:val="22"/>
          <w:highlight w:val="none"/>
        </w:rPr>
        <w:t>二、我单位具有良好的商业信誉和健全的财务会计制度。</w:t>
      </w:r>
    </w:p>
    <w:p w14:paraId="7E0A7EEA">
      <w:pPr>
        <w:spacing w:line="360" w:lineRule="auto"/>
        <w:ind w:firstLine="420" w:firstLineChars="200"/>
        <w:rPr>
          <w:color w:val="auto"/>
          <w:szCs w:val="22"/>
          <w:highlight w:val="none"/>
        </w:rPr>
      </w:pPr>
      <w:r>
        <w:rPr>
          <w:rFonts w:hint="eastAsia"/>
          <w:color w:val="auto"/>
          <w:szCs w:val="22"/>
          <w:highlight w:val="none"/>
        </w:rPr>
        <w:t>三、我单位依法进行纳税和社会保险申报并实际履行了义务。</w:t>
      </w:r>
    </w:p>
    <w:p w14:paraId="73B3C84C">
      <w:pPr>
        <w:spacing w:line="360" w:lineRule="auto"/>
        <w:ind w:firstLine="420" w:firstLineChars="200"/>
        <w:rPr>
          <w:color w:val="auto"/>
          <w:szCs w:val="22"/>
          <w:highlight w:val="none"/>
        </w:rPr>
      </w:pPr>
      <w:r>
        <w:rPr>
          <w:rFonts w:hint="eastAsia"/>
          <w:color w:val="auto"/>
          <w:szCs w:val="22"/>
          <w:highlight w:val="none"/>
        </w:rPr>
        <w:t>四、我单位具有履行本项目采购合同所必需的设备和专业技术能力，并具有履行合同的良好记录。</w:t>
      </w:r>
    </w:p>
    <w:p w14:paraId="5317FE06">
      <w:pPr>
        <w:spacing w:line="360" w:lineRule="auto"/>
        <w:ind w:firstLine="420" w:firstLineChars="200"/>
        <w:rPr>
          <w:color w:val="auto"/>
          <w:szCs w:val="22"/>
          <w:highlight w:val="none"/>
        </w:rPr>
      </w:pPr>
      <w:r>
        <w:rPr>
          <w:rFonts w:hint="eastAsia"/>
          <w:color w:val="auto"/>
          <w:szCs w:val="22"/>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5A79141B">
      <w:pPr>
        <w:spacing w:line="360" w:lineRule="auto"/>
        <w:rPr>
          <w:color w:val="auto"/>
          <w:szCs w:val="22"/>
          <w:highlight w:val="none"/>
        </w:rPr>
      </w:pPr>
      <w:r>
        <w:rPr>
          <w:rFonts w:hint="eastAsia"/>
          <w:color w:val="auto"/>
          <w:szCs w:val="22"/>
          <w:highlight w:val="none"/>
        </w:rPr>
        <w:t>供应商在参加政府采购活动前3年内因违法经营被禁止在一定期限内参加政府采购活动，期限届满的，可以参加政府采购活动。</w:t>
      </w:r>
    </w:p>
    <w:p w14:paraId="7205272C">
      <w:pPr>
        <w:spacing w:line="360" w:lineRule="auto"/>
        <w:ind w:firstLine="420" w:firstLineChars="200"/>
        <w:rPr>
          <w:color w:val="auto"/>
          <w:szCs w:val="22"/>
          <w:highlight w:val="none"/>
        </w:rPr>
      </w:pPr>
      <w:r>
        <w:rPr>
          <w:rFonts w:hint="eastAsia"/>
          <w:color w:val="auto"/>
          <w:szCs w:val="22"/>
          <w:highlight w:val="none"/>
        </w:rPr>
        <w:t>六、我单位具备法律、行政法规规定的其他条件。</w:t>
      </w:r>
    </w:p>
    <w:p w14:paraId="4ABCBB3E">
      <w:pPr>
        <w:spacing w:line="360" w:lineRule="auto"/>
        <w:ind w:firstLine="420" w:firstLineChars="200"/>
        <w:rPr>
          <w:color w:val="auto"/>
          <w:szCs w:val="22"/>
          <w:highlight w:val="none"/>
        </w:rPr>
      </w:pPr>
      <w:r>
        <w:rPr>
          <w:rFonts w:hint="eastAsia"/>
          <w:color w:val="auto"/>
          <w:szCs w:val="22"/>
          <w:highlight w:val="none"/>
        </w:rPr>
        <w:t>七、与我单位存在“单位负责人为同一人或者存在直接控股、管理关系”的其他单位信息如下（如无，填写“无”）：</w:t>
      </w:r>
    </w:p>
    <w:p w14:paraId="456827E5">
      <w:pPr>
        <w:spacing w:line="360" w:lineRule="auto"/>
        <w:ind w:firstLine="420" w:firstLineChars="200"/>
        <w:rPr>
          <w:color w:val="auto"/>
          <w:szCs w:val="22"/>
          <w:highlight w:val="none"/>
        </w:rPr>
      </w:pPr>
      <w:r>
        <w:rPr>
          <w:rFonts w:hint="eastAsia"/>
          <w:color w:val="auto"/>
          <w:szCs w:val="22"/>
          <w:highlight w:val="none"/>
        </w:rPr>
        <w:t>1、与我单位的法定代表人（单位负责人）为同一人的其他单位如下：</w:t>
      </w:r>
      <w:r>
        <w:rPr>
          <w:rFonts w:hint="eastAsia"/>
          <w:color w:val="auto"/>
          <w:szCs w:val="22"/>
          <w:highlight w:val="none"/>
          <w:u w:val="single"/>
        </w:rPr>
        <w:t xml:space="preserve">          </w:t>
      </w:r>
      <w:r>
        <w:rPr>
          <w:rFonts w:hint="eastAsia"/>
          <w:color w:val="auto"/>
          <w:szCs w:val="22"/>
          <w:highlight w:val="none"/>
        </w:rPr>
        <w:t>               </w:t>
      </w:r>
    </w:p>
    <w:p w14:paraId="47CF4506">
      <w:pPr>
        <w:spacing w:line="360" w:lineRule="auto"/>
        <w:ind w:firstLine="420" w:firstLineChars="200"/>
        <w:rPr>
          <w:color w:val="auto"/>
          <w:szCs w:val="22"/>
          <w:highlight w:val="none"/>
        </w:rPr>
      </w:pPr>
      <w:r>
        <w:rPr>
          <w:rFonts w:hint="eastAsia"/>
          <w:color w:val="auto"/>
          <w:szCs w:val="22"/>
          <w:highlight w:val="none"/>
        </w:rPr>
        <w:t>2、我单位直接控股的其他单位如下：</w:t>
      </w:r>
      <w:r>
        <w:rPr>
          <w:rFonts w:hint="eastAsia"/>
          <w:color w:val="auto"/>
          <w:szCs w:val="22"/>
          <w:highlight w:val="none"/>
          <w:u w:val="single"/>
        </w:rPr>
        <w:t xml:space="preserve">          </w:t>
      </w:r>
      <w:r>
        <w:rPr>
          <w:rFonts w:hint="eastAsia"/>
          <w:color w:val="auto"/>
          <w:szCs w:val="22"/>
          <w:highlight w:val="none"/>
        </w:rPr>
        <w:t>                 </w:t>
      </w:r>
    </w:p>
    <w:p w14:paraId="7597BFEF">
      <w:pPr>
        <w:spacing w:line="360" w:lineRule="auto"/>
        <w:ind w:firstLine="420" w:firstLineChars="200"/>
        <w:rPr>
          <w:color w:val="auto"/>
          <w:szCs w:val="22"/>
          <w:highlight w:val="none"/>
        </w:rPr>
      </w:pPr>
      <w:r>
        <w:rPr>
          <w:rFonts w:hint="eastAsia"/>
          <w:color w:val="auto"/>
          <w:szCs w:val="22"/>
          <w:highlight w:val="none"/>
        </w:rPr>
        <w:t>3、与我单位存在管理关系的其他单位如下：</w:t>
      </w:r>
      <w:r>
        <w:rPr>
          <w:rFonts w:hint="eastAsia"/>
          <w:color w:val="auto"/>
          <w:szCs w:val="22"/>
          <w:highlight w:val="none"/>
          <w:u w:val="single"/>
        </w:rPr>
        <w:t xml:space="preserve">          </w:t>
      </w:r>
      <w:r>
        <w:rPr>
          <w:rFonts w:hint="eastAsia"/>
          <w:color w:val="auto"/>
          <w:szCs w:val="22"/>
          <w:highlight w:val="none"/>
        </w:rPr>
        <w:t>                 </w:t>
      </w:r>
    </w:p>
    <w:p w14:paraId="59AB1BF9">
      <w:pPr>
        <w:spacing w:line="360" w:lineRule="auto"/>
        <w:ind w:firstLine="420" w:firstLineChars="200"/>
        <w:rPr>
          <w:color w:val="auto"/>
          <w:szCs w:val="22"/>
          <w:highlight w:val="none"/>
        </w:rPr>
      </w:pPr>
      <w:r>
        <w:rPr>
          <w:rFonts w:hint="eastAsia"/>
          <w:color w:val="auto"/>
          <w:szCs w:val="22"/>
          <w:highlight w:val="none"/>
        </w:rPr>
        <w:t>八、我单位不属于为本项目提供整体设计、规范编制或者项目管理、监理、检测等服务的供应商。</w:t>
      </w:r>
    </w:p>
    <w:p w14:paraId="145D0BE2">
      <w:pPr>
        <w:spacing w:line="360" w:lineRule="auto"/>
        <w:ind w:firstLine="420" w:firstLineChars="200"/>
        <w:rPr>
          <w:color w:val="auto"/>
          <w:szCs w:val="22"/>
          <w:highlight w:val="none"/>
        </w:rPr>
      </w:pPr>
      <w:r>
        <w:rPr>
          <w:rFonts w:hint="eastAsia"/>
          <w:color w:val="auto"/>
          <w:szCs w:val="22"/>
          <w:highlight w:val="none"/>
        </w:rPr>
        <w:t>九、我单位无以下不良信用记录情形：</w:t>
      </w:r>
    </w:p>
    <w:p w14:paraId="509D8A35">
      <w:pPr>
        <w:spacing w:line="360" w:lineRule="auto"/>
        <w:ind w:firstLine="420" w:firstLineChars="200"/>
        <w:rPr>
          <w:color w:val="auto"/>
          <w:szCs w:val="22"/>
          <w:highlight w:val="none"/>
        </w:rPr>
      </w:pPr>
      <w:r>
        <w:rPr>
          <w:rFonts w:hint="eastAsia"/>
          <w:color w:val="auto"/>
          <w:szCs w:val="22"/>
          <w:highlight w:val="none"/>
        </w:rPr>
        <w:t>1、在“信用中国”网站被列入失信被执行人和重大税收违法案件当事人名单；</w:t>
      </w:r>
    </w:p>
    <w:p w14:paraId="46CBFA6E">
      <w:pPr>
        <w:spacing w:line="360" w:lineRule="auto"/>
        <w:ind w:firstLine="420" w:firstLineChars="200"/>
        <w:rPr>
          <w:color w:val="auto"/>
          <w:szCs w:val="22"/>
          <w:highlight w:val="none"/>
        </w:rPr>
      </w:pPr>
      <w:r>
        <w:rPr>
          <w:rFonts w:hint="eastAsia"/>
          <w:color w:val="auto"/>
          <w:szCs w:val="22"/>
          <w:highlight w:val="none"/>
        </w:rPr>
        <w:t>2、在“中国政府采购网”网站被列入政府采购严重违法失信行为记录名单；</w:t>
      </w:r>
    </w:p>
    <w:p w14:paraId="1A532C60">
      <w:pPr>
        <w:spacing w:line="360" w:lineRule="auto"/>
        <w:ind w:firstLine="420" w:firstLineChars="200"/>
        <w:rPr>
          <w:color w:val="auto"/>
          <w:szCs w:val="22"/>
          <w:highlight w:val="none"/>
        </w:rPr>
      </w:pPr>
      <w:r>
        <w:rPr>
          <w:rFonts w:hint="eastAsia"/>
          <w:color w:val="auto"/>
          <w:szCs w:val="22"/>
          <w:highlight w:val="none"/>
        </w:rPr>
        <w:t>3、不符合《政府采购法》第二十二条规定的条件。</w:t>
      </w:r>
    </w:p>
    <w:p w14:paraId="03DA0D42">
      <w:pPr>
        <w:spacing w:line="360" w:lineRule="auto"/>
        <w:ind w:firstLine="420" w:firstLineChars="200"/>
        <w:rPr>
          <w:color w:val="auto"/>
          <w:szCs w:val="22"/>
          <w:highlight w:val="none"/>
        </w:rPr>
      </w:pPr>
      <w:r>
        <w:rPr>
          <w:rFonts w:hint="eastAsia"/>
          <w:color w:val="auto"/>
          <w:szCs w:val="22"/>
          <w:highlight w:val="none"/>
        </w:rPr>
        <w:t>我单位保证上述声明的事项都是真实的，如有虚假，我单位愿意承担相应的法律责任，并承担因此所造成的一切损失。</w:t>
      </w:r>
    </w:p>
    <w:p w14:paraId="5F3B6129">
      <w:pPr>
        <w:spacing w:line="360" w:lineRule="auto"/>
        <w:ind w:firstLine="420" w:firstLineChars="200"/>
        <w:rPr>
          <w:color w:val="auto"/>
          <w:szCs w:val="22"/>
          <w:highlight w:val="none"/>
        </w:rPr>
      </w:pPr>
      <w:r>
        <w:rPr>
          <w:rFonts w:hint="eastAsia"/>
          <w:color w:val="auto"/>
          <w:szCs w:val="22"/>
          <w:highlight w:val="none"/>
        </w:rPr>
        <w:t>注：第三条“良好的商业信誉”是指供应商经营状况良好，无本承诺函第九条情形。</w:t>
      </w:r>
    </w:p>
    <w:p w14:paraId="040B46FA">
      <w:pPr>
        <w:spacing w:line="360" w:lineRule="auto"/>
        <w:rPr>
          <w:color w:val="auto"/>
          <w:szCs w:val="22"/>
          <w:highlight w:val="none"/>
        </w:rPr>
      </w:pPr>
      <w:r>
        <w:rPr>
          <w:rFonts w:hint="eastAsia"/>
          <w:color w:val="auto"/>
          <w:szCs w:val="22"/>
          <w:highlight w:val="none"/>
        </w:rPr>
        <w:t> </w:t>
      </w:r>
    </w:p>
    <w:p w14:paraId="3FAE9992">
      <w:pPr>
        <w:spacing w:line="360" w:lineRule="auto"/>
        <w:rPr>
          <w:color w:val="auto"/>
          <w:szCs w:val="22"/>
          <w:highlight w:val="none"/>
        </w:rPr>
      </w:pPr>
      <w:r>
        <w:rPr>
          <w:rFonts w:hint="eastAsia"/>
          <w:color w:val="auto"/>
          <w:szCs w:val="22"/>
          <w:highlight w:val="none"/>
        </w:rPr>
        <w:t>供应商名称（盖单位公章）：</w:t>
      </w:r>
    </w:p>
    <w:p w14:paraId="28464B16">
      <w:pPr>
        <w:spacing w:line="360" w:lineRule="auto"/>
        <w:rPr>
          <w:color w:val="auto"/>
          <w:szCs w:val="22"/>
          <w:highlight w:val="none"/>
        </w:rPr>
      </w:pPr>
      <w:r>
        <w:rPr>
          <w:rFonts w:hint="eastAsia"/>
          <w:color w:val="auto"/>
          <w:szCs w:val="22"/>
          <w:highlight w:val="none"/>
        </w:rPr>
        <w:t>法定代表人（单位负责人）或委托代理人：       （签字或印章）</w:t>
      </w:r>
    </w:p>
    <w:p w14:paraId="2BBB44B0">
      <w:pPr>
        <w:spacing w:after="120" w:line="360" w:lineRule="auto"/>
        <w:jc w:val="left"/>
        <w:rPr>
          <w:rFonts w:hint="eastAsia" w:ascii="宋体" w:hAnsi="宋体" w:cs="宋体"/>
          <w:color w:val="auto"/>
          <w:highlight w:val="none"/>
        </w:rPr>
      </w:pPr>
      <w:r>
        <w:rPr>
          <w:rFonts w:hint="eastAsia"/>
          <w:color w:val="auto"/>
          <w:szCs w:val="22"/>
          <w:highlight w:val="none"/>
        </w:rPr>
        <w:t>日期：       年  月  日</w:t>
      </w:r>
      <w:r>
        <w:rPr>
          <w:rFonts w:hint="eastAsia" w:ascii="宋体" w:hAnsi="宋体" w:cs="宋体"/>
          <w:b/>
          <w:bCs/>
          <w:color w:val="auto"/>
          <w:spacing w:val="6"/>
          <w:sz w:val="28"/>
          <w:szCs w:val="28"/>
          <w:highlight w:val="none"/>
        </w:rPr>
        <w:br w:type="page"/>
      </w:r>
      <w:bookmarkStart w:id="182" w:name="_Toc22201164"/>
      <w:bookmarkStart w:id="183" w:name="_Toc34637806"/>
      <w:bookmarkStart w:id="184" w:name="_Toc169515408"/>
      <w:bookmarkStart w:id="185" w:name="_Toc134193043"/>
      <w:r>
        <w:rPr>
          <w:rFonts w:hint="eastAsia" w:ascii="宋体" w:hAnsi="宋体" w:cs="宋体"/>
          <w:b/>
          <w:bCs/>
          <w:color w:val="auto"/>
          <w:spacing w:val="6"/>
          <w:kern w:val="0"/>
          <w:szCs w:val="26"/>
          <w:highlight w:val="none"/>
        </w:rPr>
        <w:t xml:space="preserve">附件7-2 </w:t>
      </w:r>
      <w:r>
        <w:rPr>
          <w:rFonts w:hint="eastAsia" w:ascii="宋体" w:hAnsi="宋体" w:cs="宋体"/>
          <w:b/>
          <w:bCs/>
          <w:color w:val="auto"/>
          <w:spacing w:val="6"/>
          <w:szCs w:val="26"/>
          <w:highlight w:val="none"/>
        </w:rPr>
        <w:t>残疾人福利性单位声明函</w:t>
      </w:r>
      <w:bookmarkEnd w:id="182"/>
      <w:bookmarkEnd w:id="183"/>
      <w:bookmarkEnd w:id="184"/>
      <w:bookmarkEnd w:id="185"/>
    </w:p>
    <w:p w14:paraId="4A46E888">
      <w:pPr>
        <w:adjustRightInd w:val="0"/>
        <w:snapToGrid w:val="0"/>
        <w:spacing w:line="360" w:lineRule="auto"/>
        <w:jc w:val="center"/>
        <w:rPr>
          <w:rFonts w:hint="eastAsia" w:ascii="宋体" w:hAnsi="宋体" w:cs="宋体"/>
          <w:b/>
          <w:color w:val="auto"/>
          <w:spacing w:val="6"/>
          <w:sz w:val="28"/>
          <w:szCs w:val="28"/>
          <w:highlight w:val="none"/>
        </w:rPr>
      </w:pPr>
      <w:r>
        <w:rPr>
          <w:rFonts w:hint="eastAsia" w:ascii="宋体" w:hAnsi="宋体" w:cs="宋体"/>
          <w:b/>
          <w:color w:val="auto"/>
          <w:spacing w:val="6"/>
          <w:sz w:val="28"/>
          <w:szCs w:val="28"/>
          <w:highlight w:val="none"/>
        </w:rPr>
        <w:t>残疾人福利性单位声明函</w:t>
      </w:r>
    </w:p>
    <w:p w14:paraId="1D538605">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(不属于残疾人福利性单位的无需填写)</w:t>
      </w:r>
    </w:p>
    <w:p w14:paraId="284934C6">
      <w:pPr>
        <w:adjustRightInd w:val="0"/>
        <w:snapToGrid w:val="0"/>
        <w:spacing w:line="360" w:lineRule="auto"/>
        <w:ind w:firstLine="444" w:firstLineChars="200"/>
        <w:rPr>
          <w:rFonts w:hint="eastAsia" w:ascii="宋体" w:hAnsi="宋体" w:cs="宋体"/>
          <w:color w:val="auto"/>
          <w:spacing w:val="6"/>
          <w:szCs w:val="21"/>
          <w:highlight w:val="none"/>
        </w:rPr>
      </w:pPr>
    </w:p>
    <w:p w14:paraId="1B7A6A4C">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24C9B55">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0FEFEECA">
      <w:pPr>
        <w:adjustRightInd w:val="0"/>
        <w:snapToGrid w:val="0"/>
        <w:spacing w:line="360" w:lineRule="auto"/>
        <w:ind w:firstLine="444" w:firstLineChars="200"/>
        <w:rPr>
          <w:rFonts w:hint="eastAsia" w:ascii="宋体" w:hAnsi="宋体" w:cs="宋体"/>
          <w:color w:val="auto"/>
          <w:spacing w:val="6"/>
          <w:szCs w:val="21"/>
          <w:highlight w:val="none"/>
        </w:rPr>
      </w:pPr>
    </w:p>
    <w:p w14:paraId="02A865DF">
      <w:pPr>
        <w:adjustRightInd w:val="0"/>
        <w:snapToGrid w:val="0"/>
        <w:spacing w:line="360" w:lineRule="auto"/>
        <w:ind w:firstLine="444" w:firstLineChars="200"/>
        <w:rPr>
          <w:rFonts w:hint="eastAsia" w:ascii="宋体" w:hAnsi="宋体" w:cs="宋体"/>
          <w:color w:val="auto"/>
          <w:spacing w:val="6"/>
          <w:szCs w:val="21"/>
          <w:highlight w:val="none"/>
        </w:rPr>
      </w:pPr>
    </w:p>
    <w:p w14:paraId="1158CF1E">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170E60BC">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1DA1C492">
      <w:pPr>
        <w:widowControl/>
        <w:adjustRightInd w:val="0"/>
        <w:snapToGrid w:val="0"/>
        <w:spacing w:line="360" w:lineRule="auto"/>
        <w:jc w:val="left"/>
        <w:rPr>
          <w:rFonts w:hint="eastAsia" w:ascii="宋体" w:hAnsi="宋体" w:cs="宋体"/>
          <w:color w:val="auto"/>
          <w:kern w:val="0"/>
          <w:szCs w:val="21"/>
          <w:highlight w:val="none"/>
        </w:rPr>
      </w:pPr>
    </w:p>
    <w:p w14:paraId="61FED853">
      <w:pPr>
        <w:keepNext/>
        <w:tabs>
          <w:tab w:val="left" w:pos="0"/>
        </w:tabs>
        <w:spacing w:before="120" w:after="120"/>
        <w:outlineLvl w:val="2"/>
        <w:rPr>
          <w:rFonts w:hint="eastAsia" w:ascii="宋体" w:hAnsi="宋体" w:cs="宋体"/>
          <w:b/>
          <w:bCs/>
          <w:color w:val="auto"/>
          <w:szCs w:val="21"/>
          <w:highlight w:val="none"/>
        </w:rPr>
      </w:pPr>
      <w:r>
        <w:rPr>
          <w:rFonts w:hint="eastAsia" w:ascii="宋体" w:hAnsi="宋体" w:cs="宋体"/>
          <w:b/>
          <w:bCs/>
          <w:color w:val="auto"/>
          <w:spacing w:val="6"/>
          <w:kern w:val="0"/>
          <w:sz w:val="28"/>
          <w:szCs w:val="26"/>
          <w:highlight w:val="none"/>
        </w:rPr>
        <w:br w:type="page"/>
      </w:r>
      <w:bookmarkStart w:id="186" w:name="_Toc187243520"/>
      <w:bookmarkStart w:id="187" w:name="_Toc34637807"/>
      <w:bookmarkStart w:id="188" w:name="_Toc22201165"/>
      <w:bookmarkStart w:id="189" w:name="_Toc134193044"/>
      <w:bookmarkStart w:id="190" w:name="_Toc169515409"/>
      <w:r>
        <w:rPr>
          <w:rFonts w:hint="eastAsia" w:ascii="宋体" w:hAnsi="宋体" w:cs="宋体"/>
          <w:b/>
          <w:bCs/>
          <w:color w:val="auto"/>
          <w:kern w:val="0"/>
          <w:szCs w:val="21"/>
          <w:highlight w:val="none"/>
        </w:rPr>
        <w:t xml:space="preserve">附件7-3 </w:t>
      </w:r>
      <w:r>
        <w:rPr>
          <w:rFonts w:hint="eastAsia" w:ascii="宋体" w:hAnsi="宋体" w:cs="宋体"/>
          <w:b/>
          <w:bCs/>
          <w:color w:val="auto"/>
          <w:szCs w:val="21"/>
          <w:highlight w:val="none"/>
        </w:rPr>
        <w:t>监狱企业证明资料</w:t>
      </w:r>
      <w:bookmarkEnd w:id="186"/>
      <w:bookmarkEnd w:id="187"/>
      <w:bookmarkEnd w:id="188"/>
      <w:bookmarkEnd w:id="189"/>
      <w:bookmarkEnd w:id="190"/>
    </w:p>
    <w:p w14:paraId="08BDC657">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监狱企业证明资料</w:t>
      </w:r>
    </w:p>
    <w:p w14:paraId="736EB771">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(不属于监狱企业的无需提供)</w:t>
      </w:r>
    </w:p>
    <w:p w14:paraId="798060F5">
      <w:pPr>
        <w:adjustRightInd w:val="0"/>
        <w:snapToGrid w:val="0"/>
        <w:spacing w:line="360" w:lineRule="auto"/>
        <w:rPr>
          <w:rFonts w:hint="eastAsia" w:ascii="宋体" w:hAnsi="宋体" w:cs="宋体"/>
          <w:color w:val="auto"/>
          <w:szCs w:val="21"/>
          <w:highlight w:val="none"/>
        </w:rPr>
      </w:pPr>
    </w:p>
    <w:p w14:paraId="4D14A165">
      <w:pPr>
        <w:adjustRightInd w:val="0"/>
        <w:snapToGrid w:val="0"/>
        <w:spacing w:line="360" w:lineRule="auto"/>
        <w:ind w:firstLine="444" w:firstLineChars="200"/>
        <w:rPr>
          <w:rFonts w:hint="eastAsia" w:ascii="宋体" w:hAns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 司法部关于政府采购支持监狱企业发展有关问题的通知</w:t>
      </w:r>
      <w:r>
        <w:rPr>
          <w:rFonts w:hint="eastAsia" w:ascii="宋体" w:hAnsi="宋体" w:cs="宋体"/>
          <w:color w:val="auto"/>
          <w:spacing w:val="6"/>
          <w:szCs w:val="21"/>
          <w:highlight w:val="none"/>
        </w:rPr>
        <w:t>》</w:t>
      </w:r>
      <w:r>
        <w:rPr>
          <w:rFonts w:hint="eastAsia" w:ascii="宋体" w:hAnsi="宋体" w:cs="宋体"/>
          <w:color w:val="auto"/>
          <w:szCs w:val="21"/>
          <w:highlight w:val="none"/>
        </w:rPr>
        <w:t>(财库〔2014〕68号)文件规定提供证明文件（复印件）。</w:t>
      </w:r>
    </w:p>
    <w:p w14:paraId="2B808C6A">
      <w:pPr>
        <w:adjustRightInd w:val="0"/>
        <w:snapToGrid w:val="0"/>
        <w:spacing w:line="360" w:lineRule="auto"/>
        <w:ind w:firstLine="420" w:firstLineChars="200"/>
        <w:rPr>
          <w:rFonts w:hint="eastAsia" w:ascii="宋体" w:hAnsi="宋体" w:cs="宋体"/>
          <w:color w:val="auto"/>
          <w:szCs w:val="21"/>
          <w:highlight w:val="none"/>
        </w:rPr>
      </w:pPr>
    </w:p>
    <w:p w14:paraId="7D97877C">
      <w:pPr>
        <w:adjustRightInd w:val="0"/>
        <w:snapToGrid w:val="0"/>
        <w:spacing w:line="360" w:lineRule="auto"/>
        <w:ind w:firstLine="420" w:firstLineChars="200"/>
        <w:rPr>
          <w:rFonts w:hint="eastAsia" w:ascii="宋体" w:hAnsi="宋体" w:cs="宋体"/>
          <w:color w:val="auto"/>
          <w:szCs w:val="21"/>
          <w:highlight w:val="none"/>
        </w:rPr>
      </w:pPr>
    </w:p>
    <w:p w14:paraId="39359D1A">
      <w:pPr>
        <w:keepNext/>
        <w:tabs>
          <w:tab w:val="left" w:pos="0"/>
        </w:tabs>
        <w:spacing w:before="120" w:after="120"/>
        <w:outlineLvl w:val="2"/>
        <w:rPr>
          <w:rFonts w:hint="eastAsia" w:ascii="宋体" w:hAnsi="宋体" w:cs="宋体"/>
          <w:b/>
          <w:bCs/>
          <w:color w:val="auto"/>
          <w:szCs w:val="21"/>
          <w:highlight w:val="none"/>
        </w:rPr>
      </w:pPr>
      <w:r>
        <w:rPr>
          <w:rFonts w:hint="eastAsia" w:ascii="宋体" w:hAnsi="宋体" w:cs="宋体"/>
          <w:b/>
          <w:bCs/>
          <w:color w:val="auto"/>
          <w:spacing w:val="6"/>
          <w:kern w:val="0"/>
          <w:sz w:val="28"/>
          <w:szCs w:val="26"/>
          <w:highlight w:val="none"/>
        </w:rPr>
        <w:br w:type="page"/>
      </w:r>
      <w:bookmarkStart w:id="191" w:name="_Toc34637808"/>
      <w:bookmarkStart w:id="192" w:name="_Toc134193045"/>
      <w:bookmarkStart w:id="193" w:name="_Toc169515410"/>
      <w:bookmarkStart w:id="194" w:name="_Toc22201166"/>
      <w:bookmarkStart w:id="195" w:name="_Toc187243521"/>
      <w:r>
        <w:rPr>
          <w:rFonts w:hint="eastAsia" w:ascii="宋体" w:hAnsi="宋体" w:cs="宋体"/>
          <w:b/>
          <w:bCs/>
          <w:color w:val="auto"/>
          <w:spacing w:val="6"/>
          <w:kern w:val="0"/>
          <w:szCs w:val="21"/>
          <w:highlight w:val="none"/>
        </w:rPr>
        <w:t xml:space="preserve">附件7-4 </w:t>
      </w:r>
      <w:r>
        <w:rPr>
          <w:rFonts w:hint="eastAsia" w:ascii="宋体" w:hAnsi="宋体" w:cs="宋体"/>
          <w:b/>
          <w:bCs/>
          <w:color w:val="auto"/>
          <w:szCs w:val="21"/>
          <w:highlight w:val="none"/>
        </w:rPr>
        <w:t>优先采购产品的证明材料</w:t>
      </w:r>
      <w:bookmarkEnd w:id="191"/>
      <w:bookmarkEnd w:id="192"/>
      <w:bookmarkEnd w:id="193"/>
      <w:bookmarkEnd w:id="194"/>
      <w:bookmarkEnd w:id="195"/>
    </w:p>
    <w:p w14:paraId="58D8CE6D">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优先采购产品</w:t>
      </w:r>
      <w:r>
        <w:rPr>
          <w:rFonts w:hint="eastAsia" w:ascii="宋体" w:hAnsi="宋体" w:cs="宋体"/>
          <w:b/>
          <w:bCs/>
          <w:color w:val="auto"/>
          <w:sz w:val="28"/>
          <w:szCs w:val="28"/>
          <w:highlight w:val="none"/>
        </w:rPr>
        <w:t>的</w:t>
      </w:r>
      <w:r>
        <w:rPr>
          <w:rFonts w:hint="eastAsia" w:ascii="宋体" w:hAnsi="宋体" w:cs="宋体"/>
          <w:b/>
          <w:color w:val="auto"/>
          <w:sz w:val="28"/>
          <w:szCs w:val="28"/>
          <w:highlight w:val="none"/>
        </w:rPr>
        <w:t>证明材料</w:t>
      </w:r>
    </w:p>
    <w:p w14:paraId="10741F97">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(不属于优先采购产品的无需提供)</w:t>
      </w:r>
    </w:p>
    <w:p w14:paraId="51EC9E39">
      <w:pPr>
        <w:adjustRightInd w:val="0"/>
        <w:snapToGrid w:val="0"/>
        <w:spacing w:line="360" w:lineRule="auto"/>
        <w:ind w:firstLine="420" w:firstLineChars="200"/>
        <w:jc w:val="left"/>
        <w:rPr>
          <w:rFonts w:hint="eastAsia" w:ascii="宋体" w:hAnsi="宋体" w:cs="宋体"/>
          <w:color w:val="auto"/>
          <w:szCs w:val="21"/>
          <w:highlight w:val="none"/>
        </w:rPr>
      </w:pPr>
    </w:p>
    <w:p w14:paraId="7D7EDDA6">
      <w:pPr>
        <w:adjustRightInd w:val="0"/>
        <w:snapToGrid w:val="0"/>
        <w:spacing w:line="360" w:lineRule="auto"/>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说明：</w:t>
      </w:r>
    </w:p>
    <w:p w14:paraId="070A2D8F">
      <w:pPr>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1、投标人提供的产品</w:t>
      </w:r>
      <w:r>
        <w:rPr>
          <w:rFonts w:hint="eastAsia" w:ascii="宋体" w:hAnsi="宋体" w:cs="宋体"/>
          <w:bCs/>
          <w:color w:val="auto"/>
          <w:szCs w:val="21"/>
          <w:highlight w:val="none"/>
        </w:rPr>
        <w:t>属于优先采购的（非强制性节能产品、</w:t>
      </w:r>
      <w:r>
        <w:rPr>
          <w:rFonts w:hint="eastAsia" w:ascii="宋体" w:hAnsi="宋体" w:cs="宋体"/>
          <w:color w:val="auto"/>
          <w:szCs w:val="21"/>
          <w:highlight w:val="none"/>
        </w:rPr>
        <w:t>环境标志产品</w:t>
      </w:r>
      <w:r>
        <w:rPr>
          <w:rFonts w:hint="eastAsia" w:ascii="宋体" w:hAnsi="宋体" w:cs="宋体"/>
          <w:bCs/>
          <w:color w:val="auto"/>
          <w:szCs w:val="21"/>
          <w:highlight w:val="none"/>
        </w:rPr>
        <w:t>）</w:t>
      </w:r>
      <w:r>
        <w:rPr>
          <w:rFonts w:hint="eastAsia" w:ascii="宋体" w:hAnsi="宋体" w:cs="宋体"/>
          <w:color w:val="auto"/>
          <w:szCs w:val="21"/>
          <w:highlight w:val="none"/>
        </w:rPr>
        <w:t>，应按第二章规定提供证明材料和本章本节附页2“优先采购产品清单”，并加盖投标人单位公章。</w:t>
      </w:r>
    </w:p>
    <w:p w14:paraId="2C826AFE">
      <w:pPr>
        <w:adjustRightInd w:val="0"/>
        <w:snapToGrid w:val="0"/>
        <w:spacing w:before="156" w:beforeLines="50" w:line="360" w:lineRule="auto"/>
        <w:jc w:val="left"/>
        <w:rPr>
          <w:rFonts w:hint="eastAsia" w:ascii="宋体" w:hAnsi="宋体" w:cs="宋体"/>
          <w:color w:val="auto"/>
          <w:highlight w:val="none"/>
        </w:rPr>
      </w:pPr>
      <w:r>
        <w:rPr>
          <w:rFonts w:hint="eastAsia" w:ascii="宋体" w:hAnsi="宋体" w:cs="宋体"/>
          <w:color w:val="auto"/>
          <w:highlight w:val="none"/>
        </w:rPr>
        <w:t>（1）节能产品、环境标志产品：提供国家确定的认证机构出具的、处于有效期之内的节能产品、环境标志产品认证证书复印件。</w:t>
      </w:r>
    </w:p>
    <w:p w14:paraId="224F53EA">
      <w:pPr>
        <w:adjustRightInd w:val="0"/>
        <w:snapToGrid w:val="0"/>
        <w:spacing w:before="156" w:beforeLines="50" w:line="360" w:lineRule="auto"/>
        <w:jc w:val="left"/>
        <w:rPr>
          <w:rFonts w:hint="eastAsia" w:ascii="宋体" w:hAnsi="宋体" w:cs="宋体"/>
          <w:color w:val="auto"/>
          <w:highlight w:val="none"/>
        </w:rPr>
      </w:pPr>
      <w:r>
        <w:rPr>
          <w:rFonts w:hint="eastAsia" w:ascii="宋体" w:hAnsi="宋体" w:cs="宋体"/>
          <w:color w:val="auto"/>
          <w:szCs w:val="21"/>
          <w:highlight w:val="none"/>
        </w:rPr>
        <w:t>2、节能产品、环境标志产品(优先采购产品)认证证书内容注明“详见证书附件”的，应提供其附件，以证明认证证书与响应文件一致。</w:t>
      </w:r>
    </w:p>
    <w:p w14:paraId="5852EFFA">
      <w:pPr>
        <w:adjustRightInd w:val="0"/>
        <w:snapToGrid w:val="0"/>
        <w:spacing w:line="360" w:lineRule="auto"/>
        <w:ind w:firstLine="420" w:firstLineChars="200"/>
        <w:jc w:val="left"/>
        <w:rPr>
          <w:rFonts w:hint="eastAsia" w:ascii="宋体" w:hAnsi="宋体" w:cs="宋体"/>
          <w:color w:val="auto"/>
          <w:szCs w:val="21"/>
          <w:highlight w:val="none"/>
        </w:rPr>
      </w:pPr>
    </w:p>
    <w:p w14:paraId="00CD3DF7">
      <w:pPr>
        <w:keepNext/>
        <w:keepLines/>
        <w:spacing w:before="280" w:after="290" w:line="376" w:lineRule="auto"/>
        <w:outlineLvl w:val="3"/>
        <w:rPr>
          <w:rFonts w:hint="eastAsia" w:ascii="宋体" w:hAnsi="宋体" w:cs="宋体"/>
          <w:b/>
          <w:bCs/>
          <w:color w:val="auto"/>
          <w:szCs w:val="21"/>
          <w:highlight w:val="none"/>
        </w:rPr>
      </w:pPr>
      <w:r>
        <w:rPr>
          <w:rFonts w:hint="eastAsia" w:ascii="宋体" w:hAnsi="宋体" w:cs="宋体"/>
          <w:b/>
          <w:bCs/>
          <w:color w:val="auto"/>
          <w:sz w:val="28"/>
          <w:szCs w:val="28"/>
          <w:highlight w:val="none"/>
        </w:rPr>
        <w:br w:type="page"/>
      </w:r>
      <w:bookmarkStart w:id="196" w:name="_Toc22201167"/>
      <w:r>
        <w:rPr>
          <w:rFonts w:hint="eastAsia" w:ascii="宋体" w:hAnsi="宋体" w:cs="宋体"/>
          <w:b/>
          <w:bCs/>
          <w:color w:val="auto"/>
          <w:spacing w:val="6"/>
          <w:szCs w:val="21"/>
          <w:highlight w:val="none"/>
        </w:rPr>
        <w:t xml:space="preserve">附页  </w:t>
      </w:r>
      <w:r>
        <w:rPr>
          <w:rFonts w:hint="eastAsia" w:ascii="宋体" w:hAnsi="宋体" w:cs="宋体"/>
          <w:b/>
          <w:bCs/>
          <w:color w:val="auto"/>
          <w:szCs w:val="21"/>
          <w:highlight w:val="none"/>
        </w:rPr>
        <w:t>优先采购产品清单</w:t>
      </w:r>
      <w:bookmarkEnd w:id="196"/>
    </w:p>
    <w:p w14:paraId="5CCECEAC">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z w:val="28"/>
          <w:szCs w:val="28"/>
          <w:highlight w:val="none"/>
        </w:rPr>
        <w:t>优先采购产品清单</w:t>
      </w:r>
    </w:p>
    <w:p w14:paraId="04DB8131">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委托代理编号：</w:t>
      </w:r>
      <w:r>
        <w:rPr>
          <w:rFonts w:hint="eastAsia" w:ascii="宋体" w:hAnsi="宋体" w:cs="宋体"/>
          <w:color w:val="auto"/>
          <w:szCs w:val="21"/>
          <w:highlight w:val="none"/>
          <w:u w:val="single"/>
        </w:rPr>
        <w:t>__    ________</w:t>
      </w:r>
      <w:r>
        <w:rPr>
          <w:rFonts w:hint="eastAsia" w:ascii="宋体" w:hAnsi="宋体" w:cs="宋体"/>
          <w:color w:val="auto"/>
          <w:szCs w:val="21"/>
          <w:highlight w:val="none"/>
        </w:rPr>
        <w:t xml:space="preserve">                     项目名称：</w:t>
      </w:r>
      <w:r>
        <w:rPr>
          <w:rFonts w:hint="eastAsia" w:ascii="宋体" w:hAnsi="宋体" w:cs="宋体"/>
          <w:color w:val="auto"/>
          <w:szCs w:val="21"/>
          <w:highlight w:val="none"/>
          <w:u w:val="single"/>
        </w:rPr>
        <w:t>____            ______</w:t>
      </w:r>
      <w:r>
        <w:rPr>
          <w:rFonts w:hint="eastAsia" w:ascii="宋体" w:hAnsi="宋体" w:cs="宋体"/>
          <w:color w:val="auto"/>
          <w:szCs w:val="21"/>
          <w:highlight w:val="none"/>
        </w:rPr>
        <w:t xml:space="preserve"> </w:t>
      </w:r>
    </w:p>
    <w:tbl>
      <w:tblPr>
        <w:tblStyle w:val="42"/>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B068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73F7F888">
            <w:pPr>
              <w:widowControl/>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以下为投标人提供的政府采购优先采购产品，投标人对本表的真实性负责。如有虚假，将依法承担相应责任。</w:t>
            </w:r>
          </w:p>
        </w:tc>
      </w:tr>
      <w:tr w14:paraId="04724B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39F19F9">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739" w:type="dxa"/>
            <w:vAlign w:val="center"/>
          </w:tcPr>
          <w:p w14:paraId="59B418DB">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right w:val="single" w:color="auto" w:sz="4" w:space="0"/>
            </w:tcBorders>
            <w:vAlign w:val="center"/>
          </w:tcPr>
          <w:p w14:paraId="6D2A7A9F">
            <w:pPr>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418" w:type="dxa"/>
            <w:tcBorders>
              <w:left w:val="single" w:color="auto" w:sz="4" w:space="0"/>
            </w:tcBorders>
            <w:vAlign w:val="center"/>
          </w:tcPr>
          <w:p w14:paraId="11AF29A3">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984" w:type="dxa"/>
            <w:vAlign w:val="center"/>
          </w:tcPr>
          <w:p w14:paraId="07DD2012">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843" w:type="dxa"/>
            <w:vAlign w:val="center"/>
          </w:tcPr>
          <w:p w14:paraId="4923FB73">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r>
      <w:tr w14:paraId="7AFF5B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2FC1E76F">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39" w:type="dxa"/>
            <w:vAlign w:val="center"/>
          </w:tcPr>
          <w:p w14:paraId="3CD84D17">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货物名称</w:t>
            </w:r>
          </w:p>
        </w:tc>
        <w:tc>
          <w:tcPr>
            <w:tcW w:w="1134" w:type="dxa"/>
            <w:tcBorders>
              <w:right w:val="single" w:color="auto" w:sz="4" w:space="0"/>
            </w:tcBorders>
            <w:vAlign w:val="center"/>
          </w:tcPr>
          <w:p w14:paraId="511234EF">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418" w:type="dxa"/>
            <w:tcBorders>
              <w:left w:val="single" w:color="auto" w:sz="4" w:space="0"/>
            </w:tcBorders>
            <w:vAlign w:val="center"/>
          </w:tcPr>
          <w:p w14:paraId="42859CE6">
            <w:pPr>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价格（元）</w:t>
            </w:r>
          </w:p>
        </w:tc>
        <w:tc>
          <w:tcPr>
            <w:tcW w:w="1984" w:type="dxa"/>
            <w:vAlign w:val="center"/>
          </w:tcPr>
          <w:p w14:paraId="1AE108DC">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vAlign w:val="center"/>
          </w:tcPr>
          <w:p w14:paraId="461DA994">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政策功能编码</w:t>
            </w:r>
          </w:p>
        </w:tc>
      </w:tr>
      <w:tr w14:paraId="653788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1640599">
            <w:pPr>
              <w:adjustRightInd w:val="0"/>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节能产品</w:t>
            </w:r>
          </w:p>
        </w:tc>
      </w:tr>
      <w:tr w14:paraId="3EAD2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E839411">
            <w:pPr>
              <w:adjustRightInd w:val="0"/>
              <w:snapToGrid w:val="0"/>
              <w:spacing w:line="360" w:lineRule="auto"/>
              <w:jc w:val="center"/>
              <w:rPr>
                <w:rFonts w:hint="eastAsia" w:ascii="宋体" w:hAnsi="宋体" w:cs="宋体"/>
                <w:b/>
                <w:color w:val="auto"/>
                <w:szCs w:val="21"/>
                <w:highlight w:val="none"/>
              </w:rPr>
            </w:pPr>
          </w:p>
        </w:tc>
        <w:tc>
          <w:tcPr>
            <w:tcW w:w="1739" w:type="dxa"/>
            <w:vAlign w:val="center"/>
          </w:tcPr>
          <w:p w14:paraId="38D418A2">
            <w:pPr>
              <w:adjustRightInd w:val="0"/>
              <w:snapToGrid w:val="0"/>
              <w:spacing w:line="360" w:lineRule="auto"/>
              <w:jc w:val="center"/>
              <w:rPr>
                <w:rFonts w:hint="eastAsia" w:ascii="宋体" w:hAnsi="宋体" w:cs="宋体"/>
                <w:b/>
                <w:color w:val="auto"/>
                <w:szCs w:val="21"/>
                <w:highlight w:val="none"/>
              </w:rPr>
            </w:pPr>
          </w:p>
        </w:tc>
        <w:tc>
          <w:tcPr>
            <w:tcW w:w="1134" w:type="dxa"/>
            <w:tcBorders>
              <w:right w:val="single" w:color="auto" w:sz="4" w:space="0"/>
            </w:tcBorders>
            <w:vAlign w:val="center"/>
          </w:tcPr>
          <w:p w14:paraId="3BC1CB21">
            <w:pPr>
              <w:adjustRightInd w:val="0"/>
              <w:snapToGrid w:val="0"/>
              <w:spacing w:line="360" w:lineRule="auto"/>
              <w:jc w:val="left"/>
              <w:rPr>
                <w:rFonts w:hint="eastAsia" w:ascii="宋体" w:hAnsi="宋体" w:cs="宋体"/>
                <w:b/>
                <w:color w:val="auto"/>
                <w:szCs w:val="21"/>
                <w:highlight w:val="none"/>
              </w:rPr>
            </w:pPr>
          </w:p>
        </w:tc>
        <w:tc>
          <w:tcPr>
            <w:tcW w:w="1418" w:type="dxa"/>
            <w:tcBorders>
              <w:left w:val="single" w:color="auto" w:sz="4" w:space="0"/>
            </w:tcBorders>
            <w:vAlign w:val="center"/>
          </w:tcPr>
          <w:p w14:paraId="149A8762">
            <w:pPr>
              <w:adjustRightInd w:val="0"/>
              <w:snapToGrid w:val="0"/>
              <w:spacing w:line="360" w:lineRule="auto"/>
              <w:jc w:val="left"/>
              <w:rPr>
                <w:rFonts w:hint="eastAsia" w:ascii="宋体" w:hAnsi="宋体" w:cs="宋体"/>
                <w:b/>
                <w:color w:val="auto"/>
                <w:szCs w:val="21"/>
                <w:highlight w:val="none"/>
              </w:rPr>
            </w:pPr>
          </w:p>
        </w:tc>
        <w:tc>
          <w:tcPr>
            <w:tcW w:w="1984" w:type="dxa"/>
            <w:vAlign w:val="center"/>
          </w:tcPr>
          <w:p w14:paraId="07487EA4">
            <w:pPr>
              <w:adjustRightInd w:val="0"/>
              <w:snapToGrid w:val="0"/>
              <w:spacing w:line="360" w:lineRule="auto"/>
              <w:jc w:val="center"/>
              <w:rPr>
                <w:rFonts w:hint="eastAsia" w:ascii="宋体" w:hAnsi="宋体" w:cs="宋体"/>
                <w:b/>
                <w:color w:val="auto"/>
                <w:szCs w:val="21"/>
                <w:highlight w:val="none"/>
              </w:rPr>
            </w:pPr>
          </w:p>
        </w:tc>
        <w:tc>
          <w:tcPr>
            <w:tcW w:w="1843" w:type="dxa"/>
          </w:tcPr>
          <w:p w14:paraId="032F0A5C">
            <w:pPr>
              <w:adjustRightInd w:val="0"/>
              <w:snapToGrid w:val="0"/>
              <w:spacing w:line="360" w:lineRule="auto"/>
              <w:jc w:val="center"/>
              <w:rPr>
                <w:rFonts w:hint="eastAsia" w:ascii="宋体" w:hAnsi="宋体" w:cs="宋体"/>
                <w:b/>
                <w:color w:val="auto"/>
                <w:szCs w:val="21"/>
                <w:highlight w:val="none"/>
              </w:rPr>
            </w:pPr>
          </w:p>
        </w:tc>
      </w:tr>
      <w:tr w14:paraId="4315B5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3F43ECF">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vAlign w:val="center"/>
          </w:tcPr>
          <w:p w14:paraId="1C1A3C94">
            <w:pPr>
              <w:adjustRightInd w:val="0"/>
              <w:snapToGrid w:val="0"/>
              <w:spacing w:line="360" w:lineRule="auto"/>
              <w:jc w:val="center"/>
              <w:rPr>
                <w:rFonts w:hint="eastAsia" w:ascii="宋体" w:hAnsi="宋体" w:cs="宋体"/>
                <w:b/>
                <w:color w:val="auto"/>
                <w:szCs w:val="21"/>
                <w:highlight w:val="none"/>
              </w:rPr>
            </w:pPr>
          </w:p>
        </w:tc>
        <w:tc>
          <w:tcPr>
            <w:tcW w:w="1134" w:type="dxa"/>
            <w:tcBorders>
              <w:right w:val="single" w:color="auto" w:sz="4" w:space="0"/>
            </w:tcBorders>
            <w:vAlign w:val="center"/>
          </w:tcPr>
          <w:p w14:paraId="3592C824">
            <w:pPr>
              <w:adjustRightInd w:val="0"/>
              <w:snapToGrid w:val="0"/>
              <w:spacing w:line="360" w:lineRule="auto"/>
              <w:jc w:val="left"/>
              <w:rPr>
                <w:rFonts w:hint="eastAsia" w:ascii="宋体" w:hAnsi="宋体" w:cs="宋体"/>
                <w:b/>
                <w:color w:val="auto"/>
                <w:szCs w:val="21"/>
                <w:highlight w:val="none"/>
              </w:rPr>
            </w:pPr>
          </w:p>
        </w:tc>
        <w:tc>
          <w:tcPr>
            <w:tcW w:w="1418" w:type="dxa"/>
            <w:tcBorders>
              <w:left w:val="single" w:color="auto" w:sz="4" w:space="0"/>
            </w:tcBorders>
            <w:vAlign w:val="center"/>
          </w:tcPr>
          <w:p w14:paraId="5B14E6C4">
            <w:pPr>
              <w:adjustRightInd w:val="0"/>
              <w:snapToGrid w:val="0"/>
              <w:spacing w:line="360" w:lineRule="auto"/>
              <w:jc w:val="left"/>
              <w:rPr>
                <w:rFonts w:hint="eastAsia" w:ascii="宋体" w:hAnsi="宋体" w:cs="宋体"/>
                <w:b/>
                <w:color w:val="auto"/>
                <w:szCs w:val="21"/>
                <w:highlight w:val="none"/>
              </w:rPr>
            </w:pPr>
          </w:p>
        </w:tc>
        <w:tc>
          <w:tcPr>
            <w:tcW w:w="1984" w:type="dxa"/>
            <w:vAlign w:val="center"/>
          </w:tcPr>
          <w:p w14:paraId="4BE5D74D">
            <w:pPr>
              <w:adjustRightInd w:val="0"/>
              <w:snapToGrid w:val="0"/>
              <w:spacing w:line="360" w:lineRule="auto"/>
              <w:jc w:val="center"/>
              <w:rPr>
                <w:rFonts w:hint="eastAsia" w:ascii="宋体" w:hAnsi="宋体" w:cs="宋体"/>
                <w:b/>
                <w:color w:val="auto"/>
                <w:szCs w:val="21"/>
                <w:highlight w:val="none"/>
              </w:rPr>
            </w:pPr>
          </w:p>
        </w:tc>
        <w:tc>
          <w:tcPr>
            <w:tcW w:w="1843" w:type="dxa"/>
          </w:tcPr>
          <w:p w14:paraId="4B81869B">
            <w:pPr>
              <w:adjustRightInd w:val="0"/>
              <w:snapToGrid w:val="0"/>
              <w:spacing w:line="360" w:lineRule="auto"/>
              <w:jc w:val="center"/>
              <w:rPr>
                <w:rFonts w:hint="eastAsia" w:ascii="宋体" w:hAnsi="宋体" w:cs="宋体"/>
                <w:b/>
                <w:color w:val="auto"/>
                <w:szCs w:val="21"/>
                <w:highlight w:val="none"/>
              </w:rPr>
            </w:pPr>
          </w:p>
        </w:tc>
      </w:tr>
      <w:tr w14:paraId="1737CA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2EBB2D1">
            <w:pPr>
              <w:adjustRightInd w:val="0"/>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环境标志产品</w:t>
            </w:r>
          </w:p>
        </w:tc>
      </w:tr>
      <w:tr w14:paraId="287BE6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26A04E3">
            <w:pPr>
              <w:adjustRightInd w:val="0"/>
              <w:snapToGrid w:val="0"/>
              <w:spacing w:line="360" w:lineRule="auto"/>
              <w:jc w:val="center"/>
              <w:rPr>
                <w:rFonts w:hint="eastAsia" w:ascii="宋体" w:hAnsi="宋体" w:cs="宋体"/>
                <w:b/>
                <w:color w:val="auto"/>
                <w:szCs w:val="21"/>
                <w:highlight w:val="none"/>
              </w:rPr>
            </w:pPr>
          </w:p>
        </w:tc>
        <w:tc>
          <w:tcPr>
            <w:tcW w:w="1739" w:type="dxa"/>
            <w:vAlign w:val="center"/>
          </w:tcPr>
          <w:p w14:paraId="484A49D6">
            <w:pPr>
              <w:adjustRightInd w:val="0"/>
              <w:snapToGrid w:val="0"/>
              <w:spacing w:line="360" w:lineRule="auto"/>
              <w:jc w:val="center"/>
              <w:rPr>
                <w:rFonts w:hint="eastAsia" w:ascii="宋体" w:hAnsi="宋体" w:cs="宋体"/>
                <w:b/>
                <w:color w:val="auto"/>
                <w:szCs w:val="21"/>
                <w:highlight w:val="none"/>
              </w:rPr>
            </w:pPr>
          </w:p>
        </w:tc>
        <w:tc>
          <w:tcPr>
            <w:tcW w:w="1134" w:type="dxa"/>
            <w:tcBorders>
              <w:right w:val="single" w:color="auto" w:sz="4" w:space="0"/>
            </w:tcBorders>
            <w:vAlign w:val="center"/>
          </w:tcPr>
          <w:p w14:paraId="64FF7A9F">
            <w:pPr>
              <w:adjustRightInd w:val="0"/>
              <w:snapToGrid w:val="0"/>
              <w:spacing w:line="360" w:lineRule="auto"/>
              <w:jc w:val="left"/>
              <w:rPr>
                <w:rFonts w:hint="eastAsia" w:ascii="宋体" w:hAnsi="宋体" w:cs="宋体"/>
                <w:b/>
                <w:color w:val="auto"/>
                <w:szCs w:val="21"/>
                <w:highlight w:val="none"/>
              </w:rPr>
            </w:pPr>
          </w:p>
        </w:tc>
        <w:tc>
          <w:tcPr>
            <w:tcW w:w="1418" w:type="dxa"/>
            <w:tcBorders>
              <w:left w:val="single" w:color="auto" w:sz="4" w:space="0"/>
            </w:tcBorders>
            <w:vAlign w:val="center"/>
          </w:tcPr>
          <w:p w14:paraId="38100479">
            <w:pPr>
              <w:adjustRightInd w:val="0"/>
              <w:snapToGrid w:val="0"/>
              <w:spacing w:line="360" w:lineRule="auto"/>
              <w:jc w:val="left"/>
              <w:rPr>
                <w:rFonts w:hint="eastAsia" w:ascii="宋体" w:hAnsi="宋体" w:cs="宋体"/>
                <w:b/>
                <w:color w:val="auto"/>
                <w:szCs w:val="21"/>
                <w:highlight w:val="none"/>
              </w:rPr>
            </w:pPr>
          </w:p>
        </w:tc>
        <w:tc>
          <w:tcPr>
            <w:tcW w:w="1984" w:type="dxa"/>
            <w:vAlign w:val="center"/>
          </w:tcPr>
          <w:p w14:paraId="59886036">
            <w:pPr>
              <w:adjustRightInd w:val="0"/>
              <w:snapToGrid w:val="0"/>
              <w:spacing w:line="360" w:lineRule="auto"/>
              <w:jc w:val="center"/>
              <w:rPr>
                <w:rFonts w:hint="eastAsia" w:ascii="宋体" w:hAnsi="宋体" w:cs="宋体"/>
                <w:b/>
                <w:color w:val="auto"/>
                <w:szCs w:val="21"/>
                <w:highlight w:val="none"/>
              </w:rPr>
            </w:pPr>
          </w:p>
        </w:tc>
        <w:tc>
          <w:tcPr>
            <w:tcW w:w="1843" w:type="dxa"/>
          </w:tcPr>
          <w:p w14:paraId="5FDFD1AE">
            <w:pPr>
              <w:adjustRightInd w:val="0"/>
              <w:snapToGrid w:val="0"/>
              <w:spacing w:line="360" w:lineRule="auto"/>
              <w:jc w:val="center"/>
              <w:rPr>
                <w:rFonts w:hint="eastAsia" w:ascii="宋体" w:hAnsi="宋体" w:cs="宋体"/>
                <w:b/>
                <w:color w:val="auto"/>
                <w:szCs w:val="21"/>
                <w:highlight w:val="none"/>
              </w:rPr>
            </w:pPr>
          </w:p>
        </w:tc>
      </w:tr>
      <w:tr w14:paraId="584BE8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451A069">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vAlign w:val="center"/>
          </w:tcPr>
          <w:p w14:paraId="3A83AB7F">
            <w:pPr>
              <w:adjustRightInd w:val="0"/>
              <w:snapToGrid w:val="0"/>
              <w:spacing w:line="360" w:lineRule="auto"/>
              <w:jc w:val="center"/>
              <w:rPr>
                <w:rFonts w:hint="eastAsia" w:ascii="宋体" w:hAnsi="宋体" w:cs="宋体"/>
                <w:b/>
                <w:color w:val="auto"/>
                <w:szCs w:val="21"/>
                <w:highlight w:val="none"/>
              </w:rPr>
            </w:pPr>
          </w:p>
        </w:tc>
        <w:tc>
          <w:tcPr>
            <w:tcW w:w="1134" w:type="dxa"/>
            <w:tcBorders>
              <w:right w:val="single" w:color="auto" w:sz="4" w:space="0"/>
            </w:tcBorders>
            <w:vAlign w:val="center"/>
          </w:tcPr>
          <w:p w14:paraId="6856E852">
            <w:pPr>
              <w:adjustRightInd w:val="0"/>
              <w:snapToGrid w:val="0"/>
              <w:spacing w:line="360" w:lineRule="auto"/>
              <w:jc w:val="left"/>
              <w:rPr>
                <w:rFonts w:hint="eastAsia" w:ascii="宋体" w:hAnsi="宋体" w:cs="宋体"/>
                <w:b/>
                <w:color w:val="auto"/>
                <w:szCs w:val="21"/>
                <w:highlight w:val="none"/>
              </w:rPr>
            </w:pPr>
          </w:p>
        </w:tc>
        <w:tc>
          <w:tcPr>
            <w:tcW w:w="1418" w:type="dxa"/>
            <w:tcBorders>
              <w:left w:val="single" w:color="auto" w:sz="4" w:space="0"/>
            </w:tcBorders>
            <w:vAlign w:val="center"/>
          </w:tcPr>
          <w:p w14:paraId="691B930A">
            <w:pPr>
              <w:adjustRightInd w:val="0"/>
              <w:snapToGrid w:val="0"/>
              <w:spacing w:line="360" w:lineRule="auto"/>
              <w:jc w:val="left"/>
              <w:rPr>
                <w:rFonts w:hint="eastAsia" w:ascii="宋体" w:hAnsi="宋体" w:cs="宋体"/>
                <w:b/>
                <w:color w:val="auto"/>
                <w:szCs w:val="21"/>
                <w:highlight w:val="none"/>
              </w:rPr>
            </w:pPr>
          </w:p>
        </w:tc>
        <w:tc>
          <w:tcPr>
            <w:tcW w:w="1984" w:type="dxa"/>
            <w:vAlign w:val="center"/>
          </w:tcPr>
          <w:p w14:paraId="61E4CD22">
            <w:pPr>
              <w:adjustRightInd w:val="0"/>
              <w:snapToGrid w:val="0"/>
              <w:spacing w:line="360" w:lineRule="auto"/>
              <w:jc w:val="center"/>
              <w:rPr>
                <w:rFonts w:hint="eastAsia" w:ascii="宋体" w:hAnsi="宋体" w:cs="宋体"/>
                <w:b/>
                <w:color w:val="auto"/>
                <w:szCs w:val="21"/>
                <w:highlight w:val="none"/>
              </w:rPr>
            </w:pPr>
          </w:p>
        </w:tc>
        <w:tc>
          <w:tcPr>
            <w:tcW w:w="1843" w:type="dxa"/>
          </w:tcPr>
          <w:p w14:paraId="219E7DC6">
            <w:pPr>
              <w:adjustRightInd w:val="0"/>
              <w:snapToGrid w:val="0"/>
              <w:spacing w:line="360" w:lineRule="auto"/>
              <w:jc w:val="center"/>
              <w:rPr>
                <w:rFonts w:hint="eastAsia" w:ascii="宋体" w:hAnsi="宋体" w:cs="宋体"/>
                <w:b/>
                <w:color w:val="auto"/>
                <w:szCs w:val="21"/>
                <w:highlight w:val="none"/>
              </w:rPr>
            </w:pPr>
          </w:p>
        </w:tc>
      </w:tr>
    </w:tbl>
    <w:p w14:paraId="731F783A">
      <w:pPr>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bCs/>
          <w:color w:val="auto"/>
          <w:szCs w:val="21"/>
          <w:highlight w:val="none"/>
        </w:rPr>
        <w:t>1、</w:t>
      </w:r>
      <w:r>
        <w:rPr>
          <w:rFonts w:hint="eastAsia" w:ascii="宋体" w:hAnsi="宋体" w:cs="宋体"/>
          <w:color w:val="auto"/>
          <w:szCs w:val="21"/>
          <w:highlight w:val="none"/>
        </w:rPr>
        <w:t>本表用于计算政府采购优先采购产品（节能产品或环境标志产品）的政府采购政策价格扣除。</w:t>
      </w:r>
    </w:p>
    <w:p w14:paraId="19544DD9">
      <w:pPr>
        <w:adjustRightInd w:val="0"/>
        <w:snapToGrid w:val="0"/>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2、栏目4“价格”为综合单价，包含货物所有隐含的内容，如运输费、保险费、管理费和利润等。</w:t>
      </w:r>
    </w:p>
    <w:p w14:paraId="523B2C36">
      <w:pPr>
        <w:adjustRightInd w:val="0"/>
        <w:snapToGrid w:val="0"/>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3、栏目6“政策功能编码”是指货物的中国环境标志认证证书编号、中国节能标志认证证书号（货物同时属于节能产品、环境标志产品，只须填写一种）。</w:t>
      </w:r>
    </w:p>
    <w:p w14:paraId="431BFE2A">
      <w:pPr>
        <w:adjustRightInd w:val="0"/>
        <w:snapToGrid w:val="0"/>
        <w:spacing w:line="360" w:lineRule="auto"/>
        <w:rPr>
          <w:rFonts w:hint="eastAsia" w:ascii="宋体" w:hAnsi="宋体" w:cs="宋体"/>
          <w:bCs/>
          <w:color w:val="auto"/>
          <w:szCs w:val="21"/>
          <w:highlight w:val="none"/>
        </w:rPr>
      </w:pPr>
    </w:p>
    <w:p w14:paraId="23F27657">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供应商名称（盖单位公章）：</w:t>
      </w:r>
    </w:p>
    <w:p w14:paraId="27B29C5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pacing w:val="-2"/>
          <w:kern w:val="0"/>
          <w:szCs w:val="21"/>
          <w:highlight w:val="none"/>
        </w:rPr>
        <w:t>法</w:t>
      </w:r>
      <w:r>
        <w:rPr>
          <w:rFonts w:hint="eastAsia" w:ascii="宋体" w:hAnsi="宋体" w:cs="宋体"/>
          <w:color w:val="auto"/>
          <w:kern w:val="0"/>
          <w:szCs w:val="21"/>
          <w:highlight w:val="none"/>
        </w:rPr>
        <w:t>定</w:t>
      </w:r>
      <w:r>
        <w:rPr>
          <w:rFonts w:hint="eastAsia" w:ascii="宋体" w:hAnsi="宋体" w:cs="宋体"/>
          <w:color w:val="auto"/>
          <w:spacing w:val="-2"/>
          <w:kern w:val="0"/>
          <w:szCs w:val="21"/>
          <w:highlight w:val="none"/>
        </w:rPr>
        <w:t>代</w:t>
      </w:r>
      <w:r>
        <w:rPr>
          <w:rFonts w:hint="eastAsia" w:ascii="宋体" w:hAnsi="宋体" w:cs="宋体"/>
          <w:color w:val="auto"/>
          <w:kern w:val="0"/>
          <w:szCs w:val="21"/>
          <w:highlight w:val="none"/>
        </w:rPr>
        <w:t>表</w:t>
      </w:r>
      <w:r>
        <w:rPr>
          <w:rFonts w:hint="eastAsia" w:ascii="宋体" w:hAnsi="宋体" w:cs="宋体"/>
          <w:color w:val="auto"/>
          <w:spacing w:val="-2"/>
          <w:kern w:val="0"/>
          <w:szCs w:val="21"/>
          <w:highlight w:val="none"/>
        </w:rPr>
        <w:t>人</w:t>
      </w:r>
      <w:r>
        <w:rPr>
          <w:rFonts w:hint="eastAsia" w:ascii="宋体" w:hAnsi="宋体" w:cs="宋体"/>
          <w:color w:val="auto"/>
          <w:kern w:val="0"/>
          <w:szCs w:val="21"/>
          <w:highlight w:val="none"/>
        </w:rPr>
        <w:t>（</w:t>
      </w:r>
      <w:r>
        <w:rPr>
          <w:rFonts w:hint="eastAsia" w:ascii="宋体" w:hAnsi="宋体" w:cs="宋体"/>
          <w:color w:val="auto"/>
          <w:spacing w:val="-2"/>
          <w:kern w:val="0"/>
          <w:szCs w:val="21"/>
          <w:highlight w:val="none"/>
        </w:rPr>
        <w:t>单</w:t>
      </w:r>
      <w:r>
        <w:rPr>
          <w:rFonts w:hint="eastAsia" w:ascii="宋体" w:hAnsi="宋体" w:cs="宋体"/>
          <w:color w:val="auto"/>
          <w:kern w:val="0"/>
          <w:szCs w:val="21"/>
          <w:highlight w:val="none"/>
        </w:rPr>
        <w:t>位</w:t>
      </w:r>
      <w:r>
        <w:rPr>
          <w:rFonts w:hint="eastAsia" w:ascii="宋体" w:hAnsi="宋体" w:cs="宋体"/>
          <w:color w:val="auto"/>
          <w:spacing w:val="-2"/>
          <w:kern w:val="0"/>
          <w:szCs w:val="21"/>
          <w:highlight w:val="none"/>
        </w:rPr>
        <w:t>负</w:t>
      </w:r>
      <w:r>
        <w:rPr>
          <w:rFonts w:hint="eastAsia" w:ascii="宋体" w:hAnsi="宋体" w:cs="宋体"/>
          <w:color w:val="auto"/>
          <w:kern w:val="0"/>
          <w:szCs w:val="21"/>
          <w:highlight w:val="none"/>
        </w:rPr>
        <w:t>责人</w:t>
      </w:r>
      <w:r>
        <w:rPr>
          <w:rFonts w:hint="eastAsia" w:ascii="宋体" w:hAnsi="宋体" w:cs="宋体"/>
          <w:color w:val="auto"/>
          <w:spacing w:val="-2"/>
          <w:kern w:val="0"/>
          <w:szCs w:val="21"/>
          <w:highlight w:val="none"/>
        </w:rPr>
        <w:t>）</w:t>
      </w:r>
      <w:r>
        <w:rPr>
          <w:rFonts w:hint="eastAsia" w:ascii="宋体" w:hAnsi="宋体" w:cs="宋体"/>
          <w:color w:val="auto"/>
          <w:szCs w:val="21"/>
          <w:highlight w:val="none"/>
        </w:rPr>
        <w:t>或其委托代理人（签字或印章）：</w:t>
      </w:r>
      <w:r>
        <w:rPr>
          <w:rFonts w:hint="eastAsia" w:ascii="宋体" w:hAnsi="宋体" w:cs="宋体"/>
          <w:color w:val="auto"/>
          <w:szCs w:val="21"/>
          <w:highlight w:val="none"/>
          <w:u w:val="single"/>
        </w:rPr>
        <w:t xml:space="preserve">       </w:t>
      </w:r>
    </w:p>
    <w:p w14:paraId="0A25241B">
      <w:pPr>
        <w:rPr>
          <w:rFonts w:hint="eastAsia" w:ascii="宋体" w:hAnsi="宋体" w:cs="宋体"/>
          <w:color w:val="auto"/>
          <w:highlight w:val="none"/>
        </w:rPr>
      </w:pPr>
      <w:r>
        <w:rPr>
          <w:rFonts w:hint="eastAsia" w:ascii="宋体" w:hAnsi="宋体" w:cs="宋体"/>
          <w:color w:val="auto"/>
          <w:highlight w:val="none"/>
        </w:rPr>
        <w:t>日期：        年    月   日</w:t>
      </w:r>
    </w:p>
    <w:p w14:paraId="4DE6D981">
      <w:pPr>
        <w:rPr>
          <w:rFonts w:hint="eastAsia" w:ascii="宋体" w:hAnsi="宋体" w:cs="宋体"/>
          <w:color w:val="auto"/>
          <w:highlight w:val="none"/>
        </w:rPr>
      </w:pPr>
    </w:p>
    <w:p w14:paraId="2C32FE75">
      <w:pPr>
        <w:pStyle w:val="277"/>
        <w:keepNext/>
        <w:keepLines/>
        <w:spacing w:before="260" w:after="260" w:line="416" w:lineRule="auto"/>
        <w:outlineLvl w:val="2"/>
        <w:rPr>
          <w:rFonts w:hint="eastAsia" w:ascii="黑体" w:hAnsi="黑体" w:eastAsia="黑体"/>
          <w:bCs/>
          <w:color w:val="auto"/>
          <w:sz w:val="28"/>
          <w:szCs w:val="28"/>
          <w:highlight w:val="none"/>
        </w:rPr>
      </w:pPr>
      <w:r>
        <w:rPr>
          <w:rFonts w:hint="eastAsia" w:ascii="宋体" w:hAnsi="宋体" w:cs="宋体"/>
          <w:color w:val="auto"/>
          <w:szCs w:val="24"/>
          <w:highlight w:val="none"/>
        </w:rPr>
        <w:br w:type="page"/>
      </w:r>
      <w:bookmarkStart w:id="197" w:name="_Toc187939574"/>
      <w:bookmarkStart w:id="198" w:name="_Toc169515411"/>
      <w:bookmarkStart w:id="199" w:name="_Toc187243522"/>
      <w:r>
        <w:rPr>
          <w:rFonts w:ascii="黑体" w:hAnsi="黑体" w:eastAsia="黑体"/>
          <w:bCs/>
          <w:color w:val="auto"/>
          <w:sz w:val="28"/>
          <w:szCs w:val="28"/>
          <w:highlight w:val="none"/>
        </w:rPr>
        <w:t>本项目所投</w:t>
      </w:r>
      <w:r>
        <w:rPr>
          <w:rFonts w:hint="eastAsia" w:ascii="黑体" w:hAnsi="黑体" w:eastAsia="黑体"/>
          <w:bCs/>
          <w:color w:val="auto"/>
          <w:sz w:val="28"/>
          <w:szCs w:val="28"/>
          <w:highlight w:val="none"/>
        </w:rPr>
        <w:t>执行本国产品政府采购政策功能产品</w:t>
      </w:r>
      <w:r>
        <w:rPr>
          <w:rFonts w:ascii="黑体" w:hAnsi="黑体" w:eastAsia="黑体"/>
          <w:bCs/>
          <w:color w:val="auto"/>
          <w:sz w:val="28"/>
          <w:szCs w:val="28"/>
          <w:highlight w:val="none"/>
        </w:rPr>
        <w:t>清单</w:t>
      </w:r>
    </w:p>
    <w:p w14:paraId="3B58AB1E">
      <w:pPr>
        <w:pStyle w:val="278"/>
        <w:widowControl/>
        <w:kinsoku w:val="0"/>
        <w:autoSpaceDE w:val="0"/>
        <w:autoSpaceDN w:val="0"/>
        <w:adjustRightInd w:val="0"/>
        <w:snapToGrid w:val="0"/>
        <w:jc w:val="center"/>
        <w:textAlignment w:val="baseline"/>
        <w:rPr>
          <w:b/>
          <w:bCs/>
          <w:snapToGrid w:val="0"/>
          <w:color w:val="auto"/>
          <w:sz w:val="28"/>
          <w:highlight w:val="none"/>
        </w:rPr>
      </w:pPr>
    </w:p>
    <w:p w14:paraId="53A964DB">
      <w:pPr>
        <w:pStyle w:val="278"/>
        <w:widowControl/>
        <w:kinsoku w:val="0"/>
        <w:autoSpaceDE w:val="0"/>
        <w:autoSpaceDN w:val="0"/>
        <w:adjustRightInd w:val="0"/>
        <w:snapToGrid w:val="0"/>
        <w:jc w:val="center"/>
        <w:textAlignment w:val="baseline"/>
        <w:rPr>
          <w:rFonts w:ascii="Arial" w:hAnsi="Arial" w:eastAsia="Arial" w:cs="Arial"/>
          <w:b/>
          <w:bCs/>
          <w:snapToGrid w:val="0"/>
          <w:color w:val="auto"/>
          <w:kern w:val="0"/>
          <w:szCs w:val="21"/>
          <w:highlight w:val="none"/>
          <w:lang w:eastAsia="zh"/>
        </w:rPr>
      </w:pPr>
      <w:r>
        <w:rPr>
          <w:rFonts w:hint="eastAsia"/>
          <w:b/>
          <w:bCs/>
          <w:snapToGrid w:val="0"/>
          <w:color w:val="auto"/>
          <w:sz w:val="28"/>
          <w:highlight w:val="none"/>
        </w:rPr>
        <w:t>本国产品成本比例承诺函</w:t>
      </w:r>
    </w:p>
    <w:tbl>
      <w:tblPr>
        <w:tblStyle w:val="42"/>
        <w:tblW w:w="4999" w:type="pct"/>
        <w:tblInd w:w="0" w:type="dxa"/>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Layout w:type="autofit"/>
        <w:tblCellMar>
          <w:top w:w="15" w:type="dxa"/>
          <w:left w:w="15" w:type="dxa"/>
          <w:bottom w:w="15" w:type="dxa"/>
          <w:right w:w="15" w:type="dxa"/>
        </w:tblCellMar>
      </w:tblPr>
      <w:tblGrid>
        <w:gridCol w:w="735"/>
        <w:gridCol w:w="2027"/>
        <w:gridCol w:w="2567"/>
        <w:gridCol w:w="3215"/>
      </w:tblGrid>
      <w:tr w14:paraId="5FFABE8D">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1334" w:hRule="atLeast"/>
        </w:trPr>
        <w:tc>
          <w:tcPr>
            <w:tcW w:w="430" w:type="pct"/>
            <w:tcBorders>
              <w:top w:val="single" w:color="000000" w:sz="8" w:space="0"/>
              <w:left w:val="single" w:color="000000" w:sz="8" w:space="0"/>
              <w:bottom w:val="single" w:color="000000" w:sz="8" w:space="0"/>
              <w:right w:val="single" w:color="000000" w:sz="8" w:space="0"/>
            </w:tcBorders>
            <w:shd w:val="clear" w:color="auto" w:fill="FFFFFF"/>
            <w:tcMar>
              <w:top w:w="0" w:type="dxa"/>
              <w:left w:w="120" w:type="dxa"/>
              <w:bottom w:w="0" w:type="dxa"/>
              <w:right w:w="120" w:type="dxa"/>
            </w:tcMar>
            <w:vAlign w:val="center"/>
          </w:tcPr>
          <w:p w14:paraId="248EFFED">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kern w:val="0"/>
                <w:szCs w:val="21"/>
                <w:highlight w:val="none"/>
                <w:lang w:bidi="ar"/>
              </w:rPr>
              <w:t>序号</w:t>
            </w:r>
          </w:p>
        </w:tc>
        <w:tc>
          <w:tcPr>
            <w:tcW w:w="1186"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1CFCDCD3">
            <w:pPr>
              <w:pStyle w:val="278"/>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主要产品</w:t>
            </w:r>
            <w:r>
              <w:rPr>
                <w:rFonts w:cs="Calibri"/>
                <w:snapToGrid w:val="0"/>
                <w:color w:val="auto"/>
                <w:kern w:val="0"/>
                <w:szCs w:val="21"/>
                <w:highlight w:val="none"/>
                <w:lang w:bidi="ar"/>
              </w:rPr>
              <w:t>/</w:t>
            </w:r>
            <w:r>
              <w:rPr>
                <w:rFonts w:hint="eastAsia" w:ascii="宋体" w:hAnsi="宋体" w:cs="宋体"/>
                <w:snapToGrid w:val="0"/>
                <w:color w:val="auto"/>
                <w:kern w:val="0"/>
                <w:szCs w:val="21"/>
                <w:highlight w:val="none"/>
                <w:lang w:bidi="ar"/>
              </w:rPr>
              <w:t>技术名称（规格型号）</w:t>
            </w:r>
          </w:p>
        </w:tc>
        <w:tc>
          <w:tcPr>
            <w:tcW w:w="1502"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2BB04732">
            <w:pPr>
              <w:pStyle w:val="278"/>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kern w:val="0"/>
                <w:szCs w:val="21"/>
                <w:highlight w:val="none"/>
                <w:lang w:bidi="ar"/>
              </w:rPr>
              <w:t>本国产品</w:t>
            </w:r>
          </w:p>
        </w:tc>
        <w:tc>
          <w:tcPr>
            <w:tcW w:w="1881"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24A81A04">
            <w:pPr>
              <w:pStyle w:val="278"/>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该产品</w:t>
            </w:r>
            <w:r>
              <w:rPr>
                <w:rFonts w:hint="eastAsia" w:ascii="宋体" w:hAnsi="宋体" w:cs="宋体"/>
                <w:snapToGrid w:val="0"/>
                <w:color w:val="auto"/>
                <w:kern w:val="0"/>
                <w:szCs w:val="21"/>
                <w:highlight w:val="none"/>
                <w:lang w:eastAsia="zh" w:bidi="ar"/>
              </w:rPr>
              <w:t>成本</w:t>
            </w:r>
            <w:r>
              <w:rPr>
                <w:rFonts w:hint="eastAsia" w:ascii="宋体" w:hAnsi="宋体" w:cs="宋体"/>
                <w:snapToGrid w:val="0"/>
                <w:color w:val="auto"/>
                <w:kern w:val="0"/>
                <w:szCs w:val="21"/>
                <w:highlight w:val="none"/>
                <w:lang w:bidi="ar"/>
              </w:rPr>
              <w:t>在产品总成本中占比（</w:t>
            </w:r>
            <w:r>
              <w:rPr>
                <w:rFonts w:cs="Calibri"/>
                <w:snapToGrid w:val="0"/>
                <w:color w:val="auto"/>
                <w:kern w:val="0"/>
                <w:szCs w:val="21"/>
                <w:highlight w:val="none"/>
                <w:lang w:bidi="ar"/>
              </w:rPr>
              <w:t>%</w:t>
            </w:r>
            <w:r>
              <w:rPr>
                <w:rFonts w:hint="eastAsia" w:ascii="宋体" w:hAnsi="宋体" w:cs="宋体"/>
                <w:snapToGrid w:val="0"/>
                <w:color w:val="auto"/>
                <w:kern w:val="0"/>
                <w:szCs w:val="21"/>
                <w:highlight w:val="none"/>
                <w:lang w:bidi="ar"/>
              </w:rPr>
              <w:t>）</w:t>
            </w:r>
          </w:p>
        </w:tc>
      </w:tr>
      <w:tr w14:paraId="267A30CF">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316D22C8">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r>
              <w:rPr>
                <w:rFonts w:cs="Calibri"/>
                <w:snapToGrid w:val="0"/>
                <w:color w:val="auto"/>
                <w:kern w:val="0"/>
                <w:szCs w:val="21"/>
                <w:highlight w:val="none"/>
                <w:lang w:bidi="ar"/>
              </w:rPr>
              <w:t>1</w:t>
            </w:r>
          </w:p>
        </w:tc>
        <w:tc>
          <w:tcPr>
            <w:tcW w:w="1186"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42DC1A4A">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10E9553D">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zh"/>
              </w:rPr>
            </w:pPr>
            <w:r>
              <w:rPr>
                <w:rFonts w:hint="eastAsia" w:ascii="宋体" w:hAnsi="宋体" w:cs="宋体"/>
                <w:snapToGrid w:val="0"/>
                <w:color w:val="auto"/>
                <w:kern w:val="0"/>
                <w:szCs w:val="21"/>
                <w:highlight w:val="none"/>
                <w:lang w:eastAsia="zh"/>
              </w:rPr>
              <w:t>是</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6277BC28">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rPr>
              <w:t>XX</w:t>
            </w:r>
          </w:p>
        </w:tc>
      </w:tr>
      <w:tr w14:paraId="7906C76B">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38AF4CB7">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r>
              <w:rPr>
                <w:rFonts w:cs="Calibri"/>
                <w:snapToGrid w:val="0"/>
                <w:color w:val="auto"/>
                <w:kern w:val="0"/>
                <w:szCs w:val="21"/>
                <w:highlight w:val="none"/>
                <w:lang w:bidi="ar"/>
              </w:rPr>
              <w:t>2</w:t>
            </w:r>
          </w:p>
        </w:tc>
        <w:tc>
          <w:tcPr>
            <w:tcW w:w="1186"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381EE851">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14C32B1E">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zh"/>
              </w:rPr>
            </w:pPr>
            <w:r>
              <w:rPr>
                <w:rFonts w:hint="eastAsia" w:ascii="宋体" w:hAnsi="宋体" w:cs="宋体"/>
                <w:snapToGrid w:val="0"/>
                <w:color w:val="auto"/>
                <w:kern w:val="0"/>
                <w:szCs w:val="21"/>
                <w:highlight w:val="none"/>
                <w:lang w:eastAsia="zh"/>
              </w:rPr>
              <w:t>是</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1E59E083">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rPr>
              <w:t>XX</w:t>
            </w:r>
          </w:p>
        </w:tc>
      </w:tr>
      <w:tr w14:paraId="05426A07">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141D5F2A">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r>
              <w:rPr>
                <w:rFonts w:cs="Calibri"/>
                <w:snapToGrid w:val="0"/>
                <w:color w:val="auto"/>
                <w:kern w:val="0"/>
                <w:szCs w:val="21"/>
                <w:highlight w:val="none"/>
                <w:lang w:bidi="ar"/>
              </w:rPr>
              <w:t>3</w:t>
            </w:r>
          </w:p>
        </w:tc>
        <w:tc>
          <w:tcPr>
            <w:tcW w:w="1186"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45D89B82">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21D2AE7C">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zh"/>
              </w:rPr>
            </w:pPr>
            <w:r>
              <w:rPr>
                <w:rFonts w:hint="eastAsia" w:ascii="宋体" w:hAnsi="宋体" w:cs="宋体"/>
                <w:snapToGrid w:val="0"/>
                <w:color w:val="auto"/>
                <w:kern w:val="0"/>
                <w:szCs w:val="21"/>
                <w:highlight w:val="none"/>
                <w:lang w:eastAsia="zh"/>
              </w:rPr>
              <w:t>否</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2A7C7FDF">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rPr>
              <w:t>XX</w:t>
            </w:r>
          </w:p>
        </w:tc>
      </w:tr>
      <w:tr w14:paraId="01EEA8BE">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c>
          <w:tcPr>
            <w:tcW w:w="3118" w:type="pct"/>
            <w:gridSpan w:val="3"/>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5FEA441D">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本国</w:t>
            </w:r>
            <w:r>
              <w:rPr>
                <w:rFonts w:hint="eastAsia" w:ascii="宋体" w:hAnsi="宋体" w:cs="宋体"/>
                <w:snapToGrid w:val="0"/>
                <w:color w:val="auto"/>
                <w:kern w:val="0"/>
                <w:szCs w:val="21"/>
                <w:highlight w:val="none"/>
                <w:lang w:eastAsia="zh" w:bidi="ar"/>
              </w:rPr>
              <w:t>产品</w:t>
            </w:r>
            <w:r>
              <w:rPr>
                <w:rFonts w:hint="eastAsia" w:ascii="宋体" w:hAnsi="宋体" w:cs="宋体"/>
                <w:snapToGrid w:val="0"/>
                <w:color w:val="auto"/>
                <w:kern w:val="0"/>
                <w:szCs w:val="21"/>
                <w:highlight w:val="none"/>
                <w:lang w:bidi="ar"/>
              </w:rPr>
              <w:t>在产品总成本中占比合计</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394407DE">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eastAsia="zh"/>
              </w:rPr>
            </w:pPr>
            <w:r>
              <w:rPr>
                <w:rFonts w:hint="eastAsia" w:ascii="宋体" w:hAnsi="宋体" w:cs="宋体"/>
                <w:snapToGrid w:val="0"/>
                <w:color w:val="auto"/>
                <w:kern w:val="0"/>
                <w:szCs w:val="21"/>
                <w:highlight w:val="none"/>
              </w:rPr>
              <w:t>XX</w:t>
            </w:r>
          </w:p>
        </w:tc>
      </w:tr>
    </w:tbl>
    <w:p w14:paraId="3BCC3360">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bidi="ar"/>
        </w:rPr>
      </w:pPr>
      <w:r>
        <w:rPr>
          <w:rFonts w:hint="eastAsia" w:ascii="宋体" w:hAnsi="宋体" w:cs="宋体"/>
          <w:snapToGrid w:val="0"/>
          <w:color w:val="auto"/>
          <w:kern w:val="0"/>
          <w:szCs w:val="21"/>
          <w:highlight w:val="none"/>
          <w:lang w:bidi="ar"/>
        </w:rPr>
        <w:t>本公司（单位）承诺上述数据均已经我公司（单位）核实确认，确保真实、有效。</w:t>
      </w:r>
    </w:p>
    <w:p w14:paraId="23DBC61E">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供应商名称（盖章）：</w:t>
      </w:r>
      <w:r>
        <w:rPr>
          <w:rFonts w:cs="Calibri"/>
          <w:snapToGrid w:val="0"/>
          <w:color w:val="auto"/>
          <w:kern w:val="0"/>
          <w:szCs w:val="21"/>
          <w:highlight w:val="none"/>
          <w:lang w:bidi="ar"/>
        </w:rPr>
        <w:t>__________________</w:t>
      </w:r>
    </w:p>
    <w:p w14:paraId="414C2804">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日期： 年 月 日</w:t>
      </w:r>
    </w:p>
    <w:p w14:paraId="21A8075C">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p>
    <w:p w14:paraId="462F0919">
      <w:pPr>
        <w:pStyle w:val="278"/>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kern w:val="0"/>
          <w:szCs w:val="21"/>
          <w:highlight w:val="none"/>
          <w:lang w:bidi="ar"/>
        </w:rPr>
        <w:t>注：</w:t>
      </w:r>
    </w:p>
    <w:p w14:paraId="157CD229">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1、供应商提供本国产品应符合《国务院办公厅关于在政府采购中实施本国产品标准及相关政策的通知》（国办发〔</w:t>
      </w:r>
      <w:r>
        <w:rPr>
          <w:rFonts w:ascii="宋体" w:hAnsi="宋体" w:cs="宋体"/>
          <w:color w:val="auto"/>
          <w:kern w:val="0"/>
          <w:szCs w:val="21"/>
          <w:highlight w:val="none"/>
          <w:lang w:bidi="ar"/>
        </w:rPr>
        <w:t>2025</w:t>
      </w:r>
      <w:r>
        <w:rPr>
          <w:rFonts w:hint="eastAsia" w:ascii="宋体" w:hAnsi="宋体" w:cs="宋体"/>
          <w:color w:val="auto"/>
          <w:kern w:val="0"/>
          <w:szCs w:val="21"/>
          <w:highlight w:val="none"/>
          <w:lang w:bidi="ar"/>
        </w:rPr>
        <w:t>〕</w:t>
      </w:r>
      <w:r>
        <w:rPr>
          <w:rFonts w:ascii="宋体" w:hAnsi="宋体" w:cs="宋体"/>
          <w:color w:val="auto"/>
          <w:kern w:val="0"/>
          <w:szCs w:val="21"/>
          <w:highlight w:val="none"/>
          <w:lang w:bidi="ar"/>
        </w:rPr>
        <w:t>34</w:t>
      </w:r>
      <w:r>
        <w:rPr>
          <w:rFonts w:hint="eastAsia" w:ascii="宋体" w:hAnsi="宋体" w:cs="宋体"/>
          <w:color w:val="auto"/>
          <w:kern w:val="0"/>
          <w:szCs w:val="21"/>
          <w:highlight w:val="none"/>
          <w:lang w:bidi="ar"/>
        </w:rPr>
        <w:t>号），如后续有更新的，则以更新后的文件为准，按照《中国境内生产的组件成本核算基本规则》提供该产品</w:t>
      </w:r>
      <w:r>
        <w:rPr>
          <w:rFonts w:hint="eastAsia" w:ascii="宋体" w:hAnsi="宋体" w:cs="宋体"/>
          <w:color w:val="auto"/>
          <w:kern w:val="0"/>
          <w:szCs w:val="21"/>
          <w:highlight w:val="none"/>
          <w:lang w:eastAsia="zh" w:bidi="ar"/>
        </w:rPr>
        <w:t>成本</w:t>
      </w:r>
      <w:r>
        <w:rPr>
          <w:rFonts w:hint="eastAsia" w:ascii="宋体" w:hAnsi="宋体" w:cs="宋体"/>
          <w:color w:val="auto"/>
          <w:kern w:val="0"/>
          <w:szCs w:val="21"/>
          <w:highlight w:val="none"/>
          <w:lang w:bidi="ar"/>
        </w:rPr>
        <w:t>在产品总成本中占比。</w:t>
      </w:r>
    </w:p>
    <w:p w14:paraId="70972CB5">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2、供应商须同时出具《关于符合本国产品标准的声明函》或财政部会同有关部门规定的有关证明文件。出具符合要求的《声明函》或有关证明文件的，该产品视为本国产品。</w:t>
      </w:r>
    </w:p>
    <w:p w14:paraId="729B1655">
      <w:pPr>
        <w:pStyle w:val="280"/>
        <w:outlineLvl w:val="1"/>
        <w:rPr>
          <w:rFonts w:ascii="宋体" w:hAnsi="宋体" w:cs="宋体"/>
          <w:color w:val="auto"/>
          <w:sz w:val="21"/>
          <w:szCs w:val="21"/>
          <w:highlight w:val="none"/>
          <w:lang w:bidi="ar"/>
        </w:rPr>
      </w:pPr>
      <w:r>
        <w:rPr>
          <w:rFonts w:ascii="Calibri" w:hAnsi="Calibri" w:eastAsia="宋体"/>
          <w:color w:val="auto"/>
          <w:kern w:val="2"/>
          <w:sz w:val="21"/>
          <w:szCs w:val="22"/>
          <w:highlight w:val="none"/>
        </w:rPr>
        <w:br w:type="page"/>
      </w:r>
      <w:bookmarkStart w:id="200" w:name="_Toc256000096"/>
      <w:bookmarkStart w:id="201" w:name="_Toc232776650"/>
      <w:bookmarkStart w:id="202" w:name="_Toc226711292"/>
      <w:bookmarkStart w:id="203" w:name="_Toc230703721"/>
      <w:r>
        <w:rPr>
          <w:rFonts w:hint="eastAsia" w:ascii="宋体" w:hAnsi="宋体" w:eastAsia="宋体" w:cs="宋体"/>
          <w:color w:val="auto"/>
          <w:kern w:val="2"/>
          <w:sz w:val="21"/>
          <w:szCs w:val="21"/>
          <w:highlight w:val="none"/>
          <w:lang w:bidi="ar"/>
        </w:rPr>
        <w:t>附件1</w:t>
      </w:r>
      <w:bookmarkEnd w:id="200"/>
      <w:bookmarkEnd w:id="201"/>
      <w:bookmarkEnd w:id="202"/>
      <w:bookmarkEnd w:id="203"/>
      <w:r>
        <w:rPr>
          <w:rFonts w:hint="eastAsia" w:ascii="宋体" w:hAnsi="宋体" w:eastAsia="宋体" w:cs="宋体"/>
          <w:color w:val="auto"/>
          <w:kern w:val="2"/>
          <w:sz w:val="21"/>
          <w:szCs w:val="21"/>
          <w:highlight w:val="none"/>
          <w:lang w:bidi="ar"/>
        </w:rPr>
        <w:t xml:space="preserve"> </w:t>
      </w:r>
    </w:p>
    <w:p w14:paraId="42B4C160">
      <w:pPr>
        <w:pStyle w:val="279"/>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中国境内生产的组件成本核算基本规则</w:t>
      </w:r>
    </w:p>
    <w:p w14:paraId="2B6B5B84">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0A2900C">
      <w:pPr>
        <w:pStyle w:val="279"/>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一、产品的一级组件是指直接组成产品的组件。产品的二级组件是指直接组成产品一级组件的组件。一级组件不可分解的，视同二级组件。</w:t>
      </w:r>
    </w:p>
    <w:p w14:paraId="077D05F0">
      <w:pPr>
        <w:pStyle w:val="279"/>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二、二级组件在中国境内生产的，其全部成本计入中国境内生产的组件成本；二级组件不在中国境内生产的，其成本不计入中国境内生产的组件成本。</w:t>
      </w:r>
    </w:p>
    <w:p w14:paraId="6259790A">
      <w:pPr>
        <w:pStyle w:val="279"/>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三、产品总成本和组件成本以相关会计核算数据、采购合同、进货记录等为基础进行计算。 </w:t>
      </w:r>
    </w:p>
    <w:p w14:paraId="1D855EF5">
      <w:pPr>
        <w:pStyle w:val="279"/>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四、需要对成本核算规则予以进一步明确的其他有关事项，由财政部会同有关部门另行规定。 </w:t>
      </w:r>
    </w:p>
    <w:p w14:paraId="2098AD2E">
      <w:pPr>
        <w:pStyle w:val="280"/>
        <w:outlineLvl w:val="1"/>
        <w:rPr>
          <w:rFonts w:ascii="宋体" w:hAnsi="宋体" w:cs="宋体"/>
          <w:color w:val="auto"/>
          <w:sz w:val="21"/>
          <w:szCs w:val="21"/>
          <w:highlight w:val="none"/>
          <w:lang w:bidi="ar"/>
        </w:rPr>
      </w:pPr>
      <w:r>
        <w:rPr>
          <w:rFonts w:ascii="Calibri" w:hAnsi="Calibri" w:eastAsia="宋体"/>
          <w:color w:val="auto"/>
          <w:kern w:val="2"/>
          <w:sz w:val="21"/>
          <w:szCs w:val="22"/>
          <w:highlight w:val="none"/>
        </w:rPr>
        <w:br w:type="page"/>
      </w:r>
      <w:bookmarkStart w:id="204" w:name="_Toc256000097"/>
      <w:bookmarkStart w:id="205" w:name="_Toc230703722"/>
      <w:bookmarkStart w:id="206" w:name="_Toc232776651"/>
      <w:bookmarkStart w:id="207" w:name="_Toc226711293"/>
      <w:r>
        <w:rPr>
          <w:rFonts w:hint="eastAsia" w:ascii="宋体" w:hAnsi="宋体" w:eastAsia="宋体" w:cs="宋体"/>
          <w:color w:val="auto"/>
          <w:kern w:val="2"/>
          <w:sz w:val="21"/>
          <w:szCs w:val="21"/>
          <w:highlight w:val="none"/>
          <w:lang w:bidi="ar"/>
        </w:rPr>
        <w:t>附件2</w:t>
      </w:r>
      <w:bookmarkEnd w:id="204"/>
      <w:bookmarkEnd w:id="205"/>
      <w:bookmarkEnd w:id="206"/>
      <w:bookmarkEnd w:id="207"/>
    </w:p>
    <w:p w14:paraId="1C387ED3">
      <w:pPr>
        <w:pStyle w:val="279"/>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关于符合本国产品标准的声明函</w:t>
      </w:r>
    </w:p>
    <w:p w14:paraId="3E663893">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本公司（单位）郑重声明，根据《国务院办公厅关于在政府采购中实施本国产品标准及相关政策的通知》（国办发〔2025〕34号）的规定，本公司（单位）提供的以下产品属于本国产品。具体情况如下：</w:t>
      </w:r>
    </w:p>
    <w:p w14:paraId="729523A9">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1.（产品名称1）</w:t>
      </w:r>
      <w:r>
        <w:rPr>
          <w:rFonts w:hint="eastAsia" w:ascii="宋体" w:hAnsi="宋体" w:cs="宋体"/>
          <w:color w:val="auto"/>
          <w:kern w:val="0"/>
          <w:szCs w:val="21"/>
          <w:highlight w:val="none"/>
          <w:vertAlign w:val="superscript"/>
          <w:lang w:bidi="ar"/>
        </w:rPr>
        <w:t>1</w:t>
      </w:r>
      <w:r>
        <w:rPr>
          <w:rFonts w:hint="eastAsia" w:ascii="宋体" w:hAnsi="宋体" w:cs="宋体"/>
          <w:color w:val="auto"/>
          <w:kern w:val="0"/>
          <w:szCs w:val="21"/>
          <w:highlight w:val="none"/>
          <w:lang w:bidi="ar"/>
        </w:rPr>
        <w:t>，生产厂为（厂名）</w:t>
      </w:r>
      <w:r>
        <w:rPr>
          <w:rFonts w:hint="eastAsia" w:ascii="宋体" w:hAnsi="宋体" w:cs="宋体"/>
          <w:color w:val="auto"/>
          <w:kern w:val="0"/>
          <w:szCs w:val="21"/>
          <w:highlight w:val="none"/>
          <w:vertAlign w:val="superscript"/>
          <w:lang w:bidi="ar"/>
        </w:rPr>
        <w:t>2</w:t>
      </w:r>
      <w:r>
        <w:rPr>
          <w:rFonts w:hint="eastAsia" w:ascii="宋体" w:hAnsi="宋体" w:cs="宋体"/>
          <w:color w:val="auto"/>
          <w:kern w:val="0"/>
          <w:szCs w:val="21"/>
          <w:highlight w:val="none"/>
          <w:lang w:bidi="ar"/>
        </w:rPr>
        <w:t>，厂址为（生产厂址）。（产品名称1）的中国境内生产的组件成本占比≥（规定比例）</w:t>
      </w:r>
      <w:r>
        <w:rPr>
          <w:rFonts w:hint="eastAsia" w:ascii="宋体" w:hAnsi="宋体" w:cs="宋体"/>
          <w:color w:val="auto"/>
          <w:kern w:val="0"/>
          <w:szCs w:val="21"/>
          <w:highlight w:val="none"/>
          <w:vertAlign w:val="superscript"/>
          <w:lang w:bidi="ar"/>
        </w:rPr>
        <w:t>3</w:t>
      </w:r>
      <w:r>
        <w:rPr>
          <w:rFonts w:hint="eastAsia" w:ascii="宋体" w:hAnsi="宋体" w:cs="宋体"/>
          <w:color w:val="auto"/>
          <w:kern w:val="0"/>
          <w:szCs w:val="21"/>
          <w:highlight w:val="none"/>
          <w:lang w:bidi="ar"/>
        </w:rPr>
        <w:t>。（产品名称1）的（关键组件）</w:t>
      </w:r>
      <w:r>
        <w:rPr>
          <w:rFonts w:hint="eastAsia" w:ascii="宋体" w:hAnsi="宋体" w:cs="宋体"/>
          <w:color w:val="auto"/>
          <w:kern w:val="0"/>
          <w:szCs w:val="21"/>
          <w:highlight w:val="none"/>
          <w:vertAlign w:val="superscript"/>
          <w:lang w:bidi="ar"/>
        </w:rPr>
        <w:t>4</w:t>
      </w:r>
      <w:r>
        <w:rPr>
          <w:rFonts w:hint="eastAsia" w:ascii="宋体" w:hAnsi="宋体" w:cs="宋体"/>
          <w:color w:val="auto"/>
          <w:kern w:val="0"/>
          <w:szCs w:val="21"/>
          <w:highlight w:val="none"/>
          <w:lang w:bidi="ar"/>
        </w:rPr>
        <w:t>在中国境内生产。（产品名称1）的（关键工序）</w:t>
      </w:r>
      <w:r>
        <w:rPr>
          <w:rFonts w:hint="eastAsia" w:ascii="宋体" w:hAnsi="宋体" w:cs="宋体"/>
          <w:color w:val="auto"/>
          <w:kern w:val="0"/>
          <w:szCs w:val="21"/>
          <w:highlight w:val="none"/>
          <w:vertAlign w:val="superscript"/>
          <w:lang w:bidi="ar"/>
        </w:rPr>
        <w:t>5</w:t>
      </w:r>
      <w:r>
        <w:rPr>
          <w:rFonts w:hint="eastAsia" w:ascii="宋体" w:hAnsi="宋体" w:cs="宋体"/>
          <w:color w:val="auto"/>
          <w:kern w:val="0"/>
          <w:szCs w:val="21"/>
          <w:highlight w:val="none"/>
          <w:lang w:bidi="ar"/>
        </w:rPr>
        <w:t>在中国境内完成。</w:t>
      </w:r>
    </w:p>
    <w:p w14:paraId="5E85F671">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产品名称2），生产厂为（厂名），厂址为（生产厂址）。（产品名称2）的中国境内生产的组件成本占比≥（规定比例）。（产品名称2）的（关键组件）中国境内生产。（产品名称2）的（关键工序）在中国境内完成。</w:t>
      </w:r>
    </w:p>
    <w:p w14:paraId="544C2431">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p w14:paraId="08154F29">
      <w:pPr>
        <w:pStyle w:val="279"/>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本公司（单位）对上述声明内容的真实性负责。如有虚假，愿承担相应法律责任。 </w:t>
      </w:r>
    </w:p>
    <w:p w14:paraId="348A85D4">
      <w:pPr>
        <w:pStyle w:val="279"/>
        <w:widowControl/>
        <w:spacing w:line="360" w:lineRule="auto"/>
        <w:jc w:val="righ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公司（单位）名称（盖章）： </w:t>
      </w:r>
    </w:p>
    <w:p w14:paraId="413CD6C1">
      <w:pPr>
        <w:pStyle w:val="279"/>
        <w:widowControl/>
        <w:spacing w:line="360" w:lineRule="auto"/>
        <w:ind w:firstLine="420" w:firstLineChars="200"/>
        <w:jc w:val="righ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日期： 年 月 日</w:t>
      </w:r>
    </w:p>
    <w:p w14:paraId="5607818E">
      <w:pPr>
        <w:pStyle w:val="279"/>
        <w:widowControl/>
        <w:spacing w:line="360" w:lineRule="auto"/>
        <w:ind w:firstLine="422" w:firstLineChars="200"/>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1.产品如有型号，请在“产品名称”栏一并填写，</w:t>
      </w:r>
      <w:r>
        <w:rPr>
          <w:rFonts w:ascii="宋体" w:hAnsi="宋体" w:cs="宋体"/>
          <w:b/>
          <w:bCs/>
          <w:color w:val="auto"/>
          <w:kern w:val="0"/>
          <w:szCs w:val="21"/>
          <w:highlight w:val="none"/>
          <w:lang w:bidi="ar"/>
        </w:rPr>
        <w:t>多种产品应分别填写名称</w:t>
      </w:r>
      <w:r>
        <w:rPr>
          <w:rFonts w:hint="eastAsia" w:ascii="宋体" w:hAnsi="宋体" w:cs="宋体"/>
          <w:b/>
          <w:bCs/>
          <w:color w:val="auto"/>
          <w:kern w:val="0"/>
          <w:szCs w:val="21"/>
          <w:highlight w:val="none"/>
          <w:lang w:bidi="ar"/>
        </w:rPr>
        <w:t xml:space="preserve">。 </w:t>
      </w:r>
    </w:p>
    <w:p w14:paraId="7901FD73">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2.生产厂名与厂址应与生产厂营业执照载明的相关信息保持一致。</w:t>
      </w:r>
    </w:p>
    <w:p w14:paraId="5C650EF3">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3.该产品的中国境内生产的组件成本占比相关要求实施前，“规定比例”栏可不填，下同。</w:t>
      </w:r>
    </w:p>
    <w:p w14:paraId="2BFB68F4">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4.该产品的关键组件要求实施前，“关键组件”栏可不填，下同。</w:t>
      </w:r>
    </w:p>
    <w:p w14:paraId="66F628F6">
      <w:pPr>
        <w:pStyle w:val="279"/>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5.该产品的关键工序要求实施前，“关键工序”栏可不填，下同。</w:t>
      </w:r>
    </w:p>
    <w:p w14:paraId="0C8E5AC9">
      <w:pPr>
        <w:adjustRightInd w:val="0"/>
        <w:snapToGrid w:val="0"/>
        <w:spacing w:before="156" w:beforeLines="50" w:line="360" w:lineRule="auto"/>
        <w:jc w:val="left"/>
        <w:outlineLvl w:val="0"/>
        <w:rPr>
          <w:rFonts w:hint="eastAsia" w:ascii="宋体" w:hAnsi="宋体" w:cs="宋体"/>
          <w:color w:val="auto"/>
          <w:highlight w:val="none"/>
        </w:rPr>
      </w:pPr>
      <w:r>
        <w:rPr>
          <w:rFonts w:ascii="Calibri" w:hAnsi="Calibri"/>
          <w:color w:val="auto"/>
          <w:szCs w:val="22"/>
          <w:highlight w:val="none"/>
        </w:rPr>
        <w:br w:type="page"/>
      </w:r>
      <w:bookmarkStart w:id="208" w:name="_Toc256000098"/>
      <w:bookmarkStart w:id="209" w:name="_Toc230703723"/>
      <w:bookmarkStart w:id="210" w:name="_Toc226711294"/>
      <w:bookmarkStart w:id="211" w:name="_Toc232776652"/>
      <w:r>
        <w:rPr>
          <w:rFonts w:hint="eastAsia" w:ascii="宋体" w:hAnsi="宋体" w:cs="宋体"/>
          <w:color w:val="auto"/>
          <w:szCs w:val="21"/>
          <w:highlight w:val="none"/>
          <w:lang w:bidi="ar"/>
        </w:rPr>
        <w:t>附件3：</w:t>
      </w:r>
      <w:r>
        <w:rPr>
          <w:rFonts w:hint="eastAsia" w:ascii="宋体" w:hAnsi="宋体" w:cs="宋体"/>
          <w:color w:val="auto"/>
          <w:szCs w:val="21"/>
          <w:highlight w:val="none"/>
          <w:lang w:eastAsia="zh" w:bidi="ar"/>
        </w:rPr>
        <w:t>其他证明材料</w:t>
      </w:r>
      <w:bookmarkEnd w:id="208"/>
      <w:bookmarkEnd w:id="209"/>
      <w:bookmarkEnd w:id="210"/>
      <w:bookmarkEnd w:id="211"/>
    </w:p>
    <w:p w14:paraId="4C3D7655">
      <w:pPr>
        <w:adjustRightInd w:val="0"/>
        <w:snapToGrid w:val="0"/>
        <w:spacing w:before="156" w:beforeLines="50" w:line="360" w:lineRule="auto"/>
        <w:jc w:val="center"/>
        <w:outlineLvl w:val="0"/>
        <w:rPr>
          <w:rFonts w:hint="eastAsia" w:ascii="宋体" w:hAnsi="宋体" w:cs="宋体"/>
          <w:color w:val="auto"/>
          <w:highlight w:val="none"/>
        </w:rPr>
      </w:pPr>
    </w:p>
    <w:p w14:paraId="6CF18640">
      <w:pPr>
        <w:adjustRightInd w:val="0"/>
        <w:snapToGrid w:val="0"/>
        <w:spacing w:before="156" w:beforeLines="50" w:line="360" w:lineRule="auto"/>
        <w:jc w:val="center"/>
        <w:outlineLvl w:val="0"/>
        <w:rPr>
          <w:rFonts w:hint="eastAsia" w:ascii="宋体" w:hAnsi="宋体" w:cs="宋体"/>
          <w:color w:val="auto"/>
          <w:highlight w:val="none"/>
        </w:rPr>
      </w:pPr>
    </w:p>
    <w:p w14:paraId="08B82A42">
      <w:pPr>
        <w:adjustRightInd w:val="0"/>
        <w:snapToGrid w:val="0"/>
        <w:spacing w:before="156" w:beforeLines="50" w:line="360" w:lineRule="auto"/>
        <w:jc w:val="center"/>
        <w:outlineLvl w:val="0"/>
        <w:rPr>
          <w:rFonts w:hint="eastAsia" w:ascii="宋体" w:hAnsi="宋体" w:cs="宋体"/>
          <w:color w:val="auto"/>
          <w:highlight w:val="none"/>
        </w:rPr>
      </w:pPr>
    </w:p>
    <w:p w14:paraId="1C39D3C3">
      <w:pPr>
        <w:adjustRightInd w:val="0"/>
        <w:snapToGrid w:val="0"/>
        <w:spacing w:before="156" w:beforeLines="50" w:line="360" w:lineRule="auto"/>
        <w:jc w:val="center"/>
        <w:outlineLvl w:val="0"/>
        <w:rPr>
          <w:rFonts w:hint="eastAsia" w:ascii="宋体" w:hAnsi="宋体" w:cs="宋体"/>
          <w:color w:val="auto"/>
          <w:highlight w:val="none"/>
        </w:rPr>
      </w:pPr>
    </w:p>
    <w:p w14:paraId="717D92A3">
      <w:pPr>
        <w:adjustRightInd w:val="0"/>
        <w:snapToGrid w:val="0"/>
        <w:spacing w:before="156" w:beforeLines="50" w:line="360" w:lineRule="auto"/>
        <w:jc w:val="center"/>
        <w:outlineLvl w:val="0"/>
        <w:rPr>
          <w:rFonts w:hint="eastAsia" w:ascii="宋体" w:hAnsi="宋体" w:cs="宋体"/>
          <w:color w:val="auto"/>
          <w:highlight w:val="none"/>
        </w:rPr>
      </w:pPr>
    </w:p>
    <w:p w14:paraId="796F7D42">
      <w:pPr>
        <w:adjustRightInd w:val="0"/>
        <w:snapToGrid w:val="0"/>
        <w:spacing w:before="156" w:beforeLines="50" w:line="360" w:lineRule="auto"/>
        <w:jc w:val="center"/>
        <w:outlineLvl w:val="0"/>
        <w:rPr>
          <w:rFonts w:hint="eastAsia" w:ascii="宋体" w:hAnsi="宋体" w:cs="宋体"/>
          <w:color w:val="auto"/>
          <w:highlight w:val="none"/>
        </w:rPr>
      </w:pPr>
    </w:p>
    <w:p w14:paraId="45254B88">
      <w:pPr>
        <w:adjustRightInd w:val="0"/>
        <w:snapToGrid w:val="0"/>
        <w:spacing w:before="156" w:beforeLines="50" w:line="360" w:lineRule="auto"/>
        <w:jc w:val="center"/>
        <w:outlineLvl w:val="0"/>
        <w:rPr>
          <w:rFonts w:hint="eastAsia" w:ascii="宋体" w:hAnsi="宋体" w:cs="宋体"/>
          <w:color w:val="auto"/>
          <w:highlight w:val="none"/>
        </w:rPr>
      </w:pPr>
    </w:p>
    <w:p w14:paraId="42CF724E">
      <w:pPr>
        <w:adjustRightInd w:val="0"/>
        <w:snapToGrid w:val="0"/>
        <w:spacing w:before="156" w:beforeLines="50" w:line="360" w:lineRule="auto"/>
        <w:jc w:val="center"/>
        <w:outlineLvl w:val="0"/>
        <w:rPr>
          <w:rFonts w:hint="eastAsia" w:ascii="宋体" w:hAnsi="宋体" w:cs="宋体"/>
          <w:color w:val="auto"/>
          <w:highlight w:val="none"/>
        </w:rPr>
      </w:pPr>
    </w:p>
    <w:p w14:paraId="2B60E245">
      <w:pPr>
        <w:adjustRightInd w:val="0"/>
        <w:snapToGrid w:val="0"/>
        <w:spacing w:before="156" w:beforeLines="50" w:line="360" w:lineRule="auto"/>
        <w:jc w:val="center"/>
        <w:outlineLvl w:val="0"/>
        <w:rPr>
          <w:rFonts w:hint="eastAsia" w:ascii="宋体" w:hAnsi="宋体" w:cs="宋体"/>
          <w:color w:val="auto"/>
          <w:highlight w:val="none"/>
        </w:rPr>
      </w:pPr>
    </w:p>
    <w:p w14:paraId="3ED532EE">
      <w:pPr>
        <w:adjustRightInd w:val="0"/>
        <w:snapToGrid w:val="0"/>
        <w:spacing w:before="156" w:beforeLines="50" w:line="360" w:lineRule="auto"/>
        <w:jc w:val="center"/>
        <w:outlineLvl w:val="0"/>
        <w:rPr>
          <w:rFonts w:hint="eastAsia" w:ascii="宋体" w:hAnsi="宋体" w:cs="宋体"/>
          <w:color w:val="auto"/>
          <w:highlight w:val="none"/>
        </w:rPr>
      </w:pPr>
    </w:p>
    <w:p w14:paraId="140FA157">
      <w:pPr>
        <w:adjustRightInd w:val="0"/>
        <w:snapToGrid w:val="0"/>
        <w:spacing w:before="156" w:beforeLines="50" w:line="360" w:lineRule="auto"/>
        <w:jc w:val="center"/>
        <w:outlineLvl w:val="0"/>
        <w:rPr>
          <w:rFonts w:hint="eastAsia" w:ascii="宋体" w:hAnsi="宋体" w:cs="宋体"/>
          <w:color w:val="auto"/>
          <w:highlight w:val="none"/>
        </w:rPr>
      </w:pPr>
    </w:p>
    <w:p w14:paraId="36AD4805">
      <w:pPr>
        <w:adjustRightInd w:val="0"/>
        <w:snapToGrid w:val="0"/>
        <w:spacing w:before="156" w:beforeLines="50" w:line="360" w:lineRule="auto"/>
        <w:jc w:val="center"/>
        <w:outlineLvl w:val="0"/>
        <w:rPr>
          <w:rFonts w:hint="eastAsia" w:ascii="宋体" w:hAnsi="宋体" w:cs="宋体"/>
          <w:color w:val="auto"/>
          <w:highlight w:val="none"/>
        </w:rPr>
      </w:pPr>
    </w:p>
    <w:p w14:paraId="30B0B13F">
      <w:pPr>
        <w:adjustRightInd w:val="0"/>
        <w:snapToGrid w:val="0"/>
        <w:spacing w:before="156" w:beforeLines="50" w:line="360" w:lineRule="auto"/>
        <w:jc w:val="center"/>
        <w:outlineLvl w:val="0"/>
        <w:rPr>
          <w:rFonts w:hint="eastAsia" w:ascii="宋体" w:hAnsi="宋体" w:cs="宋体"/>
          <w:color w:val="auto"/>
          <w:highlight w:val="none"/>
        </w:rPr>
      </w:pPr>
    </w:p>
    <w:p w14:paraId="058C9808">
      <w:pPr>
        <w:adjustRightInd w:val="0"/>
        <w:snapToGrid w:val="0"/>
        <w:spacing w:before="156" w:beforeLines="50" w:line="360" w:lineRule="auto"/>
        <w:jc w:val="center"/>
        <w:outlineLvl w:val="0"/>
        <w:rPr>
          <w:rFonts w:hint="eastAsia" w:ascii="宋体" w:hAnsi="宋体" w:cs="宋体"/>
          <w:color w:val="auto"/>
          <w:highlight w:val="none"/>
        </w:rPr>
      </w:pPr>
    </w:p>
    <w:p w14:paraId="7DB10BB9">
      <w:pPr>
        <w:adjustRightInd w:val="0"/>
        <w:snapToGrid w:val="0"/>
        <w:spacing w:before="156" w:beforeLines="50" w:line="360" w:lineRule="auto"/>
        <w:jc w:val="center"/>
        <w:outlineLvl w:val="0"/>
        <w:rPr>
          <w:rFonts w:hint="eastAsia" w:ascii="宋体" w:hAnsi="宋体" w:cs="宋体"/>
          <w:color w:val="auto"/>
          <w:highlight w:val="none"/>
        </w:rPr>
      </w:pPr>
    </w:p>
    <w:p w14:paraId="0C1BA77B">
      <w:pPr>
        <w:adjustRightInd w:val="0"/>
        <w:snapToGrid w:val="0"/>
        <w:spacing w:before="156" w:beforeLines="50" w:line="360" w:lineRule="auto"/>
        <w:jc w:val="center"/>
        <w:outlineLvl w:val="0"/>
        <w:rPr>
          <w:rFonts w:hint="eastAsia" w:ascii="宋体" w:hAnsi="宋体" w:cs="宋体"/>
          <w:color w:val="auto"/>
          <w:highlight w:val="none"/>
        </w:rPr>
      </w:pPr>
    </w:p>
    <w:p w14:paraId="1BF4C31F">
      <w:pPr>
        <w:adjustRightInd w:val="0"/>
        <w:snapToGrid w:val="0"/>
        <w:spacing w:before="156" w:beforeLines="50" w:line="360" w:lineRule="auto"/>
        <w:jc w:val="center"/>
        <w:outlineLvl w:val="0"/>
        <w:rPr>
          <w:rFonts w:hint="eastAsia" w:ascii="宋体" w:hAnsi="宋体" w:cs="宋体"/>
          <w:color w:val="auto"/>
          <w:highlight w:val="none"/>
        </w:rPr>
      </w:pPr>
    </w:p>
    <w:p w14:paraId="17EE40E6">
      <w:pPr>
        <w:adjustRightInd w:val="0"/>
        <w:snapToGrid w:val="0"/>
        <w:spacing w:before="156" w:beforeLines="50" w:line="360" w:lineRule="auto"/>
        <w:jc w:val="center"/>
        <w:outlineLvl w:val="0"/>
        <w:rPr>
          <w:rFonts w:hint="eastAsia" w:ascii="宋体" w:hAnsi="宋体" w:cs="宋体"/>
          <w:color w:val="auto"/>
          <w:highlight w:val="none"/>
        </w:rPr>
      </w:pPr>
    </w:p>
    <w:p w14:paraId="2A3C79B8">
      <w:pPr>
        <w:adjustRightInd w:val="0"/>
        <w:snapToGrid w:val="0"/>
        <w:spacing w:before="156" w:beforeLines="50" w:line="360" w:lineRule="auto"/>
        <w:jc w:val="center"/>
        <w:outlineLvl w:val="0"/>
        <w:rPr>
          <w:rFonts w:hint="eastAsia" w:ascii="宋体" w:hAnsi="宋体" w:cs="宋体"/>
          <w:color w:val="auto"/>
          <w:highlight w:val="none"/>
        </w:rPr>
      </w:pPr>
    </w:p>
    <w:p w14:paraId="6D164A3A">
      <w:pPr>
        <w:adjustRightInd w:val="0"/>
        <w:snapToGrid w:val="0"/>
        <w:spacing w:before="156" w:beforeLines="50" w:line="360" w:lineRule="auto"/>
        <w:jc w:val="center"/>
        <w:outlineLvl w:val="0"/>
        <w:rPr>
          <w:rFonts w:hint="eastAsia" w:ascii="宋体" w:hAnsi="宋体" w:cs="宋体"/>
          <w:color w:val="auto"/>
          <w:highlight w:val="none"/>
        </w:rPr>
      </w:pPr>
    </w:p>
    <w:p w14:paraId="0B2A90BB">
      <w:pPr>
        <w:adjustRightInd w:val="0"/>
        <w:snapToGrid w:val="0"/>
        <w:spacing w:before="156" w:beforeLines="50" w:line="360" w:lineRule="auto"/>
        <w:jc w:val="center"/>
        <w:outlineLvl w:val="0"/>
        <w:rPr>
          <w:rFonts w:hint="eastAsia" w:ascii="宋体" w:hAnsi="宋体" w:cs="宋体"/>
          <w:color w:val="auto"/>
          <w:highlight w:val="none"/>
        </w:rPr>
      </w:pPr>
    </w:p>
    <w:p w14:paraId="7AFEFA92">
      <w:pPr>
        <w:adjustRightInd w:val="0"/>
        <w:snapToGrid w:val="0"/>
        <w:spacing w:before="156" w:beforeLines="50" w:line="360" w:lineRule="auto"/>
        <w:jc w:val="center"/>
        <w:outlineLvl w:val="0"/>
        <w:rPr>
          <w:rFonts w:hint="eastAsia" w:ascii="宋体" w:hAnsi="宋体" w:cs="宋体"/>
          <w:color w:val="auto"/>
          <w:highlight w:val="none"/>
        </w:rPr>
      </w:pPr>
    </w:p>
    <w:p w14:paraId="22DFAC6D">
      <w:pPr>
        <w:adjustRightInd w:val="0"/>
        <w:snapToGrid w:val="0"/>
        <w:spacing w:before="156" w:beforeLines="50" w:line="360" w:lineRule="auto"/>
        <w:jc w:val="center"/>
        <w:outlineLvl w:val="0"/>
        <w:rPr>
          <w:rFonts w:hint="eastAsia" w:ascii="宋体" w:hAnsi="宋体" w:cs="宋体"/>
          <w:color w:val="auto"/>
          <w:highlight w:val="none"/>
        </w:rPr>
      </w:pPr>
    </w:p>
    <w:p w14:paraId="79E68EF6">
      <w:pPr>
        <w:adjustRightInd w:val="0"/>
        <w:snapToGrid w:val="0"/>
        <w:spacing w:before="156" w:beforeLines="50" w:line="360" w:lineRule="auto"/>
        <w:jc w:val="center"/>
        <w:outlineLvl w:val="0"/>
        <w:rPr>
          <w:rFonts w:hint="eastAsia" w:ascii="宋体" w:hAnsi="宋体" w:cs="宋体"/>
          <w:color w:val="auto"/>
          <w:highlight w:val="none"/>
        </w:rPr>
      </w:pPr>
    </w:p>
    <w:p w14:paraId="1D076A81">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黑体" w:eastAsia="黑体"/>
          <w:b/>
          <w:color w:val="auto"/>
          <w:sz w:val="32"/>
          <w:szCs w:val="32"/>
          <w:highlight w:val="none"/>
        </w:rPr>
        <w:t>八、最后报价</w:t>
      </w:r>
      <w:bookmarkEnd w:id="197"/>
      <w:bookmarkEnd w:id="198"/>
      <w:bookmarkEnd w:id="199"/>
    </w:p>
    <w:p w14:paraId="408DA982">
      <w:pPr>
        <w:jc w:val="center"/>
        <w:rPr>
          <w:rFonts w:hint="eastAsia" w:ascii="宋体" w:hAnsi="宋体"/>
          <w:color w:val="auto"/>
          <w:sz w:val="24"/>
          <w:highlight w:val="none"/>
        </w:rPr>
      </w:pPr>
      <w:r>
        <w:rPr>
          <w:rFonts w:hint="eastAsia" w:ascii="宋体" w:hAnsi="宋体"/>
          <w:color w:val="auto"/>
          <w:sz w:val="24"/>
          <w:highlight w:val="none"/>
        </w:rPr>
        <w:t>通过在郴州市政府采购（非标）电子交易平台磋商后递交。</w:t>
      </w:r>
    </w:p>
    <w:p w14:paraId="15ACC77B">
      <w:pPr>
        <w:jc w:val="center"/>
        <w:rPr>
          <w:rFonts w:hint="eastAsia" w:ascii="宋体" w:hAnsi="宋体"/>
          <w:color w:val="auto"/>
          <w:sz w:val="24"/>
          <w:highlight w:val="none"/>
        </w:rPr>
      </w:pPr>
    </w:p>
    <w:p w14:paraId="206D78B3">
      <w:pPr>
        <w:jc w:val="center"/>
        <w:rPr>
          <w:rFonts w:hint="eastAsia" w:ascii="宋体" w:hAnsi="宋体"/>
          <w:color w:val="auto"/>
          <w:sz w:val="24"/>
          <w:highlight w:val="none"/>
        </w:rPr>
      </w:pPr>
    </w:p>
    <w:tbl>
      <w:tblPr>
        <w:tblStyle w:val="42"/>
        <w:tblW w:w="90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2"/>
        <w:gridCol w:w="3108"/>
        <w:gridCol w:w="1924"/>
        <w:gridCol w:w="1701"/>
      </w:tblGrid>
      <w:tr w14:paraId="6736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vMerge w:val="restart"/>
            <w:tcBorders>
              <w:top w:val="double" w:color="auto" w:sz="4" w:space="0"/>
              <w:left w:val="double" w:color="auto" w:sz="4" w:space="0"/>
              <w:bottom w:val="single" w:color="auto" w:sz="6" w:space="0"/>
              <w:right w:val="single" w:color="auto" w:sz="6" w:space="0"/>
            </w:tcBorders>
            <w:vAlign w:val="center"/>
          </w:tcPr>
          <w:p w14:paraId="22BC3BA7">
            <w:pPr>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3108" w:type="dxa"/>
            <w:vMerge w:val="restart"/>
            <w:tcBorders>
              <w:top w:val="double" w:color="auto" w:sz="4" w:space="0"/>
              <w:left w:val="single" w:color="auto" w:sz="6" w:space="0"/>
              <w:bottom w:val="single" w:color="auto" w:sz="6" w:space="0"/>
              <w:right w:val="single" w:color="auto" w:sz="6" w:space="0"/>
            </w:tcBorders>
            <w:vAlign w:val="center"/>
          </w:tcPr>
          <w:p w14:paraId="2A493A3B">
            <w:pPr>
              <w:jc w:val="center"/>
              <w:rPr>
                <w:rFonts w:hint="eastAsia" w:ascii="宋体" w:hAnsi="宋体"/>
                <w:color w:val="auto"/>
                <w:szCs w:val="21"/>
                <w:highlight w:val="none"/>
              </w:rPr>
            </w:pPr>
          </w:p>
        </w:tc>
        <w:tc>
          <w:tcPr>
            <w:tcW w:w="1924" w:type="dxa"/>
            <w:tcBorders>
              <w:top w:val="double" w:color="auto" w:sz="4" w:space="0"/>
              <w:left w:val="single" w:color="auto" w:sz="6" w:space="0"/>
              <w:bottom w:val="single" w:color="auto" w:sz="6" w:space="0"/>
              <w:right w:val="single" w:color="auto" w:sz="6" w:space="0"/>
            </w:tcBorders>
            <w:vAlign w:val="center"/>
          </w:tcPr>
          <w:p w14:paraId="564BA4A0">
            <w:pPr>
              <w:jc w:val="center"/>
              <w:rPr>
                <w:rFonts w:hint="eastAsia" w:ascii="宋体" w:hAnsi="宋体"/>
                <w:color w:val="auto"/>
                <w:szCs w:val="21"/>
                <w:highlight w:val="none"/>
              </w:rPr>
            </w:pPr>
            <w:r>
              <w:rPr>
                <w:rFonts w:hint="eastAsia" w:ascii="宋体" w:hAnsi="宋体"/>
                <w:color w:val="auto"/>
                <w:szCs w:val="21"/>
                <w:highlight w:val="none"/>
              </w:rPr>
              <w:t>采购计划编号</w:t>
            </w:r>
          </w:p>
        </w:tc>
        <w:tc>
          <w:tcPr>
            <w:tcW w:w="1701" w:type="dxa"/>
            <w:tcBorders>
              <w:top w:val="double" w:color="auto" w:sz="4" w:space="0"/>
              <w:left w:val="single" w:color="auto" w:sz="6" w:space="0"/>
              <w:bottom w:val="single" w:color="auto" w:sz="6" w:space="0"/>
              <w:right w:val="double" w:color="auto" w:sz="4" w:space="0"/>
            </w:tcBorders>
            <w:vAlign w:val="center"/>
          </w:tcPr>
          <w:p w14:paraId="2EF77AFF">
            <w:pPr>
              <w:jc w:val="center"/>
              <w:rPr>
                <w:rFonts w:hint="eastAsia" w:ascii="宋体" w:hAnsi="宋体"/>
                <w:color w:val="auto"/>
                <w:szCs w:val="21"/>
                <w:highlight w:val="none"/>
              </w:rPr>
            </w:pPr>
          </w:p>
        </w:tc>
      </w:tr>
      <w:tr w14:paraId="3C5E86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vMerge w:val="continue"/>
            <w:tcBorders>
              <w:top w:val="double" w:color="auto" w:sz="4" w:space="0"/>
              <w:left w:val="double" w:color="auto" w:sz="4" w:space="0"/>
              <w:bottom w:val="single" w:color="auto" w:sz="6" w:space="0"/>
              <w:right w:val="single" w:color="auto" w:sz="6" w:space="0"/>
            </w:tcBorders>
            <w:vAlign w:val="center"/>
          </w:tcPr>
          <w:p w14:paraId="2BFC990A">
            <w:pPr>
              <w:widowControl/>
              <w:jc w:val="left"/>
              <w:rPr>
                <w:rFonts w:hint="eastAsia" w:ascii="宋体" w:hAnsi="宋体"/>
                <w:color w:val="auto"/>
                <w:szCs w:val="21"/>
                <w:highlight w:val="none"/>
              </w:rPr>
            </w:pPr>
          </w:p>
        </w:tc>
        <w:tc>
          <w:tcPr>
            <w:tcW w:w="3108" w:type="dxa"/>
            <w:vMerge w:val="continue"/>
            <w:tcBorders>
              <w:top w:val="double" w:color="auto" w:sz="4" w:space="0"/>
              <w:left w:val="single" w:color="auto" w:sz="6" w:space="0"/>
              <w:bottom w:val="single" w:color="auto" w:sz="6" w:space="0"/>
              <w:right w:val="single" w:color="auto" w:sz="6" w:space="0"/>
            </w:tcBorders>
            <w:vAlign w:val="center"/>
          </w:tcPr>
          <w:p w14:paraId="1487CEEE">
            <w:pPr>
              <w:widowControl/>
              <w:jc w:val="left"/>
              <w:rPr>
                <w:rFonts w:hint="eastAsia" w:ascii="宋体" w:hAnsi="宋体"/>
                <w:color w:val="auto"/>
                <w:szCs w:val="21"/>
                <w:highlight w:val="none"/>
              </w:rPr>
            </w:pPr>
          </w:p>
        </w:tc>
        <w:tc>
          <w:tcPr>
            <w:tcW w:w="1924" w:type="dxa"/>
            <w:tcBorders>
              <w:top w:val="single" w:color="auto" w:sz="6" w:space="0"/>
              <w:left w:val="single" w:color="auto" w:sz="6" w:space="0"/>
              <w:bottom w:val="single" w:color="auto" w:sz="6" w:space="0"/>
              <w:right w:val="single" w:color="auto" w:sz="6" w:space="0"/>
            </w:tcBorders>
            <w:vAlign w:val="center"/>
          </w:tcPr>
          <w:p w14:paraId="391A4013">
            <w:pPr>
              <w:jc w:val="center"/>
              <w:rPr>
                <w:rFonts w:hint="eastAsia" w:ascii="宋体" w:hAnsi="宋体"/>
                <w:color w:val="auto"/>
                <w:szCs w:val="21"/>
                <w:highlight w:val="none"/>
              </w:rPr>
            </w:pPr>
            <w:r>
              <w:rPr>
                <w:rFonts w:hint="eastAsia" w:ascii="宋体" w:hAnsi="宋体"/>
                <w:color w:val="auto"/>
                <w:szCs w:val="21"/>
                <w:highlight w:val="none"/>
              </w:rPr>
              <w:t>委托代理编号</w:t>
            </w:r>
          </w:p>
        </w:tc>
        <w:tc>
          <w:tcPr>
            <w:tcW w:w="1701" w:type="dxa"/>
            <w:tcBorders>
              <w:top w:val="single" w:color="auto" w:sz="6" w:space="0"/>
              <w:left w:val="single" w:color="auto" w:sz="6" w:space="0"/>
              <w:bottom w:val="single" w:color="auto" w:sz="6" w:space="0"/>
              <w:right w:val="double" w:color="auto" w:sz="4" w:space="0"/>
            </w:tcBorders>
            <w:vAlign w:val="center"/>
          </w:tcPr>
          <w:p w14:paraId="3F18FAE9">
            <w:pPr>
              <w:jc w:val="center"/>
              <w:rPr>
                <w:rFonts w:hint="eastAsia" w:ascii="宋体" w:hAnsi="宋体"/>
                <w:color w:val="auto"/>
                <w:szCs w:val="21"/>
                <w:highlight w:val="none"/>
              </w:rPr>
            </w:pPr>
            <w:r>
              <w:rPr>
                <w:rFonts w:hint="eastAsia" w:ascii="宋体" w:hAnsi="宋体"/>
                <w:color w:val="auto"/>
                <w:szCs w:val="21"/>
                <w:highlight w:val="none"/>
              </w:rPr>
              <w:t xml:space="preserve">    </w:t>
            </w:r>
          </w:p>
        </w:tc>
      </w:tr>
      <w:tr w14:paraId="0708E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single" w:color="auto" w:sz="6" w:space="0"/>
              <w:right w:val="single" w:color="auto" w:sz="6" w:space="0"/>
            </w:tcBorders>
            <w:vAlign w:val="center"/>
          </w:tcPr>
          <w:p w14:paraId="115E8024">
            <w:pPr>
              <w:jc w:val="center"/>
              <w:rPr>
                <w:rFonts w:hint="eastAsia" w:ascii="宋体" w:hAnsi="宋体"/>
                <w:color w:val="auto"/>
                <w:szCs w:val="21"/>
                <w:highlight w:val="none"/>
              </w:rPr>
            </w:pPr>
            <w:r>
              <w:rPr>
                <w:rFonts w:hint="eastAsia" w:ascii="宋体" w:hAnsi="宋体"/>
                <w:color w:val="auto"/>
                <w:szCs w:val="21"/>
                <w:highlight w:val="none"/>
              </w:rPr>
              <w:t>报价</w:t>
            </w:r>
          </w:p>
        </w:tc>
        <w:tc>
          <w:tcPr>
            <w:tcW w:w="6733" w:type="dxa"/>
            <w:gridSpan w:val="3"/>
            <w:tcBorders>
              <w:top w:val="single" w:color="auto" w:sz="6" w:space="0"/>
              <w:left w:val="single" w:color="auto" w:sz="6" w:space="0"/>
              <w:bottom w:val="single" w:color="auto" w:sz="6" w:space="0"/>
              <w:right w:val="double" w:color="auto" w:sz="4" w:space="0"/>
            </w:tcBorders>
            <w:vAlign w:val="center"/>
          </w:tcPr>
          <w:p w14:paraId="71668F69">
            <w:pPr>
              <w:rPr>
                <w:rFonts w:hint="eastAsia" w:ascii="宋体" w:hAnsi="宋体"/>
                <w:color w:val="auto"/>
                <w:szCs w:val="21"/>
                <w:highlight w:val="none"/>
              </w:rPr>
            </w:pPr>
            <w:r>
              <w:rPr>
                <w:rFonts w:hint="eastAsia" w:ascii="宋体" w:hAnsi="宋体"/>
                <w:color w:val="auto"/>
                <w:szCs w:val="21"/>
                <w:highlight w:val="none"/>
              </w:rPr>
              <w:t>大写：</w:t>
            </w:r>
          </w:p>
          <w:p w14:paraId="0698A10A">
            <w:pPr>
              <w:rPr>
                <w:rFonts w:hint="eastAsia" w:ascii="宋体" w:hAnsi="宋体"/>
                <w:color w:val="auto"/>
                <w:szCs w:val="21"/>
                <w:highlight w:val="none"/>
              </w:rPr>
            </w:pPr>
            <w:r>
              <w:rPr>
                <w:rFonts w:hint="eastAsia" w:ascii="宋体" w:hAnsi="宋体"/>
                <w:color w:val="auto"/>
                <w:szCs w:val="21"/>
                <w:highlight w:val="none"/>
              </w:rPr>
              <w:t>小写：</w:t>
            </w:r>
          </w:p>
          <w:p w14:paraId="2866B3B5">
            <w:pPr>
              <w:rPr>
                <w:rFonts w:hint="eastAsia" w:ascii="宋体" w:hAnsi="宋体"/>
                <w:color w:val="auto"/>
                <w:szCs w:val="21"/>
                <w:highlight w:val="none"/>
              </w:rPr>
            </w:pPr>
            <w:r>
              <w:rPr>
                <w:rFonts w:hint="eastAsia" w:ascii="宋体" w:hAnsi="宋体"/>
                <w:color w:val="auto"/>
                <w:szCs w:val="21"/>
                <w:highlight w:val="none"/>
              </w:rPr>
              <w:t>备注：大写金额与小写金额不一致时，以大写金额为准</w:t>
            </w:r>
          </w:p>
        </w:tc>
      </w:tr>
      <w:tr w14:paraId="5CADB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single" w:color="auto" w:sz="6" w:space="0"/>
              <w:right w:val="single" w:color="auto" w:sz="6" w:space="0"/>
            </w:tcBorders>
            <w:vAlign w:val="center"/>
          </w:tcPr>
          <w:p w14:paraId="7C91599B">
            <w:pPr>
              <w:jc w:val="center"/>
              <w:rPr>
                <w:rFonts w:hint="eastAsia" w:ascii="宋体" w:hAnsi="宋体"/>
                <w:color w:val="auto"/>
                <w:szCs w:val="21"/>
                <w:highlight w:val="none"/>
              </w:rPr>
            </w:pPr>
            <w:r>
              <w:rPr>
                <w:rFonts w:hint="eastAsia" w:ascii="宋体" w:hAnsi="宋体"/>
                <w:color w:val="auto"/>
                <w:szCs w:val="21"/>
                <w:highlight w:val="none"/>
              </w:rPr>
              <w:t>交货期</w:t>
            </w:r>
          </w:p>
        </w:tc>
        <w:tc>
          <w:tcPr>
            <w:tcW w:w="6733" w:type="dxa"/>
            <w:gridSpan w:val="3"/>
            <w:tcBorders>
              <w:top w:val="single" w:color="auto" w:sz="6" w:space="0"/>
              <w:left w:val="single" w:color="auto" w:sz="6" w:space="0"/>
              <w:bottom w:val="single" w:color="auto" w:sz="6" w:space="0"/>
              <w:right w:val="double" w:color="auto" w:sz="4" w:space="0"/>
            </w:tcBorders>
            <w:vAlign w:val="center"/>
          </w:tcPr>
          <w:p w14:paraId="6F2795E1">
            <w:pPr>
              <w:jc w:val="center"/>
              <w:rPr>
                <w:rFonts w:hint="eastAsia" w:ascii="宋体" w:hAnsi="宋体"/>
                <w:color w:val="auto"/>
                <w:szCs w:val="21"/>
                <w:highlight w:val="none"/>
              </w:rPr>
            </w:pPr>
          </w:p>
        </w:tc>
      </w:tr>
      <w:tr w14:paraId="65EC1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2" w:type="dxa"/>
            <w:tcBorders>
              <w:top w:val="single" w:color="auto" w:sz="6" w:space="0"/>
              <w:left w:val="double" w:color="auto" w:sz="4" w:space="0"/>
              <w:bottom w:val="double" w:color="auto" w:sz="4" w:space="0"/>
              <w:right w:val="single" w:color="auto" w:sz="6" w:space="0"/>
            </w:tcBorders>
            <w:vAlign w:val="center"/>
          </w:tcPr>
          <w:p w14:paraId="0FF61A84">
            <w:pPr>
              <w:jc w:val="center"/>
              <w:rPr>
                <w:rFonts w:hint="eastAsia" w:ascii="宋体" w:hAnsi="宋体"/>
                <w:color w:val="auto"/>
                <w:szCs w:val="21"/>
                <w:highlight w:val="none"/>
              </w:rPr>
            </w:pPr>
            <w:r>
              <w:rPr>
                <w:rFonts w:hint="eastAsia" w:ascii="宋体" w:hAnsi="宋体"/>
                <w:color w:val="auto"/>
                <w:szCs w:val="21"/>
                <w:highlight w:val="none"/>
              </w:rPr>
              <w:t>备  注</w:t>
            </w:r>
          </w:p>
        </w:tc>
        <w:tc>
          <w:tcPr>
            <w:tcW w:w="6733" w:type="dxa"/>
            <w:gridSpan w:val="3"/>
            <w:tcBorders>
              <w:top w:val="single" w:color="auto" w:sz="6" w:space="0"/>
              <w:left w:val="single" w:color="auto" w:sz="6" w:space="0"/>
              <w:bottom w:val="double" w:color="auto" w:sz="4" w:space="0"/>
              <w:right w:val="double" w:color="auto" w:sz="4" w:space="0"/>
            </w:tcBorders>
            <w:vAlign w:val="center"/>
          </w:tcPr>
          <w:p w14:paraId="6F63E243">
            <w:pPr>
              <w:rPr>
                <w:rFonts w:hint="eastAsia" w:ascii="宋体" w:hAnsi="宋体"/>
                <w:color w:val="auto"/>
                <w:szCs w:val="21"/>
                <w:highlight w:val="none"/>
              </w:rPr>
            </w:pPr>
          </w:p>
        </w:tc>
      </w:tr>
    </w:tbl>
    <w:p w14:paraId="2DAA8C9C">
      <w:pPr>
        <w:adjustRightInd w:val="0"/>
        <w:snapToGrid w:val="0"/>
        <w:jc w:val="right"/>
        <w:rPr>
          <w:rFonts w:hint="eastAsia" w:ascii="宋体" w:hAnsi="宋体"/>
          <w:color w:val="auto"/>
          <w:szCs w:val="21"/>
          <w:highlight w:val="none"/>
        </w:rPr>
      </w:pPr>
    </w:p>
    <w:p w14:paraId="02E10069">
      <w:pPr>
        <w:adjustRightInd w:val="0"/>
        <w:snapToGrid w:val="0"/>
        <w:spacing w:line="360" w:lineRule="auto"/>
        <w:rPr>
          <w:rFonts w:ascii="宋体"/>
          <w:color w:val="auto"/>
          <w:highlight w:val="none"/>
        </w:rPr>
      </w:pPr>
    </w:p>
    <w:p w14:paraId="0CD9776B">
      <w:pPr>
        <w:adjustRightInd w:val="0"/>
        <w:snapToGrid w:val="0"/>
        <w:spacing w:line="360" w:lineRule="auto"/>
        <w:rPr>
          <w:rFonts w:ascii="宋体"/>
          <w:color w:val="auto"/>
          <w:highlight w:val="none"/>
        </w:rPr>
      </w:pPr>
    </w:p>
    <w:p w14:paraId="0DC6EAF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供应商（盖单位章）：</w:t>
      </w:r>
    </w:p>
    <w:p w14:paraId="2331AF5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4420531E">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27217211">
      <w:pPr>
        <w:widowControl/>
        <w:jc w:val="center"/>
        <w:rPr>
          <w:color w:val="auto"/>
          <w:szCs w:val="22"/>
          <w:highlight w:val="none"/>
        </w:rPr>
      </w:pPr>
      <w:r>
        <w:rPr>
          <w:rFonts w:hint="eastAsia" w:ascii="黑体" w:hAnsi="宋体" w:eastAsia="黑体" w:cs="黑体"/>
          <w:b/>
          <w:bCs/>
          <w:color w:val="auto"/>
          <w:kern w:val="0"/>
          <w:sz w:val="28"/>
          <w:szCs w:val="28"/>
          <w:highlight w:val="none"/>
          <w:lang w:bidi="ar"/>
        </w:rPr>
        <w:br w:type="page"/>
      </w:r>
      <w:r>
        <w:rPr>
          <w:rFonts w:hint="eastAsia" w:ascii="黑体" w:hAnsi="宋体" w:eastAsia="黑体" w:cs="黑体"/>
          <w:b/>
          <w:bCs/>
          <w:color w:val="auto"/>
          <w:kern w:val="0"/>
          <w:sz w:val="28"/>
          <w:szCs w:val="28"/>
          <w:highlight w:val="none"/>
          <w:lang w:bidi="ar"/>
        </w:rPr>
        <w:t>最后报价分项报价明细表（货物）</w:t>
      </w:r>
    </w:p>
    <w:tbl>
      <w:tblPr>
        <w:tblStyle w:val="42"/>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20E696A6">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4921AEF9">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2C425429">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规格型号</w:t>
            </w:r>
          </w:p>
          <w:p w14:paraId="07A36A3C">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（或项目特征描述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232F4243">
            <w:pPr>
              <w:autoSpaceDE w:val="0"/>
              <w:autoSpaceDN w:val="0"/>
              <w:adjustRightInd w:val="0"/>
              <w:snapToGrid w:val="0"/>
              <w:spacing w:line="360" w:lineRule="auto"/>
              <w:ind w:right="-20"/>
              <w:jc w:val="center"/>
              <w:rPr>
                <w:rFonts w:hint="eastAsia"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vAlign w:val="center"/>
          </w:tcPr>
          <w:p w14:paraId="670DBC3C">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14FB36F8">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04789486">
            <w:pPr>
              <w:autoSpaceDE w:val="0"/>
              <w:autoSpaceDN w:val="0"/>
              <w:adjustRightInd w:val="0"/>
              <w:snapToGrid w:val="0"/>
              <w:spacing w:line="360" w:lineRule="auto"/>
              <w:ind w:right="-20"/>
              <w:jc w:val="center"/>
              <w:rPr>
                <w:rFonts w:hint="eastAsia"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备注</w:t>
            </w:r>
          </w:p>
        </w:tc>
      </w:tr>
      <w:tr w14:paraId="0A005548">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492E1A19">
            <w:pPr>
              <w:autoSpaceDE w:val="0"/>
              <w:autoSpaceDN w:val="0"/>
              <w:adjustRightInd w:val="0"/>
              <w:snapToGrid w:val="0"/>
              <w:spacing w:line="360" w:lineRule="auto"/>
              <w:ind w:left="352" w:right="-20"/>
              <w:jc w:val="left"/>
              <w:rPr>
                <w:rFonts w:hint="eastAsia" w:ascii="宋体" w:hAnsi="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08AC08FA">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4AE114C5">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vAlign w:val="center"/>
          </w:tcPr>
          <w:p w14:paraId="37E69B04">
            <w:pPr>
              <w:autoSpaceDE w:val="0"/>
              <w:autoSpaceDN w:val="0"/>
              <w:adjustRightInd w:val="0"/>
              <w:snapToGrid w:val="0"/>
              <w:spacing w:line="360" w:lineRule="auto"/>
              <w:ind w:right="-20"/>
              <w:jc w:val="center"/>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vAlign w:val="center"/>
          </w:tcPr>
          <w:p w14:paraId="24D5ACF1">
            <w:pPr>
              <w:autoSpaceDE w:val="0"/>
              <w:autoSpaceDN w:val="0"/>
              <w:adjustRightInd w:val="0"/>
              <w:snapToGrid w:val="0"/>
              <w:spacing w:line="360" w:lineRule="auto"/>
              <w:ind w:right="-20"/>
              <w:jc w:val="center"/>
              <w:rPr>
                <w:rFonts w:hint="eastAsia" w:ascii="宋体" w:hAnsi="宋体"/>
                <w:color w:val="auto"/>
                <w:kern w:val="0"/>
                <w:szCs w:val="21"/>
                <w:highlight w:val="none"/>
              </w:rPr>
            </w:pPr>
            <w:r>
              <w:rPr>
                <w:rFonts w:hint="eastAsia" w:ascii="宋体" w:hAnsi="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4584DC7">
            <w:pPr>
              <w:autoSpaceDE w:val="0"/>
              <w:autoSpaceDN w:val="0"/>
              <w:adjustRightInd w:val="0"/>
              <w:snapToGrid w:val="0"/>
              <w:spacing w:line="360" w:lineRule="auto"/>
              <w:ind w:left="70" w:right="-20"/>
              <w:jc w:val="center"/>
              <w:rPr>
                <w:rFonts w:hint="eastAsia" w:ascii="宋体" w:hAnsi="宋体"/>
                <w:color w:val="auto"/>
                <w:kern w:val="0"/>
                <w:szCs w:val="21"/>
                <w:highlight w:val="none"/>
              </w:rPr>
            </w:pPr>
            <w:r>
              <w:rPr>
                <w:rFonts w:hint="eastAsia" w:ascii="宋体" w:hAnsi="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3AAC95EC">
            <w:pPr>
              <w:autoSpaceDE w:val="0"/>
              <w:autoSpaceDN w:val="0"/>
              <w:adjustRightInd w:val="0"/>
              <w:snapToGrid w:val="0"/>
              <w:spacing w:line="360" w:lineRule="auto"/>
              <w:ind w:left="422" w:right="-20"/>
              <w:jc w:val="left"/>
              <w:rPr>
                <w:rFonts w:hint="eastAsia" w:ascii="宋体" w:hAnsi="宋体"/>
                <w:color w:val="auto"/>
                <w:kern w:val="0"/>
                <w:szCs w:val="21"/>
                <w:highlight w:val="none"/>
              </w:rPr>
            </w:pPr>
          </w:p>
        </w:tc>
      </w:tr>
      <w:tr w14:paraId="078CA1B5">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49D456C4">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383" w:type="dxa"/>
            <w:tcBorders>
              <w:top w:val="single" w:color="auto" w:sz="6" w:space="0"/>
              <w:left w:val="single" w:color="auto" w:sz="6" w:space="0"/>
              <w:bottom w:val="single" w:color="auto" w:sz="6" w:space="0"/>
              <w:right w:val="single" w:color="auto" w:sz="6" w:space="0"/>
            </w:tcBorders>
            <w:vAlign w:val="center"/>
          </w:tcPr>
          <w:p w14:paraId="72116C1A">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216D058D">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6E7ABF79">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76106935">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6EA117F4">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3520D5AA">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47B1B57F">
            <w:pPr>
              <w:autoSpaceDE w:val="0"/>
              <w:autoSpaceDN w:val="0"/>
              <w:adjustRightInd w:val="0"/>
              <w:snapToGrid w:val="0"/>
              <w:spacing w:line="360" w:lineRule="auto"/>
              <w:jc w:val="left"/>
              <w:rPr>
                <w:rFonts w:hint="eastAsia" w:ascii="宋体" w:hAnsi="宋体"/>
                <w:color w:val="auto"/>
                <w:kern w:val="0"/>
                <w:szCs w:val="21"/>
                <w:highlight w:val="none"/>
              </w:rPr>
            </w:pPr>
          </w:p>
        </w:tc>
      </w:tr>
      <w:tr w14:paraId="6333C4A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392444B1">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383" w:type="dxa"/>
            <w:tcBorders>
              <w:top w:val="single" w:color="auto" w:sz="6" w:space="0"/>
              <w:left w:val="single" w:color="auto" w:sz="6" w:space="0"/>
              <w:bottom w:val="single" w:color="auto" w:sz="6" w:space="0"/>
              <w:right w:val="single" w:color="auto" w:sz="6" w:space="0"/>
            </w:tcBorders>
            <w:vAlign w:val="center"/>
          </w:tcPr>
          <w:p w14:paraId="3F6C0D06">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2F3C670A">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3B49A587">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135FFD0B">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647B5008">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69BA3638">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27BEF117">
            <w:pPr>
              <w:autoSpaceDE w:val="0"/>
              <w:autoSpaceDN w:val="0"/>
              <w:adjustRightInd w:val="0"/>
              <w:snapToGrid w:val="0"/>
              <w:spacing w:line="360" w:lineRule="auto"/>
              <w:jc w:val="left"/>
              <w:rPr>
                <w:rFonts w:hint="eastAsia" w:ascii="宋体" w:hAnsi="宋体"/>
                <w:color w:val="auto"/>
                <w:kern w:val="0"/>
                <w:szCs w:val="21"/>
                <w:highlight w:val="none"/>
              </w:rPr>
            </w:pPr>
          </w:p>
        </w:tc>
      </w:tr>
      <w:tr w14:paraId="7396BDA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40C8845">
            <w:pPr>
              <w:jc w:val="center"/>
              <w:rPr>
                <w:rFonts w:hint="eastAsia" w:ascii="宋体" w:hAnsi="宋体" w:cs="宋体"/>
                <w:color w:val="auto"/>
                <w:szCs w:val="22"/>
                <w:highlight w:val="none"/>
              </w:rPr>
            </w:pPr>
            <w:r>
              <w:rPr>
                <w:rFonts w:hint="eastAsia" w:ascii="宋体" w:hAnsi="宋体" w:cs="宋体"/>
                <w:color w:val="auto"/>
                <w:szCs w:val="22"/>
                <w:highlight w:val="none"/>
              </w:rPr>
              <w:t>3</w:t>
            </w:r>
          </w:p>
        </w:tc>
        <w:tc>
          <w:tcPr>
            <w:tcW w:w="1383" w:type="dxa"/>
            <w:tcBorders>
              <w:top w:val="single" w:color="auto" w:sz="6" w:space="0"/>
              <w:left w:val="single" w:color="auto" w:sz="6" w:space="0"/>
              <w:bottom w:val="single" w:color="auto" w:sz="6" w:space="0"/>
              <w:right w:val="single" w:color="auto" w:sz="6" w:space="0"/>
            </w:tcBorders>
            <w:vAlign w:val="center"/>
          </w:tcPr>
          <w:p w14:paraId="7FD4A916">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1C67B205">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51253B90">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1C6AE3AC">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4BAD0797">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4808F7FC">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B1E4701">
            <w:pPr>
              <w:autoSpaceDE w:val="0"/>
              <w:autoSpaceDN w:val="0"/>
              <w:adjustRightInd w:val="0"/>
              <w:snapToGrid w:val="0"/>
              <w:spacing w:line="360" w:lineRule="auto"/>
              <w:jc w:val="left"/>
              <w:rPr>
                <w:rFonts w:hint="eastAsia" w:ascii="宋体" w:hAnsi="宋体"/>
                <w:color w:val="auto"/>
                <w:kern w:val="0"/>
                <w:szCs w:val="21"/>
                <w:highlight w:val="none"/>
              </w:rPr>
            </w:pPr>
          </w:p>
        </w:tc>
      </w:tr>
      <w:tr w14:paraId="495F539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8F612F8">
            <w:pPr>
              <w:jc w:val="center"/>
              <w:rPr>
                <w:rFonts w:hint="eastAsia" w:ascii="宋体" w:hAnsi="宋体" w:cs="宋体"/>
                <w:color w:val="auto"/>
                <w:szCs w:val="22"/>
                <w:highlight w:val="none"/>
              </w:rPr>
            </w:pPr>
            <w:r>
              <w:rPr>
                <w:rFonts w:hint="eastAsia" w:ascii="宋体" w:hAnsi="宋体" w:cs="宋体"/>
                <w:color w:val="auto"/>
                <w:szCs w:val="22"/>
                <w:highlight w:val="none"/>
              </w:rPr>
              <w:t>4</w:t>
            </w:r>
          </w:p>
        </w:tc>
        <w:tc>
          <w:tcPr>
            <w:tcW w:w="1383" w:type="dxa"/>
            <w:tcBorders>
              <w:top w:val="single" w:color="auto" w:sz="6" w:space="0"/>
              <w:left w:val="single" w:color="auto" w:sz="6" w:space="0"/>
              <w:bottom w:val="single" w:color="auto" w:sz="6" w:space="0"/>
              <w:right w:val="single" w:color="auto" w:sz="6" w:space="0"/>
            </w:tcBorders>
            <w:vAlign w:val="center"/>
          </w:tcPr>
          <w:p w14:paraId="13429E92">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7DC9FEDB">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49432420">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2FCDB02D">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00EC6BF1">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08F5BBDE">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5634F9C8">
            <w:pPr>
              <w:autoSpaceDE w:val="0"/>
              <w:autoSpaceDN w:val="0"/>
              <w:adjustRightInd w:val="0"/>
              <w:snapToGrid w:val="0"/>
              <w:spacing w:line="360" w:lineRule="auto"/>
              <w:jc w:val="left"/>
              <w:rPr>
                <w:rFonts w:hint="eastAsia" w:ascii="宋体" w:hAnsi="宋体"/>
                <w:color w:val="auto"/>
                <w:kern w:val="0"/>
                <w:szCs w:val="21"/>
                <w:highlight w:val="none"/>
              </w:rPr>
            </w:pPr>
          </w:p>
        </w:tc>
      </w:tr>
      <w:tr w14:paraId="7824975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916DFF5">
            <w:pPr>
              <w:jc w:val="center"/>
              <w:rPr>
                <w:rFonts w:hint="eastAsia" w:ascii="宋体" w:hAnsi="宋体" w:cs="宋体"/>
                <w:color w:val="auto"/>
                <w:szCs w:val="22"/>
                <w:highlight w:val="none"/>
              </w:rPr>
            </w:pPr>
            <w:r>
              <w:rPr>
                <w:rFonts w:hint="eastAsia" w:ascii="宋体" w:hAnsi="宋体" w:cs="宋体"/>
                <w:color w:val="auto"/>
                <w:szCs w:val="22"/>
                <w:highlight w:val="none"/>
              </w:rPr>
              <w:t>5</w:t>
            </w:r>
          </w:p>
        </w:tc>
        <w:tc>
          <w:tcPr>
            <w:tcW w:w="1383" w:type="dxa"/>
            <w:tcBorders>
              <w:top w:val="single" w:color="auto" w:sz="6" w:space="0"/>
              <w:left w:val="single" w:color="auto" w:sz="6" w:space="0"/>
              <w:bottom w:val="single" w:color="auto" w:sz="6" w:space="0"/>
              <w:right w:val="single" w:color="auto" w:sz="6" w:space="0"/>
            </w:tcBorders>
            <w:vAlign w:val="center"/>
          </w:tcPr>
          <w:p w14:paraId="2D9AAFDE">
            <w:pPr>
              <w:autoSpaceDE w:val="0"/>
              <w:autoSpaceDN w:val="0"/>
              <w:adjustRightInd w:val="0"/>
              <w:snapToGrid w:val="0"/>
              <w:spacing w:line="360" w:lineRule="auto"/>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2259A6C6">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645FCC93">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4A380AA7">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62FD8E0B">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343F32FC">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7793B21A">
            <w:pPr>
              <w:autoSpaceDE w:val="0"/>
              <w:autoSpaceDN w:val="0"/>
              <w:adjustRightInd w:val="0"/>
              <w:snapToGrid w:val="0"/>
              <w:spacing w:line="360" w:lineRule="auto"/>
              <w:jc w:val="left"/>
              <w:rPr>
                <w:rFonts w:hint="eastAsia" w:ascii="宋体" w:hAnsi="宋体"/>
                <w:color w:val="auto"/>
                <w:kern w:val="0"/>
                <w:szCs w:val="21"/>
                <w:highlight w:val="none"/>
              </w:rPr>
            </w:pPr>
          </w:p>
        </w:tc>
      </w:tr>
      <w:tr w14:paraId="543395C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2ECFB7CF">
            <w:pPr>
              <w:jc w:val="center"/>
              <w:rPr>
                <w:color w:val="auto"/>
                <w:szCs w:val="22"/>
                <w:highlight w:val="none"/>
              </w:rPr>
            </w:pPr>
            <w:r>
              <w:rPr>
                <w:color w:val="auto"/>
                <w:szCs w:val="22"/>
                <w:highlight w:val="none"/>
              </w:rPr>
              <w:t>…</w:t>
            </w:r>
          </w:p>
        </w:tc>
        <w:tc>
          <w:tcPr>
            <w:tcW w:w="1383" w:type="dxa"/>
            <w:tcBorders>
              <w:top w:val="single" w:color="auto" w:sz="6" w:space="0"/>
              <w:left w:val="single" w:color="auto" w:sz="6" w:space="0"/>
              <w:bottom w:val="single" w:color="auto" w:sz="6" w:space="0"/>
              <w:right w:val="single" w:color="auto" w:sz="6" w:space="0"/>
            </w:tcBorders>
          </w:tcPr>
          <w:p w14:paraId="71CB3EC3">
            <w:pPr>
              <w:autoSpaceDE w:val="0"/>
              <w:autoSpaceDN w:val="0"/>
              <w:adjustRightInd w:val="0"/>
              <w:snapToGrid w:val="0"/>
              <w:spacing w:line="360" w:lineRule="auto"/>
              <w:ind w:left="527" w:right="507"/>
              <w:jc w:val="center"/>
              <w:rPr>
                <w:rFonts w:hint="eastAsia"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1D33B262">
            <w:pPr>
              <w:autoSpaceDE w:val="0"/>
              <w:autoSpaceDN w:val="0"/>
              <w:adjustRightInd w:val="0"/>
              <w:snapToGrid w:val="0"/>
              <w:spacing w:line="360" w:lineRule="auto"/>
              <w:jc w:val="left"/>
              <w:rPr>
                <w:rFonts w:hint="eastAsia"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634F10AC">
            <w:pPr>
              <w:autoSpaceDE w:val="0"/>
              <w:autoSpaceDN w:val="0"/>
              <w:adjustRightInd w:val="0"/>
              <w:snapToGrid w:val="0"/>
              <w:spacing w:line="360" w:lineRule="auto"/>
              <w:jc w:val="left"/>
              <w:rPr>
                <w:rFonts w:hint="eastAsia"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6B3F83BA">
            <w:pPr>
              <w:autoSpaceDE w:val="0"/>
              <w:autoSpaceDN w:val="0"/>
              <w:adjustRightInd w:val="0"/>
              <w:snapToGrid w:val="0"/>
              <w:spacing w:line="360" w:lineRule="auto"/>
              <w:jc w:val="left"/>
              <w:rPr>
                <w:rFonts w:hint="eastAsia"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7EAD7053">
            <w:pPr>
              <w:autoSpaceDE w:val="0"/>
              <w:autoSpaceDN w:val="0"/>
              <w:adjustRightInd w:val="0"/>
              <w:snapToGrid w:val="0"/>
              <w:spacing w:line="360" w:lineRule="auto"/>
              <w:jc w:val="left"/>
              <w:rPr>
                <w:rFonts w:hint="eastAsia"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5EBB26CC">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4CCC49AF">
            <w:pPr>
              <w:autoSpaceDE w:val="0"/>
              <w:autoSpaceDN w:val="0"/>
              <w:adjustRightInd w:val="0"/>
              <w:snapToGrid w:val="0"/>
              <w:spacing w:line="360" w:lineRule="auto"/>
              <w:jc w:val="left"/>
              <w:rPr>
                <w:rFonts w:hint="eastAsia" w:ascii="宋体" w:hAnsi="宋体"/>
                <w:color w:val="auto"/>
                <w:kern w:val="0"/>
                <w:szCs w:val="21"/>
                <w:highlight w:val="none"/>
              </w:rPr>
            </w:pPr>
          </w:p>
        </w:tc>
      </w:tr>
      <w:tr w14:paraId="6B08F152">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5A0650B4">
            <w:pPr>
              <w:autoSpaceDE w:val="0"/>
              <w:autoSpaceDN w:val="0"/>
              <w:adjustRightInd w:val="0"/>
              <w:snapToGrid w:val="0"/>
              <w:spacing w:line="360" w:lineRule="auto"/>
              <w:jc w:val="center"/>
              <w:rPr>
                <w:rFonts w:hint="eastAsia" w:ascii="宋体" w:hAnsi="宋体"/>
                <w:color w:val="auto"/>
                <w:kern w:val="0"/>
                <w:szCs w:val="21"/>
                <w:highlight w:val="none"/>
              </w:rPr>
            </w:pPr>
            <w:r>
              <w:rPr>
                <w:rFonts w:hint="eastAsia" w:ascii="宋体" w:hAnsi="宋体" w:cs="微软雅黑"/>
                <w:color w:val="auto"/>
                <w:kern w:val="0"/>
                <w:position w:val="-1"/>
                <w:szCs w:val="21"/>
                <w:highlight w:val="none"/>
              </w:rPr>
              <w:t>投标报价（元）：</w:t>
            </w:r>
          </w:p>
        </w:tc>
        <w:tc>
          <w:tcPr>
            <w:tcW w:w="916" w:type="dxa"/>
            <w:tcBorders>
              <w:top w:val="single" w:color="auto" w:sz="6" w:space="0"/>
              <w:left w:val="single" w:color="auto" w:sz="6" w:space="0"/>
              <w:bottom w:val="double" w:color="auto" w:sz="4" w:space="0"/>
              <w:right w:val="single" w:color="auto" w:sz="6" w:space="0"/>
            </w:tcBorders>
          </w:tcPr>
          <w:p w14:paraId="3F52FFED">
            <w:pPr>
              <w:autoSpaceDE w:val="0"/>
              <w:autoSpaceDN w:val="0"/>
              <w:adjustRightInd w:val="0"/>
              <w:snapToGrid w:val="0"/>
              <w:spacing w:line="360" w:lineRule="auto"/>
              <w:jc w:val="left"/>
              <w:rPr>
                <w:rFonts w:hint="eastAsia" w:ascii="宋体" w:hAnsi="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tcPr>
          <w:p w14:paraId="6E310E92">
            <w:pPr>
              <w:autoSpaceDE w:val="0"/>
              <w:autoSpaceDN w:val="0"/>
              <w:adjustRightInd w:val="0"/>
              <w:snapToGrid w:val="0"/>
              <w:spacing w:line="360" w:lineRule="auto"/>
              <w:jc w:val="left"/>
              <w:rPr>
                <w:rFonts w:hint="eastAsia" w:ascii="宋体" w:hAnsi="宋体"/>
                <w:color w:val="auto"/>
                <w:kern w:val="0"/>
                <w:szCs w:val="21"/>
                <w:highlight w:val="none"/>
              </w:rPr>
            </w:pPr>
          </w:p>
        </w:tc>
      </w:tr>
    </w:tbl>
    <w:p w14:paraId="511EC169">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注：</w:t>
      </w:r>
    </w:p>
    <w:p w14:paraId="23EEC545">
      <w:pPr>
        <w:widowControl/>
        <w:jc w:val="left"/>
        <w:rPr>
          <w:color w:val="auto"/>
          <w:szCs w:val="22"/>
          <w:highlight w:val="none"/>
        </w:rPr>
      </w:pPr>
      <w:r>
        <w:rPr>
          <w:rFonts w:hint="eastAsia" w:ascii="宋体" w:hAnsi="宋体" w:cs="宋体"/>
          <w:color w:val="auto"/>
          <w:kern w:val="0"/>
          <w:szCs w:val="21"/>
          <w:highlight w:val="none"/>
          <w:lang w:bidi="ar"/>
        </w:rPr>
        <w:t xml:space="preserve">（1）本表为本项目所有服务的报价明细表，应对应“最后报价”填写。投标人如果不提供最后报价分项报价明细表，其投标无效。 </w:t>
      </w:r>
    </w:p>
    <w:p w14:paraId="1A129FAA">
      <w:pPr>
        <w:widowControl/>
        <w:jc w:val="left"/>
        <w:rPr>
          <w:color w:val="auto"/>
          <w:szCs w:val="22"/>
          <w:highlight w:val="none"/>
        </w:rPr>
      </w:pPr>
      <w:r>
        <w:rPr>
          <w:rFonts w:hint="eastAsia" w:ascii="宋体" w:hAnsi="宋体" w:cs="宋体"/>
          <w:color w:val="auto"/>
          <w:kern w:val="0"/>
          <w:szCs w:val="21"/>
          <w:highlight w:val="none"/>
          <w:lang w:bidi="ar"/>
        </w:rPr>
        <w:t xml:space="preserve">（2）不得填写“免费”或“赠与”，也不得进行“零”报价，否则投标无效。 </w:t>
      </w:r>
    </w:p>
    <w:p w14:paraId="57840E0E">
      <w:pPr>
        <w:widowControl/>
        <w:jc w:val="left"/>
        <w:rPr>
          <w:color w:val="auto"/>
          <w:szCs w:val="22"/>
          <w:highlight w:val="none"/>
        </w:rPr>
      </w:pPr>
      <w:r>
        <w:rPr>
          <w:rFonts w:hint="eastAsia" w:ascii="宋体" w:hAnsi="宋体" w:cs="宋体"/>
          <w:color w:val="auto"/>
          <w:kern w:val="0"/>
          <w:szCs w:val="21"/>
          <w:highlight w:val="none"/>
          <w:lang w:bidi="ar"/>
        </w:rPr>
        <w:t xml:space="preserve">（3）投标总报价为含税全包价，应包含直接费、管理费、保险费、利润、各项税金、配套货物的出厂价、到达最终目的地点的相关运输费、保险、仓储费、装卸费、安装费、检测费、评审费、人员培训费等伴随服务费和招标需求的有关内容。如一旦中标，因中标人自身原因造成漏报、少报皆由其自行承担责任，采购人不再支付任何费用。 </w:t>
      </w:r>
    </w:p>
    <w:p w14:paraId="001C0C00">
      <w:pPr>
        <w:adjustRightInd w:val="0"/>
        <w:snapToGrid w:val="0"/>
        <w:spacing w:line="360" w:lineRule="auto"/>
        <w:rPr>
          <w:rFonts w:hint="eastAsia" w:ascii="宋体" w:hAnsi="宋体"/>
          <w:color w:val="auto"/>
          <w:szCs w:val="21"/>
          <w:highlight w:val="none"/>
        </w:rPr>
      </w:pPr>
    </w:p>
    <w:p w14:paraId="4F05187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供应商（盖单位章）：</w:t>
      </w:r>
    </w:p>
    <w:p w14:paraId="11887D7A">
      <w:pPr>
        <w:adjustRightInd w:val="0"/>
        <w:snapToGrid w:val="0"/>
        <w:spacing w:line="360" w:lineRule="auto"/>
        <w:rPr>
          <w:rFonts w:hint="eastAsia" w:ascii="宋体" w:hAnsi="宋体"/>
          <w:color w:val="auto"/>
          <w:szCs w:val="21"/>
          <w:highlight w:val="none"/>
        </w:rPr>
      </w:pPr>
    </w:p>
    <w:p w14:paraId="3C4276EE">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5CD9587C">
      <w:pPr>
        <w:adjustRightInd w:val="0"/>
        <w:snapToGrid w:val="0"/>
        <w:spacing w:line="360" w:lineRule="auto"/>
        <w:rPr>
          <w:rFonts w:hint="eastAsia" w:ascii="宋体" w:hAnsi="宋体"/>
          <w:color w:val="auto"/>
          <w:szCs w:val="21"/>
          <w:highlight w:val="none"/>
        </w:rPr>
      </w:pPr>
    </w:p>
    <w:p w14:paraId="1924669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248064A8">
      <w:pPr>
        <w:rPr>
          <w:color w:val="auto"/>
          <w:highlight w:val="none"/>
        </w:rPr>
      </w:pPr>
    </w:p>
    <w:sectPr>
      <w:footerReference r:id="rId14" w:type="default"/>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Arail">
    <w:altName w:val="方正公文小标宋"/>
    <w:panose1 w:val="00000000000000000000"/>
    <w:charset w:val="00"/>
    <w:family w:val="roman"/>
    <w:pitch w:val="default"/>
    <w:sig w:usb0="00000000" w:usb1="00000000" w:usb2="00000000" w:usb3="00000000" w:csb0="00040001" w:csb1="00000000"/>
  </w:font>
  <w:font w:name="Noto Sans SC">
    <w:altName w:val="宋体"/>
    <w:panose1 w:val="020B0200000000000000"/>
    <w:charset w:val="86"/>
    <w:family w:val="auto"/>
    <w:pitch w:val="default"/>
    <w:sig w:usb0="00000000" w:usb1="00000000" w:usb2="00000016" w:usb3="00000000" w:csb0="60060107"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800002BF" w:usb1="184F6CF8" w:usb2="00000012" w:usb3="00000000" w:csb0="00020001" w:csb1="00000000"/>
  </w:font>
  <w:font w:name="MS Gothic">
    <w:panose1 w:val="020B0609070205080204"/>
    <w:charset w:val="80"/>
    <w:family w:val="modern"/>
    <w:pitch w:val="default"/>
    <w:sig w:usb0="E00002FF" w:usb1="6AC7FDFB" w:usb2="08000012" w:usb3="00000000" w:csb0="4002009F" w:csb1="DFD70000"/>
  </w:font>
  <w:font w:name="汉仪书宋二S">
    <w:altName w:val="宋体"/>
    <w:panose1 w:val="00000000000000000000"/>
    <w:charset w:val="00"/>
    <w:family w:val="auto"/>
    <w:pitch w:val="default"/>
    <w:sig w:usb0="00000000"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8495">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C1FA2">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F9C54">
    <w:pPr>
      <w:snapToGrid w:val="0"/>
      <w:jc w:val="center"/>
      <w:rPr>
        <w:sz w:val="18"/>
        <w:szCs w:val="18"/>
      </w:rP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28</w:t>
    </w:r>
    <w:r>
      <w:rPr>
        <w:sz w:val="18"/>
        <w:szCs w:val="18"/>
      </w:rPr>
      <w:fldChar w:fldCharType="end"/>
    </w:r>
  </w:p>
  <w:p w14:paraId="4AFCF026">
    <w:pPr>
      <w:ind w:left="210" w:hanging="210" w:hangingChars="100"/>
      <w:rPr>
        <w:rFonts w:ascii="宋体"/>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D674">
    <w:pPr>
      <w:snapToGrid w:val="0"/>
      <w:jc w:val="left"/>
      <w:rPr>
        <w:sz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B9D8C1">
                          <w:pPr>
                            <w:snapToGrid w:val="0"/>
                            <w:jc w:val="left"/>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8</w:t>
                          </w:r>
                          <w:r>
                            <w:rPr>
                              <w:sz w:val="18"/>
                            </w:rPr>
                            <w:fldChar w:fldCharType="end"/>
                          </w:r>
                          <w:r>
                            <w:rPr>
                              <w:sz w:val="18"/>
                            </w:rPr>
                            <w:t xml:space="preserve"> —</w:t>
                          </w:r>
                        </w:p>
                      </w:txbxContent>
                    </wps:txbx>
                    <wps:bodyPr wrap="none" lIns="0" tIns="0" rIns="0" bIns="0">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grw28MBAACO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fL&#10;11mfPkCNabcBE9Pw3g+4NbMf0JlpDyra/EVCBOOo7umirhwSEfnRarlaVRgSGJsviM/un4cI6YP0&#10;lmSjoRHHV1Tlx0+QxtQ5JVdz/kYbU0Zo3H8OxMwelnsfe8xWGnbDRGjn2xPy6XHyDXW46JSYjw6F&#10;zUsyG3E2dpORa0B4d0hYuPSTUUeoqRiOqTCaVirvwb/3knX/G2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2CvDbwwEAAI4DAAAOAAAAAAAAAAEAIAAAAB4BAABkcnMvZTJvRG9jLnhtbFBL&#10;BQYAAAAABgAGAFkBAABTBQAAAAA=&#10;">
              <v:fill on="f" focussize="0,0"/>
              <v:stroke on="f"/>
              <v:imagedata o:title=""/>
              <o:lock v:ext="edit" aspectratio="f"/>
              <v:textbox inset="0mm,0mm,0mm,0mm" style="mso-fit-shape-to-text:t;">
                <w:txbxContent>
                  <w:p w14:paraId="65B9D8C1">
                    <w:pPr>
                      <w:snapToGrid w:val="0"/>
                      <w:jc w:val="left"/>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8</w:t>
                    </w:r>
                    <w:r>
                      <w:rPr>
                        <w:sz w:val="18"/>
                      </w:rPr>
                      <w:fldChar w:fldCharType="end"/>
                    </w:r>
                    <w:r>
                      <w:rPr>
                        <w:sz w:val="1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30D3D">
    <w:pPr>
      <w:spacing w:line="221" w:lineRule="auto"/>
      <w:ind w:left="3970"/>
      <w:rPr>
        <w:rFonts w:hint="eastAsia" w:ascii="黑体" w:hAnsi="黑体" w:eastAsia="黑体" w:cs="黑体"/>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96B8F2">
                          <w:pPr>
                            <w:pStyle w:val="27"/>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SFpcMBAACO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fL&#10;N1mfPkCNabcBE9Pw3g+4NbMf0JlpDyra/EVCBOOo7umirhwSEfnRarlaVRgSGJsviM/un4cI6YP0&#10;lmSjoRHHV1Tlx0+QxtQ5JVdz/kYbU0Zo3H8OxMwelnsfe8xWGnbDRGjn2xPy6XHyDXW46JSYjw6F&#10;zUsyG3E2dpORa0B4d0hYuPSTUUeoqRiOqTCaVirvwb/3knX/G2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tJIWlwwEAAI4DAAAOAAAAAAAAAAEAIAAAAB4BAABkcnMvZTJvRG9jLnhtbFBL&#10;BQYAAAAABgAGAFkBAABTBQAAAAA=&#10;">
              <v:fill on="f" focussize="0,0"/>
              <v:stroke on="f"/>
              <v:imagedata o:title=""/>
              <o:lock v:ext="edit" aspectratio="f"/>
              <v:textbox inset="0mm,0mm,0mm,0mm" style="mso-fit-shape-to-text:t;">
                <w:txbxContent>
                  <w:p w14:paraId="6996B8F2">
                    <w:pPr>
                      <w:pStyle w:val="2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61451">
    <w:pPr>
      <w:spacing w:line="221" w:lineRule="auto"/>
      <w:ind w:left="3970"/>
      <w:rPr>
        <w:rFonts w:hint="eastAsia" w:ascii="黑体" w:hAnsi="黑体" w:eastAsia="黑体" w:cs="黑体"/>
        <w:sz w:val="22"/>
        <w:szCs w:val="22"/>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B68E29">
                          <w:pPr>
                            <w:pStyle w:val="27"/>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FSzFLCAQAAjgMAAA4AAAAAAAAAAQAgAAAAHgEAAGRycy9lMm9Eb2MueG1sUEsF&#10;BgAAAAAGAAYAWQEAAFIFAAAAAA==&#10;">
              <v:fill on="f" focussize="0,0"/>
              <v:stroke on="f"/>
              <v:imagedata o:title=""/>
              <o:lock v:ext="edit" aspectratio="f"/>
              <v:textbox inset="0mm,0mm,0mm,0mm" style="mso-fit-shape-to-text:t;">
                <w:txbxContent>
                  <w:p w14:paraId="3FB68E29">
                    <w:pPr>
                      <w:pStyle w:val="2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EBC58">
    <w:pPr>
      <w:pStyle w:val="27"/>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9E9C9B">
                          <w:pPr>
                            <w:pStyle w:val="27"/>
                          </w:pPr>
                          <w:r>
                            <w:fldChar w:fldCharType="begin"/>
                          </w:r>
                          <w:r>
                            <w:instrText xml:space="preserve"> PAGE  \* MERGEFORMAT </w:instrText>
                          </w:r>
                          <w:r>
                            <w:fldChar w:fldCharType="separate"/>
                          </w:r>
                          <w:r>
                            <w:t>78</w:t>
                          </w:r>
                          <w:r>
                            <w:fldChar w:fldCharType="end"/>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1Wah8IBAACN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eUOG5x4OefP86/Hs8P38nb&#10;LE8foMasu4B5aXjvB1ya2Q/ozKwHFW3+Ih+CcRT3dBFXDomI/Gi1XK0qDAmMzRfEZ0/PQ4T0QXpL&#10;stHQiNMrovLjJ0hj6pySqzl/q40pEzTuLwdiZg/LvY89ZisNu2EitPPtCfn0OPiGOtxzSsxHh7rm&#10;HZmNOBu7ycg1ILw7JCxc+smoI9RUDKdUGE0bldfgz3vJevqL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9VmofCAQAAjQMAAA4AAAAAAAAAAQAgAAAAHgEAAGRycy9lMm9Eb2MueG1sUEsF&#10;BgAAAAAGAAYAWQEAAFIFAAAAAA==&#10;">
              <v:fill on="f" focussize="0,0"/>
              <v:stroke on="f"/>
              <v:imagedata o:title=""/>
              <o:lock v:ext="edit" aspectratio="f"/>
              <v:textbox inset="0mm,0mm,0mm,0mm" style="mso-fit-shape-to-text:t;">
                <w:txbxContent>
                  <w:p w14:paraId="7F9E9C9B">
                    <w:pPr>
                      <w:pStyle w:val="27"/>
                    </w:pPr>
                    <w:r>
                      <w:fldChar w:fldCharType="begin"/>
                    </w:r>
                    <w:r>
                      <w:instrText xml:space="preserve"> PAGE  \* MERGEFORMAT </w:instrText>
                    </w:r>
                    <w:r>
                      <w:fldChar w:fldCharType="separate"/>
                    </w:r>
                    <w:r>
                      <w:t>78</w:t>
                    </w:r>
                    <w:r>
                      <w:fldChar w:fldCharType="end"/>
                    </w: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56A0A">
    <w:pPr>
      <w:pStyle w:val="2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045A1">
    <w:pPr>
      <w:pStyle w:val="2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7DDEB">
    <w:pPr>
      <w:tabs>
        <w:tab w:val="right" w:pos="8820"/>
      </w:tabs>
      <w:rPr>
        <w:szCs w:val="22"/>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BF3D5">
    <w:pPr>
      <w:pBdr>
        <w:top w:val="none" w:color="auto" w:sz="0" w:space="1"/>
        <w:left w:val="none" w:color="auto" w:sz="0" w:space="4"/>
        <w:right w:val="none" w:color="auto" w:sz="0" w:space="4"/>
      </w:pBdr>
      <w:snapToGrid w:val="0"/>
      <w:rPr>
        <w:sz w:val="18"/>
      </w:rPr>
    </w:pPr>
  </w:p>
  <w:p w14:paraId="146609C0">
    <w:pPr>
      <w:pBdr>
        <w:top w:val="none" w:color="auto" w:sz="0" w:space="1"/>
        <w:left w:val="none" w:color="auto" w:sz="0" w:space="4"/>
        <w:bottom w:val="none" w:color="auto" w:sz="0" w:space="1"/>
        <w:right w:val="none" w:color="auto" w:sz="0" w:space="4"/>
      </w:pBdr>
      <w:snapToGrid w:val="0"/>
      <w:rPr>
        <w:sz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F49E">
    <w:pPr>
      <w:tabs>
        <w:tab w:val="right" w:pos="8820"/>
      </w:tabs>
      <w:rPr>
        <w:szCs w:val="22"/>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0000002E"/>
    <w:multiLevelType w:val="multilevel"/>
    <w:tmpl w:val="0000002E"/>
    <w:lvl w:ilvl="0" w:tentative="0">
      <w:start w:val="1"/>
      <w:numFmt w:val="decimal"/>
      <w:lvlText w:val="（%1）"/>
      <w:lvlJc w:val="left"/>
      <w:pPr>
        <w:tabs>
          <w:tab w:val="left" w:pos="397"/>
        </w:tabs>
        <w:ind w:left="397" w:hanging="227"/>
      </w:pPr>
      <w:rPr>
        <w:rFonts w:hint="eastAsia" w:eastAsia="宋体" w:cs="Times New Roman"/>
        <w:b w:val="0"/>
        <w:i w:val="0"/>
        <w:sz w:val="21"/>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7">
    <w:nsid w:val="165A2056"/>
    <w:multiLevelType w:val="singleLevel"/>
    <w:tmpl w:val="165A2056"/>
    <w:lvl w:ilvl="0" w:tentative="0">
      <w:start w:val="1"/>
      <w:numFmt w:val="decimal"/>
      <w:suff w:val="nothing"/>
      <w:lvlText w:val="（%1）"/>
      <w:lvlJc w:val="left"/>
    </w:lvl>
  </w:abstractNum>
  <w:abstractNum w:abstractNumId="8">
    <w:nsid w:val="4D6D5C56"/>
    <w:multiLevelType w:val="singleLevel"/>
    <w:tmpl w:val="4D6D5C56"/>
    <w:lvl w:ilvl="0" w:tentative="0">
      <w:start w:val="5"/>
      <w:numFmt w:val="decimal"/>
      <w:suff w:val="nothing"/>
      <w:lvlText w:val="%1、"/>
      <w:lvlJc w:val="left"/>
    </w:lvl>
  </w:abstractNum>
  <w:abstractNum w:abstractNumId="9">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744EA39B"/>
    <w:multiLevelType w:val="singleLevel"/>
    <w:tmpl w:val="744EA39B"/>
    <w:lvl w:ilvl="0" w:tentative="0">
      <w:start w:val="1"/>
      <w:numFmt w:val="decimal"/>
      <w:suff w:val="nothing"/>
      <w:lvlText w:val="%1）"/>
      <w:lvlJc w:val="left"/>
    </w:lvl>
  </w:abstractNum>
  <w:abstractNum w:abstractNumId="11">
    <w:nsid w:val="7A0F6431"/>
    <w:multiLevelType w:val="singleLevel"/>
    <w:tmpl w:val="7A0F6431"/>
    <w:lvl w:ilvl="0" w:tentative="0">
      <w:start w:val="1"/>
      <w:numFmt w:val="decimal"/>
      <w:suff w:val="space"/>
      <w:lvlText w:val="%1."/>
      <w:lvlJc w:val="left"/>
    </w:lvl>
  </w:abstractNum>
  <w:num w:numId="1">
    <w:abstractNumId w:val="8"/>
  </w:num>
  <w:num w:numId="2">
    <w:abstractNumId w:val="9"/>
  </w:num>
  <w:num w:numId="3">
    <w:abstractNumId w:val="6"/>
  </w:num>
  <w:num w:numId="4">
    <w:abstractNumId w:val="11"/>
  </w:num>
  <w:num w:numId="5">
    <w:abstractNumId w:val="1"/>
  </w:num>
  <w:num w:numId="6">
    <w:abstractNumId w:val="5"/>
  </w:num>
  <w:num w:numId="7">
    <w:abstractNumId w:val="3"/>
  </w:num>
  <w:num w:numId="8">
    <w:abstractNumId w:val="2"/>
  </w:num>
  <w:num w:numId="9">
    <w:abstractNumId w:val="0"/>
  </w:num>
  <w:num w:numId="10">
    <w:abstractNumId w:val="4"/>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iZTU4NjBmNjYxODc3MDYwMjk3ZTRkYzJkZjJkNzUifQ=="/>
  </w:docVars>
  <w:rsids>
    <w:rsidRoot w:val="00496D5A"/>
    <w:rsid w:val="00005D48"/>
    <w:rsid w:val="00006056"/>
    <w:rsid w:val="000156E2"/>
    <w:rsid w:val="00024344"/>
    <w:rsid w:val="00024629"/>
    <w:rsid w:val="000253D7"/>
    <w:rsid w:val="00025986"/>
    <w:rsid w:val="00026218"/>
    <w:rsid w:val="00026B4C"/>
    <w:rsid w:val="00026FD7"/>
    <w:rsid w:val="00027406"/>
    <w:rsid w:val="0002779F"/>
    <w:rsid w:val="00027D5B"/>
    <w:rsid w:val="00030CEC"/>
    <w:rsid w:val="000313EC"/>
    <w:rsid w:val="00031EFA"/>
    <w:rsid w:val="00034641"/>
    <w:rsid w:val="00036D34"/>
    <w:rsid w:val="00037BC7"/>
    <w:rsid w:val="00037E98"/>
    <w:rsid w:val="00040D86"/>
    <w:rsid w:val="000441C7"/>
    <w:rsid w:val="000448EA"/>
    <w:rsid w:val="00051E2A"/>
    <w:rsid w:val="00053DE3"/>
    <w:rsid w:val="000617D3"/>
    <w:rsid w:val="000623D0"/>
    <w:rsid w:val="000640EC"/>
    <w:rsid w:val="000641A5"/>
    <w:rsid w:val="00066174"/>
    <w:rsid w:val="00066F07"/>
    <w:rsid w:val="000679B9"/>
    <w:rsid w:val="0007511F"/>
    <w:rsid w:val="000818D8"/>
    <w:rsid w:val="00081FA6"/>
    <w:rsid w:val="00086A97"/>
    <w:rsid w:val="00086DA0"/>
    <w:rsid w:val="000941DE"/>
    <w:rsid w:val="000952E7"/>
    <w:rsid w:val="00096A96"/>
    <w:rsid w:val="000A2941"/>
    <w:rsid w:val="000A3E58"/>
    <w:rsid w:val="000A4EFE"/>
    <w:rsid w:val="000A604E"/>
    <w:rsid w:val="000B22A7"/>
    <w:rsid w:val="000B2EE4"/>
    <w:rsid w:val="000B422C"/>
    <w:rsid w:val="000B4E0D"/>
    <w:rsid w:val="000B6963"/>
    <w:rsid w:val="000C031A"/>
    <w:rsid w:val="000C2B71"/>
    <w:rsid w:val="000C3661"/>
    <w:rsid w:val="000C5109"/>
    <w:rsid w:val="000C5BDA"/>
    <w:rsid w:val="000E1E33"/>
    <w:rsid w:val="000E430C"/>
    <w:rsid w:val="000F23B9"/>
    <w:rsid w:val="000F71D9"/>
    <w:rsid w:val="00100878"/>
    <w:rsid w:val="00104ED9"/>
    <w:rsid w:val="001050CB"/>
    <w:rsid w:val="00106CB3"/>
    <w:rsid w:val="00107232"/>
    <w:rsid w:val="0011494C"/>
    <w:rsid w:val="00123F1A"/>
    <w:rsid w:val="001256EF"/>
    <w:rsid w:val="00127819"/>
    <w:rsid w:val="00130BD0"/>
    <w:rsid w:val="001324C6"/>
    <w:rsid w:val="001342DC"/>
    <w:rsid w:val="001344E3"/>
    <w:rsid w:val="001364C1"/>
    <w:rsid w:val="0014102D"/>
    <w:rsid w:val="001416D5"/>
    <w:rsid w:val="00142F03"/>
    <w:rsid w:val="00144BAA"/>
    <w:rsid w:val="001466B1"/>
    <w:rsid w:val="001479C5"/>
    <w:rsid w:val="00147E27"/>
    <w:rsid w:val="00154ED0"/>
    <w:rsid w:val="00155B51"/>
    <w:rsid w:val="00160437"/>
    <w:rsid w:val="001637EB"/>
    <w:rsid w:val="00164D70"/>
    <w:rsid w:val="001652A3"/>
    <w:rsid w:val="001660C0"/>
    <w:rsid w:val="00166151"/>
    <w:rsid w:val="00167D4D"/>
    <w:rsid w:val="00167E36"/>
    <w:rsid w:val="0017108F"/>
    <w:rsid w:val="00171F75"/>
    <w:rsid w:val="00172007"/>
    <w:rsid w:val="00172683"/>
    <w:rsid w:val="00172AC1"/>
    <w:rsid w:val="00174093"/>
    <w:rsid w:val="00174AD2"/>
    <w:rsid w:val="0017639C"/>
    <w:rsid w:val="00184A5D"/>
    <w:rsid w:val="0018787D"/>
    <w:rsid w:val="00190F87"/>
    <w:rsid w:val="00194E27"/>
    <w:rsid w:val="00195369"/>
    <w:rsid w:val="001966F6"/>
    <w:rsid w:val="00197DB3"/>
    <w:rsid w:val="001A0051"/>
    <w:rsid w:val="001A17AC"/>
    <w:rsid w:val="001A27C7"/>
    <w:rsid w:val="001A4818"/>
    <w:rsid w:val="001B229F"/>
    <w:rsid w:val="001B2F64"/>
    <w:rsid w:val="001B56C9"/>
    <w:rsid w:val="001B6E2A"/>
    <w:rsid w:val="001B7F3D"/>
    <w:rsid w:val="001C19CA"/>
    <w:rsid w:val="001C1B44"/>
    <w:rsid w:val="001C30E6"/>
    <w:rsid w:val="001C37AC"/>
    <w:rsid w:val="001C598A"/>
    <w:rsid w:val="001C6863"/>
    <w:rsid w:val="001C687C"/>
    <w:rsid w:val="001C7AC8"/>
    <w:rsid w:val="001C7DB0"/>
    <w:rsid w:val="001C7E64"/>
    <w:rsid w:val="001C7EEC"/>
    <w:rsid w:val="001D1504"/>
    <w:rsid w:val="001D23F4"/>
    <w:rsid w:val="001D4C18"/>
    <w:rsid w:val="001D6192"/>
    <w:rsid w:val="001E0AF2"/>
    <w:rsid w:val="001E7B22"/>
    <w:rsid w:val="001F3061"/>
    <w:rsid w:val="00200EA4"/>
    <w:rsid w:val="002037B4"/>
    <w:rsid w:val="002037DB"/>
    <w:rsid w:val="00205190"/>
    <w:rsid w:val="00206968"/>
    <w:rsid w:val="00206FCE"/>
    <w:rsid w:val="00207162"/>
    <w:rsid w:val="00211C0E"/>
    <w:rsid w:val="002131F5"/>
    <w:rsid w:val="0021675C"/>
    <w:rsid w:val="002170D6"/>
    <w:rsid w:val="002207BF"/>
    <w:rsid w:val="002223E0"/>
    <w:rsid w:val="00223AAF"/>
    <w:rsid w:val="0022494E"/>
    <w:rsid w:val="00226977"/>
    <w:rsid w:val="002270C6"/>
    <w:rsid w:val="0023455F"/>
    <w:rsid w:val="00234E98"/>
    <w:rsid w:val="002355BB"/>
    <w:rsid w:val="00235C03"/>
    <w:rsid w:val="00242EFF"/>
    <w:rsid w:val="002433C3"/>
    <w:rsid w:val="00243709"/>
    <w:rsid w:val="00243BBB"/>
    <w:rsid w:val="00245A92"/>
    <w:rsid w:val="002468A0"/>
    <w:rsid w:val="002502DD"/>
    <w:rsid w:val="0025121A"/>
    <w:rsid w:val="00252BEB"/>
    <w:rsid w:val="00253AF0"/>
    <w:rsid w:val="00254429"/>
    <w:rsid w:val="00260FEB"/>
    <w:rsid w:val="00265946"/>
    <w:rsid w:val="00266E91"/>
    <w:rsid w:val="00281493"/>
    <w:rsid w:val="00285665"/>
    <w:rsid w:val="002859F6"/>
    <w:rsid w:val="00290F35"/>
    <w:rsid w:val="00291C33"/>
    <w:rsid w:val="00292B6F"/>
    <w:rsid w:val="002942E2"/>
    <w:rsid w:val="00295E49"/>
    <w:rsid w:val="002A03CB"/>
    <w:rsid w:val="002A2368"/>
    <w:rsid w:val="002A38B8"/>
    <w:rsid w:val="002A41F5"/>
    <w:rsid w:val="002A6ED0"/>
    <w:rsid w:val="002B26E9"/>
    <w:rsid w:val="002B44D3"/>
    <w:rsid w:val="002B4521"/>
    <w:rsid w:val="002B5F66"/>
    <w:rsid w:val="002B6046"/>
    <w:rsid w:val="002B7325"/>
    <w:rsid w:val="002D54FC"/>
    <w:rsid w:val="002E272B"/>
    <w:rsid w:val="002E2AB7"/>
    <w:rsid w:val="002E2BB7"/>
    <w:rsid w:val="002E356B"/>
    <w:rsid w:val="002E3739"/>
    <w:rsid w:val="002E4F41"/>
    <w:rsid w:val="002E6042"/>
    <w:rsid w:val="002E683F"/>
    <w:rsid w:val="002F0EFC"/>
    <w:rsid w:val="002F42D5"/>
    <w:rsid w:val="00300189"/>
    <w:rsid w:val="0030119D"/>
    <w:rsid w:val="00301B5A"/>
    <w:rsid w:val="003072D6"/>
    <w:rsid w:val="00311078"/>
    <w:rsid w:val="003136E5"/>
    <w:rsid w:val="00313BC8"/>
    <w:rsid w:val="0031417B"/>
    <w:rsid w:val="00317B37"/>
    <w:rsid w:val="00317CD3"/>
    <w:rsid w:val="00321C75"/>
    <w:rsid w:val="003274BF"/>
    <w:rsid w:val="003303DC"/>
    <w:rsid w:val="00331A2E"/>
    <w:rsid w:val="00332937"/>
    <w:rsid w:val="003333D7"/>
    <w:rsid w:val="00333798"/>
    <w:rsid w:val="00333943"/>
    <w:rsid w:val="0033695C"/>
    <w:rsid w:val="00340105"/>
    <w:rsid w:val="003412D4"/>
    <w:rsid w:val="00342089"/>
    <w:rsid w:val="0034572F"/>
    <w:rsid w:val="003469E4"/>
    <w:rsid w:val="0035131B"/>
    <w:rsid w:val="00352FB5"/>
    <w:rsid w:val="0035331E"/>
    <w:rsid w:val="003610D2"/>
    <w:rsid w:val="00361C98"/>
    <w:rsid w:val="003670D1"/>
    <w:rsid w:val="0037058A"/>
    <w:rsid w:val="00374E53"/>
    <w:rsid w:val="00376191"/>
    <w:rsid w:val="00382953"/>
    <w:rsid w:val="00384DB3"/>
    <w:rsid w:val="003914B4"/>
    <w:rsid w:val="00391A73"/>
    <w:rsid w:val="003948FD"/>
    <w:rsid w:val="00396C79"/>
    <w:rsid w:val="003A1272"/>
    <w:rsid w:val="003A1947"/>
    <w:rsid w:val="003A24BC"/>
    <w:rsid w:val="003A4F7B"/>
    <w:rsid w:val="003A6117"/>
    <w:rsid w:val="003B0AFE"/>
    <w:rsid w:val="003B1744"/>
    <w:rsid w:val="003B61CC"/>
    <w:rsid w:val="003B6A76"/>
    <w:rsid w:val="003B780B"/>
    <w:rsid w:val="003C166E"/>
    <w:rsid w:val="003C1E3F"/>
    <w:rsid w:val="003C3A5C"/>
    <w:rsid w:val="003C3EAB"/>
    <w:rsid w:val="003C6100"/>
    <w:rsid w:val="003C71C0"/>
    <w:rsid w:val="003C7959"/>
    <w:rsid w:val="003D1521"/>
    <w:rsid w:val="003D40FB"/>
    <w:rsid w:val="003E18E1"/>
    <w:rsid w:val="003E1EFA"/>
    <w:rsid w:val="003E2978"/>
    <w:rsid w:val="003E5433"/>
    <w:rsid w:val="003E64EE"/>
    <w:rsid w:val="003E746B"/>
    <w:rsid w:val="003E7B33"/>
    <w:rsid w:val="003F472F"/>
    <w:rsid w:val="003F4843"/>
    <w:rsid w:val="003F4AAF"/>
    <w:rsid w:val="003F4E1C"/>
    <w:rsid w:val="003F6A20"/>
    <w:rsid w:val="003F7D02"/>
    <w:rsid w:val="003F7FA7"/>
    <w:rsid w:val="00402505"/>
    <w:rsid w:val="00410033"/>
    <w:rsid w:val="0041158C"/>
    <w:rsid w:val="004117F0"/>
    <w:rsid w:val="00411C9F"/>
    <w:rsid w:val="00421605"/>
    <w:rsid w:val="00426577"/>
    <w:rsid w:val="00427C34"/>
    <w:rsid w:val="00430191"/>
    <w:rsid w:val="00431725"/>
    <w:rsid w:val="00432267"/>
    <w:rsid w:val="00432850"/>
    <w:rsid w:val="00433114"/>
    <w:rsid w:val="004409B2"/>
    <w:rsid w:val="00441209"/>
    <w:rsid w:val="00443C1D"/>
    <w:rsid w:val="00447474"/>
    <w:rsid w:val="00450484"/>
    <w:rsid w:val="00451D0C"/>
    <w:rsid w:val="00454F41"/>
    <w:rsid w:val="004609B4"/>
    <w:rsid w:val="00464F47"/>
    <w:rsid w:val="0046777B"/>
    <w:rsid w:val="00467B96"/>
    <w:rsid w:val="004736D1"/>
    <w:rsid w:val="004805CC"/>
    <w:rsid w:val="004836CC"/>
    <w:rsid w:val="00483D0A"/>
    <w:rsid w:val="00485D13"/>
    <w:rsid w:val="0048677F"/>
    <w:rsid w:val="0049502B"/>
    <w:rsid w:val="0049529F"/>
    <w:rsid w:val="00496CC0"/>
    <w:rsid w:val="00496D5A"/>
    <w:rsid w:val="004A0502"/>
    <w:rsid w:val="004A5608"/>
    <w:rsid w:val="004A7B3D"/>
    <w:rsid w:val="004A7EF1"/>
    <w:rsid w:val="004B7380"/>
    <w:rsid w:val="004C1285"/>
    <w:rsid w:val="004C3F73"/>
    <w:rsid w:val="004D1DC5"/>
    <w:rsid w:val="004D2178"/>
    <w:rsid w:val="004E0491"/>
    <w:rsid w:val="004E7016"/>
    <w:rsid w:val="004F46DF"/>
    <w:rsid w:val="00501474"/>
    <w:rsid w:val="00504192"/>
    <w:rsid w:val="00504385"/>
    <w:rsid w:val="00505680"/>
    <w:rsid w:val="00511EE9"/>
    <w:rsid w:val="00515059"/>
    <w:rsid w:val="00522A24"/>
    <w:rsid w:val="00525D61"/>
    <w:rsid w:val="0052705B"/>
    <w:rsid w:val="00530025"/>
    <w:rsid w:val="005325DA"/>
    <w:rsid w:val="005327B1"/>
    <w:rsid w:val="0053561F"/>
    <w:rsid w:val="00540AB6"/>
    <w:rsid w:val="0054427D"/>
    <w:rsid w:val="00546417"/>
    <w:rsid w:val="00550DB2"/>
    <w:rsid w:val="00553640"/>
    <w:rsid w:val="00554044"/>
    <w:rsid w:val="00554C89"/>
    <w:rsid w:val="0055550A"/>
    <w:rsid w:val="0056199A"/>
    <w:rsid w:val="00563F1D"/>
    <w:rsid w:val="00565883"/>
    <w:rsid w:val="00566DDF"/>
    <w:rsid w:val="00571E75"/>
    <w:rsid w:val="0057215E"/>
    <w:rsid w:val="00574969"/>
    <w:rsid w:val="00575BE9"/>
    <w:rsid w:val="00575F19"/>
    <w:rsid w:val="005770DF"/>
    <w:rsid w:val="00577638"/>
    <w:rsid w:val="00577C7F"/>
    <w:rsid w:val="00577F16"/>
    <w:rsid w:val="00580930"/>
    <w:rsid w:val="00582329"/>
    <w:rsid w:val="00583097"/>
    <w:rsid w:val="0058448D"/>
    <w:rsid w:val="00586507"/>
    <w:rsid w:val="005929E1"/>
    <w:rsid w:val="00596362"/>
    <w:rsid w:val="00596918"/>
    <w:rsid w:val="005A22A2"/>
    <w:rsid w:val="005A2A0F"/>
    <w:rsid w:val="005A3897"/>
    <w:rsid w:val="005A7294"/>
    <w:rsid w:val="005B1A4E"/>
    <w:rsid w:val="005B38E7"/>
    <w:rsid w:val="005B6E25"/>
    <w:rsid w:val="005C02DC"/>
    <w:rsid w:val="005C23A1"/>
    <w:rsid w:val="005D3F38"/>
    <w:rsid w:val="005D7ECA"/>
    <w:rsid w:val="005F19E8"/>
    <w:rsid w:val="005F23F3"/>
    <w:rsid w:val="005F5575"/>
    <w:rsid w:val="00601F43"/>
    <w:rsid w:val="006038F4"/>
    <w:rsid w:val="00604017"/>
    <w:rsid w:val="00605A59"/>
    <w:rsid w:val="00605AE0"/>
    <w:rsid w:val="00612E59"/>
    <w:rsid w:val="00615D25"/>
    <w:rsid w:val="006171F1"/>
    <w:rsid w:val="00620BF3"/>
    <w:rsid w:val="00621D98"/>
    <w:rsid w:val="00621E4F"/>
    <w:rsid w:val="006246A7"/>
    <w:rsid w:val="0063170F"/>
    <w:rsid w:val="006328FF"/>
    <w:rsid w:val="00633421"/>
    <w:rsid w:val="0063686A"/>
    <w:rsid w:val="0063699C"/>
    <w:rsid w:val="00636A24"/>
    <w:rsid w:val="00640743"/>
    <w:rsid w:val="0064250B"/>
    <w:rsid w:val="00647009"/>
    <w:rsid w:val="00647C2A"/>
    <w:rsid w:val="0065018E"/>
    <w:rsid w:val="00650AFD"/>
    <w:rsid w:val="006515C0"/>
    <w:rsid w:val="0065196E"/>
    <w:rsid w:val="00654F84"/>
    <w:rsid w:val="006564CF"/>
    <w:rsid w:val="00657A60"/>
    <w:rsid w:val="00657D26"/>
    <w:rsid w:val="00660C14"/>
    <w:rsid w:val="00661077"/>
    <w:rsid w:val="006627D5"/>
    <w:rsid w:val="0066795B"/>
    <w:rsid w:val="00672F09"/>
    <w:rsid w:val="00673AC8"/>
    <w:rsid w:val="00674314"/>
    <w:rsid w:val="006751BE"/>
    <w:rsid w:val="00677930"/>
    <w:rsid w:val="00682EB1"/>
    <w:rsid w:val="00687880"/>
    <w:rsid w:val="00687B26"/>
    <w:rsid w:val="00687C90"/>
    <w:rsid w:val="006931C3"/>
    <w:rsid w:val="00693615"/>
    <w:rsid w:val="00693CB4"/>
    <w:rsid w:val="00695533"/>
    <w:rsid w:val="006956F6"/>
    <w:rsid w:val="00695F7C"/>
    <w:rsid w:val="006A1124"/>
    <w:rsid w:val="006A1FCD"/>
    <w:rsid w:val="006A2852"/>
    <w:rsid w:val="006A4B81"/>
    <w:rsid w:val="006A7BE0"/>
    <w:rsid w:val="006B0A67"/>
    <w:rsid w:val="006B1413"/>
    <w:rsid w:val="006B55BC"/>
    <w:rsid w:val="006B6C41"/>
    <w:rsid w:val="006C060F"/>
    <w:rsid w:val="006C0DB9"/>
    <w:rsid w:val="006C1E31"/>
    <w:rsid w:val="006C5BCC"/>
    <w:rsid w:val="006C6DB0"/>
    <w:rsid w:val="006C7646"/>
    <w:rsid w:val="006D1534"/>
    <w:rsid w:val="006D2B6F"/>
    <w:rsid w:val="006D2FDF"/>
    <w:rsid w:val="006D3A9D"/>
    <w:rsid w:val="006D7616"/>
    <w:rsid w:val="006E0965"/>
    <w:rsid w:val="006F0527"/>
    <w:rsid w:val="006F1452"/>
    <w:rsid w:val="006F6654"/>
    <w:rsid w:val="00700C54"/>
    <w:rsid w:val="0070318B"/>
    <w:rsid w:val="00705812"/>
    <w:rsid w:val="0071222D"/>
    <w:rsid w:val="007145A9"/>
    <w:rsid w:val="007145DE"/>
    <w:rsid w:val="00715886"/>
    <w:rsid w:val="00721E55"/>
    <w:rsid w:val="0072365F"/>
    <w:rsid w:val="00725169"/>
    <w:rsid w:val="00725B82"/>
    <w:rsid w:val="0072635E"/>
    <w:rsid w:val="007352B2"/>
    <w:rsid w:val="007366EB"/>
    <w:rsid w:val="007410F1"/>
    <w:rsid w:val="00741768"/>
    <w:rsid w:val="0074301E"/>
    <w:rsid w:val="007439B2"/>
    <w:rsid w:val="00745F3E"/>
    <w:rsid w:val="0075074F"/>
    <w:rsid w:val="00752992"/>
    <w:rsid w:val="00752BB3"/>
    <w:rsid w:val="00754BFA"/>
    <w:rsid w:val="00754D46"/>
    <w:rsid w:val="0075565F"/>
    <w:rsid w:val="007576C6"/>
    <w:rsid w:val="00762CA9"/>
    <w:rsid w:val="00763F0D"/>
    <w:rsid w:val="00764680"/>
    <w:rsid w:val="00766A00"/>
    <w:rsid w:val="0076754D"/>
    <w:rsid w:val="00767A67"/>
    <w:rsid w:val="0077024A"/>
    <w:rsid w:val="007708C1"/>
    <w:rsid w:val="00770DB0"/>
    <w:rsid w:val="00771233"/>
    <w:rsid w:val="00774350"/>
    <w:rsid w:val="007749B5"/>
    <w:rsid w:val="007763F9"/>
    <w:rsid w:val="00776B96"/>
    <w:rsid w:val="00777CF4"/>
    <w:rsid w:val="00783E32"/>
    <w:rsid w:val="007856CC"/>
    <w:rsid w:val="00786EE8"/>
    <w:rsid w:val="00792066"/>
    <w:rsid w:val="00793D1D"/>
    <w:rsid w:val="00793F05"/>
    <w:rsid w:val="007940D5"/>
    <w:rsid w:val="00794207"/>
    <w:rsid w:val="007970D6"/>
    <w:rsid w:val="00797E3D"/>
    <w:rsid w:val="007A2780"/>
    <w:rsid w:val="007A49E7"/>
    <w:rsid w:val="007A6607"/>
    <w:rsid w:val="007A7098"/>
    <w:rsid w:val="007A780F"/>
    <w:rsid w:val="007B0A8F"/>
    <w:rsid w:val="007B0B37"/>
    <w:rsid w:val="007B4F1A"/>
    <w:rsid w:val="007B7725"/>
    <w:rsid w:val="007C01D7"/>
    <w:rsid w:val="007C0604"/>
    <w:rsid w:val="007C0A90"/>
    <w:rsid w:val="007C3E3A"/>
    <w:rsid w:val="007C504D"/>
    <w:rsid w:val="007C5FD1"/>
    <w:rsid w:val="007D6AEC"/>
    <w:rsid w:val="007E017E"/>
    <w:rsid w:val="007E397C"/>
    <w:rsid w:val="007E5C36"/>
    <w:rsid w:val="007E6442"/>
    <w:rsid w:val="007E72DD"/>
    <w:rsid w:val="007F0C54"/>
    <w:rsid w:val="007F34A8"/>
    <w:rsid w:val="007F7459"/>
    <w:rsid w:val="007F769F"/>
    <w:rsid w:val="00800C3F"/>
    <w:rsid w:val="00801BA0"/>
    <w:rsid w:val="00803C70"/>
    <w:rsid w:val="00805DF3"/>
    <w:rsid w:val="00805FC3"/>
    <w:rsid w:val="00807CE3"/>
    <w:rsid w:val="00810527"/>
    <w:rsid w:val="008106E6"/>
    <w:rsid w:val="008109A2"/>
    <w:rsid w:val="00814475"/>
    <w:rsid w:val="00817C22"/>
    <w:rsid w:val="00820B50"/>
    <w:rsid w:val="0082349C"/>
    <w:rsid w:val="008239A2"/>
    <w:rsid w:val="008262E8"/>
    <w:rsid w:val="00833F9F"/>
    <w:rsid w:val="008341E6"/>
    <w:rsid w:val="008358F5"/>
    <w:rsid w:val="008422DA"/>
    <w:rsid w:val="00842ACB"/>
    <w:rsid w:val="00844D78"/>
    <w:rsid w:val="00845C9E"/>
    <w:rsid w:val="008572CB"/>
    <w:rsid w:val="00860C91"/>
    <w:rsid w:val="00861C90"/>
    <w:rsid w:val="00862398"/>
    <w:rsid w:val="00862CA8"/>
    <w:rsid w:val="008632AC"/>
    <w:rsid w:val="00870309"/>
    <w:rsid w:val="008708E7"/>
    <w:rsid w:val="00870E11"/>
    <w:rsid w:val="008717C0"/>
    <w:rsid w:val="00874AB7"/>
    <w:rsid w:val="008760C1"/>
    <w:rsid w:val="0088002D"/>
    <w:rsid w:val="00880173"/>
    <w:rsid w:val="00880D58"/>
    <w:rsid w:val="008827A6"/>
    <w:rsid w:val="008842E6"/>
    <w:rsid w:val="00893E8E"/>
    <w:rsid w:val="00893F57"/>
    <w:rsid w:val="00894431"/>
    <w:rsid w:val="0089478B"/>
    <w:rsid w:val="00895459"/>
    <w:rsid w:val="00897135"/>
    <w:rsid w:val="00897928"/>
    <w:rsid w:val="008A393D"/>
    <w:rsid w:val="008A4DF5"/>
    <w:rsid w:val="008A7CC6"/>
    <w:rsid w:val="008B5AE2"/>
    <w:rsid w:val="008B6DC9"/>
    <w:rsid w:val="008B7139"/>
    <w:rsid w:val="008C1A3A"/>
    <w:rsid w:val="008C4313"/>
    <w:rsid w:val="008C53E1"/>
    <w:rsid w:val="008C594B"/>
    <w:rsid w:val="008D0766"/>
    <w:rsid w:val="008D16CF"/>
    <w:rsid w:val="008D5B2B"/>
    <w:rsid w:val="008E0FD8"/>
    <w:rsid w:val="008F07F0"/>
    <w:rsid w:val="008F0AD3"/>
    <w:rsid w:val="008F2601"/>
    <w:rsid w:val="008F2BCC"/>
    <w:rsid w:val="008F4153"/>
    <w:rsid w:val="008F588B"/>
    <w:rsid w:val="00902444"/>
    <w:rsid w:val="00905608"/>
    <w:rsid w:val="00907F19"/>
    <w:rsid w:val="009115DA"/>
    <w:rsid w:val="00911D04"/>
    <w:rsid w:val="00914B0C"/>
    <w:rsid w:val="00917478"/>
    <w:rsid w:val="009214D1"/>
    <w:rsid w:val="00927AE0"/>
    <w:rsid w:val="00935D10"/>
    <w:rsid w:val="00943C59"/>
    <w:rsid w:val="00945FD8"/>
    <w:rsid w:val="009523FD"/>
    <w:rsid w:val="009532D2"/>
    <w:rsid w:val="00953FBD"/>
    <w:rsid w:val="00955E56"/>
    <w:rsid w:val="009562F0"/>
    <w:rsid w:val="00956A8A"/>
    <w:rsid w:val="00957059"/>
    <w:rsid w:val="00957320"/>
    <w:rsid w:val="00962738"/>
    <w:rsid w:val="0096456D"/>
    <w:rsid w:val="00964B2D"/>
    <w:rsid w:val="00967EB0"/>
    <w:rsid w:val="00976258"/>
    <w:rsid w:val="00981256"/>
    <w:rsid w:val="00984D12"/>
    <w:rsid w:val="009864CB"/>
    <w:rsid w:val="009874F9"/>
    <w:rsid w:val="009914BD"/>
    <w:rsid w:val="0099340D"/>
    <w:rsid w:val="009A13E7"/>
    <w:rsid w:val="009A3706"/>
    <w:rsid w:val="009A5828"/>
    <w:rsid w:val="009A590C"/>
    <w:rsid w:val="009A5BF8"/>
    <w:rsid w:val="009A66CD"/>
    <w:rsid w:val="009A751B"/>
    <w:rsid w:val="009B1053"/>
    <w:rsid w:val="009B129A"/>
    <w:rsid w:val="009B1EFB"/>
    <w:rsid w:val="009B42E6"/>
    <w:rsid w:val="009B4D48"/>
    <w:rsid w:val="009B630B"/>
    <w:rsid w:val="009C0915"/>
    <w:rsid w:val="009C1C6C"/>
    <w:rsid w:val="009C2443"/>
    <w:rsid w:val="009C2C09"/>
    <w:rsid w:val="009C4199"/>
    <w:rsid w:val="009C50E0"/>
    <w:rsid w:val="009D52D1"/>
    <w:rsid w:val="009E3E7C"/>
    <w:rsid w:val="009E51AA"/>
    <w:rsid w:val="009E573F"/>
    <w:rsid w:val="009F28C6"/>
    <w:rsid w:val="009F2A1B"/>
    <w:rsid w:val="009F2B85"/>
    <w:rsid w:val="009F3049"/>
    <w:rsid w:val="009F395B"/>
    <w:rsid w:val="009F588C"/>
    <w:rsid w:val="009F6488"/>
    <w:rsid w:val="009F64B9"/>
    <w:rsid w:val="00A026F0"/>
    <w:rsid w:val="00A04456"/>
    <w:rsid w:val="00A116FD"/>
    <w:rsid w:val="00A125C0"/>
    <w:rsid w:val="00A16084"/>
    <w:rsid w:val="00A208CF"/>
    <w:rsid w:val="00A23A01"/>
    <w:rsid w:val="00A27EAB"/>
    <w:rsid w:val="00A316DA"/>
    <w:rsid w:val="00A32ABA"/>
    <w:rsid w:val="00A332E1"/>
    <w:rsid w:val="00A36478"/>
    <w:rsid w:val="00A36DA5"/>
    <w:rsid w:val="00A375C1"/>
    <w:rsid w:val="00A40014"/>
    <w:rsid w:val="00A40CB1"/>
    <w:rsid w:val="00A42E55"/>
    <w:rsid w:val="00A462B1"/>
    <w:rsid w:val="00A4677E"/>
    <w:rsid w:val="00A47F15"/>
    <w:rsid w:val="00A53A82"/>
    <w:rsid w:val="00A62BE8"/>
    <w:rsid w:val="00A64DD9"/>
    <w:rsid w:val="00A662F7"/>
    <w:rsid w:val="00A6771A"/>
    <w:rsid w:val="00A73333"/>
    <w:rsid w:val="00A74619"/>
    <w:rsid w:val="00A74A2F"/>
    <w:rsid w:val="00A812B3"/>
    <w:rsid w:val="00A84EB2"/>
    <w:rsid w:val="00A8766F"/>
    <w:rsid w:val="00A91454"/>
    <w:rsid w:val="00A952D4"/>
    <w:rsid w:val="00A95688"/>
    <w:rsid w:val="00A97BF2"/>
    <w:rsid w:val="00AA1061"/>
    <w:rsid w:val="00AA232A"/>
    <w:rsid w:val="00AA3A45"/>
    <w:rsid w:val="00AA3B30"/>
    <w:rsid w:val="00AA5262"/>
    <w:rsid w:val="00AA5C6A"/>
    <w:rsid w:val="00AA6A77"/>
    <w:rsid w:val="00AB10B3"/>
    <w:rsid w:val="00AB22F3"/>
    <w:rsid w:val="00AB2C4F"/>
    <w:rsid w:val="00AB6907"/>
    <w:rsid w:val="00AB7D38"/>
    <w:rsid w:val="00AC06D6"/>
    <w:rsid w:val="00AC375F"/>
    <w:rsid w:val="00AC3CDA"/>
    <w:rsid w:val="00AC3E7C"/>
    <w:rsid w:val="00AC542B"/>
    <w:rsid w:val="00AC7D43"/>
    <w:rsid w:val="00AC7D59"/>
    <w:rsid w:val="00AC7DB7"/>
    <w:rsid w:val="00AD0E2F"/>
    <w:rsid w:val="00AE218C"/>
    <w:rsid w:val="00AE6E0C"/>
    <w:rsid w:val="00AE77E6"/>
    <w:rsid w:val="00AE7FA6"/>
    <w:rsid w:val="00AF4888"/>
    <w:rsid w:val="00AF52CE"/>
    <w:rsid w:val="00B05959"/>
    <w:rsid w:val="00B061A0"/>
    <w:rsid w:val="00B10E7A"/>
    <w:rsid w:val="00B11E3E"/>
    <w:rsid w:val="00B15ACE"/>
    <w:rsid w:val="00B16632"/>
    <w:rsid w:val="00B1748F"/>
    <w:rsid w:val="00B17CED"/>
    <w:rsid w:val="00B2517F"/>
    <w:rsid w:val="00B26B9C"/>
    <w:rsid w:val="00B273FE"/>
    <w:rsid w:val="00B3052D"/>
    <w:rsid w:val="00B308C9"/>
    <w:rsid w:val="00B30BE7"/>
    <w:rsid w:val="00B30C84"/>
    <w:rsid w:val="00B3336F"/>
    <w:rsid w:val="00B34456"/>
    <w:rsid w:val="00B35645"/>
    <w:rsid w:val="00B3673B"/>
    <w:rsid w:val="00B3673D"/>
    <w:rsid w:val="00B369DC"/>
    <w:rsid w:val="00B40087"/>
    <w:rsid w:val="00B428A4"/>
    <w:rsid w:val="00B4763E"/>
    <w:rsid w:val="00B563B1"/>
    <w:rsid w:val="00B57BDF"/>
    <w:rsid w:val="00B63832"/>
    <w:rsid w:val="00B66235"/>
    <w:rsid w:val="00B71444"/>
    <w:rsid w:val="00B728A0"/>
    <w:rsid w:val="00B8031D"/>
    <w:rsid w:val="00B812C2"/>
    <w:rsid w:val="00B82290"/>
    <w:rsid w:val="00B841F8"/>
    <w:rsid w:val="00B93134"/>
    <w:rsid w:val="00B95533"/>
    <w:rsid w:val="00BA0304"/>
    <w:rsid w:val="00BA4F58"/>
    <w:rsid w:val="00BA63DF"/>
    <w:rsid w:val="00BB1202"/>
    <w:rsid w:val="00BB3D55"/>
    <w:rsid w:val="00BB403C"/>
    <w:rsid w:val="00BB4140"/>
    <w:rsid w:val="00BB4701"/>
    <w:rsid w:val="00BB75B7"/>
    <w:rsid w:val="00BC0183"/>
    <w:rsid w:val="00BC21EC"/>
    <w:rsid w:val="00BC540A"/>
    <w:rsid w:val="00BC55C8"/>
    <w:rsid w:val="00BC55F7"/>
    <w:rsid w:val="00BC58EF"/>
    <w:rsid w:val="00BC6FB5"/>
    <w:rsid w:val="00BD026A"/>
    <w:rsid w:val="00BD4483"/>
    <w:rsid w:val="00BD4AA2"/>
    <w:rsid w:val="00BD4E66"/>
    <w:rsid w:val="00BD5E47"/>
    <w:rsid w:val="00BD6233"/>
    <w:rsid w:val="00BD79AE"/>
    <w:rsid w:val="00BE2D5E"/>
    <w:rsid w:val="00BE3D6A"/>
    <w:rsid w:val="00BE4FD6"/>
    <w:rsid w:val="00BE6F2A"/>
    <w:rsid w:val="00BE7979"/>
    <w:rsid w:val="00BF2EA9"/>
    <w:rsid w:val="00BF459B"/>
    <w:rsid w:val="00C0044D"/>
    <w:rsid w:val="00C03F44"/>
    <w:rsid w:val="00C060F5"/>
    <w:rsid w:val="00C067A6"/>
    <w:rsid w:val="00C1377A"/>
    <w:rsid w:val="00C13B20"/>
    <w:rsid w:val="00C15122"/>
    <w:rsid w:val="00C17ADE"/>
    <w:rsid w:val="00C21AFB"/>
    <w:rsid w:val="00C2392D"/>
    <w:rsid w:val="00C25C30"/>
    <w:rsid w:val="00C25F04"/>
    <w:rsid w:val="00C260B7"/>
    <w:rsid w:val="00C3320D"/>
    <w:rsid w:val="00C41F91"/>
    <w:rsid w:val="00C459EB"/>
    <w:rsid w:val="00C47FAC"/>
    <w:rsid w:val="00C522DF"/>
    <w:rsid w:val="00C57C3C"/>
    <w:rsid w:val="00C61250"/>
    <w:rsid w:val="00C62431"/>
    <w:rsid w:val="00C65B62"/>
    <w:rsid w:val="00C670CF"/>
    <w:rsid w:val="00C7294B"/>
    <w:rsid w:val="00C7679B"/>
    <w:rsid w:val="00C778B3"/>
    <w:rsid w:val="00C812A0"/>
    <w:rsid w:val="00C81ABB"/>
    <w:rsid w:val="00C82444"/>
    <w:rsid w:val="00C852BE"/>
    <w:rsid w:val="00C87454"/>
    <w:rsid w:val="00CA1109"/>
    <w:rsid w:val="00CA203A"/>
    <w:rsid w:val="00CA41FC"/>
    <w:rsid w:val="00CA455D"/>
    <w:rsid w:val="00CA46B8"/>
    <w:rsid w:val="00CA70C8"/>
    <w:rsid w:val="00CB385D"/>
    <w:rsid w:val="00CB46B9"/>
    <w:rsid w:val="00CC1732"/>
    <w:rsid w:val="00CC248F"/>
    <w:rsid w:val="00CC313E"/>
    <w:rsid w:val="00CC315C"/>
    <w:rsid w:val="00CC3BE6"/>
    <w:rsid w:val="00CC4D47"/>
    <w:rsid w:val="00CC772F"/>
    <w:rsid w:val="00CD0E59"/>
    <w:rsid w:val="00CD29C5"/>
    <w:rsid w:val="00CE14C1"/>
    <w:rsid w:val="00CE3770"/>
    <w:rsid w:val="00CE4BCD"/>
    <w:rsid w:val="00CF1180"/>
    <w:rsid w:val="00CF349B"/>
    <w:rsid w:val="00CF66FC"/>
    <w:rsid w:val="00CF6AD7"/>
    <w:rsid w:val="00CF7FA4"/>
    <w:rsid w:val="00D013F6"/>
    <w:rsid w:val="00D01C2F"/>
    <w:rsid w:val="00D03BE5"/>
    <w:rsid w:val="00D05E18"/>
    <w:rsid w:val="00D05F96"/>
    <w:rsid w:val="00D06BB5"/>
    <w:rsid w:val="00D13454"/>
    <w:rsid w:val="00D208D1"/>
    <w:rsid w:val="00D20F37"/>
    <w:rsid w:val="00D22E2F"/>
    <w:rsid w:val="00D23CD8"/>
    <w:rsid w:val="00D24208"/>
    <w:rsid w:val="00D25042"/>
    <w:rsid w:val="00D34BB7"/>
    <w:rsid w:val="00D352E7"/>
    <w:rsid w:val="00D363F3"/>
    <w:rsid w:val="00D4038E"/>
    <w:rsid w:val="00D4468C"/>
    <w:rsid w:val="00D47185"/>
    <w:rsid w:val="00D501B5"/>
    <w:rsid w:val="00D53500"/>
    <w:rsid w:val="00D57AE7"/>
    <w:rsid w:val="00D64D31"/>
    <w:rsid w:val="00D65AE7"/>
    <w:rsid w:val="00D65F4C"/>
    <w:rsid w:val="00D660DE"/>
    <w:rsid w:val="00D67805"/>
    <w:rsid w:val="00D72DDF"/>
    <w:rsid w:val="00D72E09"/>
    <w:rsid w:val="00D734A0"/>
    <w:rsid w:val="00D739BE"/>
    <w:rsid w:val="00D73D34"/>
    <w:rsid w:val="00D76719"/>
    <w:rsid w:val="00D8155D"/>
    <w:rsid w:val="00D81E99"/>
    <w:rsid w:val="00D864D9"/>
    <w:rsid w:val="00D87130"/>
    <w:rsid w:val="00D90BFB"/>
    <w:rsid w:val="00D97374"/>
    <w:rsid w:val="00D97FB8"/>
    <w:rsid w:val="00DA1D0C"/>
    <w:rsid w:val="00DA5406"/>
    <w:rsid w:val="00DA5ED4"/>
    <w:rsid w:val="00DA6469"/>
    <w:rsid w:val="00DA6AC4"/>
    <w:rsid w:val="00DB4FC9"/>
    <w:rsid w:val="00DB591E"/>
    <w:rsid w:val="00DB74D5"/>
    <w:rsid w:val="00DC0CDF"/>
    <w:rsid w:val="00DC35CA"/>
    <w:rsid w:val="00DC3616"/>
    <w:rsid w:val="00DC3754"/>
    <w:rsid w:val="00DC4295"/>
    <w:rsid w:val="00DC448F"/>
    <w:rsid w:val="00DC4E73"/>
    <w:rsid w:val="00DC5D3F"/>
    <w:rsid w:val="00DC612D"/>
    <w:rsid w:val="00DD07D9"/>
    <w:rsid w:val="00DD2ACC"/>
    <w:rsid w:val="00DD534A"/>
    <w:rsid w:val="00DD60C0"/>
    <w:rsid w:val="00DD7982"/>
    <w:rsid w:val="00DE06AE"/>
    <w:rsid w:val="00DE22CF"/>
    <w:rsid w:val="00DE2A57"/>
    <w:rsid w:val="00DE3D36"/>
    <w:rsid w:val="00DE3DE8"/>
    <w:rsid w:val="00DE565E"/>
    <w:rsid w:val="00DE70C9"/>
    <w:rsid w:val="00DF1A93"/>
    <w:rsid w:val="00DF6442"/>
    <w:rsid w:val="00E01D63"/>
    <w:rsid w:val="00E1097B"/>
    <w:rsid w:val="00E11B41"/>
    <w:rsid w:val="00E15F46"/>
    <w:rsid w:val="00E161E0"/>
    <w:rsid w:val="00E237A4"/>
    <w:rsid w:val="00E2441B"/>
    <w:rsid w:val="00E25A4D"/>
    <w:rsid w:val="00E266D6"/>
    <w:rsid w:val="00E30E6B"/>
    <w:rsid w:val="00E33373"/>
    <w:rsid w:val="00E33411"/>
    <w:rsid w:val="00E341A3"/>
    <w:rsid w:val="00E3428B"/>
    <w:rsid w:val="00E36EFF"/>
    <w:rsid w:val="00E407B4"/>
    <w:rsid w:val="00E408B8"/>
    <w:rsid w:val="00E429CE"/>
    <w:rsid w:val="00E429F4"/>
    <w:rsid w:val="00E4489A"/>
    <w:rsid w:val="00E4608F"/>
    <w:rsid w:val="00E46FE9"/>
    <w:rsid w:val="00E479D6"/>
    <w:rsid w:val="00E50550"/>
    <w:rsid w:val="00E602BF"/>
    <w:rsid w:val="00E624B8"/>
    <w:rsid w:val="00E6289C"/>
    <w:rsid w:val="00E62E95"/>
    <w:rsid w:val="00E67B22"/>
    <w:rsid w:val="00E71D13"/>
    <w:rsid w:val="00E75528"/>
    <w:rsid w:val="00E80736"/>
    <w:rsid w:val="00E839DC"/>
    <w:rsid w:val="00E83F62"/>
    <w:rsid w:val="00E865B7"/>
    <w:rsid w:val="00E8777E"/>
    <w:rsid w:val="00E95E80"/>
    <w:rsid w:val="00EA3A50"/>
    <w:rsid w:val="00EA3E5E"/>
    <w:rsid w:val="00EA5F90"/>
    <w:rsid w:val="00EA7928"/>
    <w:rsid w:val="00EB169F"/>
    <w:rsid w:val="00EB4355"/>
    <w:rsid w:val="00EB4BB1"/>
    <w:rsid w:val="00EB5D62"/>
    <w:rsid w:val="00EB6998"/>
    <w:rsid w:val="00EB6A3C"/>
    <w:rsid w:val="00EB6F9F"/>
    <w:rsid w:val="00EC095F"/>
    <w:rsid w:val="00EC23BC"/>
    <w:rsid w:val="00EC29AB"/>
    <w:rsid w:val="00EC3671"/>
    <w:rsid w:val="00EC73E2"/>
    <w:rsid w:val="00ED0F8F"/>
    <w:rsid w:val="00ED1A22"/>
    <w:rsid w:val="00ED3E23"/>
    <w:rsid w:val="00ED4378"/>
    <w:rsid w:val="00ED4AE3"/>
    <w:rsid w:val="00ED5FC9"/>
    <w:rsid w:val="00EE04A0"/>
    <w:rsid w:val="00EE1CAC"/>
    <w:rsid w:val="00EE1FAC"/>
    <w:rsid w:val="00EE48CF"/>
    <w:rsid w:val="00EE5FF0"/>
    <w:rsid w:val="00EE6761"/>
    <w:rsid w:val="00EE6864"/>
    <w:rsid w:val="00EE7D3A"/>
    <w:rsid w:val="00EF0DCF"/>
    <w:rsid w:val="00EF3179"/>
    <w:rsid w:val="00EF3A7A"/>
    <w:rsid w:val="00EF3CC8"/>
    <w:rsid w:val="00F04252"/>
    <w:rsid w:val="00F076A2"/>
    <w:rsid w:val="00F11A54"/>
    <w:rsid w:val="00F12723"/>
    <w:rsid w:val="00F146A1"/>
    <w:rsid w:val="00F156A1"/>
    <w:rsid w:val="00F20AF0"/>
    <w:rsid w:val="00F21532"/>
    <w:rsid w:val="00F21D41"/>
    <w:rsid w:val="00F22952"/>
    <w:rsid w:val="00F22959"/>
    <w:rsid w:val="00F22CF7"/>
    <w:rsid w:val="00F23C0D"/>
    <w:rsid w:val="00F24C96"/>
    <w:rsid w:val="00F26E19"/>
    <w:rsid w:val="00F27C91"/>
    <w:rsid w:val="00F32D01"/>
    <w:rsid w:val="00F33E48"/>
    <w:rsid w:val="00F34851"/>
    <w:rsid w:val="00F40707"/>
    <w:rsid w:val="00F4072F"/>
    <w:rsid w:val="00F4215A"/>
    <w:rsid w:val="00F42B45"/>
    <w:rsid w:val="00F44203"/>
    <w:rsid w:val="00F4629B"/>
    <w:rsid w:val="00F50E52"/>
    <w:rsid w:val="00F52E4A"/>
    <w:rsid w:val="00F5423D"/>
    <w:rsid w:val="00F57737"/>
    <w:rsid w:val="00F57B52"/>
    <w:rsid w:val="00F620DD"/>
    <w:rsid w:val="00F65FE6"/>
    <w:rsid w:val="00F67FAA"/>
    <w:rsid w:val="00F70AAC"/>
    <w:rsid w:val="00F71C06"/>
    <w:rsid w:val="00F724DF"/>
    <w:rsid w:val="00F735A7"/>
    <w:rsid w:val="00F73A61"/>
    <w:rsid w:val="00F75C03"/>
    <w:rsid w:val="00F75F80"/>
    <w:rsid w:val="00F8103D"/>
    <w:rsid w:val="00F85688"/>
    <w:rsid w:val="00F857EE"/>
    <w:rsid w:val="00F901DE"/>
    <w:rsid w:val="00F902AA"/>
    <w:rsid w:val="00F91988"/>
    <w:rsid w:val="00F942F9"/>
    <w:rsid w:val="00FA12CB"/>
    <w:rsid w:val="00FA1877"/>
    <w:rsid w:val="00FA58BB"/>
    <w:rsid w:val="00FB0EFF"/>
    <w:rsid w:val="00FB3A4E"/>
    <w:rsid w:val="00FB747D"/>
    <w:rsid w:val="00FB7B9F"/>
    <w:rsid w:val="00FC5189"/>
    <w:rsid w:val="00FC6B39"/>
    <w:rsid w:val="00FC7D9C"/>
    <w:rsid w:val="00FD04F4"/>
    <w:rsid w:val="00FD2D0F"/>
    <w:rsid w:val="00FD39D5"/>
    <w:rsid w:val="00FD79C8"/>
    <w:rsid w:val="00FE05AD"/>
    <w:rsid w:val="00FE0768"/>
    <w:rsid w:val="00FE1CF8"/>
    <w:rsid w:val="00FE282D"/>
    <w:rsid w:val="00FE2A2C"/>
    <w:rsid w:val="00FE397A"/>
    <w:rsid w:val="00FE7F23"/>
    <w:rsid w:val="00FF36CA"/>
    <w:rsid w:val="00FF56B6"/>
    <w:rsid w:val="00FF6A68"/>
    <w:rsid w:val="01531FAC"/>
    <w:rsid w:val="016454BC"/>
    <w:rsid w:val="01C66838"/>
    <w:rsid w:val="01F80493"/>
    <w:rsid w:val="0249088A"/>
    <w:rsid w:val="02A225C9"/>
    <w:rsid w:val="02CC33F6"/>
    <w:rsid w:val="0350044F"/>
    <w:rsid w:val="03542F8D"/>
    <w:rsid w:val="03D323C1"/>
    <w:rsid w:val="041534AA"/>
    <w:rsid w:val="04506807"/>
    <w:rsid w:val="04787553"/>
    <w:rsid w:val="04BB4435"/>
    <w:rsid w:val="051F3797"/>
    <w:rsid w:val="05393685"/>
    <w:rsid w:val="053E0486"/>
    <w:rsid w:val="05565EF5"/>
    <w:rsid w:val="056106F1"/>
    <w:rsid w:val="05B12EC6"/>
    <w:rsid w:val="065D7945"/>
    <w:rsid w:val="069F5975"/>
    <w:rsid w:val="06A5279D"/>
    <w:rsid w:val="06F151CB"/>
    <w:rsid w:val="070F0683"/>
    <w:rsid w:val="0788216C"/>
    <w:rsid w:val="079621C3"/>
    <w:rsid w:val="08AB5E97"/>
    <w:rsid w:val="09612E51"/>
    <w:rsid w:val="09B002F3"/>
    <w:rsid w:val="09FD1D80"/>
    <w:rsid w:val="0A040A04"/>
    <w:rsid w:val="0AB7483E"/>
    <w:rsid w:val="0AC8324A"/>
    <w:rsid w:val="0B0724A6"/>
    <w:rsid w:val="0B2F362E"/>
    <w:rsid w:val="0B341FFD"/>
    <w:rsid w:val="0B3543DB"/>
    <w:rsid w:val="0B6F20F3"/>
    <w:rsid w:val="0B9D1070"/>
    <w:rsid w:val="0C48260B"/>
    <w:rsid w:val="0C5606DC"/>
    <w:rsid w:val="0CAD0C17"/>
    <w:rsid w:val="0CBF13FF"/>
    <w:rsid w:val="0CE32D44"/>
    <w:rsid w:val="0D1425D5"/>
    <w:rsid w:val="0DB3678A"/>
    <w:rsid w:val="0DC75251"/>
    <w:rsid w:val="0DCE6B40"/>
    <w:rsid w:val="0E131F9D"/>
    <w:rsid w:val="0E451249"/>
    <w:rsid w:val="0E6C6B61"/>
    <w:rsid w:val="0E6C6C28"/>
    <w:rsid w:val="0EA372DF"/>
    <w:rsid w:val="0EC75C62"/>
    <w:rsid w:val="0F925EBE"/>
    <w:rsid w:val="0FFE370C"/>
    <w:rsid w:val="103C5FE2"/>
    <w:rsid w:val="10C75F44"/>
    <w:rsid w:val="11183324"/>
    <w:rsid w:val="112D5BD0"/>
    <w:rsid w:val="11314070"/>
    <w:rsid w:val="11364CC5"/>
    <w:rsid w:val="11636ACE"/>
    <w:rsid w:val="11C97E33"/>
    <w:rsid w:val="12030E84"/>
    <w:rsid w:val="120B2C59"/>
    <w:rsid w:val="12DC5736"/>
    <w:rsid w:val="1356593D"/>
    <w:rsid w:val="1366110F"/>
    <w:rsid w:val="1421106C"/>
    <w:rsid w:val="147206FA"/>
    <w:rsid w:val="14DF5ABC"/>
    <w:rsid w:val="152039AF"/>
    <w:rsid w:val="15542020"/>
    <w:rsid w:val="156F5F06"/>
    <w:rsid w:val="16500162"/>
    <w:rsid w:val="16C73280"/>
    <w:rsid w:val="16D36B8C"/>
    <w:rsid w:val="17157467"/>
    <w:rsid w:val="17213931"/>
    <w:rsid w:val="17E36CEA"/>
    <w:rsid w:val="18597DC9"/>
    <w:rsid w:val="18FB7403"/>
    <w:rsid w:val="19EC2B10"/>
    <w:rsid w:val="1A874283"/>
    <w:rsid w:val="1B327A0A"/>
    <w:rsid w:val="1B3B4111"/>
    <w:rsid w:val="1B972C67"/>
    <w:rsid w:val="1BEE6734"/>
    <w:rsid w:val="1C04447B"/>
    <w:rsid w:val="1C856F8B"/>
    <w:rsid w:val="1C98639D"/>
    <w:rsid w:val="1CBC1137"/>
    <w:rsid w:val="1D1B7C54"/>
    <w:rsid w:val="1D3956A7"/>
    <w:rsid w:val="1D3A42DF"/>
    <w:rsid w:val="1D6C3E82"/>
    <w:rsid w:val="1D93794F"/>
    <w:rsid w:val="1E1548A3"/>
    <w:rsid w:val="1E247A62"/>
    <w:rsid w:val="1E35105C"/>
    <w:rsid w:val="1E5655B5"/>
    <w:rsid w:val="1F06438B"/>
    <w:rsid w:val="1F161A71"/>
    <w:rsid w:val="1F1641C6"/>
    <w:rsid w:val="1F272B1A"/>
    <w:rsid w:val="1F3C3304"/>
    <w:rsid w:val="1F7550F8"/>
    <w:rsid w:val="1FF4234F"/>
    <w:rsid w:val="20277947"/>
    <w:rsid w:val="206F027B"/>
    <w:rsid w:val="207D34EB"/>
    <w:rsid w:val="20B47F4D"/>
    <w:rsid w:val="214174ED"/>
    <w:rsid w:val="217A6052"/>
    <w:rsid w:val="219D6A96"/>
    <w:rsid w:val="22225AE8"/>
    <w:rsid w:val="224F6821"/>
    <w:rsid w:val="2274443F"/>
    <w:rsid w:val="22D30A28"/>
    <w:rsid w:val="22EC7890"/>
    <w:rsid w:val="23211DBE"/>
    <w:rsid w:val="24442B3D"/>
    <w:rsid w:val="24753297"/>
    <w:rsid w:val="2490169B"/>
    <w:rsid w:val="249A1DD6"/>
    <w:rsid w:val="24A7227E"/>
    <w:rsid w:val="24CC5311"/>
    <w:rsid w:val="24DB7818"/>
    <w:rsid w:val="24F417A9"/>
    <w:rsid w:val="25243542"/>
    <w:rsid w:val="25454829"/>
    <w:rsid w:val="25FA3ED0"/>
    <w:rsid w:val="26170C2C"/>
    <w:rsid w:val="266C0839"/>
    <w:rsid w:val="26B90A7D"/>
    <w:rsid w:val="27066BAE"/>
    <w:rsid w:val="2715169D"/>
    <w:rsid w:val="2727012C"/>
    <w:rsid w:val="272D447F"/>
    <w:rsid w:val="27463C33"/>
    <w:rsid w:val="274C3AD4"/>
    <w:rsid w:val="274D684C"/>
    <w:rsid w:val="275E71D6"/>
    <w:rsid w:val="27980A8A"/>
    <w:rsid w:val="27B73BDA"/>
    <w:rsid w:val="27CB7F20"/>
    <w:rsid w:val="27DD2DB6"/>
    <w:rsid w:val="280E332E"/>
    <w:rsid w:val="282C056C"/>
    <w:rsid w:val="28564ACC"/>
    <w:rsid w:val="288C2516"/>
    <w:rsid w:val="288E5F57"/>
    <w:rsid w:val="2895052E"/>
    <w:rsid w:val="28C437B0"/>
    <w:rsid w:val="291B41F8"/>
    <w:rsid w:val="291C4968"/>
    <w:rsid w:val="29476929"/>
    <w:rsid w:val="2A6C17D8"/>
    <w:rsid w:val="2B3F7130"/>
    <w:rsid w:val="2B6960E4"/>
    <w:rsid w:val="2B6A44F3"/>
    <w:rsid w:val="2C3751FA"/>
    <w:rsid w:val="2C711270"/>
    <w:rsid w:val="2CAA53D5"/>
    <w:rsid w:val="2CB85345"/>
    <w:rsid w:val="2CBF1119"/>
    <w:rsid w:val="2DA103F0"/>
    <w:rsid w:val="2E0A52EF"/>
    <w:rsid w:val="2E316E58"/>
    <w:rsid w:val="2E8329A4"/>
    <w:rsid w:val="2FA50C34"/>
    <w:rsid w:val="2FDB3CDE"/>
    <w:rsid w:val="305B23FA"/>
    <w:rsid w:val="30CD457E"/>
    <w:rsid w:val="30DC790E"/>
    <w:rsid w:val="311D2C6B"/>
    <w:rsid w:val="315C1206"/>
    <w:rsid w:val="31A4482C"/>
    <w:rsid w:val="31DE52EF"/>
    <w:rsid w:val="31F77A2F"/>
    <w:rsid w:val="324F0F63"/>
    <w:rsid w:val="32740CDC"/>
    <w:rsid w:val="32F02F31"/>
    <w:rsid w:val="33247276"/>
    <w:rsid w:val="334552A1"/>
    <w:rsid w:val="33632A51"/>
    <w:rsid w:val="33AE0D44"/>
    <w:rsid w:val="33BD73CA"/>
    <w:rsid w:val="33ED3E6F"/>
    <w:rsid w:val="344808D0"/>
    <w:rsid w:val="34D74F1C"/>
    <w:rsid w:val="34DB7547"/>
    <w:rsid w:val="350C1B78"/>
    <w:rsid w:val="35294195"/>
    <w:rsid w:val="36274EBB"/>
    <w:rsid w:val="36310EF8"/>
    <w:rsid w:val="363B3C2E"/>
    <w:rsid w:val="3677659B"/>
    <w:rsid w:val="367F6CBB"/>
    <w:rsid w:val="36A61087"/>
    <w:rsid w:val="36A80DEA"/>
    <w:rsid w:val="37052E82"/>
    <w:rsid w:val="375755A3"/>
    <w:rsid w:val="37C31004"/>
    <w:rsid w:val="37FB03C1"/>
    <w:rsid w:val="37FF5DD7"/>
    <w:rsid w:val="3829516B"/>
    <w:rsid w:val="382A683A"/>
    <w:rsid w:val="385211B2"/>
    <w:rsid w:val="389E1411"/>
    <w:rsid w:val="38D03889"/>
    <w:rsid w:val="39072191"/>
    <w:rsid w:val="39127569"/>
    <w:rsid w:val="391A719D"/>
    <w:rsid w:val="393C17C0"/>
    <w:rsid w:val="3A55686A"/>
    <w:rsid w:val="3A6F3153"/>
    <w:rsid w:val="3A944B3D"/>
    <w:rsid w:val="3AC90DE9"/>
    <w:rsid w:val="3B085695"/>
    <w:rsid w:val="3B2A146C"/>
    <w:rsid w:val="3B373920"/>
    <w:rsid w:val="3BAC4197"/>
    <w:rsid w:val="3BD50F16"/>
    <w:rsid w:val="3BDA30F3"/>
    <w:rsid w:val="3BFB020A"/>
    <w:rsid w:val="3C0642CE"/>
    <w:rsid w:val="3C0B0C7D"/>
    <w:rsid w:val="3C495AA1"/>
    <w:rsid w:val="3C9931C3"/>
    <w:rsid w:val="3CC176EC"/>
    <w:rsid w:val="3CC7789D"/>
    <w:rsid w:val="3CDC0072"/>
    <w:rsid w:val="3CDE19A3"/>
    <w:rsid w:val="3CE7389D"/>
    <w:rsid w:val="3D485717"/>
    <w:rsid w:val="3D6C69D6"/>
    <w:rsid w:val="3D921E73"/>
    <w:rsid w:val="3E4836A1"/>
    <w:rsid w:val="3EAC4C94"/>
    <w:rsid w:val="3EAF1049"/>
    <w:rsid w:val="3EB5167A"/>
    <w:rsid w:val="3EE550A8"/>
    <w:rsid w:val="3EEA1E60"/>
    <w:rsid w:val="3F4A5777"/>
    <w:rsid w:val="3F7D1A9D"/>
    <w:rsid w:val="3FB11E75"/>
    <w:rsid w:val="400646E0"/>
    <w:rsid w:val="408A777F"/>
    <w:rsid w:val="40CD7CD7"/>
    <w:rsid w:val="40EB3DF7"/>
    <w:rsid w:val="411A3440"/>
    <w:rsid w:val="414843B3"/>
    <w:rsid w:val="41614418"/>
    <w:rsid w:val="41BD2233"/>
    <w:rsid w:val="424733C1"/>
    <w:rsid w:val="425945AF"/>
    <w:rsid w:val="42897FA0"/>
    <w:rsid w:val="42DE2DA6"/>
    <w:rsid w:val="42EC66C5"/>
    <w:rsid w:val="43133955"/>
    <w:rsid w:val="436B2F81"/>
    <w:rsid w:val="4393557C"/>
    <w:rsid w:val="44196BCA"/>
    <w:rsid w:val="446D6EF4"/>
    <w:rsid w:val="44B00772"/>
    <w:rsid w:val="451621B4"/>
    <w:rsid w:val="454D4DC7"/>
    <w:rsid w:val="455C70E9"/>
    <w:rsid w:val="459013A6"/>
    <w:rsid w:val="45D93901"/>
    <w:rsid w:val="45D95AA6"/>
    <w:rsid w:val="467206D5"/>
    <w:rsid w:val="467A1F87"/>
    <w:rsid w:val="46A41C10"/>
    <w:rsid w:val="46AF00E0"/>
    <w:rsid w:val="46C0788F"/>
    <w:rsid w:val="46D84E60"/>
    <w:rsid w:val="46FD1A27"/>
    <w:rsid w:val="47174FF4"/>
    <w:rsid w:val="477737C9"/>
    <w:rsid w:val="47AC79EE"/>
    <w:rsid w:val="47B2477C"/>
    <w:rsid w:val="47C72F48"/>
    <w:rsid w:val="48240C55"/>
    <w:rsid w:val="48525762"/>
    <w:rsid w:val="48590132"/>
    <w:rsid w:val="48667125"/>
    <w:rsid w:val="486F2BC6"/>
    <w:rsid w:val="48A56114"/>
    <w:rsid w:val="48DC723F"/>
    <w:rsid w:val="492F3BDC"/>
    <w:rsid w:val="494934A3"/>
    <w:rsid w:val="4979579C"/>
    <w:rsid w:val="498C21E8"/>
    <w:rsid w:val="4ACB298D"/>
    <w:rsid w:val="4ADA02F6"/>
    <w:rsid w:val="4B131B35"/>
    <w:rsid w:val="4B9E4D37"/>
    <w:rsid w:val="4C29528D"/>
    <w:rsid w:val="4C3F6114"/>
    <w:rsid w:val="4C520360"/>
    <w:rsid w:val="4C94739B"/>
    <w:rsid w:val="4D5048A0"/>
    <w:rsid w:val="4D930C9A"/>
    <w:rsid w:val="4DBD568B"/>
    <w:rsid w:val="4E5320D0"/>
    <w:rsid w:val="4E5418AE"/>
    <w:rsid w:val="4E907FE4"/>
    <w:rsid w:val="4EBF7C1E"/>
    <w:rsid w:val="4EE67391"/>
    <w:rsid w:val="4EEA2AD2"/>
    <w:rsid w:val="4EF444D8"/>
    <w:rsid w:val="4F265EE1"/>
    <w:rsid w:val="4FBB3C2E"/>
    <w:rsid w:val="4FBD46BD"/>
    <w:rsid w:val="4FD25A40"/>
    <w:rsid w:val="50183CA2"/>
    <w:rsid w:val="50850D04"/>
    <w:rsid w:val="50A80602"/>
    <w:rsid w:val="50F47A86"/>
    <w:rsid w:val="50FE16E5"/>
    <w:rsid w:val="516128BF"/>
    <w:rsid w:val="51915844"/>
    <w:rsid w:val="51F168D2"/>
    <w:rsid w:val="521A36CE"/>
    <w:rsid w:val="52302EF2"/>
    <w:rsid w:val="5253098E"/>
    <w:rsid w:val="52AD0DD3"/>
    <w:rsid w:val="52EB541C"/>
    <w:rsid w:val="52F624FE"/>
    <w:rsid w:val="53007529"/>
    <w:rsid w:val="53253D0D"/>
    <w:rsid w:val="533E105D"/>
    <w:rsid w:val="53426A39"/>
    <w:rsid w:val="537A55D8"/>
    <w:rsid w:val="53865E15"/>
    <w:rsid w:val="53B848C7"/>
    <w:rsid w:val="53C2401E"/>
    <w:rsid w:val="53E41B48"/>
    <w:rsid w:val="54270DD4"/>
    <w:rsid w:val="54446C36"/>
    <w:rsid w:val="54656F77"/>
    <w:rsid w:val="549B5D98"/>
    <w:rsid w:val="55630DCC"/>
    <w:rsid w:val="5583158B"/>
    <w:rsid w:val="55854AC5"/>
    <w:rsid w:val="558F1CDD"/>
    <w:rsid w:val="558F2E27"/>
    <w:rsid w:val="55A37D96"/>
    <w:rsid w:val="55C7591B"/>
    <w:rsid w:val="55CB540B"/>
    <w:rsid w:val="5639491B"/>
    <w:rsid w:val="566D0271"/>
    <w:rsid w:val="568A1CC7"/>
    <w:rsid w:val="568F1B03"/>
    <w:rsid w:val="569F0B7C"/>
    <w:rsid w:val="56A1616C"/>
    <w:rsid w:val="577E64AD"/>
    <w:rsid w:val="581C3189"/>
    <w:rsid w:val="583077A8"/>
    <w:rsid w:val="597E2795"/>
    <w:rsid w:val="599F02FF"/>
    <w:rsid w:val="59D92510"/>
    <w:rsid w:val="5A44310E"/>
    <w:rsid w:val="5A835ECE"/>
    <w:rsid w:val="5A84052B"/>
    <w:rsid w:val="5AAE2C06"/>
    <w:rsid w:val="5AB7398D"/>
    <w:rsid w:val="5AE71189"/>
    <w:rsid w:val="5AF31D2F"/>
    <w:rsid w:val="5B307ABF"/>
    <w:rsid w:val="5B8F0C89"/>
    <w:rsid w:val="5BA22800"/>
    <w:rsid w:val="5C08495E"/>
    <w:rsid w:val="5C89092D"/>
    <w:rsid w:val="5C9768C9"/>
    <w:rsid w:val="5D192A11"/>
    <w:rsid w:val="5D712A4D"/>
    <w:rsid w:val="5DDA025B"/>
    <w:rsid w:val="5E7D2AC4"/>
    <w:rsid w:val="5E910ACE"/>
    <w:rsid w:val="5EA35C80"/>
    <w:rsid w:val="5EAF45B8"/>
    <w:rsid w:val="5EF90D3C"/>
    <w:rsid w:val="5F3C2ED6"/>
    <w:rsid w:val="5F3C6261"/>
    <w:rsid w:val="5F6E2C3E"/>
    <w:rsid w:val="5F85693F"/>
    <w:rsid w:val="5FA42D91"/>
    <w:rsid w:val="60935EDA"/>
    <w:rsid w:val="60AC67A8"/>
    <w:rsid w:val="60AF1486"/>
    <w:rsid w:val="60B451D8"/>
    <w:rsid w:val="61481CCC"/>
    <w:rsid w:val="61A156A2"/>
    <w:rsid w:val="61B74A96"/>
    <w:rsid w:val="62782999"/>
    <w:rsid w:val="62A3082D"/>
    <w:rsid w:val="62D05984"/>
    <w:rsid w:val="62EE5012"/>
    <w:rsid w:val="62F67044"/>
    <w:rsid w:val="633B0F39"/>
    <w:rsid w:val="63584372"/>
    <w:rsid w:val="63627162"/>
    <w:rsid w:val="636E73D6"/>
    <w:rsid w:val="639871C5"/>
    <w:rsid w:val="639E1FAE"/>
    <w:rsid w:val="63B10321"/>
    <w:rsid w:val="63B86B82"/>
    <w:rsid w:val="63C35974"/>
    <w:rsid w:val="63DF49D0"/>
    <w:rsid w:val="641D0001"/>
    <w:rsid w:val="647E4153"/>
    <w:rsid w:val="64852C29"/>
    <w:rsid w:val="64A05ED2"/>
    <w:rsid w:val="64B36251"/>
    <w:rsid w:val="65227DAD"/>
    <w:rsid w:val="65670581"/>
    <w:rsid w:val="65C71020"/>
    <w:rsid w:val="65DD4873"/>
    <w:rsid w:val="65E676F8"/>
    <w:rsid w:val="65EB7404"/>
    <w:rsid w:val="6652484D"/>
    <w:rsid w:val="667B7330"/>
    <w:rsid w:val="66891184"/>
    <w:rsid w:val="673B0262"/>
    <w:rsid w:val="67C62A90"/>
    <w:rsid w:val="67D650DE"/>
    <w:rsid w:val="67FF6C28"/>
    <w:rsid w:val="680931F1"/>
    <w:rsid w:val="683926A8"/>
    <w:rsid w:val="683E6F00"/>
    <w:rsid w:val="689E7D5D"/>
    <w:rsid w:val="68F154CD"/>
    <w:rsid w:val="69062813"/>
    <w:rsid w:val="690629F0"/>
    <w:rsid w:val="69205616"/>
    <w:rsid w:val="69561038"/>
    <w:rsid w:val="69967687"/>
    <w:rsid w:val="69BA69B5"/>
    <w:rsid w:val="6A1D1B56"/>
    <w:rsid w:val="6A251CED"/>
    <w:rsid w:val="6A4F2066"/>
    <w:rsid w:val="6AD227F3"/>
    <w:rsid w:val="6B201309"/>
    <w:rsid w:val="6BDD0A40"/>
    <w:rsid w:val="6C1D34B5"/>
    <w:rsid w:val="6C7648BF"/>
    <w:rsid w:val="6CD410C6"/>
    <w:rsid w:val="6CDE5C8B"/>
    <w:rsid w:val="6D0C24E6"/>
    <w:rsid w:val="6D1F45BC"/>
    <w:rsid w:val="6DBA6985"/>
    <w:rsid w:val="6DEC5AC7"/>
    <w:rsid w:val="6E071DC3"/>
    <w:rsid w:val="6E112FCB"/>
    <w:rsid w:val="6E2F3FD4"/>
    <w:rsid w:val="6E355D52"/>
    <w:rsid w:val="6E616E73"/>
    <w:rsid w:val="6E890EE5"/>
    <w:rsid w:val="6E92242E"/>
    <w:rsid w:val="6E9E14FC"/>
    <w:rsid w:val="6EC23352"/>
    <w:rsid w:val="6F3A629C"/>
    <w:rsid w:val="6F6873CF"/>
    <w:rsid w:val="6FD42CB7"/>
    <w:rsid w:val="70021E44"/>
    <w:rsid w:val="70CA396B"/>
    <w:rsid w:val="71BA357B"/>
    <w:rsid w:val="71E34508"/>
    <w:rsid w:val="720E1663"/>
    <w:rsid w:val="72126F5E"/>
    <w:rsid w:val="727B712A"/>
    <w:rsid w:val="72C54B45"/>
    <w:rsid w:val="736951DF"/>
    <w:rsid w:val="736B3932"/>
    <w:rsid w:val="73A72909"/>
    <w:rsid w:val="73EA0A39"/>
    <w:rsid w:val="7419738B"/>
    <w:rsid w:val="74A019F5"/>
    <w:rsid w:val="759F209F"/>
    <w:rsid w:val="75CB5867"/>
    <w:rsid w:val="75FE7CF4"/>
    <w:rsid w:val="76046E39"/>
    <w:rsid w:val="76287759"/>
    <w:rsid w:val="762E6E6C"/>
    <w:rsid w:val="76682297"/>
    <w:rsid w:val="76F6686F"/>
    <w:rsid w:val="770F6EB3"/>
    <w:rsid w:val="773B04B9"/>
    <w:rsid w:val="77F37F32"/>
    <w:rsid w:val="781159C1"/>
    <w:rsid w:val="788A0752"/>
    <w:rsid w:val="78D050BC"/>
    <w:rsid w:val="791C1AC9"/>
    <w:rsid w:val="792B6242"/>
    <w:rsid w:val="792E51E6"/>
    <w:rsid w:val="79312F28"/>
    <w:rsid w:val="797272AE"/>
    <w:rsid w:val="79A27982"/>
    <w:rsid w:val="79C42B56"/>
    <w:rsid w:val="79E10EBF"/>
    <w:rsid w:val="7A6A3727"/>
    <w:rsid w:val="7A99158A"/>
    <w:rsid w:val="7AA534C1"/>
    <w:rsid w:val="7AA65139"/>
    <w:rsid w:val="7AC95F37"/>
    <w:rsid w:val="7AD905CE"/>
    <w:rsid w:val="7AF40B39"/>
    <w:rsid w:val="7B4A402F"/>
    <w:rsid w:val="7B596246"/>
    <w:rsid w:val="7B5B4974"/>
    <w:rsid w:val="7B6A339E"/>
    <w:rsid w:val="7B953750"/>
    <w:rsid w:val="7BB27DEC"/>
    <w:rsid w:val="7BB73BC7"/>
    <w:rsid w:val="7BD65671"/>
    <w:rsid w:val="7BDF1F89"/>
    <w:rsid w:val="7C4D62CB"/>
    <w:rsid w:val="7CF262C3"/>
    <w:rsid w:val="7D056AFF"/>
    <w:rsid w:val="7D197F5B"/>
    <w:rsid w:val="7D3E3316"/>
    <w:rsid w:val="7D5C0CF1"/>
    <w:rsid w:val="7DE844FD"/>
    <w:rsid w:val="7E271E84"/>
    <w:rsid w:val="7E462FD2"/>
    <w:rsid w:val="7E7D2880"/>
    <w:rsid w:val="7EBE327E"/>
    <w:rsid w:val="7F111831"/>
    <w:rsid w:val="7F4A01EF"/>
    <w:rsid w:val="7FD77A14"/>
    <w:rsid w:val="7FD867F8"/>
    <w:rsid w:val="E72F09C2"/>
    <w:rsid w:val="EEF6627F"/>
    <w:rsid w:val="FB1E9CD8"/>
    <w:rsid w:val="FB6ECF8D"/>
    <w:rsid w:val="FDA9A8AF"/>
    <w:rsid w:val="FEB55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jc w:val="center"/>
      <w:outlineLvl w:val="0"/>
    </w:pPr>
    <w:rPr>
      <w:b/>
      <w:bCs/>
      <w:sz w:val="24"/>
      <w:szCs w:val="20"/>
    </w:rPr>
  </w:style>
  <w:style w:type="paragraph" w:styleId="3">
    <w:name w:val="heading 2"/>
    <w:basedOn w:val="1"/>
    <w:next w:val="1"/>
    <w:link w:val="6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2"/>
    <w:qFormat/>
    <w:uiPriority w:val="0"/>
    <w:pPr>
      <w:keepNext/>
      <w:keepLines/>
      <w:spacing w:before="260" w:after="260" w:line="416" w:lineRule="auto"/>
      <w:outlineLvl w:val="2"/>
    </w:pPr>
    <w:rPr>
      <w:b/>
      <w:bCs/>
      <w:sz w:val="32"/>
      <w:szCs w:val="32"/>
    </w:rPr>
  </w:style>
  <w:style w:type="paragraph" w:styleId="5">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4"/>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6"/>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7"/>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next w:val="1"/>
    <w:qFormat/>
    <w:uiPriority w:val="0"/>
    <w:pPr>
      <w:widowControl/>
      <w:ind w:firstLine="420"/>
      <w:jc w:val="left"/>
    </w:pPr>
    <w:rPr>
      <w:kern w:val="0"/>
      <w:sz w:val="20"/>
      <w:szCs w:val="20"/>
    </w:rPr>
  </w:style>
  <w:style w:type="paragraph" w:styleId="13">
    <w:name w:val="Document Map"/>
    <w:basedOn w:val="1"/>
    <w:semiHidden/>
    <w:qFormat/>
    <w:uiPriority w:val="0"/>
    <w:pPr>
      <w:shd w:val="clear" w:color="auto" w:fill="000080"/>
    </w:pPr>
  </w:style>
  <w:style w:type="paragraph" w:styleId="14">
    <w:name w:val="annotation text"/>
    <w:basedOn w:val="1"/>
    <w:link w:val="69"/>
    <w:semiHidden/>
    <w:qFormat/>
    <w:uiPriority w:val="0"/>
    <w:pPr>
      <w:jc w:val="left"/>
    </w:pPr>
  </w:style>
  <w:style w:type="paragraph" w:styleId="15">
    <w:name w:val="Salutation"/>
    <w:basedOn w:val="1"/>
    <w:next w:val="1"/>
    <w:qFormat/>
    <w:uiPriority w:val="0"/>
    <w:rPr>
      <w:rFonts w:ascii="仿宋_GB2312" w:eastAsia="仿宋_GB2312"/>
      <w:sz w:val="24"/>
    </w:rPr>
  </w:style>
  <w:style w:type="paragraph" w:styleId="16">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
    <w:qFormat/>
    <w:uiPriority w:val="0"/>
    <w:pPr>
      <w:spacing w:after="120"/>
    </w:pPr>
  </w:style>
  <w:style w:type="paragraph" w:styleId="18">
    <w:name w:val="Body Text Indent"/>
    <w:basedOn w:val="1"/>
    <w:link w:val="70"/>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0"/>
    <w:pPr>
      <w:ind w:left="1680" w:leftChars="800"/>
    </w:pPr>
    <w:rPr>
      <w:rFonts w:ascii="Calibri" w:hAnsi="Calibri"/>
      <w:szCs w:val="22"/>
    </w:rPr>
  </w:style>
  <w:style w:type="paragraph" w:styleId="21">
    <w:name w:val="toc 3"/>
    <w:basedOn w:val="1"/>
    <w:next w:val="1"/>
    <w:qFormat/>
    <w:uiPriority w:val="0"/>
    <w:pPr>
      <w:ind w:left="840" w:leftChars="400"/>
    </w:pPr>
  </w:style>
  <w:style w:type="paragraph" w:styleId="22">
    <w:name w:val="Plain Text"/>
    <w:basedOn w:val="1"/>
    <w:link w:val="71"/>
    <w:qFormat/>
    <w:uiPriority w:val="0"/>
    <w:rPr>
      <w:rFonts w:ascii="宋体" w:hAnsi="Courier New" w:cs="Courier New"/>
      <w:szCs w:val="21"/>
    </w:rPr>
  </w:style>
  <w:style w:type="paragraph" w:styleId="23">
    <w:name w:val="toc 8"/>
    <w:basedOn w:val="1"/>
    <w:next w:val="1"/>
    <w:qFormat/>
    <w:uiPriority w:val="0"/>
    <w:pPr>
      <w:ind w:left="2940" w:leftChars="1400"/>
    </w:pPr>
    <w:rPr>
      <w:rFonts w:ascii="Calibri" w:hAnsi="Calibri"/>
      <w:szCs w:val="22"/>
    </w:rPr>
  </w:style>
  <w:style w:type="paragraph" w:styleId="24">
    <w:name w:val="Date"/>
    <w:basedOn w:val="1"/>
    <w:next w:val="1"/>
    <w:link w:val="72"/>
    <w:qFormat/>
    <w:uiPriority w:val="0"/>
    <w:rPr>
      <w:sz w:val="24"/>
      <w:szCs w:val="20"/>
    </w:rPr>
  </w:style>
  <w:style w:type="paragraph" w:styleId="25">
    <w:name w:val="Body Text Indent 2"/>
    <w:basedOn w:val="1"/>
    <w:qFormat/>
    <w:uiPriority w:val="0"/>
    <w:pPr>
      <w:spacing w:after="120" w:line="480" w:lineRule="auto"/>
      <w:ind w:left="420" w:leftChars="200"/>
    </w:pPr>
  </w:style>
  <w:style w:type="paragraph" w:styleId="26">
    <w:name w:val="Balloon Text"/>
    <w:basedOn w:val="1"/>
    <w:link w:val="73"/>
    <w:qFormat/>
    <w:uiPriority w:val="0"/>
    <w:rPr>
      <w:rFonts w:ascii="Calibri" w:hAnsi="Calibri"/>
      <w:sz w:val="18"/>
      <w:szCs w:val="18"/>
    </w:rPr>
  </w:style>
  <w:style w:type="paragraph" w:styleId="27">
    <w:name w:val="footer"/>
    <w:basedOn w:val="1"/>
    <w:link w:val="74"/>
    <w:qFormat/>
    <w:uiPriority w:val="0"/>
    <w:pPr>
      <w:tabs>
        <w:tab w:val="center" w:pos="4153"/>
        <w:tab w:val="right" w:pos="8306"/>
      </w:tabs>
      <w:snapToGrid w:val="0"/>
      <w:jc w:val="left"/>
    </w:pPr>
    <w:rPr>
      <w:sz w:val="18"/>
      <w:szCs w:val="18"/>
    </w:rPr>
  </w:style>
  <w:style w:type="paragraph" w:styleId="28">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29">
    <w:name w:val="toc 4"/>
    <w:basedOn w:val="1"/>
    <w:next w:val="1"/>
    <w:qFormat/>
    <w:uiPriority w:val="0"/>
    <w:pPr>
      <w:ind w:left="1260" w:leftChars="600"/>
    </w:pPr>
  </w:style>
  <w:style w:type="paragraph" w:styleId="30">
    <w:name w:val="toc 6"/>
    <w:basedOn w:val="1"/>
    <w:next w:val="1"/>
    <w:qFormat/>
    <w:uiPriority w:val="0"/>
    <w:pPr>
      <w:ind w:left="2100" w:leftChars="1000"/>
    </w:pPr>
    <w:rPr>
      <w:rFonts w:ascii="Calibri" w:hAnsi="Calibri"/>
      <w:szCs w:val="22"/>
    </w:rPr>
  </w:style>
  <w:style w:type="paragraph" w:styleId="31">
    <w:name w:val="Body Text Indent 3"/>
    <w:basedOn w:val="1"/>
    <w:link w:val="76"/>
    <w:qFormat/>
    <w:uiPriority w:val="0"/>
    <w:pPr>
      <w:spacing w:after="120"/>
      <w:ind w:left="420" w:leftChars="200"/>
    </w:pPr>
    <w:rPr>
      <w:sz w:val="16"/>
      <w:szCs w:val="16"/>
    </w:rPr>
  </w:style>
  <w:style w:type="paragraph" w:styleId="32">
    <w:name w:val="toc 2"/>
    <w:basedOn w:val="1"/>
    <w:next w:val="1"/>
    <w:qFormat/>
    <w:uiPriority w:val="0"/>
    <w:pPr>
      <w:ind w:left="420" w:leftChars="200"/>
    </w:pPr>
  </w:style>
  <w:style w:type="paragraph" w:styleId="33">
    <w:name w:val="toc 9"/>
    <w:basedOn w:val="1"/>
    <w:next w:val="1"/>
    <w:qFormat/>
    <w:uiPriority w:val="0"/>
    <w:pPr>
      <w:ind w:left="3360" w:leftChars="1600"/>
    </w:pPr>
    <w:rPr>
      <w:rFonts w:ascii="Calibri" w:hAnsi="Calibri"/>
      <w:szCs w:val="22"/>
    </w:rPr>
  </w:style>
  <w:style w:type="paragraph" w:styleId="34">
    <w:name w:val="Body Text 2"/>
    <w:basedOn w:val="1"/>
    <w:qFormat/>
    <w:uiPriority w:val="0"/>
    <w:pPr>
      <w:spacing w:after="120" w:line="480" w:lineRule="auto"/>
    </w:pPr>
  </w:style>
  <w:style w:type="paragraph" w:styleId="35">
    <w:name w:val="HTML Preformatted"/>
    <w:basedOn w:val="1"/>
    <w:link w:val="7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7">
    <w:name w:val="index 1"/>
    <w:basedOn w:val="1"/>
    <w:next w:val="1"/>
    <w:qFormat/>
    <w:uiPriority w:val="0"/>
    <w:pPr>
      <w:spacing w:line="220" w:lineRule="exact"/>
      <w:jc w:val="center"/>
    </w:pPr>
    <w:rPr>
      <w:rFonts w:ascii="仿宋_GB2312" w:eastAsia="仿宋_GB2312"/>
      <w:szCs w:val="20"/>
    </w:rPr>
  </w:style>
  <w:style w:type="paragraph" w:styleId="38">
    <w:name w:val="Title"/>
    <w:basedOn w:val="1"/>
    <w:next w:val="1"/>
    <w:qFormat/>
    <w:uiPriority w:val="0"/>
    <w:pPr>
      <w:spacing w:before="240" w:after="60"/>
      <w:jc w:val="center"/>
      <w:outlineLvl w:val="0"/>
    </w:pPr>
    <w:rPr>
      <w:rFonts w:ascii="Cambria" w:hAnsi="Cambria"/>
      <w:b/>
      <w:sz w:val="32"/>
    </w:rPr>
  </w:style>
  <w:style w:type="paragraph" w:styleId="39">
    <w:name w:val="annotation subject"/>
    <w:basedOn w:val="14"/>
    <w:next w:val="1"/>
    <w:link w:val="78"/>
    <w:qFormat/>
    <w:uiPriority w:val="0"/>
    <w:rPr>
      <w:b/>
      <w:bCs/>
    </w:rPr>
  </w:style>
  <w:style w:type="paragraph" w:styleId="40">
    <w:name w:val="Body Text First Indent"/>
    <w:basedOn w:val="17"/>
    <w:next w:val="1"/>
    <w:qFormat/>
    <w:uiPriority w:val="0"/>
    <w:pPr>
      <w:ind w:firstLine="420" w:firstLineChars="100"/>
    </w:pPr>
  </w:style>
  <w:style w:type="paragraph" w:styleId="41">
    <w:name w:val="Body Text First Indent 2"/>
    <w:basedOn w:val="18"/>
    <w:qFormat/>
    <w:uiPriority w:val="0"/>
    <w:pPr>
      <w:tabs>
        <w:tab w:val="left" w:pos="720"/>
      </w:tabs>
      <w:ind w:firstLine="420"/>
    </w:p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qFormat/>
    <w:uiPriority w:val="0"/>
  </w:style>
  <w:style w:type="character" w:styleId="47">
    <w:name w:val="FollowedHyperlink"/>
    <w:qFormat/>
    <w:uiPriority w:val="0"/>
    <w:rPr>
      <w:color w:val="5C5C5C"/>
      <w:u w:val="none"/>
    </w:rPr>
  </w:style>
  <w:style w:type="character" w:styleId="48">
    <w:name w:val="Emphasis"/>
    <w:qFormat/>
    <w:uiPriority w:val="0"/>
    <w:rPr>
      <w:rFonts w:ascii="Times New Roman" w:hAnsi="Times New Roman" w:eastAsia="宋体"/>
    </w:rPr>
  </w:style>
  <w:style w:type="character" w:styleId="49">
    <w:name w:val="HTML Definition"/>
    <w:qFormat/>
    <w:uiPriority w:val="0"/>
    <w:rPr>
      <w:rFonts w:ascii="Times New Roman" w:hAnsi="Times New Roman" w:eastAsia="宋体"/>
    </w:rPr>
  </w:style>
  <w:style w:type="character" w:styleId="50">
    <w:name w:val="HTML Typewriter"/>
    <w:qFormat/>
    <w:uiPriority w:val="0"/>
    <w:rPr>
      <w:rFonts w:ascii="Courier New" w:hAnsi="Courier New"/>
      <w:sz w:val="24"/>
      <w:szCs w:val="24"/>
    </w:rPr>
  </w:style>
  <w:style w:type="character" w:styleId="51">
    <w:name w:val="HTML Acronym"/>
    <w:qFormat/>
    <w:uiPriority w:val="0"/>
  </w:style>
  <w:style w:type="character" w:styleId="52">
    <w:name w:val="HTML Variable"/>
    <w:qFormat/>
    <w:uiPriority w:val="0"/>
    <w:rPr>
      <w:rFonts w:ascii="Times New Roman" w:hAnsi="Times New Roman" w:eastAsia="宋体"/>
    </w:rPr>
  </w:style>
  <w:style w:type="character" w:styleId="53">
    <w:name w:val="Hyperlink"/>
    <w:qFormat/>
    <w:uiPriority w:val="0"/>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character" w:customStyle="1" w:styleId="59">
    <w:name w:val="标题 2 Char"/>
    <w:qFormat/>
    <w:uiPriority w:val="0"/>
    <w:rPr>
      <w:rFonts w:ascii="Cambria" w:hAnsi="Cambria" w:eastAsia="宋体" w:cs="Times New Roman"/>
      <w:b/>
      <w:bCs/>
      <w:kern w:val="2"/>
      <w:sz w:val="32"/>
      <w:szCs w:val="32"/>
    </w:rPr>
  </w:style>
  <w:style w:type="character" w:customStyle="1" w:styleId="60">
    <w:name w:val="标题 1 字符"/>
    <w:link w:val="2"/>
    <w:qFormat/>
    <w:uiPriority w:val="0"/>
    <w:rPr>
      <w:rFonts w:eastAsia="宋体"/>
      <w:b/>
      <w:bCs/>
      <w:kern w:val="2"/>
      <w:sz w:val="24"/>
      <w:lang w:val="en-US" w:eastAsia="zh-CN" w:bidi="ar-SA"/>
    </w:rPr>
  </w:style>
  <w:style w:type="character" w:customStyle="1" w:styleId="61">
    <w:name w:val="标题 2 字符"/>
    <w:link w:val="3"/>
    <w:qFormat/>
    <w:uiPriority w:val="0"/>
    <w:rPr>
      <w:rFonts w:ascii="Arial" w:hAnsi="Arial" w:eastAsia="宋体"/>
      <w:b/>
      <w:bCs/>
      <w:kern w:val="2"/>
      <w:sz w:val="24"/>
      <w:szCs w:val="32"/>
      <w:lang w:val="en-US" w:eastAsia="zh-CN" w:bidi="ar-SA"/>
    </w:rPr>
  </w:style>
  <w:style w:type="character" w:customStyle="1" w:styleId="62">
    <w:name w:val="标题 3 字符"/>
    <w:link w:val="4"/>
    <w:qFormat/>
    <w:uiPriority w:val="0"/>
    <w:rPr>
      <w:rFonts w:eastAsia="宋体"/>
      <w:b/>
      <w:bCs/>
      <w:kern w:val="2"/>
      <w:sz w:val="32"/>
      <w:szCs w:val="32"/>
      <w:lang w:val="en-US" w:eastAsia="zh-CN" w:bidi="ar-SA"/>
    </w:rPr>
  </w:style>
  <w:style w:type="character" w:customStyle="1" w:styleId="63">
    <w:name w:val="标题 4 字符"/>
    <w:link w:val="5"/>
    <w:qFormat/>
    <w:uiPriority w:val="0"/>
    <w:rPr>
      <w:rFonts w:ascii="Arial" w:hAnsi="Arial" w:eastAsia="黑体"/>
      <w:b/>
      <w:bCs/>
      <w:kern w:val="2"/>
      <w:sz w:val="28"/>
      <w:szCs w:val="28"/>
      <w:lang w:val="en-US" w:eastAsia="zh-CN" w:bidi="ar-SA"/>
    </w:rPr>
  </w:style>
  <w:style w:type="character" w:customStyle="1" w:styleId="64">
    <w:name w:val="标题 5 字符"/>
    <w:link w:val="6"/>
    <w:qFormat/>
    <w:uiPriority w:val="0"/>
    <w:rPr>
      <w:rFonts w:eastAsia="宋体"/>
      <w:b/>
      <w:bCs/>
      <w:sz w:val="28"/>
      <w:szCs w:val="28"/>
      <w:lang w:val="en-US" w:eastAsia="zh-CN" w:bidi="ar-SA"/>
    </w:rPr>
  </w:style>
  <w:style w:type="character" w:customStyle="1" w:styleId="65">
    <w:name w:val="标题 6 字符"/>
    <w:link w:val="7"/>
    <w:qFormat/>
    <w:uiPriority w:val="0"/>
    <w:rPr>
      <w:rFonts w:ascii="Arial" w:hAnsi="Arial" w:eastAsia="黑体"/>
      <w:b/>
      <w:bCs/>
      <w:sz w:val="24"/>
      <w:szCs w:val="24"/>
      <w:lang w:val="en-US" w:eastAsia="zh-CN" w:bidi="ar-SA"/>
    </w:rPr>
  </w:style>
  <w:style w:type="character" w:customStyle="1" w:styleId="66">
    <w:name w:val="标题 7 字符"/>
    <w:link w:val="8"/>
    <w:qFormat/>
    <w:uiPriority w:val="0"/>
    <w:rPr>
      <w:rFonts w:eastAsia="宋体"/>
      <w:b/>
      <w:bCs/>
      <w:sz w:val="24"/>
      <w:szCs w:val="24"/>
      <w:lang w:val="en-US" w:eastAsia="zh-CN" w:bidi="ar-SA"/>
    </w:rPr>
  </w:style>
  <w:style w:type="character" w:customStyle="1" w:styleId="67">
    <w:name w:val="标题 8 字符"/>
    <w:link w:val="9"/>
    <w:qFormat/>
    <w:uiPriority w:val="0"/>
    <w:rPr>
      <w:rFonts w:ascii="Arial" w:hAnsi="Arial" w:eastAsia="黑体"/>
      <w:sz w:val="24"/>
      <w:szCs w:val="24"/>
      <w:lang w:val="en-US" w:eastAsia="zh-CN" w:bidi="ar-SA"/>
    </w:rPr>
  </w:style>
  <w:style w:type="character" w:customStyle="1" w:styleId="68">
    <w:name w:val="标题 9 字符"/>
    <w:link w:val="10"/>
    <w:qFormat/>
    <w:uiPriority w:val="0"/>
    <w:rPr>
      <w:rFonts w:ascii="Arial" w:hAnsi="Arial" w:eastAsia="黑体"/>
      <w:sz w:val="21"/>
      <w:szCs w:val="21"/>
      <w:lang w:val="en-US" w:eastAsia="zh-CN" w:bidi="ar-SA"/>
    </w:rPr>
  </w:style>
  <w:style w:type="character" w:customStyle="1" w:styleId="69">
    <w:name w:val="批注文字 字符"/>
    <w:link w:val="14"/>
    <w:qFormat/>
    <w:uiPriority w:val="0"/>
    <w:rPr>
      <w:rFonts w:eastAsia="宋体"/>
      <w:kern w:val="2"/>
      <w:sz w:val="21"/>
      <w:szCs w:val="24"/>
      <w:lang w:val="en-US" w:eastAsia="zh-CN" w:bidi="ar-SA"/>
    </w:rPr>
  </w:style>
  <w:style w:type="character" w:customStyle="1" w:styleId="70">
    <w:name w:val="正文文本缩进 字符"/>
    <w:link w:val="18"/>
    <w:qFormat/>
    <w:uiPriority w:val="0"/>
    <w:rPr>
      <w:rFonts w:eastAsia="宋体"/>
      <w:kern w:val="2"/>
      <w:sz w:val="21"/>
      <w:szCs w:val="24"/>
      <w:lang w:val="en-US" w:eastAsia="zh-CN" w:bidi="ar-SA"/>
    </w:rPr>
  </w:style>
  <w:style w:type="character" w:customStyle="1" w:styleId="71">
    <w:name w:val="纯文本 字符"/>
    <w:link w:val="22"/>
    <w:semiHidden/>
    <w:qFormat/>
    <w:locked/>
    <w:uiPriority w:val="0"/>
    <w:rPr>
      <w:rFonts w:ascii="宋体" w:hAnsi="Courier New" w:eastAsia="宋体" w:cs="Courier New"/>
      <w:kern w:val="2"/>
      <w:sz w:val="21"/>
      <w:szCs w:val="21"/>
      <w:lang w:val="en-US" w:eastAsia="zh-CN" w:bidi="ar-SA"/>
    </w:rPr>
  </w:style>
  <w:style w:type="character" w:customStyle="1" w:styleId="72">
    <w:name w:val="日期 字符"/>
    <w:link w:val="24"/>
    <w:qFormat/>
    <w:uiPriority w:val="0"/>
    <w:rPr>
      <w:rFonts w:eastAsia="宋体"/>
      <w:kern w:val="2"/>
      <w:sz w:val="24"/>
      <w:lang w:val="en-US" w:eastAsia="zh-CN" w:bidi="ar-SA"/>
    </w:rPr>
  </w:style>
  <w:style w:type="character" w:customStyle="1" w:styleId="73">
    <w:name w:val="批注框文本 字符"/>
    <w:link w:val="26"/>
    <w:semiHidden/>
    <w:qFormat/>
    <w:locked/>
    <w:uiPriority w:val="0"/>
    <w:rPr>
      <w:rFonts w:ascii="Calibri" w:hAnsi="Calibri" w:eastAsia="宋体"/>
      <w:kern w:val="2"/>
      <w:sz w:val="18"/>
      <w:szCs w:val="18"/>
      <w:lang w:val="en-US" w:eastAsia="zh-CN" w:bidi="ar-SA"/>
    </w:rPr>
  </w:style>
  <w:style w:type="character" w:customStyle="1" w:styleId="74">
    <w:name w:val="页脚 字符"/>
    <w:link w:val="27"/>
    <w:qFormat/>
    <w:uiPriority w:val="0"/>
    <w:rPr>
      <w:rFonts w:eastAsia="宋体"/>
      <w:kern w:val="2"/>
      <w:sz w:val="18"/>
      <w:szCs w:val="18"/>
      <w:lang w:val="en-US" w:eastAsia="zh-CN" w:bidi="ar-SA"/>
    </w:rPr>
  </w:style>
  <w:style w:type="character" w:customStyle="1" w:styleId="75">
    <w:name w:val="页眉 字符"/>
    <w:link w:val="28"/>
    <w:qFormat/>
    <w:uiPriority w:val="0"/>
    <w:rPr>
      <w:rFonts w:eastAsia="宋体"/>
      <w:kern w:val="2"/>
      <w:sz w:val="18"/>
      <w:szCs w:val="18"/>
      <w:lang w:val="en-US" w:eastAsia="zh-CN" w:bidi="ar-SA"/>
    </w:rPr>
  </w:style>
  <w:style w:type="character" w:customStyle="1" w:styleId="76">
    <w:name w:val="正文文本缩进 3 字符"/>
    <w:link w:val="31"/>
    <w:qFormat/>
    <w:uiPriority w:val="0"/>
    <w:rPr>
      <w:rFonts w:eastAsia="宋体"/>
      <w:kern w:val="2"/>
      <w:sz w:val="16"/>
      <w:szCs w:val="16"/>
      <w:lang w:val="en-US" w:eastAsia="zh-CN" w:bidi="ar-SA"/>
    </w:rPr>
  </w:style>
  <w:style w:type="character" w:customStyle="1" w:styleId="77">
    <w:name w:val="HTML 预设格式 字符"/>
    <w:link w:val="35"/>
    <w:qFormat/>
    <w:uiPriority w:val="99"/>
    <w:rPr>
      <w:rFonts w:ascii="Arial" w:hAnsi="Arial" w:cs="Arial"/>
      <w:sz w:val="24"/>
      <w:szCs w:val="24"/>
    </w:rPr>
  </w:style>
  <w:style w:type="character" w:customStyle="1" w:styleId="78">
    <w:name w:val="批注主题 字符"/>
    <w:link w:val="39"/>
    <w:qFormat/>
    <w:uiPriority w:val="0"/>
    <w:rPr>
      <w:rFonts w:eastAsia="宋体"/>
      <w:b/>
      <w:bCs/>
      <w:kern w:val="2"/>
      <w:sz w:val="21"/>
      <w:szCs w:val="24"/>
      <w:lang w:val="en-US" w:eastAsia="zh-CN" w:bidi="ar-SA"/>
    </w:rPr>
  </w:style>
  <w:style w:type="paragraph" w:customStyle="1" w:styleId="79">
    <w:name w:val="列出段落1"/>
    <w:basedOn w:val="80"/>
    <w:qFormat/>
    <w:uiPriority w:val="34"/>
    <w:pPr>
      <w:ind w:firstLine="420" w:firstLineChars="200"/>
    </w:pPr>
    <w:rPr>
      <w:rFonts w:ascii="Calibri" w:hAnsi="Calibri"/>
    </w:rPr>
  </w:style>
  <w:style w:type="paragraph" w:customStyle="1" w:styleId="80">
    <w:name w:val="正文_7"/>
    <w:next w:val="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
    <w:name w:val="引文目录_6"/>
    <w:basedOn w:val="80"/>
    <w:next w:val="80"/>
    <w:unhideWhenUsed/>
    <w:qFormat/>
    <w:uiPriority w:val="99"/>
    <w:pPr>
      <w:ind w:left="420" w:leftChars="200"/>
    </w:pPr>
  </w:style>
  <w:style w:type="paragraph" w:customStyle="1" w:styleId="82">
    <w:name w:val="样式 样式 左侧:  2 字符 + 左侧:  0.85 厘米 首行缩进:  2 字符1"/>
    <w:basedOn w:val="1"/>
    <w:qFormat/>
    <w:uiPriority w:val="0"/>
    <w:pPr>
      <w:ind w:left="482" w:firstLine="200" w:firstLineChars="200"/>
    </w:pPr>
    <w:rPr>
      <w:rFonts w:cs="宋体"/>
    </w:rPr>
  </w:style>
  <w:style w:type="character" w:customStyle="1" w:styleId="83">
    <w:name w:val="NormalCharacter"/>
    <w:qFormat/>
    <w:uiPriority w:val="0"/>
    <w:rPr>
      <w:kern w:val="2"/>
      <w:sz w:val="21"/>
      <w:szCs w:val="24"/>
      <w:lang w:val="en-US" w:eastAsia="zh-CN" w:bidi="ar-SA"/>
    </w:rPr>
  </w:style>
  <w:style w:type="character" w:customStyle="1" w:styleId="84">
    <w:name w:val="Char Char16"/>
    <w:qFormat/>
    <w:uiPriority w:val="0"/>
    <w:rPr>
      <w:rFonts w:ascii="宋体" w:hAnsi="Times New Roman" w:eastAsia="宋体"/>
      <w:b/>
      <w:sz w:val="24"/>
      <w:lang w:val="en-US" w:eastAsia="zh-CN" w:bidi="ar-SA"/>
    </w:rPr>
  </w:style>
  <w:style w:type="character" w:customStyle="1" w:styleId="85">
    <w:name w:val="bds_nopic"/>
    <w:qFormat/>
    <w:uiPriority w:val="0"/>
    <w:rPr>
      <w:rFonts w:ascii="Times New Roman" w:hAnsi="Times New Roman" w:eastAsia="宋体"/>
    </w:rPr>
  </w:style>
  <w:style w:type="character" w:customStyle="1" w:styleId="86">
    <w:name w:val="polysemyexp"/>
    <w:qFormat/>
    <w:uiPriority w:val="0"/>
    <w:rPr>
      <w:rFonts w:ascii="Times New Roman" w:hAnsi="Times New Roman" w:eastAsia="宋体"/>
      <w:color w:val="AAAAAA"/>
      <w:sz w:val="18"/>
      <w:szCs w:val="18"/>
    </w:rPr>
  </w:style>
  <w:style w:type="character" w:customStyle="1" w:styleId="87">
    <w:name w:val="bds_more8"/>
    <w:qFormat/>
    <w:uiPriority w:val="0"/>
    <w:rPr>
      <w:rFonts w:ascii="Times New Roman" w:hAnsi="Times New Roman" w:eastAsia="宋体"/>
    </w:rPr>
  </w:style>
  <w:style w:type="character" w:customStyle="1" w:styleId="88">
    <w:name w:val="title21"/>
    <w:qFormat/>
    <w:uiPriority w:val="0"/>
    <w:rPr>
      <w:b/>
      <w:color w:val="000000"/>
    </w:rPr>
  </w:style>
  <w:style w:type="character" w:customStyle="1" w:styleId="89">
    <w:name w:val="bds_nopic1"/>
    <w:qFormat/>
    <w:uiPriority w:val="0"/>
    <w:rPr>
      <w:rFonts w:ascii="Times New Roman" w:hAnsi="Times New Roman" w:eastAsia="宋体"/>
    </w:rPr>
  </w:style>
  <w:style w:type="character" w:customStyle="1" w:styleId="90">
    <w:name w:val="Font Style117"/>
    <w:unhideWhenUsed/>
    <w:qFormat/>
    <w:uiPriority w:val="0"/>
    <w:rPr>
      <w:rFonts w:hint="eastAsia" w:ascii="宋体" w:hAnsi="宋体" w:eastAsia="宋体"/>
      <w:spacing w:val="20"/>
      <w:sz w:val="24"/>
    </w:rPr>
  </w:style>
  <w:style w:type="character" w:customStyle="1" w:styleId="91">
    <w:name w:val="日期 Char"/>
    <w:qFormat/>
    <w:uiPriority w:val="0"/>
    <w:rPr>
      <w:kern w:val="2"/>
      <w:sz w:val="21"/>
      <w:szCs w:val="24"/>
    </w:rPr>
  </w:style>
  <w:style w:type="character" w:customStyle="1" w:styleId="92">
    <w:name w:val="样式2 Char Char"/>
    <w:qFormat/>
    <w:uiPriority w:val="0"/>
    <w:rPr>
      <w:rFonts w:eastAsia="宋体"/>
      <w:kern w:val="2"/>
      <w:sz w:val="18"/>
      <w:szCs w:val="18"/>
      <w:lang w:val="en-US" w:eastAsia="zh-CN" w:bidi="ar-SA"/>
    </w:rPr>
  </w:style>
  <w:style w:type="character" w:customStyle="1" w:styleId="93">
    <w:name w:val="sidecatalog-dot1"/>
    <w:qFormat/>
    <w:uiPriority w:val="0"/>
    <w:rPr>
      <w:rFonts w:ascii="Times New Roman" w:hAnsi="Times New Roman" w:eastAsia="宋体"/>
    </w:rPr>
  </w:style>
  <w:style w:type="character" w:customStyle="1" w:styleId="94">
    <w:name w:val="sort"/>
    <w:qFormat/>
    <w:uiPriority w:val="0"/>
    <w:rPr>
      <w:rFonts w:ascii="Times New Roman" w:hAnsi="Times New Roman" w:eastAsia="宋体"/>
      <w:color w:val="FFFFFF"/>
      <w:bdr w:val="single" w:color="auto" w:sz="24" w:space="0"/>
    </w:rPr>
  </w:style>
  <w:style w:type="character" w:customStyle="1" w:styleId="95">
    <w:name w:val="plus"/>
    <w:qFormat/>
    <w:uiPriority w:val="0"/>
    <w:rPr>
      <w:rFonts w:ascii="Times New Roman" w:hAnsi="Times New Roman" w:eastAsia="宋体"/>
      <w:b/>
      <w:vanish/>
      <w:color w:val="1F8DEF"/>
      <w:sz w:val="24"/>
      <w:szCs w:val="24"/>
    </w:rPr>
  </w:style>
  <w:style w:type="character" w:customStyle="1" w:styleId="96">
    <w:name w:val="Font Style131"/>
    <w:unhideWhenUsed/>
    <w:qFormat/>
    <w:uiPriority w:val="0"/>
    <w:rPr>
      <w:rFonts w:hint="eastAsia" w:ascii="Times New Roman" w:hAnsi="Times New Roman" w:eastAsia="Times New Roman"/>
      <w:sz w:val="18"/>
    </w:rPr>
  </w:style>
  <w:style w:type="character" w:customStyle="1" w:styleId="97">
    <w:name w:val="l-btn-text"/>
    <w:qFormat/>
    <w:uiPriority w:val="0"/>
    <w:rPr>
      <w:sz w:val="18"/>
      <w:szCs w:val="18"/>
      <w:vertAlign w:val="baseline"/>
    </w:rPr>
  </w:style>
  <w:style w:type="character" w:customStyle="1" w:styleId="98">
    <w:name w:val="Font Style124"/>
    <w:unhideWhenUsed/>
    <w:qFormat/>
    <w:uiPriority w:val="0"/>
    <w:rPr>
      <w:rFonts w:hint="eastAsia" w:ascii="宋体" w:hAnsi="宋体" w:eastAsia="宋体"/>
      <w:spacing w:val="30"/>
      <w:sz w:val="24"/>
    </w:rPr>
  </w:style>
  <w:style w:type="character" w:customStyle="1" w:styleId="99">
    <w:name w:val="Char Char14"/>
    <w:qFormat/>
    <w:uiPriority w:val="0"/>
    <w:rPr>
      <w:rFonts w:ascii="Arial" w:hAnsi="Arial" w:eastAsia="黑体"/>
      <w:b/>
      <w:bCs/>
      <w:sz w:val="28"/>
      <w:szCs w:val="28"/>
      <w:lang w:val="en-US" w:eastAsia="zh-CN" w:bidi="ar-SA"/>
    </w:rPr>
  </w:style>
  <w:style w:type="character" w:customStyle="1" w:styleId="100">
    <w:name w:val="标题 8 Char"/>
    <w:qFormat/>
    <w:uiPriority w:val="0"/>
    <w:rPr>
      <w:rFonts w:ascii="Arial" w:hAnsi="Arial" w:eastAsia="黑体"/>
      <w:sz w:val="24"/>
      <w:szCs w:val="24"/>
    </w:rPr>
  </w:style>
  <w:style w:type="character" w:customStyle="1" w:styleId="101">
    <w:name w:val="l-btn-left2"/>
    <w:qFormat/>
    <w:uiPriority w:val="0"/>
  </w:style>
  <w:style w:type="character" w:customStyle="1" w:styleId="102">
    <w:name w:val="标题 Char"/>
    <w:qFormat/>
    <w:uiPriority w:val="0"/>
    <w:rPr>
      <w:rFonts w:ascii="Cambria" w:hAnsi="Cambria"/>
      <w:b/>
      <w:kern w:val="2"/>
      <w:sz w:val="32"/>
      <w:szCs w:val="24"/>
    </w:rPr>
  </w:style>
  <w:style w:type="character" w:customStyle="1" w:styleId="103">
    <w:name w:val="Char Char17"/>
    <w:qFormat/>
    <w:uiPriority w:val="0"/>
    <w:rPr>
      <w:rFonts w:ascii="宋体" w:hAnsi="Times New Roman" w:eastAsia="宋体"/>
      <w:b/>
      <w:sz w:val="28"/>
      <w:lang w:val="en-US" w:eastAsia="zh-CN" w:bidi="ar-SA"/>
    </w:rPr>
  </w:style>
  <w:style w:type="character" w:customStyle="1" w:styleId="104">
    <w:name w:val="l-btn-left3"/>
    <w:qFormat/>
    <w:uiPriority w:val="0"/>
  </w:style>
  <w:style w:type="character" w:customStyle="1" w:styleId="105">
    <w:name w:val="l-btn-left5"/>
    <w:qFormat/>
    <w:uiPriority w:val="0"/>
  </w:style>
  <w:style w:type="character" w:customStyle="1" w:styleId="106">
    <w:name w:val="标题 9 Char"/>
    <w:qFormat/>
    <w:uiPriority w:val="0"/>
    <w:rPr>
      <w:rFonts w:ascii="Arial" w:hAnsi="Arial" w:eastAsia="黑体"/>
      <w:sz w:val="21"/>
      <w:szCs w:val="21"/>
    </w:rPr>
  </w:style>
  <w:style w:type="character" w:customStyle="1" w:styleId="107">
    <w:name w:val="批注文字 Char"/>
    <w:qFormat/>
    <w:uiPriority w:val="0"/>
    <w:rPr>
      <w:kern w:val="2"/>
      <w:sz w:val="21"/>
      <w:szCs w:val="24"/>
    </w:rPr>
  </w:style>
  <w:style w:type="character" w:customStyle="1" w:styleId="108">
    <w:name w:val="标题 3 Char"/>
    <w:qFormat/>
    <w:uiPriority w:val="0"/>
    <w:rPr>
      <w:b/>
      <w:bCs/>
      <w:sz w:val="24"/>
      <w:szCs w:val="24"/>
    </w:rPr>
  </w:style>
  <w:style w:type="character" w:customStyle="1" w:styleId="109">
    <w:name w:val="批注主题 Char"/>
    <w:qFormat/>
    <w:uiPriority w:val="0"/>
    <w:rPr>
      <w:b/>
      <w:bCs/>
      <w:kern w:val="2"/>
      <w:sz w:val="21"/>
      <w:szCs w:val="24"/>
    </w:rPr>
  </w:style>
  <w:style w:type="character" w:customStyle="1" w:styleId="110">
    <w:name w:val="Font Style116"/>
    <w:unhideWhenUsed/>
    <w:qFormat/>
    <w:uiPriority w:val="0"/>
    <w:rPr>
      <w:rFonts w:hint="eastAsia" w:ascii="宋体" w:hAnsi="宋体" w:eastAsia="宋体"/>
      <w:spacing w:val="-20"/>
      <w:sz w:val="24"/>
    </w:rPr>
  </w:style>
  <w:style w:type="character" w:customStyle="1" w:styleId="111">
    <w:name w:val="l-btn-icon-left"/>
    <w:qFormat/>
    <w:uiPriority w:val="0"/>
  </w:style>
  <w:style w:type="character" w:customStyle="1" w:styleId="112">
    <w:name w:val="标题 7 Char"/>
    <w:qFormat/>
    <w:uiPriority w:val="0"/>
    <w:rPr>
      <w:b/>
      <w:bCs/>
      <w:sz w:val="24"/>
      <w:szCs w:val="24"/>
    </w:rPr>
  </w:style>
  <w:style w:type="character" w:customStyle="1" w:styleId="113">
    <w:name w:val="Font Style125"/>
    <w:unhideWhenUsed/>
    <w:qFormat/>
    <w:uiPriority w:val="0"/>
    <w:rPr>
      <w:rFonts w:hint="eastAsia" w:ascii="宋体" w:hAnsi="宋体" w:eastAsia="宋体"/>
      <w:b/>
      <w:sz w:val="26"/>
    </w:rPr>
  </w:style>
  <w:style w:type="character" w:customStyle="1" w:styleId="114">
    <w:name w:val="sidecatalog-dot"/>
    <w:qFormat/>
    <w:uiPriority w:val="0"/>
    <w:rPr>
      <w:rFonts w:ascii="Times New Roman" w:hAnsi="Times New Roman" w:eastAsia="宋体"/>
    </w:rPr>
  </w:style>
  <w:style w:type="character" w:customStyle="1" w:styleId="115">
    <w:name w:val="Font Style127"/>
    <w:unhideWhenUsed/>
    <w:qFormat/>
    <w:uiPriority w:val="0"/>
    <w:rPr>
      <w:rFonts w:hint="eastAsia" w:ascii="Times New Roman" w:hAnsi="Times New Roman" w:eastAsia="Times New Roman"/>
      <w:sz w:val="20"/>
    </w:rPr>
  </w:style>
  <w:style w:type="character" w:customStyle="1" w:styleId="116">
    <w:name w:val="标题 1 Char"/>
    <w:qFormat/>
    <w:uiPriority w:val="0"/>
    <w:rPr>
      <w:rFonts w:ascii="Cambria" w:hAnsi="Cambria"/>
      <w:b/>
      <w:bCs/>
      <w:kern w:val="32"/>
      <w:sz w:val="32"/>
      <w:szCs w:val="32"/>
    </w:rPr>
  </w:style>
  <w:style w:type="character" w:customStyle="1" w:styleId="117">
    <w:name w:val="Font Style121"/>
    <w:unhideWhenUsed/>
    <w:qFormat/>
    <w:uiPriority w:val="0"/>
    <w:rPr>
      <w:rFonts w:hint="eastAsia" w:ascii="宋体" w:hAnsi="宋体" w:eastAsia="宋体"/>
      <w:spacing w:val="-10"/>
      <w:sz w:val="30"/>
    </w:rPr>
  </w:style>
  <w:style w:type="character" w:customStyle="1" w:styleId="118">
    <w:name w:val="l-btn-left4"/>
    <w:qFormat/>
    <w:uiPriority w:val="0"/>
  </w:style>
  <w:style w:type="character" w:customStyle="1" w:styleId="119">
    <w:name w:val="bds_more7"/>
    <w:qFormat/>
    <w:uiPriority w:val="0"/>
    <w:rPr>
      <w:rFonts w:ascii="Times New Roman" w:hAnsi="Times New Roman" w:eastAsia="宋体"/>
    </w:rPr>
  </w:style>
  <w:style w:type="character" w:customStyle="1" w:styleId="120">
    <w:name w:val="标题 4 Char"/>
    <w:qFormat/>
    <w:uiPriority w:val="0"/>
    <w:rPr>
      <w:rFonts w:ascii="Arial" w:hAnsi="Arial" w:eastAsia="宋体" w:cs="Times New Roman"/>
      <w:b/>
      <w:bCs/>
      <w:szCs w:val="28"/>
    </w:rPr>
  </w:style>
  <w:style w:type="character" w:customStyle="1" w:styleId="121">
    <w:name w:val="Char Char15"/>
    <w:qFormat/>
    <w:uiPriority w:val="0"/>
    <w:rPr>
      <w:b/>
      <w:bCs/>
      <w:sz w:val="24"/>
      <w:szCs w:val="24"/>
    </w:rPr>
  </w:style>
  <w:style w:type="character" w:customStyle="1" w:styleId="122">
    <w:name w:val="Font Style119"/>
    <w:unhideWhenUsed/>
    <w:qFormat/>
    <w:uiPriority w:val="0"/>
    <w:rPr>
      <w:rFonts w:hint="eastAsia" w:ascii="宋体" w:hAnsi="宋体" w:eastAsia="宋体"/>
      <w:sz w:val="24"/>
    </w:rPr>
  </w:style>
  <w:style w:type="character" w:customStyle="1" w:styleId="123">
    <w:name w:val="Font Style115"/>
    <w:unhideWhenUsed/>
    <w:qFormat/>
    <w:uiPriority w:val="0"/>
    <w:rPr>
      <w:rFonts w:hint="eastAsia" w:ascii="Times New Roman" w:hAnsi="Times New Roman" w:eastAsia="Times New Roman"/>
      <w:sz w:val="16"/>
    </w:rPr>
  </w:style>
  <w:style w:type="character" w:customStyle="1" w:styleId="124">
    <w:name w:val="标题 Char1"/>
    <w:qFormat/>
    <w:uiPriority w:val="0"/>
    <w:rPr>
      <w:rFonts w:ascii="Cambria" w:hAnsi="Cambria" w:eastAsia="宋体" w:cs="Times New Roman"/>
      <w:b/>
      <w:bCs/>
      <w:sz w:val="32"/>
      <w:szCs w:val="32"/>
    </w:rPr>
  </w:style>
  <w:style w:type="character" w:customStyle="1" w:styleId="125">
    <w:name w:val="sidecatalog-index1"/>
    <w:qFormat/>
    <w:uiPriority w:val="0"/>
    <w:rPr>
      <w:rFonts w:ascii="Arial" w:hAnsi="Arial" w:eastAsia="宋体" w:cs="Arial"/>
      <w:b/>
      <w:color w:val="999999"/>
      <w:sz w:val="21"/>
      <w:szCs w:val="21"/>
    </w:rPr>
  </w:style>
  <w:style w:type="character" w:customStyle="1" w:styleId="126">
    <w:name w:val="Font Style104"/>
    <w:unhideWhenUsed/>
    <w:qFormat/>
    <w:uiPriority w:val="0"/>
    <w:rPr>
      <w:rFonts w:hint="eastAsia" w:ascii="宋体" w:hAnsi="宋体" w:eastAsia="宋体"/>
      <w:spacing w:val="30"/>
      <w:sz w:val="18"/>
    </w:rPr>
  </w:style>
  <w:style w:type="character" w:customStyle="1" w:styleId="127">
    <w:name w:val="morelink-item"/>
    <w:qFormat/>
    <w:uiPriority w:val="0"/>
    <w:rPr>
      <w:rFonts w:ascii="Times New Roman" w:hAnsi="Times New Roman" w:eastAsia="宋体"/>
    </w:rPr>
  </w:style>
  <w:style w:type="character" w:customStyle="1" w:styleId="128">
    <w:name w:val="纯文本 Char2"/>
    <w:qFormat/>
    <w:uiPriority w:val="0"/>
    <w:rPr>
      <w:rFonts w:ascii="宋体" w:hAnsi="Courier New" w:eastAsia="宋体"/>
      <w:kern w:val="2"/>
      <w:sz w:val="21"/>
      <w:szCs w:val="21"/>
      <w:lang w:val="en-US" w:eastAsia="zh-CN" w:bidi="ar-SA"/>
    </w:rPr>
  </w:style>
  <w:style w:type="character" w:customStyle="1" w:styleId="129">
    <w:name w:val="正文文本缩进 3 Char"/>
    <w:qFormat/>
    <w:uiPriority w:val="0"/>
    <w:rPr>
      <w:rFonts w:ascii="宋体" w:hAnsi="MS Sans Serif"/>
      <w:color w:val="000000"/>
      <w:sz w:val="24"/>
    </w:rPr>
  </w:style>
  <w:style w:type="character" w:customStyle="1" w:styleId="130">
    <w:name w:val="Font Style105"/>
    <w:unhideWhenUsed/>
    <w:qFormat/>
    <w:uiPriority w:val="0"/>
    <w:rPr>
      <w:rFonts w:hint="eastAsia" w:ascii="Times New Roman" w:hAnsi="Times New Roman" w:eastAsia="Times New Roman"/>
      <w:w w:val="60"/>
      <w:sz w:val="26"/>
    </w:rPr>
  </w:style>
  <w:style w:type="character" w:customStyle="1" w:styleId="131">
    <w:name w:val="bds_nopic2"/>
    <w:qFormat/>
    <w:uiPriority w:val="0"/>
    <w:rPr>
      <w:rFonts w:ascii="Times New Roman" w:hAnsi="Times New Roman" w:eastAsia="宋体"/>
    </w:rPr>
  </w:style>
  <w:style w:type="character" w:customStyle="1" w:styleId="132">
    <w:name w:val="polysemyred"/>
    <w:qFormat/>
    <w:uiPriority w:val="0"/>
    <w:rPr>
      <w:rFonts w:ascii="Times New Roman" w:hAnsi="Times New Roman" w:eastAsia="宋体"/>
      <w:color w:val="FF6666"/>
      <w:sz w:val="18"/>
      <w:szCs w:val="18"/>
    </w:rPr>
  </w:style>
  <w:style w:type="character" w:customStyle="1" w:styleId="133">
    <w:name w:val="Font Style128"/>
    <w:unhideWhenUsed/>
    <w:qFormat/>
    <w:uiPriority w:val="0"/>
    <w:rPr>
      <w:rFonts w:hint="eastAsia" w:ascii="Times New Roman" w:hAnsi="Times New Roman" w:eastAsia="Times New Roman"/>
      <w:sz w:val="16"/>
    </w:rPr>
  </w:style>
  <w:style w:type="character" w:customStyle="1" w:styleId="134">
    <w:name w:val="Font Style123"/>
    <w:unhideWhenUsed/>
    <w:qFormat/>
    <w:uiPriority w:val="0"/>
    <w:rPr>
      <w:rFonts w:hint="eastAsia" w:ascii="宋体" w:hAnsi="宋体" w:eastAsia="宋体"/>
      <w:b/>
      <w:sz w:val="32"/>
    </w:rPr>
  </w:style>
  <w:style w:type="character" w:customStyle="1" w:styleId="135">
    <w:name w:val="页脚 Char"/>
    <w:qFormat/>
    <w:uiPriority w:val="0"/>
    <w:rPr>
      <w:kern w:val="2"/>
      <w:sz w:val="18"/>
      <w:szCs w:val="18"/>
    </w:rPr>
  </w:style>
  <w:style w:type="character" w:customStyle="1" w:styleId="136">
    <w:name w:val="Font Style94"/>
    <w:unhideWhenUsed/>
    <w:qFormat/>
    <w:uiPriority w:val="0"/>
    <w:rPr>
      <w:rFonts w:hint="eastAsia" w:ascii="Times New Roman" w:hAnsi="Times New Roman" w:eastAsia="Times New Roman"/>
      <w:sz w:val="28"/>
    </w:rPr>
  </w:style>
  <w:style w:type="character" w:customStyle="1" w:styleId="137">
    <w:name w:val="title2"/>
    <w:qFormat/>
    <w:uiPriority w:val="0"/>
    <w:rPr>
      <w:b/>
      <w:color w:val="000000"/>
    </w:rPr>
  </w:style>
  <w:style w:type="character" w:customStyle="1" w:styleId="138">
    <w:name w:val="批注框文本 Char"/>
    <w:qFormat/>
    <w:uiPriority w:val="0"/>
    <w:rPr>
      <w:kern w:val="2"/>
      <w:sz w:val="18"/>
      <w:szCs w:val="18"/>
    </w:rPr>
  </w:style>
  <w:style w:type="character" w:customStyle="1" w:styleId="139">
    <w:name w:val="Font Style90"/>
    <w:unhideWhenUsed/>
    <w:qFormat/>
    <w:uiPriority w:val="0"/>
    <w:rPr>
      <w:rFonts w:hint="eastAsia" w:ascii="宋体" w:hAnsi="宋体" w:eastAsia="宋体"/>
      <w:b/>
      <w:spacing w:val="-20"/>
      <w:sz w:val="40"/>
    </w:rPr>
  </w:style>
  <w:style w:type="character" w:customStyle="1" w:styleId="140">
    <w:name w:val="lemmatitleh12"/>
    <w:qFormat/>
    <w:uiPriority w:val="0"/>
    <w:rPr>
      <w:rFonts w:ascii="Times New Roman" w:hAnsi="Times New Roman" w:eastAsia="宋体"/>
    </w:rPr>
  </w:style>
  <w:style w:type="character" w:customStyle="1" w:styleId="141">
    <w:name w:val="Char Char6"/>
    <w:qFormat/>
    <w:uiPriority w:val="0"/>
    <w:rPr>
      <w:rFonts w:ascii="Arial" w:hAnsi="Arial" w:eastAsia="黑体"/>
      <w:sz w:val="24"/>
      <w:szCs w:val="24"/>
      <w:lang w:val="en-US" w:eastAsia="zh-CN" w:bidi="ar-SA"/>
    </w:rPr>
  </w:style>
  <w:style w:type="character" w:customStyle="1" w:styleId="142">
    <w:name w:val="bds_more6"/>
    <w:qFormat/>
    <w:uiPriority w:val="0"/>
    <w:rPr>
      <w:rFonts w:hint="eastAsia" w:ascii="宋体" w:hAnsi="宋体" w:eastAsia="宋体" w:cs="宋体"/>
    </w:rPr>
  </w:style>
  <w:style w:type="character" w:customStyle="1" w:styleId="143">
    <w:name w:val="标题 5 Char"/>
    <w:qFormat/>
    <w:uiPriority w:val="0"/>
    <w:rPr>
      <w:b/>
      <w:bCs/>
      <w:kern w:val="2"/>
      <w:sz w:val="28"/>
      <w:szCs w:val="28"/>
    </w:rPr>
  </w:style>
  <w:style w:type="character" w:customStyle="1" w:styleId="144">
    <w:name w:val="标题 4 Char Char"/>
    <w:qFormat/>
    <w:uiPriority w:val="0"/>
    <w:rPr>
      <w:rFonts w:ascii="Arial" w:hAnsi="Arial" w:eastAsia="宋体"/>
      <w:b/>
      <w:bCs/>
      <w:kern w:val="2"/>
      <w:sz w:val="21"/>
      <w:szCs w:val="28"/>
      <w:lang w:val="en-US" w:eastAsia="zh-CN" w:bidi="ar-SA"/>
    </w:rPr>
  </w:style>
  <w:style w:type="character" w:customStyle="1" w:styleId="145">
    <w:name w:val="标题 1 Char1"/>
    <w:qFormat/>
    <w:locked/>
    <w:uiPriority w:val="0"/>
    <w:rPr>
      <w:rFonts w:eastAsia="宋体"/>
      <w:b/>
      <w:bCs/>
      <w:kern w:val="2"/>
      <w:sz w:val="24"/>
      <w:lang w:val="en-US" w:eastAsia="zh-CN" w:bidi="ar-SA"/>
    </w:rPr>
  </w:style>
  <w:style w:type="character" w:customStyle="1" w:styleId="146">
    <w:name w:val="p0 Char"/>
    <w:link w:val="147"/>
    <w:qFormat/>
    <w:uiPriority w:val="0"/>
    <w:rPr>
      <w:rFonts w:eastAsia="宋体"/>
      <w:sz w:val="21"/>
      <w:szCs w:val="21"/>
      <w:lang w:val="en-US" w:eastAsia="zh-CN" w:bidi="ar-SA"/>
    </w:rPr>
  </w:style>
  <w:style w:type="paragraph" w:customStyle="1" w:styleId="147">
    <w:name w:val="p0"/>
    <w:basedOn w:val="1"/>
    <w:link w:val="146"/>
    <w:qFormat/>
    <w:uiPriority w:val="0"/>
    <w:pPr>
      <w:widowControl/>
    </w:pPr>
    <w:rPr>
      <w:kern w:val="0"/>
      <w:szCs w:val="21"/>
    </w:rPr>
  </w:style>
  <w:style w:type="character" w:customStyle="1" w:styleId="148">
    <w:name w:val="Font Style126"/>
    <w:unhideWhenUsed/>
    <w:qFormat/>
    <w:uiPriority w:val="0"/>
    <w:rPr>
      <w:rFonts w:hint="eastAsia" w:ascii="宋体" w:hAnsi="宋体" w:eastAsia="宋体"/>
      <w:b/>
      <w:spacing w:val="-30"/>
      <w:sz w:val="28"/>
    </w:rPr>
  </w:style>
  <w:style w:type="character" w:customStyle="1" w:styleId="149">
    <w:name w:val="Font Style86"/>
    <w:unhideWhenUsed/>
    <w:qFormat/>
    <w:uiPriority w:val="0"/>
    <w:rPr>
      <w:rFonts w:hint="eastAsia" w:ascii="黑体" w:hAnsi="黑体" w:eastAsia="黑体"/>
      <w:spacing w:val="10"/>
      <w:sz w:val="30"/>
    </w:rPr>
  </w:style>
  <w:style w:type="character" w:customStyle="1" w:styleId="150">
    <w:name w:val="标题 6 Char"/>
    <w:qFormat/>
    <w:uiPriority w:val="0"/>
    <w:rPr>
      <w:rFonts w:ascii="Arial" w:hAnsi="Arial" w:eastAsia="黑体"/>
      <w:b/>
      <w:bCs/>
      <w:sz w:val="24"/>
      <w:szCs w:val="24"/>
    </w:rPr>
  </w:style>
  <w:style w:type="character" w:customStyle="1" w:styleId="151">
    <w:name w:val="sidecatalog-index2"/>
    <w:qFormat/>
    <w:uiPriority w:val="0"/>
    <w:rPr>
      <w:rFonts w:ascii="Arail" w:hAnsi="Arail" w:eastAsia="Arail" w:cs="Arail"/>
      <w:color w:val="999999"/>
      <w:sz w:val="21"/>
      <w:szCs w:val="21"/>
    </w:rPr>
  </w:style>
  <w:style w:type="character" w:customStyle="1" w:styleId="152">
    <w:name w:val="bds_more9"/>
    <w:qFormat/>
    <w:uiPriority w:val="0"/>
    <w:rPr>
      <w:rFonts w:ascii="Times New Roman" w:hAnsi="Times New Roman" w:eastAsia="宋体"/>
    </w:rPr>
  </w:style>
  <w:style w:type="character" w:customStyle="1" w:styleId="153">
    <w:name w:val="bds_more10"/>
    <w:qFormat/>
    <w:uiPriority w:val="0"/>
    <w:rPr>
      <w:rFonts w:ascii="Times New Roman" w:hAnsi="Times New Roman" w:eastAsia="宋体"/>
    </w:rPr>
  </w:style>
  <w:style w:type="character" w:customStyle="1" w:styleId="154">
    <w:name w:val="页眉 Char"/>
    <w:qFormat/>
    <w:uiPriority w:val="0"/>
    <w:rPr>
      <w:kern w:val="2"/>
      <w:sz w:val="18"/>
      <w:szCs w:val="18"/>
    </w:rPr>
  </w:style>
  <w:style w:type="character" w:customStyle="1" w:styleId="155">
    <w:name w:val="title22"/>
    <w:qFormat/>
    <w:uiPriority w:val="0"/>
    <w:rPr>
      <w:b/>
      <w:color w:val="000000"/>
    </w:rPr>
  </w:style>
  <w:style w:type="character" w:customStyle="1" w:styleId="156">
    <w:name w:val="l-btn-empty"/>
    <w:qFormat/>
    <w:uiPriority w:val="0"/>
  </w:style>
  <w:style w:type="character" w:customStyle="1" w:styleId="157">
    <w:name w:val="sort1"/>
    <w:qFormat/>
    <w:uiPriority w:val="0"/>
    <w:rPr>
      <w:rFonts w:ascii="Times New Roman" w:hAnsi="Times New Roman" w:eastAsia="宋体"/>
    </w:rPr>
  </w:style>
  <w:style w:type="character" w:customStyle="1" w:styleId="158">
    <w:name w:val="Font Style122"/>
    <w:unhideWhenUsed/>
    <w:qFormat/>
    <w:uiPriority w:val="0"/>
    <w:rPr>
      <w:rFonts w:hint="eastAsia" w:ascii="宋体" w:hAnsi="宋体" w:eastAsia="宋体"/>
      <w:spacing w:val="20"/>
      <w:sz w:val="24"/>
    </w:rPr>
  </w:style>
  <w:style w:type="character" w:customStyle="1" w:styleId="159">
    <w:name w:val="desc"/>
    <w:qFormat/>
    <w:uiPriority w:val="0"/>
    <w:rPr>
      <w:rFonts w:ascii="Times New Roman" w:hAnsi="Times New Roman" w:eastAsia="宋体"/>
      <w:color w:val="000000"/>
      <w:sz w:val="18"/>
      <w:szCs w:val="18"/>
    </w:rPr>
  </w:style>
  <w:style w:type="character" w:customStyle="1" w:styleId="160">
    <w:name w:val="Font Style134"/>
    <w:unhideWhenUsed/>
    <w:qFormat/>
    <w:uiPriority w:val="0"/>
    <w:rPr>
      <w:rFonts w:hint="eastAsia" w:ascii="宋体" w:hAnsi="宋体" w:eastAsia="宋体"/>
      <w:spacing w:val="20"/>
      <w:sz w:val="22"/>
    </w:rPr>
  </w:style>
  <w:style w:type="character" w:customStyle="1" w:styleId="161">
    <w:name w:val="p0 Char Char"/>
    <w:qFormat/>
    <w:uiPriority w:val="0"/>
    <w:rPr>
      <w:rFonts w:eastAsia="宋体"/>
      <w:kern w:val="2"/>
      <w:sz w:val="21"/>
      <w:szCs w:val="21"/>
      <w:lang w:val="en-US" w:eastAsia="zh-CN" w:bidi="ar-SA"/>
    </w:rPr>
  </w:style>
  <w:style w:type="character" w:customStyle="1" w:styleId="162">
    <w:name w:val="批注文字 Char Char"/>
    <w:qFormat/>
    <w:uiPriority w:val="0"/>
    <w:rPr>
      <w:kern w:val="2"/>
      <w:sz w:val="21"/>
      <w:szCs w:val="24"/>
      <w:lang w:bidi="ar-SA"/>
    </w:rPr>
  </w:style>
  <w:style w:type="character" w:customStyle="1" w:styleId="163">
    <w:name w:val="Font Style133"/>
    <w:unhideWhenUsed/>
    <w:qFormat/>
    <w:uiPriority w:val="0"/>
    <w:rPr>
      <w:rFonts w:hint="eastAsia" w:ascii="宋体" w:hAnsi="宋体" w:eastAsia="宋体"/>
      <w:spacing w:val="30"/>
      <w:sz w:val="24"/>
    </w:rPr>
  </w:style>
  <w:style w:type="character" w:customStyle="1" w:styleId="164">
    <w:name w:val="l-btn-icon-right"/>
    <w:qFormat/>
    <w:uiPriority w:val="0"/>
  </w:style>
  <w:style w:type="paragraph" w:customStyle="1" w:styleId="165">
    <w:name w:val="Style52"/>
    <w:basedOn w:val="1"/>
    <w:unhideWhenUsed/>
    <w:qFormat/>
    <w:uiPriority w:val="0"/>
    <w:pPr>
      <w:spacing w:line="682" w:lineRule="exact"/>
      <w:ind w:firstLine="557"/>
    </w:pPr>
  </w:style>
  <w:style w:type="paragraph" w:customStyle="1" w:styleId="166">
    <w:name w:val="Style27"/>
    <w:basedOn w:val="1"/>
    <w:unhideWhenUsed/>
    <w:qFormat/>
    <w:uiPriority w:val="0"/>
  </w:style>
  <w:style w:type="paragraph" w:customStyle="1" w:styleId="167">
    <w:name w:val="Style76"/>
    <w:basedOn w:val="1"/>
    <w:unhideWhenUsed/>
    <w:qFormat/>
    <w:uiPriority w:val="0"/>
  </w:style>
  <w:style w:type="paragraph" w:customStyle="1" w:styleId="168">
    <w:name w:val="Style47"/>
    <w:basedOn w:val="1"/>
    <w:unhideWhenUsed/>
    <w:qFormat/>
    <w:uiPriority w:val="0"/>
  </w:style>
  <w:style w:type="paragraph" w:customStyle="1" w:styleId="169">
    <w:name w:val="Style50"/>
    <w:basedOn w:val="1"/>
    <w:unhideWhenUsed/>
    <w:qFormat/>
    <w:uiPriority w:val="0"/>
  </w:style>
  <w:style w:type="paragraph" w:customStyle="1" w:styleId="170">
    <w:name w:val="Char Char Char"/>
    <w:basedOn w:val="1"/>
    <w:qFormat/>
    <w:uiPriority w:val="0"/>
    <w:rPr>
      <w:rFonts w:ascii="宋体" w:hAnsi="宋体"/>
      <w:b/>
      <w:sz w:val="28"/>
      <w:szCs w:val="28"/>
    </w:rPr>
  </w:style>
  <w:style w:type="paragraph" w:customStyle="1" w:styleId="17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Style59"/>
    <w:basedOn w:val="1"/>
    <w:unhideWhenUsed/>
    <w:qFormat/>
    <w:uiPriority w:val="0"/>
  </w:style>
  <w:style w:type="paragraph" w:customStyle="1" w:styleId="173">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4">
    <w:name w:val="Style11"/>
    <w:basedOn w:val="1"/>
    <w:unhideWhenUsed/>
    <w:qFormat/>
    <w:uiPriority w:val="0"/>
    <w:pPr>
      <w:spacing w:line="559" w:lineRule="exact"/>
      <w:ind w:firstLine="590"/>
    </w:pPr>
  </w:style>
  <w:style w:type="paragraph" w:customStyle="1" w:styleId="175">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7">
    <w:name w:val="Style70"/>
    <w:basedOn w:val="1"/>
    <w:unhideWhenUsed/>
    <w:qFormat/>
    <w:uiPriority w:val="0"/>
    <w:pPr>
      <w:spacing w:line="549" w:lineRule="exact"/>
      <w:ind w:firstLine="686"/>
    </w:pPr>
  </w:style>
  <w:style w:type="paragraph" w:customStyle="1" w:styleId="178">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79">
    <w:name w:val="Char Char1 Char Char Char Char Char1 Char Char Char Char"/>
    <w:basedOn w:val="13"/>
    <w:qFormat/>
    <w:uiPriority w:val="0"/>
    <w:rPr>
      <w:rFonts w:ascii="Tahoma" w:hAnsi="Tahoma"/>
    </w:rPr>
  </w:style>
  <w:style w:type="paragraph" w:customStyle="1" w:styleId="180">
    <w:name w:val="Style34"/>
    <w:basedOn w:val="1"/>
    <w:unhideWhenUsed/>
    <w:qFormat/>
    <w:uiPriority w:val="0"/>
    <w:pPr>
      <w:spacing w:line="375" w:lineRule="exact"/>
    </w:pPr>
  </w:style>
  <w:style w:type="paragraph" w:customStyle="1" w:styleId="181">
    <w:name w:val="Style77"/>
    <w:basedOn w:val="1"/>
    <w:unhideWhenUsed/>
    <w:qFormat/>
    <w:uiPriority w:val="0"/>
  </w:style>
  <w:style w:type="paragraph" w:customStyle="1" w:styleId="182">
    <w:name w:val="Style4"/>
    <w:basedOn w:val="1"/>
    <w:unhideWhenUsed/>
    <w:qFormat/>
    <w:uiPriority w:val="0"/>
  </w:style>
  <w:style w:type="paragraph" w:customStyle="1" w:styleId="183">
    <w:name w:val="标题 1 +"/>
    <w:basedOn w:val="2"/>
    <w:next w:val="1"/>
    <w:qFormat/>
    <w:uiPriority w:val="0"/>
    <w:pPr>
      <w:keepLines/>
      <w:spacing w:line="600" w:lineRule="auto"/>
    </w:pPr>
    <w:rPr>
      <w:rFonts w:eastAsia="黑体"/>
      <w:kern w:val="0"/>
      <w:sz w:val="32"/>
      <w:szCs w:val="32"/>
    </w:rPr>
  </w:style>
  <w:style w:type="paragraph" w:customStyle="1" w:styleId="184">
    <w:name w:val="Style60"/>
    <w:basedOn w:val="1"/>
    <w:unhideWhenUsed/>
    <w:qFormat/>
    <w:uiPriority w:val="0"/>
    <w:pPr>
      <w:spacing w:line="566" w:lineRule="exact"/>
    </w:pPr>
  </w:style>
  <w:style w:type="paragraph" w:customStyle="1" w:styleId="185">
    <w:name w:val="Style54"/>
    <w:basedOn w:val="1"/>
    <w:unhideWhenUsed/>
    <w:qFormat/>
    <w:uiPriority w:val="0"/>
  </w:style>
  <w:style w:type="paragraph" w:customStyle="1" w:styleId="186">
    <w:name w:val="Char1 Char Char Char"/>
    <w:basedOn w:val="1"/>
    <w:qFormat/>
    <w:uiPriority w:val="0"/>
    <w:pPr>
      <w:widowControl/>
      <w:spacing w:after="160" w:line="240" w:lineRule="exact"/>
      <w:jc w:val="left"/>
    </w:pPr>
    <w:rPr>
      <w:kern w:val="0"/>
      <w:sz w:val="24"/>
      <w:szCs w:val="20"/>
    </w:rPr>
  </w:style>
  <w:style w:type="paragraph" w:customStyle="1" w:styleId="187">
    <w:name w:val="Style74"/>
    <w:basedOn w:val="1"/>
    <w:unhideWhenUsed/>
    <w:qFormat/>
    <w:uiPriority w:val="0"/>
    <w:pPr>
      <w:spacing w:line="437" w:lineRule="exact"/>
    </w:pPr>
  </w:style>
  <w:style w:type="paragraph" w:customStyle="1" w:styleId="188">
    <w:name w:val="Style64"/>
    <w:basedOn w:val="1"/>
    <w:unhideWhenUsed/>
    <w:qFormat/>
    <w:uiPriority w:val="0"/>
  </w:style>
  <w:style w:type="paragraph" w:customStyle="1" w:styleId="189">
    <w:name w:val="Style10"/>
    <w:basedOn w:val="1"/>
    <w:unhideWhenUsed/>
    <w:qFormat/>
    <w:uiPriority w:val="0"/>
    <w:pPr>
      <w:spacing w:line="538" w:lineRule="exact"/>
    </w:pPr>
  </w:style>
  <w:style w:type="paragraph" w:styleId="190">
    <w:name w:val="List Paragraph"/>
    <w:basedOn w:val="1"/>
    <w:qFormat/>
    <w:uiPriority w:val="0"/>
    <w:pPr>
      <w:ind w:firstLine="420" w:firstLineChars="200"/>
    </w:pPr>
    <w:rPr>
      <w:rFonts w:ascii="Calibri" w:hAnsi="Calibri"/>
      <w:szCs w:val="22"/>
    </w:rPr>
  </w:style>
  <w:style w:type="paragraph" w:customStyle="1" w:styleId="19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92">
    <w:name w:val="Style24"/>
    <w:basedOn w:val="1"/>
    <w:unhideWhenUsed/>
    <w:qFormat/>
    <w:uiPriority w:val="0"/>
  </w:style>
  <w:style w:type="paragraph" w:customStyle="1" w:styleId="193">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94">
    <w:name w:val="Style53"/>
    <w:basedOn w:val="1"/>
    <w:unhideWhenUsed/>
    <w:qFormat/>
    <w:uiPriority w:val="0"/>
    <w:pPr>
      <w:spacing w:line="533" w:lineRule="exact"/>
      <w:ind w:firstLine="581"/>
    </w:pPr>
  </w:style>
  <w:style w:type="paragraph" w:customStyle="1" w:styleId="195">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96">
    <w:name w:val="首行缩进"/>
    <w:qFormat/>
    <w:uiPriority w:val="0"/>
    <w:pPr>
      <w:widowControl w:val="0"/>
      <w:ind w:firstLine="480" w:firstLineChars="200"/>
      <w:jc w:val="both"/>
    </w:pPr>
    <w:rPr>
      <w:rFonts w:ascii="Calibri" w:hAnsi="Calibri" w:eastAsia="宋体" w:cs="Times New Roman"/>
      <w:kern w:val="2"/>
      <w:sz w:val="21"/>
      <w:szCs w:val="24"/>
      <w:lang w:val="zh-CN" w:eastAsia="zh-CN" w:bidi="ar-SA"/>
    </w:rPr>
  </w:style>
  <w:style w:type="paragraph" w:customStyle="1" w:styleId="197">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98">
    <w:name w:val="Style45"/>
    <w:basedOn w:val="1"/>
    <w:unhideWhenUsed/>
    <w:qFormat/>
    <w:uiPriority w:val="0"/>
  </w:style>
  <w:style w:type="paragraph" w:customStyle="1" w:styleId="199">
    <w:name w:val="默认段落字体 Para Char Char Char Char Char Char Char Char Char Char Char Char Char Char Char Char Char Char Char"/>
    <w:basedOn w:val="1"/>
    <w:qFormat/>
    <w:uiPriority w:val="0"/>
  </w:style>
  <w:style w:type="paragraph" w:customStyle="1" w:styleId="200">
    <w:name w:val="表格内容"/>
    <w:basedOn w:val="17"/>
    <w:qFormat/>
    <w:uiPriority w:val="0"/>
    <w:pPr>
      <w:suppressLineNumbers/>
      <w:suppressAutoHyphens/>
      <w:jc w:val="left"/>
    </w:pPr>
    <w:rPr>
      <w:rFonts w:cs="Tahoma"/>
      <w:kern w:val="0"/>
      <w:sz w:val="24"/>
    </w:rPr>
  </w:style>
  <w:style w:type="paragraph" w:customStyle="1" w:styleId="201">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02">
    <w:name w:val="Style26"/>
    <w:basedOn w:val="1"/>
    <w:unhideWhenUsed/>
    <w:qFormat/>
    <w:uiPriority w:val="0"/>
  </w:style>
  <w:style w:type="paragraph" w:customStyle="1" w:styleId="203">
    <w:name w:val="Style9"/>
    <w:basedOn w:val="1"/>
    <w:unhideWhenUsed/>
    <w:qFormat/>
    <w:uiPriority w:val="0"/>
  </w:style>
  <w:style w:type="paragraph" w:customStyle="1" w:styleId="204">
    <w:name w:val="Style23"/>
    <w:basedOn w:val="1"/>
    <w:unhideWhenUsed/>
    <w:qFormat/>
    <w:uiPriority w:val="0"/>
  </w:style>
  <w:style w:type="paragraph" w:customStyle="1" w:styleId="205">
    <w:name w:val="1 Char Char Char Char"/>
    <w:basedOn w:val="1"/>
    <w:qFormat/>
    <w:uiPriority w:val="0"/>
  </w:style>
  <w:style w:type="paragraph" w:customStyle="1" w:styleId="206">
    <w:name w:val="Style44"/>
    <w:basedOn w:val="1"/>
    <w:unhideWhenUsed/>
    <w:qFormat/>
    <w:uiPriority w:val="0"/>
  </w:style>
  <w:style w:type="paragraph" w:customStyle="1" w:styleId="207">
    <w:name w:val="Style80"/>
    <w:basedOn w:val="1"/>
    <w:unhideWhenUsed/>
    <w:qFormat/>
    <w:uiPriority w:val="0"/>
  </w:style>
  <w:style w:type="paragraph" w:customStyle="1" w:styleId="208">
    <w:name w:val="Style36"/>
    <w:basedOn w:val="1"/>
    <w:unhideWhenUsed/>
    <w:qFormat/>
    <w:uiPriority w:val="0"/>
  </w:style>
  <w:style w:type="paragraph" w:customStyle="1" w:styleId="209">
    <w:name w:val="_Style 39"/>
    <w:basedOn w:val="210"/>
    <w:qFormat/>
    <w:uiPriority w:val="0"/>
  </w:style>
  <w:style w:type="paragraph" w:customStyle="1" w:styleId="21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Style81"/>
    <w:basedOn w:val="1"/>
    <w:unhideWhenUsed/>
    <w:qFormat/>
    <w:uiPriority w:val="0"/>
    <w:pPr>
      <w:spacing w:line="547" w:lineRule="exact"/>
    </w:pPr>
  </w:style>
  <w:style w:type="paragraph" w:customStyle="1" w:styleId="212">
    <w:name w:val="1"/>
    <w:basedOn w:val="1"/>
    <w:qFormat/>
    <w:uiPriority w:val="0"/>
    <w:pPr>
      <w:spacing w:after="156" w:afterLines="50" w:line="360" w:lineRule="auto"/>
    </w:pPr>
    <w:rPr>
      <w:rFonts w:ascii="宋体" w:hAnsi="宋体"/>
      <w:b/>
      <w:sz w:val="30"/>
      <w:szCs w:val="21"/>
    </w:rPr>
  </w:style>
  <w:style w:type="paragraph" w:customStyle="1" w:styleId="213">
    <w:name w:val="Style73"/>
    <w:basedOn w:val="1"/>
    <w:unhideWhenUsed/>
    <w:qFormat/>
    <w:uiPriority w:val="0"/>
    <w:pPr>
      <w:spacing w:line="538" w:lineRule="exact"/>
      <w:ind w:firstLine="533"/>
    </w:pPr>
  </w:style>
  <w:style w:type="paragraph" w:customStyle="1" w:styleId="214">
    <w:name w:val="Style71"/>
    <w:basedOn w:val="1"/>
    <w:unhideWhenUsed/>
    <w:qFormat/>
    <w:uiPriority w:val="0"/>
    <w:pPr>
      <w:spacing w:line="538" w:lineRule="exact"/>
      <w:ind w:firstLine="101"/>
    </w:pPr>
  </w:style>
  <w:style w:type="paragraph" w:customStyle="1" w:styleId="21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7">
    <w:name w:val="Style56"/>
    <w:basedOn w:val="1"/>
    <w:unhideWhenUsed/>
    <w:qFormat/>
    <w:uiPriority w:val="0"/>
  </w:style>
  <w:style w:type="paragraph" w:customStyle="1" w:styleId="218">
    <w:name w:val="Style42"/>
    <w:basedOn w:val="1"/>
    <w:unhideWhenUsed/>
    <w:qFormat/>
    <w:uiPriority w:val="0"/>
    <w:pPr>
      <w:spacing w:line="542" w:lineRule="exact"/>
      <w:ind w:firstLine="547"/>
    </w:pPr>
  </w:style>
  <w:style w:type="paragraph" w:customStyle="1" w:styleId="219">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220">
    <w:name w:val="NO3"/>
    <w:basedOn w:val="1"/>
    <w:qFormat/>
    <w:uiPriority w:val="0"/>
    <w:pPr>
      <w:tabs>
        <w:tab w:val="left" w:pos="907"/>
      </w:tabs>
      <w:spacing w:line="360" w:lineRule="auto"/>
    </w:pPr>
    <w:rPr>
      <w:rFonts w:ascii="宋体" w:hAnsi="宋体"/>
      <w:sz w:val="24"/>
    </w:rPr>
  </w:style>
  <w:style w:type="paragraph" w:customStyle="1" w:styleId="221">
    <w:name w:val="Style21"/>
    <w:basedOn w:val="1"/>
    <w:unhideWhenUsed/>
    <w:qFormat/>
    <w:uiPriority w:val="0"/>
    <w:pPr>
      <w:spacing w:line="566" w:lineRule="exact"/>
      <w:ind w:firstLine="682"/>
    </w:pPr>
  </w:style>
  <w:style w:type="paragraph" w:customStyle="1" w:styleId="22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2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24">
    <w:name w:val="Char1 Char Char Char 字元 Char Char 字元 Char 字元 Char1 Char Char Char"/>
    <w:basedOn w:val="1"/>
    <w:qFormat/>
    <w:uiPriority w:val="0"/>
    <w:rPr>
      <w:szCs w:val="20"/>
    </w:rPr>
  </w:style>
  <w:style w:type="paragraph" w:customStyle="1" w:styleId="225">
    <w:name w:val="Style8"/>
    <w:basedOn w:val="1"/>
    <w:unhideWhenUsed/>
    <w:qFormat/>
    <w:uiPriority w:val="0"/>
    <w:pPr>
      <w:spacing w:line="566" w:lineRule="exact"/>
      <w:jc w:val="center"/>
    </w:pPr>
  </w:style>
  <w:style w:type="paragraph" w:customStyle="1" w:styleId="226">
    <w:name w:val="Style13"/>
    <w:basedOn w:val="1"/>
    <w:unhideWhenUsed/>
    <w:qFormat/>
    <w:uiPriority w:val="0"/>
  </w:style>
  <w:style w:type="paragraph" w:customStyle="1" w:styleId="227">
    <w:name w:val="p16"/>
    <w:basedOn w:val="1"/>
    <w:qFormat/>
    <w:uiPriority w:val="0"/>
    <w:pPr>
      <w:widowControl/>
      <w:jc w:val="left"/>
    </w:pPr>
    <w:rPr>
      <w:kern w:val="0"/>
      <w:szCs w:val="21"/>
    </w:rPr>
  </w:style>
  <w:style w:type="paragraph" w:customStyle="1" w:styleId="228">
    <w:name w:val="Char Char1 Char Char Char"/>
    <w:basedOn w:val="1"/>
    <w:qFormat/>
    <w:uiPriority w:val="0"/>
    <w:rPr>
      <w:kern w:val="0"/>
      <w:sz w:val="20"/>
      <w:szCs w:val="20"/>
    </w:rPr>
  </w:style>
  <w:style w:type="paragraph" w:customStyle="1" w:styleId="229">
    <w:name w:val="Char1 Char Char Char Char Char Char Char Char Char"/>
    <w:basedOn w:val="1"/>
    <w:qFormat/>
    <w:uiPriority w:val="0"/>
    <w:rPr>
      <w:szCs w:val="20"/>
    </w:rPr>
  </w:style>
  <w:style w:type="paragraph" w:customStyle="1" w:styleId="23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1">
    <w:name w:val="Style16"/>
    <w:basedOn w:val="1"/>
    <w:unhideWhenUsed/>
    <w:qFormat/>
    <w:uiPriority w:val="0"/>
    <w:pPr>
      <w:jc w:val="right"/>
    </w:pPr>
  </w:style>
  <w:style w:type="paragraph" w:customStyle="1" w:styleId="232">
    <w:name w:val="Style68"/>
    <w:basedOn w:val="1"/>
    <w:unhideWhenUsed/>
    <w:qFormat/>
    <w:uiPriority w:val="0"/>
    <w:pPr>
      <w:spacing w:line="547" w:lineRule="exact"/>
    </w:pPr>
  </w:style>
  <w:style w:type="paragraph" w:customStyle="1" w:styleId="233">
    <w:name w:val="标题2"/>
    <w:basedOn w:val="38"/>
    <w:qFormat/>
    <w:uiPriority w:val="0"/>
    <w:pPr>
      <w:spacing w:after="240"/>
      <w:jc w:val="left"/>
    </w:pPr>
    <w:rPr>
      <w:sz w:val="30"/>
    </w:rPr>
  </w:style>
  <w:style w:type="paragraph" w:customStyle="1" w:styleId="234">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5">
    <w:name w:val="Style58"/>
    <w:basedOn w:val="1"/>
    <w:unhideWhenUsed/>
    <w:qFormat/>
    <w:uiPriority w:val="0"/>
    <w:pPr>
      <w:spacing w:line="413" w:lineRule="exact"/>
    </w:pPr>
  </w:style>
  <w:style w:type="paragraph" w:customStyle="1" w:styleId="236">
    <w:name w:val="Style62"/>
    <w:basedOn w:val="1"/>
    <w:unhideWhenUsed/>
    <w:qFormat/>
    <w:uiPriority w:val="0"/>
  </w:style>
  <w:style w:type="paragraph" w:customStyle="1" w:styleId="237">
    <w:name w:val="Style72"/>
    <w:basedOn w:val="1"/>
    <w:unhideWhenUsed/>
    <w:qFormat/>
    <w:uiPriority w:val="0"/>
  </w:style>
  <w:style w:type="paragraph" w:customStyle="1" w:styleId="238">
    <w:name w:val="Style41"/>
    <w:basedOn w:val="1"/>
    <w:unhideWhenUsed/>
    <w:qFormat/>
    <w:uiPriority w:val="0"/>
    <w:pPr>
      <w:spacing w:line="542" w:lineRule="exact"/>
      <w:ind w:firstLine="125"/>
    </w:pPr>
  </w:style>
  <w:style w:type="paragraph" w:customStyle="1" w:styleId="23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40">
    <w:name w:val="Style63"/>
    <w:basedOn w:val="1"/>
    <w:unhideWhenUsed/>
    <w:qFormat/>
    <w:uiPriority w:val="0"/>
    <w:pPr>
      <w:spacing w:line="564" w:lineRule="exact"/>
      <w:ind w:firstLine="682"/>
    </w:pPr>
  </w:style>
  <w:style w:type="paragraph" w:customStyle="1" w:styleId="241">
    <w:name w:val="Style61"/>
    <w:basedOn w:val="1"/>
    <w:unhideWhenUsed/>
    <w:qFormat/>
    <w:uiPriority w:val="0"/>
  </w:style>
  <w:style w:type="paragraph" w:customStyle="1" w:styleId="242">
    <w:name w:val="_Style 241"/>
    <w:qFormat/>
    <w:uiPriority w:val="0"/>
    <w:rPr>
      <w:rFonts w:ascii="Times New Roman" w:hAnsi="Times New Roman" w:eastAsia="宋体" w:cs="Times New Roman"/>
      <w:kern w:val="2"/>
      <w:sz w:val="21"/>
      <w:szCs w:val="24"/>
      <w:lang w:val="en-US" w:eastAsia="zh-CN" w:bidi="ar-SA"/>
    </w:rPr>
  </w:style>
  <w:style w:type="paragraph" w:customStyle="1" w:styleId="243">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44">
    <w:name w:val="附录标识"/>
    <w:basedOn w:val="193"/>
    <w:qFormat/>
    <w:uiPriority w:val="0"/>
    <w:pPr>
      <w:tabs>
        <w:tab w:val="left" w:pos="6405"/>
        <w:tab w:val="clear" w:pos="360"/>
      </w:tabs>
      <w:spacing w:after="200"/>
    </w:pPr>
    <w:rPr>
      <w:sz w:val="21"/>
    </w:rPr>
  </w:style>
  <w:style w:type="paragraph" w:customStyle="1" w:styleId="245">
    <w:name w:val="Style78"/>
    <w:basedOn w:val="1"/>
    <w:unhideWhenUsed/>
    <w:qFormat/>
    <w:uiPriority w:val="0"/>
  </w:style>
  <w:style w:type="paragraph" w:customStyle="1" w:styleId="246">
    <w:name w:val="Style12"/>
    <w:basedOn w:val="1"/>
    <w:unhideWhenUsed/>
    <w:qFormat/>
    <w:uiPriority w:val="0"/>
    <w:pPr>
      <w:spacing w:line="564" w:lineRule="exact"/>
      <w:ind w:hanging="115"/>
    </w:pPr>
  </w:style>
  <w:style w:type="paragraph" w:customStyle="1" w:styleId="247">
    <w:name w:val="Style29"/>
    <w:basedOn w:val="1"/>
    <w:unhideWhenUsed/>
    <w:qFormat/>
    <w:uiPriority w:val="0"/>
    <w:pPr>
      <w:spacing w:line="547" w:lineRule="exact"/>
      <w:ind w:firstLine="547"/>
    </w:pPr>
  </w:style>
  <w:style w:type="paragraph" w:customStyle="1" w:styleId="248">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9">
    <w:name w:val="Style46"/>
    <w:basedOn w:val="1"/>
    <w:unhideWhenUsed/>
    <w:qFormat/>
    <w:uiPriority w:val="0"/>
    <w:pPr>
      <w:spacing w:line="672" w:lineRule="exact"/>
    </w:pPr>
  </w:style>
  <w:style w:type="paragraph" w:customStyle="1" w:styleId="250">
    <w:name w:val="Style67"/>
    <w:basedOn w:val="1"/>
    <w:unhideWhenUsed/>
    <w:qFormat/>
    <w:uiPriority w:val="0"/>
    <w:pPr>
      <w:spacing w:line="566" w:lineRule="exact"/>
      <w:ind w:firstLine="552"/>
    </w:pPr>
  </w:style>
  <w:style w:type="paragraph" w:customStyle="1" w:styleId="251">
    <w:name w:val="Style48"/>
    <w:basedOn w:val="1"/>
    <w:unhideWhenUsed/>
    <w:qFormat/>
    <w:uiPriority w:val="0"/>
    <w:pPr>
      <w:spacing w:line="542" w:lineRule="exact"/>
      <w:jc w:val="right"/>
    </w:pPr>
  </w:style>
  <w:style w:type="paragraph" w:customStyle="1" w:styleId="252">
    <w:name w:val="Style69"/>
    <w:basedOn w:val="1"/>
    <w:unhideWhenUsed/>
    <w:qFormat/>
    <w:uiPriority w:val="0"/>
    <w:pPr>
      <w:spacing w:line="557" w:lineRule="exact"/>
      <w:ind w:firstLine="1666"/>
    </w:pPr>
  </w:style>
  <w:style w:type="paragraph" w:customStyle="1" w:styleId="253">
    <w:name w:val="Char2"/>
    <w:basedOn w:val="1"/>
    <w:qFormat/>
    <w:uiPriority w:val="0"/>
    <w:pPr>
      <w:tabs>
        <w:tab w:val="left" w:pos="360"/>
      </w:tabs>
      <w:ind w:left="360" w:hanging="360" w:hangingChars="200"/>
    </w:pPr>
    <w:rPr>
      <w:sz w:val="24"/>
    </w:rPr>
  </w:style>
  <w:style w:type="paragraph" w:customStyle="1" w:styleId="254">
    <w:name w:val="Char Char1 Char Char Char Char Char Char Char"/>
    <w:basedOn w:val="1"/>
    <w:qFormat/>
    <w:uiPriority w:val="0"/>
    <w:pPr>
      <w:widowControl/>
      <w:spacing w:after="160" w:line="240" w:lineRule="exact"/>
      <w:jc w:val="left"/>
    </w:pPr>
  </w:style>
  <w:style w:type="paragraph" w:customStyle="1" w:styleId="255">
    <w:name w:val="列表段落1"/>
    <w:basedOn w:val="1"/>
    <w:qFormat/>
    <w:uiPriority w:val="34"/>
    <w:pPr>
      <w:ind w:firstLine="420" w:firstLineChars="200"/>
    </w:pPr>
  </w:style>
  <w:style w:type="paragraph" w:customStyle="1" w:styleId="256">
    <w:name w:val="Style5"/>
    <w:basedOn w:val="1"/>
    <w:unhideWhenUsed/>
    <w:qFormat/>
    <w:uiPriority w:val="0"/>
  </w:style>
  <w:style w:type="paragraph" w:customStyle="1" w:styleId="257">
    <w:name w:val="Style15"/>
    <w:basedOn w:val="1"/>
    <w:unhideWhenUsed/>
    <w:qFormat/>
    <w:uiPriority w:val="0"/>
    <w:pPr>
      <w:spacing w:line="557" w:lineRule="exact"/>
      <w:ind w:firstLine="672"/>
    </w:pPr>
  </w:style>
  <w:style w:type="paragraph" w:customStyle="1" w:styleId="258">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59">
    <w:name w:val="Style65"/>
    <w:basedOn w:val="1"/>
    <w:unhideWhenUsed/>
    <w:qFormat/>
    <w:uiPriority w:val="0"/>
  </w:style>
  <w:style w:type="paragraph" w:customStyle="1" w:styleId="26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61">
    <w:name w:val="List Paragraph1"/>
    <w:basedOn w:val="1"/>
    <w:qFormat/>
    <w:uiPriority w:val="0"/>
    <w:pPr>
      <w:ind w:firstLine="420" w:firstLineChars="200"/>
    </w:pPr>
    <w:rPr>
      <w:rFonts w:ascii="Calibri" w:hAnsi="Calibri" w:cs="Calibri"/>
      <w:szCs w:val="21"/>
    </w:rPr>
  </w:style>
  <w:style w:type="paragraph" w:customStyle="1" w:styleId="262">
    <w:name w:val="Style28"/>
    <w:basedOn w:val="1"/>
    <w:unhideWhenUsed/>
    <w:qFormat/>
    <w:uiPriority w:val="0"/>
    <w:pPr>
      <w:spacing w:line="552" w:lineRule="exact"/>
      <w:ind w:firstLine="547"/>
    </w:pPr>
  </w:style>
  <w:style w:type="paragraph" w:customStyle="1" w:styleId="263">
    <w:name w:val="Definition Term"/>
    <w:basedOn w:val="1"/>
    <w:next w:val="1"/>
    <w:qFormat/>
    <w:uiPriority w:val="0"/>
    <w:pPr>
      <w:spacing w:line="288" w:lineRule="auto"/>
    </w:pPr>
  </w:style>
  <w:style w:type="paragraph" w:customStyle="1" w:styleId="264">
    <w:name w:val="Normal_0"/>
    <w:qFormat/>
    <w:uiPriority w:val="0"/>
    <w:rPr>
      <w:rFonts w:ascii="Times New Roman" w:hAnsi="Times New Roman" w:eastAsia="Times New Roman" w:cs="Times New Roman"/>
      <w:sz w:val="24"/>
      <w:szCs w:val="24"/>
      <w:lang w:val="en-US" w:eastAsia="zh-CN" w:bidi="ar-SA"/>
    </w:rPr>
  </w:style>
  <w:style w:type="table" w:customStyle="1" w:styleId="265">
    <w:name w:val="Table Normal"/>
    <w:unhideWhenUsed/>
    <w:qFormat/>
    <w:uiPriority w:val="0"/>
    <w:tblPr>
      <w:tblCellMar>
        <w:top w:w="0" w:type="dxa"/>
        <w:left w:w="0" w:type="dxa"/>
        <w:bottom w:w="0" w:type="dxa"/>
        <w:right w:w="0" w:type="dxa"/>
      </w:tblCellMar>
    </w:tblPr>
  </w:style>
  <w:style w:type="character" w:customStyle="1" w:styleId="266">
    <w:name w:val="c-icon28"/>
    <w:qFormat/>
    <w:uiPriority w:val="0"/>
  </w:style>
  <w:style w:type="character" w:customStyle="1" w:styleId="267">
    <w:name w:val="hover30"/>
    <w:qFormat/>
    <w:uiPriority w:val="0"/>
  </w:style>
  <w:style w:type="character" w:customStyle="1" w:styleId="268">
    <w:name w:val="hover31"/>
    <w:qFormat/>
    <w:uiPriority w:val="0"/>
    <w:rPr>
      <w:color w:val="315EFB"/>
    </w:rPr>
  </w:style>
  <w:style w:type="character" w:customStyle="1" w:styleId="269">
    <w:name w:val="hover32"/>
    <w:qFormat/>
    <w:uiPriority w:val="0"/>
    <w:rPr>
      <w:color w:val="315EFB"/>
    </w:rPr>
  </w:style>
  <w:style w:type="paragraph" w:customStyle="1" w:styleId="270">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271">
    <w:name w:val="Table Text"/>
    <w:basedOn w:val="1"/>
    <w:semiHidden/>
    <w:qFormat/>
    <w:uiPriority w:val="0"/>
    <w:rPr>
      <w:rFonts w:ascii="宋体" w:hAnsi="宋体" w:cs="宋体"/>
      <w:sz w:val="20"/>
      <w:szCs w:val="20"/>
      <w:lang w:eastAsia="en-US"/>
    </w:rPr>
  </w:style>
  <w:style w:type="character" w:customStyle="1" w:styleId="272">
    <w:name w:val="more"/>
    <w:qFormat/>
    <w:uiPriority w:val="0"/>
  </w:style>
  <w:style w:type="character" w:customStyle="1" w:styleId="273">
    <w:name w:val="hover5"/>
    <w:qFormat/>
    <w:uiPriority w:val="0"/>
    <w:rPr>
      <w:shd w:val="clear" w:color="auto" w:fill="E1E1E1"/>
    </w:rPr>
  </w:style>
  <w:style w:type="paragraph" w:customStyle="1" w:styleId="274">
    <w:name w:val="页脚1"/>
    <w:qFormat/>
    <w:uiPriority w:val="0"/>
    <w:pPr>
      <w:widowControl w:val="0"/>
      <w:tabs>
        <w:tab w:val="center" w:pos="4153"/>
        <w:tab w:val="right" w:pos="8306"/>
      </w:tabs>
      <w:snapToGrid w:val="0"/>
    </w:pPr>
    <w:rPr>
      <w:rFonts w:ascii="Times New Roman" w:hAnsi="Times New Roman" w:eastAsia="宋体" w:cs="Times New Roman"/>
      <w:sz w:val="18"/>
      <w:szCs w:val="18"/>
      <w:lang w:val="en-US" w:eastAsia="zh-CN" w:bidi="ar-SA"/>
    </w:rPr>
  </w:style>
  <w:style w:type="paragraph" w:customStyle="1" w:styleId="275">
    <w:name w:val="正文11"/>
    <w:next w:val="276"/>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76">
    <w:name w:val="标题 41"/>
    <w:basedOn w:val="275"/>
    <w:next w:val="275"/>
    <w:qFormat/>
    <w:uiPriority w:val="99"/>
    <w:pPr>
      <w:keepNext/>
      <w:keepLines/>
      <w:spacing w:before="280" w:after="290" w:line="374" w:lineRule="auto"/>
      <w:outlineLvl w:val="3"/>
    </w:pPr>
    <w:rPr>
      <w:rFonts w:ascii="Arial" w:hAnsi="Arial" w:eastAsia="黑体"/>
      <w:b/>
      <w:bCs/>
      <w:sz w:val="28"/>
      <w:szCs w:val="28"/>
    </w:rPr>
  </w:style>
  <w:style w:type="paragraph" w:customStyle="1" w:styleId="277">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8">
    <w:name w:val="正文_2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9">
    <w:name w:val="正文_20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0">
    <w:name w:val="Normal_26"/>
    <w:qFormat/>
    <w:uiPriority w:val="0"/>
    <w:rPr>
      <w:rFonts w:ascii="Times New Roman" w:hAnsi="Times New Roman" w:eastAsia="Times New Roman" w:cs="Times New Roman"/>
      <w:sz w:val="24"/>
      <w:szCs w:val="24"/>
      <w:lang w:val="en-US" w:eastAsia="zh-CN" w:bidi="ar-SA"/>
    </w:rPr>
  </w:style>
  <w:style w:type="paragraph" w:customStyle="1" w:styleId="281">
    <w:name w:val="Normal_0_1"/>
    <w:qFormat/>
    <w:uiPriority w:val="0"/>
    <w:rPr>
      <w:rFonts w:ascii="Times New Roman" w:hAnsi="Times New Roman" w:eastAsia="宋体" w:cs="Times New Roman"/>
      <w:sz w:val="24"/>
      <w:szCs w:val="24"/>
      <w:lang w:val="en-US" w:eastAsia="zh-CN" w:bidi="ar-SA"/>
    </w:rPr>
  </w:style>
  <w:style w:type="paragraph" w:customStyle="1" w:styleId="282">
    <w:name w:val="null3"/>
    <w:qFormat/>
    <w:uiPriority w:val="0"/>
    <w:rPr>
      <w:rFonts w:hint="eastAsia" w:ascii="Calibri" w:hAnsi="Calibri" w:eastAsia="宋体" w:cs="Times New Roman"/>
      <w:lang w:val="en-US" w:eastAsia="zh-Hans" w:bidi="ar-SA"/>
    </w:rPr>
  </w:style>
  <w:style w:type="paragraph" w:customStyle="1" w:styleId="28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90</Pages>
  <Words>25133</Words>
  <Characters>26718</Characters>
  <Lines>458</Lines>
  <Paragraphs>129</Paragraphs>
  <TotalTime>2</TotalTime>
  <ScaleCrop>false</ScaleCrop>
  <LinksUpToDate>false</LinksUpToDate>
  <CharactersWithSpaces>29029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2026-07-28T23:07:00Z</dcterms:created>
  <dc:creator>admin</dc:creator>
  <cp:lastModifiedBy>Administrator</cp:lastModifiedBy>
  <cp:lastPrinted>2025-01-01T06:50:00Z</cp:lastPrinted>
  <dcterms:modified xsi:type="dcterms:W3CDTF">2026-10-26T07:34:34Z</dcterms:modified>
  <dc:title>附件十一</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FA5B254154364A97AB01CD18ED36595B_13</vt:lpwstr>
  </property>
  <property fmtid="{D5CDD505-2E9C-101B-9397-08002B2CF9AE}" pid="4" name="KSOSaveFontToCloudKey">
    <vt:lpwstr>279912265_btnclosed</vt:lpwstr>
  </property>
  <property fmtid="{D5CDD505-2E9C-101B-9397-08002B2CF9AE}" pid="5" name="KSOTemplateDocerSaveRecord">
    <vt:lpwstr>eyJoZGlkIjoiNmZhNDI2NmE2ZDMzMGZiM2Y2MzJiOWMxMzk4NzM5NGMiLCJ1c2VySWQiOiIzNDIwMTYzODUifQ==</vt:lpwstr>
  </property>
</Properties>
</file>