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56DD0F">
      <w:pPr>
        <w:widowControl/>
        <w:jc w:val="center"/>
        <w:outlineLvl w:val="0"/>
        <w:rPr>
          <w:rFonts w:hint="eastAsia" w:ascii="宋体" w:hAnsi="宋体" w:eastAsia="宋体" w:cs="宋体"/>
          <w:b/>
          <w:bCs/>
          <w:color w:val="auto"/>
          <w:sz w:val="32"/>
          <w:szCs w:val="32"/>
          <w:highlight w:val="none"/>
          <w:lang w:val="en-US" w:eastAsia="zh-CN"/>
        </w:rPr>
      </w:pPr>
    </w:p>
    <w:p w14:paraId="60610714">
      <w:pPr>
        <w:widowControl/>
        <w:jc w:val="center"/>
        <w:outlineLvl w:val="0"/>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 xml:space="preserve">2026年茶陵县农业科技发展专项商品有机肥采购项目 </w:t>
      </w:r>
    </w:p>
    <w:p w14:paraId="684A8413">
      <w:pPr>
        <w:widowControl/>
        <w:jc w:val="center"/>
        <w:outlineLvl w:val="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采购需求</w:t>
      </w:r>
    </w:p>
    <w:p w14:paraId="13E52C33">
      <w:pPr>
        <w:widowControl/>
        <w:kinsoku w:val="0"/>
        <w:autoSpaceDE w:val="0"/>
        <w:autoSpaceDN w:val="0"/>
        <w:adjustRightInd w:val="0"/>
        <w:snapToGrid w:val="0"/>
        <w:spacing w:before="256" w:line="225" w:lineRule="auto"/>
        <w:ind w:left="3372"/>
        <w:jc w:val="left"/>
        <w:textAlignment w:val="baseline"/>
        <w:outlineLvl w:val="1"/>
        <w:rPr>
          <w:rFonts w:hint="eastAsia" w:ascii="宋体" w:hAnsi="宋体" w:eastAsia="宋体" w:cs="宋体"/>
          <w:snapToGrid w:val="0"/>
          <w:color w:val="auto"/>
          <w:kern w:val="0"/>
          <w:sz w:val="27"/>
          <w:szCs w:val="27"/>
          <w:highlight w:val="none"/>
          <w:lang w:eastAsia="en-US"/>
        </w:rPr>
      </w:pPr>
      <w:bookmarkStart w:id="0" w:name="_Toc14947"/>
      <w:bookmarkStart w:id="1" w:name="_Toc13850"/>
      <w:bookmarkStart w:id="2" w:name="_Toc24131"/>
      <w:r>
        <w:rPr>
          <w:rFonts w:hint="eastAsia" w:ascii="宋体" w:hAnsi="宋体" w:eastAsia="宋体" w:cs="宋体"/>
          <w:b/>
          <w:bCs/>
          <w:snapToGrid w:val="0"/>
          <w:color w:val="auto"/>
          <w:spacing w:val="6"/>
          <w:kern w:val="0"/>
          <w:sz w:val="27"/>
          <w:szCs w:val="27"/>
          <w:highlight w:val="none"/>
          <w:lang w:eastAsia="en-US"/>
        </w:rPr>
        <w:t>第一节</w:t>
      </w:r>
      <w:r>
        <w:rPr>
          <w:rFonts w:hint="eastAsia" w:ascii="宋体" w:hAnsi="宋体" w:eastAsia="宋体" w:cs="宋体"/>
          <w:snapToGrid w:val="0"/>
          <w:color w:val="auto"/>
          <w:spacing w:val="6"/>
          <w:kern w:val="0"/>
          <w:sz w:val="27"/>
          <w:szCs w:val="27"/>
          <w:highlight w:val="none"/>
          <w:lang w:eastAsia="en-US"/>
        </w:rPr>
        <w:t xml:space="preserve"> </w:t>
      </w:r>
      <w:r>
        <w:rPr>
          <w:rFonts w:hint="eastAsia" w:ascii="宋体" w:hAnsi="宋体" w:eastAsia="宋体" w:cs="宋体"/>
          <w:b/>
          <w:bCs/>
          <w:snapToGrid w:val="0"/>
          <w:color w:val="auto"/>
          <w:spacing w:val="6"/>
          <w:kern w:val="0"/>
          <w:sz w:val="27"/>
          <w:szCs w:val="27"/>
          <w:highlight w:val="none"/>
          <w:lang w:eastAsia="en-US"/>
        </w:rPr>
        <w:t>采购清单一览表</w:t>
      </w:r>
      <w:bookmarkEnd w:id="0"/>
      <w:bookmarkEnd w:id="1"/>
      <w:bookmarkEnd w:id="2"/>
    </w:p>
    <w:p w14:paraId="6D7429E4">
      <w:pPr>
        <w:widowControl/>
        <w:kinsoku w:val="0"/>
        <w:autoSpaceDE w:val="0"/>
        <w:autoSpaceDN w:val="0"/>
        <w:adjustRightInd w:val="0"/>
        <w:snapToGrid w:val="0"/>
        <w:spacing w:line="30" w:lineRule="exact"/>
        <w:jc w:val="left"/>
        <w:textAlignment w:val="baseline"/>
        <w:rPr>
          <w:rFonts w:hint="eastAsia" w:ascii="宋体" w:hAnsi="宋体" w:eastAsia="宋体" w:cs="宋体"/>
          <w:snapToGrid w:val="0"/>
          <w:color w:val="auto"/>
          <w:kern w:val="0"/>
          <w:szCs w:val="21"/>
          <w:highlight w:val="none"/>
          <w:lang w:eastAsia="en-US"/>
        </w:rPr>
      </w:pPr>
    </w:p>
    <w:tbl>
      <w:tblPr>
        <w:tblStyle w:val="5"/>
        <w:tblW w:w="9965"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17"/>
        <w:gridCol w:w="2231"/>
        <w:gridCol w:w="1393"/>
        <w:gridCol w:w="1626"/>
        <w:gridCol w:w="1283"/>
        <w:gridCol w:w="982"/>
        <w:gridCol w:w="1933"/>
      </w:tblGrid>
      <w:tr w14:paraId="6F851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7" w:hRule="atLeast"/>
        </w:trPr>
        <w:tc>
          <w:tcPr>
            <w:tcW w:w="517" w:type="dxa"/>
            <w:noWrap w:val="0"/>
            <w:vAlign w:val="top"/>
          </w:tcPr>
          <w:p w14:paraId="43E39A20">
            <w:pPr>
              <w:kinsoku w:val="0"/>
              <w:autoSpaceDE w:val="0"/>
              <w:autoSpaceDN w:val="0"/>
              <w:adjustRightInd w:val="0"/>
              <w:snapToGrid w:val="0"/>
              <w:spacing w:before="255" w:line="222" w:lineRule="auto"/>
              <w:ind w:left="180"/>
              <w:jc w:val="left"/>
              <w:textAlignment w:val="baseline"/>
              <w:rPr>
                <w:rFonts w:hint="eastAsia" w:ascii="宋体" w:hAnsi="宋体" w:eastAsia="宋体" w:cs="宋体"/>
                <w:b/>
                <w:bCs/>
                <w:snapToGrid w:val="0"/>
                <w:color w:val="auto"/>
                <w:kern w:val="0"/>
                <w:sz w:val="21"/>
                <w:szCs w:val="21"/>
                <w:highlight w:val="none"/>
                <w:lang w:val="en-US" w:eastAsia="en-US" w:bidi="ar-SA"/>
              </w:rPr>
            </w:pPr>
            <w:r>
              <w:rPr>
                <w:rFonts w:hint="eastAsia" w:ascii="宋体" w:hAnsi="宋体" w:eastAsia="宋体" w:cs="宋体"/>
                <w:b/>
                <w:bCs/>
                <w:snapToGrid w:val="0"/>
                <w:color w:val="auto"/>
                <w:spacing w:val="-2"/>
                <w:kern w:val="0"/>
                <w:sz w:val="21"/>
                <w:szCs w:val="21"/>
                <w:highlight w:val="none"/>
                <w:lang w:val="en-US" w:eastAsia="en-US" w:bidi="ar-SA"/>
              </w:rPr>
              <w:t>包号</w:t>
            </w:r>
          </w:p>
        </w:tc>
        <w:tc>
          <w:tcPr>
            <w:tcW w:w="2231" w:type="dxa"/>
            <w:noWrap w:val="0"/>
            <w:vAlign w:val="top"/>
          </w:tcPr>
          <w:p w14:paraId="12D38977">
            <w:pPr>
              <w:kinsoku w:val="0"/>
              <w:autoSpaceDE w:val="0"/>
              <w:autoSpaceDN w:val="0"/>
              <w:adjustRightInd w:val="0"/>
              <w:snapToGrid w:val="0"/>
              <w:spacing w:before="254" w:line="223" w:lineRule="auto"/>
              <w:ind w:left="733"/>
              <w:jc w:val="left"/>
              <w:textAlignment w:val="baseline"/>
              <w:rPr>
                <w:rFonts w:hint="eastAsia" w:ascii="宋体" w:hAnsi="宋体" w:eastAsia="宋体" w:cs="宋体"/>
                <w:b/>
                <w:bCs/>
                <w:snapToGrid w:val="0"/>
                <w:color w:val="auto"/>
                <w:kern w:val="0"/>
                <w:sz w:val="21"/>
                <w:szCs w:val="21"/>
                <w:highlight w:val="none"/>
                <w:lang w:val="en-US" w:eastAsia="en-US" w:bidi="ar-SA"/>
              </w:rPr>
            </w:pPr>
            <w:r>
              <w:rPr>
                <w:rFonts w:hint="eastAsia" w:ascii="宋体" w:hAnsi="宋体" w:eastAsia="宋体" w:cs="宋体"/>
                <w:b/>
                <w:bCs/>
                <w:snapToGrid w:val="0"/>
                <w:color w:val="auto"/>
                <w:spacing w:val="-2"/>
                <w:kern w:val="0"/>
                <w:sz w:val="21"/>
                <w:szCs w:val="21"/>
                <w:highlight w:val="none"/>
                <w:lang w:val="en-US" w:eastAsia="en-US" w:bidi="ar-SA"/>
              </w:rPr>
              <w:t>包名称</w:t>
            </w:r>
          </w:p>
        </w:tc>
        <w:tc>
          <w:tcPr>
            <w:tcW w:w="1393" w:type="dxa"/>
            <w:noWrap w:val="0"/>
            <w:vAlign w:val="top"/>
          </w:tcPr>
          <w:p w14:paraId="31E99816">
            <w:pPr>
              <w:kinsoku w:val="0"/>
              <w:autoSpaceDE w:val="0"/>
              <w:autoSpaceDN w:val="0"/>
              <w:adjustRightInd w:val="0"/>
              <w:snapToGrid w:val="0"/>
              <w:spacing w:before="115" w:line="231" w:lineRule="auto"/>
              <w:ind w:left="226" w:right="198" w:hanging="3"/>
              <w:jc w:val="left"/>
              <w:textAlignment w:val="baseline"/>
              <w:rPr>
                <w:rFonts w:hint="eastAsia" w:ascii="宋体" w:hAnsi="宋体" w:eastAsia="宋体" w:cs="宋体"/>
                <w:b/>
                <w:bCs/>
                <w:snapToGrid w:val="0"/>
                <w:color w:val="auto"/>
                <w:spacing w:val="-2"/>
                <w:kern w:val="0"/>
                <w:sz w:val="21"/>
                <w:szCs w:val="21"/>
                <w:highlight w:val="none"/>
                <w:lang w:val="en-US" w:eastAsia="zh-CN" w:bidi="ar-SA"/>
              </w:rPr>
            </w:pPr>
            <w:r>
              <w:rPr>
                <w:rFonts w:hint="eastAsia" w:ascii="宋体" w:hAnsi="宋体" w:eastAsia="宋体" w:cs="宋体"/>
                <w:b/>
                <w:bCs/>
                <w:snapToGrid w:val="0"/>
                <w:color w:val="auto"/>
                <w:spacing w:val="-2"/>
                <w:kern w:val="0"/>
                <w:sz w:val="21"/>
                <w:szCs w:val="21"/>
                <w:highlight w:val="none"/>
                <w:lang w:val="en-US" w:eastAsia="zh-CN" w:bidi="ar-SA"/>
              </w:rPr>
              <w:t>预算价</w:t>
            </w:r>
          </w:p>
          <w:p w14:paraId="762A2869">
            <w:pPr>
              <w:kinsoku w:val="0"/>
              <w:autoSpaceDE w:val="0"/>
              <w:autoSpaceDN w:val="0"/>
              <w:adjustRightInd w:val="0"/>
              <w:snapToGrid w:val="0"/>
              <w:spacing w:before="115" w:line="231" w:lineRule="auto"/>
              <w:ind w:left="226" w:right="198" w:hanging="3"/>
              <w:jc w:val="left"/>
              <w:textAlignment w:val="baseline"/>
              <w:rPr>
                <w:rFonts w:hint="eastAsia" w:ascii="宋体" w:hAnsi="宋体" w:eastAsia="宋体" w:cs="宋体"/>
                <w:b/>
                <w:bCs/>
                <w:snapToGrid w:val="0"/>
                <w:color w:val="auto"/>
                <w:kern w:val="0"/>
                <w:sz w:val="21"/>
                <w:szCs w:val="21"/>
                <w:highlight w:val="none"/>
                <w:lang w:val="en-US" w:eastAsia="en-US" w:bidi="ar-SA"/>
              </w:rPr>
            </w:pPr>
            <w:r>
              <w:rPr>
                <w:rFonts w:hint="eastAsia" w:ascii="宋体" w:hAnsi="宋体" w:eastAsia="宋体" w:cs="宋体"/>
                <w:b/>
                <w:bCs/>
                <w:snapToGrid w:val="0"/>
                <w:color w:val="auto"/>
                <w:spacing w:val="-2"/>
                <w:kern w:val="0"/>
                <w:sz w:val="21"/>
                <w:szCs w:val="21"/>
                <w:highlight w:val="none"/>
                <w:lang w:val="en-US" w:eastAsia="zh-CN" w:bidi="ar-SA"/>
              </w:rPr>
              <w:t>（</w:t>
            </w:r>
            <w:r>
              <w:rPr>
                <w:rFonts w:hint="eastAsia" w:ascii="宋体" w:hAnsi="宋体" w:eastAsia="宋体" w:cs="宋体"/>
                <w:b/>
                <w:bCs/>
                <w:snapToGrid w:val="0"/>
                <w:color w:val="auto"/>
                <w:spacing w:val="-2"/>
                <w:kern w:val="0"/>
                <w:sz w:val="21"/>
                <w:szCs w:val="21"/>
                <w:highlight w:val="none"/>
                <w:lang w:val="en-US" w:eastAsia="en-US" w:bidi="ar-SA"/>
              </w:rPr>
              <w:t>最高限价</w:t>
            </w:r>
            <w:r>
              <w:rPr>
                <w:rFonts w:hint="eastAsia" w:ascii="宋体" w:hAnsi="宋体" w:eastAsia="宋体" w:cs="宋体"/>
                <w:b/>
                <w:bCs/>
                <w:snapToGrid w:val="0"/>
                <w:color w:val="auto"/>
                <w:spacing w:val="1"/>
                <w:kern w:val="0"/>
                <w:sz w:val="21"/>
                <w:szCs w:val="21"/>
                <w:highlight w:val="none"/>
                <w:lang w:val="en-US" w:eastAsia="en-US" w:bidi="ar-SA"/>
              </w:rPr>
              <w:t xml:space="preserve"> </w:t>
            </w:r>
            <w:r>
              <w:rPr>
                <w:rFonts w:hint="eastAsia" w:ascii="宋体" w:hAnsi="宋体" w:eastAsia="宋体" w:cs="宋体"/>
                <w:b/>
                <w:bCs/>
                <w:snapToGrid w:val="0"/>
                <w:color w:val="auto"/>
                <w:spacing w:val="1"/>
                <w:kern w:val="0"/>
                <w:sz w:val="21"/>
                <w:szCs w:val="21"/>
                <w:highlight w:val="none"/>
                <w:lang w:val="en-US" w:eastAsia="zh-CN" w:bidi="ar-SA"/>
              </w:rPr>
              <w:t>）</w:t>
            </w:r>
            <w:r>
              <w:rPr>
                <w:rFonts w:hint="eastAsia" w:ascii="宋体" w:hAnsi="宋体" w:eastAsia="宋体" w:cs="宋体"/>
                <w:b/>
                <w:bCs/>
                <w:snapToGrid w:val="0"/>
                <w:color w:val="auto"/>
                <w:spacing w:val="-5"/>
                <w:kern w:val="0"/>
                <w:sz w:val="21"/>
                <w:szCs w:val="21"/>
                <w:highlight w:val="none"/>
                <w:lang w:val="en-US" w:eastAsia="en-US" w:bidi="ar-SA"/>
              </w:rPr>
              <w:t>（元）</w:t>
            </w:r>
          </w:p>
        </w:tc>
        <w:tc>
          <w:tcPr>
            <w:tcW w:w="1626" w:type="dxa"/>
            <w:noWrap w:val="0"/>
            <w:vAlign w:val="top"/>
          </w:tcPr>
          <w:p w14:paraId="6F5832E9">
            <w:pPr>
              <w:kinsoku w:val="0"/>
              <w:autoSpaceDE w:val="0"/>
              <w:autoSpaceDN w:val="0"/>
              <w:adjustRightInd w:val="0"/>
              <w:snapToGrid w:val="0"/>
              <w:spacing w:before="115" w:line="220" w:lineRule="auto"/>
              <w:ind w:firstLine="205" w:firstLineChars="100"/>
              <w:jc w:val="left"/>
              <w:textAlignment w:val="baseline"/>
              <w:rPr>
                <w:rFonts w:hint="eastAsia" w:ascii="宋体" w:hAnsi="宋体" w:eastAsia="宋体" w:cs="宋体"/>
                <w:b/>
                <w:bCs/>
                <w:snapToGrid w:val="0"/>
                <w:color w:val="auto"/>
                <w:kern w:val="0"/>
                <w:sz w:val="21"/>
                <w:szCs w:val="21"/>
                <w:highlight w:val="none"/>
                <w:lang w:val="en-US" w:eastAsia="en-US" w:bidi="ar-SA"/>
              </w:rPr>
            </w:pPr>
            <w:r>
              <w:rPr>
                <w:rFonts w:hint="eastAsia" w:ascii="宋体" w:hAnsi="宋体" w:eastAsia="宋体" w:cs="宋体"/>
                <w:b/>
                <w:bCs/>
                <w:snapToGrid w:val="0"/>
                <w:color w:val="auto"/>
                <w:spacing w:val="-3"/>
                <w:kern w:val="0"/>
                <w:sz w:val="21"/>
                <w:szCs w:val="21"/>
                <w:highlight w:val="none"/>
                <w:lang w:val="en-US" w:eastAsia="en-US" w:bidi="ar-SA"/>
              </w:rPr>
              <w:t>简要</w:t>
            </w:r>
            <w:r>
              <w:rPr>
                <w:rFonts w:hint="eastAsia" w:ascii="宋体" w:hAnsi="宋体" w:eastAsia="宋体" w:cs="宋体"/>
                <w:b/>
                <w:bCs/>
                <w:snapToGrid w:val="0"/>
                <w:color w:val="auto"/>
                <w:spacing w:val="-1"/>
                <w:kern w:val="0"/>
                <w:sz w:val="21"/>
                <w:szCs w:val="21"/>
                <w:highlight w:val="none"/>
                <w:lang w:val="en-US" w:eastAsia="en-US" w:bidi="ar-SA"/>
              </w:rPr>
              <w:t>技术要求</w:t>
            </w:r>
          </w:p>
        </w:tc>
        <w:tc>
          <w:tcPr>
            <w:tcW w:w="1283" w:type="dxa"/>
            <w:noWrap w:val="0"/>
            <w:vAlign w:val="top"/>
          </w:tcPr>
          <w:p w14:paraId="58564769">
            <w:pPr>
              <w:kinsoku w:val="0"/>
              <w:autoSpaceDE w:val="0"/>
              <w:autoSpaceDN w:val="0"/>
              <w:adjustRightInd w:val="0"/>
              <w:snapToGrid w:val="0"/>
              <w:spacing w:before="116" w:line="227" w:lineRule="auto"/>
              <w:ind w:right="215"/>
              <w:jc w:val="left"/>
              <w:textAlignment w:val="baseline"/>
              <w:rPr>
                <w:rFonts w:hint="eastAsia" w:ascii="宋体" w:hAnsi="宋体" w:eastAsia="宋体" w:cs="宋体"/>
                <w:b/>
                <w:bCs/>
                <w:snapToGrid w:val="0"/>
                <w:color w:val="auto"/>
                <w:kern w:val="0"/>
                <w:sz w:val="21"/>
                <w:szCs w:val="21"/>
                <w:highlight w:val="none"/>
                <w:lang w:val="en-US" w:eastAsia="zh-CN" w:bidi="ar-SA"/>
              </w:rPr>
            </w:pPr>
            <w:r>
              <w:rPr>
                <w:rFonts w:hint="eastAsia" w:ascii="宋体" w:hAnsi="宋体" w:eastAsia="宋体" w:cs="宋体"/>
                <w:b/>
                <w:bCs/>
                <w:snapToGrid w:val="0"/>
                <w:color w:val="auto"/>
                <w:spacing w:val="-4"/>
                <w:kern w:val="0"/>
                <w:sz w:val="21"/>
                <w:szCs w:val="21"/>
                <w:highlight w:val="none"/>
                <w:lang w:val="en-US" w:eastAsia="zh-CN" w:bidi="ar-SA"/>
              </w:rPr>
              <w:t>预计</w:t>
            </w:r>
            <w:r>
              <w:rPr>
                <w:rFonts w:hint="eastAsia" w:ascii="宋体" w:hAnsi="宋体" w:eastAsia="宋体" w:cs="宋体"/>
                <w:b/>
                <w:bCs/>
                <w:snapToGrid w:val="0"/>
                <w:color w:val="auto"/>
                <w:spacing w:val="-4"/>
                <w:kern w:val="0"/>
                <w:sz w:val="21"/>
                <w:szCs w:val="21"/>
                <w:highlight w:val="none"/>
                <w:lang w:val="en-US" w:eastAsia="en-US" w:bidi="ar-SA"/>
              </w:rPr>
              <w:t>数量</w:t>
            </w:r>
            <w:r>
              <w:rPr>
                <w:rFonts w:hint="eastAsia" w:ascii="宋体" w:hAnsi="宋体" w:eastAsia="宋体" w:cs="宋体"/>
                <w:b/>
                <w:bCs/>
                <w:snapToGrid w:val="0"/>
                <w:color w:val="auto"/>
                <w:kern w:val="0"/>
                <w:sz w:val="21"/>
                <w:szCs w:val="21"/>
                <w:highlight w:val="none"/>
                <w:lang w:val="en-US" w:eastAsia="en-US" w:bidi="ar-SA"/>
              </w:rPr>
              <w:t xml:space="preserve"> </w:t>
            </w:r>
            <w:r>
              <w:rPr>
                <w:rFonts w:hint="eastAsia" w:ascii="宋体" w:hAnsi="宋体" w:eastAsia="宋体" w:cs="宋体"/>
                <w:b/>
                <w:bCs/>
                <w:snapToGrid w:val="0"/>
                <w:color w:val="auto"/>
                <w:spacing w:val="-2"/>
                <w:kern w:val="0"/>
                <w:sz w:val="21"/>
                <w:szCs w:val="21"/>
                <w:highlight w:val="none"/>
                <w:lang w:val="en-US" w:eastAsia="zh-CN" w:bidi="ar-SA"/>
              </w:rPr>
              <w:t>（</w:t>
            </w:r>
            <w:r>
              <w:rPr>
                <w:rFonts w:hint="eastAsia" w:ascii="宋体" w:hAnsi="宋体" w:eastAsia="宋体" w:cs="宋体"/>
                <w:b/>
                <w:bCs/>
                <w:snapToGrid w:val="0"/>
                <w:color w:val="auto"/>
                <w:spacing w:val="-2"/>
                <w:kern w:val="0"/>
                <w:sz w:val="21"/>
                <w:szCs w:val="21"/>
                <w:highlight w:val="none"/>
                <w:lang w:val="en-US" w:eastAsia="en-US" w:bidi="ar-SA"/>
              </w:rPr>
              <w:t>吨</w:t>
            </w:r>
            <w:r>
              <w:rPr>
                <w:rFonts w:hint="eastAsia" w:ascii="宋体" w:hAnsi="宋体" w:eastAsia="宋体" w:cs="宋体"/>
                <w:b/>
                <w:bCs/>
                <w:snapToGrid w:val="0"/>
                <w:color w:val="auto"/>
                <w:spacing w:val="-2"/>
                <w:kern w:val="0"/>
                <w:sz w:val="21"/>
                <w:szCs w:val="21"/>
                <w:highlight w:val="none"/>
                <w:lang w:val="en-US" w:eastAsia="zh-CN" w:bidi="ar-SA"/>
              </w:rPr>
              <w:t>）</w:t>
            </w:r>
          </w:p>
        </w:tc>
        <w:tc>
          <w:tcPr>
            <w:tcW w:w="982" w:type="dxa"/>
            <w:noWrap w:val="0"/>
            <w:vAlign w:val="top"/>
          </w:tcPr>
          <w:p w14:paraId="76DA40B2">
            <w:pPr>
              <w:kinsoku w:val="0"/>
              <w:autoSpaceDE w:val="0"/>
              <w:autoSpaceDN w:val="0"/>
              <w:adjustRightInd w:val="0"/>
              <w:snapToGrid w:val="0"/>
              <w:spacing w:before="116" w:line="235" w:lineRule="auto"/>
              <w:ind w:right="172"/>
              <w:jc w:val="left"/>
              <w:textAlignment w:val="baseline"/>
              <w:rPr>
                <w:rFonts w:hint="eastAsia" w:ascii="宋体" w:hAnsi="宋体" w:eastAsia="宋体" w:cs="宋体"/>
                <w:b/>
                <w:bCs/>
                <w:snapToGrid w:val="0"/>
                <w:color w:val="auto"/>
                <w:kern w:val="0"/>
                <w:sz w:val="21"/>
                <w:szCs w:val="21"/>
                <w:highlight w:val="none"/>
                <w:lang w:val="en-US" w:eastAsia="zh-CN" w:bidi="ar-SA"/>
              </w:rPr>
            </w:pPr>
            <w:r>
              <w:rPr>
                <w:rFonts w:hint="eastAsia" w:ascii="宋体" w:hAnsi="宋体" w:eastAsia="宋体" w:cs="宋体"/>
                <w:b/>
                <w:bCs/>
                <w:snapToGrid w:val="0"/>
                <w:color w:val="auto"/>
                <w:kern w:val="0"/>
                <w:sz w:val="21"/>
                <w:szCs w:val="21"/>
                <w:highlight w:val="none"/>
                <w:lang w:val="en-US" w:eastAsia="zh-CN" w:bidi="ar-SA"/>
              </w:rPr>
              <w:t>单价上限（元/吨）</w:t>
            </w:r>
          </w:p>
        </w:tc>
        <w:tc>
          <w:tcPr>
            <w:tcW w:w="1933" w:type="dxa"/>
            <w:noWrap w:val="0"/>
            <w:vAlign w:val="top"/>
          </w:tcPr>
          <w:p w14:paraId="06B86310">
            <w:pPr>
              <w:kinsoku w:val="0"/>
              <w:autoSpaceDE w:val="0"/>
              <w:autoSpaceDN w:val="0"/>
              <w:adjustRightInd w:val="0"/>
              <w:snapToGrid w:val="0"/>
              <w:spacing w:before="116" w:line="235" w:lineRule="auto"/>
              <w:ind w:right="172"/>
              <w:jc w:val="left"/>
              <w:textAlignment w:val="baseline"/>
              <w:rPr>
                <w:rFonts w:hint="eastAsia" w:ascii="宋体" w:hAnsi="宋体" w:eastAsia="宋体" w:cs="宋体"/>
                <w:b/>
                <w:bCs/>
                <w:snapToGrid w:val="0"/>
                <w:color w:val="auto"/>
                <w:kern w:val="0"/>
                <w:sz w:val="21"/>
                <w:szCs w:val="21"/>
                <w:highlight w:val="none"/>
                <w:lang w:val="en-US" w:eastAsia="zh-CN" w:bidi="ar-SA"/>
              </w:rPr>
            </w:pPr>
            <w:r>
              <w:rPr>
                <w:rFonts w:hint="eastAsia" w:ascii="宋体" w:hAnsi="宋体" w:eastAsia="宋体" w:cs="宋体"/>
                <w:b/>
                <w:bCs/>
                <w:snapToGrid w:val="0"/>
                <w:color w:val="auto"/>
                <w:kern w:val="0"/>
                <w:sz w:val="21"/>
                <w:szCs w:val="21"/>
                <w:highlight w:val="none"/>
                <w:lang w:val="en-US" w:eastAsia="zh-CN" w:bidi="ar-SA"/>
              </w:rPr>
              <w:t>备注</w:t>
            </w:r>
          </w:p>
        </w:tc>
      </w:tr>
      <w:tr w14:paraId="5E1EB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17" w:type="dxa"/>
            <w:noWrap w:val="0"/>
            <w:vAlign w:val="top"/>
          </w:tcPr>
          <w:p w14:paraId="534D3921">
            <w:pPr>
              <w:kinsoku w:val="0"/>
              <w:autoSpaceDE w:val="0"/>
              <w:autoSpaceDN w:val="0"/>
              <w:adjustRightInd w:val="0"/>
              <w:snapToGrid w:val="0"/>
              <w:spacing w:before="254" w:line="223" w:lineRule="auto"/>
              <w:jc w:val="left"/>
              <w:textAlignment w:val="baseline"/>
              <w:rPr>
                <w:rFonts w:hint="eastAsia" w:ascii="宋体" w:hAnsi="宋体" w:eastAsia="宋体" w:cs="宋体"/>
                <w:b/>
                <w:bCs/>
                <w:snapToGrid w:val="0"/>
                <w:color w:val="auto"/>
                <w:spacing w:val="-2"/>
                <w:kern w:val="0"/>
                <w:sz w:val="21"/>
                <w:szCs w:val="21"/>
                <w:highlight w:val="none"/>
                <w:lang w:val="en-US" w:eastAsia="zh-CN" w:bidi="ar-SA"/>
              </w:rPr>
            </w:pPr>
            <w:r>
              <w:rPr>
                <w:rFonts w:hint="eastAsia" w:ascii="宋体" w:hAnsi="宋体" w:eastAsia="宋体" w:cs="宋体"/>
                <w:b/>
                <w:bCs/>
                <w:snapToGrid w:val="0"/>
                <w:color w:val="auto"/>
                <w:spacing w:val="-2"/>
                <w:kern w:val="0"/>
                <w:sz w:val="21"/>
                <w:szCs w:val="21"/>
                <w:highlight w:val="none"/>
                <w:lang w:val="en-US" w:eastAsia="zh-CN" w:bidi="ar-SA"/>
              </w:rPr>
              <w:t>1</w:t>
            </w:r>
          </w:p>
        </w:tc>
        <w:tc>
          <w:tcPr>
            <w:tcW w:w="2231" w:type="dxa"/>
            <w:noWrap w:val="0"/>
            <w:vAlign w:val="top"/>
          </w:tcPr>
          <w:p w14:paraId="0111801D">
            <w:pPr>
              <w:kinsoku w:val="0"/>
              <w:autoSpaceDE w:val="0"/>
              <w:autoSpaceDN w:val="0"/>
              <w:adjustRightInd w:val="0"/>
              <w:snapToGrid w:val="0"/>
              <w:spacing w:before="254" w:line="223" w:lineRule="auto"/>
              <w:jc w:val="left"/>
              <w:textAlignment w:val="baseline"/>
              <w:rPr>
                <w:rFonts w:hint="eastAsia" w:ascii="宋体" w:hAnsi="宋体" w:eastAsia="宋体" w:cs="宋体"/>
                <w:b/>
                <w:bCs/>
                <w:snapToGrid w:val="0"/>
                <w:color w:val="auto"/>
                <w:spacing w:val="-2"/>
                <w:kern w:val="0"/>
                <w:sz w:val="21"/>
                <w:szCs w:val="21"/>
                <w:highlight w:val="none"/>
                <w:lang w:val="en-US" w:eastAsia="zh-CN" w:bidi="ar-SA"/>
              </w:rPr>
            </w:pPr>
            <w:r>
              <w:rPr>
                <w:rFonts w:hint="eastAsia" w:ascii="宋体" w:hAnsi="宋体" w:eastAsia="宋体" w:cs="宋体"/>
                <w:b/>
                <w:bCs/>
                <w:snapToGrid w:val="0"/>
                <w:color w:val="auto"/>
                <w:spacing w:val="-2"/>
                <w:kern w:val="0"/>
                <w:sz w:val="21"/>
                <w:szCs w:val="21"/>
                <w:highlight w:val="none"/>
                <w:lang w:val="en-US" w:eastAsia="zh-CN" w:bidi="ar-SA"/>
              </w:rPr>
              <w:t xml:space="preserve">2026年茶陵县农业科技发展专项商品有机肥采购项目 </w:t>
            </w:r>
          </w:p>
        </w:tc>
        <w:tc>
          <w:tcPr>
            <w:tcW w:w="1393" w:type="dxa"/>
            <w:noWrap w:val="0"/>
            <w:vAlign w:val="top"/>
          </w:tcPr>
          <w:p w14:paraId="45AD73C8">
            <w:pPr>
              <w:kinsoku w:val="0"/>
              <w:autoSpaceDE w:val="0"/>
              <w:autoSpaceDN w:val="0"/>
              <w:adjustRightInd w:val="0"/>
              <w:snapToGrid w:val="0"/>
              <w:spacing w:before="254" w:line="223" w:lineRule="auto"/>
              <w:jc w:val="left"/>
              <w:textAlignment w:val="baseline"/>
              <w:rPr>
                <w:rFonts w:hint="default" w:ascii="宋体" w:hAnsi="宋体" w:eastAsia="宋体" w:cs="宋体"/>
                <w:b/>
                <w:bCs/>
                <w:snapToGrid w:val="0"/>
                <w:color w:val="auto"/>
                <w:spacing w:val="-2"/>
                <w:kern w:val="0"/>
                <w:sz w:val="21"/>
                <w:szCs w:val="21"/>
                <w:highlight w:val="none"/>
                <w:lang w:val="en-US" w:eastAsia="zh-CN" w:bidi="ar-SA"/>
              </w:rPr>
            </w:pPr>
            <w:r>
              <w:rPr>
                <w:rFonts w:hint="eastAsia" w:ascii="宋体" w:hAnsi="宋体" w:eastAsia="宋体" w:cs="宋体"/>
                <w:b/>
                <w:bCs/>
                <w:snapToGrid w:val="0"/>
                <w:color w:val="auto"/>
                <w:spacing w:val="-2"/>
                <w:kern w:val="0"/>
                <w:sz w:val="21"/>
                <w:szCs w:val="21"/>
                <w:highlight w:val="none"/>
                <w:lang w:val="en-US" w:eastAsia="zh-CN" w:bidi="ar-SA"/>
              </w:rPr>
              <w:t>790140.00</w:t>
            </w:r>
          </w:p>
        </w:tc>
        <w:tc>
          <w:tcPr>
            <w:tcW w:w="1626" w:type="dxa"/>
            <w:noWrap w:val="0"/>
            <w:vAlign w:val="top"/>
          </w:tcPr>
          <w:p w14:paraId="4FDA9FE7">
            <w:pPr>
              <w:kinsoku w:val="0"/>
              <w:autoSpaceDE w:val="0"/>
              <w:autoSpaceDN w:val="0"/>
              <w:adjustRightInd w:val="0"/>
              <w:snapToGrid w:val="0"/>
              <w:spacing w:before="254" w:line="223" w:lineRule="auto"/>
              <w:jc w:val="left"/>
              <w:textAlignment w:val="baseline"/>
              <w:rPr>
                <w:rFonts w:hint="default" w:ascii="宋体" w:hAnsi="宋体" w:eastAsia="宋体" w:cs="宋体"/>
                <w:b/>
                <w:bCs/>
                <w:snapToGrid w:val="0"/>
                <w:color w:val="auto"/>
                <w:spacing w:val="-2"/>
                <w:kern w:val="0"/>
                <w:sz w:val="21"/>
                <w:szCs w:val="21"/>
                <w:highlight w:val="none"/>
                <w:lang w:val="en-US" w:eastAsia="zh-CN" w:bidi="ar-SA"/>
              </w:rPr>
            </w:pPr>
            <w:r>
              <w:rPr>
                <w:rFonts w:hint="eastAsia" w:ascii="宋体" w:hAnsi="宋体" w:eastAsia="宋体" w:cs="宋体"/>
                <w:b/>
                <w:bCs/>
                <w:snapToGrid w:val="0"/>
                <w:color w:val="auto"/>
                <w:spacing w:val="-2"/>
                <w:kern w:val="0"/>
                <w:sz w:val="21"/>
                <w:szCs w:val="21"/>
                <w:highlight w:val="none"/>
                <w:lang w:val="en-US" w:eastAsia="zh-CN" w:bidi="ar-SA"/>
              </w:rPr>
              <w:t>详见技术要求</w:t>
            </w:r>
          </w:p>
        </w:tc>
        <w:tc>
          <w:tcPr>
            <w:tcW w:w="1283" w:type="dxa"/>
            <w:noWrap w:val="0"/>
            <w:vAlign w:val="top"/>
          </w:tcPr>
          <w:p w14:paraId="046B7B49">
            <w:pPr>
              <w:kinsoku w:val="0"/>
              <w:autoSpaceDE w:val="0"/>
              <w:autoSpaceDN w:val="0"/>
              <w:adjustRightInd w:val="0"/>
              <w:snapToGrid w:val="0"/>
              <w:spacing w:before="254" w:line="223" w:lineRule="auto"/>
              <w:jc w:val="center"/>
              <w:textAlignment w:val="baseline"/>
              <w:rPr>
                <w:rFonts w:hint="default" w:ascii="宋体" w:hAnsi="宋体" w:eastAsia="宋体" w:cs="宋体"/>
                <w:b/>
                <w:bCs/>
                <w:snapToGrid w:val="0"/>
                <w:color w:val="auto"/>
                <w:spacing w:val="-2"/>
                <w:kern w:val="0"/>
                <w:sz w:val="21"/>
                <w:szCs w:val="21"/>
                <w:highlight w:val="none"/>
                <w:lang w:val="en-US" w:eastAsia="zh-CN" w:bidi="ar-SA"/>
              </w:rPr>
            </w:pPr>
            <w:r>
              <w:rPr>
                <w:rFonts w:hint="eastAsia" w:ascii="宋体" w:hAnsi="宋体" w:eastAsia="宋体" w:cs="宋体"/>
                <w:b/>
                <w:bCs/>
                <w:snapToGrid w:val="0"/>
                <w:color w:val="auto"/>
                <w:spacing w:val="-2"/>
                <w:kern w:val="0"/>
                <w:sz w:val="21"/>
                <w:szCs w:val="21"/>
                <w:highlight w:val="none"/>
                <w:lang w:val="en-US" w:eastAsia="zh-CN" w:bidi="ar-SA"/>
              </w:rPr>
              <w:t>1013</w:t>
            </w:r>
          </w:p>
        </w:tc>
        <w:tc>
          <w:tcPr>
            <w:tcW w:w="982" w:type="dxa"/>
            <w:noWrap w:val="0"/>
            <w:vAlign w:val="top"/>
          </w:tcPr>
          <w:p w14:paraId="6CB98563">
            <w:pPr>
              <w:kinsoku w:val="0"/>
              <w:autoSpaceDE w:val="0"/>
              <w:autoSpaceDN w:val="0"/>
              <w:adjustRightInd w:val="0"/>
              <w:snapToGrid w:val="0"/>
              <w:spacing w:before="254" w:line="223" w:lineRule="auto"/>
              <w:jc w:val="center"/>
              <w:textAlignment w:val="baseline"/>
              <w:rPr>
                <w:rFonts w:hint="default" w:ascii="宋体" w:hAnsi="宋体" w:eastAsia="宋体" w:cs="宋体"/>
                <w:b/>
                <w:bCs/>
                <w:snapToGrid w:val="0"/>
                <w:color w:val="auto"/>
                <w:spacing w:val="-2"/>
                <w:kern w:val="0"/>
                <w:sz w:val="21"/>
                <w:szCs w:val="21"/>
                <w:highlight w:val="none"/>
                <w:lang w:val="en-US" w:eastAsia="zh-CN" w:bidi="ar-SA"/>
              </w:rPr>
            </w:pPr>
            <w:r>
              <w:rPr>
                <w:rFonts w:hint="eastAsia" w:ascii="宋体" w:hAnsi="宋体" w:eastAsia="宋体" w:cs="宋体"/>
                <w:b/>
                <w:bCs/>
                <w:snapToGrid w:val="0"/>
                <w:color w:val="auto"/>
                <w:spacing w:val="-2"/>
                <w:kern w:val="0"/>
                <w:sz w:val="21"/>
                <w:szCs w:val="21"/>
                <w:highlight w:val="none"/>
                <w:lang w:val="en-US" w:eastAsia="zh-CN" w:bidi="ar-SA"/>
              </w:rPr>
              <w:t>780</w:t>
            </w:r>
          </w:p>
        </w:tc>
        <w:tc>
          <w:tcPr>
            <w:tcW w:w="1933" w:type="dxa"/>
            <w:noWrap w:val="0"/>
            <w:vAlign w:val="top"/>
          </w:tcPr>
          <w:p w14:paraId="01EAA880">
            <w:pPr>
              <w:widowControl/>
              <w:kinsoku w:val="0"/>
              <w:autoSpaceDE w:val="0"/>
              <w:autoSpaceDN w:val="0"/>
              <w:adjustRightInd w:val="0"/>
              <w:snapToGrid w:val="0"/>
              <w:spacing w:before="60" w:line="480" w:lineRule="auto"/>
              <w:jc w:val="both"/>
              <w:textAlignment w:val="baseline"/>
              <w:rPr>
                <w:rFonts w:hint="eastAsia" w:ascii="宋体" w:hAnsi="宋体" w:eastAsia="宋体" w:cs="宋体"/>
                <w:color w:val="auto"/>
                <w:kern w:val="0"/>
                <w:sz w:val="21"/>
                <w:szCs w:val="21"/>
                <w:highlight w:val="none"/>
                <w:lang w:val="en-US" w:eastAsia="en-US" w:bidi="ar"/>
              </w:rPr>
            </w:pPr>
            <w:r>
              <w:rPr>
                <w:rFonts w:hint="eastAsia" w:ascii="宋体" w:hAnsi="宋体" w:eastAsia="宋体" w:cs="宋体"/>
                <w:color w:val="auto"/>
                <w:kern w:val="0"/>
                <w:sz w:val="21"/>
                <w:szCs w:val="21"/>
                <w:highlight w:val="none"/>
                <w:lang w:val="en-US" w:eastAsia="zh-CN" w:bidi="ar"/>
              </w:rPr>
              <w:t>1.投标人不得超过各项单价上限，否则为</w:t>
            </w:r>
            <w:r>
              <w:rPr>
                <w:rFonts w:hint="eastAsia" w:ascii="宋体" w:hAnsi="宋体" w:eastAsia="宋体" w:cs="宋体"/>
                <w:color w:val="auto"/>
                <w:kern w:val="0"/>
                <w:sz w:val="21"/>
                <w:szCs w:val="21"/>
                <w:highlight w:val="none"/>
                <w:lang w:val="en-US" w:eastAsia="en-US" w:bidi="ar"/>
              </w:rPr>
              <w:t>投标无效。</w:t>
            </w:r>
          </w:p>
          <w:p w14:paraId="40F7853D">
            <w:pPr>
              <w:widowControl/>
              <w:kinsoku w:val="0"/>
              <w:autoSpaceDE w:val="0"/>
              <w:autoSpaceDN w:val="0"/>
              <w:adjustRightInd w:val="0"/>
              <w:snapToGrid w:val="0"/>
              <w:spacing w:before="60" w:line="480" w:lineRule="auto"/>
              <w:jc w:val="both"/>
              <w:textAlignment w:val="baseline"/>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2.本项目采购数量 仅为预计采购数量，</w:t>
            </w:r>
            <w:r>
              <w:rPr>
                <w:rFonts w:hint="eastAsia" w:ascii="Times New Roman" w:hAnsi="Times New Roman" w:eastAsia="宋体" w:cs="Times New Roman"/>
                <w:b/>
                <w:bCs/>
                <w:color w:val="auto"/>
                <w:kern w:val="2"/>
                <w:sz w:val="21"/>
                <w:szCs w:val="21"/>
                <w:highlight w:val="none"/>
                <w:lang w:val="en-US" w:eastAsia="zh-CN" w:bidi="ar-SA"/>
              </w:rPr>
              <w:t>实际采购数量=预算价（最高限价）</w:t>
            </w:r>
            <w:r>
              <w:rPr>
                <w:rFonts w:hint="default" w:ascii="Arial" w:hAnsi="Arial" w:eastAsia="宋体" w:cs="Arial"/>
                <w:b/>
                <w:bCs/>
                <w:color w:val="auto"/>
                <w:kern w:val="2"/>
                <w:sz w:val="21"/>
                <w:szCs w:val="21"/>
                <w:highlight w:val="none"/>
                <w:lang w:val="en-US" w:eastAsia="zh-CN" w:bidi="ar-SA"/>
              </w:rPr>
              <w:t>÷</w:t>
            </w:r>
            <w:r>
              <w:rPr>
                <w:rFonts w:hint="eastAsia" w:ascii="Arial" w:hAnsi="Arial" w:eastAsia="宋体" w:cs="Arial"/>
                <w:b/>
                <w:bCs/>
                <w:color w:val="auto"/>
                <w:kern w:val="2"/>
                <w:sz w:val="21"/>
                <w:szCs w:val="21"/>
                <w:highlight w:val="none"/>
                <w:lang w:val="en-US" w:eastAsia="zh-CN" w:bidi="ar-SA"/>
              </w:rPr>
              <w:t>成交单位投标单价。</w:t>
            </w:r>
          </w:p>
        </w:tc>
      </w:tr>
    </w:tbl>
    <w:p w14:paraId="1877FCE3">
      <w:pPr>
        <w:keepNext w:val="0"/>
        <w:keepLines w:val="0"/>
        <w:pageBreakBefore w:val="0"/>
        <w:widowControl/>
        <w:kinsoku w:val="0"/>
        <w:wordWrap/>
        <w:overflowPunct/>
        <w:topLinePunct w:val="0"/>
        <w:autoSpaceDE w:val="0"/>
        <w:autoSpaceDN w:val="0"/>
        <w:bidi w:val="0"/>
        <w:adjustRightInd w:val="0"/>
        <w:snapToGrid w:val="0"/>
        <w:spacing w:before="68" w:line="360" w:lineRule="auto"/>
        <w:jc w:val="left"/>
        <w:textAlignment w:val="baseline"/>
        <w:rPr>
          <w:rFonts w:hint="eastAsia" w:ascii="宋体" w:hAnsi="宋体" w:eastAsia="宋体" w:cs="宋体"/>
          <w:snapToGrid w:val="0"/>
          <w:color w:val="auto"/>
          <w:spacing w:val="-1"/>
          <w:kern w:val="0"/>
          <w:sz w:val="21"/>
          <w:szCs w:val="21"/>
          <w:highlight w:val="none"/>
          <w:lang w:val="en-US" w:eastAsia="en-US" w:bidi="ar-SA"/>
        </w:rPr>
      </w:pPr>
      <w:r>
        <w:rPr>
          <w:rFonts w:hint="eastAsia" w:ascii="宋体" w:hAnsi="宋体" w:eastAsia="宋体" w:cs="宋体"/>
          <w:snapToGrid w:val="0"/>
          <w:color w:val="auto"/>
          <w:kern w:val="0"/>
          <w:sz w:val="21"/>
          <w:szCs w:val="21"/>
          <w:highlight w:val="none"/>
          <w:lang w:val="en-US" w:eastAsia="en-US" w:bidi="ar-SA"/>
        </w:rPr>
        <w:t>注：1.“包”为最小合同单位（最小投标单位）。每“包”内容应细化到</w:t>
      </w:r>
      <w:r>
        <w:rPr>
          <w:rFonts w:hint="eastAsia" w:ascii="宋体" w:hAnsi="宋体" w:eastAsia="宋体" w:cs="宋体"/>
          <w:snapToGrid w:val="0"/>
          <w:color w:val="auto"/>
          <w:spacing w:val="-1"/>
          <w:kern w:val="0"/>
          <w:sz w:val="21"/>
          <w:szCs w:val="21"/>
          <w:highlight w:val="none"/>
          <w:lang w:val="en-US" w:eastAsia="en-US" w:bidi="ar-SA"/>
        </w:rPr>
        <w:t>具体标的。</w:t>
      </w:r>
    </w:p>
    <w:p w14:paraId="40E104E5">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8" w:line="360" w:lineRule="auto"/>
        <w:ind w:leftChars="0"/>
        <w:jc w:val="left"/>
        <w:textAlignment w:val="baseline"/>
        <w:rPr>
          <w:rFonts w:hint="eastAsia" w:ascii="宋体" w:hAnsi="宋体" w:eastAsia="宋体" w:cs="宋体"/>
          <w:b/>
          <w:bCs/>
          <w:snapToGrid w:val="0"/>
          <w:color w:val="auto"/>
          <w:spacing w:val="-4"/>
          <w:kern w:val="0"/>
          <w:sz w:val="21"/>
          <w:szCs w:val="21"/>
          <w:highlight w:val="none"/>
          <w:lang w:val="en-US" w:eastAsia="en-US" w:bidi="ar-SA"/>
        </w:rPr>
      </w:pPr>
      <w:r>
        <w:rPr>
          <w:rFonts w:hint="eastAsia" w:ascii="宋体" w:hAnsi="宋体" w:eastAsia="宋体" w:cs="宋体"/>
          <w:snapToGrid w:val="0"/>
          <w:color w:val="auto"/>
          <w:spacing w:val="-3"/>
          <w:kern w:val="0"/>
          <w:sz w:val="21"/>
          <w:szCs w:val="21"/>
          <w:highlight w:val="none"/>
          <w:lang w:val="en-US" w:eastAsia="zh-CN" w:bidi="ar-SA"/>
        </w:rPr>
        <w:t>2.</w:t>
      </w:r>
      <w:r>
        <w:rPr>
          <w:rFonts w:hint="eastAsia" w:ascii="宋体" w:hAnsi="宋体" w:eastAsia="宋体" w:cs="宋体"/>
          <w:snapToGrid w:val="0"/>
          <w:color w:val="auto"/>
          <w:spacing w:val="-3"/>
          <w:kern w:val="0"/>
          <w:sz w:val="21"/>
          <w:szCs w:val="21"/>
          <w:highlight w:val="none"/>
          <w:lang w:val="en-US" w:eastAsia="en-US" w:bidi="ar-SA"/>
        </w:rPr>
        <w:t>投标人必须对一个完整、独立的包进行投标，不得仅对一个包中的部分</w:t>
      </w:r>
      <w:r>
        <w:rPr>
          <w:rFonts w:hint="eastAsia" w:ascii="宋体" w:hAnsi="宋体" w:eastAsia="宋体" w:cs="宋体"/>
          <w:snapToGrid w:val="0"/>
          <w:color w:val="auto"/>
          <w:spacing w:val="-4"/>
          <w:kern w:val="0"/>
          <w:sz w:val="21"/>
          <w:szCs w:val="21"/>
          <w:highlight w:val="none"/>
          <w:lang w:val="en-US" w:eastAsia="en-US" w:bidi="ar-SA"/>
        </w:rPr>
        <w:t>标的投标，否则</w:t>
      </w:r>
      <w:r>
        <w:rPr>
          <w:rFonts w:hint="eastAsia" w:ascii="宋体" w:hAnsi="宋体" w:eastAsia="宋体" w:cs="宋体"/>
          <w:b/>
          <w:bCs/>
          <w:snapToGrid w:val="0"/>
          <w:color w:val="auto"/>
          <w:spacing w:val="-4"/>
          <w:kern w:val="0"/>
          <w:sz w:val="21"/>
          <w:szCs w:val="21"/>
          <w:highlight w:val="none"/>
          <w:lang w:val="en-US" w:eastAsia="en-US" w:bidi="ar-SA"/>
        </w:rPr>
        <w:t>投标无效。</w:t>
      </w:r>
    </w:p>
    <w:p w14:paraId="77D479F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68" w:line="360" w:lineRule="auto"/>
        <w:ind w:leftChars="0"/>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kern w:val="0"/>
          <w:sz w:val="21"/>
          <w:szCs w:val="21"/>
          <w:highlight w:val="none"/>
          <w:lang w:val="en-US" w:eastAsia="en-US" w:bidi="ar-SA"/>
        </w:rPr>
        <w:t>3.货物的主要技术参数或规格：详见“技术要求</w:t>
      </w:r>
      <w:r>
        <w:rPr>
          <w:rFonts w:hint="eastAsia" w:ascii="宋体" w:hAnsi="宋体" w:eastAsia="宋体" w:cs="宋体"/>
          <w:snapToGrid w:val="0"/>
          <w:color w:val="auto"/>
          <w:spacing w:val="-1"/>
          <w:kern w:val="0"/>
          <w:sz w:val="21"/>
          <w:szCs w:val="21"/>
          <w:highlight w:val="none"/>
          <w:lang w:val="en-US" w:eastAsia="en-US" w:bidi="ar-SA"/>
        </w:rPr>
        <w:t>”中的具体技术参数。</w:t>
      </w:r>
    </w:p>
    <w:p w14:paraId="76ECE8E2">
      <w:pPr>
        <w:keepNext w:val="0"/>
        <w:keepLines w:val="0"/>
        <w:pageBreakBefore w:val="0"/>
        <w:widowControl/>
        <w:kinsoku w:val="0"/>
        <w:wordWrap/>
        <w:overflowPunct/>
        <w:topLinePunct w:val="0"/>
        <w:autoSpaceDE w:val="0"/>
        <w:autoSpaceDN w:val="0"/>
        <w:bidi w:val="0"/>
        <w:adjustRightInd w:val="0"/>
        <w:snapToGrid w:val="0"/>
        <w:spacing w:before="32" w:line="360" w:lineRule="auto"/>
        <w:ind w:right="102"/>
        <w:jc w:val="left"/>
        <w:textAlignment w:val="baseline"/>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snapToGrid w:val="0"/>
          <w:color w:val="auto"/>
          <w:kern w:val="0"/>
          <w:sz w:val="21"/>
          <w:szCs w:val="21"/>
          <w:highlight w:val="none"/>
          <w:lang w:val="en-US" w:eastAsia="en-US" w:bidi="ar-SA"/>
        </w:rPr>
        <w:t>4.投标人应在投标文件《分项报价明细表》中按标的名称顺序逐项填写，且每个标的中的条目均需</w:t>
      </w:r>
      <w:r>
        <w:rPr>
          <w:rFonts w:hint="eastAsia" w:ascii="宋体" w:hAnsi="宋体" w:eastAsia="宋体" w:cs="宋体"/>
          <w:snapToGrid w:val="0"/>
          <w:color w:val="auto"/>
          <w:spacing w:val="-1"/>
          <w:kern w:val="0"/>
          <w:sz w:val="21"/>
          <w:szCs w:val="21"/>
          <w:highlight w:val="none"/>
          <w:lang w:val="en-US" w:eastAsia="en-US" w:bidi="ar-SA"/>
        </w:rPr>
        <w:t>按招标文件规定报价。如有缺项、漏项，其</w:t>
      </w:r>
      <w:r>
        <w:rPr>
          <w:rFonts w:hint="eastAsia" w:ascii="宋体" w:hAnsi="宋体" w:eastAsia="宋体" w:cs="宋体"/>
          <w:b/>
          <w:bCs/>
          <w:snapToGrid w:val="0"/>
          <w:color w:val="auto"/>
          <w:spacing w:val="-1"/>
          <w:kern w:val="0"/>
          <w:sz w:val="21"/>
          <w:szCs w:val="21"/>
          <w:highlight w:val="none"/>
          <w:lang w:val="en-US" w:eastAsia="en-US" w:bidi="ar-SA"/>
        </w:rPr>
        <w:t>投标无效</w:t>
      </w:r>
      <w:r>
        <w:rPr>
          <w:rFonts w:hint="eastAsia" w:ascii="宋体" w:hAnsi="宋体" w:eastAsia="宋体" w:cs="宋体"/>
          <w:snapToGrid w:val="0"/>
          <w:color w:val="auto"/>
          <w:spacing w:val="-1"/>
          <w:kern w:val="0"/>
          <w:sz w:val="21"/>
          <w:szCs w:val="21"/>
          <w:highlight w:val="none"/>
          <w:lang w:val="en-US" w:eastAsia="en-US" w:bidi="ar-SA"/>
        </w:rPr>
        <w:t>。</w:t>
      </w:r>
    </w:p>
    <w:p w14:paraId="5AD7FE8D">
      <w:pPr>
        <w:keepNext w:val="0"/>
        <w:keepLines w:val="0"/>
        <w:pageBreakBefore w:val="0"/>
        <w:widowControl/>
        <w:kinsoku w:val="0"/>
        <w:wordWrap/>
        <w:overflowPunct/>
        <w:topLinePunct w:val="0"/>
        <w:autoSpaceDE w:val="0"/>
        <w:autoSpaceDN w:val="0"/>
        <w:bidi w:val="0"/>
        <w:adjustRightInd w:val="0"/>
        <w:snapToGrid w:val="0"/>
        <w:spacing w:before="152" w:line="360" w:lineRule="auto"/>
        <w:ind w:right="106"/>
        <w:textAlignment w:val="baseline"/>
        <w:rPr>
          <w:rFonts w:hint="eastAsia" w:ascii="宋体" w:hAnsi="宋体" w:eastAsia="宋体" w:cs="宋体"/>
          <w:color w:val="auto"/>
          <w:kern w:val="0"/>
          <w:sz w:val="21"/>
          <w:szCs w:val="21"/>
          <w:highlight w:val="none"/>
          <w:lang w:val="en-US" w:eastAsia="zh-CN" w:bidi="ar"/>
        </w:rPr>
        <w:sectPr>
          <w:headerReference r:id="rId3" w:type="default"/>
          <w:footerReference r:id="rId4" w:type="default"/>
          <w:pgSz w:w="11905" w:h="16839"/>
          <w:pgMar w:top="1092" w:right="941" w:bottom="1112" w:left="1286" w:header="1077" w:footer="950" w:gutter="0"/>
          <w:pgNumType w:fmt="decimal" w:start="3"/>
          <w:cols w:space="720" w:num="1"/>
        </w:sectPr>
      </w:pPr>
      <w:r>
        <w:rPr>
          <w:rFonts w:hint="eastAsia" w:ascii="宋体" w:hAnsi="宋体" w:eastAsia="宋体" w:cs="宋体"/>
          <w:snapToGrid w:val="0"/>
          <w:color w:val="auto"/>
          <w:spacing w:val="-5"/>
          <w:kern w:val="0"/>
          <w:sz w:val="21"/>
          <w:szCs w:val="21"/>
          <w:highlight w:val="none"/>
          <w:lang w:val="en-US" w:eastAsia="zh-CN" w:bidi="ar-SA"/>
        </w:rPr>
        <w:t>★5</w:t>
      </w:r>
      <w:r>
        <w:rPr>
          <w:rFonts w:hint="eastAsia" w:ascii="宋体" w:hAnsi="宋体" w:eastAsia="宋体" w:cs="宋体"/>
          <w:color w:val="auto"/>
          <w:kern w:val="0"/>
          <w:sz w:val="21"/>
          <w:szCs w:val="21"/>
          <w:highlight w:val="none"/>
          <w:lang w:val="en-US" w:eastAsia="zh-CN" w:bidi="ar"/>
        </w:rPr>
        <w:t>.投标人不得超过各项单价上限，否则为</w:t>
      </w:r>
      <w:r>
        <w:rPr>
          <w:rFonts w:hint="eastAsia" w:ascii="宋体" w:hAnsi="宋体" w:eastAsia="宋体" w:cs="宋体"/>
          <w:color w:val="auto"/>
          <w:kern w:val="0"/>
          <w:sz w:val="21"/>
          <w:szCs w:val="21"/>
          <w:highlight w:val="none"/>
          <w:lang w:val="en-US" w:eastAsia="en-US" w:bidi="ar"/>
        </w:rPr>
        <w:t>投标无效。</w:t>
      </w:r>
    </w:p>
    <w:p w14:paraId="3514DEBB">
      <w:pPr>
        <w:widowControl/>
        <w:kinsoku w:val="0"/>
        <w:autoSpaceDE w:val="0"/>
        <w:autoSpaceDN w:val="0"/>
        <w:adjustRightInd w:val="0"/>
        <w:snapToGrid w:val="0"/>
        <w:spacing w:before="156" w:line="224" w:lineRule="auto"/>
        <w:ind w:firstLine="2565" w:firstLineChars="900"/>
        <w:jc w:val="left"/>
        <w:textAlignment w:val="baseline"/>
        <w:outlineLvl w:val="1"/>
        <w:rPr>
          <w:rFonts w:hint="eastAsia" w:ascii="宋体" w:hAnsi="宋体" w:eastAsia="宋体" w:cs="宋体"/>
          <w:snapToGrid w:val="0"/>
          <w:color w:val="auto"/>
          <w:kern w:val="0"/>
          <w:sz w:val="27"/>
          <w:szCs w:val="27"/>
          <w:highlight w:val="none"/>
          <w:lang w:eastAsia="en-US"/>
        </w:rPr>
      </w:pPr>
      <w:bookmarkStart w:id="3" w:name="bookmark83"/>
      <w:bookmarkEnd w:id="3"/>
      <w:bookmarkStart w:id="4" w:name="_Toc588"/>
      <w:bookmarkStart w:id="5" w:name="_Toc22307"/>
      <w:bookmarkStart w:id="6" w:name="_Toc6787"/>
      <w:r>
        <w:rPr>
          <w:rFonts w:hint="eastAsia" w:ascii="宋体" w:hAnsi="宋体" w:eastAsia="宋体" w:cs="宋体"/>
          <w:b/>
          <w:bCs/>
          <w:snapToGrid w:val="0"/>
          <w:color w:val="auto"/>
          <w:spacing w:val="7"/>
          <w:kern w:val="0"/>
          <w:sz w:val="27"/>
          <w:szCs w:val="27"/>
          <w:highlight w:val="none"/>
          <w:lang w:eastAsia="en-US"/>
        </w:rPr>
        <w:t>第二节</w:t>
      </w:r>
      <w:r>
        <w:rPr>
          <w:rFonts w:hint="eastAsia" w:ascii="宋体" w:hAnsi="宋体" w:eastAsia="宋体" w:cs="宋体"/>
          <w:snapToGrid w:val="0"/>
          <w:color w:val="auto"/>
          <w:spacing w:val="7"/>
          <w:kern w:val="0"/>
          <w:sz w:val="27"/>
          <w:szCs w:val="27"/>
          <w:highlight w:val="none"/>
          <w:lang w:eastAsia="en-US"/>
        </w:rPr>
        <w:t xml:space="preserve"> </w:t>
      </w:r>
      <w:r>
        <w:rPr>
          <w:rFonts w:hint="eastAsia" w:ascii="宋体" w:hAnsi="宋体" w:eastAsia="宋体" w:cs="宋体"/>
          <w:b/>
          <w:bCs/>
          <w:snapToGrid w:val="0"/>
          <w:color w:val="auto"/>
          <w:spacing w:val="7"/>
          <w:kern w:val="0"/>
          <w:sz w:val="27"/>
          <w:szCs w:val="27"/>
          <w:highlight w:val="none"/>
          <w:lang w:eastAsia="en-US"/>
        </w:rPr>
        <w:t>技术要求</w:t>
      </w:r>
      <w:bookmarkEnd w:id="4"/>
      <w:bookmarkEnd w:id="5"/>
      <w:bookmarkEnd w:id="6"/>
    </w:p>
    <w:tbl>
      <w:tblPr>
        <w:tblStyle w:val="5"/>
        <w:tblW w:w="9655" w:type="dxa"/>
        <w:tblInd w:w="-77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3"/>
        <w:gridCol w:w="3008"/>
        <w:gridCol w:w="4003"/>
        <w:gridCol w:w="1911"/>
      </w:tblGrid>
      <w:tr w14:paraId="38B482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733" w:type="dxa"/>
            <w:noWrap w:val="0"/>
            <w:vAlign w:val="top"/>
          </w:tcPr>
          <w:p w14:paraId="4D2771D5">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textAlignment w:val="auto"/>
              <w:rPr>
                <w:rFonts w:hint="eastAsia" w:ascii="宋体" w:hAnsi="宋体" w:eastAsia="宋体" w:cs="宋体"/>
                <w:bCs/>
                <w:color w:val="auto"/>
                <w:sz w:val="21"/>
                <w:szCs w:val="21"/>
                <w:highlight w:val="none"/>
                <w:lang w:val="en-US" w:eastAsia="zh-CN"/>
              </w:rPr>
            </w:pPr>
            <w:bookmarkStart w:id="7" w:name="_Toc8152"/>
            <w:bookmarkStart w:id="8" w:name="_Toc5135"/>
            <w:r>
              <w:rPr>
                <w:rFonts w:hint="eastAsia" w:ascii="宋体" w:hAnsi="宋体" w:eastAsia="宋体" w:cs="宋体"/>
                <w:bCs/>
                <w:color w:val="auto"/>
                <w:sz w:val="21"/>
                <w:szCs w:val="21"/>
                <w:highlight w:val="none"/>
                <w:lang w:val="en-US" w:eastAsia="zh-CN"/>
              </w:rPr>
              <w:t>序号</w:t>
            </w:r>
          </w:p>
        </w:tc>
        <w:tc>
          <w:tcPr>
            <w:tcW w:w="3008" w:type="dxa"/>
            <w:noWrap w:val="0"/>
            <w:vAlign w:val="top"/>
          </w:tcPr>
          <w:p w14:paraId="0F42675A">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en-US"/>
              </w:rPr>
            </w:pPr>
            <w:r>
              <w:rPr>
                <w:rFonts w:hint="eastAsia" w:ascii="宋体" w:hAnsi="宋体" w:eastAsia="宋体" w:cs="宋体"/>
                <w:bCs/>
                <w:color w:val="auto"/>
                <w:sz w:val="21"/>
                <w:szCs w:val="21"/>
                <w:highlight w:val="none"/>
                <w:lang w:val="en-US" w:eastAsia="en-US"/>
              </w:rPr>
              <w:t>项目</w:t>
            </w:r>
          </w:p>
        </w:tc>
        <w:tc>
          <w:tcPr>
            <w:tcW w:w="4003" w:type="dxa"/>
            <w:tcBorders>
              <w:right w:val="single" w:color="auto" w:sz="4" w:space="0"/>
            </w:tcBorders>
            <w:noWrap w:val="0"/>
            <w:vAlign w:val="top"/>
          </w:tcPr>
          <w:p w14:paraId="2B4F1140">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en-US"/>
              </w:rPr>
            </w:pPr>
            <w:r>
              <w:rPr>
                <w:rFonts w:hint="eastAsia" w:ascii="宋体" w:hAnsi="宋体" w:eastAsia="宋体" w:cs="宋体"/>
                <w:bCs/>
                <w:color w:val="auto"/>
                <w:sz w:val="21"/>
                <w:szCs w:val="21"/>
                <w:highlight w:val="none"/>
                <w:lang w:val="en-US" w:eastAsia="en-US"/>
              </w:rPr>
              <w:t>相关指标</w:t>
            </w:r>
          </w:p>
        </w:tc>
        <w:tc>
          <w:tcPr>
            <w:tcW w:w="1911" w:type="dxa"/>
            <w:tcBorders>
              <w:left w:val="single" w:color="auto" w:sz="4" w:space="0"/>
            </w:tcBorders>
            <w:noWrap w:val="0"/>
            <w:vAlign w:val="top"/>
          </w:tcPr>
          <w:p w14:paraId="44147406">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备注</w:t>
            </w:r>
          </w:p>
        </w:tc>
      </w:tr>
      <w:tr w14:paraId="412ECF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733" w:type="dxa"/>
            <w:noWrap w:val="0"/>
            <w:vAlign w:val="top"/>
          </w:tcPr>
          <w:p w14:paraId="7CC4BDAC">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zh-CN"/>
              </w:rPr>
            </w:pPr>
          </w:p>
          <w:p w14:paraId="43A2A992">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w:t>
            </w:r>
          </w:p>
        </w:tc>
        <w:tc>
          <w:tcPr>
            <w:tcW w:w="3008" w:type="dxa"/>
            <w:noWrap w:val="0"/>
            <w:vAlign w:val="top"/>
          </w:tcPr>
          <w:p w14:paraId="37784CBC">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zh-CN"/>
              </w:rPr>
            </w:pPr>
          </w:p>
          <w:p w14:paraId="654602C8">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外观</w:t>
            </w:r>
          </w:p>
        </w:tc>
        <w:tc>
          <w:tcPr>
            <w:tcW w:w="4003" w:type="dxa"/>
            <w:tcBorders>
              <w:right w:val="single" w:color="auto" w:sz="4" w:space="0"/>
            </w:tcBorders>
            <w:noWrap w:val="0"/>
            <w:vAlign w:val="top"/>
          </w:tcPr>
          <w:p w14:paraId="4AEF0097">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textAlignment w:val="auto"/>
              <w:rPr>
                <w:rFonts w:hint="eastAsia" w:ascii="宋体" w:hAnsi="宋体" w:eastAsia="宋体" w:cs="宋体"/>
                <w:bCs/>
                <w:color w:val="auto"/>
                <w:sz w:val="21"/>
                <w:szCs w:val="21"/>
                <w:highlight w:val="none"/>
                <w:lang w:val="en-US" w:eastAsia="en-US"/>
              </w:rPr>
            </w:pPr>
            <w:r>
              <w:rPr>
                <w:rFonts w:ascii="宋体" w:hAnsi="宋体" w:cs="Times New Roman"/>
                <w:color w:val="000000"/>
                <w:szCs w:val="21"/>
                <w:highlight w:val="none"/>
              </w:rPr>
              <w:t>符合产品包装相关要求，标示清楚；外观颜色为褐色或灰褐色，粒状或粉状，均匀，无恶臭，无机械杂质。</w:t>
            </w:r>
          </w:p>
        </w:tc>
        <w:tc>
          <w:tcPr>
            <w:tcW w:w="1911" w:type="dxa"/>
            <w:tcBorders>
              <w:left w:val="single" w:color="auto" w:sz="4" w:space="0"/>
            </w:tcBorders>
            <w:noWrap w:val="0"/>
            <w:vAlign w:val="top"/>
          </w:tcPr>
          <w:p w14:paraId="26B94240">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zh-CN"/>
              </w:rPr>
            </w:pPr>
          </w:p>
        </w:tc>
      </w:tr>
      <w:tr w14:paraId="692873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733" w:type="dxa"/>
            <w:noWrap w:val="0"/>
            <w:vAlign w:val="top"/>
          </w:tcPr>
          <w:p w14:paraId="06700A25">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w:t>
            </w:r>
          </w:p>
        </w:tc>
        <w:tc>
          <w:tcPr>
            <w:tcW w:w="3008" w:type="dxa"/>
            <w:noWrap w:val="0"/>
            <w:vAlign w:val="top"/>
          </w:tcPr>
          <w:p w14:paraId="5EF4CB0D">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有机质的质量分数(以烘干基计)</w:t>
            </w:r>
          </w:p>
        </w:tc>
        <w:tc>
          <w:tcPr>
            <w:tcW w:w="4003" w:type="dxa"/>
            <w:tcBorders>
              <w:right w:val="single" w:color="auto" w:sz="4" w:space="0"/>
            </w:tcBorders>
            <w:noWrap w:val="0"/>
            <w:vAlign w:val="top"/>
          </w:tcPr>
          <w:p w14:paraId="7CB74C25">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≥30%</w:t>
            </w:r>
          </w:p>
        </w:tc>
        <w:tc>
          <w:tcPr>
            <w:tcW w:w="1911" w:type="dxa"/>
            <w:vMerge w:val="restart"/>
            <w:tcBorders>
              <w:left w:val="single" w:color="auto" w:sz="4" w:space="0"/>
            </w:tcBorders>
            <w:noWrap w:val="0"/>
            <w:vAlign w:val="top"/>
          </w:tcPr>
          <w:p w14:paraId="06F6F47C">
            <w:pPr>
              <w:keepNext w:val="0"/>
              <w:keepLines w:val="0"/>
              <w:pageBreakBefore w:val="0"/>
              <w:widowControl/>
              <w:numPr>
                <w:ilvl w:val="0"/>
                <w:numId w:val="0"/>
              </w:numPr>
              <w:shd w:val="clear" w:color="auto" w:fill="auto"/>
              <w:kinsoku/>
              <w:wordWrap/>
              <w:overflowPunct/>
              <w:topLinePunct w:val="0"/>
              <w:autoSpaceDE w:val="0"/>
              <w:autoSpaceDN w:val="0"/>
              <w:bidi w:val="0"/>
              <w:adjustRightInd w:val="0"/>
              <w:snapToGrid w:val="0"/>
              <w:spacing w:line="360" w:lineRule="auto"/>
              <w:jc w:val="both"/>
              <w:textAlignment w:val="auto"/>
              <w:rPr>
                <w:rFonts w:hint="eastAsia" w:ascii="宋体" w:hAnsi="宋体" w:eastAsia="宋体" w:cs="宋体"/>
                <w:bCs/>
                <w:color w:val="auto"/>
                <w:sz w:val="21"/>
                <w:szCs w:val="21"/>
                <w:highlight w:val="none"/>
                <w:lang w:val="en-US" w:eastAsia="zh-CN"/>
              </w:rPr>
            </w:pPr>
          </w:p>
          <w:p w14:paraId="1AB3A0FD">
            <w:pPr>
              <w:keepNext w:val="0"/>
              <w:keepLines w:val="0"/>
              <w:pageBreakBefore w:val="0"/>
              <w:widowControl/>
              <w:numPr>
                <w:ilvl w:val="0"/>
                <w:numId w:val="0"/>
              </w:numPr>
              <w:shd w:val="clear" w:color="auto" w:fill="auto"/>
              <w:kinsoku/>
              <w:wordWrap/>
              <w:overflowPunct/>
              <w:topLinePunct w:val="0"/>
              <w:autoSpaceDE w:val="0"/>
              <w:autoSpaceDN w:val="0"/>
              <w:bidi w:val="0"/>
              <w:adjustRightInd w:val="0"/>
              <w:snapToGrid w:val="0"/>
              <w:spacing w:line="360" w:lineRule="auto"/>
              <w:jc w:val="both"/>
              <w:textAlignment w:val="auto"/>
              <w:rPr>
                <w:rFonts w:hint="eastAsia" w:ascii="宋体" w:hAnsi="宋体" w:eastAsia="宋体" w:cs="宋体"/>
                <w:bCs/>
                <w:color w:val="auto"/>
                <w:sz w:val="21"/>
                <w:szCs w:val="21"/>
                <w:highlight w:val="none"/>
                <w:lang w:val="en-US" w:eastAsia="zh-CN"/>
              </w:rPr>
            </w:pPr>
          </w:p>
          <w:p w14:paraId="211EFF8F">
            <w:pPr>
              <w:keepNext w:val="0"/>
              <w:keepLines w:val="0"/>
              <w:pageBreakBefore w:val="0"/>
              <w:widowControl/>
              <w:numPr>
                <w:ilvl w:val="0"/>
                <w:numId w:val="0"/>
              </w:numPr>
              <w:shd w:val="clear" w:color="auto" w:fill="auto"/>
              <w:kinsoku/>
              <w:wordWrap/>
              <w:overflowPunct/>
              <w:topLinePunct w:val="0"/>
              <w:autoSpaceDE w:val="0"/>
              <w:autoSpaceDN w:val="0"/>
              <w:bidi w:val="0"/>
              <w:adjustRightInd w:val="0"/>
              <w:snapToGrid w:val="0"/>
              <w:spacing w:line="360" w:lineRule="auto"/>
              <w:jc w:val="both"/>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（2）-（13）须投标人提供2023年7月以来具有检测资质的检测机构出具的带有</w:t>
            </w:r>
            <w:r>
              <w:rPr>
                <w:rFonts w:hint="default" w:ascii="宋体" w:hAnsi="宋体" w:eastAsia="宋体" w:cs="宋体"/>
                <w:bCs/>
                <w:color w:val="auto"/>
                <w:sz w:val="21"/>
                <w:szCs w:val="21"/>
                <w:highlight w:val="none"/>
                <w:lang w:val="en-US" w:eastAsia="zh-CN"/>
              </w:rPr>
              <w:t>CMA</w:t>
            </w:r>
            <w:r>
              <w:rPr>
                <w:rFonts w:hint="eastAsia" w:ascii="宋体" w:hAnsi="宋体" w:eastAsia="宋体" w:cs="宋体"/>
                <w:bCs/>
                <w:color w:val="auto"/>
                <w:sz w:val="21"/>
                <w:szCs w:val="21"/>
                <w:highlight w:val="none"/>
                <w:lang w:val="en-US" w:eastAsia="zh-CN"/>
              </w:rPr>
              <w:t>标识的检测报告扫描件或复印件，加盖投标人公章），否则视为负偏离。</w:t>
            </w:r>
          </w:p>
          <w:p w14:paraId="77568296">
            <w:pPr>
              <w:keepNext w:val="0"/>
              <w:keepLines w:val="0"/>
              <w:pageBreakBefore w:val="0"/>
              <w:widowControl/>
              <w:numPr>
                <w:ilvl w:val="0"/>
                <w:numId w:val="0"/>
              </w:numPr>
              <w:shd w:val="clear" w:color="auto" w:fill="auto"/>
              <w:kinsoku/>
              <w:wordWrap/>
              <w:overflowPunct/>
              <w:topLinePunct w:val="0"/>
              <w:autoSpaceDE w:val="0"/>
              <w:autoSpaceDN w:val="0"/>
              <w:bidi w:val="0"/>
              <w:adjustRightInd w:val="0"/>
              <w:snapToGrid w:val="0"/>
              <w:spacing w:line="360" w:lineRule="auto"/>
              <w:jc w:val="both"/>
              <w:textAlignment w:val="auto"/>
              <w:rPr>
                <w:rFonts w:hint="default" w:ascii="宋体" w:hAnsi="宋体" w:eastAsia="宋体" w:cs="宋体"/>
                <w:bCs/>
                <w:color w:val="auto"/>
                <w:sz w:val="21"/>
                <w:szCs w:val="21"/>
                <w:highlight w:val="none"/>
                <w:lang w:val="en-US" w:eastAsia="zh-CN"/>
              </w:rPr>
            </w:pPr>
          </w:p>
        </w:tc>
      </w:tr>
      <w:tr w14:paraId="263D6A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33" w:type="dxa"/>
            <w:noWrap w:val="0"/>
            <w:vAlign w:val="top"/>
          </w:tcPr>
          <w:p w14:paraId="4FB68DDF">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3</w:t>
            </w:r>
          </w:p>
        </w:tc>
        <w:tc>
          <w:tcPr>
            <w:tcW w:w="3008" w:type="dxa"/>
            <w:noWrap w:val="0"/>
            <w:vAlign w:val="top"/>
          </w:tcPr>
          <w:p w14:paraId="3EA8652B">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总养分（Ｎ+Ｐ2Ｏ5+Ｋ2Ｏ）</w:t>
            </w:r>
          </w:p>
        </w:tc>
        <w:tc>
          <w:tcPr>
            <w:tcW w:w="4003" w:type="dxa"/>
            <w:tcBorders>
              <w:right w:val="single" w:color="auto" w:sz="4" w:space="0"/>
            </w:tcBorders>
            <w:noWrap w:val="0"/>
            <w:vAlign w:val="top"/>
          </w:tcPr>
          <w:p w14:paraId="07C050E2">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≥4%</w:t>
            </w:r>
          </w:p>
          <w:p w14:paraId="2C6BD870">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zh-CN"/>
              </w:rPr>
            </w:pPr>
          </w:p>
        </w:tc>
        <w:tc>
          <w:tcPr>
            <w:tcW w:w="1911" w:type="dxa"/>
            <w:vMerge w:val="continue"/>
            <w:tcBorders>
              <w:left w:val="single" w:color="auto" w:sz="4" w:space="0"/>
            </w:tcBorders>
            <w:noWrap w:val="0"/>
            <w:vAlign w:val="top"/>
          </w:tcPr>
          <w:p w14:paraId="0EFC4CF7">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zh-CN"/>
              </w:rPr>
            </w:pPr>
          </w:p>
        </w:tc>
      </w:tr>
      <w:tr w14:paraId="44E044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733" w:type="dxa"/>
            <w:noWrap w:val="0"/>
            <w:vAlign w:val="top"/>
          </w:tcPr>
          <w:p w14:paraId="277DD031">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4</w:t>
            </w:r>
          </w:p>
        </w:tc>
        <w:tc>
          <w:tcPr>
            <w:tcW w:w="3008" w:type="dxa"/>
            <w:noWrap w:val="0"/>
            <w:vAlign w:val="top"/>
          </w:tcPr>
          <w:p w14:paraId="7A32C8B7">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水分（鲜样）的质量分数</w:t>
            </w:r>
          </w:p>
        </w:tc>
        <w:tc>
          <w:tcPr>
            <w:tcW w:w="4003" w:type="dxa"/>
            <w:tcBorders>
              <w:right w:val="single" w:color="auto" w:sz="4" w:space="0"/>
            </w:tcBorders>
            <w:noWrap w:val="0"/>
            <w:vAlign w:val="top"/>
          </w:tcPr>
          <w:p w14:paraId="45E4CE13">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≤30%</w:t>
            </w:r>
          </w:p>
        </w:tc>
        <w:tc>
          <w:tcPr>
            <w:tcW w:w="1911" w:type="dxa"/>
            <w:vMerge w:val="continue"/>
            <w:tcBorders>
              <w:left w:val="single" w:color="auto" w:sz="4" w:space="0"/>
            </w:tcBorders>
            <w:noWrap w:val="0"/>
            <w:vAlign w:val="top"/>
          </w:tcPr>
          <w:p w14:paraId="75D5E3C6">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zh-CN"/>
              </w:rPr>
            </w:pPr>
          </w:p>
        </w:tc>
      </w:tr>
      <w:tr w14:paraId="22FA3B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733" w:type="dxa"/>
            <w:noWrap w:val="0"/>
            <w:vAlign w:val="top"/>
          </w:tcPr>
          <w:p w14:paraId="78AED51F">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5</w:t>
            </w:r>
          </w:p>
        </w:tc>
        <w:tc>
          <w:tcPr>
            <w:tcW w:w="3008" w:type="dxa"/>
            <w:noWrap w:val="0"/>
            <w:vAlign w:val="top"/>
          </w:tcPr>
          <w:p w14:paraId="3061A64A">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酸碱度（PH)</w:t>
            </w:r>
          </w:p>
        </w:tc>
        <w:tc>
          <w:tcPr>
            <w:tcW w:w="4003" w:type="dxa"/>
            <w:tcBorders>
              <w:right w:val="single" w:color="auto" w:sz="4" w:space="0"/>
            </w:tcBorders>
            <w:noWrap w:val="0"/>
            <w:vAlign w:val="top"/>
          </w:tcPr>
          <w:p w14:paraId="2445B0CC">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5.5~8.5</w:t>
            </w:r>
          </w:p>
        </w:tc>
        <w:tc>
          <w:tcPr>
            <w:tcW w:w="1911" w:type="dxa"/>
            <w:vMerge w:val="continue"/>
            <w:tcBorders>
              <w:left w:val="single" w:color="auto" w:sz="4" w:space="0"/>
            </w:tcBorders>
            <w:noWrap w:val="0"/>
            <w:vAlign w:val="top"/>
          </w:tcPr>
          <w:p w14:paraId="6AD97FE6">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zh-CN"/>
              </w:rPr>
            </w:pPr>
          </w:p>
        </w:tc>
      </w:tr>
      <w:tr w14:paraId="3DB2D4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733" w:type="dxa"/>
            <w:noWrap w:val="0"/>
            <w:vAlign w:val="top"/>
          </w:tcPr>
          <w:p w14:paraId="2C1C8DBF">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6</w:t>
            </w:r>
          </w:p>
        </w:tc>
        <w:tc>
          <w:tcPr>
            <w:tcW w:w="3008" w:type="dxa"/>
            <w:noWrap w:val="0"/>
            <w:vAlign w:val="top"/>
          </w:tcPr>
          <w:p w14:paraId="05BC8F41">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机械杂质的质量分数</w:t>
            </w:r>
          </w:p>
        </w:tc>
        <w:tc>
          <w:tcPr>
            <w:tcW w:w="4003" w:type="dxa"/>
            <w:tcBorders>
              <w:right w:val="single" w:color="auto" w:sz="4" w:space="0"/>
            </w:tcBorders>
            <w:noWrap w:val="0"/>
            <w:vAlign w:val="top"/>
          </w:tcPr>
          <w:p w14:paraId="2C9D67DC">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≤0.5%</w:t>
            </w:r>
          </w:p>
        </w:tc>
        <w:tc>
          <w:tcPr>
            <w:tcW w:w="1911" w:type="dxa"/>
            <w:vMerge w:val="continue"/>
            <w:tcBorders>
              <w:left w:val="single" w:color="auto" w:sz="4" w:space="0"/>
            </w:tcBorders>
            <w:noWrap w:val="0"/>
            <w:vAlign w:val="top"/>
          </w:tcPr>
          <w:p w14:paraId="2304D40C">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zh-CN"/>
              </w:rPr>
            </w:pPr>
          </w:p>
        </w:tc>
      </w:tr>
      <w:tr w14:paraId="538858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733" w:type="dxa"/>
            <w:noWrap w:val="0"/>
            <w:vAlign w:val="top"/>
          </w:tcPr>
          <w:p w14:paraId="011B2671">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7</w:t>
            </w:r>
          </w:p>
        </w:tc>
        <w:tc>
          <w:tcPr>
            <w:tcW w:w="3008" w:type="dxa"/>
            <w:noWrap w:val="0"/>
            <w:vAlign w:val="top"/>
          </w:tcPr>
          <w:p w14:paraId="4B0DC31A">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总砷（As)</w:t>
            </w:r>
          </w:p>
        </w:tc>
        <w:tc>
          <w:tcPr>
            <w:tcW w:w="4003" w:type="dxa"/>
            <w:tcBorders>
              <w:right w:val="single" w:color="auto" w:sz="4" w:space="0"/>
            </w:tcBorders>
            <w:noWrap w:val="0"/>
            <w:vAlign w:val="top"/>
          </w:tcPr>
          <w:p w14:paraId="68139788">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≤15mg/kg</w:t>
            </w:r>
          </w:p>
        </w:tc>
        <w:tc>
          <w:tcPr>
            <w:tcW w:w="1911" w:type="dxa"/>
            <w:vMerge w:val="continue"/>
            <w:tcBorders>
              <w:left w:val="single" w:color="auto" w:sz="4" w:space="0"/>
            </w:tcBorders>
            <w:noWrap w:val="0"/>
            <w:vAlign w:val="top"/>
          </w:tcPr>
          <w:p w14:paraId="493F3323">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zh-CN"/>
              </w:rPr>
            </w:pPr>
          </w:p>
        </w:tc>
      </w:tr>
      <w:tr w14:paraId="6BA41D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733" w:type="dxa"/>
            <w:noWrap w:val="0"/>
            <w:vAlign w:val="top"/>
          </w:tcPr>
          <w:p w14:paraId="3DD3AE16">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8</w:t>
            </w:r>
          </w:p>
        </w:tc>
        <w:tc>
          <w:tcPr>
            <w:tcW w:w="3008" w:type="dxa"/>
            <w:noWrap w:val="0"/>
            <w:vAlign w:val="top"/>
          </w:tcPr>
          <w:p w14:paraId="14DFD3D5">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总汞（Hg</w:t>
            </w:r>
          </w:p>
        </w:tc>
        <w:tc>
          <w:tcPr>
            <w:tcW w:w="4003" w:type="dxa"/>
            <w:tcBorders>
              <w:right w:val="single" w:color="auto" w:sz="4" w:space="0"/>
            </w:tcBorders>
            <w:noWrap w:val="0"/>
            <w:vAlign w:val="top"/>
          </w:tcPr>
          <w:p w14:paraId="108BD461">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≤2mg/kg</w:t>
            </w:r>
          </w:p>
        </w:tc>
        <w:tc>
          <w:tcPr>
            <w:tcW w:w="1911" w:type="dxa"/>
            <w:vMerge w:val="continue"/>
            <w:tcBorders>
              <w:left w:val="single" w:color="auto" w:sz="4" w:space="0"/>
            </w:tcBorders>
            <w:noWrap w:val="0"/>
            <w:vAlign w:val="top"/>
          </w:tcPr>
          <w:p w14:paraId="57FDE77A">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zh-CN"/>
              </w:rPr>
            </w:pPr>
          </w:p>
        </w:tc>
      </w:tr>
      <w:tr w14:paraId="0DE1B3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733" w:type="dxa"/>
            <w:noWrap w:val="0"/>
            <w:vAlign w:val="top"/>
          </w:tcPr>
          <w:p w14:paraId="45389840">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9</w:t>
            </w:r>
          </w:p>
        </w:tc>
        <w:tc>
          <w:tcPr>
            <w:tcW w:w="3008" w:type="dxa"/>
            <w:noWrap w:val="0"/>
            <w:vAlign w:val="top"/>
          </w:tcPr>
          <w:p w14:paraId="32B6FCA0">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总铅（Pb)</w:t>
            </w:r>
          </w:p>
        </w:tc>
        <w:tc>
          <w:tcPr>
            <w:tcW w:w="4003" w:type="dxa"/>
            <w:tcBorders>
              <w:right w:val="single" w:color="auto" w:sz="4" w:space="0"/>
            </w:tcBorders>
            <w:noWrap w:val="0"/>
            <w:vAlign w:val="top"/>
          </w:tcPr>
          <w:p w14:paraId="0F35C765">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≤50mg/kg</w:t>
            </w:r>
          </w:p>
        </w:tc>
        <w:tc>
          <w:tcPr>
            <w:tcW w:w="1911" w:type="dxa"/>
            <w:vMerge w:val="continue"/>
            <w:tcBorders>
              <w:left w:val="single" w:color="auto" w:sz="4" w:space="0"/>
            </w:tcBorders>
            <w:noWrap w:val="0"/>
            <w:vAlign w:val="top"/>
          </w:tcPr>
          <w:p w14:paraId="3D12092F">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zh-CN"/>
              </w:rPr>
            </w:pPr>
          </w:p>
        </w:tc>
      </w:tr>
      <w:tr w14:paraId="05F802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733" w:type="dxa"/>
            <w:noWrap w:val="0"/>
            <w:vAlign w:val="top"/>
          </w:tcPr>
          <w:p w14:paraId="3CE597CA">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10</w:t>
            </w:r>
          </w:p>
        </w:tc>
        <w:tc>
          <w:tcPr>
            <w:tcW w:w="3008" w:type="dxa"/>
            <w:noWrap w:val="0"/>
            <w:vAlign w:val="top"/>
          </w:tcPr>
          <w:p w14:paraId="2893FECD">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总镉（Cd)</w:t>
            </w:r>
          </w:p>
        </w:tc>
        <w:tc>
          <w:tcPr>
            <w:tcW w:w="4003" w:type="dxa"/>
            <w:tcBorders>
              <w:right w:val="single" w:color="auto" w:sz="4" w:space="0"/>
            </w:tcBorders>
            <w:noWrap w:val="0"/>
            <w:vAlign w:val="top"/>
          </w:tcPr>
          <w:p w14:paraId="2551678E">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≤3mg/kg</w:t>
            </w:r>
          </w:p>
        </w:tc>
        <w:tc>
          <w:tcPr>
            <w:tcW w:w="1911" w:type="dxa"/>
            <w:vMerge w:val="continue"/>
            <w:tcBorders>
              <w:left w:val="single" w:color="auto" w:sz="4" w:space="0"/>
            </w:tcBorders>
            <w:noWrap w:val="0"/>
            <w:vAlign w:val="top"/>
          </w:tcPr>
          <w:p w14:paraId="48A9654B">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zh-CN"/>
              </w:rPr>
            </w:pPr>
          </w:p>
        </w:tc>
      </w:tr>
      <w:tr w14:paraId="49D3CE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33" w:type="dxa"/>
            <w:noWrap w:val="0"/>
            <w:vAlign w:val="top"/>
          </w:tcPr>
          <w:p w14:paraId="1A9283BD">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11</w:t>
            </w:r>
          </w:p>
        </w:tc>
        <w:tc>
          <w:tcPr>
            <w:tcW w:w="3008" w:type="dxa"/>
            <w:noWrap w:val="0"/>
            <w:vAlign w:val="top"/>
          </w:tcPr>
          <w:p w14:paraId="4F9967E9">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总铬（Cr)</w:t>
            </w:r>
          </w:p>
        </w:tc>
        <w:tc>
          <w:tcPr>
            <w:tcW w:w="4003" w:type="dxa"/>
            <w:tcBorders>
              <w:right w:val="single" w:color="auto" w:sz="4" w:space="0"/>
            </w:tcBorders>
            <w:noWrap w:val="0"/>
            <w:vAlign w:val="top"/>
          </w:tcPr>
          <w:p w14:paraId="648F9678">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≤150mg/kg</w:t>
            </w:r>
          </w:p>
        </w:tc>
        <w:tc>
          <w:tcPr>
            <w:tcW w:w="1911" w:type="dxa"/>
            <w:vMerge w:val="continue"/>
            <w:tcBorders>
              <w:left w:val="single" w:color="auto" w:sz="4" w:space="0"/>
            </w:tcBorders>
            <w:noWrap w:val="0"/>
            <w:vAlign w:val="top"/>
          </w:tcPr>
          <w:p w14:paraId="40E04DDD">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zh-CN"/>
              </w:rPr>
            </w:pPr>
          </w:p>
        </w:tc>
      </w:tr>
      <w:tr w14:paraId="37FF50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733" w:type="dxa"/>
            <w:noWrap w:val="0"/>
            <w:vAlign w:val="top"/>
          </w:tcPr>
          <w:p w14:paraId="2FDF3F4C">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12</w:t>
            </w:r>
          </w:p>
        </w:tc>
        <w:tc>
          <w:tcPr>
            <w:tcW w:w="3008" w:type="dxa"/>
            <w:noWrap w:val="0"/>
            <w:vAlign w:val="top"/>
          </w:tcPr>
          <w:p w14:paraId="19BF6700">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粪大肠菌群</w:t>
            </w:r>
          </w:p>
        </w:tc>
        <w:tc>
          <w:tcPr>
            <w:tcW w:w="4003" w:type="dxa"/>
            <w:tcBorders>
              <w:right w:val="single" w:color="auto" w:sz="4" w:space="0"/>
            </w:tcBorders>
            <w:noWrap w:val="0"/>
            <w:vAlign w:val="top"/>
          </w:tcPr>
          <w:p w14:paraId="67BD4660">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≤100个/g</w:t>
            </w:r>
          </w:p>
        </w:tc>
        <w:tc>
          <w:tcPr>
            <w:tcW w:w="1911" w:type="dxa"/>
            <w:vMerge w:val="continue"/>
            <w:tcBorders>
              <w:left w:val="single" w:color="auto" w:sz="4" w:space="0"/>
            </w:tcBorders>
            <w:noWrap w:val="0"/>
            <w:vAlign w:val="top"/>
          </w:tcPr>
          <w:p w14:paraId="43CD8EF8">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zh-CN"/>
              </w:rPr>
            </w:pPr>
          </w:p>
        </w:tc>
      </w:tr>
      <w:tr w14:paraId="70ABB7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733" w:type="dxa"/>
            <w:noWrap w:val="0"/>
            <w:vAlign w:val="top"/>
          </w:tcPr>
          <w:p w14:paraId="69C0B80F">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13</w:t>
            </w:r>
          </w:p>
        </w:tc>
        <w:tc>
          <w:tcPr>
            <w:tcW w:w="3008" w:type="dxa"/>
            <w:noWrap w:val="0"/>
            <w:vAlign w:val="top"/>
          </w:tcPr>
          <w:p w14:paraId="66A703FA">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蛔虫卵死亡率</w:t>
            </w:r>
          </w:p>
        </w:tc>
        <w:tc>
          <w:tcPr>
            <w:tcW w:w="4003" w:type="dxa"/>
            <w:tcBorders>
              <w:right w:val="single" w:color="auto" w:sz="4" w:space="0"/>
            </w:tcBorders>
            <w:noWrap w:val="0"/>
            <w:vAlign w:val="top"/>
          </w:tcPr>
          <w:p w14:paraId="3B653B7B">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≥95%</w:t>
            </w:r>
          </w:p>
        </w:tc>
        <w:tc>
          <w:tcPr>
            <w:tcW w:w="1911" w:type="dxa"/>
            <w:vMerge w:val="continue"/>
            <w:tcBorders>
              <w:left w:val="single" w:color="auto" w:sz="4" w:space="0"/>
            </w:tcBorders>
            <w:noWrap w:val="0"/>
            <w:vAlign w:val="top"/>
          </w:tcPr>
          <w:p w14:paraId="43712495">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zh-CN"/>
              </w:rPr>
            </w:pPr>
          </w:p>
        </w:tc>
      </w:tr>
      <w:tr w14:paraId="350E0E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733" w:type="dxa"/>
            <w:noWrap w:val="0"/>
            <w:vAlign w:val="top"/>
          </w:tcPr>
          <w:p w14:paraId="39DF8CB1">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zh-CN"/>
              </w:rPr>
            </w:pPr>
          </w:p>
          <w:p w14:paraId="1AB308E8">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14</w:t>
            </w:r>
          </w:p>
        </w:tc>
        <w:tc>
          <w:tcPr>
            <w:tcW w:w="8922" w:type="dxa"/>
            <w:gridSpan w:val="3"/>
            <w:noWrap w:val="0"/>
            <w:vAlign w:val="top"/>
          </w:tcPr>
          <w:p w14:paraId="2C27FF90">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w:t>
            </w:r>
            <w:r>
              <w:rPr>
                <w:rFonts w:hint="eastAsia" w:ascii="宋体" w:hAnsi="宋体" w:eastAsia="宋体" w:cs="宋体"/>
                <w:bCs/>
                <w:color w:val="auto"/>
                <w:sz w:val="21"/>
                <w:szCs w:val="21"/>
                <w:highlight w:val="none"/>
                <w:lang w:val="en-US" w:eastAsia="en-US"/>
              </w:rPr>
              <w:t>投标人所投</w:t>
            </w:r>
            <w:r>
              <w:rPr>
                <w:rFonts w:hint="eastAsia" w:ascii="宋体" w:hAnsi="宋体" w:eastAsia="宋体" w:cs="宋体"/>
                <w:bCs/>
                <w:color w:val="auto"/>
                <w:sz w:val="21"/>
                <w:szCs w:val="21"/>
                <w:highlight w:val="none"/>
                <w:lang w:val="en-US" w:eastAsia="zh-CN"/>
              </w:rPr>
              <w:t>有机肥</w:t>
            </w:r>
            <w:r>
              <w:rPr>
                <w:rFonts w:hint="eastAsia" w:ascii="宋体" w:hAnsi="宋体" w:eastAsia="宋体" w:cs="宋体"/>
                <w:bCs/>
                <w:color w:val="auto"/>
                <w:sz w:val="21"/>
                <w:szCs w:val="21"/>
                <w:highlight w:val="none"/>
                <w:lang w:val="en-US" w:eastAsia="en-US"/>
              </w:rPr>
              <w:t>需符合中华人民共和国农业农村部于 2021-05-07 发布，2021-06-01 实施</w:t>
            </w:r>
            <w:r>
              <w:rPr>
                <w:rFonts w:hint="eastAsia" w:ascii="宋体" w:hAnsi="宋体" w:eastAsia="宋体" w:cs="宋体"/>
                <w:bCs/>
                <w:color w:val="auto"/>
                <w:sz w:val="21"/>
                <w:szCs w:val="21"/>
                <w:highlight w:val="none"/>
                <w:lang w:val="en-US" w:eastAsia="zh-CN"/>
              </w:rPr>
              <w:t>的</w:t>
            </w:r>
            <w:r>
              <w:rPr>
                <w:rFonts w:hint="eastAsia" w:ascii="宋体" w:hAnsi="宋体" w:eastAsia="宋体" w:cs="宋体"/>
                <w:bCs/>
                <w:color w:val="auto"/>
                <w:sz w:val="21"/>
                <w:szCs w:val="21"/>
                <w:highlight w:val="none"/>
                <w:lang w:val="en-US" w:eastAsia="en-US"/>
              </w:rPr>
              <w:t>有机肥料行业标准（NY/T 525-2021）</w:t>
            </w:r>
            <w:r>
              <w:rPr>
                <w:rFonts w:hint="eastAsia" w:ascii="宋体" w:hAnsi="宋体" w:eastAsia="宋体" w:cs="宋体"/>
                <w:bCs/>
                <w:color w:val="auto"/>
                <w:sz w:val="21"/>
                <w:szCs w:val="21"/>
                <w:highlight w:val="none"/>
                <w:lang w:val="en-US" w:eastAsia="zh-CN"/>
              </w:rPr>
              <w:t>（须提供有效期内的肥料登记证复印件并加盖投标人公章）</w:t>
            </w:r>
          </w:p>
        </w:tc>
      </w:tr>
    </w:tbl>
    <w:p w14:paraId="71B105E7">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val="en-US" w:eastAsia="zh-CN"/>
        </w:rPr>
      </w:pPr>
    </w:p>
    <w:p w14:paraId="73E76D3B">
      <w:pPr>
        <w:widowControl w:val="0"/>
        <w:numPr>
          <w:ilvl w:val="0"/>
          <w:numId w:val="0"/>
        </w:numPr>
        <w:kinsoku w:val="0"/>
        <w:autoSpaceDE w:val="0"/>
        <w:autoSpaceDN w:val="0"/>
        <w:adjustRightInd w:val="0"/>
        <w:snapToGrid w:val="0"/>
        <w:spacing w:before="247" w:line="425" w:lineRule="auto"/>
        <w:ind w:right="183" w:rightChars="0"/>
        <w:jc w:val="left"/>
        <w:textAlignment w:val="baseline"/>
        <w:rPr>
          <w:rFonts w:hint="eastAsia" w:ascii="宋体" w:hAnsi="宋体" w:eastAsia="宋体" w:cs="宋体"/>
          <w:snapToGrid w:val="0"/>
          <w:color w:val="auto"/>
          <w:spacing w:val="-1"/>
          <w:kern w:val="0"/>
          <w:sz w:val="21"/>
          <w:szCs w:val="21"/>
          <w:highlight w:val="none"/>
          <w:lang w:val="en-US" w:eastAsia="zh-CN" w:bidi="ar-SA"/>
        </w:rPr>
      </w:pPr>
    </w:p>
    <w:p w14:paraId="7E1DDB06">
      <w:pPr>
        <w:widowControl w:val="0"/>
        <w:numPr>
          <w:ilvl w:val="0"/>
          <w:numId w:val="0"/>
        </w:numPr>
        <w:kinsoku w:val="0"/>
        <w:autoSpaceDE w:val="0"/>
        <w:autoSpaceDN w:val="0"/>
        <w:adjustRightInd w:val="0"/>
        <w:snapToGrid w:val="0"/>
        <w:spacing w:before="247" w:line="425" w:lineRule="auto"/>
        <w:ind w:right="183" w:rightChars="0"/>
        <w:jc w:val="left"/>
        <w:textAlignment w:val="baseline"/>
        <w:rPr>
          <w:rFonts w:hint="eastAsia" w:ascii="宋体" w:hAnsi="宋体" w:eastAsia="宋体" w:cs="宋体"/>
          <w:snapToGrid w:val="0"/>
          <w:color w:val="auto"/>
          <w:spacing w:val="-1"/>
          <w:kern w:val="0"/>
          <w:sz w:val="21"/>
          <w:szCs w:val="21"/>
          <w:highlight w:val="none"/>
          <w:lang w:val="en-US" w:eastAsia="zh-CN" w:bidi="ar-SA"/>
        </w:rPr>
      </w:pPr>
    </w:p>
    <w:p w14:paraId="0B031E02">
      <w:pPr>
        <w:widowControl w:val="0"/>
        <w:numPr>
          <w:ilvl w:val="0"/>
          <w:numId w:val="0"/>
        </w:numPr>
        <w:kinsoku w:val="0"/>
        <w:autoSpaceDE w:val="0"/>
        <w:autoSpaceDN w:val="0"/>
        <w:adjustRightInd w:val="0"/>
        <w:snapToGrid w:val="0"/>
        <w:spacing w:before="247" w:line="425" w:lineRule="auto"/>
        <w:ind w:right="183" w:rightChars="0"/>
        <w:jc w:val="left"/>
        <w:textAlignment w:val="baseline"/>
        <w:rPr>
          <w:rFonts w:hint="eastAsia" w:ascii="宋体" w:hAnsi="宋体" w:eastAsia="宋体" w:cs="宋体"/>
          <w:snapToGrid w:val="0"/>
          <w:color w:val="auto"/>
          <w:spacing w:val="-1"/>
          <w:kern w:val="0"/>
          <w:sz w:val="21"/>
          <w:szCs w:val="21"/>
          <w:highlight w:val="none"/>
          <w:lang w:val="en-US" w:eastAsia="zh-CN" w:bidi="ar-SA"/>
        </w:rPr>
      </w:pPr>
    </w:p>
    <w:p w14:paraId="7549B999">
      <w:pPr>
        <w:widowControl w:val="0"/>
        <w:numPr>
          <w:ilvl w:val="0"/>
          <w:numId w:val="0"/>
        </w:numPr>
        <w:kinsoku w:val="0"/>
        <w:autoSpaceDE w:val="0"/>
        <w:autoSpaceDN w:val="0"/>
        <w:adjustRightInd w:val="0"/>
        <w:snapToGrid w:val="0"/>
        <w:spacing w:before="247" w:line="425" w:lineRule="auto"/>
        <w:ind w:right="183" w:rightChars="0"/>
        <w:jc w:val="left"/>
        <w:textAlignment w:val="baseline"/>
        <w:rPr>
          <w:rFonts w:hint="eastAsia" w:ascii="宋体" w:hAnsi="宋体" w:eastAsia="宋体" w:cs="宋体"/>
          <w:snapToGrid w:val="0"/>
          <w:color w:val="auto"/>
          <w:spacing w:val="-1"/>
          <w:kern w:val="0"/>
          <w:sz w:val="21"/>
          <w:szCs w:val="21"/>
          <w:highlight w:val="none"/>
          <w:lang w:val="en-US" w:eastAsia="zh-CN" w:bidi="ar-SA"/>
        </w:rPr>
      </w:pPr>
    </w:p>
    <w:p w14:paraId="079385E8">
      <w:pPr>
        <w:widowControl w:val="0"/>
        <w:numPr>
          <w:ilvl w:val="0"/>
          <w:numId w:val="0"/>
        </w:numPr>
        <w:kinsoku w:val="0"/>
        <w:autoSpaceDE w:val="0"/>
        <w:autoSpaceDN w:val="0"/>
        <w:adjustRightInd w:val="0"/>
        <w:snapToGrid w:val="0"/>
        <w:spacing w:before="247" w:line="425" w:lineRule="auto"/>
        <w:ind w:right="183" w:rightChars="0"/>
        <w:jc w:val="left"/>
        <w:textAlignment w:val="baseline"/>
        <w:rPr>
          <w:rFonts w:hint="eastAsia" w:ascii="宋体" w:hAnsi="宋体" w:eastAsia="宋体" w:cs="宋体"/>
          <w:snapToGrid w:val="0"/>
          <w:color w:val="auto"/>
          <w:spacing w:val="-1"/>
          <w:kern w:val="0"/>
          <w:sz w:val="21"/>
          <w:szCs w:val="21"/>
          <w:highlight w:val="none"/>
          <w:lang w:val="en-US" w:eastAsia="zh-CN" w:bidi="ar-SA"/>
        </w:rPr>
      </w:pPr>
    </w:p>
    <w:p w14:paraId="65E71F16">
      <w:pPr>
        <w:widowControl w:val="0"/>
        <w:numPr>
          <w:ilvl w:val="0"/>
          <w:numId w:val="0"/>
        </w:numPr>
        <w:kinsoku w:val="0"/>
        <w:autoSpaceDE w:val="0"/>
        <w:autoSpaceDN w:val="0"/>
        <w:adjustRightInd w:val="0"/>
        <w:snapToGrid w:val="0"/>
        <w:spacing w:before="247" w:line="425" w:lineRule="auto"/>
        <w:ind w:right="183" w:rightChars="0"/>
        <w:jc w:val="left"/>
        <w:textAlignment w:val="baseline"/>
        <w:rPr>
          <w:rFonts w:hint="eastAsia" w:ascii="宋体" w:hAnsi="宋体" w:eastAsia="宋体" w:cs="宋体"/>
          <w:snapToGrid w:val="0"/>
          <w:color w:val="auto"/>
          <w:spacing w:val="-1"/>
          <w:kern w:val="0"/>
          <w:sz w:val="21"/>
          <w:szCs w:val="21"/>
          <w:highlight w:val="none"/>
          <w:lang w:val="en-US" w:eastAsia="zh-CN" w:bidi="ar-SA"/>
        </w:rPr>
      </w:pPr>
    </w:p>
    <w:p w14:paraId="588235B9">
      <w:pPr>
        <w:keepNext/>
        <w:keepLines/>
        <w:widowControl w:val="0"/>
        <w:kinsoku w:val="0"/>
        <w:autoSpaceDE w:val="0"/>
        <w:autoSpaceDN w:val="0"/>
        <w:adjustRightInd w:val="0"/>
        <w:snapToGrid w:val="0"/>
        <w:spacing w:before="156" w:beforeLines="50" w:line="360" w:lineRule="auto"/>
        <w:jc w:val="center"/>
        <w:textAlignment w:val="baseline"/>
        <w:outlineLvl w:val="1"/>
        <w:rPr>
          <w:rFonts w:hint="eastAsia" w:ascii="宋体" w:hAnsi="宋体" w:eastAsia="宋体" w:cs="宋体"/>
          <w:b/>
          <w:bCs/>
          <w:snapToGrid w:val="0"/>
          <w:color w:val="auto"/>
          <w:kern w:val="2"/>
          <w:sz w:val="28"/>
          <w:szCs w:val="28"/>
          <w:highlight w:val="none"/>
          <w:lang w:val="en-US" w:eastAsia="zh-CN" w:bidi="ar-SA"/>
        </w:rPr>
      </w:pPr>
      <w:r>
        <w:rPr>
          <w:rFonts w:hint="eastAsia" w:ascii="宋体" w:hAnsi="宋体" w:eastAsia="宋体" w:cs="宋体"/>
          <w:b/>
          <w:bCs/>
          <w:snapToGrid w:val="0"/>
          <w:color w:val="auto"/>
          <w:kern w:val="2"/>
          <w:sz w:val="28"/>
          <w:szCs w:val="28"/>
          <w:highlight w:val="none"/>
          <w:lang w:val="en-US" w:eastAsia="zh-CN" w:bidi="ar-SA"/>
        </w:rPr>
        <w:t>第三节 商务要求</w:t>
      </w:r>
      <w:bookmarkEnd w:id="7"/>
    </w:p>
    <w:bookmarkEnd w:id="8"/>
    <w:p w14:paraId="3C6DD4B8">
      <w:pPr>
        <w:keepNext w:val="0"/>
        <w:keepLines w:val="0"/>
        <w:pageBreakBefore w:val="0"/>
        <w:shd w:val="clear" w:color="auto" w:fill="auto"/>
        <w:kinsoku/>
        <w:wordWrap/>
        <w:overflowPunct/>
        <w:topLinePunct w:val="0"/>
        <w:bidi w:val="0"/>
        <w:spacing w:line="360" w:lineRule="auto"/>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一</w:t>
      </w:r>
      <w:r>
        <w:rPr>
          <w:rFonts w:hint="eastAsia" w:ascii="宋体" w:hAnsi="宋体" w:eastAsia="宋体" w:cs="宋体"/>
          <w:b/>
          <w:color w:val="auto"/>
          <w:sz w:val="21"/>
          <w:szCs w:val="21"/>
          <w:highlight w:val="none"/>
        </w:rPr>
        <w:t>、交货及验收要求</w:t>
      </w:r>
    </w:p>
    <w:p w14:paraId="78A7A4B5">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1、供货时间：合同签订后30天内完成；</w:t>
      </w:r>
    </w:p>
    <w:p w14:paraId="186AEB89">
      <w:pPr>
        <w:keepNext w:val="0"/>
        <w:keepLines w:val="0"/>
        <w:pageBreakBefore w:val="0"/>
        <w:widowControl/>
        <w:shd w:val="clear" w:color="auto" w:fill="auto"/>
        <w:kinsoku/>
        <w:wordWrap/>
        <w:overflowPunct/>
        <w:topLinePunct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2、交货地点：采购人指定地点，在县内统一地点；</w:t>
      </w:r>
    </w:p>
    <w:p w14:paraId="711E1823">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3、货物验收：所有货物必须是</w:t>
      </w:r>
      <w:r>
        <w:rPr>
          <w:rFonts w:hint="eastAsia" w:ascii="宋体" w:hAnsi="宋体" w:eastAsia="宋体" w:cs="宋体"/>
          <w:bCs/>
          <w:color w:val="auto"/>
          <w:sz w:val="21"/>
          <w:szCs w:val="21"/>
          <w:highlight w:val="none"/>
          <w:lang w:val="en-US" w:eastAsia="zh-CN"/>
        </w:rPr>
        <w:t>符合国家、部门或行业相关标准的最</w:t>
      </w:r>
      <w:r>
        <w:rPr>
          <w:rFonts w:hint="eastAsia" w:ascii="宋体" w:hAnsi="宋体" w:eastAsia="宋体" w:cs="宋体"/>
          <w:bCs/>
          <w:color w:val="auto"/>
          <w:sz w:val="21"/>
          <w:szCs w:val="21"/>
          <w:highlight w:val="none"/>
        </w:rPr>
        <w:t>新</w:t>
      </w:r>
      <w:r>
        <w:rPr>
          <w:rFonts w:hint="eastAsia" w:ascii="宋体" w:hAnsi="宋体" w:eastAsia="宋体" w:cs="宋体"/>
          <w:bCs/>
          <w:color w:val="auto"/>
          <w:sz w:val="21"/>
          <w:szCs w:val="21"/>
          <w:highlight w:val="none"/>
          <w:lang w:val="en-US" w:eastAsia="zh-CN"/>
        </w:rPr>
        <w:t>产品</w:t>
      </w:r>
      <w:r>
        <w:rPr>
          <w:rFonts w:hint="eastAsia" w:ascii="宋体" w:hAnsi="宋体" w:eastAsia="宋体" w:cs="宋体"/>
          <w:bCs/>
          <w:color w:val="auto"/>
          <w:sz w:val="21"/>
          <w:szCs w:val="21"/>
          <w:highlight w:val="none"/>
        </w:rPr>
        <w:t>，并根据本项目采购文件货物采购需求和有关要求、中标单位投标文件中货物报价清单及所供产品合格证明进行验收；</w:t>
      </w:r>
    </w:p>
    <w:p w14:paraId="3816A236">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所有货物交货完毕后，采购人将组织验收小组（由相关职能部门组成）根据本项目中标合同、采购文件、中标方报价文件及国家相关标准等有关款项对本项目采购货物进行验收，中标单位须配合采购人完成有关此项验收事宜；</w:t>
      </w:r>
    </w:p>
    <w:p w14:paraId="4F19E013">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5、本采购项目下的所有货物质量须符合国家或行业标准；</w:t>
      </w:r>
    </w:p>
    <w:p w14:paraId="156A5A80">
      <w:pPr>
        <w:keepNext w:val="0"/>
        <w:keepLines w:val="0"/>
        <w:pageBreakBefore w:val="0"/>
        <w:widowControl/>
        <w:shd w:val="clear" w:color="auto" w:fill="auto"/>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6、中标单位所报价的货物须符合相关质量要求，若提供的实物与报价文件中所报价货物不符的，采购人有权拒付所有货款，由此造成的任何损失由</w:t>
      </w:r>
      <w:r>
        <w:rPr>
          <w:rFonts w:hint="eastAsia" w:ascii="宋体" w:hAnsi="宋体" w:eastAsia="宋体" w:cs="宋体"/>
          <w:bCs/>
          <w:color w:val="auto"/>
          <w:sz w:val="21"/>
          <w:szCs w:val="21"/>
          <w:highlight w:val="none"/>
          <w:lang w:val="en-US" w:eastAsia="zh-CN"/>
        </w:rPr>
        <w:t>中标</w:t>
      </w:r>
      <w:r>
        <w:rPr>
          <w:rFonts w:hint="eastAsia" w:ascii="宋体" w:hAnsi="宋体" w:eastAsia="宋体" w:cs="宋体"/>
          <w:bCs/>
          <w:color w:val="auto"/>
          <w:sz w:val="21"/>
          <w:szCs w:val="21"/>
          <w:highlight w:val="none"/>
        </w:rPr>
        <w:t>供应商负责。</w:t>
      </w:r>
    </w:p>
    <w:p w14:paraId="3E1FE671">
      <w:pPr>
        <w:keepNext w:val="0"/>
        <w:keepLines w:val="0"/>
        <w:pageBreakBefore w:val="0"/>
        <w:shd w:val="clear" w:color="auto" w:fill="auto"/>
        <w:kinsoku/>
        <w:wordWrap/>
        <w:overflowPunct/>
        <w:topLinePunct w:val="0"/>
        <w:bidi w:val="0"/>
        <w:spacing w:line="360" w:lineRule="auto"/>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二</w:t>
      </w:r>
      <w:r>
        <w:rPr>
          <w:rFonts w:hint="eastAsia" w:ascii="宋体" w:hAnsi="宋体" w:eastAsia="宋体" w:cs="宋体"/>
          <w:b/>
          <w:color w:val="auto"/>
          <w:sz w:val="21"/>
          <w:szCs w:val="21"/>
          <w:highlight w:val="none"/>
        </w:rPr>
        <w:t>、报价要求</w:t>
      </w:r>
    </w:p>
    <w:p w14:paraId="0D7CADB7">
      <w:pPr>
        <w:keepNext w:val="0"/>
        <w:keepLines w:val="0"/>
        <w:pageBreakBefore w:val="0"/>
        <w:widowControl w:val="0"/>
        <w:shd w:val="clear" w:color="auto" w:fill="auto"/>
        <w:kinsoku/>
        <w:wordWrap/>
        <w:overflowPunct/>
        <w:topLinePunct w:val="0"/>
        <w:autoSpaceDE/>
        <w:autoSpaceDN/>
        <w:bidi w:val="0"/>
        <w:adjustRightInd/>
        <w:snapToGrid/>
        <w:spacing w:after="0" w:line="360" w:lineRule="auto"/>
        <w:ind w:firstLine="422" w:firstLineChars="200"/>
        <w:jc w:val="both"/>
        <w:textAlignment w:val="auto"/>
        <w:rPr>
          <w:rFonts w:hint="eastAsia"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bCs/>
          <w:color w:val="auto"/>
          <w:kern w:val="2"/>
          <w:sz w:val="21"/>
          <w:szCs w:val="21"/>
          <w:highlight w:val="none"/>
          <w:lang w:val="en-US" w:eastAsia="zh-CN" w:bidi="ar-SA"/>
        </w:rPr>
        <w:t>（★）1、各包具体按实际需要吨数供货，最终结算价＝实际采购的数量（实际采购有机肥数量=预算价（最高限价）</w:t>
      </w:r>
      <w:r>
        <w:rPr>
          <w:rFonts w:hint="default" w:ascii="Arial" w:hAnsi="Arial" w:eastAsia="宋体" w:cs="Arial"/>
          <w:b/>
          <w:bCs/>
          <w:color w:val="auto"/>
          <w:kern w:val="2"/>
          <w:sz w:val="21"/>
          <w:szCs w:val="21"/>
          <w:highlight w:val="none"/>
          <w:lang w:val="en-US" w:eastAsia="zh-CN" w:bidi="ar-SA"/>
        </w:rPr>
        <w:t>÷</w:t>
      </w:r>
      <w:r>
        <w:rPr>
          <w:rFonts w:hint="eastAsia" w:ascii="Arial" w:hAnsi="Arial" w:eastAsia="宋体" w:cs="Arial"/>
          <w:b/>
          <w:bCs/>
          <w:color w:val="auto"/>
          <w:kern w:val="2"/>
          <w:sz w:val="21"/>
          <w:szCs w:val="21"/>
          <w:highlight w:val="none"/>
          <w:lang w:val="en-US" w:eastAsia="zh-CN" w:bidi="ar-SA"/>
        </w:rPr>
        <w:t>成交单位投标单价</w:t>
      </w:r>
      <w:r>
        <w:rPr>
          <w:rFonts w:hint="eastAsia" w:ascii="Times New Roman" w:hAnsi="Times New Roman" w:eastAsia="宋体" w:cs="Times New Roman"/>
          <w:b/>
          <w:bCs/>
          <w:color w:val="auto"/>
          <w:kern w:val="2"/>
          <w:sz w:val="21"/>
          <w:szCs w:val="21"/>
          <w:highlight w:val="none"/>
          <w:lang w:val="en-US" w:eastAsia="zh-CN" w:bidi="ar-SA"/>
        </w:rPr>
        <w:t>）*投标单价。</w:t>
      </w:r>
    </w:p>
    <w:p w14:paraId="21E1F8AD">
      <w:pPr>
        <w:keepNext w:val="0"/>
        <w:keepLines w:val="0"/>
        <w:pageBreakBefore w:val="0"/>
        <w:widowControl w:val="0"/>
        <w:shd w:val="clear" w:color="auto" w:fill="auto"/>
        <w:kinsoku/>
        <w:wordWrap/>
        <w:overflowPunct/>
        <w:topLinePunct w:val="0"/>
        <w:autoSpaceDE/>
        <w:autoSpaceDN/>
        <w:bidi w:val="0"/>
        <w:adjustRightInd/>
        <w:snapToGrid/>
        <w:spacing w:after="0" w:line="360" w:lineRule="auto"/>
        <w:ind w:firstLine="422" w:firstLineChars="200"/>
        <w:jc w:val="both"/>
        <w:textAlignment w:val="auto"/>
        <w:rPr>
          <w:rFonts w:hint="eastAsia"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bCs/>
          <w:color w:val="auto"/>
          <w:kern w:val="2"/>
          <w:sz w:val="21"/>
          <w:szCs w:val="21"/>
          <w:highlight w:val="none"/>
          <w:lang w:val="en-US" w:eastAsia="zh-CN" w:bidi="ar-SA"/>
        </w:rPr>
        <w:t>（★）2、投标人所报的总价必须为综合考虑各种因素后的综合总价。投标报价应包括产品到县内统一提货点的价格（即产品出厂价、保险费、运输费、装卸费）和售后服务费（即产品贮存、使用方法培训与技术服务费等）、相关税费等。</w:t>
      </w:r>
    </w:p>
    <w:p w14:paraId="33C24372">
      <w:pPr>
        <w:keepNext w:val="0"/>
        <w:keepLines w:val="0"/>
        <w:pageBreakBefore w:val="0"/>
        <w:widowControl w:val="0"/>
        <w:shd w:val="clear" w:color="auto" w:fill="auto"/>
        <w:kinsoku/>
        <w:wordWrap/>
        <w:overflowPunct/>
        <w:topLinePunct w:val="0"/>
        <w:autoSpaceDE/>
        <w:autoSpaceDN/>
        <w:bidi w:val="0"/>
        <w:adjustRightInd/>
        <w:snapToGrid/>
        <w:spacing w:after="0" w:line="360" w:lineRule="auto"/>
        <w:ind w:firstLine="422" w:firstLineChars="200"/>
        <w:jc w:val="both"/>
        <w:textAlignment w:val="auto"/>
        <w:rPr>
          <w:rFonts w:hint="eastAsia"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bCs/>
          <w:color w:val="auto"/>
          <w:kern w:val="2"/>
          <w:sz w:val="21"/>
          <w:szCs w:val="21"/>
          <w:highlight w:val="none"/>
          <w:lang w:val="en-US" w:eastAsia="zh-CN" w:bidi="ar-SA"/>
        </w:rPr>
        <w:t>（★）4、中标后，中标价不随市场单价的浮动而发生任何变更。</w:t>
      </w:r>
    </w:p>
    <w:p w14:paraId="7C65A066">
      <w:pPr>
        <w:pageBreakBefore w:val="0"/>
        <w:shd w:val="clear" w:color="auto" w:fill="auto"/>
        <w:kinsoku/>
        <w:wordWrap/>
        <w:overflowPunct/>
        <w:topLinePunct w:val="0"/>
        <w:bidi w:val="0"/>
        <w:adjustRightInd w:val="0"/>
        <w:snapToGrid w:val="0"/>
        <w:spacing w:line="360" w:lineRule="auto"/>
        <w:ind w:firstLine="420" w:firstLineChars="200"/>
        <w:textAlignment w:val="auto"/>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报价应包括本招标文件中规定的货物的生产、运输（含</w:t>
      </w:r>
      <w:r>
        <w:rPr>
          <w:rFonts w:hint="eastAsia" w:ascii="Times New Roman" w:hAnsi="Times New Roman" w:eastAsia="宋体" w:cs="Times New Roman"/>
          <w:color w:val="auto"/>
          <w:szCs w:val="21"/>
          <w:highlight w:val="none"/>
          <w:lang w:val="en-US" w:eastAsia="zh-CN"/>
        </w:rPr>
        <w:t>送到茶陵县内</w:t>
      </w:r>
      <w:r>
        <w:rPr>
          <w:rFonts w:hint="eastAsia" w:ascii="Times New Roman" w:hAnsi="Times New Roman" w:eastAsia="宋体" w:cs="Times New Roman"/>
          <w:color w:val="auto"/>
          <w:szCs w:val="21"/>
          <w:highlight w:val="none"/>
        </w:rPr>
        <w:t>）、出厂检验、保险、包装、管理、到现场后的抽样及送检合格（含各种相关的检测费）、装卸、安装调试、辅助材料、其他项目措施、损耗、培训、质保、技术服务、附带服务、利润、税金、不可预见费、</w:t>
      </w:r>
      <w:r>
        <w:rPr>
          <w:rFonts w:ascii="Times New Roman" w:hAnsi="Times New Roman" w:eastAsia="宋体" w:cs="Times New Roman"/>
          <w:color w:val="auto"/>
          <w:szCs w:val="21"/>
          <w:highlight w:val="none"/>
        </w:rPr>
        <w:t>保险费等</w:t>
      </w:r>
      <w:r>
        <w:rPr>
          <w:rFonts w:hint="eastAsia" w:ascii="Times New Roman" w:hAnsi="Times New Roman" w:eastAsia="宋体" w:cs="Times New Roman"/>
          <w:color w:val="auto"/>
          <w:szCs w:val="21"/>
          <w:highlight w:val="none"/>
        </w:rPr>
        <w:t>以及完成本招标文件规定的其他项目的全部费用。</w:t>
      </w:r>
    </w:p>
    <w:p w14:paraId="699029D0">
      <w:pPr>
        <w:keepNext w:val="0"/>
        <w:keepLines w:val="0"/>
        <w:pageBreakBefore w:val="0"/>
        <w:shd w:val="clear" w:color="auto" w:fill="auto"/>
        <w:kinsoku/>
        <w:wordWrap/>
        <w:overflowPunct/>
        <w:topLinePunct w:val="0"/>
        <w:bidi w:val="0"/>
        <w:spacing w:line="360" w:lineRule="auto"/>
        <w:ind w:firstLine="422"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三</w:t>
      </w:r>
      <w:r>
        <w:rPr>
          <w:rFonts w:hint="eastAsia" w:ascii="宋体" w:hAnsi="宋体" w:eastAsia="宋体" w:cs="宋体"/>
          <w:b/>
          <w:color w:val="auto"/>
          <w:sz w:val="21"/>
          <w:szCs w:val="21"/>
          <w:highlight w:val="none"/>
        </w:rPr>
        <w:t>、</w:t>
      </w:r>
      <w:r>
        <w:rPr>
          <w:rFonts w:hint="eastAsia" w:ascii="宋体" w:hAnsi="宋体" w:eastAsia="宋体" w:cs="宋体"/>
          <w:b/>
          <w:bCs/>
          <w:color w:val="auto"/>
          <w:sz w:val="21"/>
          <w:szCs w:val="21"/>
          <w:highlight w:val="none"/>
        </w:rPr>
        <w:t>产品质量</w:t>
      </w:r>
      <w:r>
        <w:rPr>
          <w:rFonts w:hint="eastAsia" w:ascii="宋体" w:hAnsi="宋体" w:eastAsia="宋体" w:cs="宋体"/>
          <w:b/>
          <w:color w:val="auto"/>
          <w:sz w:val="21"/>
          <w:szCs w:val="21"/>
          <w:highlight w:val="none"/>
        </w:rPr>
        <w:t>要求</w:t>
      </w:r>
    </w:p>
    <w:p w14:paraId="67AC6920">
      <w:pPr>
        <w:keepNext w:val="0"/>
        <w:keepLines w:val="0"/>
        <w:pageBreakBefore w:val="0"/>
        <w:shd w:val="clear" w:color="auto" w:fill="auto"/>
        <w:kinsoku/>
        <w:wordWrap/>
        <w:overflowPunct/>
        <w:topLinePunct w:val="0"/>
        <w:bidi w:val="0"/>
        <w:spacing w:line="360" w:lineRule="auto"/>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质量要求：达到“技术要求”规定的验收标准。</w:t>
      </w:r>
    </w:p>
    <w:p w14:paraId="6B205975">
      <w:pPr>
        <w:keepNext w:val="0"/>
        <w:keepLines w:val="0"/>
        <w:pageBreakBefore w:val="0"/>
        <w:shd w:val="clear" w:color="auto" w:fill="auto"/>
        <w:kinsoku/>
        <w:wordWrap/>
        <w:overflowPunct/>
        <w:topLinePunct w:val="0"/>
        <w:bidi w:val="0"/>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四</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付款</w:t>
      </w:r>
      <w:r>
        <w:rPr>
          <w:rFonts w:hint="eastAsia" w:ascii="宋体" w:hAnsi="宋体" w:eastAsia="宋体" w:cs="宋体"/>
          <w:b/>
          <w:bCs/>
          <w:color w:val="auto"/>
          <w:sz w:val="21"/>
          <w:szCs w:val="21"/>
          <w:highlight w:val="none"/>
        </w:rPr>
        <w:t>方式</w:t>
      </w:r>
    </w:p>
    <w:p w14:paraId="61FFEBDC">
      <w:pPr>
        <w:keepNext w:val="0"/>
        <w:keepLines w:val="0"/>
        <w:pageBreakBefore w:val="0"/>
        <w:widowControl/>
        <w:shd w:val="clear" w:color="auto" w:fill="auto"/>
        <w:kinsoku/>
        <w:wordWrap/>
        <w:overflowPunct/>
        <w:topLinePunct w:val="0"/>
        <w:bidi w:val="0"/>
        <w:adjustRightInd w:val="0"/>
        <w:snapToGrid w:val="0"/>
        <w:spacing w:line="360" w:lineRule="auto"/>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Times New Roman"/>
          <w:color w:val="auto"/>
          <w:szCs w:val="21"/>
          <w:highlight w:val="none"/>
        </w:rPr>
        <w:t>全部货到并经验收合格后，一次性支付合同总价款。</w:t>
      </w:r>
    </w:p>
    <w:p w14:paraId="47A17059">
      <w:pPr>
        <w:keepNext w:val="0"/>
        <w:keepLines w:val="0"/>
        <w:pageBreakBefore w:val="0"/>
        <w:widowControl/>
        <w:shd w:val="clear" w:color="auto" w:fill="auto"/>
        <w:kinsoku/>
        <w:wordWrap/>
        <w:overflowPunct/>
        <w:topLinePunct w:val="0"/>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、付款单位：茶陵县农业农村局</w:t>
      </w:r>
    </w:p>
    <w:p w14:paraId="0D3AFE1E">
      <w:pPr>
        <w:keepNext w:val="0"/>
        <w:keepLines w:val="0"/>
        <w:pageBreakBefore w:val="0"/>
        <w:widowControl/>
        <w:shd w:val="clear" w:color="auto" w:fill="auto"/>
        <w:kinsoku/>
        <w:wordWrap/>
        <w:overflowPunct/>
        <w:topLinePunct w:val="0"/>
        <w:bidi w:val="0"/>
        <w:adjustRightInd w:val="0"/>
        <w:snapToGrid w:val="0"/>
        <w:spacing w:line="360" w:lineRule="auto"/>
        <w:ind w:firstLine="420" w:firstLineChars="200"/>
        <w:textAlignment w:val="auto"/>
        <w:rPr>
          <w:rFonts w:hint="eastAsia" w:ascii="宋体" w:hAnsi="宋体" w:eastAsia="宋体" w:cs="宋体"/>
          <w:b/>
          <w:bCs/>
          <w:color w:val="auto"/>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、支付程序：付款凭税务部门开具的正式税务发票进行结算。正式税务发票由中标单位开具。</w:t>
      </w:r>
    </w:p>
    <w:p w14:paraId="0340859D">
      <w:pPr>
        <w:keepNext w:val="0"/>
        <w:keepLines w:val="0"/>
        <w:pageBreakBefore w:val="0"/>
        <w:widowControl w:val="0"/>
        <w:shd w:val="clear" w:color="auto" w:fill="auto"/>
        <w:kinsoku/>
        <w:wordWrap/>
        <w:overflowPunct/>
        <w:topLinePunct w:val="0"/>
        <w:bidi w:val="0"/>
        <w:spacing w:line="360" w:lineRule="auto"/>
        <w:ind w:firstLine="422" w:firstLineChars="200"/>
        <w:textAlignment w:val="auto"/>
        <w:outlineLvl w:val="9"/>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投标人对招标文件提出的要求和条件，应当在投标文件中作出明确响应。带“★”条款为本项目实质性条款，如有偏离或缺漏，视为无效投标。</w:t>
      </w:r>
    </w:p>
    <w:p w14:paraId="78418851">
      <w:pPr>
        <w:keepNext w:val="0"/>
        <w:keepLines w:val="0"/>
        <w:pageBreakBefore w:val="0"/>
        <w:widowControl w:val="0"/>
        <w:shd w:val="clear" w:color="auto" w:fill="auto"/>
        <w:kinsoku/>
        <w:wordWrap/>
        <w:overflowPunct/>
        <w:topLinePunct w:val="0"/>
        <w:bidi w:val="0"/>
        <w:spacing w:line="360" w:lineRule="auto"/>
        <w:ind w:firstLine="420" w:firstLineChars="200"/>
        <w:textAlignment w:val="auto"/>
        <w:outlineLvl w:val="9"/>
        <w:rPr>
          <w:highlight w:val="none"/>
        </w:rPr>
      </w:pPr>
      <w:bookmarkStart w:id="9" w:name="_GoBack"/>
      <w:bookmarkEnd w:id="9"/>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2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C6721">
    <w:pPr>
      <w:widowControl/>
      <w:kinsoku w:val="0"/>
      <w:autoSpaceDE w:val="0"/>
      <w:autoSpaceDN w:val="0"/>
      <w:adjustRightInd w:val="0"/>
      <w:snapToGrid w:val="0"/>
      <w:spacing w:line="176" w:lineRule="auto"/>
      <w:ind w:left="4752"/>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cs="Times New Roman"/>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BF1DFD">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2</w:t>
                          </w:r>
                          <w:r>
                            <w:rPr>
                              <w:rFonts w:ascii="Times New Roman" w:hAnsi="Times New Roman" w:eastAsia="宋体"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path/>
              <v:fill on="f" focussize="0,0"/>
              <v:stroke on="f"/>
              <v:imagedata o:title=""/>
              <o:lock v:ext="edit" aspectratio="f"/>
              <v:textbox inset="0mm,0mm,0mm,0mm" style="mso-fit-shape-to-text:t;">
                <w:txbxContent>
                  <w:p w14:paraId="0EBF1DFD">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2</w:t>
                    </w:r>
                    <w:r>
                      <w:rPr>
                        <w:rFonts w:ascii="Times New Roman" w:hAnsi="Times New Roman" w:eastAsia="宋体" w:cs="Times New Roman"/>
                        <w:kern w:val="2"/>
                        <w:sz w:val="18"/>
                        <w:szCs w:val="18"/>
                        <w:lang w:val="en-US" w:eastAsia="zh-CN" w:bidi="ar-S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F5FBB">
    <w:pPr>
      <w:widowControl/>
      <w:kinsoku w:val="0"/>
      <w:autoSpaceDE w:val="0"/>
      <w:autoSpaceDN w:val="0"/>
      <w:adjustRightInd w:val="0"/>
      <w:snapToGrid w:val="0"/>
      <w:spacing w:line="176" w:lineRule="auto"/>
      <w:ind w:left="4752"/>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宋体" w:cs="Times New Roman"/>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F5BF918">
                          <w:pPr>
                            <w:pStyle w:val="2"/>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rPr>
                            <w:t>4</w:t>
                          </w:r>
                          <w:r>
                            <w:rPr>
                              <w:rFonts w:ascii="Times New Roman" w:hAnsi="Times New Roman" w:eastAsia="宋体" w:cs="Times New Roma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F5BF918">
                    <w:pPr>
                      <w:pStyle w:val="2"/>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rPr>
                      <w:t>4</w:t>
                    </w:r>
                    <w:r>
                      <w:rPr>
                        <w:rFonts w:ascii="Times New Roman" w:hAnsi="Times New Roman" w:eastAsia="宋体" w:cs="Times New Roma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E8444E">
    <w:pPr>
      <w:widowControl/>
      <w:kinsoku w:val="0"/>
      <w:autoSpaceDE w:val="0"/>
      <w:autoSpaceDN w:val="0"/>
      <w:adjustRightInd w:val="0"/>
      <w:snapToGrid w:val="0"/>
      <w:spacing w:line="52" w:lineRule="auto"/>
      <w:jc w:val="left"/>
      <w:textAlignment w:val="baseline"/>
      <w:rPr>
        <w:rFonts w:ascii="Arial" w:hAnsi="Arial" w:eastAsia="Arial" w:cs="Arial"/>
        <w:snapToGrid w:val="0"/>
        <w:color w:val="000000"/>
        <w:kern w:val="0"/>
        <w:sz w:val="2"/>
        <w:szCs w:val="21"/>
        <w:lang w:eastAsia="en-US"/>
      </w:rPr>
    </w:pPr>
    <w:r>
      <w:rPr>
        <w:rFonts w:ascii="Arial" w:hAnsi="Arial" w:eastAsia="Arial" w:cs="Arial"/>
        <w:snapToGrid w:val="0"/>
        <w:color w:val="000000"/>
        <w:kern w:val="0"/>
        <w:szCs w:val="21"/>
        <w:lang w:eastAsia="en-US"/>
      </w:rPr>
      <mc:AlternateContent>
        <mc:Choice Requires="wps">
          <w:drawing>
            <wp:anchor distT="0" distB="0" distL="114300" distR="114300" simplePos="0" relativeHeight="251659264" behindDoc="0" locked="0" layoutInCell="0" allowOverlap="1">
              <wp:simplePos x="0" y="0"/>
              <wp:positionH relativeFrom="page">
                <wp:posOffset>1008380</wp:posOffset>
              </wp:positionH>
              <wp:positionV relativeFrom="page">
                <wp:posOffset>683895</wp:posOffset>
              </wp:positionV>
              <wp:extent cx="5617210" cy="9525"/>
              <wp:effectExtent l="0" t="0" r="0" b="0"/>
              <wp:wrapNone/>
              <wp:docPr id="4" name="任意多边形 4"/>
              <wp:cNvGraphicFramePr/>
              <a:graphic xmlns:a="http://schemas.openxmlformats.org/drawingml/2006/main">
                <a:graphicData uri="http://schemas.microsoft.com/office/word/2010/wordprocessingShape">
                  <wps:wsp>
                    <wps:cNvSpPr/>
                    <wps:spPr>
                      <a:xfrm>
                        <a:off x="0" y="0"/>
                        <a:ext cx="5617210" cy="9525"/>
                      </a:xfrm>
                      <a:custGeom>
                        <a:avLst/>
                        <a:gdLst/>
                        <a:ahLst/>
                        <a:cxnLst/>
                        <a:pathLst>
                          <a:path w="8845" h="15">
                            <a:moveTo>
                              <a:pt x="0" y="15"/>
                            </a:moveTo>
                            <a:lnTo>
                              <a:pt x="8845" y="15"/>
                            </a:lnTo>
                            <a:lnTo>
                              <a:pt x="8845" y="0"/>
                            </a:lnTo>
                            <a:lnTo>
                              <a:pt x="0" y="0"/>
                            </a:lnTo>
                            <a:lnTo>
                              <a:pt x="0" y="15"/>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9.4pt;margin-top:53.85pt;height:0.75pt;width:442.3pt;mso-position-horizontal-relative:page;mso-position-vertical-relative:page;z-index:251659264;mso-width-relative:page;mso-height-relative:page;" fillcolor="#000000" filled="t" stroked="f" coordsize="8845,15" o:allowincell="f" o:gfxdata="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PI8U3vZAAAADAEAAA8AAAAA&#10;AAAAAQAgAAAAIgAAAGRycy9kb3ducmV2LnhtbFBLAQIUABQAAAAIAIdO4kDzP+eUEwIAAHwEAAAO&#10;AAAAAAAAAAEAIAAAACgBAABkcnMvZTJvRG9jLnhtbFBLBQYAAAAABgAGAFkBAACtBQAAAAA=&#10;" path="m0,15l8845,15,8845,0,0,0,0,15xe">
              <v:path/>
              <v:fill on="t" focussize="0,0"/>
              <v:stroke on="f"/>
              <v:imagedata o:title=""/>
              <o:lock v:ext="edit"/>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31C89">
    <w:pPr>
      <w:widowControl/>
      <w:kinsoku w:val="0"/>
      <w:autoSpaceDE w:val="0"/>
      <w:autoSpaceDN w:val="0"/>
      <w:adjustRightInd w:val="0"/>
      <w:snapToGrid w:val="0"/>
      <w:spacing w:line="52" w:lineRule="auto"/>
      <w:jc w:val="left"/>
      <w:textAlignment w:val="baseline"/>
      <w:rPr>
        <w:rFonts w:ascii="Arial" w:hAnsi="Arial" w:eastAsia="Arial" w:cs="Arial"/>
        <w:snapToGrid w:val="0"/>
        <w:color w:val="000000"/>
        <w:kern w:val="0"/>
        <w:sz w:val="2"/>
        <w:szCs w:val="21"/>
        <w:lang w:eastAsia="en-US"/>
      </w:rPr>
    </w:pPr>
    <w:r>
      <w:rPr>
        <w:rFonts w:ascii="Arial" w:hAnsi="Arial" w:eastAsia="Arial" w:cs="Arial"/>
        <w:snapToGrid w:val="0"/>
        <w:color w:val="000000"/>
        <w:kern w:val="0"/>
        <w:szCs w:val="21"/>
        <w:lang w:eastAsia="en-US"/>
      </w:rPr>
      <mc:AlternateContent>
        <mc:Choice Requires="wps">
          <w:drawing>
            <wp:anchor distT="0" distB="0" distL="114300" distR="114300" simplePos="0" relativeHeight="251661312" behindDoc="0" locked="0" layoutInCell="0" allowOverlap="1">
              <wp:simplePos x="0" y="0"/>
              <wp:positionH relativeFrom="page">
                <wp:posOffset>1008380</wp:posOffset>
              </wp:positionH>
              <wp:positionV relativeFrom="page">
                <wp:posOffset>683895</wp:posOffset>
              </wp:positionV>
              <wp:extent cx="5617210" cy="9525"/>
              <wp:effectExtent l="0" t="0" r="0" b="0"/>
              <wp:wrapNone/>
              <wp:docPr id="2" name="任意多边形 2"/>
              <wp:cNvGraphicFramePr/>
              <a:graphic xmlns:a="http://schemas.openxmlformats.org/drawingml/2006/main">
                <a:graphicData uri="http://schemas.microsoft.com/office/word/2010/wordprocessingShape">
                  <wps:wsp>
                    <wps:cNvSpPr/>
                    <wps:spPr>
                      <a:xfrm>
                        <a:off x="0" y="0"/>
                        <a:ext cx="5617210" cy="9525"/>
                      </a:xfrm>
                      <a:custGeom>
                        <a:avLst/>
                        <a:gdLst/>
                        <a:ahLst/>
                        <a:cxnLst/>
                        <a:pathLst>
                          <a:path w="8845" h="15">
                            <a:moveTo>
                              <a:pt x="0" y="15"/>
                            </a:moveTo>
                            <a:lnTo>
                              <a:pt x="8845" y="15"/>
                            </a:lnTo>
                            <a:lnTo>
                              <a:pt x="8845" y="0"/>
                            </a:lnTo>
                            <a:lnTo>
                              <a:pt x="0" y="0"/>
                            </a:lnTo>
                            <a:lnTo>
                              <a:pt x="0" y="15"/>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9.4pt;margin-top:53.85pt;height:0.75pt;width:442.3pt;mso-position-horizontal-relative:page;mso-position-vertical-relative:page;z-index:251661312;mso-width-relative:page;mso-height-relative:page;" fillcolor="#000000" filled="t" stroked="f" coordsize="8845,15" o:allowincell="f" o:gfxdata="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PI8U3vZAAAADAEAAA8AAAAA&#10;AAAAAQAgAAAAIgAAAGRycy9kb3ducmV2LnhtbFBLAQIUABQAAAAIAIdO4kAXy4dcEwIAAHwEAAAO&#10;AAAAAAAAAAEAIAAAACgBAABkcnMvZTJvRG9jLnhtbFBLBQYAAAAABgAGAFkBAACtBQAAAAA=&#10;" path="m0,15l8845,15,8845,0,0,0,0,15xe">
              <v:fill on="t" focussize="0,0"/>
              <v:stroke on="f"/>
              <v:imagedata o:title=""/>
              <o:lock v:ext="edit" aspectratio="f"/>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4B6554"/>
    <w:rsid w:val="024B6554"/>
    <w:rsid w:val="23AC1411"/>
    <w:rsid w:val="28D40E8A"/>
    <w:rsid w:val="29B84693"/>
    <w:rsid w:val="49C00C61"/>
    <w:rsid w:val="7CE24C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qFormat/>
    <w:uiPriority w:val="99"/>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table" w:customStyle="1" w:styleId="5">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1504</Words>
  <Characters>1628</Characters>
  <Lines>0</Lines>
  <Paragraphs>0</Paragraphs>
  <TotalTime>0</TotalTime>
  <ScaleCrop>false</ScaleCrop>
  <LinksUpToDate>false</LinksUpToDate>
  <CharactersWithSpaces>1640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2026-07-10T02:08:00Z</dcterms:created>
  <dc:creator>Administrator</dc:creator>
  <cp:lastModifiedBy>Administrator</cp:lastModifiedBy>
  <cp:lastPrinted>2026-07-10T06:37:00Z</cp:lastPrinted>
  <dcterms:modified xsi:type="dcterms:W3CDTF">2026-07-30T02:10:16Z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4A8B652647AD4F77934AD179C65F3221_11</vt:lpwstr>
  </property>
  <property fmtid="{D5CDD505-2E9C-101B-9397-08002B2CF9AE}" pid="4" name="KSOTemplateDocerSaveRecord">
    <vt:lpwstr>eyJoZGlkIjoiMDYzYzU4YWViYjBiNDhjN2U5M2Y0MmIwYmVjYjRkMTQiLCJ1c2VySWQiOiI1NzUyMDY1MDMifQ==</vt:lpwstr>
  </property>
</Properties>
</file>