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10.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2F8389E">
      <w:pPr>
        <w:pStyle w:val="14"/>
        <w:adjustRightInd w:val="0"/>
        <w:snapToGrid w:val="0"/>
        <w:spacing w:line="240" w:lineRule="atLeast"/>
        <w:jc w:val="center"/>
        <w:rPr>
          <w:rFonts w:hint="eastAsia" w:hAnsi="宋体"/>
        </w:rPr>
      </w:pPr>
    </w:p>
    <w:p w14:paraId="706D8066">
      <w:pPr>
        <w:pStyle w:val="14"/>
        <w:adjustRightInd w:val="0"/>
        <w:snapToGrid w:val="0"/>
        <w:spacing w:line="240" w:lineRule="atLeast"/>
        <w:jc w:val="center"/>
        <w:rPr>
          <w:rFonts w:hint="eastAsia" w:hAnsi="宋体"/>
        </w:rPr>
      </w:pPr>
    </w:p>
    <w:p w14:paraId="587B19F9">
      <w:pPr>
        <w:pStyle w:val="14"/>
        <w:adjustRightInd w:val="0"/>
        <w:snapToGrid w:val="0"/>
        <w:spacing w:line="240" w:lineRule="atLeast"/>
        <w:jc w:val="center"/>
        <w:rPr>
          <w:rFonts w:hint="eastAsia" w:hAnsi="宋体"/>
        </w:rPr>
      </w:pPr>
    </w:p>
    <w:p w14:paraId="381D1423"/>
    <w:p w14:paraId="0D9BA684">
      <w:pPr>
        <w:pStyle w:val="14"/>
        <w:adjustRightInd w:val="0"/>
        <w:snapToGrid w:val="0"/>
        <w:spacing w:line="240" w:lineRule="atLeast"/>
        <w:jc w:val="center"/>
        <w:rPr>
          <w:rFonts w:hint="eastAsia" w:hAnsi="宋体"/>
        </w:rPr>
      </w:pPr>
    </w:p>
    <w:p w14:paraId="6DBA5701">
      <w:pPr>
        <w:pStyle w:val="14"/>
        <w:adjustRightInd w:val="0"/>
        <w:snapToGrid w:val="0"/>
        <w:spacing w:line="240" w:lineRule="atLeast"/>
        <w:ind w:firstLine="2523" w:firstLineChars="300"/>
        <w:jc w:val="both"/>
        <w:rPr>
          <w:rFonts w:hint="eastAsia" w:ascii="华文中宋" w:hAnsi="华文中宋" w:eastAsia="华文中宋"/>
          <w:b/>
          <w:bCs/>
          <w:sz w:val="84"/>
          <w:szCs w:val="84"/>
        </w:rPr>
      </w:pPr>
      <w:r>
        <w:rPr>
          <w:rFonts w:hint="eastAsia" w:ascii="华文中宋" w:hAnsi="华文中宋" w:eastAsia="华文中宋"/>
          <w:b/>
          <w:bCs/>
          <w:sz w:val="84"/>
          <w:szCs w:val="84"/>
        </w:rPr>
        <w:t>政府采购</w:t>
      </w:r>
    </w:p>
    <w:p w14:paraId="29CDF03E">
      <w:pPr>
        <w:pStyle w:val="14"/>
        <w:adjustRightInd w:val="0"/>
        <w:snapToGrid w:val="0"/>
        <w:spacing w:line="240" w:lineRule="atLeast"/>
        <w:ind w:firstLine="841" w:firstLineChars="100"/>
        <w:jc w:val="both"/>
        <w:rPr>
          <w:rFonts w:hint="eastAsia" w:ascii="华文中宋" w:hAnsi="华文中宋" w:eastAsia="华文中宋"/>
          <w:b/>
          <w:bCs/>
          <w:sz w:val="84"/>
          <w:szCs w:val="84"/>
        </w:rPr>
      </w:pPr>
      <w:r>
        <w:rPr>
          <w:rFonts w:hint="eastAsia" w:ascii="华文中宋" w:hAnsi="华文中宋" w:eastAsia="华文中宋"/>
          <w:b/>
          <w:bCs/>
          <w:sz w:val="84"/>
          <w:szCs w:val="84"/>
        </w:rPr>
        <w:t>货物项目招标文件</w:t>
      </w:r>
    </w:p>
    <w:p w14:paraId="12BCD42B">
      <w:pPr>
        <w:pStyle w:val="14"/>
        <w:adjustRightInd w:val="0"/>
        <w:snapToGrid w:val="0"/>
        <w:spacing w:line="240" w:lineRule="atLeast"/>
        <w:rPr>
          <w:rFonts w:hint="eastAsia" w:ascii="华文中宋" w:hAnsi="华文中宋" w:eastAsia="华文中宋"/>
          <w:b/>
          <w:bCs/>
          <w:sz w:val="44"/>
          <w:szCs w:val="44"/>
        </w:rPr>
      </w:pPr>
    </w:p>
    <w:p w14:paraId="5B0189AF">
      <w:pPr>
        <w:rPr>
          <w:rFonts w:hint="eastAsia"/>
        </w:rPr>
      </w:pPr>
    </w:p>
    <w:p w14:paraId="2B1B933A">
      <w:pPr>
        <w:pStyle w:val="14"/>
        <w:adjustRightInd w:val="0"/>
        <w:snapToGrid w:val="0"/>
        <w:spacing w:line="240" w:lineRule="atLeast"/>
        <w:rPr>
          <w:rFonts w:hint="eastAsia" w:ascii="华文中宋" w:hAnsi="华文中宋" w:eastAsia="华文中宋"/>
          <w:bCs/>
        </w:rPr>
      </w:pPr>
    </w:p>
    <w:p w14:paraId="4631BC41">
      <w:pPr>
        <w:adjustRightInd w:val="0"/>
        <w:snapToGrid w:val="0"/>
        <w:spacing w:line="360" w:lineRule="auto"/>
        <w:ind w:left="2570" w:hanging="2570" w:hangingChars="800"/>
        <w:jc w:val="left"/>
        <w:rPr>
          <w:rFonts w:hint="eastAsia" w:hAnsi="宋体" w:eastAsia="宋体"/>
          <w:b/>
          <w:sz w:val="32"/>
          <w:szCs w:val="32"/>
          <w:lang w:eastAsia="zh-CN"/>
        </w:rPr>
      </w:pPr>
      <w:r>
        <w:rPr>
          <w:rFonts w:hint="eastAsia" w:hAnsi="宋体"/>
          <w:b/>
          <w:sz w:val="32"/>
          <w:szCs w:val="32"/>
        </w:rPr>
        <w:t>采购项目名称：</w:t>
      </w:r>
      <w:r>
        <w:rPr>
          <w:rFonts w:hint="eastAsia" w:hAnsi="宋体"/>
          <w:b/>
          <w:sz w:val="32"/>
          <w:szCs w:val="32"/>
          <w:lang w:eastAsia="zh-CN"/>
        </w:rPr>
        <w:t>新化县殡仪馆新建项目相关设备设施采购项目</w:t>
      </w:r>
    </w:p>
    <w:p w14:paraId="027D9510">
      <w:pPr>
        <w:adjustRightInd w:val="0"/>
        <w:snapToGrid w:val="0"/>
        <w:spacing w:line="360" w:lineRule="auto"/>
        <w:rPr>
          <w:rFonts w:hint="eastAsia" w:hAnsi="宋体"/>
          <w:b/>
          <w:sz w:val="32"/>
          <w:szCs w:val="32"/>
        </w:rPr>
      </w:pPr>
      <w:r>
        <w:rPr>
          <w:rFonts w:hint="eastAsia" w:hAnsi="宋体"/>
          <w:b/>
          <w:sz w:val="32"/>
          <w:szCs w:val="32"/>
        </w:rPr>
        <w:t>采购计划编号：</w:t>
      </w:r>
      <w:r>
        <w:rPr>
          <w:rFonts w:hint="eastAsia" w:ascii="Times New Roman" w:hAnsi="宋体" w:cs="Times New Roman"/>
          <w:b/>
          <w:sz w:val="32"/>
          <w:szCs w:val="32"/>
          <w:lang w:eastAsia="zh-CN"/>
        </w:rPr>
        <w:t>新化财采计【202</w:t>
      </w:r>
      <w:r>
        <w:rPr>
          <w:rFonts w:hint="eastAsia" w:ascii="Times New Roman" w:hAnsi="宋体" w:cs="Times New Roman"/>
          <w:b/>
          <w:sz w:val="32"/>
          <w:szCs w:val="32"/>
          <w:lang w:val="en-US" w:eastAsia="zh-CN"/>
        </w:rPr>
        <w:t>6</w:t>
      </w:r>
      <w:r>
        <w:rPr>
          <w:rFonts w:hint="eastAsia" w:ascii="Times New Roman" w:hAnsi="宋体" w:cs="Times New Roman"/>
          <w:b/>
          <w:sz w:val="32"/>
          <w:szCs w:val="32"/>
          <w:lang w:eastAsia="zh-CN"/>
        </w:rPr>
        <w:t>】00</w:t>
      </w:r>
      <w:r>
        <w:rPr>
          <w:rFonts w:hint="eastAsia" w:ascii="Times New Roman" w:hAnsi="宋体" w:cs="Times New Roman"/>
          <w:b/>
          <w:sz w:val="32"/>
          <w:szCs w:val="32"/>
          <w:lang w:val="en-US" w:eastAsia="zh-CN"/>
        </w:rPr>
        <w:t>35</w:t>
      </w:r>
      <w:r>
        <w:rPr>
          <w:rFonts w:hint="eastAsia" w:hAnsi="宋体"/>
          <w:b/>
          <w:sz w:val="32"/>
          <w:szCs w:val="32"/>
        </w:rPr>
        <w:t xml:space="preserve"> </w:t>
      </w:r>
    </w:p>
    <w:p w14:paraId="580766A6">
      <w:pPr>
        <w:adjustRightInd w:val="0"/>
        <w:snapToGrid w:val="0"/>
        <w:spacing w:line="360" w:lineRule="auto"/>
        <w:rPr>
          <w:rFonts w:hint="default" w:hAnsi="宋体" w:eastAsia="宋体"/>
          <w:b/>
          <w:sz w:val="32"/>
          <w:szCs w:val="32"/>
          <w:lang w:val="en-US" w:eastAsia="zh-CN"/>
        </w:rPr>
      </w:pPr>
      <w:r>
        <w:rPr>
          <w:rFonts w:hint="eastAsia" w:hAnsi="宋体"/>
          <w:b/>
          <w:sz w:val="32"/>
          <w:szCs w:val="32"/>
        </w:rPr>
        <w:t>委托代理编号：</w:t>
      </w:r>
      <w:r>
        <w:rPr>
          <w:rFonts w:hint="eastAsia" w:hAnsi="宋体"/>
          <w:b/>
          <w:sz w:val="32"/>
          <w:szCs w:val="32"/>
          <w:lang w:val="en-US" w:eastAsia="zh-CN"/>
        </w:rPr>
        <w:t>LDZC-2026GK0047</w:t>
      </w:r>
    </w:p>
    <w:p w14:paraId="645DD76E">
      <w:pPr>
        <w:adjustRightInd w:val="0"/>
        <w:snapToGrid w:val="0"/>
        <w:spacing w:line="360" w:lineRule="auto"/>
        <w:rPr>
          <w:rFonts w:hint="eastAsia" w:hAnsi="宋体"/>
          <w:b/>
          <w:sz w:val="32"/>
          <w:szCs w:val="32"/>
        </w:rPr>
      </w:pPr>
      <w:r>
        <w:rPr>
          <w:rFonts w:hint="eastAsia" w:hAnsi="宋体"/>
          <w:b/>
          <w:sz w:val="32"/>
          <w:szCs w:val="32"/>
        </w:rPr>
        <w:t>采</w:t>
      </w:r>
      <w:r>
        <w:rPr>
          <w:rFonts w:hint="eastAsia" w:hAnsi="宋体"/>
          <w:b/>
          <w:sz w:val="32"/>
          <w:szCs w:val="32"/>
          <w:lang w:val="en-US" w:eastAsia="zh-CN"/>
        </w:rPr>
        <w:t xml:space="preserve">   </w:t>
      </w:r>
      <w:r>
        <w:rPr>
          <w:rFonts w:hint="eastAsia" w:hAnsi="宋体"/>
          <w:b/>
          <w:sz w:val="32"/>
          <w:szCs w:val="32"/>
        </w:rPr>
        <w:t>购</w:t>
      </w:r>
      <w:r>
        <w:rPr>
          <w:rFonts w:hint="eastAsia" w:hAnsi="宋体"/>
          <w:b/>
          <w:sz w:val="32"/>
          <w:szCs w:val="32"/>
          <w:lang w:val="en-US" w:eastAsia="zh-CN"/>
        </w:rPr>
        <w:t xml:space="preserve">   </w:t>
      </w:r>
      <w:r>
        <w:rPr>
          <w:rFonts w:hint="eastAsia" w:hAnsi="宋体"/>
          <w:b/>
          <w:sz w:val="32"/>
          <w:szCs w:val="32"/>
        </w:rPr>
        <w:t>人：</w:t>
      </w:r>
      <w:r>
        <w:rPr>
          <w:rFonts w:hint="eastAsia" w:hAnsi="宋体"/>
          <w:b/>
          <w:sz w:val="32"/>
          <w:szCs w:val="32"/>
          <w:lang w:eastAsia="zh-CN"/>
        </w:rPr>
        <w:t>新化县民政局</w:t>
      </w:r>
      <w:r>
        <w:rPr>
          <w:rFonts w:hint="eastAsia" w:hAnsi="宋体"/>
          <w:b/>
          <w:sz w:val="32"/>
          <w:szCs w:val="32"/>
        </w:rPr>
        <w:t xml:space="preserve">    </w:t>
      </w:r>
    </w:p>
    <w:p w14:paraId="45F37D67">
      <w:pPr>
        <w:adjustRightInd w:val="0"/>
        <w:snapToGrid w:val="0"/>
        <w:spacing w:line="360" w:lineRule="auto"/>
        <w:rPr>
          <w:rFonts w:hint="eastAsia" w:hAnsi="宋体"/>
          <w:b/>
          <w:sz w:val="32"/>
          <w:szCs w:val="32"/>
        </w:rPr>
      </w:pPr>
      <w:r>
        <w:rPr>
          <w:rFonts w:hint="eastAsia" w:ascii="宋体"/>
          <w:b/>
          <w:sz w:val="32"/>
          <w:szCs w:val="21"/>
        </w:rPr>
        <w:t>采购代理机构：</w:t>
      </w:r>
      <w:r>
        <w:rPr>
          <w:rFonts w:hint="eastAsia" w:hAnsi="宋体"/>
          <w:b/>
          <w:sz w:val="32"/>
          <w:szCs w:val="32"/>
        </w:rPr>
        <w:t xml:space="preserve">娄底市政府采购中心    </w:t>
      </w:r>
    </w:p>
    <w:p w14:paraId="6FB488B7">
      <w:pPr>
        <w:pStyle w:val="14"/>
        <w:adjustRightInd w:val="0"/>
        <w:snapToGrid w:val="0"/>
        <w:spacing w:line="240" w:lineRule="atLeast"/>
        <w:jc w:val="center"/>
        <w:rPr>
          <w:rFonts w:hint="eastAsia" w:hAnsi="宋体"/>
          <w:bCs/>
          <w:sz w:val="32"/>
          <w:szCs w:val="32"/>
        </w:rPr>
      </w:pPr>
    </w:p>
    <w:p w14:paraId="3C8E3FC7">
      <w:pPr>
        <w:pStyle w:val="14"/>
        <w:adjustRightInd w:val="0"/>
        <w:snapToGrid w:val="0"/>
        <w:spacing w:line="240" w:lineRule="atLeast"/>
        <w:rPr>
          <w:rFonts w:hint="eastAsia" w:hAnsi="宋体"/>
          <w:bCs/>
          <w:sz w:val="32"/>
          <w:szCs w:val="32"/>
        </w:rPr>
      </w:pPr>
    </w:p>
    <w:p w14:paraId="76BDD248">
      <w:pPr>
        <w:pStyle w:val="14"/>
        <w:adjustRightInd w:val="0"/>
        <w:snapToGrid w:val="0"/>
        <w:spacing w:line="240" w:lineRule="atLeast"/>
        <w:jc w:val="center"/>
        <w:rPr>
          <w:rFonts w:hint="eastAsia" w:hAnsi="宋体"/>
          <w:b/>
          <w:bCs/>
          <w:sz w:val="32"/>
          <w:szCs w:val="32"/>
        </w:rPr>
      </w:pPr>
      <w:r>
        <w:rPr>
          <w:rFonts w:hint="eastAsia" w:hAnsi="宋体"/>
          <w:b/>
          <w:sz w:val="32"/>
        </w:rPr>
        <w:t>202</w:t>
      </w:r>
      <w:r>
        <w:rPr>
          <w:rFonts w:hint="eastAsia" w:hAnsi="宋体"/>
          <w:b/>
          <w:sz w:val="32"/>
          <w:lang w:val="en-US" w:eastAsia="zh-CN"/>
        </w:rPr>
        <w:t>6</w:t>
      </w:r>
      <w:r>
        <w:rPr>
          <w:rFonts w:hint="eastAsia" w:hAnsi="宋体"/>
          <w:b/>
          <w:sz w:val="32"/>
        </w:rPr>
        <w:t xml:space="preserve">年 </w:t>
      </w:r>
      <w:r>
        <w:rPr>
          <w:rFonts w:hint="eastAsia" w:hAnsi="宋体"/>
          <w:b/>
          <w:sz w:val="32"/>
          <w:lang w:val="en-US" w:eastAsia="zh-CN"/>
        </w:rPr>
        <w:t>07</w:t>
      </w:r>
      <w:r>
        <w:rPr>
          <w:rFonts w:hint="eastAsia" w:hAnsi="宋体"/>
          <w:b/>
          <w:sz w:val="32"/>
        </w:rPr>
        <w:t>月</w:t>
      </w:r>
    </w:p>
    <w:p w14:paraId="0BF2A704">
      <w:pPr>
        <w:pStyle w:val="14"/>
        <w:adjustRightInd w:val="0"/>
        <w:snapToGrid w:val="0"/>
        <w:spacing w:line="240" w:lineRule="atLeast"/>
        <w:jc w:val="center"/>
        <w:rPr>
          <w:rFonts w:hint="eastAsia" w:hAnsi="宋体"/>
          <w:b/>
          <w:bCs/>
          <w:sz w:val="32"/>
          <w:szCs w:val="32"/>
        </w:rPr>
      </w:pPr>
    </w:p>
    <w:p w14:paraId="5B3189ED">
      <w:pPr>
        <w:pStyle w:val="14"/>
        <w:adjustRightInd w:val="0"/>
        <w:snapToGrid w:val="0"/>
        <w:spacing w:line="240" w:lineRule="atLeast"/>
        <w:jc w:val="center"/>
        <w:rPr>
          <w:rFonts w:hint="eastAsia" w:hAnsi="宋体"/>
          <w:b/>
          <w:bCs/>
          <w:sz w:val="32"/>
          <w:szCs w:val="32"/>
        </w:rPr>
        <w:sectPr>
          <w:headerReference r:id="rId5" w:type="default"/>
          <w:pgSz w:w="11906" w:h="16838"/>
          <w:pgMar w:top="1440" w:right="1588" w:bottom="1440" w:left="1588" w:header="851" w:footer="992" w:gutter="0"/>
          <w:pgBorders>
            <w:top w:val="none" w:sz="0" w:space="0"/>
            <w:left w:val="none" w:sz="0" w:space="0"/>
            <w:bottom w:val="none" w:sz="0" w:space="0"/>
            <w:right w:val="none" w:sz="0" w:space="0"/>
          </w:pgBorders>
          <w:cols w:space="720" w:num="1"/>
          <w:docGrid w:type="lines" w:linePitch="312" w:charSpace="0"/>
        </w:sectPr>
      </w:pPr>
    </w:p>
    <w:p w14:paraId="5276E39B">
      <w:pPr>
        <w:pStyle w:val="14"/>
        <w:adjustRightInd w:val="0"/>
        <w:snapToGrid w:val="0"/>
        <w:spacing w:line="360" w:lineRule="auto"/>
        <w:jc w:val="center"/>
        <w:rPr>
          <w:rFonts w:hint="eastAsia" w:ascii="华文中宋" w:hAnsi="华文中宋" w:eastAsia="华文中宋"/>
          <w:b/>
          <w:spacing w:val="160"/>
          <w:sz w:val="36"/>
          <w:szCs w:val="36"/>
        </w:rPr>
      </w:pPr>
      <w:r>
        <w:rPr>
          <w:rFonts w:hint="eastAsia" w:ascii="华文中宋" w:hAnsi="华文中宋" w:eastAsia="华文中宋"/>
          <w:b/>
          <w:spacing w:val="160"/>
          <w:sz w:val="36"/>
          <w:szCs w:val="36"/>
        </w:rPr>
        <w:t>目录</w:t>
      </w:r>
    </w:p>
    <w:p w14:paraId="32F0D83F">
      <w:pPr>
        <w:pStyle w:val="18"/>
        <w:tabs>
          <w:tab w:val="right" w:leader="dot" w:pos="8844"/>
        </w:tabs>
      </w:pPr>
      <w:r>
        <w:rPr>
          <w:b w:val="0"/>
        </w:rPr>
        <w:fldChar w:fldCharType="begin"/>
      </w:r>
      <w:r>
        <w:rPr>
          <w:rStyle w:val="30"/>
          <w:b w:val="0"/>
        </w:rPr>
        <w:instrText xml:space="preserve"> TOC \o "1-4" \h \z \u </w:instrText>
      </w:r>
      <w:r>
        <w:rPr>
          <w:b w:val="0"/>
        </w:rPr>
        <w:fldChar w:fldCharType="separate"/>
      </w:r>
      <w:r>
        <w:fldChar w:fldCharType="begin"/>
      </w:r>
      <w:r>
        <w:instrText xml:space="preserve"> HYPERLINK \l _Toc3347 </w:instrText>
      </w:r>
      <w:r>
        <w:fldChar w:fldCharType="separate"/>
      </w:r>
      <w:r>
        <w:rPr>
          <w:rFonts w:hint="eastAsia" w:ascii="黑体" w:hAnsi="华文中宋" w:eastAsia="黑体"/>
          <w:szCs w:val="32"/>
        </w:rPr>
        <w:t>第一章 投标邀请</w:t>
      </w:r>
      <w:r>
        <w:tab/>
      </w:r>
      <w:r>
        <w:fldChar w:fldCharType="begin"/>
      </w:r>
      <w:r>
        <w:instrText xml:space="preserve"> PAGEREF _Toc3347 </w:instrText>
      </w:r>
      <w:r>
        <w:fldChar w:fldCharType="separate"/>
      </w:r>
      <w:r>
        <w:t>1</w:t>
      </w:r>
      <w:r>
        <w:fldChar w:fldCharType="end"/>
      </w:r>
      <w:r>
        <w:fldChar w:fldCharType="end"/>
      </w:r>
    </w:p>
    <w:p w14:paraId="0B02C224">
      <w:pPr>
        <w:pStyle w:val="18"/>
        <w:tabs>
          <w:tab w:val="right" w:leader="dot" w:pos="8844"/>
        </w:tabs>
      </w:pPr>
      <w:r>
        <w:rPr>
          <w:rFonts w:hAnsi="宋体" w:cs="Times New Roman"/>
        </w:rPr>
        <w:fldChar w:fldCharType="begin"/>
      </w:r>
      <w:r>
        <w:rPr>
          <w:rFonts w:hAnsi="宋体" w:cs="Times New Roman"/>
        </w:rPr>
        <w:instrText xml:space="preserve"> HYPERLINK \l _Toc31751 </w:instrText>
      </w:r>
      <w:r>
        <w:rPr>
          <w:rFonts w:hAnsi="宋体" w:cs="Times New Roman"/>
        </w:rPr>
        <w:fldChar w:fldCharType="separate"/>
      </w:r>
      <w:r>
        <w:rPr>
          <w:rFonts w:hint="eastAsia" w:ascii="黑体" w:hAnsi="华文中宋" w:eastAsia="黑体"/>
          <w:szCs w:val="32"/>
        </w:rPr>
        <w:t>第二章 投标须知</w:t>
      </w:r>
      <w:r>
        <w:tab/>
      </w:r>
      <w:r>
        <w:fldChar w:fldCharType="begin"/>
      </w:r>
      <w:r>
        <w:instrText xml:space="preserve"> PAGEREF _Toc31751 </w:instrText>
      </w:r>
      <w:r>
        <w:fldChar w:fldCharType="separate"/>
      </w:r>
      <w:r>
        <w:t>5</w:t>
      </w:r>
      <w:r>
        <w:fldChar w:fldCharType="end"/>
      </w:r>
      <w:r>
        <w:rPr>
          <w:rFonts w:hAnsi="宋体" w:cs="Times New Roman"/>
        </w:rPr>
        <w:fldChar w:fldCharType="end"/>
      </w:r>
    </w:p>
    <w:p w14:paraId="0EA219DA">
      <w:pPr>
        <w:pStyle w:val="21"/>
        <w:tabs>
          <w:tab w:val="right" w:leader="dot" w:pos="8844"/>
        </w:tabs>
      </w:pPr>
      <w:r>
        <w:rPr>
          <w:rFonts w:hAnsi="宋体" w:cs="Times New Roman"/>
        </w:rPr>
        <w:fldChar w:fldCharType="begin"/>
      </w:r>
      <w:r>
        <w:rPr>
          <w:rFonts w:hAnsi="宋体" w:cs="Times New Roman"/>
        </w:rPr>
        <w:instrText xml:space="preserve"> HYPERLINK \l _Toc20582 </w:instrText>
      </w:r>
      <w:r>
        <w:rPr>
          <w:rFonts w:hAnsi="宋体" w:cs="Times New Roman"/>
        </w:rPr>
        <w:fldChar w:fldCharType="separate"/>
      </w:r>
      <w:r>
        <w:rPr>
          <w:rFonts w:hint="eastAsia" w:ascii="黑体" w:hAnsi="华文中宋" w:eastAsia="黑体"/>
          <w:szCs w:val="28"/>
        </w:rPr>
        <w:t>第一节 投标须知前附表</w:t>
      </w:r>
      <w:r>
        <w:tab/>
      </w:r>
      <w:r>
        <w:fldChar w:fldCharType="begin"/>
      </w:r>
      <w:r>
        <w:instrText xml:space="preserve"> PAGEREF _Toc20582 </w:instrText>
      </w:r>
      <w:r>
        <w:fldChar w:fldCharType="separate"/>
      </w:r>
      <w:r>
        <w:t>5</w:t>
      </w:r>
      <w:r>
        <w:fldChar w:fldCharType="end"/>
      </w:r>
      <w:r>
        <w:rPr>
          <w:rFonts w:hAnsi="宋体" w:cs="Times New Roman"/>
        </w:rPr>
        <w:fldChar w:fldCharType="end"/>
      </w:r>
    </w:p>
    <w:p w14:paraId="299E5CF7">
      <w:pPr>
        <w:pStyle w:val="21"/>
        <w:tabs>
          <w:tab w:val="right" w:leader="dot" w:pos="8844"/>
        </w:tabs>
      </w:pPr>
      <w:r>
        <w:rPr>
          <w:rFonts w:hAnsi="宋体" w:cs="Times New Roman"/>
        </w:rPr>
        <w:fldChar w:fldCharType="begin"/>
      </w:r>
      <w:r>
        <w:rPr>
          <w:rFonts w:hAnsi="宋体" w:cs="Times New Roman"/>
        </w:rPr>
        <w:instrText xml:space="preserve"> HYPERLINK \l _Toc23811 </w:instrText>
      </w:r>
      <w:r>
        <w:rPr>
          <w:rFonts w:hAnsi="宋体" w:cs="Times New Roman"/>
        </w:rPr>
        <w:fldChar w:fldCharType="separate"/>
      </w:r>
      <w:r>
        <w:rPr>
          <w:rFonts w:hint="eastAsia" w:ascii="黑体" w:hAnsi="黑体" w:eastAsia="黑体"/>
          <w:szCs w:val="28"/>
        </w:rPr>
        <w:t>第二节 投标须知</w:t>
      </w:r>
      <w:r>
        <w:tab/>
      </w:r>
      <w:r>
        <w:fldChar w:fldCharType="begin"/>
      </w:r>
      <w:r>
        <w:instrText xml:space="preserve"> PAGEREF _Toc23811 </w:instrText>
      </w:r>
      <w:r>
        <w:fldChar w:fldCharType="separate"/>
      </w:r>
      <w:r>
        <w:t>13</w:t>
      </w:r>
      <w:r>
        <w:fldChar w:fldCharType="end"/>
      </w:r>
      <w:r>
        <w:rPr>
          <w:rFonts w:hAnsi="宋体" w:cs="Times New Roman"/>
        </w:rPr>
        <w:fldChar w:fldCharType="end"/>
      </w:r>
    </w:p>
    <w:p w14:paraId="4D22F2D8">
      <w:pPr>
        <w:pStyle w:val="13"/>
        <w:tabs>
          <w:tab w:val="right" w:leader="dot" w:pos="8844"/>
        </w:tabs>
      </w:pPr>
      <w:r>
        <w:rPr>
          <w:rFonts w:hAnsi="宋体" w:cs="Times New Roman"/>
        </w:rPr>
        <w:fldChar w:fldCharType="begin"/>
      </w:r>
      <w:r>
        <w:rPr>
          <w:rFonts w:hAnsi="宋体" w:cs="Times New Roman"/>
        </w:rPr>
        <w:instrText xml:space="preserve"> HYPERLINK \l _Toc4525 </w:instrText>
      </w:r>
      <w:r>
        <w:rPr>
          <w:rFonts w:hAnsi="宋体" w:cs="Times New Roman"/>
        </w:rPr>
        <w:fldChar w:fldCharType="separate"/>
      </w:r>
      <w:r>
        <w:rPr>
          <w:rFonts w:hint="eastAsia" w:ascii="黑体" w:hAnsi="黑体" w:eastAsia="黑体"/>
          <w:szCs w:val="28"/>
        </w:rPr>
        <w:t>一、总则</w:t>
      </w:r>
      <w:r>
        <w:tab/>
      </w:r>
      <w:r>
        <w:fldChar w:fldCharType="begin"/>
      </w:r>
      <w:r>
        <w:instrText xml:space="preserve"> PAGEREF _Toc4525 </w:instrText>
      </w:r>
      <w:r>
        <w:fldChar w:fldCharType="separate"/>
      </w:r>
      <w:r>
        <w:t>13</w:t>
      </w:r>
      <w:r>
        <w:fldChar w:fldCharType="end"/>
      </w:r>
      <w:r>
        <w:rPr>
          <w:rFonts w:hAnsi="宋体" w:cs="Times New Roman"/>
        </w:rPr>
        <w:fldChar w:fldCharType="end"/>
      </w:r>
    </w:p>
    <w:p w14:paraId="62C8E25B">
      <w:pPr>
        <w:pStyle w:val="13"/>
        <w:tabs>
          <w:tab w:val="right" w:leader="dot" w:pos="8844"/>
        </w:tabs>
      </w:pPr>
      <w:r>
        <w:rPr>
          <w:rFonts w:hAnsi="宋体" w:cs="Times New Roman"/>
        </w:rPr>
        <w:fldChar w:fldCharType="begin"/>
      </w:r>
      <w:r>
        <w:rPr>
          <w:rFonts w:hAnsi="宋体" w:cs="Times New Roman"/>
        </w:rPr>
        <w:instrText xml:space="preserve"> HYPERLINK \l _Toc15644 </w:instrText>
      </w:r>
      <w:r>
        <w:rPr>
          <w:rFonts w:hAnsi="宋体" w:cs="Times New Roman"/>
        </w:rPr>
        <w:fldChar w:fldCharType="separate"/>
      </w:r>
      <w:r>
        <w:rPr>
          <w:rFonts w:hint="eastAsia" w:ascii="黑体" w:hAnsi="黑体" w:eastAsia="黑体"/>
          <w:szCs w:val="28"/>
        </w:rPr>
        <w:t>二、招标文件</w:t>
      </w:r>
      <w:r>
        <w:tab/>
      </w:r>
      <w:r>
        <w:fldChar w:fldCharType="begin"/>
      </w:r>
      <w:r>
        <w:instrText xml:space="preserve"> PAGEREF _Toc15644 </w:instrText>
      </w:r>
      <w:r>
        <w:fldChar w:fldCharType="separate"/>
      </w:r>
      <w:r>
        <w:t>14</w:t>
      </w:r>
      <w:r>
        <w:fldChar w:fldCharType="end"/>
      </w:r>
      <w:r>
        <w:rPr>
          <w:rFonts w:hAnsi="宋体" w:cs="Times New Roman"/>
        </w:rPr>
        <w:fldChar w:fldCharType="end"/>
      </w:r>
    </w:p>
    <w:p w14:paraId="4A1D899E">
      <w:pPr>
        <w:pStyle w:val="13"/>
        <w:tabs>
          <w:tab w:val="right" w:leader="dot" w:pos="8844"/>
        </w:tabs>
      </w:pPr>
      <w:r>
        <w:rPr>
          <w:rFonts w:hAnsi="宋体" w:cs="Times New Roman"/>
        </w:rPr>
        <w:fldChar w:fldCharType="begin"/>
      </w:r>
      <w:r>
        <w:rPr>
          <w:rFonts w:hAnsi="宋体" w:cs="Times New Roman"/>
        </w:rPr>
        <w:instrText xml:space="preserve"> HYPERLINK \l _Toc5052 </w:instrText>
      </w:r>
      <w:r>
        <w:rPr>
          <w:rFonts w:hAnsi="宋体" w:cs="Times New Roman"/>
        </w:rPr>
        <w:fldChar w:fldCharType="separate"/>
      </w:r>
      <w:r>
        <w:rPr>
          <w:rFonts w:hint="eastAsia" w:ascii="黑体" w:hAnsi="黑体" w:eastAsia="黑体"/>
          <w:szCs w:val="28"/>
        </w:rPr>
        <w:t>三、投标文件</w:t>
      </w:r>
      <w:r>
        <w:tab/>
      </w:r>
      <w:r>
        <w:fldChar w:fldCharType="begin"/>
      </w:r>
      <w:r>
        <w:instrText xml:space="preserve"> PAGEREF _Toc5052 </w:instrText>
      </w:r>
      <w:r>
        <w:fldChar w:fldCharType="separate"/>
      </w:r>
      <w:r>
        <w:t>15</w:t>
      </w:r>
      <w:r>
        <w:fldChar w:fldCharType="end"/>
      </w:r>
      <w:r>
        <w:rPr>
          <w:rFonts w:hAnsi="宋体" w:cs="Times New Roman"/>
        </w:rPr>
        <w:fldChar w:fldCharType="end"/>
      </w:r>
    </w:p>
    <w:p w14:paraId="6786A15C">
      <w:pPr>
        <w:pStyle w:val="13"/>
        <w:tabs>
          <w:tab w:val="right" w:leader="dot" w:pos="8844"/>
        </w:tabs>
      </w:pPr>
      <w:r>
        <w:rPr>
          <w:rFonts w:hAnsi="宋体" w:cs="Times New Roman"/>
        </w:rPr>
        <w:fldChar w:fldCharType="begin"/>
      </w:r>
      <w:r>
        <w:rPr>
          <w:rFonts w:hAnsi="宋体" w:cs="Times New Roman"/>
        </w:rPr>
        <w:instrText xml:space="preserve"> HYPERLINK \l _Toc9605 </w:instrText>
      </w:r>
      <w:r>
        <w:rPr>
          <w:rFonts w:hAnsi="宋体" w:cs="Times New Roman"/>
        </w:rPr>
        <w:fldChar w:fldCharType="separate"/>
      </w:r>
      <w:r>
        <w:rPr>
          <w:rFonts w:hint="eastAsia" w:ascii="黑体" w:hAnsi="黑体" w:eastAsia="黑体"/>
          <w:szCs w:val="28"/>
        </w:rPr>
        <w:t>四、投标</w:t>
      </w:r>
      <w:r>
        <w:tab/>
      </w:r>
      <w:r>
        <w:fldChar w:fldCharType="begin"/>
      </w:r>
      <w:r>
        <w:instrText xml:space="preserve"> PAGEREF _Toc9605 </w:instrText>
      </w:r>
      <w:r>
        <w:fldChar w:fldCharType="separate"/>
      </w:r>
      <w:r>
        <w:t>19</w:t>
      </w:r>
      <w:r>
        <w:fldChar w:fldCharType="end"/>
      </w:r>
      <w:r>
        <w:rPr>
          <w:rFonts w:hAnsi="宋体" w:cs="Times New Roman"/>
        </w:rPr>
        <w:fldChar w:fldCharType="end"/>
      </w:r>
    </w:p>
    <w:p w14:paraId="36717884">
      <w:pPr>
        <w:pStyle w:val="13"/>
        <w:tabs>
          <w:tab w:val="right" w:leader="dot" w:pos="8844"/>
        </w:tabs>
      </w:pPr>
      <w:r>
        <w:rPr>
          <w:rFonts w:hAnsi="宋体" w:cs="Times New Roman"/>
        </w:rPr>
        <w:fldChar w:fldCharType="begin"/>
      </w:r>
      <w:r>
        <w:rPr>
          <w:rFonts w:hAnsi="宋体" w:cs="Times New Roman"/>
        </w:rPr>
        <w:instrText xml:space="preserve"> HYPERLINK \l _Toc3553 </w:instrText>
      </w:r>
      <w:r>
        <w:rPr>
          <w:rFonts w:hAnsi="宋体" w:cs="Times New Roman"/>
        </w:rPr>
        <w:fldChar w:fldCharType="separate"/>
      </w:r>
      <w:r>
        <w:rPr>
          <w:rFonts w:hint="eastAsia" w:ascii="黑体" w:hAnsi="黑体" w:eastAsia="黑体"/>
          <w:szCs w:val="28"/>
        </w:rPr>
        <w:t>五、开标，资格审查和评标</w:t>
      </w:r>
      <w:r>
        <w:tab/>
      </w:r>
      <w:r>
        <w:fldChar w:fldCharType="begin"/>
      </w:r>
      <w:r>
        <w:instrText xml:space="preserve"> PAGEREF _Toc3553 </w:instrText>
      </w:r>
      <w:r>
        <w:fldChar w:fldCharType="separate"/>
      </w:r>
      <w:r>
        <w:t>21</w:t>
      </w:r>
      <w:r>
        <w:fldChar w:fldCharType="end"/>
      </w:r>
      <w:r>
        <w:rPr>
          <w:rFonts w:hAnsi="宋体" w:cs="Times New Roman"/>
        </w:rPr>
        <w:fldChar w:fldCharType="end"/>
      </w:r>
    </w:p>
    <w:p w14:paraId="20733606">
      <w:pPr>
        <w:pStyle w:val="13"/>
        <w:tabs>
          <w:tab w:val="right" w:leader="dot" w:pos="8844"/>
        </w:tabs>
      </w:pPr>
      <w:r>
        <w:rPr>
          <w:rFonts w:hAnsi="宋体" w:cs="Times New Roman"/>
        </w:rPr>
        <w:fldChar w:fldCharType="begin"/>
      </w:r>
      <w:r>
        <w:rPr>
          <w:rFonts w:hAnsi="宋体" w:cs="Times New Roman"/>
        </w:rPr>
        <w:instrText xml:space="preserve"> HYPERLINK \l _Toc8083 </w:instrText>
      </w:r>
      <w:r>
        <w:rPr>
          <w:rFonts w:hAnsi="宋体" w:cs="Times New Roman"/>
        </w:rPr>
        <w:fldChar w:fldCharType="separate"/>
      </w:r>
      <w:r>
        <w:rPr>
          <w:rFonts w:hint="eastAsia" w:ascii="宋体" w:hAnsi="宋体"/>
          <w:szCs w:val="28"/>
        </w:rPr>
        <w:t>六、中标信息公布</w:t>
      </w:r>
      <w:r>
        <w:tab/>
      </w:r>
      <w:r>
        <w:fldChar w:fldCharType="begin"/>
      </w:r>
      <w:r>
        <w:instrText xml:space="preserve"> PAGEREF _Toc8083 </w:instrText>
      </w:r>
      <w:r>
        <w:fldChar w:fldCharType="separate"/>
      </w:r>
      <w:r>
        <w:t>22</w:t>
      </w:r>
      <w:r>
        <w:fldChar w:fldCharType="end"/>
      </w:r>
      <w:r>
        <w:rPr>
          <w:rFonts w:hAnsi="宋体" w:cs="Times New Roman"/>
        </w:rPr>
        <w:fldChar w:fldCharType="end"/>
      </w:r>
    </w:p>
    <w:p w14:paraId="2FFBBCDE">
      <w:pPr>
        <w:pStyle w:val="13"/>
        <w:tabs>
          <w:tab w:val="right" w:leader="dot" w:pos="8844"/>
        </w:tabs>
      </w:pPr>
      <w:r>
        <w:rPr>
          <w:rFonts w:hAnsi="宋体" w:cs="Times New Roman"/>
        </w:rPr>
        <w:fldChar w:fldCharType="begin"/>
      </w:r>
      <w:r>
        <w:rPr>
          <w:rFonts w:hAnsi="宋体" w:cs="Times New Roman"/>
        </w:rPr>
        <w:instrText xml:space="preserve"> HYPERLINK \l _Toc24152 </w:instrText>
      </w:r>
      <w:r>
        <w:rPr>
          <w:rFonts w:hAnsi="宋体" w:cs="Times New Roman"/>
        </w:rPr>
        <w:fldChar w:fldCharType="separate"/>
      </w:r>
      <w:r>
        <w:rPr>
          <w:rFonts w:hint="eastAsia" w:ascii="宋体" w:hAnsi="宋体"/>
          <w:szCs w:val="28"/>
        </w:rPr>
        <w:t>七、合同签订</w:t>
      </w:r>
      <w:r>
        <w:tab/>
      </w:r>
      <w:r>
        <w:fldChar w:fldCharType="begin"/>
      </w:r>
      <w:r>
        <w:instrText xml:space="preserve"> PAGEREF _Toc24152 </w:instrText>
      </w:r>
      <w:r>
        <w:fldChar w:fldCharType="separate"/>
      </w:r>
      <w:r>
        <w:t>23</w:t>
      </w:r>
      <w:r>
        <w:fldChar w:fldCharType="end"/>
      </w:r>
      <w:r>
        <w:rPr>
          <w:rFonts w:hAnsi="宋体" w:cs="Times New Roman"/>
        </w:rPr>
        <w:fldChar w:fldCharType="end"/>
      </w:r>
    </w:p>
    <w:p w14:paraId="2F81E234">
      <w:pPr>
        <w:pStyle w:val="13"/>
        <w:tabs>
          <w:tab w:val="right" w:leader="dot" w:pos="8844"/>
        </w:tabs>
      </w:pPr>
      <w:r>
        <w:rPr>
          <w:rFonts w:hAnsi="宋体" w:cs="Times New Roman"/>
        </w:rPr>
        <w:fldChar w:fldCharType="begin"/>
      </w:r>
      <w:r>
        <w:rPr>
          <w:rFonts w:hAnsi="宋体" w:cs="Times New Roman"/>
        </w:rPr>
        <w:instrText xml:space="preserve"> HYPERLINK \l _Toc2538 </w:instrText>
      </w:r>
      <w:r>
        <w:rPr>
          <w:rFonts w:hAnsi="宋体" w:cs="Times New Roman"/>
        </w:rPr>
        <w:fldChar w:fldCharType="separate"/>
      </w:r>
      <w:r>
        <w:rPr>
          <w:rFonts w:hint="eastAsia" w:ascii="宋体" w:hAnsi="宋体"/>
          <w:szCs w:val="28"/>
        </w:rPr>
        <w:t>八、政府采购政策</w:t>
      </w:r>
      <w:r>
        <w:tab/>
      </w:r>
      <w:r>
        <w:fldChar w:fldCharType="begin"/>
      </w:r>
      <w:r>
        <w:instrText xml:space="preserve"> PAGEREF _Toc2538 </w:instrText>
      </w:r>
      <w:r>
        <w:fldChar w:fldCharType="separate"/>
      </w:r>
      <w:r>
        <w:t>24</w:t>
      </w:r>
      <w:r>
        <w:fldChar w:fldCharType="end"/>
      </w:r>
      <w:r>
        <w:rPr>
          <w:rFonts w:hAnsi="宋体" w:cs="Times New Roman"/>
        </w:rPr>
        <w:fldChar w:fldCharType="end"/>
      </w:r>
    </w:p>
    <w:p w14:paraId="563AF633">
      <w:pPr>
        <w:pStyle w:val="13"/>
        <w:tabs>
          <w:tab w:val="right" w:leader="dot" w:pos="8844"/>
        </w:tabs>
      </w:pPr>
      <w:r>
        <w:rPr>
          <w:rFonts w:hAnsi="宋体" w:cs="Times New Roman"/>
        </w:rPr>
        <w:fldChar w:fldCharType="begin"/>
      </w:r>
      <w:r>
        <w:rPr>
          <w:rFonts w:hAnsi="宋体" w:cs="Times New Roman"/>
        </w:rPr>
        <w:instrText xml:space="preserve"> HYPERLINK \l _Toc17728 </w:instrText>
      </w:r>
      <w:r>
        <w:rPr>
          <w:rFonts w:hAnsi="宋体" w:cs="Times New Roman"/>
        </w:rPr>
        <w:fldChar w:fldCharType="separate"/>
      </w:r>
      <w:r>
        <w:rPr>
          <w:rFonts w:hint="eastAsia" w:ascii="宋体" w:hAnsi="宋体"/>
          <w:szCs w:val="28"/>
        </w:rPr>
        <w:t>九、其他规定</w:t>
      </w:r>
      <w:r>
        <w:tab/>
      </w:r>
      <w:r>
        <w:fldChar w:fldCharType="begin"/>
      </w:r>
      <w:r>
        <w:instrText xml:space="preserve"> PAGEREF _Toc17728 </w:instrText>
      </w:r>
      <w:r>
        <w:fldChar w:fldCharType="separate"/>
      </w:r>
      <w:r>
        <w:t>26</w:t>
      </w:r>
      <w:r>
        <w:fldChar w:fldCharType="end"/>
      </w:r>
      <w:r>
        <w:rPr>
          <w:rFonts w:hAnsi="宋体" w:cs="Times New Roman"/>
        </w:rPr>
        <w:fldChar w:fldCharType="end"/>
      </w:r>
    </w:p>
    <w:p w14:paraId="1208A062">
      <w:pPr>
        <w:pStyle w:val="18"/>
        <w:tabs>
          <w:tab w:val="right" w:leader="dot" w:pos="8844"/>
        </w:tabs>
      </w:pPr>
      <w:r>
        <w:rPr>
          <w:rFonts w:hAnsi="宋体" w:cs="Times New Roman"/>
        </w:rPr>
        <w:fldChar w:fldCharType="begin"/>
      </w:r>
      <w:r>
        <w:rPr>
          <w:rFonts w:hAnsi="宋体" w:cs="Times New Roman"/>
        </w:rPr>
        <w:instrText xml:space="preserve"> HYPERLINK \l _Toc14349 </w:instrText>
      </w:r>
      <w:r>
        <w:rPr>
          <w:rFonts w:hAnsi="宋体" w:cs="Times New Roman"/>
        </w:rPr>
        <w:fldChar w:fldCharType="separate"/>
      </w:r>
      <w:r>
        <w:rPr>
          <w:rFonts w:hint="eastAsia" w:ascii="黑体" w:hAnsi="黑体" w:eastAsia="黑体"/>
          <w:szCs w:val="32"/>
        </w:rPr>
        <w:t>第三章 资格审查</w:t>
      </w:r>
      <w:r>
        <w:tab/>
      </w:r>
      <w:r>
        <w:fldChar w:fldCharType="begin"/>
      </w:r>
      <w:r>
        <w:instrText xml:space="preserve"> PAGEREF _Toc14349 </w:instrText>
      </w:r>
      <w:r>
        <w:fldChar w:fldCharType="separate"/>
      </w:r>
      <w:r>
        <w:t>28</w:t>
      </w:r>
      <w:r>
        <w:fldChar w:fldCharType="end"/>
      </w:r>
      <w:r>
        <w:rPr>
          <w:rFonts w:hAnsi="宋体" w:cs="Times New Roman"/>
        </w:rPr>
        <w:fldChar w:fldCharType="end"/>
      </w:r>
    </w:p>
    <w:p w14:paraId="3434B7FB">
      <w:pPr>
        <w:pStyle w:val="13"/>
        <w:tabs>
          <w:tab w:val="right" w:leader="dot" w:pos="8844"/>
        </w:tabs>
      </w:pPr>
      <w:r>
        <w:rPr>
          <w:rFonts w:hAnsi="宋体" w:cs="Times New Roman"/>
        </w:rPr>
        <w:fldChar w:fldCharType="begin"/>
      </w:r>
      <w:r>
        <w:rPr>
          <w:rFonts w:hAnsi="宋体" w:cs="Times New Roman"/>
        </w:rPr>
        <w:instrText xml:space="preserve"> HYPERLINK \l _Toc5224 </w:instrText>
      </w:r>
      <w:r>
        <w:rPr>
          <w:rFonts w:hAnsi="宋体" w:cs="Times New Roman"/>
        </w:rPr>
        <w:fldChar w:fldCharType="separate"/>
      </w:r>
      <w:r>
        <w:rPr>
          <w:rFonts w:hint="eastAsia" w:ascii="黑体" w:hAnsi="黑体" w:eastAsia="黑体"/>
          <w:szCs w:val="24"/>
        </w:rPr>
        <w:t>1．资格审查主体</w:t>
      </w:r>
      <w:r>
        <w:tab/>
      </w:r>
      <w:r>
        <w:fldChar w:fldCharType="begin"/>
      </w:r>
      <w:r>
        <w:instrText xml:space="preserve"> PAGEREF _Toc5224 </w:instrText>
      </w:r>
      <w:r>
        <w:fldChar w:fldCharType="separate"/>
      </w:r>
      <w:r>
        <w:t>28</w:t>
      </w:r>
      <w:r>
        <w:fldChar w:fldCharType="end"/>
      </w:r>
      <w:r>
        <w:rPr>
          <w:rFonts w:hAnsi="宋体" w:cs="Times New Roman"/>
        </w:rPr>
        <w:fldChar w:fldCharType="end"/>
      </w:r>
    </w:p>
    <w:p w14:paraId="51C05BE5">
      <w:pPr>
        <w:pStyle w:val="13"/>
        <w:tabs>
          <w:tab w:val="right" w:leader="dot" w:pos="8844"/>
        </w:tabs>
      </w:pPr>
      <w:r>
        <w:rPr>
          <w:rFonts w:hAnsi="宋体" w:cs="Times New Roman"/>
        </w:rPr>
        <w:fldChar w:fldCharType="begin"/>
      </w:r>
      <w:r>
        <w:rPr>
          <w:rFonts w:hAnsi="宋体" w:cs="Times New Roman"/>
        </w:rPr>
        <w:instrText xml:space="preserve"> HYPERLINK \l _Toc14206 </w:instrText>
      </w:r>
      <w:r>
        <w:rPr>
          <w:rFonts w:hAnsi="宋体" w:cs="Times New Roman"/>
        </w:rPr>
        <w:fldChar w:fldCharType="separate"/>
      </w:r>
      <w:r>
        <w:rPr>
          <w:rFonts w:hint="eastAsia" w:ascii="黑体" w:hAnsi="黑体" w:eastAsia="黑体"/>
          <w:szCs w:val="24"/>
        </w:rPr>
        <w:t>2．资格审查（未进行资格预审的）</w:t>
      </w:r>
      <w:r>
        <w:tab/>
      </w:r>
      <w:r>
        <w:fldChar w:fldCharType="begin"/>
      </w:r>
      <w:r>
        <w:instrText xml:space="preserve"> PAGEREF _Toc14206 </w:instrText>
      </w:r>
      <w:r>
        <w:fldChar w:fldCharType="separate"/>
      </w:r>
      <w:r>
        <w:t>28</w:t>
      </w:r>
      <w:r>
        <w:fldChar w:fldCharType="end"/>
      </w:r>
      <w:r>
        <w:rPr>
          <w:rFonts w:hAnsi="宋体" w:cs="Times New Roman"/>
        </w:rPr>
        <w:fldChar w:fldCharType="end"/>
      </w:r>
    </w:p>
    <w:p w14:paraId="0E74210E">
      <w:pPr>
        <w:pStyle w:val="13"/>
        <w:tabs>
          <w:tab w:val="right" w:leader="dot" w:pos="8844"/>
        </w:tabs>
      </w:pPr>
      <w:r>
        <w:rPr>
          <w:rFonts w:hAnsi="宋体" w:cs="Times New Roman"/>
        </w:rPr>
        <w:fldChar w:fldCharType="begin"/>
      </w:r>
      <w:r>
        <w:rPr>
          <w:rFonts w:hAnsi="宋体" w:cs="Times New Roman"/>
        </w:rPr>
        <w:instrText xml:space="preserve"> HYPERLINK \l _Toc25206 </w:instrText>
      </w:r>
      <w:r>
        <w:rPr>
          <w:rFonts w:hAnsi="宋体" w:cs="Times New Roman"/>
        </w:rPr>
        <w:fldChar w:fldCharType="separate"/>
      </w:r>
      <w:r>
        <w:rPr>
          <w:rFonts w:hint="eastAsia" w:ascii="黑体" w:hAnsi="黑体" w:eastAsia="黑体"/>
          <w:szCs w:val="24"/>
        </w:rPr>
        <w:t>2．资格审查（已进行资格预审的）</w:t>
      </w:r>
      <w:r>
        <w:tab/>
      </w:r>
      <w:r>
        <w:fldChar w:fldCharType="begin"/>
      </w:r>
      <w:r>
        <w:instrText xml:space="preserve"> PAGEREF _Toc25206 </w:instrText>
      </w:r>
      <w:r>
        <w:fldChar w:fldCharType="separate"/>
      </w:r>
      <w:r>
        <w:t>29</w:t>
      </w:r>
      <w:r>
        <w:fldChar w:fldCharType="end"/>
      </w:r>
      <w:r>
        <w:rPr>
          <w:rFonts w:hAnsi="宋体" w:cs="Times New Roman"/>
        </w:rPr>
        <w:fldChar w:fldCharType="end"/>
      </w:r>
    </w:p>
    <w:p w14:paraId="741AC463">
      <w:pPr>
        <w:pStyle w:val="13"/>
        <w:tabs>
          <w:tab w:val="right" w:leader="dot" w:pos="8844"/>
        </w:tabs>
      </w:pPr>
      <w:r>
        <w:rPr>
          <w:rFonts w:hAnsi="宋体" w:cs="Times New Roman"/>
        </w:rPr>
        <w:fldChar w:fldCharType="begin"/>
      </w:r>
      <w:r>
        <w:rPr>
          <w:rFonts w:hAnsi="宋体" w:cs="Times New Roman"/>
        </w:rPr>
        <w:instrText xml:space="preserve"> HYPERLINK \l _Toc11985 </w:instrText>
      </w:r>
      <w:r>
        <w:rPr>
          <w:rFonts w:hAnsi="宋体" w:cs="Times New Roman"/>
        </w:rPr>
        <w:fldChar w:fldCharType="separate"/>
      </w:r>
      <w:r>
        <w:rPr>
          <w:rFonts w:hint="eastAsia" w:ascii="黑体" w:hAnsi="黑体" w:eastAsia="黑体"/>
          <w:szCs w:val="24"/>
        </w:rPr>
        <w:t>3．资格审查结果</w:t>
      </w:r>
      <w:r>
        <w:tab/>
      </w:r>
      <w:r>
        <w:fldChar w:fldCharType="begin"/>
      </w:r>
      <w:r>
        <w:instrText xml:space="preserve"> PAGEREF _Toc11985 </w:instrText>
      </w:r>
      <w:r>
        <w:fldChar w:fldCharType="separate"/>
      </w:r>
      <w:r>
        <w:t>29</w:t>
      </w:r>
      <w:r>
        <w:fldChar w:fldCharType="end"/>
      </w:r>
      <w:r>
        <w:rPr>
          <w:rFonts w:hAnsi="宋体" w:cs="Times New Roman"/>
        </w:rPr>
        <w:fldChar w:fldCharType="end"/>
      </w:r>
    </w:p>
    <w:p w14:paraId="78C928B2">
      <w:pPr>
        <w:pStyle w:val="19"/>
        <w:tabs>
          <w:tab w:val="right" w:leader="dot" w:pos="8844"/>
        </w:tabs>
      </w:pPr>
      <w:r>
        <w:rPr>
          <w:rFonts w:hAnsi="宋体" w:cs="Times New Roman"/>
        </w:rPr>
        <w:fldChar w:fldCharType="begin"/>
      </w:r>
      <w:r>
        <w:rPr>
          <w:rFonts w:hAnsi="宋体" w:cs="Times New Roman"/>
        </w:rPr>
        <w:instrText xml:space="preserve"> HYPERLINK \l _Toc1064 </w:instrText>
      </w:r>
      <w:r>
        <w:rPr>
          <w:rFonts w:hAnsi="宋体" w:cs="Times New Roman"/>
        </w:rPr>
        <w:fldChar w:fldCharType="separate"/>
      </w:r>
      <w:r>
        <w:rPr>
          <w:rFonts w:hint="eastAsia" w:ascii="黑体" w:hAnsi="黑体" w:cs="黑体"/>
          <w:bCs w:val="0"/>
          <w:szCs w:val="21"/>
        </w:rPr>
        <w:t>附表1资格审查表</w:t>
      </w:r>
      <w:r>
        <w:tab/>
      </w:r>
      <w:r>
        <w:fldChar w:fldCharType="begin"/>
      </w:r>
      <w:r>
        <w:instrText xml:space="preserve"> PAGEREF _Toc1064 </w:instrText>
      </w:r>
      <w:r>
        <w:fldChar w:fldCharType="separate"/>
      </w:r>
      <w:r>
        <w:t>30</w:t>
      </w:r>
      <w:r>
        <w:fldChar w:fldCharType="end"/>
      </w:r>
      <w:r>
        <w:rPr>
          <w:rFonts w:hAnsi="宋体" w:cs="Times New Roman"/>
        </w:rPr>
        <w:fldChar w:fldCharType="end"/>
      </w:r>
    </w:p>
    <w:p w14:paraId="5A6CA56E">
      <w:pPr>
        <w:pStyle w:val="19"/>
        <w:tabs>
          <w:tab w:val="right" w:leader="dot" w:pos="8844"/>
        </w:tabs>
      </w:pPr>
      <w:r>
        <w:rPr>
          <w:rFonts w:hAnsi="宋体" w:cs="Times New Roman"/>
        </w:rPr>
        <w:fldChar w:fldCharType="begin"/>
      </w:r>
      <w:r>
        <w:rPr>
          <w:rFonts w:hAnsi="宋体" w:cs="Times New Roman"/>
        </w:rPr>
        <w:instrText xml:space="preserve"> HYPERLINK \l _Toc11868 </w:instrText>
      </w:r>
      <w:r>
        <w:rPr>
          <w:rFonts w:hAnsi="宋体" w:cs="Times New Roman"/>
        </w:rPr>
        <w:fldChar w:fldCharType="separate"/>
      </w:r>
      <w:r>
        <w:rPr>
          <w:rFonts w:hint="eastAsia" w:ascii="黑体" w:hAnsi="黑体"/>
          <w:szCs w:val="21"/>
        </w:rPr>
        <w:t>附表2 资格审查结果一览表</w:t>
      </w:r>
      <w:r>
        <w:tab/>
      </w:r>
      <w:r>
        <w:fldChar w:fldCharType="begin"/>
      </w:r>
      <w:r>
        <w:instrText xml:space="preserve"> PAGEREF _Toc11868 </w:instrText>
      </w:r>
      <w:r>
        <w:fldChar w:fldCharType="separate"/>
      </w:r>
      <w:r>
        <w:t>31</w:t>
      </w:r>
      <w:r>
        <w:fldChar w:fldCharType="end"/>
      </w:r>
      <w:r>
        <w:rPr>
          <w:rFonts w:hAnsi="宋体" w:cs="Times New Roman"/>
        </w:rPr>
        <w:fldChar w:fldCharType="end"/>
      </w:r>
    </w:p>
    <w:p w14:paraId="1693B28A">
      <w:pPr>
        <w:pStyle w:val="19"/>
        <w:tabs>
          <w:tab w:val="right" w:leader="dot" w:pos="8844"/>
        </w:tabs>
      </w:pPr>
      <w:r>
        <w:rPr>
          <w:rFonts w:hAnsi="宋体" w:cs="Times New Roman"/>
        </w:rPr>
        <w:fldChar w:fldCharType="begin"/>
      </w:r>
      <w:r>
        <w:rPr>
          <w:rFonts w:hAnsi="宋体" w:cs="Times New Roman"/>
        </w:rPr>
        <w:instrText xml:space="preserve"> HYPERLINK \l _Toc25796 </w:instrText>
      </w:r>
      <w:r>
        <w:rPr>
          <w:rFonts w:hAnsi="宋体" w:cs="Times New Roman"/>
        </w:rPr>
        <w:fldChar w:fldCharType="separate"/>
      </w:r>
      <w:r>
        <w:rPr>
          <w:rFonts w:hint="eastAsia" w:ascii="黑体" w:hAnsi="黑体"/>
          <w:szCs w:val="21"/>
        </w:rPr>
        <w:t>附表3 资格审查合格投标人名单</w:t>
      </w:r>
      <w:r>
        <w:tab/>
      </w:r>
      <w:r>
        <w:fldChar w:fldCharType="begin"/>
      </w:r>
      <w:r>
        <w:instrText xml:space="preserve"> PAGEREF _Toc25796 </w:instrText>
      </w:r>
      <w:r>
        <w:fldChar w:fldCharType="separate"/>
      </w:r>
      <w:r>
        <w:t>32</w:t>
      </w:r>
      <w:r>
        <w:fldChar w:fldCharType="end"/>
      </w:r>
      <w:r>
        <w:rPr>
          <w:rFonts w:hAnsi="宋体" w:cs="Times New Roman"/>
        </w:rPr>
        <w:fldChar w:fldCharType="end"/>
      </w:r>
    </w:p>
    <w:p w14:paraId="1AFD15B2">
      <w:pPr>
        <w:pStyle w:val="18"/>
        <w:tabs>
          <w:tab w:val="right" w:leader="dot" w:pos="8844"/>
        </w:tabs>
      </w:pPr>
      <w:r>
        <w:rPr>
          <w:rFonts w:hAnsi="宋体" w:cs="Times New Roman"/>
        </w:rPr>
        <w:fldChar w:fldCharType="begin"/>
      </w:r>
      <w:r>
        <w:rPr>
          <w:rFonts w:hAnsi="宋体" w:cs="Times New Roman"/>
        </w:rPr>
        <w:instrText xml:space="preserve"> HYPERLINK \l _Toc18287 </w:instrText>
      </w:r>
      <w:r>
        <w:rPr>
          <w:rFonts w:hAnsi="宋体" w:cs="Times New Roman"/>
        </w:rPr>
        <w:fldChar w:fldCharType="separate"/>
      </w:r>
      <w:r>
        <w:rPr>
          <w:rFonts w:hint="eastAsia" w:ascii="黑体" w:hAnsi="华文中宋" w:eastAsia="黑体"/>
          <w:szCs w:val="32"/>
        </w:rPr>
        <w:t>第四章 评标方法及标准</w:t>
      </w:r>
      <w:r>
        <w:tab/>
      </w:r>
      <w:r>
        <w:fldChar w:fldCharType="begin"/>
      </w:r>
      <w:r>
        <w:instrText xml:space="preserve"> PAGEREF _Toc18287 </w:instrText>
      </w:r>
      <w:r>
        <w:fldChar w:fldCharType="separate"/>
      </w:r>
      <w:r>
        <w:t>33</w:t>
      </w:r>
      <w:r>
        <w:fldChar w:fldCharType="end"/>
      </w:r>
      <w:r>
        <w:rPr>
          <w:rFonts w:hAnsi="宋体" w:cs="Times New Roman"/>
        </w:rPr>
        <w:fldChar w:fldCharType="end"/>
      </w:r>
    </w:p>
    <w:p w14:paraId="3E8679FA">
      <w:pPr>
        <w:pStyle w:val="21"/>
        <w:tabs>
          <w:tab w:val="right" w:leader="dot" w:pos="8844"/>
        </w:tabs>
      </w:pPr>
      <w:r>
        <w:rPr>
          <w:rFonts w:hAnsi="宋体" w:cs="Times New Roman"/>
        </w:rPr>
        <w:fldChar w:fldCharType="begin"/>
      </w:r>
      <w:r>
        <w:rPr>
          <w:rFonts w:hAnsi="宋体" w:cs="Times New Roman"/>
        </w:rPr>
        <w:instrText xml:space="preserve"> HYPERLINK \l _Toc24312 </w:instrText>
      </w:r>
      <w:r>
        <w:rPr>
          <w:rFonts w:hAnsi="宋体" w:cs="Times New Roman"/>
        </w:rPr>
        <w:fldChar w:fldCharType="separate"/>
      </w:r>
      <w:r>
        <w:rPr>
          <w:rFonts w:hint="eastAsia" w:ascii="黑体" w:hAnsi="华文中宋" w:eastAsia="黑体"/>
          <w:szCs w:val="28"/>
        </w:rPr>
        <w:t>第一节 评标方法及标准前附表</w:t>
      </w:r>
      <w:r>
        <w:tab/>
      </w:r>
      <w:r>
        <w:fldChar w:fldCharType="begin"/>
      </w:r>
      <w:r>
        <w:instrText xml:space="preserve"> PAGEREF _Toc24312 </w:instrText>
      </w:r>
      <w:r>
        <w:fldChar w:fldCharType="separate"/>
      </w:r>
      <w:r>
        <w:t>33</w:t>
      </w:r>
      <w:r>
        <w:fldChar w:fldCharType="end"/>
      </w:r>
      <w:r>
        <w:rPr>
          <w:rFonts w:hAnsi="宋体" w:cs="Times New Roman"/>
        </w:rPr>
        <w:fldChar w:fldCharType="end"/>
      </w:r>
    </w:p>
    <w:p w14:paraId="2642A9DA">
      <w:pPr>
        <w:pStyle w:val="21"/>
        <w:tabs>
          <w:tab w:val="right" w:leader="dot" w:pos="8844"/>
        </w:tabs>
      </w:pPr>
      <w:r>
        <w:rPr>
          <w:rFonts w:hAnsi="宋体" w:cs="Times New Roman"/>
        </w:rPr>
        <w:fldChar w:fldCharType="begin"/>
      </w:r>
      <w:r>
        <w:rPr>
          <w:rFonts w:hAnsi="宋体" w:cs="Times New Roman"/>
        </w:rPr>
        <w:instrText xml:space="preserve"> HYPERLINK \l _Toc9778 </w:instrText>
      </w:r>
      <w:r>
        <w:rPr>
          <w:rFonts w:hAnsi="宋体" w:cs="Times New Roman"/>
        </w:rPr>
        <w:fldChar w:fldCharType="separate"/>
      </w:r>
      <w:r>
        <w:rPr>
          <w:rFonts w:hint="eastAsia" w:ascii="黑体" w:hAnsi="华文中宋" w:eastAsia="黑体"/>
          <w:szCs w:val="28"/>
        </w:rPr>
        <w:t>第二节 评标方法及标准</w:t>
      </w:r>
      <w:r>
        <w:tab/>
      </w:r>
      <w:r>
        <w:fldChar w:fldCharType="begin"/>
      </w:r>
      <w:r>
        <w:instrText xml:space="preserve"> PAGEREF _Toc9778 </w:instrText>
      </w:r>
      <w:r>
        <w:fldChar w:fldCharType="separate"/>
      </w:r>
      <w:r>
        <w:t>35</w:t>
      </w:r>
      <w:r>
        <w:fldChar w:fldCharType="end"/>
      </w:r>
      <w:r>
        <w:rPr>
          <w:rFonts w:hAnsi="宋体" w:cs="Times New Roman"/>
        </w:rPr>
        <w:fldChar w:fldCharType="end"/>
      </w:r>
    </w:p>
    <w:p w14:paraId="5B50B265">
      <w:pPr>
        <w:pStyle w:val="13"/>
        <w:tabs>
          <w:tab w:val="right" w:leader="dot" w:pos="8844"/>
        </w:tabs>
      </w:pPr>
      <w:r>
        <w:rPr>
          <w:rFonts w:hAnsi="宋体" w:cs="Times New Roman"/>
        </w:rPr>
        <w:fldChar w:fldCharType="begin"/>
      </w:r>
      <w:r>
        <w:rPr>
          <w:rFonts w:hAnsi="宋体" w:cs="Times New Roman"/>
        </w:rPr>
        <w:instrText xml:space="preserve"> HYPERLINK \l _Toc433 </w:instrText>
      </w:r>
      <w:r>
        <w:rPr>
          <w:rFonts w:hAnsi="宋体" w:cs="Times New Roman"/>
        </w:rPr>
        <w:fldChar w:fldCharType="separate"/>
      </w:r>
      <w:r>
        <w:rPr>
          <w:rFonts w:hint="eastAsia" w:ascii="黑体" w:hAnsi="黑体" w:eastAsia="黑体"/>
          <w:szCs w:val="24"/>
        </w:rPr>
        <w:t>1．评标方法</w:t>
      </w:r>
      <w:r>
        <w:tab/>
      </w:r>
      <w:r>
        <w:fldChar w:fldCharType="begin"/>
      </w:r>
      <w:r>
        <w:instrText xml:space="preserve"> PAGEREF _Toc433 </w:instrText>
      </w:r>
      <w:r>
        <w:fldChar w:fldCharType="separate"/>
      </w:r>
      <w:r>
        <w:t>35</w:t>
      </w:r>
      <w:r>
        <w:fldChar w:fldCharType="end"/>
      </w:r>
      <w:r>
        <w:rPr>
          <w:rFonts w:hAnsi="宋体" w:cs="Times New Roman"/>
        </w:rPr>
        <w:fldChar w:fldCharType="end"/>
      </w:r>
    </w:p>
    <w:p w14:paraId="294EEBAE">
      <w:pPr>
        <w:pStyle w:val="13"/>
        <w:tabs>
          <w:tab w:val="right" w:leader="dot" w:pos="8844"/>
        </w:tabs>
      </w:pPr>
      <w:r>
        <w:rPr>
          <w:rFonts w:hAnsi="宋体" w:cs="Times New Roman"/>
        </w:rPr>
        <w:fldChar w:fldCharType="begin"/>
      </w:r>
      <w:r>
        <w:rPr>
          <w:rFonts w:hAnsi="宋体" w:cs="Times New Roman"/>
        </w:rPr>
        <w:instrText xml:space="preserve"> HYPERLINK \l _Toc2979 </w:instrText>
      </w:r>
      <w:r>
        <w:rPr>
          <w:rFonts w:hAnsi="宋体" w:cs="Times New Roman"/>
        </w:rPr>
        <w:fldChar w:fldCharType="separate"/>
      </w:r>
      <w:r>
        <w:rPr>
          <w:rFonts w:hint="eastAsia" w:ascii="黑体" w:hAnsi="黑体" w:eastAsia="黑体"/>
          <w:bCs w:val="0"/>
          <w:szCs w:val="24"/>
        </w:rPr>
        <w:t>2．评标程序</w:t>
      </w:r>
      <w:r>
        <w:tab/>
      </w:r>
      <w:r>
        <w:fldChar w:fldCharType="begin"/>
      </w:r>
      <w:r>
        <w:instrText xml:space="preserve"> PAGEREF _Toc2979 </w:instrText>
      </w:r>
      <w:r>
        <w:fldChar w:fldCharType="separate"/>
      </w:r>
      <w:r>
        <w:t>35</w:t>
      </w:r>
      <w:r>
        <w:fldChar w:fldCharType="end"/>
      </w:r>
      <w:r>
        <w:rPr>
          <w:rFonts w:hAnsi="宋体" w:cs="Times New Roman"/>
        </w:rPr>
        <w:fldChar w:fldCharType="end"/>
      </w:r>
    </w:p>
    <w:p w14:paraId="11B0075E">
      <w:pPr>
        <w:pStyle w:val="13"/>
        <w:tabs>
          <w:tab w:val="right" w:leader="dot" w:pos="8844"/>
        </w:tabs>
      </w:pPr>
      <w:r>
        <w:rPr>
          <w:rFonts w:hAnsi="宋体" w:cs="Times New Roman"/>
        </w:rPr>
        <w:fldChar w:fldCharType="begin"/>
      </w:r>
      <w:r>
        <w:rPr>
          <w:rFonts w:hAnsi="宋体" w:cs="Times New Roman"/>
        </w:rPr>
        <w:instrText xml:space="preserve"> HYPERLINK \l _Toc18610 </w:instrText>
      </w:r>
      <w:r>
        <w:rPr>
          <w:rFonts w:hAnsi="宋体" w:cs="Times New Roman"/>
        </w:rPr>
        <w:fldChar w:fldCharType="separate"/>
      </w:r>
      <w:r>
        <w:rPr>
          <w:rFonts w:hint="eastAsia" w:ascii="黑体" w:hAnsi="黑体" w:eastAsia="黑体"/>
          <w:bCs w:val="0"/>
          <w:szCs w:val="24"/>
        </w:rPr>
        <w:t>3．投标文件的符合性审查</w:t>
      </w:r>
      <w:r>
        <w:tab/>
      </w:r>
      <w:r>
        <w:fldChar w:fldCharType="begin"/>
      </w:r>
      <w:r>
        <w:instrText xml:space="preserve"> PAGEREF _Toc18610 </w:instrText>
      </w:r>
      <w:r>
        <w:fldChar w:fldCharType="separate"/>
      </w:r>
      <w:r>
        <w:t>35</w:t>
      </w:r>
      <w:r>
        <w:fldChar w:fldCharType="end"/>
      </w:r>
      <w:r>
        <w:rPr>
          <w:rFonts w:hAnsi="宋体" w:cs="Times New Roman"/>
        </w:rPr>
        <w:fldChar w:fldCharType="end"/>
      </w:r>
    </w:p>
    <w:p w14:paraId="4428F4F5">
      <w:pPr>
        <w:pStyle w:val="13"/>
        <w:tabs>
          <w:tab w:val="right" w:leader="dot" w:pos="8844"/>
        </w:tabs>
      </w:pPr>
      <w:r>
        <w:rPr>
          <w:rFonts w:hAnsi="宋体" w:cs="Times New Roman"/>
        </w:rPr>
        <w:fldChar w:fldCharType="begin"/>
      </w:r>
      <w:r>
        <w:rPr>
          <w:rFonts w:hAnsi="宋体" w:cs="Times New Roman"/>
        </w:rPr>
        <w:instrText xml:space="preserve"> HYPERLINK \l _Toc12356 </w:instrText>
      </w:r>
      <w:r>
        <w:rPr>
          <w:rFonts w:hAnsi="宋体" w:cs="Times New Roman"/>
        </w:rPr>
        <w:fldChar w:fldCharType="separate"/>
      </w:r>
      <w:r>
        <w:rPr>
          <w:rFonts w:hint="eastAsia" w:ascii="黑体" w:hAnsi="黑体" w:eastAsia="黑体"/>
          <w:bCs w:val="0"/>
          <w:szCs w:val="24"/>
        </w:rPr>
        <w:t>4．投标文件的澄清</w:t>
      </w:r>
      <w:r>
        <w:tab/>
      </w:r>
      <w:r>
        <w:fldChar w:fldCharType="begin"/>
      </w:r>
      <w:r>
        <w:instrText xml:space="preserve"> PAGEREF _Toc12356 </w:instrText>
      </w:r>
      <w:r>
        <w:fldChar w:fldCharType="separate"/>
      </w:r>
      <w:r>
        <w:t>35</w:t>
      </w:r>
      <w:r>
        <w:fldChar w:fldCharType="end"/>
      </w:r>
      <w:r>
        <w:rPr>
          <w:rFonts w:hAnsi="宋体" w:cs="Times New Roman"/>
        </w:rPr>
        <w:fldChar w:fldCharType="end"/>
      </w:r>
    </w:p>
    <w:p w14:paraId="03F9ABA8">
      <w:pPr>
        <w:pStyle w:val="13"/>
        <w:tabs>
          <w:tab w:val="right" w:leader="dot" w:pos="8844"/>
        </w:tabs>
      </w:pPr>
      <w:r>
        <w:rPr>
          <w:rFonts w:hAnsi="宋体" w:cs="Times New Roman"/>
        </w:rPr>
        <w:fldChar w:fldCharType="begin"/>
      </w:r>
      <w:r>
        <w:rPr>
          <w:rFonts w:hAnsi="宋体" w:cs="Times New Roman"/>
        </w:rPr>
        <w:instrText xml:space="preserve"> HYPERLINK \l _Toc20220 </w:instrText>
      </w:r>
      <w:r>
        <w:rPr>
          <w:rFonts w:hAnsi="宋体" w:cs="Times New Roman"/>
        </w:rPr>
        <w:fldChar w:fldCharType="separate"/>
      </w:r>
      <w:r>
        <w:rPr>
          <w:rFonts w:hint="eastAsia" w:ascii="黑体" w:hAnsi="黑体" w:eastAsia="黑体"/>
          <w:bCs w:val="0"/>
          <w:szCs w:val="24"/>
        </w:rPr>
        <w:t>5．投标文件的比较与评价</w:t>
      </w:r>
      <w:r>
        <w:tab/>
      </w:r>
      <w:r>
        <w:fldChar w:fldCharType="begin"/>
      </w:r>
      <w:r>
        <w:instrText xml:space="preserve"> PAGEREF _Toc20220 </w:instrText>
      </w:r>
      <w:r>
        <w:fldChar w:fldCharType="separate"/>
      </w:r>
      <w:r>
        <w:t>37</w:t>
      </w:r>
      <w:r>
        <w:fldChar w:fldCharType="end"/>
      </w:r>
      <w:r>
        <w:rPr>
          <w:rFonts w:hAnsi="宋体" w:cs="Times New Roman"/>
        </w:rPr>
        <w:fldChar w:fldCharType="end"/>
      </w:r>
    </w:p>
    <w:p w14:paraId="61E52AA5">
      <w:pPr>
        <w:pStyle w:val="13"/>
        <w:tabs>
          <w:tab w:val="right" w:leader="dot" w:pos="8844"/>
        </w:tabs>
      </w:pPr>
      <w:r>
        <w:rPr>
          <w:rFonts w:hAnsi="宋体" w:cs="Times New Roman"/>
        </w:rPr>
        <w:fldChar w:fldCharType="begin"/>
      </w:r>
      <w:r>
        <w:rPr>
          <w:rFonts w:hAnsi="宋体" w:cs="Times New Roman"/>
        </w:rPr>
        <w:instrText xml:space="preserve"> HYPERLINK \l _Toc7547 </w:instrText>
      </w:r>
      <w:r>
        <w:rPr>
          <w:rFonts w:hAnsi="宋体" w:cs="Times New Roman"/>
        </w:rPr>
        <w:fldChar w:fldCharType="separate"/>
      </w:r>
      <w:r>
        <w:rPr>
          <w:rFonts w:hint="eastAsia" w:ascii="黑体" w:hAnsi="黑体" w:eastAsia="黑体"/>
          <w:bCs w:val="0"/>
          <w:szCs w:val="24"/>
        </w:rPr>
        <w:t>6．</w:t>
      </w:r>
      <w:r>
        <w:rPr>
          <w:rFonts w:hint="eastAsia" w:ascii="黑体" w:hAnsi="黑体" w:eastAsia="黑体"/>
          <w:szCs w:val="24"/>
        </w:rPr>
        <w:t>推荐中标候选人</w:t>
      </w:r>
      <w:r>
        <w:tab/>
      </w:r>
      <w:r>
        <w:fldChar w:fldCharType="begin"/>
      </w:r>
      <w:r>
        <w:instrText xml:space="preserve"> PAGEREF _Toc7547 </w:instrText>
      </w:r>
      <w:r>
        <w:fldChar w:fldCharType="separate"/>
      </w:r>
      <w:r>
        <w:t>37</w:t>
      </w:r>
      <w:r>
        <w:fldChar w:fldCharType="end"/>
      </w:r>
      <w:r>
        <w:rPr>
          <w:rFonts w:hAnsi="宋体" w:cs="Times New Roman"/>
        </w:rPr>
        <w:fldChar w:fldCharType="end"/>
      </w:r>
    </w:p>
    <w:p w14:paraId="06F9962E">
      <w:pPr>
        <w:pStyle w:val="13"/>
        <w:tabs>
          <w:tab w:val="right" w:leader="dot" w:pos="8844"/>
        </w:tabs>
      </w:pPr>
      <w:r>
        <w:rPr>
          <w:rFonts w:hAnsi="宋体" w:cs="Times New Roman"/>
        </w:rPr>
        <w:fldChar w:fldCharType="begin"/>
      </w:r>
      <w:r>
        <w:rPr>
          <w:rFonts w:hAnsi="宋体" w:cs="Times New Roman"/>
        </w:rPr>
        <w:instrText xml:space="preserve"> HYPERLINK \l _Toc28986 </w:instrText>
      </w:r>
      <w:r>
        <w:rPr>
          <w:rFonts w:hAnsi="宋体" w:cs="Times New Roman"/>
        </w:rPr>
        <w:fldChar w:fldCharType="separate"/>
      </w:r>
      <w:r>
        <w:rPr>
          <w:rFonts w:hint="eastAsia" w:ascii="黑体" w:hAnsi="黑体" w:eastAsia="黑体"/>
          <w:bCs w:val="0"/>
          <w:szCs w:val="24"/>
        </w:rPr>
        <w:t>7．</w:t>
      </w:r>
      <w:r>
        <w:rPr>
          <w:rFonts w:hint="eastAsia" w:ascii="黑体" w:hAnsi="黑体" w:eastAsia="黑体"/>
          <w:szCs w:val="24"/>
        </w:rPr>
        <w:t>编写评标报告</w:t>
      </w:r>
      <w:r>
        <w:tab/>
      </w:r>
      <w:r>
        <w:fldChar w:fldCharType="begin"/>
      </w:r>
      <w:r>
        <w:instrText xml:space="preserve"> PAGEREF _Toc28986 </w:instrText>
      </w:r>
      <w:r>
        <w:fldChar w:fldCharType="separate"/>
      </w:r>
      <w:r>
        <w:t>38</w:t>
      </w:r>
      <w:r>
        <w:fldChar w:fldCharType="end"/>
      </w:r>
      <w:r>
        <w:rPr>
          <w:rFonts w:hAnsi="宋体" w:cs="Times New Roman"/>
        </w:rPr>
        <w:fldChar w:fldCharType="end"/>
      </w:r>
    </w:p>
    <w:p w14:paraId="43B9793F">
      <w:pPr>
        <w:pStyle w:val="13"/>
        <w:tabs>
          <w:tab w:val="right" w:leader="dot" w:pos="8844"/>
        </w:tabs>
      </w:pPr>
      <w:r>
        <w:rPr>
          <w:rFonts w:hAnsi="宋体" w:cs="Times New Roman"/>
        </w:rPr>
        <w:fldChar w:fldCharType="begin"/>
      </w:r>
      <w:r>
        <w:rPr>
          <w:rFonts w:hAnsi="宋体" w:cs="Times New Roman"/>
        </w:rPr>
        <w:instrText xml:space="preserve"> HYPERLINK \l _Toc15028 </w:instrText>
      </w:r>
      <w:r>
        <w:rPr>
          <w:rFonts w:hAnsi="宋体" w:cs="Times New Roman"/>
        </w:rPr>
        <w:fldChar w:fldCharType="separate"/>
      </w:r>
      <w:r>
        <w:rPr>
          <w:rFonts w:hint="eastAsia" w:ascii="黑体" w:hAnsi="黑体" w:eastAsia="黑体"/>
          <w:bCs w:val="0"/>
          <w:szCs w:val="24"/>
        </w:rPr>
        <w:t>8．</w:t>
      </w:r>
      <w:r>
        <w:rPr>
          <w:rFonts w:hint="eastAsia" w:ascii="黑体" w:hAnsi="黑体" w:eastAsia="黑体"/>
          <w:szCs w:val="24"/>
        </w:rPr>
        <w:t>评标报告</w:t>
      </w:r>
      <w:r>
        <w:rPr>
          <w:rFonts w:hint="eastAsia" w:ascii="黑体" w:hAnsi="黑体" w:eastAsia="黑体"/>
          <w:bCs w:val="0"/>
          <w:szCs w:val="24"/>
        </w:rPr>
        <w:t>复核</w:t>
      </w:r>
      <w:r>
        <w:tab/>
      </w:r>
      <w:r>
        <w:fldChar w:fldCharType="begin"/>
      </w:r>
      <w:r>
        <w:instrText xml:space="preserve"> PAGEREF _Toc15028 </w:instrText>
      </w:r>
      <w:r>
        <w:fldChar w:fldCharType="separate"/>
      </w:r>
      <w:r>
        <w:t>38</w:t>
      </w:r>
      <w:r>
        <w:fldChar w:fldCharType="end"/>
      </w:r>
      <w:r>
        <w:rPr>
          <w:rFonts w:hAnsi="宋体" w:cs="Times New Roman"/>
        </w:rPr>
        <w:fldChar w:fldCharType="end"/>
      </w:r>
    </w:p>
    <w:p w14:paraId="6AFD1F8F">
      <w:pPr>
        <w:pStyle w:val="13"/>
        <w:tabs>
          <w:tab w:val="right" w:leader="dot" w:pos="8844"/>
        </w:tabs>
      </w:pPr>
      <w:r>
        <w:rPr>
          <w:rFonts w:hAnsi="宋体" w:cs="Times New Roman"/>
        </w:rPr>
        <w:fldChar w:fldCharType="begin"/>
      </w:r>
      <w:r>
        <w:rPr>
          <w:rFonts w:hAnsi="宋体" w:cs="Times New Roman"/>
        </w:rPr>
        <w:instrText xml:space="preserve"> HYPERLINK \l _Toc18644 </w:instrText>
      </w:r>
      <w:r>
        <w:rPr>
          <w:rFonts w:hAnsi="宋体" w:cs="Times New Roman"/>
        </w:rPr>
        <w:fldChar w:fldCharType="separate"/>
      </w:r>
      <w:r>
        <w:rPr>
          <w:rFonts w:hint="eastAsia" w:ascii="黑体" w:hAnsi="黑体" w:eastAsia="黑体"/>
          <w:szCs w:val="24"/>
        </w:rPr>
        <w:t>9．</w:t>
      </w:r>
      <w:r>
        <w:rPr>
          <w:rFonts w:hint="eastAsia" w:ascii="黑体" w:hAnsi="黑体" w:eastAsia="黑体"/>
          <w:bCs w:val="0"/>
          <w:szCs w:val="24"/>
        </w:rPr>
        <w:t>停止评标</w:t>
      </w:r>
      <w:r>
        <w:tab/>
      </w:r>
      <w:r>
        <w:fldChar w:fldCharType="begin"/>
      </w:r>
      <w:r>
        <w:instrText xml:space="preserve"> PAGEREF _Toc18644 </w:instrText>
      </w:r>
      <w:r>
        <w:fldChar w:fldCharType="separate"/>
      </w:r>
      <w:r>
        <w:t>38</w:t>
      </w:r>
      <w:r>
        <w:fldChar w:fldCharType="end"/>
      </w:r>
      <w:r>
        <w:rPr>
          <w:rFonts w:hAnsi="宋体" w:cs="Times New Roman"/>
        </w:rPr>
        <w:fldChar w:fldCharType="end"/>
      </w:r>
    </w:p>
    <w:p w14:paraId="63A21090">
      <w:pPr>
        <w:pStyle w:val="13"/>
        <w:tabs>
          <w:tab w:val="right" w:leader="dot" w:pos="8844"/>
        </w:tabs>
      </w:pPr>
      <w:r>
        <w:rPr>
          <w:rFonts w:hAnsi="宋体" w:cs="Times New Roman"/>
        </w:rPr>
        <w:fldChar w:fldCharType="begin"/>
      </w:r>
      <w:r>
        <w:rPr>
          <w:rFonts w:hAnsi="宋体" w:cs="Times New Roman"/>
        </w:rPr>
        <w:instrText xml:space="preserve"> HYPERLINK \l _Toc29884 </w:instrText>
      </w:r>
      <w:r>
        <w:rPr>
          <w:rFonts w:hAnsi="宋体" w:cs="Times New Roman"/>
        </w:rPr>
        <w:fldChar w:fldCharType="separate"/>
      </w:r>
      <w:r>
        <w:rPr>
          <w:rFonts w:hint="eastAsia" w:ascii="黑体" w:hAnsi="黑体" w:eastAsia="黑体"/>
          <w:szCs w:val="24"/>
        </w:rPr>
        <w:t>10</w:t>
      </w:r>
      <w:r>
        <w:rPr>
          <w:rFonts w:hint="eastAsia" w:ascii="黑体" w:hAnsi="黑体" w:eastAsia="黑体" w:cs="宋体"/>
          <w:kern w:val="0"/>
          <w:szCs w:val="24"/>
        </w:rPr>
        <w:t>．</w:t>
      </w:r>
      <w:r>
        <w:rPr>
          <w:rFonts w:hint="eastAsia" w:ascii="黑体" w:hAnsi="黑体" w:eastAsia="黑体"/>
          <w:szCs w:val="24"/>
        </w:rPr>
        <w:t>废标</w:t>
      </w:r>
      <w:r>
        <w:tab/>
      </w:r>
      <w:r>
        <w:fldChar w:fldCharType="begin"/>
      </w:r>
      <w:r>
        <w:instrText xml:space="preserve"> PAGEREF _Toc29884 </w:instrText>
      </w:r>
      <w:r>
        <w:fldChar w:fldCharType="separate"/>
      </w:r>
      <w:r>
        <w:t>38</w:t>
      </w:r>
      <w:r>
        <w:fldChar w:fldCharType="end"/>
      </w:r>
      <w:r>
        <w:rPr>
          <w:rFonts w:hAnsi="宋体" w:cs="Times New Roman"/>
        </w:rPr>
        <w:fldChar w:fldCharType="end"/>
      </w:r>
    </w:p>
    <w:p w14:paraId="5AF035D3">
      <w:pPr>
        <w:pStyle w:val="13"/>
        <w:tabs>
          <w:tab w:val="right" w:leader="dot" w:pos="8844"/>
        </w:tabs>
      </w:pPr>
      <w:r>
        <w:rPr>
          <w:rFonts w:hAnsi="宋体" w:cs="Times New Roman"/>
        </w:rPr>
        <w:fldChar w:fldCharType="begin"/>
      </w:r>
      <w:r>
        <w:rPr>
          <w:rFonts w:hAnsi="宋体" w:cs="Times New Roman"/>
        </w:rPr>
        <w:instrText xml:space="preserve"> HYPERLINK \l _Toc27735 </w:instrText>
      </w:r>
      <w:r>
        <w:rPr>
          <w:rFonts w:hAnsi="宋体" w:cs="Times New Roman"/>
        </w:rPr>
        <w:fldChar w:fldCharType="separate"/>
      </w:r>
      <w:r>
        <w:rPr>
          <w:rFonts w:hint="eastAsia" w:ascii="黑体" w:hAnsi="黑体" w:eastAsia="黑体" w:cs="宋体"/>
          <w:kern w:val="0"/>
          <w:szCs w:val="24"/>
        </w:rPr>
        <w:t>11．重新组建评标委员会进行评标</w:t>
      </w:r>
      <w:r>
        <w:tab/>
      </w:r>
      <w:r>
        <w:fldChar w:fldCharType="begin"/>
      </w:r>
      <w:r>
        <w:instrText xml:space="preserve"> PAGEREF _Toc27735 </w:instrText>
      </w:r>
      <w:r>
        <w:fldChar w:fldCharType="separate"/>
      </w:r>
      <w:r>
        <w:t>39</w:t>
      </w:r>
      <w:r>
        <w:fldChar w:fldCharType="end"/>
      </w:r>
      <w:r>
        <w:rPr>
          <w:rFonts w:hAnsi="宋体" w:cs="Times New Roman"/>
        </w:rPr>
        <w:fldChar w:fldCharType="end"/>
      </w:r>
    </w:p>
    <w:p w14:paraId="5EEEFD1F">
      <w:pPr>
        <w:pStyle w:val="21"/>
        <w:tabs>
          <w:tab w:val="right" w:leader="dot" w:pos="8844"/>
        </w:tabs>
      </w:pPr>
      <w:r>
        <w:rPr>
          <w:rFonts w:hAnsi="宋体" w:cs="Times New Roman"/>
        </w:rPr>
        <w:fldChar w:fldCharType="begin"/>
      </w:r>
      <w:r>
        <w:rPr>
          <w:rFonts w:hAnsi="宋体" w:cs="Times New Roman"/>
        </w:rPr>
        <w:instrText xml:space="preserve"> HYPERLINK \l _Toc22784 </w:instrText>
      </w:r>
      <w:r>
        <w:rPr>
          <w:rFonts w:hAnsi="宋体" w:cs="Times New Roman"/>
        </w:rPr>
        <w:fldChar w:fldCharType="separate"/>
      </w:r>
      <w:r>
        <w:rPr>
          <w:rFonts w:hint="eastAsia" w:ascii="黑体" w:hAnsi="华文中宋" w:eastAsia="黑体"/>
          <w:szCs w:val="28"/>
        </w:rPr>
        <w:t>第三节 投标文件的符合性审查</w:t>
      </w:r>
      <w:r>
        <w:tab/>
      </w:r>
      <w:r>
        <w:fldChar w:fldCharType="begin"/>
      </w:r>
      <w:r>
        <w:instrText xml:space="preserve"> PAGEREF _Toc22784 </w:instrText>
      </w:r>
      <w:r>
        <w:fldChar w:fldCharType="separate"/>
      </w:r>
      <w:r>
        <w:t>40</w:t>
      </w:r>
      <w:r>
        <w:fldChar w:fldCharType="end"/>
      </w:r>
      <w:r>
        <w:rPr>
          <w:rFonts w:hAnsi="宋体" w:cs="Times New Roman"/>
        </w:rPr>
        <w:fldChar w:fldCharType="end"/>
      </w:r>
    </w:p>
    <w:p w14:paraId="7ACAB347">
      <w:pPr>
        <w:pStyle w:val="13"/>
        <w:tabs>
          <w:tab w:val="right" w:leader="dot" w:pos="8844"/>
        </w:tabs>
      </w:pPr>
      <w:r>
        <w:rPr>
          <w:rFonts w:hAnsi="宋体" w:cs="Times New Roman"/>
        </w:rPr>
        <w:fldChar w:fldCharType="begin"/>
      </w:r>
      <w:r>
        <w:rPr>
          <w:rFonts w:hAnsi="宋体" w:cs="Times New Roman"/>
        </w:rPr>
        <w:instrText xml:space="preserve"> HYPERLINK \l _Toc2123 </w:instrText>
      </w:r>
      <w:r>
        <w:rPr>
          <w:rFonts w:hAnsi="宋体" w:cs="Times New Roman"/>
        </w:rPr>
        <w:fldChar w:fldCharType="separate"/>
      </w:r>
      <w:r>
        <w:rPr>
          <w:rFonts w:hint="eastAsia" w:ascii="黑体" w:hAnsi="黑体" w:eastAsia="黑体" w:cs="黑体"/>
          <w:bCs w:val="0"/>
          <w:szCs w:val="21"/>
        </w:rPr>
        <w:t>附表1 符合性审查表</w:t>
      </w:r>
      <w:r>
        <w:tab/>
      </w:r>
      <w:r>
        <w:fldChar w:fldCharType="begin"/>
      </w:r>
      <w:r>
        <w:instrText xml:space="preserve"> PAGEREF _Toc2123 </w:instrText>
      </w:r>
      <w:r>
        <w:fldChar w:fldCharType="separate"/>
      </w:r>
      <w:r>
        <w:t>41</w:t>
      </w:r>
      <w:r>
        <w:fldChar w:fldCharType="end"/>
      </w:r>
      <w:r>
        <w:rPr>
          <w:rFonts w:hAnsi="宋体" w:cs="Times New Roman"/>
        </w:rPr>
        <w:fldChar w:fldCharType="end"/>
      </w:r>
    </w:p>
    <w:p w14:paraId="62A65454">
      <w:pPr>
        <w:pStyle w:val="13"/>
        <w:tabs>
          <w:tab w:val="right" w:leader="dot" w:pos="8844"/>
        </w:tabs>
      </w:pPr>
      <w:r>
        <w:rPr>
          <w:rFonts w:hAnsi="宋体" w:cs="Times New Roman"/>
        </w:rPr>
        <w:fldChar w:fldCharType="begin"/>
      </w:r>
      <w:r>
        <w:rPr>
          <w:rFonts w:hAnsi="宋体" w:cs="Times New Roman"/>
        </w:rPr>
        <w:instrText xml:space="preserve"> HYPERLINK \l _Toc2947 </w:instrText>
      </w:r>
      <w:r>
        <w:rPr>
          <w:rFonts w:hAnsi="宋体" w:cs="Times New Roman"/>
        </w:rPr>
        <w:fldChar w:fldCharType="separate"/>
      </w:r>
      <w:r>
        <w:rPr>
          <w:rFonts w:hint="eastAsia" w:ascii="黑体" w:hAnsi="黑体" w:eastAsia="黑体" w:cs="黑体"/>
          <w:bCs w:val="0"/>
          <w:szCs w:val="21"/>
        </w:rPr>
        <w:t>附表2 符合性审查结果一览表</w:t>
      </w:r>
      <w:r>
        <w:tab/>
      </w:r>
      <w:r>
        <w:fldChar w:fldCharType="begin"/>
      </w:r>
      <w:r>
        <w:instrText xml:space="preserve"> PAGEREF _Toc2947 </w:instrText>
      </w:r>
      <w:r>
        <w:fldChar w:fldCharType="separate"/>
      </w:r>
      <w:r>
        <w:t>42</w:t>
      </w:r>
      <w:r>
        <w:fldChar w:fldCharType="end"/>
      </w:r>
      <w:r>
        <w:rPr>
          <w:rFonts w:hAnsi="宋体" w:cs="Times New Roman"/>
        </w:rPr>
        <w:fldChar w:fldCharType="end"/>
      </w:r>
    </w:p>
    <w:p w14:paraId="089AFD97">
      <w:pPr>
        <w:pStyle w:val="13"/>
        <w:tabs>
          <w:tab w:val="right" w:leader="dot" w:pos="8844"/>
        </w:tabs>
      </w:pPr>
      <w:r>
        <w:rPr>
          <w:rFonts w:hAnsi="宋体" w:cs="Times New Roman"/>
        </w:rPr>
        <w:fldChar w:fldCharType="begin"/>
      </w:r>
      <w:r>
        <w:rPr>
          <w:rFonts w:hAnsi="宋体" w:cs="Times New Roman"/>
        </w:rPr>
        <w:instrText xml:space="preserve"> HYPERLINK \l _Toc15297 </w:instrText>
      </w:r>
      <w:r>
        <w:rPr>
          <w:rFonts w:hAnsi="宋体" w:cs="Times New Roman"/>
        </w:rPr>
        <w:fldChar w:fldCharType="separate"/>
      </w:r>
      <w:r>
        <w:rPr>
          <w:rFonts w:hint="eastAsia" w:ascii="黑体" w:hAnsi="黑体" w:eastAsia="黑体" w:cs="黑体"/>
          <w:bCs w:val="0"/>
          <w:szCs w:val="21"/>
        </w:rPr>
        <w:t>附表3 符合性审查合格投标人名单</w:t>
      </w:r>
      <w:r>
        <w:tab/>
      </w:r>
      <w:r>
        <w:fldChar w:fldCharType="begin"/>
      </w:r>
      <w:r>
        <w:instrText xml:space="preserve"> PAGEREF _Toc15297 </w:instrText>
      </w:r>
      <w:r>
        <w:fldChar w:fldCharType="separate"/>
      </w:r>
      <w:r>
        <w:t>43</w:t>
      </w:r>
      <w:r>
        <w:fldChar w:fldCharType="end"/>
      </w:r>
      <w:r>
        <w:rPr>
          <w:rFonts w:hAnsi="宋体" w:cs="Times New Roman"/>
        </w:rPr>
        <w:fldChar w:fldCharType="end"/>
      </w:r>
    </w:p>
    <w:p w14:paraId="3676CFD0">
      <w:pPr>
        <w:pStyle w:val="21"/>
        <w:tabs>
          <w:tab w:val="right" w:leader="dot" w:pos="8844"/>
        </w:tabs>
      </w:pPr>
      <w:r>
        <w:rPr>
          <w:rFonts w:hAnsi="宋体" w:cs="Times New Roman"/>
        </w:rPr>
        <w:fldChar w:fldCharType="begin"/>
      </w:r>
      <w:r>
        <w:rPr>
          <w:rFonts w:hAnsi="宋体" w:cs="Times New Roman"/>
        </w:rPr>
        <w:instrText xml:space="preserve"> HYPERLINK \l _Toc30156 </w:instrText>
      </w:r>
      <w:r>
        <w:rPr>
          <w:rFonts w:hAnsi="宋体" w:cs="Times New Roman"/>
        </w:rPr>
        <w:fldChar w:fldCharType="separate"/>
      </w:r>
      <w:r>
        <w:rPr>
          <w:rFonts w:hint="eastAsia" w:ascii="黑体" w:hAnsi="华文中宋" w:eastAsia="黑体"/>
          <w:szCs w:val="28"/>
        </w:rPr>
        <w:t>第四节 投标文件的比较与评价（综合评分法）</w:t>
      </w:r>
      <w:r>
        <w:tab/>
      </w:r>
      <w:r>
        <w:fldChar w:fldCharType="begin"/>
      </w:r>
      <w:r>
        <w:instrText xml:space="preserve"> PAGEREF _Toc30156 </w:instrText>
      </w:r>
      <w:r>
        <w:fldChar w:fldCharType="separate"/>
      </w:r>
      <w:r>
        <w:t>44</w:t>
      </w:r>
      <w:r>
        <w:fldChar w:fldCharType="end"/>
      </w:r>
      <w:r>
        <w:rPr>
          <w:rFonts w:hAnsi="宋体" w:cs="Times New Roman"/>
        </w:rPr>
        <w:fldChar w:fldCharType="end"/>
      </w:r>
    </w:p>
    <w:p w14:paraId="59A7475A">
      <w:pPr>
        <w:pStyle w:val="18"/>
        <w:tabs>
          <w:tab w:val="right" w:leader="dot" w:pos="8844"/>
        </w:tabs>
      </w:pPr>
      <w:r>
        <w:rPr>
          <w:rFonts w:hAnsi="宋体" w:cs="Times New Roman"/>
        </w:rPr>
        <w:fldChar w:fldCharType="begin"/>
      </w:r>
      <w:r>
        <w:rPr>
          <w:rFonts w:hAnsi="宋体" w:cs="Times New Roman"/>
        </w:rPr>
        <w:instrText xml:space="preserve"> HYPERLINK \l _Toc15881 </w:instrText>
      </w:r>
      <w:r>
        <w:rPr>
          <w:rFonts w:hAnsi="宋体" w:cs="Times New Roman"/>
        </w:rPr>
        <w:fldChar w:fldCharType="separate"/>
      </w:r>
      <w:r>
        <w:rPr>
          <w:rFonts w:hint="eastAsia" w:ascii="黑体" w:hAnsi="黑体" w:eastAsia="黑体" w:cs="黑体"/>
          <w:szCs w:val="32"/>
        </w:rPr>
        <w:t>第五章 采购需求</w:t>
      </w:r>
      <w:r>
        <w:tab/>
      </w:r>
      <w:r>
        <w:fldChar w:fldCharType="begin"/>
      </w:r>
      <w:r>
        <w:instrText xml:space="preserve"> PAGEREF _Toc15881 </w:instrText>
      </w:r>
      <w:r>
        <w:fldChar w:fldCharType="separate"/>
      </w:r>
      <w:r>
        <w:t>49</w:t>
      </w:r>
      <w:r>
        <w:fldChar w:fldCharType="end"/>
      </w:r>
      <w:r>
        <w:rPr>
          <w:rFonts w:hAnsi="宋体" w:cs="Times New Roman"/>
        </w:rPr>
        <w:fldChar w:fldCharType="end"/>
      </w:r>
    </w:p>
    <w:p w14:paraId="05543A8B">
      <w:pPr>
        <w:pStyle w:val="21"/>
        <w:tabs>
          <w:tab w:val="right" w:leader="dot" w:pos="8844"/>
        </w:tabs>
      </w:pPr>
      <w:r>
        <w:rPr>
          <w:rFonts w:hAnsi="宋体" w:cs="Times New Roman"/>
        </w:rPr>
        <w:fldChar w:fldCharType="begin"/>
      </w:r>
      <w:r>
        <w:rPr>
          <w:rFonts w:hAnsi="宋体" w:cs="Times New Roman"/>
        </w:rPr>
        <w:instrText xml:space="preserve"> HYPERLINK \l _Toc15912 </w:instrText>
      </w:r>
      <w:r>
        <w:rPr>
          <w:rFonts w:hAnsi="宋体" w:cs="Times New Roman"/>
        </w:rPr>
        <w:fldChar w:fldCharType="separate"/>
      </w:r>
      <w:r>
        <w:rPr>
          <w:rFonts w:hint="eastAsia" w:ascii="黑体" w:hAnsi="黑体" w:eastAsia="黑体"/>
          <w:szCs w:val="28"/>
        </w:rPr>
        <w:t>第一节 采购清单一览表</w:t>
      </w:r>
      <w:r>
        <w:tab/>
      </w:r>
      <w:r>
        <w:fldChar w:fldCharType="begin"/>
      </w:r>
      <w:r>
        <w:instrText xml:space="preserve"> PAGEREF _Toc15912 </w:instrText>
      </w:r>
      <w:r>
        <w:fldChar w:fldCharType="separate"/>
      </w:r>
      <w:r>
        <w:t>49</w:t>
      </w:r>
      <w:r>
        <w:fldChar w:fldCharType="end"/>
      </w:r>
      <w:r>
        <w:rPr>
          <w:rFonts w:hAnsi="宋体" w:cs="Times New Roman"/>
        </w:rPr>
        <w:fldChar w:fldCharType="end"/>
      </w:r>
    </w:p>
    <w:p w14:paraId="542A80A3">
      <w:pPr>
        <w:pStyle w:val="21"/>
        <w:tabs>
          <w:tab w:val="right" w:leader="dot" w:pos="8844"/>
        </w:tabs>
      </w:pPr>
      <w:r>
        <w:rPr>
          <w:rFonts w:hAnsi="宋体" w:cs="Times New Roman"/>
        </w:rPr>
        <w:fldChar w:fldCharType="begin"/>
      </w:r>
      <w:r>
        <w:rPr>
          <w:rFonts w:hAnsi="宋体" w:cs="Times New Roman"/>
        </w:rPr>
        <w:instrText xml:space="preserve"> HYPERLINK \l _Toc16251 </w:instrText>
      </w:r>
      <w:r>
        <w:rPr>
          <w:rFonts w:hAnsi="宋体" w:cs="Times New Roman"/>
        </w:rPr>
        <w:fldChar w:fldCharType="separate"/>
      </w:r>
      <w:r>
        <w:rPr>
          <w:rFonts w:hint="eastAsia" w:ascii="黑体" w:hAnsi="黑体" w:eastAsia="黑体"/>
          <w:szCs w:val="28"/>
          <w:highlight w:val="none"/>
        </w:rPr>
        <w:t>第二节 技术要求</w:t>
      </w:r>
      <w:r>
        <w:tab/>
      </w:r>
      <w:r>
        <w:fldChar w:fldCharType="begin"/>
      </w:r>
      <w:r>
        <w:instrText xml:space="preserve"> PAGEREF _Toc16251 </w:instrText>
      </w:r>
      <w:r>
        <w:fldChar w:fldCharType="separate"/>
      </w:r>
      <w:r>
        <w:t>50</w:t>
      </w:r>
      <w:r>
        <w:fldChar w:fldCharType="end"/>
      </w:r>
      <w:r>
        <w:rPr>
          <w:rFonts w:hAnsi="宋体" w:cs="Times New Roman"/>
        </w:rPr>
        <w:fldChar w:fldCharType="end"/>
      </w:r>
    </w:p>
    <w:p w14:paraId="1EF51453">
      <w:pPr>
        <w:pStyle w:val="21"/>
        <w:tabs>
          <w:tab w:val="right" w:leader="dot" w:pos="8844"/>
        </w:tabs>
      </w:pPr>
      <w:r>
        <w:rPr>
          <w:rFonts w:hAnsi="宋体" w:cs="Times New Roman"/>
        </w:rPr>
        <w:fldChar w:fldCharType="begin"/>
      </w:r>
      <w:r>
        <w:rPr>
          <w:rFonts w:hAnsi="宋体" w:cs="Times New Roman"/>
        </w:rPr>
        <w:instrText xml:space="preserve"> HYPERLINK \l _Toc20962 </w:instrText>
      </w:r>
      <w:r>
        <w:rPr>
          <w:rFonts w:hAnsi="宋体" w:cs="Times New Roman"/>
        </w:rPr>
        <w:fldChar w:fldCharType="separate"/>
      </w:r>
      <w:r>
        <w:rPr>
          <w:rFonts w:hint="eastAsia" w:ascii="黑体" w:hAnsi="黑体" w:eastAsia="黑体"/>
          <w:szCs w:val="28"/>
          <w:highlight w:val="none"/>
        </w:rPr>
        <w:t>第三节 商务</w:t>
      </w:r>
      <w:r>
        <w:rPr>
          <w:rFonts w:ascii="黑体" w:hAnsi="黑体" w:eastAsia="黑体"/>
          <w:szCs w:val="28"/>
          <w:highlight w:val="none"/>
        </w:rPr>
        <w:t>要求</w:t>
      </w:r>
      <w:r>
        <w:tab/>
      </w:r>
      <w:r>
        <w:fldChar w:fldCharType="begin"/>
      </w:r>
      <w:r>
        <w:instrText xml:space="preserve"> PAGEREF _Toc20962 </w:instrText>
      </w:r>
      <w:r>
        <w:fldChar w:fldCharType="separate"/>
      </w:r>
      <w:r>
        <w:t>80</w:t>
      </w:r>
      <w:r>
        <w:fldChar w:fldCharType="end"/>
      </w:r>
      <w:r>
        <w:rPr>
          <w:rFonts w:hAnsi="宋体" w:cs="Times New Roman"/>
        </w:rPr>
        <w:fldChar w:fldCharType="end"/>
      </w:r>
    </w:p>
    <w:p w14:paraId="2CBCC6FE">
      <w:pPr>
        <w:pStyle w:val="18"/>
        <w:tabs>
          <w:tab w:val="right" w:leader="dot" w:pos="8844"/>
        </w:tabs>
      </w:pPr>
      <w:r>
        <w:rPr>
          <w:rFonts w:hAnsi="宋体" w:cs="Times New Roman"/>
        </w:rPr>
        <w:fldChar w:fldCharType="begin"/>
      </w:r>
      <w:r>
        <w:rPr>
          <w:rFonts w:hAnsi="宋体" w:cs="Times New Roman"/>
        </w:rPr>
        <w:instrText xml:space="preserve"> HYPERLINK \l _Toc17725 </w:instrText>
      </w:r>
      <w:r>
        <w:rPr>
          <w:rFonts w:hAnsi="宋体" w:cs="Times New Roman"/>
        </w:rPr>
        <w:fldChar w:fldCharType="separate"/>
      </w:r>
      <w:r>
        <w:rPr>
          <w:rFonts w:hint="eastAsia" w:ascii="黑体" w:hAnsi="华文中宋" w:eastAsia="黑体"/>
          <w:szCs w:val="32"/>
        </w:rPr>
        <w:t>第六章 政府采购合同</w:t>
      </w:r>
      <w:r>
        <w:tab/>
      </w:r>
      <w:r>
        <w:fldChar w:fldCharType="begin"/>
      </w:r>
      <w:r>
        <w:instrText xml:space="preserve"> PAGEREF _Toc17725 </w:instrText>
      </w:r>
      <w:r>
        <w:fldChar w:fldCharType="separate"/>
      </w:r>
      <w:r>
        <w:t>82</w:t>
      </w:r>
      <w:r>
        <w:fldChar w:fldCharType="end"/>
      </w:r>
      <w:r>
        <w:rPr>
          <w:rFonts w:hAnsi="宋体" w:cs="Times New Roman"/>
        </w:rPr>
        <w:fldChar w:fldCharType="end"/>
      </w:r>
    </w:p>
    <w:p w14:paraId="35012D14">
      <w:pPr>
        <w:pStyle w:val="21"/>
        <w:tabs>
          <w:tab w:val="right" w:leader="dot" w:pos="8844"/>
        </w:tabs>
      </w:pPr>
      <w:r>
        <w:rPr>
          <w:rFonts w:hAnsi="宋体" w:cs="Times New Roman"/>
        </w:rPr>
        <w:fldChar w:fldCharType="begin"/>
      </w:r>
      <w:r>
        <w:rPr>
          <w:rFonts w:hAnsi="宋体" w:cs="Times New Roman"/>
        </w:rPr>
        <w:instrText xml:space="preserve"> HYPERLINK \l _Toc25191 </w:instrText>
      </w:r>
      <w:r>
        <w:rPr>
          <w:rFonts w:hAnsi="宋体" w:cs="Times New Roman"/>
        </w:rPr>
        <w:fldChar w:fldCharType="separate"/>
      </w:r>
      <w:r>
        <w:rPr>
          <w:rFonts w:hint="eastAsia" w:ascii="黑体" w:hAnsi="华文中宋" w:eastAsia="黑体"/>
          <w:szCs w:val="28"/>
        </w:rPr>
        <w:t>第一节 政府采购合同协议书</w:t>
      </w:r>
      <w:r>
        <w:tab/>
      </w:r>
      <w:r>
        <w:fldChar w:fldCharType="begin"/>
      </w:r>
      <w:r>
        <w:instrText xml:space="preserve"> PAGEREF _Toc25191 </w:instrText>
      </w:r>
      <w:r>
        <w:fldChar w:fldCharType="separate"/>
      </w:r>
      <w:r>
        <w:t>82</w:t>
      </w:r>
      <w:r>
        <w:fldChar w:fldCharType="end"/>
      </w:r>
      <w:r>
        <w:rPr>
          <w:rFonts w:hAnsi="宋体" w:cs="Times New Roman"/>
        </w:rPr>
        <w:fldChar w:fldCharType="end"/>
      </w:r>
    </w:p>
    <w:p w14:paraId="03B39786">
      <w:pPr>
        <w:pStyle w:val="21"/>
        <w:tabs>
          <w:tab w:val="right" w:leader="dot" w:pos="8844"/>
        </w:tabs>
      </w:pPr>
      <w:r>
        <w:rPr>
          <w:rFonts w:hAnsi="宋体" w:cs="Times New Roman"/>
        </w:rPr>
        <w:fldChar w:fldCharType="begin"/>
      </w:r>
      <w:r>
        <w:rPr>
          <w:rFonts w:hAnsi="宋体" w:cs="Times New Roman"/>
        </w:rPr>
        <w:instrText xml:space="preserve"> HYPERLINK \l _Toc98 </w:instrText>
      </w:r>
      <w:r>
        <w:rPr>
          <w:rFonts w:hAnsi="宋体" w:cs="Times New Roman"/>
        </w:rPr>
        <w:fldChar w:fldCharType="separate"/>
      </w:r>
      <w:r>
        <w:rPr>
          <w:rFonts w:hint="eastAsia" w:ascii="黑体" w:hAnsi="黑体" w:eastAsia="黑体"/>
          <w:szCs w:val="28"/>
        </w:rPr>
        <w:t>第二节 政府采购合同通用条款</w:t>
      </w:r>
      <w:r>
        <w:tab/>
      </w:r>
      <w:r>
        <w:fldChar w:fldCharType="begin"/>
      </w:r>
      <w:r>
        <w:instrText xml:space="preserve"> PAGEREF _Toc98 </w:instrText>
      </w:r>
      <w:r>
        <w:fldChar w:fldCharType="separate"/>
      </w:r>
      <w:r>
        <w:t>85</w:t>
      </w:r>
      <w:r>
        <w:fldChar w:fldCharType="end"/>
      </w:r>
      <w:r>
        <w:rPr>
          <w:rFonts w:hAnsi="宋体" w:cs="Times New Roman"/>
        </w:rPr>
        <w:fldChar w:fldCharType="end"/>
      </w:r>
    </w:p>
    <w:p w14:paraId="40ED5A77">
      <w:pPr>
        <w:pStyle w:val="21"/>
        <w:tabs>
          <w:tab w:val="right" w:leader="dot" w:pos="8844"/>
        </w:tabs>
      </w:pPr>
      <w:r>
        <w:rPr>
          <w:rFonts w:hAnsi="宋体" w:cs="Times New Roman"/>
        </w:rPr>
        <w:fldChar w:fldCharType="begin"/>
      </w:r>
      <w:r>
        <w:rPr>
          <w:rFonts w:hAnsi="宋体" w:cs="Times New Roman"/>
        </w:rPr>
        <w:instrText xml:space="preserve"> HYPERLINK \l _Toc29815 </w:instrText>
      </w:r>
      <w:r>
        <w:rPr>
          <w:rFonts w:hAnsi="宋体" w:cs="Times New Roman"/>
        </w:rPr>
        <w:fldChar w:fldCharType="separate"/>
      </w:r>
      <w:r>
        <w:rPr>
          <w:rFonts w:hint="eastAsia" w:ascii="黑体" w:hAnsi="华文中宋" w:eastAsia="黑体"/>
          <w:szCs w:val="28"/>
        </w:rPr>
        <w:t>第三节 政府采购合同专用条款</w:t>
      </w:r>
      <w:r>
        <w:tab/>
      </w:r>
      <w:r>
        <w:fldChar w:fldCharType="begin"/>
      </w:r>
      <w:r>
        <w:instrText xml:space="preserve"> PAGEREF _Toc29815 </w:instrText>
      </w:r>
      <w:r>
        <w:fldChar w:fldCharType="separate"/>
      </w:r>
      <w:r>
        <w:t>92</w:t>
      </w:r>
      <w:r>
        <w:fldChar w:fldCharType="end"/>
      </w:r>
      <w:r>
        <w:rPr>
          <w:rFonts w:hAnsi="宋体" w:cs="Times New Roman"/>
        </w:rPr>
        <w:fldChar w:fldCharType="end"/>
      </w:r>
    </w:p>
    <w:p w14:paraId="2F490946">
      <w:pPr>
        <w:pStyle w:val="18"/>
        <w:tabs>
          <w:tab w:val="right" w:leader="dot" w:pos="8844"/>
        </w:tabs>
      </w:pPr>
      <w:r>
        <w:rPr>
          <w:rFonts w:hAnsi="宋体" w:cs="Times New Roman"/>
        </w:rPr>
        <w:fldChar w:fldCharType="begin"/>
      </w:r>
      <w:r>
        <w:rPr>
          <w:rFonts w:hAnsi="宋体" w:cs="Times New Roman"/>
        </w:rPr>
        <w:instrText xml:space="preserve"> HYPERLINK \l _Toc25306 </w:instrText>
      </w:r>
      <w:r>
        <w:rPr>
          <w:rFonts w:hAnsi="宋体" w:cs="Times New Roman"/>
        </w:rPr>
        <w:fldChar w:fldCharType="separate"/>
      </w:r>
      <w:r>
        <w:rPr>
          <w:rFonts w:hint="eastAsia" w:ascii="黑体" w:hAnsi="华文中宋" w:eastAsia="黑体"/>
          <w:szCs w:val="32"/>
        </w:rPr>
        <w:t>第七章 投标文件的组成</w:t>
      </w:r>
      <w:r>
        <w:tab/>
      </w:r>
      <w:r>
        <w:fldChar w:fldCharType="begin"/>
      </w:r>
      <w:r>
        <w:instrText xml:space="preserve"> PAGEREF _Toc25306 </w:instrText>
      </w:r>
      <w:r>
        <w:fldChar w:fldCharType="separate"/>
      </w:r>
      <w:r>
        <w:t>93</w:t>
      </w:r>
      <w:r>
        <w:fldChar w:fldCharType="end"/>
      </w:r>
      <w:r>
        <w:rPr>
          <w:rFonts w:hAnsi="宋体" w:cs="Times New Roman"/>
        </w:rPr>
        <w:fldChar w:fldCharType="end"/>
      </w:r>
    </w:p>
    <w:p w14:paraId="5D43DDE4">
      <w:pPr>
        <w:pStyle w:val="21"/>
        <w:tabs>
          <w:tab w:val="right" w:leader="dot" w:pos="8844"/>
        </w:tabs>
      </w:pPr>
      <w:r>
        <w:rPr>
          <w:rFonts w:hAnsi="宋体" w:cs="Times New Roman"/>
        </w:rPr>
        <w:fldChar w:fldCharType="begin"/>
      </w:r>
      <w:r>
        <w:rPr>
          <w:rFonts w:hAnsi="宋体" w:cs="Times New Roman"/>
        </w:rPr>
        <w:instrText xml:space="preserve"> HYPERLINK \l _Toc22978 </w:instrText>
      </w:r>
      <w:r>
        <w:rPr>
          <w:rFonts w:hAnsi="宋体" w:cs="Times New Roman"/>
        </w:rPr>
        <w:fldChar w:fldCharType="separate"/>
      </w:r>
      <w:r>
        <w:rPr>
          <w:rFonts w:hint="eastAsia" w:ascii="黑体" w:hAnsi="黑体" w:eastAsia="黑体"/>
          <w:szCs w:val="44"/>
        </w:rPr>
        <w:t>第一部分 资格证明文件</w:t>
      </w:r>
      <w:r>
        <w:tab/>
      </w:r>
      <w:r>
        <w:fldChar w:fldCharType="begin"/>
      </w:r>
      <w:r>
        <w:instrText xml:space="preserve"> PAGEREF _Toc22978 </w:instrText>
      </w:r>
      <w:r>
        <w:fldChar w:fldCharType="separate"/>
      </w:r>
      <w:r>
        <w:t>94</w:t>
      </w:r>
      <w:r>
        <w:fldChar w:fldCharType="end"/>
      </w:r>
      <w:r>
        <w:rPr>
          <w:rFonts w:hAnsi="宋体" w:cs="Times New Roman"/>
        </w:rPr>
        <w:fldChar w:fldCharType="end"/>
      </w:r>
    </w:p>
    <w:p w14:paraId="42119A71">
      <w:pPr>
        <w:pStyle w:val="13"/>
        <w:tabs>
          <w:tab w:val="right" w:leader="dot" w:pos="8844"/>
        </w:tabs>
      </w:pPr>
      <w:r>
        <w:rPr>
          <w:rFonts w:hAnsi="宋体" w:cs="Times New Roman"/>
        </w:rPr>
        <w:fldChar w:fldCharType="begin"/>
      </w:r>
      <w:r>
        <w:rPr>
          <w:rFonts w:hAnsi="宋体" w:cs="Times New Roman"/>
        </w:rPr>
        <w:instrText xml:space="preserve"> HYPERLINK \l _Toc2311 </w:instrText>
      </w:r>
      <w:r>
        <w:rPr>
          <w:rFonts w:hAnsi="宋体" w:cs="Times New Roman"/>
        </w:rPr>
        <w:fldChar w:fldCharType="separate"/>
      </w:r>
      <w:r>
        <w:rPr>
          <w:rFonts w:hint="eastAsia" w:ascii="黑体" w:hAnsi="宋体" w:eastAsia="黑体"/>
          <w:szCs w:val="28"/>
        </w:rPr>
        <w:t>一、开标一览表</w:t>
      </w:r>
      <w:r>
        <w:tab/>
      </w:r>
      <w:r>
        <w:fldChar w:fldCharType="begin"/>
      </w:r>
      <w:r>
        <w:instrText xml:space="preserve"> PAGEREF _Toc2311 </w:instrText>
      </w:r>
      <w:r>
        <w:fldChar w:fldCharType="separate"/>
      </w:r>
      <w:r>
        <w:t>95</w:t>
      </w:r>
      <w:r>
        <w:fldChar w:fldCharType="end"/>
      </w:r>
      <w:r>
        <w:rPr>
          <w:rFonts w:hAnsi="宋体" w:cs="Times New Roman"/>
        </w:rPr>
        <w:fldChar w:fldCharType="end"/>
      </w:r>
    </w:p>
    <w:p w14:paraId="301C6AA4">
      <w:pPr>
        <w:pStyle w:val="13"/>
        <w:tabs>
          <w:tab w:val="right" w:leader="dot" w:pos="8844"/>
        </w:tabs>
      </w:pPr>
      <w:r>
        <w:rPr>
          <w:rFonts w:hAnsi="宋体" w:cs="Times New Roman"/>
        </w:rPr>
        <w:fldChar w:fldCharType="begin"/>
      </w:r>
      <w:r>
        <w:rPr>
          <w:rFonts w:hAnsi="宋体" w:cs="Times New Roman"/>
        </w:rPr>
        <w:instrText xml:space="preserve"> HYPERLINK \l _Toc28848 </w:instrText>
      </w:r>
      <w:r>
        <w:rPr>
          <w:rFonts w:hAnsi="宋体" w:cs="Times New Roman"/>
        </w:rPr>
        <w:fldChar w:fldCharType="separate"/>
      </w:r>
      <w:r>
        <w:rPr>
          <w:rFonts w:hint="eastAsia" w:ascii="黑体" w:hAnsi="宋体" w:eastAsia="黑体"/>
          <w:szCs w:val="28"/>
        </w:rPr>
        <w:t>二、投标保证金</w:t>
      </w:r>
      <w:r>
        <w:tab/>
      </w:r>
      <w:r>
        <w:fldChar w:fldCharType="begin"/>
      </w:r>
      <w:r>
        <w:instrText xml:space="preserve"> PAGEREF _Toc28848 </w:instrText>
      </w:r>
      <w:r>
        <w:fldChar w:fldCharType="separate"/>
      </w:r>
      <w:r>
        <w:t>96</w:t>
      </w:r>
      <w:r>
        <w:fldChar w:fldCharType="end"/>
      </w:r>
      <w:r>
        <w:rPr>
          <w:rFonts w:hAnsi="宋体" w:cs="Times New Roman"/>
        </w:rPr>
        <w:fldChar w:fldCharType="end"/>
      </w:r>
    </w:p>
    <w:p w14:paraId="43036ACA">
      <w:pPr>
        <w:pStyle w:val="13"/>
        <w:tabs>
          <w:tab w:val="right" w:leader="dot" w:pos="8844"/>
        </w:tabs>
      </w:pPr>
      <w:r>
        <w:rPr>
          <w:rFonts w:hAnsi="宋体" w:cs="Times New Roman"/>
        </w:rPr>
        <w:fldChar w:fldCharType="begin"/>
      </w:r>
      <w:r>
        <w:rPr>
          <w:rFonts w:hAnsi="宋体" w:cs="Times New Roman"/>
        </w:rPr>
        <w:instrText xml:space="preserve"> HYPERLINK \l _Toc1279 </w:instrText>
      </w:r>
      <w:r>
        <w:rPr>
          <w:rFonts w:hAnsi="宋体" w:cs="Times New Roman"/>
        </w:rPr>
        <w:fldChar w:fldCharType="separate"/>
      </w:r>
      <w:r>
        <w:rPr>
          <w:rFonts w:hint="eastAsia" w:ascii="黑体" w:hAnsi="宋体" w:eastAsia="黑体"/>
          <w:szCs w:val="28"/>
        </w:rPr>
        <w:t>三、授权委托书</w:t>
      </w:r>
      <w:r>
        <w:tab/>
      </w:r>
      <w:r>
        <w:fldChar w:fldCharType="begin"/>
      </w:r>
      <w:r>
        <w:instrText xml:space="preserve"> PAGEREF _Toc1279 </w:instrText>
      </w:r>
      <w:r>
        <w:fldChar w:fldCharType="separate"/>
      </w:r>
      <w:r>
        <w:t>97</w:t>
      </w:r>
      <w:r>
        <w:fldChar w:fldCharType="end"/>
      </w:r>
      <w:r>
        <w:rPr>
          <w:rFonts w:hAnsi="宋体" w:cs="Times New Roman"/>
        </w:rPr>
        <w:fldChar w:fldCharType="end"/>
      </w:r>
    </w:p>
    <w:p w14:paraId="0B923815">
      <w:pPr>
        <w:pStyle w:val="13"/>
        <w:tabs>
          <w:tab w:val="right" w:leader="dot" w:pos="8844"/>
        </w:tabs>
      </w:pPr>
      <w:r>
        <w:rPr>
          <w:rFonts w:hAnsi="宋体" w:cs="Times New Roman"/>
        </w:rPr>
        <w:fldChar w:fldCharType="begin"/>
      </w:r>
      <w:r>
        <w:rPr>
          <w:rFonts w:hAnsi="宋体" w:cs="Times New Roman"/>
        </w:rPr>
        <w:instrText xml:space="preserve"> HYPERLINK \l _Toc8993 </w:instrText>
      </w:r>
      <w:r>
        <w:rPr>
          <w:rFonts w:hAnsi="宋体" w:cs="Times New Roman"/>
        </w:rPr>
        <w:fldChar w:fldCharType="separate"/>
      </w:r>
      <w:r>
        <w:rPr>
          <w:rFonts w:hint="eastAsia" w:ascii="黑体" w:hAnsi="宋体" w:eastAsia="黑体"/>
          <w:szCs w:val="28"/>
        </w:rPr>
        <w:t>四、投标人提供的资格证明文件</w:t>
      </w:r>
      <w:r>
        <w:tab/>
      </w:r>
      <w:r>
        <w:fldChar w:fldCharType="begin"/>
      </w:r>
      <w:r>
        <w:instrText xml:space="preserve"> PAGEREF _Toc8993 </w:instrText>
      </w:r>
      <w:r>
        <w:fldChar w:fldCharType="separate"/>
      </w:r>
      <w:r>
        <w:t>98</w:t>
      </w:r>
      <w:r>
        <w:fldChar w:fldCharType="end"/>
      </w:r>
      <w:r>
        <w:rPr>
          <w:rFonts w:hAnsi="宋体" w:cs="Times New Roman"/>
        </w:rPr>
        <w:fldChar w:fldCharType="end"/>
      </w:r>
    </w:p>
    <w:p w14:paraId="44C92C3D">
      <w:pPr>
        <w:pStyle w:val="19"/>
        <w:tabs>
          <w:tab w:val="right" w:leader="dot" w:pos="8844"/>
        </w:tabs>
      </w:pPr>
      <w:r>
        <w:rPr>
          <w:rFonts w:hAnsi="宋体" w:cs="Times New Roman"/>
        </w:rPr>
        <w:fldChar w:fldCharType="begin"/>
      </w:r>
      <w:r>
        <w:rPr>
          <w:rFonts w:hAnsi="宋体" w:cs="Times New Roman"/>
        </w:rPr>
        <w:instrText xml:space="preserve"> HYPERLINK \l _Toc16570 </w:instrText>
      </w:r>
      <w:r>
        <w:rPr>
          <w:rFonts w:hAnsi="宋体" w:cs="Times New Roman"/>
        </w:rPr>
        <w:fldChar w:fldCharType="separate"/>
      </w:r>
      <w:r>
        <w:rPr>
          <w:rFonts w:hint="eastAsia" w:ascii="黑体" w:hAnsi="仿宋" w:cs="宋体"/>
          <w:szCs w:val="21"/>
        </w:rPr>
        <w:t>附件4-1 法人或者其他组织的营业执照等主体资格证明文件，自然人的身份证明</w:t>
      </w:r>
      <w:r>
        <w:tab/>
      </w:r>
      <w:r>
        <w:fldChar w:fldCharType="begin"/>
      </w:r>
      <w:r>
        <w:instrText xml:space="preserve"> PAGEREF _Toc16570 </w:instrText>
      </w:r>
      <w:r>
        <w:fldChar w:fldCharType="separate"/>
      </w:r>
      <w:r>
        <w:rPr>
          <w:b/>
        </w:rPr>
        <w:t>错误！未定义书签。</w:t>
      </w:r>
      <w:r>
        <w:fldChar w:fldCharType="end"/>
      </w:r>
      <w:r>
        <w:rPr>
          <w:rFonts w:hAnsi="宋体" w:cs="Times New Roman"/>
        </w:rPr>
        <w:fldChar w:fldCharType="end"/>
      </w:r>
    </w:p>
    <w:p w14:paraId="43241579">
      <w:pPr>
        <w:pStyle w:val="19"/>
        <w:tabs>
          <w:tab w:val="right" w:leader="dot" w:pos="8844"/>
        </w:tabs>
      </w:pPr>
      <w:r>
        <w:rPr>
          <w:rFonts w:hAnsi="宋体" w:cs="Times New Roman"/>
        </w:rPr>
        <w:fldChar w:fldCharType="begin"/>
      </w:r>
      <w:r>
        <w:rPr>
          <w:rFonts w:hAnsi="宋体" w:cs="Times New Roman"/>
        </w:rPr>
        <w:instrText xml:space="preserve"> HYPERLINK \l _Toc9316 </w:instrText>
      </w:r>
      <w:r>
        <w:rPr>
          <w:rFonts w:hAnsi="宋体" w:cs="Times New Roman"/>
        </w:rPr>
        <w:fldChar w:fldCharType="separate"/>
      </w:r>
      <w:r>
        <w:rPr>
          <w:rFonts w:hint="eastAsia" w:ascii="黑体" w:hAnsi="仿宋" w:cs="宋体"/>
          <w:szCs w:val="21"/>
        </w:rPr>
        <w:t>附件4-2 湖南省政府采购供应商资格承诺函(格式)</w:t>
      </w:r>
      <w:r>
        <w:tab/>
      </w:r>
      <w:r>
        <w:fldChar w:fldCharType="begin"/>
      </w:r>
      <w:r>
        <w:instrText xml:space="preserve"> PAGEREF _Toc9316 </w:instrText>
      </w:r>
      <w:r>
        <w:fldChar w:fldCharType="separate"/>
      </w:r>
      <w:r>
        <w:rPr>
          <w:b/>
        </w:rPr>
        <w:t>错误！未定义书签。</w:t>
      </w:r>
      <w:r>
        <w:fldChar w:fldCharType="end"/>
      </w:r>
      <w:r>
        <w:rPr>
          <w:rFonts w:hAnsi="宋体" w:cs="Times New Roman"/>
        </w:rPr>
        <w:fldChar w:fldCharType="end"/>
      </w:r>
    </w:p>
    <w:p w14:paraId="52E3FEF2">
      <w:pPr>
        <w:pStyle w:val="19"/>
        <w:tabs>
          <w:tab w:val="right" w:leader="dot" w:pos="8844"/>
        </w:tabs>
      </w:pPr>
      <w:r>
        <w:rPr>
          <w:rFonts w:hAnsi="宋体" w:cs="Times New Roman"/>
        </w:rPr>
        <w:fldChar w:fldCharType="begin"/>
      </w:r>
      <w:r>
        <w:rPr>
          <w:rFonts w:hAnsi="宋体" w:cs="Times New Roman"/>
        </w:rPr>
        <w:instrText xml:space="preserve"> HYPERLINK \l _Toc5814 </w:instrText>
      </w:r>
      <w:r>
        <w:rPr>
          <w:rFonts w:hAnsi="宋体" w:cs="Times New Roman"/>
        </w:rPr>
        <w:fldChar w:fldCharType="separate"/>
      </w:r>
      <w:r>
        <w:rPr>
          <w:rFonts w:hint="eastAsia" w:ascii="黑体" w:hAnsi="仿宋" w:cs="宋体"/>
          <w:szCs w:val="21"/>
        </w:rPr>
        <w:t>附件4-3 符合特定资格条件证明材料复印件或者情况说明</w:t>
      </w:r>
      <w:r>
        <w:tab/>
      </w:r>
      <w:r>
        <w:fldChar w:fldCharType="begin"/>
      </w:r>
      <w:r>
        <w:instrText xml:space="preserve"> PAGEREF _Toc5814 </w:instrText>
      </w:r>
      <w:r>
        <w:fldChar w:fldCharType="separate"/>
      </w:r>
      <w:r>
        <w:rPr>
          <w:b/>
        </w:rPr>
        <w:t>错误！未定义书签。</w:t>
      </w:r>
      <w:r>
        <w:fldChar w:fldCharType="end"/>
      </w:r>
      <w:r>
        <w:rPr>
          <w:rFonts w:hAnsi="宋体" w:cs="Times New Roman"/>
        </w:rPr>
        <w:fldChar w:fldCharType="end"/>
      </w:r>
    </w:p>
    <w:p w14:paraId="5631E316">
      <w:pPr>
        <w:pStyle w:val="19"/>
        <w:tabs>
          <w:tab w:val="right" w:leader="dot" w:pos="8844"/>
        </w:tabs>
      </w:pPr>
      <w:r>
        <w:rPr>
          <w:rFonts w:hAnsi="宋体" w:cs="Times New Roman"/>
        </w:rPr>
        <w:fldChar w:fldCharType="begin"/>
      </w:r>
      <w:r>
        <w:rPr>
          <w:rFonts w:hAnsi="宋体" w:cs="Times New Roman"/>
        </w:rPr>
        <w:instrText xml:space="preserve"> HYPERLINK \l _Toc12220 </w:instrText>
      </w:r>
      <w:r>
        <w:rPr>
          <w:rFonts w:hAnsi="宋体" w:cs="Times New Roman"/>
        </w:rPr>
        <w:fldChar w:fldCharType="separate"/>
      </w:r>
      <w:r>
        <w:rPr>
          <w:rFonts w:hint="eastAsia" w:ascii="黑体" w:hAnsi="仿宋" w:cs="宋体"/>
          <w:szCs w:val="21"/>
        </w:rPr>
        <w:t>附件4-4 联合体协议书（格式）</w:t>
      </w:r>
      <w:r>
        <w:tab/>
      </w:r>
      <w:r>
        <w:fldChar w:fldCharType="begin"/>
      </w:r>
      <w:r>
        <w:instrText xml:space="preserve"> PAGEREF _Toc12220 </w:instrText>
      </w:r>
      <w:r>
        <w:fldChar w:fldCharType="separate"/>
      </w:r>
      <w:r>
        <w:rPr>
          <w:b/>
        </w:rPr>
        <w:t>错误！未定义书签。</w:t>
      </w:r>
      <w:r>
        <w:fldChar w:fldCharType="end"/>
      </w:r>
      <w:r>
        <w:rPr>
          <w:rFonts w:hAnsi="宋体" w:cs="Times New Roman"/>
        </w:rPr>
        <w:fldChar w:fldCharType="end"/>
      </w:r>
    </w:p>
    <w:p w14:paraId="76662478">
      <w:pPr>
        <w:pStyle w:val="19"/>
        <w:tabs>
          <w:tab w:val="right" w:leader="dot" w:pos="8844"/>
        </w:tabs>
      </w:pPr>
      <w:r>
        <w:rPr>
          <w:rFonts w:hAnsi="宋体" w:cs="Times New Roman"/>
        </w:rPr>
        <w:fldChar w:fldCharType="begin"/>
      </w:r>
      <w:r>
        <w:rPr>
          <w:rFonts w:hAnsi="宋体" w:cs="Times New Roman"/>
        </w:rPr>
        <w:instrText xml:space="preserve"> HYPERLINK \l _Toc31975 </w:instrText>
      </w:r>
      <w:r>
        <w:rPr>
          <w:rFonts w:hAnsi="宋体" w:cs="Times New Roman"/>
        </w:rPr>
        <w:fldChar w:fldCharType="separate"/>
      </w:r>
      <w:r>
        <w:rPr>
          <w:rFonts w:hint="eastAsia" w:ascii="黑体" w:hAnsi="仿宋" w:cs="宋体"/>
          <w:szCs w:val="21"/>
        </w:rPr>
        <w:t>附件4-5 分包承诺</w:t>
      </w:r>
      <w:r>
        <w:tab/>
      </w:r>
      <w:r>
        <w:fldChar w:fldCharType="begin"/>
      </w:r>
      <w:r>
        <w:instrText xml:space="preserve"> PAGEREF _Toc31975 </w:instrText>
      </w:r>
      <w:r>
        <w:fldChar w:fldCharType="separate"/>
      </w:r>
      <w:r>
        <w:rPr>
          <w:b/>
        </w:rPr>
        <w:t>错误！未定义书签。</w:t>
      </w:r>
      <w:r>
        <w:fldChar w:fldCharType="end"/>
      </w:r>
      <w:r>
        <w:rPr>
          <w:rFonts w:hAnsi="宋体" w:cs="Times New Roman"/>
        </w:rPr>
        <w:fldChar w:fldCharType="end"/>
      </w:r>
    </w:p>
    <w:p w14:paraId="69967F9C">
      <w:pPr>
        <w:pStyle w:val="19"/>
        <w:tabs>
          <w:tab w:val="right" w:leader="dot" w:pos="8844"/>
        </w:tabs>
      </w:pPr>
      <w:r>
        <w:rPr>
          <w:rFonts w:hAnsi="宋体" w:cs="Times New Roman"/>
        </w:rPr>
        <w:fldChar w:fldCharType="begin"/>
      </w:r>
      <w:r>
        <w:rPr>
          <w:rFonts w:hAnsi="宋体" w:cs="Times New Roman"/>
        </w:rPr>
        <w:instrText xml:space="preserve"> HYPERLINK \l _Toc21540 </w:instrText>
      </w:r>
      <w:r>
        <w:rPr>
          <w:rFonts w:hAnsi="宋体" w:cs="Times New Roman"/>
        </w:rPr>
        <w:fldChar w:fldCharType="separate"/>
      </w:r>
      <w:r>
        <w:rPr>
          <w:rFonts w:hint="eastAsia" w:ascii="黑体" w:hAnsi="仿宋" w:cs="宋体"/>
          <w:szCs w:val="21"/>
        </w:rPr>
        <w:t>附件4-6 资格条件更新材料（已进行资格预审的）</w:t>
      </w:r>
      <w:r>
        <w:tab/>
      </w:r>
      <w:r>
        <w:fldChar w:fldCharType="begin"/>
      </w:r>
      <w:r>
        <w:instrText xml:space="preserve"> PAGEREF _Toc21540 </w:instrText>
      </w:r>
      <w:r>
        <w:fldChar w:fldCharType="separate"/>
      </w:r>
      <w:r>
        <w:t>108</w:t>
      </w:r>
      <w:r>
        <w:fldChar w:fldCharType="end"/>
      </w:r>
      <w:r>
        <w:rPr>
          <w:rFonts w:hAnsi="宋体" w:cs="Times New Roman"/>
        </w:rPr>
        <w:fldChar w:fldCharType="end"/>
      </w:r>
    </w:p>
    <w:p w14:paraId="59A7D55A">
      <w:pPr>
        <w:pStyle w:val="21"/>
        <w:tabs>
          <w:tab w:val="right" w:leader="dot" w:pos="8844"/>
        </w:tabs>
      </w:pPr>
      <w:r>
        <w:rPr>
          <w:rFonts w:hAnsi="宋体" w:cs="Times New Roman"/>
        </w:rPr>
        <w:fldChar w:fldCharType="begin"/>
      </w:r>
      <w:r>
        <w:rPr>
          <w:rFonts w:hAnsi="宋体" w:cs="Times New Roman"/>
        </w:rPr>
        <w:instrText xml:space="preserve"> HYPERLINK \l _Toc15330 </w:instrText>
      </w:r>
      <w:r>
        <w:rPr>
          <w:rFonts w:hAnsi="宋体" w:cs="Times New Roman"/>
        </w:rPr>
        <w:fldChar w:fldCharType="separate"/>
      </w:r>
      <w:r>
        <w:rPr>
          <w:rFonts w:hint="eastAsia" w:ascii="黑体" w:hAnsi="黑体" w:eastAsia="黑体"/>
          <w:szCs w:val="44"/>
        </w:rPr>
        <w:t>第二部分 商务技术文件</w:t>
      </w:r>
      <w:r>
        <w:tab/>
      </w:r>
      <w:r>
        <w:fldChar w:fldCharType="begin"/>
      </w:r>
      <w:r>
        <w:instrText xml:space="preserve"> PAGEREF _Toc15330 </w:instrText>
      </w:r>
      <w:r>
        <w:fldChar w:fldCharType="separate"/>
      </w:r>
      <w:r>
        <w:t>109</w:t>
      </w:r>
      <w:r>
        <w:fldChar w:fldCharType="end"/>
      </w:r>
      <w:r>
        <w:rPr>
          <w:rFonts w:hAnsi="宋体" w:cs="Times New Roman"/>
        </w:rPr>
        <w:fldChar w:fldCharType="end"/>
      </w:r>
    </w:p>
    <w:p w14:paraId="12571DFB">
      <w:pPr>
        <w:pStyle w:val="13"/>
        <w:tabs>
          <w:tab w:val="right" w:leader="dot" w:pos="8844"/>
        </w:tabs>
      </w:pPr>
      <w:r>
        <w:rPr>
          <w:rFonts w:hAnsi="宋体" w:cs="Times New Roman"/>
        </w:rPr>
        <w:fldChar w:fldCharType="begin"/>
      </w:r>
      <w:r>
        <w:rPr>
          <w:rFonts w:hAnsi="宋体" w:cs="Times New Roman"/>
        </w:rPr>
        <w:instrText xml:space="preserve"> HYPERLINK \l _Toc32570 </w:instrText>
      </w:r>
      <w:r>
        <w:rPr>
          <w:rFonts w:hAnsi="宋体" w:cs="Times New Roman"/>
        </w:rPr>
        <w:fldChar w:fldCharType="separate"/>
      </w:r>
      <w:r>
        <w:rPr>
          <w:rFonts w:hint="eastAsia" w:ascii="黑体" w:hAnsi="宋体" w:eastAsia="黑体"/>
          <w:szCs w:val="28"/>
        </w:rPr>
        <w:t>五</w:t>
      </w:r>
      <w:r>
        <w:rPr>
          <w:rFonts w:ascii="黑体" w:hAnsi="宋体" w:eastAsia="黑体"/>
          <w:szCs w:val="28"/>
        </w:rPr>
        <w:t>、</w:t>
      </w:r>
      <w:r>
        <w:rPr>
          <w:rFonts w:hint="eastAsia" w:ascii="黑体" w:hAnsi="宋体" w:eastAsia="黑体"/>
          <w:szCs w:val="28"/>
        </w:rPr>
        <w:t>投标函</w:t>
      </w:r>
      <w:r>
        <w:tab/>
      </w:r>
      <w:r>
        <w:fldChar w:fldCharType="begin"/>
      </w:r>
      <w:r>
        <w:instrText xml:space="preserve"> PAGEREF _Toc32570 </w:instrText>
      </w:r>
      <w:r>
        <w:fldChar w:fldCharType="separate"/>
      </w:r>
      <w:r>
        <w:t>110</w:t>
      </w:r>
      <w:r>
        <w:fldChar w:fldCharType="end"/>
      </w:r>
      <w:r>
        <w:rPr>
          <w:rFonts w:hAnsi="宋体" w:cs="Times New Roman"/>
        </w:rPr>
        <w:fldChar w:fldCharType="end"/>
      </w:r>
    </w:p>
    <w:p w14:paraId="297012AF">
      <w:pPr>
        <w:pStyle w:val="13"/>
        <w:tabs>
          <w:tab w:val="right" w:leader="dot" w:pos="8844"/>
        </w:tabs>
      </w:pPr>
      <w:r>
        <w:rPr>
          <w:rFonts w:hAnsi="宋体" w:cs="Times New Roman"/>
        </w:rPr>
        <w:fldChar w:fldCharType="begin"/>
      </w:r>
      <w:r>
        <w:rPr>
          <w:rFonts w:hAnsi="宋体" w:cs="Times New Roman"/>
        </w:rPr>
        <w:instrText xml:space="preserve"> HYPERLINK \l _Toc15526 </w:instrText>
      </w:r>
      <w:r>
        <w:rPr>
          <w:rFonts w:hAnsi="宋体" w:cs="Times New Roman"/>
        </w:rPr>
        <w:fldChar w:fldCharType="separate"/>
      </w:r>
      <w:r>
        <w:rPr>
          <w:rFonts w:hint="eastAsia" w:ascii="黑体" w:hAnsi="宋体" w:eastAsia="黑体"/>
          <w:szCs w:val="28"/>
        </w:rPr>
        <w:t>六、分项报价</w:t>
      </w:r>
      <w:r>
        <w:tab/>
      </w:r>
      <w:r>
        <w:fldChar w:fldCharType="begin"/>
      </w:r>
      <w:r>
        <w:instrText xml:space="preserve"> PAGEREF _Toc15526 </w:instrText>
      </w:r>
      <w:r>
        <w:fldChar w:fldCharType="separate"/>
      </w:r>
      <w:r>
        <w:t>112</w:t>
      </w:r>
      <w:r>
        <w:fldChar w:fldCharType="end"/>
      </w:r>
      <w:r>
        <w:rPr>
          <w:rFonts w:hAnsi="宋体" w:cs="Times New Roman"/>
        </w:rPr>
        <w:fldChar w:fldCharType="end"/>
      </w:r>
    </w:p>
    <w:p w14:paraId="084243CC">
      <w:pPr>
        <w:pStyle w:val="19"/>
        <w:tabs>
          <w:tab w:val="right" w:leader="dot" w:pos="8844"/>
        </w:tabs>
      </w:pPr>
      <w:r>
        <w:rPr>
          <w:rFonts w:hAnsi="宋体" w:cs="Times New Roman"/>
        </w:rPr>
        <w:fldChar w:fldCharType="begin"/>
      </w:r>
      <w:r>
        <w:rPr>
          <w:rFonts w:hAnsi="宋体" w:cs="Times New Roman"/>
        </w:rPr>
        <w:instrText xml:space="preserve"> HYPERLINK \l _Toc18552 </w:instrText>
      </w:r>
      <w:r>
        <w:rPr>
          <w:rFonts w:hAnsi="宋体" w:cs="Times New Roman"/>
        </w:rPr>
        <w:fldChar w:fldCharType="separate"/>
      </w:r>
      <w:r>
        <w:rPr>
          <w:rFonts w:hint="eastAsia" w:ascii="黑体" w:hAnsi="华文中宋" w:cs="宋体"/>
          <w:bCs w:val="0"/>
          <w:spacing w:val="6"/>
          <w:kern w:val="0"/>
          <w:szCs w:val="21"/>
        </w:rPr>
        <w:t xml:space="preserve">附件6-1 </w:t>
      </w:r>
      <w:r>
        <w:rPr>
          <w:rFonts w:hint="eastAsia" w:ascii="黑体" w:hAnsi="宋体" w:cs="微软雅黑"/>
          <w:spacing w:val="-2"/>
          <w:kern w:val="0"/>
          <w:szCs w:val="21"/>
        </w:rPr>
        <w:t>分</w:t>
      </w:r>
      <w:r>
        <w:rPr>
          <w:rFonts w:hint="eastAsia" w:ascii="黑体" w:hAnsi="宋体" w:cs="微软雅黑"/>
          <w:kern w:val="0"/>
          <w:szCs w:val="21"/>
        </w:rPr>
        <w:t>项</w:t>
      </w:r>
      <w:r>
        <w:rPr>
          <w:rFonts w:hint="eastAsia" w:ascii="黑体" w:hAnsi="宋体" w:cs="微软雅黑"/>
          <w:spacing w:val="-2"/>
          <w:kern w:val="0"/>
          <w:szCs w:val="21"/>
        </w:rPr>
        <w:t>报</w:t>
      </w:r>
      <w:r>
        <w:rPr>
          <w:rFonts w:hint="eastAsia" w:ascii="黑体" w:hAnsi="宋体" w:cs="微软雅黑"/>
          <w:kern w:val="0"/>
          <w:szCs w:val="21"/>
        </w:rPr>
        <w:t>价说明</w:t>
      </w:r>
      <w:r>
        <w:tab/>
      </w:r>
      <w:r>
        <w:fldChar w:fldCharType="begin"/>
      </w:r>
      <w:r>
        <w:instrText xml:space="preserve"> PAGEREF _Toc18552 </w:instrText>
      </w:r>
      <w:r>
        <w:fldChar w:fldCharType="separate"/>
      </w:r>
      <w:r>
        <w:t>112</w:t>
      </w:r>
      <w:r>
        <w:fldChar w:fldCharType="end"/>
      </w:r>
      <w:r>
        <w:rPr>
          <w:rFonts w:hAnsi="宋体" w:cs="Times New Roman"/>
        </w:rPr>
        <w:fldChar w:fldCharType="end"/>
      </w:r>
    </w:p>
    <w:p w14:paraId="4AF27723">
      <w:pPr>
        <w:pStyle w:val="19"/>
        <w:tabs>
          <w:tab w:val="right" w:leader="dot" w:pos="8844"/>
        </w:tabs>
      </w:pPr>
      <w:r>
        <w:rPr>
          <w:rFonts w:hAnsi="宋体" w:cs="Times New Roman"/>
        </w:rPr>
        <w:fldChar w:fldCharType="begin"/>
      </w:r>
      <w:r>
        <w:rPr>
          <w:rFonts w:hAnsi="宋体" w:cs="Times New Roman"/>
        </w:rPr>
        <w:instrText xml:space="preserve"> HYPERLINK \l _Toc2419 </w:instrText>
      </w:r>
      <w:r>
        <w:rPr>
          <w:rFonts w:hAnsi="宋体" w:cs="Times New Roman"/>
        </w:rPr>
        <w:fldChar w:fldCharType="separate"/>
      </w:r>
      <w:r>
        <w:rPr>
          <w:rFonts w:hint="eastAsia" w:ascii="黑体" w:hAnsi="华文中宋" w:cs="宋体"/>
          <w:bCs w:val="0"/>
          <w:spacing w:val="6"/>
          <w:kern w:val="0"/>
          <w:szCs w:val="21"/>
        </w:rPr>
        <w:t xml:space="preserve">附件6-2 </w:t>
      </w:r>
      <w:r>
        <w:rPr>
          <w:rFonts w:hint="eastAsia" w:ascii="黑体" w:hAnsi="宋体" w:cs="微软雅黑"/>
          <w:spacing w:val="-2"/>
          <w:kern w:val="0"/>
          <w:position w:val="-3"/>
          <w:szCs w:val="21"/>
        </w:rPr>
        <w:t>分</w:t>
      </w:r>
      <w:r>
        <w:rPr>
          <w:rFonts w:hint="eastAsia" w:ascii="黑体" w:hAnsi="宋体" w:cs="微软雅黑"/>
          <w:kern w:val="0"/>
          <w:position w:val="-3"/>
          <w:szCs w:val="21"/>
        </w:rPr>
        <w:t>项</w:t>
      </w:r>
      <w:r>
        <w:rPr>
          <w:rFonts w:hint="eastAsia" w:ascii="黑体" w:hAnsi="宋体" w:cs="微软雅黑"/>
          <w:spacing w:val="-2"/>
          <w:kern w:val="0"/>
          <w:position w:val="-3"/>
          <w:szCs w:val="21"/>
        </w:rPr>
        <w:t>报</w:t>
      </w:r>
      <w:r>
        <w:rPr>
          <w:rFonts w:hint="eastAsia" w:ascii="黑体" w:hAnsi="宋体" w:cs="微软雅黑"/>
          <w:kern w:val="0"/>
          <w:position w:val="-3"/>
          <w:szCs w:val="21"/>
        </w:rPr>
        <w:t>价明细表</w:t>
      </w:r>
      <w:r>
        <w:tab/>
      </w:r>
      <w:r>
        <w:fldChar w:fldCharType="begin"/>
      </w:r>
      <w:r>
        <w:instrText xml:space="preserve"> PAGEREF _Toc2419 </w:instrText>
      </w:r>
      <w:r>
        <w:fldChar w:fldCharType="separate"/>
      </w:r>
      <w:r>
        <w:t>112</w:t>
      </w:r>
      <w:r>
        <w:fldChar w:fldCharType="end"/>
      </w:r>
      <w:r>
        <w:rPr>
          <w:rFonts w:hAnsi="宋体" w:cs="Times New Roman"/>
        </w:rPr>
        <w:fldChar w:fldCharType="end"/>
      </w:r>
    </w:p>
    <w:p w14:paraId="1438F4C9">
      <w:pPr>
        <w:pStyle w:val="13"/>
        <w:tabs>
          <w:tab w:val="right" w:leader="dot" w:pos="8844"/>
        </w:tabs>
      </w:pPr>
      <w:r>
        <w:rPr>
          <w:rFonts w:hAnsi="宋体" w:cs="Times New Roman"/>
        </w:rPr>
        <w:fldChar w:fldCharType="begin"/>
      </w:r>
      <w:r>
        <w:rPr>
          <w:rFonts w:hAnsi="宋体" w:cs="Times New Roman"/>
        </w:rPr>
        <w:instrText xml:space="preserve"> HYPERLINK \l _Toc18202 </w:instrText>
      </w:r>
      <w:r>
        <w:rPr>
          <w:rFonts w:hAnsi="宋体" w:cs="Times New Roman"/>
        </w:rPr>
        <w:fldChar w:fldCharType="separate"/>
      </w:r>
      <w:r>
        <w:rPr>
          <w:rFonts w:hint="eastAsia" w:ascii="黑体" w:hAnsi="宋体" w:eastAsia="黑体"/>
          <w:szCs w:val="28"/>
        </w:rPr>
        <w:t>七、采购需求响应</w:t>
      </w:r>
      <w:r>
        <w:tab/>
      </w:r>
      <w:r>
        <w:fldChar w:fldCharType="begin"/>
      </w:r>
      <w:r>
        <w:instrText xml:space="preserve"> PAGEREF _Toc18202 </w:instrText>
      </w:r>
      <w:r>
        <w:fldChar w:fldCharType="separate"/>
      </w:r>
      <w:r>
        <w:t>113</w:t>
      </w:r>
      <w:r>
        <w:fldChar w:fldCharType="end"/>
      </w:r>
      <w:r>
        <w:rPr>
          <w:rFonts w:hAnsi="宋体" w:cs="Times New Roman"/>
        </w:rPr>
        <w:fldChar w:fldCharType="end"/>
      </w:r>
    </w:p>
    <w:p w14:paraId="0C38C218">
      <w:pPr>
        <w:pStyle w:val="19"/>
        <w:tabs>
          <w:tab w:val="right" w:leader="dot" w:pos="8844"/>
        </w:tabs>
      </w:pPr>
      <w:r>
        <w:rPr>
          <w:rFonts w:hAnsi="宋体" w:cs="Times New Roman"/>
        </w:rPr>
        <w:fldChar w:fldCharType="begin"/>
      </w:r>
      <w:r>
        <w:rPr>
          <w:rFonts w:hAnsi="宋体" w:cs="Times New Roman"/>
        </w:rPr>
        <w:instrText xml:space="preserve"> HYPERLINK \l _Toc17037 </w:instrText>
      </w:r>
      <w:r>
        <w:rPr>
          <w:rFonts w:hAnsi="宋体" w:cs="Times New Roman"/>
        </w:rPr>
        <w:fldChar w:fldCharType="separate"/>
      </w:r>
      <w:r>
        <w:rPr>
          <w:rFonts w:hint="eastAsia" w:ascii="黑体" w:hAnsi="黑体" w:cs="宋体"/>
          <w:spacing w:val="6"/>
          <w:kern w:val="0"/>
          <w:szCs w:val="21"/>
        </w:rPr>
        <w:t>附件7-1 响应</w:t>
      </w:r>
      <w:r>
        <w:rPr>
          <w:rFonts w:hint="eastAsia" w:ascii="黑体" w:hAnsi="黑体"/>
          <w:szCs w:val="21"/>
        </w:rPr>
        <w:t>一览表</w:t>
      </w:r>
      <w:r>
        <w:tab/>
      </w:r>
      <w:r>
        <w:fldChar w:fldCharType="begin"/>
      </w:r>
      <w:r>
        <w:instrText xml:space="preserve"> PAGEREF _Toc17037 </w:instrText>
      </w:r>
      <w:r>
        <w:fldChar w:fldCharType="separate"/>
      </w:r>
      <w:r>
        <w:t>113</w:t>
      </w:r>
      <w:r>
        <w:fldChar w:fldCharType="end"/>
      </w:r>
      <w:r>
        <w:rPr>
          <w:rFonts w:hAnsi="宋体" w:cs="Times New Roman"/>
        </w:rPr>
        <w:fldChar w:fldCharType="end"/>
      </w:r>
    </w:p>
    <w:p w14:paraId="54414165">
      <w:pPr>
        <w:pStyle w:val="13"/>
        <w:tabs>
          <w:tab w:val="right" w:leader="dot" w:pos="8844"/>
        </w:tabs>
      </w:pPr>
      <w:r>
        <w:rPr>
          <w:rFonts w:hAnsi="宋体" w:cs="Times New Roman"/>
        </w:rPr>
        <w:fldChar w:fldCharType="begin"/>
      </w:r>
      <w:r>
        <w:rPr>
          <w:rFonts w:hAnsi="宋体" w:cs="Times New Roman"/>
        </w:rPr>
        <w:instrText xml:space="preserve"> HYPERLINK \l _Toc20588 </w:instrText>
      </w:r>
      <w:r>
        <w:rPr>
          <w:rFonts w:hAnsi="宋体" w:cs="Times New Roman"/>
        </w:rPr>
        <w:fldChar w:fldCharType="separate"/>
      </w:r>
      <w:r>
        <w:rPr>
          <w:rFonts w:hint="eastAsia" w:ascii="黑体" w:hAnsi="黑体" w:eastAsia="黑体"/>
          <w:szCs w:val="28"/>
        </w:rPr>
        <w:t>八、合同条款偏离表</w:t>
      </w:r>
      <w:r>
        <w:tab/>
      </w:r>
      <w:r>
        <w:fldChar w:fldCharType="begin"/>
      </w:r>
      <w:r>
        <w:instrText xml:space="preserve"> PAGEREF _Toc20588 </w:instrText>
      </w:r>
      <w:r>
        <w:fldChar w:fldCharType="separate"/>
      </w:r>
      <w:r>
        <w:t>114</w:t>
      </w:r>
      <w:r>
        <w:fldChar w:fldCharType="end"/>
      </w:r>
      <w:r>
        <w:rPr>
          <w:rFonts w:hAnsi="宋体" w:cs="Times New Roman"/>
        </w:rPr>
        <w:fldChar w:fldCharType="end"/>
      </w:r>
    </w:p>
    <w:p w14:paraId="784E25EB">
      <w:pPr>
        <w:pStyle w:val="13"/>
        <w:tabs>
          <w:tab w:val="right" w:leader="dot" w:pos="8844"/>
        </w:tabs>
      </w:pPr>
      <w:r>
        <w:rPr>
          <w:rFonts w:hAnsi="宋体" w:cs="Times New Roman"/>
        </w:rPr>
        <w:fldChar w:fldCharType="begin"/>
      </w:r>
      <w:r>
        <w:rPr>
          <w:rFonts w:hAnsi="宋体" w:cs="Times New Roman"/>
        </w:rPr>
        <w:instrText xml:space="preserve"> HYPERLINK \l _Toc3548 </w:instrText>
      </w:r>
      <w:r>
        <w:rPr>
          <w:rFonts w:hAnsi="宋体" w:cs="Times New Roman"/>
        </w:rPr>
        <w:fldChar w:fldCharType="separate"/>
      </w:r>
      <w:r>
        <w:rPr>
          <w:rFonts w:hint="eastAsia" w:ascii="黑体" w:hAnsi="宋体" w:eastAsia="黑体"/>
          <w:szCs w:val="28"/>
        </w:rPr>
        <w:t>九、采购需求偏离表</w:t>
      </w:r>
      <w:r>
        <w:tab/>
      </w:r>
      <w:r>
        <w:fldChar w:fldCharType="begin"/>
      </w:r>
      <w:r>
        <w:instrText xml:space="preserve"> PAGEREF _Toc3548 </w:instrText>
      </w:r>
      <w:r>
        <w:fldChar w:fldCharType="separate"/>
      </w:r>
      <w:r>
        <w:t>115</w:t>
      </w:r>
      <w:r>
        <w:fldChar w:fldCharType="end"/>
      </w:r>
      <w:r>
        <w:rPr>
          <w:rFonts w:hAnsi="宋体" w:cs="Times New Roman"/>
        </w:rPr>
        <w:fldChar w:fldCharType="end"/>
      </w:r>
    </w:p>
    <w:p w14:paraId="0FC224CA">
      <w:pPr>
        <w:pStyle w:val="13"/>
        <w:tabs>
          <w:tab w:val="right" w:leader="dot" w:pos="8844"/>
        </w:tabs>
      </w:pPr>
      <w:r>
        <w:rPr>
          <w:rFonts w:hAnsi="宋体" w:cs="Times New Roman"/>
        </w:rPr>
        <w:fldChar w:fldCharType="begin"/>
      </w:r>
      <w:r>
        <w:rPr>
          <w:rFonts w:hAnsi="宋体" w:cs="Times New Roman"/>
        </w:rPr>
        <w:instrText xml:space="preserve"> HYPERLINK \l _Toc10579 </w:instrText>
      </w:r>
      <w:r>
        <w:rPr>
          <w:rFonts w:hAnsi="宋体" w:cs="Times New Roman"/>
        </w:rPr>
        <w:fldChar w:fldCharType="separate"/>
      </w:r>
      <w:r>
        <w:rPr>
          <w:rFonts w:hint="eastAsia" w:ascii="宋体" w:hAnsi="宋体"/>
          <w:szCs w:val="21"/>
        </w:rPr>
        <w:t>十</w:t>
      </w:r>
      <w:r>
        <w:rPr>
          <w:rFonts w:hint="eastAsia" w:ascii="黑体" w:hAnsi="宋体" w:eastAsia="黑体"/>
          <w:szCs w:val="28"/>
        </w:rPr>
        <w:t>、享受政府采购政策优惠的证明资料</w:t>
      </w:r>
      <w:r>
        <w:tab/>
      </w:r>
      <w:r>
        <w:fldChar w:fldCharType="begin"/>
      </w:r>
      <w:r>
        <w:instrText xml:space="preserve"> PAGEREF _Toc10579 </w:instrText>
      </w:r>
      <w:r>
        <w:fldChar w:fldCharType="separate"/>
      </w:r>
      <w:r>
        <w:t>116</w:t>
      </w:r>
      <w:r>
        <w:fldChar w:fldCharType="end"/>
      </w:r>
      <w:r>
        <w:rPr>
          <w:rFonts w:hAnsi="宋体" w:cs="Times New Roman"/>
        </w:rPr>
        <w:fldChar w:fldCharType="end"/>
      </w:r>
    </w:p>
    <w:p w14:paraId="79B2C706">
      <w:pPr>
        <w:pStyle w:val="19"/>
        <w:tabs>
          <w:tab w:val="right" w:leader="dot" w:pos="8844"/>
        </w:tabs>
      </w:pPr>
      <w:r>
        <w:rPr>
          <w:rFonts w:hAnsi="宋体" w:cs="Times New Roman"/>
        </w:rPr>
        <w:fldChar w:fldCharType="begin"/>
      </w:r>
      <w:r>
        <w:rPr>
          <w:rFonts w:hAnsi="宋体" w:cs="Times New Roman"/>
        </w:rPr>
        <w:instrText xml:space="preserve"> HYPERLINK \l _Toc200 </w:instrText>
      </w:r>
      <w:r>
        <w:rPr>
          <w:rFonts w:hAnsi="宋体" w:cs="Times New Roman"/>
        </w:rPr>
        <w:fldChar w:fldCharType="separate"/>
      </w:r>
      <w:r>
        <w:rPr>
          <w:rFonts w:hint="eastAsia" w:ascii="黑体" w:hAnsi="华文中宋" w:cs="宋体"/>
          <w:bCs w:val="0"/>
          <w:spacing w:val="6"/>
          <w:kern w:val="0"/>
          <w:szCs w:val="21"/>
        </w:rPr>
        <w:t xml:space="preserve">附件10-1 </w:t>
      </w:r>
      <w:r>
        <w:rPr>
          <w:rFonts w:hint="eastAsia" w:ascii="黑体" w:hAnsi="宋体"/>
          <w:bCs w:val="0"/>
          <w:szCs w:val="21"/>
        </w:rPr>
        <w:t>中小企业声明函</w:t>
      </w:r>
      <w:r>
        <w:tab/>
      </w:r>
      <w:r>
        <w:fldChar w:fldCharType="begin"/>
      </w:r>
      <w:r>
        <w:instrText xml:space="preserve"> PAGEREF _Toc200 </w:instrText>
      </w:r>
      <w:r>
        <w:fldChar w:fldCharType="separate"/>
      </w:r>
      <w:r>
        <w:t>116</w:t>
      </w:r>
      <w:r>
        <w:fldChar w:fldCharType="end"/>
      </w:r>
      <w:r>
        <w:rPr>
          <w:rFonts w:hAnsi="宋体" w:cs="Times New Roman"/>
        </w:rPr>
        <w:fldChar w:fldCharType="end"/>
      </w:r>
    </w:p>
    <w:p w14:paraId="355DECC7">
      <w:pPr>
        <w:pStyle w:val="19"/>
        <w:tabs>
          <w:tab w:val="right" w:leader="dot" w:pos="8844"/>
        </w:tabs>
      </w:pPr>
      <w:r>
        <w:rPr>
          <w:rFonts w:hAnsi="宋体" w:cs="Times New Roman"/>
        </w:rPr>
        <w:fldChar w:fldCharType="begin"/>
      </w:r>
      <w:r>
        <w:rPr>
          <w:rFonts w:hAnsi="宋体" w:cs="Times New Roman"/>
        </w:rPr>
        <w:instrText xml:space="preserve"> HYPERLINK \l _Toc19787 </w:instrText>
      </w:r>
      <w:r>
        <w:rPr>
          <w:rFonts w:hAnsi="宋体" w:cs="Times New Roman"/>
        </w:rPr>
        <w:fldChar w:fldCharType="separate"/>
      </w:r>
      <w:r>
        <w:rPr>
          <w:rFonts w:hint="eastAsia" w:ascii="黑体" w:hAnsi="黑体" w:cs="宋体"/>
          <w:bCs w:val="0"/>
          <w:kern w:val="0"/>
          <w:szCs w:val="21"/>
        </w:rPr>
        <w:t xml:space="preserve">附件10-2 </w:t>
      </w:r>
      <w:r>
        <w:rPr>
          <w:rFonts w:hint="eastAsia" w:ascii="黑体" w:hAnsi="黑体"/>
          <w:bCs w:val="0"/>
          <w:szCs w:val="21"/>
        </w:rPr>
        <w:t>残疾人福利性单位声明函</w:t>
      </w:r>
      <w:r>
        <w:tab/>
      </w:r>
      <w:r>
        <w:fldChar w:fldCharType="begin"/>
      </w:r>
      <w:r>
        <w:instrText xml:space="preserve"> PAGEREF _Toc19787 </w:instrText>
      </w:r>
      <w:r>
        <w:fldChar w:fldCharType="separate"/>
      </w:r>
      <w:r>
        <w:t>117</w:t>
      </w:r>
      <w:r>
        <w:fldChar w:fldCharType="end"/>
      </w:r>
      <w:r>
        <w:rPr>
          <w:rFonts w:hAnsi="宋体" w:cs="Times New Roman"/>
        </w:rPr>
        <w:fldChar w:fldCharType="end"/>
      </w:r>
    </w:p>
    <w:p w14:paraId="23BDAC6A">
      <w:pPr>
        <w:pStyle w:val="19"/>
        <w:tabs>
          <w:tab w:val="right" w:leader="dot" w:pos="8844"/>
        </w:tabs>
      </w:pPr>
      <w:r>
        <w:rPr>
          <w:rFonts w:hAnsi="宋体" w:cs="Times New Roman"/>
        </w:rPr>
        <w:fldChar w:fldCharType="begin"/>
      </w:r>
      <w:r>
        <w:rPr>
          <w:rFonts w:hAnsi="宋体" w:cs="Times New Roman"/>
        </w:rPr>
        <w:instrText xml:space="preserve"> HYPERLINK \l _Toc15815 </w:instrText>
      </w:r>
      <w:r>
        <w:rPr>
          <w:rFonts w:hAnsi="宋体" w:cs="Times New Roman"/>
        </w:rPr>
        <w:fldChar w:fldCharType="separate"/>
      </w:r>
      <w:r>
        <w:rPr>
          <w:rFonts w:hint="eastAsia" w:ascii="黑体" w:hAnsi="黑体" w:cs="宋体"/>
          <w:bCs w:val="0"/>
          <w:kern w:val="0"/>
          <w:szCs w:val="21"/>
        </w:rPr>
        <w:t xml:space="preserve">附件10-3 </w:t>
      </w:r>
      <w:r>
        <w:rPr>
          <w:rFonts w:hint="eastAsia" w:ascii="黑体" w:hAnsi="黑体"/>
          <w:bCs w:val="0"/>
          <w:szCs w:val="21"/>
        </w:rPr>
        <w:t>监狱企业证明资料</w:t>
      </w:r>
      <w:r>
        <w:tab/>
      </w:r>
      <w:r>
        <w:fldChar w:fldCharType="begin"/>
      </w:r>
      <w:r>
        <w:instrText xml:space="preserve"> PAGEREF _Toc15815 </w:instrText>
      </w:r>
      <w:r>
        <w:fldChar w:fldCharType="separate"/>
      </w:r>
      <w:r>
        <w:t>118</w:t>
      </w:r>
      <w:r>
        <w:fldChar w:fldCharType="end"/>
      </w:r>
      <w:r>
        <w:rPr>
          <w:rFonts w:hAnsi="宋体" w:cs="Times New Roman"/>
        </w:rPr>
        <w:fldChar w:fldCharType="end"/>
      </w:r>
    </w:p>
    <w:p w14:paraId="5DA60615">
      <w:pPr>
        <w:pStyle w:val="19"/>
        <w:tabs>
          <w:tab w:val="right" w:leader="dot" w:pos="8844"/>
        </w:tabs>
      </w:pPr>
      <w:r>
        <w:rPr>
          <w:rFonts w:hAnsi="宋体" w:cs="Times New Roman"/>
        </w:rPr>
        <w:fldChar w:fldCharType="begin"/>
      </w:r>
      <w:r>
        <w:rPr>
          <w:rFonts w:hAnsi="宋体" w:cs="Times New Roman"/>
        </w:rPr>
        <w:instrText xml:space="preserve"> HYPERLINK \l _Toc15927 </w:instrText>
      </w:r>
      <w:r>
        <w:rPr>
          <w:rFonts w:hAnsi="宋体" w:cs="Times New Roman"/>
        </w:rPr>
        <w:fldChar w:fldCharType="separate"/>
      </w:r>
      <w:r>
        <w:rPr>
          <w:rFonts w:hint="eastAsia" w:ascii="黑体" w:hAnsi="华文中宋" w:cs="宋体"/>
          <w:bCs w:val="0"/>
          <w:spacing w:val="6"/>
          <w:kern w:val="0"/>
          <w:szCs w:val="21"/>
        </w:rPr>
        <w:t xml:space="preserve">附件10-4 </w:t>
      </w:r>
      <w:r>
        <w:rPr>
          <w:rFonts w:hint="eastAsia" w:ascii="黑体" w:hAnsi="宋体"/>
          <w:bCs w:val="0"/>
          <w:szCs w:val="21"/>
        </w:rPr>
        <w:t>强制采购或者优先采购产品的证明材料</w:t>
      </w:r>
      <w:r>
        <w:tab/>
      </w:r>
      <w:r>
        <w:fldChar w:fldCharType="begin"/>
      </w:r>
      <w:r>
        <w:instrText xml:space="preserve"> PAGEREF _Toc15927 </w:instrText>
      </w:r>
      <w:r>
        <w:fldChar w:fldCharType="separate"/>
      </w:r>
      <w:r>
        <w:t>119</w:t>
      </w:r>
      <w:r>
        <w:fldChar w:fldCharType="end"/>
      </w:r>
      <w:r>
        <w:rPr>
          <w:rFonts w:hAnsi="宋体" w:cs="Times New Roman"/>
        </w:rPr>
        <w:fldChar w:fldCharType="end"/>
      </w:r>
    </w:p>
    <w:p w14:paraId="710FF990">
      <w:pPr>
        <w:pStyle w:val="19"/>
        <w:tabs>
          <w:tab w:val="right" w:leader="dot" w:pos="8844"/>
        </w:tabs>
      </w:pPr>
      <w:r>
        <w:rPr>
          <w:rFonts w:hAnsi="宋体" w:cs="Times New Roman"/>
        </w:rPr>
        <w:fldChar w:fldCharType="begin"/>
      </w:r>
      <w:r>
        <w:rPr>
          <w:rFonts w:hAnsi="宋体" w:cs="Times New Roman"/>
        </w:rPr>
        <w:instrText xml:space="preserve"> HYPERLINK \l _Toc2924 </w:instrText>
      </w:r>
      <w:r>
        <w:rPr>
          <w:rFonts w:hAnsi="宋体" w:cs="Times New Roman"/>
        </w:rPr>
        <w:fldChar w:fldCharType="separate"/>
      </w:r>
      <w:r>
        <w:rPr>
          <w:rFonts w:hint="eastAsia" w:ascii="黑体" w:hAnsi="华文中宋" w:cs="宋体"/>
          <w:bCs w:val="0"/>
          <w:spacing w:val="6"/>
          <w:kern w:val="0"/>
          <w:szCs w:val="21"/>
        </w:rPr>
        <w:t xml:space="preserve">附页 1 </w:t>
      </w:r>
      <w:r>
        <w:rPr>
          <w:rFonts w:hint="eastAsia" w:ascii="黑体" w:hAnsi="宋体"/>
          <w:szCs w:val="21"/>
        </w:rPr>
        <w:t>优先采购产品清单</w:t>
      </w:r>
      <w:r>
        <w:tab/>
      </w:r>
      <w:r>
        <w:fldChar w:fldCharType="begin"/>
      </w:r>
      <w:r>
        <w:instrText xml:space="preserve"> PAGEREF _Toc2924 </w:instrText>
      </w:r>
      <w:r>
        <w:fldChar w:fldCharType="separate"/>
      </w:r>
      <w:r>
        <w:t>120</w:t>
      </w:r>
      <w:r>
        <w:fldChar w:fldCharType="end"/>
      </w:r>
      <w:r>
        <w:rPr>
          <w:rFonts w:hAnsi="宋体" w:cs="Times New Roman"/>
        </w:rPr>
        <w:fldChar w:fldCharType="end"/>
      </w:r>
    </w:p>
    <w:p w14:paraId="0E61B752">
      <w:pPr>
        <w:pStyle w:val="13"/>
        <w:tabs>
          <w:tab w:val="right" w:leader="dot" w:pos="8844"/>
        </w:tabs>
      </w:pPr>
      <w:r>
        <w:rPr>
          <w:rFonts w:hAnsi="宋体" w:cs="Times New Roman"/>
        </w:rPr>
        <w:fldChar w:fldCharType="begin"/>
      </w:r>
      <w:r>
        <w:rPr>
          <w:rFonts w:hAnsi="宋体" w:cs="Times New Roman"/>
        </w:rPr>
        <w:instrText xml:space="preserve"> HYPERLINK \l _Toc11179 </w:instrText>
      </w:r>
      <w:r>
        <w:rPr>
          <w:rFonts w:hAnsi="宋体" w:cs="Times New Roman"/>
        </w:rPr>
        <w:fldChar w:fldCharType="separate"/>
      </w:r>
      <w:r>
        <w:rPr>
          <w:rFonts w:hint="eastAsia" w:ascii="黑体" w:hAnsi="宋体" w:eastAsia="黑体"/>
          <w:szCs w:val="28"/>
        </w:rPr>
        <w:t>十一、投标货物符合招标文件规定的证明文件</w:t>
      </w:r>
      <w:r>
        <w:tab/>
      </w:r>
      <w:r>
        <w:fldChar w:fldCharType="begin"/>
      </w:r>
      <w:r>
        <w:instrText xml:space="preserve"> PAGEREF _Toc11179 </w:instrText>
      </w:r>
      <w:r>
        <w:fldChar w:fldCharType="separate"/>
      </w:r>
      <w:r>
        <w:t>122</w:t>
      </w:r>
      <w:r>
        <w:fldChar w:fldCharType="end"/>
      </w:r>
      <w:r>
        <w:rPr>
          <w:rFonts w:hAnsi="宋体" w:cs="Times New Roman"/>
        </w:rPr>
        <w:fldChar w:fldCharType="end"/>
      </w:r>
    </w:p>
    <w:p w14:paraId="348DD94A">
      <w:pPr>
        <w:pStyle w:val="13"/>
        <w:tabs>
          <w:tab w:val="right" w:leader="dot" w:pos="8844"/>
        </w:tabs>
      </w:pPr>
      <w:r>
        <w:rPr>
          <w:rFonts w:hAnsi="宋体" w:cs="Times New Roman"/>
        </w:rPr>
        <w:fldChar w:fldCharType="begin"/>
      </w:r>
      <w:r>
        <w:rPr>
          <w:rFonts w:hAnsi="宋体" w:cs="Times New Roman"/>
        </w:rPr>
        <w:instrText xml:space="preserve"> HYPERLINK \l _Toc6407 </w:instrText>
      </w:r>
      <w:r>
        <w:rPr>
          <w:rFonts w:hAnsi="宋体" w:cs="Times New Roman"/>
        </w:rPr>
        <w:fldChar w:fldCharType="separate"/>
      </w:r>
      <w:r>
        <w:rPr>
          <w:rFonts w:hint="eastAsia" w:ascii="黑体" w:hAnsi="宋体" w:eastAsia="黑体"/>
          <w:szCs w:val="28"/>
        </w:rPr>
        <w:t>十二、投标人认为需提供的其他资料</w:t>
      </w:r>
      <w:r>
        <w:tab/>
      </w:r>
      <w:r>
        <w:fldChar w:fldCharType="begin"/>
      </w:r>
      <w:r>
        <w:instrText xml:space="preserve"> PAGEREF _Toc6407 </w:instrText>
      </w:r>
      <w:r>
        <w:fldChar w:fldCharType="separate"/>
      </w:r>
      <w:r>
        <w:t>123</w:t>
      </w:r>
      <w:r>
        <w:fldChar w:fldCharType="end"/>
      </w:r>
      <w:r>
        <w:rPr>
          <w:rFonts w:hAnsi="宋体" w:cs="Times New Roman"/>
        </w:rPr>
        <w:fldChar w:fldCharType="end"/>
      </w:r>
    </w:p>
    <w:p w14:paraId="52C4ACEA">
      <w:pPr>
        <w:pStyle w:val="14"/>
        <w:adjustRightInd w:val="0"/>
        <w:snapToGrid w:val="0"/>
        <w:spacing w:line="360" w:lineRule="auto"/>
        <w:outlineLvl w:val="0"/>
        <w:rPr>
          <w:rFonts w:hint="eastAsia" w:hAnsi="宋体"/>
        </w:rPr>
      </w:pPr>
      <w:r>
        <w:rPr>
          <w:rFonts w:hAnsi="宋体" w:cs="Times New Roman"/>
        </w:rPr>
        <w:fldChar w:fldCharType="end"/>
      </w:r>
      <w:r>
        <w:rPr>
          <w:rFonts w:hAnsi="宋体"/>
        </w:rPr>
        <w:t xml:space="preserve"> </w:t>
      </w:r>
    </w:p>
    <w:p w14:paraId="2E6D021C">
      <w:pPr>
        <w:adjustRightInd w:val="0"/>
        <w:snapToGrid w:val="0"/>
        <w:spacing w:line="240" w:lineRule="atLeast"/>
        <w:ind w:firstLine="840" w:firstLineChars="400"/>
        <w:rPr>
          <w:rFonts w:hint="eastAsia" w:ascii="宋体" w:hAnsi="宋体"/>
          <w:szCs w:val="21"/>
        </w:rPr>
      </w:pPr>
    </w:p>
    <w:p w14:paraId="428DF64E">
      <w:pPr>
        <w:bidi w:val="0"/>
        <w:sectPr>
          <w:headerReference r:id="rId6" w:type="default"/>
          <w:footerReference r:id="rId7" w:type="default"/>
          <w:pgSz w:w="11906" w:h="16838"/>
          <w:pgMar w:top="1474" w:right="1474" w:bottom="1474" w:left="1588" w:header="851" w:footer="992" w:gutter="0"/>
          <w:pgBorders>
            <w:top w:val="none" w:sz="0" w:space="0"/>
            <w:left w:val="none" w:sz="0" w:space="0"/>
            <w:bottom w:val="none" w:sz="0" w:space="0"/>
            <w:right w:val="none" w:sz="0" w:space="0"/>
          </w:pgBorders>
          <w:pgNumType w:start="1"/>
          <w:cols w:space="720" w:num="1"/>
          <w:docGrid w:type="lines" w:linePitch="312" w:charSpace="0"/>
        </w:sectPr>
      </w:pPr>
      <w:bookmarkStart w:id="0" w:name="_Toc53472201"/>
      <w:bookmarkStart w:id="1" w:name="_Toc35421027"/>
      <w:bookmarkStart w:id="2" w:name="_Toc20642243"/>
      <w:bookmarkStart w:id="3" w:name="_Toc20816073"/>
      <w:bookmarkStart w:id="4" w:name="_Toc21000471"/>
      <w:bookmarkStart w:id="5" w:name="_Toc20988241"/>
      <w:bookmarkStart w:id="6" w:name="_Toc34720698"/>
      <w:bookmarkStart w:id="7" w:name="_Toc21001314"/>
    </w:p>
    <w:p w14:paraId="3E7F710F">
      <w:pPr>
        <w:pStyle w:val="3"/>
        <w:ind w:firstLine="3213" w:firstLineChars="1000"/>
        <w:jc w:val="both"/>
        <w:rPr>
          <w:rFonts w:hint="eastAsia" w:ascii="黑体" w:hAnsi="华文中宋" w:eastAsia="黑体"/>
          <w:color w:val="000000"/>
          <w:sz w:val="32"/>
          <w:szCs w:val="32"/>
        </w:rPr>
      </w:pPr>
      <w:bookmarkStart w:id="8" w:name="_Toc3347"/>
      <w:r>
        <w:rPr>
          <w:rFonts w:hint="eastAsia" w:ascii="黑体" w:hAnsi="华文中宋" w:eastAsia="黑体"/>
          <w:color w:val="000000"/>
          <w:sz w:val="32"/>
          <w:szCs w:val="32"/>
        </w:rPr>
        <w:t>第一章 投标邀请</w:t>
      </w:r>
      <w:bookmarkEnd w:id="8"/>
    </w:p>
    <w:p w14:paraId="6A4B47AF">
      <w:pPr>
        <w:adjustRightInd w:val="0"/>
        <w:snapToGrid w:val="0"/>
        <w:spacing w:line="360" w:lineRule="auto"/>
        <w:ind w:left="1797" w:leftChars="284" w:hanging="1201" w:hangingChars="400"/>
        <w:rPr>
          <w:rFonts w:hint="eastAsia" w:ascii="微软雅黑" w:hAnsi="微软雅黑" w:eastAsia="微软雅黑" w:cs="宋体"/>
          <w:b/>
          <w:bCs/>
          <w:color w:val="000000"/>
          <w:kern w:val="36"/>
          <w:sz w:val="30"/>
          <w:szCs w:val="30"/>
        </w:rPr>
      </w:pPr>
      <w:bookmarkStart w:id="9" w:name="OLE_LINK6"/>
      <w:bookmarkStart w:id="10" w:name="OLE_LINK5"/>
      <w:r>
        <w:rPr>
          <w:rFonts w:hint="eastAsia" w:ascii="微软雅黑" w:hAnsi="微软雅黑" w:eastAsia="微软雅黑" w:cs="宋体"/>
          <w:b/>
          <w:bCs/>
          <w:color w:val="000000"/>
          <w:kern w:val="36"/>
          <w:sz w:val="30"/>
          <w:szCs w:val="30"/>
          <w:lang w:eastAsia="zh-CN"/>
        </w:rPr>
        <w:t>新化县殡仪馆新建项目相关设备设施采购项目</w:t>
      </w:r>
      <w:r>
        <w:rPr>
          <w:rFonts w:hint="eastAsia" w:ascii="微软雅黑" w:hAnsi="微软雅黑" w:eastAsia="微软雅黑" w:cs="宋体"/>
          <w:b/>
          <w:bCs/>
          <w:color w:val="000000"/>
          <w:kern w:val="36"/>
          <w:sz w:val="30"/>
          <w:szCs w:val="30"/>
        </w:rPr>
        <w:t>公开招标公告</w:t>
      </w:r>
    </w:p>
    <w:p w14:paraId="5FE55EA0">
      <w:pPr>
        <w:adjustRightInd w:val="0"/>
        <w:snapToGrid w:val="0"/>
        <w:spacing w:before="50" w:line="360" w:lineRule="auto"/>
        <w:ind w:firstLine="420" w:firstLineChars="200"/>
        <w:rPr>
          <w:rFonts w:hint="eastAsia" w:ascii="宋体" w:hAnsi="宋体"/>
          <w:szCs w:val="21"/>
        </w:rPr>
      </w:pPr>
      <w:r>
        <w:rPr>
          <w:rFonts w:hint="eastAsia" w:ascii="宋体" w:hAnsi="宋体"/>
          <w:szCs w:val="21"/>
          <w:lang w:eastAsia="zh-CN"/>
        </w:rPr>
        <w:t>新化县民政局</w:t>
      </w:r>
      <w:r>
        <w:rPr>
          <w:rFonts w:hint="eastAsia" w:ascii="宋体" w:hAnsi="宋体"/>
          <w:szCs w:val="21"/>
        </w:rPr>
        <w:t>的</w:t>
      </w:r>
      <w:r>
        <w:rPr>
          <w:rFonts w:hint="eastAsia" w:ascii="宋体" w:hAnsi="宋体"/>
          <w:szCs w:val="21"/>
          <w:lang w:eastAsia="zh-CN"/>
        </w:rPr>
        <w:t>新化县殡仪馆新建项目相关设备设施采购项目</w:t>
      </w:r>
      <w:r>
        <w:rPr>
          <w:rFonts w:hint="eastAsia" w:ascii="宋体" w:hAnsi="宋体"/>
          <w:szCs w:val="21"/>
        </w:rPr>
        <w:t>进行公开招标采购，现邀请合格投标人参加投标。</w:t>
      </w:r>
    </w:p>
    <w:p w14:paraId="47BA9E08">
      <w:pPr>
        <w:adjustRightInd w:val="0"/>
        <w:snapToGrid w:val="0"/>
        <w:spacing w:before="50" w:line="360" w:lineRule="auto"/>
        <w:rPr>
          <w:rFonts w:hint="eastAsia" w:ascii="宋体" w:hAnsi="宋体"/>
          <w:b/>
          <w:bCs/>
          <w:szCs w:val="21"/>
        </w:rPr>
      </w:pPr>
      <w:r>
        <w:rPr>
          <w:rFonts w:hint="eastAsia" w:ascii="宋体" w:hAnsi="宋体"/>
          <w:b/>
          <w:bCs/>
          <w:szCs w:val="21"/>
        </w:rPr>
        <w:t>一、采购项目基本信息</w:t>
      </w:r>
    </w:p>
    <w:p w14:paraId="7D0F34C4">
      <w:pPr>
        <w:keepNext w:val="0"/>
        <w:keepLines w:val="0"/>
        <w:pageBreakBefore w:val="0"/>
        <w:widowControl w:val="0"/>
        <w:kinsoku/>
        <w:wordWrap/>
        <w:overflowPunct/>
        <w:topLinePunct w:val="0"/>
        <w:autoSpaceDE/>
        <w:autoSpaceDN/>
        <w:bidi w:val="0"/>
        <w:adjustRightInd w:val="0"/>
        <w:snapToGrid w:val="0"/>
        <w:spacing w:after="40" w:line="360" w:lineRule="auto"/>
        <w:textAlignment w:val="auto"/>
        <w:rPr>
          <w:rFonts w:hint="eastAsia" w:ascii="宋体" w:hAnsi="宋体"/>
          <w:szCs w:val="21"/>
          <w:lang w:eastAsia="zh-CN"/>
        </w:rPr>
      </w:pPr>
      <w:r>
        <w:rPr>
          <w:rFonts w:hint="eastAsia" w:ascii="宋体" w:hAnsi="宋体"/>
          <w:szCs w:val="21"/>
        </w:rPr>
        <w:t>1、采购项目名称：</w:t>
      </w:r>
      <w:r>
        <w:rPr>
          <w:rFonts w:hint="eastAsia" w:ascii="宋体" w:hAnsi="宋体"/>
          <w:szCs w:val="21"/>
          <w:lang w:eastAsia="zh-CN"/>
        </w:rPr>
        <w:t>新化县殡仪馆新建项目相关设备设施采购项目</w:t>
      </w:r>
    </w:p>
    <w:p w14:paraId="48A04397">
      <w:pPr>
        <w:keepNext w:val="0"/>
        <w:keepLines w:val="0"/>
        <w:pageBreakBefore w:val="0"/>
        <w:widowControl w:val="0"/>
        <w:kinsoku/>
        <w:wordWrap/>
        <w:overflowPunct/>
        <w:topLinePunct w:val="0"/>
        <w:autoSpaceDE/>
        <w:autoSpaceDN/>
        <w:bidi w:val="0"/>
        <w:adjustRightInd w:val="0"/>
        <w:snapToGrid w:val="0"/>
        <w:spacing w:after="40" w:line="360" w:lineRule="auto"/>
        <w:textAlignment w:val="auto"/>
        <w:rPr>
          <w:rFonts w:hint="default" w:ascii="宋体" w:hAnsi="宋体" w:eastAsia="宋体"/>
          <w:szCs w:val="21"/>
          <w:lang w:val="en-US" w:eastAsia="zh-CN"/>
        </w:rPr>
      </w:pPr>
      <w:r>
        <w:rPr>
          <w:rFonts w:hint="eastAsia" w:ascii="宋体" w:hAnsi="宋体"/>
          <w:szCs w:val="21"/>
        </w:rPr>
        <w:t>2、政府采购计划编</w:t>
      </w:r>
      <w:r>
        <w:rPr>
          <w:rFonts w:hint="eastAsia" w:ascii="宋体" w:hAnsi="宋体" w:cs="Times New Roman"/>
          <w:szCs w:val="21"/>
          <w:lang w:eastAsia="zh-CN"/>
        </w:rPr>
        <w:t>号：新化财采计【202</w:t>
      </w:r>
      <w:r>
        <w:rPr>
          <w:rFonts w:hint="eastAsia" w:ascii="宋体" w:hAnsi="宋体" w:cs="Times New Roman"/>
          <w:szCs w:val="21"/>
          <w:lang w:val="en-US" w:eastAsia="zh-CN"/>
        </w:rPr>
        <w:t>6</w:t>
      </w:r>
      <w:r>
        <w:rPr>
          <w:rFonts w:hint="eastAsia" w:ascii="宋体" w:hAnsi="宋体" w:cs="Times New Roman"/>
          <w:szCs w:val="21"/>
          <w:lang w:eastAsia="zh-CN"/>
        </w:rPr>
        <w:t>】00</w:t>
      </w:r>
      <w:r>
        <w:rPr>
          <w:rFonts w:hint="eastAsia" w:ascii="宋体" w:hAnsi="宋体" w:cs="Times New Roman"/>
          <w:szCs w:val="21"/>
          <w:lang w:val="en-US" w:eastAsia="zh-CN"/>
        </w:rPr>
        <w:t>35</w:t>
      </w:r>
    </w:p>
    <w:p w14:paraId="5C82E4FA">
      <w:pPr>
        <w:keepNext w:val="0"/>
        <w:keepLines w:val="0"/>
        <w:pageBreakBefore w:val="0"/>
        <w:widowControl w:val="0"/>
        <w:kinsoku/>
        <w:wordWrap/>
        <w:overflowPunct/>
        <w:topLinePunct w:val="0"/>
        <w:autoSpaceDE/>
        <w:autoSpaceDN/>
        <w:bidi w:val="0"/>
        <w:adjustRightInd w:val="0"/>
        <w:snapToGrid w:val="0"/>
        <w:spacing w:after="40" w:line="360" w:lineRule="auto"/>
        <w:textAlignment w:val="auto"/>
        <w:rPr>
          <w:rFonts w:hint="default" w:ascii="宋体" w:hAnsi="宋体" w:eastAsia="宋体"/>
          <w:szCs w:val="21"/>
          <w:lang w:val="en-US" w:eastAsia="zh-CN"/>
        </w:rPr>
      </w:pPr>
      <w:r>
        <w:rPr>
          <w:rFonts w:hint="eastAsia" w:ascii="宋体" w:hAnsi="宋体"/>
          <w:szCs w:val="21"/>
        </w:rPr>
        <w:t>3、委托代理编号：</w:t>
      </w:r>
      <w:r>
        <w:rPr>
          <w:rFonts w:hint="eastAsia" w:ascii="宋体" w:hAnsi="宋体"/>
          <w:szCs w:val="21"/>
          <w:lang w:val="en-US" w:eastAsia="zh-CN"/>
        </w:rPr>
        <w:t>LDZC-2026GK0047</w:t>
      </w:r>
    </w:p>
    <w:p w14:paraId="33101DDA">
      <w:pPr>
        <w:widowControl/>
        <w:spacing w:line="400" w:lineRule="exact"/>
        <w:jc w:val="left"/>
        <w:rPr>
          <w:rFonts w:hint="eastAsia" w:ascii="宋体" w:hAnsi="宋体" w:eastAsia="宋体" w:cs="Times New Roman"/>
          <w:szCs w:val="21"/>
          <w:lang w:eastAsia="zh-CN"/>
        </w:rPr>
      </w:pPr>
      <w:r>
        <w:rPr>
          <w:rFonts w:hint="eastAsia" w:ascii="宋体" w:hAnsi="宋体"/>
          <w:szCs w:val="21"/>
        </w:rPr>
        <w:t>4、采购项目总预算：</w:t>
      </w:r>
      <w:r>
        <w:rPr>
          <w:rFonts w:hint="eastAsia" w:ascii="宋体" w:hAnsi="宋体"/>
          <w:szCs w:val="21"/>
          <w:lang w:eastAsia="zh-CN"/>
        </w:rPr>
        <w:t>3190000.00元</w:t>
      </w:r>
      <w:r>
        <w:rPr>
          <w:rFonts w:hint="eastAsia" w:ascii="宋体" w:hAnsi="宋体"/>
          <w:szCs w:val="21"/>
          <w:lang w:val="en-US" w:eastAsia="zh-CN"/>
        </w:rPr>
        <w:t>；</w:t>
      </w:r>
      <w:r>
        <w:rPr>
          <w:rFonts w:hint="eastAsia" w:ascii="宋体" w:hAnsi="宋体" w:eastAsia="宋体" w:cs="Times New Roman"/>
          <w:szCs w:val="21"/>
        </w:rPr>
        <w:t>最高限价</w:t>
      </w:r>
      <w:r>
        <w:rPr>
          <w:rFonts w:hint="eastAsia" w:ascii="宋体" w:hAnsi="宋体" w:eastAsia="宋体" w:cs="Times New Roman"/>
          <w:szCs w:val="21"/>
          <w:lang w:eastAsia="zh-CN"/>
        </w:rPr>
        <w:t>：</w:t>
      </w:r>
      <w:r>
        <w:rPr>
          <w:rFonts w:hint="eastAsia" w:ascii="宋体" w:hAnsi="宋体" w:cs="Times New Roman"/>
          <w:szCs w:val="21"/>
          <w:lang w:eastAsia="zh-CN"/>
        </w:rPr>
        <w:t>3190000</w:t>
      </w:r>
      <w:r>
        <w:rPr>
          <w:rFonts w:hint="eastAsia" w:ascii="宋体" w:hAnsi="宋体" w:eastAsia="宋体" w:cs="Times New Roman"/>
          <w:szCs w:val="21"/>
          <w:lang w:eastAsia="zh-CN"/>
        </w:rPr>
        <w:t>.00元</w:t>
      </w:r>
    </w:p>
    <w:p w14:paraId="031D0A82">
      <w:pPr>
        <w:adjustRightInd w:val="0"/>
        <w:snapToGrid w:val="0"/>
        <w:spacing w:before="50" w:line="360" w:lineRule="auto"/>
        <w:rPr>
          <w:rFonts w:hint="eastAsia" w:ascii="宋体" w:hAnsi="宋体"/>
          <w:szCs w:val="21"/>
        </w:rPr>
      </w:pPr>
      <w:r>
        <w:rPr>
          <w:rFonts w:hint="eastAsia" w:ascii="宋体" w:hAnsi="宋体"/>
          <w:szCs w:val="21"/>
        </w:rPr>
        <w:sym w:font="Wingdings" w:char="00A8"/>
      </w:r>
      <w:r>
        <w:rPr>
          <w:rFonts w:hint="eastAsia" w:ascii="宋体" w:hAnsi="宋体"/>
          <w:szCs w:val="21"/>
        </w:rPr>
        <w:t>支持预付款，预付比例：</w:t>
      </w:r>
      <w:r>
        <w:rPr>
          <w:rFonts w:hint="eastAsia" w:ascii="宋体" w:hAnsi="宋体"/>
          <w:szCs w:val="21"/>
          <w:lang w:val="en-US" w:eastAsia="zh-CN"/>
        </w:rPr>
        <w:t>/</w:t>
      </w:r>
      <w:r>
        <w:rPr>
          <w:rFonts w:hint="eastAsia" w:ascii="宋体" w:hAnsi="宋体"/>
          <w:szCs w:val="21"/>
        </w:rPr>
        <w:t>%</w:t>
      </w:r>
    </w:p>
    <w:p w14:paraId="1891C1D4">
      <w:pPr>
        <w:adjustRightInd w:val="0"/>
        <w:snapToGrid w:val="0"/>
        <w:spacing w:before="50" w:line="360" w:lineRule="auto"/>
        <w:rPr>
          <w:rFonts w:hint="eastAsia" w:ascii="宋体" w:hAnsi="宋体"/>
          <w:szCs w:val="21"/>
        </w:rPr>
      </w:pPr>
      <w:r>
        <w:rPr>
          <w:rFonts w:hint="eastAsia" w:ascii="宋体" w:hAnsi="宋体"/>
          <w:szCs w:val="21"/>
          <w:lang w:val="en-US" w:eastAsia="zh-CN"/>
        </w:rPr>
        <w:t>5、</w:t>
      </w:r>
      <w:r>
        <w:rPr>
          <w:rFonts w:hint="eastAsia" w:ascii="宋体" w:hAnsi="宋体"/>
          <w:szCs w:val="21"/>
        </w:rPr>
        <w:t>本项目对应的中小企业划分标准所属行业：</w:t>
      </w:r>
      <w:r>
        <w:rPr>
          <w:rFonts w:hint="eastAsia" w:ascii="宋体" w:hAnsi="宋体"/>
          <w:szCs w:val="21"/>
          <w:u w:val="single"/>
        </w:rPr>
        <w:t>工业</w:t>
      </w:r>
    </w:p>
    <w:p w14:paraId="36F57966">
      <w:pPr>
        <w:adjustRightInd w:val="0"/>
        <w:snapToGrid w:val="0"/>
        <w:spacing w:before="50" w:line="360" w:lineRule="auto"/>
        <w:rPr>
          <w:rFonts w:hint="eastAsia" w:ascii="宋体" w:hAnsi="宋体"/>
          <w:szCs w:val="21"/>
        </w:rPr>
      </w:pPr>
      <w:r>
        <w:rPr>
          <w:rFonts w:hint="eastAsia" w:ascii="宋体" w:hAnsi="宋体"/>
          <w:szCs w:val="21"/>
          <w:lang w:val="en-US" w:eastAsia="zh-CN"/>
        </w:rPr>
        <w:t>6、</w:t>
      </w:r>
      <w:r>
        <w:rPr>
          <w:rFonts w:hint="eastAsia" w:ascii="宋体" w:hAnsi="宋体"/>
          <w:szCs w:val="21"/>
        </w:rPr>
        <w:t>评标方法：</w:t>
      </w:r>
      <w:r>
        <w:rPr>
          <w:rFonts w:hint="eastAsia" w:ascii="宋体" w:hAnsi="宋体"/>
          <w:szCs w:val="21"/>
        </w:rPr>
        <w:sym w:font="Wingdings" w:char="00FE"/>
      </w:r>
      <w:r>
        <w:rPr>
          <w:rFonts w:hint="eastAsia" w:ascii="宋体" w:hAnsi="宋体"/>
          <w:szCs w:val="21"/>
        </w:rPr>
        <w:t xml:space="preserve">综合评分法  </w:t>
      </w:r>
      <w:r>
        <w:rPr>
          <w:rFonts w:hint="eastAsia" w:ascii="宋体" w:hAnsi="宋体"/>
          <w:szCs w:val="21"/>
        </w:rPr>
        <w:sym w:font="Wingdings" w:char="00A8"/>
      </w:r>
      <w:r>
        <w:rPr>
          <w:rFonts w:hint="eastAsia" w:ascii="宋体" w:hAnsi="宋体"/>
          <w:szCs w:val="21"/>
        </w:rPr>
        <w:t>最低价法</w:t>
      </w:r>
    </w:p>
    <w:p w14:paraId="080C9943">
      <w:pPr>
        <w:adjustRightInd w:val="0"/>
        <w:snapToGrid w:val="0"/>
        <w:spacing w:before="50" w:line="360" w:lineRule="auto"/>
        <w:rPr>
          <w:rFonts w:hint="eastAsia" w:ascii="宋体" w:hAnsi="宋体"/>
          <w:szCs w:val="21"/>
        </w:rPr>
      </w:pPr>
      <w:r>
        <w:rPr>
          <w:rFonts w:hint="eastAsia" w:ascii="宋体" w:hAnsi="宋体"/>
          <w:szCs w:val="21"/>
        </w:rPr>
        <w:t>7、合同定价方式： </w:t>
      </w:r>
      <w:r>
        <w:rPr>
          <w:rFonts w:hint="eastAsia" w:ascii="宋体" w:hAnsi="宋体"/>
          <w:szCs w:val="21"/>
        </w:rPr>
        <w:sym w:font="Wingdings" w:char="00FE"/>
      </w:r>
      <w:r>
        <w:rPr>
          <w:rFonts w:hint="eastAsia" w:ascii="宋体" w:hAnsi="宋体"/>
          <w:szCs w:val="21"/>
        </w:rPr>
        <w:t>固定总价 </w:t>
      </w:r>
      <w:r>
        <w:rPr>
          <w:rFonts w:hint="eastAsia" w:ascii="宋体" w:hAnsi="宋体" w:cs="Times New Roman"/>
          <w:szCs w:val="21"/>
          <w:lang w:eastAsia="zh-CN"/>
        </w:rPr>
        <w:sym w:font="Wingdings" w:char="00FE"/>
      </w:r>
      <w:r>
        <w:rPr>
          <w:rFonts w:hint="eastAsia" w:ascii="宋体" w:hAnsi="宋体" w:cs="Times New Roman"/>
          <w:szCs w:val="21"/>
          <w:lang w:eastAsia="zh-CN"/>
        </w:rPr>
        <w:t>固</w:t>
      </w:r>
      <w:r>
        <w:rPr>
          <w:rFonts w:hint="eastAsia" w:ascii="宋体" w:hAnsi="宋体"/>
          <w:szCs w:val="21"/>
        </w:rPr>
        <w:t>定单价 </w:t>
      </w:r>
      <w:r>
        <w:rPr>
          <w:rFonts w:hint="eastAsia" w:ascii="宋体" w:hAnsi="宋体"/>
          <w:szCs w:val="21"/>
        </w:rPr>
        <w:sym w:font="Wingdings" w:char="00A8"/>
      </w:r>
      <w:r>
        <w:rPr>
          <w:rFonts w:hint="eastAsia" w:ascii="宋体" w:hAnsi="宋体"/>
          <w:szCs w:val="21"/>
        </w:rPr>
        <w:t>成本补偿 </w:t>
      </w:r>
      <w:r>
        <w:rPr>
          <w:rFonts w:hint="eastAsia" w:ascii="宋体" w:hAnsi="宋体"/>
          <w:szCs w:val="21"/>
        </w:rPr>
        <w:sym w:font="Wingdings" w:char="00A8"/>
      </w:r>
      <w:r>
        <w:rPr>
          <w:rFonts w:hint="eastAsia" w:ascii="宋体" w:hAnsi="宋体"/>
          <w:szCs w:val="21"/>
        </w:rPr>
        <w:t>绩效激励</w:t>
      </w:r>
    </w:p>
    <w:p w14:paraId="130D3487">
      <w:pPr>
        <w:adjustRightInd w:val="0"/>
        <w:snapToGrid w:val="0"/>
        <w:spacing w:before="50" w:line="360" w:lineRule="auto"/>
        <w:rPr>
          <w:rFonts w:hint="eastAsia" w:ascii="宋体" w:hAnsi="宋体"/>
          <w:szCs w:val="21"/>
          <w:lang w:eastAsia="zh-CN"/>
        </w:rPr>
      </w:pPr>
      <w:r>
        <w:rPr>
          <w:rFonts w:hint="eastAsia" w:ascii="宋体" w:hAnsi="宋体"/>
          <w:szCs w:val="21"/>
        </w:rPr>
        <w:t>8、合同履行期限</w:t>
      </w:r>
      <w:r>
        <w:rPr>
          <w:rFonts w:hint="eastAsia" w:ascii="宋体" w:hAnsi="宋体" w:cs="Times New Roman"/>
          <w:szCs w:val="21"/>
          <w:lang w:eastAsia="zh-CN"/>
        </w:rPr>
        <w:t>：合同签订后60天内交货，并安装调试验收合格交付使用；</w:t>
      </w:r>
    </w:p>
    <w:p w14:paraId="31A29EF1">
      <w:pPr>
        <w:adjustRightInd w:val="0"/>
        <w:snapToGrid w:val="0"/>
        <w:spacing w:before="50" w:line="360" w:lineRule="auto"/>
        <w:rPr>
          <w:rFonts w:hint="eastAsia" w:ascii="宋体" w:hAnsi="宋体"/>
          <w:szCs w:val="21"/>
        </w:rPr>
      </w:pPr>
      <w:r>
        <w:rPr>
          <w:rFonts w:hint="eastAsia" w:ascii="宋体" w:hAnsi="宋体"/>
          <w:szCs w:val="21"/>
        </w:rPr>
        <w:t>9、本项目分阶段要求投标人提供以下保证：</w:t>
      </w:r>
    </w:p>
    <w:p w14:paraId="1950BCD9">
      <w:pPr>
        <w:adjustRightInd w:val="0"/>
        <w:snapToGrid w:val="0"/>
        <w:spacing w:before="50" w:line="360" w:lineRule="auto"/>
        <w:rPr>
          <w:rFonts w:hint="eastAsia" w:ascii="宋体" w:hAnsi="宋体"/>
          <w:szCs w:val="21"/>
        </w:rPr>
      </w:pPr>
      <w:r>
        <w:rPr>
          <w:rFonts w:hint="eastAsia" w:ascii="宋体" w:hAnsi="宋体"/>
          <w:szCs w:val="21"/>
        </w:rPr>
        <w:sym w:font="Wingdings" w:char="00A8"/>
      </w:r>
      <w:r>
        <w:rPr>
          <w:rFonts w:hint="eastAsia" w:ascii="宋体" w:hAnsi="宋体"/>
          <w:szCs w:val="21"/>
        </w:rPr>
        <w:t>投标保证金：采购项目预算的</w:t>
      </w:r>
      <w:r>
        <w:rPr>
          <w:rFonts w:hint="eastAsia" w:ascii="宋体" w:hAnsi="宋体"/>
          <w:szCs w:val="21"/>
          <w:u w:val="single"/>
        </w:rPr>
        <w:t> </w:t>
      </w:r>
      <w:r>
        <w:rPr>
          <w:rFonts w:hint="eastAsia" w:ascii="宋体" w:hAnsi="宋体"/>
          <w:szCs w:val="21"/>
          <w:u w:val="single"/>
          <w:lang w:val="en-US" w:eastAsia="zh-CN"/>
        </w:rPr>
        <w:t>/</w:t>
      </w:r>
      <w:r>
        <w:rPr>
          <w:rFonts w:hint="eastAsia" w:ascii="宋体" w:hAnsi="宋体"/>
          <w:szCs w:val="21"/>
          <w:u w:val="single"/>
        </w:rPr>
        <w:t> </w:t>
      </w:r>
      <w:r>
        <w:rPr>
          <w:rFonts w:hint="eastAsia" w:ascii="宋体" w:hAnsi="宋体"/>
          <w:szCs w:val="21"/>
        </w:rPr>
        <w:t>%；</w:t>
      </w:r>
    </w:p>
    <w:p w14:paraId="60216C95">
      <w:pPr>
        <w:adjustRightInd w:val="0"/>
        <w:snapToGrid w:val="0"/>
        <w:spacing w:before="50" w:line="360" w:lineRule="auto"/>
        <w:rPr>
          <w:rFonts w:hint="eastAsia" w:ascii="宋体" w:hAnsi="宋体"/>
          <w:szCs w:val="21"/>
        </w:rPr>
      </w:pPr>
      <w:r>
        <w:rPr>
          <w:rFonts w:hint="eastAsia" w:ascii="宋体" w:hAnsi="宋体"/>
          <w:szCs w:val="21"/>
        </w:rPr>
        <w:sym w:font="Wingdings" w:char="00FE"/>
      </w:r>
      <w:r>
        <w:rPr>
          <w:rFonts w:hint="eastAsia" w:ascii="宋体" w:hAnsi="宋体"/>
          <w:szCs w:val="21"/>
        </w:rPr>
        <w:t>履约保证金：中标金额的</w:t>
      </w:r>
      <w:r>
        <w:rPr>
          <w:rFonts w:hint="eastAsia" w:ascii="宋体" w:hAnsi="宋体"/>
          <w:color w:val="0000FF"/>
          <w:szCs w:val="21"/>
          <w:u w:val="single"/>
        </w:rPr>
        <w:t> </w:t>
      </w:r>
      <w:r>
        <w:rPr>
          <w:rFonts w:hint="eastAsia" w:ascii="宋体" w:hAnsi="宋体"/>
          <w:color w:val="0000FF"/>
          <w:szCs w:val="21"/>
          <w:u w:val="single"/>
          <w:lang w:val="en-US" w:eastAsia="zh-CN"/>
        </w:rPr>
        <w:t>3</w:t>
      </w:r>
      <w:r>
        <w:rPr>
          <w:rFonts w:hint="eastAsia" w:ascii="宋体" w:hAnsi="宋体"/>
          <w:color w:val="0000FF"/>
          <w:szCs w:val="21"/>
          <w:u w:val="single"/>
        </w:rPr>
        <w:t> </w:t>
      </w:r>
      <w:r>
        <w:rPr>
          <w:rFonts w:hint="eastAsia" w:ascii="宋体" w:hAnsi="宋体"/>
          <w:szCs w:val="21"/>
        </w:rPr>
        <w:t>%；</w:t>
      </w:r>
    </w:p>
    <w:p w14:paraId="080AA545">
      <w:pPr>
        <w:adjustRightInd w:val="0"/>
        <w:snapToGrid w:val="0"/>
        <w:spacing w:before="50" w:line="360" w:lineRule="auto"/>
        <w:rPr>
          <w:rFonts w:hint="eastAsia" w:ascii="宋体" w:hAnsi="宋体"/>
          <w:szCs w:val="21"/>
        </w:rPr>
      </w:pPr>
      <w:r>
        <w:rPr>
          <w:rFonts w:hint="eastAsia" w:ascii="宋体" w:hAnsi="宋体"/>
          <w:szCs w:val="21"/>
        </w:rPr>
        <w:sym w:font="Wingdings" w:char="00A8"/>
      </w:r>
      <w:r>
        <w:rPr>
          <w:rFonts w:hint="eastAsia" w:ascii="宋体" w:hAnsi="宋体"/>
          <w:szCs w:val="21"/>
        </w:rPr>
        <w:t>预付款保证金：预付款的</w:t>
      </w:r>
      <w:r>
        <w:rPr>
          <w:rFonts w:hint="eastAsia" w:ascii="宋体" w:hAnsi="宋体"/>
          <w:szCs w:val="21"/>
          <w:u w:val="single"/>
        </w:rPr>
        <w:t> </w:t>
      </w:r>
      <w:r>
        <w:rPr>
          <w:rFonts w:hint="eastAsia" w:ascii="宋体" w:hAnsi="宋体"/>
          <w:szCs w:val="21"/>
          <w:u w:val="single"/>
          <w:lang w:val="en-US" w:eastAsia="zh-CN"/>
        </w:rPr>
        <w:t>/</w:t>
      </w:r>
      <w:r>
        <w:rPr>
          <w:rFonts w:hint="eastAsia" w:ascii="宋体" w:hAnsi="宋体"/>
          <w:szCs w:val="21"/>
          <w:u w:val="single"/>
        </w:rPr>
        <w:t> </w:t>
      </w:r>
      <w:r>
        <w:rPr>
          <w:rFonts w:hint="eastAsia" w:ascii="宋体" w:hAnsi="宋体"/>
          <w:szCs w:val="21"/>
        </w:rPr>
        <w:t>%；</w:t>
      </w:r>
    </w:p>
    <w:p w14:paraId="0BE87969">
      <w:pPr>
        <w:adjustRightInd w:val="0"/>
        <w:snapToGrid w:val="0"/>
        <w:spacing w:before="50" w:line="360" w:lineRule="auto"/>
        <w:rPr>
          <w:rFonts w:hint="eastAsia" w:ascii="宋体" w:hAnsi="宋体"/>
          <w:szCs w:val="21"/>
        </w:rPr>
      </w:pPr>
      <w:r>
        <w:rPr>
          <w:rFonts w:hint="eastAsia" w:ascii="宋体" w:hAnsi="宋体"/>
          <w:szCs w:val="21"/>
        </w:rPr>
        <w:sym w:font="Wingdings" w:char="00A8"/>
      </w:r>
      <w:r>
        <w:rPr>
          <w:rFonts w:hint="eastAsia" w:ascii="宋体" w:hAnsi="宋体"/>
          <w:szCs w:val="21"/>
        </w:rPr>
        <w:t>质量保证金：合同金额的</w:t>
      </w:r>
      <w:r>
        <w:rPr>
          <w:rFonts w:hint="eastAsia" w:ascii="宋体" w:hAnsi="宋体"/>
          <w:szCs w:val="21"/>
          <w:u w:val="single"/>
        </w:rPr>
        <w:t> </w:t>
      </w:r>
      <w:r>
        <w:rPr>
          <w:rFonts w:hint="eastAsia" w:ascii="宋体" w:hAnsi="宋体"/>
          <w:szCs w:val="21"/>
          <w:u w:val="single"/>
          <w:lang w:val="en-US" w:eastAsia="zh-CN"/>
        </w:rPr>
        <w:t>/</w:t>
      </w:r>
      <w:r>
        <w:rPr>
          <w:rFonts w:hint="eastAsia" w:ascii="宋体" w:hAnsi="宋体"/>
          <w:szCs w:val="21"/>
          <w:u w:val="single"/>
        </w:rPr>
        <w:t> </w:t>
      </w:r>
      <w:r>
        <w:rPr>
          <w:rFonts w:hint="eastAsia" w:ascii="宋体" w:hAnsi="宋体"/>
          <w:szCs w:val="21"/>
        </w:rPr>
        <w:t>%；</w:t>
      </w:r>
    </w:p>
    <w:p w14:paraId="0F174934">
      <w:pPr>
        <w:adjustRightInd w:val="0"/>
        <w:snapToGrid w:val="0"/>
        <w:spacing w:before="50" w:line="360" w:lineRule="auto"/>
        <w:rPr>
          <w:rFonts w:hint="eastAsia" w:ascii="宋体" w:hAnsi="宋体"/>
          <w:b/>
          <w:bCs/>
          <w:szCs w:val="21"/>
        </w:rPr>
      </w:pPr>
      <w:r>
        <w:rPr>
          <w:rFonts w:hint="eastAsia" w:ascii="宋体" w:hAnsi="宋体"/>
          <w:b/>
          <w:bCs/>
          <w:szCs w:val="21"/>
          <w:lang w:val="en-US" w:eastAsia="zh-CN"/>
        </w:rPr>
        <w:t>二、</w:t>
      </w:r>
      <w:r>
        <w:rPr>
          <w:rFonts w:hint="eastAsia" w:ascii="宋体" w:hAnsi="宋体"/>
          <w:b/>
          <w:bCs/>
          <w:szCs w:val="21"/>
        </w:rPr>
        <w:t>采购人的采购需求</w:t>
      </w:r>
    </w:p>
    <w:tbl>
      <w:tblPr>
        <w:tblStyle w:val="27"/>
        <w:tblW w:w="8408" w:type="dxa"/>
        <w:jc w:val="center"/>
        <w:tblLayout w:type="fixed"/>
        <w:tblCellMar>
          <w:top w:w="0" w:type="dxa"/>
          <w:left w:w="0" w:type="dxa"/>
          <w:bottom w:w="0" w:type="dxa"/>
          <w:right w:w="0" w:type="dxa"/>
        </w:tblCellMar>
      </w:tblPr>
      <w:tblGrid>
        <w:gridCol w:w="562"/>
        <w:gridCol w:w="588"/>
        <w:gridCol w:w="4366"/>
        <w:gridCol w:w="619"/>
        <w:gridCol w:w="1082"/>
        <w:gridCol w:w="624"/>
        <w:gridCol w:w="567"/>
      </w:tblGrid>
      <w:tr w14:paraId="09364399">
        <w:tblPrEx>
          <w:tblCellMar>
            <w:top w:w="0" w:type="dxa"/>
            <w:left w:w="0" w:type="dxa"/>
            <w:bottom w:w="0" w:type="dxa"/>
            <w:right w:w="0" w:type="dxa"/>
          </w:tblCellMar>
        </w:tblPrEx>
        <w:trPr>
          <w:trHeight w:val="432" w:hRule="atLeast"/>
          <w:jc w:val="center"/>
        </w:trPr>
        <w:tc>
          <w:tcPr>
            <w:tcW w:w="562" w:type="dxa"/>
            <w:tcBorders>
              <w:top w:val="single" w:color="000000" w:sz="8" w:space="0"/>
              <w:left w:val="single" w:color="000000" w:sz="8" w:space="0"/>
              <w:bottom w:val="single" w:color="auto" w:sz="4" w:space="0"/>
              <w:right w:val="single" w:color="auto" w:sz="4" w:space="0"/>
            </w:tcBorders>
            <w:shd w:val="clear" w:color="auto" w:fill="FFFFFF"/>
            <w:tcMar>
              <w:top w:w="0" w:type="dxa"/>
              <w:left w:w="108" w:type="dxa"/>
              <w:bottom w:w="0" w:type="dxa"/>
              <w:right w:w="108" w:type="dxa"/>
            </w:tcMar>
            <w:vAlign w:val="center"/>
          </w:tcPr>
          <w:p w14:paraId="6BAED1DB">
            <w:pPr>
              <w:jc w:val="center"/>
              <w:rPr>
                <w:rFonts w:ascii="宋体"/>
                <w:kern w:val="0"/>
                <w:highlight w:val="none"/>
              </w:rPr>
            </w:pPr>
            <w:r>
              <w:rPr>
                <w:rFonts w:ascii="宋体"/>
                <w:kern w:val="0"/>
                <w:highlight w:val="none"/>
              </w:rPr>
              <w:t>包号</w:t>
            </w:r>
          </w:p>
        </w:tc>
        <w:tc>
          <w:tcPr>
            <w:tcW w:w="588" w:type="dxa"/>
            <w:tcBorders>
              <w:top w:val="single" w:color="000000" w:sz="8" w:space="0"/>
              <w:left w:val="single" w:color="auto" w:sz="4" w:space="0"/>
              <w:bottom w:val="single" w:color="auto" w:sz="4" w:space="0"/>
              <w:right w:val="single" w:color="auto" w:sz="4" w:space="0"/>
            </w:tcBorders>
            <w:shd w:val="clear" w:color="auto" w:fill="FFFFFF"/>
            <w:vAlign w:val="center"/>
          </w:tcPr>
          <w:p w14:paraId="588BABB8">
            <w:pPr>
              <w:jc w:val="center"/>
              <w:rPr>
                <w:rFonts w:ascii="宋体"/>
                <w:kern w:val="0"/>
                <w:highlight w:val="none"/>
              </w:rPr>
            </w:pPr>
            <w:r>
              <w:rPr>
                <w:rFonts w:hint="eastAsia" w:ascii="宋体" w:hAnsi="宋体" w:cs="宋体"/>
                <w:kern w:val="0"/>
                <w:highlight w:val="none"/>
              </w:rPr>
              <w:t>包名称</w:t>
            </w:r>
          </w:p>
        </w:tc>
        <w:tc>
          <w:tcPr>
            <w:tcW w:w="4366" w:type="dxa"/>
            <w:tcBorders>
              <w:top w:val="single" w:color="000000" w:sz="8" w:space="0"/>
              <w:left w:val="single" w:color="auto" w:sz="4" w:space="0"/>
              <w:bottom w:val="single" w:color="auto" w:sz="4" w:space="0"/>
              <w:right w:val="single" w:color="auto" w:sz="4" w:space="0"/>
            </w:tcBorders>
            <w:shd w:val="clear" w:color="auto" w:fill="FFFFFF"/>
            <w:vAlign w:val="center"/>
          </w:tcPr>
          <w:p w14:paraId="1B88271C">
            <w:pPr>
              <w:jc w:val="center"/>
              <w:rPr>
                <w:rFonts w:ascii="宋体"/>
                <w:kern w:val="0"/>
                <w:highlight w:val="none"/>
              </w:rPr>
            </w:pPr>
            <w:r>
              <w:rPr>
                <w:rFonts w:hint="eastAsia" w:ascii="宋体" w:hAnsi="宋体" w:cs="宋体"/>
                <w:kern w:val="0"/>
                <w:highlight w:val="none"/>
              </w:rPr>
              <w:t>标的名称</w:t>
            </w:r>
          </w:p>
        </w:tc>
        <w:tc>
          <w:tcPr>
            <w:tcW w:w="619" w:type="dxa"/>
            <w:tcBorders>
              <w:top w:val="single" w:color="000000" w:sz="8" w:space="0"/>
              <w:left w:val="single" w:color="auto" w:sz="4" w:space="0"/>
              <w:bottom w:val="single" w:color="auto" w:sz="4" w:space="0"/>
              <w:right w:val="single" w:color="auto" w:sz="4" w:space="0"/>
            </w:tcBorders>
            <w:shd w:val="clear" w:color="auto" w:fill="FFFFFF"/>
            <w:vAlign w:val="center"/>
          </w:tcPr>
          <w:p w14:paraId="12E96291">
            <w:pPr>
              <w:jc w:val="center"/>
              <w:rPr>
                <w:rFonts w:ascii="宋体"/>
                <w:kern w:val="0"/>
                <w:highlight w:val="none"/>
              </w:rPr>
            </w:pPr>
            <w:r>
              <w:rPr>
                <w:rFonts w:hint="eastAsia" w:ascii="宋体" w:hAnsi="宋体" w:cs="宋体"/>
                <w:kern w:val="0"/>
                <w:highlight w:val="none"/>
              </w:rPr>
              <w:t>数量</w:t>
            </w:r>
          </w:p>
        </w:tc>
        <w:tc>
          <w:tcPr>
            <w:tcW w:w="1082" w:type="dxa"/>
            <w:tcBorders>
              <w:top w:val="single" w:color="000000" w:sz="8" w:space="0"/>
              <w:left w:val="single" w:color="auto" w:sz="4" w:space="0"/>
              <w:bottom w:val="single" w:color="auto" w:sz="4" w:space="0"/>
              <w:right w:val="single" w:color="auto" w:sz="4" w:space="0"/>
            </w:tcBorders>
            <w:shd w:val="clear" w:color="auto" w:fill="FFFFFF"/>
            <w:vAlign w:val="center"/>
          </w:tcPr>
          <w:p w14:paraId="3ED201CD">
            <w:pPr>
              <w:jc w:val="center"/>
              <w:rPr>
                <w:rFonts w:ascii="宋体"/>
                <w:kern w:val="0"/>
                <w:highlight w:val="none"/>
              </w:rPr>
            </w:pPr>
            <w:r>
              <w:rPr>
                <w:rFonts w:hint="eastAsia" w:ascii="宋体"/>
                <w:kern w:val="0"/>
                <w:highlight w:val="none"/>
              </w:rPr>
              <w:t>简要技术要求</w:t>
            </w:r>
          </w:p>
        </w:tc>
        <w:tc>
          <w:tcPr>
            <w:tcW w:w="624" w:type="dxa"/>
            <w:tcBorders>
              <w:top w:val="single" w:color="000000" w:sz="8" w:space="0"/>
              <w:left w:val="single" w:color="auto" w:sz="4" w:space="0"/>
              <w:bottom w:val="single" w:color="auto" w:sz="4" w:space="0"/>
              <w:right w:val="single" w:color="auto" w:sz="4" w:space="0"/>
            </w:tcBorders>
            <w:shd w:val="clear" w:color="auto" w:fill="FFFFFF"/>
            <w:vAlign w:val="center"/>
          </w:tcPr>
          <w:p w14:paraId="72644D71">
            <w:pPr>
              <w:jc w:val="center"/>
              <w:rPr>
                <w:rFonts w:ascii="宋体"/>
                <w:kern w:val="0"/>
                <w:highlight w:val="none"/>
              </w:rPr>
            </w:pPr>
            <w:r>
              <w:rPr>
                <w:rFonts w:ascii="宋体"/>
                <w:kern w:val="0"/>
                <w:highlight w:val="none"/>
              </w:rPr>
              <w:t>节能产品</w:t>
            </w:r>
          </w:p>
        </w:tc>
        <w:tc>
          <w:tcPr>
            <w:tcW w:w="567" w:type="dxa"/>
            <w:tcBorders>
              <w:top w:val="single" w:color="000000" w:sz="8" w:space="0"/>
              <w:left w:val="single" w:color="auto" w:sz="4" w:space="0"/>
              <w:bottom w:val="single" w:color="auto" w:sz="4" w:space="0"/>
              <w:right w:val="single" w:color="auto" w:sz="8" w:space="0"/>
            </w:tcBorders>
            <w:shd w:val="clear" w:color="auto" w:fill="FFFFFF"/>
            <w:vAlign w:val="center"/>
          </w:tcPr>
          <w:p w14:paraId="5E1AF6C1">
            <w:pPr>
              <w:jc w:val="center"/>
              <w:rPr>
                <w:rFonts w:ascii="宋体"/>
                <w:kern w:val="0"/>
                <w:highlight w:val="none"/>
              </w:rPr>
            </w:pPr>
            <w:r>
              <w:rPr>
                <w:rFonts w:ascii="宋体"/>
                <w:kern w:val="0"/>
                <w:highlight w:val="none"/>
              </w:rPr>
              <w:t>进口产品</w:t>
            </w:r>
          </w:p>
        </w:tc>
      </w:tr>
      <w:tr w14:paraId="208D4F87">
        <w:tblPrEx>
          <w:tblCellMar>
            <w:top w:w="0" w:type="dxa"/>
            <w:left w:w="0" w:type="dxa"/>
            <w:bottom w:w="0" w:type="dxa"/>
            <w:right w:w="0" w:type="dxa"/>
          </w:tblCellMar>
        </w:tblPrEx>
        <w:trPr>
          <w:trHeight w:val="432" w:hRule="atLeast"/>
          <w:jc w:val="center"/>
        </w:trPr>
        <w:tc>
          <w:tcPr>
            <w:tcW w:w="562" w:type="dxa"/>
            <w:vMerge w:val="restart"/>
            <w:tcBorders>
              <w:top w:val="single" w:color="auto" w:sz="4" w:space="0"/>
              <w:left w:val="single" w:color="000000" w:sz="8" w:space="0"/>
              <w:right w:val="single" w:color="auto" w:sz="4" w:space="0"/>
            </w:tcBorders>
            <w:shd w:val="clear" w:color="auto" w:fill="FFFFFF"/>
            <w:tcMar>
              <w:top w:w="0" w:type="dxa"/>
              <w:left w:w="108" w:type="dxa"/>
              <w:bottom w:w="0" w:type="dxa"/>
              <w:right w:w="108" w:type="dxa"/>
            </w:tcMar>
            <w:vAlign w:val="center"/>
          </w:tcPr>
          <w:p w14:paraId="0937FA0A">
            <w:pPr>
              <w:jc w:val="center"/>
              <w:rPr>
                <w:rFonts w:ascii="宋体" w:hAnsi="宋体" w:cs="宋体"/>
                <w:kern w:val="0"/>
                <w:highlight w:val="none"/>
              </w:rPr>
            </w:pPr>
            <w:r>
              <w:rPr>
                <w:rFonts w:hint="eastAsia" w:ascii="宋体" w:hAnsi="宋体" w:cs="宋体"/>
                <w:kern w:val="0"/>
                <w:highlight w:val="none"/>
              </w:rPr>
              <w:t>01</w:t>
            </w:r>
          </w:p>
        </w:tc>
        <w:tc>
          <w:tcPr>
            <w:tcW w:w="588" w:type="dxa"/>
            <w:vMerge w:val="restart"/>
            <w:tcBorders>
              <w:top w:val="single" w:color="auto" w:sz="4" w:space="0"/>
              <w:left w:val="single" w:color="auto" w:sz="4" w:space="0"/>
              <w:right w:val="single" w:color="auto" w:sz="4" w:space="0"/>
            </w:tcBorders>
            <w:shd w:val="clear" w:color="auto" w:fill="FFFFFF"/>
            <w:vAlign w:val="center"/>
          </w:tcPr>
          <w:p w14:paraId="4D7E10AD">
            <w:pPr>
              <w:jc w:val="center"/>
              <w:rPr>
                <w:rFonts w:ascii="宋体" w:hAnsi="宋体" w:cs="宋体"/>
                <w:kern w:val="0"/>
                <w:highlight w:val="none"/>
              </w:rPr>
            </w:pPr>
            <w:r>
              <w:rPr>
                <w:rFonts w:hint="eastAsia" w:ascii="宋体" w:hAnsi="宋体" w:cs="宋体"/>
                <w:kern w:val="0"/>
                <w:highlight w:val="none"/>
              </w:rPr>
              <w:t>包1</w:t>
            </w:r>
          </w:p>
        </w:tc>
        <w:tc>
          <w:tcPr>
            <w:tcW w:w="4366" w:type="dxa"/>
            <w:tcBorders>
              <w:top w:val="single" w:color="auto" w:sz="4" w:space="0"/>
              <w:left w:val="single" w:color="auto" w:sz="4" w:space="0"/>
              <w:bottom w:val="single" w:color="auto" w:sz="4" w:space="0"/>
              <w:right w:val="single" w:color="auto" w:sz="4" w:space="0"/>
            </w:tcBorders>
            <w:shd w:val="clear" w:color="auto" w:fill="FFFFFF"/>
            <w:vAlign w:val="center"/>
          </w:tcPr>
          <w:p w14:paraId="257C906E">
            <w:pPr>
              <w:keepNext w:val="0"/>
              <w:keepLines w:val="0"/>
              <w:widowControl/>
              <w:suppressLineNumbers w:val="0"/>
              <w:jc w:val="center"/>
              <w:textAlignment w:val="center"/>
              <w:rPr>
                <w:rFonts w:ascii="宋体" w:hAnsi="宋体" w:cs="宋体"/>
                <w:kern w:val="0"/>
                <w:sz w:val="21"/>
                <w:szCs w:val="21"/>
                <w:highlight w:val="none"/>
              </w:rPr>
            </w:pPr>
            <w:r>
              <w:rPr>
                <w:rFonts w:hint="eastAsia" w:ascii="宋体" w:hAnsi="宋体" w:eastAsia="宋体" w:cs="宋体"/>
                <w:i w:val="0"/>
                <w:iCs w:val="0"/>
                <w:color w:val="000000"/>
                <w:kern w:val="0"/>
                <w:sz w:val="21"/>
                <w:szCs w:val="21"/>
                <w:u w:val="none"/>
                <w:lang w:val="en-US" w:eastAsia="zh-CN" w:bidi="ar"/>
              </w:rPr>
              <w:t>悼念厅物资采购-LED显示屏</w:t>
            </w:r>
          </w:p>
        </w:tc>
        <w:tc>
          <w:tcPr>
            <w:tcW w:w="619" w:type="dxa"/>
            <w:tcBorders>
              <w:top w:val="single" w:color="auto" w:sz="4" w:space="0"/>
              <w:left w:val="single" w:color="auto" w:sz="4" w:space="0"/>
              <w:bottom w:val="single" w:color="auto" w:sz="4" w:space="0"/>
              <w:right w:val="single" w:color="auto" w:sz="4" w:space="0"/>
            </w:tcBorders>
            <w:shd w:val="clear" w:color="auto" w:fill="FFFFFF"/>
            <w:vAlign w:val="center"/>
          </w:tcPr>
          <w:p w14:paraId="6A82DF97">
            <w:pPr>
              <w:jc w:val="center"/>
              <w:rPr>
                <w:rFonts w:ascii="宋体" w:hAnsi="宋体" w:cs="宋体"/>
                <w:kern w:val="0"/>
                <w:highlight w:val="none"/>
              </w:rPr>
            </w:pPr>
            <w:r>
              <w:rPr>
                <w:rFonts w:hint="eastAsia" w:ascii="宋体" w:hAnsi="宋体" w:cs="宋体"/>
                <w:kern w:val="0"/>
                <w:highlight w:val="none"/>
              </w:rPr>
              <w:t>1批</w:t>
            </w:r>
          </w:p>
        </w:tc>
        <w:tc>
          <w:tcPr>
            <w:tcW w:w="1082" w:type="dxa"/>
            <w:vMerge w:val="restart"/>
            <w:tcBorders>
              <w:top w:val="single" w:color="auto" w:sz="4" w:space="0"/>
              <w:left w:val="single" w:color="auto" w:sz="4" w:space="0"/>
              <w:right w:val="single" w:color="auto" w:sz="4" w:space="0"/>
            </w:tcBorders>
            <w:shd w:val="clear" w:color="auto" w:fill="FFFFFF"/>
            <w:vAlign w:val="center"/>
          </w:tcPr>
          <w:p w14:paraId="452FC512">
            <w:pPr>
              <w:jc w:val="center"/>
              <w:rPr>
                <w:rFonts w:ascii="宋体" w:hAnsi="宋体" w:cs="宋体"/>
                <w:kern w:val="0"/>
                <w:highlight w:val="none"/>
              </w:rPr>
            </w:pPr>
            <w:r>
              <w:rPr>
                <w:rFonts w:ascii="宋体" w:hAnsi="宋体" w:cs="宋体"/>
                <w:kern w:val="0"/>
                <w:highlight w:val="none"/>
              </w:rPr>
              <w:t>详见第</w:t>
            </w:r>
            <w:r>
              <w:rPr>
                <w:rFonts w:hint="eastAsia" w:ascii="宋体" w:hAnsi="宋体" w:cs="宋体"/>
                <w:kern w:val="0"/>
                <w:highlight w:val="none"/>
              </w:rPr>
              <w:t>五</w:t>
            </w:r>
            <w:r>
              <w:rPr>
                <w:rFonts w:ascii="宋体" w:hAnsi="宋体" w:cs="宋体"/>
                <w:kern w:val="0"/>
                <w:highlight w:val="none"/>
              </w:rPr>
              <w:t>章</w:t>
            </w:r>
            <w:r>
              <w:rPr>
                <w:rFonts w:hint="eastAsia" w:ascii="宋体" w:hAnsi="宋体" w:cs="宋体"/>
                <w:kern w:val="0"/>
                <w:highlight w:val="none"/>
              </w:rPr>
              <w:t>技术要求</w:t>
            </w:r>
          </w:p>
        </w:tc>
        <w:tc>
          <w:tcPr>
            <w:tcW w:w="624" w:type="dxa"/>
            <w:vMerge w:val="restart"/>
            <w:tcBorders>
              <w:top w:val="single" w:color="auto" w:sz="4" w:space="0"/>
              <w:left w:val="single" w:color="auto" w:sz="4" w:space="0"/>
              <w:right w:val="single" w:color="auto" w:sz="4" w:space="0"/>
            </w:tcBorders>
            <w:shd w:val="clear" w:color="auto" w:fill="FFFFFF"/>
            <w:vAlign w:val="center"/>
          </w:tcPr>
          <w:p w14:paraId="506C33A7">
            <w:pPr>
              <w:jc w:val="center"/>
              <w:rPr>
                <w:rFonts w:ascii="宋体" w:hAnsi="宋体" w:cs="宋体"/>
                <w:kern w:val="0"/>
                <w:highlight w:val="none"/>
              </w:rPr>
            </w:pPr>
            <w:r>
              <w:rPr>
                <w:rFonts w:hint="eastAsia" w:ascii="宋体" w:hAnsi="宋体"/>
                <w:iCs/>
                <w:highlight w:val="none"/>
              </w:rPr>
              <w:sym w:font="Wingdings" w:char="00A8"/>
            </w:r>
          </w:p>
        </w:tc>
        <w:tc>
          <w:tcPr>
            <w:tcW w:w="567" w:type="dxa"/>
            <w:vMerge w:val="restart"/>
            <w:tcBorders>
              <w:top w:val="single" w:color="auto" w:sz="4" w:space="0"/>
              <w:left w:val="single" w:color="auto" w:sz="4" w:space="0"/>
              <w:right w:val="single" w:color="auto" w:sz="8" w:space="0"/>
            </w:tcBorders>
            <w:shd w:val="clear" w:color="auto" w:fill="FFFFFF"/>
            <w:vAlign w:val="center"/>
          </w:tcPr>
          <w:p w14:paraId="37E2B42E">
            <w:pPr>
              <w:jc w:val="center"/>
              <w:rPr>
                <w:rFonts w:ascii="宋体"/>
                <w:kern w:val="0"/>
                <w:highlight w:val="none"/>
              </w:rPr>
            </w:pPr>
            <w:r>
              <w:rPr>
                <w:rFonts w:hint="eastAsia" w:ascii="宋体" w:hAnsi="宋体"/>
                <w:iCs/>
                <w:highlight w:val="none"/>
              </w:rPr>
              <w:sym w:font="Wingdings" w:char="00A8"/>
            </w:r>
          </w:p>
        </w:tc>
      </w:tr>
      <w:tr w14:paraId="547DF3CB">
        <w:tblPrEx>
          <w:tblCellMar>
            <w:top w:w="0" w:type="dxa"/>
            <w:left w:w="0" w:type="dxa"/>
            <w:bottom w:w="0" w:type="dxa"/>
            <w:right w:w="0" w:type="dxa"/>
          </w:tblCellMar>
        </w:tblPrEx>
        <w:trPr>
          <w:trHeight w:val="442" w:hRule="atLeast"/>
          <w:jc w:val="center"/>
        </w:trPr>
        <w:tc>
          <w:tcPr>
            <w:tcW w:w="562" w:type="dxa"/>
            <w:vMerge w:val="continue"/>
            <w:tcBorders>
              <w:left w:val="single" w:color="000000" w:sz="8" w:space="0"/>
              <w:right w:val="single" w:color="auto" w:sz="4" w:space="0"/>
            </w:tcBorders>
            <w:shd w:val="clear" w:color="auto" w:fill="FFFFFF"/>
            <w:tcMar>
              <w:top w:w="0" w:type="dxa"/>
              <w:left w:w="108" w:type="dxa"/>
              <w:bottom w:w="0" w:type="dxa"/>
              <w:right w:w="108" w:type="dxa"/>
            </w:tcMar>
            <w:vAlign w:val="center"/>
          </w:tcPr>
          <w:p w14:paraId="609CA3BC">
            <w:pPr>
              <w:jc w:val="center"/>
              <w:rPr>
                <w:rFonts w:ascii="宋体" w:hAnsi="宋体" w:cs="宋体"/>
                <w:kern w:val="0"/>
                <w:highlight w:val="none"/>
              </w:rPr>
            </w:pPr>
          </w:p>
        </w:tc>
        <w:tc>
          <w:tcPr>
            <w:tcW w:w="588" w:type="dxa"/>
            <w:vMerge w:val="continue"/>
            <w:tcBorders>
              <w:left w:val="single" w:color="auto" w:sz="4" w:space="0"/>
              <w:right w:val="single" w:color="auto" w:sz="4" w:space="0"/>
            </w:tcBorders>
            <w:shd w:val="clear" w:color="auto" w:fill="FFFFFF"/>
            <w:vAlign w:val="center"/>
          </w:tcPr>
          <w:p w14:paraId="5A87181A">
            <w:pPr>
              <w:jc w:val="center"/>
              <w:rPr>
                <w:rFonts w:ascii="宋体" w:hAnsi="宋体" w:cs="宋体"/>
                <w:kern w:val="0"/>
                <w:highlight w:val="none"/>
              </w:rPr>
            </w:pPr>
          </w:p>
        </w:tc>
        <w:tc>
          <w:tcPr>
            <w:tcW w:w="4366" w:type="dxa"/>
            <w:tcBorders>
              <w:top w:val="single" w:color="auto" w:sz="4" w:space="0"/>
              <w:left w:val="single" w:color="auto" w:sz="4" w:space="0"/>
              <w:bottom w:val="single" w:color="auto" w:sz="4" w:space="0"/>
              <w:right w:val="single" w:color="auto" w:sz="4" w:space="0"/>
            </w:tcBorders>
            <w:shd w:val="clear" w:color="auto" w:fill="FFFFFF"/>
            <w:vAlign w:val="center"/>
          </w:tcPr>
          <w:p w14:paraId="039061FA">
            <w:pPr>
              <w:keepNext w:val="0"/>
              <w:keepLines w:val="0"/>
              <w:widowControl/>
              <w:suppressLineNumbers w:val="0"/>
              <w:jc w:val="center"/>
              <w:textAlignment w:val="center"/>
              <w:rPr>
                <w:rFonts w:ascii="宋体" w:hAnsi="宋体" w:cs="宋体"/>
                <w:kern w:val="0"/>
                <w:sz w:val="21"/>
                <w:szCs w:val="21"/>
                <w:highlight w:val="none"/>
              </w:rPr>
            </w:pPr>
            <w:r>
              <w:rPr>
                <w:rFonts w:hint="eastAsia" w:ascii="宋体" w:hAnsi="宋体" w:eastAsia="宋体" w:cs="宋体"/>
                <w:i w:val="0"/>
                <w:iCs w:val="0"/>
                <w:color w:val="000000"/>
                <w:kern w:val="0"/>
                <w:sz w:val="21"/>
                <w:szCs w:val="21"/>
                <w:u w:val="none"/>
                <w:lang w:val="en-US" w:eastAsia="zh-CN" w:bidi="ar"/>
              </w:rPr>
              <w:t>服务中心物资采购</w:t>
            </w:r>
          </w:p>
        </w:tc>
        <w:tc>
          <w:tcPr>
            <w:tcW w:w="619" w:type="dxa"/>
            <w:tcBorders>
              <w:top w:val="single" w:color="auto" w:sz="4" w:space="0"/>
              <w:left w:val="single" w:color="auto" w:sz="4" w:space="0"/>
              <w:bottom w:val="single" w:color="auto" w:sz="4" w:space="0"/>
              <w:right w:val="single" w:color="auto" w:sz="4" w:space="0"/>
            </w:tcBorders>
            <w:shd w:val="clear" w:color="auto" w:fill="FFFFFF"/>
            <w:vAlign w:val="center"/>
          </w:tcPr>
          <w:p w14:paraId="6AD192B9">
            <w:pPr>
              <w:jc w:val="center"/>
              <w:rPr>
                <w:rFonts w:ascii="宋体" w:hAnsi="宋体" w:cs="宋体"/>
                <w:kern w:val="0"/>
                <w:highlight w:val="none"/>
              </w:rPr>
            </w:pPr>
            <w:r>
              <w:rPr>
                <w:rFonts w:hint="eastAsia" w:ascii="宋体" w:hAnsi="宋体" w:cs="宋体"/>
                <w:kern w:val="0"/>
                <w:highlight w:val="none"/>
              </w:rPr>
              <w:t>1批</w:t>
            </w:r>
          </w:p>
        </w:tc>
        <w:tc>
          <w:tcPr>
            <w:tcW w:w="1082" w:type="dxa"/>
            <w:vMerge w:val="continue"/>
            <w:tcBorders>
              <w:left w:val="single" w:color="auto" w:sz="4" w:space="0"/>
              <w:right w:val="single" w:color="auto" w:sz="4" w:space="0"/>
            </w:tcBorders>
            <w:shd w:val="clear" w:color="auto" w:fill="FFFFFF"/>
            <w:vAlign w:val="center"/>
          </w:tcPr>
          <w:p w14:paraId="52D24866">
            <w:pPr>
              <w:jc w:val="center"/>
              <w:rPr>
                <w:rFonts w:ascii="宋体" w:hAnsi="宋体" w:cs="宋体"/>
                <w:kern w:val="0"/>
                <w:highlight w:val="none"/>
              </w:rPr>
            </w:pPr>
          </w:p>
        </w:tc>
        <w:tc>
          <w:tcPr>
            <w:tcW w:w="624" w:type="dxa"/>
            <w:vMerge w:val="continue"/>
            <w:tcBorders>
              <w:left w:val="single" w:color="auto" w:sz="4" w:space="0"/>
              <w:right w:val="single" w:color="auto" w:sz="4" w:space="0"/>
            </w:tcBorders>
            <w:shd w:val="clear" w:color="auto" w:fill="FFFFFF"/>
            <w:vAlign w:val="center"/>
          </w:tcPr>
          <w:p w14:paraId="4B782548">
            <w:pPr>
              <w:jc w:val="center"/>
              <w:rPr>
                <w:rFonts w:ascii="宋体" w:hAnsi="宋体"/>
                <w:iCs/>
                <w:highlight w:val="none"/>
              </w:rPr>
            </w:pPr>
          </w:p>
        </w:tc>
        <w:tc>
          <w:tcPr>
            <w:tcW w:w="567" w:type="dxa"/>
            <w:vMerge w:val="continue"/>
            <w:tcBorders>
              <w:left w:val="single" w:color="auto" w:sz="4" w:space="0"/>
              <w:right w:val="single" w:color="auto" w:sz="8" w:space="0"/>
            </w:tcBorders>
            <w:shd w:val="clear" w:color="auto" w:fill="FFFFFF"/>
            <w:vAlign w:val="center"/>
          </w:tcPr>
          <w:p w14:paraId="70D4EEEA">
            <w:pPr>
              <w:jc w:val="center"/>
              <w:rPr>
                <w:rFonts w:ascii="宋体" w:hAnsi="宋体"/>
                <w:iCs/>
                <w:highlight w:val="none"/>
              </w:rPr>
            </w:pPr>
          </w:p>
        </w:tc>
      </w:tr>
      <w:tr w14:paraId="231A7F2C">
        <w:tblPrEx>
          <w:tblCellMar>
            <w:top w:w="0" w:type="dxa"/>
            <w:left w:w="0" w:type="dxa"/>
            <w:bottom w:w="0" w:type="dxa"/>
            <w:right w:w="0" w:type="dxa"/>
          </w:tblCellMar>
        </w:tblPrEx>
        <w:trPr>
          <w:trHeight w:val="442" w:hRule="atLeast"/>
          <w:jc w:val="center"/>
        </w:trPr>
        <w:tc>
          <w:tcPr>
            <w:tcW w:w="562" w:type="dxa"/>
            <w:vMerge w:val="continue"/>
            <w:tcBorders>
              <w:left w:val="single" w:color="000000" w:sz="8" w:space="0"/>
              <w:right w:val="single" w:color="auto" w:sz="4" w:space="0"/>
            </w:tcBorders>
            <w:shd w:val="clear" w:color="auto" w:fill="FFFFFF"/>
            <w:tcMar>
              <w:top w:w="0" w:type="dxa"/>
              <w:left w:w="108" w:type="dxa"/>
              <w:bottom w:w="0" w:type="dxa"/>
              <w:right w:w="108" w:type="dxa"/>
            </w:tcMar>
            <w:vAlign w:val="center"/>
          </w:tcPr>
          <w:p w14:paraId="28C36E03">
            <w:pPr>
              <w:jc w:val="center"/>
              <w:rPr>
                <w:rFonts w:ascii="宋体" w:hAnsi="宋体" w:cs="宋体"/>
                <w:kern w:val="0"/>
                <w:highlight w:val="none"/>
              </w:rPr>
            </w:pPr>
          </w:p>
        </w:tc>
        <w:tc>
          <w:tcPr>
            <w:tcW w:w="588" w:type="dxa"/>
            <w:vMerge w:val="continue"/>
            <w:tcBorders>
              <w:left w:val="single" w:color="auto" w:sz="4" w:space="0"/>
              <w:right w:val="single" w:color="auto" w:sz="4" w:space="0"/>
            </w:tcBorders>
            <w:shd w:val="clear" w:color="auto" w:fill="FFFFFF"/>
            <w:vAlign w:val="center"/>
          </w:tcPr>
          <w:p w14:paraId="37CB8883">
            <w:pPr>
              <w:jc w:val="center"/>
              <w:rPr>
                <w:rFonts w:ascii="宋体" w:hAnsi="宋体" w:cs="宋体"/>
                <w:kern w:val="0"/>
                <w:highlight w:val="none"/>
              </w:rPr>
            </w:pPr>
          </w:p>
        </w:tc>
        <w:tc>
          <w:tcPr>
            <w:tcW w:w="4366" w:type="dxa"/>
            <w:tcBorders>
              <w:top w:val="single" w:color="auto" w:sz="4" w:space="0"/>
              <w:left w:val="single" w:color="auto" w:sz="4" w:space="0"/>
              <w:bottom w:val="single" w:color="auto" w:sz="4" w:space="0"/>
              <w:right w:val="single" w:color="auto" w:sz="4" w:space="0"/>
            </w:tcBorders>
            <w:shd w:val="clear" w:color="auto" w:fill="FFFFFF"/>
            <w:vAlign w:val="center"/>
          </w:tcPr>
          <w:p w14:paraId="72534C81">
            <w:pPr>
              <w:keepNext w:val="0"/>
              <w:keepLines w:val="0"/>
              <w:widowControl/>
              <w:suppressLineNumbers w:val="0"/>
              <w:jc w:val="center"/>
              <w:textAlignment w:val="center"/>
              <w:rPr>
                <w:rFonts w:ascii="宋体" w:hAnsi="宋体" w:cs="宋体"/>
                <w:kern w:val="0"/>
                <w:sz w:val="21"/>
                <w:szCs w:val="21"/>
                <w:highlight w:val="none"/>
              </w:rPr>
            </w:pPr>
            <w:r>
              <w:rPr>
                <w:rFonts w:hint="eastAsia" w:ascii="宋体" w:hAnsi="宋体" w:eastAsia="宋体" w:cs="宋体"/>
                <w:i w:val="0"/>
                <w:iCs w:val="0"/>
                <w:color w:val="000000"/>
                <w:kern w:val="0"/>
                <w:sz w:val="21"/>
                <w:szCs w:val="21"/>
                <w:u w:val="none"/>
                <w:lang w:val="en-US" w:eastAsia="zh-CN" w:bidi="ar"/>
              </w:rPr>
              <w:t>殡仪服务中心厨房设备物资采购</w:t>
            </w:r>
          </w:p>
        </w:tc>
        <w:tc>
          <w:tcPr>
            <w:tcW w:w="619" w:type="dxa"/>
            <w:tcBorders>
              <w:top w:val="single" w:color="auto" w:sz="4" w:space="0"/>
              <w:left w:val="single" w:color="auto" w:sz="4" w:space="0"/>
              <w:bottom w:val="single" w:color="auto" w:sz="4" w:space="0"/>
              <w:right w:val="single" w:color="auto" w:sz="4" w:space="0"/>
            </w:tcBorders>
            <w:shd w:val="clear" w:color="auto" w:fill="FFFFFF"/>
            <w:vAlign w:val="center"/>
          </w:tcPr>
          <w:p w14:paraId="36E7A132">
            <w:pPr>
              <w:jc w:val="center"/>
              <w:rPr>
                <w:rFonts w:hint="eastAsia" w:ascii="宋体" w:hAnsi="宋体" w:cs="宋体"/>
                <w:kern w:val="0"/>
                <w:highlight w:val="none"/>
              </w:rPr>
            </w:pPr>
            <w:r>
              <w:rPr>
                <w:rFonts w:hint="eastAsia" w:ascii="宋体" w:hAnsi="宋体" w:cs="宋体"/>
                <w:kern w:val="0"/>
                <w:highlight w:val="none"/>
              </w:rPr>
              <w:t>1批</w:t>
            </w:r>
          </w:p>
        </w:tc>
        <w:tc>
          <w:tcPr>
            <w:tcW w:w="1082" w:type="dxa"/>
            <w:vMerge w:val="continue"/>
            <w:tcBorders>
              <w:left w:val="single" w:color="auto" w:sz="4" w:space="0"/>
              <w:right w:val="single" w:color="auto" w:sz="4" w:space="0"/>
            </w:tcBorders>
            <w:shd w:val="clear" w:color="auto" w:fill="FFFFFF"/>
            <w:vAlign w:val="center"/>
          </w:tcPr>
          <w:p w14:paraId="64A03C36">
            <w:pPr>
              <w:jc w:val="center"/>
              <w:rPr>
                <w:rFonts w:ascii="宋体" w:hAnsi="宋体" w:cs="宋体"/>
                <w:kern w:val="0"/>
                <w:highlight w:val="none"/>
              </w:rPr>
            </w:pPr>
          </w:p>
        </w:tc>
        <w:tc>
          <w:tcPr>
            <w:tcW w:w="624" w:type="dxa"/>
            <w:vMerge w:val="continue"/>
            <w:tcBorders>
              <w:left w:val="single" w:color="auto" w:sz="4" w:space="0"/>
              <w:right w:val="single" w:color="auto" w:sz="4" w:space="0"/>
            </w:tcBorders>
            <w:shd w:val="clear" w:color="auto" w:fill="FFFFFF"/>
            <w:vAlign w:val="center"/>
          </w:tcPr>
          <w:p w14:paraId="66EEC69A">
            <w:pPr>
              <w:jc w:val="center"/>
              <w:rPr>
                <w:rFonts w:ascii="宋体" w:hAnsi="宋体"/>
                <w:iCs/>
                <w:highlight w:val="none"/>
              </w:rPr>
            </w:pPr>
          </w:p>
        </w:tc>
        <w:tc>
          <w:tcPr>
            <w:tcW w:w="567" w:type="dxa"/>
            <w:vMerge w:val="continue"/>
            <w:tcBorders>
              <w:left w:val="single" w:color="auto" w:sz="4" w:space="0"/>
              <w:right w:val="single" w:color="auto" w:sz="8" w:space="0"/>
            </w:tcBorders>
            <w:shd w:val="clear" w:color="auto" w:fill="FFFFFF"/>
            <w:vAlign w:val="center"/>
          </w:tcPr>
          <w:p w14:paraId="564E4235">
            <w:pPr>
              <w:jc w:val="center"/>
              <w:rPr>
                <w:rFonts w:ascii="宋体" w:hAnsi="宋体"/>
                <w:iCs/>
                <w:highlight w:val="none"/>
              </w:rPr>
            </w:pPr>
          </w:p>
        </w:tc>
      </w:tr>
      <w:tr w14:paraId="67DADAC6">
        <w:tblPrEx>
          <w:tblCellMar>
            <w:top w:w="0" w:type="dxa"/>
            <w:left w:w="0" w:type="dxa"/>
            <w:bottom w:w="0" w:type="dxa"/>
            <w:right w:w="0" w:type="dxa"/>
          </w:tblCellMar>
        </w:tblPrEx>
        <w:trPr>
          <w:trHeight w:val="442" w:hRule="atLeast"/>
          <w:jc w:val="center"/>
        </w:trPr>
        <w:tc>
          <w:tcPr>
            <w:tcW w:w="562" w:type="dxa"/>
            <w:vMerge w:val="continue"/>
            <w:tcBorders>
              <w:left w:val="single" w:color="000000" w:sz="8" w:space="0"/>
              <w:right w:val="single" w:color="auto" w:sz="4" w:space="0"/>
            </w:tcBorders>
            <w:shd w:val="clear" w:color="auto" w:fill="FFFFFF"/>
            <w:tcMar>
              <w:top w:w="0" w:type="dxa"/>
              <w:left w:w="108" w:type="dxa"/>
              <w:bottom w:w="0" w:type="dxa"/>
              <w:right w:w="108" w:type="dxa"/>
            </w:tcMar>
            <w:vAlign w:val="center"/>
          </w:tcPr>
          <w:p w14:paraId="16294EB9">
            <w:pPr>
              <w:jc w:val="center"/>
              <w:rPr>
                <w:rFonts w:ascii="宋体" w:hAnsi="宋体" w:cs="宋体"/>
                <w:kern w:val="0"/>
                <w:highlight w:val="none"/>
              </w:rPr>
            </w:pPr>
          </w:p>
        </w:tc>
        <w:tc>
          <w:tcPr>
            <w:tcW w:w="588" w:type="dxa"/>
            <w:vMerge w:val="continue"/>
            <w:tcBorders>
              <w:left w:val="single" w:color="auto" w:sz="4" w:space="0"/>
              <w:right w:val="single" w:color="auto" w:sz="4" w:space="0"/>
            </w:tcBorders>
            <w:shd w:val="clear" w:color="auto" w:fill="FFFFFF"/>
            <w:vAlign w:val="center"/>
          </w:tcPr>
          <w:p w14:paraId="0232E41C">
            <w:pPr>
              <w:jc w:val="center"/>
              <w:rPr>
                <w:rFonts w:ascii="宋体" w:hAnsi="宋体" w:cs="宋体"/>
                <w:kern w:val="0"/>
                <w:highlight w:val="none"/>
              </w:rPr>
            </w:pPr>
          </w:p>
        </w:tc>
        <w:tc>
          <w:tcPr>
            <w:tcW w:w="4366" w:type="dxa"/>
            <w:tcBorders>
              <w:top w:val="single" w:color="auto" w:sz="4" w:space="0"/>
              <w:left w:val="single" w:color="auto" w:sz="4" w:space="0"/>
              <w:bottom w:val="single" w:color="auto" w:sz="4" w:space="0"/>
              <w:right w:val="single" w:color="auto" w:sz="4" w:space="0"/>
            </w:tcBorders>
            <w:shd w:val="clear" w:color="auto" w:fill="FFFFFF"/>
            <w:vAlign w:val="center"/>
          </w:tcPr>
          <w:p w14:paraId="385BCD77">
            <w:pPr>
              <w:keepNext w:val="0"/>
              <w:keepLines w:val="0"/>
              <w:widowControl/>
              <w:suppressLineNumbers w:val="0"/>
              <w:jc w:val="center"/>
              <w:textAlignment w:val="center"/>
              <w:rPr>
                <w:rFonts w:ascii="宋体" w:hAnsi="宋体" w:cs="宋体"/>
                <w:kern w:val="0"/>
                <w:sz w:val="21"/>
                <w:szCs w:val="21"/>
                <w:highlight w:val="none"/>
              </w:rPr>
            </w:pPr>
            <w:r>
              <w:rPr>
                <w:rFonts w:hint="eastAsia" w:ascii="宋体" w:hAnsi="宋体" w:eastAsia="宋体" w:cs="宋体"/>
                <w:i w:val="0"/>
                <w:iCs w:val="0"/>
                <w:color w:val="000000"/>
                <w:kern w:val="0"/>
                <w:sz w:val="21"/>
                <w:szCs w:val="21"/>
                <w:u w:val="none"/>
                <w:lang w:val="en-US" w:eastAsia="zh-CN" w:bidi="ar"/>
              </w:rPr>
              <w:t>殡仪服务中心厨房、备餐间建筑工程</w:t>
            </w:r>
          </w:p>
        </w:tc>
        <w:tc>
          <w:tcPr>
            <w:tcW w:w="619" w:type="dxa"/>
            <w:tcBorders>
              <w:top w:val="single" w:color="auto" w:sz="4" w:space="0"/>
              <w:left w:val="single" w:color="auto" w:sz="4" w:space="0"/>
              <w:bottom w:val="single" w:color="auto" w:sz="4" w:space="0"/>
              <w:right w:val="single" w:color="auto" w:sz="4" w:space="0"/>
            </w:tcBorders>
            <w:shd w:val="clear" w:color="auto" w:fill="FFFFFF"/>
            <w:vAlign w:val="center"/>
          </w:tcPr>
          <w:p w14:paraId="770D70F4">
            <w:pPr>
              <w:jc w:val="center"/>
              <w:rPr>
                <w:rFonts w:hint="eastAsia" w:ascii="宋体" w:hAnsi="宋体" w:eastAsia="宋体" w:cs="宋体"/>
                <w:kern w:val="0"/>
                <w:highlight w:val="none"/>
                <w:lang w:eastAsia="zh-CN"/>
              </w:rPr>
            </w:pPr>
            <w:r>
              <w:rPr>
                <w:rFonts w:hint="eastAsia" w:ascii="宋体" w:hAnsi="宋体" w:cs="宋体"/>
                <w:kern w:val="0"/>
                <w:highlight w:val="none"/>
              </w:rPr>
              <w:t>1</w:t>
            </w:r>
            <w:r>
              <w:rPr>
                <w:rFonts w:hint="eastAsia" w:ascii="宋体" w:hAnsi="宋体" w:cs="宋体"/>
                <w:kern w:val="0"/>
                <w:highlight w:val="none"/>
                <w:lang w:val="en-US" w:eastAsia="zh-CN"/>
              </w:rPr>
              <w:t>项</w:t>
            </w:r>
          </w:p>
        </w:tc>
        <w:tc>
          <w:tcPr>
            <w:tcW w:w="1082" w:type="dxa"/>
            <w:vMerge w:val="continue"/>
            <w:tcBorders>
              <w:left w:val="single" w:color="auto" w:sz="4" w:space="0"/>
              <w:right w:val="single" w:color="auto" w:sz="4" w:space="0"/>
            </w:tcBorders>
            <w:shd w:val="clear" w:color="auto" w:fill="FFFFFF"/>
            <w:vAlign w:val="center"/>
          </w:tcPr>
          <w:p w14:paraId="4E5AB733">
            <w:pPr>
              <w:jc w:val="center"/>
              <w:rPr>
                <w:rFonts w:ascii="宋体" w:hAnsi="宋体" w:cs="宋体"/>
                <w:kern w:val="0"/>
                <w:highlight w:val="none"/>
              </w:rPr>
            </w:pPr>
          </w:p>
        </w:tc>
        <w:tc>
          <w:tcPr>
            <w:tcW w:w="624" w:type="dxa"/>
            <w:vMerge w:val="continue"/>
            <w:tcBorders>
              <w:left w:val="single" w:color="auto" w:sz="4" w:space="0"/>
              <w:right w:val="single" w:color="auto" w:sz="4" w:space="0"/>
            </w:tcBorders>
            <w:shd w:val="clear" w:color="auto" w:fill="FFFFFF"/>
            <w:vAlign w:val="center"/>
          </w:tcPr>
          <w:p w14:paraId="5C27562A">
            <w:pPr>
              <w:jc w:val="center"/>
              <w:rPr>
                <w:rFonts w:ascii="宋体" w:hAnsi="宋体"/>
                <w:iCs/>
                <w:highlight w:val="none"/>
              </w:rPr>
            </w:pPr>
          </w:p>
        </w:tc>
        <w:tc>
          <w:tcPr>
            <w:tcW w:w="567" w:type="dxa"/>
            <w:vMerge w:val="continue"/>
            <w:tcBorders>
              <w:left w:val="single" w:color="auto" w:sz="4" w:space="0"/>
              <w:right w:val="single" w:color="auto" w:sz="8" w:space="0"/>
            </w:tcBorders>
            <w:shd w:val="clear" w:color="auto" w:fill="FFFFFF"/>
            <w:vAlign w:val="center"/>
          </w:tcPr>
          <w:p w14:paraId="460276ED">
            <w:pPr>
              <w:jc w:val="center"/>
              <w:rPr>
                <w:rFonts w:ascii="宋体" w:hAnsi="宋体"/>
                <w:iCs/>
                <w:highlight w:val="none"/>
              </w:rPr>
            </w:pPr>
          </w:p>
        </w:tc>
      </w:tr>
      <w:tr w14:paraId="7255E819">
        <w:tblPrEx>
          <w:tblCellMar>
            <w:top w:w="0" w:type="dxa"/>
            <w:left w:w="0" w:type="dxa"/>
            <w:bottom w:w="0" w:type="dxa"/>
            <w:right w:w="0" w:type="dxa"/>
          </w:tblCellMar>
        </w:tblPrEx>
        <w:trPr>
          <w:trHeight w:val="442" w:hRule="atLeast"/>
          <w:jc w:val="center"/>
        </w:trPr>
        <w:tc>
          <w:tcPr>
            <w:tcW w:w="562" w:type="dxa"/>
            <w:vMerge w:val="continue"/>
            <w:tcBorders>
              <w:left w:val="single" w:color="000000" w:sz="8" w:space="0"/>
              <w:right w:val="single" w:color="auto" w:sz="4" w:space="0"/>
            </w:tcBorders>
            <w:shd w:val="clear" w:color="auto" w:fill="FFFFFF"/>
            <w:tcMar>
              <w:top w:w="0" w:type="dxa"/>
              <w:left w:w="108" w:type="dxa"/>
              <w:bottom w:w="0" w:type="dxa"/>
              <w:right w:w="108" w:type="dxa"/>
            </w:tcMar>
            <w:vAlign w:val="center"/>
          </w:tcPr>
          <w:p w14:paraId="38728132">
            <w:pPr>
              <w:jc w:val="center"/>
              <w:rPr>
                <w:rFonts w:ascii="宋体" w:hAnsi="宋体" w:cs="宋体"/>
                <w:kern w:val="0"/>
                <w:highlight w:val="none"/>
              </w:rPr>
            </w:pPr>
          </w:p>
        </w:tc>
        <w:tc>
          <w:tcPr>
            <w:tcW w:w="588" w:type="dxa"/>
            <w:vMerge w:val="continue"/>
            <w:tcBorders>
              <w:left w:val="single" w:color="auto" w:sz="4" w:space="0"/>
              <w:right w:val="single" w:color="auto" w:sz="4" w:space="0"/>
            </w:tcBorders>
            <w:shd w:val="clear" w:color="auto" w:fill="FFFFFF"/>
            <w:vAlign w:val="center"/>
          </w:tcPr>
          <w:p w14:paraId="0259B79C">
            <w:pPr>
              <w:jc w:val="center"/>
              <w:rPr>
                <w:rFonts w:ascii="宋体" w:hAnsi="宋体" w:cs="宋体"/>
                <w:kern w:val="0"/>
                <w:highlight w:val="none"/>
              </w:rPr>
            </w:pPr>
          </w:p>
        </w:tc>
        <w:tc>
          <w:tcPr>
            <w:tcW w:w="4366" w:type="dxa"/>
            <w:tcBorders>
              <w:top w:val="single" w:color="auto" w:sz="4" w:space="0"/>
              <w:left w:val="single" w:color="auto" w:sz="4" w:space="0"/>
              <w:bottom w:val="single" w:color="auto" w:sz="4" w:space="0"/>
              <w:right w:val="single" w:color="auto" w:sz="4" w:space="0"/>
            </w:tcBorders>
            <w:shd w:val="clear" w:color="auto" w:fill="FFFFFF"/>
            <w:vAlign w:val="center"/>
          </w:tcPr>
          <w:p w14:paraId="649BE83B">
            <w:pPr>
              <w:keepNext w:val="0"/>
              <w:keepLines w:val="0"/>
              <w:widowControl/>
              <w:suppressLineNumbers w:val="0"/>
              <w:jc w:val="center"/>
              <w:textAlignment w:val="center"/>
              <w:rPr>
                <w:rFonts w:ascii="宋体" w:hAnsi="宋体" w:cs="宋体"/>
                <w:kern w:val="0"/>
                <w:sz w:val="21"/>
                <w:szCs w:val="21"/>
                <w:highlight w:val="none"/>
              </w:rPr>
            </w:pPr>
            <w:r>
              <w:rPr>
                <w:rFonts w:hint="eastAsia" w:ascii="宋体" w:hAnsi="宋体" w:eastAsia="宋体" w:cs="宋体"/>
                <w:i w:val="0"/>
                <w:iCs w:val="0"/>
                <w:color w:val="000000"/>
                <w:kern w:val="0"/>
                <w:sz w:val="21"/>
                <w:szCs w:val="21"/>
                <w:u w:val="none"/>
                <w:lang w:val="en-US" w:eastAsia="zh-CN" w:bidi="ar"/>
              </w:rPr>
              <w:t>殡仪服务中心厨房、备餐间装饰工程</w:t>
            </w:r>
          </w:p>
        </w:tc>
        <w:tc>
          <w:tcPr>
            <w:tcW w:w="619" w:type="dxa"/>
            <w:tcBorders>
              <w:top w:val="single" w:color="auto" w:sz="4" w:space="0"/>
              <w:left w:val="single" w:color="auto" w:sz="4" w:space="0"/>
              <w:bottom w:val="single" w:color="auto" w:sz="4" w:space="0"/>
              <w:right w:val="single" w:color="auto" w:sz="4" w:space="0"/>
            </w:tcBorders>
            <w:shd w:val="clear" w:color="auto" w:fill="FFFFFF"/>
            <w:vAlign w:val="center"/>
          </w:tcPr>
          <w:p w14:paraId="42B3FC55">
            <w:pPr>
              <w:jc w:val="center"/>
              <w:rPr>
                <w:rFonts w:hint="eastAsia" w:ascii="宋体" w:hAnsi="宋体" w:eastAsia="宋体" w:cs="宋体"/>
                <w:kern w:val="0"/>
                <w:highlight w:val="none"/>
                <w:lang w:eastAsia="zh-CN"/>
              </w:rPr>
            </w:pPr>
            <w:r>
              <w:rPr>
                <w:rFonts w:hint="eastAsia" w:ascii="宋体" w:hAnsi="宋体" w:cs="宋体"/>
                <w:kern w:val="0"/>
                <w:highlight w:val="none"/>
              </w:rPr>
              <w:t>1</w:t>
            </w:r>
            <w:r>
              <w:rPr>
                <w:rFonts w:hint="eastAsia" w:ascii="宋体" w:hAnsi="宋体" w:cs="宋体"/>
                <w:kern w:val="0"/>
                <w:highlight w:val="none"/>
                <w:lang w:val="en-US" w:eastAsia="zh-CN"/>
              </w:rPr>
              <w:t>项</w:t>
            </w:r>
          </w:p>
        </w:tc>
        <w:tc>
          <w:tcPr>
            <w:tcW w:w="1082" w:type="dxa"/>
            <w:vMerge w:val="continue"/>
            <w:tcBorders>
              <w:left w:val="single" w:color="auto" w:sz="4" w:space="0"/>
              <w:right w:val="single" w:color="auto" w:sz="4" w:space="0"/>
            </w:tcBorders>
            <w:shd w:val="clear" w:color="auto" w:fill="FFFFFF"/>
            <w:vAlign w:val="center"/>
          </w:tcPr>
          <w:p w14:paraId="5A7439AF">
            <w:pPr>
              <w:jc w:val="center"/>
              <w:rPr>
                <w:rFonts w:ascii="宋体" w:hAnsi="宋体" w:cs="宋体"/>
                <w:kern w:val="0"/>
                <w:highlight w:val="none"/>
              </w:rPr>
            </w:pPr>
          </w:p>
        </w:tc>
        <w:tc>
          <w:tcPr>
            <w:tcW w:w="624" w:type="dxa"/>
            <w:vMerge w:val="continue"/>
            <w:tcBorders>
              <w:left w:val="single" w:color="auto" w:sz="4" w:space="0"/>
              <w:right w:val="single" w:color="auto" w:sz="4" w:space="0"/>
            </w:tcBorders>
            <w:shd w:val="clear" w:color="auto" w:fill="FFFFFF"/>
            <w:vAlign w:val="center"/>
          </w:tcPr>
          <w:p w14:paraId="4744EEA6">
            <w:pPr>
              <w:jc w:val="center"/>
              <w:rPr>
                <w:rFonts w:ascii="宋体" w:hAnsi="宋体"/>
                <w:iCs/>
                <w:highlight w:val="none"/>
              </w:rPr>
            </w:pPr>
          </w:p>
        </w:tc>
        <w:tc>
          <w:tcPr>
            <w:tcW w:w="567" w:type="dxa"/>
            <w:vMerge w:val="continue"/>
            <w:tcBorders>
              <w:left w:val="single" w:color="auto" w:sz="4" w:space="0"/>
              <w:right w:val="single" w:color="auto" w:sz="8" w:space="0"/>
            </w:tcBorders>
            <w:shd w:val="clear" w:color="auto" w:fill="FFFFFF"/>
            <w:vAlign w:val="center"/>
          </w:tcPr>
          <w:p w14:paraId="4CEB5205">
            <w:pPr>
              <w:jc w:val="center"/>
              <w:rPr>
                <w:rFonts w:ascii="宋体" w:hAnsi="宋体"/>
                <w:iCs/>
                <w:highlight w:val="none"/>
              </w:rPr>
            </w:pPr>
          </w:p>
        </w:tc>
      </w:tr>
      <w:tr w14:paraId="26C80CAA">
        <w:tblPrEx>
          <w:tblCellMar>
            <w:top w:w="0" w:type="dxa"/>
            <w:left w:w="0" w:type="dxa"/>
            <w:bottom w:w="0" w:type="dxa"/>
            <w:right w:w="0" w:type="dxa"/>
          </w:tblCellMar>
        </w:tblPrEx>
        <w:trPr>
          <w:trHeight w:val="430" w:hRule="atLeast"/>
          <w:jc w:val="center"/>
        </w:trPr>
        <w:tc>
          <w:tcPr>
            <w:tcW w:w="562" w:type="dxa"/>
            <w:vMerge w:val="continue"/>
            <w:tcBorders>
              <w:left w:val="single" w:color="000000" w:sz="8" w:space="0"/>
              <w:bottom w:val="single" w:color="auto" w:sz="4" w:space="0"/>
              <w:right w:val="single" w:color="auto" w:sz="4" w:space="0"/>
            </w:tcBorders>
            <w:shd w:val="clear" w:color="auto" w:fill="FFFFFF"/>
            <w:tcMar>
              <w:top w:w="0" w:type="dxa"/>
              <w:left w:w="108" w:type="dxa"/>
              <w:bottom w:w="0" w:type="dxa"/>
              <w:right w:w="108" w:type="dxa"/>
            </w:tcMar>
            <w:vAlign w:val="center"/>
          </w:tcPr>
          <w:p w14:paraId="2FABCDC6">
            <w:pPr>
              <w:jc w:val="center"/>
              <w:rPr>
                <w:rFonts w:ascii="宋体" w:hAnsi="宋体" w:cs="宋体"/>
                <w:kern w:val="0"/>
                <w:highlight w:val="none"/>
              </w:rPr>
            </w:pPr>
          </w:p>
        </w:tc>
        <w:tc>
          <w:tcPr>
            <w:tcW w:w="588" w:type="dxa"/>
            <w:vMerge w:val="continue"/>
            <w:tcBorders>
              <w:left w:val="single" w:color="auto" w:sz="4" w:space="0"/>
              <w:bottom w:val="single" w:color="auto" w:sz="4" w:space="0"/>
              <w:right w:val="single" w:color="auto" w:sz="4" w:space="0"/>
            </w:tcBorders>
            <w:shd w:val="clear" w:color="auto" w:fill="FFFFFF"/>
            <w:vAlign w:val="center"/>
          </w:tcPr>
          <w:p w14:paraId="5C7BE74B">
            <w:pPr>
              <w:jc w:val="center"/>
              <w:rPr>
                <w:rFonts w:ascii="宋体" w:hAnsi="宋体" w:cs="宋体"/>
                <w:kern w:val="0"/>
                <w:highlight w:val="none"/>
              </w:rPr>
            </w:pPr>
          </w:p>
        </w:tc>
        <w:tc>
          <w:tcPr>
            <w:tcW w:w="4366" w:type="dxa"/>
            <w:tcBorders>
              <w:top w:val="single" w:color="auto" w:sz="4" w:space="0"/>
              <w:left w:val="single" w:color="auto" w:sz="4" w:space="0"/>
              <w:bottom w:val="single" w:color="auto" w:sz="4" w:space="0"/>
              <w:right w:val="single" w:color="auto" w:sz="4" w:space="0"/>
            </w:tcBorders>
            <w:shd w:val="clear" w:color="auto" w:fill="FFFFFF"/>
            <w:vAlign w:val="center"/>
          </w:tcPr>
          <w:p w14:paraId="4D79D429">
            <w:pPr>
              <w:keepNext w:val="0"/>
              <w:keepLines w:val="0"/>
              <w:widowControl/>
              <w:suppressLineNumbers w:val="0"/>
              <w:jc w:val="center"/>
              <w:textAlignment w:val="center"/>
              <w:rPr>
                <w:rFonts w:ascii="宋体" w:hAnsi="宋体" w:cs="宋体"/>
                <w:kern w:val="0"/>
                <w:sz w:val="21"/>
                <w:szCs w:val="21"/>
                <w:highlight w:val="none"/>
              </w:rPr>
            </w:pPr>
            <w:r>
              <w:rPr>
                <w:rFonts w:hint="eastAsia" w:ascii="宋体" w:hAnsi="宋体" w:eastAsia="宋体" w:cs="宋体"/>
                <w:i w:val="0"/>
                <w:iCs w:val="0"/>
                <w:color w:val="000000"/>
                <w:kern w:val="0"/>
                <w:sz w:val="21"/>
                <w:szCs w:val="21"/>
                <w:u w:val="none"/>
                <w:lang w:val="en-US" w:eastAsia="zh-CN" w:bidi="ar"/>
              </w:rPr>
              <w:t>殡仪服务中心厨房、备餐间安装工程</w:t>
            </w:r>
          </w:p>
        </w:tc>
        <w:tc>
          <w:tcPr>
            <w:tcW w:w="619" w:type="dxa"/>
            <w:tcBorders>
              <w:top w:val="single" w:color="auto" w:sz="4" w:space="0"/>
              <w:left w:val="single" w:color="auto" w:sz="4" w:space="0"/>
              <w:bottom w:val="single" w:color="auto" w:sz="4" w:space="0"/>
              <w:right w:val="single" w:color="auto" w:sz="4" w:space="0"/>
            </w:tcBorders>
            <w:shd w:val="clear" w:color="auto" w:fill="FFFFFF"/>
            <w:vAlign w:val="center"/>
          </w:tcPr>
          <w:p w14:paraId="2605CD71">
            <w:pPr>
              <w:jc w:val="center"/>
              <w:rPr>
                <w:rFonts w:hint="eastAsia" w:ascii="宋体" w:hAnsi="宋体" w:eastAsia="宋体" w:cs="宋体"/>
                <w:kern w:val="0"/>
                <w:highlight w:val="none"/>
                <w:lang w:eastAsia="zh-CN"/>
              </w:rPr>
            </w:pPr>
            <w:r>
              <w:rPr>
                <w:rFonts w:hint="eastAsia" w:ascii="宋体" w:hAnsi="宋体" w:cs="宋体"/>
                <w:kern w:val="0"/>
                <w:highlight w:val="none"/>
              </w:rPr>
              <w:t>1</w:t>
            </w:r>
            <w:r>
              <w:rPr>
                <w:rFonts w:hint="eastAsia" w:ascii="宋体" w:hAnsi="宋体" w:cs="宋体"/>
                <w:kern w:val="0"/>
                <w:highlight w:val="none"/>
                <w:lang w:val="en-US" w:eastAsia="zh-CN"/>
              </w:rPr>
              <w:t>项</w:t>
            </w:r>
          </w:p>
        </w:tc>
        <w:tc>
          <w:tcPr>
            <w:tcW w:w="1082" w:type="dxa"/>
            <w:vMerge w:val="continue"/>
            <w:tcBorders>
              <w:left w:val="single" w:color="auto" w:sz="4" w:space="0"/>
              <w:bottom w:val="single" w:color="auto" w:sz="4" w:space="0"/>
              <w:right w:val="single" w:color="auto" w:sz="4" w:space="0"/>
            </w:tcBorders>
            <w:shd w:val="clear" w:color="auto" w:fill="FFFFFF"/>
            <w:vAlign w:val="center"/>
          </w:tcPr>
          <w:p w14:paraId="605EC320">
            <w:pPr>
              <w:jc w:val="center"/>
              <w:rPr>
                <w:rFonts w:ascii="宋体" w:hAnsi="宋体" w:cs="宋体"/>
                <w:kern w:val="0"/>
                <w:highlight w:val="none"/>
              </w:rPr>
            </w:pPr>
          </w:p>
        </w:tc>
        <w:tc>
          <w:tcPr>
            <w:tcW w:w="624" w:type="dxa"/>
            <w:vMerge w:val="continue"/>
            <w:tcBorders>
              <w:left w:val="single" w:color="auto" w:sz="4" w:space="0"/>
              <w:bottom w:val="single" w:color="auto" w:sz="4" w:space="0"/>
              <w:right w:val="single" w:color="auto" w:sz="4" w:space="0"/>
            </w:tcBorders>
            <w:shd w:val="clear" w:color="auto" w:fill="FFFFFF"/>
            <w:vAlign w:val="center"/>
          </w:tcPr>
          <w:p w14:paraId="0213B75E">
            <w:pPr>
              <w:jc w:val="center"/>
              <w:rPr>
                <w:rFonts w:ascii="宋体" w:hAnsi="宋体"/>
                <w:iCs/>
                <w:highlight w:val="none"/>
              </w:rPr>
            </w:pPr>
          </w:p>
        </w:tc>
        <w:tc>
          <w:tcPr>
            <w:tcW w:w="567" w:type="dxa"/>
            <w:vMerge w:val="continue"/>
            <w:tcBorders>
              <w:left w:val="single" w:color="auto" w:sz="4" w:space="0"/>
              <w:bottom w:val="single" w:color="auto" w:sz="4" w:space="0"/>
              <w:right w:val="single" w:color="auto" w:sz="8" w:space="0"/>
            </w:tcBorders>
            <w:shd w:val="clear" w:color="auto" w:fill="FFFFFF"/>
            <w:vAlign w:val="center"/>
          </w:tcPr>
          <w:p w14:paraId="4A3F5C77">
            <w:pPr>
              <w:jc w:val="center"/>
              <w:rPr>
                <w:rFonts w:ascii="宋体" w:hAnsi="宋体"/>
                <w:iCs/>
                <w:highlight w:val="none"/>
              </w:rPr>
            </w:pPr>
          </w:p>
        </w:tc>
      </w:tr>
    </w:tbl>
    <w:p w14:paraId="2783EEFE">
      <w:pPr>
        <w:adjustRightInd w:val="0"/>
        <w:snapToGrid w:val="0"/>
        <w:spacing w:before="50" w:line="360" w:lineRule="auto"/>
        <w:rPr>
          <w:rFonts w:hint="eastAsia" w:ascii="宋体" w:hAnsi="宋体"/>
          <w:szCs w:val="21"/>
        </w:rPr>
      </w:pPr>
    </w:p>
    <w:p w14:paraId="60FDE620">
      <w:pPr>
        <w:adjustRightInd w:val="0"/>
        <w:snapToGrid w:val="0"/>
        <w:spacing w:before="50" w:line="360" w:lineRule="auto"/>
        <w:rPr>
          <w:rFonts w:hint="eastAsia" w:ascii="宋体" w:hAnsi="宋体"/>
          <w:szCs w:val="21"/>
        </w:rPr>
      </w:pPr>
      <w:r>
        <w:rPr>
          <w:rFonts w:hint="eastAsia" w:ascii="宋体" w:hAnsi="宋体"/>
          <w:szCs w:val="21"/>
        </w:rPr>
        <w:t>说明：</w:t>
      </w:r>
    </w:p>
    <w:p w14:paraId="3E529AA9">
      <w:pPr>
        <w:adjustRightInd w:val="0"/>
        <w:snapToGrid w:val="0"/>
        <w:spacing w:before="50" w:line="360" w:lineRule="auto"/>
        <w:rPr>
          <w:rFonts w:hint="eastAsia" w:ascii="宋体" w:hAnsi="宋体"/>
          <w:szCs w:val="21"/>
        </w:rPr>
      </w:pPr>
      <w:r>
        <w:rPr>
          <w:rFonts w:hint="eastAsia" w:ascii="宋体" w:hAnsi="宋体"/>
          <w:szCs w:val="21"/>
        </w:rPr>
        <w:t>1.节能产品实行强制采购的，需提供国家认证机构出具的、处于有效期内的节能产品证书。</w:t>
      </w:r>
    </w:p>
    <w:p w14:paraId="10D66EF1">
      <w:pPr>
        <w:adjustRightInd w:val="0"/>
        <w:snapToGrid w:val="0"/>
        <w:spacing w:before="50" w:line="360" w:lineRule="auto"/>
        <w:rPr>
          <w:rFonts w:hint="eastAsia" w:ascii="宋体" w:hAnsi="宋体"/>
          <w:szCs w:val="21"/>
        </w:rPr>
      </w:pPr>
      <w:r>
        <w:rPr>
          <w:rFonts w:hint="eastAsia" w:ascii="宋体" w:hAnsi="宋体"/>
          <w:szCs w:val="21"/>
        </w:rPr>
        <w:t>2.同意购买进口产品的，不限制满足采购需求的国内产品参与投标。</w:t>
      </w:r>
    </w:p>
    <w:p w14:paraId="6D9426E3">
      <w:pPr>
        <w:adjustRightInd w:val="0"/>
        <w:snapToGrid w:val="0"/>
        <w:spacing w:before="50" w:line="360" w:lineRule="auto"/>
        <w:rPr>
          <w:rFonts w:hint="eastAsia" w:ascii="宋体" w:hAnsi="宋体"/>
          <w:b/>
          <w:bCs/>
          <w:szCs w:val="21"/>
        </w:rPr>
      </w:pPr>
      <w:r>
        <w:rPr>
          <w:rFonts w:hint="eastAsia" w:ascii="宋体" w:hAnsi="宋体"/>
          <w:b/>
          <w:bCs/>
          <w:szCs w:val="21"/>
        </w:rPr>
        <w:t>三、采购项目需落实的政府采购政策：</w:t>
      </w:r>
    </w:p>
    <w:p w14:paraId="0144F7F5">
      <w:pPr>
        <w:adjustRightInd w:val="0"/>
        <w:snapToGrid w:val="0"/>
        <w:spacing w:before="50" w:line="360" w:lineRule="auto"/>
        <w:rPr>
          <w:rFonts w:hint="eastAsia" w:ascii="宋体" w:hAnsi="宋体"/>
          <w:szCs w:val="21"/>
        </w:rPr>
      </w:pPr>
      <w:r>
        <w:rPr>
          <w:rFonts w:hint="eastAsia" w:ascii="宋体" w:hAnsi="宋体"/>
          <w:szCs w:val="21"/>
        </w:rPr>
        <w:t>1、优先采购：节能产品、环境标志产品享受加分或价格折扣。</w:t>
      </w:r>
    </w:p>
    <w:p w14:paraId="6EA44AED">
      <w:pPr>
        <w:adjustRightInd w:val="0"/>
        <w:snapToGrid w:val="0"/>
        <w:spacing w:before="50" w:line="360" w:lineRule="auto"/>
        <w:rPr>
          <w:rFonts w:hint="eastAsia" w:ascii="宋体" w:hAnsi="宋体"/>
          <w:szCs w:val="21"/>
        </w:rPr>
      </w:pPr>
      <w:r>
        <w:rPr>
          <w:rFonts w:hint="eastAsia" w:ascii="宋体" w:hAnsi="宋体"/>
          <w:szCs w:val="21"/>
        </w:rPr>
        <w:t>2、支持中小企业：中小企业享受预留采购份额或价格折扣。</w:t>
      </w:r>
    </w:p>
    <w:p w14:paraId="2D3F1DD3">
      <w:pPr>
        <w:adjustRightInd w:val="0"/>
        <w:snapToGrid w:val="0"/>
        <w:spacing w:before="50" w:line="360" w:lineRule="auto"/>
        <w:rPr>
          <w:rFonts w:hint="eastAsia" w:ascii="宋体" w:hAnsi="宋体"/>
          <w:b/>
          <w:bCs/>
          <w:szCs w:val="21"/>
        </w:rPr>
      </w:pPr>
      <w:r>
        <w:rPr>
          <w:rFonts w:hint="eastAsia" w:ascii="宋体" w:hAnsi="宋体"/>
          <w:b/>
          <w:bCs/>
          <w:szCs w:val="21"/>
        </w:rPr>
        <w:t>四、投标人的资格要求：</w:t>
      </w:r>
    </w:p>
    <w:p w14:paraId="6692F02A">
      <w:pPr>
        <w:adjustRightInd w:val="0"/>
        <w:snapToGrid w:val="0"/>
        <w:spacing w:before="50" w:line="360" w:lineRule="auto"/>
        <w:rPr>
          <w:rFonts w:hint="eastAsia" w:ascii="宋体" w:hAnsi="宋体"/>
          <w:szCs w:val="21"/>
        </w:rPr>
      </w:pPr>
      <w:r>
        <w:rPr>
          <w:rFonts w:hint="eastAsia" w:ascii="宋体" w:hAnsi="宋体"/>
          <w:szCs w:val="21"/>
        </w:rPr>
        <w:t>1、投标人的基本资格条件：投标人必须是在中华人民共和国境内注册登记的法人、其他组织或者自然人，且应当符合《政府采购法》第二十二条第一款的规定。</w:t>
      </w:r>
    </w:p>
    <w:p w14:paraId="47D5EB59">
      <w:pPr>
        <w:adjustRightInd w:val="0"/>
        <w:snapToGrid w:val="0"/>
        <w:spacing w:before="50" w:line="360" w:lineRule="auto"/>
        <w:rPr>
          <w:rFonts w:hint="eastAsia" w:ascii="宋体" w:hAnsi="宋体"/>
          <w:szCs w:val="21"/>
        </w:rPr>
      </w:pPr>
      <w:r>
        <w:rPr>
          <w:rFonts w:hint="eastAsia" w:ascii="宋体" w:hAnsi="宋体"/>
          <w:szCs w:val="21"/>
        </w:rPr>
        <w:t>2、落实政府采购政策需满足的资格要求：</w:t>
      </w:r>
    </w:p>
    <w:p w14:paraId="6C2D9DB5">
      <w:pPr>
        <w:adjustRightInd w:val="0"/>
        <w:snapToGrid w:val="0"/>
        <w:spacing w:before="50" w:line="360" w:lineRule="auto"/>
        <w:rPr>
          <w:rFonts w:hint="eastAsia" w:ascii="宋体" w:hAnsi="宋体"/>
          <w:szCs w:val="21"/>
        </w:rPr>
      </w:pPr>
      <w:r>
        <w:rPr>
          <w:rFonts w:hint="eastAsia" w:ascii="宋体" w:hAnsi="宋体"/>
          <w:szCs w:val="21"/>
        </w:rPr>
        <w:sym w:font="Wingdings" w:char="00FE"/>
      </w:r>
      <w:r>
        <w:rPr>
          <w:rFonts w:hint="eastAsia" w:ascii="宋体" w:hAnsi="宋体"/>
          <w:szCs w:val="21"/>
        </w:rPr>
        <w:t>非专门面向 </w:t>
      </w:r>
    </w:p>
    <w:p w14:paraId="21A68707">
      <w:pPr>
        <w:adjustRightInd w:val="0"/>
        <w:snapToGrid w:val="0"/>
        <w:spacing w:before="50" w:line="360" w:lineRule="auto"/>
        <w:rPr>
          <w:rFonts w:hint="eastAsia" w:ascii="宋体" w:hAnsi="宋体"/>
          <w:szCs w:val="21"/>
        </w:rPr>
      </w:pPr>
      <w:r>
        <w:rPr>
          <w:rFonts w:hint="eastAsia" w:ascii="宋体" w:hAnsi="宋体"/>
          <w:szCs w:val="21"/>
        </w:rPr>
        <w:sym w:font="Wingdings" w:char="00A8"/>
      </w:r>
      <w:r>
        <w:rPr>
          <w:rFonts w:hint="eastAsia" w:ascii="宋体" w:hAnsi="宋体"/>
          <w:szCs w:val="21"/>
        </w:rPr>
        <w:t>专门面向： </w:t>
      </w:r>
      <w:r>
        <w:rPr>
          <w:rFonts w:hint="eastAsia" w:ascii="宋体" w:hAnsi="宋体"/>
          <w:szCs w:val="21"/>
        </w:rPr>
        <w:sym w:font="Wingdings" w:char="00A8"/>
      </w:r>
      <w:r>
        <w:rPr>
          <w:rFonts w:hint="eastAsia" w:ascii="宋体" w:hAnsi="宋体"/>
          <w:szCs w:val="21"/>
        </w:rPr>
        <w:t>中小企业 </w:t>
      </w:r>
      <w:r>
        <w:rPr>
          <w:rFonts w:hint="eastAsia" w:ascii="宋体" w:hAnsi="宋体"/>
          <w:szCs w:val="21"/>
        </w:rPr>
        <w:sym w:font="Wingdings" w:char="00A8"/>
      </w:r>
      <w:r>
        <w:rPr>
          <w:rFonts w:hint="eastAsia" w:ascii="宋体" w:hAnsi="宋体"/>
          <w:szCs w:val="21"/>
        </w:rPr>
        <w:t>小微企业 </w:t>
      </w:r>
      <w:r>
        <w:rPr>
          <w:rFonts w:hint="eastAsia" w:ascii="宋体" w:hAnsi="宋体"/>
          <w:szCs w:val="21"/>
        </w:rPr>
        <w:sym w:font="Wingdings" w:char="00A8"/>
      </w:r>
      <w:r>
        <w:rPr>
          <w:rFonts w:hint="eastAsia" w:ascii="宋体" w:hAnsi="宋体"/>
          <w:szCs w:val="21"/>
        </w:rPr>
        <w:t>监狱企业 </w:t>
      </w:r>
      <w:r>
        <w:rPr>
          <w:rFonts w:hint="eastAsia" w:ascii="宋体" w:hAnsi="宋体"/>
          <w:szCs w:val="21"/>
        </w:rPr>
        <w:sym w:font="Wingdings" w:char="00A8"/>
      </w:r>
      <w:r>
        <w:rPr>
          <w:rFonts w:hint="eastAsia" w:ascii="宋体" w:hAnsi="宋体"/>
          <w:szCs w:val="21"/>
        </w:rPr>
        <w:t>福利性单位</w:t>
      </w:r>
    </w:p>
    <w:p w14:paraId="2E9C1249">
      <w:pPr>
        <w:adjustRightInd w:val="0"/>
        <w:snapToGrid w:val="0"/>
        <w:spacing w:before="50" w:line="360" w:lineRule="auto"/>
        <w:rPr>
          <w:rFonts w:hint="eastAsia" w:ascii="宋体" w:hAnsi="宋体"/>
          <w:szCs w:val="21"/>
        </w:rPr>
      </w:pPr>
      <w:r>
        <w:rPr>
          <w:rFonts w:hint="eastAsia" w:ascii="宋体" w:hAnsi="宋体"/>
          <w:szCs w:val="21"/>
        </w:rPr>
        <w:sym w:font="Wingdings" w:char="00A8"/>
      </w:r>
      <w:r>
        <w:rPr>
          <w:rFonts w:hint="eastAsia" w:ascii="宋体" w:hAnsi="宋体"/>
          <w:szCs w:val="21"/>
        </w:rPr>
        <w:t>强制分包：大型企业应将采购份额的 / %分包给中小企业。</w:t>
      </w:r>
    </w:p>
    <w:p w14:paraId="3228AD38">
      <w:pPr>
        <w:adjustRightInd w:val="0"/>
        <w:snapToGrid w:val="0"/>
        <w:spacing w:before="50" w:line="360" w:lineRule="auto"/>
        <w:rPr>
          <w:rFonts w:hint="eastAsia" w:ascii="宋体" w:hAnsi="宋体"/>
          <w:szCs w:val="21"/>
        </w:rPr>
      </w:pPr>
      <w:r>
        <w:rPr>
          <w:rFonts w:hint="eastAsia" w:ascii="宋体" w:hAnsi="宋体"/>
          <w:szCs w:val="21"/>
        </w:rPr>
        <w:t>3、供应商特定资格条件：无</w:t>
      </w:r>
    </w:p>
    <w:p w14:paraId="13BE220F">
      <w:pPr>
        <w:adjustRightInd w:val="0"/>
        <w:snapToGrid w:val="0"/>
        <w:spacing w:before="50" w:line="360" w:lineRule="auto"/>
        <w:rPr>
          <w:rFonts w:hint="eastAsia" w:ascii="宋体" w:hAnsi="宋体"/>
          <w:szCs w:val="21"/>
        </w:rPr>
      </w:pPr>
      <w:r>
        <w:rPr>
          <w:rFonts w:hint="eastAsia" w:ascii="宋体" w:hAnsi="宋体"/>
          <w:szCs w:val="21"/>
        </w:rPr>
        <w:t>4、单位负责人为同一人或者存在直接控股、管理关系的不同投标人，不得参加同一合同项下的政府采购活动。</w:t>
      </w:r>
    </w:p>
    <w:p w14:paraId="0A9DCC76">
      <w:pPr>
        <w:adjustRightInd w:val="0"/>
        <w:snapToGrid w:val="0"/>
        <w:spacing w:before="50" w:line="360" w:lineRule="auto"/>
        <w:rPr>
          <w:rFonts w:hint="eastAsia" w:ascii="宋体" w:hAnsi="宋体"/>
          <w:szCs w:val="21"/>
        </w:rPr>
      </w:pPr>
      <w:r>
        <w:rPr>
          <w:rFonts w:hint="eastAsia" w:ascii="宋体" w:hAnsi="宋体"/>
          <w:szCs w:val="21"/>
        </w:rPr>
        <w:t>5、为本采购项目提供整体设计、规范编制或者项目管理、监理、检测等服务的，不得再参加此项目的其他采购活动。</w:t>
      </w:r>
    </w:p>
    <w:p w14:paraId="7B69D192">
      <w:pPr>
        <w:adjustRightInd w:val="0"/>
        <w:snapToGrid w:val="0"/>
        <w:spacing w:before="50" w:line="360" w:lineRule="auto"/>
        <w:rPr>
          <w:rFonts w:hint="eastAsia" w:ascii="宋体" w:hAnsi="宋体"/>
          <w:szCs w:val="21"/>
        </w:rPr>
      </w:pPr>
      <w:r>
        <w:rPr>
          <w:rFonts w:hint="eastAsia" w:ascii="宋体" w:hAnsi="宋体"/>
          <w:szCs w:val="21"/>
        </w:rPr>
        <w:t>6、列入失信被执行人、重大税收违法失信主体名单、政府采购严重违法失信行为记录名单的，拒绝其参与政府采购活动。</w:t>
      </w:r>
    </w:p>
    <w:p w14:paraId="2D12DAD3">
      <w:pPr>
        <w:adjustRightInd w:val="0"/>
        <w:snapToGrid w:val="0"/>
        <w:spacing w:before="50" w:line="360" w:lineRule="auto"/>
        <w:rPr>
          <w:rFonts w:hint="eastAsia" w:ascii="宋体" w:hAnsi="宋体"/>
          <w:szCs w:val="21"/>
        </w:rPr>
      </w:pPr>
      <w:r>
        <w:rPr>
          <w:rFonts w:hint="eastAsia" w:ascii="宋体" w:hAnsi="宋体"/>
          <w:szCs w:val="21"/>
        </w:rPr>
        <w:t>7、联合体投标。本次招标不接受联合体投标。</w:t>
      </w:r>
    </w:p>
    <w:p w14:paraId="3C3A5C0F">
      <w:pPr>
        <w:adjustRightInd w:val="0"/>
        <w:snapToGrid w:val="0"/>
        <w:spacing w:before="50" w:line="360" w:lineRule="auto"/>
        <w:rPr>
          <w:rFonts w:hint="eastAsia" w:ascii="宋体" w:hAnsi="宋体"/>
          <w:szCs w:val="21"/>
        </w:rPr>
      </w:pPr>
      <w:r>
        <w:rPr>
          <w:rFonts w:hint="eastAsia" w:ascii="宋体" w:hAnsi="宋体"/>
          <w:szCs w:val="21"/>
        </w:rPr>
        <w:t>五、获取招标文件的时间、期限、地点及方式</w:t>
      </w:r>
    </w:p>
    <w:p w14:paraId="36F7998F">
      <w:pPr>
        <w:widowControl/>
        <w:spacing w:line="360" w:lineRule="auto"/>
        <w:ind w:right="55" w:rightChars="26" w:firstLine="480"/>
        <w:jc w:val="left"/>
        <w:rPr>
          <w:rFonts w:ascii="宋体" w:hAnsi="宋体"/>
          <w:szCs w:val="21"/>
        </w:rPr>
      </w:pPr>
      <w:r>
        <w:rPr>
          <w:rFonts w:hint="eastAsia" w:ascii="宋体" w:hAnsi="宋体"/>
          <w:szCs w:val="21"/>
        </w:rPr>
        <w:t>有意参加投标者，于本项目</w:t>
      </w:r>
      <w:r>
        <w:rPr>
          <w:rFonts w:ascii="宋体" w:hAnsi="宋体"/>
          <w:szCs w:val="21"/>
        </w:rPr>
        <w:t>公告之日起</w:t>
      </w:r>
      <w:r>
        <w:rPr>
          <w:rFonts w:hint="eastAsia"/>
          <w:lang w:val="en-US" w:eastAsia="zh-CN"/>
        </w:rPr>
        <w:t>5个工作日内</w:t>
      </w:r>
      <w:r>
        <w:rPr>
          <w:rFonts w:hint="eastAsia" w:ascii="宋体" w:hAnsi="宋体"/>
          <w:szCs w:val="21"/>
        </w:rPr>
        <w:t>，在</w:t>
      </w:r>
      <w:r>
        <w:rPr>
          <w:rFonts w:hint="eastAsia" w:ascii="宋体" w:hAnsi="宋体"/>
          <w:szCs w:val="21"/>
          <w:u w:val="single"/>
        </w:rPr>
        <w:t>娄底市公共资源交易网</w:t>
      </w:r>
      <w:r>
        <w:rPr>
          <w:rFonts w:hint="eastAsia" w:ascii="宋体" w:hAnsi="宋体"/>
          <w:szCs w:val="21"/>
          <w:u w:val="single"/>
          <w:lang w:val="en-US" w:eastAsia="zh-CN"/>
        </w:rPr>
        <w:t>或</w:t>
      </w:r>
      <w:r>
        <w:rPr>
          <w:rFonts w:ascii="宋体" w:hAnsi="宋体"/>
          <w:szCs w:val="21"/>
          <w:u w:val="single"/>
        </w:rPr>
        <w:t>湖南省政府采购网</w:t>
      </w:r>
      <w:r>
        <w:rPr>
          <w:rFonts w:hint="eastAsia" w:ascii="宋体" w:hAnsi="宋体"/>
          <w:szCs w:val="21"/>
          <w:u w:val="single"/>
        </w:rPr>
        <w:t>（</w:t>
      </w:r>
      <w:r>
        <w:rPr>
          <w:rFonts w:ascii="宋体" w:hAnsi="宋体"/>
          <w:szCs w:val="21"/>
        </w:rPr>
        <w:fldChar w:fldCharType="begin"/>
      </w:r>
      <w:r>
        <w:rPr>
          <w:rFonts w:ascii="宋体" w:hAnsi="宋体"/>
          <w:szCs w:val="21"/>
        </w:rPr>
        <w:instrText xml:space="preserve"> HYPERLINK "http://ldggzy.hnloudi.gov.cn/、http://www.ccgp-hunan.gov.cn/" </w:instrText>
      </w:r>
      <w:r>
        <w:rPr>
          <w:rFonts w:ascii="宋体" w:hAnsi="宋体"/>
          <w:szCs w:val="21"/>
        </w:rPr>
        <w:fldChar w:fldCharType="separate"/>
      </w:r>
      <w:r>
        <w:rPr>
          <w:rStyle w:val="36"/>
          <w:rFonts w:ascii="宋体" w:hAnsi="宋体"/>
          <w:szCs w:val="21"/>
        </w:rPr>
        <w:t>http://ldggzy.hnloudi.gov.cn/、http://www.ccgp-hunan.gov.cn/</w:t>
      </w:r>
      <w:r>
        <w:rPr>
          <w:rFonts w:ascii="宋体" w:hAnsi="宋体"/>
          <w:szCs w:val="21"/>
        </w:rPr>
        <w:fldChar w:fldCharType="end"/>
      </w:r>
      <w:r>
        <w:rPr>
          <w:rFonts w:hint="eastAsia" w:ascii="宋体" w:hAnsi="宋体"/>
          <w:szCs w:val="21"/>
        </w:rPr>
        <w:t>）</w:t>
      </w:r>
      <w:r>
        <w:rPr>
          <w:rFonts w:hint="eastAsia"/>
          <w:szCs w:val="21"/>
        </w:rPr>
        <w:t>获取招标文件</w:t>
      </w:r>
      <w:r>
        <w:rPr>
          <w:rFonts w:hint="eastAsia" w:ascii="宋体" w:hAnsi="宋体"/>
          <w:szCs w:val="21"/>
        </w:rPr>
        <w:t>。</w:t>
      </w:r>
    </w:p>
    <w:p w14:paraId="11EE04E2">
      <w:pPr>
        <w:widowControl/>
        <w:spacing w:line="360" w:lineRule="auto"/>
        <w:ind w:right="55" w:rightChars="26" w:firstLine="480"/>
        <w:jc w:val="left"/>
        <w:rPr>
          <w:rFonts w:ascii="宋体" w:hAnsi="宋体"/>
          <w:szCs w:val="21"/>
        </w:rPr>
      </w:pPr>
      <w:r>
        <w:rPr>
          <w:rFonts w:hint="eastAsia" w:ascii="宋体" w:hAnsi="宋体"/>
          <w:iCs/>
          <w:szCs w:val="21"/>
        </w:rPr>
        <w:sym w:font="Wingdings" w:char="00FE"/>
      </w:r>
      <w:r>
        <w:rPr>
          <w:rFonts w:hint="eastAsia" w:ascii="宋体" w:hAnsi="宋体"/>
          <w:szCs w:val="21"/>
        </w:rPr>
        <w:t>本项目实行电子交易，有意参加投标者，请</w:t>
      </w:r>
      <w:r>
        <w:rPr>
          <w:rFonts w:hint="eastAsia"/>
          <w:szCs w:val="21"/>
        </w:rPr>
        <w:t>用湖南CA证书登陆</w:t>
      </w:r>
      <w:r>
        <w:rPr>
          <w:rFonts w:hint="eastAsia" w:ascii="宋体" w:hAnsi="宋体"/>
          <w:szCs w:val="21"/>
          <w:u w:val="single"/>
        </w:rPr>
        <w:t>娄底市公共资源交易网</w:t>
      </w:r>
      <w:r>
        <w:rPr>
          <w:rFonts w:ascii="宋体" w:hAnsi="宋体"/>
          <w:szCs w:val="21"/>
        </w:rPr>
        <w:fldChar w:fldCharType="begin"/>
      </w:r>
      <w:r>
        <w:rPr>
          <w:rFonts w:ascii="宋体" w:hAnsi="宋体"/>
          <w:szCs w:val="21"/>
        </w:rPr>
        <w:instrText xml:space="preserve"> HYPERLINK "http://ldggzy.hnloudi.gov.cn/" </w:instrText>
      </w:r>
      <w:r>
        <w:rPr>
          <w:rFonts w:ascii="宋体" w:hAnsi="宋体"/>
          <w:szCs w:val="21"/>
        </w:rPr>
        <w:fldChar w:fldCharType="separate"/>
      </w:r>
      <w:r>
        <w:rPr>
          <w:rStyle w:val="36"/>
          <w:rFonts w:ascii="宋体" w:hAnsi="宋体"/>
          <w:szCs w:val="21"/>
        </w:rPr>
        <w:t>http://ldggzy.hnloudi.gov.cn/</w:t>
      </w:r>
      <w:r>
        <w:rPr>
          <w:rFonts w:ascii="宋体" w:hAnsi="宋体"/>
          <w:szCs w:val="21"/>
        </w:rPr>
        <w:fldChar w:fldCharType="end"/>
      </w:r>
      <w:r>
        <w:rPr>
          <w:rFonts w:hint="eastAsia"/>
          <w:szCs w:val="21"/>
        </w:rPr>
        <w:t>选择进入“公共资源交易平台”，获取招标文件</w:t>
      </w:r>
      <w:r>
        <w:rPr>
          <w:rFonts w:hint="eastAsia" w:ascii="宋体" w:hAnsi="宋体"/>
          <w:szCs w:val="21"/>
        </w:rPr>
        <w:t>获取电子版招标文件。</w:t>
      </w:r>
    </w:p>
    <w:p w14:paraId="742425D4">
      <w:pPr>
        <w:adjustRightInd w:val="0"/>
        <w:snapToGrid w:val="0"/>
        <w:spacing w:before="50" w:line="360" w:lineRule="auto"/>
        <w:rPr>
          <w:rFonts w:hint="eastAsia" w:ascii="宋体" w:hAnsi="宋体"/>
          <w:szCs w:val="21"/>
        </w:rPr>
      </w:pPr>
      <w:r>
        <w:rPr>
          <w:rFonts w:hint="eastAsia" w:ascii="宋体" w:hAnsi="宋体"/>
          <w:szCs w:val="21"/>
        </w:rPr>
        <w:sym w:font="Wingdings" w:char="00A8"/>
      </w:r>
      <w:r>
        <w:rPr>
          <w:rFonts w:hint="eastAsia" w:ascii="宋体" w:hAnsi="宋体"/>
          <w:szCs w:val="21"/>
        </w:rPr>
        <w:t>本项目进行资格预审，招标文件将向所有通过资格预审的供应商提供。</w:t>
      </w:r>
    </w:p>
    <w:p w14:paraId="70DE40AB">
      <w:pPr>
        <w:adjustRightInd w:val="0"/>
        <w:snapToGrid w:val="0"/>
        <w:spacing w:before="50" w:line="360" w:lineRule="auto"/>
        <w:rPr>
          <w:rFonts w:hint="eastAsia" w:ascii="宋体" w:hAnsi="宋体"/>
          <w:szCs w:val="21"/>
        </w:rPr>
      </w:pPr>
      <w:r>
        <w:rPr>
          <w:rFonts w:hint="eastAsia" w:ascii="宋体" w:hAnsi="宋体"/>
          <w:b/>
          <w:bCs/>
          <w:szCs w:val="21"/>
        </w:rPr>
        <w:t>六、投标截止时间、开标时间及地点</w:t>
      </w:r>
    </w:p>
    <w:p w14:paraId="2E4E73C8">
      <w:pPr>
        <w:adjustRightInd w:val="0"/>
        <w:snapToGrid w:val="0"/>
        <w:spacing w:before="50" w:line="360" w:lineRule="auto"/>
        <w:rPr>
          <w:rFonts w:hint="eastAsia" w:ascii="宋体" w:hAnsi="宋体"/>
          <w:b w:val="0"/>
          <w:bCs w:val="0"/>
          <w:szCs w:val="21"/>
          <w:lang w:val="en-US" w:eastAsia="zh-CN"/>
        </w:rPr>
      </w:pPr>
      <w:r>
        <w:rPr>
          <w:rFonts w:hint="eastAsia" w:ascii="宋体" w:hAnsi="宋体"/>
          <w:b w:val="0"/>
          <w:bCs w:val="0"/>
          <w:szCs w:val="21"/>
          <w:lang w:val="en-US" w:eastAsia="zh-CN"/>
        </w:rPr>
        <w:t>1、提交响应文件的截止时间： 2026 年</w:t>
      </w:r>
      <w:r>
        <w:rPr>
          <w:rFonts w:hint="eastAsia" w:ascii="宋体" w:hAnsi="宋体"/>
          <w:b w:val="0"/>
          <w:bCs w:val="0"/>
          <w:szCs w:val="21"/>
          <w:u w:val="single"/>
          <w:lang w:val="en-US" w:eastAsia="zh-CN"/>
        </w:rPr>
        <w:t xml:space="preserve"> 7</w:t>
      </w:r>
      <w:r>
        <w:rPr>
          <w:rFonts w:hint="eastAsia" w:ascii="宋体" w:hAnsi="宋体"/>
          <w:b w:val="0"/>
          <w:bCs w:val="0"/>
          <w:szCs w:val="21"/>
          <w:lang w:val="en-US" w:eastAsia="zh-CN"/>
        </w:rPr>
        <w:t>月</w:t>
      </w:r>
      <w:r>
        <w:rPr>
          <w:rFonts w:hint="eastAsia" w:ascii="宋体" w:hAnsi="宋体"/>
          <w:b w:val="0"/>
          <w:bCs w:val="0"/>
          <w:szCs w:val="21"/>
          <w:u w:val="single"/>
          <w:lang w:val="en-US" w:eastAsia="zh-CN"/>
        </w:rPr>
        <w:t xml:space="preserve"> </w:t>
      </w:r>
      <w:bookmarkStart w:id="192" w:name="_GoBack"/>
      <w:bookmarkEnd w:id="192"/>
      <w:r>
        <w:rPr>
          <w:rFonts w:hint="eastAsia" w:ascii="宋体" w:hAnsi="宋体"/>
          <w:b w:val="0"/>
          <w:bCs w:val="0"/>
          <w:szCs w:val="21"/>
          <w:u w:val="single"/>
          <w:lang w:val="en-US" w:eastAsia="zh-CN"/>
        </w:rPr>
        <w:t xml:space="preserve">29 </w:t>
      </w:r>
      <w:r>
        <w:rPr>
          <w:rFonts w:hint="eastAsia" w:ascii="宋体" w:hAnsi="宋体"/>
          <w:b w:val="0"/>
          <w:bCs w:val="0"/>
          <w:szCs w:val="21"/>
          <w:lang w:val="en-US" w:eastAsia="zh-CN"/>
        </w:rPr>
        <w:t>日</w:t>
      </w:r>
      <w:r>
        <w:rPr>
          <w:rFonts w:hint="eastAsia" w:ascii="宋体" w:hAnsi="宋体"/>
          <w:b w:val="0"/>
          <w:bCs w:val="0"/>
          <w:szCs w:val="21"/>
          <w:u w:val="single"/>
          <w:lang w:val="en-US" w:eastAsia="zh-CN"/>
        </w:rPr>
        <w:t xml:space="preserve"> 9 </w:t>
      </w:r>
      <w:r>
        <w:rPr>
          <w:rFonts w:hint="eastAsia" w:ascii="宋体" w:hAnsi="宋体"/>
          <w:b w:val="0"/>
          <w:bCs w:val="0"/>
          <w:szCs w:val="21"/>
          <w:lang w:val="en-US" w:eastAsia="zh-CN"/>
        </w:rPr>
        <w:t>点</w:t>
      </w:r>
      <w:r>
        <w:rPr>
          <w:rFonts w:hint="eastAsia" w:ascii="宋体" w:hAnsi="宋体"/>
          <w:b w:val="0"/>
          <w:bCs w:val="0"/>
          <w:szCs w:val="21"/>
          <w:u w:val="single"/>
          <w:lang w:val="en-US" w:eastAsia="zh-CN"/>
        </w:rPr>
        <w:t xml:space="preserve"> 00</w:t>
      </w:r>
      <w:r>
        <w:rPr>
          <w:rFonts w:hint="eastAsia" w:ascii="宋体" w:hAnsi="宋体"/>
          <w:b w:val="0"/>
          <w:bCs w:val="0"/>
          <w:szCs w:val="21"/>
          <w:lang w:val="en-US" w:eastAsia="zh-CN"/>
        </w:rPr>
        <w:t>分（北京时间）。</w:t>
      </w:r>
    </w:p>
    <w:p w14:paraId="213A60DF">
      <w:pPr>
        <w:adjustRightInd w:val="0"/>
        <w:snapToGrid w:val="0"/>
        <w:spacing w:before="50" w:line="360" w:lineRule="auto"/>
        <w:rPr>
          <w:rFonts w:hint="eastAsia" w:ascii="宋体" w:hAnsi="宋体"/>
          <w:b w:val="0"/>
          <w:bCs w:val="0"/>
          <w:szCs w:val="21"/>
          <w:lang w:val="en-US" w:eastAsia="zh-CN"/>
        </w:rPr>
      </w:pPr>
      <w:r>
        <w:rPr>
          <w:rFonts w:hint="eastAsia" w:ascii="宋体" w:hAnsi="宋体"/>
          <w:b w:val="0"/>
          <w:bCs w:val="0"/>
          <w:szCs w:val="21"/>
          <w:lang w:val="en-US" w:eastAsia="zh-CN"/>
        </w:rPr>
        <w:t>2、提交响应文件地点：娄底市公共资源交易中心（</w:t>
      </w:r>
      <w:r>
        <w:rPr>
          <w:rFonts w:hint="eastAsia" w:ascii="宋体" w:hAnsi="宋体"/>
          <w:b w:val="0"/>
          <w:bCs w:val="0"/>
          <w:szCs w:val="21"/>
          <w:lang w:val="en-US" w:eastAsia="zh-CN"/>
        </w:rPr>
        <w:fldChar w:fldCharType="begin"/>
      </w:r>
      <w:r>
        <w:rPr>
          <w:rFonts w:hint="eastAsia" w:ascii="宋体" w:hAnsi="宋体"/>
          <w:b w:val="0"/>
          <w:bCs w:val="0"/>
          <w:szCs w:val="21"/>
          <w:lang w:val="en-US" w:eastAsia="zh-CN"/>
        </w:rPr>
        <w:instrText xml:space="preserve"> HYPERLINK "http://ldggzy.hnloudi.gov.cn/" </w:instrText>
      </w:r>
      <w:r>
        <w:rPr>
          <w:rFonts w:hint="eastAsia" w:ascii="宋体" w:hAnsi="宋体"/>
          <w:b w:val="0"/>
          <w:bCs w:val="0"/>
          <w:szCs w:val="21"/>
          <w:lang w:val="en-US" w:eastAsia="zh-CN"/>
        </w:rPr>
        <w:fldChar w:fldCharType="separate"/>
      </w:r>
      <w:r>
        <w:rPr>
          <w:rFonts w:hint="eastAsia" w:ascii="宋体" w:hAnsi="宋体"/>
          <w:b w:val="0"/>
          <w:bCs w:val="0"/>
          <w:szCs w:val="21"/>
          <w:lang w:val="en-US" w:eastAsia="zh-CN"/>
        </w:rPr>
        <w:t>http：//ldggzy.hnloudi.gov.cn/</w:t>
      </w:r>
      <w:r>
        <w:rPr>
          <w:rFonts w:hint="eastAsia" w:ascii="宋体" w:hAnsi="宋体"/>
          <w:b w:val="0"/>
          <w:bCs w:val="0"/>
          <w:szCs w:val="21"/>
          <w:lang w:val="en-US" w:eastAsia="zh-CN"/>
        </w:rPr>
        <w:fldChar w:fldCharType="end"/>
      </w:r>
      <w:r>
        <w:rPr>
          <w:rFonts w:hint="eastAsia" w:ascii="宋体" w:hAnsi="宋体"/>
          <w:b w:val="0"/>
          <w:bCs w:val="0"/>
          <w:szCs w:val="21"/>
          <w:lang w:val="en-US" w:eastAsia="zh-CN"/>
        </w:rPr>
        <w:t>） 。</w:t>
      </w:r>
    </w:p>
    <w:p w14:paraId="15A82A5A">
      <w:pPr>
        <w:adjustRightInd w:val="0"/>
        <w:snapToGrid w:val="0"/>
        <w:spacing w:before="50" w:line="360" w:lineRule="auto"/>
        <w:rPr>
          <w:rFonts w:hint="eastAsia" w:ascii="宋体" w:hAnsi="宋体"/>
          <w:b w:val="0"/>
          <w:bCs w:val="0"/>
          <w:szCs w:val="21"/>
          <w:lang w:val="en-US" w:eastAsia="zh-CN"/>
        </w:rPr>
      </w:pPr>
      <w:r>
        <w:rPr>
          <w:rFonts w:hint="eastAsia" w:ascii="宋体" w:hAnsi="宋体"/>
          <w:b w:val="0"/>
          <w:bCs w:val="0"/>
          <w:szCs w:val="21"/>
          <w:lang w:val="en-US" w:eastAsia="zh-CN"/>
        </w:rPr>
        <w:t>3、开标时间： 2026 年</w:t>
      </w:r>
      <w:r>
        <w:rPr>
          <w:rFonts w:hint="eastAsia" w:ascii="宋体" w:hAnsi="宋体"/>
          <w:b w:val="0"/>
          <w:bCs w:val="0"/>
          <w:szCs w:val="21"/>
          <w:u w:val="single"/>
          <w:lang w:val="en-US" w:eastAsia="zh-CN"/>
        </w:rPr>
        <w:t xml:space="preserve"> 7 </w:t>
      </w:r>
      <w:r>
        <w:rPr>
          <w:rFonts w:hint="eastAsia" w:ascii="宋体" w:hAnsi="宋体"/>
          <w:b w:val="0"/>
          <w:bCs w:val="0"/>
          <w:szCs w:val="21"/>
          <w:lang w:val="en-US" w:eastAsia="zh-CN"/>
        </w:rPr>
        <w:t>月</w:t>
      </w:r>
      <w:r>
        <w:rPr>
          <w:rFonts w:hint="eastAsia" w:ascii="宋体" w:hAnsi="宋体"/>
          <w:b w:val="0"/>
          <w:bCs w:val="0"/>
          <w:szCs w:val="21"/>
          <w:u w:val="single"/>
          <w:lang w:val="en-US" w:eastAsia="zh-CN"/>
        </w:rPr>
        <w:t xml:space="preserve"> 29  </w:t>
      </w:r>
      <w:r>
        <w:rPr>
          <w:rFonts w:hint="eastAsia" w:ascii="宋体" w:hAnsi="宋体"/>
          <w:b w:val="0"/>
          <w:bCs w:val="0"/>
          <w:szCs w:val="21"/>
          <w:lang w:val="en-US" w:eastAsia="zh-CN"/>
        </w:rPr>
        <w:t>日</w:t>
      </w:r>
      <w:r>
        <w:rPr>
          <w:rFonts w:hint="eastAsia" w:ascii="宋体" w:hAnsi="宋体"/>
          <w:b w:val="0"/>
          <w:bCs w:val="0"/>
          <w:szCs w:val="21"/>
          <w:u w:val="single"/>
          <w:lang w:val="en-US" w:eastAsia="zh-CN"/>
        </w:rPr>
        <w:t xml:space="preserve">  9 </w:t>
      </w:r>
      <w:r>
        <w:rPr>
          <w:rFonts w:hint="eastAsia" w:ascii="宋体" w:hAnsi="宋体"/>
          <w:b w:val="0"/>
          <w:bCs w:val="0"/>
          <w:szCs w:val="21"/>
          <w:lang w:val="en-US" w:eastAsia="zh-CN"/>
        </w:rPr>
        <w:t>点</w:t>
      </w:r>
      <w:r>
        <w:rPr>
          <w:rFonts w:hint="eastAsia" w:ascii="宋体" w:hAnsi="宋体"/>
          <w:b w:val="0"/>
          <w:bCs w:val="0"/>
          <w:szCs w:val="21"/>
          <w:u w:val="single"/>
          <w:lang w:val="en-US" w:eastAsia="zh-CN"/>
        </w:rPr>
        <w:t xml:space="preserve"> 00 </w:t>
      </w:r>
      <w:r>
        <w:rPr>
          <w:rFonts w:hint="eastAsia" w:ascii="宋体" w:hAnsi="宋体"/>
          <w:b w:val="0"/>
          <w:bCs w:val="0"/>
          <w:szCs w:val="21"/>
          <w:lang w:val="en-US" w:eastAsia="zh-CN"/>
        </w:rPr>
        <w:t>分（北京时间）。</w:t>
      </w:r>
    </w:p>
    <w:p w14:paraId="2E25688C">
      <w:pPr>
        <w:adjustRightInd w:val="0"/>
        <w:snapToGrid w:val="0"/>
        <w:spacing w:before="50" w:line="360" w:lineRule="auto"/>
        <w:rPr>
          <w:rFonts w:hint="eastAsia" w:ascii="宋体" w:hAnsi="宋体"/>
          <w:b w:val="0"/>
          <w:bCs w:val="0"/>
          <w:szCs w:val="21"/>
          <w:lang w:val="en-US" w:eastAsia="zh-CN"/>
        </w:rPr>
      </w:pPr>
      <w:r>
        <w:rPr>
          <w:rFonts w:hint="eastAsia" w:ascii="宋体" w:hAnsi="宋体"/>
          <w:b w:val="0"/>
          <w:bCs w:val="0"/>
          <w:szCs w:val="21"/>
          <w:lang w:val="en-US" w:eastAsia="zh-CN"/>
        </w:rPr>
        <w:t>4、开标地点：娄底市公共资源交易中心（</w:t>
      </w:r>
      <w:r>
        <w:rPr>
          <w:rFonts w:hint="eastAsia" w:ascii="宋体" w:hAnsi="宋体"/>
          <w:b w:val="0"/>
          <w:bCs w:val="0"/>
          <w:szCs w:val="21"/>
          <w:lang w:val="en-US" w:eastAsia="zh-CN"/>
        </w:rPr>
        <w:fldChar w:fldCharType="begin"/>
      </w:r>
      <w:r>
        <w:rPr>
          <w:rFonts w:hint="eastAsia" w:ascii="宋体" w:hAnsi="宋体"/>
          <w:b w:val="0"/>
          <w:bCs w:val="0"/>
          <w:szCs w:val="21"/>
          <w:lang w:val="en-US" w:eastAsia="zh-CN"/>
        </w:rPr>
        <w:instrText xml:space="preserve"> HYPERLINK "http://ldggzy.hnloudi.gov.cn/" </w:instrText>
      </w:r>
      <w:r>
        <w:rPr>
          <w:rFonts w:hint="eastAsia" w:ascii="宋体" w:hAnsi="宋体"/>
          <w:b w:val="0"/>
          <w:bCs w:val="0"/>
          <w:szCs w:val="21"/>
          <w:lang w:val="en-US" w:eastAsia="zh-CN"/>
        </w:rPr>
        <w:fldChar w:fldCharType="separate"/>
      </w:r>
      <w:r>
        <w:rPr>
          <w:rFonts w:hint="eastAsia" w:ascii="宋体" w:hAnsi="宋体"/>
          <w:b w:val="0"/>
          <w:bCs w:val="0"/>
          <w:szCs w:val="21"/>
          <w:lang w:val="en-US" w:eastAsia="zh-CN"/>
        </w:rPr>
        <w:t>http：//ldggzy.hnloudi.gov.cn/</w:t>
      </w:r>
      <w:r>
        <w:rPr>
          <w:rFonts w:hint="eastAsia" w:ascii="宋体" w:hAnsi="宋体"/>
          <w:b w:val="0"/>
          <w:bCs w:val="0"/>
          <w:szCs w:val="21"/>
          <w:lang w:val="en-US" w:eastAsia="zh-CN"/>
        </w:rPr>
        <w:fldChar w:fldCharType="end"/>
      </w:r>
      <w:r>
        <w:rPr>
          <w:rFonts w:hint="eastAsia" w:ascii="宋体" w:hAnsi="宋体"/>
          <w:b w:val="0"/>
          <w:bCs w:val="0"/>
          <w:szCs w:val="21"/>
          <w:lang w:val="en-US" w:eastAsia="zh-CN"/>
        </w:rPr>
        <w:t>） 。</w:t>
      </w:r>
    </w:p>
    <w:p w14:paraId="7B12657E">
      <w:pPr>
        <w:adjustRightInd w:val="0"/>
        <w:snapToGrid w:val="0"/>
        <w:spacing w:before="50" w:line="360" w:lineRule="auto"/>
        <w:rPr>
          <w:rFonts w:hint="eastAsia" w:ascii="宋体" w:hAnsi="宋体"/>
          <w:b w:val="0"/>
          <w:bCs w:val="0"/>
          <w:szCs w:val="21"/>
          <w:lang w:val="en-US" w:eastAsia="zh-CN"/>
        </w:rPr>
      </w:pPr>
      <w:r>
        <w:rPr>
          <w:rFonts w:hint="eastAsia" w:ascii="宋体" w:hAnsi="宋体"/>
          <w:b w:val="0"/>
          <w:bCs w:val="0"/>
          <w:szCs w:val="21"/>
          <w:lang w:val="en-US" w:eastAsia="zh-CN"/>
        </w:rPr>
        <w:t>5、电子响应文件解密截止时间 2026年</w:t>
      </w:r>
      <w:r>
        <w:rPr>
          <w:rFonts w:hint="eastAsia" w:ascii="宋体" w:hAnsi="宋体"/>
          <w:b w:val="0"/>
          <w:bCs w:val="0"/>
          <w:szCs w:val="21"/>
          <w:u w:val="single"/>
          <w:lang w:val="en-US" w:eastAsia="zh-CN"/>
        </w:rPr>
        <w:t xml:space="preserve"> 7</w:t>
      </w:r>
      <w:r>
        <w:rPr>
          <w:rFonts w:hint="eastAsia" w:ascii="宋体" w:hAnsi="宋体"/>
          <w:b w:val="0"/>
          <w:bCs w:val="0"/>
          <w:szCs w:val="21"/>
          <w:lang w:val="en-US" w:eastAsia="zh-CN"/>
        </w:rPr>
        <w:t>月</w:t>
      </w:r>
      <w:r>
        <w:rPr>
          <w:rFonts w:hint="eastAsia" w:ascii="宋体" w:hAnsi="宋体"/>
          <w:b w:val="0"/>
          <w:bCs w:val="0"/>
          <w:szCs w:val="21"/>
          <w:u w:val="single"/>
          <w:lang w:val="en-US" w:eastAsia="zh-CN"/>
        </w:rPr>
        <w:t xml:space="preserve">  29 </w:t>
      </w:r>
      <w:r>
        <w:rPr>
          <w:rFonts w:hint="eastAsia" w:ascii="宋体" w:hAnsi="宋体"/>
          <w:b w:val="0"/>
          <w:bCs w:val="0"/>
          <w:szCs w:val="21"/>
          <w:lang w:val="en-US" w:eastAsia="zh-CN"/>
        </w:rPr>
        <w:t>日</w:t>
      </w:r>
      <w:r>
        <w:rPr>
          <w:rFonts w:hint="eastAsia" w:ascii="宋体" w:hAnsi="宋体"/>
          <w:b w:val="0"/>
          <w:bCs w:val="0"/>
          <w:szCs w:val="21"/>
          <w:u w:val="single"/>
          <w:lang w:val="en-US" w:eastAsia="zh-CN"/>
        </w:rPr>
        <w:t xml:space="preserve"> 9 </w:t>
      </w:r>
      <w:r>
        <w:rPr>
          <w:rFonts w:hint="eastAsia" w:ascii="宋体" w:hAnsi="宋体"/>
          <w:b w:val="0"/>
          <w:bCs w:val="0"/>
          <w:szCs w:val="21"/>
          <w:lang w:val="en-US" w:eastAsia="zh-CN"/>
        </w:rPr>
        <w:t>点</w:t>
      </w:r>
      <w:r>
        <w:rPr>
          <w:rFonts w:hint="eastAsia" w:ascii="宋体" w:hAnsi="宋体"/>
          <w:b w:val="0"/>
          <w:bCs w:val="0"/>
          <w:szCs w:val="21"/>
          <w:u w:val="single"/>
          <w:lang w:val="en-US" w:eastAsia="zh-CN"/>
        </w:rPr>
        <w:t xml:space="preserve"> 30 </w:t>
      </w:r>
      <w:r>
        <w:rPr>
          <w:rFonts w:hint="eastAsia" w:ascii="宋体" w:hAnsi="宋体"/>
          <w:b w:val="0"/>
          <w:bCs w:val="0"/>
          <w:szCs w:val="21"/>
          <w:lang w:val="en-US" w:eastAsia="zh-CN"/>
        </w:rPr>
        <w:t>分（北京时间）。</w:t>
      </w:r>
    </w:p>
    <w:p w14:paraId="19BCA062">
      <w:pPr>
        <w:adjustRightInd w:val="0"/>
        <w:snapToGrid w:val="0"/>
        <w:spacing w:before="50" w:line="360" w:lineRule="auto"/>
        <w:rPr>
          <w:rFonts w:hint="eastAsia" w:ascii="宋体" w:hAnsi="宋体"/>
          <w:b/>
          <w:bCs/>
          <w:szCs w:val="21"/>
        </w:rPr>
      </w:pPr>
      <w:r>
        <w:rPr>
          <w:rFonts w:hint="eastAsia" w:ascii="宋体" w:hAnsi="宋体"/>
          <w:b/>
          <w:bCs/>
          <w:szCs w:val="21"/>
        </w:rPr>
        <w:t>七、公告期限</w:t>
      </w:r>
    </w:p>
    <w:p w14:paraId="609F72F3">
      <w:pPr>
        <w:adjustRightInd w:val="0"/>
        <w:snapToGrid w:val="0"/>
        <w:spacing w:before="50" w:line="360" w:lineRule="auto"/>
        <w:rPr>
          <w:rFonts w:hint="eastAsia" w:ascii="宋体" w:hAnsi="宋体"/>
          <w:szCs w:val="21"/>
        </w:rPr>
      </w:pPr>
      <w:r>
        <w:rPr>
          <w:rFonts w:hint="eastAsia" w:ascii="宋体" w:hAnsi="宋体"/>
          <w:szCs w:val="21"/>
        </w:rPr>
        <w:t>1、本招标公告在中国湖南政府采购网（www.ccgp-hunan.gov.cn）发布。公告期限从本招标公告发布之日起5个工作日。</w:t>
      </w:r>
    </w:p>
    <w:p w14:paraId="7EC66CD7">
      <w:pPr>
        <w:adjustRightInd w:val="0"/>
        <w:snapToGrid w:val="0"/>
        <w:spacing w:before="50" w:line="360" w:lineRule="auto"/>
        <w:rPr>
          <w:rFonts w:hint="eastAsia" w:ascii="宋体" w:hAnsi="宋体"/>
          <w:szCs w:val="21"/>
        </w:rPr>
      </w:pPr>
      <w:r>
        <w:rPr>
          <w:rFonts w:hint="eastAsia" w:ascii="宋体" w:hAnsi="宋体"/>
          <w:szCs w:val="21"/>
        </w:rPr>
        <w:t>2、在其他媒体发布的招标公告，公告内容以本招标公告指定媒体发布的公告为准；公告期限自本招标公告指定媒体最先发布公告之日起算。</w:t>
      </w:r>
    </w:p>
    <w:p w14:paraId="10B85D97">
      <w:pPr>
        <w:adjustRightInd w:val="0"/>
        <w:snapToGrid w:val="0"/>
        <w:spacing w:before="50" w:line="360" w:lineRule="auto"/>
        <w:rPr>
          <w:rFonts w:hint="eastAsia" w:ascii="宋体" w:hAnsi="宋体"/>
          <w:b/>
          <w:bCs/>
          <w:szCs w:val="21"/>
        </w:rPr>
      </w:pPr>
      <w:r>
        <w:rPr>
          <w:rFonts w:hint="eastAsia" w:ascii="宋体" w:hAnsi="宋体"/>
          <w:b/>
          <w:bCs/>
          <w:szCs w:val="21"/>
        </w:rPr>
        <w:t>八、询问及质疑</w:t>
      </w:r>
    </w:p>
    <w:p w14:paraId="54B2C83B">
      <w:pPr>
        <w:adjustRightInd w:val="0"/>
        <w:snapToGrid w:val="0"/>
        <w:spacing w:before="50" w:line="360" w:lineRule="auto"/>
        <w:rPr>
          <w:rFonts w:hint="eastAsia" w:ascii="宋体" w:hAnsi="宋体"/>
          <w:szCs w:val="21"/>
        </w:rPr>
      </w:pPr>
      <w:r>
        <w:rPr>
          <w:rFonts w:hint="eastAsia" w:ascii="宋体" w:hAnsi="宋体"/>
          <w:szCs w:val="21"/>
        </w:rPr>
        <w:t>1、投标人对政府采购活动事项如有疑问的，可以向采购人、采购代理机构提出询问。采购人、采购代理机构将在3个工作日内作出答复。</w:t>
      </w:r>
    </w:p>
    <w:p w14:paraId="196839DF">
      <w:pPr>
        <w:adjustRightInd w:val="0"/>
        <w:snapToGrid w:val="0"/>
        <w:spacing w:before="50" w:line="360" w:lineRule="auto"/>
        <w:rPr>
          <w:rFonts w:hint="eastAsia" w:ascii="宋体" w:hAnsi="宋体"/>
          <w:szCs w:val="21"/>
        </w:rPr>
      </w:pPr>
      <w:r>
        <w:rPr>
          <w:rFonts w:hint="eastAsia" w:ascii="宋体" w:hAnsi="宋体"/>
          <w:szCs w:val="21"/>
        </w:rPr>
        <w:t>2、投标人对电子交易平台办理CA证书、操作等如有疑问，请咨询电子交易平台服务机构。</w:t>
      </w:r>
    </w:p>
    <w:p w14:paraId="42BB0EAA">
      <w:pPr>
        <w:adjustRightInd w:val="0"/>
        <w:snapToGrid w:val="0"/>
        <w:spacing w:before="50" w:line="360" w:lineRule="auto"/>
        <w:rPr>
          <w:rFonts w:hint="eastAsia" w:ascii="宋体" w:hAnsi="宋体"/>
          <w:szCs w:val="21"/>
        </w:rPr>
      </w:pPr>
      <w:r>
        <w:rPr>
          <w:rFonts w:hint="eastAsia" w:ascii="宋体" w:hAnsi="宋体"/>
          <w:szCs w:val="21"/>
        </w:rPr>
        <w:t>3、潜在投标人认为招标文件或招标公告使自己的合法权益受到损害的，可以在收到招标文件之日或招标公告期限届满之日起7个工作日内，按《湖南省财政厅关于印发＜政府采购质疑答复和投诉处理操作规程＞的通知》(湘财购〔</w:t>
      </w:r>
      <w:r>
        <w:rPr>
          <w:rFonts w:hint="eastAsia" w:ascii="宋体" w:hAnsi="宋体"/>
          <w:szCs w:val="21"/>
          <w:lang w:val="en-US" w:eastAsia="zh-CN"/>
        </w:rPr>
        <w:t>2024</w:t>
      </w:r>
      <w:r>
        <w:rPr>
          <w:rFonts w:hint="eastAsia" w:ascii="宋体" w:hAnsi="宋体"/>
          <w:szCs w:val="21"/>
        </w:rPr>
        <w:t>〕</w:t>
      </w:r>
      <w:r>
        <w:rPr>
          <w:rFonts w:hint="eastAsia" w:ascii="宋体" w:hAnsi="宋体"/>
          <w:szCs w:val="21"/>
          <w:lang w:val="en-US" w:eastAsia="zh-CN"/>
        </w:rPr>
        <w:t>67</w:t>
      </w:r>
      <w:r>
        <w:rPr>
          <w:rFonts w:hint="eastAsia" w:ascii="宋体" w:hAnsi="宋体"/>
          <w:szCs w:val="21"/>
        </w:rPr>
        <w:t>号)规定，以纸质书面形式向采购人、采购代理机构提出质疑。</w:t>
      </w:r>
    </w:p>
    <w:p w14:paraId="16B86CDC">
      <w:pPr>
        <w:adjustRightInd w:val="0"/>
        <w:snapToGrid w:val="0"/>
        <w:spacing w:before="50" w:line="360" w:lineRule="auto"/>
        <w:rPr>
          <w:rFonts w:hint="eastAsia" w:ascii="宋体" w:hAnsi="宋体"/>
          <w:b/>
          <w:bCs/>
          <w:szCs w:val="21"/>
        </w:rPr>
      </w:pPr>
      <w:r>
        <w:rPr>
          <w:rFonts w:hint="eastAsia" w:ascii="宋体" w:hAnsi="宋体"/>
          <w:b/>
          <w:bCs/>
          <w:szCs w:val="21"/>
        </w:rPr>
        <w:t>九、投标说明</w:t>
      </w:r>
    </w:p>
    <w:p w14:paraId="55612490">
      <w:pPr>
        <w:adjustRightInd w:val="0"/>
        <w:snapToGrid w:val="0"/>
        <w:spacing w:before="50" w:line="360" w:lineRule="auto"/>
        <w:rPr>
          <w:rFonts w:hint="eastAsia" w:ascii="宋体" w:hAnsi="宋体"/>
          <w:szCs w:val="21"/>
        </w:rPr>
      </w:pPr>
      <w:r>
        <w:rPr>
          <w:rFonts w:hint="eastAsia" w:ascii="宋体" w:hAnsi="宋体"/>
          <w:szCs w:val="21"/>
        </w:rPr>
        <w:t>1、本公告选项：</w:t>
      </w:r>
      <w:r>
        <w:rPr>
          <w:rFonts w:hint="eastAsia" w:ascii="宋体" w:hAnsi="宋体"/>
          <w:szCs w:val="21"/>
        </w:rPr>
        <w:sym w:font="Wingdings" w:char="00FE"/>
      </w:r>
      <w:r>
        <w:rPr>
          <w:rFonts w:hint="eastAsia" w:ascii="宋体" w:hAnsi="宋体"/>
          <w:szCs w:val="21"/>
        </w:rPr>
        <w:t>表示选择，</w:t>
      </w:r>
      <w:r>
        <w:rPr>
          <w:rFonts w:hint="eastAsia" w:ascii="宋体" w:hAnsi="宋体"/>
          <w:szCs w:val="21"/>
        </w:rPr>
        <w:sym w:font="Wingdings" w:char="00A8"/>
      </w:r>
      <w:r>
        <w:rPr>
          <w:rFonts w:hint="eastAsia" w:ascii="宋体" w:hAnsi="宋体"/>
          <w:szCs w:val="21"/>
        </w:rPr>
        <w:t>表示未选择。</w:t>
      </w:r>
    </w:p>
    <w:p w14:paraId="5D050086">
      <w:pPr>
        <w:adjustRightInd w:val="0"/>
        <w:snapToGrid w:val="0"/>
        <w:spacing w:before="50" w:line="360" w:lineRule="auto"/>
        <w:rPr>
          <w:rFonts w:hint="eastAsia" w:ascii="宋体" w:hAnsi="宋体"/>
          <w:szCs w:val="21"/>
        </w:rPr>
      </w:pPr>
      <w:r>
        <w:rPr>
          <w:rFonts w:hint="eastAsia" w:ascii="宋体" w:hAnsi="宋体"/>
          <w:szCs w:val="21"/>
        </w:rPr>
        <w:t>2、投标人参与政府采购活动，无需向采购人、代理机构、交易平台缴纳任何费用。</w:t>
      </w:r>
    </w:p>
    <w:p w14:paraId="5E798DBC">
      <w:pPr>
        <w:adjustRightInd w:val="0"/>
        <w:snapToGrid w:val="0"/>
        <w:spacing w:before="50" w:line="360" w:lineRule="auto"/>
        <w:rPr>
          <w:rFonts w:hint="eastAsia" w:ascii="宋体" w:hAnsi="宋体"/>
          <w:b/>
          <w:bCs/>
          <w:szCs w:val="21"/>
        </w:rPr>
      </w:pPr>
      <w:r>
        <w:rPr>
          <w:rFonts w:hint="eastAsia" w:ascii="宋体" w:hAnsi="宋体"/>
          <w:b/>
          <w:bCs/>
          <w:szCs w:val="21"/>
        </w:rPr>
        <w:t>十、采购项目联系人姓名和电话</w:t>
      </w:r>
    </w:p>
    <w:p w14:paraId="4D0F52B8">
      <w:pPr>
        <w:adjustRightInd w:val="0"/>
        <w:snapToGrid w:val="0"/>
        <w:spacing w:before="50" w:line="360" w:lineRule="auto"/>
        <w:rPr>
          <w:rFonts w:hint="eastAsia" w:ascii="宋体" w:hAnsi="宋体" w:eastAsia="宋体"/>
          <w:szCs w:val="21"/>
          <w:lang w:eastAsia="zh-CN"/>
        </w:rPr>
      </w:pPr>
      <w:r>
        <w:rPr>
          <w:rFonts w:hint="eastAsia" w:ascii="宋体" w:hAnsi="宋体"/>
          <w:szCs w:val="21"/>
        </w:rPr>
        <w:t>1、联系人姓名：</w:t>
      </w:r>
      <w:r>
        <w:rPr>
          <w:rFonts w:hint="eastAsia" w:ascii="宋体" w:hAnsi="宋体"/>
          <w:szCs w:val="21"/>
          <w:lang w:val="en-US" w:eastAsia="zh-CN"/>
        </w:rPr>
        <w:t>侯杰军</w:t>
      </w:r>
    </w:p>
    <w:p w14:paraId="1AE55694">
      <w:pPr>
        <w:adjustRightInd w:val="0"/>
        <w:snapToGrid w:val="0"/>
        <w:spacing w:before="50" w:line="360" w:lineRule="auto"/>
        <w:rPr>
          <w:rFonts w:hint="eastAsia" w:ascii="宋体" w:hAnsi="宋体" w:eastAsia="宋体"/>
          <w:szCs w:val="21"/>
          <w:lang w:eastAsia="zh-CN"/>
        </w:rPr>
      </w:pPr>
      <w:r>
        <w:rPr>
          <w:rFonts w:hint="eastAsia" w:ascii="宋体" w:hAnsi="宋体"/>
          <w:szCs w:val="21"/>
        </w:rPr>
        <w:t>2、电话：</w:t>
      </w:r>
      <w:r>
        <w:rPr>
          <w:rFonts w:hint="eastAsia" w:ascii="宋体" w:hAnsi="宋体"/>
          <w:szCs w:val="21"/>
          <w:lang w:val="en-US" w:eastAsia="zh-CN"/>
        </w:rPr>
        <w:t>13873822783</w:t>
      </w:r>
    </w:p>
    <w:p w14:paraId="66AEFAE3">
      <w:pPr>
        <w:adjustRightInd w:val="0"/>
        <w:snapToGrid w:val="0"/>
        <w:spacing w:before="50" w:line="360" w:lineRule="auto"/>
        <w:rPr>
          <w:rFonts w:hint="eastAsia" w:ascii="宋体" w:hAnsi="宋体"/>
          <w:b/>
          <w:bCs/>
          <w:szCs w:val="21"/>
        </w:rPr>
      </w:pPr>
      <w:r>
        <w:rPr>
          <w:rFonts w:hint="eastAsia" w:ascii="宋体" w:hAnsi="宋体"/>
          <w:b/>
          <w:bCs/>
          <w:szCs w:val="21"/>
        </w:rPr>
        <w:t>十一、采购人、采购代理机构的名称、地址和联系方法</w:t>
      </w:r>
    </w:p>
    <w:p w14:paraId="6825611A">
      <w:pPr>
        <w:adjustRightInd w:val="0"/>
        <w:snapToGrid w:val="0"/>
        <w:spacing w:before="50" w:line="360" w:lineRule="auto"/>
        <w:rPr>
          <w:rFonts w:hint="eastAsia" w:ascii="宋体" w:hAnsi="宋体"/>
          <w:szCs w:val="21"/>
        </w:rPr>
      </w:pPr>
      <w:r>
        <w:rPr>
          <w:rFonts w:hint="eastAsia" w:ascii="宋体" w:hAnsi="宋体"/>
          <w:szCs w:val="21"/>
        </w:rPr>
        <w:t>1、采购人信息</w:t>
      </w:r>
    </w:p>
    <w:p w14:paraId="1EE5698E">
      <w:pPr>
        <w:adjustRightInd w:val="0"/>
        <w:snapToGrid w:val="0"/>
        <w:spacing w:before="50" w:line="360" w:lineRule="auto"/>
        <w:rPr>
          <w:rFonts w:hint="eastAsia" w:ascii="宋体" w:hAnsi="宋体" w:eastAsia="宋体"/>
          <w:szCs w:val="21"/>
          <w:lang w:eastAsia="zh-CN"/>
        </w:rPr>
      </w:pPr>
      <w:r>
        <w:rPr>
          <w:rFonts w:hint="eastAsia" w:ascii="宋体" w:hAnsi="宋体"/>
          <w:szCs w:val="21"/>
        </w:rPr>
        <w:t xml:space="preserve">（1）名 称： </w:t>
      </w:r>
      <w:r>
        <w:rPr>
          <w:rFonts w:hint="eastAsia" w:ascii="宋体" w:hAnsi="宋体"/>
          <w:szCs w:val="21"/>
          <w:lang w:eastAsia="zh-CN"/>
        </w:rPr>
        <w:t>新化县民政局</w:t>
      </w:r>
    </w:p>
    <w:p w14:paraId="56F49D52">
      <w:pPr>
        <w:adjustRightInd w:val="0"/>
        <w:snapToGrid w:val="0"/>
        <w:spacing w:before="50" w:line="360" w:lineRule="auto"/>
        <w:rPr>
          <w:rFonts w:hint="eastAsia" w:ascii="宋体" w:hAnsi="宋体"/>
          <w:szCs w:val="21"/>
        </w:rPr>
      </w:pPr>
      <w:r>
        <w:rPr>
          <w:rFonts w:hint="eastAsia" w:ascii="宋体" w:hAnsi="宋体"/>
          <w:szCs w:val="21"/>
        </w:rPr>
        <w:t>（2）地 址：新化县</w:t>
      </w:r>
      <w:r>
        <w:rPr>
          <w:rFonts w:hint="eastAsia" w:ascii="宋体" w:hAnsi="宋体"/>
          <w:szCs w:val="21"/>
          <w:lang w:val="en-US" w:eastAsia="zh-CN"/>
        </w:rPr>
        <w:t>重庆路</w:t>
      </w:r>
      <w:r>
        <w:rPr>
          <w:rFonts w:hint="eastAsia" w:ascii="宋体" w:hAnsi="宋体"/>
          <w:szCs w:val="21"/>
        </w:rPr>
        <w:t xml:space="preserve"> </w:t>
      </w:r>
    </w:p>
    <w:p w14:paraId="37271BEF">
      <w:pPr>
        <w:adjustRightInd w:val="0"/>
        <w:snapToGrid w:val="0"/>
        <w:spacing w:before="50" w:line="360" w:lineRule="auto"/>
        <w:rPr>
          <w:rFonts w:hint="default" w:ascii="宋体" w:hAnsi="宋体" w:eastAsia="宋体"/>
          <w:szCs w:val="21"/>
          <w:lang w:val="en-US" w:eastAsia="zh-CN"/>
        </w:rPr>
      </w:pPr>
      <w:r>
        <w:rPr>
          <w:rFonts w:hint="eastAsia" w:ascii="宋体" w:hAnsi="宋体"/>
          <w:szCs w:val="21"/>
        </w:rPr>
        <w:t>（3）联系人：</w:t>
      </w:r>
      <w:r>
        <w:rPr>
          <w:rFonts w:hint="eastAsia" w:ascii="宋体" w:hAnsi="宋体"/>
          <w:szCs w:val="21"/>
          <w:lang w:val="en-US" w:eastAsia="zh-CN"/>
        </w:rPr>
        <w:t>侯杰军</w:t>
      </w:r>
    </w:p>
    <w:p w14:paraId="39F322D3">
      <w:pPr>
        <w:adjustRightInd w:val="0"/>
        <w:snapToGrid w:val="0"/>
        <w:spacing w:before="50" w:line="360" w:lineRule="auto"/>
        <w:rPr>
          <w:rFonts w:hint="eastAsia" w:ascii="宋体" w:hAnsi="宋体"/>
          <w:szCs w:val="21"/>
        </w:rPr>
      </w:pPr>
      <w:r>
        <w:rPr>
          <w:rFonts w:hint="eastAsia" w:ascii="宋体" w:hAnsi="宋体"/>
          <w:szCs w:val="21"/>
        </w:rPr>
        <w:t>（4）邮 编：417</w:t>
      </w:r>
      <w:r>
        <w:rPr>
          <w:rFonts w:hint="eastAsia" w:ascii="宋体" w:hAnsi="宋体"/>
          <w:szCs w:val="21"/>
          <w:lang w:val="en-US" w:eastAsia="zh-CN"/>
        </w:rPr>
        <w:t>6</w:t>
      </w:r>
      <w:r>
        <w:rPr>
          <w:rFonts w:hint="eastAsia" w:ascii="宋体" w:hAnsi="宋体"/>
          <w:szCs w:val="21"/>
        </w:rPr>
        <w:t>00</w:t>
      </w:r>
    </w:p>
    <w:p w14:paraId="6BE06D8E">
      <w:pPr>
        <w:adjustRightInd w:val="0"/>
        <w:snapToGrid w:val="0"/>
        <w:spacing w:before="50" w:line="360" w:lineRule="auto"/>
        <w:rPr>
          <w:rFonts w:hint="default" w:ascii="宋体" w:hAnsi="宋体" w:eastAsia="宋体"/>
          <w:szCs w:val="21"/>
          <w:lang w:val="en-US" w:eastAsia="zh-CN"/>
        </w:rPr>
      </w:pPr>
      <w:r>
        <w:rPr>
          <w:rFonts w:hint="eastAsia" w:ascii="宋体" w:hAnsi="宋体"/>
          <w:szCs w:val="21"/>
        </w:rPr>
        <w:t>（5）电 话：</w:t>
      </w:r>
      <w:r>
        <w:rPr>
          <w:rFonts w:hint="eastAsia" w:ascii="宋体" w:hAnsi="宋体"/>
          <w:szCs w:val="21"/>
          <w:lang w:val="en-US" w:eastAsia="zh-CN"/>
        </w:rPr>
        <w:t>13873822783</w:t>
      </w:r>
    </w:p>
    <w:p w14:paraId="210137DC">
      <w:pPr>
        <w:adjustRightInd w:val="0"/>
        <w:snapToGrid w:val="0"/>
        <w:spacing w:before="50" w:line="360" w:lineRule="auto"/>
        <w:rPr>
          <w:rFonts w:hint="eastAsia" w:ascii="宋体" w:hAnsi="宋体"/>
          <w:szCs w:val="21"/>
        </w:rPr>
      </w:pPr>
      <w:r>
        <w:rPr>
          <w:rFonts w:hint="eastAsia" w:ascii="宋体" w:hAnsi="宋体"/>
          <w:szCs w:val="21"/>
        </w:rPr>
        <w:t>2、采购代理机构信息</w:t>
      </w:r>
    </w:p>
    <w:p w14:paraId="39098793">
      <w:pPr>
        <w:adjustRightInd w:val="0"/>
        <w:snapToGrid w:val="0"/>
        <w:spacing w:before="50" w:line="360" w:lineRule="auto"/>
        <w:rPr>
          <w:rFonts w:hint="eastAsia" w:ascii="宋体" w:hAnsi="宋体"/>
          <w:szCs w:val="21"/>
        </w:rPr>
      </w:pPr>
      <w:r>
        <w:rPr>
          <w:rFonts w:hint="eastAsia" w:ascii="宋体" w:hAnsi="宋体"/>
          <w:szCs w:val="21"/>
        </w:rPr>
        <w:t>（1）名 称： 娄底市政府采购中心</w:t>
      </w:r>
    </w:p>
    <w:p w14:paraId="1357687D">
      <w:pPr>
        <w:adjustRightInd w:val="0"/>
        <w:snapToGrid w:val="0"/>
        <w:spacing w:before="50" w:line="360" w:lineRule="auto"/>
        <w:rPr>
          <w:rFonts w:hint="eastAsia" w:ascii="宋体" w:hAnsi="宋体"/>
          <w:szCs w:val="21"/>
        </w:rPr>
      </w:pPr>
      <w:r>
        <w:rPr>
          <w:rFonts w:hint="eastAsia" w:ascii="宋体" w:hAnsi="宋体"/>
          <w:szCs w:val="21"/>
        </w:rPr>
        <w:t xml:space="preserve">（2）地 址：娄底市湘中大道政务服务大楼 </w:t>
      </w:r>
    </w:p>
    <w:p w14:paraId="33C2B7EB">
      <w:pPr>
        <w:adjustRightInd w:val="0"/>
        <w:snapToGrid w:val="0"/>
        <w:spacing w:before="50" w:line="360" w:lineRule="auto"/>
        <w:rPr>
          <w:rFonts w:hint="eastAsia" w:ascii="宋体" w:hAnsi="宋体" w:eastAsia="宋体"/>
          <w:szCs w:val="21"/>
          <w:lang w:eastAsia="zh-CN"/>
        </w:rPr>
      </w:pPr>
      <w:r>
        <w:rPr>
          <w:rFonts w:hint="eastAsia" w:ascii="宋体" w:hAnsi="宋体"/>
          <w:szCs w:val="21"/>
        </w:rPr>
        <w:t>（3）联系人：</w:t>
      </w:r>
      <w:r>
        <w:rPr>
          <w:rFonts w:hint="eastAsia" w:ascii="宋体" w:hAnsi="宋体"/>
          <w:szCs w:val="21"/>
          <w:lang w:eastAsia="zh-CN"/>
        </w:rPr>
        <w:t>易先生</w:t>
      </w:r>
    </w:p>
    <w:p w14:paraId="69F3265B">
      <w:pPr>
        <w:adjustRightInd w:val="0"/>
        <w:snapToGrid w:val="0"/>
        <w:spacing w:before="50" w:line="360" w:lineRule="auto"/>
        <w:rPr>
          <w:rFonts w:hint="eastAsia" w:ascii="宋体" w:hAnsi="宋体"/>
          <w:szCs w:val="21"/>
        </w:rPr>
      </w:pPr>
      <w:r>
        <w:rPr>
          <w:rFonts w:hint="eastAsia" w:ascii="宋体" w:hAnsi="宋体"/>
          <w:szCs w:val="21"/>
        </w:rPr>
        <w:t>（4）邮 编：417000</w:t>
      </w:r>
    </w:p>
    <w:p w14:paraId="5D22BB8A">
      <w:pPr>
        <w:adjustRightInd w:val="0"/>
        <w:snapToGrid w:val="0"/>
        <w:spacing w:before="50" w:line="360" w:lineRule="auto"/>
        <w:rPr>
          <w:rFonts w:hint="eastAsia" w:ascii="宋体" w:hAnsi="宋体"/>
          <w:szCs w:val="21"/>
        </w:rPr>
      </w:pPr>
      <w:r>
        <w:rPr>
          <w:rFonts w:hint="eastAsia" w:ascii="宋体" w:hAnsi="宋体"/>
          <w:szCs w:val="21"/>
        </w:rPr>
        <w:t>（5）电 话：0738-6371181</w:t>
      </w:r>
    </w:p>
    <w:p w14:paraId="7D673656">
      <w:pPr>
        <w:adjustRightInd w:val="0"/>
        <w:snapToGrid w:val="0"/>
        <w:spacing w:before="50" w:line="360" w:lineRule="auto"/>
        <w:rPr>
          <w:rFonts w:hint="eastAsia" w:ascii="宋体" w:hAnsi="宋体"/>
          <w:szCs w:val="21"/>
        </w:rPr>
      </w:pPr>
      <w:r>
        <w:rPr>
          <w:rFonts w:hint="eastAsia" w:ascii="宋体" w:hAnsi="宋体"/>
          <w:szCs w:val="21"/>
        </w:rPr>
        <w:t>3、电子交易平台服务机构信息</w:t>
      </w:r>
    </w:p>
    <w:p w14:paraId="6738E4C0">
      <w:pPr>
        <w:adjustRightInd w:val="0"/>
        <w:snapToGrid w:val="0"/>
        <w:spacing w:before="50" w:line="360" w:lineRule="auto"/>
        <w:rPr>
          <w:rFonts w:hint="eastAsia" w:ascii="宋体" w:hAnsi="宋体"/>
          <w:szCs w:val="21"/>
        </w:rPr>
      </w:pPr>
      <w:r>
        <w:rPr>
          <w:rFonts w:hint="eastAsia" w:ascii="宋体" w:hAnsi="宋体"/>
          <w:szCs w:val="21"/>
        </w:rPr>
        <w:t>（1）联系人：金润软件</w:t>
      </w:r>
    </w:p>
    <w:p w14:paraId="79ECADE1">
      <w:pPr>
        <w:adjustRightInd w:val="0"/>
        <w:snapToGrid w:val="0"/>
        <w:spacing w:before="50" w:line="360" w:lineRule="auto"/>
        <w:rPr>
          <w:rFonts w:hint="eastAsia" w:ascii="宋体" w:hAnsi="宋体"/>
          <w:szCs w:val="21"/>
        </w:rPr>
      </w:pPr>
      <w:r>
        <w:rPr>
          <w:rFonts w:hint="eastAsia" w:ascii="宋体" w:hAnsi="宋体"/>
          <w:szCs w:val="21"/>
        </w:rPr>
        <w:t>（2）电 话：400819999</w:t>
      </w:r>
    </w:p>
    <w:p w14:paraId="76D6400C">
      <w:pPr>
        <w:adjustRightInd w:val="0"/>
        <w:snapToGrid w:val="0"/>
        <w:spacing w:before="50" w:line="360" w:lineRule="auto"/>
        <w:rPr>
          <w:rFonts w:hint="eastAsia" w:ascii="宋体" w:hAnsi="宋体"/>
          <w:szCs w:val="21"/>
        </w:rPr>
      </w:pPr>
      <w:r>
        <w:rPr>
          <w:rFonts w:hint="eastAsia" w:ascii="宋体" w:hAnsi="宋体"/>
          <w:szCs w:val="21"/>
        </w:rPr>
        <w:t>（3）电子邮箱：2159511823@qq.com</w:t>
      </w:r>
    </w:p>
    <w:bookmarkEnd w:id="9"/>
    <w:p w14:paraId="1170673A">
      <w:pPr>
        <w:pStyle w:val="14"/>
        <w:adjustRightInd w:val="0"/>
        <w:snapToGrid w:val="0"/>
        <w:spacing w:line="360" w:lineRule="auto"/>
        <w:jc w:val="center"/>
        <w:outlineLvl w:val="0"/>
        <w:rPr>
          <w:rFonts w:hint="eastAsia" w:ascii="黑体" w:hAnsi="华文中宋" w:eastAsia="黑体"/>
          <w:b/>
          <w:spacing w:val="100"/>
          <w:sz w:val="32"/>
          <w:szCs w:val="32"/>
        </w:rPr>
      </w:pPr>
      <w:r>
        <w:rPr>
          <w:rFonts w:hint="eastAsia" w:ascii="黑体" w:hAnsi="华文中宋" w:eastAsia="黑体"/>
          <w:b/>
          <w:sz w:val="32"/>
          <w:szCs w:val="32"/>
        </w:rPr>
        <w:br w:type="page"/>
      </w:r>
      <w:bookmarkEnd w:id="0"/>
      <w:bookmarkEnd w:id="1"/>
      <w:bookmarkEnd w:id="2"/>
      <w:bookmarkEnd w:id="3"/>
      <w:bookmarkEnd w:id="4"/>
      <w:bookmarkEnd w:id="5"/>
      <w:bookmarkEnd w:id="6"/>
      <w:bookmarkEnd w:id="7"/>
      <w:bookmarkEnd w:id="10"/>
      <w:bookmarkStart w:id="11" w:name="_Toc31751"/>
      <w:r>
        <w:rPr>
          <w:rFonts w:hint="eastAsia" w:ascii="黑体" w:hAnsi="华文中宋" w:eastAsia="黑体"/>
          <w:b/>
          <w:sz w:val="32"/>
          <w:szCs w:val="32"/>
        </w:rPr>
        <w:t>第二章 投标须知</w:t>
      </w:r>
      <w:bookmarkEnd w:id="11"/>
    </w:p>
    <w:p w14:paraId="545CE947">
      <w:pPr>
        <w:pStyle w:val="2"/>
        <w:adjustRightInd w:val="0"/>
        <w:snapToGrid w:val="0"/>
        <w:jc w:val="center"/>
        <w:rPr>
          <w:rFonts w:hint="eastAsia" w:ascii="黑体" w:hAnsi="华文中宋" w:eastAsia="黑体"/>
          <w:spacing w:val="100"/>
          <w:sz w:val="28"/>
          <w:szCs w:val="28"/>
        </w:rPr>
      </w:pPr>
      <w:bookmarkStart w:id="12" w:name="_Toc20582"/>
      <w:r>
        <w:rPr>
          <w:rFonts w:hint="eastAsia" w:ascii="黑体" w:hAnsi="华文中宋" w:eastAsia="黑体"/>
          <w:sz w:val="28"/>
          <w:szCs w:val="28"/>
        </w:rPr>
        <w:t>第一节 投标须知前附表</w:t>
      </w:r>
      <w:bookmarkEnd w:id="12"/>
    </w:p>
    <w:p w14:paraId="332041B5">
      <w:pPr>
        <w:adjustRightInd w:val="0"/>
        <w:snapToGrid w:val="0"/>
        <w:spacing w:line="360" w:lineRule="auto"/>
        <w:ind w:right="31" w:rightChars="15"/>
        <w:jc w:val="left"/>
        <w:rPr>
          <w:rFonts w:hint="eastAsia" w:ascii="宋体" w:hAnsi="宋体"/>
          <w:i/>
          <w:szCs w:val="21"/>
        </w:rPr>
      </w:pPr>
      <w:r>
        <w:rPr>
          <w:rFonts w:hint="eastAsia" w:ascii="宋体" w:hAnsi="宋体"/>
          <w:iCs/>
          <w:szCs w:val="21"/>
        </w:rPr>
        <w:t>注：本项目启用的条款在“编列内容规定”栏内以“</w:t>
      </w:r>
      <w:r>
        <w:rPr>
          <w:rFonts w:hint="eastAsia" w:ascii="宋体" w:hAnsi="宋体"/>
          <w:iCs/>
          <w:szCs w:val="21"/>
        </w:rPr>
        <w:sym w:font="Wingdings" w:char="00FE"/>
      </w:r>
      <w:r>
        <w:rPr>
          <w:rFonts w:hint="eastAsia" w:ascii="宋体" w:hAnsi="宋体"/>
          <w:iCs/>
          <w:szCs w:val="21"/>
        </w:rPr>
        <w:t>”标注。</w:t>
      </w:r>
    </w:p>
    <w:tbl>
      <w:tblPr>
        <w:tblStyle w:val="27"/>
        <w:tblW w:w="8931" w:type="dxa"/>
        <w:tblInd w:w="108" w:type="dxa"/>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1184"/>
        <w:gridCol w:w="1065"/>
        <w:gridCol w:w="900"/>
        <w:gridCol w:w="5782"/>
      </w:tblGrid>
      <w:tr w14:paraId="1ADE8BE8">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545" w:hRule="atLeast"/>
          <w:tblHeader/>
        </w:trPr>
        <w:tc>
          <w:tcPr>
            <w:tcW w:w="1184" w:type="dxa"/>
            <w:vAlign w:val="center"/>
          </w:tcPr>
          <w:p w14:paraId="29BFFD84">
            <w:pPr>
              <w:adjustRightInd w:val="0"/>
              <w:snapToGrid w:val="0"/>
              <w:spacing w:line="360" w:lineRule="auto"/>
              <w:jc w:val="center"/>
              <w:rPr>
                <w:rFonts w:hint="eastAsia" w:ascii="宋体" w:hAnsi="宋体"/>
                <w:b/>
                <w:szCs w:val="21"/>
              </w:rPr>
            </w:pPr>
            <w:r>
              <w:rPr>
                <w:rFonts w:hint="eastAsia" w:ascii="宋体" w:hAnsi="宋体"/>
                <w:b/>
                <w:szCs w:val="21"/>
              </w:rPr>
              <w:t>条款号</w:t>
            </w:r>
          </w:p>
        </w:tc>
        <w:tc>
          <w:tcPr>
            <w:tcW w:w="1965" w:type="dxa"/>
            <w:gridSpan w:val="2"/>
            <w:vAlign w:val="center"/>
          </w:tcPr>
          <w:p w14:paraId="129FD2EF">
            <w:pPr>
              <w:adjustRightInd w:val="0"/>
              <w:snapToGrid w:val="0"/>
              <w:spacing w:line="360" w:lineRule="auto"/>
              <w:jc w:val="center"/>
              <w:rPr>
                <w:rFonts w:hint="eastAsia" w:ascii="宋体" w:hAnsi="宋体"/>
                <w:b/>
                <w:szCs w:val="21"/>
              </w:rPr>
            </w:pPr>
            <w:r>
              <w:rPr>
                <w:rFonts w:hint="eastAsia" w:ascii="宋体" w:hAnsi="宋体"/>
                <w:b/>
                <w:szCs w:val="21"/>
              </w:rPr>
              <w:t>条款名称</w:t>
            </w:r>
          </w:p>
        </w:tc>
        <w:tc>
          <w:tcPr>
            <w:tcW w:w="5782" w:type="dxa"/>
            <w:vAlign w:val="center"/>
          </w:tcPr>
          <w:p w14:paraId="57B90760">
            <w:pPr>
              <w:adjustRightInd w:val="0"/>
              <w:snapToGrid w:val="0"/>
              <w:spacing w:line="360" w:lineRule="auto"/>
              <w:jc w:val="center"/>
              <w:rPr>
                <w:rFonts w:hint="eastAsia" w:ascii="宋体" w:hAnsi="宋体"/>
                <w:b/>
                <w:szCs w:val="21"/>
              </w:rPr>
            </w:pPr>
            <w:r>
              <w:rPr>
                <w:rFonts w:hint="eastAsia" w:ascii="宋体" w:hAnsi="宋体"/>
                <w:b/>
                <w:szCs w:val="21"/>
              </w:rPr>
              <w:t>编列内容规定</w:t>
            </w:r>
          </w:p>
        </w:tc>
      </w:tr>
      <w:tr w14:paraId="53B058D7">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545" w:hRule="atLeast"/>
        </w:trPr>
        <w:tc>
          <w:tcPr>
            <w:tcW w:w="8931" w:type="dxa"/>
            <w:gridSpan w:val="4"/>
            <w:vAlign w:val="center"/>
          </w:tcPr>
          <w:p w14:paraId="4AA1DBC7">
            <w:pPr>
              <w:adjustRightInd w:val="0"/>
              <w:snapToGrid w:val="0"/>
              <w:spacing w:line="360" w:lineRule="auto"/>
              <w:rPr>
                <w:rFonts w:hint="eastAsia" w:ascii="宋体" w:hAnsi="宋体"/>
                <w:szCs w:val="21"/>
              </w:rPr>
            </w:pPr>
            <w:r>
              <w:rPr>
                <w:rFonts w:hint="eastAsia" w:ascii="宋体" w:hAnsi="宋体"/>
                <w:b/>
                <w:szCs w:val="21"/>
              </w:rPr>
              <w:t>一、说明</w:t>
            </w:r>
          </w:p>
        </w:tc>
      </w:tr>
      <w:tr w14:paraId="3E0CC719">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1184" w:type="dxa"/>
            <w:vAlign w:val="center"/>
          </w:tcPr>
          <w:p w14:paraId="7775BF8F">
            <w:pPr>
              <w:adjustRightInd w:val="0"/>
              <w:snapToGrid w:val="0"/>
              <w:spacing w:line="360" w:lineRule="auto"/>
              <w:jc w:val="center"/>
              <w:rPr>
                <w:rFonts w:hint="eastAsia" w:ascii="宋体" w:hAnsi="宋体"/>
                <w:szCs w:val="21"/>
              </w:rPr>
            </w:pPr>
            <w:r>
              <w:rPr>
                <w:rFonts w:hint="eastAsia" w:ascii="宋体" w:hAnsi="宋体"/>
                <w:szCs w:val="21"/>
              </w:rPr>
              <w:t>第1.1款</w:t>
            </w:r>
          </w:p>
        </w:tc>
        <w:tc>
          <w:tcPr>
            <w:tcW w:w="1965" w:type="dxa"/>
            <w:gridSpan w:val="2"/>
            <w:vAlign w:val="center"/>
          </w:tcPr>
          <w:p w14:paraId="5DB50183">
            <w:pPr>
              <w:adjustRightInd w:val="0"/>
              <w:snapToGrid w:val="0"/>
              <w:spacing w:line="360" w:lineRule="auto"/>
              <w:rPr>
                <w:rFonts w:hint="eastAsia" w:hAnsi="宋体"/>
                <w:szCs w:val="21"/>
              </w:rPr>
            </w:pPr>
            <w:r>
              <w:rPr>
                <w:rFonts w:hint="eastAsia" w:hAnsi="宋体"/>
                <w:szCs w:val="21"/>
              </w:rPr>
              <w:t>采购项目</w:t>
            </w:r>
          </w:p>
        </w:tc>
        <w:tc>
          <w:tcPr>
            <w:tcW w:w="5782" w:type="dxa"/>
            <w:vAlign w:val="center"/>
          </w:tcPr>
          <w:p w14:paraId="7CE7AA71">
            <w:pPr>
              <w:adjustRightInd w:val="0"/>
              <w:snapToGrid w:val="0"/>
              <w:spacing w:line="360" w:lineRule="auto"/>
              <w:rPr>
                <w:rFonts w:hint="eastAsia" w:hAnsi="宋体"/>
                <w:szCs w:val="21"/>
              </w:rPr>
            </w:pPr>
            <w:r>
              <w:rPr>
                <w:rFonts w:hint="eastAsia" w:hAnsi="宋体"/>
                <w:szCs w:val="21"/>
                <w:lang w:eastAsia="zh-CN"/>
              </w:rPr>
              <w:t>新化县殡仪馆新建项目相关设备设施采购项目</w:t>
            </w:r>
            <w:r>
              <w:rPr>
                <w:rFonts w:hint="eastAsia" w:hAnsi="宋体"/>
                <w:szCs w:val="21"/>
              </w:rPr>
              <w:t xml:space="preserve"> </w:t>
            </w:r>
          </w:p>
        </w:tc>
      </w:tr>
      <w:tr w14:paraId="633FCFFD">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1184" w:type="dxa"/>
            <w:vAlign w:val="center"/>
          </w:tcPr>
          <w:p w14:paraId="21457E54">
            <w:pPr>
              <w:adjustRightInd w:val="0"/>
              <w:snapToGrid w:val="0"/>
              <w:spacing w:line="360" w:lineRule="auto"/>
              <w:jc w:val="center"/>
              <w:rPr>
                <w:rFonts w:hint="eastAsia" w:ascii="宋体" w:hAnsi="宋体"/>
                <w:szCs w:val="21"/>
              </w:rPr>
            </w:pPr>
            <w:r>
              <w:rPr>
                <w:rFonts w:hint="eastAsia" w:ascii="宋体" w:hAnsi="宋体"/>
                <w:szCs w:val="21"/>
              </w:rPr>
              <w:t>第2.1</w:t>
            </w:r>
            <w:r>
              <w:rPr>
                <w:rFonts w:hint="eastAsia" w:ascii="宋体" w:hAnsi="宋体" w:cs="宋体"/>
                <w:kern w:val="0"/>
                <w:szCs w:val="21"/>
                <w:lang w:val="zh-CN"/>
              </w:rPr>
              <w:t>款</w:t>
            </w:r>
          </w:p>
        </w:tc>
        <w:tc>
          <w:tcPr>
            <w:tcW w:w="1965" w:type="dxa"/>
            <w:gridSpan w:val="2"/>
          </w:tcPr>
          <w:p w14:paraId="263FE291">
            <w:pPr>
              <w:adjustRightInd w:val="0"/>
              <w:snapToGrid w:val="0"/>
              <w:spacing w:line="360" w:lineRule="auto"/>
              <w:rPr>
                <w:rFonts w:hint="eastAsia" w:ascii="宋体" w:hAnsi="宋体"/>
                <w:szCs w:val="21"/>
              </w:rPr>
            </w:pPr>
            <w:r>
              <w:rPr>
                <w:rFonts w:hint="eastAsia" w:hAnsi="宋体"/>
                <w:szCs w:val="21"/>
              </w:rPr>
              <w:t>采购项目联系人姓名和电话</w:t>
            </w:r>
          </w:p>
        </w:tc>
        <w:tc>
          <w:tcPr>
            <w:tcW w:w="5782" w:type="dxa"/>
            <w:vAlign w:val="center"/>
          </w:tcPr>
          <w:p w14:paraId="082168E0">
            <w:pPr>
              <w:adjustRightInd w:val="0"/>
              <w:snapToGrid w:val="0"/>
              <w:spacing w:before="50" w:line="360" w:lineRule="auto"/>
              <w:rPr>
                <w:rFonts w:hint="eastAsia" w:ascii="宋体" w:hAnsi="宋体"/>
                <w:bCs/>
                <w:szCs w:val="21"/>
              </w:rPr>
            </w:pPr>
            <w:r>
              <w:rPr>
                <w:rFonts w:hint="eastAsia" w:ascii="宋体" w:hAnsi="宋体"/>
                <w:bCs/>
                <w:szCs w:val="21"/>
              </w:rPr>
              <w:t xml:space="preserve">联系人姓名： </w:t>
            </w:r>
            <w:r>
              <w:rPr>
                <w:rFonts w:hint="eastAsia" w:ascii="宋体" w:hAnsi="宋体"/>
                <w:szCs w:val="21"/>
                <w:lang w:val="en-US" w:eastAsia="zh-CN"/>
              </w:rPr>
              <w:t>侯杰军</w:t>
            </w:r>
            <w:r>
              <w:rPr>
                <w:rFonts w:hint="eastAsia" w:ascii="宋体" w:hAnsi="宋体"/>
                <w:bCs/>
                <w:szCs w:val="21"/>
              </w:rPr>
              <w:t xml:space="preserve">     </w:t>
            </w:r>
          </w:p>
          <w:p w14:paraId="21AB54F4">
            <w:pPr>
              <w:adjustRightInd w:val="0"/>
              <w:snapToGrid w:val="0"/>
              <w:spacing w:before="50" w:line="360" w:lineRule="auto"/>
              <w:rPr>
                <w:rFonts w:hint="eastAsia" w:hAnsi="宋体"/>
                <w:szCs w:val="21"/>
              </w:rPr>
            </w:pPr>
            <w:r>
              <w:rPr>
                <w:rFonts w:hint="eastAsia" w:ascii="宋体" w:hAnsi="宋体"/>
                <w:bCs/>
                <w:szCs w:val="21"/>
              </w:rPr>
              <w:t>电话：</w:t>
            </w:r>
            <w:r>
              <w:rPr>
                <w:rFonts w:hint="eastAsia" w:ascii="宋体" w:hAnsi="宋体"/>
                <w:szCs w:val="21"/>
                <w:lang w:val="en-US" w:eastAsia="zh-CN"/>
              </w:rPr>
              <w:t>13873822783</w:t>
            </w:r>
          </w:p>
        </w:tc>
      </w:tr>
      <w:tr w14:paraId="16A45839">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1184" w:type="dxa"/>
            <w:vAlign w:val="center"/>
          </w:tcPr>
          <w:p w14:paraId="726B2031">
            <w:pPr>
              <w:adjustRightInd w:val="0"/>
              <w:snapToGrid w:val="0"/>
              <w:spacing w:line="360" w:lineRule="auto"/>
              <w:jc w:val="center"/>
              <w:rPr>
                <w:rFonts w:hint="eastAsia" w:ascii="宋体" w:hAnsi="宋体"/>
                <w:szCs w:val="21"/>
              </w:rPr>
            </w:pPr>
            <w:r>
              <w:rPr>
                <w:rFonts w:hint="eastAsia" w:ascii="宋体" w:hAnsi="宋体"/>
                <w:szCs w:val="21"/>
              </w:rPr>
              <w:t>第2.2</w:t>
            </w:r>
            <w:r>
              <w:rPr>
                <w:rFonts w:hint="eastAsia" w:ascii="宋体" w:hAnsi="宋体" w:cs="宋体"/>
                <w:kern w:val="0"/>
                <w:szCs w:val="21"/>
                <w:lang w:val="zh-CN"/>
              </w:rPr>
              <w:t>款</w:t>
            </w:r>
          </w:p>
        </w:tc>
        <w:tc>
          <w:tcPr>
            <w:tcW w:w="1965" w:type="dxa"/>
            <w:gridSpan w:val="2"/>
            <w:vAlign w:val="center"/>
          </w:tcPr>
          <w:p w14:paraId="3ACD4A3D">
            <w:pPr>
              <w:adjustRightInd w:val="0"/>
              <w:snapToGrid w:val="0"/>
              <w:spacing w:line="360" w:lineRule="auto"/>
              <w:jc w:val="left"/>
              <w:rPr>
                <w:rFonts w:hint="eastAsia" w:ascii="宋体" w:hAnsi="宋体"/>
                <w:szCs w:val="21"/>
              </w:rPr>
            </w:pPr>
            <w:r>
              <w:rPr>
                <w:rFonts w:hint="eastAsia" w:hAnsi="宋体"/>
                <w:szCs w:val="21"/>
              </w:rPr>
              <w:t>采购人名称、地址、电话、联系人</w:t>
            </w:r>
          </w:p>
        </w:tc>
        <w:tc>
          <w:tcPr>
            <w:tcW w:w="5782" w:type="dxa"/>
            <w:vAlign w:val="center"/>
          </w:tcPr>
          <w:p w14:paraId="6FC3ED76">
            <w:pPr>
              <w:adjustRightInd w:val="0"/>
              <w:snapToGrid w:val="0"/>
              <w:spacing w:before="50" w:line="360" w:lineRule="auto"/>
              <w:rPr>
                <w:rFonts w:hint="eastAsia" w:ascii="宋体" w:hAnsi="宋体" w:eastAsia="宋体"/>
                <w:bCs/>
                <w:szCs w:val="21"/>
                <w:lang w:eastAsia="zh-CN"/>
              </w:rPr>
            </w:pPr>
            <w:r>
              <w:rPr>
                <w:rFonts w:hint="eastAsia" w:ascii="宋体" w:hAnsi="宋体"/>
                <w:bCs/>
                <w:szCs w:val="21"/>
              </w:rPr>
              <w:t>名 称：</w:t>
            </w:r>
            <w:r>
              <w:rPr>
                <w:rFonts w:hint="eastAsia" w:ascii="宋体" w:hAnsi="宋体"/>
                <w:bCs/>
                <w:szCs w:val="21"/>
                <w:lang w:eastAsia="zh-CN"/>
              </w:rPr>
              <w:t>新化县民政局</w:t>
            </w:r>
          </w:p>
          <w:p w14:paraId="5A512F46">
            <w:pPr>
              <w:adjustRightInd w:val="0"/>
              <w:snapToGrid w:val="0"/>
              <w:spacing w:before="50" w:line="360" w:lineRule="auto"/>
              <w:rPr>
                <w:rFonts w:hint="eastAsia" w:ascii="宋体" w:hAnsi="宋体"/>
                <w:bCs/>
                <w:szCs w:val="21"/>
              </w:rPr>
            </w:pPr>
            <w:r>
              <w:rPr>
                <w:rFonts w:hint="eastAsia" w:ascii="宋体" w:hAnsi="宋体"/>
                <w:bCs/>
                <w:szCs w:val="21"/>
              </w:rPr>
              <w:t>地  址： 新化县</w:t>
            </w:r>
            <w:r>
              <w:rPr>
                <w:rFonts w:hint="eastAsia" w:ascii="宋体" w:hAnsi="宋体"/>
                <w:bCs/>
                <w:szCs w:val="21"/>
                <w:lang w:val="en-US" w:eastAsia="zh-CN"/>
              </w:rPr>
              <w:t>重庆路</w:t>
            </w:r>
            <w:r>
              <w:rPr>
                <w:rFonts w:hint="eastAsia" w:ascii="宋体" w:hAnsi="宋体"/>
                <w:bCs/>
                <w:szCs w:val="21"/>
              </w:rPr>
              <w:t xml:space="preserve">  </w:t>
            </w:r>
          </w:p>
          <w:p w14:paraId="34A1884A">
            <w:pPr>
              <w:adjustRightInd w:val="0"/>
              <w:snapToGrid w:val="0"/>
              <w:spacing w:before="50" w:line="360" w:lineRule="auto"/>
              <w:rPr>
                <w:rFonts w:hint="eastAsia" w:ascii="宋体" w:hAnsi="宋体"/>
                <w:bCs/>
                <w:szCs w:val="21"/>
              </w:rPr>
            </w:pPr>
            <w:r>
              <w:rPr>
                <w:rFonts w:hint="eastAsia" w:ascii="宋体" w:hAnsi="宋体"/>
                <w:bCs/>
                <w:szCs w:val="21"/>
              </w:rPr>
              <w:t xml:space="preserve">联系人： </w:t>
            </w:r>
            <w:r>
              <w:rPr>
                <w:rFonts w:hint="eastAsia" w:ascii="宋体" w:hAnsi="宋体"/>
                <w:szCs w:val="21"/>
                <w:lang w:val="en-US" w:eastAsia="zh-CN"/>
              </w:rPr>
              <w:t>侯杰军</w:t>
            </w:r>
            <w:r>
              <w:rPr>
                <w:rFonts w:hint="eastAsia" w:ascii="宋体" w:hAnsi="宋体"/>
                <w:bCs/>
                <w:szCs w:val="21"/>
              </w:rPr>
              <w:t xml:space="preserve"> </w:t>
            </w:r>
          </w:p>
          <w:p w14:paraId="7756CD09">
            <w:pPr>
              <w:adjustRightInd w:val="0"/>
              <w:snapToGrid w:val="0"/>
              <w:spacing w:before="50" w:line="360" w:lineRule="auto"/>
              <w:rPr>
                <w:rFonts w:hint="eastAsia" w:hAnsi="宋体"/>
                <w:szCs w:val="21"/>
              </w:rPr>
            </w:pPr>
            <w:r>
              <w:rPr>
                <w:rFonts w:hint="eastAsia" w:ascii="宋体" w:hAnsi="宋体"/>
                <w:bCs/>
                <w:szCs w:val="21"/>
              </w:rPr>
              <w:t>电  话：</w:t>
            </w:r>
            <w:r>
              <w:rPr>
                <w:rFonts w:hint="eastAsia" w:ascii="宋体" w:hAnsi="宋体"/>
                <w:szCs w:val="21"/>
                <w:lang w:val="en-US" w:eastAsia="zh-CN"/>
              </w:rPr>
              <w:t>13873822783</w:t>
            </w:r>
          </w:p>
        </w:tc>
      </w:tr>
      <w:tr w14:paraId="360E4DEA">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1184" w:type="dxa"/>
            <w:vAlign w:val="center"/>
          </w:tcPr>
          <w:p w14:paraId="2165D7B5">
            <w:pPr>
              <w:adjustRightInd w:val="0"/>
              <w:snapToGrid w:val="0"/>
              <w:spacing w:line="360" w:lineRule="auto"/>
              <w:jc w:val="center"/>
              <w:rPr>
                <w:rFonts w:hint="eastAsia" w:ascii="宋体" w:hAnsi="宋体"/>
                <w:szCs w:val="21"/>
              </w:rPr>
            </w:pPr>
            <w:r>
              <w:rPr>
                <w:rFonts w:hint="eastAsia" w:ascii="宋体" w:hAnsi="宋体"/>
                <w:szCs w:val="21"/>
              </w:rPr>
              <w:t>第2.3</w:t>
            </w:r>
            <w:r>
              <w:rPr>
                <w:rFonts w:hint="eastAsia" w:ascii="宋体" w:hAnsi="宋体" w:cs="宋体"/>
                <w:kern w:val="0"/>
                <w:szCs w:val="21"/>
                <w:lang w:val="zh-CN"/>
              </w:rPr>
              <w:t>款</w:t>
            </w:r>
          </w:p>
        </w:tc>
        <w:tc>
          <w:tcPr>
            <w:tcW w:w="1965" w:type="dxa"/>
            <w:gridSpan w:val="2"/>
            <w:vAlign w:val="center"/>
          </w:tcPr>
          <w:p w14:paraId="261447D6">
            <w:pPr>
              <w:adjustRightInd w:val="0"/>
              <w:snapToGrid w:val="0"/>
              <w:spacing w:line="360" w:lineRule="auto"/>
              <w:jc w:val="left"/>
              <w:rPr>
                <w:rFonts w:hint="eastAsia" w:ascii="宋体" w:hAnsi="宋体"/>
                <w:szCs w:val="21"/>
              </w:rPr>
            </w:pPr>
            <w:r>
              <w:rPr>
                <w:rFonts w:hint="eastAsia" w:hAnsi="宋体"/>
                <w:szCs w:val="21"/>
              </w:rPr>
              <w:t>采购代理机构名称、地址、电话、联系人</w:t>
            </w:r>
          </w:p>
        </w:tc>
        <w:tc>
          <w:tcPr>
            <w:tcW w:w="5782" w:type="dxa"/>
            <w:vAlign w:val="center"/>
          </w:tcPr>
          <w:p w14:paraId="19E99D61">
            <w:pPr>
              <w:adjustRightInd w:val="0"/>
              <w:snapToGrid w:val="0"/>
              <w:spacing w:before="50" w:line="360" w:lineRule="auto"/>
              <w:rPr>
                <w:rFonts w:hint="eastAsia" w:ascii="宋体" w:hAnsi="宋体"/>
                <w:bCs/>
                <w:szCs w:val="21"/>
              </w:rPr>
            </w:pPr>
            <w:r>
              <w:rPr>
                <w:rFonts w:hint="eastAsia" w:ascii="宋体" w:hAnsi="宋体"/>
                <w:bCs/>
                <w:szCs w:val="21"/>
              </w:rPr>
              <w:t xml:space="preserve">名  称：  娄底市政府采购中心  </w:t>
            </w:r>
          </w:p>
          <w:p w14:paraId="755732F4">
            <w:pPr>
              <w:adjustRightInd w:val="0"/>
              <w:snapToGrid w:val="0"/>
              <w:spacing w:before="50" w:line="360" w:lineRule="auto"/>
              <w:rPr>
                <w:rFonts w:hint="eastAsia" w:ascii="宋体" w:hAnsi="宋体"/>
                <w:bCs/>
                <w:szCs w:val="21"/>
              </w:rPr>
            </w:pPr>
            <w:r>
              <w:rPr>
                <w:rFonts w:hint="eastAsia" w:ascii="宋体" w:hAnsi="宋体"/>
                <w:bCs/>
                <w:szCs w:val="21"/>
              </w:rPr>
              <w:t>地  址： 娄底市娄星区湘中大道</w:t>
            </w:r>
          </w:p>
          <w:p w14:paraId="52301052">
            <w:pPr>
              <w:adjustRightInd w:val="0"/>
              <w:snapToGrid w:val="0"/>
              <w:spacing w:before="50" w:line="360" w:lineRule="auto"/>
              <w:rPr>
                <w:rFonts w:hint="eastAsia" w:hAnsi="宋体"/>
                <w:szCs w:val="21"/>
              </w:rPr>
            </w:pPr>
            <w:r>
              <w:rPr>
                <w:rFonts w:hint="eastAsia" w:ascii="宋体" w:hAnsi="宋体"/>
                <w:bCs/>
                <w:szCs w:val="21"/>
              </w:rPr>
              <w:t xml:space="preserve">电  话： 0738-6371181    </w:t>
            </w:r>
          </w:p>
        </w:tc>
      </w:tr>
      <w:tr w14:paraId="61D4388C">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1184" w:type="dxa"/>
            <w:vAlign w:val="center"/>
          </w:tcPr>
          <w:p w14:paraId="57B0EDF0">
            <w:pPr>
              <w:adjustRightInd w:val="0"/>
              <w:snapToGrid w:val="0"/>
              <w:spacing w:line="360" w:lineRule="auto"/>
              <w:jc w:val="center"/>
              <w:rPr>
                <w:rFonts w:hint="eastAsia" w:ascii="宋体" w:hAnsi="宋体"/>
                <w:szCs w:val="21"/>
              </w:rPr>
            </w:pPr>
            <w:r>
              <w:rPr>
                <w:rFonts w:hint="eastAsia" w:ascii="宋体" w:hAnsi="宋体"/>
                <w:szCs w:val="21"/>
              </w:rPr>
              <w:t>第3.1</w:t>
            </w:r>
            <w:r>
              <w:rPr>
                <w:rFonts w:hint="eastAsia" w:ascii="宋体" w:hAnsi="宋体" w:cs="宋体"/>
                <w:kern w:val="0"/>
                <w:szCs w:val="21"/>
                <w:lang w:val="zh-CN"/>
              </w:rPr>
              <w:t>款</w:t>
            </w:r>
          </w:p>
        </w:tc>
        <w:tc>
          <w:tcPr>
            <w:tcW w:w="1965" w:type="dxa"/>
            <w:gridSpan w:val="2"/>
            <w:vAlign w:val="center"/>
          </w:tcPr>
          <w:p w14:paraId="62A0EC50">
            <w:pPr>
              <w:adjustRightInd w:val="0"/>
              <w:snapToGrid w:val="0"/>
              <w:spacing w:line="360" w:lineRule="auto"/>
              <w:jc w:val="left"/>
              <w:rPr>
                <w:rFonts w:hint="eastAsia" w:hAnsi="宋体"/>
                <w:szCs w:val="21"/>
              </w:rPr>
            </w:pPr>
            <w:r>
              <w:rPr>
                <w:rFonts w:hint="eastAsia" w:ascii="宋体" w:hAnsi="宋体"/>
                <w:szCs w:val="21"/>
              </w:rPr>
              <w:t>投标人资格条件</w:t>
            </w:r>
          </w:p>
        </w:tc>
        <w:tc>
          <w:tcPr>
            <w:tcW w:w="5782" w:type="dxa"/>
            <w:vAlign w:val="center"/>
          </w:tcPr>
          <w:p w14:paraId="1C38C3CE">
            <w:pPr>
              <w:adjustRightInd w:val="0"/>
              <w:snapToGrid w:val="0"/>
            </w:pPr>
            <w:r>
              <w:rPr>
                <w:rFonts w:hint="eastAsia"/>
              </w:rPr>
              <w:t>1、投标人的基本资格条件：投标人必须是在中华人民共和国境内注册登记的法人、其他组织或者自然人，且应当符合《政府采购法》第二十二条第一款的规定。</w:t>
            </w:r>
          </w:p>
          <w:p w14:paraId="2376B6FA">
            <w:pPr>
              <w:adjustRightInd w:val="0"/>
              <w:snapToGrid w:val="0"/>
            </w:pPr>
            <w:r>
              <w:rPr>
                <w:rFonts w:hint="eastAsia"/>
              </w:rPr>
              <w:t>（1）提供法人或者其他组织的营业执照等主体资格证明文件，自然人的身份证明；</w:t>
            </w:r>
          </w:p>
          <w:p w14:paraId="5B36E394">
            <w:pPr>
              <w:adjustRightInd w:val="0"/>
              <w:snapToGrid w:val="0"/>
            </w:pPr>
            <w:r>
              <w:rPr>
                <w:rFonts w:hint="eastAsia"/>
              </w:rPr>
              <w:t>（2）提供湖南省政府采购供应商资格承诺函。</w:t>
            </w:r>
          </w:p>
          <w:p w14:paraId="1D493D6A">
            <w:pPr>
              <w:adjustRightInd w:val="0"/>
              <w:snapToGrid w:val="0"/>
            </w:pPr>
            <w:r>
              <w:rPr>
                <w:rFonts w:hint="eastAsia"/>
              </w:rPr>
              <w:t>（3）提供投标人资格声明。</w:t>
            </w:r>
          </w:p>
          <w:p w14:paraId="764475D3">
            <w:pPr>
              <w:adjustRightInd w:val="0"/>
              <w:snapToGrid w:val="0"/>
              <w:spacing w:line="360" w:lineRule="auto"/>
              <w:rPr>
                <w:rFonts w:hint="eastAsia" w:ascii="宋体" w:hAnsi="宋体"/>
                <w:szCs w:val="21"/>
              </w:rPr>
            </w:pPr>
            <w:r>
              <w:rPr>
                <w:rFonts w:hint="eastAsia" w:ascii="宋体" w:hAnsi="宋体"/>
                <w:szCs w:val="21"/>
              </w:rPr>
              <w:t>2、落实政府采购政策需满足的资格要求：</w:t>
            </w:r>
          </w:p>
          <w:p w14:paraId="092A236D">
            <w:pPr>
              <w:adjustRightInd w:val="0"/>
              <w:snapToGrid w:val="0"/>
            </w:pPr>
            <w:r>
              <w:rPr>
                <w:rFonts w:hint="eastAsia"/>
              </w:rPr>
              <w:sym w:font="Wingdings" w:char="00A8"/>
            </w:r>
            <w:r>
              <w:rPr>
                <w:rFonts w:hint="eastAsia"/>
              </w:rPr>
              <w:t>专门面向：</w:t>
            </w:r>
            <w:r>
              <w:rPr>
                <w:rFonts w:hint="eastAsia"/>
              </w:rPr>
              <w:sym w:font="Wingdings" w:char="00A8"/>
            </w:r>
            <w:r>
              <w:rPr>
                <w:rFonts w:hint="eastAsia"/>
              </w:rPr>
              <w:t xml:space="preserve">中小企业  </w:t>
            </w:r>
            <w:r>
              <w:rPr>
                <w:rFonts w:hint="eastAsia"/>
              </w:rPr>
              <w:sym w:font="Wingdings" w:char="00A8"/>
            </w:r>
            <w:r>
              <w:rPr>
                <w:rFonts w:hint="eastAsia"/>
              </w:rPr>
              <w:t xml:space="preserve">小微企业 </w:t>
            </w:r>
            <w:r>
              <w:rPr>
                <w:rFonts w:hint="eastAsia"/>
              </w:rPr>
              <w:sym w:font="Wingdings" w:char="00A8"/>
            </w:r>
            <w:r>
              <w:rPr>
                <w:rFonts w:hint="eastAsia"/>
              </w:rPr>
              <w:t xml:space="preserve">监狱企业 </w:t>
            </w:r>
            <w:r>
              <w:rPr>
                <w:rFonts w:hint="eastAsia"/>
              </w:rPr>
              <w:sym w:font="Wingdings" w:char="00A8"/>
            </w:r>
            <w:r>
              <w:rPr>
                <w:rFonts w:hint="eastAsia"/>
              </w:rPr>
              <w:t>福利性单位。</w:t>
            </w:r>
          </w:p>
          <w:p w14:paraId="652D58EF">
            <w:pPr>
              <w:adjustRightInd w:val="0"/>
              <w:snapToGrid w:val="0"/>
              <w:spacing w:line="360" w:lineRule="auto"/>
              <w:rPr>
                <w:rFonts w:hint="eastAsia" w:ascii="宋体" w:hAnsi="宋体"/>
                <w:bCs/>
                <w:szCs w:val="21"/>
              </w:rPr>
            </w:pPr>
            <w:r>
              <w:rPr>
                <w:rFonts w:hint="eastAsia" w:ascii="宋体" w:hAnsi="宋体"/>
                <w:iCs/>
                <w:szCs w:val="21"/>
              </w:rPr>
              <w:sym w:font="Wingdings" w:char="00A8"/>
            </w:r>
            <w:r>
              <w:rPr>
                <w:rFonts w:hint="eastAsia" w:ascii="宋体" w:hAnsi="宋体"/>
                <w:iCs/>
                <w:szCs w:val="21"/>
              </w:rPr>
              <w:t>强制</w:t>
            </w:r>
            <w:r>
              <w:rPr>
                <w:rFonts w:hint="eastAsia" w:ascii="宋体" w:hAnsi="宋体"/>
                <w:bCs/>
                <w:szCs w:val="21"/>
              </w:rPr>
              <w:t>分包：大型企业应将采购份额的</w:t>
            </w:r>
            <w:r>
              <w:rPr>
                <w:rFonts w:hint="eastAsia" w:ascii="宋体" w:hAnsi="宋体"/>
                <w:bCs/>
                <w:szCs w:val="21"/>
                <w:u w:val="single"/>
              </w:rPr>
              <w:t xml:space="preserve"> / </w:t>
            </w:r>
            <w:r>
              <w:rPr>
                <w:rFonts w:hint="eastAsia" w:ascii="宋体" w:hAnsi="宋体"/>
                <w:bCs/>
                <w:szCs w:val="21"/>
              </w:rPr>
              <w:t>%分包给中小企业。</w:t>
            </w:r>
          </w:p>
          <w:p w14:paraId="00A7437C">
            <w:pPr>
              <w:pStyle w:val="64"/>
              <w:ind w:firstLine="4" w:firstLineChars="2"/>
              <w:rPr>
                <w:rFonts w:hint="eastAsia" w:ascii="宋体" w:hAnsi="宋体"/>
              </w:rPr>
            </w:pPr>
            <w:r>
              <w:rPr>
                <w:rFonts w:hint="eastAsia" w:ascii="宋体" w:hAnsi="宋体" w:cs="宋体"/>
                <w:iCs/>
              </w:rPr>
              <w:sym w:font="Wingdings" w:char="00FE"/>
            </w:r>
            <w:r>
              <w:rPr>
                <w:rFonts w:hint="eastAsia" w:ascii="宋体" w:hAnsi="宋体"/>
              </w:rPr>
              <w:t>非专门面向中小企业采购，且符合政府采购促进中小企业发展相关规定的：</w:t>
            </w:r>
          </w:p>
          <w:p w14:paraId="25B7DAEB">
            <w:pPr>
              <w:pStyle w:val="64"/>
              <w:ind w:firstLine="4" w:firstLineChars="2"/>
              <w:rPr>
                <w:rFonts w:hint="eastAsia" w:ascii="宋体" w:hAnsi="宋体"/>
              </w:rPr>
            </w:pPr>
            <w:r>
              <w:rPr>
                <w:rFonts w:hint="eastAsia" w:ascii="宋体" w:hAnsi="宋体"/>
              </w:rPr>
              <w:t>（1）给予小型和微型企业产品（服务）的价格给予10%-20%（工程项目6%-10%）的扣除，用扣除后的价格参与评审，本项目具体扣除比例为</w:t>
            </w:r>
            <w:r>
              <w:rPr>
                <w:rFonts w:hint="eastAsia" w:ascii="宋体" w:hAnsi="宋体"/>
                <w:u w:val="single"/>
              </w:rPr>
              <w:t>10</w:t>
            </w:r>
            <w:r>
              <w:rPr>
                <w:rFonts w:hint="eastAsia" w:ascii="宋体" w:hAnsi="宋体"/>
                <w:bCs/>
                <w:u w:val="single"/>
              </w:rPr>
              <w:t xml:space="preserve"> </w:t>
            </w:r>
            <w:r>
              <w:rPr>
                <w:rFonts w:hint="eastAsia" w:ascii="宋体" w:hAnsi="宋体"/>
              </w:rPr>
              <w:t>%。</w:t>
            </w:r>
          </w:p>
          <w:p w14:paraId="43FC36F0">
            <w:pPr>
              <w:pStyle w:val="64"/>
              <w:ind w:firstLine="4" w:firstLineChars="2"/>
            </w:pPr>
            <w:r>
              <w:rPr>
                <w:rFonts w:hint="eastAsia" w:ascii="宋体" w:hAnsi="宋体"/>
              </w:rPr>
              <w:t>（2）给予联合体2%-3%的价格扣除，用扣除后的价格参与评审，本项目具体扣除比例为</w:t>
            </w:r>
            <w:r>
              <w:rPr>
                <w:rFonts w:hint="eastAsia" w:ascii="宋体" w:hAnsi="宋体"/>
                <w:u w:val="single"/>
              </w:rPr>
              <w:t>/</w:t>
            </w:r>
            <w:r>
              <w:rPr>
                <w:rFonts w:hint="eastAsia" w:ascii="宋体" w:hAnsi="宋体"/>
                <w:bCs/>
                <w:u w:val="single"/>
              </w:rPr>
              <w:t xml:space="preserve"> </w:t>
            </w:r>
            <w:r>
              <w:rPr>
                <w:rFonts w:hint="eastAsia" w:ascii="宋体" w:hAnsi="宋体"/>
              </w:rPr>
              <w:t>%。</w:t>
            </w:r>
          </w:p>
          <w:p w14:paraId="2C2524B7">
            <w:pPr>
              <w:adjustRightInd w:val="0"/>
              <w:snapToGrid w:val="0"/>
              <w:rPr>
                <w:color w:val="FF0000"/>
                <w:u w:val="single"/>
              </w:rPr>
            </w:pPr>
            <w:r>
              <w:rPr>
                <w:rFonts w:hint="eastAsia"/>
              </w:rPr>
              <w:t>3、采购项目的特定资格条件：</w:t>
            </w:r>
            <w:r>
              <w:rPr>
                <w:rFonts w:hint="eastAsia"/>
                <w:u w:val="single"/>
              </w:rPr>
              <w:t xml:space="preserve"> </w:t>
            </w:r>
            <w:r>
              <w:rPr>
                <w:rFonts w:hint="eastAsia" w:ascii="宋体" w:hAnsi="宋体"/>
                <w:szCs w:val="21"/>
                <w:highlight w:val="white"/>
                <w:u w:val="single"/>
              </w:rPr>
              <w:t xml:space="preserve">/ </w:t>
            </w:r>
          </w:p>
          <w:p w14:paraId="516F64B5">
            <w:pPr>
              <w:pStyle w:val="26"/>
              <w:spacing w:after="0"/>
              <w:ind w:left="0" w:leftChars="0" w:firstLine="0" w:firstLineChars="0"/>
            </w:pPr>
            <w:r>
              <w:rPr>
                <w:rFonts w:hint="eastAsia"/>
              </w:rPr>
              <w:t>4、单位负责人为同一人或者存在直接控股、管理关系的不同投标人，不得参加同一合同项下的政府采购活动。</w:t>
            </w:r>
          </w:p>
          <w:p w14:paraId="2D792ABC">
            <w:pPr>
              <w:pStyle w:val="26"/>
              <w:spacing w:after="0"/>
              <w:ind w:left="0" w:leftChars="0" w:firstLine="0" w:firstLineChars="0"/>
            </w:pPr>
            <w:r>
              <w:rPr>
                <w:rFonts w:hint="eastAsia"/>
              </w:rPr>
              <w:t>5、为本采购项目提供整体设计、规范编制或者项目管理、监理、检测等服务的，不得再参加此项目的其他采购活动。</w:t>
            </w:r>
          </w:p>
          <w:p w14:paraId="1D023E9B">
            <w:pPr>
              <w:pStyle w:val="26"/>
              <w:spacing w:after="0"/>
              <w:ind w:left="0" w:leftChars="0" w:firstLine="0" w:firstLineChars="0"/>
            </w:pPr>
            <w:r>
              <w:rPr>
                <w:rFonts w:hint="eastAsia"/>
              </w:rPr>
              <w:t>6、列入失信被执行人、重大税收违法失信主体名单、政府采购严重违法失信行为记录名单的，拒绝其参与政府采购活动（提供“信用中国”网站（www.creditchina.gov.cn）、中国政府采购网（www.ccgp.gov.cn）网上查询</w:t>
            </w:r>
            <w:r>
              <w:rPr>
                <w:rFonts w:hint="eastAsia" w:ascii="宋体" w:hAnsi="宋体"/>
                <w:bCs/>
                <w:iCs/>
              </w:rPr>
              <w:t>结果截图打印件</w:t>
            </w:r>
            <w:r>
              <w:rPr>
                <w:rFonts w:hint="eastAsia"/>
              </w:rPr>
              <w:t>加盖公章）。</w:t>
            </w:r>
          </w:p>
          <w:p w14:paraId="7EFDD8B1">
            <w:pPr>
              <w:adjustRightInd w:val="0"/>
              <w:snapToGrid w:val="0"/>
              <w:spacing w:line="420" w:lineRule="exact"/>
              <w:rPr>
                <w:rFonts w:hint="eastAsia" w:hAnsi="宋体"/>
                <w:szCs w:val="21"/>
              </w:rPr>
            </w:pPr>
            <w:r>
              <w:rPr>
                <w:rFonts w:hint="eastAsia"/>
              </w:rPr>
              <w:t>7、资格审查方式：实行开标后资格审查。</w:t>
            </w:r>
          </w:p>
        </w:tc>
      </w:tr>
      <w:tr w14:paraId="7F967922">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1184" w:type="dxa"/>
            <w:vAlign w:val="center"/>
          </w:tcPr>
          <w:p w14:paraId="411F0AE4">
            <w:pPr>
              <w:adjustRightInd w:val="0"/>
              <w:snapToGrid w:val="0"/>
              <w:spacing w:line="360" w:lineRule="auto"/>
              <w:jc w:val="center"/>
              <w:rPr>
                <w:rFonts w:hint="eastAsia" w:ascii="宋体" w:hAnsi="宋体"/>
                <w:szCs w:val="21"/>
              </w:rPr>
            </w:pPr>
            <w:r>
              <w:rPr>
                <w:rFonts w:hint="eastAsia" w:ascii="宋体" w:hAnsi="宋体"/>
                <w:szCs w:val="21"/>
              </w:rPr>
              <w:t>第3.2</w:t>
            </w:r>
            <w:r>
              <w:rPr>
                <w:rFonts w:hint="eastAsia" w:ascii="宋体" w:hAnsi="宋体" w:cs="宋体"/>
                <w:kern w:val="0"/>
                <w:szCs w:val="21"/>
                <w:lang w:val="zh-CN"/>
              </w:rPr>
              <w:t>款</w:t>
            </w:r>
          </w:p>
        </w:tc>
        <w:tc>
          <w:tcPr>
            <w:tcW w:w="1965" w:type="dxa"/>
            <w:gridSpan w:val="2"/>
            <w:vAlign w:val="center"/>
          </w:tcPr>
          <w:p w14:paraId="62A2506C">
            <w:pPr>
              <w:adjustRightInd w:val="0"/>
              <w:snapToGrid w:val="0"/>
              <w:spacing w:line="360" w:lineRule="auto"/>
              <w:jc w:val="left"/>
              <w:rPr>
                <w:rFonts w:hint="eastAsia" w:hAnsi="宋体"/>
                <w:szCs w:val="21"/>
              </w:rPr>
            </w:pPr>
            <w:r>
              <w:rPr>
                <w:rFonts w:hint="eastAsia" w:hAnsi="宋体"/>
                <w:szCs w:val="21"/>
              </w:rPr>
              <w:t>接受联合体形式投标</w:t>
            </w:r>
          </w:p>
        </w:tc>
        <w:tc>
          <w:tcPr>
            <w:tcW w:w="5782" w:type="dxa"/>
            <w:vAlign w:val="center"/>
          </w:tcPr>
          <w:p w14:paraId="226D1FD7">
            <w:pPr>
              <w:adjustRightInd w:val="0"/>
              <w:snapToGrid w:val="0"/>
              <w:spacing w:line="420" w:lineRule="exact"/>
              <w:rPr>
                <w:rFonts w:hint="eastAsia" w:ascii="宋体" w:hAnsi="宋体"/>
                <w:szCs w:val="21"/>
              </w:rPr>
            </w:pPr>
            <w:r>
              <w:rPr>
                <w:rFonts w:hint="eastAsia" w:ascii="宋体" w:hAnsi="宋体"/>
                <w:szCs w:val="21"/>
              </w:rPr>
              <w:sym w:font="Wingdings" w:char="00FE"/>
            </w:r>
            <w:r>
              <w:rPr>
                <w:rFonts w:hint="eastAsia" w:ascii="宋体" w:hAnsi="宋体"/>
                <w:szCs w:val="21"/>
              </w:rPr>
              <w:t>本采购项目不接受联合体投标</w:t>
            </w:r>
          </w:p>
          <w:p w14:paraId="2EFF1A7B">
            <w:pPr>
              <w:adjustRightInd w:val="0"/>
              <w:snapToGrid w:val="0"/>
              <w:spacing w:line="420" w:lineRule="exact"/>
              <w:rPr>
                <w:rFonts w:hint="eastAsia" w:hAnsi="宋体"/>
                <w:szCs w:val="21"/>
              </w:rPr>
            </w:pPr>
            <w:r>
              <w:rPr>
                <w:rFonts w:hint="eastAsia" w:ascii="宋体" w:hAnsi="宋体"/>
              </w:rPr>
              <w:t>□本采购项目接受联合体投标</w:t>
            </w:r>
          </w:p>
        </w:tc>
      </w:tr>
      <w:tr w14:paraId="6524880E">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1184" w:type="dxa"/>
            <w:vAlign w:val="center"/>
          </w:tcPr>
          <w:p w14:paraId="29BEF996">
            <w:pPr>
              <w:adjustRightInd w:val="0"/>
              <w:snapToGrid w:val="0"/>
              <w:spacing w:line="360" w:lineRule="auto"/>
              <w:jc w:val="center"/>
              <w:rPr>
                <w:rFonts w:hint="eastAsia" w:ascii="宋体" w:hAnsi="宋体"/>
                <w:szCs w:val="21"/>
              </w:rPr>
            </w:pPr>
            <w:r>
              <w:rPr>
                <w:rFonts w:hint="eastAsia" w:ascii="宋体" w:hAnsi="宋体"/>
                <w:szCs w:val="21"/>
              </w:rPr>
              <w:t>第5.1</w:t>
            </w:r>
            <w:r>
              <w:rPr>
                <w:rFonts w:hint="eastAsia" w:ascii="宋体" w:hAnsi="宋体" w:cs="宋体"/>
                <w:kern w:val="0"/>
                <w:szCs w:val="21"/>
                <w:lang w:val="zh-CN"/>
              </w:rPr>
              <w:t>款</w:t>
            </w:r>
          </w:p>
        </w:tc>
        <w:tc>
          <w:tcPr>
            <w:tcW w:w="1965" w:type="dxa"/>
            <w:gridSpan w:val="2"/>
            <w:vAlign w:val="center"/>
          </w:tcPr>
          <w:p w14:paraId="01B26990">
            <w:pPr>
              <w:adjustRightInd w:val="0"/>
              <w:snapToGrid w:val="0"/>
              <w:spacing w:line="360" w:lineRule="auto"/>
              <w:jc w:val="left"/>
              <w:rPr>
                <w:rFonts w:hint="eastAsia" w:hAnsi="宋体"/>
                <w:szCs w:val="21"/>
              </w:rPr>
            </w:pPr>
            <w:r>
              <w:rPr>
                <w:rFonts w:hint="eastAsia" w:ascii="宋体" w:hAnsi="宋体"/>
                <w:szCs w:val="21"/>
              </w:rPr>
              <w:t>招标文件提供期限</w:t>
            </w:r>
          </w:p>
        </w:tc>
        <w:tc>
          <w:tcPr>
            <w:tcW w:w="5782" w:type="dxa"/>
            <w:vAlign w:val="center"/>
          </w:tcPr>
          <w:p w14:paraId="6848A90E">
            <w:pPr>
              <w:adjustRightInd w:val="0"/>
              <w:snapToGrid w:val="0"/>
              <w:spacing w:line="420" w:lineRule="exact"/>
              <w:rPr>
                <w:rFonts w:hint="eastAsia" w:hAnsi="宋体"/>
                <w:szCs w:val="21"/>
              </w:rPr>
            </w:pPr>
            <w:r>
              <w:rPr>
                <w:rFonts w:hAnsi="宋体"/>
                <w:szCs w:val="21"/>
              </w:rPr>
              <w:t>即日起至投标截止时间止</w:t>
            </w:r>
            <w:r>
              <w:rPr>
                <w:rFonts w:hint="eastAsia" w:hAnsi="宋体"/>
                <w:szCs w:val="21"/>
              </w:rPr>
              <w:t>（详见外网公告）</w:t>
            </w:r>
          </w:p>
        </w:tc>
      </w:tr>
      <w:tr w14:paraId="4015A453">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1184" w:type="dxa"/>
            <w:vAlign w:val="center"/>
          </w:tcPr>
          <w:p w14:paraId="476B280E">
            <w:pPr>
              <w:adjustRightInd w:val="0"/>
              <w:snapToGrid w:val="0"/>
              <w:spacing w:line="360" w:lineRule="auto"/>
              <w:jc w:val="center"/>
              <w:rPr>
                <w:rFonts w:hint="eastAsia" w:ascii="宋体" w:hAnsi="宋体"/>
                <w:szCs w:val="21"/>
              </w:rPr>
            </w:pPr>
            <w:r>
              <w:rPr>
                <w:rFonts w:hint="eastAsia" w:ascii="宋体" w:hAnsi="宋体"/>
                <w:szCs w:val="21"/>
              </w:rPr>
              <w:t>第5.2</w:t>
            </w:r>
            <w:r>
              <w:rPr>
                <w:rFonts w:hint="eastAsia" w:ascii="宋体" w:hAnsi="宋体" w:cs="宋体"/>
                <w:kern w:val="0"/>
                <w:szCs w:val="21"/>
                <w:lang w:val="zh-CN"/>
              </w:rPr>
              <w:t>款</w:t>
            </w:r>
          </w:p>
        </w:tc>
        <w:tc>
          <w:tcPr>
            <w:tcW w:w="1965" w:type="dxa"/>
            <w:gridSpan w:val="2"/>
            <w:vAlign w:val="center"/>
          </w:tcPr>
          <w:p w14:paraId="5B53C149">
            <w:pPr>
              <w:adjustRightInd w:val="0"/>
              <w:snapToGrid w:val="0"/>
              <w:spacing w:line="360" w:lineRule="auto"/>
              <w:jc w:val="left"/>
              <w:rPr>
                <w:rFonts w:hint="eastAsia" w:ascii="宋体" w:hAnsi="宋体"/>
                <w:szCs w:val="21"/>
              </w:rPr>
            </w:pPr>
            <w:r>
              <w:rPr>
                <w:rFonts w:hint="eastAsia" w:ascii="宋体" w:hAnsi="宋体"/>
                <w:szCs w:val="21"/>
              </w:rPr>
              <w:t>组织现场考察或者召开答疑会</w:t>
            </w:r>
          </w:p>
        </w:tc>
        <w:tc>
          <w:tcPr>
            <w:tcW w:w="5782" w:type="dxa"/>
            <w:vAlign w:val="center"/>
          </w:tcPr>
          <w:p w14:paraId="41D11CD3">
            <w:pPr>
              <w:adjustRightInd w:val="0"/>
              <w:snapToGrid w:val="0"/>
              <w:spacing w:line="360" w:lineRule="auto"/>
              <w:rPr>
                <w:rFonts w:hint="eastAsia" w:ascii="宋体" w:hAnsi="宋体"/>
                <w:szCs w:val="21"/>
              </w:rPr>
            </w:pPr>
            <w:r>
              <w:rPr>
                <w:rFonts w:hint="eastAsia" w:ascii="宋体" w:hAnsi="宋体"/>
                <w:iCs/>
                <w:szCs w:val="21"/>
              </w:rPr>
              <w:sym w:font="Wingdings" w:char="00FE"/>
            </w:r>
            <w:r>
              <w:rPr>
                <w:rFonts w:ascii="宋体" w:hAnsi="宋体"/>
                <w:szCs w:val="21"/>
              </w:rPr>
              <w:t>不组织</w:t>
            </w:r>
          </w:p>
          <w:p w14:paraId="4614F3C0">
            <w:pPr>
              <w:adjustRightInd w:val="0"/>
              <w:snapToGrid w:val="0"/>
              <w:spacing w:line="360" w:lineRule="auto"/>
              <w:rPr>
                <w:rFonts w:hint="eastAsia" w:ascii="宋体" w:hAnsi="宋体"/>
                <w:szCs w:val="21"/>
              </w:rPr>
            </w:pPr>
            <w:r>
              <w:rPr>
                <w:rFonts w:hint="eastAsia" w:ascii="MS Gothic" w:hAnsi="MS Gothic" w:eastAsia="MS Gothic" w:cs="MS Gothic"/>
                <w:szCs w:val="21"/>
              </w:rPr>
              <w:t>☐</w:t>
            </w:r>
            <w:r>
              <w:rPr>
                <w:rFonts w:hint="eastAsia" w:ascii="宋体" w:hAnsi="宋体"/>
                <w:szCs w:val="21"/>
              </w:rPr>
              <w:t>组织，集合时间：</w:t>
            </w:r>
            <w:r>
              <w:rPr>
                <w:rFonts w:hint="eastAsia" w:ascii="宋体" w:hAnsi="宋体"/>
                <w:szCs w:val="21"/>
                <w:u w:val="single"/>
              </w:rPr>
              <w:t xml:space="preserve">     </w:t>
            </w:r>
            <w:r>
              <w:rPr>
                <w:rFonts w:hint="eastAsia" w:ascii="宋体" w:hAnsi="宋体"/>
                <w:szCs w:val="21"/>
              </w:rPr>
              <w:t>年</w:t>
            </w:r>
            <w:r>
              <w:rPr>
                <w:rFonts w:hint="eastAsia" w:ascii="宋体" w:hAnsi="宋体"/>
                <w:szCs w:val="21"/>
                <w:u w:val="single"/>
              </w:rPr>
              <w:t xml:space="preserve">    </w:t>
            </w:r>
            <w:r>
              <w:rPr>
                <w:rFonts w:hint="eastAsia" w:ascii="宋体" w:hAnsi="宋体"/>
                <w:szCs w:val="21"/>
              </w:rPr>
              <w:t>月</w:t>
            </w:r>
            <w:r>
              <w:rPr>
                <w:rFonts w:hint="eastAsia" w:ascii="宋体" w:hAnsi="宋体"/>
                <w:szCs w:val="21"/>
                <w:u w:val="single"/>
              </w:rPr>
              <w:t xml:space="preserve">   </w:t>
            </w:r>
            <w:r>
              <w:rPr>
                <w:rFonts w:hint="eastAsia" w:ascii="宋体" w:hAnsi="宋体"/>
                <w:szCs w:val="21"/>
              </w:rPr>
              <w:t>日</w:t>
            </w:r>
            <w:r>
              <w:rPr>
                <w:rFonts w:hint="eastAsia" w:ascii="宋体" w:hAnsi="宋体"/>
                <w:szCs w:val="21"/>
                <w:u w:val="single"/>
              </w:rPr>
              <w:t xml:space="preserve">    </w:t>
            </w:r>
            <w:r>
              <w:rPr>
                <w:rFonts w:hint="eastAsia" w:ascii="宋体" w:hAnsi="宋体"/>
                <w:szCs w:val="21"/>
              </w:rPr>
              <w:t xml:space="preserve">时                   </w:t>
            </w:r>
          </w:p>
          <w:p w14:paraId="09067B7C">
            <w:pPr>
              <w:adjustRightInd w:val="0"/>
              <w:snapToGrid w:val="0"/>
              <w:spacing w:line="360" w:lineRule="auto"/>
              <w:rPr>
                <w:rFonts w:hint="eastAsia" w:ascii="宋体" w:hAnsi="宋体"/>
                <w:szCs w:val="21"/>
              </w:rPr>
            </w:pPr>
            <w:r>
              <w:rPr>
                <w:rFonts w:hint="eastAsia" w:ascii="宋体" w:hAnsi="宋体"/>
                <w:szCs w:val="21"/>
              </w:rPr>
              <w:t xml:space="preserve">  集合地点：</w:t>
            </w:r>
            <w:r>
              <w:rPr>
                <w:rFonts w:hint="eastAsia" w:ascii="宋体" w:hAnsi="宋体"/>
                <w:szCs w:val="21"/>
                <w:u w:val="single"/>
              </w:rPr>
              <w:t xml:space="preserve">  </w:t>
            </w:r>
          </w:p>
        </w:tc>
      </w:tr>
      <w:tr w14:paraId="77D5A58E">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8931" w:type="dxa"/>
            <w:gridSpan w:val="4"/>
            <w:vAlign w:val="center"/>
          </w:tcPr>
          <w:p w14:paraId="489C8FFA">
            <w:pPr>
              <w:adjustRightInd w:val="0"/>
              <w:snapToGrid w:val="0"/>
              <w:spacing w:line="360" w:lineRule="auto"/>
              <w:rPr>
                <w:rFonts w:hint="eastAsia" w:ascii="宋体" w:hAnsi="宋体"/>
                <w:b/>
                <w:szCs w:val="21"/>
              </w:rPr>
            </w:pPr>
            <w:r>
              <w:rPr>
                <w:rFonts w:hint="eastAsia" w:ascii="宋体" w:hAnsi="宋体"/>
                <w:b/>
                <w:szCs w:val="21"/>
              </w:rPr>
              <w:t>二、招标文件</w:t>
            </w:r>
          </w:p>
        </w:tc>
      </w:tr>
      <w:tr w14:paraId="1651EC9E">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1184" w:type="dxa"/>
            <w:vAlign w:val="center"/>
          </w:tcPr>
          <w:p w14:paraId="4A1BD340">
            <w:pPr>
              <w:adjustRightInd w:val="0"/>
              <w:snapToGrid w:val="0"/>
              <w:spacing w:line="360" w:lineRule="auto"/>
              <w:jc w:val="center"/>
              <w:rPr>
                <w:rFonts w:hint="eastAsia" w:ascii="宋体" w:hAnsi="宋体"/>
                <w:szCs w:val="21"/>
              </w:rPr>
            </w:pPr>
            <w:r>
              <w:rPr>
                <w:rFonts w:hint="eastAsia" w:ascii="宋体" w:hAnsi="宋体"/>
                <w:szCs w:val="21"/>
              </w:rPr>
              <w:t>第7.4</w:t>
            </w:r>
            <w:r>
              <w:rPr>
                <w:rFonts w:hint="eastAsia" w:ascii="宋体" w:hAnsi="宋体" w:cs="宋体"/>
                <w:kern w:val="0"/>
                <w:szCs w:val="21"/>
                <w:lang w:val="zh-CN"/>
              </w:rPr>
              <w:t>款</w:t>
            </w:r>
          </w:p>
        </w:tc>
        <w:tc>
          <w:tcPr>
            <w:tcW w:w="1965" w:type="dxa"/>
            <w:gridSpan w:val="2"/>
            <w:vAlign w:val="center"/>
          </w:tcPr>
          <w:p w14:paraId="3AE0C5B0">
            <w:pPr>
              <w:adjustRightInd w:val="0"/>
              <w:snapToGrid w:val="0"/>
              <w:rPr>
                <w:rFonts w:hint="eastAsia" w:ascii="宋体" w:hAnsi="宋体"/>
                <w:color w:val="000000"/>
                <w:szCs w:val="21"/>
              </w:rPr>
            </w:pPr>
            <w:r>
              <w:rPr>
                <w:rFonts w:hint="eastAsia" w:ascii="宋体" w:hAnsi="宋体"/>
                <w:color w:val="000000"/>
                <w:szCs w:val="21"/>
              </w:rPr>
              <w:t>非实质性偏离的范围和幅度</w:t>
            </w:r>
          </w:p>
        </w:tc>
        <w:tc>
          <w:tcPr>
            <w:tcW w:w="5782" w:type="dxa"/>
            <w:vAlign w:val="center"/>
          </w:tcPr>
          <w:p w14:paraId="6A70FC97">
            <w:pPr>
              <w:adjustRightInd w:val="0"/>
              <w:snapToGrid w:val="0"/>
              <w:rPr>
                <w:rFonts w:hint="eastAsia" w:ascii="宋体" w:hAnsi="宋体"/>
                <w:color w:val="000000"/>
                <w:szCs w:val="21"/>
              </w:rPr>
            </w:pPr>
            <w:r>
              <w:rPr>
                <w:rFonts w:hint="eastAsia" w:ascii="宋体" w:hAnsi="宋体"/>
                <w:color w:val="000000"/>
                <w:szCs w:val="21"/>
              </w:rPr>
              <w:t>一般参数条款≥</w:t>
            </w:r>
            <w:r>
              <w:rPr>
                <w:rFonts w:hint="eastAsia" w:ascii="宋体" w:hAnsi="宋体"/>
                <w:color w:val="000000"/>
                <w:szCs w:val="21"/>
                <w:u w:val="single"/>
                <w:lang w:val="en-US" w:eastAsia="zh-CN"/>
              </w:rPr>
              <w:t>/</w:t>
            </w:r>
            <w:r>
              <w:rPr>
                <w:rFonts w:hint="eastAsia" w:ascii="宋体" w:hAnsi="宋体"/>
                <w:color w:val="000000"/>
                <w:szCs w:val="21"/>
              </w:rPr>
              <w:t>项将导致投标无效</w:t>
            </w:r>
          </w:p>
        </w:tc>
      </w:tr>
      <w:tr w14:paraId="1002CB88">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1184" w:type="dxa"/>
            <w:vAlign w:val="center"/>
          </w:tcPr>
          <w:p w14:paraId="6C5C95F3">
            <w:pPr>
              <w:adjustRightInd w:val="0"/>
              <w:snapToGrid w:val="0"/>
              <w:spacing w:line="360" w:lineRule="auto"/>
              <w:jc w:val="center"/>
              <w:rPr>
                <w:rFonts w:hint="eastAsia" w:ascii="宋体" w:hAnsi="宋体"/>
                <w:szCs w:val="21"/>
              </w:rPr>
            </w:pPr>
            <w:r>
              <w:rPr>
                <w:rFonts w:hint="eastAsia" w:ascii="宋体" w:hAnsi="宋体"/>
                <w:szCs w:val="21"/>
              </w:rPr>
              <w:t>第9.1</w:t>
            </w:r>
            <w:r>
              <w:rPr>
                <w:rFonts w:hint="eastAsia" w:ascii="宋体" w:hAnsi="宋体" w:cs="宋体"/>
                <w:kern w:val="0"/>
                <w:szCs w:val="21"/>
                <w:lang w:val="zh-CN"/>
              </w:rPr>
              <w:t>款</w:t>
            </w:r>
          </w:p>
        </w:tc>
        <w:tc>
          <w:tcPr>
            <w:tcW w:w="1965" w:type="dxa"/>
            <w:gridSpan w:val="2"/>
            <w:vAlign w:val="center"/>
          </w:tcPr>
          <w:p w14:paraId="68345DDD">
            <w:pPr>
              <w:adjustRightInd w:val="0"/>
              <w:snapToGrid w:val="0"/>
              <w:rPr>
                <w:rFonts w:hint="eastAsia" w:ascii="宋体" w:hAnsi="宋体"/>
                <w:color w:val="000000"/>
                <w:szCs w:val="21"/>
              </w:rPr>
            </w:pPr>
            <w:r>
              <w:rPr>
                <w:rFonts w:hint="eastAsia" w:ascii="宋体" w:hAnsi="宋体"/>
                <w:color w:val="000000"/>
                <w:szCs w:val="21"/>
              </w:rPr>
              <w:t>招标公告指定媒体</w:t>
            </w:r>
          </w:p>
        </w:tc>
        <w:tc>
          <w:tcPr>
            <w:tcW w:w="5782" w:type="dxa"/>
            <w:vAlign w:val="center"/>
          </w:tcPr>
          <w:p w14:paraId="24FFB81F">
            <w:pPr>
              <w:adjustRightInd w:val="0"/>
              <w:snapToGrid w:val="0"/>
              <w:rPr>
                <w:rFonts w:hint="eastAsia" w:ascii="宋体" w:hAnsi="宋体"/>
                <w:color w:val="000000"/>
                <w:szCs w:val="21"/>
              </w:rPr>
            </w:pPr>
            <w:r>
              <w:rPr>
                <w:rFonts w:hint="eastAsia" w:ascii="宋体" w:hAnsi="宋体"/>
                <w:color w:val="000000"/>
                <w:szCs w:val="21"/>
              </w:rPr>
              <w:t>湖南省政府采购网（http://www.ccgp-hunan.gov.cn）、娄底市公共资源交易中心网站（</w:t>
            </w:r>
            <w:r>
              <w:rPr>
                <w:rFonts w:hint="eastAsia" w:ascii="宋体" w:hAnsi="宋体"/>
                <w:color w:val="000000"/>
                <w:szCs w:val="21"/>
              </w:rPr>
              <mc:AlternateContent>
                <mc:Choice Requires="wps">
                  <w:drawing>
                    <wp:inline distT="0" distB="0" distL="114300" distR="114300">
                      <wp:extent cx="190500" cy="142875"/>
                      <wp:effectExtent l="0" t="0" r="0" b="0"/>
                      <wp:docPr id="1" name="图片 2" descr="IMG_25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190500" cy="142875"/>
                              </a:xfrm>
                              <a:prstGeom prst="rect">
                                <a:avLst/>
                              </a:prstGeom>
                              <a:noFill/>
                              <a:ln>
                                <a:noFill/>
                              </a:ln>
                            </wps:spPr>
                            <wps:bodyPr wrap="square" upright="1"/>
                          </wps:wsp>
                        </a:graphicData>
                      </a:graphic>
                    </wp:inline>
                  </w:drawing>
                </mc:Choice>
                <mc:Fallback>
                  <w:pict>
                    <v:rect id="图片 2" o:spid="_x0000_s1026" o:spt="1" alt="IMG_256" style="height:11.25pt;width:15pt;" filled="f" stroked="f" coordsize="21600,21600" o:gfxdata="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QBf0U1AAAAAMBAAAPAAAAAAAAAAEAIAAAACIAAABkcnMvZG93bnJl&#10;di54bWxQSwECFAAUAAAACACHTuJAptp9aMgBAAB/AwAADgAAAAAAAAABACAAAAAjAQAAZHJzL2Uy&#10;b0RvYy54bWxQSwUGAAAAAAYABgBZAQAAXQUAAAAA&#10;">
                      <v:fill on="f" focussize="0,0"/>
                      <v:stroke on="f"/>
                      <v:imagedata o:title=""/>
                      <o:lock v:ext="edit" aspectratio="t"/>
                      <w10:wrap type="none"/>
                      <w10:anchorlock/>
                    </v:rect>
                  </w:pict>
                </mc:Fallback>
              </mc:AlternateContent>
            </w:r>
            <w:r>
              <w:rPr>
                <w:rFonts w:hint="eastAsia" w:ascii="宋体" w:hAnsi="宋体"/>
                <w:color w:val="000000"/>
                <w:szCs w:val="21"/>
              </w:rPr>
              <w:t>http://ldggzy.hnloudi.gov.cn/）</w:t>
            </w:r>
          </w:p>
        </w:tc>
      </w:tr>
      <w:tr w14:paraId="402B356F">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545" w:hRule="atLeast"/>
        </w:trPr>
        <w:tc>
          <w:tcPr>
            <w:tcW w:w="8931" w:type="dxa"/>
            <w:gridSpan w:val="4"/>
            <w:vAlign w:val="center"/>
          </w:tcPr>
          <w:p w14:paraId="4194DB78">
            <w:pPr>
              <w:adjustRightInd w:val="0"/>
              <w:snapToGrid w:val="0"/>
              <w:spacing w:line="360" w:lineRule="auto"/>
              <w:rPr>
                <w:rFonts w:hint="eastAsia" w:ascii="宋体" w:hAnsi="宋体"/>
                <w:szCs w:val="21"/>
              </w:rPr>
            </w:pPr>
            <w:r>
              <w:rPr>
                <w:rFonts w:hint="eastAsia" w:ascii="宋体" w:hAnsi="宋体"/>
                <w:b/>
                <w:szCs w:val="21"/>
              </w:rPr>
              <w:t>三、投标文件</w:t>
            </w:r>
          </w:p>
        </w:tc>
      </w:tr>
      <w:tr w14:paraId="1775D85F">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1184" w:type="dxa"/>
            <w:vAlign w:val="center"/>
          </w:tcPr>
          <w:p w14:paraId="7E5BA7AB">
            <w:pPr>
              <w:adjustRightInd w:val="0"/>
              <w:snapToGrid w:val="0"/>
              <w:spacing w:line="360" w:lineRule="auto"/>
              <w:jc w:val="center"/>
              <w:rPr>
                <w:rFonts w:hint="eastAsia" w:ascii="宋体" w:hAnsi="宋体"/>
                <w:szCs w:val="21"/>
              </w:rPr>
            </w:pPr>
            <w:r>
              <w:rPr>
                <w:rFonts w:hint="eastAsia" w:ascii="宋体" w:hAnsi="宋体"/>
                <w:szCs w:val="21"/>
              </w:rPr>
              <w:t>第13.2</w:t>
            </w:r>
            <w:r>
              <w:rPr>
                <w:rFonts w:hint="eastAsia" w:ascii="宋体" w:hAnsi="宋体" w:cs="宋体"/>
                <w:kern w:val="0"/>
                <w:szCs w:val="21"/>
                <w:lang w:val="zh-CN"/>
              </w:rPr>
              <w:t>款</w:t>
            </w:r>
          </w:p>
        </w:tc>
        <w:tc>
          <w:tcPr>
            <w:tcW w:w="1965" w:type="dxa"/>
            <w:gridSpan w:val="2"/>
            <w:vAlign w:val="center"/>
          </w:tcPr>
          <w:p w14:paraId="203D3094">
            <w:pPr>
              <w:adjustRightInd w:val="0"/>
              <w:snapToGrid w:val="0"/>
              <w:spacing w:line="360" w:lineRule="auto"/>
              <w:rPr>
                <w:rFonts w:hint="eastAsia" w:ascii="宋体" w:hAnsi="宋体"/>
                <w:szCs w:val="21"/>
              </w:rPr>
            </w:pPr>
            <w:r>
              <w:rPr>
                <w:rFonts w:hint="eastAsia" w:ascii="宋体" w:hAnsi="宋体"/>
                <w:szCs w:val="21"/>
              </w:rPr>
              <w:t>采购项目预算、最高限价</w:t>
            </w:r>
          </w:p>
        </w:tc>
        <w:tc>
          <w:tcPr>
            <w:tcW w:w="5782" w:type="dxa"/>
            <w:vAlign w:val="center"/>
          </w:tcPr>
          <w:p w14:paraId="2221505C">
            <w:pPr>
              <w:widowControl/>
              <w:spacing w:line="400" w:lineRule="exact"/>
              <w:jc w:val="left"/>
              <w:rPr>
                <w:rFonts w:hint="eastAsia" w:ascii="Times New Roman" w:hAnsi="Times New Roman" w:eastAsia="宋体" w:cs="Times New Roman"/>
                <w:kern w:val="2"/>
                <w:sz w:val="21"/>
                <w:szCs w:val="24"/>
                <w:lang w:val="en-US" w:eastAsia="zh-CN" w:bidi="ar-SA"/>
              </w:rPr>
            </w:pPr>
            <w:r>
              <w:rPr>
                <w:rFonts w:hint="eastAsia" w:ascii="Times New Roman" w:hAnsi="Times New Roman" w:eastAsia="宋体" w:cs="Times New Roman"/>
                <w:kern w:val="2"/>
                <w:sz w:val="21"/>
                <w:szCs w:val="24"/>
                <w:lang w:val="en-US" w:eastAsia="zh-CN" w:bidi="ar-SA"/>
              </w:rPr>
              <w:t>采购项目总预算：3190000.00元；</w:t>
            </w:r>
          </w:p>
          <w:p w14:paraId="1FD8F87C">
            <w:pPr>
              <w:widowControl/>
              <w:spacing w:line="400" w:lineRule="exact"/>
              <w:jc w:val="left"/>
              <w:rPr>
                <w:rFonts w:hint="eastAsia" w:ascii="Times New Roman" w:hAnsi="Times New Roman" w:eastAsia="宋体" w:cs="Times New Roman"/>
                <w:kern w:val="2"/>
                <w:sz w:val="21"/>
                <w:szCs w:val="24"/>
                <w:lang w:val="en-US" w:eastAsia="zh-CN" w:bidi="ar-SA"/>
              </w:rPr>
            </w:pPr>
            <w:r>
              <w:rPr>
                <w:rFonts w:hint="eastAsia" w:ascii="Times New Roman" w:hAnsi="Times New Roman" w:eastAsia="宋体" w:cs="Times New Roman"/>
                <w:kern w:val="2"/>
                <w:sz w:val="21"/>
                <w:szCs w:val="24"/>
                <w:lang w:val="en-US" w:eastAsia="zh-CN" w:bidi="ar-SA"/>
              </w:rPr>
              <w:t>最高限价：3190000.00元</w:t>
            </w:r>
          </w:p>
        </w:tc>
      </w:tr>
      <w:tr w14:paraId="5653B27C">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1135" w:hRule="atLeast"/>
        </w:trPr>
        <w:tc>
          <w:tcPr>
            <w:tcW w:w="1184" w:type="dxa"/>
            <w:vAlign w:val="center"/>
          </w:tcPr>
          <w:p w14:paraId="7D9EE1A4">
            <w:pPr>
              <w:adjustRightInd w:val="0"/>
              <w:snapToGrid w:val="0"/>
              <w:spacing w:line="360" w:lineRule="auto"/>
              <w:jc w:val="center"/>
              <w:rPr>
                <w:rFonts w:hint="eastAsia" w:ascii="宋体" w:hAnsi="宋体"/>
                <w:szCs w:val="21"/>
              </w:rPr>
            </w:pPr>
            <w:r>
              <w:rPr>
                <w:rFonts w:hint="eastAsia" w:ascii="宋体" w:hAnsi="宋体"/>
                <w:szCs w:val="21"/>
              </w:rPr>
              <w:t>第13.8款</w:t>
            </w:r>
          </w:p>
        </w:tc>
        <w:tc>
          <w:tcPr>
            <w:tcW w:w="1965" w:type="dxa"/>
            <w:gridSpan w:val="2"/>
            <w:vAlign w:val="center"/>
          </w:tcPr>
          <w:p w14:paraId="30EF814F">
            <w:pPr>
              <w:adjustRightInd w:val="0"/>
              <w:snapToGrid w:val="0"/>
              <w:spacing w:line="360" w:lineRule="auto"/>
              <w:rPr>
                <w:rFonts w:hint="eastAsia" w:ascii="宋体" w:hAnsi="宋体"/>
                <w:szCs w:val="21"/>
              </w:rPr>
            </w:pPr>
            <w:r>
              <w:rPr>
                <w:rFonts w:hint="eastAsia" w:ascii="宋体" w:hAnsi="宋体"/>
                <w:szCs w:val="21"/>
              </w:rPr>
              <w:t>投标报价的其他要求</w:t>
            </w:r>
          </w:p>
        </w:tc>
        <w:tc>
          <w:tcPr>
            <w:tcW w:w="5782" w:type="dxa"/>
            <w:vAlign w:val="center"/>
          </w:tcPr>
          <w:p w14:paraId="16652176">
            <w:pPr>
              <w:adjustRightInd w:val="0"/>
              <w:snapToGrid w:val="0"/>
              <w:spacing w:line="360" w:lineRule="auto"/>
              <w:rPr>
                <w:rFonts w:hint="eastAsia" w:ascii="宋体" w:hAnsi="宋体"/>
                <w:szCs w:val="21"/>
              </w:rPr>
            </w:pPr>
            <w:r>
              <w:rPr>
                <w:rFonts w:hint="eastAsia" w:ascii="宋体" w:hAnsi="宋体"/>
                <w:szCs w:val="21"/>
              </w:rPr>
              <w:t>投标人应按招标文件采购需求和合同条件，以人民币进行报价。投标总价</w:t>
            </w:r>
            <w:r>
              <w:rPr>
                <w:rFonts w:hint="eastAsia" w:ascii="宋体" w:hAnsi="宋体"/>
                <w:szCs w:val="21"/>
                <w:lang w:val="en-US" w:eastAsia="zh-CN"/>
              </w:rPr>
              <w:t>及投标单价均</w:t>
            </w:r>
            <w:r>
              <w:rPr>
                <w:rFonts w:hint="eastAsia" w:ascii="宋体" w:hAnsi="宋体"/>
                <w:szCs w:val="21"/>
              </w:rPr>
              <w:t>不得超过招标文件规定的限价，超过的作废标处理。</w:t>
            </w:r>
          </w:p>
        </w:tc>
      </w:tr>
      <w:tr w14:paraId="678FCA9C">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1184" w:type="dxa"/>
            <w:vAlign w:val="center"/>
          </w:tcPr>
          <w:p w14:paraId="1EDAA13B">
            <w:pPr>
              <w:adjustRightInd w:val="0"/>
              <w:snapToGrid w:val="0"/>
              <w:spacing w:line="360" w:lineRule="auto"/>
              <w:jc w:val="center"/>
              <w:rPr>
                <w:rFonts w:hint="eastAsia" w:ascii="宋体" w:hAnsi="宋体"/>
                <w:szCs w:val="21"/>
              </w:rPr>
            </w:pPr>
            <w:r>
              <w:rPr>
                <w:rFonts w:hint="eastAsia" w:ascii="宋体" w:hAnsi="宋体"/>
                <w:szCs w:val="21"/>
              </w:rPr>
              <w:t>第14.1款</w:t>
            </w:r>
          </w:p>
        </w:tc>
        <w:tc>
          <w:tcPr>
            <w:tcW w:w="1965" w:type="dxa"/>
            <w:gridSpan w:val="2"/>
            <w:vAlign w:val="center"/>
          </w:tcPr>
          <w:p w14:paraId="0BFC1612">
            <w:pPr>
              <w:adjustRightInd w:val="0"/>
              <w:snapToGrid w:val="0"/>
              <w:spacing w:line="360" w:lineRule="auto"/>
              <w:rPr>
                <w:rFonts w:hint="eastAsia" w:ascii="宋体" w:hAnsi="宋体"/>
                <w:bCs/>
                <w:szCs w:val="21"/>
              </w:rPr>
            </w:pPr>
            <w:r>
              <w:rPr>
                <w:rFonts w:hint="eastAsia" w:ascii="宋体" w:hAnsi="宋体"/>
                <w:szCs w:val="21"/>
              </w:rPr>
              <w:t>投标人应提供资格审查资料</w:t>
            </w:r>
          </w:p>
        </w:tc>
        <w:tc>
          <w:tcPr>
            <w:tcW w:w="5782" w:type="dxa"/>
            <w:vAlign w:val="center"/>
          </w:tcPr>
          <w:p w14:paraId="4A4B9211">
            <w:pPr>
              <w:adjustRightInd w:val="0"/>
              <w:snapToGrid w:val="0"/>
              <w:spacing w:line="360" w:lineRule="auto"/>
              <w:rPr>
                <w:rFonts w:hint="eastAsia" w:ascii="宋体" w:hAnsi="宋体"/>
                <w:szCs w:val="21"/>
              </w:rPr>
            </w:pPr>
            <w:bookmarkStart w:id="13" w:name="_Toc3844"/>
            <w:bookmarkStart w:id="14" w:name="_Toc6482"/>
            <w:bookmarkStart w:id="15" w:name="_Toc17704"/>
            <w:r>
              <w:rPr>
                <w:rFonts w:ascii="宋体" w:hAnsi="宋体"/>
              </w:rPr>
              <w:t>详见招标文件</w:t>
            </w:r>
            <w:r>
              <w:rPr>
                <w:rFonts w:hint="eastAsia" w:ascii="宋体" w:hAnsi="宋体"/>
              </w:rPr>
              <w:t xml:space="preserve"> 第三章：附表1 资格审查表</w:t>
            </w:r>
            <w:bookmarkEnd w:id="13"/>
            <w:bookmarkEnd w:id="14"/>
            <w:bookmarkEnd w:id="15"/>
          </w:p>
        </w:tc>
      </w:tr>
      <w:tr w14:paraId="02E996FF">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1184" w:type="dxa"/>
            <w:vAlign w:val="center"/>
          </w:tcPr>
          <w:p w14:paraId="292D72C5">
            <w:pPr>
              <w:adjustRightInd w:val="0"/>
              <w:snapToGrid w:val="0"/>
              <w:spacing w:line="360" w:lineRule="auto"/>
              <w:jc w:val="center"/>
              <w:rPr>
                <w:rFonts w:hint="eastAsia" w:ascii="宋体" w:hAnsi="宋体"/>
                <w:szCs w:val="21"/>
              </w:rPr>
            </w:pPr>
            <w:r>
              <w:rPr>
                <w:rFonts w:hint="eastAsia" w:ascii="宋体" w:hAnsi="宋体"/>
                <w:szCs w:val="21"/>
              </w:rPr>
              <w:t>第16.1</w:t>
            </w:r>
            <w:r>
              <w:rPr>
                <w:rFonts w:hint="eastAsia" w:ascii="宋体" w:hAnsi="宋体" w:cs="宋体"/>
                <w:kern w:val="0"/>
                <w:szCs w:val="21"/>
                <w:lang w:val="zh-CN"/>
              </w:rPr>
              <w:t>款</w:t>
            </w:r>
          </w:p>
        </w:tc>
        <w:tc>
          <w:tcPr>
            <w:tcW w:w="1965" w:type="dxa"/>
            <w:gridSpan w:val="2"/>
            <w:vAlign w:val="center"/>
          </w:tcPr>
          <w:p w14:paraId="023E2C37">
            <w:pPr>
              <w:adjustRightInd w:val="0"/>
              <w:snapToGrid w:val="0"/>
              <w:spacing w:line="360" w:lineRule="auto"/>
              <w:jc w:val="left"/>
              <w:rPr>
                <w:rFonts w:hint="eastAsia" w:ascii="宋体" w:hAnsi="宋体"/>
                <w:bCs/>
                <w:szCs w:val="21"/>
              </w:rPr>
            </w:pPr>
            <w:r>
              <w:rPr>
                <w:rFonts w:hint="eastAsia" w:ascii="宋体" w:hAnsi="宋体"/>
                <w:bCs/>
                <w:szCs w:val="21"/>
              </w:rPr>
              <w:t>投标有效期</w:t>
            </w:r>
          </w:p>
        </w:tc>
        <w:tc>
          <w:tcPr>
            <w:tcW w:w="5782" w:type="dxa"/>
            <w:vAlign w:val="center"/>
          </w:tcPr>
          <w:p w14:paraId="024EE877">
            <w:pPr>
              <w:adjustRightInd w:val="0"/>
              <w:snapToGrid w:val="0"/>
              <w:spacing w:line="360" w:lineRule="auto"/>
              <w:rPr>
                <w:rFonts w:hint="eastAsia" w:ascii="宋体" w:hAnsi="宋体"/>
                <w:bCs/>
                <w:szCs w:val="21"/>
              </w:rPr>
            </w:pPr>
            <w:r>
              <w:rPr>
                <w:rFonts w:hint="eastAsia" w:ascii="宋体" w:hAnsi="宋体"/>
                <w:bCs/>
                <w:color w:val="000000"/>
                <w:szCs w:val="21"/>
              </w:rPr>
              <w:t>90天（日历日）</w:t>
            </w:r>
          </w:p>
        </w:tc>
      </w:tr>
      <w:tr w14:paraId="633AF074">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1184" w:type="dxa"/>
            <w:vAlign w:val="center"/>
          </w:tcPr>
          <w:p w14:paraId="221AE0BB">
            <w:pPr>
              <w:adjustRightInd w:val="0"/>
              <w:snapToGrid w:val="0"/>
              <w:spacing w:line="360" w:lineRule="auto"/>
              <w:jc w:val="center"/>
              <w:rPr>
                <w:rFonts w:hint="eastAsia" w:ascii="宋体" w:hAnsi="宋体"/>
                <w:szCs w:val="21"/>
              </w:rPr>
            </w:pPr>
            <w:r>
              <w:rPr>
                <w:rFonts w:hint="eastAsia" w:ascii="宋体" w:hAnsi="宋体"/>
                <w:szCs w:val="21"/>
              </w:rPr>
              <w:t>第17.1</w:t>
            </w:r>
            <w:r>
              <w:rPr>
                <w:rFonts w:hint="eastAsia" w:ascii="宋体" w:hAnsi="宋体" w:cs="宋体"/>
                <w:kern w:val="0"/>
                <w:szCs w:val="21"/>
                <w:lang w:val="zh-CN"/>
              </w:rPr>
              <w:t>款</w:t>
            </w:r>
          </w:p>
        </w:tc>
        <w:tc>
          <w:tcPr>
            <w:tcW w:w="1965" w:type="dxa"/>
            <w:gridSpan w:val="2"/>
            <w:vAlign w:val="center"/>
          </w:tcPr>
          <w:p w14:paraId="075C6FC1">
            <w:pPr>
              <w:adjustRightInd w:val="0"/>
              <w:snapToGrid w:val="0"/>
              <w:spacing w:line="360" w:lineRule="auto"/>
              <w:ind w:left="-533" w:leftChars="-254" w:firstLine="533" w:firstLineChars="254"/>
              <w:jc w:val="left"/>
              <w:rPr>
                <w:rFonts w:hint="eastAsia" w:ascii="宋体" w:hAnsi="宋体"/>
                <w:szCs w:val="21"/>
              </w:rPr>
            </w:pPr>
            <w:r>
              <w:rPr>
                <w:rFonts w:hint="eastAsia" w:ascii="宋体" w:hAnsi="宋体"/>
                <w:szCs w:val="21"/>
              </w:rPr>
              <w:t>投标保证金</w:t>
            </w:r>
          </w:p>
        </w:tc>
        <w:tc>
          <w:tcPr>
            <w:tcW w:w="5782" w:type="dxa"/>
            <w:vAlign w:val="center"/>
          </w:tcPr>
          <w:p w14:paraId="191E8D53">
            <w:pPr>
              <w:adjustRightInd w:val="0"/>
              <w:snapToGrid w:val="0"/>
              <w:spacing w:line="420" w:lineRule="exact"/>
              <w:rPr>
                <w:rFonts w:hint="eastAsia" w:ascii="宋体" w:hAnsi="宋体"/>
                <w:szCs w:val="21"/>
              </w:rPr>
            </w:pPr>
            <w:r>
              <w:rPr>
                <w:rFonts w:hint="eastAsia" w:ascii="宋体" w:hAnsi="宋体"/>
                <w:bCs/>
                <w:color w:val="000000"/>
                <w:szCs w:val="21"/>
              </w:rPr>
              <w:t>本项目不要求提供投标保证金</w:t>
            </w:r>
          </w:p>
        </w:tc>
      </w:tr>
      <w:tr w14:paraId="6AB2E8D9">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1184" w:type="dxa"/>
            <w:vAlign w:val="center"/>
          </w:tcPr>
          <w:p w14:paraId="5423F561">
            <w:pPr>
              <w:adjustRightInd w:val="0"/>
              <w:snapToGrid w:val="0"/>
              <w:spacing w:line="360" w:lineRule="auto"/>
              <w:jc w:val="center"/>
              <w:rPr>
                <w:rFonts w:hint="eastAsia" w:ascii="宋体" w:hAnsi="宋体"/>
                <w:szCs w:val="21"/>
              </w:rPr>
            </w:pPr>
            <w:r>
              <w:rPr>
                <w:rFonts w:hint="eastAsia" w:ascii="宋体" w:hAnsi="宋体"/>
                <w:szCs w:val="21"/>
              </w:rPr>
              <w:t>第18.1</w:t>
            </w:r>
            <w:r>
              <w:rPr>
                <w:rFonts w:hint="eastAsia" w:ascii="宋体" w:hAnsi="宋体" w:cs="宋体"/>
                <w:kern w:val="0"/>
                <w:szCs w:val="21"/>
                <w:lang w:val="zh-CN"/>
              </w:rPr>
              <w:t>款</w:t>
            </w:r>
          </w:p>
        </w:tc>
        <w:tc>
          <w:tcPr>
            <w:tcW w:w="1965" w:type="dxa"/>
            <w:gridSpan w:val="2"/>
            <w:vAlign w:val="center"/>
          </w:tcPr>
          <w:p w14:paraId="30E05C19">
            <w:pPr>
              <w:adjustRightInd w:val="0"/>
              <w:snapToGrid w:val="0"/>
              <w:spacing w:line="360" w:lineRule="auto"/>
              <w:jc w:val="left"/>
              <w:rPr>
                <w:rFonts w:hint="eastAsia" w:ascii="宋体" w:hAnsi="宋体"/>
                <w:szCs w:val="21"/>
              </w:rPr>
            </w:pPr>
            <w:r>
              <w:rPr>
                <w:rFonts w:hint="eastAsia" w:ascii="宋体" w:hAnsi="宋体"/>
                <w:bCs/>
                <w:szCs w:val="21"/>
              </w:rPr>
              <w:t>分包</w:t>
            </w:r>
          </w:p>
        </w:tc>
        <w:tc>
          <w:tcPr>
            <w:tcW w:w="5782" w:type="dxa"/>
            <w:vAlign w:val="center"/>
          </w:tcPr>
          <w:p w14:paraId="680826BF">
            <w:pPr>
              <w:adjustRightInd w:val="0"/>
              <w:snapToGrid w:val="0"/>
              <w:spacing w:line="360" w:lineRule="auto"/>
              <w:rPr>
                <w:rFonts w:hint="eastAsia" w:ascii="宋体" w:hAnsi="宋体"/>
                <w:b/>
                <w:bCs/>
                <w:szCs w:val="21"/>
              </w:rPr>
            </w:pPr>
            <w:r>
              <w:rPr>
                <w:rFonts w:hint="eastAsia" w:ascii="宋体" w:hAnsi="宋体"/>
                <w:szCs w:val="21"/>
              </w:rPr>
              <w:t>不允许分包</w:t>
            </w:r>
          </w:p>
        </w:tc>
      </w:tr>
      <w:tr w14:paraId="20361B8B">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1184" w:type="dxa"/>
            <w:vAlign w:val="center"/>
          </w:tcPr>
          <w:p w14:paraId="7E8B1638">
            <w:pPr>
              <w:adjustRightInd w:val="0"/>
              <w:snapToGrid w:val="0"/>
              <w:spacing w:line="360" w:lineRule="auto"/>
              <w:jc w:val="center"/>
              <w:rPr>
                <w:szCs w:val="21"/>
              </w:rPr>
            </w:pPr>
            <w:r>
              <w:rPr>
                <w:rFonts w:hint="eastAsia"/>
                <w:szCs w:val="21"/>
              </w:rPr>
              <w:t>第19.1</w:t>
            </w:r>
            <w:r>
              <w:rPr>
                <w:rFonts w:hint="eastAsia"/>
                <w:szCs w:val="21"/>
                <w:lang w:val="zh-CN"/>
              </w:rPr>
              <w:t>款</w:t>
            </w:r>
          </w:p>
        </w:tc>
        <w:tc>
          <w:tcPr>
            <w:tcW w:w="1965" w:type="dxa"/>
            <w:gridSpan w:val="2"/>
            <w:vAlign w:val="center"/>
          </w:tcPr>
          <w:p w14:paraId="2732379A">
            <w:pPr>
              <w:adjustRightInd w:val="0"/>
              <w:snapToGrid w:val="0"/>
              <w:spacing w:line="360" w:lineRule="auto"/>
              <w:jc w:val="left"/>
              <w:rPr>
                <w:szCs w:val="21"/>
              </w:rPr>
            </w:pPr>
            <w:r>
              <w:rPr>
                <w:rFonts w:hint="eastAsia"/>
                <w:szCs w:val="21"/>
              </w:rPr>
              <w:t>投标文件副本分数</w:t>
            </w:r>
          </w:p>
        </w:tc>
        <w:tc>
          <w:tcPr>
            <w:tcW w:w="5782" w:type="dxa"/>
            <w:vAlign w:val="center"/>
          </w:tcPr>
          <w:p w14:paraId="22522281">
            <w:pPr>
              <w:adjustRightInd w:val="0"/>
              <w:snapToGrid w:val="0"/>
              <w:spacing w:line="360" w:lineRule="auto"/>
              <w:rPr>
                <w:rFonts w:hint="eastAsia" w:ascii="宋体" w:hAnsi="宋体" w:eastAsia="宋体" w:cs="Times New Roman"/>
                <w:szCs w:val="21"/>
              </w:rPr>
            </w:pPr>
            <w:r>
              <w:rPr>
                <w:rFonts w:hint="eastAsia" w:ascii="宋体" w:hAnsi="宋体" w:eastAsia="宋体" w:cs="Times New Roman"/>
                <w:szCs w:val="21"/>
              </w:rPr>
              <w:t>本项目为全流程电子标。按要求提交电子投标文件正本：投标文件第一部分资格证明文件；投标文件第二部分商务和技术文件。</w:t>
            </w:r>
          </w:p>
          <w:p w14:paraId="63BA9022">
            <w:pPr>
              <w:adjustRightInd w:val="0"/>
              <w:snapToGrid w:val="0"/>
              <w:spacing w:line="360" w:lineRule="auto"/>
              <w:rPr>
                <w:rFonts w:hint="eastAsia" w:ascii="宋体" w:hAnsi="宋体" w:eastAsia="宋体" w:cs="Times New Roman"/>
                <w:szCs w:val="21"/>
              </w:rPr>
            </w:pPr>
            <w:r>
              <w:rPr>
                <w:rFonts w:hint="eastAsia" w:ascii="宋体" w:hAnsi="宋体" w:eastAsia="宋体" w:cs="Times New Roman"/>
                <w:szCs w:val="21"/>
              </w:rPr>
              <w:t>注：a.投标人按照平台要求上传对应内容，上传错误的，导致无法正常查阅或出错的，自行承担后果。</w:t>
            </w:r>
          </w:p>
          <w:p w14:paraId="49846138">
            <w:pPr>
              <w:adjustRightInd w:val="0"/>
              <w:snapToGrid w:val="0"/>
              <w:spacing w:line="360" w:lineRule="auto"/>
              <w:rPr>
                <w:rFonts w:hint="eastAsia" w:ascii="宋体" w:hAnsi="宋体" w:eastAsia="宋体" w:cs="Times New Roman"/>
                <w:szCs w:val="21"/>
              </w:rPr>
            </w:pPr>
            <w:r>
              <w:rPr>
                <w:rFonts w:hint="eastAsia" w:ascii="宋体" w:hAnsi="宋体" w:eastAsia="宋体" w:cs="Times New Roman"/>
                <w:szCs w:val="21"/>
              </w:rPr>
              <w:t>b.投标人中标后需提供纸质版投标文件</w:t>
            </w:r>
            <w:r>
              <w:rPr>
                <w:rFonts w:hint="eastAsia" w:ascii="宋体" w:hAnsi="宋体" w:eastAsia="宋体" w:cs="Times New Roman"/>
                <w:szCs w:val="21"/>
                <w:lang w:val="en-US" w:eastAsia="zh-CN"/>
              </w:rPr>
              <w:t>二</w:t>
            </w:r>
            <w:r>
              <w:rPr>
                <w:rFonts w:hint="eastAsia" w:ascii="宋体" w:hAnsi="宋体" w:eastAsia="宋体" w:cs="Times New Roman"/>
                <w:szCs w:val="21"/>
              </w:rPr>
              <w:t>份</w:t>
            </w:r>
            <w:r>
              <w:rPr>
                <w:rFonts w:hint="eastAsia" w:ascii="宋体" w:hAnsi="宋体" w:eastAsia="宋体" w:cs="Times New Roman"/>
                <w:szCs w:val="21"/>
                <w:lang w:val="en-US" w:eastAsia="zh-CN"/>
              </w:rPr>
              <w:t>分别</w:t>
            </w:r>
            <w:r>
              <w:rPr>
                <w:rFonts w:hint="eastAsia" w:ascii="宋体" w:hAnsi="宋体" w:eastAsia="宋体" w:cs="Times New Roman"/>
                <w:szCs w:val="21"/>
              </w:rPr>
              <w:t>送至</w:t>
            </w:r>
            <w:r>
              <w:rPr>
                <w:rFonts w:hint="eastAsia" w:ascii="宋体" w:hAnsi="宋体" w:eastAsia="宋体" w:cs="Times New Roman"/>
                <w:szCs w:val="21"/>
                <w:lang w:val="en-US" w:eastAsia="zh-CN"/>
              </w:rPr>
              <w:t>市政府采购中心及</w:t>
            </w:r>
            <w:r>
              <w:rPr>
                <w:rFonts w:hint="eastAsia" w:ascii="宋体" w:hAnsi="宋体" w:eastAsia="宋体" w:cs="Times New Roman"/>
                <w:szCs w:val="21"/>
              </w:rPr>
              <w:t>采购人单位（与电子投标文件一致，如有异处，以电子投标文件为准）。</w:t>
            </w:r>
          </w:p>
        </w:tc>
      </w:tr>
      <w:tr w14:paraId="4ECBEAF5">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8931" w:type="dxa"/>
            <w:gridSpan w:val="4"/>
            <w:vAlign w:val="center"/>
          </w:tcPr>
          <w:p w14:paraId="5B5607F5">
            <w:pPr>
              <w:adjustRightInd w:val="0"/>
              <w:snapToGrid w:val="0"/>
              <w:spacing w:line="360" w:lineRule="auto"/>
              <w:rPr>
                <w:szCs w:val="21"/>
              </w:rPr>
            </w:pPr>
            <w:r>
              <w:rPr>
                <w:rFonts w:hint="eastAsia"/>
                <w:szCs w:val="21"/>
              </w:rPr>
              <w:t>四、投标</w:t>
            </w:r>
          </w:p>
        </w:tc>
      </w:tr>
      <w:tr w14:paraId="11A25DCC">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1184" w:type="dxa"/>
            <w:vAlign w:val="center"/>
          </w:tcPr>
          <w:p w14:paraId="2EC10E55">
            <w:pPr>
              <w:adjustRightInd w:val="0"/>
              <w:snapToGrid w:val="0"/>
              <w:spacing w:line="360" w:lineRule="auto"/>
              <w:jc w:val="center"/>
              <w:rPr>
                <w:rFonts w:hint="eastAsia" w:ascii="宋体" w:hAnsi="宋体"/>
                <w:szCs w:val="21"/>
              </w:rPr>
            </w:pPr>
            <w:r>
              <w:rPr>
                <w:rFonts w:hint="eastAsia" w:ascii="宋体" w:hAnsi="宋体"/>
                <w:szCs w:val="21"/>
              </w:rPr>
              <w:t>第21.1</w:t>
            </w:r>
            <w:r>
              <w:rPr>
                <w:rFonts w:hint="eastAsia" w:ascii="宋体" w:hAnsi="宋体" w:cs="宋体"/>
                <w:kern w:val="0"/>
                <w:szCs w:val="21"/>
                <w:lang w:val="zh-CN"/>
              </w:rPr>
              <w:t>款</w:t>
            </w:r>
          </w:p>
        </w:tc>
        <w:tc>
          <w:tcPr>
            <w:tcW w:w="1965" w:type="dxa"/>
            <w:gridSpan w:val="2"/>
            <w:vAlign w:val="center"/>
          </w:tcPr>
          <w:p w14:paraId="7CCCC712">
            <w:pPr>
              <w:adjustRightInd w:val="0"/>
              <w:snapToGrid w:val="0"/>
              <w:spacing w:line="360" w:lineRule="auto"/>
              <w:jc w:val="left"/>
              <w:rPr>
                <w:rFonts w:hint="eastAsia" w:ascii="宋体" w:hAnsi="宋体"/>
                <w:szCs w:val="21"/>
              </w:rPr>
            </w:pPr>
            <w:r>
              <w:rPr>
                <w:rFonts w:hint="eastAsia" w:ascii="宋体" w:hAnsi="宋体"/>
                <w:szCs w:val="21"/>
              </w:rPr>
              <w:t>投标截止时间及投标地点</w:t>
            </w:r>
          </w:p>
        </w:tc>
        <w:tc>
          <w:tcPr>
            <w:tcW w:w="5782" w:type="dxa"/>
            <w:vAlign w:val="center"/>
          </w:tcPr>
          <w:p w14:paraId="15AEE2E8">
            <w:pPr>
              <w:adjustRightInd w:val="0"/>
              <w:snapToGrid w:val="0"/>
              <w:spacing w:line="360" w:lineRule="auto"/>
              <w:rPr>
                <w:rFonts w:hint="eastAsia" w:ascii="宋体" w:hAnsi="宋体"/>
                <w:bCs/>
                <w:szCs w:val="21"/>
              </w:rPr>
            </w:pPr>
            <w:r>
              <w:rPr>
                <w:rFonts w:hint="eastAsia" w:ascii="宋体" w:hAnsi="宋体"/>
                <w:bCs/>
                <w:szCs w:val="21"/>
              </w:rPr>
              <w:t>见第一章投标邀请</w:t>
            </w:r>
          </w:p>
        </w:tc>
      </w:tr>
      <w:tr w14:paraId="32507869">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8931" w:type="dxa"/>
            <w:gridSpan w:val="4"/>
            <w:vAlign w:val="center"/>
          </w:tcPr>
          <w:p w14:paraId="14F24472">
            <w:pPr>
              <w:adjustRightInd w:val="0"/>
              <w:snapToGrid w:val="0"/>
              <w:spacing w:line="360" w:lineRule="auto"/>
              <w:rPr>
                <w:rFonts w:hint="eastAsia" w:ascii="宋体" w:hAnsi="宋体"/>
                <w:szCs w:val="21"/>
              </w:rPr>
            </w:pPr>
            <w:r>
              <w:rPr>
                <w:rFonts w:hint="eastAsia" w:ascii="宋体" w:hAnsi="宋体"/>
                <w:b/>
                <w:bCs/>
                <w:szCs w:val="21"/>
              </w:rPr>
              <w:t>五、开标、资格审查和评标</w:t>
            </w:r>
          </w:p>
        </w:tc>
      </w:tr>
      <w:tr w14:paraId="555AC852">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1184" w:type="dxa"/>
            <w:vAlign w:val="center"/>
          </w:tcPr>
          <w:p w14:paraId="1140122C">
            <w:pPr>
              <w:adjustRightInd w:val="0"/>
              <w:snapToGrid w:val="0"/>
              <w:spacing w:line="360" w:lineRule="auto"/>
              <w:jc w:val="center"/>
              <w:rPr>
                <w:rFonts w:hint="eastAsia" w:ascii="宋体" w:hAnsi="宋体"/>
                <w:szCs w:val="21"/>
              </w:rPr>
            </w:pPr>
            <w:r>
              <w:rPr>
                <w:rFonts w:hint="eastAsia" w:ascii="宋体" w:hAnsi="宋体"/>
                <w:szCs w:val="21"/>
              </w:rPr>
              <w:t>第24.1</w:t>
            </w:r>
            <w:r>
              <w:rPr>
                <w:rFonts w:hint="eastAsia" w:ascii="宋体" w:hAnsi="宋体" w:cs="宋体"/>
                <w:kern w:val="0"/>
                <w:szCs w:val="21"/>
                <w:lang w:val="zh-CN"/>
              </w:rPr>
              <w:t>款</w:t>
            </w:r>
          </w:p>
        </w:tc>
        <w:tc>
          <w:tcPr>
            <w:tcW w:w="1965" w:type="dxa"/>
            <w:gridSpan w:val="2"/>
            <w:vAlign w:val="center"/>
          </w:tcPr>
          <w:p w14:paraId="3EA795DA">
            <w:pPr>
              <w:adjustRightInd w:val="0"/>
              <w:snapToGrid w:val="0"/>
              <w:spacing w:line="360" w:lineRule="auto"/>
              <w:jc w:val="left"/>
              <w:rPr>
                <w:rFonts w:hint="eastAsia" w:ascii="宋体" w:hAnsi="宋体"/>
                <w:szCs w:val="21"/>
              </w:rPr>
            </w:pPr>
            <w:r>
              <w:rPr>
                <w:rFonts w:hint="eastAsia" w:ascii="宋体" w:hAnsi="宋体"/>
                <w:bCs/>
                <w:szCs w:val="21"/>
              </w:rPr>
              <w:t>开标地点</w:t>
            </w:r>
            <w:r>
              <w:rPr>
                <w:rFonts w:hint="eastAsia" w:ascii="宋体" w:hAnsi="宋体"/>
                <w:szCs w:val="21"/>
              </w:rPr>
              <w:t xml:space="preserve"> </w:t>
            </w:r>
          </w:p>
        </w:tc>
        <w:tc>
          <w:tcPr>
            <w:tcW w:w="5782" w:type="dxa"/>
            <w:vAlign w:val="center"/>
          </w:tcPr>
          <w:p w14:paraId="655B38B1">
            <w:pPr>
              <w:adjustRightInd w:val="0"/>
              <w:snapToGrid w:val="0"/>
              <w:spacing w:line="360" w:lineRule="auto"/>
              <w:rPr>
                <w:rFonts w:hint="eastAsia" w:ascii="MS Gothic" w:hAnsi="MS Gothic" w:cs="MS Gothic"/>
                <w:szCs w:val="21"/>
              </w:rPr>
            </w:pPr>
            <w:r>
              <w:rPr>
                <w:rFonts w:hint="eastAsia" w:ascii="宋体" w:hAnsi="宋体"/>
                <w:iCs/>
                <w:szCs w:val="21"/>
              </w:rPr>
              <w:sym w:font="Wingdings" w:char="00FE"/>
            </w:r>
            <w:r>
              <w:rPr>
                <w:rFonts w:hint="eastAsia" w:ascii="宋体" w:hAnsi="宋体"/>
                <w:szCs w:val="21"/>
              </w:rPr>
              <w:t>同投标地点</w:t>
            </w:r>
          </w:p>
          <w:p w14:paraId="015BE395">
            <w:pPr>
              <w:adjustRightInd w:val="0"/>
              <w:snapToGrid w:val="0"/>
              <w:spacing w:line="360" w:lineRule="auto"/>
              <w:rPr>
                <w:rFonts w:hint="eastAsia" w:ascii="宋体" w:hAnsi="宋体"/>
                <w:szCs w:val="21"/>
              </w:rPr>
            </w:pPr>
            <w:r>
              <w:rPr>
                <w:rFonts w:ascii="MS Gothic" w:hAnsi="MS Gothic" w:cs="MS Gothic"/>
                <w:szCs w:val="21"/>
              </w:rPr>
              <w:t>☐</w:t>
            </w:r>
            <w:r>
              <w:rPr>
                <w:rFonts w:hint="eastAsia" w:ascii="MS Gothic" w:hAnsi="MS Gothic" w:cs="MS Gothic"/>
                <w:szCs w:val="21"/>
              </w:rPr>
              <w:t>其他地点：</w:t>
            </w:r>
          </w:p>
        </w:tc>
      </w:tr>
      <w:tr w14:paraId="7AB52652">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1184" w:type="dxa"/>
            <w:vAlign w:val="center"/>
          </w:tcPr>
          <w:p w14:paraId="1F3A335A">
            <w:pPr>
              <w:adjustRightInd w:val="0"/>
              <w:snapToGrid w:val="0"/>
              <w:spacing w:line="360" w:lineRule="auto"/>
              <w:jc w:val="center"/>
              <w:rPr>
                <w:rFonts w:hint="eastAsia" w:ascii="宋体" w:hAnsi="宋体"/>
                <w:szCs w:val="21"/>
              </w:rPr>
            </w:pPr>
            <w:r>
              <w:rPr>
                <w:rFonts w:hint="eastAsia" w:ascii="宋体" w:hAnsi="宋体"/>
                <w:szCs w:val="21"/>
              </w:rPr>
              <w:t>第24.2</w:t>
            </w:r>
            <w:r>
              <w:rPr>
                <w:rFonts w:hint="eastAsia" w:ascii="宋体" w:hAnsi="宋体" w:cs="宋体"/>
                <w:kern w:val="0"/>
                <w:szCs w:val="21"/>
                <w:lang w:val="zh-CN"/>
              </w:rPr>
              <w:t>款</w:t>
            </w:r>
          </w:p>
        </w:tc>
        <w:tc>
          <w:tcPr>
            <w:tcW w:w="1965" w:type="dxa"/>
            <w:gridSpan w:val="2"/>
            <w:vAlign w:val="center"/>
          </w:tcPr>
          <w:p w14:paraId="575F96FD">
            <w:pPr>
              <w:adjustRightInd w:val="0"/>
              <w:snapToGrid w:val="0"/>
              <w:spacing w:line="360" w:lineRule="auto"/>
              <w:jc w:val="left"/>
              <w:rPr>
                <w:rFonts w:hint="eastAsia" w:ascii="宋体" w:hAnsi="宋体"/>
                <w:szCs w:val="21"/>
              </w:rPr>
            </w:pPr>
            <w:r>
              <w:rPr>
                <w:rFonts w:hint="eastAsia" w:ascii="宋体" w:hAnsi="宋体"/>
                <w:szCs w:val="21"/>
              </w:rPr>
              <w:t>需要宣布的其他内容</w:t>
            </w:r>
          </w:p>
        </w:tc>
        <w:tc>
          <w:tcPr>
            <w:tcW w:w="5782" w:type="dxa"/>
            <w:vAlign w:val="center"/>
          </w:tcPr>
          <w:p w14:paraId="4CCD2FFD">
            <w:pPr>
              <w:adjustRightInd w:val="0"/>
              <w:snapToGrid w:val="0"/>
              <w:spacing w:line="360" w:lineRule="auto"/>
              <w:rPr>
                <w:rFonts w:hint="eastAsia" w:ascii="宋体" w:hAnsi="宋体"/>
                <w:szCs w:val="21"/>
              </w:rPr>
            </w:pPr>
            <w:r>
              <w:rPr>
                <w:rFonts w:hint="eastAsia" w:ascii="宋体" w:hAnsi="宋体"/>
                <w:color w:val="000000"/>
                <w:szCs w:val="21"/>
              </w:rPr>
              <w:t>投标报价等</w:t>
            </w:r>
          </w:p>
        </w:tc>
      </w:tr>
      <w:tr w14:paraId="101C670A">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8931" w:type="dxa"/>
            <w:gridSpan w:val="4"/>
            <w:vAlign w:val="center"/>
          </w:tcPr>
          <w:p w14:paraId="6B2852D2">
            <w:pPr>
              <w:adjustRightInd w:val="0"/>
              <w:snapToGrid w:val="0"/>
              <w:spacing w:line="360" w:lineRule="auto"/>
              <w:rPr>
                <w:rFonts w:hint="eastAsia" w:ascii="宋体" w:hAnsi="宋体"/>
                <w:b/>
                <w:szCs w:val="21"/>
              </w:rPr>
            </w:pPr>
            <w:r>
              <w:rPr>
                <w:rFonts w:hint="eastAsia" w:ascii="宋体" w:hAnsi="宋体"/>
                <w:b/>
                <w:szCs w:val="21"/>
              </w:rPr>
              <w:t>六、中标信息公布</w:t>
            </w:r>
          </w:p>
        </w:tc>
      </w:tr>
      <w:tr w14:paraId="7B87423A">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1184" w:type="dxa"/>
            <w:vAlign w:val="center"/>
          </w:tcPr>
          <w:p w14:paraId="7818ED93">
            <w:pPr>
              <w:adjustRightInd w:val="0"/>
              <w:snapToGrid w:val="0"/>
              <w:spacing w:line="360" w:lineRule="auto"/>
              <w:jc w:val="center"/>
              <w:rPr>
                <w:rFonts w:hint="eastAsia" w:ascii="宋体" w:hAnsi="宋体"/>
                <w:szCs w:val="21"/>
              </w:rPr>
            </w:pPr>
            <w:r>
              <w:rPr>
                <w:rFonts w:hint="eastAsia" w:ascii="宋体" w:hAnsi="宋体"/>
                <w:szCs w:val="21"/>
              </w:rPr>
              <w:t>第28.2</w:t>
            </w:r>
            <w:r>
              <w:rPr>
                <w:rFonts w:hint="eastAsia" w:ascii="宋体" w:hAnsi="宋体" w:cs="宋体"/>
                <w:kern w:val="0"/>
                <w:szCs w:val="21"/>
                <w:lang w:val="zh-CN"/>
              </w:rPr>
              <w:t>款</w:t>
            </w:r>
          </w:p>
        </w:tc>
        <w:tc>
          <w:tcPr>
            <w:tcW w:w="1965" w:type="dxa"/>
            <w:gridSpan w:val="2"/>
            <w:vAlign w:val="center"/>
          </w:tcPr>
          <w:p w14:paraId="6CED6D1E">
            <w:pPr>
              <w:adjustRightInd w:val="0"/>
              <w:snapToGrid w:val="0"/>
              <w:spacing w:line="360" w:lineRule="auto"/>
              <w:jc w:val="left"/>
              <w:rPr>
                <w:rFonts w:hint="eastAsia" w:ascii="宋体" w:hAnsi="宋体"/>
                <w:szCs w:val="21"/>
              </w:rPr>
            </w:pPr>
            <w:r>
              <w:rPr>
                <w:rFonts w:hint="eastAsia" w:ascii="宋体" w:hAnsi="宋体"/>
                <w:szCs w:val="21"/>
              </w:rPr>
              <w:t>中标候选人并列时确定中标人的方式</w:t>
            </w:r>
          </w:p>
        </w:tc>
        <w:tc>
          <w:tcPr>
            <w:tcW w:w="5782" w:type="dxa"/>
            <w:vAlign w:val="center"/>
          </w:tcPr>
          <w:p w14:paraId="5CAB914C">
            <w:pPr>
              <w:adjustRightInd w:val="0"/>
              <w:snapToGrid w:val="0"/>
              <w:spacing w:line="360" w:lineRule="auto"/>
              <w:rPr>
                <w:rFonts w:hint="eastAsia" w:ascii="宋体" w:hAnsi="宋体"/>
                <w:szCs w:val="21"/>
              </w:rPr>
            </w:pPr>
            <w:r>
              <w:rPr>
                <w:rFonts w:hint="eastAsia" w:ascii="宋体" w:hAnsi="宋体"/>
                <w:color w:val="000000"/>
                <w:szCs w:val="21"/>
              </w:rPr>
              <w:t>完全满足采购文件实质性需求且综合得分最高的单位为中标单位，得分相同的，按投标报价由低到高顺序排列；得分且投标报价相同的，按技术服务指标优劣顺序排列。</w:t>
            </w:r>
          </w:p>
        </w:tc>
      </w:tr>
      <w:tr w14:paraId="51C3C872">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90" w:hRule="atLeast"/>
        </w:trPr>
        <w:tc>
          <w:tcPr>
            <w:tcW w:w="1184" w:type="dxa"/>
            <w:vAlign w:val="center"/>
          </w:tcPr>
          <w:p w14:paraId="7B32DD86">
            <w:pPr>
              <w:adjustRightInd w:val="0"/>
              <w:snapToGrid w:val="0"/>
              <w:spacing w:line="360" w:lineRule="auto"/>
              <w:jc w:val="center"/>
              <w:rPr>
                <w:rFonts w:hint="eastAsia" w:ascii="宋体" w:hAnsi="宋体"/>
                <w:szCs w:val="21"/>
              </w:rPr>
            </w:pPr>
            <w:r>
              <w:rPr>
                <w:rFonts w:hint="eastAsia" w:ascii="宋体" w:hAnsi="宋体"/>
                <w:szCs w:val="21"/>
              </w:rPr>
              <w:t>第29.3</w:t>
            </w:r>
            <w:r>
              <w:rPr>
                <w:rFonts w:hint="eastAsia" w:ascii="宋体" w:hAnsi="宋体" w:cs="宋体"/>
                <w:kern w:val="0"/>
                <w:szCs w:val="21"/>
                <w:lang w:val="zh-CN"/>
              </w:rPr>
              <w:t>款</w:t>
            </w:r>
          </w:p>
        </w:tc>
        <w:tc>
          <w:tcPr>
            <w:tcW w:w="1965" w:type="dxa"/>
            <w:gridSpan w:val="2"/>
            <w:vAlign w:val="center"/>
          </w:tcPr>
          <w:p w14:paraId="6AF47BCD">
            <w:pPr>
              <w:adjustRightInd w:val="0"/>
              <w:snapToGrid w:val="0"/>
              <w:spacing w:line="360" w:lineRule="auto"/>
              <w:jc w:val="left"/>
              <w:rPr>
                <w:rFonts w:hint="eastAsia" w:ascii="宋体" w:hAnsi="宋体"/>
                <w:szCs w:val="21"/>
              </w:rPr>
            </w:pPr>
            <w:r>
              <w:rPr>
                <w:rFonts w:hint="eastAsia" w:ascii="宋体" w:hAnsi="宋体"/>
                <w:szCs w:val="21"/>
              </w:rPr>
              <w:t>接收质疑函的联系部门、联系电话和通讯地址</w:t>
            </w:r>
          </w:p>
        </w:tc>
        <w:tc>
          <w:tcPr>
            <w:tcW w:w="5782" w:type="dxa"/>
            <w:vAlign w:val="center"/>
          </w:tcPr>
          <w:p w14:paraId="1732FB42">
            <w:pPr>
              <w:adjustRightInd w:val="0"/>
              <w:snapToGrid w:val="0"/>
              <w:spacing w:line="360" w:lineRule="auto"/>
              <w:rPr>
                <w:rFonts w:hint="eastAsia" w:ascii="宋体" w:hAnsi="宋体" w:cs="Times New Roman"/>
                <w:color w:val="000000"/>
                <w:szCs w:val="21"/>
                <w:lang w:eastAsia="zh-CN"/>
              </w:rPr>
            </w:pPr>
            <w:r>
              <w:rPr>
                <w:rFonts w:hint="eastAsia" w:ascii="宋体" w:hAnsi="宋体" w:cs="Times New Roman"/>
                <w:color w:val="000000"/>
                <w:szCs w:val="21"/>
              </w:rPr>
              <w:t>采购人名 称：</w:t>
            </w:r>
            <w:r>
              <w:rPr>
                <w:rFonts w:hint="eastAsia" w:ascii="宋体" w:hAnsi="宋体" w:cs="Times New Roman"/>
                <w:color w:val="000000"/>
                <w:szCs w:val="21"/>
                <w:lang w:eastAsia="zh-CN"/>
              </w:rPr>
              <w:t>新化县民政局</w:t>
            </w:r>
          </w:p>
          <w:p w14:paraId="32C7AF98">
            <w:pPr>
              <w:adjustRightInd w:val="0"/>
              <w:snapToGrid w:val="0"/>
              <w:spacing w:line="360" w:lineRule="auto"/>
              <w:rPr>
                <w:rFonts w:hint="eastAsia" w:ascii="宋体" w:hAnsi="宋体" w:cs="Times New Roman"/>
                <w:color w:val="000000"/>
                <w:szCs w:val="21"/>
              </w:rPr>
            </w:pPr>
            <w:r>
              <w:rPr>
                <w:rFonts w:hint="eastAsia" w:ascii="宋体" w:hAnsi="宋体" w:cs="Times New Roman"/>
                <w:color w:val="000000"/>
                <w:szCs w:val="21"/>
              </w:rPr>
              <w:t>地  址： 新化县</w:t>
            </w:r>
            <w:r>
              <w:rPr>
                <w:rFonts w:hint="eastAsia" w:ascii="宋体" w:hAnsi="宋体" w:cs="Times New Roman"/>
                <w:color w:val="000000"/>
                <w:szCs w:val="21"/>
                <w:lang w:val="en-US" w:eastAsia="zh-CN"/>
              </w:rPr>
              <w:t>重庆路</w:t>
            </w:r>
            <w:r>
              <w:rPr>
                <w:rFonts w:hint="eastAsia" w:ascii="宋体" w:hAnsi="宋体" w:cs="Times New Roman"/>
                <w:color w:val="000000"/>
                <w:szCs w:val="21"/>
              </w:rPr>
              <w:t xml:space="preserve">  </w:t>
            </w:r>
          </w:p>
          <w:p w14:paraId="17EECAE9">
            <w:pPr>
              <w:adjustRightInd w:val="0"/>
              <w:snapToGrid w:val="0"/>
              <w:spacing w:line="360" w:lineRule="auto"/>
              <w:rPr>
                <w:rFonts w:hint="eastAsia" w:ascii="宋体" w:hAnsi="宋体" w:cs="Times New Roman"/>
                <w:color w:val="000000"/>
                <w:szCs w:val="21"/>
              </w:rPr>
            </w:pPr>
            <w:r>
              <w:rPr>
                <w:rFonts w:hint="eastAsia" w:ascii="宋体" w:hAnsi="宋体" w:cs="Times New Roman"/>
                <w:color w:val="000000"/>
                <w:szCs w:val="21"/>
              </w:rPr>
              <w:t xml:space="preserve">联系人： </w:t>
            </w:r>
            <w:r>
              <w:rPr>
                <w:rFonts w:hint="eastAsia" w:ascii="宋体" w:hAnsi="宋体" w:cs="Times New Roman"/>
                <w:color w:val="000000"/>
                <w:szCs w:val="21"/>
                <w:lang w:val="en-US" w:eastAsia="zh-CN"/>
              </w:rPr>
              <w:t>侯杰军</w:t>
            </w:r>
            <w:r>
              <w:rPr>
                <w:rFonts w:hint="eastAsia" w:ascii="宋体" w:hAnsi="宋体" w:cs="Times New Roman"/>
                <w:color w:val="000000"/>
                <w:szCs w:val="21"/>
              </w:rPr>
              <w:t xml:space="preserve">  </w:t>
            </w:r>
          </w:p>
          <w:p w14:paraId="653876DB">
            <w:pPr>
              <w:adjustRightInd w:val="0"/>
              <w:snapToGrid w:val="0"/>
              <w:spacing w:line="360" w:lineRule="auto"/>
              <w:rPr>
                <w:rFonts w:hint="eastAsia" w:ascii="宋体" w:hAnsi="宋体" w:cs="Times New Roman"/>
                <w:color w:val="000000"/>
                <w:szCs w:val="21"/>
                <w:lang w:val="en-US" w:eastAsia="zh-CN"/>
              </w:rPr>
            </w:pPr>
            <w:r>
              <w:rPr>
                <w:rFonts w:hint="eastAsia" w:ascii="宋体" w:hAnsi="宋体" w:cs="Times New Roman"/>
                <w:color w:val="000000"/>
                <w:szCs w:val="21"/>
              </w:rPr>
              <w:t xml:space="preserve">电  话： </w:t>
            </w:r>
            <w:r>
              <w:rPr>
                <w:rFonts w:hint="eastAsia" w:ascii="宋体" w:hAnsi="宋体" w:cs="Times New Roman"/>
                <w:color w:val="000000"/>
                <w:szCs w:val="21"/>
                <w:lang w:val="en-US" w:eastAsia="zh-CN"/>
              </w:rPr>
              <w:t>13873822783</w:t>
            </w:r>
          </w:p>
          <w:p w14:paraId="3C491281">
            <w:pPr>
              <w:adjustRightInd w:val="0"/>
              <w:snapToGrid w:val="0"/>
              <w:spacing w:line="360" w:lineRule="auto"/>
              <w:rPr>
                <w:rFonts w:hint="eastAsia" w:ascii="宋体" w:hAnsi="宋体" w:cs="Times New Roman"/>
                <w:color w:val="000000"/>
                <w:szCs w:val="21"/>
              </w:rPr>
            </w:pPr>
            <w:r>
              <w:rPr>
                <w:rFonts w:hint="eastAsia" w:ascii="宋体" w:hAnsi="宋体" w:cs="Times New Roman"/>
                <w:color w:val="000000"/>
                <w:szCs w:val="21"/>
              </w:rPr>
              <w:t>采购代理机构：娄底市政府采购中心     </w:t>
            </w:r>
          </w:p>
          <w:p w14:paraId="33468AAA">
            <w:pPr>
              <w:adjustRightInd w:val="0"/>
              <w:snapToGrid w:val="0"/>
              <w:spacing w:line="360" w:lineRule="auto"/>
              <w:rPr>
                <w:rFonts w:hint="eastAsia" w:ascii="宋体" w:hAnsi="宋体" w:cs="Times New Roman"/>
                <w:color w:val="000000"/>
                <w:szCs w:val="21"/>
              </w:rPr>
            </w:pPr>
            <w:r>
              <w:rPr>
                <w:rFonts w:hint="eastAsia" w:ascii="宋体" w:hAnsi="宋体" w:cs="Times New Roman"/>
                <w:color w:val="000000"/>
                <w:szCs w:val="21"/>
              </w:rPr>
              <w:t xml:space="preserve">地  址：娄底市湘中大道政务服务大楼 </w:t>
            </w:r>
          </w:p>
          <w:p w14:paraId="07C7569A">
            <w:pPr>
              <w:adjustRightInd w:val="0"/>
              <w:snapToGrid w:val="0"/>
              <w:spacing w:line="360" w:lineRule="auto"/>
              <w:rPr>
                <w:rFonts w:hint="eastAsia" w:ascii="宋体" w:hAnsi="宋体" w:cs="Times New Roman"/>
                <w:color w:val="000000"/>
                <w:szCs w:val="21"/>
              </w:rPr>
            </w:pPr>
            <w:r>
              <w:rPr>
                <w:rFonts w:hint="eastAsia" w:ascii="宋体" w:hAnsi="宋体" w:cs="Times New Roman"/>
                <w:color w:val="000000"/>
                <w:szCs w:val="21"/>
              </w:rPr>
              <w:t xml:space="preserve">联系电话：0738-6371181 </w:t>
            </w:r>
          </w:p>
        </w:tc>
      </w:tr>
      <w:tr w14:paraId="44B9B9F7">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8931" w:type="dxa"/>
            <w:gridSpan w:val="4"/>
            <w:vAlign w:val="center"/>
          </w:tcPr>
          <w:p w14:paraId="4EFB7AF4">
            <w:pPr>
              <w:adjustRightInd w:val="0"/>
              <w:snapToGrid w:val="0"/>
              <w:spacing w:line="360" w:lineRule="auto"/>
              <w:rPr>
                <w:rFonts w:hint="eastAsia" w:ascii="宋体" w:hAnsi="宋体"/>
                <w:szCs w:val="21"/>
              </w:rPr>
            </w:pPr>
            <w:r>
              <w:rPr>
                <w:rFonts w:hint="eastAsia" w:ascii="宋体" w:hAnsi="宋体"/>
                <w:b/>
                <w:szCs w:val="21"/>
              </w:rPr>
              <w:t>七、合同签订</w:t>
            </w:r>
          </w:p>
        </w:tc>
      </w:tr>
      <w:tr w14:paraId="2B0107A5">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1184" w:type="dxa"/>
            <w:vAlign w:val="center"/>
          </w:tcPr>
          <w:p w14:paraId="36C1A1C8">
            <w:pPr>
              <w:adjustRightInd w:val="0"/>
              <w:snapToGrid w:val="0"/>
              <w:spacing w:line="360" w:lineRule="auto"/>
              <w:jc w:val="center"/>
              <w:rPr>
                <w:rFonts w:hint="eastAsia" w:ascii="宋体" w:hAnsi="宋体"/>
                <w:szCs w:val="21"/>
              </w:rPr>
            </w:pPr>
            <w:r>
              <w:rPr>
                <w:rFonts w:hint="eastAsia" w:ascii="宋体" w:hAnsi="宋体"/>
                <w:szCs w:val="21"/>
              </w:rPr>
              <w:t>第31.1</w:t>
            </w:r>
            <w:r>
              <w:rPr>
                <w:rFonts w:hint="eastAsia" w:ascii="宋体" w:hAnsi="宋体" w:cs="宋体"/>
                <w:kern w:val="0"/>
                <w:szCs w:val="21"/>
                <w:lang w:val="zh-CN"/>
              </w:rPr>
              <w:t>款</w:t>
            </w:r>
          </w:p>
        </w:tc>
        <w:tc>
          <w:tcPr>
            <w:tcW w:w="1965" w:type="dxa"/>
            <w:gridSpan w:val="2"/>
            <w:vAlign w:val="center"/>
          </w:tcPr>
          <w:p w14:paraId="455A94B3">
            <w:pPr>
              <w:adjustRightInd w:val="0"/>
              <w:snapToGrid w:val="0"/>
              <w:spacing w:line="360" w:lineRule="auto"/>
              <w:jc w:val="left"/>
              <w:rPr>
                <w:rFonts w:hint="eastAsia" w:ascii="宋体" w:hAnsi="宋体"/>
                <w:szCs w:val="21"/>
              </w:rPr>
            </w:pPr>
            <w:r>
              <w:rPr>
                <w:rFonts w:hint="eastAsia" w:ascii="宋体" w:hAnsi="宋体"/>
                <w:szCs w:val="21"/>
              </w:rPr>
              <w:t>履约担保</w:t>
            </w:r>
          </w:p>
        </w:tc>
        <w:tc>
          <w:tcPr>
            <w:tcW w:w="5782" w:type="dxa"/>
            <w:vAlign w:val="center"/>
          </w:tcPr>
          <w:p w14:paraId="4C2643AE">
            <w:pPr>
              <w:adjustRightInd w:val="0"/>
              <w:snapToGrid w:val="0"/>
              <w:spacing w:line="360" w:lineRule="auto"/>
              <w:rPr>
                <w:rFonts w:hint="eastAsia" w:ascii="宋体" w:hAnsi="宋体" w:cs="Times New Roman"/>
                <w:color w:val="000000"/>
                <w:szCs w:val="21"/>
              </w:rPr>
            </w:pPr>
            <w:r>
              <w:rPr>
                <w:rFonts w:hint="eastAsia" w:ascii="宋体" w:hAnsi="宋体" w:cs="Times New Roman"/>
                <w:color w:val="000000"/>
                <w:szCs w:val="21"/>
                <w:lang w:eastAsia="zh-CN"/>
              </w:rPr>
              <w:t>□</w:t>
            </w:r>
            <w:r>
              <w:rPr>
                <w:rFonts w:hint="eastAsia" w:ascii="宋体" w:hAnsi="宋体" w:cs="Times New Roman"/>
                <w:color w:val="000000"/>
                <w:szCs w:val="21"/>
              </w:rPr>
              <w:t>不要求提供</w:t>
            </w:r>
          </w:p>
          <w:p w14:paraId="7618E6FC">
            <w:pPr>
              <w:adjustRightInd w:val="0"/>
              <w:snapToGrid w:val="0"/>
              <w:spacing w:line="360" w:lineRule="auto"/>
              <w:rPr>
                <w:rFonts w:hint="eastAsia" w:ascii="宋体" w:hAnsi="宋体" w:cs="Times New Roman"/>
                <w:color w:val="000000"/>
                <w:szCs w:val="21"/>
              </w:rPr>
            </w:pPr>
            <w:r>
              <w:rPr>
                <w:rFonts w:hint="eastAsia" w:ascii="宋体" w:hAnsi="宋体" w:cs="Times New Roman"/>
                <w:color w:val="000000"/>
                <w:szCs w:val="21"/>
                <w:lang w:eastAsia="zh-CN"/>
              </w:rPr>
              <w:t>☑</w:t>
            </w:r>
            <w:r>
              <w:rPr>
                <w:rFonts w:hint="eastAsia" w:ascii="宋体" w:hAnsi="宋体" w:cs="Times New Roman"/>
                <w:color w:val="000000"/>
                <w:szCs w:val="21"/>
              </w:rPr>
              <w:t xml:space="preserve"> 要求提供</w:t>
            </w:r>
          </w:p>
          <w:p w14:paraId="2DFD4CFB">
            <w:pPr>
              <w:adjustRightInd w:val="0"/>
              <w:snapToGrid w:val="0"/>
              <w:spacing w:line="360" w:lineRule="auto"/>
              <w:rPr>
                <w:rFonts w:hint="default" w:ascii="宋体" w:hAnsi="宋体" w:cs="Times New Roman"/>
                <w:color w:val="000000"/>
                <w:szCs w:val="21"/>
                <w:lang w:val="en-US" w:eastAsia="zh-CN"/>
              </w:rPr>
            </w:pPr>
            <w:r>
              <w:rPr>
                <w:rFonts w:hint="eastAsia" w:ascii="宋体" w:hAnsi="宋体" w:cs="宋体"/>
                <w:szCs w:val="21"/>
              </w:rPr>
              <w:t>履约担保的金额及方式：</w:t>
            </w:r>
            <w:r>
              <w:rPr>
                <w:rFonts w:hint="eastAsia" w:ascii="宋体" w:hAnsi="宋体" w:eastAsia="宋体" w:cs="宋体"/>
                <w:szCs w:val="21"/>
              </w:rPr>
              <w:t>中标金额的5%，以非现金方式（银行保函或银行转账或第三方金融机构保函）缴纳，在签订合同前缴纳。转账方式缴纳的，验收合格后一个月内无息退还。</w:t>
            </w:r>
          </w:p>
        </w:tc>
      </w:tr>
      <w:tr w14:paraId="2EA8197B">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8931" w:type="dxa"/>
            <w:gridSpan w:val="4"/>
            <w:vAlign w:val="center"/>
          </w:tcPr>
          <w:p w14:paraId="2C673588">
            <w:pPr>
              <w:adjustRightInd w:val="0"/>
              <w:snapToGrid w:val="0"/>
              <w:spacing w:line="360" w:lineRule="auto"/>
              <w:rPr>
                <w:rFonts w:hint="eastAsia" w:ascii="宋体" w:hAnsi="宋体"/>
                <w:szCs w:val="21"/>
              </w:rPr>
            </w:pPr>
            <w:r>
              <w:rPr>
                <w:rFonts w:hint="eastAsia" w:ascii="宋体" w:hAnsi="宋体"/>
                <w:b/>
                <w:bCs/>
                <w:szCs w:val="21"/>
              </w:rPr>
              <w:t>八、政府采购政策</w:t>
            </w:r>
          </w:p>
        </w:tc>
      </w:tr>
      <w:tr w14:paraId="092B6AA7">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1184" w:type="dxa"/>
            <w:tcBorders>
              <w:bottom w:val="single" w:color="auto" w:sz="4" w:space="0"/>
            </w:tcBorders>
            <w:vAlign w:val="center"/>
          </w:tcPr>
          <w:p w14:paraId="64FD88FE">
            <w:pPr>
              <w:widowControl w:val="0"/>
              <w:spacing w:after="0" w:line="240" w:lineRule="auto"/>
              <w:jc w:val="both"/>
              <w:rPr>
                <w:rFonts w:hint="eastAsia" w:ascii="Times New Roman" w:hAnsi="Times New Roman" w:eastAsia="宋体" w:cs="Times New Roman"/>
                <w:color w:val="auto"/>
                <w:kern w:val="2"/>
                <w:sz w:val="21"/>
                <w:szCs w:val="22"/>
                <w:highlight w:val="none"/>
                <w:lang w:val="en-US" w:eastAsia="zh-CN" w:bidi="ar-SA"/>
              </w:rPr>
            </w:pPr>
            <w:r>
              <w:rPr>
                <w:rFonts w:hint="eastAsia" w:ascii="Times New Roman" w:hAnsi="Times New Roman" w:eastAsia="宋体" w:cs="Times New Roman"/>
                <w:color w:val="auto"/>
                <w:kern w:val="2"/>
                <w:sz w:val="21"/>
                <w:szCs w:val="22"/>
                <w:highlight w:val="none"/>
                <w:lang w:val="en-US" w:eastAsia="zh-CN" w:bidi="ar-SA"/>
              </w:rPr>
              <w:t>第33.1款</w:t>
            </w:r>
          </w:p>
        </w:tc>
        <w:tc>
          <w:tcPr>
            <w:tcW w:w="1065" w:type="dxa"/>
            <w:tcBorders>
              <w:right w:val="single" w:color="auto" w:sz="4" w:space="0"/>
            </w:tcBorders>
            <w:vAlign w:val="center"/>
          </w:tcPr>
          <w:p w14:paraId="75AB7685">
            <w:pPr>
              <w:widowControl w:val="0"/>
              <w:spacing w:after="0" w:line="240" w:lineRule="auto"/>
              <w:jc w:val="both"/>
              <w:rPr>
                <w:rFonts w:hint="eastAsia" w:ascii="Times New Roman" w:hAnsi="Times New Roman" w:eastAsia="宋体" w:cs="Times New Roman"/>
                <w:color w:val="auto"/>
                <w:kern w:val="2"/>
                <w:sz w:val="21"/>
                <w:szCs w:val="22"/>
                <w:highlight w:val="none"/>
                <w:lang w:val="en-US" w:eastAsia="zh-CN" w:bidi="ar-SA"/>
              </w:rPr>
            </w:pPr>
          </w:p>
          <w:p w14:paraId="30B71711">
            <w:pPr>
              <w:widowControl w:val="0"/>
              <w:spacing w:after="0" w:line="240" w:lineRule="auto"/>
              <w:jc w:val="both"/>
              <w:rPr>
                <w:rFonts w:hint="eastAsia" w:ascii="Times New Roman" w:hAnsi="Times New Roman" w:eastAsia="宋体" w:cs="Times New Roman"/>
                <w:color w:val="auto"/>
                <w:kern w:val="2"/>
                <w:sz w:val="21"/>
                <w:szCs w:val="22"/>
                <w:highlight w:val="none"/>
                <w:lang w:val="en-US" w:eastAsia="zh-CN" w:bidi="ar-SA"/>
              </w:rPr>
            </w:pPr>
          </w:p>
          <w:p w14:paraId="2018DA94">
            <w:pPr>
              <w:widowControl w:val="0"/>
              <w:spacing w:after="0" w:line="240" w:lineRule="auto"/>
              <w:jc w:val="both"/>
              <w:rPr>
                <w:rFonts w:hint="eastAsia" w:ascii="Times New Roman" w:hAnsi="Times New Roman" w:eastAsia="宋体" w:cs="Times New Roman"/>
                <w:color w:val="auto"/>
                <w:kern w:val="2"/>
                <w:sz w:val="21"/>
                <w:szCs w:val="22"/>
                <w:highlight w:val="none"/>
                <w:lang w:val="en-US" w:eastAsia="zh-CN" w:bidi="ar-SA"/>
              </w:rPr>
            </w:pPr>
          </w:p>
          <w:p w14:paraId="4D0A5C4D">
            <w:pPr>
              <w:widowControl w:val="0"/>
              <w:spacing w:after="0" w:line="240" w:lineRule="auto"/>
              <w:jc w:val="both"/>
              <w:rPr>
                <w:rFonts w:hint="eastAsia" w:ascii="Times New Roman" w:hAnsi="Times New Roman" w:eastAsia="宋体" w:cs="Times New Roman"/>
                <w:color w:val="auto"/>
                <w:kern w:val="2"/>
                <w:sz w:val="21"/>
                <w:szCs w:val="22"/>
                <w:highlight w:val="none"/>
                <w:lang w:val="en-US" w:eastAsia="zh-CN" w:bidi="ar-SA"/>
              </w:rPr>
            </w:pPr>
            <w:r>
              <w:rPr>
                <w:rFonts w:hint="eastAsia" w:ascii="Times New Roman" w:hAnsi="Times New Roman" w:eastAsia="宋体" w:cs="Times New Roman"/>
                <w:color w:val="auto"/>
                <w:kern w:val="2"/>
                <w:sz w:val="21"/>
                <w:szCs w:val="22"/>
                <w:highlight w:val="none"/>
                <w:lang w:val="en-US" w:eastAsia="zh-CN" w:bidi="ar-SA"/>
              </w:rPr>
              <w:t>优先采购</w:t>
            </w:r>
          </w:p>
        </w:tc>
        <w:tc>
          <w:tcPr>
            <w:tcW w:w="900" w:type="dxa"/>
            <w:tcBorders>
              <w:left w:val="single" w:color="auto" w:sz="4" w:space="0"/>
            </w:tcBorders>
            <w:vAlign w:val="center"/>
          </w:tcPr>
          <w:p w14:paraId="36606BBB">
            <w:pPr>
              <w:widowControl w:val="0"/>
              <w:spacing w:after="0" w:line="240" w:lineRule="auto"/>
              <w:jc w:val="both"/>
              <w:rPr>
                <w:rFonts w:hint="eastAsia" w:ascii="Times New Roman" w:hAnsi="Times New Roman" w:eastAsia="宋体" w:cs="Times New Roman"/>
                <w:color w:val="auto"/>
                <w:kern w:val="2"/>
                <w:sz w:val="21"/>
                <w:szCs w:val="22"/>
                <w:highlight w:val="none"/>
                <w:lang w:val="en-US" w:eastAsia="zh-CN" w:bidi="ar-SA"/>
              </w:rPr>
            </w:pPr>
            <w:r>
              <w:rPr>
                <w:rFonts w:hint="eastAsia" w:ascii="Times New Roman" w:hAnsi="Times New Roman" w:eastAsia="宋体" w:cs="Times New Roman"/>
                <w:color w:val="auto"/>
                <w:kern w:val="2"/>
                <w:sz w:val="21"/>
                <w:szCs w:val="22"/>
                <w:highlight w:val="none"/>
                <w:lang w:val="en-US" w:eastAsia="zh-CN" w:bidi="ar-SA"/>
              </w:rPr>
              <w:t>非标记★符号的节能、节水产品或环境标志产品</w:t>
            </w:r>
          </w:p>
        </w:tc>
        <w:tc>
          <w:tcPr>
            <w:tcW w:w="5782" w:type="dxa"/>
            <w:vAlign w:val="top"/>
          </w:tcPr>
          <w:p w14:paraId="3C3B41EE">
            <w:pPr>
              <w:widowControl w:val="0"/>
              <w:spacing w:after="0" w:line="240" w:lineRule="auto"/>
              <w:jc w:val="both"/>
              <w:rPr>
                <w:rFonts w:hint="eastAsia" w:ascii="Times New Roman" w:hAnsi="Times New Roman" w:eastAsia="宋体" w:cs="Times New Roman"/>
                <w:color w:val="auto"/>
                <w:kern w:val="2"/>
                <w:sz w:val="21"/>
                <w:szCs w:val="22"/>
                <w:highlight w:val="none"/>
                <w:lang w:val="en-US" w:eastAsia="zh-CN" w:bidi="ar-SA"/>
              </w:rPr>
            </w:pPr>
            <w:r>
              <w:rPr>
                <w:rFonts w:hint="eastAsia" w:ascii="Times New Roman" w:hAnsi="Times New Roman" w:eastAsia="宋体" w:cs="Times New Roman"/>
                <w:color w:val="auto"/>
                <w:kern w:val="2"/>
                <w:sz w:val="21"/>
                <w:szCs w:val="22"/>
                <w:highlight w:val="none"/>
                <w:lang w:val="en-US" w:eastAsia="zh-CN" w:bidi="ar-SA"/>
              </w:rPr>
              <w:t>投标人应按财库〔2019〕9 号和财库〔2019〕 19 号文件要求，此仅限于《节能产品政府采购品目清单》内的，除财政部另有规定外，标记★符号产品为政府强制采购节能、节水产品；投标人提供的产品应当取得国家确定的认证机构出具的、处于有效期之内的节能产品认证证书，否则其投标无效，不是品目清单内的产品，在评审时不予以考虑。</w:t>
            </w:r>
          </w:p>
          <w:p w14:paraId="24FF06BF">
            <w:pPr>
              <w:widowControl w:val="0"/>
              <w:spacing w:after="0" w:line="240" w:lineRule="auto"/>
              <w:jc w:val="both"/>
              <w:rPr>
                <w:rFonts w:hint="eastAsia" w:ascii="Times New Roman" w:hAnsi="Times New Roman" w:eastAsia="宋体" w:cs="Times New Roman"/>
                <w:color w:val="auto"/>
                <w:kern w:val="2"/>
                <w:sz w:val="21"/>
                <w:szCs w:val="22"/>
                <w:highlight w:val="none"/>
                <w:lang w:val="en-US" w:eastAsia="zh-CN" w:bidi="ar-SA"/>
              </w:rPr>
            </w:pPr>
            <w:r>
              <w:rPr>
                <w:rFonts w:hint="eastAsia" w:ascii="Times New Roman" w:hAnsi="Times New Roman" w:eastAsia="宋体" w:cs="Times New Roman"/>
                <w:color w:val="auto"/>
                <w:kern w:val="2"/>
                <w:sz w:val="21"/>
                <w:szCs w:val="22"/>
                <w:highlight w:val="none"/>
                <w:lang w:val="en-US" w:eastAsia="zh-CN" w:bidi="ar-SA"/>
              </w:rPr>
              <w:t>采用综合评分法时，对于价格和技术分，应分别给予总分值 4%-8%的加分。本项目具体加分比例分别为：价格部分 4% 、技术部分 4%。</w:t>
            </w:r>
          </w:p>
          <w:p w14:paraId="5BC93F33">
            <w:pPr>
              <w:widowControl w:val="0"/>
              <w:spacing w:after="0" w:line="240" w:lineRule="auto"/>
              <w:jc w:val="both"/>
              <w:rPr>
                <w:rFonts w:hint="eastAsia" w:ascii="Times New Roman" w:hAnsi="Times New Roman" w:eastAsia="宋体" w:cs="Times New Roman"/>
                <w:color w:val="auto"/>
                <w:kern w:val="2"/>
                <w:sz w:val="21"/>
                <w:szCs w:val="22"/>
                <w:highlight w:val="none"/>
                <w:lang w:val="en-US" w:eastAsia="zh-CN" w:bidi="ar-SA"/>
              </w:rPr>
            </w:pPr>
            <w:r>
              <w:rPr>
                <w:rFonts w:hint="eastAsia" w:ascii="Times New Roman" w:hAnsi="Times New Roman" w:eastAsia="宋体" w:cs="Times New Roman"/>
                <w:color w:val="auto"/>
                <w:kern w:val="2"/>
                <w:sz w:val="21"/>
                <w:szCs w:val="22"/>
                <w:highlight w:val="none"/>
                <w:lang w:val="en-US" w:eastAsia="zh-CN" w:bidi="ar-SA"/>
              </w:rPr>
              <w:t>采用最低评标价法时，对于价格给予4%的扣除比例，用扣除后的价格参与评审。</w:t>
            </w:r>
          </w:p>
        </w:tc>
      </w:tr>
      <w:tr w14:paraId="64FAC4F8">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1184" w:type="dxa"/>
            <w:tcBorders>
              <w:top w:val="single" w:color="auto" w:sz="4" w:space="0"/>
              <w:bottom w:val="single" w:color="auto" w:sz="4" w:space="0"/>
            </w:tcBorders>
            <w:vAlign w:val="center"/>
          </w:tcPr>
          <w:p w14:paraId="79FFFE55">
            <w:pPr>
              <w:widowControl w:val="0"/>
              <w:spacing w:after="0" w:line="240" w:lineRule="auto"/>
              <w:jc w:val="both"/>
              <w:rPr>
                <w:rFonts w:hint="eastAsia" w:ascii="Times New Roman" w:hAnsi="Times New Roman" w:eastAsia="宋体" w:cs="Times New Roman"/>
                <w:color w:val="auto"/>
                <w:kern w:val="2"/>
                <w:sz w:val="21"/>
                <w:szCs w:val="22"/>
                <w:highlight w:val="none"/>
                <w:lang w:val="en-US" w:eastAsia="zh-CN" w:bidi="ar-SA"/>
              </w:rPr>
            </w:pPr>
            <w:r>
              <w:rPr>
                <w:rFonts w:hint="eastAsia" w:ascii="Times New Roman" w:hAnsi="Times New Roman" w:eastAsia="宋体" w:cs="Times New Roman"/>
                <w:color w:val="auto"/>
                <w:kern w:val="2"/>
                <w:sz w:val="21"/>
                <w:szCs w:val="22"/>
                <w:highlight w:val="none"/>
                <w:lang w:val="en-US" w:eastAsia="zh-CN" w:bidi="ar-SA"/>
              </w:rPr>
              <w:t>第33.2款</w:t>
            </w:r>
          </w:p>
        </w:tc>
        <w:tc>
          <w:tcPr>
            <w:tcW w:w="1065" w:type="dxa"/>
            <w:tcBorders>
              <w:right w:val="single" w:color="auto" w:sz="4" w:space="0"/>
            </w:tcBorders>
            <w:vAlign w:val="center"/>
          </w:tcPr>
          <w:p w14:paraId="66A6D6C9">
            <w:pPr>
              <w:widowControl w:val="0"/>
              <w:spacing w:after="0" w:line="240" w:lineRule="auto"/>
              <w:jc w:val="both"/>
              <w:rPr>
                <w:rFonts w:hint="eastAsia" w:ascii="Times New Roman" w:hAnsi="Times New Roman" w:eastAsia="宋体" w:cs="Times New Roman"/>
                <w:color w:val="auto"/>
                <w:kern w:val="2"/>
                <w:sz w:val="21"/>
                <w:szCs w:val="22"/>
                <w:highlight w:val="none"/>
                <w:lang w:val="en-US" w:eastAsia="zh-CN" w:bidi="ar-SA"/>
              </w:rPr>
            </w:pPr>
            <w:r>
              <w:rPr>
                <w:rFonts w:hint="eastAsia" w:ascii="Times New Roman" w:hAnsi="Times New Roman" w:eastAsia="宋体" w:cs="Times New Roman"/>
                <w:color w:val="auto"/>
                <w:kern w:val="2"/>
                <w:sz w:val="21"/>
                <w:szCs w:val="22"/>
                <w:highlight w:val="none"/>
                <w:lang w:val="en-US" w:eastAsia="zh-CN" w:bidi="ar-SA"/>
              </w:rPr>
              <w:t>强制采购</w:t>
            </w:r>
          </w:p>
        </w:tc>
        <w:tc>
          <w:tcPr>
            <w:tcW w:w="900" w:type="dxa"/>
            <w:tcBorders>
              <w:left w:val="single" w:color="auto" w:sz="4" w:space="0"/>
            </w:tcBorders>
            <w:vAlign w:val="center"/>
          </w:tcPr>
          <w:p w14:paraId="218EDF9E">
            <w:pPr>
              <w:widowControl w:val="0"/>
              <w:spacing w:after="0" w:line="240" w:lineRule="auto"/>
              <w:jc w:val="both"/>
              <w:rPr>
                <w:rFonts w:hint="eastAsia" w:ascii="Times New Roman" w:hAnsi="Times New Roman" w:eastAsia="宋体" w:cs="Times New Roman"/>
                <w:color w:val="auto"/>
                <w:kern w:val="2"/>
                <w:sz w:val="21"/>
                <w:szCs w:val="22"/>
                <w:highlight w:val="none"/>
                <w:lang w:val="en-US" w:eastAsia="zh-CN" w:bidi="ar-SA"/>
              </w:rPr>
            </w:pPr>
            <w:r>
              <w:rPr>
                <w:rFonts w:hint="eastAsia" w:ascii="Times New Roman" w:hAnsi="Times New Roman" w:eastAsia="宋体" w:cs="Times New Roman"/>
                <w:color w:val="auto"/>
                <w:kern w:val="2"/>
                <w:sz w:val="21"/>
                <w:szCs w:val="22"/>
                <w:highlight w:val="none"/>
                <w:lang w:val="en-US" w:eastAsia="zh-CN" w:bidi="ar-SA"/>
              </w:rPr>
              <w:t>标记★符号的节能、节水产品</w:t>
            </w:r>
          </w:p>
        </w:tc>
        <w:tc>
          <w:tcPr>
            <w:tcW w:w="5782" w:type="dxa"/>
            <w:vAlign w:val="top"/>
          </w:tcPr>
          <w:p w14:paraId="6622C502">
            <w:pPr>
              <w:widowControl w:val="0"/>
              <w:spacing w:after="0" w:line="240" w:lineRule="auto"/>
              <w:jc w:val="both"/>
              <w:rPr>
                <w:rFonts w:hint="eastAsia" w:ascii="Times New Roman" w:hAnsi="Times New Roman" w:eastAsia="宋体" w:cs="Times New Roman"/>
                <w:color w:val="auto"/>
                <w:kern w:val="2"/>
                <w:sz w:val="21"/>
                <w:szCs w:val="22"/>
                <w:highlight w:val="none"/>
                <w:lang w:val="en-US" w:eastAsia="zh-CN" w:bidi="ar-SA"/>
              </w:rPr>
            </w:pPr>
            <w:r>
              <w:rPr>
                <w:rFonts w:hint="eastAsia" w:ascii="Times New Roman" w:hAnsi="Times New Roman" w:eastAsia="宋体" w:cs="Times New Roman"/>
                <w:color w:val="auto"/>
                <w:kern w:val="2"/>
                <w:sz w:val="21"/>
                <w:szCs w:val="22"/>
                <w:highlight w:val="none"/>
                <w:lang w:val="en-US" w:eastAsia="zh-CN" w:bidi="ar-SA"/>
              </w:rPr>
              <w:t>投标人应按财库〔2019〕9 号、财库〔2019〕 19 号和财库〔2019〕 18号文件要求，此仅限于《节能产品政府采购品目清单》 （非标记★符号的节能、节水产品） 或《环境标志产品政府采购品目清单》 内产品；投标人提供的产品应当取得国家确认的认证机构出具的、处于有效期之内的节能产品、环境标志产品认证证书，不是品目清单内的产品，在评审时不予以考虑</w:t>
            </w:r>
            <w:r>
              <w:rPr>
                <w:rFonts w:hint="eastAsia" w:ascii="Times New Roman" w:hAnsi="Times New Roman" w:cs="Times New Roman"/>
                <w:color w:val="auto"/>
                <w:kern w:val="2"/>
                <w:sz w:val="21"/>
                <w:szCs w:val="22"/>
                <w:highlight w:val="none"/>
                <w:lang w:val="en-US" w:eastAsia="zh-CN" w:bidi="ar-SA"/>
              </w:rPr>
              <w:t>。</w:t>
            </w:r>
          </w:p>
        </w:tc>
      </w:tr>
      <w:tr w14:paraId="62DF5788">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1184" w:type="dxa"/>
            <w:vMerge w:val="restart"/>
            <w:tcBorders>
              <w:top w:val="single" w:color="auto" w:sz="4" w:space="0"/>
            </w:tcBorders>
            <w:vAlign w:val="center"/>
          </w:tcPr>
          <w:p w14:paraId="4666BF63">
            <w:pPr>
              <w:widowControl w:val="0"/>
              <w:spacing w:after="0" w:line="240" w:lineRule="auto"/>
              <w:jc w:val="both"/>
              <w:rPr>
                <w:rFonts w:hint="eastAsia" w:ascii="Times New Roman" w:hAnsi="Times New Roman" w:eastAsia="宋体" w:cs="Times New Roman"/>
                <w:color w:val="auto"/>
                <w:kern w:val="2"/>
                <w:sz w:val="21"/>
                <w:szCs w:val="22"/>
                <w:highlight w:val="none"/>
                <w:lang w:val="en-US" w:eastAsia="zh-CN" w:bidi="ar-SA"/>
              </w:rPr>
            </w:pPr>
            <w:r>
              <w:rPr>
                <w:rFonts w:hint="eastAsia" w:ascii="Times New Roman" w:hAnsi="Times New Roman" w:eastAsia="宋体" w:cs="Times New Roman"/>
                <w:color w:val="auto"/>
                <w:kern w:val="2"/>
                <w:sz w:val="21"/>
                <w:szCs w:val="22"/>
                <w:highlight w:val="none"/>
                <w:lang w:val="en-US" w:eastAsia="zh-CN" w:bidi="ar-SA"/>
              </w:rPr>
              <w:t>第33.3款</w:t>
            </w:r>
          </w:p>
        </w:tc>
        <w:tc>
          <w:tcPr>
            <w:tcW w:w="1965" w:type="dxa"/>
            <w:gridSpan w:val="2"/>
            <w:vAlign w:val="center"/>
          </w:tcPr>
          <w:p w14:paraId="51E495A7">
            <w:pPr>
              <w:widowControl w:val="0"/>
              <w:spacing w:after="0" w:line="240" w:lineRule="auto"/>
              <w:jc w:val="both"/>
              <w:rPr>
                <w:rFonts w:hint="eastAsia" w:ascii="Times New Roman" w:hAnsi="Times New Roman" w:eastAsia="宋体" w:cs="Times New Roman"/>
                <w:color w:val="auto"/>
                <w:kern w:val="2"/>
                <w:sz w:val="21"/>
                <w:szCs w:val="22"/>
                <w:highlight w:val="none"/>
                <w:lang w:val="en-US" w:eastAsia="zh-CN" w:bidi="ar-SA"/>
              </w:rPr>
            </w:pPr>
            <w:r>
              <w:rPr>
                <w:rFonts w:hint="eastAsia" w:ascii="Times New Roman" w:hAnsi="Times New Roman" w:eastAsia="宋体" w:cs="Times New Roman"/>
                <w:color w:val="auto"/>
                <w:kern w:val="2"/>
                <w:sz w:val="21"/>
                <w:szCs w:val="22"/>
                <w:highlight w:val="none"/>
                <w:lang w:val="en-US" w:eastAsia="zh-CN" w:bidi="ar-SA"/>
              </w:rPr>
              <w:t>中小企业行业类别</w:t>
            </w:r>
          </w:p>
        </w:tc>
        <w:tc>
          <w:tcPr>
            <w:tcW w:w="5782" w:type="dxa"/>
            <w:vAlign w:val="center"/>
          </w:tcPr>
          <w:p w14:paraId="2FB81C99">
            <w:pPr>
              <w:widowControl w:val="0"/>
              <w:spacing w:after="0" w:line="240" w:lineRule="auto"/>
              <w:jc w:val="both"/>
              <w:rPr>
                <w:rFonts w:hint="eastAsia" w:ascii="Times New Roman" w:hAnsi="Times New Roman" w:eastAsia="宋体" w:cs="Times New Roman"/>
                <w:color w:val="auto"/>
                <w:kern w:val="2"/>
                <w:sz w:val="21"/>
                <w:szCs w:val="22"/>
                <w:highlight w:val="none"/>
                <w:lang w:val="en-US" w:eastAsia="zh-CN" w:bidi="ar-SA"/>
              </w:rPr>
            </w:pPr>
            <w:r>
              <w:rPr>
                <w:rFonts w:hint="eastAsia" w:ascii="Times New Roman" w:hAnsi="Times New Roman" w:eastAsia="宋体" w:cs="Times New Roman"/>
                <w:color w:val="auto"/>
                <w:kern w:val="2"/>
                <w:sz w:val="21"/>
                <w:szCs w:val="22"/>
                <w:highlight w:val="none"/>
                <w:lang w:val="en-US" w:eastAsia="zh-CN" w:bidi="ar-SA"/>
              </w:rPr>
              <w:t>行业类别如下：</w:t>
            </w:r>
          </w:p>
          <w:p w14:paraId="211B8DBA">
            <w:pPr>
              <w:widowControl w:val="0"/>
              <w:spacing w:after="0" w:line="240" w:lineRule="auto"/>
              <w:jc w:val="both"/>
              <w:rPr>
                <w:rFonts w:hint="eastAsia" w:ascii="Times New Roman" w:hAnsi="Times New Roman" w:eastAsia="宋体" w:cs="Times New Roman"/>
                <w:color w:val="auto"/>
                <w:kern w:val="2"/>
                <w:sz w:val="21"/>
                <w:szCs w:val="22"/>
                <w:highlight w:val="none"/>
                <w:lang w:val="en-US" w:eastAsia="zh-CN" w:bidi="ar-SA"/>
              </w:rPr>
            </w:pPr>
            <w:r>
              <w:rPr>
                <w:rFonts w:hint="eastAsia" w:ascii="Times New Roman" w:hAnsi="Times New Roman" w:eastAsia="宋体" w:cs="Times New Roman"/>
                <w:color w:val="auto"/>
                <w:kern w:val="2"/>
                <w:sz w:val="21"/>
                <w:szCs w:val="22"/>
                <w:highlight w:val="none"/>
                <w:lang w:val="en-US" w:eastAsia="zh-CN" w:bidi="ar-SA"/>
              </w:rPr>
              <w:t>（一）农、林、牧、渔业</w:t>
            </w:r>
          </w:p>
          <w:p w14:paraId="25C49908">
            <w:pPr>
              <w:widowControl w:val="0"/>
              <w:spacing w:after="0" w:line="240" w:lineRule="auto"/>
              <w:jc w:val="both"/>
              <w:rPr>
                <w:rFonts w:hint="eastAsia" w:ascii="Times New Roman" w:hAnsi="Times New Roman" w:eastAsia="宋体" w:cs="Times New Roman"/>
                <w:color w:val="auto"/>
                <w:kern w:val="2"/>
                <w:sz w:val="21"/>
                <w:szCs w:val="22"/>
                <w:highlight w:val="none"/>
                <w:lang w:val="en-US" w:eastAsia="zh-CN" w:bidi="ar-SA"/>
              </w:rPr>
            </w:pPr>
            <w:r>
              <w:rPr>
                <w:rFonts w:hint="eastAsia" w:ascii="Times New Roman" w:hAnsi="Times New Roman" w:eastAsia="宋体" w:cs="Times New Roman"/>
                <w:color w:val="auto"/>
                <w:kern w:val="2"/>
                <w:sz w:val="21"/>
                <w:szCs w:val="22"/>
                <w:highlight w:val="none"/>
                <w:lang w:val="en-US" w:eastAsia="zh-CN" w:bidi="ar-SA"/>
              </w:rPr>
              <w:t>（二）工业</w:t>
            </w:r>
          </w:p>
          <w:p w14:paraId="7C8DC030">
            <w:pPr>
              <w:widowControl w:val="0"/>
              <w:spacing w:after="0" w:line="240" w:lineRule="auto"/>
              <w:jc w:val="both"/>
              <w:rPr>
                <w:rFonts w:hint="eastAsia" w:ascii="Times New Roman" w:hAnsi="Times New Roman" w:eastAsia="宋体" w:cs="Times New Roman"/>
                <w:color w:val="auto"/>
                <w:kern w:val="2"/>
                <w:sz w:val="21"/>
                <w:szCs w:val="22"/>
                <w:highlight w:val="none"/>
                <w:lang w:val="en-US" w:eastAsia="zh-CN" w:bidi="ar-SA"/>
              </w:rPr>
            </w:pPr>
            <w:r>
              <w:rPr>
                <w:rFonts w:hint="eastAsia" w:ascii="Times New Roman" w:hAnsi="Times New Roman" w:eastAsia="宋体" w:cs="Times New Roman"/>
                <w:color w:val="auto"/>
                <w:kern w:val="2"/>
                <w:sz w:val="21"/>
                <w:szCs w:val="22"/>
                <w:highlight w:val="none"/>
                <w:lang w:val="en-US" w:eastAsia="zh-CN" w:bidi="ar-SA"/>
              </w:rPr>
              <w:t>（三）建筑业</w:t>
            </w:r>
          </w:p>
          <w:p w14:paraId="492D6F3E">
            <w:pPr>
              <w:widowControl w:val="0"/>
              <w:spacing w:after="0" w:line="240" w:lineRule="auto"/>
              <w:jc w:val="both"/>
              <w:rPr>
                <w:rFonts w:hint="eastAsia" w:ascii="Times New Roman" w:hAnsi="Times New Roman" w:eastAsia="宋体" w:cs="Times New Roman"/>
                <w:color w:val="auto"/>
                <w:kern w:val="2"/>
                <w:sz w:val="21"/>
                <w:szCs w:val="22"/>
                <w:highlight w:val="none"/>
                <w:lang w:val="en-US" w:eastAsia="zh-CN" w:bidi="ar-SA"/>
              </w:rPr>
            </w:pPr>
            <w:r>
              <w:rPr>
                <w:rFonts w:hint="eastAsia" w:ascii="Times New Roman" w:hAnsi="Times New Roman" w:eastAsia="宋体" w:cs="Times New Roman"/>
                <w:color w:val="auto"/>
                <w:kern w:val="2"/>
                <w:sz w:val="21"/>
                <w:szCs w:val="22"/>
                <w:highlight w:val="none"/>
                <w:lang w:val="en-US" w:eastAsia="zh-CN" w:bidi="ar-SA"/>
              </w:rPr>
              <w:t>（四）批发业</w:t>
            </w:r>
          </w:p>
          <w:p w14:paraId="19AE6B36">
            <w:pPr>
              <w:widowControl w:val="0"/>
              <w:spacing w:after="0" w:line="240" w:lineRule="auto"/>
              <w:jc w:val="both"/>
              <w:rPr>
                <w:rFonts w:hint="eastAsia" w:ascii="Times New Roman" w:hAnsi="Times New Roman" w:eastAsia="宋体" w:cs="Times New Roman"/>
                <w:color w:val="auto"/>
                <w:kern w:val="2"/>
                <w:sz w:val="21"/>
                <w:szCs w:val="22"/>
                <w:highlight w:val="none"/>
                <w:lang w:val="en-US" w:eastAsia="zh-CN" w:bidi="ar-SA"/>
              </w:rPr>
            </w:pPr>
            <w:r>
              <w:rPr>
                <w:rFonts w:hint="eastAsia" w:ascii="Times New Roman" w:hAnsi="Times New Roman" w:eastAsia="宋体" w:cs="Times New Roman"/>
                <w:color w:val="auto"/>
                <w:kern w:val="2"/>
                <w:sz w:val="21"/>
                <w:szCs w:val="22"/>
                <w:highlight w:val="none"/>
                <w:lang w:val="en-US" w:eastAsia="zh-CN" w:bidi="ar-SA"/>
              </w:rPr>
              <w:t>（五）零售业</w:t>
            </w:r>
          </w:p>
          <w:p w14:paraId="7A3DB6D9">
            <w:pPr>
              <w:widowControl w:val="0"/>
              <w:spacing w:after="0" w:line="240" w:lineRule="auto"/>
              <w:jc w:val="both"/>
              <w:rPr>
                <w:rFonts w:hint="eastAsia" w:ascii="Times New Roman" w:hAnsi="Times New Roman" w:eastAsia="宋体" w:cs="Times New Roman"/>
                <w:color w:val="auto"/>
                <w:kern w:val="2"/>
                <w:sz w:val="21"/>
                <w:szCs w:val="22"/>
                <w:highlight w:val="none"/>
                <w:lang w:val="en-US" w:eastAsia="zh-CN" w:bidi="ar-SA"/>
              </w:rPr>
            </w:pPr>
            <w:r>
              <w:rPr>
                <w:rFonts w:hint="eastAsia" w:ascii="Times New Roman" w:hAnsi="Times New Roman" w:eastAsia="宋体" w:cs="Times New Roman"/>
                <w:color w:val="auto"/>
                <w:kern w:val="2"/>
                <w:sz w:val="21"/>
                <w:szCs w:val="22"/>
                <w:highlight w:val="none"/>
                <w:lang w:val="en-US" w:eastAsia="zh-CN" w:bidi="ar-SA"/>
              </w:rPr>
              <w:t>（六）交通运输业</w:t>
            </w:r>
          </w:p>
          <w:p w14:paraId="43654213">
            <w:pPr>
              <w:widowControl w:val="0"/>
              <w:spacing w:after="0" w:line="240" w:lineRule="auto"/>
              <w:jc w:val="both"/>
              <w:rPr>
                <w:rFonts w:hint="eastAsia" w:ascii="Times New Roman" w:hAnsi="Times New Roman" w:eastAsia="宋体" w:cs="Times New Roman"/>
                <w:color w:val="auto"/>
                <w:kern w:val="2"/>
                <w:sz w:val="21"/>
                <w:szCs w:val="22"/>
                <w:highlight w:val="none"/>
                <w:lang w:val="en-US" w:eastAsia="zh-CN" w:bidi="ar-SA"/>
              </w:rPr>
            </w:pPr>
            <w:r>
              <w:rPr>
                <w:rFonts w:hint="eastAsia" w:ascii="Times New Roman" w:hAnsi="Times New Roman" w:eastAsia="宋体" w:cs="Times New Roman"/>
                <w:color w:val="auto"/>
                <w:kern w:val="2"/>
                <w:sz w:val="21"/>
                <w:szCs w:val="22"/>
                <w:highlight w:val="none"/>
                <w:lang w:val="en-US" w:eastAsia="zh-CN" w:bidi="ar-SA"/>
              </w:rPr>
              <w:t>（七）仓储业</w:t>
            </w:r>
          </w:p>
          <w:p w14:paraId="26391500">
            <w:pPr>
              <w:widowControl w:val="0"/>
              <w:spacing w:after="0" w:line="240" w:lineRule="auto"/>
              <w:jc w:val="both"/>
              <w:rPr>
                <w:rFonts w:hint="eastAsia" w:ascii="Times New Roman" w:hAnsi="Times New Roman" w:eastAsia="宋体" w:cs="Times New Roman"/>
                <w:color w:val="auto"/>
                <w:kern w:val="2"/>
                <w:sz w:val="21"/>
                <w:szCs w:val="22"/>
                <w:highlight w:val="none"/>
                <w:lang w:val="en-US" w:eastAsia="zh-CN" w:bidi="ar-SA"/>
              </w:rPr>
            </w:pPr>
            <w:r>
              <w:rPr>
                <w:rFonts w:hint="eastAsia" w:ascii="Times New Roman" w:hAnsi="Times New Roman" w:eastAsia="宋体" w:cs="Times New Roman"/>
                <w:color w:val="auto"/>
                <w:kern w:val="2"/>
                <w:sz w:val="21"/>
                <w:szCs w:val="22"/>
                <w:highlight w:val="none"/>
                <w:lang w:val="en-US" w:eastAsia="zh-CN" w:bidi="ar-SA"/>
              </w:rPr>
              <w:t>（八）邮政业</w:t>
            </w:r>
          </w:p>
          <w:p w14:paraId="61BED873">
            <w:pPr>
              <w:widowControl w:val="0"/>
              <w:spacing w:after="0" w:line="240" w:lineRule="auto"/>
              <w:jc w:val="both"/>
              <w:rPr>
                <w:rFonts w:hint="eastAsia" w:ascii="Times New Roman" w:hAnsi="Times New Roman" w:eastAsia="宋体" w:cs="Times New Roman"/>
                <w:color w:val="auto"/>
                <w:kern w:val="2"/>
                <w:sz w:val="21"/>
                <w:szCs w:val="22"/>
                <w:highlight w:val="none"/>
                <w:lang w:val="en-US" w:eastAsia="zh-CN" w:bidi="ar-SA"/>
              </w:rPr>
            </w:pPr>
            <w:r>
              <w:rPr>
                <w:rFonts w:hint="eastAsia" w:ascii="Times New Roman" w:hAnsi="Times New Roman" w:eastAsia="宋体" w:cs="Times New Roman"/>
                <w:color w:val="auto"/>
                <w:kern w:val="2"/>
                <w:sz w:val="21"/>
                <w:szCs w:val="22"/>
                <w:highlight w:val="none"/>
                <w:lang w:val="en-US" w:eastAsia="zh-CN" w:bidi="ar-SA"/>
              </w:rPr>
              <w:t>（九）住宿业</w:t>
            </w:r>
          </w:p>
          <w:p w14:paraId="7F22911F">
            <w:pPr>
              <w:widowControl w:val="0"/>
              <w:spacing w:after="0" w:line="240" w:lineRule="auto"/>
              <w:jc w:val="both"/>
              <w:rPr>
                <w:rFonts w:hint="eastAsia" w:ascii="Times New Roman" w:hAnsi="Times New Roman" w:eastAsia="宋体" w:cs="Times New Roman"/>
                <w:color w:val="auto"/>
                <w:kern w:val="2"/>
                <w:sz w:val="21"/>
                <w:szCs w:val="22"/>
                <w:highlight w:val="none"/>
                <w:lang w:val="en-US" w:eastAsia="zh-CN" w:bidi="ar-SA"/>
              </w:rPr>
            </w:pPr>
            <w:r>
              <w:rPr>
                <w:rFonts w:hint="eastAsia" w:ascii="Times New Roman" w:hAnsi="Times New Roman" w:eastAsia="宋体" w:cs="Times New Roman"/>
                <w:color w:val="auto"/>
                <w:kern w:val="2"/>
                <w:sz w:val="21"/>
                <w:szCs w:val="22"/>
                <w:highlight w:val="none"/>
                <w:lang w:val="en-US" w:eastAsia="zh-CN" w:bidi="ar-SA"/>
              </w:rPr>
              <w:t>（十）餐饮业</w:t>
            </w:r>
          </w:p>
          <w:p w14:paraId="148BDFAA">
            <w:pPr>
              <w:widowControl w:val="0"/>
              <w:spacing w:after="0" w:line="240" w:lineRule="auto"/>
              <w:jc w:val="both"/>
              <w:rPr>
                <w:rFonts w:hint="eastAsia" w:ascii="Times New Roman" w:hAnsi="Times New Roman" w:eastAsia="宋体" w:cs="Times New Roman"/>
                <w:color w:val="auto"/>
                <w:kern w:val="2"/>
                <w:sz w:val="21"/>
                <w:szCs w:val="22"/>
                <w:highlight w:val="none"/>
                <w:lang w:val="en-US" w:eastAsia="zh-CN" w:bidi="ar-SA"/>
              </w:rPr>
            </w:pPr>
            <w:r>
              <w:rPr>
                <w:rFonts w:hint="eastAsia" w:ascii="Times New Roman" w:hAnsi="Times New Roman" w:eastAsia="宋体" w:cs="Times New Roman"/>
                <w:color w:val="auto"/>
                <w:kern w:val="2"/>
                <w:sz w:val="21"/>
                <w:szCs w:val="22"/>
                <w:highlight w:val="none"/>
                <w:lang w:val="en-US" w:eastAsia="zh-CN" w:bidi="ar-SA"/>
              </w:rPr>
              <w:t>（十一）信息传输业</w:t>
            </w:r>
          </w:p>
          <w:p w14:paraId="6D4F922B">
            <w:pPr>
              <w:widowControl w:val="0"/>
              <w:spacing w:after="0" w:line="240" w:lineRule="auto"/>
              <w:jc w:val="both"/>
              <w:rPr>
                <w:rFonts w:hint="eastAsia" w:ascii="Times New Roman" w:hAnsi="Times New Roman" w:eastAsia="宋体" w:cs="Times New Roman"/>
                <w:color w:val="auto"/>
                <w:kern w:val="2"/>
                <w:sz w:val="21"/>
                <w:szCs w:val="22"/>
                <w:highlight w:val="none"/>
                <w:lang w:val="en-US" w:eastAsia="zh-CN" w:bidi="ar-SA"/>
              </w:rPr>
            </w:pPr>
            <w:r>
              <w:rPr>
                <w:rFonts w:hint="eastAsia" w:ascii="Times New Roman" w:hAnsi="Times New Roman" w:eastAsia="宋体" w:cs="Times New Roman"/>
                <w:color w:val="auto"/>
                <w:kern w:val="2"/>
                <w:sz w:val="21"/>
                <w:szCs w:val="22"/>
                <w:highlight w:val="none"/>
                <w:lang w:val="en-US" w:eastAsia="zh-CN" w:bidi="ar-SA"/>
              </w:rPr>
              <w:t>（十二）软件和信息技术服务业</w:t>
            </w:r>
          </w:p>
          <w:p w14:paraId="181FC014">
            <w:pPr>
              <w:widowControl w:val="0"/>
              <w:spacing w:after="0" w:line="240" w:lineRule="auto"/>
              <w:jc w:val="both"/>
              <w:rPr>
                <w:rFonts w:hint="eastAsia" w:ascii="Times New Roman" w:hAnsi="Times New Roman" w:eastAsia="宋体" w:cs="Times New Roman"/>
                <w:color w:val="auto"/>
                <w:kern w:val="2"/>
                <w:sz w:val="21"/>
                <w:szCs w:val="22"/>
                <w:highlight w:val="none"/>
                <w:lang w:val="en-US" w:eastAsia="zh-CN" w:bidi="ar-SA"/>
              </w:rPr>
            </w:pPr>
            <w:r>
              <w:rPr>
                <w:rFonts w:hint="eastAsia" w:ascii="Times New Roman" w:hAnsi="Times New Roman" w:eastAsia="宋体" w:cs="Times New Roman"/>
                <w:color w:val="auto"/>
                <w:kern w:val="2"/>
                <w:sz w:val="21"/>
                <w:szCs w:val="22"/>
                <w:highlight w:val="none"/>
                <w:lang w:val="en-US" w:eastAsia="zh-CN" w:bidi="ar-SA"/>
              </w:rPr>
              <w:t>（十三）房地产开发经营</w:t>
            </w:r>
          </w:p>
          <w:p w14:paraId="6BEA2B09">
            <w:pPr>
              <w:widowControl w:val="0"/>
              <w:spacing w:after="0" w:line="240" w:lineRule="auto"/>
              <w:jc w:val="both"/>
              <w:rPr>
                <w:rFonts w:hint="eastAsia" w:ascii="Times New Roman" w:hAnsi="Times New Roman" w:eastAsia="宋体" w:cs="Times New Roman"/>
                <w:color w:val="auto"/>
                <w:kern w:val="2"/>
                <w:sz w:val="21"/>
                <w:szCs w:val="22"/>
                <w:highlight w:val="none"/>
                <w:lang w:val="en-US" w:eastAsia="zh-CN" w:bidi="ar-SA"/>
              </w:rPr>
            </w:pPr>
            <w:r>
              <w:rPr>
                <w:rFonts w:hint="eastAsia" w:ascii="Times New Roman" w:hAnsi="Times New Roman" w:eastAsia="宋体" w:cs="Times New Roman"/>
                <w:color w:val="auto"/>
                <w:kern w:val="2"/>
                <w:sz w:val="21"/>
                <w:szCs w:val="22"/>
                <w:highlight w:val="none"/>
                <w:lang w:val="en-US" w:eastAsia="zh-CN" w:bidi="ar-SA"/>
              </w:rPr>
              <w:t>（十四）物业管理</w:t>
            </w:r>
          </w:p>
          <w:p w14:paraId="3E3399B6">
            <w:pPr>
              <w:widowControl w:val="0"/>
              <w:spacing w:after="0" w:line="240" w:lineRule="auto"/>
              <w:jc w:val="both"/>
              <w:rPr>
                <w:rFonts w:hint="eastAsia" w:ascii="Times New Roman" w:hAnsi="Times New Roman" w:eastAsia="宋体" w:cs="Times New Roman"/>
                <w:color w:val="auto"/>
                <w:kern w:val="2"/>
                <w:sz w:val="21"/>
                <w:szCs w:val="22"/>
                <w:highlight w:val="none"/>
                <w:lang w:val="en-US" w:eastAsia="zh-CN" w:bidi="ar-SA"/>
              </w:rPr>
            </w:pPr>
            <w:r>
              <w:rPr>
                <w:rFonts w:hint="eastAsia" w:ascii="Times New Roman" w:hAnsi="Times New Roman" w:eastAsia="宋体" w:cs="Times New Roman"/>
                <w:color w:val="auto"/>
                <w:kern w:val="2"/>
                <w:sz w:val="21"/>
                <w:szCs w:val="22"/>
                <w:highlight w:val="none"/>
                <w:lang w:val="en-US" w:eastAsia="zh-CN" w:bidi="ar-SA"/>
              </w:rPr>
              <w:t>（十五）租赁和商务服务业</w:t>
            </w:r>
          </w:p>
          <w:p w14:paraId="2536C52E">
            <w:pPr>
              <w:widowControl w:val="0"/>
              <w:spacing w:after="0" w:line="240" w:lineRule="auto"/>
              <w:jc w:val="both"/>
              <w:rPr>
                <w:rFonts w:hint="eastAsia" w:ascii="Times New Roman" w:hAnsi="Times New Roman" w:eastAsia="宋体" w:cs="Times New Roman"/>
                <w:color w:val="auto"/>
                <w:kern w:val="2"/>
                <w:sz w:val="21"/>
                <w:szCs w:val="22"/>
                <w:highlight w:val="none"/>
                <w:lang w:val="en-US" w:eastAsia="zh-CN" w:bidi="ar-SA"/>
              </w:rPr>
            </w:pPr>
            <w:r>
              <w:rPr>
                <w:rFonts w:hint="eastAsia" w:ascii="Times New Roman" w:hAnsi="Times New Roman" w:eastAsia="宋体" w:cs="Times New Roman"/>
                <w:color w:val="auto"/>
                <w:kern w:val="2"/>
                <w:sz w:val="21"/>
                <w:szCs w:val="22"/>
                <w:highlight w:val="none"/>
                <w:lang w:val="en-US" w:eastAsia="zh-CN" w:bidi="ar-SA"/>
              </w:rPr>
              <w:t>（十六）其他未列明行业</w:t>
            </w:r>
          </w:p>
          <w:p w14:paraId="17B48DB5">
            <w:pPr>
              <w:widowControl w:val="0"/>
              <w:spacing w:after="0" w:line="240" w:lineRule="auto"/>
              <w:jc w:val="both"/>
              <w:rPr>
                <w:rFonts w:hint="eastAsia" w:ascii="Times New Roman" w:hAnsi="Times New Roman" w:eastAsia="宋体" w:cs="Times New Roman"/>
                <w:color w:val="auto"/>
                <w:kern w:val="2"/>
                <w:sz w:val="21"/>
                <w:szCs w:val="22"/>
                <w:highlight w:val="none"/>
                <w:lang w:val="en-US" w:eastAsia="zh-CN" w:bidi="ar-SA"/>
              </w:rPr>
            </w:pPr>
            <w:r>
              <w:rPr>
                <w:rFonts w:hint="eastAsia" w:ascii="Times New Roman" w:hAnsi="Times New Roman" w:eastAsia="宋体" w:cs="Times New Roman"/>
                <w:color w:val="auto"/>
                <w:kern w:val="2"/>
                <w:sz w:val="21"/>
                <w:szCs w:val="22"/>
                <w:highlight w:val="none"/>
                <w:lang w:val="en-US" w:eastAsia="zh-CN" w:bidi="ar-SA"/>
              </w:rPr>
              <w:t>中小企业划分标准按国家规定执行：</w:t>
            </w:r>
          </w:p>
          <w:p w14:paraId="0DEF381A">
            <w:pPr>
              <w:widowControl w:val="0"/>
              <w:spacing w:after="0" w:line="240" w:lineRule="auto"/>
              <w:jc w:val="both"/>
              <w:rPr>
                <w:rFonts w:hint="eastAsia" w:ascii="Times New Roman" w:hAnsi="Times New Roman" w:eastAsia="宋体" w:cs="Times New Roman"/>
                <w:color w:val="auto"/>
                <w:kern w:val="2"/>
                <w:sz w:val="21"/>
                <w:szCs w:val="22"/>
                <w:highlight w:val="none"/>
                <w:lang w:val="en-US" w:eastAsia="zh-CN" w:bidi="ar-SA"/>
              </w:rPr>
            </w:pPr>
            <w:r>
              <w:rPr>
                <w:rFonts w:hint="eastAsia" w:ascii="Times New Roman" w:hAnsi="Times New Roman" w:eastAsia="宋体" w:cs="Times New Roman"/>
                <w:color w:val="auto"/>
                <w:kern w:val="2"/>
                <w:sz w:val="21"/>
                <w:szCs w:val="22"/>
                <w:highlight w:val="none"/>
                <w:lang w:val="en-US" w:eastAsia="zh-CN" w:bidi="ar-SA"/>
              </w:rPr>
              <w:t>依据《工业和信息化部、国家统计局、国家发展和改革委员会、财政部关于印发中小企业划型标准规定的通知》（工信部联企业[</w:t>
            </w:r>
            <w:r>
              <w:rPr>
                <w:rFonts w:hint="eastAsia" w:ascii="Times New Roman" w:hAnsi="Times New Roman" w:eastAsia="宋体" w:cs="Times New Roman"/>
                <w:color w:val="auto"/>
                <w:kern w:val="2"/>
                <w:sz w:val="21"/>
                <w:szCs w:val="22"/>
                <w:highlight w:val="none"/>
                <w:lang w:val="en-US" w:eastAsia="zh-CN" w:bidi="ar-SA"/>
              </w:rPr>
              <w:fldChar w:fldCharType="begin"/>
            </w:r>
            <w:r>
              <w:rPr>
                <w:rFonts w:hint="eastAsia" w:ascii="Times New Roman" w:hAnsi="Times New Roman" w:eastAsia="宋体" w:cs="Times New Roman"/>
                <w:color w:val="auto"/>
                <w:kern w:val="2"/>
                <w:sz w:val="21"/>
                <w:szCs w:val="22"/>
                <w:highlight w:val="none"/>
                <w:lang w:val="en-US" w:eastAsia="zh-CN" w:bidi="ar-SA"/>
              </w:rPr>
              <w:instrText xml:space="preserve"> HYPERLINK \l "bookmark52" </w:instrText>
            </w:r>
            <w:r>
              <w:rPr>
                <w:rFonts w:hint="eastAsia" w:ascii="Times New Roman" w:hAnsi="Times New Roman" w:eastAsia="宋体" w:cs="Times New Roman"/>
                <w:color w:val="auto"/>
                <w:kern w:val="2"/>
                <w:sz w:val="21"/>
                <w:szCs w:val="22"/>
                <w:highlight w:val="none"/>
                <w:lang w:val="en-US" w:eastAsia="zh-CN" w:bidi="ar-SA"/>
              </w:rPr>
              <w:fldChar w:fldCharType="separate"/>
            </w:r>
            <w:r>
              <w:rPr>
                <w:rFonts w:hint="eastAsia" w:ascii="Times New Roman" w:hAnsi="Times New Roman" w:eastAsia="宋体" w:cs="Times New Roman"/>
                <w:color w:val="auto"/>
                <w:kern w:val="2"/>
                <w:sz w:val="21"/>
                <w:szCs w:val="22"/>
                <w:highlight w:val="none"/>
                <w:lang w:val="en-US" w:eastAsia="zh-CN" w:bidi="ar-SA"/>
              </w:rPr>
              <w:t>2011</w:t>
            </w:r>
            <w:r>
              <w:rPr>
                <w:rFonts w:hint="eastAsia" w:ascii="Times New Roman" w:hAnsi="Times New Roman" w:eastAsia="宋体" w:cs="Times New Roman"/>
                <w:color w:val="auto"/>
                <w:kern w:val="2"/>
                <w:sz w:val="21"/>
                <w:szCs w:val="22"/>
                <w:highlight w:val="none"/>
                <w:lang w:val="en-US" w:eastAsia="zh-CN" w:bidi="ar-SA"/>
              </w:rPr>
              <w:fldChar w:fldCharType="end"/>
            </w:r>
            <w:r>
              <w:rPr>
                <w:rFonts w:hint="eastAsia" w:ascii="Times New Roman" w:hAnsi="Times New Roman" w:eastAsia="宋体" w:cs="Times New Roman"/>
                <w:color w:val="auto"/>
                <w:kern w:val="2"/>
                <w:sz w:val="21"/>
                <w:szCs w:val="22"/>
                <w:highlight w:val="none"/>
                <w:lang w:val="en-US" w:eastAsia="zh-CN" w:bidi="ar-SA"/>
              </w:rPr>
              <w:t>]300 号）、《国家统计局关于印发&lt;统计上大中小微型企业划分办法（2017）&gt;的通知》（国统字〔2017〕213 号）等规定进行中小企业划分。</w:t>
            </w:r>
          </w:p>
          <w:p w14:paraId="2A932EA7">
            <w:pPr>
              <w:widowControl w:val="0"/>
              <w:spacing w:after="0" w:line="240" w:lineRule="auto"/>
              <w:jc w:val="both"/>
              <w:rPr>
                <w:rFonts w:hint="eastAsia" w:ascii="Times New Roman" w:hAnsi="Times New Roman" w:eastAsia="宋体" w:cs="Times New Roman"/>
                <w:color w:val="auto"/>
                <w:kern w:val="2"/>
                <w:sz w:val="21"/>
                <w:szCs w:val="22"/>
                <w:highlight w:val="none"/>
                <w:lang w:val="en-US" w:eastAsia="zh-CN" w:bidi="ar-SA"/>
              </w:rPr>
            </w:pPr>
            <w:r>
              <w:rPr>
                <w:rFonts w:hint="eastAsia" w:ascii="Times New Roman" w:hAnsi="Times New Roman" w:eastAsia="宋体" w:cs="Times New Roman"/>
                <w:color w:val="auto"/>
                <w:kern w:val="2"/>
                <w:sz w:val="21"/>
                <w:szCs w:val="22"/>
                <w:highlight w:val="none"/>
                <w:lang w:val="en-US" w:eastAsia="zh-CN" w:bidi="ar-SA"/>
              </w:rPr>
              <w:t>投标人应提交符合《财政部工业和信息化部关于印发&lt;政府采购促进中小企业发展管理办法&gt;的通知》（财库﹝2020﹞46号）规定的《中小企业声明函》。</w:t>
            </w:r>
          </w:p>
        </w:tc>
      </w:tr>
      <w:tr w14:paraId="02B050BB">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1184" w:type="dxa"/>
            <w:vMerge w:val="continue"/>
            <w:tcBorders>
              <w:top w:val="single" w:color="auto" w:sz="4" w:space="0"/>
              <w:bottom w:val="single" w:color="auto" w:sz="4" w:space="0"/>
            </w:tcBorders>
            <w:vAlign w:val="center"/>
          </w:tcPr>
          <w:p w14:paraId="0CD0537B">
            <w:pPr>
              <w:adjustRightInd w:val="0"/>
              <w:snapToGrid w:val="0"/>
              <w:spacing w:line="360" w:lineRule="auto"/>
              <w:jc w:val="center"/>
              <w:rPr>
                <w:rFonts w:hint="eastAsia" w:ascii="宋体" w:hAnsi="宋体"/>
                <w:color w:val="0000FF"/>
                <w:szCs w:val="21"/>
              </w:rPr>
            </w:pPr>
          </w:p>
        </w:tc>
        <w:tc>
          <w:tcPr>
            <w:tcW w:w="1965" w:type="dxa"/>
            <w:gridSpan w:val="2"/>
            <w:vMerge w:val="restart"/>
            <w:vAlign w:val="center"/>
          </w:tcPr>
          <w:p w14:paraId="7785FBB3">
            <w:pPr>
              <w:widowControl w:val="0"/>
              <w:spacing w:after="0" w:line="240" w:lineRule="auto"/>
              <w:jc w:val="both"/>
              <w:rPr>
                <w:rFonts w:hint="eastAsia" w:ascii="Times New Roman" w:hAnsi="Times New Roman" w:eastAsia="宋体" w:cs="Times New Roman"/>
                <w:color w:val="auto"/>
                <w:kern w:val="2"/>
                <w:sz w:val="21"/>
                <w:szCs w:val="22"/>
                <w:highlight w:val="none"/>
                <w:lang w:val="en-US" w:eastAsia="zh-CN" w:bidi="ar-SA"/>
              </w:rPr>
            </w:pPr>
            <w:r>
              <w:rPr>
                <w:rFonts w:hint="eastAsia" w:ascii="Times New Roman" w:hAnsi="Times New Roman" w:eastAsia="宋体" w:cs="Times New Roman"/>
                <w:color w:val="auto"/>
                <w:kern w:val="2"/>
                <w:sz w:val="21"/>
                <w:szCs w:val="22"/>
                <w:highlight w:val="none"/>
                <w:lang w:val="en-US" w:eastAsia="zh-CN" w:bidi="ar-SA"/>
              </w:rPr>
              <w:t>价格评审优惠</w:t>
            </w:r>
          </w:p>
          <w:p w14:paraId="2465E6F0">
            <w:pPr>
              <w:widowControl w:val="0"/>
              <w:spacing w:after="0" w:line="240" w:lineRule="auto"/>
              <w:jc w:val="both"/>
              <w:rPr>
                <w:rFonts w:hint="eastAsia" w:ascii="Times New Roman" w:hAnsi="Times New Roman" w:eastAsia="宋体" w:cs="Times New Roman"/>
                <w:color w:val="auto"/>
                <w:kern w:val="2"/>
                <w:sz w:val="21"/>
                <w:szCs w:val="22"/>
                <w:highlight w:val="none"/>
                <w:lang w:val="en-US" w:eastAsia="zh-CN" w:bidi="ar-SA"/>
              </w:rPr>
            </w:pPr>
          </w:p>
          <w:p w14:paraId="07AC4003">
            <w:pPr>
              <w:widowControl w:val="0"/>
              <w:spacing w:after="0" w:line="240" w:lineRule="auto"/>
              <w:jc w:val="both"/>
              <w:rPr>
                <w:rFonts w:hint="eastAsia" w:ascii="Times New Roman" w:hAnsi="Times New Roman" w:eastAsia="宋体" w:cs="Times New Roman"/>
                <w:color w:val="auto"/>
                <w:kern w:val="2"/>
                <w:sz w:val="21"/>
                <w:szCs w:val="22"/>
                <w:highlight w:val="none"/>
                <w:lang w:val="en-US" w:eastAsia="zh-CN" w:bidi="ar-SA"/>
              </w:rPr>
            </w:pPr>
          </w:p>
        </w:tc>
        <w:tc>
          <w:tcPr>
            <w:tcW w:w="5782" w:type="dxa"/>
            <w:vAlign w:val="center"/>
          </w:tcPr>
          <w:p w14:paraId="7636A9BA">
            <w:pPr>
              <w:widowControl w:val="0"/>
              <w:spacing w:after="0" w:line="240" w:lineRule="auto"/>
              <w:jc w:val="both"/>
              <w:rPr>
                <w:rFonts w:hint="eastAsia" w:ascii="Times New Roman" w:hAnsi="Times New Roman" w:eastAsia="宋体" w:cs="Times New Roman"/>
                <w:color w:val="auto"/>
                <w:kern w:val="2"/>
                <w:sz w:val="21"/>
                <w:szCs w:val="22"/>
                <w:highlight w:val="none"/>
                <w:lang w:val="en-US" w:eastAsia="zh-CN" w:bidi="ar-SA"/>
              </w:rPr>
            </w:pPr>
            <w:r>
              <w:rPr>
                <w:rFonts w:hint="eastAsia" w:ascii="Times New Roman" w:hAnsi="Times New Roman" w:eastAsia="宋体" w:cs="Times New Roman"/>
                <w:color w:val="auto"/>
                <w:kern w:val="2"/>
                <w:sz w:val="21"/>
                <w:szCs w:val="22"/>
                <w:highlight w:val="none"/>
                <w:lang w:val="en-US" w:eastAsia="zh-CN" w:bidi="ar-SA"/>
              </w:rPr>
              <w:t>□本项目中第/包，所属行业/ ，专门面向中小企业采购，不再执行价格扣除和评审优惠的扶持政策。</w:t>
            </w:r>
          </w:p>
          <w:p w14:paraId="5405513E">
            <w:pPr>
              <w:widowControl w:val="0"/>
              <w:spacing w:after="0" w:line="240" w:lineRule="auto"/>
              <w:jc w:val="both"/>
              <w:rPr>
                <w:rFonts w:hint="eastAsia" w:ascii="Times New Roman" w:hAnsi="Times New Roman" w:eastAsia="宋体" w:cs="Times New Roman"/>
                <w:color w:val="auto"/>
                <w:kern w:val="2"/>
                <w:sz w:val="21"/>
                <w:szCs w:val="22"/>
                <w:highlight w:val="none"/>
                <w:lang w:val="en-US" w:eastAsia="zh-CN" w:bidi="ar-SA"/>
              </w:rPr>
            </w:pPr>
            <w:r>
              <w:rPr>
                <w:rFonts w:hint="eastAsia" w:ascii="Times New Roman" w:hAnsi="Times New Roman" w:eastAsia="宋体" w:cs="Times New Roman"/>
                <w:color w:val="auto"/>
                <w:kern w:val="2"/>
                <w:sz w:val="21"/>
                <w:szCs w:val="22"/>
                <w:highlight w:val="none"/>
                <w:lang w:val="en-US" w:eastAsia="zh-CN" w:bidi="ar-SA"/>
              </w:rPr>
              <w:t>□本项目中第/包，所属行业/，专门面向小微企业采购，不再执行价格扣除和评审优惠的扶持政策。</w:t>
            </w:r>
          </w:p>
        </w:tc>
      </w:tr>
      <w:tr w14:paraId="2A608169">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1184" w:type="dxa"/>
            <w:vMerge w:val="continue"/>
            <w:tcBorders>
              <w:top w:val="single" w:color="auto" w:sz="4" w:space="0"/>
              <w:bottom w:val="single" w:color="auto" w:sz="4" w:space="0"/>
            </w:tcBorders>
            <w:vAlign w:val="center"/>
          </w:tcPr>
          <w:p w14:paraId="25D2EBAB">
            <w:pPr>
              <w:adjustRightInd w:val="0"/>
              <w:snapToGrid w:val="0"/>
              <w:spacing w:line="360" w:lineRule="auto"/>
              <w:jc w:val="center"/>
              <w:rPr>
                <w:rFonts w:hint="eastAsia" w:ascii="宋体" w:hAnsi="宋体"/>
                <w:color w:val="0000FF"/>
                <w:szCs w:val="21"/>
              </w:rPr>
            </w:pPr>
          </w:p>
        </w:tc>
        <w:tc>
          <w:tcPr>
            <w:tcW w:w="1965" w:type="dxa"/>
            <w:gridSpan w:val="2"/>
            <w:vMerge w:val="continue"/>
            <w:vAlign w:val="center"/>
          </w:tcPr>
          <w:p w14:paraId="02D4227F">
            <w:pPr>
              <w:widowControl w:val="0"/>
              <w:spacing w:after="0" w:line="240" w:lineRule="auto"/>
              <w:jc w:val="both"/>
              <w:rPr>
                <w:rFonts w:hint="eastAsia" w:ascii="Times New Roman" w:hAnsi="Times New Roman" w:eastAsia="宋体" w:cs="Times New Roman"/>
                <w:color w:val="auto"/>
                <w:kern w:val="2"/>
                <w:sz w:val="21"/>
                <w:szCs w:val="22"/>
                <w:highlight w:val="none"/>
                <w:lang w:val="en-US" w:eastAsia="zh-CN" w:bidi="ar-SA"/>
              </w:rPr>
            </w:pPr>
          </w:p>
        </w:tc>
        <w:tc>
          <w:tcPr>
            <w:tcW w:w="5782" w:type="dxa"/>
            <w:vAlign w:val="center"/>
          </w:tcPr>
          <w:p w14:paraId="24C6445A">
            <w:pPr>
              <w:widowControl w:val="0"/>
              <w:spacing w:after="0" w:line="240" w:lineRule="auto"/>
              <w:jc w:val="both"/>
              <w:rPr>
                <w:rFonts w:hint="eastAsia" w:ascii="Times New Roman" w:hAnsi="Times New Roman" w:eastAsia="宋体" w:cs="Times New Roman"/>
                <w:color w:val="auto"/>
                <w:kern w:val="2"/>
                <w:sz w:val="21"/>
                <w:szCs w:val="22"/>
                <w:highlight w:val="none"/>
                <w:lang w:val="en-US" w:eastAsia="zh-CN" w:bidi="ar-SA"/>
              </w:rPr>
            </w:pPr>
            <w:r>
              <w:rPr>
                <w:rFonts w:hint="eastAsia" w:ascii="Times New Roman" w:hAnsi="Times New Roman" w:eastAsia="宋体" w:cs="Times New Roman"/>
                <w:color w:val="auto"/>
                <w:kern w:val="2"/>
                <w:sz w:val="21"/>
                <w:szCs w:val="22"/>
                <w:highlight w:val="none"/>
                <w:lang w:val="en-US" w:eastAsia="zh-CN" w:bidi="ar-SA"/>
              </w:rPr>
              <w:t>☑一、本项目中第1包，所属行业工业，非专门面向中小企业采购（投标人如为中小企业，投标文件中必须按招标文件要求的格式提供《中小企业声明函》，否则评审时不予考虑），给予小微企业报价10%-20%的扣除，用扣除后的价格参加评审，本项目具体扣除比例为：价格部分10％。</w:t>
            </w:r>
          </w:p>
          <w:p w14:paraId="7B1227B3">
            <w:pPr>
              <w:widowControl w:val="0"/>
              <w:spacing w:after="0" w:line="240" w:lineRule="auto"/>
              <w:jc w:val="both"/>
              <w:rPr>
                <w:rFonts w:hint="eastAsia" w:ascii="Times New Roman" w:hAnsi="Times New Roman" w:eastAsia="宋体" w:cs="Times New Roman"/>
                <w:color w:val="auto"/>
                <w:kern w:val="2"/>
                <w:sz w:val="21"/>
                <w:szCs w:val="22"/>
                <w:highlight w:val="none"/>
                <w:lang w:val="en-US" w:eastAsia="zh-CN" w:bidi="ar-SA"/>
              </w:rPr>
            </w:pPr>
            <w:r>
              <w:rPr>
                <w:rFonts w:hint="eastAsia" w:ascii="Times New Roman" w:hAnsi="Times New Roman" w:eastAsia="宋体" w:cs="Times New Roman"/>
                <w:color w:val="auto"/>
                <w:kern w:val="2"/>
                <w:sz w:val="21"/>
                <w:szCs w:val="22"/>
                <w:highlight w:val="none"/>
                <w:lang w:val="en-US" w:eastAsia="zh-CN" w:bidi="ar-SA"/>
              </w:rPr>
              <w:t>注：如整包响应，整包所有品目均为小型、微型企业制造才进行价格扣除。小型、微型企业提供大中型企业制造的货物的，视同为大中型企业。</w:t>
            </w:r>
          </w:p>
          <w:p w14:paraId="7742E804">
            <w:pPr>
              <w:widowControl w:val="0"/>
              <w:spacing w:after="0" w:line="240" w:lineRule="auto"/>
              <w:jc w:val="both"/>
              <w:rPr>
                <w:rFonts w:hint="eastAsia" w:ascii="Times New Roman" w:hAnsi="Times New Roman" w:eastAsia="宋体" w:cs="Times New Roman"/>
                <w:color w:val="auto"/>
                <w:kern w:val="2"/>
                <w:sz w:val="21"/>
                <w:szCs w:val="22"/>
                <w:highlight w:val="none"/>
                <w:lang w:val="en-US" w:eastAsia="zh-CN" w:bidi="ar-SA"/>
              </w:rPr>
            </w:pPr>
            <w:r>
              <w:rPr>
                <w:rFonts w:hint="eastAsia" w:ascii="Times New Roman" w:hAnsi="Times New Roman" w:eastAsia="宋体" w:cs="Times New Roman"/>
                <w:color w:val="auto"/>
                <w:kern w:val="2"/>
                <w:sz w:val="21"/>
                <w:szCs w:val="22"/>
                <w:highlight w:val="none"/>
                <w:lang w:val="en-US" w:eastAsia="zh-CN" w:bidi="ar-SA"/>
              </w:rPr>
              <w:t>□二、本项目非专门面向中小企业采购，预留40％以上份额专门面向中小企业采购（其中预留给小微企业的比例不低于 60%），投标人在投标文件的中小企业声明函中明确被分包企业名称（制造商名称）,并提供分包意向协议。中标人的分包协议须作为中标人与采购人签订的政府采购合同附件报同级财政政府采购监督管理部门和有关部门备案。接受分包合同的中小企业与分包企业之间不得存在直接控股、管理关系。接受大中型企业投标人（制造商）与小微企业组成联合体或者允许大中型企业投标人（制造商）向一家或者多家小微企业（制造商）分包的采购项目，对于联合协议或者分包意向协议约定小微企业（制造商）的合同份额占到合同总金额 40%以上的，对联合体或者大中型企业投标人（制造商）的报价给予4%-6%的扣除，用扣除后的价格参加评审。本项目具体扣除比例为：价格部分/％。</w:t>
            </w:r>
          </w:p>
        </w:tc>
      </w:tr>
      <w:tr w14:paraId="1BC50928">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1184" w:type="dxa"/>
            <w:vMerge w:val="continue"/>
            <w:tcBorders>
              <w:top w:val="single" w:color="auto" w:sz="4" w:space="0"/>
              <w:bottom w:val="single" w:color="auto" w:sz="4" w:space="0"/>
            </w:tcBorders>
            <w:vAlign w:val="center"/>
          </w:tcPr>
          <w:p w14:paraId="78A2F2F5">
            <w:pPr>
              <w:adjustRightInd w:val="0"/>
              <w:snapToGrid w:val="0"/>
              <w:spacing w:line="360" w:lineRule="auto"/>
              <w:jc w:val="center"/>
              <w:rPr>
                <w:rFonts w:hint="eastAsia" w:ascii="宋体" w:hAnsi="宋体"/>
                <w:color w:val="0000FF"/>
                <w:szCs w:val="21"/>
              </w:rPr>
            </w:pPr>
          </w:p>
        </w:tc>
        <w:tc>
          <w:tcPr>
            <w:tcW w:w="1965" w:type="dxa"/>
            <w:gridSpan w:val="2"/>
            <w:vAlign w:val="center"/>
          </w:tcPr>
          <w:p w14:paraId="630400F6">
            <w:pPr>
              <w:widowControl w:val="0"/>
              <w:spacing w:after="0" w:line="240" w:lineRule="auto"/>
              <w:jc w:val="both"/>
              <w:rPr>
                <w:rFonts w:hint="eastAsia" w:ascii="Times New Roman" w:hAnsi="Times New Roman" w:eastAsia="宋体" w:cs="Times New Roman"/>
                <w:color w:val="auto"/>
                <w:kern w:val="2"/>
                <w:sz w:val="21"/>
                <w:szCs w:val="22"/>
                <w:highlight w:val="none"/>
                <w:lang w:val="en-US" w:eastAsia="zh-CN" w:bidi="ar-SA"/>
              </w:rPr>
            </w:pPr>
            <w:r>
              <w:rPr>
                <w:rFonts w:hint="eastAsia" w:ascii="Times New Roman" w:hAnsi="Times New Roman" w:eastAsia="宋体" w:cs="Times New Roman"/>
                <w:color w:val="auto"/>
                <w:kern w:val="2"/>
                <w:sz w:val="21"/>
                <w:szCs w:val="22"/>
                <w:highlight w:val="none"/>
                <w:lang w:val="en-US" w:eastAsia="zh-CN" w:bidi="ar-SA"/>
              </w:rPr>
              <w:t>残疾人福利性单位、监企业狱</w:t>
            </w:r>
          </w:p>
        </w:tc>
        <w:tc>
          <w:tcPr>
            <w:tcW w:w="5782" w:type="dxa"/>
            <w:vAlign w:val="center"/>
          </w:tcPr>
          <w:p w14:paraId="47A5F9C7">
            <w:pPr>
              <w:widowControl w:val="0"/>
              <w:spacing w:after="0" w:line="240" w:lineRule="auto"/>
              <w:jc w:val="both"/>
              <w:rPr>
                <w:rFonts w:hint="eastAsia" w:ascii="Times New Roman" w:hAnsi="Times New Roman" w:eastAsia="宋体" w:cs="Times New Roman"/>
                <w:color w:val="auto"/>
                <w:kern w:val="2"/>
                <w:sz w:val="21"/>
                <w:szCs w:val="22"/>
                <w:highlight w:val="none"/>
                <w:lang w:val="en-US" w:eastAsia="zh-CN" w:bidi="ar-SA"/>
              </w:rPr>
            </w:pPr>
            <w:r>
              <w:rPr>
                <w:rFonts w:hint="eastAsia" w:ascii="Times New Roman" w:hAnsi="Times New Roman" w:eastAsia="宋体" w:cs="Times New Roman"/>
                <w:color w:val="auto"/>
                <w:kern w:val="2"/>
                <w:sz w:val="21"/>
                <w:szCs w:val="22"/>
                <w:highlight w:val="none"/>
                <w:lang w:val="en-US" w:eastAsia="zh-CN" w:bidi="ar-SA"/>
              </w:rPr>
              <w:t>☑本项目中第</w:t>
            </w:r>
            <w:r>
              <w:rPr>
                <w:rFonts w:hint="eastAsia" w:ascii="Times New Roman" w:hAnsi="Times New Roman" w:eastAsia="宋体" w:cs="Times New Roman"/>
                <w:color w:val="auto"/>
                <w:kern w:val="2"/>
                <w:sz w:val="21"/>
                <w:szCs w:val="22"/>
                <w:highlight w:val="none"/>
                <w:u w:val="single"/>
                <w:lang w:val="en-US" w:eastAsia="zh-CN" w:bidi="ar-SA"/>
              </w:rPr>
              <w:t xml:space="preserve"> 1 </w:t>
            </w:r>
            <w:r>
              <w:rPr>
                <w:rFonts w:hint="eastAsia" w:ascii="Times New Roman" w:hAnsi="Times New Roman" w:eastAsia="宋体" w:cs="Times New Roman"/>
                <w:color w:val="auto"/>
                <w:kern w:val="2"/>
                <w:sz w:val="21"/>
                <w:szCs w:val="22"/>
                <w:highlight w:val="none"/>
                <w:lang w:val="en-US" w:eastAsia="zh-CN" w:bidi="ar-SA"/>
              </w:rPr>
              <w:t>包，所属行业工业，非专门面向残疾人福利性单位、监狱企业采购（投标人如为残疾人福利性单位或监狱企业，投标文件中必须按招标文件要求的格式提供《残疾人福利性单位声明函》或监狱企业证明材料，否则评审时不予考虑）：</w:t>
            </w:r>
          </w:p>
          <w:p w14:paraId="045CD483">
            <w:pPr>
              <w:widowControl w:val="0"/>
              <w:spacing w:after="0" w:line="240" w:lineRule="auto"/>
              <w:jc w:val="both"/>
              <w:rPr>
                <w:rFonts w:hint="eastAsia" w:ascii="Times New Roman" w:hAnsi="Times New Roman" w:eastAsia="宋体" w:cs="Times New Roman"/>
                <w:color w:val="auto"/>
                <w:kern w:val="2"/>
                <w:sz w:val="21"/>
                <w:szCs w:val="22"/>
                <w:highlight w:val="none"/>
                <w:lang w:val="en-US" w:eastAsia="zh-CN" w:bidi="ar-SA"/>
              </w:rPr>
            </w:pPr>
            <w:r>
              <w:rPr>
                <w:rFonts w:hint="eastAsia" w:ascii="Times New Roman" w:hAnsi="Times New Roman" w:eastAsia="宋体" w:cs="Times New Roman"/>
                <w:color w:val="auto"/>
                <w:kern w:val="2"/>
                <w:sz w:val="21"/>
                <w:szCs w:val="22"/>
                <w:highlight w:val="none"/>
                <w:lang w:val="en-US" w:eastAsia="zh-CN" w:bidi="ar-SA"/>
              </w:rPr>
              <w:t>残疾人福利性单位、监狱企业视同为小型、微型企业，给予残疾人福利性单位、监狱企业报价 10%-20%的扣除，用扣除后的价格参加评审，本项目具体扣除比例为：价格部分 10％。</w:t>
            </w:r>
          </w:p>
        </w:tc>
      </w:tr>
      <w:tr w14:paraId="71ED2D1E">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1184" w:type="dxa"/>
            <w:vMerge w:val="continue"/>
            <w:tcBorders>
              <w:top w:val="single" w:color="auto" w:sz="4" w:space="0"/>
              <w:bottom w:val="single" w:color="auto" w:sz="4" w:space="0"/>
            </w:tcBorders>
            <w:vAlign w:val="center"/>
          </w:tcPr>
          <w:p w14:paraId="4D1FA107">
            <w:pPr>
              <w:adjustRightInd w:val="0"/>
              <w:snapToGrid w:val="0"/>
              <w:spacing w:line="360" w:lineRule="auto"/>
              <w:jc w:val="center"/>
              <w:rPr>
                <w:rFonts w:hint="eastAsia" w:ascii="宋体" w:hAnsi="宋体"/>
                <w:color w:val="0000FF"/>
                <w:szCs w:val="21"/>
              </w:rPr>
            </w:pPr>
          </w:p>
        </w:tc>
        <w:tc>
          <w:tcPr>
            <w:tcW w:w="1965" w:type="dxa"/>
            <w:gridSpan w:val="2"/>
            <w:vAlign w:val="center"/>
          </w:tcPr>
          <w:p w14:paraId="602929EA">
            <w:pPr>
              <w:widowControl w:val="0"/>
              <w:spacing w:after="0" w:line="240" w:lineRule="auto"/>
              <w:jc w:val="both"/>
              <w:rPr>
                <w:rFonts w:hint="eastAsia" w:ascii="Times New Roman" w:hAnsi="Times New Roman" w:eastAsia="宋体" w:cs="Times New Roman"/>
                <w:color w:val="auto"/>
                <w:kern w:val="2"/>
                <w:sz w:val="21"/>
                <w:szCs w:val="22"/>
                <w:highlight w:val="none"/>
                <w:lang w:val="en-US" w:eastAsia="zh-CN" w:bidi="ar-SA"/>
              </w:rPr>
            </w:pPr>
            <w:r>
              <w:rPr>
                <w:rFonts w:hint="eastAsia" w:ascii="Times New Roman" w:hAnsi="Times New Roman" w:eastAsia="宋体" w:cs="Times New Roman"/>
                <w:color w:val="auto"/>
                <w:kern w:val="2"/>
                <w:sz w:val="21"/>
                <w:szCs w:val="22"/>
                <w:highlight w:val="none"/>
                <w:lang w:val="en-US" w:eastAsia="zh-CN" w:bidi="ar-SA"/>
              </w:rPr>
              <w:t>联合体投标</w:t>
            </w:r>
          </w:p>
        </w:tc>
        <w:tc>
          <w:tcPr>
            <w:tcW w:w="5782" w:type="dxa"/>
            <w:vAlign w:val="center"/>
          </w:tcPr>
          <w:p w14:paraId="4BE0A127">
            <w:pPr>
              <w:widowControl w:val="0"/>
              <w:spacing w:after="0" w:line="240" w:lineRule="auto"/>
              <w:jc w:val="both"/>
              <w:rPr>
                <w:rFonts w:hint="eastAsia" w:ascii="Times New Roman" w:hAnsi="Times New Roman" w:eastAsia="宋体" w:cs="Times New Roman"/>
                <w:color w:val="auto"/>
                <w:kern w:val="2"/>
                <w:sz w:val="21"/>
                <w:szCs w:val="22"/>
                <w:highlight w:val="none"/>
                <w:lang w:val="en-US" w:eastAsia="zh-CN" w:bidi="ar-SA"/>
              </w:rPr>
            </w:pPr>
            <w:r>
              <w:rPr>
                <w:rFonts w:hint="eastAsia" w:ascii="Times New Roman" w:hAnsi="Times New Roman" w:eastAsia="宋体" w:cs="Times New Roman"/>
                <w:color w:val="auto"/>
                <w:kern w:val="2"/>
                <w:sz w:val="21"/>
                <w:szCs w:val="22"/>
                <w:highlight w:val="none"/>
                <w:lang w:val="en-US" w:eastAsia="zh-CN" w:bidi="ar-SA"/>
              </w:rPr>
              <w:t>给予联合体2%-3%的价格扣除，用扣除后的价格参与评审，本项目具体扣除比例为 /％。</w:t>
            </w:r>
          </w:p>
        </w:tc>
      </w:tr>
      <w:tr w14:paraId="7EF75C3B">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1184" w:type="dxa"/>
            <w:vMerge w:val="restart"/>
            <w:tcBorders>
              <w:top w:val="single" w:color="auto" w:sz="4" w:space="0"/>
            </w:tcBorders>
            <w:vAlign w:val="center"/>
          </w:tcPr>
          <w:p w14:paraId="3E402D14">
            <w:pPr>
              <w:widowControl w:val="0"/>
              <w:spacing w:after="0" w:line="240" w:lineRule="auto"/>
              <w:jc w:val="both"/>
              <w:rPr>
                <w:rFonts w:hint="eastAsia" w:ascii="Times New Roman" w:hAnsi="Times New Roman" w:eastAsia="宋体" w:cs="Times New Roman"/>
                <w:color w:val="auto"/>
                <w:kern w:val="2"/>
                <w:sz w:val="21"/>
                <w:szCs w:val="22"/>
                <w:highlight w:val="none"/>
                <w:lang w:val="en-US" w:eastAsia="zh-CN" w:bidi="ar-SA"/>
              </w:rPr>
            </w:pPr>
            <w:r>
              <w:rPr>
                <w:rFonts w:hint="eastAsia" w:ascii="Times New Roman" w:hAnsi="Times New Roman" w:eastAsia="宋体" w:cs="Times New Roman"/>
                <w:color w:val="auto"/>
                <w:kern w:val="2"/>
                <w:sz w:val="21"/>
                <w:szCs w:val="22"/>
                <w:highlight w:val="none"/>
                <w:lang w:val="en-US" w:eastAsia="zh-CN" w:bidi="ar-SA"/>
              </w:rPr>
              <w:t>第33.</w:t>
            </w:r>
            <w:r>
              <w:rPr>
                <w:rFonts w:hint="eastAsia" w:ascii="Times New Roman" w:hAnsi="Times New Roman" w:cs="Times New Roman"/>
                <w:color w:val="auto"/>
                <w:kern w:val="2"/>
                <w:sz w:val="21"/>
                <w:szCs w:val="22"/>
                <w:highlight w:val="none"/>
                <w:lang w:val="en-US" w:eastAsia="zh-CN" w:bidi="ar-SA"/>
              </w:rPr>
              <w:t>4</w:t>
            </w:r>
            <w:r>
              <w:rPr>
                <w:rFonts w:hint="eastAsia" w:ascii="Times New Roman" w:hAnsi="Times New Roman" w:eastAsia="宋体" w:cs="Times New Roman"/>
                <w:color w:val="auto"/>
                <w:kern w:val="2"/>
                <w:sz w:val="21"/>
                <w:szCs w:val="22"/>
                <w:highlight w:val="none"/>
                <w:lang w:val="en-US" w:eastAsia="zh-CN" w:bidi="ar-SA"/>
              </w:rPr>
              <w:t>款</w:t>
            </w:r>
          </w:p>
        </w:tc>
        <w:tc>
          <w:tcPr>
            <w:tcW w:w="1965" w:type="dxa"/>
            <w:gridSpan w:val="2"/>
            <w:vAlign w:val="center"/>
          </w:tcPr>
          <w:p w14:paraId="0C134538">
            <w:pPr>
              <w:widowControl w:val="0"/>
              <w:spacing w:after="0" w:line="240" w:lineRule="auto"/>
              <w:jc w:val="both"/>
              <w:rPr>
                <w:rFonts w:hint="eastAsia" w:ascii="Times New Roman" w:hAnsi="Times New Roman" w:eastAsia="宋体" w:cs="Times New Roman"/>
                <w:color w:val="auto"/>
                <w:kern w:val="2"/>
                <w:sz w:val="21"/>
                <w:szCs w:val="22"/>
                <w:highlight w:val="none"/>
                <w:lang w:val="en-US" w:eastAsia="zh-CN" w:bidi="ar-SA"/>
              </w:rPr>
            </w:pPr>
            <w:r>
              <w:rPr>
                <w:rFonts w:hint="eastAsia" w:ascii="Times New Roman" w:hAnsi="Times New Roman" w:eastAsia="宋体" w:cs="Times New Roman"/>
                <w:color w:val="auto"/>
                <w:kern w:val="2"/>
                <w:sz w:val="21"/>
                <w:szCs w:val="22"/>
                <w:highlight w:val="none"/>
                <w:lang w:val="en-US" w:eastAsia="zh-CN" w:bidi="ar-SA"/>
              </w:rPr>
              <w:t>多处获得政府采购政策优惠的计算方法</w:t>
            </w:r>
          </w:p>
        </w:tc>
        <w:tc>
          <w:tcPr>
            <w:tcW w:w="5782" w:type="dxa"/>
            <w:vAlign w:val="center"/>
          </w:tcPr>
          <w:p w14:paraId="2F2BFA1E">
            <w:pPr>
              <w:widowControl w:val="0"/>
              <w:spacing w:after="0" w:line="240" w:lineRule="auto"/>
              <w:jc w:val="both"/>
              <w:rPr>
                <w:rFonts w:hint="eastAsia" w:ascii="Times New Roman" w:hAnsi="Times New Roman" w:eastAsia="宋体" w:cs="Times New Roman"/>
                <w:color w:val="auto"/>
                <w:kern w:val="2"/>
                <w:sz w:val="21"/>
                <w:szCs w:val="22"/>
                <w:highlight w:val="none"/>
                <w:lang w:val="en-US" w:eastAsia="zh-CN" w:bidi="ar-SA"/>
              </w:rPr>
            </w:pPr>
            <w:r>
              <w:rPr>
                <w:rFonts w:hint="eastAsia" w:ascii="Times New Roman" w:hAnsi="Times New Roman" w:eastAsia="宋体" w:cs="Times New Roman"/>
                <w:color w:val="auto"/>
                <w:kern w:val="2"/>
                <w:sz w:val="21"/>
                <w:szCs w:val="22"/>
                <w:highlight w:val="none"/>
                <w:lang w:val="en-US" w:eastAsia="zh-CN" w:bidi="ar-SA"/>
              </w:rPr>
              <w:t>1 、投标人所投产品同时符合政府采购强制采购（或优先采购）节能、节水产品和优先采购环境标志产品政策的，投标人可选择其一，也可均填报。对均填报的，评标委员会评审时，只能选择其一，选择优惠范围最多的优惠政策进行评审。</w:t>
            </w:r>
          </w:p>
          <w:p w14:paraId="7990BF6E">
            <w:pPr>
              <w:widowControl w:val="0"/>
              <w:spacing w:after="0" w:line="240" w:lineRule="auto"/>
              <w:jc w:val="both"/>
              <w:rPr>
                <w:rFonts w:hint="eastAsia" w:ascii="Times New Roman" w:hAnsi="Times New Roman" w:eastAsia="宋体" w:cs="Times New Roman"/>
                <w:color w:val="auto"/>
                <w:kern w:val="2"/>
                <w:sz w:val="21"/>
                <w:szCs w:val="22"/>
                <w:highlight w:val="none"/>
                <w:lang w:val="en-US" w:eastAsia="zh-CN" w:bidi="ar-SA"/>
              </w:rPr>
            </w:pPr>
            <w:r>
              <w:rPr>
                <w:rFonts w:hint="eastAsia" w:ascii="Times New Roman" w:hAnsi="Times New Roman" w:eastAsia="宋体" w:cs="Times New Roman"/>
                <w:color w:val="auto"/>
                <w:kern w:val="2"/>
                <w:sz w:val="21"/>
                <w:szCs w:val="22"/>
                <w:highlight w:val="none"/>
                <w:lang w:val="en-US" w:eastAsia="zh-CN" w:bidi="ar-SA"/>
              </w:rPr>
              <w:t>2 、扶持中小企业发展的优惠政策可以与强制采购（或优先采购）优惠政策叠加享受。</w:t>
            </w:r>
          </w:p>
          <w:p w14:paraId="2259782B">
            <w:pPr>
              <w:widowControl w:val="0"/>
              <w:spacing w:after="0" w:line="240" w:lineRule="auto"/>
              <w:jc w:val="both"/>
              <w:rPr>
                <w:rFonts w:hint="eastAsia" w:ascii="Times New Roman" w:hAnsi="Times New Roman" w:eastAsia="宋体" w:cs="Times New Roman"/>
                <w:color w:val="auto"/>
                <w:kern w:val="2"/>
                <w:sz w:val="21"/>
                <w:szCs w:val="22"/>
                <w:highlight w:val="none"/>
                <w:lang w:val="en-US" w:eastAsia="zh-CN" w:bidi="ar-SA"/>
              </w:rPr>
            </w:pPr>
            <w:r>
              <w:rPr>
                <w:rFonts w:hint="eastAsia" w:ascii="Times New Roman" w:hAnsi="Times New Roman" w:eastAsia="宋体" w:cs="Times New Roman"/>
                <w:color w:val="auto"/>
                <w:kern w:val="2"/>
                <w:sz w:val="21"/>
                <w:szCs w:val="22"/>
                <w:highlight w:val="none"/>
                <w:lang w:val="en-US" w:eastAsia="zh-CN" w:bidi="ar-SA"/>
              </w:rPr>
              <w:t>3 、监狱企业、残疾人福利性单位属于小型、微型企业的，不重复享受扶持中小企业发展的优惠政策。</w:t>
            </w:r>
          </w:p>
        </w:tc>
      </w:tr>
      <w:tr w14:paraId="533556FD">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1184" w:type="dxa"/>
            <w:vMerge w:val="continue"/>
            <w:tcBorders>
              <w:top w:val="single" w:color="auto" w:sz="4" w:space="0"/>
              <w:bottom w:val="single" w:color="auto" w:sz="4" w:space="0"/>
            </w:tcBorders>
            <w:vAlign w:val="center"/>
          </w:tcPr>
          <w:p w14:paraId="28610371">
            <w:pPr>
              <w:adjustRightInd w:val="0"/>
              <w:snapToGrid w:val="0"/>
              <w:spacing w:line="360" w:lineRule="auto"/>
              <w:jc w:val="center"/>
              <w:rPr>
                <w:rFonts w:hint="eastAsia" w:ascii="宋体" w:hAnsi="宋体"/>
                <w:color w:val="0000FF"/>
                <w:szCs w:val="21"/>
              </w:rPr>
            </w:pPr>
          </w:p>
        </w:tc>
        <w:tc>
          <w:tcPr>
            <w:tcW w:w="1965" w:type="dxa"/>
            <w:gridSpan w:val="2"/>
            <w:vAlign w:val="center"/>
          </w:tcPr>
          <w:p w14:paraId="697569C2">
            <w:pPr>
              <w:widowControl w:val="0"/>
              <w:spacing w:after="0" w:line="240" w:lineRule="auto"/>
              <w:jc w:val="both"/>
              <w:rPr>
                <w:rFonts w:hint="eastAsia" w:ascii="Times New Roman" w:hAnsi="Times New Roman" w:eastAsia="宋体" w:cs="Times New Roman"/>
                <w:color w:val="auto"/>
                <w:kern w:val="2"/>
                <w:sz w:val="21"/>
                <w:szCs w:val="22"/>
                <w:highlight w:val="none"/>
                <w:lang w:val="en-US" w:eastAsia="zh-CN" w:bidi="ar-SA"/>
              </w:rPr>
            </w:pPr>
            <w:r>
              <w:rPr>
                <w:rFonts w:hint="eastAsia" w:ascii="Times New Roman" w:hAnsi="Times New Roman" w:eastAsia="宋体" w:cs="Times New Roman"/>
                <w:color w:val="auto"/>
                <w:kern w:val="2"/>
                <w:sz w:val="21"/>
                <w:szCs w:val="22"/>
                <w:highlight w:val="none"/>
                <w:lang w:val="en-US" w:eastAsia="zh-CN" w:bidi="ar-SA"/>
              </w:rPr>
              <w:t>加分计算方法</w:t>
            </w:r>
          </w:p>
        </w:tc>
        <w:tc>
          <w:tcPr>
            <w:tcW w:w="5782" w:type="dxa"/>
            <w:vAlign w:val="center"/>
          </w:tcPr>
          <w:p w14:paraId="3C73F90A">
            <w:pPr>
              <w:widowControl w:val="0"/>
              <w:spacing w:after="0" w:line="240" w:lineRule="auto"/>
              <w:jc w:val="both"/>
              <w:rPr>
                <w:rFonts w:hint="eastAsia" w:ascii="Times New Roman" w:hAnsi="Times New Roman" w:eastAsia="宋体" w:cs="Times New Roman"/>
                <w:color w:val="auto"/>
                <w:kern w:val="2"/>
                <w:sz w:val="21"/>
                <w:szCs w:val="22"/>
                <w:highlight w:val="none"/>
                <w:lang w:val="en-US" w:eastAsia="zh-CN" w:bidi="ar-SA"/>
              </w:rPr>
            </w:pPr>
            <w:r>
              <w:rPr>
                <w:rFonts w:hint="eastAsia" w:ascii="Times New Roman" w:hAnsi="Times New Roman" w:eastAsia="宋体" w:cs="Times New Roman"/>
                <w:color w:val="auto"/>
                <w:kern w:val="2"/>
                <w:sz w:val="21"/>
                <w:szCs w:val="22"/>
                <w:highlight w:val="none"/>
                <w:lang w:val="en-US" w:eastAsia="zh-CN" w:bidi="ar-SA"/>
              </w:rPr>
              <w:t>技术加分＝技术分值×加分比例×（节能/环境标志产品报价÷总报价）；</w:t>
            </w:r>
          </w:p>
          <w:p w14:paraId="54FF37D7">
            <w:pPr>
              <w:widowControl w:val="0"/>
              <w:spacing w:after="0" w:line="240" w:lineRule="auto"/>
              <w:jc w:val="both"/>
              <w:rPr>
                <w:rFonts w:hint="eastAsia" w:ascii="Times New Roman" w:hAnsi="Times New Roman" w:eastAsia="宋体" w:cs="Times New Roman"/>
                <w:color w:val="auto"/>
                <w:kern w:val="2"/>
                <w:sz w:val="21"/>
                <w:szCs w:val="22"/>
                <w:highlight w:val="none"/>
                <w:lang w:val="en-US" w:eastAsia="zh-CN" w:bidi="ar-SA"/>
              </w:rPr>
            </w:pPr>
            <w:r>
              <w:rPr>
                <w:rFonts w:hint="eastAsia" w:ascii="Times New Roman" w:hAnsi="Times New Roman" w:eastAsia="宋体" w:cs="Times New Roman"/>
                <w:color w:val="auto"/>
                <w:kern w:val="2"/>
                <w:sz w:val="21"/>
                <w:szCs w:val="22"/>
                <w:highlight w:val="none"/>
                <w:lang w:val="en-US" w:eastAsia="zh-CN" w:bidi="ar-SA"/>
              </w:rPr>
              <w:t>价格加分＝价格分值×加分比例×（节能/环境标志产品报价÷总报价）。</w:t>
            </w:r>
          </w:p>
        </w:tc>
      </w:tr>
      <w:tr w14:paraId="35BFBF02">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1184" w:type="dxa"/>
            <w:tcBorders>
              <w:top w:val="single" w:color="auto" w:sz="4" w:space="0"/>
            </w:tcBorders>
            <w:vAlign w:val="center"/>
          </w:tcPr>
          <w:p w14:paraId="44EA926F">
            <w:pPr>
              <w:adjustRightInd w:val="0"/>
              <w:snapToGrid w:val="0"/>
              <w:spacing w:line="360" w:lineRule="auto"/>
              <w:jc w:val="center"/>
              <w:rPr>
                <w:rFonts w:hint="eastAsia" w:ascii="宋体" w:hAnsi="宋体"/>
                <w:szCs w:val="21"/>
              </w:rPr>
            </w:pPr>
            <w:r>
              <w:rPr>
                <w:rFonts w:hint="eastAsia" w:ascii="宋体" w:hAnsi="宋体"/>
                <w:szCs w:val="21"/>
              </w:rPr>
              <w:t>第33.8款</w:t>
            </w:r>
          </w:p>
        </w:tc>
        <w:tc>
          <w:tcPr>
            <w:tcW w:w="1965" w:type="dxa"/>
            <w:gridSpan w:val="2"/>
            <w:vAlign w:val="center"/>
          </w:tcPr>
          <w:p w14:paraId="75BCA070">
            <w:pPr>
              <w:adjustRightInd w:val="0"/>
              <w:snapToGrid w:val="0"/>
              <w:spacing w:line="360" w:lineRule="auto"/>
              <w:jc w:val="left"/>
              <w:rPr>
                <w:rFonts w:hint="eastAsia" w:ascii="宋体" w:hAnsi="宋体"/>
                <w:szCs w:val="21"/>
              </w:rPr>
            </w:pPr>
            <w:r>
              <w:rPr>
                <w:rFonts w:hint="eastAsia" w:ascii="宋体" w:hAnsi="宋体"/>
                <w:szCs w:val="21"/>
              </w:rPr>
              <w:t>采购进口产品</w:t>
            </w:r>
          </w:p>
        </w:tc>
        <w:tc>
          <w:tcPr>
            <w:tcW w:w="5782" w:type="dxa"/>
            <w:vAlign w:val="center"/>
          </w:tcPr>
          <w:p w14:paraId="17A70574">
            <w:pPr>
              <w:adjustRightInd w:val="0"/>
              <w:snapToGrid w:val="0"/>
              <w:spacing w:before="156" w:beforeLines="50" w:after="156" w:afterLines="50" w:line="280" w:lineRule="exact"/>
              <w:rPr>
                <w:rFonts w:hint="eastAsia" w:ascii="宋体" w:hAnsi="宋体"/>
                <w:szCs w:val="21"/>
              </w:rPr>
            </w:pPr>
            <w:r>
              <w:rPr>
                <w:rFonts w:hint="eastAsia" w:ascii="宋体" w:hAnsi="宋体"/>
                <w:szCs w:val="21"/>
              </w:rPr>
              <w:sym w:font="Wingdings" w:char="00FE"/>
            </w:r>
            <w:r>
              <w:rPr>
                <w:rFonts w:hint="eastAsia" w:ascii="宋体" w:hAnsi="宋体"/>
                <w:szCs w:val="21"/>
              </w:rPr>
              <w:t>本采购项目拒绝进口产品参加投标</w:t>
            </w:r>
          </w:p>
          <w:p w14:paraId="0B398963">
            <w:pPr>
              <w:adjustRightInd w:val="0"/>
              <w:snapToGrid w:val="0"/>
              <w:spacing w:line="360" w:lineRule="auto"/>
              <w:rPr>
                <w:rFonts w:hint="eastAsia" w:ascii="宋体" w:hAnsi="宋体"/>
                <w:szCs w:val="21"/>
              </w:rPr>
            </w:pPr>
            <w:r>
              <w:rPr>
                <w:rFonts w:hint="eastAsia" w:ascii="宋体" w:hAnsi="宋体"/>
                <w:szCs w:val="21"/>
              </w:rPr>
              <w:t>□本采购项目已经财政部门审核同意购买进口产品</w:t>
            </w:r>
          </w:p>
        </w:tc>
      </w:tr>
      <w:tr w14:paraId="524C3153">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8931" w:type="dxa"/>
            <w:gridSpan w:val="4"/>
            <w:vAlign w:val="center"/>
          </w:tcPr>
          <w:p w14:paraId="0A8320E4">
            <w:pPr>
              <w:adjustRightInd w:val="0"/>
              <w:snapToGrid w:val="0"/>
              <w:spacing w:line="360" w:lineRule="auto"/>
              <w:rPr>
                <w:rFonts w:hint="eastAsia" w:ascii="宋体" w:hAnsi="宋体"/>
                <w:szCs w:val="21"/>
              </w:rPr>
            </w:pPr>
            <w:r>
              <w:rPr>
                <w:rFonts w:hint="eastAsia" w:ascii="宋体" w:hAnsi="宋体"/>
                <w:b/>
                <w:szCs w:val="21"/>
              </w:rPr>
              <w:t>九、其他规定</w:t>
            </w:r>
          </w:p>
        </w:tc>
      </w:tr>
      <w:tr w14:paraId="0B9DD5D1">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1184" w:type="dxa"/>
            <w:vAlign w:val="center"/>
          </w:tcPr>
          <w:p w14:paraId="305E4B07">
            <w:pPr>
              <w:adjustRightInd w:val="0"/>
              <w:snapToGrid w:val="0"/>
              <w:spacing w:line="360" w:lineRule="auto"/>
              <w:jc w:val="center"/>
              <w:rPr>
                <w:rFonts w:hint="eastAsia" w:ascii="宋体" w:hAnsi="宋体"/>
                <w:szCs w:val="21"/>
              </w:rPr>
            </w:pPr>
            <w:r>
              <w:rPr>
                <w:rFonts w:hint="eastAsia" w:ascii="宋体" w:hAnsi="宋体"/>
                <w:szCs w:val="21"/>
              </w:rPr>
              <w:t>第35.2</w:t>
            </w:r>
            <w:r>
              <w:rPr>
                <w:rFonts w:hint="eastAsia" w:ascii="宋体" w:hAnsi="宋体" w:cs="宋体"/>
                <w:kern w:val="0"/>
                <w:szCs w:val="21"/>
              </w:rPr>
              <w:t>项</w:t>
            </w:r>
          </w:p>
        </w:tc>
        <w:tc>
          <w:tcPr>
            <w:tcW w:w="1965" w:type="dxa"/>
            <w:gridSpan w:val="2"/>
            <w:vAlign w:val="center"/>
          </w:tcPr>
          <w:p w14:paraId="0EA1F382">
            <w:pPr>
              <w:adjustRightInd w:val="0"/>
              <w:snapToGrid w:val="0"/>
              <w:spacing w:line="360" w:lineRule="auto"/>
              <w:rPr>
                <w:rFonts w:hint="eastAsia" w:ascii="宋体" w:hAnsi="宋体"/>
                <w:szCs w:val="21"/>
              </w:rPr>
            </w:pPr>
            <w:r>
              <w:rPr>
                <w:rFonts w:hint="eastAsia" w:ascii="宋体" w:hAnsi="宋体"/>
                <w:szCs w:val="21"/>
              </w:rPr>
              <w:t>招标代理服务费</w:t>
            </w:r>
          </w:p>
        </w:tc>
        <w:tc>
          <w:tcPr>
            <w:tcW w:w="5782" w:type="dxa"/>
            <w:vAlign w:val="center"/>
          </w:tcPr>
          <w:p w14:paraId="41D01795">
            <w:pPr>
              <w:adjustRightInd w:val="0"/>
              <w:snapToGrid w:val="0"/>
              <w:spacing w:line="360" w:lineRule="auto"/>
              <w:rPr>
                <w:rFonts w:hint="eastAsia" w:ascii="宋体" w:hAnsi="宋体"/>
                <w:szCs w:val="21"/>
              </w:rPr>
            </w:pPr>
            <w:r>
              <w:rPr>
                <w:rFonts w:hint="eastAsia" w:ascii="宋体" w:hAnsi="宋体"/>
                <w:szCs w:val="21"/>
              </w:rPr>
              <w:t>集中采购机构不收取代理服务费。</w:t>
            </w:r>
          </w:p>
        </w:tc>
      </w:tr>
      <w:tr w14:paraId="77338806">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1184" w:type="dxa"/>
            <w:vAlign w:val="center"/>
          </w:tcPr>
          <w:p w14:paraId="5A446575">
            <w:pPr>
              <w:adjustRightInd w:val="0"/>
              <w:snapToGrid w:val="0"/>
              <w:spacing w:line="360" w:lineRule="auto"/>
              <w:jc w:val="center"/>
              <w:rPr>
                <w:rFonts w:hint="eastAsia" w:ascii="宋体" w:hAnsi="宋体"/>
                <w:szCs w:val="21"/>
              </w:rPr>
            </w:pPr>
            <w:r>
              <w:rPr>
                <w:rFonts w:hint="eastAsia" w:ascii="宋体" w:hAnsi="宋体"/>
                <w:szCs w:val="21"/>
              </w:rPr>
              <w:t>第36.1</w:t>
            </w:r>
            <w:r>
              <w:rPr>
                <w:rFonts w:hint="eastAsia" w:ascii="宋体" w:hAnsi="宋体" w:cs="宋体"/>
                <w:kern w:val="0"/>
                <w:szCs w:val="21"/>
                <w:lang w:val="zh-CN"/>
              </w:rPr>
              <w:t>（</w:t>
            </w:r>
            <w:r>
              <w:rPr>
                <w:rFonts w:hint="eastAsia" w:ascii="宋体" w:hAnsi="宋体" w:cs="宋体"/>
                <w:kern w:val="0"/>
                <w:szCs w:val="21"/>
              </w:rPr>
              <w:t>1</w:t>
            </w:r>
            <w:r>
              <w:rPr>
                <w:rFonts w:hint="eastAsia" w:ascii="宋体" w:hAnsi="宋体" w:cs="宋体"/>
                <w:kern w:val="0"/>
                <w:szCs w:val="21"/>
                <w:lang w:val="zh-CN"/>
              </w:rPr>
              <w:t>）</w:t>
            </w:r>
            <w:r>
              <w:rPr>
                <w:rFonts w:hint="eastAsia" w:ascii="宋体" w:hAnsi="宋体" w:cs="宋体"/>
                <w:kern w:val="0"/>
                <w:szCs w:val="21"/>
              </w:rPr>
              <w:t>项</w:t>
            </w:r>
          </w:p>
        </w:tc>
        <w:tc>
          <w:tcPr>
            <w:tcW w:w="1965" w:type="dxa"/>
            <w:gridSpan w:val="2"/>
            <w:vAlign w:val="center"/>
          </w:tcPr>
          <w:p w14:paraId="2FFDDF74">
            <w:pPr>
              <w:adjustRightInd w:val="0"/>
              <w:snapToGrid w:val="0"/>
              <w:spacing w:line="360" w:lineRule="auto"/>
              <w:jc w:val="center"/>
              <w:rPr>
                <w:rFonts w:hint="eastAsia" w:ascii="宋体" w:hAnsi="宋体"/>
                <w:szCs w:val="21"/>
              </w:rPr>
            </w:pPr>
            <w:r>
              <w:rPr>
                <w:rFonts w:hint="eastAsia" w:ascii="宋体" w:hAnsi="宋体"/>
                <w:szCs w:val="21"/>
              </w:rPr>
              <w:t>合同预付款的支付比例和支付条件</w:t>
            </w:r>
          </w:p>
        </w:tc>
        <w:tc>
          <w:tcPr>
            <w:tcW w:w="5782" w:type="dxa"/>
            <w:vAlign w:val="center"/>
          </w:tcPr>
          <w:p w14:paraId="25A2959C">
            <w:pPr>
              <w:adjustRightInd w:val="0"/>
              <w:snapToGrid w:val="0"/>
              <w:spacing w:line="360" w:lineRule="auto"/>
              <w:rPr>
                <w:rFonts w:hint="eastAsia" w:ascii="宋体" w:hAnsi="宋体"/>
                <w:szCs w:val="21"/>
              </w:rPr>
            </w:pPr>
            <w:r>
              <w:rPr>
                <w:rFonts w:hint="eastAsia" w:ascii="宋体" w:hAnsi="宋体"/>
                <w:szCs w:val="21"/>
              </w:rPr>
              <w:t>具体详见第五章采购需求。</w:t>
            </w:r>
          </w:p>
        </w:tc>
      </w:tr>
      <w:tr w14:paraId="034F1B34">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859" w:hRule="atLeast"/>
        </w:trPr>
        <w:tc>
          <w:tcPr>
            <w:tcW w:w="1184" w:type="dxa"/>
            <w:vAlign w:val="center"/>
          </w:tcPr>
          <w:p w14:paraId="6E0AD49D">
            <w:pPr>
              <w:adjustRightInd w:val="0"/>
              <w:snapToGrid w:val="0"/>
              <w:spacing w:line="360" w:lineRule="auto"/>
              <w:jc w:val="center"/>
              <w:rPr>
                <w:rFonts w:hint="eastAsia" w:ascii="宋体" w:hAnsi="宋体"/>
                <w:szCs w:val="21"/>
              </w:rPr>
            </w:pPr>
            <w:r>
              <w:rPr>
                <w:rFonts w:hint="eastAsia" w:ascii="宋体" w:hAnsi="宋体"/>
                <w:szCs w:val="21"/>
              </w:rPr>
              <w:t>第36.1</w:t>
            </w:r>
            <w:r>
              <w:rPr>
                <w:rFonts w:hint="eastAsia" w:ascii="宋体" w:hAnsi="宋体" w:cs="宋体"/>
                <w:kern w:val="0"/>
                <w:szCs w:val="21"/>
                <w:lang w:val="zh-CN"/>
              </w:rPr>
              <w:t>（</w:t>
            </w:r>
            <w:r>
              <w:rPr>
                <w:rFonts w:hint="eastAsia" w:ascii="宋体" w:hAnsi="宋体" w:cs="宋体"/>
                <w:kern w:val="0"/>
                <w:szCs w:val="21"/>
              </w:rPr>
              <w:t>2</w:t>
            </w:r>
            <w:r>
              <w:rPr>
                <w:rFonts w:hint="eastAsia" w:ascii="宋体" w:hAnsi="宋体" w:cs="宋体"/>
                <w:kern w:val="0"/>
                <w:szCs w:val="21"/>
                <w:lang w:val="zh-CN"/>
              </w:rPr>
              <w:t>）</w:t>
            </w:r>
            <w:r>
              <w:rPr>
                <w:rFonts w:hint="eastAsia" w:ascii="宋体" w:hAnsi="宋体" w:cs="宋体"/>
                <w:kern w:val="0"/>
                <w:szCs w:val="21"/>
              </w:rPr>
              <w:t>项</w:t>
            </w:r>
          </w:p>
        </w:tc>
        <w:tc>
          <w:tcPr>
            <w:tcW w:w="1965" w:type="dxa"/>
            <w:gridSpan w:val="2"/>
            <w:vAlign w:val="center"/>
          </w:tcPr>
          <w:p w14:paraId="5D1C718C">
            <w:pPr>
              <w:adjustRightInd w:val="0"/>
              <w:snapToGrid w:val="0"/>
              <w:spacing w:line="360" w:lineRule="auto"/>
              <w:jc w:val="center"/>
              <w:rPr>
                <w:rFonts w:hint="eastAsia" w:ascii="宋体" w:hAnsi="宋体"/>
                <w:szCs w:val="21"/>
              </w:rPr>
            </w:pPr>
            <w:r>
              <w:rPr>
                <w:rFonts w:hint="eastAsia" w:ascii="宋体" w:hAnsi="宋体"/>
                <w:szCs w:val="21"/>
              </w:rPr>
              <w:t>质量保证金</w:t>
            </w:r>
          </w:p>
        </w:tc>
        <w:tc>
          <w:tcPr>
            <w:tcW w:w="5782" w:type="dxa"/>
            <w:vAlign w:val="center"/>
          </w:tcPr>
          <w:p w14:paraId="51B8DC3E">
            <w:pPr>
              <w:adjustRightInd w:val="0"/>
              <w:snapToGrid w:val="0"/>
              <w:spacing w:line="360" w:lineRule="auto"/>
              <w:rPr>
                <w:rFonts w:hint="eastAsia" w:ascii="宋体" w:hAnsi="宋体" w:eastAsia="宋体"/>
                <w:szCs w:val="21"/>
                <w:lang w:val="en-US" w:eastAsia="zh-CN"/>
              </w:rPr>
            </w:pPr>
            <w:r>
              <w:rPr>
                <w:rFonts w:hint="eastAsia" w:ascii="宋体" w:hAnsi="宋体"/>
                <w:szCs w:val="21"/>
                <w:lang w:val="en-US" w:eastAsia="zh-CN"/>
              </w:rPr>
              <w:t>/</w:t>
            </w:r>
          </w:p>
        </w:tc>
      </w:tr>
      <w:tr w14:paraId="3DF27637">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1184" w:type="dxa"/>
            <w:vAlign w:val="center"/>
          </w:tcPr>
          <w:p w14:paraId="1907A0B3">
            <w:pPr>
              <w:adjustRightInd w:val="0"/>
              <w:snapToGrid w:val="0"/>
              <w:spacing w:line="360" w:lineRule="auto"/>
              <w:jc w:val="center"/>
              <w:rPr>
                <w:rFonts w:hint="eastAsia" w:ascii="宋体" w:hAnsi="宋体"/>
                <w:szCs w:val="21"/>
              </w:rPr>
            </w:pPr>
            <w:r>
              <w:rPr>
                <w:rFonts w:hint="eastAsia" w:ascii="宋体" w:hAnsi="宋体"/>
                <w:szCs w:val="21"/>
              </w:rPr>
              <w:t>第36.2</w:t>
            </w:r>
            <w:r>
              <w:rPr>
                <w:rFonts w:hint="eastAsia" w:ascii="宋体" w:hAnsi="宋体" w:cs="宋体"/>
                <w:kern w:val="0"/>
                <w:szCs w:val="21"/>
                <w:lang w:val="zh-CN"/>
              </w:rPr>
              <w:t>款</w:t>
            </w:r>
          </w:p>
        </w:tc>
        <w:tc>
          <w:tcPr>
            <w:tcW w:w="1965" w:type="dxa"/>
            <w:gridSpan w:val="2"/>
            <w:vAlign w:val="center"/>
          </w:tcPr>
          <w:p w14:paraId="4A96619A">
            <w:pPr>
              <w:adjustRightInd w:val="0"/>
              <w:snapToGrid w:val="0"/>
              <w:spacing w:line="360" w:lineRule="auto"/>
              <w:jc w:val="left"/>
              <w:rPr>
                <w:rFonts w:hint="eastAsia" w:ascii="宋体" w:hAnsi="宋体"/>
                <w:szCs w:val="21"/>
              </w:rPr>
            </w:pPr>
            <w:r>
              <w:rPr>
                <w:rFonts w:hint="eastAsia" w:ascii="宋体" w:hAnsi="宋体"/>
                <w:szCs w:val="21"/>
              </w:rPr>
              <w:t>其他规定</w:t>
            </w:r>
          </w:p>
        </w:tc>
        <w:tc>
          <w:tcPr>
            <w:tcW w:w="5782" w:type="dxa"/>
            <w:vAlign w:val="center"/>
          </w:tcPr>
          <w:p w14:paraId="17C1632B">
            <w:pPr>
              <w:adjustRightInd w:val="0"/>
              <w:snapToGrid w:val="0"/>
              <w:spacing w:line="360" w:lineRule="auto"/>
              <w:rPr>
                <w:rFonts w:hint="eastAsia" w:ascii="宋体" w:hAnsi="宋体"/>
                <w:color w:val="000000"/>
                <w:szCs w:val="21"/>
              </w:rPr>
            </w:pPr>
            <w:r>
              <w:rPr>
                <w:rFonts w:hint="eastAsia" w:ascii="宋体" w:hAnsi="宋体"/>
                <w:color w:val="000000"/>
                <w:szCs w:val="21"/>
              </w:rPr>
              <w:t>1、对列入失信被执行人、重大税收违法案件当事人名单、政府采购严重违法失信行为记录名单及其他不符合《中华人民共和国政府采购法》第二十二条规定条件的供应商，将拒绝其参与政府采购活动。</w:t>
            </w:r>
          </w:p>
          <w:p w14:paraId="57A76E8E">
            <w:pPr>
              <w:adjustRightInd w:val="0"/>
              <w:snapToGrid w:val="0"/>
              <w:spacing w:line="360" w:lineRule="auto"/>
              <w:rPr>
                <w:rFonts w:hint="eastAsia" w:ascii="宋体" w:hAnsi="宋体"/>
                <w:color w:val="000000"/>
                <w:szCs w:val="21"/>
              </w:rPr>
            </w:pPr>
            <w:r>
              <w:rPr>
                <w:rFonts w:hint="eastAsia" w:ascii="宋体" w:hAnsi="宋体"/>
                <w:color w:val="000000"/>
                <w:szCs w:val="21"/>
              </w:rPr>
              <w:t>2、信用信息查询的查询渠道：“信用中国”网站（www.creditchina.gov.cn）、中国政府采购网（www.ccgp.gov.cn）、湖南信用网（www.hncredit.gov.cn）和湖南省政府采购网（www.ccgp-hunan.gov.cn）。</w:t>
            </w:r>
          </w:p>
          <w:p w14:paraId="09F2AC37">
            <w:pPr>
              <w:adjustRightInd w:val="0"/>
              <w:snapToGrid w:val="0"/>
              <w:spacing w:line="360" w:lineRule="auto"/>
              <w:rPr>
                <w:rFonts w:hint="eastAsia" w:ascii="宋体" w:hAnsi="宋体"/>
                <w:color w:val="000000"/>
                <w:szCs w:val="21"/>
              </w:rPr>
            </w:pPr>
            <w:r>
              <w:rPr>
                <w:rFonts w:hint="eastAsia" w:ascii="宋体" w:hAnsi="宋体"/>
                <w:color w:val="000000"/>
                <w:szCs w:val="21"/>
              </w:rPr>
              <w:t>3、信用信息查询的截止时点：至本项目投标截止时间止（或至本项目响应文件提交截止时间止）。</w:t>
            </w:r>
          </w:p>
          <w:p w14:paraId="5B6332A7">
            <w:pPr>
              <w:adjustRightInd w:val="0"/>
              <w:snapToGrid w:val="0"/>
              <w:spacing w:line="360" w:lineRule="auto"/>
              <w:rPr>
                <w:rFonts w:hint="eastAsia" w:ascii="宋体" w:hAnsi="宋体"/>
                <w:color w:val="000000"/>
                <w:szCs w:val="21"/>
              </w:rPr>
            </w:pPr>
            <w:r>
              <w:rPr>
                <w:rFonts w:hint="eastAsia" w:ascii="宋体" w:hAnsi="宋体"/>
                <w:color w:val="000000"/>
                <w:szCs w:val="21"/>
              </w:rPr>
              <w:t>4、信用信息查询记录证据留存的具体方式：查询记录的网页打印件。</w:t>
            </w:r>
          </w:p>
          <w:p w14:paraId="4859FEA1">
            <w:pPr>
              <w:adjustRightInd w:val="0"/>
              <w:snapToGrid w:val="0"/>
              <w:spacing w:line="360" w:lineRule="auto"/>
              <w:rPr>
                <w:rFonts w:hint="eastAsia" w:ascii="宋体" w:hAnsi="宋体"/>
                <w:szCs w:val="21"/>
              </w:rPr>
            </w:pPr>
            <w:r>
              <w:rPr>
                <w:rFonts w:hint="eastAsia" w:ascii="宋体" w:hAnsi="宋体"/>
                <w:color w:val="000000"/>
                <w:szCs w:val="21"/>
              </w:rPr>
              <w:t>5、信用信息的使用规则：对列入失信被执行人、重大税收违法案件当事人名单、政府采购严重违法失信行为记录名单及其他不符合《中华人民共和国政府采购法》第二十二条规定条件的供应商，将拒绝其参与政府采购活动。”</w:t>
            </w:r>
          </w:p>
        </w:tc>
      </w:tr>
    </w:tbl>
    <w:p w14:paraId="6009E2B1">
      <w:pPr>
        <w:adjustRightInd w:val="0"/>
        <w:snapToGrid w:val="0"/>
        <w:spacing w:line="360" w:lineRule="auto"/>
        <w:rPr>
          <w:rFonts w:hint="eastAsia" w:ascii="宋体" w:hAnsi="宋体"/>
          <w:b/>
          <w:sz w:val="10"/>
          <w:szCs w:val="10"/>
        </w:rPr>
      </w:pPr>
      <w:r>
        <w:rPr>
          <w:rFonts w:ascii="宋体" w:hAnsi="宋体"/>
          <w:b/>
          <w:szCs w:val="21"/>
        </w:rPr>
        <w:br w:type="page"/>
      </w:r>
    </w:p>
    <w:p w14:paraId="335BF785">
      <w:pPr>
        <w:pStyle w:val="2"/>
        <w:adjustRightInd w:val="0"/>
        <w:snapToGrid w:val="0"/>
        <w:spacing w:before="156" w:beforeLines="50"/>
        <w:jc w:val="center"/>
        <w:rPr>
          <w:rFonts w:hint="eastAsia" w:ascii="黑体" w:hAnsi="黑体" w:eastAsia="黑体"/>
          <w:sz w:val="28"/>
          <w:szCs w:val="28"/>
        </w:rPr>
      </w:pPr>
      <w:bookmarkStart w:id="16" w:name="_Toc23811"/>
      <w:r>
        <w:rPr>
          <w:rFonts w:hint="eastAsia" w:ascii="黑体" w:hAnsi="黑体" w:eastAsia="黑体"/>
          <w:sz w:val="28"/>
          <w:szCs w:val="28"/>
        </w:rPr>
        <w:t>第二节 投标须知</w:t>
      </w:r>
      <w:bookmarkEnd w:id="16"/>
    </w:p>
    <w:p w14:paraId="4875D806">
      <w:pPr>
        <w:pStyle w:val="4"/>
        <w:adjustRightInd w:val="0"/>
        <w:snapToGrid w:val="0"/>
        <w:spacing w:before="156" w:beforeLines="50" w:after="0" w:line="360" w:lineRule="auto"/>
        <w:jc w:val="center"/>
        <w:rPr>
          <w:rFonts w:hint="eastAsia" w:ascii="黑体" w:hAnsi="黑体" w:eastAsia="黑体"/>
          <w:b w:val="0"/>
          <w:sz w:val="28"/>
          <w:szCs w:val="28"/>
        </w:rPr>
      </w:pPr>
      <w:bookmarkStart w:id="17" w:name="_Toc4525"/>
      <w:r>
        <w:rPr>
          <w:rFonts w:hint="eastAsia" w:ascii="黑体" w:hAnsi="黑体" w:eastAsia="黑体"/>
          <w:sz w:val="28"/>
          <w:szCs w:val="28"/>
        </w:rPr>
        <w:t>一、总则</w:t>
      </w:r>
      <w:bookmarkEnd w:id="17"/>
    </w:p>
    <w:p w14:paraId="4734FBEF">
      <w:pPr>
        <w:adjustRightInd w:val="0"/>
        <w:snapToGrid w:val="0"/>
        <w:spacing w:before="156" w:beforeLines="50" w:line="360" w:lineRule="auto"/>
        <w:jc w:val="left"/>
        <w:rPr>
          <w:rFonts w:hint="eastAsia" w:ascii="宋体" w:hAnsi="宋体"/>
          <w:b/>
          <w:bCs/>
          <w:sz w:val="24"/>
        </w:rPr>
      </w:pPr>
      <w:r>
        <w:rPr>
          <w:rFonts w:hint="eastAsia" w:ascii="宋体" w:hAnsi="宋体"/>
          <w:b/>
          <w:bCs/>
          <w:sz w:val="24"/>
        </w:rPr>
        <w:t>1. 适用范围</w:t>
      </w:r>
    </w:p>
    <w:p w14:paraId="0A78F7CB">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1.1本招标文件仅适用于本章第一节</w:t>
      </w:r>
      <w:r>
        <w:rPr>
          <w:rFonts w:hint="eastAsia" w:ascii="宋体" w:hAnsi="宋体"/>
          <w:b/>
          <w:bCs/>
          <w:szCs w:val="21"/>
        </w:rPr>
        <w:t>【投标须知前附表】</w:t>
      </w:r>
      <w:r>
        <w:rPr>
          <w:rFonts w:hint="eastAsia" w:ascii="宋体" w:hAnsi="宋体"/>
          <w:szCs w:val="21"/>
        </w:rPr>
        <w:t>中所叙述的采购项目。</w:t>
      </w:r>
    </w:p>
    <w:p w14:paraId="2E8AE954">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1.2</w:t>
      </w:r>
      <w:r>
        <w:rPr>
          <w:rFonts w:hint="eastAsia" w:ascii="宋体" w:hAnsi="宋体"/>
          <w:b/>
          <w:szCs w:val="21"/>
        </w:rPr>
        <w:t>【投标须知前附表】</w:t>
      </w:r>
      <w:r>
        <w:rPr>
          <w:rFonts w:hint="eastAsia" w:ascii="宋体" w:hAnsi="宋体"/>
          <w:szCs w:val="21"/>
        </w:rPr>
        <w:t>规定采购项目或者采购包属于“预留采购份额”的，投标人应当符合本章第33.7款规定，否则，其</w:t>
      </w:r>
      <w:r>
        <w:rPr>
          <w:rFonts w:hint="eastAsia" w:ascii="宋体" w:hAnsi="宋体"/>
          <w:b/>
          <w:szCs w:val="21"/>
        </w:rPr>
        <w:t>投标无效</w:t>
      </w:r>
      <w:r>
        <w:rPr>
          <w:rFonts w:hint="eastAsia" w:ascii="宋体" w:hAnsi="宋体"/>
          <w:szCs w:val="21"/>
        </w:rPr>
        <w:t>。</w:t>
      </w:r>
    </w:p>
    <w:p w14:paraId="681A2A64">
      <w:pPr>
        <w:adjustRightInd w:val="0"/>
        <w:snapToGrid w:val="0"/>
        <w:spacing w:before="156" w:beforeLines="50" w:line="360" w:lineRule="auto"/>
        <w:jc w:val="left"/>
        <w:rPr>
          <w:rFonts w:hint="eastAsia" w:ascii="宋体" w:hAnsi="宋体"/>
          <w:b/>
          <w:bCs/>
          <w:sz w:val="24"/>
        </w:rPr>
      </w:pPr>
      <w:r>
        <w:rPr>
          <w:rFonts w:hint="eastAsia" w:ascii="宋体" w:hAnsi="宋体"/>
          <w:b/>
          <w:bCs/>
          <w:sz w:val="24"/>
        </w:rPr>
        <w:t>2. 定义</w:t>
      </w:r>
    </w:p>
    <w:p w14:paraId="69382B0F">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2.1采购项目联系人姓名和电话见</w:t>
      </w:r>
      <w:r>
        <w:rPr>
          <w:rFonts w:hint="eastAsia" w:ascii="宋体" w:hAnsi="宋体"/>
          <w:b/>
          <w:szCs w:val="21"/>
        </w:rPr>
        <w:t>【投标须知前附表】</w:t>
      </w:r>
      <w:r>
        <w:rPr>
          <w:rFonts w:hint="eastAsia" w:ascii="宋体" w:hAnsi="宋体"/>
          <w:szCs w:val="21"/>
        </w:rPr>
        <w:t>。</w:t>
      </w:r>
    </w:p>
    <w:p w14:paraId="1D022036">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2.2采购人名称、地址、电话、联系人见</w:t>
      </w:r>
      <w:r>
        <w:rPr>
          <w:rFonts w:hint="eastAsia" w:ascii="宋体" w:hAnsi="宋体"/>
          <w:b/>
          <w:szCs w:val="21"/>
        </w:rPr>
        <w:t>【投标须知前附表】</w:t>
      </w:r>
      <w:r>
        <w:rPr>
          <w:rFonts w:hint="eastAsia" w:ascii="宋体" w:hAnsi="宋体"/>
          <w:szCs w:val="21"/>
        </w:rPr>
        <w:t>。</w:t>
      </w:r>
    </w:p>
    <w:p w14:paraId="4F3CD4AB">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2.3采购代理机构名称、地址、电话、联系人见</w:t>
      </w:r>
      <w:r>
        <w:rPr>
          <w:rFonts w:hint="eastAsia" w:ascii="宋体" w:hAnsi="宋体"/>
          <w:b/>
          <w:szCs w:val="21"/>
        </w:rPr>
        <w:t>【投标须知前附表】。</w:t>
      </w:r>
    </w:p>
    <w:p w14:paraId="7F1AB8DC">
      <w:pPr>
        <w:adjustRightInd w:val="0"/>
        <w:snapToGrid w:val="0"/>
        <w:spacing w:before="156" w:beforeLines="50" w:line="360" w:lineRule="auto"/>
        <w:ind w:firstLine="420" w:firstLineChars="200"/>
        <w:jc w:val="left"/>
        <w:rPr>
          <w:rFonts w:hint="eastAsia" w:ascii="宋体" w:hAnsi="宋体"/>
          <w:b/>
          <w:szCs w:val="21"/>
        </w:rPr>
      </w:pPr>
      <w:r>
        <w:rPr>
          <w:rFonts w:hint="eastAsia" w:ascii="宋体" w:hAnsi="宋体"/>
          <w:szCs w:val="21"/>
        </w:rPr>
        <w:t>2.4投标人系指响应招标、参加投标竞争的法人、其他组织或自然人。</w:t>
      </w:r>
    </w:p>
    <w:p w14:paraId="370184C7">
      <w:pPr>
        <w:adjustRightInd w:val="0"/>
        <w:snapToGrid w:val="0"/>
        <w:spacing w:before="156" w:beforeLines="50" w:line="360" w:lineRule="auto"/>
        <w:jc w:val="left"/>
        <w:rPr>
          <w:rFonts w:hint="eastAsia" w:ascii="宋体" w:hAnsi="宋体"/>
          <w:b/>
          <w:bCs/>
          <w:sz w:val="24"/>
        </w:rPr>
      </w:pPr>
      <w:r>
        <w:rPr>
          <w:rFonts w:hint="eastAsia" w:ascii="宋体" w:hAnsi="宋体"/>
          <w:b/>
          <w:bCs/>
          <w:sz w:val="24"/>
        </w:rPr>
        <w:t>3. 投标人的资格要求</w:t>
      </w:r>
    </w:p>
    <w:p w14:paraId="6FEF4CF1">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3.1投标人应当符合</w:t>
      </w:r>
      <w:r>
        <w:rPr>
          <w:rFonts w:hint="eastAsia" w:ascii="宋体" w:hAnsi="宋体"/>
          <w:b/>
          <w:szCs w:val="21"/>
        </w:rPr>
        <w:t>【投标须知前附表】</w:t>
      </w:r>
      <w:r>
        <w:rPr>
          <w:rFonts w:hint="eastAsia" w:ascii="宋体" w:hAnsi="宋体"/>
          <w:szCs w:val="21"/>
        </w:rPr>
        <w:t>规定的投标人资格条件。</w:t>
      </w:r>
    </w:p>
    <w:p w14:paraId="3FCBFA2B">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3.2</w:t>
      </w:r>
      <w:r>
        <w:rPr>
          <w:rFonts w:hint="eastAsia" w:ascii="宋体" w:hAnsi="宋体"/>
          <w:b/>
          <w:szCs w:val="21"/>
        </w:rPr>
        <w:t>【投标须知前附表】</w:t>
      </w:r>
      <w:r>
        <w:rPr>
          <w:rFonts w:hint="eastAsia" w:ascii="宋体" w:hAnsi="宋体"/>
          <w:szCs w:val="21"/>
        </w:rPr>
        <w:t>规定接受联合体形式投标的，投标人除应符合本章第3.1</w:t>
      </w:r>
      <w:r>
        <w:rPr>
          <w:rFonts w:hint="eastAsia" w:ascii="宋体" w:hAnsi="宋体" w:cs="宋体"/>
          <w:kern w:val="0"/>
          <w:szCs w:val="21"/>
          <w:lang w:val="zh-CN"/>
        </w:rPr>
        <w:t>款</w:t>
      </w:r>
      <w:r>
        <w:rPr>
          <w:rFonts w:hint="eastAsia" w:ascii="宋体" w:hAnsi="宋体"/>
          <w:szCs w:val="21"/>
        </w:rPr>
        <w:t xml:space="preserve">规定的资格条件外，还应遵守以下规定： </w:t>
      </w:r>
    </w:p>
    <w:p w14:paraId="65176508">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（l）联合体中有同类资质的供应商按照联合体分工承担相同工作的，应当按照资质等级较低的供应商确定资质等级。</w:t>
      </w:r>
    </w:p>
    <w:p w14:paraId="3038AD99">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（2）联合体各方应按招标文件提供的格式签订联合体协议书，明确联合体牵头人和各方的权利义务、合同工作量比例；</w:t>
      </w:r>
    </w:p>
    <w:p w14:paraId="489882B3">
      <w:pPr>
        <w:adjustRightInd w:val="0"/>
        <w:snapToGrid w:val="0"/>
        <w:spacing w:before="156" w:beforeLines="50" w:line="360" w:lineRule="auto"/>
        <w:ind w:firstLine="420" w:firstLineChars="200"/>
        <w:jc w:val="left"/>
        <w:rPr>
          <w:rFonts w:hint="eastAsia" w:ascii="宋体" w:hAnsi="宋体" w:cs="宋体"/>
          <w:kern w:val="0"/>
          <w:szCs w:val="21"/>
          <w:lang w:val="zh-CN"/>
        </w:rPr>
      </w:pPr>
      <w:r>
        <w:rPr>
          <w:rFonts w:hint="eastAsia" w:ascii="宋体" w:hAnsi="宋体"/>
          <w:szCs w:val="21"/>
        </w:rPr>
        <w:t>（3）联合体各方签订联合体协议书后，</w:t>
      </w:r>
      <w:r>
        <w:rPr>
          <w:rFonts w:hint="eastAsia" w:ascii="宋体" w:hAnsi="宋体" w:cs="宋体"/>
          <w:kern w:val="0"/>
          <w:szCs w:val="21"/>
          <w:lang w:val="zh-CN"/>
        </w:rPr>
        <w:t>不得再单独参加或者与其他投标人组成新的联合体参加同一合同项下的采购活动。</w:t>
      </w:r>
    </w:p>
    <w:p w14:paraId="4A141607">
      <w:pPr>
        <w:adjustRightInd w:val="0"/>
        <w:snapToGrid w:val="0"/>
        <w:spacing w:before="156" w:beforeLines="50" w:line="360" w:lineRule="auto"/>
        <w:jc w:val="left"/>
        <w:rPr>
          <w:rFonts w:hint="eastAsia" w:ascii="宋体" w:hAnsi="宋体"/>
          <w:b/>
          <w:bCs/>
          <w:sz w:val="24"/>
        </w:rPr>
      </w:pPr>
      <w:r>
        <w:rPr>
          <w:rFonts w:hint="eastAsia" w:ascii="宋体" w:hAnsi="宋体"/>
          <w:b/>
          <w:bCs/>
          <w:sz w:val="24"/>
        </w:rPr>
        <w:t xml:space="preserve">4. 投标费用 </w:t>
      </w:r>
    </w:p>
    <w:p w14:paraId="36F2BCCB">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4.1投标人应自行承担所有参与投标的相关费用，不论投标的结果如何，采购人、采购代理机构均无义务和责任承担这些费用。</w:t>
      </w:r>
    </w:p>
    <w:p w14:paraId="76E88786">
      <w:pPr>
        <w:adjustRightInd w:val="0"/>
        <w:snapToGrid w:val="0"/>
        <w:spacing w:before="156" w:beforeLines="50" w:line="360" w:lineRule="auto"/>
        <w:jc w:val="left"/>
        <w:rPr>
          <w:rFonts w:hint="eastAsia" w:ascii="宋体" w:hAnsi="宋体"/>
          <w:b/>
          <w:sz w:val="24"/>
        </w:rPr>
      </w:pPr>
      <w:r>
        <w:rPr>
          <w:rFonts w:hint="eastAsia" w:ascii="宋体" w:hAnsi="宋体"/>
          <w:b/>
          <w:sz w:val="24"/>
        </w:rPr>
        <w:t>5．组织现场考察或者召开答疑会</w:t>
      </w:r>
    </w:p>
    <w:p w14:paraId="39F36B17">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rPr>
        <w:t>5.1采购人、采购代理机构可以在</w:t>
      </w:r>
      <w:r>
        <w:rPr>
          <w:rFonts w:hint="eastAsia" w:ascii="宋体" w:hAnsi="宋体"/>
          <w:b/>
          <w:szCs w:val="21"/>
        </w:rPr>
        <w:t>【投标须知前附表】</w:t>
      </w:r>
      <w:r>
        <w:rPr>
          <w:rFonts w:hint="eastAsia" w:ascii="宋体" w:hAnsi="宋体"/>
          <w:szCs w:val="21"/>
        </w:rPr>
        <w:t>规定的招标文件提供期限截止后，组织已获取招标文件的潜在投标人现场考察或者召开开标前答疑会。</w:t>
      </w:r>
    </w:p>
    <w:p w14:paraId="3E1B5A8C">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5.2获取招标文件的潜在投标人应按</w:t>
      </w:r>
      <w:r>
        <w:rPr>
          <w:rFonts w:hint="eastAsia" w:ascii="宋体" w:hAnsi="宋体"/>
          <w:b/>
          <w:szCs w:val="21"/>
        </w:rPr>
        <w:t>【投标须知前附表】</w:t>
      </w:r>
      <w:r>
        <w:rPr>
          <w:rFonts w:hint="eastAsia" w:ascii="宋体" w:hAnsi="宋体"/>
          <w:szCs w:val="21"/>
        </w:rPr>
        <w:t>规定参加现场考察或者答疑会；如不参加，其风险由其自行承担。</w:t>
      </w:r>
    </w:p>
    <w:p w14:paraId="6AFC8EEE">
      <w:pPr>
        <w:adjustRightInd w:val="0"/>
        <w:snapToGrid w:val="0"/>
        <w:spacing w:before="156" w:beforeLines="50" w:line="360" w:lineRule="auto"/>
        <w:ind w:firstLine="420" w:firstLineChars="200"/>
        <w:jc w:val="left"/>
        <w:rPr>
          <w:rFonts w:hint="eastAsia" w:ascii="宋体" w:hAnsi="宋体"/>
        </w:rPr>
      </w:pPr>
      <w:r>
        <w:rPr>
          <w:rFonts w:hint="eastAsia" w:ascii="宋体" w:hAnsi="宋体"/>
        </w:rPr>
        <w:t>5.3潜在投标人现场考察或者参加答疑会的费用由自己承担，现场考察期间所发生的人身伤害及财产损失由自己负责。</w:t>
      </w:r>
    </w:p>
    <w:p w14:paraId="64CA6B2C">
      <w:pPr>
        <w:adjustRightInd w:val="0"/>
        <w:snapToGrid w:val="0"/>
        <w:spacing w:before="156" w:beforeLines="50" w:line="360" w:lineRule="auto"/>
        <w:ind w:firstLine="420" w:firstLineChars="200"/>
        <w:jc w:val="left"/>
        <w:rPr>
          <w:rFonts w:hint="eastAsia" w:ascii="宋体" w:hAnsi="宋体"/>
        </w:rPr>
      </w:pPr>
      <w:r>
        <w:rPr>
          <w:rFonts w:hint="eastAsia" w:ascii="宋体" w:hAnsi="宋体"/>
        </w:rPr>
        <w:t>5.4采购人、采购代理机构不对投标人据此而做出的推论、理解和结论负责。投标人一旦中标，不得以任何借口，提出额外补偿，或延长合同期限的要求。</w:t>
      </w:r>
    </w:p>
    <w:p w14:paraId="2EEC8078">
      <w:pPr>
        <w:pStyle w:val="4"/>
        <w:adjustRightInd w:val="0"/>
        <w:snapToGrid w:val="0"/>
        <w:spacing w:before="156" w:beforeLines="50" w:after="0" w:line="360" w:lineRule="auto"/>
        <w:jc w:val="center"/>
        <w:rPr>
          <w:rFonts w:hint="eastAsia" w:ascii="黑体" w:hAnsi="黑体" w:eastAsia="黑体"/>
          <w:sz w:val="28"/>
          <w:szCs w:val="28"/>
        </w:rPr>
      </w:pPr>
      <w:bookmarkStart w:id="18" w:name="_Toc15644"/>
      <w:r>
        <w:rPr>
          <w:rFonts w:hint="eastAsia" w:ascii="黑体" w:hAnsi="黑体" w:eastAsia="黑体"/>
          <w:sz w:val="28"/>
          <w:szCs w:val="28"/>
        </w:rPr>
        <w:t>二、招标文件</w:t>
      </w:r>
      <w:bookmarkEnd w:id="18"/>
    </w:p>
    <w:p w14:paraId="2C05FBDE">
      <w:pPr>
        <w:adjustRightInd w:val="0"/>
        <w:snapToGrid w:val="0"/>
        <w:spacing w:before="156" w:beforeLines="50" w:line="360" w:lineRule="auto"/>
        <w:jc w:val="left"/>
        <w:rPr>
          <w:rFonts w:hint="eastAsia" w:ascii="宋体" w:hAnsi="宋体"/>
          <w:b/>
          <w:bCs/>
          <w:sz w:val="24"/>
        </w:rPr>
      </w:pPr>
      <w:r>
        <w:rPr>
          <w:rFonts w:hint="eastAsia" w:ascii="宋体" w:hAnsi="宋体"/>
          <w:b/>
          <w:bCs/>
          <w:sz w:val="24"/>
        </w:rPr>
        <w:t>6. 招标文件的构成</w:t>
      </w:r>
    </w:p>
    <w:p w14:paraId="773D74BF">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6.1 招标文件共七章，各章内容如下：</w:t>
      </w:r>
    </w:p>
    <w:p w14:paraId="26FCE5BD">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第一章 投标邀请</w:t>
      </w:r>
    </w:p>
    <w:p w14:paraId="24C5EE8C">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第二章 投标须知</w:t>
      </w:r>
    </w:p>
    <w:p w14:paraId="002C6B22">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第三章 资格审查</w:t>
      </w:r>
    </w:p>
    <w:p w14:paraId="2BFDAC3C">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第四章 评标方法及标准</w:t>
      </w:r>
    </w:p>
    <w:p w14:paraId="79FBD9E8">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第五章 采购需求</w:t>
      </w:r>
    </w:p>
    <w:p w14:paraId="48EEBBE2">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第六章 政府采购合同</w:t>
      </w:r>
    </w:p>
    <w:p w14:paraId="3F8164E0">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第七章 投标文件的组成</w:t>
      </w:r>
    </w:p>
    <w:p w14:paraId="7EF7FAD9">
      <w:pPr>
        <w:adjustRightInd w:val="0"/>
        <w:snapToGrid w:val="0"/>
        <w:spacing w:before="156" w:beforeLines="50" w:line="360" w:lineRule="auto"/>
        <w:ind w:firstLine="420" w:firstLineChars="200"/>
        <w:jc w:val="left"/>
        <w:rPr>
          <w:rFonts w:hint="eastAsia" w:ascii="宋体" w:hAnsi="宋体" w:cs="宋体"/>
          <w:b/>
          <w:szCs w:val="21"/>
        </w:rPr>
      </w:pPr>
      <w:r>
        <w:rPr>
          <w:rFonts w:hint="eastAsia" w:ascii="宋体" w:hAnsi="宋体"/>
          <w:szCs w:val="21"/>
        </w:rPr>
        <w:t>6.2采购人、采购代理机构在提交投标文件截止时间前</w:t>
      </w:r>
      <w:r>
        <w:rPr>
          <w:rFonts w:hint="eastAsia" w:ascii="宋体" w:hAnsi="宋体" w:cs="宋体"/>
          <w:szCs w:val="21"/>
        </w:rPr>
        <w:t>对招标文件所作的澄清或者修改，构成招标文件的组成部分。</w:t>
      </w:r>
    </w:p>
    <w:p w14:paraId="2B0412C7">
      <w:pPr>
        <w:adjustRightInd w:val="0"/>
        <w:snapToGrid w:val="0"/>
        <w:spacing w:before="156" w:beforeLines="50" w:line="360" w:lineRule="auto"/>
        <w:jc w:val="left"/>
        <w:rPr>
          <w:rFonts w:hint="eastAsia" w:ascii="宋体" w:hAnsi="宋体"/>
          <w:b/>
          <w:sz w:val="24"/>
        </w:rPr>
      </w:pPr>
      <w:r>
        <w:rPr>
          <w:rFonts w:hint="eastAsia" w:ascii="宋体" w:hAnsi="宋体"/>
          <w:b/>
          <w:sz w:val="24"/>
        </w:rPr>
        <w:t>7．偏离与实质性响应</w:t>
      </w:r>
    </w:p>
    <w:p w14:paraId="03ACA856">
      <w:pPr>
        <w:adjustRightInd w:val="0"/>
        <w:snapToGrid w:val="0"/>
        <w:spacing w:before="156" w:beforeLines="50" w:line="360" w:lineRule="auto"/>
        <w:ind w:firstLine="420" w:firstLineChars="200"/>
        <w:rPr>
          <w:rFonts w:hint="eastAsia" w:ascii="宋体" w:hAnsi="宋体"/>
        </w:rPr>
      </w:pPr>
      <w:r>
        <w:rPr>
          <w:rFonts w:hint="eastAsia" w:ascii="宋体" w:hAnsi="宋体"/>
        </w:rPr>
        <w:t>7.1投标人应当按照招标文件的要求编制投标文件。投标文件应当对招标文件提出的要求和条件作出明确响应。</w:t>
      </w:r>
    </w:p>
    <w:p w14:paraId="245D1829">
      <w:pPr>
        <w:adjustRightInd w:val="0"/>
        <w:snapToGrid w:val="0"/>
        <w:spacing w:before="156" w:beforeLines="50" w:line="360" w:lineRule="auto"/>
        <w:ind w:firstLine="420" w:firstLineChars="200"/>
        <w:rPr>
          <w:rFonts w:hint="eastAsia" w:ascii="宋体" w:hAnsi="宋体"/>
        </w:rPr>
      </w:pPr>
      <w:r>
        <w:rPr>
          <w:rFonts w:hint="eastAsia" w:ascii="宋体" w:hAnsi="宋体"/>
        </w:rPr>
        <w:t>7.2偏离是指投标文件不响应或者不满足招标文件提出的要求和条件，分为实质性偏离和非实质性偏离。</w:t>
      </w:r>
    </w:p>
    <w:p w14:paraId="7A360DA4">
      <w:pPr>
        <w:adjustRightInd w:val="0"/>
        <w:snapToGrid w:val="0"/>
        <w:spacing w:before="156" w:beforeLines="50" w:line="360" w:lineRule="auto"/>
        <w:ind w:firstLine="420" w:firstLineChars="200"/>
        <w:rPr>
          <w:rFonts w:hint="eastAsia" w:ascii="宋体" w:hAnsi="宋体"/>
        </w:rPr>
      </w:pPr>
      <w:r>
        <w:rPr>
          <w:rFonts w:hint="eastAsia" w:ascii="宋体" w:hAnsi="宋体"/>
        </w:rPr>
        <w:t>7.3除法律、法规和招标文件规定的其他投标无效情形外，招标文件中用“★”符号标明的条款为实质性要求和条件，对其中任何一条的偏离，为实质性偏离，</w:t>
      </w:r>
      <w:r>
        <w:rPr>
          <w:rFonts w:hint="eastAsia" w:ascii="宋体" w:hAnsi="宋体"/>
          <w:b/>
        </w:rPr>
        <w:t>其投标无效</w:t>
      </w:r>
      <w:r>
        <w:rPr>
          <w:rFonts w:hint="eastAsia" w:ascii="宋体" w:hAnsi="宋体"/>
        </w:rPr>
        <w:t>。</w:t>
      </w:r>
    </w:p>
    <w:p w14:paraId="144A8913">
      <w:pPr>
        <w:adjustRightInd w:val="0"/>
        <w:snapToGrid w:val="0"/>
        <w:spacing w:before="156" w:beforeLines="50" w:line="360" w:lineRule="auto"/>
        <w:ind w:firstLine="420" w:firstLineChars="200"/>
        <w:jc w:val="left"/>
        <w:rPr>
          <w:rFonts w:hint="eastAsia" w:ascii="宋体" w:hAnsi="宋体"/>
        </w:rPr>
      </w:pPr>
      <w:r>
        <w:rPr>
          <w:rFonts w:hint="eastAsia" w:ascii="宋体" w:hAnsi="宋体"/>
        </w:rPr>
        <w:t>7.4投标</w:t>
      </w:r>
      <w:r>
        <w:rPr>
          <w:rFonts w:hint="eastAsia" w:ascii="宋体" w:hAnsi="宋体"/>
          <w:szCs w:val="21"/>
        </w:rPr>
        <w:t>文件偏离招标文件的非实质性要求和条件，为非实质性偏离。非实质性偏离的范围：除法律、法规和规章规定外，招标文件中未用“拒绝 ”、“不接受 ”、“无效 ”、“不得 ”等文件规定或未标注（★）符号的条款。非实质性偏离的范围和幅度应当符合</w:t>
      </w:r>
      <w:r>
        <w:rPr>
          <w:rFonts w:hint="eastAsia" w:ascii="宋体" w:hAnsi="宋体"/>
          <w:b/>
          <w:szCs w:val="21"/>
        </w:rPr>
        <w:t>【投标须知前附表】</w:t>
      </w:r>
      <w:r>
        <w:rPr>
          <w:rFonts w:hint="eastAsia" w:ascii="宋体" w:hAnsi="宋体"/>
          <w:szCs w:val="21"/>
        </w:rPr>
        <w:t>的规定，</w:t>
      </w:r>
      <w:r>
        <w:rPr>
          <w:rFonts w:hint="eastAsia" w:ascii="宋体" w:hAnsi="宋体"/>
          <w:b/>
          <w:szCs w:val="21"/>
        </w:rPr>
        <w:t>否</w:t>
      </w:r>
      <w:r>
        <w:rPr>
          <w:rFonts w:hint="eastAsia" w:ascii="宋体" w:hAnsi="宋体"/>
          <w:b/>
        </w:rPr>
        <w:t>则投标无效</w:t>
      </w:r>
      <w:r>
        <w:rPr>
          <w:rFonts w:hint="eastAsia" w:ascii="宋体" w:hAnsi="宋体"/>
        </w:rPr>
        <w:t>。</w:t>
      </w:r>
    </w:p>
    <w:p w14:paraId="283B72E9">
      <w:pPr>
        <w:adjustRightInd w:val="0"/>
        <w:snapToGrid w:val="0"/>
        <w:spacing w:before="156" w:beforeLines="50" w:line="360" w:lineRule="auto"/>
        <w:jc w:val="left"/>
        <w:rPr>
          <w:rFonts w:hint="eastAsia" w:ascii="宋体" w:hAnsi="宋体"/>
          <w:b/>
          <w:bCs/>
          <w:sz w:val="24"/>
        </w:rPr>
      </w:pPr>
      <w:r>
        <w:rPr>
          <w:rFonts w:hint="eastAsia" w:ascii="宋体" w:hAnsi="宋体"/>
          <w:b/>
          <w:sz w:val="24"/>
        </w:rPr>
        <w:t>8. 询问</w:t>
      </w:r>
    </w:p>
    <w:p w14:paraId="50031215">
      <w:pPr>
        <w:adjustRightInd w:val="0"/>
        <w:snapToGrid w:val="0"/>
        <w:spacing w:before="156" w:beforeLines="50" w:line="360" w:lineRule="auto"/>
        <w:ind w:firstLine="420" w:firstLineChars="200"/>
        <w:jc w:val="left"/>
        <w:rPr>
          <w:rFonts w:hint="eastAsia" w:ascii="宋体" w:hAnsi="宋体"/>
        </w:rPr>
      </w:pPr>
      <w:r>
        <w:rPr>
          <w:rFonts w:hint="eastAsia" w:ascii="宋体" w:hAnsi="宋体"/>
        </w:rPr>
        <w:t>8.1潜在投标人应仔细阅读和检查招标文件的全部内容。如有疑问，可以向采购人或者采购代理机构提出询问。</w:t>
      </w:r>
    </w:p>
    <w:p w14:paraId="18297037">
      <w:pPr>
        <w:adjustRightInd w:val="0"/>
        <w:snapToGrid w:val="0"/>
        <w:spacing w:before="156" w:beforeLines="50" w:line="360" w:lineRule="auto"/>
        <w:jc w:val="left"/>
        <w:rPr>
          <w:rFonts w:hint="eastAsia" w:ascii="宋体" w:hAnsi="宋体"/>
          <w:b/>
          <w:bCs/>
          <w:sz w:val="24"/>
        </w:rPr>
      </w:pPr>
      <w:r>
        <w:rPr>
          <w:rFonts w:hint="eastAsia" w:ascii="宋体" w:hAnsi="宋体"/>
          <w:b/>
          <w:bCs/>
          <w:sz w:val="24"/>
        </w:rPr>
        <w:t>9. 招标文件的澄清或者修改</w:t>
      </w:r>
    </w:p>
    <w:p w14:paraId="147116FE">
      <w:pPr>
        <w:adjustRightInd w:val="0"/>
        <w:snapToGrid w:val="0"/>
        <w:spacing w:before="156" w:beforeLines="50" w:line="360" w:lineRule="auto"/>
        <w:ind w:firstLine="420" w:firstLineChars="200"/>
        <w:jc w:val="left"/>
        <w:rPr>
          <w:rFonts w:hint="eastAsia" w:ascii="宋体" w:hAnsi="宋体"/>
        </w:rPr>
      </w:pPr>
      <w:r>
        <w:rPr>
          <w:rFonts w:hint="eastAsia" w:ascii="宋体" w:hAnsi="宋体"/>
        </w:rPr>
        <w:t>9.1采购人、采购代理机构对已发出的招标文件进行必要澄清或者修改的，将在</w:t>
      </w:r>
      <w:r>
        <w:rPr>
          <w:rFonts w:hint="eastAsia" w:ascii="宋体" w:hAnsi="宋体"/>
          <w:b/>
          <w:szCs w:val="21"/>
        </w:rPr>
        <w:t>【投标须知前附表】</w:t>
      </w:r>
      <w:r>
        <w:rPr>
          <w:rFonts w:hint="eastAsia" w:ascii="宋体" w:hAnsi="宋体"/>
          <w:szCs w:val="21"/>
        </w:rPr>
        <w:t>规定的</w:t>
      </w:r>
      <w:r>
        <w:rPr>
          <w:rFonts w:hint="eastAsia" w:ascii="宋体" w:hAnsi="宋体"/>
        </w:rPr>
        <w:t>招标公告指定媒体上发布澄清或者修改公告。</w:t>
      </w:r>
    </w:p>
    <w:p w14:paraId="7B0E833D">
      <w:pPr>
        <w:adjustRightInd w:val="0"/>
        <w:snapToGrid w:val="0"/>
        <w:spacing w:before="156" w:beforeLines="50" w:line="360" w:lineRule="auto"/>
        <w:ind w:firstLine="420" w:firstLineChars="200"/>
        <w:jc w:val="left"/>
        <w:rPr>
          <w:rFonts w:hint="eastAsia" w:ascii="宋体" w:hAnsi="宋体"/>
        </w:rPr>
      </w:pPr>
      <w:r>
        <w:rPr>
          <w:rFonts w:hint="eastAsia" w:ascii="宋体" w:hAnsi="宋体" w:cs="宋体"/>
          <w:kern w:val="0"/>
          <w:szCs w:val="21"/>
        </w:rPr>
        <w:t>9.2澄清或者修改</w:t>
      </w:r>
      <w:r>
        <w:rPr>
          <w:rFonts w:hint="eastAsia" w:ascii="宋体" w:hAnsi="宋体"/>
        </w:rPr>
        <w:t>的</w:t>
      </w:r>
      <w:r>
        <w:rPr>
          <w:rFonts w:hint="eastAsia" w:ascii="宋体" w:hAnsi="宋体" w:cs="宋体"/>
          <w:kern w:val="0"/>
          <w:szCs w:val="21"/>
        </w:rPr>
        <w:t>内容可能影响投标文件编制的，采购人、采购代理机构</w:t>
      </w:r>
      <w:r>
        <w:rPr>
          <w:rFonts w:hint="eastAsia" w:ascii="宋体" w:hAnsi="宋体"/>
        </w:rPr>
        <w:t>将</w:t>
      </w:r>
      <w:r>
        <w:rPr>
          <w:rFonts w:hint="eastAsia" w:ascii="宋体" w:hAnsi="宋体" w:cs="宋体"/>
          <w:kern w:val="0"/>
          <w:szCs w:val="21"/>
        </w:rPr>
        <w:t>在提交投标文件截止时间15日前，</w:t>
      </w:r>
      <w:r>
        <w:rPr>
          <w:rFonts w:hint="eastAsia" w:ascii="宋体" w:hAnsi="宋体"/>
        </w:rPr>
        <w:t>以书面形式通知所有获取招标文件的潜在投标人；不足15日的，将相应延长提交投标文件的截止时间。</w:t>
      </w:r>
    </w:p>
    <w:p w14:paraId="6D0BC21C">
      <w:pPr>
        <w:adjustRightInd w:val="0"/>
        <w:snapToGrid w:val="0"/>
        <w:spacing w:before="156" w:beforeLines="50" w:line="360" w:lineRule="auto"/>
        <w:ind w:firstLine="420" w:firstLineChars="200"/>
        <w:jc w:val="left"/>
        <w:rPr>
          <w:rFonts w:hint="eastAsia" w:ascii="宋体" w:hAnsi="宋体"/>
        </w:rPr>
      </w:pPr>
      <w:r>
        <w:rPr>
          <w:rFonts w:hint="eastAsia" w:ascii="宋体" w:hAnsi="宋体"/>
        </w:rPr>
        <w:t>9</w:t>
      </w:r>
      <w:r>
        <w:rPr>
          <w:rFonts w:ascii="宋体" w:hAnsi="宋体"/>
        </w:rPr>
        <w:t>.3</w:t>
      </w:r>
      <w:r>
        <w:rPr>
          <w:rFonts w:hint="eastAsia" w:ascii="宋体" w:hAnsi="宋体"/>
        </w:rPr>
        <w:t>招标文件的提供期限届满后，获取招标文件的潜在投标人不足3家的，可以顺延提供期限，并在指定媒体上发布修改公告。</w:t>
      </w:r>
    </w:p>
    <w:p w14:paraId="12DD1E96">
      <w:pPr>
        <w:adjustRightInd w:val="0"/>
        <w:snapToGrid w:val="0"/>
        <w:spacing w:before="156" w:beforeLines="50" w:line="360" w:lineRule="auto"/>
        <w:ind w:firstLine="420" w:firstLineChars="200"/>
        <w:jc w:val="left"/>
        <w:rPr>
          <w:rFonts w:hint="eastAsia" w:ascii="宋体" w:hAnsi="宋体"/>
        </w:rPr>
      </w:pPr>
      <w:r>
        <w:rPr>
          <w:rFonts w:hint="eastAsia" w:ascii="宋体" w:hAnsi="宋体"/>
        </w:rPr>
        <w:t>9.4 通过电子招标投标交易平台下载招标文件的，请获取招标文件的潜在投标人及时关注</w:t>
      </w:r>
      <w:r>
        <w:rPr>
          <w:rFonts w:hint="eastAsia" w:ascii="宋体" w:hAnsi="宋体"/>
          <w:szCs w:val="21"/>
        </w:rPr>
        <w:t>招标公告指定媒体</w:t>
      </w:r>
      <w:r>
        <w:rPr>
          <w:rFonts w:hint="eastAsia" w:ascii="宋体" w:hAnsi="宋体"/>
        </w:rPr>
        <w:t>发布的澄清或者修改公告，采购人、采购代理机构不再书面通知。</w:t>
      </w:r>
    </w:p>
    <w:p w14:paraId="3498C5A8">
      <w:pPr>
        <w:pStyle w:val="4"/>
        <w:adjustRightInd w:val="0"/>
        <w:snapToGrid w:val="0"/>
        <w:spacing w:before="156" w:beforeLines="50" w:after="0" w:line="360" w:lineRule="auto"/>
        <w:jc w:val="center"/>
        <w:rPr>
          <w:rFonts w:hint="eastAsia" w:ascii="黑体" w:hAnsi="黑体" w:eastAsia="黑体"/>
          <w:sz w:val="28"/>
          <w:szCs w:val="28"/>
        </w:rPr>
      </w:pPr>
      <w:bookmarkStart w:id="19" w:name="_Toc5052"/>
      <w:r>
        <w:rPr>
          <w:rFonts w:hint="eastAsia" w:ascii="黑体" w:hAnsi="黑体" w:eastAsia="黑体"/>
          <w:sz w:val="28"/>
          <w:szCs w:val="28"/>
        </w:rPr>
        <w:t>三、投标文件</w:t>
      </w:r>
      <w:bookmarkEnd w:id="19"/>
    </w:p>
    <w:p w14:paraId="3D7E20B5">
      <w:pPr>
        <w:adjustRightInd w:val="0"/>
        <w:snapToGrid w:val="0"/>
        <w:spacing w:before="156" w:beforeLines="50" w:line="360" w:lineRule="auto"/>
        <w:jc w:val="left"/>
        <w:rPr>
          <w:rFonts w:hint="eastAsia" w:ascii="宋体" w:hAnsi="宋体"/>
          <w:b/>
          <w:bCs/>
          <w:sz w:val="24"/>
        </w:rPr>
      </w:pPr>
      <w:r>
        <w:rPr>
          <w:rFonts w:hint="eastAsia" w:ascii="宋体" w:hAnsi="宋体"/>
          <w:b/>
          <w:bCs/>
          <w:sz w:val="24"/>
        </w:rPr>
        <w:t>10. 投标语言</w:t>
      </w:r>
    </w:p>
    <w:p w14:paraId="1D98BCF0">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10.1除专用术语外，投标人提交的投标文件及投标人与采购人、采购代理机构就有关投标的所有来往函电均使用中文。投标人可以提交其它语言的资料，但应附有中文注释，有差异时以中文为准。</w:t>
      </w:r>
    </w:p>
    <w:p w14:paraId="12005A0C">
      <w:pPr>
        <w:adjustRightInd w:val="0"/>
        <w:snapToGrid w:val="0"/>
        <w:spacing w:before="156" w:beforeLines="50" w:line="360" w:lineRule="auto"/>
        <w:jc w:val="left"/>
        <w:rPr>
          <w:rFonts w:hint="eastAsia" w:ascii="宋体" w:hAnsi="宋体"/>
          <w:b/>
          <w:sz w:val="24"/>
        </w:rPr>
      </w:pPr>
      <w:r>
        <w:rPr>
          <w:rFonts w:hint="eastAsia" w:ascii="宋体" w:hAnsi="宋体"/>
          <w:b/>
          <w:bCs/>
          <w:sz w:val="24"/>
        </w:rPr>
        <w:t xml:space="preserve">11. </w:t>
      </w:r>
      <w:r>
        <w:rPr>
          <w:rFonts w:hint="eastAsia" w:ascii="宋体" w:hAnsi="宋体"/>
          <w:b/>
          <w:sz w:val="24"/>
        </w:rPr>
        <w:t>计量单位</w:t>
      </w:r>
    </w:p>
    <w:p w14:paraId="55DBAC0D">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11.1所有计量均采用中华人民共和国法定计量单位。</w:t>
      </w:r>
    </w:p>
    <w:p w14:paraId="4D7EC3DE">
      <w:pPr>
        <w:adjustRightInd w:val="0"/>
        <w:snapToGrid w:val="0"/>
        <w:spacing w:before="156" w:beforeLines="50" w:line="360" w:lineRule="auto"/>
        <w:jc w:val="left"/>
        <w:rPr>
          <w:rFonts w:hint="eastAsia" w:ascii="宋体" w:hAnsi="宋体"/>
          <w:b/>
          <w:bCs/>
          <w:sz w:val="24"/>
        </w:rPr>
      </w:pPr>
      <w:r>
        <w:rPr>
          <w:rFonts w:hint="eastAsia" w:ascii="宋体" w:hAnsi="宋体"/>
          <w:b/>
          <w:sz w:val="24"/>
        </w:rPr>
        <w:t xml:space="preserve">12. </w:t>
      </w:r>
      <w:r>
        <w:rPr>
          <w:rFonts w:hint="eastAsia" w:ascii="宋体" w:hAnsi="宋体"/>
          <w:b/>
          <w:bCs/>
          <w:sz w:val="24"/>
        </w:rPr>
        <w:t>投标文件的组成</w:t>
      </w:r>
    </w:p>
    <w:p w14:paraId="4F207AC2">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12.1投标文件由如下内容组成：</w:t>
      </w:r>
    </w:p>
    <w:p w14:paraId="7C9B0C5A">
      <w:pPr>
        <w:adjustRightInd w:val="0"/>
        <w:snapToGrid w:val="0"/>
        <w:spacing w:before="156" w:beforeLines="50" w:line="360" w:lineRule="auto"/>
        <w:ind w:firstLine="422" w:firstLineChars="200"/>
        <w:jc w:val="left"/>
        <w:rPr>
          <w:rFonts w:hint="eastAsia" w:ascii="宋体" w:hAnsi="宋体"/>
          <w:b/>
          <w:szCs w:val="21"/>
        </w:rPr>
      </w:pPr>
      <w:r>
        <w:rPr>
          <w:rFonts w:hint="eastAsia" w:ascii="宋体" w:hAnsi="宋体"/>
          <w:b/>
          <w:szCs w:val="21"/>
        </w:rPr>
        <w:t>第一部分 资格证明文件</w:t>
      </w:r>
    </w:p>
    <w:p w14:paraId="0762D97E">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（1）开标一览表</w:t>
      </w:r>
    </w:p>
    <w:p w14:paraId="6BD466FC">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（2）投标保</w:t>
      </w:r>
      <w:r>
        <w:rPr>
          <w:rFonts w:hint="eastAsia" w:ascii="宋体" w:hAnsi="宋体"/>
          <w:bCs/>
          <w:szCs w:val="21"/>
        </w:rPr>
        <w:t>证金</w:t>
      </w:r>
    </w:p>
    <w:p w14:paraId="0D65D2E8">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（3）授权委托书</w:t>
      </w:r>
    </w:p>
    <w:p w14:paraId="2D7FD7D6">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（4）投标人提供的资格证明文件</w:t>
      </w:r>
    </w:p>
    <w:p w14:paraId="0F2E524C">
      <w:pPr>
        <w:adjustRightInd w:val="0"/>
        <w:snapToGrid w:val="0"/>
        <w:spacing w:before="156" w:beforeLines="50" w:line="360" w:lineRule="auto"/>
        <w:ind w:firstLine="422" w:firstLineChars="200"/>
        <w:jc w:val="left"/>
        <w:rPr>
          <w:rFonts w:hint="eastAsia" w:ascii="宋体" w:hAnsi="宋体"/>
          <w:b/>
          <w:szCs w:val="21"/>
        </w:rPr>
      </w:pPr>
      <w:r>
        <w:rPr>
          <w:rFonts w:hint="eastAsia" w:ascii="宋体" w:hAnsi="宋体"/>
          <w:b/>
          <w:szCs w:val="21"/>
        </w:rPr>
        <w:t>第二部分 商务和技术文件</w:t>
      </w:r>
    </w:p>
    <w:p w14:paraId="6B03D22D">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（5）投标函</w:t>
      </w:r>
    </w:p>
    <w:p w14:paraId="43330492">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（6）分项报价</w:t>
      </w:r>
    </w:p>
    <w:p w14:paraId="10CB8043">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（7）采购需求响应</w:t>
      </w:r>
    </w:p>
    <w:p w14:paraId="6DA2B046">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（8）合同条款偏离表</w:t>
      </w:r>
    </w:p>
    <w:p w14:paraId="647E4030">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（9）采购需求偏离表</w:t>
      </w:r>
    </w:p>
    <w:p w14:paraId="34D5ABA4">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（10）享受政府采购政策优惠的证明资料</w:t>
      </w:r>
    </w:p>
    <w:p w14:paraId="596DDB94">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（11）投标货物符合招标文件规定的证明文件</w:t>
      </w:r>
    </w:p>
    <w:p w14:paraId="5C03F4F4">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（12）投标人认为需提供的其他资料</w:t>
      </w:r>
    </w:p>
    <w:p w14:paraId="26AF2B9B">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12.2投标人可以编制资格审查索引表、符合性审查索引表、评审索引表，以方便采购人、采购代理机构、评标委员会在资格审查及评审时查阅。</w:t>
      </w:r>
    </w:p>
    <w:p w14:paraId="412658E7">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12.3根据《政府采购法》第四十二条的规定，投标人无论中标与否，其投标文件不予退还。</w:t>
      </w:r>
    </w:p>
    <w:p w14:paraId="7FF963BC">
      <w:pPr>
        <w:adjustRightInd w:val="0"/>
        <w:snapToGrid w:val="0"/>
        <w:spacing w:before="156" w:beforeLines="50" w:line="360" w:lineRule="auto"/>
        <w:jc w:val="left"/>
        <w:rPr>
          <w:rFonts w:hint="eastAsia" w:ascii="宋体" w:hAnsi="宋体"/>
          <w:b/>
          <w:bCs/>
          <w:sz w:val="24"/>
        </w:rPr>
      </w:pPr>
      <w:r>
        <w:rPr>
          <w:rFonts w:hint="eastAsia" w:ascii="宋体" w:hAnsi="宋体"/>
          <w:b/>
          <w:bCs/>
          <w:sz w:val="24"/>
        </w:rPr>
        <w:t>13. 投标报价</w:t>
      </w:r>
    </w:p>
    <w:p w14:paraId="1B7D9A6C">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13.1投标人应以招标文件规定的供货及服务要求、责任范围和合同条件为基础，按第七章“投标文件的组成”的有关规定进行报价。投标人的报价应包括为完成本项目所要求的全部内容可能发生的全部费用和税费、规费、保险费（如果有）等，采购人将不再支付报价以外的任何费用。</w:t>
      </w:r>
    </w:p>
    <w:p w14:paraId="1F1B05A1">
      <w:pPr>
        <w:adjustRightInd w:val="0"/>
        <w:snapToGrid w:val="0"/>
        <w:spacing w:before="156" w:beforeLines="50" w:line="360" w:lineRule="auto"/>
        <w:ind w:firstLine="420" w:firstLineChars="200"/>
        <w:jc w:val="left"/>
        <w:rPr>
          <w:rFonts w:hint="eastAsia" w:ascii="宋体" w:hAnsi="宋体"/>
          <w:szCs w:val="21"/>
        </w:rPr>
      </w:pPr>
      <w:r>
        <w:rPr>
          <w:rFonts w:ascii="宋体" w:hAnsi="宋体"/>
          <w:szCs w:val="21"/>
        </w:rPr>
        <w:t>1</w:t>
      </w:r>
      <w:r>
        <w:rPr>
          <w:rFonts w:hint="eastAsia" w:ascii="宋体" w:hAnsi="宋体"/>
          <w:szCs w:val="21"/>
        </w:rPr>
        <w:t>3</w:t>
      </w:r>
      <w:r>
        <w:rPr>
          <w:rFonts w:ascii="宋体" w:hAnsi="宋体"/>
          <w:szCs w:val="21"/>
        </w:rPr>
        <w:t>.</w:t>
      </w:r>
      <w:r>
        <w:rPr>
          <w:rFonts w:hint="eastAsia" w:ascii="宋体" w:hAnsi="宋体"/>
          <w:szCs w:val="21"/>
        </w:rPr>
        <w:t>2投标人的投标报价不得超过采购项目预算，也不得超过最高限价(如果设定)，否则其</w:t>
      </w:r>
      <w:r>
        <w:rPr>
          <w:rFonts w:hint="eastAsia" w:ascii="宋体" w:hAnsi="宋体"/>
          <w:b/>
          <w:szCs w:val="21"/>
        </w:rPr>
        <w:t>投标无效</w:t>
      </w:r>
      <w:r>
        <w:rPr>
          <w:rFonts w:hint="eastAsia" w:ascii="宋体" w:hAnsi="宋体"/>
          <w:szCs w:val="21"/>
        </w:rPr>
        <w:t>。采购项目预算、最高限价见</w:t>
      </w:r>
      <w:r>
        <w:rPr>
          <w:rFonts w:hint="eastAsia" w:ascii="宋体" w:hAnsi="宋体"/>
          <w:b/>
          <w:szCs w:val="21"/>
        </w:rPr>
        <w:t>【投标须知前附表】</w:t>
      </w:r>
      <w:r>
        <w:rPr>
          <w:rFonts w:hint="eastAsia" w:ascii="宋体" w:hAnsi="宋体"/>
          <w:szCs w:val="21"/>
        </w:rPr>
        <w:t>。</w:t>
      </w:r>
    </w:p>
    <w:p w14:paraId="07BCA583">
      <w:pPr>
        <w:adjustRightInd w:val="0"/>
        <w:snapToGrid w:val="0"/>
        <w:spacing w:before="156" w:beforeLines="50" w:line="360" w:lineRule="auto"/>
        <w:ind w:firstLine="420" w:firstLineChars="200"/>
        <w:jc w:val="left"/>
        <w:rPr>
          <w:rFonts w:hint="eastAsia" w:ascii="宋体" w:hAnsi="宋体"/>
        </w:rPr>
      </w:pPr>
      <w:r>
        <w:rPr>
          <w:rFonts w:hint="eastAsia" w:ascii="宋体" w:hAnsi="宋体"/>
          <w:szCs w:val="21"/>
        </w:rPr>
        <w:t>13.3 投标人应在分项报价明细表中对每项内容给予详细分项</w:t>
      </w:r>
      <w:r>
        <w:rPr>
          <w:rFonts w:hint="eastAsia" w:ascii="宋体" w:hAnsi="宋体"/>
        </w:rPr>
        <w:t>报价。</w:t>
      </w:r>
    </w:p>
    <w:p w14:paraId="53B4ECFA">
      <w:pPr>
        <w:adjustRightInd w:val="0"/>
        <w:snapToGrid w:val="0"/>
        <w:spacing w:before="156" w:beforeLines="50" w:line="360" w:lineRule="auto"/>
        <w:ind w:firstLine="420" w:firstLineChars="200"/>
        <w:jc w:val="left"/>
        <w:rPr>
          <w:rFonts w:hint="eastAsia" w:ascii="宋体" w:hAnsi="宋体"/>
        </w:rPr>
      </w:pPr>
      <w:r>
        <w:rPr>
          <w:rFonts w:hint="eastAsia" w:ascii="宋体" w:hAnsi="宋体"/>
        </w:rPr>
        <w:t>13.4投标人对采购项目内容只允许有一个投标报价，否则其</w:t>
      </w:r>
      <w:r>
        <w:rPr>
          <w:rFonts w:hint="eastAsia" w:ascii="宋体" w:hAnsi="宋体"/>
          <w:b/>
        </w:rPr>
        <w:t>投标无效</w:t>
      </w:r>
      <w:r>
        <w:rPr>
          <w:rFonts w:hint="eastAsia" w:ascii="宋体" w:hAnsi="宋体"/>
        </w:rPr>
        <w:t>。</w:t>
      </w:r>
    </w:p>
    <w:p w14:paraId="7850BECA">
      <w:pPr>
        <w:adjustRightInd w:val="0"/>
        <w:snapToGrid w:val="0"/>
        <w:spacing w:before="156" w:beforeLines="50" w:line="360" w:lineRule="auto"/>
        <w:ind w:firstLine="420" w:firstLineChars="200"/>
        <w:jc w:val="left"/>
        <w:rPr>
          <w:rFonts w:hint="eastAsia" w:ascii="宋体" w:hAnsi="宋体"/>
        </w:rPr>
      </w:pPr>
      <w:r>
        <w:rPr>
          <w:rFonts w:hint="eastAsia" w:ascii="宋体" w:hAnsi="宋体"/>
        </w:rPr>
        <w:t>13.5采购人不接受投标人给予的赠品、回扣或者与采购无关的其他商品、服务。如有赠与行为，其</w:t>
      </w:r>
      <w:r>
        <w:rPr>
          <w:rFonts w:hint="eastAsia" w:ascii="宋体" w:hAnsi="宋体"/>
          <w:b/>
        </w:rPr>
        <w:t>投标无效</w:t>
      </w:r>
      <w:r>
        <w:rPr>
          <w:rFonts w:hint="eastAsia" w:ascii="宋体" w:hAnsi="宋体"/>
        </w:rPr>
        <w:t>。</w:t>
      </w:r>
    </w:p>
    <w:p w14:paraId="45E4AE11">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13.6采用固定价格定价方式的采购项目，</w:t>
      </w:r>
      <w:r>
        <w:rPr>
          <w:rFonts w:hint="eastAsia" w:ascii="宋体" w:hAnsi="宋体"/>
        </w:rPr>
        <w:t>投标文件中标明的价格在合同执行过程中是固定不变的，不得以任何理由予以变更。任何包含价格调整要求和条件的投标，其</w:t>
      </w:r>
      <w:r>
        <w:rPr>
          <w:rFonts w:hint="eastAsia" w:ascii="宋体" w:hAnsi="宋体"/>
          <w:b/>
        </w:rPr>
        <w:t>投标无效</w:t>
      </w:r>
      <w:r>
        <w:rPr>
          <w:rFonts w:hint="eastAsia" w:ascii="宋体" w:hAnsi="宋体"/>
        </w:rPr>
        <w:t>。</w:t>
      </w:r>
    </w:p>
    <w:p w14:paraId="5553CBB4">
      <w:pPr>
        <w:adjustRightInd w:val="0"/>
        <w:snapToGrid w:val="0"/>
        <w:spacing w:before="156" w:beforeLines="50" w:line="360" w:lineRule="auto"/>
        <w:ind w:firstLine="420" w:firstLineChars="200"/>
        <w:jc w:val="left"/>
        <w:rPr>
          <w:rFonts w:hint="eastAsia" w:ascii="宋体" w:hAnsi="宋体"/>
        </w:rPr>
      </w:pPr>
      <w:r>
        <w:rPr>
          <w:rFonts w:hint="eastAsia" w:ascii="宋体" w:hAnsi="宋体"/>
        </w:rPr>
        <w:t>13.7投标人在投标截止时间前修改“开标一览表”中的投标报价的，应同时修改投标文件“分项报价明细表”“享受政府采购政策优惠的证明资料”以及“联合体协议书”（如果影响）等相关内容。此修改须符合本章第22.1款的有关要求。</w:t>
      </w:r>
    </w:p>
    <w:p w14:paraId="7B19AC9E">
      <w:pPr>
        <w:adjustRightInd w:val="0"/>
        <w:snapToGrid w:val="0"/>
        <w:spacing w:before="156" w:beforeLines="50" w:line="360" w:lineRule="auto"/>
        <w:ind w:firstLine="420" w:firstLineChars="200"/>
        <w:jc w:val="left"/>
        <w:rPr>
          <w:rFonts w:hint="eastAsia" w:ascii="宋体" w:hAnsi="宋体"/>
        </w:rPr>
      </w:pPr>
      <w:r>
        <w:rPr>
          <w:rFonts w:hint="eastAsia" w:ascii="宋体" w:hAnsi="宋体"/>
        </w:rPr>
        <w:t>13.8投标报价的其他要求见</w:t>
      </w:r>
      <w:r>
        <w:rPr>
          <w:rFonts w:hint="eastAsia" w:ascii="宋体" w:hAnsi="宋体"/>
          <w:b/>
          <w:szCs w:val="21"/>
        </w:rPr>
        <w:t>【投标须知前附表】</w:t>
      </w:r>
      <w:r>
        <w:rPr>
          <w:rFonts w:hint="eastAsia" w:ascii="宋体" w:hAnsi="宋体"/>
        </w:rPr>
        <w:t xml:space="preserve">。 </w:t>
      </w:r>
    </w:p>
    <w:p w14:paraId="6AADA962">
      <w:pPr>
        <w:adjustRightInd w:val="0"/>
        <w:snapToGrid w:val="0"/>
        <w:spacing w:before="156" w:beforeLines="50" w:line="360" w:lineRule="auto"/>
        <w:jc w:val="left"/>
        <w:rPr>
          <w:rFonts w:hint="eastAsia" w:ascii="宋体" w:hAnsi="宋体"/>
          <w:b/>
          <w:bCs/>
          <w:sz w:val="24"/>
        </w:rPr>
      </w:pPr>
      <w:r>
        <w:rPr>
          <w:rFonts w:hint="eastAsia" w:ascii="宋体" w:hAnsi="宋体"/>
          <w:b/>
          <w:sz w:val="24"/>
        </w:rPr>
        <w:t xml:space="preserve">14. </w:t>
      </w:r>
      <w:r>
        <w:rPr>
          <w:rFonts w:hint="eastAsia" w:ascii="宋体" w:hAnsi="宋体"/>
          <w:b/>
          <w:bCs/>
          <w:sz w:val="24"/>
        </w:rPr>
        <w:t>投标人的资格证明文件（未进行资格预审的）</w:t>
      </w:r>
    </w:p>
    <w:p w14:paraId="2D8CF3B9">
      <w:pPr>
        <w:adjustRightInd w:val="0"/>
        <w:snapToGrid w:val="0"/>
        <w:spacing w:before="156" w:beforeLines="50" w:line="360" w:lineRule="auto"/>
        <w:ind w:firstLine="420" w:firstLineChars="200"/>
        <w:rPr>
          <w:rFonts w:hint="eastAsia" w:ascii="宋体" w:hAnsi="宋体"/>
        </w:rPr>
      </w:pPr>
      <w:r>
        <w:rPr>
          <w:rFonts w:hint="eastAsia" w:ascii="宋体" w:hAnsi="宋体"/>
        </w:rPr>
        <w:t>14.1</w:t>
      </w:r>
      <w:r>
        <w:rPr>
          <w:rFonts w:hint="eastAsia" w:ascii="宋体" w:hAnsi="宋体"/>
          <w:szCs w:val="21"/>
        </w:rPr>
        <w:t>除</w:t>
      </w:r>
      <w:r>
        <w:rPr>
          <w:rFonts w:hint="eastAsia" w:ascii="宋体" w:hAnsi="宋体"/>
          <w:b/>
          <w:szCs w:val="21"/>
        </w:rPr>
        <w:t>【投标须知前附表】</w:t>
      </w:r>
      <w:r>
        <w:rPr>
          <w:rFonts w:hint="eastAsia" w:ascii="宋体" w:hAnsi="宋体"/>
          <w:szCs w:val="21"/>
        </w:rPr>
        <w:t>另有规</w:t>
      </w:r>
      <w:r>
        <w:rPr>
          <w:rFonts w:hint="eastAsia" w:ascii="宋体" w:hAnsi="宋体"/>
        </w:rPr>
        <w:t>定外，投标人应按下列规定提供资格证明文件。</w:t>
      </w:r>
    </w:p>
    <w:p w14:paraId="21C257BA">
      <w:pPr>
        <w:adjustRightInd w:val="0"/>
        <w:snapToGrid w:val="0"/>
        <w:spacing w:before="156" w:beforeLines="50" w:line="360" w:lineRule="auto"/>
        <w:ind w:firstLine="420" w:firstLineChars="200"/>
        <w:rPr>
          <w:rFonts w:hint="eastAsia" w:ascii="宋体" w:hAnsi="宋体"/>
        </w:rPr>
      </w:pPr>
      <w:r>
        <w:rPr>
          <w:rFonts w:hint="eastAsia" w:ascii="宋体" w:hAnsi="宋体"/>
        </w:rPr>
        <w:t>（1）</w:t>
      </w:r>
      <w:r>
        <w:rPr>
          <w:rFonts w:hint="eastAsia" w:ascii="宋体" w:hAnsi="宋体"/>
          <w:b/>
        </w:rPr>
        <w:t>法人或者其他组织的营业执照等主体资格证明文件，自然人的身份证明</w:t>
      </w:r>
      <w:r>
        <w:rPr>
          <w:rFonts w:hint="eastAsia" w:ascii="宋体" w:hAnsi="宋体"/>
        </w:rPr>
        <w:t>：投标人为法人的，应提交营业执照或法人登记证书的复印件；投标人为非法人组织的，应提交依法登记证书复印件；投标人为个体工商户的，应提交个体工商户营业执照复印件；投标人为自然人的，应提交自然人的身份证明复印件。</w:t>
      </w:r>
    </w:p>
    <w:p w14:paraId="7C0582BA">
      <w:pPr>
        <w:adjustRightInd w:val="0"/>
        <w:snapToGrid w:val="0"/>
        <w:spacing w:before="156" w:beforeLines="50" w:line="360" w:lineRule="auto"/>
        <w:ind w:firstLine="422" w:firstLineChars="200"/>
        <w:rPr>
          <w:rFonts w:hint="eastAsia" w:ascii="宋体" w:hAnsi="宋体"/>
          <w:b/>
        </w:rPr>
      </w:pPr>
      <w:r>
        <w:rPr>
          <w:rFonts w:hint="eastAsia" w:ascii="宋体" w:hAnsi="宋体"/>
          <w:b/>
        </w:rPr>
        <w:t>（2）湖南省政府采购供应商资格承诺函(格式)</w:t>
      </w:r>
    </w:p>
    <w:p w14:paraId="13BBA45C">
      <w:pPr>
        <w:adjustRightInd w:val="0"/>
        <w:snapToGrid w:val="0"/>
        <w:spacing w:before="156" w:beforeLines="50" w:line="360" w:lineRule="auto"/>
        <w:ind w:firstLine="422" w:firstLineChars="200"/>
        <w:rPr>
          <w:rFonts w:hint="eastAsia" w:ascii="宋体" w:hAnsi="宋体"/>
          <w:b/>
        </w:rPr>
      </w:pPr>
      <w:r>
        <w:rPr>
          <w:rFonts w:hint="eastAsia" w:ascii="宋体" w:hAnsi="宋体"/>
          <w:b/>
        </w:rPr>
        <w:t>（3）符合特定资格条件证明材料或者情况说明。</w:t>
      </w:r>
    </w:p>
    <w:p w14:paraId="40C8FC8A">
      <w:pPr>
        <w:adjustRightInd w:val="0"/>
        <w:snapToGrid w:val="0"/>
        <w:spacing w:before="156" w:beforeLines="50" w:line="360" w:lineRule="auto"/>
        <w:ind w:firstLine="420" w:firstLineChars="200"/>
        <w:rPr>
          <w:rFonts w:hint="eastAsia" w:ascii="宋体" w:hAnsi="宋体"/>
        </w:rPr>
      </w:pPr>
      <w:r>
        <w:rPr>
          <w:rFonts w:hint="eastAsia" w:ascii="宋体" w:hAnsi="宋体"/>
        </w:rPr>
        <w:t>14.2投标人以联合体形式投标的，除应提交联合协议(格式)外，参加联合体的各方均应提交上款资格证明材料。</w:t>
      </w:r>
    </w:p>
    <w:p w14:paraId="0402EFC1">
      <w:pPr>
        <w:adjustRightInd w:val="0"/>
        <w:snapToGrid w:val="0"/>
        <w:spacing w:before="156" w:beforeLines="50" w:line="360" w:lineRule="auto"/>
        <w:ind w:firstLine="420" w:firstLineChars="200"/>
        <w:rPr>
          <w:rFonts w:hint="eastAsia" w:ascii="宋体" w:hAnsi="宋体"/>
        </w:rPr>
      </w:pPr>
      <w:r>
        <w:rPr>
          <w:rFonts w:hint="eastAsia" w:ascii="宋体" w:hAnsi="宋体"/>
        </w:rPr>
        <w:t>14.3投标人的资格证明文件均应为有效文件并加盖投标人单位章，并按招标文件规定签署。</w:t>
      </w:r>
    </w:p>
    <w:p w14:paraId="315F7CFB">
      <w:pPr>
        <w:adjustRightInd w:val="0"/>
        <w:snapToGrid w:val="0"/>
        <w:spacing w:before="156" w:beforeLines="50" w:line="360" w:lineRule="auto"/>
        <w:jc w:val="left"/>
        <w:rPr>
          <w:rFonts w:hint="eastAsia" w:ascii="宋体" w:hAnsi="宋体"/>
          <w:b/>
          <w:bCs/>
          <w:sz w:val="24"/>
        </w:rPr>
      </w:pPr>
      <w:bookmarkStart w:id="20" w:name="_Toc62206130"/>
      <w:bookmarkStart w:id="21" w:name="_Toc82155360"/>
      <w:bookmarkStart w:id="22" w:name="_Toc38786717"/>
      <w:r>
        <w:rPr>
          <w:rFonts w:hint="eastAsia" w:ascii="宋体" w:hAnsi="宋体"/>
          <w:b/>
          <w:bCs/>
          <w:sz w:val="24"/>
        </w:rPr>
        <w:t>14.供应商的资格证明文件（已进行资格预审的）</w:t>
      </w:r>
      <w:bookmarkEnd w:id="20"/>
      <w:bookmarkEnd w:id="21"/>
      <w:bookmarkEnd w:id="22"/>
    </w:p>
    <w:p w14:paraId="7E5D723A">
      <w:pPr>
        <w:adjustRightInd w:val="0"/>
        <w:snapToGrid w:val="0"/>
        <w:spacing w:before="156" w:beforeLines="50" w:line="360" w:lineRule="auto"/>
        <w:ind w:firstLine="420" w:firstLineChars="200"/>
        <w:jc w:val="left"/>
        <w:rPr>
          <w:rFonts w:hint="eastAsia" w:ascii="宋体" w:hAnsi="宋体"/>
        </w:rPr>
      </w:pPr>
      <w:r>
        <w:rPr>
          <w:rFonts w:hint="eastAsia" w:ascii="宋体" w:hAnsi="宋体"/>
        </w:rPr>
        <w:t>14.1被邀请的供应商在提交投标文件前，其资格条件发生变化，影响或者可能影响资格条件的，应随投标文件提供更新或者补充的资格证明资料，以证实其各项条件仍能继续满足本章第3.1款规定的供应商资格条件要求。</w:t>
      </w:r>
    </w:p>
    <w:p w14:paraId="45C430D6">
      <w:pPr>
        <w:adjustRightInd w:val="0"/>
        <w:snapToGrid w:val="0"/>
        <w:spacing w:before="156" w:beforeLines="50" w:line="360" w:lineRule="auto"/>
        <w:jc w:val="left"/>
        <w:rPr>
          <w:rFonts w:hint="eastAsia" w:ascii="宋体" w:hAnsi="宋体"/>
          <w:b/>
          <w:bCs/>
          <w:sz w:val="24"/>
        </w:rPr>
      </w:pPr>
      <w:r>
        <w:rPr>
          <w:rFonts w:hint="eastAsia" w:ascii="宋体" w:hAnsi="宋体"/>
          <w:b/>
          <w:bCs/>
          <w:sz w:val="24"/>
        </w:rPr>
        <w:t>15. 投标货物及服务符合招标文件规定的证明文件</w:t>
      </w:r>
    </w:p>
    <w:p w14:paraId="76CE46CE">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15.1投标人应当提交其拟供的合同项下货物及其服务符合招标文件规定的证明文件,该证明文件作为投标文件的一部分。</w:t>
      </w:r>
    </w:p>
    <w:p w14:paraId="36E3F837">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15.2上述证明文件可以是文字资料、图表、数据、证书等资料，包括但不限于：</w:t>
      </w:r>
    </w:p>
    <w:p w14:paraId="7066A2E8">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（1）货物主要技术指标和性能的详细说明。对有具体参数要求的指标，投标人应提供具体参数值；</w:t>
      </w:r>
    </w:p>
    <w:p w14:paraId="7C280E40">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（2）货物的品牌型号、制造商及原产地等说明；</w:t>
      </w:r>
    </w:p>
    <w:p w14:paraId="4881AA47">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（3）招标文件第五章“采购需求”要求的其它文件。</w:t>
      </w:r>
    </w:p>
    <w:p w14:paraId="15C4F6FE">
      <w:pPr>
        <w:adjustRightInd w:val="0"/>
        <w:snapToGrid w:val="0"/>
        <w:spacing w:before="156" w:beforeLines="50" w:line="360" w:lineRule="auto"/>
        <w:jc w:val="left"/>
        <w:rPr>
          <w:rFonts w:hint="eastAsia" w:ascii="宋体" w:hAnsi="宋体"/>
          <w:b/>
          <w:bCs/>
          <w:sz w:val="24"/>
        </w:rPr>
      </w:pPr>
      <w:r>
        <w:rPr>
          <w:rFonts w:hint="eastAsia" w:ascii="宋体" w:hAnsi="宋体"/>
          <w:b/>
          <w:bCs/>
          <w:sz w:val="24"/>
        </w:rPr>
        <w:t>16. 投标有效期</w:t>
      </w:r>
    </w:p>
    <w:p w14:paraId="746EA401">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16.1投标有效期从提交投标文件的截止之日起算。投标文件中承诺的投标有效期应当不少于</w:t>
      </w:r>
      <w:r>
        <w:rPr>
          <w:rFonts w:hint="eastAsia" w:ascii="宋体" w:hAnsi="宋体"/>
          <w:b/>
          <w:szCs w:val="21"/>
        </w:rPr>
        <w:t>【投标须知前附表】</w:t>
      </w:r>
      <w:r>
        <w:rPr>
          <w:rFonts w:hint="eastAsia" w:ascii="宋体" w:hAnsi="宋体"/>
          <w:szCs w:val="21"/>
        </w:rPr>
        <w:t>中载明的投标有效期。投标有效期不满足要求的，其</w:t>
      </w:r>
      <w:r>
        <w:rPr>
          <w:rFonts w:hint="eastAsia" w:ascii="宋体" w:hAnsi="宋体"/>
          <w:b/>
          <w:szCs w:val="21"/>
        </w:rPr>
        <w:t>投标无效</w:t>
      </w:r>
      <w:r>
        <w:rPr>
          <w:rFonts w:hint="eastAsia" w:ascii="宋体" w:hAnsi="宋体"/>
          <w:szCs w:val="21"/>
        </w:rPr>
        <w:t>。</w:t>
      </w:r>
    </w:p>
    <w:p w14:paraId="5AAFD11E">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16.2投标有效期内投标人撤销投标文件的，投标人应承担招标文件和法律规定的责任。</w:t>
      </w:r>
    </w:p>
    <w:p w14:paraId="09DDD9B2">
      <w:pPr>
        <w:adjustRightInd w:val="0"/>
        <w:snapToGrid w:val="0"/>
        <w:spacing w:before="156" w:beforeLines="50" w:line="360" w:lineRule="auto"/>
        <w:jc w:val="left"/>
        <w:rPr>
          <w:rFonts w:hint="eastAsia" w:ascii="宋体" w:hAnsi="宋体"/>
          <w:b/>
          <w:bCs/>
          <w:sz w:val="24"/>
        </w:rPr>
      </w:pPr>
      <w:r>
        <w:rPr>
          <w:rFonts w:hint="eastAsia" w:ascii="宋体" w:hAnsi="宋体"/>
          <w:b/>
          <w:bCs/>
          <w:sz w:val="24"/>
        </w:rPr>
        <w:t>17. 投标保证金</w:t>
      </w:r>
    </w:p>
    <w:p w14:paraId="008549DC">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17.1招标文件要求投标人提交投标保证金的，</w:t>
      </w:r>
      <w:r>
        <w:rPr>
          <w:rFonts w:hint="eastAsia" w:ascii="宋体" w:hAnsi="宋体"/>
          <w:bCs/>
          <w:szCs w:val="21"/>
        </w:rPr>
        <w:t>投标人</w:t>
      </w:r>
      <w:r>
        <w:rPr>
          <w:rFonts w:hint="eastAsia" w:ascii="宋体" w:hAnsi="宋体"/>
          <w:szCs w:val="21"/>
        </w:rPr>
        <w:t>应按</w:t>
      </w:r>
      <w:r>
        <w:rPr>
          <w:rFonts w:hint="eastAsia" w:ascii="宋体" w:hAnsi="宋体"/>
          <w:b/>
          <w:szCs w:val="21"/>
        </w:rPr>
        <w:t>【投标须知前附表】</w:t>
      </w:r>
      <w:r>
        <w:rPr>
          <w:rFonts w:hint="eastAsia" w:ascii="宋体" w:hAnsi="宋体"/>
          <w:szCs w:val="21"/>
        </w:rPr>
        <w:t>规定，</w:t>
      </w:r>
      <w:r>
        <w:rPr>
          <w:rFonts w:hint="eastAsia" w:ascii="宋体" w:hAnsi="宋体"/>
          <w:bCs/>
          <w:szCs w:val="21"/>
        </w:rPr>
        <w:t>在</w:t>
      </w:r>
      <w:r>
        <w:rPr>
          <w:rFonts w:hint="eastAsia" w:ascii="宋体" w:hAnsi="宋体"/>
          <w:szCs w:val="21"/>
        </w:rPr>
        <w:t>提交投标文件的截止时间</w:t>
      </w:r>
      <w:r>
        <w:rPr>
          <w:rFonts w:hint="eastAsia" w:ascii="宋体" w:hAnsi="宋体"/>
          <w:bCs/>
          <w:szCs w:val="21"/>
        </w:rPr>
        <w:t>前提交投标保证金</w:t>
      </w:r>
      <w:r>
        <w:rPr>
          <w:rFonts w:hint="eastAsia" w:ascii="宋体" w:hAnsi="宋体"/>
          <w:szCs w:val="21"/>
        </w:rPr>
        <w:t>。</w:t>
      </w:r>
      <w:r>
        <w:rPr>
          <w:rFonts w:hint="eastAsia" w:ascii="宋体" w:hAnsi="宋体"/>
          <w:bCs/>
          <w:szCs w:val="21"/>
        </w:rPr>
        <w:t>投标人可以保函、电子增信替代投标保证金。</w:t>
      </w:r>
    </w:p>
    <w:p w14:paraId="6F4A325D">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17.2联合体投标的，可以由联合体中的一方或者共同提交投标保证金。以一方名义提交投标保证金的，对联合体各方均具有约束力。</w:t>
      </w:r>
    </w:p>
    <w:p w14:paraId="1D6DE77B">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17.3投标保证金的退还按以下规定办理：</w:t>
      </w:r>
    </w:p>
    <w:p w14:paraId="0DC86807">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（1）中标投标人的投标保证金，将在政府采购合同签订后5个工作日内退还。</w:t>
      </w:r>
    </w:p>
    <w:p w14:paraId="0EBF80FA">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（2）未中标的投标人的投标保证金，将在中标通知书发出后5个工作日内退还。</w:t>
      </w:r>
    </w:p>
    <w:p w14:paraId="7BC4F535">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（3）终止招标的。对于已递交投标保证金的，采购人、采购代理机构在终止招标公告发布后5个工作日内退还。</w:t>
      </w:r>
    </w:p>
    <w:p w14:paraId="1F53DC31">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（4）在投标截止日前撤回投标的，对于已递交投标保证金的，采购人、采购代理机构在收到投标人书面撤回投标通知之日起5个工作日内退还。</w:t>
      </w:r>
    </w:p>
    <w:p w14:paraId="1D704E3A">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17.4有以下情形之一的，投标保证金将不予退还，上缴国库：</w:t>
      </w:r>
      <w:r>
        <w:rPr>
          <w:rFonts w:ascii="宋体" w:hAnsi="宋体"/>
          <w:szCs w:val="21"/>
        </w:rPr>
        <w:t xml:space="preserve"> </w:t>
      </w:r>
    </w:p>
    <w:p w14:paraId="49B31574">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（1）投标人在招标文件中规定的投标有效期内撤销其投标；</w:t>
      </w:r>
    </w:p>
    <w:p w14:paraId="05CFE081">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（2）中标人无正当理由不与采购人订立合同，在签订合同时向采购人提出附加条件，或者不按照招标文件要求提交履约保证金。</w:t>
      </w:r>
    </w:p>
    <w:p w14:paraId="46FA164D">
      <w:pPr>
        <w:adjustRightInd w:val="0"/>
        <w:snapToGrid w:val="0"/>
        <w:spacing w:before="156" w:beforeLines="50" w:line="360" w:lineRule="auto"/>
        <w:jc w:val="left"/>
        <w:rPr>
          <w:rFonts w:hint="eastAsia" w:ascii="宋体" w:hAnsi="宋体"/>
          <w:b/>
          <w:sz w:val="24"/>
        </w:rPr>
      </w:pPr>
      <w:r>
        <w:rPr>
          <w:rFonts w:hint="eastAsia" w:ascii="宋体" w:hAnsi="宋体"/>
          <w:b/>
          <w:sz w:val="24"/>
        </w:rPr>
        <w:t>18.分包</w:t>
      </w:r>
    </w:p>
    <w:p w14:paraId="66914F27">
      <w:pPr>
        <w:adjustRightInd w:val="0"/>
        <w:snapToGrid w:val="0"/>
        <w:spacing w:before="156" w:beforeLines="50" w:line="360" w:lineRule="auto"/>
        <w:ind w:firstLine="420" w:firstLineChars="200"/>
        <w:jc w:val="left"/>
        <w:rPr>
          <w:rFonts w:hint="eastAsia" w:ascii="宋体" w:hAnsi="宋体"/>
        </w:rPr>
      </w:pPr>
      <w:r>
        <w:rPr>
          <w:rFonts w:hint="eastAsia" w:ascii="宋体" w:hAnsi="宋体"/>
        </w:rPr>
        <w:t>18.1</w:t>
      </w:r>
      <w:r>
        <w:rPr>
          <w:rFonts w:hint="eastAsia" w:hAnsi="宋体"/>
          <w:b/>
          <w:bCs/>
        </w:rPr>
        <w:t>【投标须知前附表】</w:t>
      </w:r>
      <w:r>
        <w:rPr>
          <w:rFonts w:hint="eastAsia" w:ascii="宋体" w:hAnsi="宋体"/>
        </w:rPr>
        <w:t>规定投标人分包的，投标人分包承诺不符合招标文件中有关分包规定的，其</w:t>
      </w:r>
      <w:r>
        <w:rPr>
          <w:rFonts w:hint="eastAsia" w:ascii="宋体" w:hAnsi="宋体"/>
          <w:b/>
          <w:bCs/>
        </w:rPr>
        <w:t>投标无效</w:t>
      </w:r>
      <w:r>
        <w:rPr>
          <w:rFonts w:hint="eastAsia" w:ascii="宋体" w:hAnsi="宋体"/>
        </w:rPr>
        <w:t>。</w:t>
      </w:r>
    </w:p>
    <w:p w14:paraId="653B2690">
      <w:pPr>
        <w:adjustRightInd w:val="0"/>
        <w:snapToGrid w:val="0"/>
        <w:spacing w:before="156" w:beforeLines="50" w:line="360" w:lineRule="auto"/>
        <w:ind w:firstLine="420" w:firstLineChars="200"/>
        <w:jc w:val="left"/>
        <w:rPr>
          <w:rFonts w:hint="eastAsia" w:ascii="宋体" w:hAnsi="宋体"/>
        </w:rPr>
      </w:pPr>
      <w:r>
        <w:rPr>
          <w:rFonts w:hint="eastAsia" w:ascii="宋体" w:hAnsi="宋体"/>
        </w:rPr>
        <w:t>18.2投标人应在签订政府采购合同前向采购人提供分包合同，否则，采购人有权拒绝签订采购合同。</w:t>
      </w:r>
    </w:p>
    <w:p w14:paraId="2CE488DB">
      <w:pPr>
        <w:adjustRightInd w:val="0"/>
        <w:snapToGrid w:val="0"/>
        <w:spacing w:before="156" w:beforeLines="50" w:line="360" w:lineRule="auto"/>
        <w:ind w:firstLine="420" w:firstLineChars="200"/>
        <w:jc w:val="left"/>
        <w:rPr>
          <w:rFonts w:hint="eastAsia" w:ascii="宋体" w:hAnsi="宋体"/>
        </w:rPr>
      </w:pPr>
      <w:r>
        <w:rPr>
          <w:rFonts w:hint="eastAsia" w:ascii="宋体" w:hAnsi="宋体"/>
        </w:rPr>
        <w:t>18.3享受中小企业扶持政策获得政府采购合同的，小微企业不得将合同分包给大中型企业，中型企业不得将合同分包给大型企业。</w:t>
      </w:r>
    </w:p>
    <w:p w14:paraId="4153B51C">
      <w:pPr>
        <w:adjustRightInd w:val="0"/>
        <w:snapToGrid w:val="0"/>
        <w:spacing w:before="156" w:beforeLines="50" w:line="360" w:lineRule="auto"/>
        <w:ind w:firstLine="420" w:firstLineChars="200"/>
        <w:jc w:val="left"/>
        <w:rPr>
          <w:rFonts w:hint="eastAsia" w:ascii="宋体" w:hAnsi="宋体"/>
        </w:rPr>
      </w:pPr>
      <w:r>
        <w:rPr>
          <w:rFonts w:hint="eastAsia" w:ascii="宋体" w:hAnsi="宋体"/>
        </w:rPr>
        <w:t>18.4分包供应商不得再次分包。</w:t>
      </w:r>
    </w:p>
    <w:p w14:paraId="65004F38">
      <w:pPr>
        <w:adjustRightInd w:val="0"/>
        <w:snapToGrid w:val="0"/>
        <w:spacing w:line="360" w:lineRule="auto"/>
        <w:rPr>
          <w:rFonts w:hint="eastAsia" w:ascii="宋体" w:hAnsi="宋体"/>
          <w:b/>
          <w:bCs/>
          <w:sz w:val="24"/>
        </w:rPr>
      </w:pPr>
      <w:r>
        <w:rPr>
          <w:rFonts w:hint="eastAsia" w:ascii="宋体" w:hAnsi="宋体"/>
          <w:b/>
          <w:bCs/>
          <w:sz w:val="24"/>
        </w:rPr>
        <w:t>19. 投标文件的签署</w:t>
      </w:r>
    </w:p>
    <w:p w14:paraId="22E5C360">
      <w:pPr>
        <w:adjustRightInd w:val="0"/>
        <w:snapToGrid w:val="0"/>
        <w:spacing w:line="360" w:lineRule="auto"/>
        <w:ind w:firstLine="420" w:firstLineChars="200"/>
        <w:rPr>
          <w:rFonts w:hint="eastAsia" w:ascii="宋体" w:hAnsi="宋体"/>
          <w:szCs w:val="21"/>
        </w:rPr>
      </w:pPr>
      <w:r>
        <w:rPr>
          <w:rFonts w:hint="eastAsia" w:ascii="宋体" w:hAnsi="宋体"/>
          <w:szCs w:val="21"/>
        </w:rPr>
        <w:t>19.1投标文件份数，投标人应准备所投项目的电子投标文件一份。</w:t>
      </w:r>
    </w:p>
    <w:p w14:paraId="15FEE60D">
      <w:pPr>
        <w:adjustRightInd w:val="0"/>
        <w:snapToGrid w:val="0"/>
        <w:spacing w:line="360" w:lineRule="auto"/>
        <w:ind w:firstLine="420" w:firstLineChars="200"/>
        <w:rPr>
          <w:rFonts w:hint="eastAsia" w:ascii="宋体" w:hAnsi="宋体"/>
          <w:szCs w:val="21"/>
        </w:rPr>
      </w:pPr>
      <w:r>
        <w:rPr>
          <w:rFonts w:hint="eastAsia" w:ascii="宋体" w:hAnsi="宋体"/>
          <w:szCs w:val="21"/>
        </w:rPr>
        <w:t>19.2电子投标文件：投标人应按照电子招标文件要求制作投标文件，并在</w:t>
      </w:r>
      <w:r>
        <w:rPr>
          <w:rFonts w:hint="eastAsia" w:ascii="宋体" w:hAnsi="宋体"/>
        </w:rPr>
        <w:t>指定处采用电子平台认可的CA数字证书</w:t>
      </w:r>
      <w:r>
        <w:rPr>
          <w:rFonts w:hint="eastAsia" w:ascii="宋体" w:hAnsi="宋体"/>
          <w:szCs w:val="21"/>
        </w:rPr>
        <w:t>进行电子签名和盖章。</w:t>
      </w:r>
    </w:p>
    <w:p w14:paraId="4717489F">
      <w:pPr>
        <w:adjustRightInd w:val="0"/>
        <w:snapToGrid w:val="0"/>
        <w:spacing w:line="360" w:lineRule="auto"/>
        <w:ind w:firstLine="420" w:firstLineChars="200"/>
        <w:rPr>
          <w:rFonts w:hint="eastAsia" w:ascii="宋体" w:hAnsi="宋体"/>
          <w:szCs w:val="21"/>
        </w:rPr>
      </w:pPr>
      <w:r>
        <w:rPr>
          <w:rFonts w:hint="eastAsia" w:ascii="宋体" w:hAnsi="宋体"/>
          <w:szCs w:val="21"/>
        </w:rPr>
        <w:t>19.3投标人确认投标后，应从交易平台上下载“电子招标文件制作工具（</w:t>
      </w:r>
      <w:r>
        <w:rPr>
          <w:rStyle w:val="46"/>
          <w:rFonts w:ascii="宋体" w:hAnsi="宋体"/>
          <w:szCs w:val="21"/>
        </w:rPr>
        <w:t>金润投标人工具箱）</w:t>
      </w:r>
      <w:r>
        <w:rPr>
          <w:rFonts w:hint="eastAsia" w:ascii="宋体" w:hAnsi="宋体"/>
          <w:szCs w:val="21"/>
        </w:rPr>
        <w:t>”，并使用此工具编制电子投标文件，否则将可能影响电子投标文件的上传而导致投标无效。</w:t>
      </w:r>
    </w:p>
    <w:p w14:paraId="5D5D82EA">
      <w:pPr>
        <w:adjustRightInd w:val="0"/>
        <w:snapToGrid w:val="0"/>
        <w:spacing w:line="360" w:lineRule="auto"/>
        <w:ind w:firstLine="420" w:firstLineChars="200"/>
        <w:rPr>
          <w:rFonts w:hint="eastAsia" w:ascii="宋体" w:hAnsi="宋体"/>
          <w:szCs w:val="21"/>
        </w:rPr>
      </w:pPr>
      <w:r>
        <w:rPr>
          <w:rFonts w:hint="eastAsia" w:ascii="宋体" w:hAnsi="宋体"/>
          <w:szCs w:val="21"/>
        </w:rPr>
        <w:t>19.4投标人因自身原因导致电子投标文件无法导入电子评标系统的，该投标文件视为无效投标文件。</w:t>
      </w:r>
    </w:p>
    <w:p w14:paraId="32532EAA">
      <w:pPr>
        <w:adjustRightInd w:val="0"/>
        <w:snapToGrid w:val="0"/>
        <w:spacing w:line="360" w:lineRule="auto"/>
        <w:ind w:firstLine="420" w:firstLineChars="200"/>
      </w:pPr>
      <w:r>
        <w:rPr>
          <w:rFonts w:hint="eastAsia" w:ascii="宋体" w:hAnsi="宋体"/>
          <w:szCs w:val="21"/>
        </w:rPr>
        <w:t>19.5电子招投标文件具有法律效力，若投标文件与招标文件要求不一致，其内容影响中标结果时，责任由投标人自行承担。</w:t>
      </w:r>
    </w:p>
    <w:p w14:paraId="124BF794">
      <w:pPr>
        <w:pStyle w:val="4"/>
        <w:keepNext w:val="0"/>
        <w:keepLines w:val="0"/>
        <w:adjustRightInd w:val="0"/>
        <w:snapToGrid w:val="0"/>
        <w:spacing w:before="156" w:beforeLines="50" w:after="0" w:line="360" w:lineRule="auto"/>
        <w:ind w:firstLine="3092" w:firstLineChars="1100"/>
        <w:rPr>
          <w:rFonts w:hint="eastAsia" w:ascii="黑体" w:hAnsi="黑体" w:eastAsia="黑体"/>
          <w:sz w:val="28"/>
          <w:szCs w:val="28"/>
        </w:rPr>
      </w:pPr>
    </w:p>
    <w:p w14:paraId="24B444BF">
      <w:pPr>
        <w:pStyle w:val="4"/>
        <w:keepNext w:val="0"/>
        <w:keepLines w:val="0"/>
        <w:adjustRightInd w:val="0"/>
        <w:snapToGrid w:val="0"/>
        <w:spacing w:before="156" w:beforeLines="50" w:after="0" w:line="360" w:lineRule="auto"/>
        <w:ind w:firstLine="3373" w:firstLineChars="1200"/>
      </w:pPr>
      <w:bookmarkStart w:id="23" w:name="_Toc9605"/>
      <w:r>
        <w:rPr>
          <w:rFonts w:hint="eastAsia" w:ascii="黑体" w:hAnsi="黑体" w:eastAsia="黑体"/>
          <w:sz w:val="28"/>
          <w:szCs w:val="28"/>
        </w:rPr>
        <w:t>四、投标</w:t>
      </w:r>
      <w:bookmarkEnd w:id="23"/>
    </w:p>
    <w:p w14:paraId="2497D13D">
      <w:pPr>
        <w:adjustRightInd w:val="0"/>
        <w:snapToGrid w:val="0"/>
        <w:spacing w:line="360" w:lineRule="auto"/>
        <w:rPr>
          <w:rFonts w:hint="eastAsia" w:ascii="宋体" w:hAnsi="宋体"/>
          <w:b/>
          <w:bCs/>
          <w:sz w:val="24"/>
        </w:rPr>
      </w:pPr>
      <w:r>
        <w:rPr>
          <w:rFonts w:hint="eastAsia" w:ascii="宋体" w:hAnsi="宋体"/>
          <w:b/>
          <w:sz w:val="24"/>
        </w:rPr>
        <w:t>20.</w:t>
      </w:r>
      <w:r>
        <w:rPr>
          <w:rFonts w:hint="eastAsia" w:ascii="宋体" w:hAnsi="宋体"/>
          <w:b/>
          <w:bCs/>
          <w:sz w:val="24"/>
        </w:rPr>
        <w:t xml:space="preserve"> 投标文件的加密</w:t>
      </w:r>
    </w:p>
    <w:p w14:paraId="3C5C92FF">
      <w:pPr>
        <w:adjustRightInd w:val="0"/>
        <w:snapToGrid w:val="0"/>
        <w:spacing w:line="360" w:lineRule="auto"/>
        <w:ind w:firstLine="420" w:firstLineChars="200"/>
        <w:rPr>
          <w:rFonts w:hint="eastAsia" w:ascii="宋体" w:hAnsi="宋体"/>
          <w:szCs w:val="21"/>
        </w:rPr>
      </w:pPr>
      <w:r>
        <w:rPr>
          <w:rFonts w:hint="eastAsia" w:ascii="宋体" w:hAnsi="宋体"/>
          <w:szCs w:val="21"/>
        </w:rPr>
        <w:t>20.1娄底市公共资源交易电子服务平台发布的“电子投标文件制作工具（</w:t>
      </w:r>
      <w:r>
        <w:rPr>
          <w:rStyle w:val="46"/>
          <w:rFonts w:ascii="宋体" w:hAnsi="宋体"/>
          <w:szCs w:val="21"/>
        </w:rPr>
        <w:t>金润投标人工具箱）</w:t>
      </w:r>
      <w:r>
        <w:rPr>
          <w:rFonts w:hint="eastAsia" w:ascii="宋体" w:hAnsi="宋体"/>
          <w:szCs w:val="21"/>
        </w:rPr>
        <w:t>”的程序进行固化、加密。</w:t>
      </w:r>
    </w:p>
    <w:p w14:paraId="57437C6F">
      <w:pPr>
        <w:adjustRightInd w:val="0"/>
        <w:snapToGrid w:val="0"/>
        <w:spacing w:line="360" w:lineRule="auto"/>
        <w:ind w:firstLine="420" w:firstLineChars="200"/>
        <w:rPr>
          <w:rFonts w:hint="eastAsia" w:ascii="宋体" w:hAnsi="宋体"/>
          <w:szCs w:val="21"/>
        </w:rPr>
      </w:pPr>
      <w:r>
        <w:rPr>
          <w:rFonts w:hint="eastAsia" w:ascii="宋体" w:hAnsi="宋体"/>
          <w:szCs w:val="21"/>
        </w:rPr>
        <w:t>20</w:t>
      </w:r>
      <w:r>
        <w:rPr>
          <w:rFonts w:ascii="宋体" w:hAnsi="宋体"/>
          <w:szCs w:val="21"/>
        </w:rPr>
        <w:t>.2</w:t>
      </w:r>
      <w:r>
        <w:rPr>
          <w:rFonts w:hint="eastAsia" w:ascii="宋体" w:hAnsi="宋体"/>
        </w:rPr>
        <w:t>“电子标书软件加密锁” 具有唯一性，仅限于本单位在电子化招标投标活动中使用，不得转让和出借；</w:t>
      </w:r>
    </w:p>
    <w:p w14:paraId="1B49393B">
      <w:pPr>
        <w:adjustRightInd w:val="0"/>
        <w:snapToGrid w:val="0"/>
        <w:spacing w:line="360" w:lineRule="auto"/>
        <w:ind w:firstLine="420" w:firstLineChars="200"/>
        <w:rPr>
          <w:rFonts w:hint="eastAsia" w:ascii="宋体" w:hAnsi="宋体"/>
          <w:szCs w:val="21"/>
        </w:rPr>
      </w:pPr>
      <w:r>
        <w:rPr>
          <w:rFonts w:hint="eastAsia" w:ascii="宋体" w:hAnsi="宋体"/>
          <w:szCs w:val="21"/>
        </w:rPr>
        <w:t>20</w:t>
      </w:r>
      <w:r>
        <w:rPr>
          <w:rFonts w:ascii="宋体" w:hAnsi="宋体"/>
          <w:szCs w:val="21"/>
        </w:rPr>
        <w:t>.</w:t>
      </w:r>
      <w:r>
        <w:rPr>
          <w:rFonts w:hint="eastAsia" w:ascii="宋体" w:hAnsi="宋体"/>
          <w:szCs w:val="21"/>
        </w:rPr>
        <w:t>3</w:t>
      </w:r>
      <w:r>
        <w:rPr>
          <w:rFonts w:hint="eastAsia" w:ascii="宋体" w:hAnsi="宋体"/>
        </w:rPr>
        <w:t>投标人在编辑投标文件时，在投标文件目录中属于本节点内容的必须上传或填写在本节点的对应位置，未按要求填写或上传的，相应责任由投标人自行承担</w:t>
      </w:r>
      <w:r>
        <w:rPr>
          <w:rFonts w:hint="eastAsia" w:ascii="宋体" w:hAnsi="宋体"/>
          <w:szCs w:val="21"/>
        </w:rPr>
        <w:t>。</w:t>
      </w:r>
    </w:p>
    <w:p w14:paraId="6266C7CC">
      <w:pPr>
        <w:adjustRightInd w:val="0"/>
        <w:snapToGrid w:val="0"/>
        <w:spacing w:line="360" w:lineRule="auto"/>
        <w:ind w:firstLine="420" w:firstLineChars="200"/>
        <w:rPr>
          <w:rFonts w:hint="eastAsia" w:ascii="宋体" w:hAnsi="宋体"/>
          <w:szCs w:val="21"/>
        </w:rPr>
      </w:pPr>
      <w:r>
        <w:rPr>
          <w:rFonts w:hint="eastAsia" w:ascii="宋体" w:hAnsi="宋体"/>
        </w:rPr>
        <w:t>20.4投标书编写完成后，必须用本系统自带的电子密钥进行加密，如果误选了非本项目的规则文件导致不能在开标时解密投标文件，该投标文件将被电子开标系统拒绝，将导致投标文件无效。</w:t>
      </w:r>
    </w:p>
    <w:p w14:paraId="2880EA23">
      <w:pPr>
        <w:adjustRightInd w:val="0"/>
        <w:snapToGrid w:val="0"/>
        <w:spacing w:line="360" w:lineRule="auto"/>
        <w:ind w:firstLine="420" w:firstLineChars="200"/>
        <w:rPr>
          <w:rFonts w:hint="eastAsia" w:ascii="宋体" w:hAnsi="宋体"/>
          <w:szCs w:val="21"/>
        </w:rPr>
      </w:pPr>
      <w:r>
        <w:rPr>
          <w:rFonts w:hint="eastAsia" w:ascii="宋体" w:hAnsi="宋体"/>
        </w:rPr>
        <w:t>20.5如果开标时出现网络故障、技术故障，影响了招投标活动，采购人可采取措施如延期、延长上传的投标书和解密时间等，以保障招投标活动的公开、公平和公正，投标人不得对此持有异议</w:t>
      </w:r>
      <w:r>
        <w:rPr>
          <w:rFonts w:ascii="宋体" w:hAnsi="宋体"/>
        </w:rPr>
        <w:t>。</w:t>
      </w:r>
    </w:p>
    <w:p w14:paraId="74D68649">
      <w:pPr>
        <w:adjustRightInd w:val="0"/>
        <w:snapToGrid w:val="0"/>
        <w:spacing w:line="360" w:lineRule="auto"/>
        <w:rPr>
          <w:rFonts w:hint="eastAsia" w:ascii="宋体" w:hAnsi="宋体"/>
          <w:b/>
          <w:bCs/>
          <w:sz w:val="24"/>
        </w:rPr>
      </w:pPr>
      <w:r>
        <w:rPr>
          <w:rFonts w:hint="eastAsia" w:ascii="宋体" w:hAnsi="宋体"/>
          <w:b/>
          <w:bCs/>
          <w:sz w:val="24"/>
        </w:rPr>
        <w:t>21. 投标文件的递交</w:t>
      </w:r>
    </w:p>
    <w:p w14:paraId="3676A20F">
      <w:pPr>
        <w:adjustRightInd w:val="0"/>
        <w:snapToGrid w:val="0"/>
        <w:spacing w:line="360" w:lineRule="auto"/>
        <w:ind w:firstLine="420" w:firstLineChars="200"/>
        <w:rPr>
          <w:rFonts w:hint="eastAsia" w:ascii="宋体" w:hAnsi="宋体"/>
          <w:szCs w:val="21"/>
        </w:rPr>
      </w:pPr>
      <w:r>
        <w:rPr>
          <w:rFonts w:hint="eastAsia" w:ascii="宋体" w:hAnsi="宋体"/>
          <w:szCs w:val="21"/>
        </w:rPr>
        <w:t>21.1</w:t>
      </w:r>
      <w:r>
        <w:rPr>
          <w:rStyle w:val="46"/>
          <w:rFonts w:ascii="宋体" w:hAnsi="宋体"/>
          <w:szCs w:val="21"/>
        </w:rPr>
        <w:t>实行网上投标，</w:t>
      </w:r>
      <w:r>
        <w:rPr>
          <w:rFonts w:ascii="宋体" w:hAnsi="宋体"/>
        </w:rPr>
        <w:t>投标人必须</w:t>
      </w:r>
      <w:r>
        <w:rPr>
          <w:rFonts w:hint="eastAsia" w:ascii="宋体" w:hAnsi="宋体"/>
        </w:rPr>
        <w:t>在</w:t>
      </w:r>
      <w:r>
        <w:rPr>
          <w:rFonts w:ascii="宋体" w:hAnsi="宋体"/>
        </w:rPr>
        <w:t>采购文件规定的投标截止时间前完成</w:t>
      </w:r>
      <w:r>
        <w:rPr>
          <w:rFonts w:hint="eastAsia" w:ascii="宋体" w:hAnsi="宋体"/>
          <w:szCs w:val="21"/>
        </w:rPr>
        <w:t>。</w:t>
      </w:r>
    </w:p>
    <w:p w14:paraId="7AF8B027">
      <w:pPr>
        <w:adjustRightInd w:val="0"/>
        <w:snapToGrid w:val="0"/>
        <w:spacing w:line="360" w:lineRule="auto"/>
        <w:ind w:firstLine="420" w:firstLineChars="200"/>
        <w:rPr>
          <w:rFonts w:hint="eastAsia" w:ascii="宋体" w:hAnsi="宋体"/>
          <w:szCs w:val="21"/>
        </w:rPr>
      </w:pPr>
      <w:r>
        <w:rPr>
          <w:rFonts w:hint="eastAsia" w:ascii="宋体" w:hAnsi="宋体"/>
          <w:szCs w:val="21"/>
        </w:rPr>
        <w:t>21.2</w:t>
      </w:r>
      <w:r>
        <w:rPr>
          <w:rFonts w:ascii="宋体" w:hAnsi="宋体"/>
        </w:rPr>
        <w:t>按本</w:t>
      </w:r>
      <w:r>
        <w:rPr>
          <w:rFonts w:hint="eastAsia" w:ascii="宋体" w:hAnsi="宋体"/>
        </w:rPr>
        <w:t>章</w:t>
      </w:r>
      <w:r>
        <w:rPr>
          <w:rFonts w:ascii="宋体" w:hAnsi="宋体"/>
        </w:rPr>
        <w:t>第</w:t>
      </w:r>
      <w:r>
        <w:rPr>
          <w:rFonts w:hint="eastAsia" w:ascii="宋体" w:hAnsi="宋体"/>
        </w:rPr>
        <w:t>9</w:t>
      </w:r>
      <w:r>
        <w:rPr>
          <w:rFonts w:ascii="宋体" w:hAnsi="宋体"/>
        </w:rPr>
        <w:t>条规定，招标文件发生实质性修改后，投标人须撤回原电子投标文件，根据最新招标文件重新制作投标文件并再次上传。</w:t>
      </w:r>
    </w:p>
    <w:p w14:paraId="02866B27">
      <w:pPr>
        <w:adjustRightInd w:val="0"/>
        <w:snapToGrid w:val="0"/>
        <w:spacing w:line="360" w:lineRule="auto"/>
        <w:ind w:firstLine="420" w:firstLineChars="200"/>
        <w:rPr>
          <w:rFonts w:hint="eastAsia" w:ascii="宋体" w:hAnsi="宋体"/>
          <w:bCs/>
          <w:szCs w:val="21"/>
        </w:rPr>
      </w:pPr>
      <w:r>
        <w:rPr>
          <w:rFonts w:hint="eastAsia" w:ascii="宋体" w:hAnsi="宋体"/>
          <w:szCs w:val="21"/>
        </w:rPr>
        <w:t>21.3</w:t>
      </w:r>
      <w:r>
        <w:rPr>
          <w:rFonts w:ascii="宋体" w:hAnsi="宋体"/>
        </w:rPr>
        <w:t>投标截止时间</w:t>
      </w:r>
      <w:r>
        <w:rPr>
          <w:rFonts w:hint="eastAsia" w:ascii="宋体" w:hAnsi="宋体"/>
        </w:rPr>
        <w:t>到达以后不再接收</w:t>
      </w:r>
      <w:r>
        <w:rPr>
          <w:rFonts w:ascii="宋体" w:hAnsi="宋体"/>
        </w:rPr>
        <w:t>投标文件。</w:t>
      </w:r>
    </w:p>
    <w:p w14:paraId="0E6A66D8">
      <w:pPr>
        <w:adjustRightInd w:val="0"/>
        <w:snapToGrid w:val="0"/>
        <w:spacing w:line="360" w:lineRule="auto"/>
        <w:rPr>
          <w:rFonts w:hint="eastAsia" w:ascii="宋体" w:hAnsi="宋体"/>
          <w:b/>
          <w:bCs/>
          <w:sz w:val="24"/>
        </w:rPr>
      </w:pPr>
      <w:r>
        <w:rPr>
          <w:rFonts w:hint="eastAsia" w:ascii="宋体" w:hAnsi="宋体"/>
          <w:b/>
          <w:bCs/>
          <w:sz w:val="24"/>
        </w:rPr>
        <w:t>22. 投标文件的修改和撤回</w:t>
      </w:r>
    </w:p>
    <w:p w14:paraId="7F3FF211">
      <w:pPr>
        <w:adjustRightInd w:val="0"/>
        <w:snapToGrid w:val="0"/>
        <w:spacing w:line="360" w:lineRule="auto"/>
        <w:ind w:firstLine="420" w:firstLineChars="200"/>
        <w:rPr>
          <w:rFonts w:hint="eastAsia" w:ascii="宋体" w:hAnsi="宋体"/>
          <w:szCs w:val="21"/>
        </w:rPr>
      </w:pPr>
      <w:r>
        <w:rPr>
          <w:rFonts w:hint="eastAsia" w:ascii="宋体" w:hAnsi="宋体"/>
          <w:szCs w:val="21"/>
        </w:rPr>
        <w:t>22.1投标人</w:t>
      </w:r>
      <w:r>
        <w:rPr>
          <w:rFonts w:hint="eastAsia" w:ascii="宋体" w:hAnsi="宋体"/>
        </w:rPr>
        <w:t>在提交电子投标文件后可对其投标文件进行修改并重新上传投标文件或在网上进行撤销投标的操作。</w:t>
      </w:r>
    </w:p>
    <w:p w14:paraId="6E386745">
      <w:pPr>
        <w:adjustRightInd w:val="0"/>
        <w:snapToGrid w:val="0"/>
        <w:spacing w:line="360" w:lineRule="auto"/>
        <w:ind w:firstLine="420" w:firstLineChars="200"/>
        <w:rPr>
          <w:rFonts w:hint="eastAsia" w:ascii="宋体" w:hAnsi="宋体"/>
          <w:szCs w:val="21"/>
        </w:rPr>
      </w:pPr>
      <w:r>
        <w:rPr>
          <w:rFonts w:hint="eastAsia" w:ascii="宋体" w:hAnsi="宋体"/>
          <w:szCs w:val="21"/>
        </w:rPr>
        <w:t>22.2</w:t>
      </w:r>
      <w:r>
        <w:rPr>
          <w:rFonts w:hint="eastAsia" w:ascii="宋体" w:hAnsi="宋体"/>
        </w:rPr>
        <w:t>投标截止时间以后不得修改投标文件。</w:t>
      </w:r>
    </w:p>
    <w:p w14:paraId="1CC035AA">
      <w:pPr>
        <w:adjustRightInd w:val="0"/>
        <w:snapToGrid w:val="0"/>
        <w:spacing w:line="360" w:lineRule="auto"/>
        <w:rPr>
          <w:rFonts w:hint="eastAsia" w:ascii="宋体" w:hAnsi="宋体" w:cs="Arial"/>
          <w:b/>
          <w:sz w:val="24"/>
        </w:rPr>
      </w:pPr>
      <w:r>
        <w:rPr>
          <w:rFonts w:hint="eastAsia" w:ascii="宋体" w:hAnsi="宋体"/>
          <w:b/>
          <w:bCs/>
          <w:sz w:val="24"/>
        </w:rPr>
        <w:t>23.</w:t>
      </w:r>
      <w:r>
        <w:rPr>
          <w:rFonts w:hint="eastAsia" w:ascii="宋体" w:hAnsi="宋体" w:cs="Arial"/>
          <w:b/>
          <w:sz w:val="24"/>
        </w:rPr>
        <w:t xml:space="preserve"> 串通</w:t>
      </w:r>
      <w:r>
        <w:rPr>
          <w:rFonts w:hint="eastAsia" w:ascii="宋体" w:hAnsi="宋体"/>
          <w:b/>
          <w:sz w:val="24"/>
        </w:rPr>
        <w:t>投标行为</w:t>
      </w:r>
    </w:p>
    <w:p w14:paraId="6E56A84D">
      <w:pPr>
        <w:adjustRightInd w:val="0"/>
        <w:snapToGrid w:val="0"/>
        <w:spacing w:line="360" w:lineRule="auto"/>
        <w:ind w:firstLine="396" w:firstLineChars="200"/>
        <w:rPr>
          <w:rFonts w:hint="eastAsia" w:ascii="宋体" w:hAnsi="宋体"/>
          <w:spacing w:val="-6"/>
          <w:szCs w:val="21"/>
        </w:rPr>
      </w:pPr>
      <w:r>
        <w:rPr>
          <w:rFonts w:hint="eastAsia" w:ascii="宋体" w:hAnsi="宋体"/>
          <w:spacing w:val="-6"/>
          <w:szCs w:val="21"/>
        </w:rPr>
        <w:t>23.1有下列情形之一的，属于恶意串通，对投标人依照政府采购法第七十七条第一款的规定追究法律责任：</w:t>
      </w:r>
    </w:p>
    <w:p w14:paraId="5AF22DB3">
      <w:pPr>
        <w:adjustRightInd w:val="0"/>
        <w:snapToGrid w:val="0"/>
        <w:spacing w:line="360" w:lineRule="auto"/>
        <w:ind w:firstLine="396" w:firstLineChars="200"/>
        <w:rPr>
          <w:rFonts w:hint="eastAsia" w:ascii="宋体" w:hAnsi="宋体"/>
          <w:spacing w:val="-6"/>
          <w:szCs w:val="21"/>
        </w:rPr>
      </w:pPr>
      <w:r>
        <w:rPr>
          <w:rFonts w:hint="eastAsia" w:ascii="宋体" w:hAnsi="宋体"/>
          <w:spacing w:val="-6"/>
          <w:szCs w:val="21"/>
        </w:rPr>
        <w:t>（1）投标人直接或者间接从采购人或者采购代理机构处获得其他投标人的相关情况并修改其投标文件；</w:t>
      </w:r>
    </w:p>
    <w:p w14:paraId="59539C4D">
      <w:pPr>
        <w:adjustRightInd w:val="0"/>
        <w:snapToGrid w:val="0"/>
        <w:spacing w:line="360" w:lineRule="auto"/>
        <w:ind w:firstLine="396" w:firstLineChars="200"/>
        <w:rPr>
          <w:rFonts w:hint="eastAsia" w:ascii="宋体" w:hAnsi="宋体"/>
          <w:spacing w:val="-6"/>
          <w:szCs w:val="21"/>
        </w:rPr>
      </w:pPr>
      <w:r>
        <w:rPr>
          <w:rFonts w:hint="eastAsia" w:ascii="宋体" w:hAnsi="宋体"/>
          <w:spacing w:val="-6"/>
          <w:szCs w:val="21"/>
        </w:rPr>
        <w:t>（2）投标人按照采购人或者采购代理机构的授意撤换、修改投标文件；</w:t>
      </w:r>
    </w:p>
    <w:p w14:paraId="36391E75">
      <w:pPr>
        <w:adjustRightInd w:val="0"/>
        <w:snapToGrid w:val="0"/>
        <w:spacing w:line="360" w:lineRule="auto"/>
        <w:ind w:firstLine="396" w:firstLineChars="200"/>
        <w:rPr>
          <w:rFonts w:hint="eastAsia" w:ascii="宋体" w:hAnsi="宋体"/>
          <w:spacing w:val="-6"/>
          <w:szCs w:val="21"/>
        </w:rPr>
      </w:pPr>
      <w:r>
        <w:rPr>
          <w:rFonts w:hint="eastAsia" w:ascii="宋体" w:hAnsi="宋体"/>
          <w:spacing w:val="-6"/>
          <w:szCs w:val="21"/>
        </w:rPr>
        <w:t>（3）投标人之间协商报价、技术方案等投标文件的实质性内容；</w:t>
      </w:r>
    </w:p>
    <w:p w14:paraId="4F865A1E">
      <w:pPr>
        <w:adjustRightInd w:val="0"/>
        <w:snapToGrid w:val="0"/>
        <w:spacing w:line="360" w:lineRule="auto"/>
        <w:ind w:firstLine="396" w:firstLineChars="200"/>
        <w:rPr>
          <w:rFonts w:hint="eastAsia" w:ascii="宋体" w:hAnsi="宋体"/>
          <w:spacing w:val="-6"/>
          <w:szCs w:val="21"/>
        </w:rPr>
      </w:pPr>
      <w:r>
        <w:rPr>
          <w:rFonts w:hint="eastAsia" w:ascii="宋体" w:hAnsi="宋体"/>
          <w:spacing w:val="-6"/>
          <w:szCs w:val="21"/>
        </w:rPr>
        <w:t>（4）属于同一集团、协会、商会等组织成员的投标人按照该组织要求协同参加政府采购活动；</w:t>
      </w:r>
    </w:p>
    <w:p w14:paraId="2204ADBA">
      <w:pPr>
        <w:adjustRightInd w:val="0"/>
        <w:snapToGrid w:val="0"/>
        <w:spacing w:line="360" w:lineRule="auto"/>
        <w:ind w:firstLine="396" w:firstLineChars="200"/>
        <w:rPr>
          <w:rFonts w:hint="eastAsia" w:ascii="宋体" w:hAnsi="宋体"/>
          <w:spacing w:val="-6"/>
          <w:szCs w:val="21"/>
        </w:rPr>
      </w:pPr>
      <w:r>
        <w:rPr>
          <w:rFonts w:hint="eastAsia" w:ascii="宋体" w:hAnsi="宋体"/>
          <w:spacing w:val="-6"/>
          <w:szCs w:val="21"/>
        </w:rPr>
        <w:t>（5）投标人之间事先约定由某一特定投标人中标；</w:t>
      </w:r>
    </w:p>
    <w:p w14:paraId="7E9ECB96">
      <w:pPr>
        <w:adjustRightInd w:val="0"/>
        <w:snapToGrid w:val="0"/>
        <w:spacing w:line="360" w:lineRule="auto"/>
        <w:ind w:firstLine="396" w:firstLineChars="200"/>
        <w:rPr>
          <w:rFonts w:hint="eastAsia" w:ascii="宋体" w:hAnsi="宋体"/>
          <w:spacing w:val="-6"/>
          <w:szCs w:val="21"/>
        </w:rPr>
      </w:pPr>
      <w:r>
        <w:rPr>
          <w:rFonts w:hint="eastAsia" w:ascii="宋体" w:hAnsi="宋体"/>
          <w:spacing w:val="-6"/>
          <w:szCs w:val="21"/>
        </w:rPr>
        <w:t>（6）投标人之间商定部分投标人放弃参加政府采购活动或者放弃中标；</w:t>
      </w:r>
    </w:p>
    <w:p w14:paraId="7133CB3D">
      <w:pPr>
        <w:adjustRightInd w:val="0"/>
        <w:snapToGrid w:val="0"/>
        <w:spacing w:line="360" w:lineRule="auto"/>
        <w:ind w:firstLine="396" w:firstLineChars="200"/>
        <w:rPr>
          <w:rFonts w:hint="eastAsia" w:ascii="宋体" w:hAnsi="宋体"/>
          <w:spacing w:val="-6"/>
          <w:szCs w:val="21"/>
        </w:rPr>
      </w:pPr>
      <w:r>
        <w:rPr>
          <w:rFonts w:hint="eastAsia" w:ascii="宋体" w:hAnsi="宋体"/>
          <w:spacing w:val="-6"/>
          <w:szCs w:val="21"/>
        </w:rPr>
        <w:t>（7）投标人与采购人或者采购代理机构之间、投标人相互之间，为谋求特定投标人中标或者排斥其他投标人的其他串通行为。</w:t>
      </w:r>
    </w:p>
    <w:p w14:paraId="0F2627D0">
      <w:pPr>
        <w:adjustRightInd w:val="0"/>
        <w:snapToGrid w:val="0"/>
        <w:spacing w:line="360" w:lineRule="auto"/>
        <w:ind w:firstLine="420" w:firstLineChars="200"/>
        <w:rPr>
          <w:rFonts w:hint="eastAsia" w:ascii="宋体" w:hAnsi="宋体"/>
          <w:szCs w:val="21"/>
        </w:rPr>
      </w:pPr>
      <w:r>
        <w:rPr>
          <w:rFonts w:hint="eastAsia" w:ascii="宋体" w:hAnsi="宋体"/>
          <w:szCs w:val="21"/>
        </w:rPr>
        <w:t>23.2有下列情形之一的，视为投标人串通投标，其</w:t>
      </w:r>
      <w:r>
        <w:rPr>
          <w:rFonts w:hint="eastAsia" w:ascii="宋体" w:hAnsi="宋体"/>
          <w:b/>
          <w:szCs w:val="21"/>
        </w:rPr>
        <w:t>投标无效</w:t>
      </w:r>
      <w:r>
        <w:rPr>
          <w:rFonts w:hint="eastAsia" w:ascii="宋体" w:hAnsi="宋体"/>
          <w:szCs w:val="21"/>
        </w:rPr>
        <w:t>：</w:t>
      </w:r>
    </w:p>
    <w:p w14:paraId="2A6E6126">
      <w:pPr>
        <w:adjustRightInd w:val="0"/>
        <w:snapToGrid w:val="0"/>
        <w:spacing w:line="360" w:lineRule="auto"/>
        <w:ind w:firstLine="420" w:firstLineChars="200"/>
        <w:rPr>
          <w:rFonts w:hint="eastAsia" w:ascii="宋体" w:hAnsi="宋体"/>
          <w:szCs w:val="21"/>
        </w:rPr>
      </w:pPr>
      <w:r>
        <w:rPr>
          <w:rFonts w:hint="eastAsia" w:ascii="宋体" w:hAnsi="宋体"/>
          <w:szCs w:val="21"/>
        </w:rPr>
        <w:t>（1）不同投标人的投标文件由同一单位或者个人编制；</w:t>
      </w:r>
    </w:p>
    <w:p w14:paraId="281835E8">
      <w:pPr>
        <w:adjustRightInd w:val="0"/>
        <w:snapToGrid w:val="0"/>
        <w:spacing w:line="360" w:lineRule="auto"/>
        <w:ind w:firstLine="420" w:firstLineChars="200"/>
        <w:rPr>
          <w:rFonts w:hint="eastAsia" w:ascii="宋体" w:hAnsi="宋体"/>
          <w:szCs w:val="21"/>
        </w:rPr>
      </w:pPr>
      <w:r>
        <w:rPr>
          <w:rFonts w:hint="eastAsia" w:ascii="宋体" w:hAnsi="宋体"/>
          <w:szCs w:val="21"/>
        </w:rPr>
        <w:t>（2）不同投标人委托同一单位或者个人办理投标事宜；</w:t>
      </w:r>
    </w:p>
    <w:p w14:paraId="2E1C5F99">
      <w:pPr>
        <w:adjustRightInd w:val="0"/>
        <w:snapToGrid w:val="0"/>
        <w:spacing w:line="360" w:lineRule="auto"/>
        <w:ind w:firstLine="420" w:firstLineChars="200"/>
        <w:rPr>
          <w:rFonts w:hint="eastAsia" w:ascii="宋体" w:hAnsi="宋体"/>
          <w:szCs w:val="21"/>
        </w:rPr>
      </w:pPr>
      <w:r>
        <w:rPr>
          <w:rFonts w:hint="eastAsia" w:ascii="宋体" w:hAnsi="宋体"/>
          <w:szCs w:val="21"/>
        </w:rPr>
        <w:t>（3）不同投标人的投标文件载明的项目管理成员或者联系人员为同一人；</w:t>
      </w:r>
    </w:p>
    <w:p w14:paraId="38790F40">
      <w:pPr>
        <w:adjustRightInd w:val="0"/>
        <w:snapToGrid w:val="0"/>
        <w:spacing w:line="360" w:lineRule="auto"/>
        <w:ind w:firstLine="420" w:firstLineChars="200"/>
        <w:rPr>
          <w:rFonts w:hint="eastAsia" w:ascii="宋体" w:hAnsi="宋体"/>
          <w:szCs w:val="21"/>
        </w:rPr>
      </w:pPr>
      <w:r>
        <w:rPr>
          <w:rFonts w:hint="eastAsia" w:ascii="宋体" w:hAnsi="宋体"/>
          <w:szCs w:val="21"/>
        </w:rPr>
        <w:t>（4）不同投标人的投标文件异常一致或者投标报价呈规律性差异；</w:t>
      </w:r>
    </w:p>
    <w:p w14:paraId="521C552E">
      <w:pPr>
        <w:adjustRightInd w:val="0"/>
        <w:snapToGrid w:val="0"/>
        <w:spacing w:line="360" w:lineRule="auto"/>
        <w:ind w:firstLine="420" w:firstLineChars="200"/>
        <w:rPr>
          <w:rFonts w:hint="eastAsia" w:ascii="宋体" w:hAnsi="宋体"/>
          <w:szCs w:val="21"/>
        </w:rPr>
      </w:pPr>
      <w:r>
        <w:rPr>
          <w:rFonts w:hint="eastAsia" w:ascii="宋体" w:hAnsi="宋体"/>
          <w:szCs w:val="21"/>
        </w:rPr>
        <w:t>（5）不同投标人的投标文件相互混装；</w:t>
      </w:r>
    </w:p>
    <w:p w14:paraId="675D7DAD">
      <w:pPr>
        <w:adjustRightInd w:val="0"/>
        <w:snapToGrid w:val="0"/>
        <w:spacing w:before="156" w:beforeLines="50" w:line="360" w:lineRule="auto"/>
        <w:ind w:firstLine="420" w:firstLineChars="200"/>
        <w:jc w:val="left"/>
        <w:rPr>
          <w:rFonts w:hint="eastAsia" w:ascii="宋体" w:hAnsi="宋体"/>
          <w:szCs w:val="21"/>
        </w:rPr>
      </w:pPr>
    </w:p>
    <w:p w14:paraId="4BA2F202">
      <w:pPr>
        <w:pStyle w:val="4"/>
        <w:adjustRightInd w:val="0"/>
        <w:snapToGrid w:val="0"/>
        <w:spacing w:before="156" w:beforeLines="50" w:after="0" w:line="360" w:lineRule="auto"/>
        <w:ind w:firstLine="1968" w:firstLineChars="700"/>
        <w:rPr>
          <w:rFonts w:hint="eastAsia" w:ascii="黑体" w:hAnsi="黑体" w:eastAsia="黑体"/>
          <w:sz w:val="28"/>
          <w:szCs w:val="28"/>
        </w:rPr>
      </w:pPr>
      <w:bookmarkStart w:id="24" w:name="_Toc3553"/>
      <w:r>
        <w:rPr>
          <w:rFonts w:hint="eastAsia" w:ascii="黑体" w:hAnsi="黑体" w:eastAsia="黑体"/>
          <w:sz w:val="28"/>
          <w:szCs w:val="28"/>
        </w:rPr>
        <w:t>五、开标，资格审查和评标</w:t>
      </w:r>
      <w:bookmarkEnd w:id="24"/>
    </w:p>
    <w:p w14:paraId="2B07C507">
      <w:pPr>
        <w:adjustRightInd w:val="0"/>
        <w:snapToGrid w:val="0"/>
        <w:spacing w:line="360" w:lineRule="auto"/>
        <w:rPr>
          <w:rFonts w:hint="eastAsia" w:ascii="宋体" w:hAnsi="宋体"/>
          <w:b/>
          <w:bCs/>
          <w:sz w:val="24"/>
        </w:rPr>
      </w:pPr>
      <w:r>
        <w:rPr>
          <w:rFonts w:hint="eastAsia" w:ascii="宋体" w:hAnsi="宋体"/>
          <w:b/>
          <w:bCs/>
          <w:sz w:val="24"/>
        </w:rPr>
        <w:t>24. 开标</w:t>
      </w:r>
    </w:p>
    <w:p w14:paraId="382B481C">
      <w:pPr>
        <w:adjustRightInd w:val="0"/>
        <w:snapToGrid w:val="0"/>
        <w:spacing w:line="360" w:lineRule="auto"/>
        <w:ind w:firstLine="420" w:firstLineChars="200"/>
        <w:rPr>
          <w:rFonts w:hint="eastAsia" w:ascii="宋体" w:hAnsi="宋体"/>
          <w:szCs w:val="21"/>
        </w:rPr>
      </w:pPr>
      <w:r>
        <w:rPr>
          <w:rFonts w:hint="eastAsia" w:ascii="宋体" w:hAnsi="宋体"/>
          <w:szCs w:val="21"/>
        </w:rPr>
        <w:t>24.1采购人、采购代理机构按</w:t>
      </w:r>
      <w:r>
        <w:rPr>
          <w:rFonts w:hint="eastAsia" w:ascii="宋体" w:hAnsi="宋体"/>
          <w:b/>
          <w:szCs w:val="21"/>
        </w:rPr>
        <w:t>【投标须知前附表】</w:t>
      </w:r>
      <w:r>
        <w:rPr>
          <w:rFonts w:hint="eastAsia" w:ascii="宋体" w:hAnsi="宋体"/>
          <w:szCs w:val="21"/>
        </w:rPr>
        <w:t>的规定组织网上开标，并邀请投标人参加。</w:t>
      </w:r>
    </w:p>
    <w:p w14:paraId="14A02030">
      <w:pPr>
        <w:adjustRightInd w:val="0"/>
        <w:snapToGrid w:val="0"/>
        <w:spacing w:line="360" w:lineRule="auto"/>
        <w:ind w:firstLine="420" w:firstLineChars="200"/>
        <w:rPr>
          <w:rFonts w:hint="eastAsia" w:ascii="宋体" w:hAnsi="宋体"/>
          <w:szCs w:val="21"/>
        </w:rPr>
      </w:pPr>
      <w:r>
        <w:rPr>
          <w:rFonts w:hint="eastAsia" w:ascii="宋体" w:hAnsi="宋体"/>
          <w:szCs w:val="21"/>
        </w:rPr>
        <w:t>24.2投标截止时间到达以后，投标人在规定时限内对电子投标文件进行解密。采购人、采购代理机构在网上进行开标、唱标，同步在网上公布开标结果。</w:t>
      </w:r>
    </w:p>
    <w:p w14:paraId="4E5B54B0">
      <w:pPr>
        <w:adjustRightInd w:val="0"/>
        <w:snapToGrid w:val="0"/>
        <w:spacing w:line="360" w:lineRule="auto"/>
        <w:ind w:firstLine="420" w:firstLineChars="200"/>
        <w:rPr>
          <w:rFonts w:hint="eastAsia" w:ascii="宋体" w:hAnsi="宋体"/>
          <w:szCs w:val="21"/>
        </w:rPr>
      </w:pPr>
      <w:r>
        <w:rPr>
          <w:rFonts w:hint="eastAsia" w:ascii="宋体" w:hAnsi="宋体"/>
          <w:szCs w:val="21"/>
        </w:rPr>
        <w:t>24.3开标注意事项：因投标人原因未按时限解密或无法解密的投标文件视为无效投标文件，相应责任由投标人自行承担。</w:t>
      </w:r>
    </w:p>
    <w:p w14:paraId="70905DAF">
      <w:pPr>
        <w:adjustRightInd w:val="0"/>
        <w:snapToGrid w:val="0"/>
        <w:spacing w:line="360" w:lineRule="auto"/>
        <w:ind w:firstLine="420" w:firstLineChars="200"/>
        <w:rPr>
          <w:rFonts w:hint="eastAsia" w:ascii="宋体" w:hAnsi="宋体"/>
          <w:szCs w:val="21"/>
        </w:rPr>
      </w:pPr>
      <w:r>
        <w:rPr>
          <w:rFonts w:hint="eastAsia" w:ascii="宋体" w:hAnsi="宋体"/>
          <w:szCs w:val="21"/>
        </w:rPr>
        <w:t>24.4投标人代表对开标过程和开标记录有疑义，以及认为采购人、采购代理机构相关工作人员有《政府采购法实施条例》第九条第一款需要回避的情形的，可以提出询问或者回避申请。</w:t>
      </w:r>
    </w:p>
    <w:p w14:paraId="6D17D171">
      <w:pPr>
        <w:adjustRightInd w:val="0"/>
        <w:snapToGrid w:val="0"/>
        <w:spacing w:line="360" w:lineRule="auto"/>
        <w:ind w:firstLine="420" w:firstLineChars="200"/>
        <w:rPr>
          <w:rFonts w:hint="eastAsia" w:ascii="宋体" w:hAnsi="宋体"/>
          <w:szCs w:val="21"/>
        </w:rPr>
      </w:pPr>
      <w:r>
        <w:rPr>
          <w:rFonts w:hint="eastAsia" w:ascii="宋体" w:hAnsi="宋体"/>
          <w:szCs w:val="21"/>
        </w:rPr>
        <w:t>24.5采购人、采购代理机构对投标人提出的询问或者回避申请，按《政府采购法实施条例》有关规定及时处理。</w:t>
      </w:r>
    </w:p>
    <w:p w14:paraId="0A4D6DF9">
      <w:pPr>
        <w:adjustRightInd w:val="0"/>
        <w:snapToGrid w:val="0"/>
        <w:spacing w:line="360" w:lineRule="auto"/>
        <w:rPr>
          <w:rFonts w:hint="eastAsia" w:ascii="宋体" w:hAnsi="宋体"/>
          <w:b/>
          <w:sz w:val="24"/>
        </w:rPr>
      </w:pPr>
      <w:r>
        <w:rPr>
          <w:rStyle w:val="30"/>
          <w:rFonts w:hint="eastAsia" w:ascii="宋体" w:hAnsi="宋体" w:cs="Arial"/>
          <w:sz w:val="24"/>
        </w:rPr>
        <w:t>25.</w:t>
      </w:r>
      <w:r>
        <w:rPr>
          <w:rFonts w:hint="eastAsia" w:ascii="宋体" w:hAnsi="宋体"/>
          <w:b/>
          <w:sz w:val="24"/>
        </w:rPr>
        <w:t xml:space="preserve"> 资格审查</w:t>
      </w:r>
    </w:p>
    <w:p w14:paraId="71EA0B71">
      <w:pPr>
        <w:adjustRightInd w:val="0"/>
        <w:snapToGrid w:val="0"/>
        <w:spacing w:line="360" w:lineRule="auto"/>
        <w:ind w:firstLine="420" w:firstLineChars="200"/>
        <w:rPr>
          <w:rFonts w:hint="eastAsia" w:ascii="宋体" w:hAnsi="宋体"/>
          <w:szCs w:val="21"/>
        </w:rPr>
      </w:pPr>
      <w:r>
        <w:rPr>
          <w:rFonts w:hint="eastAsia" w:ascii="宋体" w:hAnsi="宋体"/>
          <w:szCs w:val="21"/>
        </w:rPr>
        <w:t>25.1开标结束后，采购人、采购代理机构依法按照第三章“资格审查”规定组织资格审查。</w:t>
      </w:r>
    </w:p>
    <w:p w14:paraId="3056AF24">
      <w:pPr>
        <w:adjustRightInd w:val="0"/>
        <w:snapToGrid w:val="0"/>
        <w:spacing w:line="360" w:lineRule="auto"/>
        <w:ind w:firstLine="420" w:firstLineChars="200"/>
        <w:rPr>
          <w:rFonts w:hint="eastAsia" w:ascii="宋体" w:hAnsi="宋体"/>
          <w:szCs w:val="21"/>
        </w:rPr>
      </w:pPr>
      <w:r>
        <w:rPr>
          <w:rFonts w:hint="eastAsia" w:ascii="宋体" w:hAnsi="宋体"/>
          <w:szCs w:val="21"/>
        </w:rPr>
        <w:t>25.2资格审查结束后，采购人、采购代理机构应将资格审查结果告知评标委员会。资格审查不合格投标人不进入评标；资格审查合格投标人少于3家的，不得评标。</w:t>
      </w:r>
    </w:p>
    <w:p w14:paraId="6143E649">
      <w:pPr>
        <w:adjustRightInd w:val="0"/>
        <w:snapToGrid w:val="0"/>
        <w:spacing w:line="360" w:lineRule="auto"/>
        <w:rPr>
          <w:rFonts w:hint="eastAsia" w:ascii="宋体" w:hAnsi="宋体"/>
          <w:b/>
          <w:sz w:val="24"/>
        </w:rPr>
      </w:pPr>
      <w:r>
        <w:rPr>
          <w:rFonts w:hint="eastAsia" w:ascii="宋体" w:hAnsi="宋体"/>
          <w:b/>
          <w:bCs/>
          <w:sz w:val="24"/>
        </w:rPr>
        <w:t>26.</w:t>
      </w:r>
      <w:r>
        <w:rPr>
          <w:rFonts w:hint="eastAsia" w:ascii="宋体" w:hAnsi="宋体"/>
          <w:b/>
          <w:sz w:val="24"/>
        </w:rPr>
        <w:t xml:space="preserve"> 评标委员会</w:t>
      </w:r>
    </w:p>
    <w:p w14:paraId="247F7386">
      <w:pPr>
        <w:adjustRightInd w:val="0"/>
        <w:snapToGrid w:val="0"/>
        <w:spacing w:line="360" w:lineRule="auto"/>
        <w:ind w:firstLine="420" w:firstLineChars="200"/>
        <w:rPr>
          <w:rFonts w:hint="eastAsia" w:ascii="宋体" w:hAnsi="宋体"/>
          <w:szCs w:val="21"/>
          <w:highlight w:val="yellow"/>
        </w:rPr>
      </w:pPr>
      <w:r>
        <w:rPr>
          <w:rFonts w:hint="eastAsia" w:ascii="宋体" w:hAnsi="宋体"/>
          <w:szCs w:val="21"/>
        </w:rPr>
        <w:t>26.1评标由依法组建的评标委员会负责，评标委员会由采购人代表和评审专家组成。</w:t>
      </w:r>
    </w:p>
    <w:p w14:paraId="28498F37">
      <w:pPr>
        <w:adjustRightInd w:val="0"/>
        <w:snapToGrid w:val="0"/>
        <w:spacing w:line="360" w:lineRule="auto"/>
        <w:ind w:firstLine="420" w:firstLineChars="200"/>
        <w:rPr>
          <w:rFonts w:hint="eastAsia" w:ascii="宋体" w:hAnsi="宋体"/>
          <w:szCs w:val="21"/>
        </w:rPr>
      </w:pPr>
      <w:r>
        <w:rPr>
          <w:rFonts w:hint="eastAsia" w:ascii="宋体" w:hAnsi="宋体"/>
          <w:szCs w:val="21"/>
        </w:rPr>
        <w:t>26.2评标委员会成员有下列情形之一的，应当回避：</w:t>
      </w:r>
    </w:p>
    <w:p w14:paraId="776C85B7">
      <w:pPr>
        <w:adjustRightInd w:val="0"/>
        <w:snapToGrid w:val="0"/>
        <w:spacing w:line="360" w:lineRule="auto"/>
        <w:ind w:firstLine="420" w:firstLineChars="200"/>
        <w:rPr>
          <w:rFonts w:hint="eastAsia" w:ascii="宋体" w:hAnsi="宋体"/>
          <w:szCs w:val="21"/>
        </w:rPr>
      </w:pPr>
      <w:r>
        <w:rPr>
          <w:rFonts w:hint="eastAsia" w:ascii="宋体" w:hAnsi="宋体"/>
          <w:szCs w:val="21"/>
        </w:rPr>
        <w:t>（1）参加采购活动前三年内,与投标人存在劳动关系,或者担任过投标人的董事、监事,或者是投标人的控股股东或实际控制人；</w:t>
      </w:r>
    </w:p>
    <w:p w14:paraId="14A1E8C7">
      <w:pPr>
        <w:adjustRightInd w:val="0"/>
        <w:snapToGrid w:val="0"/>
        <w:spacing w:line="360" w:lineRule="auto"/>
        <w:ind w:firstLine="420" w:firstLineChars="200"/>
        <w:rPr>
          <w:rFonts w:hint="eastAsia" w:ascii="宋体" w:hAnsi="宋体"/>
          <w:szCs w:val="21"/>
        </w:rPr>
      </w:pPr>
      <w:r>
        <w:rPr>
          <w:rFonts w:hint="eastAsia" w:ascii="宋体" w:hAnsi="宋体"/>
          <w:szCs w:val="21"/>
        </w:rPr>
        <w:t>（2）与投标人的法定代表人或者负责人有夫妻、直系血亲、三代以内旁系血亲或者近姻亲关系；</w:t>
      </w:r>
    </w:p>
    <w:p w14:paraId="1DBBC6CB">
      <w:pPr>
        <w:adjustRightInd w:val="0"/>
        <w:snapToGrid w:val="0"/>
        <w:spacing w:line="360" w:lineRule="auto"/>
        <w:ind w:firstLine="420" w:firstLineChars="200"/>
        <w:rPr>
          <w:rFonts w:hint="eastAsia" w:ascii="宋体" w:hAnsi="宋体"/>
          <w:szCs w:val="21"/>
        </w:rPr>
      </w:pPr>
      <w:r>
        <w:rPr>
          <w:rFonts w:hint="eastAsia" w:ascii="宋体" w:hAnsi="宋体"/>
          <w:szCs w:val="21"/>
        </w:rPr>
        <w:t>（3）与投标人有其他可能影响政府采购活动公平、公正进行的关系。</w:t>
      </w:r>
    </w:p>
    <w:p w14:paraId="26B745BE">
      <w:pPr>
        <w:adjustRightInd w:val="0"/>
        <w:snapToGrid w:val="0"/>
        <w:spacing w:line="360" w:lineRule="auto"/>
        <w:ind w:firstLine="420" w:firstLineChars="200"/>
        <w:rPr>
          <w:rFonts w:hint="eastAsia" w:ascii="宋体" w:hAnsi="宋体"/>
          <w:szCs w:val="21"/>
        </w:rPr>
      </w:pPr>
      <w:r>
        <w:rPr>
          <w:rFonts w:hint="eastAsia" w:ascii="宋体" w:hAnsi="宋体"/>
          <w:szCs w:val="21"/>
        </w:rPr>
        <w:t>26.3评标委员会负责具体评标事务，并独立履行下列职责：</w:t>
      </w:r>
    </w:p>
    <w:p w14:paraId="34892307">
      <w:pPr>
        <w:adjustRightInd w:val="0"/>
        <w:snapToGrid w:val="0"/>
        <w:spacing w:line="360" w:lineRule="auto"/>
        <w:ind w:firstLine="420" w:firstLineChars="200"/>
        <w:rPr>
          <w:rFonts w:hint="eastAsia" w:ascii="宋体" w:hAnsi="宋体"/>
          <w:szCs w:val="21"/>
        </w:rPr>
      </w:pPr>
      <w:r>
        <w:rPr>
          <w:rFonts w:hint="eastAsia" w:ascii="宋体" w:hAnsi="宋体"/>
          <w:szCs w:val="21"/>
        </w:rPr>
        <w:t>（1）审查、评价投标文件是否符合招标文件的商务、技术等实质性要求；</w:t>
      </w:r>
    </w:p>
    <w:p w14:paraId="78C2B858">
      <w:pPr>
        <w:adjustRightInd w:val="0"/>
        <w:snapToGrid w:val="0"/>
        <w:spacing w:line="360" w:lineRule="auto"/>
        <w:ind w:firstLine="420" w:firstLineChars="200"/>
        <w:rPr>
          <w:rFonts w:hint="eastAsia" w:ascii="宋体" w:hAnsi="宋体"/>
          <w:szCs w:val="21"/>
        </w:rPr>
      </w:pPr>
      <w:r>
        <w:rPr>
          <w:rFonts w:hint="eastAsia" w:ascii="宋体" w:hAnsi="宋体"/>
          <w:szCs w:val="21"/>
        </w:rPr>
        <w:t>（2）要求投标人对投标文件有关事项作出澄清或者说明；</w:t>
      </w:r>
    </w:p>
    <w:p w14:paraId="635E624D">
      <w:pPr>
        <w:adjustRightInd w:val="0"/>
        <w:snapToGrid w:val="0"/>
        <w:spacing w:line="360" w:lineRule="auto"/>
        <w:ind w:firstLine="420" w:firstLineChars="200"/>
        <w:rPr>
          <w:rFonts w:hint="eastAsia" w:ascii="宋体" w:hAnsi="宋体"/>
          <w:szCs w:val="21"/>
        </w:rPr>
      </w:pPr>
      <w:r>
        <w:rPr>
          <w:rFonts w:hint="eastAsia" w:ascii="宋体" w:hAnsi="宋体"/>
          <w:szCs w:val="21"/>
        </w:rPr>
        <w:t>（3）对投标文件进行比较和评价；</w:t>
      </w:r>
    </w:p>
    <w:p w14:paraId="001403AF">
      <w:pPr>
        <w:adjustRightInd w:val="0"/>
        <w:snapToGrid w:val="0"/>
        <w:spacing w:line="360" w:lineRule="auto"/>
        <w:ind w:firstLine="420" w:firstLineChars="200"/>
        <w:rPr>
          <w:rFonts w:hint="eastAsia" w:ascii="宋体" w:hAnsi="宋体"/>
          <w:szCs w:val="21"/>
        </w:rPr>
      </w:pPr>
      <w:r>
        <w:rPr>
          <w:rFonts w:hint="eastAsia" w:ascii="宋体" w:hAnsi="宋体"/>
          <w:szCs w:val="21"/>
        </w:rPr>
        <w:t>（4）确定中标候选人名单，以及根据采购人委托直接确定中标人。</w:t>
      </w:r>
    </w:p>
    <w:p w14:paraId="7D3E5EC3">
      <w:pPr>
        <w:adjustRightInd w:val="0"/>
        <w:snapToGrid w:val="0"/>
        <w:spacing w:line="360" w:lineRule="auto"/>
        <w:rPr>
          <w:rFonts w:hint="eastAsia" w:ascii="宋体" w:hAnsi="宋体"/>
          <w:b/>
          <w:bCs/>
          <w:sz w:val="24"/>
        </w:rPr>
      </w:pPr>
      <w:r>
        <w:rPr>
          <w:rFonts w:hint="eastAsia" w:ascii="宋体" w:hAnsi="宋体"/>
          <w:b/>
          <w:sz w:val="24"/>
        </w:rPr>
        <w:t>27.</w:t>
      </w:r>
      <w:r>
        <w:rPr>
          <w:rFonts w:hint="eastAsia" w:ascii="宋体" w:hAnsi="宋体"/>
          <w:b/>
          <w:bCs/>
          <w:sz w:val="24"/>
        </w:rPr>
        <w:t xml:space="preserve"> 评标</w:t>
      </w:r>
    </w:p>
    <w:p w14:paraId="564AA9B4">
      <w:pPr>
        <w:adjustRightInd w:val="0"/>
        <w:snapToGrid w:val="0"/>
        <w:spacing w:line="360" w:lineRule="auto"/>
        <w:ind w:firstLine="420" w:firstLineChars="200"/>
        <w:rPr>
          <w:rFonts w:hint="eastAsia" w:ascii="宋体" w:hAnsi="宋体"/>
        </w:rPr>
      </w:pPr>
      <w:r>
        <w:rPr>
          <w:rFonts w:hint="eastAsia" w:ascii="宋体" w:hAnsi="宋体"/>
        </w:rPr>
        <w:t>27.1评标委员会按照</w:t>
      </w:r>
      <w:r>
        <w:rPr>
          <w:rFonts w:hint="eastAsia" w:ascii="宋体" w:hAnsi="宋体"/>
          <w:bCs/>
        </w:rPr>
        <w:t>第四章“评标方法及标准”</w:t>
      </w:r>
      <w:r>
        <w:rPr>
          <w:rFonts w:hint="eastAsia" w:ascii="宋体" w:hAnsi="宋体"/>
        </w:rPr>
        <w:t>规定的评标方法、评审因素、标准和程序以及有关法律、法规及规章对投标文件进行评审。</w:t>
      </w:r>
    </w:p>
    <w:p w14:paraId="72610C4D">
      <w:pPr>
        <w:adjustRightInd w:val="0"/>
        <w:snapToGrid w:val="0"/>
        <w:spacing w:line="360" w:lineRule="auto"/>
        <w:ind w:firstLine="420" w:firstLineChars="200"/>
        <w:rPr>
          <w:rFonts w:hint="eastAsia" w:ascii="宋体" w:hAnsi="宋体"/>
        </w:rPr>
      </w:pPr>
      <w:r>
        <w:rPr>
          <w:rFonts w:hint="eastAsia" w:ascii="宋体" w:hAnsi="宋体"/>
        </w:rPr>
        <w:t>27.2在电子化政府采购交易过程中，如遇不可抗力及停电、系统故障等情况短时内无法恢复正常的，采购人应暂停开、评标等交易活动，并如实记录相关情况。待故障和问题解除后，恢复交易活动。</w:t>
      </w:r>
    </w:p>
    <w:p w14:paraId="12F8BE69">
      <w:pPr>
        <w:pStyle w:val="4"/>
        <w:numPr>
          <w:ilvl w:val="2"/>
          <w:numId w:val="0"/>
        </w:numPr>
        <w:tabs>
          <w:tab w:val="left" w:pos="0"/>
        </w:tabs>
        <w:adjustRightInd w:val="0"/>
        <w:snapToGrid w:val="0"/>
        <w:spacing w:before="156" w:beforeLines="50" w:after="0" w:line="360" w:lineRule="auto"/>
        <w:jc w:val="center"/>
        <w:rPr>
          <w:rFonts w:hint="eastAsia" w:ascii="宋体" w:hAnsi="宋体"/>
          <w:sz w:val="28"/>
          <w:szCs w:val="28"/>
        </w:rPr>
      </w:pPr>
      <w:bookmarkStart w:id="25" w:name="_Toc113350934"/>
      <w:bookmarkStart w:id="26" w:name="_Toc79093669"/>
      <w:bookmarkStart w:id="27" w:name="_Toc99299723"/>
      <w:bookmarkStart w:id="28" w:name="_Toc6624"/>
      <w:bookmarkStart w:id="29" w:name="_Toc103979576"/>
      <w:bookmarkStart w:id="30" w:name="_Toc18282"/>
      <w:bookmarkStart w:id="31" w:name="_Toc26802"/>
      <w:bookmarkStart w:id="32" w:name="_Toc109656575"/>
      <w:bookmarkStart w:id="33" w:name="_Toc28675"/>
      <w:bookmarkStart w:id="34" w:name="_Toc17922"/>
      <w:bookmarkStart w:id="35" w:name="_Toc118209425"/>
      <w:bookmarkStart w:id="36" w:name="_Toc26181"/>
      <w:bookmarkStart w:id="37" w:name="_Toc8083"/>
      <w:bookmarkStart w:id="38" w:name="_Toc20717"/>
      <w:bookmarkStart w:id="39" w:name="_Toc108483393"/>
      <w:bookmarkStart w:id="40" w:name="_Toc9583"/>
      <w:bookmarkStart w:id="41" w:name="_Toc91"/>
      <w:bookmarkStart w:id="42" w:name="_Toc111543555"/>
      <w:bookmarkStart w:id="43" w:name="_Toc14835"/>
      <w:bookmarkStart w:id="44" w:name="_Toc11031"/>
      <w:r>
        <w:rPr>
          <w:rFonts w:hint="eastAsia" w:ascii="宋体" w:hAnsi="宋体"/>
          <w:sz w:val="28"/>
          <w:szCs w:val="28"/>
        </w:rPr>
        <w:t>六、中标信息公布</w:t>
      </w:r>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p>
    <w:p w14:paraId="5562A8D9">
      <w:pPr>
        <w:adjustRightInd w:val="0"/>
        <w:snapToGrid w:val="0"/>
        <w:spacing w:line="360" w:lineRule="auto"/>
        <w:rPr>
          <w:rFonts w:hint="eastAsia" w:ascii="宋体" w:hAnsi="宋体"/>
          <w:b/>
          <w:bCs/>
          <w:sz w:val="24"/>
        </w:rPr>
      </w:pPr>
      <w:r>
        <w:rPr>
          <w:rFonts w:hint="eastAsia" w:ascii="宋体" w:hAnsi="宋体"/>
          <w:b/>
          <w:sz w:val="24"/>
        </w:rPr>
        <w:t>28.</w:t>
      </w:r>
      <w:r>
        <w:rPr>
          <w:rFonts w:hint="eastAsia" w:ascii="宋体" w:hAnsi="宋体"/>
          <w:b/>
          <w:bCs/>
          <w:sz w:val="24"/>
        </w:rPr>
        <w:t>中标通知书与中标信息公布</w:t>
      </w:r>
    </w:p>
    <w:p w14:paraId="2B57AD93">
      <w:pPr>
        <w:adjustRightInd w:val="0"/>
        <w:snapToGrid w:val="0"/>
        <w:spacing w:line="360" w:lineRule="auto"/>
        <w:ind w:firstLine="420" w:firstLineChars="200"/>
        <w:rPr>
          <w:rFonts w:hint="eastAsia" w:ascii="宋体" w:hAnsi="宋体"/>
          <w:szCs w:val="21"/>
        </w:rPr>
      </w:pPr>
      <w:r>
        <w:rPr>
          <w:rFonts w:hint="eastAsia" w:ascii="宋体" w:hAnsi="宋体"/>
          <w:szCs w:val="21"/>
        </w:rPr>
        <w:t>28.1采购代理机构应当在评标结束后2个工作日内将评标报告送采购人。</w:t>
      </w:r>
    </w:p>
    <w:p w14:paraId="76C04BE2">
      <w:pPr>
        <w:adjustRightInd w:val="0"/>
        <w:snapToGrid w:val="0"/>
        <w:spacing w:line="360" w:lineRule="auto"/>
        <w:ind w:firstLine="420" w:firstLineChars="200"/>
        <w:rPr>
          <w:rFonts w:hint="eastAsia" w:ascii="宋体" w:hAnsi="宋体"/>
          <w:szCs w:val="21"/>
        </w:rPr>
      </w:pPr>
      <w:r>
        <w:rPr>
          <w:rFonts w:hint="eastAsia" w:ascii="宋体" w:hAnsi="宋体"/>
          <w:szCs w:val="21"/>
        </w:rPr>
        <w:t>28.2采购人应当自收到评标报告之日起5个工作日内，在评标报告确定的中标候选人名单中按顺序确定中标人。中标候选人并列的，按照</w:t>
      </w:r>
      <w:r>
        <w:rPr>
          <w:rFonts w:hint="eastAsia" w:ascii="宋体" w:hAnsi="宋体"/>
          <w:b/>
          <w:szCs w:val="21"/>
        </w:rPr>
        <w:t>【投标须知前附表】</w:t>
      </w:r>
      <w:r>
        <w:rPr>
          <w:rFonts w:hint="eastAsia" w:ascii="宋体" w:hAnsi="宋体"/>
          <w:szCs w:val="21"/>
        </w:rPr>
        <w:t>规定的方式确定中标人；招标文件未规定的，采取随机抽取的方式确定。</w:t>
      </w:r>
    </w:p>
    <w:p w14:paraId="7C88ACE5">
      <w:pPr>
        <w:adjustRightInd w:val="0"/>
        <w:snapToGrid w:val="0"/>
        <w:spacing w:line="360" w:lineRule="auto"/>
        <w:ind w:firstLine="420" w:firstLineChars="200"/>
        <w:rPr>
          <w:rFonts w:hint="eastAsia" w:ascii="宋体" w:hAnsi="宋体"/>
          <w:szCs w:val="21"/>
        </w:rPr>
      </w:pPr>
      <w:r>
        <w:rPr>
          <w:rFonts w:hint="eastAsia" w:ascii="宋体" w:hAnsi="宋体"/>
          <w:szCs w:val="21"/>
        </w:rPr>
        <w:t>28.3采购人、采购代理机构应当自采购人确定中标供应商之日起2个工作日内，发出中标通知书，并在招标公告指定媒体上公告中标结果，招标文件随中标结果同时公告，中标结果公告期限为1个工作日。</w:t>
      </w:r>
    </w:p>
    <w:p w14:paraId="5ADA9CDA">
      <w:pPr>
        <w:adjustRightInd w:val="0"/>
        <w:snapToGrid w:val="0"/>
        <w:spacing w:line="360" w:lineRule="auto"/>
        <w:rPr>
          <w:rFonts w:hint="eastAsia" w:ascii="宋体" w:hAnsi="宋体"/>
          <w:b/>
          <w:bCs/>
          <w:sz w:val="24"/>
        </w:rPr>
      </w:pPr>
      <w:r>
        <w:rPr>
          <w:rFonts w:hint="eastAsia" w:ascii="宋体" w:hAnsi="宋体"/>
          <w:b/>
          <w:bCs/>
          <w:sz w:val="24"/>
        </w:rPr>
        <w:t>29.</w:t>
      </w:r>
      <w:r>
        <w:rPr>
          <w:rFonts w:hint="eastAsia" w:ascii="宋体" w:hAnsi="宋体"/>
          <w:b/>
          <w:sz w:val="24"/>
        </w:rPr>
        <w:t xml:space="preserve"> 投标人询问及</w:t>
      </w:r>
      <w:r>
        <w:rPr>
          <w:rFonts w:hint="eastAsia" w:ascii="宋体" w:hAnsi="宋体"/>
          <w:b/>
          <w:bCs/>
          <w:sz w:val="24"/>
        </w:rPr>
        <w:t>质疑</w:t>
      </w:r>
    </w:p>
    <w:p w14:paraId="76C12B4B">
      <w:pPr>
        <w:adjustRightInd w:val="0"/>
        <w:snapToGrid w:val="0"/>
        <w:spacing w:line="360" w:lineRule="auto"/>
        <w:ind w:firstLine="420" w:firstLineChars="200"/>
        <w:rPr>
          <w:rFonts w:hint="eastAsia" w:ascii="宋体" w:hAnsi="宋体"/>
          <w:szCs w:val="21"/>
        </w:rPr>
      </w:pPr>
      <w:r>
        <w:rPr>
          <w:rFonts w:hint="eastAsia" w:ascii="宋体" w:hAnsi="宋体"/>
          <w:szCs w:val="21"/>
        </w:rPr>
        <w:t>29.1投标人对政府采购活动事项有疑问的，可以向采购人、采购代理机构提出询问。采购人或者采购代理机构将在3个工作日内作出答复。</w:t>
      </w:r>
    </w:p>
    <w:p w14:paraId="59F49F01">
      <w:pPr>
        <w:adjustRightInd w:val="0"/>
        <w:snapToGrid w:val="0"/>
        <w:spacing w:line="360" w:lineRule="auto"/>
        <w:ind w:firstLine="420" w:firstLineChars="200"/>
        <w:rPr>
          <w:rFonts w:hint="eastAsia" w:ascii="宋体" w:hAnsi="宋体"/>
          <w:szCs w:val="21"/>
        </w:rPr>
      </w:pPr>
      <w:r>
        <w:rPr>
          <w:rFonts w:hint="eastAsia" w:ascii="宋体" w:hAnsi="宋体"/>
          <w:szCs w:val="21"/>
        </w:rPr>
        <w:t>29.2投标人认为招标文件、采购过程和中标结果使自己的权益受到损害的，可以在知道或者应知其权益受到损害之日起7个工作日内，按照《湖南省财政厅关于印发＜政府采购质疑答复和投诉处理操作规程＞的通知》(湘财购〔20</w:t>
      </w:r>
      <w:r>
        <w:rPr>
          <w:rFonts w:hint="eastAsia" w:ascii="宋体" w:hAnsi="宋体"/>
          <w:szCs w:val="21"/>
          <w:lang w:val="en-US" w:eastAsia="zh-CN"/>
        </w:rPr>
        <w:t>24</w:t>
      </w:r>
      <w:r>
        <w:rPr>
          <w:rFonts w:hint="eastAsia" w:ascii="宋体" w:hAnsi="宋体"/>
          <w:szCs w:val="21"/>
        </w:rPr>
        <w:t>〕</w:t>
      </w:r>
      <w:r>
        <w:rPr>
          <w:rFonts w:hint="eastAsia" w:ascii="宋体" w:hAnsi="宋体"/>
          <w:szCs w:val="21"/>
          <w:lang w:val="en-US" w:eastAsia="zh-CN"/>
        </w:rPr>
        <w:t>67</w:t>
      </w:r>
      <w:r>
        <w:rPr>
          <w:rFonts w:hint="eastAsia" w:ascii="宋体" w:hAnsi="宋体"/>
          <w:szCs w:val="21"/>
        </w:rPr>
        <w:t>号)规定，以纸质书面形式向采购人、采购代理机构提出质疑。投标人应当在法定质疑期内一次性提出针对同一采购程序环节的质疑。</w:t>
      </w:r>
    </w:p>
    <w:p w14:paraId="163D27AA">
      <w:pPr>
        <w:adjustRightInd w:val="0"/>
        <w:snapToGrid w:val="0"/>
        <w:spacing w:line="360" w:lineRule="auto"/>
        <w:ind w:firstLine="420" w:firstLineChars="200"/>
        <w:rPr>
          <w:rFonts w:hint="eastAsia" w:ascii="宋体" w:hAnsi="宋体"/>
          <w:szCs w:val="21"/>
        </w:rPr>
      </w:pPr>
      <w:r>
        <w:rPr>
          <w:rFonts w:hint="eastAsia" w:ascii="宋体" w:hAnsi="宋体"/>
          <w:szCs w:val="21"/>
        </w:rPr>
        <w:t>29.3投标人提出质疑的，应按照《湖南省财政厅关于印发＜政府采购质疑答复和投诉处理操作规程＞的通知》规定制作、签署、送达。采购人、采购代理机构接收质疑函的联系部门、联系电话和通讯地址见</w:t>
      </w:r>
      <w:r>
        <w:rPr>
          <w:rFonts w:hint="eastAsia" w:ascii="宋体" w:hAnsi="宋体"/>
          <w:b/>
          <w:szCs w:val="21"/>
        </w:rPr>
        <w:t>【申请人须知前附表】</w:t>
      </w:r>
      <w:r>
        <w:rPr>
          <w:rFonts w:hint="eastAsia" w:ascii="宋体" w:hAnsi="宋体"/>
          <w:szCs w:val="21"/>
        </w:rPr>
        <w:t xml:space="preserve">。  </w:t>
      </w:r>
    </w:p>
    <w:p w14:paraId="64561680">
      <w:pPr>
        <w:adjustRightInd w:val="0"/>
        <w:snapToGrid w:val="0"/>
        <w:spacing w:line="360" w:lineRule="auto"/>
        <w:ind w:firstLine="420" w:firstLineChars="200"/>
        <w:rPr>
          <w:rFonts w:hint="eastAsia" w:ascii="宋体" w:hAnsi="宋体"/>
          <w:szCs w:val="21"/>
        </w:rPr>
      </w:pPr>
      <w:r>
        <w:rPr>
          <w:rFonts w:hint="eastAsia" w:ascii="宋体" w:hAnsi="宋体"/>
          <w:szCs w:val="21"/>
        </w:rPr>
        <w:t>29.4采购人、采购代理机构按照《湖南省财政厅关于印发＜政府采购质疑答复和投诉处理操作规程＞的通知》规定进行质疑答复。</w:t>
      </w:r>
    </w:p>
    <w:p w14:paraId="4AD85529">
      <w:pPr>
        <w:adjustRightInd w:val="0"/>
        <w:snapToGrid w:val="0"/>
        <w:spacing w:line="360" w:lineRule="auto"/>
        <w:ind w:firstLine="420" w:firstLineChars="200"/>
        <w:rPr>
          <w:rFonts w:hint="eastAsia" w:ascii="宋体" w:hAnsi="宋体"/>
          <w:b/>
          <w:bCs/>
        </w:rPr>
      </w:pPr>
      <w:r>
        <w:rPr>
          <w:rFonts w:hint="eastAsia" w:ascii="宋体" w:hAnsi="宋体"/>
          <w:szCs w:val="21"/>
        </w:rPr>
        <w:t>29</w:t>
      </w:r>
      <w:r>
        <w:rPr>
          <w:rFonts w:ascii="宋体" w:hAnsi="宋体"/>
          <w:szCs w:val="21"/>
        </w:rPr>
        <w:t>.</w:t>
      </w:r>
      <w:r>
        <w:rPr>
          <w:rFonts w:hint="eastAsia" w:ascii="宋体" w:hAnsi="宋体"/>
          <w:szCs w:val="21"/>
        </w:rPr>
        <w:t>5投标人对采购人、采购代理机构的答复不满意，或采购人或采购代理机构未在规定的期限作出答复的，可在答复期满后15个工作日内，按照《湖南省财政厅关于印发＜政府采购质疑答复和投诉处理操作规程＞的通知》规定向采购人同级财政部门提出投诉。</w:t>
      </w:r>
    </w:p>
    <w:p w14:paraId="4C3531EF">
      <w:pPr>
        <w:pStyle w:val="4"/>
        <w:numPr>
          <w:ilvl w:val="2"/>
          <w:numId w:val="0"/>
        </w:numPr>
        <w:tabs>
          <w:tab w:val="left" w:pos="0"/>
        </w:tabs>
        <w:adjustRightInd w:val="0"/>
        <w:snapToGrid w:val="0"/>
        <w:spacing w:before="156" w:beforeLines="50" w:after="0" w:line="360" w:lineRule="auto"/>
        <w:jc w:val="center"/>
        <w:rPr>
          <w:rFonts w:hint="eastAsia" w:ascii="宋体" w:hAnsi="宋体"/>
          <w:sz w:val="28"/>
          <w:szCs w:val="28"/>
        </w:rPr>
      </w:pPr>
      <w:bookmarkStart w:id="45" w:name="_Toc7010"/>
      <w:bookmarkStart w:id="46" w:name="_Toc10671"/>
      <w:bookmarkStart w:id="47" w:name="_Toc28540"/>
      <w:bookmarkStart w:id="48" w:name="_Toc24152"/>
      <w:bookmarkStart w:id="49" w:name="_Toc13118"/>
      <w:bookmarkStart w:id="50" w:name="_Toc328"/>
      <w:bookmarkStart w:id="51" w:name="_Toc99299724"/>
      <w:bookmarkStart w:id="52" w:name="_Toc13438"/>
      <w:bookmarkStart w:id="53" w:name="_Toc109656576"/>
      <w:bookmarkStart w:id="54" w:name="_Toc4403"/>
      <w:bookmarkStart w:id="55" w:name="_Toc2292"/>
      <w:bookmarkStart w:id="56" w:name="_Toc103979577"/>
      <w:bookmarkStart w:id="57" w:name="_Toc118209426"/>
      <w:bookmarkStart w:id="58" w:name="_Toc6007"/>
      <w:bookmarkStart w:id="59" w:name="_Toc79093670"/>
      <w:bookmarkStart w:id="60" w:name="_Toc31254"/>
      <w:bookmarkStart w:id="61" w:name="_Toc111543556"/>
      <w:bookmarkStart w:id="62" w:name="_Toc14894"/>
      <w:bookmarkStart w:id="63" w:name="_Toc113350935"/>
      <w:bookmarkStart w:id="64" w:name="_Toc108483394"/>
      <w:r>
        <w:rPr>
          <w:rFonts w:hint="eastAsia" w:ascii="宋体" w:hAnsi="宋体"/>
          <w:sz w:val="28"/>
          <w:szCs w:val="28"/>
        </w:rPr>
        <w:t>七、合同签订</w:t>
      </w:r>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p>
    <w:p w14:paraId="34F5431D">
      <w:pPr>
        <w:adjustRightInd w:val="0"/>
        <w:snapToGrid w:val="0"/>
        <w:spacing w:line="360" w:lineRule="auto"/>
        <w:rPr>
          <w:rFonts w:hint="eastAsia" w:ascii="宋体" w:hAnsi="宋体"/>
          <w:b/>
          <w:bCs/>
          <w:sz w:val="24"/>
        </w:rPr>
      </w:pPr>
      <w:r>
        <w:rPr>
          <w:rFonts w:hint="eastAsia" w:ascii="宋体" w:hAnsi="宋体"/>
          <w:b/>
          <w:bCs/>
          <w:sz w:val="24"/>
        </w:rPr>
        <w:t>30. 签订合同</w:t>
      </w:r>
    </w:p>
    <w:p w14:paraId="433A3D65">
      <w:pPr>
        <w:adjustRightInd w:val="0"/>
        <w:snapToGrid w:val="0"/>
        <w:spacing w:line="360" w:lineRule="auto"/>
        <w:ind w:firstLine="420" w:firstLineChars="200"/>
        <w:rPr>
          <w:rFonts w:hint="eastAsia" w:ascii="宋体" w:hAnsi="宋体"/>
          <w:szCs w:val="21"/>
        </w:rPr>
      </w:pPr>
      <w:r>
        <w:rPr>
          <w:rFonts w:hint="eastAsia" w:ascii="宋体" w:hAnsi="宋体"/>
          <w:szCs w:val="21"/>
        </w:rPr>
        <w:t>30.1采购人应自中标通知书发出之日起30日内，按中标通知书指定的时间、地点与中标人签订政府采购合同。所签订的合同不得对招标文件确定的事项和中标人投标文件作实质性修改。</w:t>
      </w:r>
    </w:p>
    <w:p w14:paraId="5B044D4E">
      <w:pPr>
        <w:adjustRightInd w:val="0"/>
        <w:snapToGrid w:val="0"/>
        <w:spacing w:line="360" w:lineRule="auto"/>
        <w:ind w:firstLine="420" w:firstLineChars="200"/>
        <w:rPr>
          <w:rFonts w:hint="eastAsia" w:ascii="宋体" w:hAnsi="宋体"/>
          <w:szCs w:val="21"/>
        </w:rPr>
      </w:pPr>
      <w:r>
        <w:rPr>
          <w:rFonts w:hint="eastAsia" w:ascii="宋体" w:hAnsi="宋体"/>
          <w:szCs w:val="21"/>
        </w:rPr>
        <w:t>30.2招标文件、中标人的投标文件均为签订合同的依据。</w:t>
      </w:r>
    </w:p>
    <w:p w14:paraId="5D58922D">
      <w:pPr>
        <w:adjustRightInd w:val="0"/>
        <w:snapToGrid w:val="0"/>
        <w:spacing w:line="360" w:lineRule="auto"/>
        <w:ind w:firstLine="420" w:firstLineChars="200"/>
        <w:rPr>
          <w:rFonts w:hint="eastAsia" w:ascii="宋体" w:hAnsi="宋体" w:cs="微软雅黑"/>
          <w:kern w:val="0"/>
          <w:szCs w:val="21"/>
        </w:rPr>
      </w:pPr>
      <w:r>
        <w:rPr>
          <w:rFonts w:hint="eastAsia" w:ascii="宋体" w:hAnsi="宋体" w:cs="微软雅黑"/>
          <w:kern w:val="0"/>
          <w:szCs w:val="21"/>
        </w:rPr>
        <w:t>30.3联</w:t>
      </w:r>
      <w:r>
        <w:rPr>
          <w:rFonts w:hint="eastAsia" w:ascii="宋体" w:hAnsi="宋体" w:cs="微软雅黑"/>
          <w:spacing w:val="-2"/>
          <w:kern w:val="0"/>
          <w:szCs w:val="21"/>
        </w:rPr>
        <w:t>合</w:t>
      </w:r>
      <w:r>
        <w:rPr>
          <w:rFonts w:hint="eastAsia" w:ascii="宋体" w:hAnsi="宋体" w:cs="微软雅黑"/>
          <w:kern w:val="0"/>
          <w:szCs w:val="21"/>
        </w:rPr>
        <w:t>体</w:t>
      </w:r>
      <w:r>
        <w:rPr>
          <w:rFonts w:hint="eastAsia" w:ascii="宋体" w:hAnsi="宋体" w:cs="微软雅黑"/>
          <w:spacing w:val="-2"/>
          <w:kern w:val="0"/>
          <w:szCs w:val="21"/>
        </w:rPr>
        <w:t>中</w:t>
      </w:r>
      <w:r>
        <w:rPr>
          <w:rFonts w:hint="eastAsia" w:ascii="宋体" w:hAnsi="宋体" w:cs="微软雅黑"/>
          <w:kern w:val="0"/>
          <w:szCs w:val="21"/>
        </w:rPr>
        <w:t>标的</w:t>
      </w:r>
      <w:r>
        <w:rPr>
          <w:rFonts w:hint="eastAsia" w:ascii="宋体" w:hAnsi="宋体" w:cs="微软雅黑"/>
          <w:spacing w:val="-14"/>
          <w:kern w:val="0"/>
          <w:szCs w:val="21"/>
        </w:rPr>
        <w:t>，</w:t>
      </w:r>
      <w:r>
        <w:rPr>
          <w:rFonts w:hint="eastAsia" w:ascii="宋体" w:hAnsi="宋体" w:cs="微软雅黑"/>
          <w:kern w:val="0"/>
          <w:szCs w:val="21"/>
        </w:rPr>
        <w:t>联</w:t>
      </w:r>
      <w:r>
        <w:rPr>
          <w:rFonts w:hint="eastAsia" w:ascii="宋体" w:hAnsi="宋体" w:cs="微软雅黑"/>
          <w:spacing w:val="-2"/>
          <w:kern w:val="0"/>
          <w:szCs w:val="21"/>
        </w:rPr>
        <w:t>合</w:t>
      </w:r>
      <w:r>
        <w:rPr>
          <w:rFonts w:hint="eastAsia" w:ascii="宋体" w:hAnsi="宋体" w:cs="微软雅黑"/>
          <w:kern w:val="0"/>
          <w:szCs w:val="21"/>
        </w:rPr>
        <w:t>体各</w:t>
      </w:r>
      <w:r>
        <w:rPr>
          <w:rFonts w:hint="eastAsia" w:ascii="宋体" w:hAnsi="宋体" w:cs="微软雅黑"/>
          <w:spacing w:val="-2"/>
          <w:kern w:val="0"/>
          <w:szCs w:val="21"/>
        </w:rPr>
        <w:t>方</w:t>
      </w:r>
      <w:r>
        <w:rPr>
          <w:rFonts w:hint="eastAsia" w:ascii="宋体" w:hAnsi="宋体" w:cs="微软雅黑"/>
          <w:kern w:val="0"/>
          <w:szCs w:val="21"/>
        </w:rPr>
        <w:t>应</w:t>
      </w:r>
      <w:r>
        <w:rPr>
          <w:rFonts w:hint="eastAsia" w:ascii="宋体" w:hAnsi="宋体" w:cs="微软雅黑"/>
          <w:spacing w:val="-2"/>
          <w:kern w:val="0"/>
          <w:szCs w:val="21"/>
        </w:rPr>
        <w:t>当</w:t>
      </w:r>
      <w:r>
        <w:rPr>
          <w:rFonts w:hint="eastAsia" w:ascii="宋体" w:hAnsi="宋体" w:cs="微软雅黑"/>
          <w:kern w:val="0"/>
          <w:szCs w:val="21"/>
        </w:rPr>
        <w:t>共</w:t>
      </w:r>
      <w:r>
        <w:rPr>
          <w:rFonts w:hint="eastAsia" w:ascii="宋体" w:hAnsi="宋体" w:cs="微软雅黑"/>
          <w:spacing w:val="-2"/>
          <w:kern w:val="0"/>
          <w:szCs w:val="21"/>
        </w:rPr>
        <w:t>同</w:t>
      </w:r>
      <w:r>
        <w:rPr>
          <w:rFonts w:hint="eastAsia" w:ascii="宋体" w:hAnsi="宋体" w:cs="微软雅黑"/>
          <w:kern w:val="0"/>
          <w:szCs w:val="21"/>
        </w:rPr>
        <w:t>与</w:t>
      </w:r>
      <w:r>
        <w:rPr>
          <w:rFonts w:hint="eastAsia" w:ascii="宋体" w:hAnsi="宋体" w:cs="微软雅黑"/>
          <w:spacing w:val="-2"/>
          <w:kern w:val="0"/>
          <w:szCs w:val="21"/>
        </w:rPr>
        <w:t>采购人</w:t>
      </w:r>
      <w:r>
        <w:rPr>
          <w:rFonts w:hint="eastAsia" w:ascii="宋体" w:hAnsi="宋体" w:cs="微软雅黑"/>
          <w:kern w:val="0"/>
          <w:szCs w:val="21"/>
        </w:rPr>
        <w:t>签订</w:t>
      </w:r>
      <w:r>
        <w:rPr>
          <w:rFonts w:hint="eastAsia" w:ascii="宋体" w:hAnsi="宋体" w:cs="微软雅黑"/>
          <w:spacing w:val="-2"/>
          <w:kern w:val="0"/>
          <w:szCs w:val="21"/>
        </w:rPr>
        <w:t>合</w:t>
      </w:r>
      <w:r>
        <w:rPr>
          <w:rFonts w:hint="eastAsia" w:ascii="宋体" w:hAnsi="宋体" w:cs="微软雅黑"/>
          <w:kern w:val="0"/>
          <w:szCs w:val="21"/>
        </w:rPr>
        <w:t>同</w:t>
      </w:r>
      <w:r>
        <w:rPr>
          <w:rFonts w:hint="eastAsia" w:ascii="宋体" w:hAnsi="宋体" w:cs="微软雅黑"/>
          <w:spacing w:val="-14"/>
          <w:kern w:val="0"/>
          <w:szCs w:val="21"/>
        </w:rPr>
        <w:t>，</w:t>
      </w:r>
      <w:r>
        <w:rPr>
          <w:rFonts w:hint="eastAsia" w:ascii="宋体" w:hAnsi="宋体" w:cs="微软雅黑"/>
          <w:kern w:val="0"/>
          <w:szCs w:val="21"/>
        </w:rPr>
        <w:t>就</w:t>
      </w:r>
      <w:r>
        <w:rPr>
          <w:rFonts w:hint="eastAsia" w:ascii="宋体" w:hAnsi="宋体" w:cs="微软雅黑"/>
          <w:spacing w:val="-2"/>
          <w:kern w:val="0"/>
          <w:szCs w:val="21"/>
        </w:rPr>
        <w:t>中</w:t>
      </w:r>
      <w:r>
        <w:rPr>
          <w:rFonts w:hint="eastAsia" w:ascii="宋体" w:hAnsi="宋体" w:cs="微软雅黑"/>
          <w:kern w:val="0"/>
          <w:szCs w:val="21"/>
        </w:rPr>
        <w:t>标</w:t>
      </w:r>
      <w:r>
        <w:rPr>
          <w:rFonts w:hint="eastAsia" w:ascii="宋体" w:hAnsi="宋体" w:cs="微软雅黑"/>
          <w:spacing w:val="-2"/>
          <w:kern w:val="0"/>
          <w:szCs w:val="21"/>
        </w:rPr>
        <w:t>项</w:t>
      </w:r>
      <w:r>
        <w:rPr>
          <w:rFonts w:hint="eastAsia" w:ascii="宋体" w:hAnsi="宋体" w:cs="微软雅黑"/>
          <w:kern w:val="0"/>
          <w:szCs w:val="21"/>
        </w:rPr>
        <w:t>目</w:t>
      </w:r>
      <w:r>
        <w:rPr>
          <w:rFonts w:hint="eastAsia" w:ascii="宋体" w:hAnsi="宋体" w:cs="微软雅黑"/>
          <w:spacing w:val="-2"/>
          <w:kern w:val="0"/>
          <w:szCs w:val="21"/>
        </w:rPr>
        <w:t>向</w:t>
      </w:r>
      <w:r>
        <w:rPr>
          <w:rFonts w:hint="eastAsia" w:ascii="宋体" w:hAnsi="宋体" w:cs="微软雅黑"/>
          <w:kern w:val="0"/>
          <w:szCs w:val="21"/>
        </w:rPr>
        <w:t>采购人承</w:t>
      </w:r>
      <w:r>
        <w:rPr>
          <w:rFonts w:hint="eastAsia" w:ascii="宋体" w:hAnsi="宋体" w:cs="微软雅黑"/>
          <w:spacing w:val="-2"/>
          <w:kern w:val="0"/>
          <w:szCs w:val="21"/>
        </w:rPr>
        <w:t>担</w:t>
      </w:r>
      <w:r>
        <w:rPr>
          <w:rFonts w:hint="eastAsia" w:ascii="宋体" w:hAnsi="宋体" w:cs="微软雅黑"/>
          <w:kern w:val="0"/>
          <w:szCs w:val="21"/>
        </w:rPr>
        <w:t>连带责</w:t>
      </w:r>
      <w:r>
        <w:rPr>
          <w:rFonts w:hint="eastAsia" w:ascii="宋体" w:hAnsi="宋体" w:cs="微软雅黑"/>
          <w:spacing w:val="-2"/>
          <w:kern w:val="0"/>
          <w:szCs w:val="21"/>
        </w:rPr>
        <w:t>任</w:t>
      </w:r>
      <w:r>
        <w:rPr>
          <w:rFonts w:hint="eastAsia" w:ascii="宋体" w:hAnsi="宋体" w:cs="微软雅黑"/>
          <w:kern w:val="0"/>
          <w:szCs w:val="21"/>
        </w:rPr>
        <w:t>。</w:t>
      </w:r>
    </w:p>
    <w:p w14:paraId="6F5DAE1F">
      <w:pPr>
        <w:adjustRightInd w:val="0"/>
        <w:snapToGrid w:val="0"/>
        <w:spacing w:line="360" w:lineRule="auto"/>
        <w:ind w:firstLine="420" w:firstLineChars="200"/>
        <w:rPr>
          <w:rFonts w:hint="eastAsia" w:ascii="宋体" w:hAnsi="宋体"/>
          <w:szCs w:val="21"/>
        </w:rPr>
      </w:pPr>
      <w:r>
        <w:rPr>
          <w:rFonts w:ascii="宋体" w:hAnsi="宋体"/>
          <w:szCs w:val="21"/>
        </w:rPr>
        <w:t>30.4</w:t>
      </w:r>
      <w:r>
        <w:rPr>
          <w:rFonts w:hint="eastAsia" w:ascii="宋体" w:hAnsi="宋体"/>
          <w:szCs w:val="21"/>
        </w:rPr>
        <w:t>中标合同将在招标公告指定媒体上公告，但合同中涉及国家秘密、商业秘密的内容除外。</w:t>
      </w:r>
    </w:p>
    <w:p w14:paraId="708D1948">
      <w:pPr>
        <w:adjustRightInd w:val="0"/>
        <w:snapToGrid w:val="0"/>
        <w:spacing w:line="360" w:lineRule="auto"/>
        <w:ind w:firstLine="420" w:firstLineChars="200"/>
        <w:rPr>
          <w:rFonts w:hint="eastAsia" w:ascii="宋体" w:hAnsi="宋体"/>
          <w:bCs/>
          <w:szCs w:val="21"/>
        </w:rPr>
      </w:pPr>
      <w:r>
        <w:rPr>
          <w:rFonts w:hint="eastAsia" w:ascii="宋体" w:hAnsi="宋体"/>
          <w:szCs w:val="21"/>
        </w:rPr>
        <w:t>30.5中标人</w:t>
      </w:r>
      <w:r>
        <w:rPr>
          <w:rFonts w:hint="eastAsia" w:ascii="宋体" w:hAnsi="宋体"/>
          <w:bCs/>
          <w:szCs w:val="21"/>
        </w:rPr>
        <w:t>应当按照合同约定依法履行合同义务。政府采购合同的履行、违约责任和解决争议的方法等适用《中华人民共和国民法典》。</w:t>
      </w:r>
    </w:p>
    <w:p w14:paraId="5BE944EC">
      <w:pPr>
        <w:adjustRightInd w:val="0"/>
        <w:snapToGrid w:val="0"/>
        <w:spacing w:line="360" w:lineRule="auto"/>
        <w:rPr>
          <w:rFonts w:hint="eastAsia" w:ascii="宋体" w:hAnsi="宋体" w:cs="宋体"/>
          <w:b/>
          <w:kern w:val="0"/>
          <w:sz w:val="24"/>
        </w:rPr>
      </w:pPr>
      <w:r>
        <w:rPr>
          <w:rFonts w:hint="eastAsia" w:ascii="宋体" w:hAnsi="宋体"/>
          <w:b/>
          <w:bCs/>
          <w:sz w:val="24"/>
        </w:rPr>
        <w:t>31.</w:t>
      </w:r>
      <w:r>
        <w:rPr>
          <w:rFonts w:hint="eastAsia" w:ascii="宋体" w:hAnsi="宋体" w:cs="宋体"/>
          <w:b/>
          <w:kern w:val="0"/>
          <w:sz w:val="24"/>
        </w:rPr>
        <w:t xml:space="preserve"> 履约担保</w:t>
      </w:r>
    </w:p>
    <w:p w14:paraId="2BDD000D">
      <w:pPr>
        <w:adjustRightInd w:val="0"/>
        <w:snapToGrid w:val="0"/>
        <w:spacing w:line="360" w:lineRule="auto"/>
        <w:ind w:firstLine="420" w:firstLineChars="200"/>
        <w:rPr>
          <w:rFonts w:hint="eastAsia" w:ascii="宋体" w:hAnsi="宋体"/>
          <w:szCs w:val="21"/>
        </w:rPr>
      </w:pPr>
      <w:r>
        <w:rPr>
          <w:rFonts w:hint="eastAsia" w:ascii="宋体" w:hAnsi="宋体" w:cs="宋体"/>
          <w:kern w:val="0"/>
          <w:szCs w:val="21"/>
        </w:rPr>
        <w:t>31.1</w:t>
      </w:r>
      <w:r>
        <w:rPr>
          <w:rFonts w:hint="eastAsia" w:ascii="宋体" w:hAnsi="宋体"/>
          <w:szCs w:val="21"/>
        </w:rPr>
        <w:t>招标文件要求中标人向采购人提交履约担保的，中标人应按照</w:t>
      </w:r>
      <w:r>
        <w:rPr>
          <w:rFonts w:hint="eastAsia" w:ascii="宋体" w:hAnsi="宋体"/>
          <w:b/>
          <w:szCs w:val="21"/>
        </w:rPr>
        <w:t>【投标须知前附表】</w:t>
      </w:r>
      <w:r>
        <w:rPr>
          <w:rFonts w:hint="eastAsia" w:ascii="宋体" w:hAnsi="宋体"/>
          <w:szCs w:val="21"/>
        </w:rPr>
        <w:t>的规定提交，</w:t>
      </w:r>
      <w:r>
        <w:rPr>
          <w:rFonts w:hint="eastAsia" w:ascii="宋体" w:hAnsi="宋体"/>
          <w:bCs/>
          <w:szCs w:val="21"/>
        </w:rPr>
        <w:t>投标人可以保函、电子增信替代履约担保</w:t>
      </w:r>
      <w:r>
        <w:rPr>
          <w:rFonts w:hint="eastAsia" w:ascii="宋体" w:hAnsi="宋体"/>
          <w:szCs w:val="21"/>
        </w:rPr>
        <w:t>。联合体中标的，履约担保由联合体各方或联合体中牵头人的名义提交。</w:t>
      </w:r>
    </w:p>
    <w:p w14:paraId="115B32D1">
      <w:pPr>
        <w:adjustRightInd w:val="0"/>
        <w:snapToGrid w:val="0"/>
        <w:spacing w:line="360" w:lineRule="auto"/>
        <w:ind w:firstLine="420" w:firstLineChars="200"/>
        <w:rPr>
          <w:rFonts w:hint="eastAsia" w:ascii="宋体" w:hAnsi="宋体"/>
          <w:szCs w:val="21"/>
        </w:rPr>
      </w:pPr>
      <w:r>
        <w:rPr>
          <w:rFonts w:hint="eastAsia" w:ascii="宋体" w:hAnsi="宋体"/>
          <w:szCs w:val="21"/>
        </w:rPr>
        <w:t>31.2中标人</w:t>
      </w:r>
      <w:r>
        <w:rPr>
          <w:rFonts w:hint="eastAsia" w:ascii="宋体" w:hAnsi="宋体"/>
          <w:spacing w:val="4"/>
          <w:szCs w:val="21"/>
        </w:rPr>
        <w:t>没有按照本章第31.1</w:t>
      </w:r>
      <w:r>
        <w:rPr>
          <w:rFonts w:hint="eastAsia" w:ascii="宋体" w:hAnsi="宋体" w:cs="宋体"/>
          <w:kern w:val="0"/>
          <w:szCs w:val="21"/>
          <w:lang w:val="zh-CN"/>
        </w:rPr>
        <w:t>款</w:t>
      </w:r>
      <w:r>
        <w:rPr>
          <w:rFonts w:hint="eastAsia" w:ascii="宋体" w:hAnsi="宋体"/>
          <w:spacing w:val="4"/>
          <w:szCs w:val="21"/>
        </w:rPr>
        <w:t>规定</w:t>
      </w:r>
      <w:r>
        <w:rPr>
          <w:rFonts w:hint="eastAsia" w:ascii="宋体" w:hAnsi="宋体"/>
          <w:szCs w:val="21"/>
        </w:rPr>
        <w:t>提交履约担保的</w:t>
      </w:r>
      <w:r>
        <w:rPr>
          <w:rFonts w:hint="eastAsia" w:ascii="宋体" w:hAnsi="宋体"/>
          <w:spacing w:val="4"/>
          <w:szCs w:val="21"/>
        </w:rPr>
        <w:t>，视为</w:t>
      </w:r>
      <w:r>
        <w:rPr>
          <w:rFonts w:hint="eastAsia" w:ascii="宋体" w:hAnsi="宋体"/>
          <w:b/>
          <w:spacing w:val="4"/>
          <w:szCs w:val="21"/>
        </w:rPr>
        <w:t>放弃中标</w:t>
      </w:r>
      <w:r>
        <w:rPr>
          <w:rFonts w:hint="eastAsia" w:ascii="宋体" w:hAnsi="宋体"/>
          <w:spacing w:val="2"/>
          <w:szCs w:val="21"/>
        </w:rPr>
        <w:t>。</w:t>
      </w:r>
    </w:p>
    <w:p w14:paraId="044B527B">
      <w:pPr>
        <w:adjustRightInd w:val="0"/>
        <w:snapToGrid w:val="0"/>
        <w:spacing w:line="360" w:lineRule="auto"/>
        <w:rPr>
          <w:rFonts w:hint="eastAsia" w:ascii="宋体" w:hAnsi="宋体"/>
          <w:b/>
          <w:bCs/>
          <w:sz w:val="24"/>
        </w:rPr>
      </w:pPr>
      <w:r>
        <w:rPr>
          <w:rFonts w:hint="eastAsia" w:ascii="宋体" w:hAnsi="宋体"/>
          <w:b/>
          <w:bCs/>
          <w:sz w:val="24"/>
        </w:rPr>
        <w:t>32.</w:t>
      </w:r>
      <w:r>
        <w:rPr>
          <w:rFonts w:hint="eastAsia" w:ascii="宋体" w:hAnsi="宋体"/>
          <w:b/>
          <w:sz w:val="24"/>
        </w:rPr>
        <w:t xml:space="preserve"> 政府采购合同履行中</w:t>
      </w:r>
      <w:r>
        <w:rPr>
          <w:rFonts w:hint="eastAsia" w:ascii="宋体" w:hAnsi="宋体"/>
          <w:b/>
          <w:bCs/>
          <w:sz w:val="24"/>
        </w:rPr>
        <w:t>数量的变更</w:t>
      </w:r>
    </w:p>
    <w:p w14:paraId="3020C868">
      <w:pPr>
        <w:adjustRightInd w:val="0"/>
        <w:snapToGrid w:val="0"/>
        <w:spacing w:line="360" w:lineRule="auto"/>
        <w:ind w:firstLine="420" w:firstLineChars="200"/>
        <w:rPr>
          <w:rFonts w:hint="eastAsia" w:ascii="宋体" w:hAnsi="宋体"/>
          <w:sz w:val="28"/>
          <w:szCs w:val="28"/>
        </w:rPr>
      </w:pPr>
      <w:r>
        <w:rPr>
          <w:rFonts w:hint="eastAsia" w:ascii="宋体" w:hAnsi="宋体"/>
        </w:rPr>
        <w:t>32.1政府采购合同履行中，采购人需追加与合同标的相同的货物服务的，在不改变合同其他条款的前提下，可以与中标人协商签订补充合同，但所有补充合同的采购金额不得超过原合同采购金额的百分之十。</w:t>
      </w:r>
    </w:p>
    <w:p w14:paraId="11432D77">
      <w:pPr>
        <w:pStyle w:val="4"/>
        <w:numPr>
          <w:ilvl w:val="2"/>
          <w:numId w:val="0"/>
        </w:numPr>
        <w:tabs>
          <w:tab w:val="left" w:pos="0"/>
        </w:tabs>
        <w:adjustRightInd w:val="0"/>
        <w:snapToGrid w:val="0"/>
        <w:spacing w:before="156" w:beforeLines="50" w:after="0" w:line="360" w:lineRule="auto"/>
        <w:jc w:val="center"/>
        <w:rPr>
          <w:rFonts w:hint="eastAsia" w:ascii="宋体" w:hAnsi="宋体"/>
          <w:sz w:val="28"/>
          <w:szCs w:val="28"/>
        </w:rPr>
      </w:pPr>
      <w:bookmarkStart w:id="65" w:name="_Toc31336"/>
      <w:bookmarkStart w:id="66" w:name="_Toc6602"/>
      <w:bookmarkStart w:id="67" w:name="_Toc30695"/>
      <w:bookmarkStart w:id="68" w:name="_Toc12398"/>
      <w:bookmarkStart w:id="69" w:name="_Toc99299725"/>
      <w:bookmarkStart w:id="70" w:name="_Toc15284"/>
      <w:bookmarkStart w:id="71" w:name="_Toc103979578"/>
      <w:bookmarkStart w:id="72" w:name="_Toc28028"/>
      <w:bookmarkStart w:id="73" w:name="_Toc15142"/>
      <w:bookmarkStart w:id="74" w:name="_Toc2538"/>
      <w:bookmarkStart w:id="75" w:name="_Toc108483395"/>
      <w:bookmarkStart w:id="76" w:name="_Toc109656577"/>
      <w:bookmarkStart w:id="77" w:name="_Toc111543557"/>
      <w:bookmarkStart w:id="78" w:name="_Toc9738"/>
      <w:bookmarkStart w:id="79" w:name="_Toc79093671"/>
      <w:bookmarkStart w:id="80" w:name="_Toc32735"/>
      <w:bookmarkStart w:id="81" w:name="_Toc113350936"/>
      <w:bookmarkStart w:id="82" w:name="_Toc118209427"/>
      <w:bookmarkStart w:id="83" w:name="_Toc24582"/>
      <w:bookmarkStart w:id="84" w:name="_Toc24745"/>
      <w:r>
        <w:rPr>
          <w:rFonts w:hint="eastAsia" w:ascii="宋体" w:hAnsi="宋体"/>
          <w:sz w:val="28"/>
          <w:szCs w:val="28"/>
        </w:rPr>
        <w:t>八、</w:t>
      </w:r>
      <w:bookmarkEnd w:id="65"/>
      <w:bookmarkEnd w:id="66"/>
      <w:bookmarkEnd w:id="67"/>
      <w:bookmarkEnd w:id="68"/>
      <w:r>
        <w:rPr>
          <w:rFonts w:hint="eastAsia" w:ascii="宋体" w:hAnsi="宋体"/>
          <w:sz w:val="28"/>
          <w:szCs w:val="28"/>
        </w:rPr>
        <w:t>政府采购政策</w:t>
      </w:r>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p>
    <w:p w14:paraId="18CB6F5F">
      <w:pPr>
        <w:adjustRightInd w:val="0"/>
        <w:snapToGrid w:val="0"/>
        <w:spacing w:line="360" w:lineRule="auto"/>
        <w:rPr>
          <w:rFonts w:hint="eastAsia" w:ascii="宋体" w:hAnsi="宋体"/>
          <w:b/>
          <w:sz w:val="24"/>
        </w:rPr>
      </w:pPr>
      <w:r>
        <w:rPr>
          <w:rFonts w:hint="eastAsia" w:ascii="宋体" w:hAnsi="宋体"/>
          <w:b/>
          <w:bCs/>
          <w:sz w:val="24"/>
        </w:rPr>
        <w:t>33.</w:t>
      </w:r>
      <w:r>
        <w:rPr>
          <w:rFonts w:hint="eastAsia" w:ascii="宋体" w:hAnsi="宋体"/>
          <w:b/>
          <w:sz w:val="24"/>
        </w:rPr>
        <w:t>政府采购政策</w:t>
      </w:r>
    </w:p>
    <w:p w14:paraId="52D3E421">
      <w:pPr>
        <w:adjustRightInd w:val="0"/>
        <w:snapToGrid w:val="0"/>
        <w:spacing w:line="360" w:lineRule="auto"/>
        <w:ind w:firstLine="420" w:firstLineChars="200"/>
        <w:rPr>
          <w:rFonts w:hint="eastAsia" w:ascii="宋体" w:hAnsi="宋体" w:cs="宋体"/>
          <w:kern w:val="0"/>
        </w:rPr>
      </w:pPr>
      <w:r>
        <w:rPr>
          <w:rFonts w:hint="eastAsia" w:ascii="宋体" w:hAnsi="宋体" w:cs="宋体"/>
          <w:kern w:val="0"/>
        </w:rPr>
        <w:t>33.1优先采购：</w:t>
      </w:r>
    </w:p>
    <w:p w14:paraId="4152330B">
      <w:pPr>
        <w:adjustRightInd w:val="0"/>
        <w:snapToGrid w:val="0"/>
        <w:spacing w:line="360" w:lineRule="auto"/>
        <w:ind w:firstLine="420" w:firstLineChars="200"/>
        <w:rPr>
          <w:rFonts w:hint="eastAsia" w:ascii="宋体" w:hAnsi="宋体"/>
        </w:rPr>
      </w:pPr>
      <w:r>
        <w:rPr>
          <w:rFonts w:hint="eastAsia" w:ascii="宋体" w:hAnsi="宋体"/>
        </w:rPr>
        <w:t>（1）</w:t>
      </w:r>
      <w:r>
        <w:rPr>
          <w:rFonts w:hint="eastAsia" w:ascii="宋体" w:hAnsi="宋体"/>
          <w:szCs w:val="21"/>
        </w:rPr>
        <w:t>纳入财政部会同国务院有关部门发布的节能产品、环境标志产品政府采购品目清单，实施政府优先采购的，评审时按招标文件第四章第一节有关规定对该部分产品给予一定比例的价格折扣或者加分；</w:t>
      </w:r>
    </w:p>
    <w:p w14:paraId="57D44E98">
      <w:pPr>
        <w:adjustRightInd w:val="0"/>
        <w:snapToGrid w:val="0"/>
        <w:spacing w:line="360" w:lineRule="auto"/>
        <w:ind w:firstLine="420" w:firstLineChars="200"/>
        <w:rPr>
          <w:rFonts w:hint="eastAsia" w:ascii="宋体" w:hAnsi="宋体"/>
        </w:rPr>
      </w:pPr>
      <w:r>
        <w:rPr>
          <w:rFonts w:hint="eastAsia" w:ascii="宋体" w:hAnsi="宋体"/>
        </w:rPr>
        <w:t>（2）纳入湖南省财政厅等有关部门发布的湖南省两型产品政府采购目录的，实施政府优先采购，评审时按</w:t>
      </w:r>
      <w:r>
        <w:rPr>
          <w:rFonts w:hint="eastAsia" w:ascii="宋体" w:hAnsi="宋体"/>
          <w:szCs w:val="21"/>
        </w:rPr>
        <w:t>招标文件第四章第一节有关规定对该部分产品</w:t>
      </w:r>
      <w:r>
        <w:rPr>
          <w:rFonts w:hint="eastAsia" w:ascii="宋体" w:hAnsi="宋体"/>
        </w:rPr>
        <w:t>给予一定比例的价格折扣或者加分。</w:t>
      </w:r>
    </w:p>
    <w:p w14:paraId="0911CC07">
      <w:pPr>
        <w:adjustRightInd w:val="0"/>
        <w:snapToGrid w:val="0"/>
        <w:spacing w:line="360" w:lineRule="auto"/>
        <w:ind w:firstLine="420" w:firstLineChars="200"/>
        <w:rPr>
          <w:rFonts w:hint="eastAsia" w:ascii="宋体" w:hAnsi="宋体" w:cs="宋体"/>
          <w:kern w:val="0"/>
        </w:rPr>
      </w:pPr>
      <w:r>
        <w:rPr>
          <w:rFonts w:hint="eastAsia" w:ascii="宋体" w:hAnsi="宋体" w:cs="宋体"/>
          <w:kern w:val="0"/>
        </w:rPr>
        <w:t>33.2强制采购：</w:t>
      </w:r>
    </w:p>
    <w:p w14:paraId="5DBA42BE">
      <w:pPr>
        <w:adjustRightInd w:val="0"/>
        <w:snapToGrid w:val="0"/>
        <w:spacing w:line="360" w:lineRule="auto"/>
        <w:ind w:firstLine="420" w:firstLineChars="200"/>
        <w:rPr>
          <w:rFonts w:hint="eastAsia" w:ascii="宋体" w:hAnsi="宋体" w:cs="宋体"/>
          <w:kern w:val="0"/>
        </w:rPr>
      </w:pPr>
      <w:r>
        <w:rPr>
          <w:rFonts w:hint="eastAsia" w:ascii="宋体" w:hAnsi="宋体" w:cs="宋体"/>
          <w:kern w:val="0"/>
        </w:rPr>
        <w:t>（1）纳入财政部会同国务院有关部门发布的节能产品政府采购品目清单，实施政府强制采购的（品目清单标注</w:t>
      </w:r>
      <w:r>
        <w:rPr>
          <w:rFonts w:hint="eastAsia" w:ascii="宋体" w:hAnsi="宋体" w:cs="宋体"/>
          <w:kern w:val="0"/>
        </w:rPr>
        <w:sym w:font="Wingdings" w:char="F0AB"/>
      </w:r>
      <w:r>
        <w:rPr>
          <w:rFonts w:hint="eastAsia" w:ascii="宋体" w:hAnsi="宋体" w:cs="宋体"/>
          <w:kern w:val="0"/>
        </w:rPr>
        <w:t>符号产品），投标人投标产品应当取得国家确定的认证机构出具的、处于有效期之内的节能产品认证证书，否则其</w:t>
      </w:r>
      <w:r>
        <w:rPr>
          <w:rFonts w:hint="eastAsia" w:ascii="宋体" w:hAnsi="宋体" w:cs="宋体"/>
          <w:b/>
          <w:kern w:val="0"/>
          <w:szCs w:val="21"/>
        </w:rPr>
        <w:t>投标无效</w:t>
      </w:r>
      <w:r>
        <w:rPr>
          <w:rFonts w:hint="eastAsia" w:ascii="宋体" w:hAnsi="宋体" w:cs="宋体"/>
          <w:kern w:val="0"/>
        </w:rPr>
        <w:t>。</w:t>
      </w:r>
    </w:p>
    <w:p w14:paraId="0B6843CA">
      <w:pPr>
        <w:adjustRightInd w:val="0"/>
        <w:snapToGrid w:val="0"/>
        <w:spacing w:line="360" w:lineRule="auto"/>
        <w:ind w:firstLine="420" w:firstLineChars="200"/>
        <w:rPr>
          <w:rFonts w:hint="eastAsia" w:ascii="宋体" w:hAnsi="宋体"/>
        </w:rPr>
      </w:pPr>
      <w:r>
        <w:rPr>
          <w:rFonts w:hint="eastAsia" w:ascii="宋体" w:hAnsi="宋体"/>
        </w:rPr>
        <w:t>33.3价格评审优惠：</w:t>
      </w:r>
    </w:p>
    <w:p w14:paraId="63C2148D">
      <w:pPr>
        <w:adjustRightInd w:val="0"/>
        <w:snapToGrid w:val="0"/>
        <w:spacing w:line="360" w:lineRule="auto"/>
        <w:ind w:firstLine="420" w:firstLineChars="200"/>
        <w:rPr>
          <w:rFonts w:hint="eastAsia" w:ascii="宋体" w:hAnsi="宋体"/>
        </w:rPr>
      </w:pPr>
      <w:r>
        <w:rPr>
          <w:rFonts w:hint="eastAsia" w:ascii="宋体" w:hAnsi="宋体"/>
        </w:rPr>
        <w:t>（1）在政府采购活动中，供应商提供的货物、工程或者服务符合下列情形的：（一）在货物采购项目中，货物由中小企业制造，即货物由中小企业生产且使用该中小企业商号或者注册商标；（二）在工程采购项目中，工程由中小企业承建，即工程施工单位为中小企业；（三）在服务采购项目中，服务由中小企业承接，即提供服务的人员为中小企业依照《中华人民共和国劳动合同法》订立劳动合同的从业人员；给予一定比例的价格折扣，用扣除后的价格参与评审；</w:t>
      </w:r>
    </w:p>
    <w:p w14:paraId="66EA8BBD">
      <w:pPr>
        <w:adjustRightInd w:val="0"/>
        <w:snapToGrid w:val="0"/>
        <w:spacing w:line="360" w:lineRule="auto"/>
        <w:ind w:firstLine="420" w:firstLineChars="200"/>
        <w:rPr>
          <w:rFonts w:hint="eastAsia" w:ascii="宋体" w:hAnsi="宋体"/>
        </w:rPr>
      </w:pPr>
      <w:r>
        <w:rPr>
          <w:rFonts w:hint="eastAsia" w:ascii="宋体" w:hAnsi="宋体"/>
        </w:rPr>
        <w:t>（2）对于经主管预算单位统筹后未预留份额专门面向中小企业采购的采购项目，以及预留份额项目中的非预留部分采购包，符合小微企业生产的货物或者提供的服务、工程情形的，给予一定比例的价格折扣，用扣除后的价格参与评审；</w:t>
      </w:r>
    </w:p>
    <w:p w14:paraId="7714EFF0">
      <w:pPr>
        <w:adjustRightInd w:val="0"/>
        <w:snapToGrid w:val="0"/>
        <w:spacing w:line="360" w:lineRule="auto"/>
        <w:ind w:firstLine="420" w:firstLineChars="200"/>
        <w:rPr>
          <w:rFonts w:hint="eastAsia" w:ascii="宋体" w:hAnsi="宋体"/>
        </w:rPr>
      </w:pPr>
      <w:r>
        <w:rPr>
          <w:rFonts w:hint="eastAsia" w:ascii="宋体" w:hAnsi="宋体"/>
        </w:rPr>
        <w:t>接受大中型企业与小微企业组成联合体或者允许大中型企业向一家或者多家小微企业分包的采购项目，对于联合协议或者分包意向协议约定小微企业的合同份额占到合同总金额40%以上的，给予一定比例的价格折扣，用扣除后的价格参与评审。以联合体形式参加政府采购活动，联合体各方均为中小企业的，联合体视同中小企业。其中，联合体各方均为小微企业的，联合体视同小微企业；</w:t>
      </w:r>
    </w:p>
    <w:p w14:paraId="3FC734EA">
      <w:pPr>
        <w:adjustRightInd w:val="0"/>
        <w:snapToGrid w:val="0"/>
        <w:spacing w:line="360" w:lineRule="auto"/>
        <w:ind w:firstLine="420" w:firstLineChars="200"/>
        <w:rPr>
          <w:rFonts w:hint="eastAsia" w:ascii="宋体" w:hAnsi="宋体"/>
          <w:szCs w:val="21"/>
        </w:rPr>
      </w:pPr>
      <w:r>
        <w:rPr>
          <w:rFonts w:hint="eastAsia" w:ascii="宋体" w:hAnsi="宋体"/>
        </w:rPr>
        <w:t>（3）符合中小企业划分标准的个体工商户视同中小企业，享受评审中价格扣除等促进中小企业发展的政府采购政策</w:t>
      </w:r>
      <w:r>
        <w:rPr>
          <w:rFonts w:hint="eastAsia" w:ascii="宋体" w:hAnsi="宋体"/>
          <w:szCs w:val="21"/>
        </w:rPr>
        <w:t>。</w:t>
      </w:r>
    </w:p>
    <w:p w14:paraId="501FC0A5">
      <w:pPr>
        <w:adjustRightInd w:val="0"/>
        <w:snapToGrid w:val="0"/>
        <w:spacing w:line="360" w:lineRule="auto"/>
        <w:ind w:firstLine="420" w:firstLineChars="200"/>
        <w:rPr>
          <w:rFonts w:hint="eastAsia" w:ascii="宋体" w:hAnsi="宋体"/>
        </w:rPr>
      </w:pPr>
      <w:r>
        <w:rPr>
          <w:rFonts w:hint="eastAsia" w:ascii="宋体" w:hAnsi="宋体"/>
        </w:rPr>
        <w:t>（4）监狱企业、残疾人福利性单位视同小型、微型企业，享受评审中价格扣除等促进中小企业发展的政府采购政策。</w:t>
      </w:r>
    </w:p>
    <w:p w14:paraId="5AB8AE9F">
      <w:pPr>
        <w:adjustRightInd w:val="0"/>
        <w:snapToGrid w:val="0"/>
        <w:spacing w:line="360" w:lineRule="auto"/>
        <w:ind w:firstLine="420" w:firstLineChars="200"/>
        <w:rPr>
          <w:rFonts w:hint="eastAsia" w:ascii="宋体" w:hAnsi="宋体"/>
        </w:rPr>
      </w:pPr>
      <w:r>
        <w:rPr>
          <w:rFonts w:hint="eastAsia" w:ascii="宋体" w:hAnsi="宋体"/>
        </w:rPr>
        <w:t>（5）与大企业的负责人为同一人，或者与大企业存在直接控股、管理关系的中小企业，不享受评审中价格扣除等促进中小企业发展的政府采购政策。</w:t>
      </w:r>
    </w:p>
    <w:p w14:paraId="77497B09">
      <w:pPr>
        <w:adjustRightInd w:val="0"/>
        <w:snapToGrid w:val="0"/>
        <w:spacing w:line="360" w:lineRule="auto"/>
        <w:ind w:firstLine="420" w:firstLineChars="200"/>
        <w:rPr>
          <w:rFonts w:hint="eastAsia" w:ascii="宋体" w:hAnsi="宋体"/>
        </w:rPr>
      </w:pPr>
      <w:r>
        <w:rPr>
          <w:rFonts w:hint="eastAsia" w:ascii="宋体" w:hAnsi="宋体"/>
        </w:rPr>
        <w:t>（6）本章第1.2款规定采购项目或者采购包属于“预留采购份额”的，预留部分不再享受本款“价格评审优惠”的小微企业扶持政策。</w:t>
      </w:r>
    </w:p>
    <w:p w14:paraId="22A9209D">
      <w:pPr>
        <w:adjustRightInd w:val="0"/>
        <w:snapToGrid w:val="0"/>
        <w:spacing w:line="360" w:lineRule="auto"/>
        <w:ind w:firstLine="420" w:firstLineChars="200"/>
        <w:rPr>
          <w:rFonts w:hint="eastAsia" w:ascii="宋体" w:hAnsi="宋体"/>
        </w:rPr>
      </w:pPr>
      <w:r>
        <w:rPr>
          <w:rFonts w:hint="eastAsia" w:ascii="宋体" w:hAnsi="宋体"/>
        </w:rPr>
        <w:t>33.4政府采购政策交叉与叠加</w:t>
      </w:r>
    </w:p>
    <w:p w14:paraId="79E79E30">
      <w:pPr>
        <w:adjustRightInd w:val="0"/>
        <w:snapToGrid w:val="0"/>
        <w:spacing w:line="360" w:lineRule="auto"/>
        <w:ind w:firstLine="420" w:firstLineChars="200"/>
        <w:rPr>
          <w:rFonts w:hint="eastAsia" w:ascii="宋体" w:hAnsi="宋体"/>
        </w:rPr>
      </w:pPr>
      <w:r>
        <w:rPr>
          <w:rFonts w:hint="eastAsia" w:ascii="宋体" w:hAnsi="宋体"/>
        </w:rPr>
        <w:t>（1）投标产品取得两个及以上优先采购产品认证的，评审时只有其中一项产品能享受优先采购优惠（投标人自行选择，并在投标文件中并填报相关信息及数据）</w:t>
      </w:r>
    </w:p>
    <w:p w14:paraId="49182F70">
      <w:pPr>
        <w:adjustRightInd w:val="0"/>
        <w:snapToGrid w:val="0"/>
        <w:spacing w:line="360" w:lineRule="auto"/>
        <w:ind w:firstLine="420" w:firstLineChars="200"/>
        <w:rPr>
          <w:rFonts w:hint="eastAsia" w:ascii="宋体" w:hAnsi="宋体"/>
        </w:rPr>
      </w:pPr>
      <w:r>
        <w:rPr>
          <w:rFonts w:hint="eastAsia" w:ascii="宋体" w:hAnsi="宋体"/>
        </w:rPr>
        <w:t>（2）投标人同时符合小型、微型企业及监狱企业、残疾人福利性单位要求的，评审时只有一种类型享受价格评审优惠政策；</w:t>
      </w:r>
    </w:p>
    <w:p w14:paraId="5536F176">
      <w:pPr>
        <w:adjustRightInd w:val="0"/>
        <w:snapToGrid w:val="0"/>
        <w:spacing w:line="360" w:lineRule="auto"/>
        <w:ind w:firstLine="420" w:firstLineChars="200"/>
        <w:rPr>
          <w:rFonts w:hint="eastAsia" w:ascii="宋体" w:hAnsi="宋体"/>
        </w:rPr>
      </w:pPr>
      <w:r>
        <w:rPr>
          <w:rFonts w:hint="eastAsia" w:ascii="宋体" w:hAnsi="宋体"/>
        </w:rPr>
        <w:t>（3）小型和微型企业的价格评审优惠可以与同时属于“节能产品”、“环境标志产品”及“两型产品”中的一项优先采购优惠累加计算。</w:t>
      </w:r>
    </w:p>
    <w:p w14:paraId="2ED49EDB">
      <w:pPr>
        <w:adjustRightInd w:val="0"/>
        <w:snapToGrid w:val="0"/>
        <w:spacing w:line="360" w:lineRule="auto"/>
        <w:ind w:firstLine="420" w:firstLineChars="200"/>
        <w:rPr>
          <w:rFonts w:hint="eastAsia" w:ascii="宋体" w:hAnsi="宋体"/>
        </w:rPr>
      </w:pPr>
      <w:r>
        <w:rPr>
          <w:rFonts w:hint="eastAsia" w:ascii="宋体" w:hAnsi="宋体"/>
        </w:rPr>
        <w:t>33.5在货物采购项目中，供应商提供的货物既有中小企业制造货物，也有大型企业制造货物的，不享受政府采购中小企业扶持政策。</w:t>
      </w:r>
    </w:p>
    <w:p w14:paraId="73FD3AD3">
      <w:pPr>
        <w:adjustRightInd w:val="0"/>
        <w:snapToGrid w:val="0"/>
        <w:spacing w:line="360" w:lineRule="auto"/>
        <w:ind w:firstLine="420" w:firstLineChars="200"/>
        <w:rPr>
          <w:rFonts w:hint="eastAsia" w:ascii="宋体" w:hAnsi="宋体"/>
        </w:rPr>
      </w:pPr>
      <w:r>
        <w:rPr>
          <w:rFonts w:hint="eastAsia" w:ascii="宋体" w:hAnsi="宋体"/>
        </w:rPr>
        <w:t>33.6投标人符合本章第33.1款、第33.2款、第33.3款规定的，应提供相关证明资料。</w:t>
      </w:r>
    </w:p>
    <w:p w14:paraId="2759BDCA">
      <w:pPr>
        <w:adjustRightInd w:val="0"/>
        <w:snapToGrid w:val="0"/>
        <w:spacing w:line="360" w:lineRule="auto"/>
        <w:ind w:firstLine="420" w:firstLineChars="200"/>
        <w:rPr>
          <w:rFonts w:hint="eastAsia" w:ascii="宋体" w:hAnsi="宋体"/>
        </w:rPr>
      </w:pPr>
      <w:r>
        <w:rPr>
          <w:rFonts w:hint="eastAsia" w:ascii="宋体" w:hAnsi="宋体"/>
        </w:rPr>
        <w:t>（1）节能产品、环境标志产品：提供国家确定的认证机构出具的、处于有效期之内的节能产品、环境标志产品认证证书。</w:t>
      </w:r>
    </w:p>
    <w:p w14:paraId="00867C3D">
      <w:pPr>
        <w:adjustRightInd w:val="0"/>
        <w:snapToGrid w:val="0"/>
        <w:spacing w:line="360" w:lineRule="auto"/>
        <w:ind w:firstLine="420" w:firstLineChars="200"/>
        <w:rPr>
          <w:rFonts w:hint="eastAsia" w:ascii="宋体" w:hAnsi="宋体"/>
        </w:rPr>
      </w:pPr>
      <w:r>
        <w:rPr>
          <w:rFonts w:hint="eastAsia" w:ascii="宋体" w:hAnsi="宋体"/>
        </w:rPr>
        <w:t>（2）两型产品：提供《湖南省两型产品政府采购目录》（最新一期）文件首页和投标产品所在页（截图）。</w:t>
      </w:r>
    </w:p>
    <w:p w14:paraId="4EF18DE6">
      <w:pPr>
        <w:adjustRightInd w:val="0"/>
        <w:snapToGrid w:val="0"/>
        <w:spacing w:line="360" w:lineRule="auto"/>
        <w:ind w:firstLine="420" w:firstLineChars="200"/>
        <w:rPr>
          <w:rFonts w:hint="eastAsia" w:ascii="宋体" w:hAnsi="宋体"/>
        </w:rPr>
      </w:pPr>
      <w:r>
        <w:rPr>
          <w:rFonts w:hint="eastAsia" w:ascii="宋体" w:hAnsi="宋体"/>
        </w:rPr>
        <w:t>（3）中小企业：货物类采购项目，按《关于印发＜政府采购促进中小企业发展办法＞的通知》(财库[2020]46号) 和《关于印发中小企业划型标准规定的通知》（工信部联企业〔2011〕300号）文件规定提供中小企业声明函（格式）；服务类采购项目，按《湖南省财政厅关于政府采购促进中小企业发展的有关措施的通知》（湘财购[2022]17号）文件规定提供湖南省政府采购供应商资格承诺函（格式）。</w:t>
      </w:r>
    </w:p>
    <w:p w14:paraId="12125D19">
      <w:pPr>
        <w:adjustRightInd w:val="0"/>
        <w:snapToGrid w:val="0"/>
        <w:spacing w:line="360" w:lineRule="auto"/>
        <w:ind w:firstLine="420" w:firstLineChars="200"/>
        <w:rPr>
          <w:rFonts w:hint="eastAsia" w:ascii="宋体" w:hAnsi="宋体"/>
        </w:rPr>
      </w:pPr>
      <w:r>
        <w:rPr>
          <w:rFonts w:hint="eastAsia" w:ascii="宋体" w:hAnsi="宋体"/>
        </w:rPr>
        <w:t>（4）监狱企业：按《关于政府采购支持监狱企业发展有关问题的通知》(财库〔2014〕68号)文件规定提供证明文件。</w:t>
      </w:r>
    </w:p>
    <w:p w14:paraId="0A9C1611">
      <w:pPr>
        <w:adjustRightInd w:val="0"/>
        <w:snapToGrid w:val="0"/>
        <w:spacing w:line="360" w:lineRule="auto"/>
        <w:ind w:firstLine="420" w:firstLineChars="200"/>
        <w:rPr>
          <w:rFonts w:hint="eastAsia" w:ascii="宋体" w:hAnsi="宋体"/>
        </w:rPr>
      </w:pPr>
      <w:r>
        <w:rPr>
          <w:rFonts w:hint="eastAsia" w:ascii="宋体" w:hAnsi="宋体"/>
        </w:rPr>
        <w:t>（5）残疾人福利性单位：按《关于促进残疾人就业政府采购政策的通知》(财库〔2017〕141号)文件规定提供《残疾人福利性单位声明函》（格式）。</w:t>
      </w:r>
    </w:p>
    <w:p w14:paraId="68E55226">
      <w:pPr>
        <w:adjustRightInd w:val="0"/>
        <w:snapToGrid w:val="0"/>
        <w:spacing w:line="360" w:lineRule="auto"/>
        <w:ind w:firstLine="420" w:firstLineChars="200"/>
        <w:rPr>
          <w:rFonts w:hint="eastAsia" w:ascii="宋体" w:hAnsi="宋体"/>
        </w:rPr>
      </w:pPr>
      <w:r>
        <w:rPr>
          <w:rFonts w:hint="eastAsia" w:ascii="宋体" w:hAnsi="宋体"/>
        </w:rPr>
        <w:t>33.7执行中小企业预留采购份额政策的规定：</w:t>
      </w:r>
    </w:p>
    <w:p w14:paraId="0CDD8D21">
      <w:pPr>
        <w:adjustRightInd w:val="0"/>
        <w:snapToGrid w:val="0"/>
        <w:spacing w:line="360" w:lineRule="auto"/>
        <w:ind w:firstLine="420" w:firstLineChars="200"/>
        <w:rPr>
          <w:rFonts w:hint="eastAsia" w:ascii="宋体" w:hAnsi="宋体"/>
        </w:rPr>
      </w:pPr>
      <w:r>
        <w:rPr>
          <w:rFonts w:hint="eastAsia" w:ascii="宋体" w:hAnsi="宋体"/>
        </w:rPr>
        <w:t>（1）预留份额的采购项目或者采购包，应明确该项目或相关采购包专门面向中小企业采购，并作为供应商资格条件。</w:t>
      </w:r>
    </w:p>
    <w:p w14:paraId="5B74793F">
      <w:pPr>
        <w:adjustRightInd w:val="0"/>
        <w:snapToGrid w:val="0"/>
        <w:spacing w:line="360" w:lineRule="auto"/>
        <w:ind w:firstLine="420" w:firstLineChars="200"/>
        <w:rPr>
          <w:rFonts w:hint="eastAsia" w:ascii="宋体" w:hAnsi="宋体"/>
        </w:rPr>
      </w:pPr>
      <w:r>
        <w:rPr>
          <w:rFonts w:hint="eastAsia" w:ascii="宋体" w:hAnsi="宋体"/>
        </w:rPr>
        <w:t>（2）要求以联合体形式参加或者合同分包的，应明确联合协议或者分包意向协议中中小企业合同金额应当达到的比例，并作为供应商资格条件。</w:t>
      </w:r>
    </w:p>
    <w:p w14:paraId="30ABA165">
      <w:pPr>
        <w:adjustRightInd w:val="0"/>
        <w:snapToGrid w:val="0"/>
        <w:spacing w:line="360" w:lineRule="auto"/>
        <w:ind w:firstLine="420" w:firstLineChars="200"/>
        <w:rPr>
          <w:rFonts w:hint="eastAsia" w:ascii="宋体" w:hAnsi="宋体"/>
        </w:rPr>
      </w:pPr>
      <w:r>
        <w:rPr>
          <w:rFonts w:hint="eastAsia" w:ascii="宋体" w:hAnsi="宋体"/>
        </w:rPr>
        <w:t>（3）组成联合体或者接受分包合同的中小企业与联合体内其他企业(成员)、分包企业(投标人)之间不得存在直接控股、管理关系。</w:t>
      </w:r>
    </w:p>
    <w:p w14:paraId="6B6226E3">
      <w:pPr>
        <w:adjustRightInd w:val="0"/>
        <w:snapToGrid w:val="0"/>
        <w:spacing w:line="360" w:lineRule="auto"/>
        <w:ind w:firstLine="420" w:firstLineChars="200"/>
        <w:rPr>
          <w:rFonts w:hint="eastAsia" w:ascii="宋体" w:hAnsi="宋体"/>
        </w:rPr>
      </w:pPr>
      <w:r>
        <w:rPr>
          <w:rFonts w:hint="eastAsia" w:ascii="宋体" w:hAnsi="宋体"/>
        </w:rPr>
        <w:t>33.8采购进口产品</w:t>
      </w:r>
    </w:p>
    <w:p w14:paraId="049B371F">
      <w:pPr>
        <w:adjustRightInd w:val="0"/>
        <w:snapToGrid w:val="0"/>
        <w:spacing w:line="360" w:lineRule="auto"/>
        <w:ind w:firstLine="420" w:firstLineChars="200"/>
        <w:rPr>
          <w:rFonts w:hint="eastAsia" w:ascii="宋体" w:hAnsi="宋体"/>
        </w:rPr>
      </w:pPr>
      <w:r>
        <w:rPr>
          <w:rFonts w:hint="eastAsia" w:ascii="宋体" w:hAnsi="宋体" w:cs="宋体"/>
          <w:kern w:val="0"/>
          <w:szCs w:val="21"/>
        </w:rPr>
        <w:t>进口产品是指符合《政府采购进口产品管理办法》（财库〔2007〕119号）和《关于政府采购进口产品管理有关问题的通知》（财办库〔2008〕248号）文件规定的产品。除</w:t>
      </w:r>
      <w:r>
        <w:rPr>
          <w:rFonts w:hint="eastAsia" w:ascii="宋体" w:hAnsi="宋体"/>
          <w:b/>
          <w:szCs w:val="21"/>
        </w:rPr>
        <w:t>【投标须知前附表】</w:t>
      </w:r>
      <w:r>
        <w:rPr>
          <w:rFonts w:hint="eastAsia" w:ascii="宋体" w:hAnsi="宋体" w:cs="宋体"/>
          <w:kern w:val="0"/>
          <w:szCs w:val="21"/>
        </w:rPr>
        <w:t>另有规定外，采购项目</w:t>
      </w:r>
      <w:r>
        <w:rPr>
          <w:rFonts w:hint="eastAsia" w:ascii="宋体" w:hAnsi="宋体" w:cs="宋体"/>
          <w:b/>
          <w:kern w:val="0"/>
          <w:szCs w:val="21"/>
        </w:rPr>
        <w:t>拒绝进口产品参加投标</w:t>
      </w:r>
      <w:r>
        <w:rPr>
          <w:rFonts w:hint="eastAsia" w:ascii="宋体" w:hAnsi="宋体" w:cs="宋体"/>
          <w:kern w:val="0"/>
          <w:szCs w:val="21"/>
        </w:rPr>
        <w:t>。本款规定同意购买进口产品的，不限制满足招标文件要求的国内产品参与投标竞争。</w:t>
      </w:r>
    </w:p>
    <w:p w14:paraId="2015CE7A">
      <w:pPr>
        <w:adjustRightInd w:val="0"/>
        <w:snapToGrid w:val="0"/>
        <w:spacing w:line="360" w:lineRule="auto"/>
        <w:ind w:firstLine="420" w:firstLineChars="200"/>
        <w:rPr>
          <w:rFonts w:hint="eastAsia" w:ascii="宋体" w:hAnsi="宋体"/>
        </w:rPr>
      </w:pPr>
      <w:r>
        <w:rPr>
          <w:rFonts w:hint="eastAsia" w:ascii="宋体" w:hAnsi="宋体"/>
        </w:rPr>
        <w:t>33.9投标人有融资、担保需求的，可登陆中国湖南政府采购网查询相关银行、担保机构业务。</w:t>
      </w:r>
    </w:p>
    <w:p w14:paraId="67D46207">
      <w:pPr>
        <w:pStyle w:val="4"/>
        <w:numPr>
          <w:ilvl w:val="2"/>
          <w:numId w:val="0"/>
        </w:numPr>
        <w:tabs>
          <w:tab w:val="left" w:pos="0"/>
        </w:tabs>
        <w:adjustRightInd w:val="0"/>
        <w:snapToGrid w:val="0"/>
        <w:spacing w:before="156" w:beforeLines="50" w:after="0" w:line="360" w:lineRule="auto"/>
        <w:jc w:val="center"/>
        <w:rPr>
          <w:rFonts w:hint="eastAsia" w:ascii="宋体" w:hAnsi="宋体"/>
          <w:sz w:val="28"/>
          <w:szCs w:val="28"/>
        </w:rPr>
      </w:pPr>
      <w:bookmarkStart w:id="85" w:name="_Toc31643"/>
      <w:bookmarkStart w:id="86" w:name="_Toc1219"/>
      <w:bookmarkStart w:id="87" w:name="_Toc24320"/>
      <w:bookmarkStart w:id="88" w:name="_Toc8411"/>
      <w:bookmarkStart w:id="89" w:name="_Toc103979579"/>
      <w:bookmarkStart w:id="90" w:name="_Toc29193"/>
      <w:bookmarkStart w:id="91" w:name="_Toc111543558"/>
      <w:bookmarkStart w:id="92" w:name="_Toc108483396"/>
      <w:bookmarkStart w:id="93" w:name="_Toc99299726"/>
      <w:bookmarkStart w:id="94" w:name="_Toc109656578"/>
      <w:bookmarkStart w:id="95" w:name="_Toc118209428"/>
      <w:bookmarkStart w:id="96" w:name="_Toc5102"/>
      <w:bookmarkStart w:id="97" w:name="_Toc7567"/>
      <w:bookmarkStart w:id="98" w:name="_Toc12927"/>
      <w:bookmarkStart w:id="99" w:name="_Toc79093672"/>
      <w:bookmarkStart w:id="100" w:name="_Toc17728"/>
      <w:bookmarkStart w:id="101" w:name="_Toc13142"/>
      <w:bookmarkStart w:id="102" w:name="_Toc113350937"/>
      <w:bookmarkStart w:id="103" w:name="_Toc6819"/>
      <w:bookmarkStart w:id="104" w:name="_Toc27182"/>
      <w:r>
        <w:rPr>
          <w:rFonts w:hint="eastAsia" w:ascii="宋体" w:hAnsi="宋体"/>
          <w:sz w:val="28"/>
          <w:szCs w:val="28"/>
        </w:rPr>
        <w:t>九、其他规定</w:t>
      </w:r>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p>
    <w:p w14:paraId="1D6A43EB">
      <w:pPr>
        <w:adjustRightInd w:val="0"/>
        <w:snapToGrid w:val="0"/>
        <w:spacing w:before="156" w:beforeLines="50" w:line="360" w:lineRule="auto"/>
        <w:rPr>
          <w:rFonts w:hint="eastAsia" w:ascii="宋体" w:hAnsi="宋体"/>
          <w:b/>
          <w:sz w:val="24"/>
        </w:rPr>
      </w:pPr>
      <w:r>
        <w:rPr>
          <w:rFonts w:hint="eastAsia" w:ascii="宋体" w:hAnsi="宋体"/>
          <w:b/>
          <w:bCs/>
          <w:sz w:val="24"/>
        </w:rPr>
        <w:t>34.</w:t>
      </w:r>
      <w:r>
        <w:rPr>
          <w:rFonts w:hint="eastAsia" w:ascii="宋体" w:hAnsi="宋体"/>
          <w:b/>
          <w:sz w:val="24"/>
        </w:rPr>
        <w:t>招标不足三家处理</w:t>
      </w:r>
    </w:p>
    <w:p w14:paraId="489C1832">
      <w:pPr>
        <w:adjustRightInd w:val="0"/>
        <w:snapToGrid w:val="0"/>
        <w:spacing w:line="360" w:lineRule="auto"/>
        <w:ind w:firstLine="420" w:firstLineChars="200"/>
        <w:rPr>
          <w:rFonts w:hint="eastAsia" w:ascii="宋体" w:hAnsi="宋体"/>
          <w:szCs w:val="21"/>
        </w:rPr>
      </w:pPr>
      <w:r>
        <w:rPr>
          <w:rFonts w:hint="eastAsia" w:ascii="宋体" w:hAnsi="宋体"/>
          <w:szCs w:val="21"/>
        </w:rPr>
        <w:t>34.1公开招标数额标准以上的采购项目，投标截止后投标人不足3家或者通过资格审查或符合性审查的投标人不足3家的，除采购任务取消情形外，按照以下方式处理：</w:t>
      </w:r>
    </w:p>
    <w:p w14:paraId="7080988C">
      <w:pPr>
        <w:adjustRightInd w:val="0"/>
        <w:snapToGrid w:val="0"/>
        <w:spacing w:line="360" w:lineRule="auto"/>
        <w:ind w:firstLine="420" w:firstLineChars="200"/>
        <w:rPr>
          <w:rFonts w:hint="eastAsia" w:ascii="宋体" w:hAnsi="宋体"/>
          <w:szCs w:val="21"/>
        </w:rPr>
      </w:pPr>
      <w:r>
        <w:rPr>
          <w:rFonts w:hint="eastAsia" w:ascii="宋体" w:hAnsi="宋体"/>
          <w:szCs w:val="21"/>
        </w:rPr>
        <w:t>（1）招标文件存在不合理条款或者招标程序不符合规定的，采购人、采购代理机构改正后依法重新招标；</w:t>
      </w:r>
    </w:p>
    <w:p w14:paraId="4C9DB443">
      <w:pPr>
        <w:adjustRightInd w:val="0"/>
        <w:snapToGrid w:val="0"/>
        <w:spacing w:line="360" w:lineRule="auto"/>
        <w:ind w:firstLine="420" w:firstLineChars="200"/>
        <w:rPr>
          <w:rFonts w:hint="eastAsia" w:ascii="宋体" w:hAnsi="宋体"/>
          <w:szCs w:val="21"/>
        </w:rPr>
      </w:pPr>
      <w:r>
        <w:rPr>
          <w:rFonts w:hint="eastAsia" w:ascii="宋体" w:hAnsi="宋体"/>
          <w:szCs w:val="21"/>
        </w:rPr>
        <w:t>（2）招标文件没有不合理条款、招标程序符合规定，需要采用其他采购方式采购的，采购人应当依法报财政部门批准。</w:t>
      </w:r>
    </w:p>
    <w:p w14:paraId="5654B580">
      <w:pPr>
        <w:adjustRightInd w:val="0"/>
        <w:snapToGrid w:val="0"/>
        <w:spacing w:line="360" w:lineRule="auto"/>
        <w:ind w:firstLine="420" w:firstLineChars="200"/>
        <w:rPr>
          <w:rFonts w:hint="eastAsia" w:ascii="宋体" w:hAnsi="宋体"/>
          <w:szCs w:val="21"/>
        </w:rPr>
      </w:pPr>
      <w:r>
        <w:rPr>
          <w:rFonts w:hint="eastAsia" w:ascii="宋体" w:hAnsi="宋体"/>
          <w:szCs w:val="21"/>
        </w:rPr>
        <w:t>34.2属上款第（2）项情形的，评标委员会应出具招标文件没有不合理条款的论证意见。</w:t>
      </w:r>
    </w:p>
    <w:p w14:paraId="4F2C6509">
      <w:pPr>
        <w:adjustRightInd w:val="0"/>
        <w:snapToGrid w:val="0"/>
        <w:spacing w:line="360" w:lineRule="auto"/>
        <w:rPr>
          <w:rFonts w:hint="eastAsia" w:ascii="宋体" w:hAnsi="宋体"/>
          <w:b/>
          <w:sz w:val="24"/>
        </w:rPr>
      </w:pPr>
      <w:r>
        <w:rPr>
          <w:rFonts w:hint="eastAsia" w:ascii="宋体" w:hAnsi="宋体"/>
          <w:b/>
          <w:bCs/>
          <w:sz w:val="24"/>
        </w:rPr>
        <w:t>35.</w:t>
      </w:r>
      <w:r>
        <w:rPr>
          <w:rFonts w:hint="eastAsia" w:ascii="宋体" w:hAnsi="宋体"/>
          <w:b/>
          <w:sz w:val="24"/>
        </w:rPr>
        <w:t xml:space="preserve"> 需要补充的其他内容</w:t>
      </w:r>
    </w:p>
    <w:p w14:paraId="1182C88D">
      <w:pPr>
        <w:adjustRightInd w:val="0"/>
        <w:snapToGrid w:val="0"/>
        <w:spacing w:line="360" w:lineRule="auto"/>
        <w:ind w:firstLine="420" w:firstLineChars="200"/>
        <w:rPr>
          <w:rFonts w:hint="eastAsia" w:ascii="宋体" w:hAnsi="宋体"/>
        </w:rPr>
      </w:pPr>
      <w:r>
        <w:rPr>
          <w:rFonts w:hint="eastAsia" w:ascii="宋体" w:hAnsi="宋体"/>
        </w:rPr>
        <w:t>35.1合同价款支付</w:t>
      </w:r>
    </w:p>
    <w:p w14:paraId="19671890">
      <w:pPr>
        <w:adjustRightInd w:val="0"/>
        <w:snapToGrid w:val="0"/>
        <w:spacing w:line="360" w:lineRule="auto"/>
        <w:ind w:firstLine="420" w:firstLineChars="200"/>
        <w:rPr>
          <w:rFonts w:hint="eastAsia" w:ascii="宋体" w:hAnsi="宋体"/>
        </w:rPr>
      </w:pPr>
      <w:r>
        <w:rPr>
          <w:rFonts w:hint="eastAsia" w:ascii="宋体" w:hAnsi="宋体"/>
        </w:rPr>
        <w:t>（1）招标文件</w:t>
      </w:r>
      <w:r>
        <w:rPr>
          <w:rFonts w:hint="eastAsia" w:ascii="宋体" w:hAnsi="宋体"/>
          <w:bCs/>
          <w:szCs w:val="21"/>
        </w:rPr>
        <w:t>规定支付合同预付款的，采购人应按</w:t>
      </w:r>
      <w:r>
        <w:rPr>
          <w:rFonts w:hint="eastAsia" w:ascii="宋体" w:hAnsi="宋体"/>
          <w:b/>
          <w:szCs w:val="21"/>
        </w:rPr>
        <w:t>【投标须知前附表】</w:t>
      </w:r>
      <w:r>
        <w:rPr>
          <w:rFonts w:hint="eastAsia" w:ascii="宋体" w:hAnsi="宋体"/>
          <w:bCs/>
          <w:szCs w:val="21"/>
        </w:rPr>
        <w:t>规定的支付比例和支付条件向符合要求的中标供应商及时支付相应款项，并在政府采购合同中进行明确。</w:t>
      </w:r>
    </w:p>
    <w:p w14:paraId="6A310127">
      <w:pPr>
        <w:adjustRightInd w:val="0"/>
        <w:snapToGrid w:val="0"/>
        <w:spacing w:line="360" w:lineRule="auto"/>
        <w:ind w:firstLine="420" w:firstLineChars="200"/>
        <w:rPr>
          <w:rFonts w:hint="eastAsia" w:ascii="宋体" w:hAnsi="宋体"/>
        </w:rPr>
      </w:pPr>
      <w:r>
        <w:rPr>
          <w:rFonts w:hint="eastAsia" w:ascii="宋体" w:hAnsi="宋体"/>
        </w:rPr>
        <w:t>（2）招标文件</w:t>
      </w:r>
      <w:r>
        <w:rPr>
          <w:rFonts w:hint="eastAsia" w:ascii="宋体" w:hAnsi="宋体"/>
          <w:bCs/>
        </w:rPr>
        <w:t>规定需提交质量保证金的，采购人可以按</w:t>
      </w:r>
      <w:r>
        <w:rPr>
          <w:rFonts w:hint="eastAsia" w:ascii="宋体" w:hAnsi="宋体"/>
          <w:b/>
        </w:rPr>
        <w:t>【投标须知前附表】</w:t>
      </w:r>
      <w:r>
        <w:rPr>
          <w:rFonts w:hint="eastAsia" w:ascii="宋体" w:hAnsi="宋体"/>
          <w:bCs/>
        </w:rPr>
        <w:t>规定要求中标供应商提交质量保证金，并在政府采购合同中进行明确。</w:t>
      </w:r>
    </w:p>
    <w:p w14:paraId="42B566C6">
      <w:pPr>
        <w:adjustRightInd w:val="0"/>
        <w:snapToGrid w:val="0"/>
        <w:spacing w:line="360" w:lineRule="auto"/>
        <w:ind w:firstLine="420" w:firstLineChars="200"/>
        <w:rPr>
          <w:rFonts w:hint="eastAsia" w:ascii="宋体" w:hAnsi="宋体"/>
        </w:rPr>
      </w:pPr>
      <w:r>
        <w:rPr>
          <w:rFonts w:hint="eastAsia" w:ascii="宋体" w:hAnsi="宋体"/>
          <w:bCs/>
        </w:rPr>
        <w:t>（3）投标人可以保函、电子增信替代预付款担保、质量保证金。</w:t>
      </w:r>
    </w:p>
    <w:p w14:paraId="1E87BC16">
      <w:pPr>
        <w:adjustRightInd w:val="0"/>
        <w:snapToGrid w:val="0"/>
        <w:spacing w:line="360" w:lineRule="auto"/>
        <w:ind w:firstLine="420" w:firstLineChars="200"/>
        <w:rPr>
          <w:rFonts w:hint="eastAsia" w:ascii="宋体" w:hAnsi="宋体"/>
          <w:szCs w:val="21"/>
        </w:rPr>
      </w:pPr>
      <w:r>
        <w:rPr>
          <w:rFonts w:hint="eastAsia" w:ascii="宋体" w:hAnsi="宋体"/>
        </w:rPr>
        <w:t>35.2招标文件需要补充的其</w:t>
      </w:r>
      <w:r>
        <w:rPr>
          <w:rFonts w:hint="eastAsia" w:ascii="宋体" w:hAnsi="宋体"/>
          <w:szCs w:val="21"/>
        </w:rPr>
        <w:t>他内容见</w:t>
      </w:r>
      <w:r>
        <w:rPr>
          <w:rFonts w:hint="eastAsia" w:ascii="宋体" w:hAnsi="宋体"/>
          <w:b/>
          <w:szCs w:val="21"/>
        </w:rPr>
        <w:t>【投标须知前附表】</w:t>
      </w:r>
      <w:r>
        <w:rPr>
          <w:rFonts w:hint="eastAsia" w:ascii="宋体" w:hAnsi="宋体"/>
          <w:szCs w:val="21"/>
        </w:rPr>
        <w:t>。</w:t>
      </w:r>
    </w:p>
    <w:p w14:paraId="719C8383">
      <w:r>
        <w:rPr>
          <w:rFonts w:hAnsi="宋体"/>
        </w:rPr>
        <w:br w:type="page"/>
      </w:r>
    </w:p>
    <w:p w14:paraId="7F844451">
      <w:pPr>
        <w:pStyle w:val="3"/>
        <w:rPr>
          <w:rFonts w:hint="eastAsia" w:ascii="黑体" w:hAnsi="黑体" w:eastAsia="黑体"/>
          <w:sz w:val="32"/>
          <w:szCs w:val="32"/>
        </w:rPr>
      </w:pPr>
      <w:bookmarkStart w:id="105" w:name="_Toc14349"/>
      <w:r>
        <w:rPr>
          <w:rFonts w:hint="eastAsia" w:ascii="黑体" w:hAnsi="黑体" w:eastAsia="黑体"/>
          <w:sz w:val="32"/>
          <w:szCs w:val="32"/>
        </w:rPr>
        <w:t>第三章 资格审查</w:t>
      </w:r>
      <w:bookmarkEnd w:id="105"/>
    </w:p>
    <w:p w14:paraId="76BD0720">
      <w:pPr>
        <w:pStyle w:val="4"/>
        <w:adjustRightInd w:val="0"/>
        <w:snapToGrid w:val="0"/>
        <w:spacing w:before="156" w:beforeLines="50" w:after="0" w:line="360" w:lineRule="auto"/>
        <w:rPr>
          <w:rFonts w:hint="eastAsia" w:ascii="黑体" w:hAnsi="黑体" w:eastAsia="黑体"/>
          <w:sz w:val="24"/>
          <w:szCs w:val="24"/>
        </w:rPr>
      </w:pPr>
      <w:bookmarkStart w:id="106" w:name="_Toc5224"/>
      <w:r>
        <w:rPr>
          <w:rFonts w:hint="eastAsia" w:ascii="黑体" w:hAnsi="黑体" w:eastAsia="黑体"/>
          <w:sz w:val="24"/>
          <w:szCs w:val="24"/>
        </w:rPr>
        <w:t>1．资格审查主体</w:t>
      </w:r>
      <w:bookmarkEnd w:id="106"/>
    </w:p>
    <w:p w14:paraId="268225AC">
      <w:pPr>
        <w:adjustRightInd w:val="0"/>
        <w:snapToGrid w:val="0"/>
        <w:spacing w:before="156" w:beforeLines="50" w:line="360" w:lineRule="auto"/>
        <w:ind w:firstLine="417" w:firstLineChars="199"/>
        <w:jc w:val="left"/>
        <w:rPr>
          <w:rFonts w:hint="eastAsia" w:ascii="宋体" w:hAnsi="宋体"/>
          <w:szCs w:val="21"/>
        </w:rPr>
      </w:pPr>
      <w:r>
        <w:rPr>
          <w:rFonts w:hint="eastAsia" w:ascii="宋体" w:hAnsi="宋体"/>
          <w:szCs w:val="21"/>
        </w:rPr>
        <w:t>1.1资格审查主体：采购人、采购代理机构负责资格审查。</w:t>
      </w:r>
    </w:p>
    <w:p w14:paraId="62645BCD">
      <w:pPr>
        <w:pStyle w:val="4"/>
        <w:adjustRightInd w:val="0"/>
        <w:snapToGrid w:val="0"/>
        <w:spacing w:before="156" w:beforeLines="50" w:after="0" w:line="360" w:lineRule="auto"/>
        <w:rPr>
          <w:rFonts w:hint="eastAsia" w:ascii="黑体" w:hAnsi="黑体" w:eastAsia="黑体"/>
          <w:sz w:val="24"/>
          <w:szCs w:val="24"/>
        </w:rPr>
      </w:pPr>
      <w:bookmarkStart w:id="107" w:name="_Toc14206"/>
      <w:r>
        <w:rPr>
          <w:rFonts w:hint="eastAsia" w:ascii="黑体" w:hAnsi="黑体" w:eastAsia="黑体"/>
          <w:sz w:val="24"/>
          <w:szCs w:val="24"/>
        </w:rPr>
        <w:t>2．资格审查（未进行资格预审的）</w:t>
      </w:r>
      <w:bookmarkEnd w:id="107"/>
    </w:p>
    <w:p w14:paraId="629C6D83">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2.1资格审查依据法律法规和招标文件的规定，对投标文件中的资格证明文件、投标保证金、投标报价等进行审查，以确定投标供应商是否具备投标资格。</w:t>
      </w:r>
    </w:p>
    <w:p w14:paraId="680980BC">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2.2采购人、采购代理机构按本章附表1“资格审查表”所列审查项目及审查标准，对投标人资格进行审查。</w:t>
      </w:r>
    </w:p>
    <w:p w14:paraId="19F7745E">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2.3在资格审查时，投标人存在下列情况之一的，资格审查不合格，其投标无效：</w:t>
      </w:r>
    </w:p>
    <w:p w14:paraId="368EBB1D">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（1）不具备招标文件中规定的资格要求的，或提交的资格证明文件不符合招标文件要求的；</w:t>
      </w:r>
    </w:p>
    <w:p w14:paraId="36CC1339">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（2）联合体投标未提交联合体协议书，或未提交联合体各方资格证明文件的；</w:t>
      </w:r>
    </w:p>
    <w:p w14:paraId="2866A776">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（3）投标文件的资格证明文件未按照招标文件要求签署、盖章的；</w:t>
      </w:r>
    </w:p>
    <w:p w14:paraId="6517A4A8">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（4）未按照招标文件的规定提交投标保证金的。</w:t>
      </w:r>
    </w:p>
    <w:p w14:paraId="7EB7A3C9">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（5）投标报价超过招标文件中规定的预算金额或者最高限价的；</w:t>
      </w:r>
    </w:p>
    <w:p w14:paraId="0293A863">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（6）法律、法规和招标文件规定的其他投标无效情形的。</w:t>
      </w:r>
    </w:p>
    <w:p w14:paraId="194B803E">
      <w:pPr>
        <w:adjustRightInd w:val="0"/>
        <w:snapToGrid w:val="0"/>
        <w:spacing w:before="156" w:beforeLines="50" w:line="360" w:lineRule="auto"/>
        <w:ind w:firstLine="420" w:firstLineChars="200"/>
        <w:jc w:val="left"/>
        <w:rPr>
          <w:rFonts w:hint="eastAsia" w:ascii="宋体" w:hAnsi="宋体"/>
          <w:b/>
          <w:sz w:val="32"/>
          <w:szCs w:val="32"/>
        </w:rPr>
      </w:pPr>
      <w:r>
        <w:rPr>
          <w:rFonts w:hint="eastAsia" w:ascii="宋体" w:hAnsi="宋体"/>
        </w:rPr>
        <w:t>2.4信用记录。开标结束后</w:t>
      </w:r>
      <w:r>
        <w:rPr>
          <w:rFonts w:hint="eastAsia" w:ascii="宋体" w:hAnsi="宋体"/>
          <w:szCs w:val="21"/>
        </w:rPr>
        <w:t>资格审查时，采购人、采购代理机构将对投标人信用记录进行甄别。</w:t>
      </w:r>
    </w:p>
    <w:p w14:paraId="525BD0ED">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（1）信用信息查询的查询渠道：信用中国网（www.creditchina.gov.cn）、中国政府采购网（www.ccgp.gov.cn）；</w:t>
      </w:r>
    </w:p>
    <w:p w14:paraId="4F9B7DDA">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2）不良信用记录是指：投标人在“信用中国”网站被列入失信被执行人和重大税收违法失信主体名单，或在“中国政府采购网”网站被列入政府采购严重违法失信行为记录名单。投标人有上述不良信用记录的，其投标无效，其中，列入政府采购严重违法失信行为记录名单的，按处罚结果执行。</w:t>
      </w:r>
    </w:p>
    <w:p w14:paraId="1E47B510">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（3）联合体形式投标的，联合体成员存在不良信用记录的，视同联合体存在不良信用记录。</w:t>
      </w:r>
    </w:p>
    <w:p w14:paraId="0D0B63EE">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（4）信用信息查询记录和证据留存具体方式：采购人、采购代理机构</w:t>
      </w:r>
      <w:r>
        <w:rPr>
          <w:rFonts w:ascii="宋体" w:hAnsi="宋体"/>
          <w:szCs w:val="21"/>
        </w:rPr>
        <w:t>经办人将查询网页</w:t>
      </w:r>
      <w:r>
        <w:rPr>
          <w:rFonts w:hint="eastAsia" w:ascii="宋体" w:hAnsi="宋体"/>
          <w:szCs w:val="21"/>
        </w:rPr>
        <w:t>截图、</w:t>
      </w:r>
      <w:r>
        <w:rPr>
          <w:rFonts w:ascii="宋体" w:hAnsi="宋体"/>
          <w:szCs w:val="21"/>
        </w:rPr>
        <w:t>打印、签字</w:t>
      </w:r>
      <w:r>
        <w:rPr>
          <w:rFonts w:hint="eastAsia" w:ascii="宋体" w:hAnsi="宋体"/>
          <w:szCs w:val="21"/>
        </w:rPr>
        <w:t>，作为查询记录和证据，与其他采购文件一并保存。</w:t>
      </w:r>
      <w:r>
        <w:rPr>
          <w:rFonts w:ascii="宋体" w:hAnsi="宋体"/>
          <w:szCs w:val="21"/>
        </w:rPr>
        <w:t>投标人不良信用记录以</w:t>
      </w:r>
      <w:r>
        <w:rPr>
          <w:rFonts w:hint="eastAsia" w:ascii="宋体" w:hAnsi="宋体"/>
          <w:szCs w:val="21"/>
        </w:rPr>
        <w:t>采购人、采购代理机构</w:t>
      </w:r>
      <w:r>
        <w:rPr>
          <w:rFonts w:ascii="宋体" w:hAnsi="宋体"/>
          <w:szCs w:val="21"/>
        </w:rPr>
        <w:t>查询结果为准</w:t>
      </w:r>
      <w:r>
        <w:rPr>
          <w:rFonts w:hint="eastAsia" w:ascii="宋体" w:hAnsi="宋体"/>
          <w:szCs w:val="21"/>
        </w:rPr>
        <w:t>。</w:t>
      </w:r>
    </w:p>
    <w:p w14:paraId="1F280BE3">
      <w:pPr>
        <w:pStyle w:val="4"/>
        <w:spacing w:before="156" w:after="156"/>
        <w:rPr>
          <w:rFonts w:hint="eastAsia" w:ascii="黑体" w:hAnsi="黑体" w:eastAsia="黑体"/>
          <w:sz w:val="24"/>
          <w:szCs w:val="24"/>
        </w:rPr>
      </w:pPr>
      <w:bookmarkStart w:id="108" w:name="_Toc82155400"/>
      <w:bookmarkStart w:id="109" w:name="_Toc62206176"/>
      <w:bookmarkStart w:id="110" w:name="_Toc25206"/>
      <w:r>
        <w:rPr>
          <w:rFonts w:hint="eastAsia" w:ascii="黑体" w:hAnsi="黑体" w:eastAsia="黑体"/>
          <w:sz w:val="24"/>
          <w:szCs w:val="24"/>
        </w:rPr>
        <w:t>2．资格审查（已进行资格预审的）</w:t>
      </w:r>
      <w:bookmarkEnd w:id="108"/>
      <w:bookmarkEnd w:id="109"/>
      <w:bookmarkEnd w:id="110"/>
    </w:p>
    <w:p w14:paraId="26312F30">
      <w:pPr>
        <w:adjustRightInd w:val="0"/>
        <w:snapToGrid w:val="0"/>
        <w:spacing w:line="360" w:lineRule="auto"/>
        <w:ind w:firstLine="420" w:firstLineChars="200"/>
        <w:rPr>
          <w:rFonts w:hint="eastAsia" w:ascii="宋体" w:hAnsi="宋体" w:cs="宋体"/>
          <w:kern w:val="0"/>
          <w:lang w:val="zh-CN"/>
        </w:rPr>
      </w:pPr>
      <w:r>
        <w:rPr>
          <w:rFonts w:hint="eastAsia" w:ascii="宋体" w:hAnsi="宋体"/>
        </w:rPr>
        <w:t>2.1供应商若有第二章第</w:t>
      </w:r>
      <w:r>
        <w:rPr>
          <w:rFonts w:ascii="宋体" w:hAnsi="宋体"/>
        </w:rPr>
        <w:t>1</w:t>
      </w:r>
      <w:r>
        <w:rPr>
          <w:rFonts w:hint="eastAsia" w:ascii="宋体" w:hAnsi="宋体"/>
        </w:rPr>
        <w:t>4</w:t>
      </w:r>
      <w:r>
        <w:rPr>
          <w:rFonts w:ascii="宋体" w:hAnsi="宋体"/>
        </w:rPr>
        <w:t>.1</w:t>
      </w:r>
      <w:r>
        <w:rPr>
          <w:rFonts w:hint="eastAsia" w:ascii="宋体" w:hAnsi="宋体"/>
        </w:rPr>
        <w:t>款规定情形，采购人、采购代理机构按该款规定进行审查。</w:t>
      </w:r>
      <w:r>
        <w:rPr>
          <w:rFonts w:hint="eastAsia" w:ascii="宋体" w:hAnsi="宋体"/>
          <w:szCs w:val="21"/>
        </w:rPr>
        <w:t>除本</w:t>
      </w:r>
      <w:r>
        <w:rPr>
          <w:rFonts w:hint="eastAsia" w:ascii="宋体" w:hAnsi="宋体" w:cs="宋体"/>
          <w:kern w:val="0"/>
          <w:szCs w:val="21"/>
          <w:lang w:val="zh-CN"/>
        </w:rPr>
        <w:t>款规定的</w:t>
      </w:r>
      <w:r>
        <w:rPr>
          <w:rFonts w:hint="eastAsia" w:ascii="宋体" w:hAnsi="宋体"/>
        </w:rPr>
        <w:t>情形外，采购人、采购代理机构</w:t>
      </w:r>
      <w:r>
        <w:rPr>
          <w:rFonts w:hint="eastAsia" w:hAnsi="宋体"/>
        </w:rPr>
        <w:t>不再对供应商进行资格审查。</w:t>
      </w:r>
    </w:p>
    <w:p w14:paraId="7763D1A8">
      <w:pPr>
        <w:pStyle w:val="4"/>
        <w:adjustRightInd w:val="0"/>
        <w:snapToGrid w:val="0"/>
        <w:spacing w:before="156" w:beforeLines="50" w:after="0" w:line="360" w:lineRule="auto"/>
        <w:rPr>
          <w:rFonts w:hint="eastAsia" w:ascii="黑体" w:hAnsi="黑体" w:eastAsia="黑体"/>
          <w:sz w:val="24"/>
          <w:szCs w:val="24"/>
        </w:rPr>
      </w:pPr>
      <w:bookmarkStart w:id="111" w:name="_Toc11985"/>
      <w:r>
        <w:rPr>
          <w:rFonts w:hint="eastAsia" w:ascii="黑体" w:hAnsi="黑体" w:eastAsia="黑体"/>
          <w:sz w:val="24"/>
          <w:szCs w:val="24"/>
        </w:rPr>
        <w:t>3．资格审查结果</w:t>
      </w:r>
      <w:bookmarkEnd w:id="111"/>
    </w:p>
    <w:p w14:paraId="47BB7192">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3.1未通过资格审查的投标人，采购人、采购代理机构应当告知其未通过的原因。</w:t>
      </w:r>
    </w:p>
    <w:p w14:paraId="0450650B">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3.2资格审查结束后，采购人、采购代理机构应将资格审查结果告知评标委员会。</w:t>
      </w:r>
    </w:p>
    <w:p w14:paraId="1613498A">
      <w:pPr>
        <w:adjustRightInd w:val="0"/>
        <w:snapToGrid w:val="0"/>
        <w:spacing w:before="156" w:beforeLines="50" w:line="360" w:lineRule="auto"/>
        <w:jc w:val="left"/>
        <w:rPr>
          <w:rFonts w:hint="eastAsia" w:ascii="华文中宋" w:hAnsi="华文中宋" w:eastAsia="华文中宋"/>
          <w:b/>
          <w:bCs/>
          <w:sz w:val="10"/>
          <w:szCs w:val="10"/>
        </w:rPr>
      </w:pPr>
      <w:r>
        <w:rPr>
          <w:rFonts w:ascii="华文中宋" w:hAnsi="华文中宋" w:eastAsia="华文中宋"/>
        </w:rPr>
        <w:br w:type="page"/>
      </w:r>
    </w:p>
    <w:p w14:paraId="0B201516">
      <w:pPr>
        <w:pStyle w:val="5"/>
        <w:adjustRightInd w:val="0"/>
        <w:snapToGrid w:val="0"/>
        <w:spacing w:before="0" w:after="0" w:line="360" w:lineRule="auto"/>
        <w:rPr>
          <w:rFonts w:hint="eastAsia" w:ascii="黑体" w:hAnsi="黑体" w:cs="黑体"/>
          <w:b w:val="0"/>
          <w:bCs w:val="0"/>
          <w:sz w:val="21"/>
          <w:szCs w:val="21"/>
        </w:rPr>
      </w:pPr>
      <w:bookmarkStart w:id="112" w:name="_Toc1064"/>
      <w:r>
        <w:rPr>
          <w:rFonts w:hint="eastAsia" w:ascii="黑体" w:hAnsi="黑体" w:cs="黑体"/>
          <w:b w:val="0"/>
          <w:bCs w:val="0"/>
          <w:sz w:val="21"/>
          <w:szCs w:val="21"/>
        </w:rPr>
        <w:t>附表1资格审查表</w:t>
      </w:r>
      <w:bookmarkEnd w:id="112"/>
    </w:p>
    <w:p w14:paraId="4B2E0210">
      <w:pPr>
        <w:adjustRightInd w:val="0"/>
        <w:snapToGrid w:val="0"/>
        <w:spacing w:line="360" w:lineRule="auto"/>
        <w:jc w:val="center"/>
        <w:rPr>
          <w:rFonts w:hint="eastAsia" w:ascii="黑体" w:hAnsi="黑体" w:eastAsia="黑体"/>
          <w:b/>
          <w:sz w:val="28"/>
          <w:szCs w:val="28"/>
        </w:rPr>
      </w:pPr>
      <w:r>
        <w:rPr>
          <w:rFonts w:ascii="黑体" w:hAnsi="黑体" w:eastAsia="黑体"/>
          <w:b/>
          <w:sz w:val="28"/>
          <w:szCs w:val="28"/>
        </w:rPr>
        <w:t>资格审查表</w:t>
      </w:r>
    </w:p>
    <w:p w14:paraId="5F3A82B8">
      <w:pPr>
        <w:adjustRightInd w:val="0"/>
        <w:snapToGrid w:val="0"/>
        <w:spacing w:line="360" w:lineRule="auto"/>
        <w:rPr>
          <w:rFonts w:hint="eastAsia" w:ascii="黑体" w:hAnsi="黑体" w:eastAsia="黑体"/>
          <w:sz w:val="28"/>
          <w:szCs w:val="28"/>
        </w:rPr>
      </w:pPr>
      <w:r>
        <w:rPr>
          <w:rFonts w:hint="eastAsia" w:ascii="宋体" w:hAnsi="宋体"/>
          <w:szCs w:val="21"/>
        </w:rPr>
        <w:t>项目名称：</w:t>
      </w:r>
      <w:r>
        <w:rPr>
          <w:rFonts w:hint="eastAsia" w:ascii="宋体" w:hAnsi="宋体"/>
          <w:szCs w:val="21"/>
          <w:u w:val="single"/>
          <w:lang w:eastAsia="zh-CN"/>
        </w:rPr>
        <w:t>新化县殡仪馆新建项目相关设备设施采购项目</w:t>
      </w:r>
      <w:r>
        <w:rPr>
          <w:rFonts w:hint="eastAsia" w:ascii="宋体" w:hAnsi="宋体"/>
          <w:szCs w:val="21"/>
        </w:rPr>
        <w:t xml:space="preserve">   政府采购计划编号：</w:t>
      </w:r>
      <w:r>
        <w:rPr>
          <w:rFonts w:hint="eastAsia" w:ascii="宋体" w:hAnsi="宋体"/>
          <w:szCs w:val="21"/>
          <w:u w:val="single"/>
        </w:rPr>
        <w:t xml:space="preserve">       </w:t>
      </w:r>
    </w:p>
    <w:tbl>
      <w:tblPr>
        <w:tblStyle w:val="27"/>
        <w:tblW w:w="9039" w:type="dxa"/>
        <w:tblInd w:w="0" w:type="dxa"/>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683"/>
        <w:gridCol w:w="2804"/>
        <w:gridCol w:w="5552"/>
      </w:tblGrid>
      <w:tr w14:paraId="60DC4446">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03" w:hRule="atLeast"/>
        </w:trPr>
        <w:tc>
          <w:tcPr>
            <w:tcW w:w="683" w:type="dxa"/>
            <w:noWrap w:val="0"/>
            <w:vAlign w:val="center"/>
          </w:tcPr>
          <w:p w14:paraId="4DA3AB4E">
            <w:pPr>
              <w:pStyle w:val="76"/>
              <w:rPr>
                <w:rFonts w:hint="eastAsia" w:ascii="宋体" w:hAnsi="宋体" w:eastAsia="宋体" w:cs="宋体"/>
                <w:sz w:val="21"/>
                <w:szCs w:val="21"/>
              </w:rPr>
            </w:pPr>
            <w:r>
              <w:rPr>
                <w:rFonts w:hint="eastAsia" w:ascii="宋体" w:hAnsi="宋体" w:eastAsia="宋体" w:cs="宋体"/>
                <w:sz w:val="21"/>
                <w:szCs w:val="21"/>
              </w:rPr>
              <w:t>序号</w:t>
            </w:r>
          </w:p>
        </w:tc>
        <w:tc>
          <w:tcPr>
            <w:tcW w:w="2804" w:type="dxa"/>
            <w:noWrap w:val="0"/>
            <w:vAlign w:val="center"/>
          </w:tcPr>
          <w:p w14:paraId="41697475">
            <w:pPr>
              <w:pStyle w:val="76"/>
              <w:rPr>
                <w:rFonts w:hint="eastAsia" w:ascii="宋体" w:hAnsi="宋体" w:eastAsia="宋体" w:cs="宋体"/>
                <w:sz w:val="21"/>
                <w:szCs w:val="21"/>
              </w:rPr>
            </w:pPr>
            <w:r>
              <w:rPr>
                <w:rFonts w:hint="eastAsia" w:ascii="宋体" w:hAnsi="宋体" w:eastAsia="宋体" w:cs="宋体"/>
                <w:sz w:val="21"/>
                <w:szCs w:val="21"/>
              </w:rPr>
              <w:t>审查项目</w:t>
            </w:r>
          </w:p>
        </w:tc>
        <w:tc>
          <w:tcPr>
            <w:tcW w:w="5552" w:type="dxa"/>
            <w:noWrap w:val="0"/>
            <w:vAlign w:val="center"/>
          </w:tcPr>
          <w:p w14:paraId="530A2DEF">
            <w:pPr>
              <w:pStyle w:val="76"/>
              <w:rPr>
                <w:rFonts w:hint="eastAsia" w:ascii="宋体" w:hAnsi="宋体" w:eastAsia="宋体" w:cs="宋体"/>
                <w:sz w:val="21"/>
                <w:szCs w:val="21"/>
              </w:rPr>
            </w:pPr>
            <w:r>
              <w:rPr>
                <w:rFonts w:hint="eastAsia" w:ascii="宋体" w:hAnsi="宋体" w:eastAsia="宋体" w:cs="宋体"/>
                <w:sz w:val="21"/>
                <w:szCs w:val="21"/>
              </w:rPr>
              <w:t>审查标准</w:t>
            </w:r>
          </w:p>
        </w:tc>
      </w:tr>
      <w:tr w14:paraId="5AF47CF0">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683" w:type="dxa"/>
            <w:noWrap w:val="0"/>
            <w:vAlign w:val="center"/>
          </w:tcPr>
          <w:p w14:paraId="2A06D08B">
            <w:pPr>
              <w:pStyle w:val="76"/>
              <w:rPr>
                <w:rFonts w:hint="eastAsia" w:ascii="宋体" w:hAnsi="宋体" w:eastAsia="宋体" w:cs="宋体"/>
                <w:sz w:val="21"/>
                <w:szCs w:val="21"/>
              </w:rPr>
            </w:pPr>
            <w:r>
              <w:rPr>
                <w:rFonts w:hint="eastAsia" w:ascii="宋体" w:hAnsi="宋体" w:eastAsia="宋体" w:cs="宋体"/>
                <w:sz w:val="21"/>
                <w:szCs w:val="21"/>
              </w:rPr>
              <w:t>1</w:t>
            </w:r>
          </w:p>
        </w:tc>
        <w:tc>
          <w:tcPr>
            <w:tcW w:w="2804" w:type="dxa"/>
            <w:noWrap w:val="0"/>
            <w:vAlign w:val="center"/>
          </w:tcPr>
          <w:p w14:paraId="3EB67824">
            <w:pPr>
              <w:pStyle w:val="76"/>
              <w:rPr>
                <w:rFonts w:hint="eastAsia" w:ascii="宋体" w:hAnsi="宋体" w:eastAsia="宋体" w:cs="宋体"/>
                <w:sz w:val="21"/>
                <w:szCs w:val="21"/>
              </w:rPr>
            </w:pPr>
            <w:r>
              <w:rPr>
                <w:rFonts w:hint="eastAsia" w:ascii="宋体" w:hAnsi="宋体" w:eastAsia="宋体" w:cs="宋体"/>
                <w:sz w:val="21"/>
                <w:szCs w:val="21"/>
              </w:rPr>
              <w:t>法人营业执照</w:t>
            </w:r>
          </w:p>
        </w:tc>
        <w:tc>
          <w:tcPr>
            <w:tcW w:w="5552" w:type="dxa"/>
            <w:noWrap w:val="0"/>
            <w:vAlign w:val="center"/>
          </w:tcPr>
          <w:p w14:paraId="18EB54C3">
            <w:pPr>
              <w:pStyle w:val="76"/>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法人提交企业法人营业执照副本(或者法人登记证书)以及组织机构代码证副本复印件；</w:t>
            </w:r>
          </w:p>
          <w:p w14:paraId="099AF08D">
            <w:pPr>
              <w:pStyle w:val="76"/>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注：已获取“统一社会信用代码”的“三证合一”、“五证合一”企业，无须再提供组织机构代码证及税务登记证。</w:t>
            </w:r>
          </w:p>
        </w:tc>
      </w:tr>
      <w:tr w14:paraId="2D92FC5A">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1508" w:hRule="atLeast"/>
        </w:trPr>
        <w:tc>
          <w:tcPr>
            <w:tcW w:w="683" w:type="dxa"/>
            <w:noWrap w:val="0"/>
            <w:vAlign w:val="center"/>
          </w:tcPr>
          <w:p w14:paraId="6D4AF886">
            <w:pPr>
              <w:pStyle w:val="76"/>
              <w:rPr>
                <w:rFonts w:hint="eastAsia" w:ascii="宋体" w:hAnsi="宋体" w:eastAsia="宋体" w:cs="宋体"/>
                <w:sz w:val="21"/>
                <w:szCs w:val="21"/>
              </w:rPr>
            </w:pPr>
            <w:r>
              <w:rPr>
                <w:rFonts w:hint="eastAsia" w:ascii="宋体" w:hAnsi="宋体" w:eastAsia="宋体" w:cs="宋体"/>
                <w:sz w:val="21"/>
                <w:szCs w:val="21"/>
              </w:rPr>
              <w:t>2</w:t>
            </w:r>
          </w:p>
        </w:tc>
        <w:tc>
          <w:tcPr>
            <w:tcW w:w="2804" w:type="dxa"/>
            <w:noWrap w:val="0"/>
            <w:vAlign w:val="center"/>
          </w:tcPr>
          <w:p w14:paraId="220B312E">
            <w:pPr>
              <w:pStyle w:val="76"/>
              <w:rPr>
                <w:rFonts w:hint="eastAsia" w:ascii="宋体" w:hAnsi="宋体" w:eastAsia="宋体" w:cs="宋体"/>
                <w:sz w:val="21"/>
                <w:szCs w:val="21"/>
              </w:rPr>
            </w:pPr>
            <w:r>
              <w:rPr>
                <w:rFonts w:hint="eastAsia" w:ascii="宋体" w:hAnsi="宋体" w:eastAsia="宋体" w:cs="宋体"/>
                <w:sz w:val="21"/>
                <w:szCs w:val="21"/>
              </w:rPr>
              <w:t>法定代表或法人授权委托书复印件</w:t>
            </w:r>
          </w:p>
        </w:tc>
        <w:tc>
          <w:tcPr>
            <w:tcW w:w="5552" w:type="dxa"/>
            <w:noWrap w:val="0"/>
            <w:vAlign w:val="center"/>
          </w:tcPr>
          <w:p w14:paraId="5D47C7CC">
            <w:pPr>
              <w:pStyle w:val="76"/>
              <w:rPr>
                <w:rFonts w:hint="eastAsia" w:ascii="宋体" w:hAnsi="宋体" w:eastAsia="宋体" w:cs="宋体"/>
                <w:sz w:val="21"/>
                <w:szCs w:val="21"/>
              </w:rPr>
            </w:pPr>
            <w:r>
              <w:rPr>
                <w:rFonts w:hint="eastAsia" w:ascii="宋体" w:hAnsi="宋体" w:eastAsia="宋体" w:cs="宋体"/>
                <w:sz w:val="21"/>
                <w:szCs w:val="21"/>
              </w:rPr>
              <w:t xml:space="preserve">法人提交法定代表人（单位负责人）身份证明书复印件或者法定代表人（单位负责人）授权委托书复印件并附法定代表人（单位负责人）身份证明复印件和被授权代理人有效身份证件复印件；  </w:t>
            </w:r>
          </w:p>
        </w:tc>
      </w:tr>
      <w:tr w14:paraId="15D44F1D">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1487" w:hRule="atLeast"/>
        </w:trPr>
        <w:tc>
          <w:tcPr>
            <w:tcW w:w="683" w:type="dxa"/>
            <w:noWrap w:val="0"/>
            <w:vAlign w:val="center"/>
          </w:tcPr>
          <w:p w14:paraId="6899B9D6">
            <w:pPr>
              <w:pStyle w:val="76"/>
              <w:rPr>
                <w:rFonts w:hint="eastAsia" w:ascii="宋体" w:hAnsi="宋体" w:eastAsia="宋体" w:cs="宋体"/>
                <w:sz w:val="21"/>
                <w:szCs w:val="21"/>
              </w:rPr>
            </w:pPr>
            <w:r>
              <w:rPr>
                <w:rFonts w:hint="eastAsia" w:ascii="宋体" w:hAnsi="宋体" w:eastAsia="宋体" w:cs="宋体"/>
                <w:sz w:val="21"/>
                <w:szCs w:val="21"/>
              </w:rPr>
              <w:t>3</w:t>
            </w:r>
          </w:p>
        </w:tc>
        <w:tc>
          <w:tcPr>
            <w:tcW w:w="2804" w:type="dxa"/>
            <w:noWrap w:val="0"/>
            <w:vAlign w:val="center"/>
          </w:tcPr>
          <w:p w14:paraId="61CF9D48">
            <w:pPr>
              <w:pStyle w:val="76"/>
              <w:rPr>
                <w:rFonts w:hint="eastAsia" w:ascii="宋体" w:hAnsi="宋体" w:eastAsia="宋体" w:cs="宋体"/>
                <w:sz w:val="21"/>
                <w:szCs w:val="21"/>
              </w:rPr>
            </w:pPr>
            <w:r>
              <w:rPr>
                <w:rFonts w:hint="eastAsia" w:ascii="宋体" w:hAnsi="宋体" w:eastAsia="宋体" w:cs="宋体"/>
                <w:sz w:val="21"/>
                <w:szCs w:val="21"/>
              </w:rPr>
              <w:t>财务状况报告、依法缴纳税收、依法缴纳社会保障资金、具备履行合同所必需的设备和专业技术能力的书面承诺</w:t>
            </w:r>
          </w:p>
        </w:tc>
        <w:tc>
          <w:tcPr>
            <w:tcW w:w="5552" w:type="dxa"/>
            <w:noWrap w:val="0"/>
            <w:vAlign w:val="center"/>
          </w:tcPr>
          <w:p w14:paraId="2830826A">
            <w:pPr>
              <w:pStyle w:val="76"/>
              <w:rPr>
                <w:rFonts w:hint="eastAsia" w:ascii="宋体" w:hAnsi="宋体" w:eastAsia="宋体" w:cs="宋体"/>
                <w:sz w:val="21"/>
                <w:szCs w:val="21"/>
                <w:lang w:eastAsia="zh-CN"/>
              </w:rPr>
            </w:pPr>
            <w:r>
              <w:rPr>
                <w:rFonts w:hint="eastAsia" w:ascii="宋体" w:hAnsi="宋体" w:eastAsia="宋体" w:cs="宋体"/>
                <w:sz w:val="21"/>
                <w:szCs w:val="21"/>
              </w:rPr>
              <w:t>提供湖南省政府采购供应商资格承诺函等证明材料</w:t>
            </w:r>
            <w:r>
              <w:rPr>
                <w:rFonts w:hint="eastAsia" w:ascii="宋体" w:hAnsi="宋体" w:eastAsia="宋体" w:cs="宋体"/>
                <w:sz w:val="21"/>
                <w:szCs w:val="21"/>
                <w:lang w:eastAsia="zh-CN"/>
              </w:rPr>
              <w:t>。</w:t>
            </w:r>
          </w:p>
        </w:tc>
      </w:tr>
      <w:tr w14:paraId="1C5DDFBF">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743" w:hRule="atLeast"/>
        </w:trPr>
        <w:tc>
          <w:tcPr>
            <w:tcW w:w="683" w:type="dxa"/>
            <w:noWrap w:val="0"/>
            <w:vAlign w:val="center"/>
          </w:tcPr>
          <w:p w14:paraId="38DAB980">
            <w:pPr>
              <w:pStyle w:val="76"/>
              <w:rPr>
                <w:rFonts w:hint="eastAsia" w:ascii="宋体" w:hAnsi="宋体" w:eastAsia="宋体" w:cs="宋体"/>
                <w:sz w:val="21"/>
                <w:szCs w:val="21"/>
              </w:rPr>
            </w:pPr>
            <w:r>
              <w:rPr>
                <w:rFonts w:hint="eastAsia" w:ascii="宋体" w:hAnsi="宋体" w:eastAsia="宋体" w:cs="宋体"/>
                <w:sz w:val="21"/>
                <w:szCs w:val="21"/>
              </w:rPr>
              <w:t>4</w:t>
            </w:r>
          </w:p>
        </w:tc>
        <w:tc>
          <w:tcPr>
            <w:tcW w:w="2804" w:type="dxa"/>
            <w:noWrap w:val="0"/>
            <w:vAlign w:val="center"/>
          </w:tcPr>
          <w:p w14:paraId="54430651">
            <w:pPr>
              <w:pStyle w:val="76"/>
              <w:rPr>
                <w:rFonts w:hint="eastAsia" w:ascii="宋体" w:hAnsi="宋体" w:eastAsia="宋体" w:cs="宋体"/>
                <w:sz w:val="21"/>
                <w:szCs w:val="21"/>
              </w:rPr>
            </w:pPr>
            <w:r>
              <w:rPr>
                <w:rFonts w:hint="eastAsia" w:ascii="宋体" w:hAnsi="宋体" w:eastAsia="宋体" w:cs="宋体"/>
                <w:sz w:val="21"/>
                <w:szCs w:val="21"/>
              </w:rPr>
              <w:t>供应商特定资格要求</w:t>
            </w:r>
            <w:r>
              <w:rPr>
                <w:rFonts w:hint="eastAsia" w:ascii="宋体" w:hAnsi="宋体" w:eastAsia="宋体" w:cs="宋体"/>
                <w:sz w:val="21"/>
                <w:szCs w:val="21"/>
                <w:lang w:val="en-US" w:eastAsia="zh-CN"/>
              </w:rPr>
              <w:t>（如有）</w:t>
            </w:r>
          </w:p>
        </w:tc>
        <w:tc>
          <w:tcPr>
            <w:tcW w:w="5552" w:type="dxa"/>
            <w:noWrap w:val="0"/>
            <w:vAlign w:val="center"/>
          </w:tcPr>
          <w:p w14:paraId="2A6340B3">
            <w:pPr>
              <w:pStyle w:val="76"/>
              <w:rPr>
                <w:rFonts w:hint="eastAsia" w:ascii="宋体" w:hAnsi="宋体" w:eastAsia="宋体" w:cs="宋体"/>
                <w:sz w:val="21"/>
                <w:szCs w:val="21"/>
              </w:rPr>
            </w:pPr>
            <w:r>
              <w:rPr>
                <w:rFonts w:hint="eastAsia" w:ascii="宋体" w:hAnsi="宋体" w:eastAsia="宋体" w:cs="宋体"/>
                <w:sz w:val="21"/>
                <w:szCs w:val="21"/>
              </w:rPr>
              <w:t>提供符合招标文件第一章中“采购项目的特定资格条件”要求的证明材料。</w:t>
            </w:r>
          </w:p>
        </w:tc>
      </w:tr>
      <w:tr w14:paraId="654EA3C5">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1787" w:hRule="atLeast"/>
        </w:trPr>
        <w:tc>
          <w:tcPr>
            <w:tcW w:w="683" w:type="dxa"/>
            <w:noWrap w:val="0"/>
            <w:vAlign w:val="center"/>
          </w:tcPr>
          <w:p w14:paraId="61DF16F0">
            <w:pPr>
              <w:pStyle w:val="76"/>
              <w:rPr>
                <w:rFonts w:hint="eastAsia" w:ascii="宋体" w:hAnsi="宋体" w:eastAsia="宋体" w:cs="宋体"/>
                <w:sz w:val="21"/>
                <w:szCs w:val="21"/>
              </w:rPr>
            </w:pPr>
            <w:r>
              <w:rPr>
                <w:rFonts w:hint="eastAsia" w:ascii="宋体" w:hAnsi="宋体" w:eastAsia="宋体" w:cs="宋体"/>
                <w:sz w:val="21"/>
                <w:szCs w:val="21"/>
              </w:rPr>
              <w:t>5</w:t>
            </w:r>
          </w:p>
        </w:tc>
        <w:tc>
          <w:tcPr>
            <w:tcW w:w="2804" w:type="dxa"/>
            <w:noWrap w:val="0"/>
            <w:vAlign w:val="center"/>
          </w:tcPr>
          <w:p w14:paraId="20D4E32C">
            <w:pPr>
              <w:pStyle w:val="76"/>
              <w:rPr>
                <w:rFonts w:hint="eastAsia" w:ascii="宋体" w:hAnsi="宋体" w:eastAsia="宋体" w:cs="宋体"/>
                <w:sz w:val="21"/>
                <w:szCs w:val="21"/>
              </w:rPr>
            </w:pPr>
            <w:r>
              <w:rPr>
                <w:rFonts w:hint="eastAsia" w:ascii="宋体" w:hAnsi="宋体" w:eastAsia="宋体" w:cs="宋体"/>
                <w:sz w:val="21"/>
                <w:szCs w:val="21"/>
              </w:rPr>
              <w:t>单位负责人为同一人或者存在直接控股、管理关系的不同投标人，不得参加本项目同一合同项下的政府采购活动的书面承诺</w:t>
            </w:r>
          </w:p>
        </w:tc>
        <w:tc>
          <w:tcPr>
            <w:tcW w:w="5552" w:type="dxa"/>
            <w:noWrap w:val="0"/>
            <w:vAlign w:val="center"/>
          </w:tcPr>
          <w:p w14:paraId="0C796B72">
            <w:pPr>
              <w:pStyle w:val="76"/>
              <w:rPr>
                <w:rFonts w:hint="eastAsia" w:ascii="宋体" w:hAnsi="宋体" w:eastAsia="宋体" w:cs="宋体"/>
                <w:sz w:val="21"/>
                <w:szCs w:val="21"/>
                <w:lang w:eastAsia="zh-CN"/>
              </w:rPr>
            </w:pPr>
            <w:r>
              <w:rPr>
                <w:rFonts w:hint="eastAsia" w:ascii="宋体" w:hAnsi="宋体" w:eastAsia="宋体" w:cs="宋体"/>
                <w:sz w:val="21"/>
                <w:szCs w:val="21"/>
              </w:rPr>
              <w:t>提供单位负责人为同一人或者存在直接控股、管理关系的不同投标人，不得参加本项目同一合同项下的政府采购活动的书面承诺；（提供投标人资格声明）</w:t>
            </w:r>
            <w:r>
              <w:rPr>
                <w:rFonts w:hint="eastAsia" w:ascii="宋体" w:hAnsi="宋体" w:eastAsia="宋体" w:cs="宋体"/>
                <w:sz w:val="21"/>
                <w:szCs w:val="21"/>
                <w:lang w:eastAsia="zh-CN"/>
              </w:rPr>
              <w:t>。</w:t>
            </w:r>
          </w:p>
        </w:tc>
      </w:tr>
      <w:tr w14:paraId="37A78549">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785" w:hRule="atLeast"/>
        </w:trPr>
        <w:tc>
          <w:tcPr>
            <w:tcW w:w="683" w:type="dxa"/>
            <w:noWrap w:val="0"/>
            <w:vAlign w:val="center"/>
          </w:tcPr>
          <w:p w14:paraId="743BEB3A">
            <w:pPr>
              <w:pStyle w:val="76"/>
              <w:rPr>
                <w:rFonts w:hint="eastAsia" w:ascii="宋体" w:hAnsi="宋体" w:eastAsia="宋体" w:cs="宋体"/>
                <w:sz w:val="21"/>
                <w:szCs w:val="21"/>
              </w:rPr>
            </w:pPr>
            <w:r>
              <w:rPr>
                <w:rFonts w:hint="eastAsia" w:ascii="宋体" w:hAnsi="宋体" w:eastAsia="宋体" w:cs="宋体"/>
                <w:sz w:val="21"/>
                <w:szCs w:val="21"/>
              </w:rPr>
              <w:t>6</w:t>
            </w:r>
          </w:p>
        </w:tc>
        <w:tc>
          <w:tcPr>
            <w:tcW w:w="2804" w:type="dxa"/>
            <w:noWrap w:val="0"/>
            <w:vAlign w:val="center"/>
          </w:tcPr>
          <w:p w14:paraId="07866716">
            <w:pPr>
              <w:pStyle w:val="76"/>
              <w:rPr>
                <w:rFonts w:hint="eastAsia" w:ascii="宋体" w:hAnsi="宋体" w:eastAsia="宋体" w:cs="宋体"/>
                <w:sz w:val="21"/>
                <w:szCs w:val="21"/>
              </w:rPr>
            </w:pPr>
            <w:r>
              <w:rPr>
                <w:rFonts w:hint="eastAsia" w:ascii="宋体" w:hAnsi="宋体" w:eastAsia="宋体" w:cs="宋体"/>
                <w:sz w:val="21"/>
                <w:szCs w:val="21"/>
                <w:lang w:val="en-US" w:eastAsia="zh-CN"/>
              </w:rPr>
              <w:t>无重大违法记录</w:t>
            </w:r>
          </w:p>
        </w:tc>
        <w:tc>
          <w:tcPr>
            <w:tcW w:w="5552" w:type="dxa"/>
            <w:noWrap w:val="0"/>
            <w:vAlign w:val="center"/>
          </w:tcPr>
          <w:p w14:paraId="439F193F">
            <w:pPr>
              <w:pStyle w:val="76"/>
              <w:rPr>
                <w:rFonts w:hint="eastAsia" w:ascii="宋体" w:hAnsi="宋体" w:eastAsia="宋体" w:cs="宋体"/>
                <w:sz w:val="21"/>
                <w:szCs w:val="21"/>
                <w:lang w:eastAsia="zh-CN"/>
              </w:rPr>
            </w:pPr>
            <w:r>
              <w:rPr>
                <w:rFonts w:hint="eastAsia" w:ascii="宋体" w:hAnsi="宋体" w:eastAsia="宋体" w:cs="宋体"/>
                <w:sz w:val="21"/>
                <w:szCs w:val="21"/>
              </w:rPr>
              <w:t>提供参加政府采购活动前三年内，在经营活动中没有重大违法记录声明；（提供投标人资格声明）</w:t>
            </w:r>
            <w:r>
              <w:rPr>
                <w:rFonts w:hint="eastAsia" w:ascii="宋体" w:hAnsi="宋体" w:eastAsia="宋体" w:cs="宋体"/>
                <w:sz w:val="21"/>
                <w:szCs w:val="21"/>
                <w:lang w:eastAsia="zh-CN"/>
              </w:rPr>
              <w:t>。</w:t>
            </w:r>
          </w:p>
        </w:tc>
      </w:tr>
      <w:tr w14:paraId="100DBCD0">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683" w:type="dxa"/>
            <w:noWrap w:val="0"/>
            <w:vAlign w:val="center"/>
          </w:tcPr>
          <w:p w14:paraId="18971C2C">
            <w:pPr>
              <w:pStyle w:val="76"/>
              <w:rPr>
                <w:rFonts w:hint="eastAsia" w:ascii="宋体" w:hAnsi="宋体" w:eastAsia="宋体" w:cs="宋体"/>
                <w:sz w:val="21"/>
                <w:szCs w:val="21"/>
              </w:rPr>
            </w:pPr>
            <w:r>
              <w:rPr>
                <w:rFonts w:hint="eastAsia" w:ascii="宋体" w:hAnsi="宋体" w:eastAsia="宋体" w:cs="宋体"/>
                <w:sz w:val="21"/>
                <w:szCs w:val="21"/>
              </w:rPr>
              <w:t>7</w:t>
            </w:r>
          </w:p>
        </w:tc>
        <w:tc>
          <w:tcPr>
            <w:tcW w:w="2804" w:type="dxa"/>
            <w:noWrap w:val="0"/>
            <w:vAlign w:val="center"/>
          </w:tcPr>
          <w:p w14:paraId="051F7802">
            <w:pPr>
              <w:pStyle w:val="76"/>
              <w:rPr>
                <w:rFonts w:hint="eastAsia" w:ascii="宋体" w:hAnsi="宋体" w:eastAsia="宋体" w:cs="宋体"/>
                <w:sz w:val="21"/>
                <w:szCs w:val="21"/>
              </w:rPr>
            </w:pPr>
            <w:r>
              <w:rPr>
                <w:rFonts w:hint="eastAsia" w:ascii="宋体" w:hAnsi="宋体" w:eastAsia="宋体" w:cs="宋体"/>
                <w:sz w:val="21"/>
                <w:szCs w:val="21"/>
              </w:rPr>
              <w:t>投标报价</w:t>
            </w:r>
          </w:p>
        </w:tc>
        <w:tc>
          <w:tcPr>
            <w:tcW w:w="5552" w:type="dxa"/>
            <w:noWrap w:val="0"/>
            <w:vAlign w:val="center"/>
          </w:tcPr>
          <w:p w14:paraId="329DCC90">
            <w:pPr>
              <w:pStyle w:val="76"/>
              <w:rPr>
                <w:rFonts w:hint="eastAsia" w:ascii="宋体" w:hAnsi="宋体" w:eastAsia="宋体" w:cs="宋体"/>
                <w:sz w:val="21"/>
                <w:szCs w:val="21"/>
              </w:rPr>
            </w:pPr>
            <w:r>
              <w:rPr>
                <w:rFonts w:hint="eastAsia" w:ascii="宋体" w:hAnsi="宋体" w:eastAsia="宋体" w:cs="宋体"/>
                <w:sz w:val="21"/>
                <w:szCs w:val="21"/>
              </w:rPr>
              <w:t>报价不得超过招标文件中规定的预算金额和最高限价的；</w:t>
            </w:r>
          </w:p>
        </w:tc>
      </w:tr>
      <w:tr w14:paraId="2F86C483">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1405" w:hRule="atLeast"/>
        </w:trPr>
        <w:tc>
          <w:tcPr>
            <w:tcW w:w="683" w:type="dxa"/>
            <w:noWrap w:val="0"/>
            <w:vAlign w:val="center"/>
          </w:tcPr>
          <w:p w14:paraId="45A2F9E3">
            <w:pPr>
              <w:pStyle w:val="76"/>
              <w:rPr>
                <w:rFonts w:hint="eastAsia" w:ascii="宋体" w:hAnsi="宋体" w:eastAsia="宋体" w:cs="宋体"/>
                <w:sz w:val="21"/>
                <w:szCs w:val="21"/>
              </w:rPr>
            </w:pPr>
            <w:r>
              <w:rPr>
                <w:rFonts w:hint="eastAsia" w:ascii="宋体" w:hAnsi="宋体" w:eastAsia="宋体" w:cs="宋体"/>
                <w:sz w:val="21"/>
                <w:szCs w:val="21"/>
              </w:rPr>
              <w:t>8</w:t>
            </w:r>
          </w:p>
        </w:tc>
        <w:tc>
          <w:tcPr>
            <w:tcW w:w="2804" w:type="dxa"/>
            <w:noWrap w:val="0"/>
            <w:vAlign w:val="center"/>
          </w:tcPr>
          <w:p w14:paraId="01A3D485">
            <w:pPr>
              <w:pStyle w:val="76"/>
              <w:rPr>
                <w:rFonts w:hint="eastAsia" w:ascii="宋体" w:hAnsi="宋体" w:eastAsia="宋体" w:cs="宋体"/>
                <w:sz w:val="21"/>
                <w:szCs w:val="21"/>
              </w:rPr>
            </w:pPr>
            <w:r>
              <w:rPr>
                <w:rFonts w:hint="eastAsia" w:ascii="宋体" w:hAnsi="宋体" w:eastAsia="宋体" w:cs="宋体"/>
                <w:sz w:val="21"/>
                <w:szCs w:val="21"/>
              </w:rPr>
              <w:t>信用记录查询情况</w:t>
            </w:r>
          </w:p>
        </w:tc>
        <w:tc>
          <w:tcPr>
            <w:tcW w:w="5552" w:type="dxa"/>
            <w:noWrap w:val="0"/>
            <w:vAlign w:val="center"/>
          </w:tcPr>
          <w:p w14:paraId="421BBA72">
            <w:pPr>
              <w:pStyle w:val="76"/>
              <w:rPr>
                <w:rFonts w:hint="eastAsia" w:ascii="宋体" w:hAnsi="宋体" w:eastAsia="宋体" w:cs="宋体"/>
                <w:sz w:val="21"/>
                <w:szCs w:val="21"/>
                <w:lang w:eastAsia="zh-CN"/>
              </w:rPr>
            </w:pPr>
            <w:r>
              <w:rPr>
                <w:rFonts w:hint="eastAsia" w:ascii="宋体" w:hAnsi="宋体" w:eastAsia="宋体" w:cs="宋体"/>
                <w:sz w:val="21"/>
                <w:szCs w:val="21"/>
              </w:rPr>
              <w:t>投标人提供招标公告之日起通过“信用中国”网站（www.creditchina.gov.cn）或中国政府采购网（www.ccgp.gov.cn）查询的信用记录网上打印件或截图，应包括网站网址、查询内容、查询时间</w:t>
            </w:r>
            <w:r>
              <w:rPr>
                <w:rFonts w:hint="eastAsia" w:ascii="宋体" w:hAnsi="宋体" w:eastAsia="宋体" w:cs="宋体"/>
                <w:sz w:val="21"/>
                <w:szCs w:val="21"/>
                <w:lang w:eastAsia="zh-CN"/>
              </w:rPr>
              <w:t>。</w:t>
            </w:r>
          </w:p>
        </w:tc>
      </w:tr>
      <w:tr w14:paraId="338CAAA0">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683" w:type="dxa"/>
            <w:noWrap w:val="0"/>
            <w:vAlign w:val="center"/>
          </w:tcPr>
          <w:p w14:paraId="2DB83879">
            <w:pPr>
              <w:pStyle w:val="76"/>
              <w:rPr>
                <w:rFonts w:hint="eastAsia" w:ascii="宋体" w:hAnsi="宋体" w:eastAsia="宋体" w:cs="宋体"/>
                <w:sz w:val="21"/>
                <w:szCs w:val="21"/>
              </w:rPr>
            </w:pPr>
            <w:r>
              <w:rPr>
                <w:rFonts w:hint="eastAsia" w:ascii="宋体" w:hAnsi="宋体" w:eastAsia="宋体" w:cs="宋体"/>
                <w:sz w:val="21"/>
                <w:szCs w:val="21"/>
              </w:rPr>
              <w:t>9</w:t>
            </w:r>
          </w:p>
        </w:tc>
        <w:tc>
          <w:tcPr>
            <w:tcW w:w="2804" w:type="dxa"/>
            <w:noWrap w:val="0"/>
            <w:vAlign w:val="center"/>
          </w:tcPr>
          <w:p w14:paraId="3F772C4A">
            <w:pPr>
              <w:pStyle w:val="76"/>
              <w:rPr>
                <w:rFonts w:hint="eastAsia" w:ascii="宋体" w:hAnsi="宋体" w:eastAsia="宋体" w:cs="宋体"/>
                <w:sz w:val="21"/>
                <w:szCs w:val="21"/>
              </w:rPr>
            </w:pPr>
            <w:r>
              <w:rPr>
                <w:rFonts w:hint="eastAsia" w:ascii="宋体" w:hAnsi="宋体" w:eastAsia="宋体" w:cs="宋体"/>
                <w:sz w:val="21"/>
                <w:szCs w:val="21"/>
              </w:rPr>
              <w:t>投标响应文件的签署、盖章</w:t>
            </w:r>
          </w:p>
        </w:tc>
        <w:tc>
          <w:tcPr>
            <w:tcW w:w="5552" w:type="dxa"/>
            <w:noWrap w:val="0"/>
            <w:vAlign w:val="center"/>
          </w:tcPr>
          <w:p w14:paraId="48E04894">
            <w:pPr>
              <w:pStyle w:val="76"/>
              <w:rPr>
                <w:rFonts w:hint="eastAsia" w:ascii="宋体" w:hAnsi="宋体" w:eastAsia="宋体" w:cs="宋体"/>
                <w:sz w:val="21"/>
                <w:szCs w:val="21"/>
                <w:lang w:eastAsia="zh-CN"/>
              </w:rPr>
            </w:pPr>
            <w:r>
              <w:rPr>
                <w:rFonts w:hint="eastAsia" w:ascii="宋体" w:hAnsi="宋体" w:eastAsia="宋体" w:cs="宋体"/>
                <w:sz w:val="21"/>
                <w:szCs w:val="21"/>
              </w:rPr>
              <w:t>资格审查响应文件是否按招标要求签字、盖章</w:t>
            </w:r>
            <w:r>
              <w:rPr>
                <w:rFonts w:hint="eastAsia" w:ascii="宋体" w:hAnsi="宋体" w:eastAsia="宋体" w:cs="宋体"/>
                <w:sz w:val="21"/>
                <w:szCs w:val="21"/>
                <w:lang w:eastAsia="zh-CN"/>
              </w:rPr>
              <w:t>。</w:t>
            </w:r>
          </w:p>
        </w:tc>
      </w:tr>
      <w:tr w14:paraId="72FBBBF8">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292" w:hRule="atLeast"/>
        </w:trPr>
        <w:tc>
          <w:tcPr>
            <w:tcW w:w="683" w:type="dxa"/>
            <w:noWrap w:val="0"/>
            <w:vAlign w:val="center"/>
          </w:tcPr>
          <w:p w14:paraId="0E0FC393">
            <w:pPr>
              <w:pStyle w:val="76"/>
              <w:rPr>
                <w:rFonts w:hint="eastAsia" w:ascii="宋体" w:hAnsi="宋体" w:eastAsia="宋体" w:cs="宋体"/>
                <w:sz w:val="21"/>
                <w:szCs w:val="21"/>
              </w:rPr>
            </w:pPr>
            <w:r>
              <w:rPr>
                <w:rFonts w:hint="eastAsia" w:ascii="宋体" w:hAnsi="宋体" w:eastAsia="宋体" w:cs="宋体"/>
                <w:sz w:val="21"/>
                <w:szCs w:val="21"/>
              </w:rPr>
              <w:t>结论</w:t>
            </w:r>
          </w:p>
        </w:tc>
        <w:tc>
          <w:tcPr>
            <w:tcW w:w="8356" w:type="dxa"/>
            <w:gridSpan w:val="2"/>
            <w:noWrap w:val="0"/>
            <w:vAlign w:val="center"/>
          </w:tcPr>
          <w:p w14:paraId="259CAEA6">
            <w:pPr>
              <w:pStyle w:val="76"/>
              <w:rPr>
                <w:rFonts w:hint="eastAsia" w:ascii="宋体" w:hAnsi="宋体" w:eastAsia="宋体" w:cs="宋体"/>
                <w:sz w:val="21"/>
                <w:szCs w:val="21"/>
              </w:rPr>
            </w:pPr>
          </w:p>
        </w:tc>
      </w:tr>
    </w:tbl>
    <w:p w14:paraId="144CB194">
      <w:pPr>
        <w:widowControl/>
        <w:jc w:val="left"/>
        <w:rPr>
          <w:rFonts w:hint="eastAsia" w:ascii="黑体" w:hAnsi="黑体" w:eastAsia="黑体"/>
          <w:bCs/>
          <w:szCs w:val="21"/>
        </w:rPr>
      </w:pPr>
      <w:r>
        <w:rPr>
          <w:rFonts w:ascii="黑体" w:hAnsi="黑体"/>
          <w:b/>
          <w:szCs w:val="21"/>
        </w:rPr>
        <w:br w:type="page"/>
      </w:r>
    </w:p>
    <w:p w14:paraId="5500B922">
      <w:pPr>
        <w:pStyle w:val="5"/>
        <w:adjustRightInd w:val="0"/>
        <w:snapToGrid w:val="0"/>
        <w:spacing w:before="0" w:after="0" w:line="360" w:lineRule="auto"/>
        <w:rPr>
          <w:rFonts w:hint="eastAsia" w:ascii="黑体" w:hAnsi="黑体"/>
          <w:b w:val="0"/>
          <w:sz w:val="21"/>
          <w:szCs w:val="21"/>
        </w:rPr>
      </w:pPr>
      <w:bookmarkStart w:id="113" w:name="_Toc11868"/>
      <w:r>
        <w:rPr>
          <w:rFonts w:hint="eastAsia" w:ascii="黑体" w:hAnsi="黑体"/>
          <w:b w:val="0"/>
          <w:sz w:val="21"/>
          <w:szCs w:val="21"/>
        </w:rPr>
        <w:t>附表2 资格审查结果一览表</w:t>
      </w:r>
      <w:bookmarkEnd w:id="113"/>
    </w:p>
    <w:p w14:paraId="3D3C4797">
      <w:pPr>
        <w:adjustRightInd w:val="0"/>
        <w:snapToGrid w:val="0"/>
        <w:spacing w:line="360" w:lineRule="auto"/>
        <w:jc w:val="center"/>
        <w:rPr>
          <w:rFonts w:hint="eastAsia" w:ascii="黑体" w:hAnsi="黑体" w:eastAsia="黑体"/>
          <w:b/>
          <w:sz w:val="28"/>
          <w:szCs w:val="28"/>
        </w:rPr>
      </w:pPr>
      <w:r>
        <w:rPr>
          <w:rFonts w:hint="eastAsia" w:ascii="黑体" w:hAnsi="黑体" w:eastAsia="黑体"/>
          <w:b/>
          <w:sz w:val="28"/>
          <w:szCs w:val="28"/>
        </w:rPr>
        <w:t>资格审查结果一览表</w:t>
      </w:r>
    </w:p>
    <w:p w14:paraId="744521BE">
      <w:pPr>
        <w:adjustRightInd w:val="0"/>
        <w:snapToGrid w:val="0"/>
        <w:spacing w:line="360" w:lineRule="auto"/>
        <w:rPr>
          <w:rFonts w:hint="eastAsia" w:ascii="宋体" w:hAnsi="宋体"/>
          <w:szCs w:val="21"/>
        </w:rPr>
      </w:pPr>
      <w:r>
        <w:rPr>
          <w:rFonts w:hint="eastAsia" w:ascii="宋体" w:hAnsi="宋体"/>
          <w:szCs w:val="21"/>
        </w:rPr>
        <w:t>项目名称：</w:t>
      </w:r>
      <w:r>
        <w:rPr>
          <w:rFonts w:hint="eastAsia" w:ascii="宋体" w:hAnsi="宋体"/>
          <w:szCs w:val="21"/>
          <w:u w:val="single"/>
        </w:rPr>
        <w:t xml:space="preserve"> </w:t>
      </w:r>
      <w:r>
        <w:rPr>
          <w:rFonts w:hint="eastAsia" w:ascii="宋体" w:hAnsi="宋体"/>
          <w:szCs w:val="21"/>
          <w:u w:val="single"/>
          <w:lang w:eastAsia="zh-CN"/>
        </w:rPr>
        <w:t>新化县殡仪馆新建项目相关设备设施采购项目</w:t>
      </w:r>
      <w:r>
        <w:rPr>
          <w:rFonts w:hint="eastAsia" w:ascii="宋体" w:hAnsi="宋体"/>
          <w:szCs w:val="21"/>
        </w:rPr>
        <w:t xml:space="preserve">  </w:t>
      </w:r>
    </w:p>
    <w:p w14:paraId="6EEF6E56">
      <w:pPr>
        <w:adjustRightInd w:val="0"/>
        <w:snapToGrid w:val="0"/>
        <w:spacing w:line="360" w:lineRule="auto"/>
        <w:rPr>
          <w:rFonts w:hint="eastAsia" w:ascii="宋体" w:hAnsi="宋体"/>
          <w:szCs w:val="21"/>
        </w:rPr>
      </w:pPr>
      <w:r>
        <w:rPr>
          <w:rFonts w:hint="eastAsia" w:ascii="宋体" w:hAnsi="宋体"/>
          <w:szCs w:val="21"/>
        </w:rPr>
        <w:t>政府采购计划编号：</w:t>
      </w:r>
    </w:p>
    <w:tbl>
      <w:tblPr>
        <w:tblStyle w:val="27"/>
        <w:tblW w:w="9060" w:type="dxa"/>
        <w:tblInd w:w="0" w:type="dxa"/>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697"/>
        <w:gridCol w:w="2963"/>
        <w:gridCol w:w="2439"/>
        <w:gridCol w:w="2961"/>
      </w:tblGrid>
      <w:tr w14:paraId="2AADF74F">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697" w:type="dxa"/>
            <w:vAlign w:val="center"/>
          </w:tcPr>
          <w:p w14:paraId="18B40D46">
            <w:pPr>
              <w:jc w:val="center"/>
              <w:rPr>
                <w:rFonts w:hint="eastAsia" w:ascii="宋体" w:hAnsi="宋体"/>
                <w:b/>
                <w:kern w:val="0"/>
                <w:szCs w:val="21"/>
              </w:rPr>
            </w:pPr>
            <w:r>
              <w:rPr>
                <w:rFonts w:hint="eastAsia" w:ascii="宋体" w:hAnsi="宋体"/>
                <w:b/>
                <w:kern w:val="0"/>
                <w:szCs w:val="21"/>
              </w:rPr>
              <w:t>序号</w:t>
            </w:r>
          </w:p>
        </w:tc>
        <w:tc>
          <w:tcPr>
            <w:tcW w:w="2963" w:type="dxa"/>
            <w:vAlign w:val="center"/>
          </w:tcPr>
          <w:p w14:paraId="43694569">
            <w:pPr>
              <w:jc w:val="center"/>
              <w:rPr>
                <w:rFonts w:hint="eastAsia" w:ascii="宋体" w:hAnsi="宋体"/>
                <w:b/>
                <w:kern w:val="0"/>
                <w:szCs w:val="21"/>
              </w:rPr>
            </w:pPr>
            <w:r>
              <w:rPr>
                <w:rFonts w:hint="eastAsia" w:ascii="宋体" w:hAnsi="宋体"/>
                <w:b/>
                <w:kern w:val="0"/>
                <w:szCs w:val="21"/>
              </w:rPr>
              <w:t>投标人名称</w:t>
            </w:r>
          </w:p>
        </w:tc>
        <w:tc>
          <w:tcPr>
            <w:tcW w:w="2439" w:type="dxa"/>
            <w:vAlign w:val="center"/>
          </w:tcPr>
          <w:p w14:paraId="48EE32E2">
            <w:pPr>
              <w:jc w:val="center"/>
              <w:rPr>
                <w:rFonts w:hint="eastAsia" w:ascii="宋体" w:hAnsi="宋体"/>
                <w:b/>
                <w:kern w:val="0"/>
                <w:szCs w:val="21"/>
              </w:rPr>
            </w:pPr>
            <w:r>
              <w:rPr>
                <w:rFonts w:hint="eastAsia" w:ascii="宋体" w:hAnsi="宋体"/>
                <w:b/>
                <w:kern w:val="0"/>
                <w:szCs w:val="21"/>
              </w:rPr>
              <w:t>资格审查结果</w:t>
            </w:r>
          </w:p>
          <w:p w14:paraId="0B98E97D">
            <w:pPr>
              <w:jc w:val="center"/>
              <w:rPr>
                <w:rFonts w:hint="eastAsia" w:ascii="宋体" w:hAnsi="宋体"/>
                <w:b/>
                <w:kern w:val="0"/>
                <w:szCs w:val="21"/>
              </w:rPr>
            </w:pPr>
            <w:r>
              <w:rPr>
                <w:rFonts w:hint="eastAsia" w:ascii="宋体" w:hAnsi="宋体"/>
                <w:b/>
                <w:kern w:val="0"/>
                <w:szCs w:val="21"/>
              </w:rPr>
              <w:t>（合格/不合格）</w:t>
            </w:r>
          </w:p>
        </w:tc>
        <w:tc>
          <w:tcPr>
            <w:tcW w:w="2961" w:type="dxa"/>
            <w:vAlign w:val="center"/>
          </w:tcPr>
          <w:p w14:paraId="3256E339">
            <w:pPr>
              <w:jc w:val="center"/>
              <w:rPr>
                <w:rFonts w:hint="eastAsia" w:ascii="宋体" w:hAnsi="宋体"/>
                <w:b/>
                <w:kern w:val="0"/>
                <w:szCs w:val="21"/>
              </w:rPr>
            </w:pPr>
            <w:r>
              <w:rPr>
                <w:rFonts w:hint="eastAsia" w:ascii="宋体" w:hAnsi="宋体"/>
                <w:b/>
                <w:kern w:val="0"/>
                <w:szCs w:val="21"/>
              </w:rPr>
              <w:t>资格审查不合格原因</w:t>
            </w:r>
          </w:p>
        </w:tc>
      </w:tr>
      <w:tr w14:paraId="0734B40D">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697" w:type="dxa"/>
          </w:tcPr>
          <w:p w14:paraId="0D553344">
            <w:pPr>
              <w:adjustRightInd w:val="0"/>
              <w:snapToGrid w:val="0"/>
              <w:spacing w:line="360" w:lineRule="auto"/>
              <w:rPr>
                <w:rFonts w:hint="eastAsia" w:ascii="宋体" w:hAnsi="宋体"/>
                <w:kern w:val="0"/>
                <w:sz w:val="24"/>
              </w:rPr>
            </w:pPr>
          </w:p>
        </w:tc>
        <w:tc>
          <w:tcPr>
            <w:tcW w:w="2963" w:type="dxa"/>
          </w:tcPr>
          <w:p w14:paraId="2FB4FDB1">
            <w:pPr>
              <w:adjustRightInd w:val="0"/>
              <w:snapToGrid w:val="0"/>
              <w:spacing w:line="360" w:lineRule="auto"/>
              <w:rPr>
                <w:rFonts w:hint="eastAsia" w:ascii="宋体" w:hAnsi="宋体"/>
                <w:kern w:val="0"/>
                <w:sz w:val="24"/>
              </w:rPr>
            </w:pPr>
          </w:p>
        </w:tc>
        <w:tc>
          <w:tcPr>
            <w:tcW w:w="2439" w:type="dxa"/>
          </w:tcPr>
          <w:p w14:paraId="7C6001FC">
            <w:pPr>
              <w:adjustRightInd w:val="0"/>
              <w:snapToGrid w:val="0"/>
              <w:spacing w:line="360" w:lineRule="auto"/>
              <w:rPr>
                <w:rFonts w:hint="eastAsia" w:ascii="宋体" w:hAnsi="宋体"/>
                <w:kern w:val="0"/>
                <w:sz w:val="24"/>
              </w:rPr>
            </w:pPr>
          </w:p>
        </w:tc>
        <w:tc>
          <w:tcPr>
            <w:tcW w:w="2961" w:type="dxa"/>
          </w:tcPr>
          <w:p w14:paraId="48D67441">
            <w:pPr>
              <w:adjustRightInd w:val="0"/>
              <w:snapToGrid w:val="0"/>
              <w:spacing w:line="360" w:lineRule="auto"/>
              <w:rPr>
                <w:rFonts w:hint="eastAsia" w:ascii="宋体" w:hAnsi="宋体"/>
                <w:kern w:val="0"/>
                <w:sz w:val="24"/>
              </w:rPr>
            </w:pPr>
          </w:p>
        </w:tc>
      </w:tr>
      <w:tr w14:paraId="1D3621FA">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697" w:type="dxa"/>
          </w:tcPr>
          <w:p w14:paraId="51A077FB">
            <w:pPr>
              <w:adjustRightInd w:val="0"/>
              <w:snapToGrid w:val="0"/>
              <w:spacing w:line="360" w:lineRule="auto"/>
              <w:rPr>
                <w:rFonts w:hint="eastAsia" w:ascii="宋体" w:hAnsi="宋体"/>
                <w:kern w:val="0"/>
                <w:sz w:val="24"/>
              </w:rPr>
            </w:pPr>
          </w:p>
        </w:tc>
        <w:tc>
          <w:tcPr>
            <w:tcW w:w="2963" w:type="dxa"/>
          </w:tcPr>
          <w:p w14:paraId="1D11D949">
            <w:pPr>
              <w:adjustRightInd w:val="0"/>
              <w:snapToGrid w:val="0"/>
              <w:spacing w:line="360" w:lineRule="auto"/>
              <w:rPr>
                <w:rFonts w:hint="eastAsia" w:ascii="宋体" w:hAnsi="宋体"/>
                <w:kern w:val="0"/>
                <w:sz w:val="24"/>
              </w:rPr>
            </w:pPr>
          </w:p>
        </w:tc>
        <w:tc>
          <w:tcPr>
            <w:tcW w:w="2439" w:type="dxa"/>
          </w:tcPr>
          <w:p w14:paraId="45D643E0">
            <w:pPr>
              <w:adjustRightInd w:val="0"/>
              <w:snapToGrid w:val="0"/>
              <w:spacing w:line="360" w:lineRule="auto"/>
              <w:rPr>
                <w:rFonts w:hint="eastAsia" w:ascii="宋体" w:hAnsi="宋体"/>
                <w:kern w:val="0"/>
                <w:sz w:val="24"/>
              </w:rPr>
            </w:pPr>
          </w:p>
        </w:tc>
        <w:tc>
          <w:tcPr>
            <w:tcW w:w="2961" w:type="dxa"/>
          </w:tcPr>
          <w:p w14:paraId="31F3023A">
            <w:pPr>
              <w:adjustRightInd w:val="0"/>
              <w:snapToGrid w:val="0"/>
              <w:spacing w:line="360" w:lineRule="auto"/>
              <w:rPr>
                <w:rFonts w:hint="eastAsia" w:ascii="宋体" w:hAnsi="宋体"/>
                <w:kern w:val="0"/>
                <w:sz w:val="24"/>
              </w:rPr>
            </w:pPr>
          </w:p>
        </w:tc>
      </w:tr>
      <w:tr w14:paraId="6C2398CC">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697" w:type="dxa"/>
          </w:tcPr>
          <w:p w14:paraId="53E2B3B8">
            <w:pPr>
              <w:adjustRightInd w:val="0"/>
              <w:snapToGrid w:val="0"/>
              <w:spacing w:line="360" w:lineRule="auto"/>
              <w:rPr>
                <w:rFonts w:hint="eastAsia" w:ascii="宋体" w:hAnsi="宋体"/>
                <w:kern w:val="0"/>
                <w:sz w:val="24"/>
              </w:rPr>
            </w:pPr>
          </w:p>
        </w:tc>
        <w:tc>
          <w:tcPr>
            <w:tcW w:w="2963" w:type="dxa"/>
          </w:tcPr>
          <w:p w14:paraId="25023079">
            <w:pPr>
              <w:adjustRightInd w:val="0"/>
              <w:snapToGrid w:val="0"/>
              <w:spacing w:line="360" w:lineRule="auto"/>
              <w:rPr>
                <w:rFonts w:hint="eastAsia" w:ascii="宋体" w:hAnsi="宋体"/>
                <w:kern w:val="0"/>
                <w:sz w:val="24"/>
              </w:rPr>
            </w:pPr>
          </w:p>
        </w:tc>
        <w:tc>
          <w:tcPr>
            <w:tcW w:w="2439" w:type="dxa"/>
          </w:tcPr>
          <w:p w14:paraId="4AE62845">
            <w:pPr>
              <w:adjustRightInd w:val="0"/>
              <w:snapToGrid w:val="0"/>
              <w:spacing w:line="360" w:lineRule="auto"/>
              <w:rPr>
                <w:rFonts w:hint="eastAsia" w:ascii="宋体" w:hAnsi="宋体"/>
                <w:kern w:val="0"/>
                <w:sz w:val="24"/>
              </w:rPr>
            </w:pPr>
          </w:p>
        </w:tc>
        <w:tc>
          <w:tcPr>
            <w:tcW w:w="2961" w:type="dxa"/>
          </w:tcPr>
          <w:p w14:paraId="4EC008F6">
            <w:pPr>
              <w:adjustRightInd w:val="0"/>
              <w:snapToGrid w:val="0"/>
              <w:spacing w:line="360" w:lineRule="auto"/>
              <w:rPr>
                <w:rFonts w:hint="eastAsia" w:ascii="宋体" w:hAnsi="宋体"/>
                <w:kern w:val="0"/>
                <w:sz w:val="24"/>
              </w:rPr>
            </w:pPr>
          </w:p>
        </w:tc>
      </w:tr>
      <w:tr w14:paraId="32B7DE0E">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697" w:type="dxa"/>
          </w:tcPr>
          <w:p w14:paraId="369EB83F">
            <w:pPr>
              <w:adjustRightInd w:val="0"/>
              <w:snapToGrid w:val="0"/>
              <w:spacing w:line="360" w:lineRule="auto"/>
              <w:rPr>
                <w:rFonts w:hint="eastAsia" w:ascii="宋体" w:hAnsi="宋体"/>
                <w:kern w:val="0"/>
                <w:sz w:val="24"/>
              </w:rPr>
            </w:pPr>
          </w:p>
        </w:tc>
        <w:tc>
          <w:tcPr>
            <w:tcW w:w="2963" w:type="dxa"/>
          </w:tcPr>
          <w:p w14:paraId="2C70109E">
            <w:pPr>
              <w:adjustRightInd w:val="0"/>
              <w:snapToGrid w:val="0"/>
              <w:spacing w:line="360" w:lineRule="auto"/>
              <w:rPr>
                <w:rFonts w:hint="eastAsia" w:ascii="宋体" w:hAnsi="宋体"/>
                <w:kern w:val="0"/>
                <w:sz w:val="24"/>
              </w:rPr>
            </w:pPr>
          </w:p>
        </w:tc>
        <w:tc>
          <w:tcPr>
            <w:tcW w:w="2439" w:type="dxa"/>
          </w:tcPr>
          <w:p w14:paraId="1EEBB9AB">
            <w:pPr>
              <w:adjustRightInd w:val="0"/>
              <w:snapToGrid w:val="0"/>
              <w:spacing w:line="360" w:lineRule="auto"/>
              <w:rPr>
                <w:rFonts w:hint="eastAsia" w:ascii="宋体" w:hAnsi="宋体"/>
                <w:kern w:val="0"/>
                <w:sz w:val="24"/>
              </w:rPr>
            </w:pPr>
          </w:p>
        </w:tc>
        <w:tc>
          <w:tcPr>
            <w:tcW w:w="2961" w:type="dxa"/>
          </w:tcPr>
          <w:p w14:paraId="06335A25">
            <w:pPr>
              <w:adjustRightInd w:val="0"/>
              <w:snapToGrid w:val="0"/>
              <w:spacing w:line="360" w:lineRule="auto"/>
              <w:rPr>
                <w:rFonts w:hint="eastAsia" w:ascii="宋体" w:hAnsi="宋体"/>
                <w:kern w:val="0"/>
                <w:sz w:val="24"/>
              </w:rPr>
            </w:pPr>
          </w:p>
        </w:tc>
      </w:tr>
      <w:tr w14:paraId="41D22673">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697" w:type="dxa"/>
          </w:tcPr>
          <w:p w14:paraId="5D474960">
            <w:pPr>
              <w:adjustRightInd w:val="0"/>
              <w:snapToGrid w:val="0"/>
              <w:spacing w:line="360" w:lineRule="auto"/>
              <w:rPr>
                <w:rFonts w:hint="eastAsia" w:ascii="宋体" w:hAnsi="宋体"/>
                <w:kern w:val="0"/>
                <w:sz w:val="24"/>
              </w:rPr>
            </w:pPr>
          </w:p>
        </w:tc>
        <w:tc>
          <w:tcPr>
            <w:tcW w:w="2963" w:type="dxa"/>
          </w:tcPr>
          <w:p w14:paraId="05F66E78">
            <w:pPr>
              <w:adjustRightInd w:val="0"/>
              <w:snapToGrid w:val="0"/>
              <w:spacing w:line="360" w:lineRule="auto"/>
              <w:rPr>
                <w:rFonts w:hint="eastAsia" w:ascii="宋体" w:hAnsi="宋体"/>
                <w:kern w:val="0"/>
                <w:sz w:val="24"/>
              </w:rPr>
            </w:pPr>
          </w:p>
        </w:tc>
        <w:tc>
          <w:tcPr>
            <w:tcW w:w="2439" w:type="dxa"/>
          </w:tcPr>
          <w:p w14:paraId="3A69FEC5">
            <w:pPr>
              <w:adjustRightInd w:val="0"/>
              <w:snapToGrid w:val="0"/>
              <w:spacing w:line="360" w:lineRule="auto"/>
              <w:rPr>
                <w:rFonts w:hint="eastAsia" w:ascii="宋体" w:hAnsi="宋体"/>
                <w:kern w:val="0"/>
                <w:sz w:val="24"/>
              </w:rPr>
            </w:pPr>
          </w:p>
        </w:tc>
        <w:tc>
          <w:tcPr>
            <w:tcW w:w="2961" w:type="dxa"/>
          </w:tcPr>
          <w:p w14:paraId="506D0687">
            <w:pPr>
              <w:adjustRightInd w:val="0"/>
              <w:snapToGrid w:val="0"/>
              <w:spacing w:line="360" w:lineRule="auto"/>
              <w:rPr>
                <w:rFonts w:hint="eastAsia" w:ascii="宋体" w:hAnsi="宋体"/>
                <w:kern w:val="0"/>
                <w:sz w:val="24"/>
              </w:rPr>
            </w:pPr>
          </w:p>
        </w:tc>
      </w:tr>
      <w:tr w14:paraId="01930F54">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697" w:type="dxa"/>
          </w:tcPr>
          <w:p w14:paraId="6FACDD33">
            <w:pPr>
              <w:adjustRightInd w:val="0"/>
              <w:snapToGrid w:val="0"/>
              <w:spacing w:line="360" w:lineRule="auto"/>
              <w:rPr>
                <w:rFonts w:hint="eastAsia" w:ascii="宋体" w:hAnsi="宋体"/>
                <w:kern w:val="0"/>
                <w:sz w:val="24"/>
              </w:rPr>
            </w:pPr>
          </w:p>
        </w:tc>
        <w:tc>
          <w:tcPr>
            <w:tcW w:w="2963" w:type="dxa"/>
          </w:tcPr>
          <w:p w14:paraId="4195D445">
            <w:pPr>
              <w:adjustRightInd w:val="0"/>
              <w:snapToGrid w:val="0"/>
              <w:spacing w:line="360" w:lineRule="auto"/>
              <w:rPr>
                <w:rFonts w:hint="eastAsia" w:ascii="宋体" w:hAnsi="宋体"/>
                <w:kern w:val="0"/>
                <w:sz w:val="24"/>
              </w:rPr>
            </w:pPr>
          </w:p>
        </w:tc>
        <w:tc>
          <w:tcPr>
            <w:tcW w:w="2439" w:type="dxa"/>
          </w:tcPr>
          <w:p w14:paraId="47A7EA7B">
            <w:pPr>
              <w:adjustRightInd w:val="0"/>
              <w:snapToGrid w:val="0"/>
              <w:spacing w:line="360" w:lineRule="auto"/>
              <w:rPr>
                <w:rFonts w:hint="eastAsia" w:ascii="宋体" w:hAnsi="宋体"/>
                <w:kern w:val="0"/>
                <w:sz w:val="24"/>
              </w:rPr>
            </w:pPr>
          </w:p>
        </w:tc>
        <w:tc>
          <w:tcPr>
            <w:tcW w:w="2961" w:type="dxa"/>
          </w:tcPr>
          <w:p w14:paraId="08419341">
            <w:pPr>
              <w:adjustRightInd w:val="0"/>
              <w:snapToGrid w:val="0"/>
              <w:spacing w:line="360" w:lineRule="auto"/>
              <w:rPr>
                <w:rFonts w:hint="eastAsia" w:ascii="宋体" w:hAnsi="宋体"/>
                <w:kern w:val="0"/>
                <w:sz w:val="24"/>
              </w:rPr>
            </w:pPr>
          </w:p>
        </w:tc>
      </w:tr>
      <w:tr w14:paraId="0183738B">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697" w:type="dxa"/>
          </w:tcPr>
          <w:p w14:paraId="05F4F2F9">
            <w:pPr>
              <w:adjustRightInd w:val="0"/>
              <w:snapToGrid w:val="0"/>
              <w:spacing w:line="360" w:lineRule="auto"/>
              <w:rPr>
                <w:rFonts w:hint="eastAsia" w:ascii="宋体" w:hAnsi="宋体"/>
                <w:kern w:val="0"/>
                <w:sz w:val="24"/>
              </w:rPr>
            </w:pPr>
          </w:p>
        </w:tc>
        <w:tc>
          <w:tcPr>
            <w:tcW w:w="2963" w:type="dxa"/>
          </w:tcPr>
          <w:p w14:paraId="5F937453">
            <w:pPr>
              <w:adjustRightInd w:val="0"/>
              <w:snapToGrid w:val="0"/>
              <w:spacing w:line="360" w:lineRule="auto"/>
              <w:rPr>
                <w:rFonts w:hint="eastAsia" w:ascii="宋体" w:hAnsi="宋体"/>
                <w:kern w:val="0"/>
                <w:sz w:val="24"/>
              </w:rPr>
            </w:pPr>
          </w:p>
        </w:tc>
        <w:tc>
          <w:tcPr>
            <w:tcW w:w="2439" w:type="dxa"/>
          </w:tcPr>
          <w:p w14:paraId="76351B1A">
            <w:pPr>
              <w:adjustRightInd w:val="0"/>
              <w:snapToGrid w:val="0"/>
              <w:spacing w:line="360" w:lineRule="auto"/>
              <w:rPr>
                <w:rFonts w:hint="eastAsia" w:ascii="宋体" w:hAnsi="宋体"/>
                <w:kern w:val="0"/>
                <w:sz w:val="24"/>
              </w:rPr>
            </w:pPr>
          </w:p>
        </w:tc>
        <w:tc>
          <w:tcPr>
            <w:tcW w:w="2961" w:type="dxa"/>
          </w:tcPr>
          <w:p w14:paraId="4A3390B6">
            <w:pPr>
              <w:adjustRightInd w:val="0"/>
              <w:snapToGrid w:val="0"/>
              <w:spacing w:line="360" w:lineRule="auto"/>
              <w:rPr>
                <w:rFonts w:hint="eastAsia" w:ascii="宋体" w:hAnsi="宋体"/>
                <w:kern w:val="0"/>
                <w:sz w:val="24"/>
              </w:rPr>
            </w:pPr>
          </w:p>
        </w:tc>
      </w:tr>
      <w:tr w14:paraId="33B8401E">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697" w:type="dxa"/>
          </w:tcPr>
          <w:p w14:paraId="2C86F321">
            <w:pPr>
              <w:adjustRightInd w:val="0"/>
              <w:snapToGrid w:val="0"/>
              <w:spacing w:line="360" w:lineRule="auto"/>
              <w:rPr>
                <w:rFonts w:hint="eastAsia" w:ascii="宋体" w:hAnsi="宋体"/>
                <w:kern w:val="0"/>
                <w:sz w:val="24"/>
              </w:rPr>
            </w:pPr>
          </w:p>
        </w:tc>
        <w:tc>
          <w:tcPr>
            <w:tcW w:w="2963" w:type="dxa"/>
          </w:tcPr>
          <w:p w14:paraId="2B3BF4CE">
            <w:pPr>
              <w:adjustRightInd w:val="0"/>
              <w:snapToGrid w:val="0"/>
              <w:spacing w:line="360" w:lineRule="auto"/>
              <w:rPr>
                <w:rFonts w:hint="eastAsia" w:ascii="宋体" w:hAnsi="宋体"/>
                <w:kern w:val="0"/>
                <w:sz w:val="24"/>
              </w:rPr>
            </w:pPr>
          </w:p>
        </w:tc>
        <w:tc>
          <w:tcPr>
            <w:tcW w:w="2439" w:type="dxa"/>
          </w:tcPr>
          <w:p w14:paraId="5EE7B5A3">
            <w:pPr>
              <w:adjustRightInd w:val="0"/>
              <w:snapToGrid w:val="0"/>
              <w:spacing w:line="360" w:lineRule="auto"/>
              <w:rPr>
                <w:rFonts w:hint="eastAsia" w:ascii="宋体" w:hAnsi="宋体"/>
                <w:kern w:val="0"/>
                <w:sz w:val="24"/>
              </w:rPr>
            </w:pPr>
          </w:p>
        </w:tc>
        <w:tc>
          <w:tcPr>
            <w:tcW w:w="2961" w:type="dxa"/>
          </w:tcPr>
          <w:p w14:paraId="68365621">
            <w:pPr>
              <w:adjustRightInd w:val="0"/>
              <w:snapToGrid w:val="0"/>
              <w:spacing w:line="360" w:lineRule="auto"/>
              <w:rPr>
                <w:rFonts w:hint="eastAsia" w:ascii="宋体" w:hAnsi="宋体"/>
                <w:kern w:val="0"/>
                <w:sz w:val="24"/>
              </w:rPr>
            </w:pPr>
          </w:p>
        </w:tc>
      </w:tr>
      <w:tr w14:paraId="34D76A22">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697" w:type="dxa"/>
          </w:tcPr>
          <w:p w14:paraId="28FDA341">
            <w:pPr>
              <w:adjustRightInd w:val="0"/>
              <w:snapToGrid w:val="0"/>
              <w:spacing w:line="360" w:lineRule="auto"/>
              <w:rPr>
                <w:rFonts w:hint="eastAsia" w:ascii="宋体" w:hAnsi="宋体"/>
                <w:kern w:val="0"/>
                <w:sz w:val="24"/>
              </w:rPr>
            </w:pPr>
          </w:p>
        </w:tc>
        <w:tc>
          <w:tcPr>
            <w:tcW w:w="2963" w:type="dxa"/>
          </w:tcPr>
          <w:p w14:paraId="61471AE6">
            <w:pPr>
              <w:adjustRightInd w:val="0"/>
              <w:snapToGrid w:val="0"/>
              <w:spacing w:line="360" w:lineRule="auto"/>
              <w:rPr>
                <w:rFonts w:hint="eastAsia" w:ascii="宋体" w:hAnsi="宋体"/>
                <w:kern w:val="0"/>
                <w:sz w:val="24"/>
              </w:rPr>
            </w:pPr>
          </w:p>
        </w:tc>
        <w:tc>
          <w:tcPr>
            <w:tcW w:w="2439" w:type="dxa"/>
          </w:tcPr>
          <w:p w14:paraId="7E69C0DD">
            <w:pPr>
              <w:adjustRightInd w:val="0"/>
              <w:snapToGrid w:val="0"/>
              <w:spacing w:line="360" w:lineRule="auto"/>
              <w:rPr>
                <w:rFonts w:hint="eastAsia" w:ascii="宋体" w:hAnsi="宋体"/>
                <w:kern w:val="0"/>
                <w:sz w:val="24"/>
              </w:rPr>
            </w:pPr>
          </w:p>
        </w:tc>
        <w:tc>
          <w:tcPr>
            <w:tcW w:w="2961" w:type="dxa"/>
          </w:tcPr>
          <w:p w14:paraId="36764FC1">
            <w:pPr>
              <w:adjustRightInd w:val="0"/>
              <w:snapToGrid w:val="0"/>
              <w:spacing w:line="360" w:lineRule="auto"/>
              <w:rPr>
                <w:rFonts w:hint="eastAsia" w:ascii="宋体" w:hAnsi="宋体"/>
                <w:kern w:val="0"/>
                <w:sz w:val="24"/>
              </w:rPr>
            </w:pPr>
          </w:p>
        </w:tc>
      </w:tr>
    </w:tbl>
    <w:p w14:paraId="31A366A1">
      <w:pPr>
        <w:adjustRightInd w:val="0"/>
        <w:snapToGrid w:val="0"/>
        <w:spacing w:line="360" w:lineRule="auto"/>
        <w:rPr>
          <w:rFonts w:hint="eastAsia" w:ascii="宋体" w:hAnsi="宋体"/>
          <w:szCs w:val="21"/>
        </w:rPr>
      </w:pPr>
      <w:r>
        <w:rPr>
          <w:rFonts w:hint="eastAsia" w:ascii="宋体" w:hAnsi="宋体"/>
          <w:szCs w:val="21"/>
        </w:rPr>
        <w:t>采购人（签字）：</w:t>
      </w:r>
      <w:r>
        <w:rPr>
          <w:rFonts w:hint="eastAsia" w:ascii="宋体" w:hAnsi="宋体"/>
          <w:szCs w:val="21"/>
          <w:u w:val="single"/>
        </w:rPr>
        <w:t xml:space="preserve">       </w:t>
      </w:r>
      <w:r>
        <w:rPr>
          <w:rFonts w:hint="eastAsia" w:ascii="宋体" w:hAnsi="宋体"/>
          <w:szCs w:val="21"/>
        </w:rPr>
        <w:t xml:space="preserve">                       </w:t>
      </w:r>
    </w:p>
    <w:p w14:paraId="51C7DFCB">
      <w:pPr>
        <w:adjustRightInd w:val="0"/>
        <w:snapToGrid w:val="0"/>
        <w:spacing w:line="360" w:lineRule="auto"/>
        <w:rPr>
          <w:rFonts w:hint="eastAsia" w:ascii="宋体" w:hAnsi="宋体"/>
          <w:szCs w:val="21"/>
        </w:rPr>
      </w:pPr>
      <w:r>
        <w:rPr>
          <w:rFonts w:hint="eastAsia" w:ascii="宋体" w:hAnsi="宋体"/>
          <w:szCs w:val="21"/>
        </w:rPr>
        <w:t>采购代理机构（签字）：</w:t>
      </w:r>
      <w:r>
        <w:rPr>
          <w:rFonts w:hint="eastAsia" w:ascii="宋体" w:hAnsi="宋体"/>
          <w:szCs w:val="21"/>
          <w:u w:val="single"/>
        </w:rPr>
        <w:t xml:space="preserve">       </w:t>
      </w:r>
      <w:r>
        <w:rPr>
          <w:rFonts w:hint="eastAsia" w:ascii="宋体" w:hAnsi="宋体"/>
          <w:szCs w:val="21"/>
        </w:rPr>
        <w:t xml:space="preserve">                               </w:t>
      </w:r>
    </w:p>
    <w:p w14:paraId="2CDD6061">
      <w:pPr>
        <w:adjustRightInd w:val="0"/>
        <w:snapToGrid w:val="0"/>
        <w:spacing w:line="360" w:lineRule="auto"/>
        <w:rPr>
          <w:rFonts w:hint="eastAsia" w:ascii="宋体" w:hAnsi="宋体"/>
          <w:szCs w:val="21"/>
        </w:rPr>
      </w:pPr>
      <w:r>
        <w:rPr>
          <w:rFonts w:hint="eastAsia" w:ascii="宋体" w:hAnsi="宋体"/>
          <w:szCs w:val="21"/>
        </w:rPr>
        <w:t>日期：</w:t>
      </w:r>
      <w:r>
        <w:rPr>
          <w:rFonts w:hint="eastAsia" w:ascii="宋体" w:hAnsi="宋体"/>
          <w:szCs w:val="21"/>
          <w:u w:val="single"/>
        </w:rPr>
        <w:t xml:space="preserve">       </w:t>
      </w:r>
      <w:r>
        <w:rPr>
          <w:rFonts w:hint="eastAsia" w:ascii="宋体" w:hAnsi="宋体"/>
          <w:szCs w:val="21"/>
        </w:rPr>
        <w:t>年</w:t>
      </w:r>
      <w:r>
        <w:rPr>
          <w:rFonts w:hint="eastAsia" w:ascii="宋体" w:hAnsi="宋体"/>
          <w:szCs w:val="21"/>
          <w:u w:val="single"/>
        </w:rPr>
        <w:t xml:space="preserve">   </w:t>
      </w:r>
      <w:r>
        <w:rPr>
          <w:rFonts w:hint="eastAsia" w:ascii="宋体" w:hAnsi="宋体"/>
          <w:szCs w:val="21"/>
        </w:rPr>
        <w:t>月</w:t>
      </w:r>
      <w:r>
        <w:rPr>
          <w:rFonts w:hint="eastAsia" w:ascii="宋体" w:hAnsi="宋体"/>
          <w:szCs w:val="21"/>
          <w:u w:val="single"/>
        </w:rPr>
        <w:t xml:space="preserve">   </w:t>
      </w:r>
      <w:r>
        <w:rPr>
          <w:rFonts w:hint="eastAsia" w:ascii="宋体" w:hAnsi="宋体"/>
          <w:szCs w:val="21"/>
        </w:rPr>
        <w:t>日</w:t>
      </w:r>
    </w:p>
    <w:p w14:paraId="2EF8093F">
      <w:pPr>
        <w:widowControl/>
        <w:jc w:val="left"/>
        <w:rPr>
          <w:rFonts w:hint="eastAsia" w:ascii="宋体" w:hAnsi="宋体"/>
          <w:sz w:val="24"/>
        </w:rPr>
      </w:pPr>
      <w:r>
        <w:rPr>
          <w:rFonts w:ascii="宋体" w:hAnsi="宋体"/>
          <w:sz w:val="24"/>
        </w:rPr>
        <w:br w:type="page"/>
      </w:r>
    </w:p>
    <w:p w14:paraId="33364705">
      <w:pPr>
        <w:pStyle w:val="5"/>
        <w:adjustRightInd w:val="0"/>
        <w:snapToGrid w:val="0"/>
        <w:spacing w:before="0" w:after="0" w:line="360" w:lineRule="auto"/>
        <w:rPr>
          <w:rFonts w:hint="eastAsia" w:ascii="黑体" w:hAnsi="黑体"/>
          <w:b w:val="0"/>
          <w:sz w:val="21"/>
          <w:szCs w:val="21"/>
        </w:rPr>
      </w:pPr>
      <w:bookmarkStart w:id="114" w:name="_Toc25796"/>
      <w:r>
        <w:rPr>
          <w:rFonts w:hint="eastAsia" w:ascii="黑体" w:hAnsi="黑体"/>
          <w:b w:val="0"/>
          <w:sz w:val="21"/>
          <w:szCs w:val="21"/>
        </w:rPr>
        <w:t>附表3 资格审查合格投标人名单</w:t>
      </w:r>
      <w:bookmarkEnd w:id="114"/>
    </w:p>
    <w:p w14:paraId="7C9EF03A">
      <w:pPr>
        <w:adjustRightInd w:val="0"/>
        <w:snapToGrid w:val="0"/>
        <w:spacing w:line="360" w:lineRule="auto"/>
        <w:jc w:val="center"/>
        <w:rPr>
          <w:rFonts w:hint="eastAsia" w:ascii="黑体" w:hAnsi="黑体" w:eastAsia="黑体"/>
          <w:b/>
          <w:sz w:val="28"/>
          <w:szCs w:val="28"/>
        </w:rPr>
      </w:pPr>
      <w:r>
        <w:rPr>
          <w:rFonts w:hint="eastAsia" w:ascii="黑体" w:hAnsi="黑体" w:eastAsia="黑体"/>
          <w:b/>
          <w:sz w:val="28"/>
          <w:szCs w:val="28"/>
        </w:rPr>
        <w:t>资格审查合格投标人名单</w:t>
      </w:r>
    </w:p>
    <w:p w14:paraId="57100724">
      <w:pPr>
        <w:adjustRightInd w:val="0"/>
        <w:snapToGrid w:val="0"/>
        <w:spacing w:line="360" w:lineRule="auto"/>
        <w:rPr>
          <w:rFonts w:hint="eastAsia" w:ascii="宋体" w:hAnsi="宋体"/>
          <w:szCs w:val="21"/>
        </w:rPr>
      </w:pPr>
      <w:r>
        <w:rPr>
          <w:rFonts w:hint="eastAsia" w:ascii="宋体" w:hAnsi="宋体"/>
          <w:szCs w:val="21"/>
        </w:rPr>
        <w:t>项目名称：</w:t>
      </w:r>
      <w:r>
        <w:rPr>
          <w:rFonts w:hint="eastAsia" w:ascii="宋体" w:hAnsi="宋体"/>
          <w:szCs w:val="21"/>
          <w:u w:val="single"/>
          <w:lang w:eastAsia="zh-CN"/>
        </w:rPr>
        <w:t>新化县殡仪馆新建项目相关设备设施采购项目</w:t>
      </w:r>
      <w:r>
        <w:rPr>
          <w:rFonts w:hint="eastAsia" w:ascii="宋体" w:hAnsi="宋体"/>
          <w:szCs w:val="21"/>
        </w:rPr>
        <w:t xml:space="preserve"> </w:t>
      </w:r>
    </w:p>
    <w:p w14:paraId="5BEF0CF4">
      <w:pPr>
        <w:adjustRightInd w:val="0"/>
        <w:snapToGrid w:val="0"/>
        <w:spacing w:line="360" w:lineRule="auto"/>
        <w:rPr>
          <w:rFonts w:hint="eastAsia" w:ascii="华文中宋" w:hAnsi="华文中宋" w:eastAsia="华文中宋"/>
          <w:sz w:val="32"/>
          <w:szCs w:val="32"/>
        </w:rPr>
      </w:pPr>
      <w:r>
        <w:rPr>
          <w:rFonts w:hint="eastAsia" w:ascii="宋体" w:hAnsi="宋体"/>
          <w:szCs w:val="21"/>
        </w:rPr>
        <w:t>政府采购计划编号：</w:t>
      </w:r>
      <w:r>
        <w:rPr>
          <w:rFonts w:hint="eastAsia" w:ascii="宋体" w:hAnsi="宋体"/>
          <w:szCs w:val="21"/>
          <w:u w:val="single"/>
        </w:rPr>
        <w:t xml:space="preserve">           </w:t>
      </w:r>
    </w:p>
    <w:tbl>
      <w:tblPr>
        <w:tblStyle w:val="27"/>
        <w:tblW w:w="8789" w:type="dxa"/>
        <w:tblInd w:w="108" w:type="dxa"/>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993"/>
        <w:gridCol w:w="7796"/>
      </w:tblGrid>
      <w:tr w14:paraId="0AED216F">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993" w:type="dxa"/>
            <w:vAlign w:val="center"/>
          </w:tcPr>
          <w:p w14:paraId="04207E15">
            <w:pPr>
              <w:jc w:val="center"/>
              <w:rPr>
                <w:b/>
                <w:kern w:val="0"/>
                <w:szCs w:val="21"/>
              </w:rPr>
            </w:pPr>
            <w:r>
              <w:rPr>
                <w:rFonts w:hint="eastAsia"/>
                <w:b/>
                <w:kern w:val="0"/>
                <w:szCs w:val="21"/>
              </w:rPr>
              <w:t>序号</w:t>
            </w:r>
          </w:p>
        </w:tc>
        <w:tc>
          <w:tcPr>
            <w:tcW w:w="7796" w:type="dxa"/>
            <w:vAlign w:val="center"/>
          </w:tcPr>
          <w:p w14:paraId="5CC057D8">
            <w:pPr>
              <w:jc w:val="center"/>
              <w:rPr>
                <w:b/>
                <w:kern w:val="0"/>
                <w:szCs w:val="21"/>
              </w:rPr>
            </w:pPr>
            <w:r>
              <w:rPr>
                <w:rFonts w:hint="eastAsia"/>
                <w:b/>
                <w:kern w:val="0"/>
                <w:szCs w:val="21"/>
              </w:rPr>
              <w:t>合格投标人名称</w:t>
            </w:r>
          </w:p>
        </w:tc>
      </w:tr>
      <w:tr w14:paraId="507BBEEE">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993" w:type="dxa"/>
          </w:tcPr>
          <w:p w14:paraId="14AF074A">
            <w:pPr>
              <w:adjustRightInd w:val="0"/>
              <w:snapToGrid w:val="0"/>
              <w:spacing w:line="360" w:lineRule="auto"/>
              <w:rPr>
                <w:rFonts w:hint="eastAsia" w:ascii="宋体" w:hAnsi="宋体"/>
                <w:kern w:val="0"/>
                <w:szCs w:val="21"/>
              </w:rPr>
            </w:pPr>
          </w:p>
        </w:tc>
        <w:tc>
          <w:tcPr>
            <w:tcW w:w="7796" w:type="dxa"/>
          </w:tcPr>
          <w:p w14:paraId="74F7E233">
            <w:pPr>
              <w:adjustRightInd w:val="0"/>
              <w:snapToGrid w:val="0"/>
              <w:spacing w:line="360" w:lineRule="auto"/>
              <w:rPr>
                <w:rFonts w:hint="eastAsia" w:ascii="宋体" w:hAnsi="宋体"/>
                <w:kern w:val="0"/>
                <w:szCs w:val="21"/>
              </w:rPr>
            </w:pPr>
          </w:p>
        </w:tc>
      </w:tr>
      <w:tr w14:paraId="4218A147">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993" w:type="dxa"/>
          </w:tcPr>
          <w:p w14:paraId="5E69DC07">
            <w:pPr>
              <w:adjustRightInd w:val="0"/>
              <w:snapToGrid w:val="0"/>
              <w:spacing w:line="360" w:lineRule="auto"/>
              <w:rPr>
                <w:rFonts w:hint="eastAsia" w:ascii="宋体" w:hAnsi="宋体"/>
                <w:kern w:val="0"/>
                <w:sz w:val="24"/>
              </w:rPr>
            </w:pPr>
          </w:p>
        </w:tc>
        <w:tc>
          <w:tcPr>
            <w:tcW w:w="7796" w:type="dxa"/>
          </w:tcPr>
          <w:p w14:paraId="7591E4A6">
            <w:pPr>
              <w:adjustRightInd w:val="0"/>
              <w:snapToGrid w:val="0"/>
              <w:spacing w:line="360" w:lineRule="auto"/>
              <w:rPr>
                <w:rFonts w:hint="eastAsia" w:ascii="宋体" w:hAnsi="宋体"/>
                <w:kern w:val="0"/>
                <w:sz w:val="24"/>
              </w:rPr>
            </w:pPr>
          </w:p>
        </w:tc>
      </w:tr>
      <w:tr w14:paraId="3B98FB3A">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993" w:type="dxa"/>
          </w:tcPr>
          <w:p w14:paraId="25C39DA3">
            <w:pPr>
              <w:adjustRightInd w:val="0"/>
              <w:snapToGrid w:val="0"/>
              <w:spacing w:line="360" w:lineRule="auto"/>
              <w:rPr>
                <w:rFonts w:hint="eastAsia" w:ascii="宋体" w:hAnsi="宋体"/>
                <w:kern w:val="0"/>
                <w:sz w:val="24"/>
              </w:rPr>
            </w:pPr>
          </w:p>
        </w:tc>
        <w:tc>
          <w:tcPr>
            <w:tcW w:w="7796" w:type="dxa"/>
          </w:tcPr>
          <w:p w14:paraId="1D53781D">
            <w:pPr>
              <w:adjustRightInd w:val="0"/>
              <w:snapToGrid w:val="0"/>
              <w:spacing w:line="360" w:lineRule="auto"/>
              <w:rPr>
                <w:rFonts w:hint="eastAsia" w:ascii="宋体" w:hAnsi="宋体"/>
                <w:kern w:val="0"/>
                <w:sz w:val="24"/>
              </w:rPr>
            </w:pPr>
          </w:p>
        </w:tc>
      </w:tr>
      <w:tr w14:paraId="1EE17074">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993" w:type="dxa"/>
          </w:tcPr>
          <w:p w14:paraId="6510CDAD">
            <w:pPr>
              <w:adjustRightInd w:val="0"/>
              <w:snapToGrid w:val="0"/>
              <w:spacing w:line="360" w:lineRule="auto"/>
              <w:rPr>
                <w:rFonts w:hint="eastAsia" w:ascii="宋体" w:hAnsi="宋体"/>
                <w:kern w:val="0"/>
                <w:sz w:val="24"/>
              </w:rPr>
            </w:pPr>
          </w:p>
        </w:tc>
        <w:tc>
          <w:tcPr>
            <w:tcW w:w="7796" w:type="dxa"/>
          </w:tcPr>
          <w:p w14:paraId="0977343C">
            <w:pPr>
              <w:adjustRightInd w:val="0"/>
              <w:snapToGrid w:val="0"/>
              <w:spacing w:line="360" w:lineRule="auto"/>
              <w:rPr>
                <w:rFonts w:hint="eastAsia" w:ascii="宋体" w:hAnsi="宋体"/>
                <w:kern w:val="0"/>
                <w:sz w:val="24"/>
              </w:rPr>
            </w:pPr>
          </w:p>
        </w:tc>
      </w:tr>
      <w:tr w14:paraId="793488BF">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993" w:type="dxa"/>
          </w:tcPr>
          <w:p w14:paraId="674B46B4">
            <w:pPr>
              <w:adjustRightInd w:val="0"/>
              <w:snapToGrid w:val="0"/>
              <w:spacing w:line="360" w:lineRule="auto"/>
              <w:rPr>
                <w:rFonts w:hint="eastAsia" w:ascii="宋体" w:hAnsi="宋体"/>
                <w:kern w:val="0"/>
                <w:sz w:val="24"/>
              </w:rPr>
            </w:pPr>
          </w:p>
        </w:tc>
        <w:tc>
          <w:tcPr>
            <w:tcW w:w="7796" w:type="dxa"/>
          </w:tcPr>
          <w:p w14:paraId="4AB0C1C7">
            <w:pPr>
              <w:adjustRightInd w:val="0"/>
              <w:snapToGrid w:val="0"/>
              <w:spacing w:line="360" w:lineRule="auto"/>
              <w:rPr>
                <w:rFonts w:hint="eastAsia" w:ascii="宋体" w:hAnsi="宋体"/>
                <w:kern w:val="0"/>
                <w:sz w:val="24"/>
              </w:rPr>
            </w:pPr>
          </w:p>
        </w:tc>
      </w:tr>
      <w:tr w14:paraId="33E32876">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993" w:type="dxa"/>
          </w:tcPr>
          <w:p w14:paraId="12420D83">
            <w:pPr>
              <w:adjustRightInd w:val="0"/>
              <w:snapToGrid w:val="0"/>
              <w:spacing w:line="360" w:lineRule="auto"/>
              <w:rPr>
                <w:rFonts w:hint="eastAsia" w:ascii="宋体" w:hAnsi="宋体"/>
                <w:kern w:val="0"/>
                <w:sz w:val="24"/>
              </w:rPr>
            </w:pPr>
          </w:p>
        </w:tc>
        <w:tc>
          <w:tcPr>
            <w:tcW w:w="7796" w:type="dxa"/>
          </w:tcPr>
          <w:p w14:paraId="5B38D279">
            <w:pPr>
              <w:adjustRightInd w:val="0"/>
              <w:snapToGrid w:val="0"/>
              <w:spacing w:line="360" w:lineRule="auto"/>
              <w:rPr>
                <w:rFonts w:hint="eastAsia" w:ascii="宋体" w:hAnsi="宋体"/>
                <w:kern w:val="0"/>
                <w:sz w:val="24"/>
              </w:rPr>
            </w:pPr>
          </w:p>
        </w:tc>
      </w:tr>
    </w:tbl>
    <w:p w14:paraId="37A47FF5">
      <w:pPr>
        <w:adjustRightInd w:val="0"/>
        <w:snapToGrid w:val="0"/>
        <w:spacing w:line="360" w:lineRule="auto"/>
        <w:rPr>
          <w:rFonts w:hint="eastAsia" w:ascii="宋体" w:hAnsi="宋体"/>
          <w:szCs w:val="21"/>
        </w:rPr>
      </w:pPr>
      <w:r>
        <w:rPr>
          <w:rFonts w:hint="eastAsia" w:ascii="宋体" w:hAnsi="宋体"/>
          <w:szCs w:val="21"/>
        </w:rPr>
        <w:t>采购人（签字）：</w:t>
      </w:r>
      <w:r>
        <w:rPr>
          <w:rFonts w:hint="eastAsia" w:ascii="宋体" w:hAnsi="宋体"/>
          <w:szCs w:val="21"/>
          <w:u w:val="single"/>
        </w:rPr>
        <w:t xml:space="preserve">       </w:t>
      </w:r>
      <w:r>
        <w:rPr>
          <w:rFonts w:hint="eastAsia" w:ascii="宋体" w:hAnsi="宋体"/>
          <w:szCs w:val="21"/>
        </w:rPr>
        <w:t xml:space="preserve">                       </w:t>
      </w:r>
    </w:p>
    <w:p w14:paraId="64F0E02D">
      <w:pPr>
        <w:adjustRightInd w:val="0"/>
        <w:snapToGrid w:val="0"/>
        <w:spacing w:line="360" w:lineRule="auto"/>
        <w:rPr>
          <w:rFonts w:hint="eastAsia" w:ascii="宋体" w:hAnsi="宋体"/>
          <w:szCs w:val="21"/>
        </w:rPr>
      </w:pPr>
      <w:r>
        <w:rPr>
          <w:rFonts w:hint="eastAsia" w:ascii="宋体" w:hAnsi="宋体"/>
          <w:szCs w:val="21"/>
        </w:rPr>
        <w:t>采购代理机构（签字）：</w:t>
      </w:r>
      <w:r>
        <w:rPr>
          <w:rFonts w:hint="eastAsia" w:ascii="宋体" w:hAnsi="宋体"/>
          <w:szCs w:val="21"/>
          <w:u w:val="single"/>
        </w:rPr>
        <w:t xml:space="preserve">       </w:t>
      </w:r>
      <w:r>
        <w:rPr>
          <w:rFonts w:hint="eastAsia" w:ascii="宋体" w:hAnsi="宋体"/>
          <w:szCs w:val="21"/>
        </w:rPr>
        <w:t xml:space="preserve">                               </w:t>
      </w:r>
    </w:p>
    <w:p w14:paraId="1C3FB033">
      <w:pPr>
        <w:rPr>
          <w:rFonts w:hint="eastAsia" w:ascii="黑体" w:hAnsi="华文中宋" w:eastAsia="黑体"/>
          <w:b/>
          <w:sz w:val="10"/>
          <w:szCs w:val="10"/>
        </w:rPr>
      </w:pPr>
      <w:r>
        <w:rPr>
          <w:rFonts w:hint="eastAsia" w:ascii="宋体" w:hAnsi="宋体"/>
          <w:szCs w:val="21"/>
        </w:rPr>
        <w:t>日期：</w:t>
      </w:r>
      <w:r>
        <w:rPr>
          <w:rFonts w:hint="eastAsia" w:ascii="宋体" w:hAnsi="宋体"/>
          <w:szCs w:val="21"/>
          <w:u w:val="single"/>
        </w:rPr>
        <w:t xml:space="preserve">       </w:t>
      </w:r>
      <w:r>
        <w:rPr>
          <w:rFonts w:hint="eastAsia" w:ascii="宋体" w:hAnsi="宋体"/>
          <w:szCs w:val="21"/>
        </w:rPr>
        <w:t>年</w:t>
      </w:r>
      <w:r>
        <w:rPr>
          <w:rFonts w:hint="eastAsia" w:ascii="宋体" w:hAnsi="宋体"/>
          <w:szCs w:val="21"/>
          <w:u w:val="single"/>
        </w:rPr>
        <w:t xml:space="preserve">   </w:t>
      </w:r>
      <w:r>
        <w:rPr>
          <w:rFonts w:hint="eastAsia" w:ascii="宋体" w:hAnsi="宋体"/>
          <w:szCs w:val="21"/>
        </w:rPr>
        <w:t>月</w:t>
      </w:r>
      <w:r>
        <w:rPr>
          <w:rFonts w:hint="eastAsia" w:ascii="宋体" w:hAnsi="宋体"/>
          <w:szCs w:val="21"/>
          <w:u w:val="single"/>
        </w:rPr>
        <w:t xml:space="preserve">   </w:t>
      </w:r>
      <w:r>
        <w:rPr>
          <w:rFonts w:hint="eastAsia" w:ascii="宋体" w:hAnsi="宋体"/>
          <w:szCs w:val="21"/>
        </w:rPr>
        <w:t>日</w:t>
      </w:r>
      <w:r>
        <w:rPr>
          <w:rFonts w:ascii="宋体" w:hAnsi="宋体"/>
        </w:rPr>
        <w:br w:type="page"/>
      </w:r>
    </w:p>
    <w:p w14:paraId="449D3C37">
      <w:pPr>
        <w:pStyle w:val="14"/>
        <w:adjustRightInd w:val="0"/>
        <w:snapToGrid w:val="0"/>
        <w:spacing w:line="360" w:lineRule="auto"/>
        <w:jc w:val="center"/>
        <w:outlineLvl w:val="0"/>
        <w:rPr>
          <w:rFonts w:hint="eastAsia" w:ascii="黑体" w:hAnsi="华文中宋" w:eastAsia="黑体"/>
          <w:b/>
          <w:sz w:val="28"/>
          <w:szCs w:val="28"/>
        </w:rPr>
      </w:pPr>
      <w:bookmarkStart w:id="115" w:name="_Toc18287"/>
      <w:r>
        <w:rPr>
          <w:rFonts w:hint="eastAsia" w:ascii="黑体" w:hAnsi="华文中宋" w:eastAsia="黑体"/>
          <w:b/>
          <w:sz w:val="32"/>
          <w:szCs w:val="32"/>
        </w:rPr>
        <w:t>第四章 评标方法及标准</w:t>
      </w:r>
      <w:bookmarkEnd w:id="115"/>
    </w:p>
    <w:p w14:paraId="3F6785A5">
      <w:pPr>
        <w:pStyle w:val="2"/>
        <w:adjustRightInd w:val="0"/>
        <w:snapToGrid w:val="0"/>
        <w:jc w:val="center"/>
        <w:rPr>
          <w:rFonts w:hint="eastAsia" w:ascii="宋体" w:hAnsi="宋体"/>
          <w:bCs/>
          <w:iCs/>
          <w:szCs w:val="21"/>
        </w:rPr>
      </w:pPr>
      <w:bookmarkStart w:id="116" w:name="_Toc24312"/>
      <w:r>
        <w:rPr>
          <w:rFonts w:hint="eastAsia" w:ascii="黑体" w:hAnsi="华文中宋" w:eastAsia="黑体"/>
          <w:sz w:val="28"/>
          <w:szCs w:val="28"/>
        </w:rPr>
        <w:t>第一节 评标方法及标准前附表</w:t>
      </w:r>
      <w:bookmarkEnd w:id="116"/>
    </w:p>
    <w:p w14:paraId="3BD96E8A">
      <w:pPr>
        <w:adjustRightInd w:val="0"/>
        <w:snapToGrid w:val="0"/>
        <w:spacing w:line="360" w:lineRule="auto"/>
        <w:rPr>
          <w:rFonts w:hint="eastAsia" w:ascii="宋体" w:hAnsi="宋体"/>
          <w:bCs/>
          <w:iCs/>
          <w:szCs w:val="21"/>
        </w:rPr>
      </w:pPr>
      <w:r>
        <w:rPr>
          <w:rFonts w:hint="eastAsia" w:ascii="宋体" w:hAnsi="宋体"/>
          <w:bCs/>
          <w:iCs/>
          <w:szCs w:val="21"/>
        </w:rPr>
        <w:t>本项目启用的条款在“编列内容规定”栏内以“</w:t>
      </w:r>
      <w:r>
        <w:rPr>
          <w:rFonts w:hint="eastAsia" w:ascii="宋体" w:hAnsi="宋体"/>
          <w:iCs/>
          <w:szCs w:val="21"/>
        </w:rPr>
        <w:sym w:font="Wingdings" w:char="00FE"/>
      </w:r>
      <w:r>
        <w:rPr>
          <w:rFonts w:hint="eastAsia" w:ascii="宋体" w:hAnsi="宋体"/>
          <w:bCs/>
          <w:iCs/>
          <w:szCs w:val="21"/>
        </w:rPr>
        <w:t>”标注。</w:t>
      </w:r>
    </w:p>
    <w:tbl>
      <w:tblPr>
        <w:tblStyle w:val="27"/>
        <w:tblW w:w="8841" w:type="dxa"/>
        <w:tblInd w:w="108" w:type="dxa"/>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1073"/>
        <w:gridCol w:w="1521"/>
        <w:gridCol w:w="6247"/>
      </w:tblGrid>
      <w:tr w14:paraId="34107EA2">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20" w:hRule="atLeast"/>
        </w:trPr>
        <w:tc>
          <w:tcPr>
            <w:tcW w:w="1073" w:type="dxa"/>
            <w:tcBorders>
              <w:top w:val="double" w:color="auto" w:sz="4" w:space="0"/>
              <w:bottom w:val="single" w:color="auto" w:sz="6" w:space="0"/>
            </w:tcBorders>
          </w:tcPr>
          <w:p w14:paraId="4DA114CE">
            <w:pPr>
              <w:adjustRightInd w:val="0"/>
              <w:snapToGrid w:val="0"/>
              <w:spacing w:before="156" w:beforeLines="50" w:line="360" w:lineRule="auto"/>
              <w:jc w:val="center"/>
              <w:rPr>
                <w:b/>
              </w:rPr>
            </w:pPr>
            <w:r>
              <w:rPr>
                <w:rFonts w:hint="eastAsia"/>
                <w:b/>
              </w:rPr>
              <w:t>条款号</w:t>
            </w:r>
          </w:p>
        </w:tc>
        <w:tc>
          <w:tcPr>
            <w:tcW w:w="1521" w:type="dxa"/>
            <w:tcBorders>
              <w:top w:val="double" w:color="auto" w:sz="4" w:space="0"/>
              <w:bottom w:val="single" w:color="auto" w:sz="6" w:space="0"/>
            </w:tcBorders>
          </w:tcPr>
          <w:p w14:paraId="11176098">
            <w:pPr>
              <w:adjustRightInd w:val="0"/>
              <w:snapToGrid w:val="0"/>
              <w:spacing w:before="156" w:beforeLines="50" w:line="360" w:lineRule="auto"/>
              <w:jc w:val="center"/>
              <w:rPr>
                <w:b/>
              </w:rPr>
            </w:pPr>
            <w:r>
              <w:rPr>
                <w:rFonts w:hint="eastAsia"/>
                <w:b/>
              </w:rPr>
              <w:t>条款名称</w:t>
            </w:r>
          </w:p>
        </w:tc>
        <w:tc>
          <w:tcPr>
            <w:tcW w:w="6247" w:type="dxa"/>
            <w:tcBorders>
              <w:top w:val="double" w:color="auto" w:sz="4" w:space="0"/>
              <w:bottom w:val="single" w:color="auto" w:sz="6" w:space="0"/>
            </w:tcBorders>
          </w:tcPr>
          <w:p w14:paraId="0E667C72">
            <w:pPr>
              <w:adjustRightInd w:val="0"/>
              <w:snapToGrid w:val="0"/>
              <w:spacing w:before="156" w:beforeLines="50" w:line="360" w:lineRule="auto"/>
              <w:jc w:val="center"/>
              <w:rPr>
                <w:b/>
              </w:rPr>
            </w:pPr>
            <w:r>
              <w:rPr>
                <w:rFonts w:hint="eastAsia"/>
                <w:b/>
              </w:rPr>
              <w:t>编列内容规定</w:t>
            </w:r>
          </w:p>
        </w:tc>
      </w:tr>
      <w:tr w14:paraId="5150EEC8">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20" w:hRule="atLeast"/>
        </w:trPr>
        <w:tc>
          <w:tcPr>
            <w:tcW w:w="1073" w:type="dxa"/>
            <w:tcBorders>
              <w:top w:val="single" w:color="auto" w:sz="6" w:space="0"/>
              <w:bottom w:val="single" w:color="auto" w:sz="6" w:space="0"/>
            </w:tcBorders>
            <w:vAlign w:val="center"/>
          </w:tcPr>
          <w:p w14:paraId="280F6A1E">
            <w:pPr>
              <w:adjustRightInd w:val="0"/>
              <w:snapToGrid w:val="0"/>
              <w:spacing w:before="156" w:beforeLines="50" w:line="360" w:lineRule="auto"/>
              <w:jc w:val="center"/>
              <w:rPr>
                <w:rFonts w:hint="eastAsia" w:ascii="宋体" w:hAnsi="宋体"/>
                <w:szCs w:val="21"/>
              </w:rPr>
            </w:pPr>
            <w:r>
              <w:rPr>
                <w:rFonts w:hint="eastAsia" w:ascii="宋体" w:hAnsi="宋体"/>
                <w:szCs w:val="21"/>
              </w:rPr>
              <w:t>第1.3</w:t>
            </w:r>
            <w:r>
              <w:rPr>
                <w:rFonts w:hint="eastAsia" w:ascii="宋体" w:hAnsi="宋体" w:cs="宋体"/>
                <w:kern w:val="0"/>
                <w:szCs w:val="21"/>
                <w:lang w:val="zh-CN"/>
              </w:rPr>
              <w:t>款</w:t>
            </w:r>
          </w:p>
        </w:tc>
        <w:tc>
          <w:tcPr>
            <w:tcW w:w="1521" w:type="dxa"/>
            <w:tcBorders>
              <w:top w:val="single" w:color="auto" w:sz="6" w:space="0"/>
              <w:bottom w:val="single" w:color="auto" w:sz="6" w:space="0"/>
            </w:tcBorders>
            <w:vAlign w:val="center"/>
          </w:tcPr>
          <w:p w14:paraId="4015D1C7">
            <w:pPr>
              <w:adjustRightInd w:val="0"/>
              <w:snapToGrid w:val="0"/>
              <w:spacing w:before="156" w:beforeLines="50" w:line="360" w:lineRule="auto"/>
              <w:jc w:val="center"/>
              <w:rPr>
                <w:rFonts w:hint="eastAsia" w:ascii="宋体" w:hAnsi="宋体"/>
                <w:szCs w:val="21"/>
              </w:rPr>
            </w:pPr>
            <w:r>
              <w:rPr>
                <w:rFonts w:hint="eastAsia" w:ascii="宋体" w:hAnsi="宋体"/>
                <w:szCs w:val="21"/>
              </w:rPr>
              <w:t>评标方法</w:t>
            </w:r>
          </w:p>
        </w:tc>
        <w:tc>
          <w:tcPr>
            <w:tcW w:w="6247" w:type="dxa"/>
            <w:tcBorders>
              <w:top w:val="single" w:color="auto" w:sz="6" w:space="0"/>
              <w:bottom w:val="single" w:color="auto" w:sz="6" w:space="0"/>
            </w:tcBorders>
            <w:vAlign w:val="center"/>
          </w:tcPr>
          <w:p w14:paraId="692CB0D1">
            <w:pPr>
              <w:adjustRightInd w:val="0"/>
              <w:snapToGrid w:val="0"/>
              <w:spacing w:before="156" w:beforeLines="50" w:line="360" w:lineRule="auto"/>
              <w:rPr>
                <w:rFonts w:hint="eastAsia" w:ascii="宋体" w:hAnsi="宋体"/>
                <w:szCs w:val="21"/>
              </w:rPr>
            </w:pPr>
            <w:r>
              <w:rPr>
                <w:rFonts w:hint="eastAsia" w:ascii="宋体" w:hAnsi="宋体"/>
                <w:iCs/>
                <w:szCs w:val="21"/>
              </w:rPr>
              <w:sym w:font="Wingdings" w:char="00FE"/>
            </w:r>
            <w:r>
              <w:rPr>
                <w:rFonts w:hint="eastAsia"/>
              </w:rPr>
              <w:t>综合评分法</w:t>
            </w:r>
          </w:p>
        </w:tc>
      </w:tr>
      <w:tr w14:paraId="6C9065DD">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20" w:hRule="atLeast"/>
        </w:trPr>
        <w:tc>
          <w:tcPr>
            <w:tcW w:w="1073" w:type="dxa"/>
            <w:tcBorders>
              <w:top w:val="single" w:color="auto" w:sz="6" w:space="0"/>
              <w:bottom w:val="single" w:color="auto" w:sz="6" w:space="0"/>
            </w:tcBorders>
            <w:vAlign w:val="center"/>
          </w:tcPr>
          <w:p w14:paraId="6B48945B">
            <w:pPr>
              <w:adjustRightInd w:val="0"/>
              <w:snapToGrid w:val="0"/>
              <w:spacing w:before="156" w:beforeLines="50" w:line="360" w:lineRule="auto"/>
              <w:jc w:val="center"/>
              <w:rPr>
                <w:rFonts w:hint="eastAsia" w:ascii="宋体" w:hAnsi="宋体"/>
                <w:szCs w:val="21"/>
              </w:rPr>
            </w:pPr>
            <w:r>
              <w:rPr>
                <w:rFonts w:hint="eastAsia" w:ascii="宋体" w:hAnsi="宋体"/>
                <w:szCs w:val="21"/>
              </w:rPr>
              <w:t>第3.4</w:t>
            </w:r>
            <w:r>
              <w:rPr>
                <w:rFonts w:hint="eastAsia" w:ascii="宋体" w:hAnsi="宋体" w:cs="宋体"/>
                <w:kern w:val="0"/>
                <w:szCs w:val="21"/>
                <w:lang w:val="zh-CN"/>
              </w:rPr>
              <w:t>款</w:t>
            </w:r>
          </w:p>
        </w:tc>
        <w:tc>
          <w:tcPr>
            <w:tcW w:w="1521" w:type="dxa"/>
            <w:tcBorders>
              <w:top w:val="single" w:color="auto" w:sz="6" w:space="0"/>
              <w:bottom w:val="single" w:color="auto" w:sz="6" w:space="0"/>
            </w:tcBorders>
            <w:vAlign w:val="center"/>
          </w:tcPr>
          <w:p w14:paraId="5677B7A4">
            <w:pPr>
              <w:adjustRightInd w:val="0"/>
              <w:snapToGrid w:val="0"/>
              <w:spacing w:before="156" w:beforeLines="50" w:line="360" w:lineRule="auto"/>
              <w:jc w:val="center"/>
              <w:rPr>
                <w:rFonts w:hint="eastAsia" w:ascii="宋体" w:hAnsi="宋体"/>
                <w:bCs/>
                <w:szCs w:val="21"/>
              </w:rPr>
            </w:pPr>
            <w:r>
              <w:rPr>
                <w:rFonts w:hint="eastAsia" w:ascii="宋体" w:hAnsi="宋体"/>
                <w:bCs/>
                <w:szCs w:val="21"/>
              </w:rPr>
              <w:t>非单一产品采购项目的核心产品</w:t>
            </w:r>
          </w:p>
        </w:tc>
        <w:tc>
          <w:tcPr>
            <w:tcW w:w="6247" w:type="dxa"/>
            <w:tcBorders>
              <w:top w:val="single" w:color="auto" w:sz="6" w:space="0"/>
              <w:bottom w:val="single" w:color="auto" w:sz="6" w:space="0"/>
            </w:tcBorders>
            <w:vAlign w:val="center"/>
          </w:tcPr>
          <w:p w14:paraId="7836C29E">
            <w:pPr>
              <w:adjustRightInd w:val="0"/>
              <w:snapToGrid w:val="0"/>
              <w:spacing w:before="156" w:beforeLines="50" w:line="360" w:lineRule="auto"/>
            </w:pPr>
            <w:r>
              <w:rPr>
                <w:rFonts w:hint="eastAsia" w:ascii="MS Gothic" w:hAnsi="MS Gothic" w:eastAsia="MS Gothic" w:cs="MS Gothic"/>
                <w:szCs w:val="21"/>
              </w:rPr>
              <w:t>☐</w:t>
            </w:r>
            <w:r>
              <w:rPr>
                <w:rFonts w:hint="eastAsia"/>
              </w:rPr>
              <w:t>单一产品采购，此项不适用</w:t>
            </w:r>
          </w:p>
          <w:p w14:paraId="2FD5E50E">
            <w:pPr>
              <w:adjustRightInd w:val="0"/>
              <w:snapToGrid w:val="0"/>
              <w:spacing w:before="156" w:beforeLines="50" w:line="360" w:lineRule="auto"/>
            </w:pPr>
            <w:r>
              <w:rPr>
                <w:rFonts w:hint="eastAsia" w:ascii="宋体" w:hAnsi="宋体"/>
                <w:iCs/>
                <w:szCs w:val="21"/>
              </w:rPr>
              <w:sym w:font="Wingdings" w:char="00FE"/>
            </w:r>
            <w:r>
              <w:rPr>
                <w:rFonts w:hint="eastAsia"/>
              </w:rPr>
              <w:t>非单一产品采购</w:t>
            </w:r>
          </w:p>
          <w:p w14:paraId="4C15ADFF">
            <w:pPr>
              <w:adjustRightInd w:val="0"/>
              <w:snapToGrid w:val="0"/>
              <w:spacing w:before="156" w:beforeLines="50" w:line="360" w:lineRule="auto"/>
              <w:rPr>
                <w:rFonts w:hint="eastAsia" w:ascii="Times New Roman" w:hAnsi="Times New Roman" w:eastAsia="宋体" w:cs="Times New Roman"/>
                <w:lang w:eastAsia="zh-CN"/>
              </w:rPr>
            </w:pPr>
            <w:r>
              <w:rPr>
                <w:rFonts w:hint="eastAsia" w:ascii="Times New Roman" w:hAnsi="Times New Roman" w:cs="Times New Roman"/>
              </w:rPr>
              <w:t>核心产品为：</w:t>
            </w:r>
            <w:r>
              <w:rPr>
                <w:rFonts w:hint="eastAsia" w:ascii="Times New Roman" w:hAnsi="Times New Roman" w:cs="Times New Roman"/>
                <w:u w:val="single"/>
              </w:rPr>
              <w:t>室内全彩LED屏</w:t>
            </w:r>
            <w:r>
              <w:rPr>
                <w:rFonts w:hint="eastAsia" w:ascii="Times New Roman" w:hAnsi="Times New Roman" w:cs="Times New Roman"/>
                <w:u w:val="single"/>
                <w:lang w:eastAsia="zh-CN"/>
              </w:rPr>
              <w:t>。</w:t>
            </w:r>
          </w:p>
          <w:p w14:paraId="2929AF1A">
            <w:pPr>
              <w:adjustRightInd w:val="0"/>
              <w:snapToGrid w:val="0"/>
              <w:spacing w:before="156" w:beforeLines="50" w:line="360" w:lineRule="auto"/>
              <w:rPr>
                <w:rFonts w:hint="eastAsia" w:ascii="宋体" w:hAnsi="宋体"/>
                <w:szCs w:val="21"/>
              </w:rPr>
            </w:pPr>
            <w:r>
              <w:rPr>
                <w:rFonts w:hint="eastAsia" w:ascii="宋体" w:hAnsi="宋体"/>
                <w:szCs w:val="21"/>
              </w:rPr>
              <w:sym w:font="Wingdings" w:char="00A8"/>
            </w:r>
            <w:r>
              <w:rPr>
                <w:rFonts w:hint="eastAsia" w:ascii="宋体" w:hAnsi="宋体"/>
                <w:szCs w:val="21"/>
              </w:rPr>
              <w:t xml:space="preserve"> </w:t>
            </w:r>
            <w:r>
              <w:rPr>
                <w:rFonts w:hint="eastAsia"/>
              </w:rPr>
              <w:t>多个核心产品，有任意</w:t>
            </w:r>
            <w:r>
              <w:rPr>
                <w:rFonts w:hint="eastAsia"/>
                <w:u w:val="single"/>
              </w:rPr>
              <w:t xml:space="preserve"> 1 </w:t>
            </w:r>
            <w:r>
              <w:rPr>
                <w:rFonts w:hint="eastAsia"/>
              </w:rPr>
              <w:t>个核心产品品牌相同的投标人认定为同一个投标人。</w:t>
            </w:r>
          </w:p>
        </w:tc>
      </w:tr>
      <w:tr w14:paraId="3C9593AE">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20" w:hRule="atLeast"/>
        </w:trPr>
        <w:tc>
          <w:tcPr>
            <w:tcW w:w="1073" w:type="dxa"/>
            <w:tcBorders>
              <w:top w:val="single" w:color="auto" w:sz="6" w:space="0"/>
              <w:bottom w:val="single" w:color="auto" w:sz="6" w:space="0"/>
            </w:tcBorders>
            <w:vAlign w:val="center"/>
          </w:tcPr>
          <w:p w14:paraId="2965AD34">
            <w:pPr>
              <w:adjustRightInd w:val="0"/>
              <w:snapToGrid w:val="0"/>
              <w:spacing w:before="156" w:beforeLines="50" w:line="360" w:lineRule="auto"/>
              <w:jc w:val="center"/>
              <w:rPr>
                <w:rFonts w:hint="eastAsia" w:ascii="宋体" w:hAnsi="宋体"/>
                <w:szCs w:val="21"/>
              </w:rPr>
            </w:pPr>
            <w:r>
              <w:rPr>
                <w:rFonts w:hint="eastAsia" w:ascii="宋体" w:hAnsi="宋体"/>
                <w:szCs w:val="21"/>
              </w:rPr>
              <w:t>第4.2</w:t>
            </w:r>
            <w:r>
              <w:rPr>
                <w:rFonts w:hint="eastAsia" w:ascii="宋体" w:hAnsi="宋体" w:cs="宋体"/>
                <w:kern w:val="0"/>
                <w:szCs w:val="21"/>
                <w:lang w:val="zh-CN"/>
              </w:rPr>
              <w:t>款</w:t>
            </w:r>
          </w:p>
        </w:tc>
        <w:tc>
          <w:tcPr>
            <w:tcW w:w="1521" w:type="dxa"/>
            <w:tcBorders>
              <w:top w:val="single" w:color="auto" w:sz="6" w:space="0"/>
              <w:bottom w:val="single" w:color="auto" w:sz="6" w:space="0"/>
            </w:tcBorders>
            <w:vAlign w:val="center"/>
          </w:tcPr>
          <w:p w14:paraId="13DD218C">
            <w:pPr>
              <w:adjustRightInd w:val="0"/>
              <w:snapToGrid w:val="0"/>
              <w:spacing w:before="156" w:beforeLines="50" w:line="360" w:lineRule="auto"/>
              <w:jc w:val="center"/>
              <w:rPr>
                <w:rFonts w:hint="eastAsia" w:ascii="宋体" w:hAnsi="宋体"/>
                <w:szCs w:val="21"/>
              </w:rPr>
            </w:pPr>
            <w:r>
              <w:rPr>
                <w:rFonts w:hint="eastAsia" w:ascii="宋体" w:hAnsi="宋体"/>
                <w:szCs w:val="21"/>
              </w:rPr>
              <w:t>投标文件报价出现前后不一致的修正</w:t>
            </w:r>
          </w:p>
        </w:tc>
        <w:tc>
          <w:tcPr>
            <w:tcW w:w="6247" w:type="dxa"/>
            <w:tcBorders>
              <w:top w:val="single" w:color="auto" w:sz="6" w:space="0"/>
              <w:bottom w:val="single" w:color="auto" w:sz="6" w:space="0"/>
            </w:tcBorders>
            <w:vAlign w:val="center"/>
          </w:tcPr>
          <w:p w14:paraId="30B50DAA">
            <w:pPr>
              <w:adjustRightInd w:val="0"/>
              <w:snapToGrid w:val="0"/>
              <w:spacing w:before="156" w:beforeLines="50" w:line="360" w:lineRule="auto"/>
            </w:pPr>
            <w:r>
              <w:rPr>
                <w:rFonts w:hint="eastAsia" w:ascii="宋体" w:hAnsi="宋体"/>
                <w:iCs/>
                <w:szCs w:val="21"/>
              </w:rPr>
              <w:sym w:font="Wingdings" w:char="00FE"/>
            </w:r>
            <w:r>
              <w:rPr>
                <w:rFonts w:hint="eastAsia"/>
              </w:rPr>
              <w:t>按正文部分规定修正</w:t>
            </w:r>
          </w:p>
          <w:p w14:paraId="66680274">
            <w:pPr>
              <w:adjustRightInd w:val="0"/>
              <w:snapToGrid w:val="0"/>
              <w:spacing w:line="420" w:lineRule="exact"/>
              <w:rPr>
                <w:szCs w:val="21"/>
              </w:rPr>
            </w:pPr>
            <w:r>
              <w:rPr>
                <w:rFonts w:hint="eastAsia" w:ascii="MS Gothic" w:hAnsi="MS Gothic" w:eastAsia="MS Gothic" w:cs="MS Gothic"/>
                <w:szCs w:val="21"/>
              </w:rPr>
              <w:t>☐</w:t>
            </w:r>
            <w:r>
              <w:rPr>
                <w:rFonts w:hint="eastAsia"/>
              </w:rPr>
              <w:t>不按正文部分规定修正，具体修正规定为：</w:t>
            </w:r>
          </w:p>
        </w:tc>
      </w:tr>
      <w:tr w14:paraId="2AA264B2">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810" w:hRule="atLeast"/>
        </w:trPr>
        <w:tc>
          <w:tcPr>
            <w:tcW w:w="1073" w:type="dxa"/>
            <w:tcBorders>
              <w:top w:val="single" w:color="auto" w:sz="6" w:space="0"/>
            </w:tcBorders>
            <w:vAlign w:val="center"/>
          </w:tcPr>
          <w:p w14:paraId="2B747516">
            <w:pPr>
              <w:adjustRightInd w:val="0"/>
              <w:snapToGrid w:val="0"/>
              <w:spacing w:before="156" w:beforeLines="50" w:line="360" w:lineRule="auto"/>
              <w:jc w:val="center"/>
              <w:rPr>
                <w:rFonts w:hint="eastAsia" w:ascii="宋体" w:hAnsi="宋体"/>
                <w:szCs w:val="21"/>
              </w:rPr>
            </w:pPr>
            <w:r>
              <w:rPr>
                <w:rFonts w:hint="eastAsia" w:ascii="宋体" w:hAnsi="宋体"/>
                <w:szCs w:val="21"/>
              </w:rPr>
              <w:t>第5.4（1）</w:t>
            </w:r>
            <w:r>
              <w:rPr>
                <w:rFonts w:hint="eastAsia" w:ascii="宋体" w:hAnsi="宋体" w:cs="宋体"/>
                <w:kern w:val="0"/>
                <w:szCs w:val="21"/>
                <w:lang w:val="zh-CN"/>
              </w:rPr>
              <w:t>项</w:t>
            </w:r>
          </w:p>
        </w:tc>
        <w:tc>
          <w:tcPr>
            <w:tcW w:w="1521" w:type="dxa"/>
            <w:tcBorders>
              <w:top w:val="single" w:color="auto" w:sz="6" w:space="0"/>
            </w:tcBorders>
            <w:vAlign w:val="center"/>
          </w:tcPr>
          <w:p w14:paraId="36E78C25">
            <w:pPr>
              <w:adjustRightInd w:val="0"/>
              <w:snapToGrid w:val="0"/>
              <w:spacing w:before="156" w:beforeLines="50" w:line="360" w:lineRule="auto"/>
              <w:jc w:val="center"/>
              <w:rPr>
                <w:rFonts w:hint="eastAsia" w:ascii="宋体" w:hAnsi="宋体"/>
                <w:szCs w:val="21"/>
              </w:rPr>
            </w:pPr>
            <w:r>
              <w:rPr>
                <w:rFonts w:hint="eastAsia" w:ascii="宋体" w:hAnsi="宋体"/>
                <w:szCs w:val="21"/>
              </w:rPr>
              <w:t>价格评审优惠</w:t>
            </w:r>
          </w:p>
        </w:tc>
        <w:tc>
          <w:tcPr>
            <w:tcW w:w="6247" w:type="dxa"/>
            <w:tcBorders>
              <w:top w:val="single" w:color="auto" w:sz="6" w:space="0"/>
              <w:bottom w:val="single" w:color="auto" w:sz="6" w:space="0"/>
            </w:tcBorders>
            <w:vAlign w:val="center"/>
          </w:tcPr>
          <w:p w14:paraId="7B27A9AF">
            <w:pPr>
              <w:adjustRightInd w:val="0"/>
              <w:snapToGrid w:val="0"/>
              <w:spacing w:after="0" w:line="360" w:lineRule="exact"/>
              <w:ind w:left="210" w:hanging="210" w:hangingChars="100"/>
              <w:rPr>
                <w:rFonts w:hint="eastAsia" w:ascii="宋体" w:hAnsi="宋体" w:eastAsia="宋体" w:cs="Times New Roman"/>
                <w:color w:val="auto"/>
                <w:szCs w:val="21"/>
                <w:highlight w:val="none"/>
              </w:rPr>
            </w:pPr>
            <w:r>
              <w:rPr>
                <w:rFonts w:hint="eastAsia" w:ascii="宋体" w:hAnsi="宋体" w:eastAsia="宋体" w:cs="Times New Roman"/>
                <w:color w:val="auto"/>
                <w:szCs w:val="21"/>
                <w:highlight w:val="none"/>
              </w:rPr>
              <w:sym w:font="Wingdings" w:char="00A8"/>
            </w:r>
            <w:r>
              <w:rPr>
                <w:rFonts w:hint="eastAsia" w:ascii="宋体" w:hAnsi="宋体" w:eastAsia="宋体" w:cs="Times New Roman"/>
                <w:color w:val="auto"/>
                <w:szCs w:val="21"/>
                <w:highlight w:val="none"/>
              </w:rPr>
              <w:t>专门面向中小企业采购；支持中小企业发展：本项目专门面向中小微企业采购，不再对价格给予优惠扣除。</w:t>
            </w:r>
          </w:p>
          <w:p w14:paraId="055D4C4C">
            <w:pPr>
              <w:adjustRightInd w:val="0"/>
              <w:snapToGrid w:val="0"/>
              <w:spacing w:after="0" w:line="360" w:lineRule="exact"/>
              <w:ind w:left="210" w:hanging="210" w:hangingChars="100"/>
              <w:rPr>
                <w:rFonts w:hint="eastAsia" w:ascii="宋体" w:hAnsi="宋体" w:eastAsia="宋体" w:cs="Times New Roman"/>
                <w:color w:val="auto"/>
                <w:szCs w:val="21"/>
                <w:highlight w:val="none"/>
              </w:rPr>
            </w:pPr>
            <w:r>
              <w:rPr>
                <w:rFonts w:hint="eastAsia" w:ascii="宋体" w:hAnsi="宋体" w:eastAsia="宋体" w:cs="Times New Roman"/>
                <w:color w:val="auto"/>
                <w:szCs w:val="21"/>
                <w:highlight w:val="none"/>
              </w:rPr>
              <w:t>说明：监狱企业、残疾人福利性单位同时属于小型、微型企业的，不重复享受价格评审优惠政策。</w:t>
            </w:r>
          </w:p>
          <w:p w14:paraId="57DA6E50">
            <w:pPr>
              <w:adjustRightInd w:val="0"/>
              <w:snapToGrid w:val="0"/>
              <w:spacing w:after="0" w:line="360" w:lineRule="exact"/>
              <w:ind w:left="210" w:hanging="210" w:hangingChars="100"/>
              <w:rPr>
                <w:rFonts w:hint="eastAsia" w:ascii="宋体" w:hAnsi="宋体" w:eastAsia="宋体" w:cs="Times New Roman"/>
                <w:color w:val="auto"/>
                <w:szCs w:val="21"/>
                <w:highlight w:val="none"/>
              </w:rPr>
            </w:pPr>
            <w:r>
              <w:rPr>
                <w:rFonts w:hint="eastAsia" w:ascii="宋体" w:hAnsi="宋体" w:eastAsia="宋体" w:cs="Times New Roman"/>
                <w:color w:val="auto"/>
                <w:szCs w:val="21"/>
                <w:highlight w:val="none"/>
              </w:rPr>
              <w:sym w:font="Wingdings" w:char="00FE"/>
            </w:r>
            <w:r>
              <w:rPr>
                <w:rFonts w:hint="eastAsia" w:ascii="宋体" w:hAnsi="宋体" w:eastAsia="宋体" w:cs="Times New Roman"/>
                <w:color w:val="auto"/>
                <w:szCs w:val="21"/>
                <w:highlight w:val="none"/>
              </w:rPr>
              <w:t>非专门面向中小企业采购，且符合政府采购促进中小企业发展相关规定的：</w:t>
            </w:r>
          </w:p>
          <w:p w14:paraId="3597A905">
            <w:pPr>
              <w:adjustRightInd w:val="0"/>
              <w:snapToGrid w:val="0"/>
              <w:spacing w:after="0" w:line="360" w:lineRule="exact"/>
              <w:ind w:left="210" w:hanging="210" w:hangingChars="100"/>
              <w:rPr>
                <w:rFonts w:hint="eastAsia" w:ascii="宋体" w:hAnsi="宋体" w:eastAsia="宋体" w:cs="Times New Roman"/>
                <w:color w:val="auto"/>
                <w:szCs w:val="21"/>
                <w:highlight w:val="none"/>
              </w:rPr>
            </w:pPr>
            <w:r>
              <w:rPr>
                <w:rFonts w:hint="eastAsia" w:ascii="宋体" w:hAnsi="宋体" w:eastAsia="宋体" w:cs="Times New Roman"/>
                <w:color w:val="auto"/>
                <w:szCs w:val="21"/>
                <w:highlight w:val="none"/>
              </w:rPr>
              <w:t>给予小型和微型企业产品（服务）的价格给予10%-20%（工程项目6%-10%）的扣除，用扣除后的价格参与评审，本项目具体扣除比例为10 %。本采购标的对应的中小企业划分标准所属行业为《中小企业划型标准规定》（工信部联企业【2011】300号）中的“工业”。</w:t>
            </w:r>
          </w:p>
          <w:p w14:paraId="0CB65B5E">
            <w:pPr>
              <w:adjustRightInd w:val="0"/>
              <w:snapToGrid w:val="0"/>
              <w:spacing w:after="0" w:line="360" w:lineRule="exact"/>
              <w:ind w:left="210" w:hanging="210" w:hangingChars="100"/>
            </w:pPr>
            <w:r>
              <w:rPr>
                <w:rFonts w:hint="eastAsia" w:ascii="宋体" w:hAnsi="宋体" w:eastAsia="宋体" w:cs="Times New Roman"/>
                <w:color w:val="auto"/>
                <w:szCs w:val="21"/>
                <w:highlight w:val="none"/>
              </w:rPr>
              <w:t>（2）给予联合体2%-3%的价格扣除，用扣除后的价格参与评审，本项目具体扣除比例为 /％。</w:t>
            </w:r>
          </w:p>
        </w:tc>
      </w:tr>
      <w:tr w14:paraId="57FE792B">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14" w:hRule="atLeast"/>
        </w:trPr>
        <w:tc>
          <w:tcPr>
            <w:tcW w:w="1073" w:type="dxa"/>
            <w:vMerge w:val="restart"/>
            <w:tcBorders>
              <w:top w:val="single" w:color="auto" w:sz="6" w:space="0"/>
            </w:tcBorders>
            <w:vAlign w:val="center"/>
          </w:tcPr>
          <w:p w14:paraId="736AE257">
            <w:pPr>
              <w:adjustRightInd w:val="0"/>
              <w:snapToGrid w:val="0"/>
              <w:spacing w:after="0" w:line="360" w:lineRule="exact"/>
              <w:ind w:left="210" w:hanging="210" w:hangingChars="100"/>
              <w:rPr>
                <w:rFonts w:hint="eastAsia" w:ascii="宋体" w:hAnsi="宋体" w:eastAsia="宋体" w:cs="Times New Roman"/>
                <w:color w:val="auto"/>
                <w:szCs w:val="21"/>
                <w:highlight w:val="none"/>
              </w:rPr>
            </w:pPr>
            <w:r>
              <w:rPr>
                <w:rFonts w:hint="eastAsia" w:ascii="宋体" w:hAnsi="宋体" w:eastAsia="宋体" w:cs="Times New Roman"/>
                <w:color w:val="auto"/>
                <w:szCs w:val="21"/>
                <w:highlight w:val="none"/>
              </w:rPr>
              <w:t>第5.4（2）</w:t>
            </w:r>
            <w:r>
              <w:rPr>
                <w:rFonts w:hint="eastAsia" w:ascii="宋体" w:hAnsi="宋体" w:eastAsia="宋体" w:cs="Times New Roman"/>
                <w:color w:val="auto"/>
                <w:szCs w:val="21"/>
                <w:highlight w:val="none"/>
                <w:lang w:val="zh-CN"/>
              </w:rPr>
              <w:t>项</w:t>
            </w:r>
          </w:p>
        </w:tc>
        <w:tc>
          <w:tcPr>
            <w:tcW w:w="1521" w:type="dxa"/>
            <w:vMerge w:val="restart"/>
            <w:tcBorders>
              <w:top w:val="single" w:color="auto" w:sz="6" w:space="0"/>
            </w:tcBorders>
            <w:vAlign w:val="center"/>
          </w:tcPr>
          <w:p w14:paraId="77EF84BA">
            <w:pPr>
              <w:adjustRightInd w:val="0"/>
              <w:snapToGrid w:val="0"/>
              <w:spacing w:after="0" w:line="360" w:lineRule="exact"/>
              <w:ind w:left="210" w:hanging="210" w:hangingChars="100"/>
              <w:rPr>
                <w:rFonts w:hint="eastAsia" w:ascii="宋体" w:hAnsi="宋体" w:eastAsia="宋体" w:cs="Times New Roman"/>
                <w:color w:val="auto"/>
                <w:szCs w:val="21"/>
                <w:highlight w:val="none"/>
              </w:rPr>
            </w:pPr>
            <w:r>
              <w:rPr>
                <w:rFonts w:hint="eastAsia" w:ascii="宋体" w:hAnsi="宋体" w:eastAsia="宋体" w:cs="Times New Roman"/>
                <w:color w:val="auto"/>
                <w:szCs w:val="21"/>
                <w:highlight w:val="none"/>
              </w:rPr>
              <w:t>优先采购</w:t>
            </w:r>
          </w:p>
        </w:tc>
        <w:tc>
          <w:tcPr>
            <w:tcW w:w="6247" w:type="dxa"/>
            <w:tcBorders>
              <w:top w:val="single" w:color="auto" w:sz="6" w:space="0"/>
              <w:bottom w:val="single" w:color="auto" w:sz="4" w:space="0"/>
            </w:tcBorders>
            <w:vAlign w:val="center"/>
          </w:tcPr>
          <w:p w14:paraId="36121A85">
            <w:pPr>
              <w:adjustRightInd w:val="0"/>
              <w:snapToGrid w:val="0"/>
              <w:spacing w:after="0" w:line="360" w:lineRule="exact"/>
              <w:ind w:left="210" w:hanging="210" w:hangingChars="100"/>
              <w:rPr>
                <w:rFonts w:hint="eastAsia" w:ascii="宋体" w:hAnsi="宋体" w:eastAsia="宋体" w:cs="Times New Roman"/>
                <w:color w:val="auto"/>
                <w:szCs w:val="21"/>
                <w:highlight w:val="none"/>
              </w:rPr>
            </w:pPr>
            <w:r>
              <w:rPr>
                <w:rFonts w:hint="eastAsia" w:ascii="宋体" w:hAnsi="宋体" w:eastAsia="宋体" w:cs="Times New Roman"/>
                <w:color w:val="auto"/>
                <w:szCs w:val="21"/>
                <w:highlight w:val="none"/>
              </w:rPr>
              <w:sym w:font="Wingdings" w:char="00FE"/>
            </w:r>
            <w:r>
              <w:rPr>
                <w:rFonts w:hint="eastAsia" w:ascii="宋体" w:hAnsi="宋体" w:eastAsia="宋体" w:cs="Times New Roman"/>
                <w:color w:val="auto"/>
                <w:szCs w:val="21"/>
                <w:highlight w:val="none"/>
              </w:rPr>
              <w:t>(1)节能产品、环境标志产品：提供国家确定的认证机构出具的、处于有效期之内的节能产品、环境标志产品认证证书（</w:t>
            </w:r>
            <w:r>
              <w:rPr>
                <w:rFonts w:hint="eastAsia" w:ascii="宋体" w:hAnsi="宋体" w:eastAsia="宋体" w:cs="Times New Roman"/>
                <w:color w:val="auto"/>
                <w:szCs w:val="21"/>
                <w:highlight w:val="none"/>
                <w:lang w:val="en-US" w:eastAsia="zh-CN"/>
              </w:rPr>
              <w:t>扫描</w:t>
            </w:r>
            <w:r>
              <w:rPr>
                <w:rFonts w:hint="eastAsia" w:ascii="宋体" w:hAnsi="宋体" w:eastAsia="宋体" w:cs="Times New Roman"/>
                <w:color w:val="auto"/>
                <w:szCs w:val="21"/>
                <w:highlight w:val="none"/>
              </w:rPr>
              <w:t>件）。采用综合评分法，对于价格分和技术分，分别给予总分值 4%的加分。</w:t>
            </w:r>
          </w:p>
        </w:tc>
      </w:tr>
      <w:tr w14:paraId="5222FB32">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11" w:hRule="atLeast"/>
        </w:trPr>
        <w:tc>
          <w:tcPr>
            <w:tcW w:w="1073" w:type="dxa"/>
            <w:vMerge w:val="continue"/>
            <w:vAlign w:val="center"/>
          </w:tcPr>
          <w:p w14:paraId="3436CE45">
            <w:pPr>
              <w:adjustRightInd w:val="0"/>
              <w:snapToGrid w:val="0"/>
              <w:spacing w:after="0" w:line="360" w:lineRule="exact"/>
              <w:ind w:left="210" w:hanging="210" w:hangingChars="100"/>
              <w:rPr>
                <w:rFonts w:hint="eastAsia" w:ascii="宋体" w:hAnsi="宋体" w:eastAsia="宋体" w:cs="Times New Roman"/>
                <w:color w:val="auto"/>
                <w:szCs w:val="21"/>
                <w:highlight w:val="none"/>
              </w:rPr>
            </w:pPr>
          </w:p>
        </w:tc>
        <w:tc>
          <w:tcPr>
            <w:tcW w:w="1521" w:type="dxa"/>
            <w:vMerge w:val="continue"/>
            <w:vAlign w:val="center"/>
          </w:tcPr>
          <w:p w14:paraId="5CAE80C6">
            <w:pPr>
              <w:adjustRightInd w:val="0"/>
              <w:snapToGrid w:val="0"/>
              <w:spacing w:after="0" w:line="360" w:lineRule="exact"/>
              <w:ind w:left="210" w:hanging="210" w:hangingChars="100"/>
              <w:rPr>
                <w:rFonts w:hint="eastAsia" w:ascii="宋体" w:hAnsi="宋体" w:eastAsia="宋体" w:cs="Times New Roman"/>
                <w:color w:val="auto"/>
                <w:szCs w:val="21"/>
                <w:highlight w:val="none"/>
              </w:rPr>
            </w:pPr>
          </w:p>
        </w:tc>
        <w:tc>
          <w:tcPr>
            <w:tcW w:w="6247" w:type="dxa"/>
            <w:tcBorders>
              <w:top w:val="single" w:color="auto" w:sz="4" w:space="0"/>
              <w:bottom w:val="single" w:color="auto" w:sz="6" w:space="0"/>
            </w:tcBorders>
            <w:vAlign w:val="center"/>
          </w:tcPr>
          <w:p w14:paraId="0002492E">
            <w:pPr>
              <w:adjustRightInd w:val="0"/>
              <w:snapToGrid w:val="0"/>
              <w:spacing w:after="0" w:line="360" w:lineRule="exact"/>
              <w:ind w:left="210" w:hanging="210" w:hangingChars="100"/>
              <w:rPr>
                <w:rFonts w:hint="eastAsia" w:ascii="宋体" w:hAnsi="宋体" w:eastAsia="宋体" w:cs="Times New Roman"/>
                <w:color w:val="auto"/>
                <w:szCs w:val="21"/>
                <w:highlight w:val="none"/>
              </w:rPr>
            </w:pPr>
            <w:r>
              <w:rPr>
                <w:rFonts w:hint="eastAsia" w:ascii="宋体" w:hAnsi="宋体" w:eastAsia="宋体" w:cs="Times New Roman"/>
                <w:color w:val="auto"/>
                <w:szCs w:val="21"/>
                <w:highlight w:val="none"/>
              </w:rPr>
              <w:sym w:font="Wingdings" w:char="00FE"/>
            </w:r>
            <w:r>
              <w:rPr>
                <w:rFonts w:hint="eastAsia" w:ascii="宋体" w:hAnsi="宋体" w:eastAsia="宋体" w:cs="Times New Roman"/>
                <w:color w:val="auto"/>
                <w:szCs w:val="21"/>
                <w:highlight w:val="none"/>
              </w:rPr>
              <w:t xml:space="preserve">(1)投标供应商提供的产品取得两个及以上优先采购产品认证的，评审时只有其中一项产品能够享受优先采购优惠（投标供应商自行选择，并在响应文件中并填报相关信息及数据） </w:t>
            </w:r>
          </w:p>
          <w:p w14:paraId="1B4A8171">
            <w:pPr>
              <w:adjustRightInd w:val="0"/>
              <w:snapToGrid w:val="0"/>
              <w:spacing w:after="0" w:line="360" w:lineRule="exact"/>
              <w:ind w:left="210" w:hanging="210" w:hangingChars="100"/>
              <w:rPr>
                <w:rFonts w:hint="eastAsia" w:ascii="宋体" w:hAnsi="宋体" w:eastAsia="宋体" w:cs="Times New Roman"/>
                <w:color w:val="auto"/>
                <w:szCs w:val="21"/>
                <w:highlight w:val="none"/>
              </w:rPr>
            </w:pPr>
            <w:r>
              <w:rPr>
                <w:rFonts w:hint="eastAsia" w:ascii="宋体" w:hAnsi="宋体" w:eastAsia="宋体" w:cs="Times New Roman"/>
                <w:color w:val="auto"/>
                <w:szCs w:val="21"/>
                <w:highlight w:val="none"/>
              </w:rPr>
              <w:t>(2)小型和微型企业 的价格评审优惠可以与同时属于“节能产品”、“环境标志产品”中的一项优先采购优惠累加计算。</w:t>
            </w:r>
          </w:p>
        </w:tc>
      </w:tr>
      <w:tr w14:paraId="6EF3A167">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11" w:hRule="atLeast"/>
        </w:trPr>
        <w:tc>
          <w:tcPr>
            <w:tcW w:w="1073" w:type="dxa"/>
            <w:vMerge w:val="continue"/>
            <w:vAlign w:val="center"/>
          </w:tcPr>
          <w:p w14:paraId="20300292">
            <w:pPr>
              <w:adjustRightInd w:val="0"/>
              <w:snapToGrid w:val="0"/>
              <w:spacing w:after="0" w:line="360" w:lineRule="exact"/>
              <w:ind w:left="210" w:hanging="210" w:hangingChars="100"/>
              <w:rPr>
                <w:rFonts w:hint="eastAsia" w:ascii="宋体" w:hAnsi="宋体" w:eastAsia="宋体" w:cs="Times New Roman"/>
                <w:color w:val="auto"/>
                <w:szCs w:val="21"/>
                <w:highlight w:val="none"/>
              </w:rPr>
            </w:pPr>
          </w:p>
        </w:tc>
        <w:tc>
          <w:tcPr>
            <w:tcW w:w="1521" w:type="dxa"/>
            <w:vAlign w:val="center"/>
          </w:tcPr>
          <w:p w14:paraId="6E2ADCBF">
            <w:pPr>
              <w:adjustRightInd w:val="0"/>
              <w:snapToGrid w:val="0"/>
              <w:spacing w:after="0" w:line="360" w:lineRule="exact"/>
              <w:ind w:left="210" w:hanging="210" w:hangingChars="100"/>
              <w:rPr>
                <w:rFonts w:hint="eastAsia" w:ascii="宋体" w:hAnsi="宋体" w:eastAsia="宋体" w:cs="Times New Roman"/>
                <w:color w:val="auto"/>
                <w:szCs w:val="21"/>
                <w:highlight w:val="none"/>
              </w:rPr>
            </w:pPr>
            <w:r>
              <w:rPr>
                <w:rFonts w:hint="eastAsia" w:ascii="宋体" w:hAnsi="宋体" w:eastAsia="宋体" w:cs="Times New Roman"/>
                <w:color w:val="auto"/>
                <w:szCs w:val="21"/>
                <w:highlight w:val="none"/>
              </w:rPr>
              <w:t>技术、价格分值调整计算方法</w:t>
            </w:r>
          </w:p>
        </w:tc>
        <w:tc>
          <w:tcPr>
            <w:tcW w:w="6247" w:type="dxa"/>
            <w:tcBorders>
              <w:top w:val="single" w:color="auto" w:sz="4" w:space="0"/>
              <w:bottom w:val="single" w:color="auto" w:sz="6" w:space="0"/>
            </w:tcBorders>
            <w:vAlign w:val="center"/>
          </w:tcPr>
          <w:p w14:paraId="6D6DFB6B">
            <w:pPr>
              <w:adjustRightInd w:val="0"/>
              <w:snapToGrid w:val="0"/>
              <w:spacing w:after="0" w:line="360" w:lineRule="exact"/>
              <w:ind w:left="210" w:hanging="210" w:hangingChars="100"/>
              <w:rPr>
                <w:rFonts w:hint="eastAsia" w:ascii="宋体" w:hAnsi="宋体" w:eastAsia="宋体" w:cs="Times New Roman"/>
                <w:color w:val="auto"/>
                <w:szCs w:val="21"/>
                <w:highlight w:val="none"/>
              </w:rPr>
            </w:pPr>
            <w:r>
              <w:rPr>
                <w:rFonts w:hint="eastAsia" w:ascii="宋体" w:hAnsi="宋体" w:eastAsia="宋体" w:cs="Times New Roman"/>
                <w:color w:val="auto"/>
                <w:szCs w:val="21"/>
                <w:highlight w:val="none"/>
              </w:rPr>
              <w:t>1、节能产品：</w:t>
            </w:r>
          </w:p>
          <w:p w14:paraId="77220A95">
            <w:pPr>
              <w:adjustRightInd w:val="0"/>
              <w:snapToGrid w:val="0"/>
              <w:spacing w:after="0" w:line="360" w:lineRule="exact"/>
              <w:ind w:left="210" w:hanging="210" w:hangingChars="100"/>
              <w:rPr>
                <w:rFonts w:hint="eastAsia" w:ascii="宋体" w:hAnsi="宋体" w:eastAsia="宋体" w:cs="Times New Roman"/>
                <w:color w:val="auto"/>
                <w:szCs w:val="21"/>
                <w:highlight w:val="none"/>
              </w:rPr>
            </w:pPr>
            <w:r>
              <w:rPr>
                <w:rFonts w:hint="eastAsia" w:ascii="宋体" w:hAnsi="宋体" w:eastAsia="宋体" w:cs="Times New Roman"/>
                <w:color w:val="auto"/>
                <w:szCs w:val="21"/>
                <w:highlight w:val="none"/>
              </w:rPr>
              <w:t>技术加分＝技术分值× 加分比例×（节能产品报价÷总报价）；</w:t>
            </w:r>
          </w:p>
          <w:p w14:paraId="3AF7DF8D">
            <w:pPr>
              <w:adjustRightInd w:val="0"/>
              <w:snapToGrid w:val="0"/>
              <w:spacing w:after="0" w:line="360" w:lineRule="exact"/>
              <w:ind w:left="210" w:hanging="210" w:hangingChars="100"/>
              <w:rPr>
                <w:rFonts w:hint="eastAsia" w:ascii="宋体" w:hAnsi="宋体" w:eastAsia="宋体" w:cs="Times New Roman"/>
                <w:color w:val="auto"/>
                <w:szCs w:val="21"/>
                <w:highlight w:val="none"/>
              </w:rPr>
            </w:pPr>
            <w:r>
              <w:rPr>
                <w:rFonts w:hint="eastAsia" w:ascii="宋体" w:hAnsi="宋体" w:eastAsia="宋体" w:cs="Times New Roman"/>
                <w:color w:val="auto"/>
                <w:szCs w:val="21"/>
                <w:highlight w:val="none"/>
              </w:rPr>
              <w:t>价格加分＝价格分值×加分比例×（节能产品报价÷总报价）。</w:t>
            </w:r>
          </w:p>
          <w:p w14:paraId="151F2EB4">
            <w:pPr>
              <w:adjustRightInd w:val="0"/>
              <w:snapToGrid w:val="0"/>
              <w:spacing w:after="0" w:line="360" w:lineRule="exact"/>
              <w:ind w:left="210" w:hanging="210" w:hangingChars="100"/>
              <w:rPr>
                <w:rFonts w:hint="eastAsia" w:ascii="宋体" w:hAnsi="宋体" w:eastAsia="宋体" w:cs="Times New Roman"/>
                <w:color w:val="auto"/>
                <w:szCs w:val="21"/>
                <w:highlight w:val="none"/>
              </w:rPr>
            </w:pPr>
            <w:r>
              <w:rPr>
                <w:rFonts w:hint="eastAsia" w:ascii="宋体" w:hAnsi="宋体" w:eastAsia="宋体" w:cs="Times New Roman"/>
                <w:color w:val="auto"/>
                <w:szCs w:val="21"/>
                <w:highlight w:val="none"/>
              </w:rPr>
              <w:t>2、环境标志产品：</w:t>
            </w:r>
          </w:p>
          <w:p w14:paraId="7D66C688">
            <w:pPr>
              <w:adjustRightInd w:val="0"/>
              <w:snapToGrid w:val="0"/>
              <w:spacing w:after="0" w:line="360" w:lineRule="exact"/>
              <w:ind w:left="210" w:hanging="210" w:hangingChars="100"/>
              <w:rPr>
                <w:rFonts w:hint="eastAsia" w:ascii="宋体" w:hAnsi="宋体" w:eastAsia="宋体" w:cs="Times New Roman"/>
                <w:color w:val="auto"/>
                <w:szCs w:val="21"/>
                <w:highlight w:val="none"/>
              </w:rPr>
            </w:pPr>
            <w:r>
              <w:rPr>
                <w:rFonts w:hint="eastAsia" w:ascii="宋体" w:hAnsi="宋体" w:eastAsia="宋体" w:cs="Times New Roman"/>
                <w:color w:val="auto"/>
                <w:szCs w:val="21"/>
                <w:highlight w:val="none"/>
              </w:rPr>
              <w:t>技术加分＝技术分值×加分比例×（环境标志产品报价÷总报价）；</w:t>
            </w:r>
          </w:p>
          <w:p w14:paraId="3C175D79">
            <w:pPr>
              <w:adjustRightInd w:val="0"/>
              <w:snapToGrid w:val="0"/>
              <w:spacing w:after="0" w:line="360" w:lineRule="exact"/>
              <w:ind w:left="210" w:hanging="210" w:hangingChars="100"/>
              <w:rPr>
                <w:rFonts w:hint="eastAsia" w:ascii="宋体" w:hAnsi="宋体" w:eastAsia="宋体" w:cs="Times New Roman"/>
                <w:color w:val="auto"/>
                <w:szCs w:val="21"/>
                <w:highlight w:val="none"/>
              </w:rPr>
            </w:pPr>
            <w:r>
              <w:rPr>
                <w:rFonts w:hint="eastAsia" w:ascii="宋体" w:hAnsi="宋体" w:eastAsia="宋体" w:cs="Times New Roman"/>
                <w:color w:val="auto"/>
                <w:szCs w:val="21"/>
                <w:highlight w:val="none"/>
              </w:rPr>
              <w:t>价格加分＝价格分值×加分比例×（环境标志产品报价÷总报价）。</w:t>
            </w:r>
          </w:p>
        </w:tc>
      </w:tr>
      <w:tr w14:paraId="606BB3CF">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127" w:hRule="atLeast"/>
        </w:trPr>
        <w:tc>
          <w:tcPr>
            <w:tcW w:w="1073" w:type="dxa"/>
            <w:tcBorders>
              <w:top w:val="single" w:color="auto" w:sz="6" w:space="0"/>
              <w:bottom w:val="single" w:color="auto" w:sz="6" w:space="0"/>
            </w:tcBorders>
            <w:vAlign w:val="center"/>
          </w:tcPr>
          <w:p w14:paraId="0C76B855">
            <w:pPr>
              <w:adjustRightInd w:val="0"/>
              <w:snapToGrid w:val="0"/>
              <w:spacing w:before="156" w:beforeLines="50" w:line="360" w:lineRule="auto"/>
              <w:jc w:val="center"/>
              <w:rPr>
                <w:rFonts w:hint="eastAsia" w:ascii="宋体" w:hAnsi="宋体"/>
                <w:szCs w:val="21"/>
              </w:rPr>
            </w:pPr>
            <w:r>
              <w:rPr>
                <w:rFonts w:hint="eastAsia" w:ascii="宋体" w:hAnsi="宋体"/>
                <w:szCs w:val="21"/>
              </w:rPr>
              <w:t>第6.2</w:t>
            </w:r>
            <w:r>
              <w:rPr>
                <w:rFonts w:hint="eastAsia" w:ascii="宋体" w:hAnsi="宋体" w:cs="宋体"/>
                <w:kern w:val="0"/>
                <w:szCs w:val="21"/>
                <w:lang w:val="zh-CN"/>
              </w:rPr>
              <w:t>款</w:t>
            </w:r>
          </w:p>
        </w:tc>
        <w:tc>
          <w:tcPr>
            <w:tcW w:w="1521" w:type="dxa"/>
            <w:vMerge w:val="restart"/>
            <w:tcBorders>
              <w:top w:val="single" w:color="auto" w:sz="6" w:space="0"/>
              <w:right w:val="single" w:color="auto" w:sz="6" w:space="0"/>
            </w:tcBorders>
            <w:vAlign w:val="center"/>
          </w:tcPr>
          <w:p w14:paraId="498960D9">
            <w:pPr>
              <w:adjustRightInd w:val="0"/>
              <w:snapToGrid w:val="0"/>
              <w:spacing w:before="156" w:beforeLines="50" w:line="360" w:lineRule="auto"/>
              <w:jc w:val="center"/>
              <w:rPr>
                <w:rFonts w:hint="eastAsia" w:ascii="宋体" w:hAnsi="宋体"/>
                <w:szCs w:val="21"/>
              </w:rPr>
            </w:pPr>
            <w:r>
              <w:rPr>
                <w:rFonts w:hint="eastAsia" w:ascii="宋体" w:hAnsi="宋体"/>
                <w:szCs w:val="21"/>
              </w:rPr>
              <w:t>中标候选人并列的确定中标人的方式</w:t>
            </w:r>
          </w:p>
        </w:tc>
        <w:tc>
          <w:tcPr>
            <w:tcW w:w="6247" w:type="dxa"/>
            <w:tcBorders>
              <w:top w:val="single" w:color="auto" w:sz="6" w:space="0"/>
              <w:left w:val="single" w:color="auto" w:sz="6" w:space="0"/>
              <w:bottom w:val="single" w:color="auto" w:sz="6" w:space="0"/>
              <w:right w:val="double" w:color="auto" w:sz="4" w:space="0"/>
            </w:tcBorders>
            <w:vAlign w:val="center"/>
          </w:tcPr>
          <w:p w14:paraId="029890BC">
            <w:pPr>
              <w:adjustRightInd w:val="0"/>
              <w:snapToGrid w:val="0"/>
              <w:spacing w:after="0" w:line="360" w:lineRule="exact"/>
              <w:ind w:left="210" w:hanging="210" w:hangingChars="100"/>
              <w:rPr>
                <w:rFonts w:hint="eastAsia" w:ascii="宋体" w:hAnsi="宋体" w:eastAsia="宋体" w:cs="Times New Roman"/>
                <w:color w:val="auto"/>
                <w:szCs w:val="21"/>
                <w:highlight w:val="none"/>
              </w:rPr>
            </w:pPr>
            <w:r>
              <w:rPr>
                <w:rFonts w:hint="eastAsia" w:ascii="宋体" w:hAnsi="宋体" w:eastAsia="宋体" w:cs="Times New Roman"/>
                <w:color w:val="auto"/>
                <w:szCs w:val="21"/>
                <w:highlight w:val="none"/>
              </w:rPr>
              <w:t>综合评分法（依次采取下述方式）</w:t>
            </w:r>
          </w:p>
          <w:p w14:paraId="35CD21AD">
            <w:pPr>
              <w:adjustRightInd w:val="0"/>
              <w:snapToGrid w:val="0"/>
              <w:spacing w:after="0" w:line="360" w:lineRule="exact"/>
              <w:ind w:left="210" w:hanging="210" w:hangingChars="100"/>
              <w:rPr>
                <w:rFonts w:hint="eastAsia" w:ascii="宋体" w:hAnsi="宋体" w:eastAsia="宋体" w:cs="Times New Roman"/>
                <w:color w:val="auto"/>
                <w:szCs w:val="21"/>
                <w:highlight w:val="none"/>
              </w:rPr>
            </w:pPr>
            <w:r>
              <w:rPr>
                <w:rFonts w:hint="eastAsia" w:ascii="宋体" w:hAnsi="宋体" w:eastAsia="宋体" w:cs="Times New Roman"/>
                <w:color w:val="auto"/>
                <w:szCs w:val="21"/>
                <w:highlight w:val="none"/>
              </w:rPr>
              <w:sym w:font="Wingdings" w:char="00FE"/>
            </w:r>
            <w:r>
              <w:rPr>
                <w:rFonts w:hint="eastAsia" w:ascii="宋体" w:hAnsi="宋体" w:eastAsia="宋体" w:cs="Times New Roman"/>
                <w:color w:val="auto"/>
                <w:szCs w:val="21"/>
                <w:highlight w:val="none"/>
              </w:rPr>
              <w:t>报价最低</w:t>
            </w:r>
          </w:p>
          <w:p w14:paraId="4256E5CB">
            <w:pPr>
              <w:adjustRightInd w:val="0"/>
              <w:snapToGrid w:val="0"/>
              <w:spacing w:after="0" w:line="360" w:lineRule="exact"/>
              <w:ind w:left="210" w:hanging="210" w:hangingChars="100"/>
              <w:rPr>
                <w:rFonts w:hint="eastAsia" w:ascii="宋体" w:hAnsi="宋体" w:eastAsia="宋体" w:cs="Times New Roman"/>
                <w:color w:val="auto"/>
                <w:szCs w:val="21"/>
                <w:highlight w:val="none"/>
              </w:rPr>
            </w:pPr>
            <w:r>
              <w:rPr>
                <w:rFonts w:hint="eastAsia" w:ascii="宋体" w:hAnsi="宋体" w:eastAsia="宋体" w:cs="Times New Roman"/>
                <w:color w:val="auto"/>
                <w:szCs w:val="21"/>
                <w:highlight w:val="none"/>
              </w:rPr>
              <w:sym w:font="Wingdings" w:char="00FE"/>
            </w:r>
            <w:r>
              <w:rPr>
                <w:rFonts w:hint="eastAsia" w:ascii="宋体" w:hAnsi="宋体" w:eastAsia="宋体" w:cs="Times New Roman"/>
                <w:color w:val="auto"/>
                <w:szCs w:val="21"/>
                <w:highlight w:val="none"/>
              </w:rPr>
              <w:t>投标报价得分最高</w:t>
            </w:r>
          </w:p>
          <w:p w14:paraId="54185765">
            <w:pPr>
              <w:adjustRightInd w:val="0"/>
              <w:snapToGrid w:val="0"/>
              <w:spacing w:after="0" w:line="360" w:lineRule="exact"/>
              <w:ind w:left="210" w:hanging="210" w:hangingChars="100"/>
              <w:rPr>
                <w:rFonts w:hint="eastAsia" w:ascii="宋体" w:hAnsi="宋体" w:eastAsia="宋体" w:cs="Times New Roman"/>
                <w:color w:val="auto"/>
                <w:szCs w:val="21"/>
                <w:highlight w:val="none"/>
              </w:rPr>
            </w:pPr>
            <w:r>
              <w:rPr>
                <w:rFonts w:hint="eastAsia" w:ascii="宋体" w:hAnsi="宋体" w:eastAsia="宋体" w:cs="Times New Roman"/>
                <w:color w:val="auto"/>
                <w:szCs w:val="21"/>
                <w:highlight w:val="none"/>
              </w:rPr>
              <w:sym w:font="Wingdings" w:char="00FE"/>
            </w:r>
            <w:r>
              <w:rPr>
                <w:rFonts w:hint="eastAsia" w:ascii="宋体" w:hAnsi="宋体" w:eastAsia="宋体" w:cs="Times New Roman"/>
                <w:color w:val="auto"/>
                <w:szCs w:val="21"/>
                <w:highlight w:val="none"/>
              </w:rPr>
              <w:t>技术得分最高</w:t>
            </w:r>
          </w:p>
          <w:p w14:paraId="53849493">
            <w:pPr>
              <w:adjustRightInd w:val="0"/>
              <w:snapToGrid w:val="0"/>
              <w:spacing w:after="0" w:line="360" w:lineRule="exact"/>
              <w:ind w:left="210" w:hanging="210" w:hangingChars="100"/>
              <w:rPr>
                <w:rFonts w:hint="eastAsia" w:ascii="宋体" w:hAnsi="宋体" w:eastAsia="宋体" w:cs="Times New Roman"/>
                <w:color w:val="auto"/>
                <w:szCs w:val="21"/>
                <w:highlight w:val="none"/>
              </w:rPr>
            </w:pPr>
            <w:r>
              <w:rPr>
                <w:rFonts w:hint="eastAsia" w:ascii="宋体" w:hAnsi="宋体" w:eastAsia="宋体" w:cs="Times New Roman"/>
                <w:color w:val="auto"/>
                <w:szCs w:val="21"/>
                <w:highlight w:val="none"/>
              </w:rPr>
              <w:sym w:font="Wingdings" w:char="00FE"/>
            </w:r>
            <w:r>
              <w:rPr>
                <w:rFonts w:hint="eastAsia" w:ascii="宋体" w:hAnsi="宋体" w:eastAsia="宋体" w:cs="Times New Roman"/>
                <w:color w:val="auto"/>
                <w:szCs w:val="21"/>
                <w:highlight w:val="none"/>
              </w:rPr>
              <w:t>商务得分最高</w:t>
            </w:r>
          </w:p>
          <w:p w14:paraId="5F9BEFF3">
            <w:pPr>
              <w:adjustRightInd w:val="0"/>
              <w:snapToGrid w:val="0"/>
              <w:spacing w:after="0" w:line="360" w:lineRule="exact"/>
              <w:ind w:left="210" w:hanging="210" w:hangingChars="100"/>
              <w:rPr>
                <w:rFonts w:hint="eastAsia" w:ascii="宋体" w:hAnsi="宋体" w:eastAsia="宋体" w:cs="Times New Roman"/>
                <w:color w:val="auto"/>
                <w:szCs w:val="21"/>
                <w:highlight w:val="none"/>
              </w:rPr>
            </w:pPr>
            <w:r>
              <w:rPr>
                <w:rFonts w:hint="eastAsia" w:ascii="宋体" w:hAnsi="宋体" w:eastAsia="宋体" w:cs="Times New Roman"/>
                <w:color w:val="auto"/>
                <w:szCs w:val="21"/>
                <w:highlight w:val="none"/>
              </w:rPr>
              <w:sym w:font="Wingdings" w:char="00FE"/>
            </w:r>
            <w:r>
              <w:rPr>
                <w:rFonts w:hint="eastAsia" w:ascii="宋体" w:hAnsi="宋体" w:eastAsia="宋体" w:cs="Times New Roman"/>
                <w:color w:val="auto"/>
                <w:szCs w:val="21"/>
                <w:highlight w:val="none"/>
              </w:rPr>
              <w:t>随机抽取</w:t>
            </w:r>
          </w:p>
          <w:p w14:paraId="24543544">
            <w:pPr>
              <w:adjustRightInd w:val="0"/>
              <w:snapToGrid w:val="0"/>
              <w:spacing w:after="0" w:line="360" w:lineRule="exact"/>
              <w:ind w:left="210" w:hanging="210" w:hangingChars="100"/>
              <w:rPr>
                <w:rFonts w:hint="eastAsia" w:ascii="宋体" w:hAnsi="宋体" w:eastAsia="宋体" w:cs="Times New Roman"/>
                <w:color w:val="auto"/>
                <w:szCs w:val="21"/>
                <w:highlight w:val="none"/>
              </w:rPr>
            </w:pPr>
            <w:r>
              <w:rPr>
                <w:rFonts w:hint="eastAsia" w:ascii="宋体" w:hAnsi="宋体" w:eastAsia="宋体" w:cs="Times New Roman"/>
                <w:color w:val="auto"/>
                <w:szCs w:val="21"/>
                <w:highlight w:val="none"/>
              </w:rPr>
              <w:sym w:font="Wingdings" w:char="00A8"/>
            </w:r>
            <w:r>
              <w:rPr>
                <w:rFonts w:hint="eastAsia" w:ascii="宋体" w:hAnsi="宋体" w:eastAsia="宋体" w:cs="Times New Roman"/>
                <w:color w:val="auto"/>
                <w:szCs w:val="21"/>
                <w:highlight w:val="none"/>
              </w:rPr>
              <w:t>其他：</w:t>
            </w:r>
          </w:p>
        </w:tc>
      </w:tr>
      <w:tr w14:paraId="249D4DF1">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127" w:hRule="atLeast"/>
        </w:trPr>
        <w:tc>
          <w:tcPr>
            <w:tcW w:w="1073" w:type="dxa"/>
            <w:tcBorders>
              <w:top w:val="single" w:color="auto" w:sz="6" w:space="0"/>
              <w:bottom w:val="double" w:color="auto" w:sz="4" w:space="0"/>
            </w:tcBorders>
            <w:vAlign w:val="center"/>
          </w:tcPr>
          <w:p w14:paraId="5CBD99AB">
            <w:pPr>
              <w:adjustRightInd w:val="0"/>
              <w:snapToGrid w:val="0"/>
              <w:spacing w:before="156" w:beforeLines="50" w:line="360" w:lineRule="auto"/>
              <w:jc w:val="center"/>
              <w:rPr>
                <w:rFonts w:hint="eastAsia" w:ascii="宋体" w:hAnsi="宋体"/>
                <w:szCs w:val="21"/>
              </w:rPr>
            </w:pPr>
          </w:p>
        </w:tc>
        <w:tc>
          <w:tcPr>
            <w:tcW w:w="1521" w:type="dxa"/>
            <w:vMerge w:val="continue"/>
            <w:tcBorders>
              <w:bottom w:val="double" w:color="auto" w:sz="4" w:space="0"/>
              <w:right w:val="single" w:color="auto" w:sz="6" w:space="0"/>
            </w:tcBorders>
            <w:vAlign w:val="center"/>
          </w:tcPr>
          <w:p w14:paraId="26742F13">
            <w:pPr>
              <w:adjustRightInd w:val="0"/>
              <w:snapToGrid w:val="0"/>
              <w:spacing w:before="156" w:beforeLines="50" w:line="360" w:lineRule="auto"/>
              <w:jc w:val="center"/>
              <w:rPr>
                <w:rFonts w:hint="eastAsia" w:ascii="宋体" w:hAnsi="宋体"/>
                <w:szCs w:val="21"/>
              </w:rPr>
            </w:pPr>
          </w:p>
        </w:tc>
        <w:tc>
          <w:tcPr>
            <w:tcW w:w="6247" w:type="dxa"/>
            <w:tcBorders>
              <w:top w:val="single" w:color="auto" w:sz="6" w:space="0"/>
              <w:left w:val="single" w:color="auto" w:sz="6" w:space="0"/>
              <w:bottom w:val="double" w:color="auto" w:sz="4" w:space="0"/>
              <w:right w:val="double" w:color="auto" w:sz="4" w:space="0"/>
            </w:tcBorders>
            <w:vAlign w:val="center"/>
          </w:tcPr>
          <w:p w14:paraId="233274C6">
            <w:pPr>
              <w:adjustRightInd w:val="0"/>
              <w:snapToGrid w:val="0"/>
              <w:spacing w:after="0" w:line="360" w:lineRule="exact"/>
              <w:ind w:left="210" w:hanging="210" w:hangingChars="100"/>
              <w:rPr>
                <w:rFonts w:hint="eastAsia" w:ascii="宋体" w:hAnsi="宋体" w:eastAsia="宋体" w:cs="Times New Roman"/>
                <w:color w:val="auto"/>
                <w:szCs w:val="21"/>
                <w:highlight w:val="none"/>
              </w:rPr>
            </w:pPr>
            <w:r>
              <w:rPr>
                <w:rFonts w:hint="eastAsia" w:ascii="宋体" w:hAnsi="宋体" w:eastAsia="宋体" w:cs="Times New Roman"/>
                <w:color w:val="auto"/>
                <w:szCs w:val="21"/>
                <w:highlight w:val="none"/>
              </w:rPr>
              <w:t>最低评标价法</w:t>
            </w:r>
          </w:p>
          <w:p w14:paraId="7B3EACEC">
            <w:pPr>
              <w:adjustRightInd w:val="0"/>
              <w:snapToGrid w:val="0"/>
              <w:spacing w:after="0" w:line="360" w:lineRule="exact"/>
              <w:ind w:left="210" w:hanging="210" w:hangingChars="100"/>
              <w:rPr>
                <w:rFonts w:hint="eastAsia" w:ascii="宋体" w:hAnsi="宋体" w:eastAsia="宋体" w:cs="Times New Roman"/>
                <w:color w:val="auto"/>
                <w:szCs w:val="21"/>
                <w:highlight w:val="none"/>
              </w:rPr>
            </w:pPr>
            <w:r>
              <w:rPr>
                <w:rFonts w:hint="eastAsia" w:ascii="宋体" w:hAnsi="宋体" w:eastAsia="宋体" w:cs="Times New Roman"/>
                <w:color w:val="auto"/>
                <w:szCs w:val="21"/>
                <w:highlight w:val="none"/>
              </w:rPr>
              <w:sym w:font="Wingdings" w:char="00A8"/>
            </w:r>
            <w:r>
              <w:rPr>
                <w:rFonts w:hint="eastAsia" w:ascii="宋体" w:hAnsi="宋体" w:eastAsia="宋体" w:cs="Times New Roman"/>
                <w:color w:val="auto"/>
                <w:szCs w:val="21"/>
                <w:highlight w:val="none"/>
              </w:rPr>
              <w:t>报价最低</w:t>
            </w:r>
          </w:p>
          <w:p w14:paraId="0A0F015D">
            <w:pPr>
              <w:adjustRightInd w:val="0"/>
              <w:snapToGrid w:val="0"/>
              <w:spacing w:after="0" w:line="360" w:lineRule="exact"/>
              <w:ind w:left="210" w:hanging="210" w:hangingChars="100"/>
              <w:rPr>
                <w:rFonts w:hint="eastAsia" w:ascii="宋体" w:hAnsi="宋体" w:eastAsia="宋体" w:cs="Times New Roman"/>
                <w:color w:val="auto"/>
                <w:szCs w:val="21"/>
                <w:highlight w:val="none"/>
              </w:rPr>
            </w:pPr>
            <w:r>
              <w:rPr>
                <w:rFonts w:hint="eastAsia" w:ascii="宋体" w:hAnsi="宋体" w:eastAsia="宋体" w:cs="Times New Roman"/>
                <w:color w:val="auto"/>
                <w:szCs w:val="21"/>
                <w:highlight w:val="none"/>
              </w:rPr>
              <w:sym w:font="Wingdings" w:char="00A8"/>
            </w:r>
            <w:r>
              <w:rPr>
                <w:rFonts w:hint="eastAsia" w:ascii="宋体" w:hAnsi="宋体" w:eastAsia="宋体" w:cs="Times New Roman"/>
                <w:color w:val="auto"/>
                <w:szCs w:val="21"/>
                <w:highlight w:val="none"/>
              </w:rPr>
              <w:t>核心产品报价最低</w:t>
            </w:r>
          </w:p>
        </w:tc>
      </w:tr>
    </w:tbl>
    <w:p w14:paraId="7435B028">
      <w:pPr>
        <w:pStyle w:val="2"/>
        <w:keepNext w:val="0"/>
        <w:keepLines w:val="0"/>
        <w:adjustRightInd w:val="0"/>
        <w:snapToGrid w:val="0"/>
        <w:spacing w:before="156" w:beforeLines="50"/>
        <w:jc w:val="center"/>
        <w:rPr>
          <w:rFonts w:hint="eastAsia" w:ascii="黑体" w:hAnsi="华文中宋" w:eastAsia="黑体"/>
          <w:sz w:val="28"/>
          <w:szCs w:val="28"/>
        </w:rPr>
      </w:pPr>
      <w:r>
        <w:rPr>
          <w:rFonts w:hint="eastAsia" w:ascii="黑体" w:hAnsi="华文中宋" w:eastAsia="黑体"/>
          <w:sz w:val="28"/>
          <w:szCs w:val="28"/>
        </w:rPr>
        <w:br w:type="page"/>
      </w:r>
      <w:bookmarkStart w:id="117" w:name="_Toc9778"/>
      <w:r>
        <w:rPr>
          <w:rFonts w:hint="eastAsia" w:ascii="黑体" w:hAnsi="华文中宋" w:eastAsia="黑体"/>
          <w:sz w:val="28"/>
          <w:szCs w:val="28"/>
        </w:rPr>
        <w:t>第二节 评标方法及标准</w:t>
      </w:r>
      <w:bookmarkEnd w:id="117"/>
    </w:p>
    <w:p w14:paraId="763F65D6">
      <w:pPr>
        <w:pStyle w:val="4"/>
        <w:keepNext w:val="0"/>
        <w:keepLines w:val="0"/>
        <w:adjustRightInd w:val="0"/>
        <w:snapToGrid w:val="0"/>
        <w:spacing w:before="156" w:beforeLines="50" w:after="0" w:line="360" w:lineRule="auto"/>
        <w:rPr>
          <w:rFonts w:hint="eastAsia" w:ascii="黑体" w:hAnsi="黑体" w:eastAsia="黑体"/>
          <w:sz w:val="24"/>
          <w:szCs w:val="24"/>
        </w:rPr>
      </w:pPr>
      <w:bookmarkStart w:id="118" w:name="_Toc433"/>
      <w:r>
        <w:rPr>
          <w:rFonts w:hint="eastAsia" w:ascii="黑体" w:hAnsi="黑体" w:eastAsia="黑体"/>
          <w:sz w:val="24"/>
          <w:szCs w:val="24"/>
        </w:rPr>
        <w:t>1．评标方法</w:t>
      </w:r>
      <w:bookmarkEnd w:id="118"/>
    </w:p>
    <w:p w14:paraId="0F158E60">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1.1综合评分法，指投标文件满足招标文件全部实质性要求，且按照评审因素的量化指标评审得分最高的投标人为中标候选人的评标方法。</w:t>
      </w:r>
    </w:p>
    <w:p w14:paraId="78DDADB8">
      <w:pPr>
        <w:adjustRightInd w:val="0"/>
        <w:snapToGrid w:val="0"/>
        <w:spacing w:before="156" w:beforeLines="50" w:line="360" w:lineRule="auto"/>
        <w:ind w:firstLine="420" w:firstLineChars="200"/>
        <w:jc w:val="left"/>
        <w:rPr>
          <w:rFonts w:hint="eastAsia" w:ascii="宋体" w:hAnsi="宋体"/>
          <w:bCs/>
          <w:szCs w:val="21"/>
        </w:rPr>
      </w:pPr>
      <w:r>
        <w:rPr>
          <w:rFonts w:hint="eastAsia" w:ascii="宋体" w:hAnsi="宋体"/>
          <w:bCs/>
          <w:szCs w:val="21"/>
        </w:rPr>
        <w:t>1.2最低评标价，是指投标文件满足招标文件全部实质性要求，且投标报价最低的投标人为中标候选人的评标方法。</w:t>
      </w:r>
    </w:p>
    <w:p w14:paraId="6DD48177">
      <w:pPr>
        <w:adjustRightInd w:val="0"/>
        <w:snapToGrid w:val="0"/>
        <w:spacing w:before="156" w:beforeLines="50" w:line="360" w:lineRule="auto"/>
        <w:ind w:firstLine="420" w:firstLineChars="200"/>
        <w:jc w:val="left"/>
        <w:rPr>
          <w:rFonts w:hint="eastAsia" w:ascii="宋体" w:hAnsi="宋体"/>
          <w:bCs/>
          <w:szCs w:val="21"/>
        </w:rPr>
      </w:pPr>
      <w:r>
        <w:rPr>
          <w:rFonts w:hint="eastAsia" w:ascii="宋体" w:hAnsi="宋体"/>
          <w:bCs/>
          <w:szCs w:val="21"/>
        </w:rPr>
        <w:t>1.3本采购项目评标方法见本章第一节</w:t>
      </w:r>
      <w:r>
        <w:rPr>
          <w:rFonts w:hint="eastAsia" w:ascii="宋体" w:hAnsi="宋体"/>
          <w:b/>
          <w:szCs w:val="21"/>
        </w:rPr>
        <w:t>【评标方法及标准前附表】</w:t>
      </w:r>
      <w:r>
        <w:rPr>
          <w:rFonts w:hint="eastAsia" w:ascii="宋体" w:hAnsi="宋体"/>
          <w:szCs w:val="21"/>
        </w:rPr>
        <w:t>。</w:t>
      </w:r>
    </w:p>
    <w:p w14:paraId="2B48B4C2">
      <w:pPr>
        <w:pStyle w:val="4"/>
        <w:keepNext w:val="0"/>
        <w:keepLines w:val="0"/>
        <w:adjustRightInd w:val="0"/>
        <w:snapToGrid w:val="0"/>
        <w:spacing w:before="156" w:beforeLines="50" w:after="0" w:line="360" w:lineRule="auto"/>
        <w:rPr>
          <w:rFonts w:hint="eastAsia" w:ascii="黑体" w:hAnsi="黑体" w:eastAsia="黑体"/>
          <w:bCs w:val="0"/>
          <w:sz w:val="24"/>
          <w:szCs w:val="24"/>
        </w:rPr>
      </w:pPr>
      <w:bookmarkStart w:id="119" w:name="_Toc2979"/>
      <w:r>
        <w:rPr>
          <w:rFonts w:hint="eastAsia" w:ascii="黑体" w:hAnsi="黑体" w:eastAsia="黑体"/>
          <w:bCs w:val="0"/>
          <w:sz w:val="24"/>
          <w:szCs w:val="24"/>
        </w:rPr>
        <w:t>2．评标程序</w:t>
      </w:r>
      <w:bookmarkEnd w:id="119"/>
    </w:p>
    <w:p w14:paraId="2F833A57">
      <w:pPr>
        <w:adjustRightInd w:val="0"/>
        <w:snapToGrid w:val="0"/>
        <w:spacing w:before="156" w:beforeLines="50" w:line="360" w:lineRule="auto"/>
        <w:ind w:firstLine="420" w:firstLineChars="200"/>
        <w:jc w:val="left"/>
        <w:rPr>
          <w:rFonts w:hint="eastAsia" w:ascii="宋体" w:hAnsi="宋体"/>
          <w:bCs/>
          <w:szCs w:val="21"/>
        </w:rPr>
      </w:pPr>
      <w:r>
        <w:rPr>
          <w:rFonts w:hint="eastAsia" w:ascii="宋体" w:hAnsi="宋体"/>
          <w:bCs/>
          <w:szCs w:val="21"/>
        </w:rPr>
        <w:t>2.1评标程序分为投标文件符合性审查、澄清有关问题、比较和评价、推荐中标候选人。</w:t>
      </w:r>
    </w:p>
    <w:p w14:paraId="14152922">
      <w:pPr>
        <w:pStyle w:val="4"/>
        <w:keepNext w:val="0"/>
        <w:keepLines w:val="0"/>
        <w:adjustRightInd w:val="0"/>
        <w:snapToGrid w:val="0"/>
        <w:spacing w:before="156" w:beforeLines="50" w:after="0" w:line="360" w:lineRule="auto"/>
        <w:rPr>
          <w:rFonts w:hint="eastAsia" w:ascii="黑体" w:hAnsi="黑体" w:eastAsia="黑体"/>
          <w:bCs w:val="0"/>
          <w:sz w:val="24"/>
          <w:szCs w:val="24"/>
        </w:rPr>
      </w:pPr>
      <w:bookmarkStart w:id="120" w:name="_Toc18610"/>
      <w:r>
        <w:rPr>
          <w:rFonts w:hint="eastAsia" w:ascii="黑体" w:hAnsi="黑体" w:eastAsia="黑体"/>
          <w:bCs w:val="0"/>
          <w:sz w:val="24"/>
          <w:szCs w:val="24"/>
        </w:rPr>
        <w:t>3．投标文件的符合性审查</w:t>
      </w:r>
      <w:bookmarkEnd w:id="120"/>
    </w:p>
    <w:p w14:paraId="00004A91">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3.1资格审查结束后，评标委员会依法按照本章第三节“投标文件的符合性审查”规定进行投标文件符合性审查。</w:t>
      </w:r>
    </w:p>
    <w:p w14:paraId="2B51F9BD">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3.2符合性审查合格投标人少于3家的，应予废标。</w:t>
      </w:r>
    </w:p>
    <w:p w14:paraId="64D7885E">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3.3单一产品采购项目：提供相同品牌产品的不同投标人参加同一合同项下投标的，按一家投标人计算。提供不同品牌产品的投标人不足三家的，应予废标。</w:t>
      </w:r>
    </w:p>
    <w:p w14:paraId="4B669E67">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3.4非单一产品采购项目：采购人或者采购代理机构将在</w:t>
      </w:r>
      <w:r>
        <w:rPr>
          <w:rFonts w:hint="eastAsia" w:ascii="宋体" w:hAnsi="宋体"/>
          <w:b/>
          <w:szCs w:val="21"/>
        </w:rPr>
        <w:t>【评标方法及标准前附表】</w:t>
      </w:r>
      <w:r>
        <w:rPr>
          <w:rFonts w:hint="eastAsia" w:ascii="宋体" w:hAnsi="宋体"/>
          <w:szCs w:val="21"/>
        </w:rPr>
        <w:t>中载明核心产品。多家投标人提供的核心产品品牌相同的，视为相同品牌，按本章本节第3.3款规定处理。</w:t>
      </w:r>
    </w:p>
    <w:p w14:paraId="452DF0E9">
      <w:pPr>
        <w:pStyle w:val="4"/>
        <w:keepNext w:val="0"/>
        <w:keepLines w:val="0"/>
        <w:adjustRightInd w:val="0"/>
        <w:snapToGrid w:val="0"/>
        <w:spacing w:before="156" w:beforeLines="50" w:after="0" w:line="360" w:lineRule="auto"/>
        <w:rPr>
          <w:rFonts w:hint="eastAsia" w:ascii="黑体" w:hAnsi="黑体" w:eastAsia="黑体"/>
          <w:bCs w:val="0"/>
          <w:sz w:val="24"/>
          <w:szCs w:val="24"/>
        </w:rPr>
      </w:pPr>
      <w:bookmarkStart w:id="121" w:name="_Toc12356"/>
      <w:r>
        <w:rPr>
          <w:rFonts w:hint="eastAsia" w:ascii="黑体" w:hAnsi="黑体" w:eastAsia="黑体"/>
          <w:bCs w:val="0"/>
          <w:sz w:val="24"/>
          <w:szCs w:val="24"/>
        </w:rPr>
        <w:t>4．投标文件的澄清</w:t>
      </w:r>
      <w:bookmarkEnd w:id="121"/>
    </w:p>
    <w:p w14:paraId="234C9D45">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4.1对于投标文件中含义不明确、同类问题表述不一致或者有明显文字和计算错误的内容，评标委员会应当以书面形式要求投标人作出必要的澄清、说明或者补正。</w:t>
      </w:r>
    </w:p>
    <w:p w14:paraId="1A97EB8B">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4.2投标文件的投标报价出现前后不一致的，除</w:t>
      </w:r>
      <w:r>
        <w:rPr>
          <w:rFonts w:hint="eastAsia" w:ascii="宋体" w:hAnsi="宋体"/>
          <w:b/>
          <w:szCs w:val="21"/>
        </w:rPr>
        <w:t>【评标方法及标准前附表】</w:t>
      </w:r>
      <w:r>
        <w:rPr>
          <w:rFonts w:hint="eastAsia" w:ascii="宋体" w:hAnsi="宋体"/>
          <w:szCs w:val="21"/>
        </w:rPr>
        <w:t>另有规定外，按照下列规定修正：</w:t>
      </w:r>
    </w:p>
    <w:p w14:paraId="5D4E3AFC">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（1）投标文件中开标一览表内容与投标文件中相应内容不一致的，以开标一览表为准；</w:t>
      </w:r>
    </w:p>
    <w:p w14:paraId="309CC805">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（2）大写金额和小写金额不一致的，以大写金额为准；</w:t>
      </w:r>
    </w:p>
    <w:p w14:paraId="01B6B31B">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（3）单价金额小数点或者百分比有明显错位的，以开标一览表的总价为准，并修改单价；</w:t>
      </w:r>
    </w:p>
    <w:p w14:paraId="1DA7D3FA">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（4）总价金额与按单价汇总金额不一致的，以单价金额计算结果为准。</w:t>
      </w:r>
    </w:p>
    <w:p w14:paraId="3C6FCBA0">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4.3投标文件报价同时出现两种以上不一致的，按照前款规定的顺序修正。修正后的报价由投标人代表签字或者加盖单位章确认后产生约束力，投标人不确认的，其投标无效。</w:t>
      </w:r>
    </w:p>
    <w:p w14:paraId="4695BD58">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4.4投标人的澄清、说明或者补正应当采用书面形式，并加盖公章，或者由法定代表人或其授权的代表签字，并按评标委员会的通知要求递交。投标人的澄清、说明或者补正不得超出投标文件的范围或者改变投标文件的实质性内容。</w:t>
      </w:r>
    </w:p>
    <w:p w14:paraId="1E0843DB">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4.5有效的书面澄清材料，是投标文件的补充材料，成为投标文件的组成部分。</w:t>
      </w:r>
    </w:p>
    <w:p w14:paraId="34243F46">
      <w:pPr>
        <w:adjustRightInd w:val="0"/>
        <w:snapToGrid w:val="0"/>
        <w:spacing w:line="360" w:lineRule="auto"/>
        <w:ind w:firstLine="420" w:firstLineChars="200"/>
        <w:rPr>
          <w:rFonts w:hint="eastAsia" w:ascii="宋体" w:hAnsi="宋体" w:eastAsia="宋体" w:cs="Times New Roman"/>
          <w:color w:val="auto"/>
          <w:szCs w:val="21"/>
          <w:highlight w:val="none"/>
        </w:rPr>
      </w:pPr>
      <w:r>
        <w:rPr>
          <w:rFonts w:hint="eastAsia" w:ascii="宋体" w:hAnsi="宋体"/>
          <w:szCs w:val="21"/>
          <w:highlight w:val="none"/>
        </w:rPr>
        <w:t>4.6</w:t>
      </w:r>
      <w:r>
        <w:rPr>
          <w:rFonts w:hint="eastAsia" w:ascii="宋体" w:hAnsi="宋体" w:eastAsia="宋体" w:cs="Times New Roman"/>
          <w:color w:val="auto"/>
          <w:szCs w:val="21"/>
          <w:highlight w:val="none"/>
          <w:lang w:val="en-US" w:eastAsia="zh-CN"/>
        </w:rPr>
        <w:t>投标报价</w:t>
      </w:r>
      <w:r>
        <w:rPr>
          <w:rFonts w:hint="eastAsia" w:ascii="宋体" w:hAnsi="宋体" w:eastAsia="宋体" w:cs="Times New Roman"/>
          <w:color w:val="auto"/>
          <w:szCs w:val="21"/>
          <w:highlight w:val="none"/>
        </w:rPr>
        <w:t>中出现下列情形之一的，评审委员会应当启动异常低价投标（响应）审查程序：　　</w:t>
      </w:r>
    </w:p>
    <w:p w14:paraId="02AEB215">
      <w:pPr>
        <w:adjustRightInd w:val="0"/>
        <w:snapToGrid w:val="0"/>
        <w:spacing w:line="360" w:lineRule="auto"/>
        <w:ind w:firstLine="420" w:firstLineChars="200"/>
        <w:rPr>
          <w:rFonts w:hint="eastAsia" w:ascii="宋体" w:hAnsi="宋体" w:eastAsia="宋体" w:cs="Times New Roman"/>
          <w:color w:val="auto"/>
          <w:szCs w:val="21"/>
          <w:highlight w:val="none"/>
        </w:rPr>
      </w:pPr>
      <w:r>
        <w:rPr>
          <w:rFonts w:hint="eastAsia" w:ascii="宋体" w:hAnsi="宋体" w:eastAsia="宋体" w:cs="Times New Roman"/>
          <w:color w:val="auto"/>
          <w:szCs w:val="21"/>
          <w:highlight w:val="none"/>
          <w:lang w:eastAsia="zh-CN"/>
        </w:rPr>
        <w:t>（</w:t>
      </w:r>
      <w:r>
        <w:rPr>
          <w:rFonts w:hint="eastAsia" w:ascii="宋体" w:hAnsi="宋体" w:eastAsia="宋体" w:cs="Times New Roman"/>
          <w:color w:val="auto"/>
          <w:szCs w:val="21"/>
          <w:highlight w:val="none"/>
          <w:lang w:val="en-US" w:eastAsia="zh-CN"/>
        </w:rPr>
        <w:t>1</w:t>
      </w:r>
      <w:r>
        <w:rPr>
          <w:rFonts w:hint="eastAsia" w:ascii="宋体" w:hAnsi="宋体" w:eastAsia="宋体" w:cs="Times New Roman"/>
          <w:color w:val="auto"/>
          <w:szCs w:val="21"/>
          <w:highlight w:val="none"/>
          <w:lang w:eastAsia="zh-CN"/>
        </w:rPr>
        <w:t>）</w:t>
      </w:r>
      <w:r>
        <w:rPr>
          <w:rFonts w:hint="eastAsia" w:ascii="宋体" w:hAnsi="宋体" w:eastAsia="宋体" w:cs="Times New Roman"/>
          <w:color w:val="auto"/>
          <w:szCs w:val="21"/>
          <w:highlight w:val="none"/>
        </w:rPr>
        <w:t>投标（响应）报价低于全部通过符合性审查供应商投标（响应）报价平均值50%的，即投标（响应）报价&lt;全部通过符合性审查供应商投标（响应）报价平均值×50%； </w:t>
      </w:r>
    </w:p>
    <w:p w14:paraId="22528207">
      <w:pPr>
        <w:adjustRightInd w:val="0"/>
        <w:snapToGrid w:val="0"/>
        <w:spacing w:line="360" w:lineRule="auto"/>
        <w:ind w:firstLine="420" w:firstLineChars="200"/>
        <w:rPr>
          <w:rFonts w:hint="eastAsia" w:ascii="宋体" w:hAnsi="宋体" w:eastAsia="宋体" w:cs="Times New Roman"/>
          <w:color w:val="auto"/>
          <w:szCs w:val="21"/>
          <w:highlight w:val="none"/>
        </w:rPr>
      </w:pPr>
      <w:r>
        <w:rPr>
          <w:rFonts w:hint="eastAsia" w:ascii="宋体" w:hAnsi="宋体" w:eastAsia="宋体" w:cs="Times New Roman"/>
          <w:color w:val="auto"/>
          <w:szCs w:val="21"/>
          <w:highlight w:val="none"/>
          <w:lang w:eastAsia="zh-CN"/>
        </w:rPr>
        <w:t>（</w:t>
      </w:r>
      <w:r>
        <w:rPr>
          <w:rFonts w:hint="eastAsia" w:ascii="宋体" w:hAnsi="宋体" w:eastAsia="宋体" w:cs="Times New Roman"/>
          <w:color w:val="auto"/>
          <w:szCs w:val="21"/>
          <w:highlight w:val="none"/>
          <w:lang w:val="en-US" w:eastAsia="zh-CN"/>
        </w:rPr>
        <w:t>2</w:t>
      </w:r>
      <w:r>
        <w:rPr>
          <w:rFonts w:hint="eastAsia" w:ascii="宋体" w:hAnsi="宋体" w:eastAsia="宋体" w:cs="Times New Roman"/>
          <w:color w:val="auto"/>
          <w:szCs w:val="21"/>
          <w:highlight w:val="none"/>
          <w:lang w:eastAsia="zh-CN"/>
        </w:rPr>
        <w:t>）</w:t>
      </w:r>
      <w:r>
        <w:rPr>
          <w:rFonts w:hint="eastAsia" w:ascii="宋体" w:hAnsi="宋体" w:eastAsia="宋体" w:cs="Times New Roman"/>
          <w:color w:val="auto"/>
          <w:szCs w:val="21"/>
          <w:highlight w:val="none"/>
        </w:rPr>
        <w:t>投标（响应）报价低于通过符合性审查的次低报价供应商投标（响应）报价50%的，即投标（响应）报价&lt;通过符合性审查的次低报价供应商投标（响应）报价×50%； </w:t>
      </w:r>
    </w:p>
    <w:p w14:paraId="41A7110B">
      <w:pPr>
        <w:adjustRightInd w:val="0"/>
        <w:snapToGrid w:val="0"/>
        <w:spacing w:line="360" w:lineRule="auto"/>
        <w:ind w:firstLine="420" w:firstLineChars="200"/>
        <w:rPr>
          <w:rFonts w:hint="eastAsia" w:ascii="宋体" w:hAnsi="宋体" w:eastAsia="宋体" w:cs="Times New Roman"/>
          <w:color w:val="auto"/>
          <w:szCs w:val="21"/>
          <w:highlight w:val="none"/>
        </w:rPr>
      </w:pPr>
      <w:r>
        <w:rPr>
          <w:rFonts w:hint="eastAsia" w:ascii="宋体" w:hAnsi="宋体" w:eastAsia="宋体" w:cs="Times New Roman"/>
          <w:color w:val="auto"/>
          <w:szCs w:val="21"/>
          <w:highlight w:val="none"/>
          <w:lang w:eastAsia="zh-CN"/>
        </w:rPr>
        <w:t>（</w:t>
      </w:r>
      <w:r>
        <w:rPr>
          <w:rFonts w:hint="eastAsia" w:ascii="宋体" w:hAnsi="宋体" w:eastAsia="宋体" w:cs="Times New Roman"/>
          <w:color w:val="auto"/>
          <w:szCs w:val="21"/>
          <w:highlight w:val="none"/>
          <w:lang w:val="en-US" w:eastAsia="zh-CN"/>
        </w:rPr>
        <w:t>3</w:t>
      </w:r>
      <w:r>
        <w:rPr>
          <w:rFonts w:hint="eastAsia" w:ascii="宋体" w:hAnsi="宋体" w:eastAsia="宋体" w:cs="Times New Roman"/>
          <w:color w:val="auto"/>
          <w:szCs w:val="21"/>
          <w:highlight w:val="none"/>
          <w:lang w:eastAsia="zh-CN"/>
        </w:rPr>
        <w:t>）</w:t>
      </w:r>
      <w:r>
        <w:rPr>
          <w:rFonts w:hint="eastAsia" w:ascii="宋体" w:hAnsi="宋体" w:eastAsia="宋体" w:cs="Times New Roman"/>
          <w:color w:val="auto"/>
          <w:szCs w:val="21"/>
          <w:highlight w:val="none"/>
        </w:rPr>
        <w:t>投标（响应）报价低于采购项目最高限价45%的，即投标（响应）报价&lt;采购项目最高限价×45%； </w:t>
      </w:r>
    </w:p>
    <w:p w14:paraId="463B86A5">
      <w:pPr>
        <w:adjustRightInd w:val="0"/>
        <w:snapToGrid w:val="0"/>
        <w:spacing w:line="360" w:lineRule="auto"/>
        <w:ind w:firstLine="420" w:firstLineChars="200"/>
        <w:rPr>
          <w:rFonts w:hint="eastAsia" w:ascii="宋体" w:hAnsi="宋体" w:eastAsia="宋体" w:cs="Times New Roman"/>
          <w:color w:val="auto"/>
          <w:szCs w:val="21"/>
          <w:highlight w:val="none"/>
        </w:rPr>
      </w:pPr>
      <w:r>
        <w:rPr>
          <w:rFonts w:hint="eastAsia" w:ascii="宋体" w:hAnsi="宋体" w:eastAsia="宋体" w:cs="Times New Roman"/>
          <w:color w:val="auto"/>
          <w:szCs w:val="21"/>
          <w:highlight w:val="none"/>
          <w:lang w:eastAsia="zh-CN"/>
        </w:rPr>
        <w:t>（</w:t>
      </w:r>
      <w:r>
        <w:rPr>
          <w:rFonts w:hint="eastAsia" w:ascii="宋体" w:hAnsi="宋体" w:eastAsia="宋体" w:cs="Times New Roman"/>
          <w:color w:val="auto"/>
          <w:szCs w:val="21"/>
          <w:highlight w:val="none"/>
          <w:lang w:val="en-US" w:eastAsia="zh-CN"/>
        </w:rPr>
        <w:t>4</w:t>
      </w:r>
      <w:r>
        <w:rPr>
          <w:rFonts w:hint="eastAsia" w:ascii="宋体" w:hAnsi="宋体" w:eastAsia="宋体" w:cs="Times New Roman"/>
          <w:color w:val="auto"/>
          <w:szCs w:val="21"/>
          <w:highlight w:val="none"/>
          <w:lang w:eastAsia="zh-CN"/>
        </w:rPr>
        <w:t>）</w:t>
      </w:r>
      <w:r>
        <w:rPr>
          <w:rFonts w:hint="eastAsia" w:ascii="宋体" w:hAnsi="宋体" w:eastAsia="宋体" w:cs="Times New Roman"/>
          <w:color w:val="auto"/>
          <w:szCs w:val="21"/>
          <w:highlight w:val="none"/>
        </w:rPr>
        <w:t>评审委员会基于专业判断，认为供应商报价过低，有可能影响产品质量或者不能诚信履约的其他情形。</w:t>
      </w:r>
    </w:p>
    <w:p w14:paraId="2557A82B">
      <w:pPr>
        <w:adjustRightInd w:val="0"/>
        <w:snapToGrid w:val="0"/>
        <w:spacing w:line="360" w:lineRule="auto"/>
        <w:ind w:firstLine="420" w:firstLineChars="200"/>
        <w:rPr>
          <w:rFonts w:hint="eastAsia" w:ascii="宋体" w:hAnsi="宋体" w:eastAsia="宋体" w:cs="Times New Roman"/>
          <w:color w:val="auto"/>
          <w:szCs w:val="21"/>
          <w:highlight w:val="none"/>
        </w:rPr>
      </w:pPr>
      <w:r>
        <w:rPr>
          <w:rFonts w:hint="eastAsia" w:ascii="宋体" w:hAnsi="宋体" w:eastAsia="宋体" w:cs="Times New Roman"/>
          <w:color w:val="auto"/>
          <w:szCs w:val="21"/>
          <w:highlight w:val="none"/>
        </w:rPr>
        <w:t>采购人可以结合具体项目实际情况，提高上述第1项至第3项中启动异常低价投标（响应）审查的数值标准，但是最高不得超过65%。 </w:t>
      </w:r>
    </w:p>
    <w:p w14:paraId="455C3E94">
      <w:pPr>
        <w:adjustRightInd w:val="0"/>
        <w:snapToGrid w:val="0"/>
        <w:spacing w:line="360" w:lineRule="auto"/>
        <w:ind w:firstLine="420" w:firstLineChars="200"/>
        <w:rPr>
          <w:rFonts w:hint="eastAsia" w:ascii="宋体" w:hAnsi="宋体" w:eastAsia="宋体" w:cs="Times New Roman"/>
          <w:color w:val="auto"/>
          <w:szCs w:val="21"/>
          <w:highlight w:val="none"/>
        </w:rPr>
      </w:pPr>
      <w:r>
        <w:rPr>
          <w:rFonts w:hint="eastAsia" w:ascii="宋体" w:hAnsi="宋体" w:eastAsia="宋体" w:cs="Times New Roman"/>
          <w:color w:val="auto"/>
          <w:szCs w:val="21"/>
          <w:highlight w:val="none"/>
        </w:rPr>
        <w:t>相关法律法规对供应商报价有规定的，从其规定。 </w:t>
      </w:r>
    </w:p>
    <w:p w14:paraId="040A8EEB">
      <w:pPr>
        <w:adjustRightInd w:val="0"/>
        <w:snapToGrid w:val="0"/>
        <w:spacing w:line="360" w:lineRule="auto"/>
        <w:ind w:firstLine="420" w:firstLineChars="200"/>
        <w:rPr>
          <w:rFonts w:hint="eastAsia" w:ascii="宋体" w:hAnsi="宋体" w:eastAsia="宋体" w:cs="Times New Roman"/>
          <w:color w:val="auto"/>
          <w:szCs w:val="21"/>
          <w:highlight w:val="none"/>
        </w:rPr>
      </w:pPr>
      <w:r>
        <w:rPr>
          <w:rFonts w:hint="eastAsia" w:ascii="宋体" w:hAnsi="宋体" w:eastAsia="宋体" w:cs="Times New Roman"/>
          <w:color w:val="auto"/>
          <w:szCs w:val="21"/>
          <w:highlight w:val="none"/>
          <w:lang w:val="en-US" w:eastAsia="zh-CN"/>
        </w:rPr>
        <w:t>4.7</w:t>
      </w:r>
      <w:r>
        <w:rPr>
          <w:rFonts w:hint="eastAsia" w:ascii="宋体" w:hAnsi="宋体" w:eastAsia="宋体" w:cs="Times New Roman"/>
          <w:color w:val="auto"/>
          <w:szCs w:val="21"/>
          <w:highlight w:val="none"/>
        </w:rPr>
        <w:t>评审委员会启动异常低价投标（响应）审查后，属于</w:t>
      </w:r>
      <w:r>
        <w:rPr>
          <w:rFonts w:hint="eastAsia" w:ascii="宋体" w:hAnsi="宋体" w:eastAsia="宋体" w:cs="Times New Roman"/>
          <w:color w:val="auto"/>
          <w:szCs w:val="21"/>
          <w:highlight w:val="none"/>
          <w:lang w:val="en-US" w:eastAsia="zh-CN"/>
        </w:rPr>
        <w:t>4.6款</w:t>
      </w:r>
      <w:r>
        <w:rPr>
          <w:rFonts w:hint="eastAsia" w:ascii="宋体" w:hAnsi="宋体" w:eastAsia="宋体" w:cs="Times New Roman"/>
          <w:color w:val="auto"/>
          <w:szCs w:val="21"/>
          <w:highlight w:val="none"/>
        </w:rPr>
        <w:t>第1项至第4项情形的，应当要求相关供应商在评审现场合理的时间内对投标（响应）价格作出解释，提供项目具体成本测算等与报价合理性相关的书面说明及必要的证明材料，包括但不限于原材料成本、人工成本、制造费用等，给予相关供应商的合理时间一般不少于30分钟。其中，属于第3项情形，供应商已随投标（响应）文件一并提交相关书面说明及必要的证明材料的，在评审现场可不再重复提交。 </w:t>
      </w:r>
    </w:p>
    <w:p w14:paraId="6F21F3E2">
      <w:pPr>
        <w:adjustRightInd w:val="0"/>
        <w:snapToGrid w:val="0"/>
        <w:spacing w:line="360" w:lineRule="auto"/>
        <w:ind w:firstLine="420" w:firstLineChars="200"/>
        <w:rPr>
          <w:rFonts w:hint="eastAsia" w:ascii="宋体" w:hAnsi="宋体" w:eastAsia="宋体" w:cs="Times New Roman"/>
          <w:color w:val="auto"/>
          <w:szCs w:val="21"/>
          <w:highlight w:val="none"/>
        </w:rPr>
      </w:pPr>
      <w:r>
        <w:rPr>
          <w:rFonts w:hint="eastAsia" w:ascii="宋体" w:hAnsi="宋体" w:eastAsia="宋体" w:cs="Times New Roman"/>
          <w:color w:val="auto"/>
          <w:szCs w:val="21"/>
          <w:highlight w:val="none"/>
          <w:lang w:val="en-US" w:eastAsia="zh-CN"/>
        </w:rPr>
        <w:t>4.8</w:t>
      </w:r>
      <w:r>
        <w:rPr>
          <w:rFonts w:hint="eastAsia" w:ascii="宋体" w:hAnsi="宋体" w:eastAsia="宋体" w:cs="Times New Roman"/>
          <w:color w:val="auto"/>
          <w:szCs w:val="21"/>
          <w:highlight w:val="none"/>
        </w:rPr>
        <w:t>评审委员会依据专业经验，参考同类项目中标（成交）价格、类似产品市场价格水平、行业人工费用标准、国家有关部门指导行业协会发布的行业平均成本等情况，对报价合理性进行判断。投标（响应）供应商不能提供书面说明、证明材料，或者提供的书面说明、证明材料不能证明其报价合理性的，评审委员会应当将其作为无效投标（响应）处理。 </w:t>
      </w:r>
    </w:p>
    <w:p w14:paraId="79DF50B7">
      <w:pPr>
        <w:adjustRightInd w:val="0"/>
        <w:snapToGrid w:val="0"/>
        <w:spacing w:line="360" w:lineRule="auto"/>
        <w:ind w:firstLine="420" w:firstLineChars="200"/>
        <w:rPr>
          <w:rFonts w:hint="eastAsia" w:ascii="宋体" w:hAnsi="宋体" w:eastAsia="宋体" w:cs="Times New Roman"/>
          <w:color w:val="auto"/>
          <w:szCs w:val="21"/>
          <w:highlight w:val="none"/>
        </w:rPr>
      </w:pPr>
      <w:r>
        <w:rPr>
          <w:rFonts w:hint="eastAsia" w:ascii="宋体" w:hAnsi="宋体" w:eastAsia="宋体" w:cs="Times New Roman"/>
          <w:color w:val="auto"/>
          <w:szCs w:val="21"/>
          <w:highlight w:val="none"/>
          <w:lang w:val="en-US" w:eastAsia="zh-CN"/>
        </w:rPr>
        <w:t>4.9</w:t>
      </w:r>
      <w:r>
        <w:rPr>
          <w:rFonts w:hint="eastAsia" w:ascii="宋体" w:hAnsi="宋体" w:eastAsia="宋体" w:cs="Times New Roman"/>
          <w:color w:val="auto"/>
          <w:szCs w:val="21"/>
          <w:highlight w:val="none"/>
        </w:rPr>
        <w:t>采购人、采购代理机构应当为评审委员会在评审现场及时获取同类项目中标（成交）价格、类似产品市场价格水平、行业人工费用标准、国家有关部门指导行业协会发布的行业平均成本等相关信息资料提供便利。 </w:t>
      </w:r>
    </w:p>
    <w:p w14:paraId="18AC4DEF">
      <w:pPr>
        <w:adjustRightInd w:val="0"/>
        <w:snapToGrid w:val="0"/>
        <w:spacing w:before="156" w:beforeLines="50" w:line="360" w:lineRule="auto"/>
        <w:ind w:firstLine="420" w:firstLineChars="200"/>
        <w:jc w:val="left"/>
        <w:rPr>
          <w:rFonts w:hint="eastAsia" w:ascii="宋体" w:hAnsi="宋体"/>
          <w:szCs w:val="21"/>
          <w:highlight w:val="none"/>
        </w:rPr>
      </w:pPr>
      <w:r>
        <w:rPr>
          <w:rFonts w:hint="eastAsia" w:ascii="宋体" w:hAnsi="宋体" w:eastAsia="宋体" w:cs="Times New Roman"/>
          <w:color w:val="auto"/>
          <w:szCs w:val="21"/>
          <w:highlight w:val="none"/>
          <w:lang w:val="en-US" w:eastAsia="zh-CN"/>
        </w:rPr>
        <w:t>4.10</w:t>
      </w:r>
      <w:r>
        <w:rPr>
          <w:rFonts w:hint="eastAsia" w:ascii="宋体" w:hAnsi="宋体" w:eastAsia="宋体" w:cs="Times New Roman"/>
          <w:color w:val="auto"/>
          <w:szCs w:val="21"/>
          <w:highlight w:val="none"/>
        </w:rPr>
        <w:t>异常低价投标（响应）审查的启动原因、审查意见和审查结果应当在评审报告中记录，并随供应商提供的相关书面说明及证明材料</w:t>
      </w:r>
      <w:r>
        <w:rPr>
          <w:rFonts w:hint="eastAsia" w:ascii="宋体" w:hAnsi="宋体"/>
          <w:szCs w:val="21"/>
          <w:highlight w:val="none"/>
        </w:rPr>
        <w:t>。</w:t>
      </w:r>
    </w:p>
    <w:p w14:paraId="2EAFA4B4">
      <w:pPr>
        <w:pStyle w:val="4"/>
        <w:keepNext w:val="0"/>
        <w:keepLines w:val="0"/>
        <w:adjustRightInd w:val="0"/>
        <w:snapToGrid w:val="0"/>
        <w:spacing w:before="156" w:beforeLines="50" w:after="0" w:line="360" w:lineRule="auto"/>
        <w:rPr>
          <w:rFonts w:hint="eastAsia" w:ascii="黑体" w:hAnsi="黑体" w:eastAsia="黑体"/>
          <w:bCs w:val="0"/>
          <w:sz w:val="24"/>
          <w:szCs w:val="24"/>
        </w:rPr>
      </w:pPr>
      <w:bookmarkStart w:id="122" w:name="_Toc20220"/>
      <w:r>
        <w:rPr>
          <w:rFonts w:hint="eastAsia" w:ascii="黑体" w:hAnsi="黑体" w:eastAsia="黑体"/>
          <w:bCs w:val="0"/>
          <w:sz w:val="24"/>
          <w:szCs w:val="24"/>
        </w:rPr>
        <w:t>5．投标文件的比较与评价</w:t>
      </w:r>
      <w:bookmarkEnd w:id="122"/>
    </w:p>
    <w:p w14:paraId="2D81DD48">
      <w:pPr>
        <w:adjustRightInd w:val="0"/>
        <w:snapToGrid w:val="0"/>
        <w:spacing w:before="156" w:beforeLines="50" w:line="360" w:lineRule="auto"/>
        <w:ind w:firstLine="420" w:firstLineChars="200"/>
        <w:jc w:val="left"/>
        <w:rPr>
          <w:rFonts w:hint="eastAsia" w:ascii="宋体" w:hAnsi="宋体"/>
          <w:bCs/>
          <w:szCs w:val="21"/>
        </w:rPr>
      </w:pPr>
      <w:r>
        <w:rPr>
          <w:rFonts w:hint="eastAsia" w:ascii="宋体" w:hAnsi="宋体"/>
          <w:bCs/>
          <w:szCs w:val="21"/>
        </w:rPr>
        <w:t>5.1评标委员会依法按照本章第三节“投标文件的比较与评价”规定，对资格性检查和符合性检查合格的投标文件进行比较和评价。</w:t>
      </w:r>
    </w:p>
    <w:p w14:paraId="6B6C01B0">
      <w:pPr>
        <w:adjustRightInd w:val="0"/>
        <w:snapToGrid w:val="0"/>
        <w:spacing w:before="156" w:beforeLines="50" w:line="360" w:lineRule="auto"/>
        <w:ind w:firstLine="420" w:firstLineChars="200"/>
        <w:jc w:val="left"/>
        <w:rPr>
          <w:rFonts w:hint="eastAsia" w:ascii="宋体" w:hAnsi="宋体"/>
          <w:bCs/>
          <w:szCs w:val="21"/>
        </w:rPr>
      </w:pPr>
      <w:r>
        <w:rPr>
          <w:rFonts w:hint="eastAsia" w:ascii="宋体" w:hAnsi="宋体"/>
          <w:bCs/>
          <w:szCs w:val="21"/>
        </w:rPr>
        <w:t>5.2单一产品采购项目：</w:t>
      </w:r>
    </w:p>
    <w:p w14:paraId="6F27E964">
      <w:pPr>
        <w:adjustRightInd w:val="0"/>
        <w:snapToGrid w:val="0"/>
        <w:spacing w:before="156" w:beforeLines="50" w:line="360" w:lineRule="auto"/>
        <w:ind w:firstLine="420" w:firstLineChars="200"/>
        <w:jc w:val="left"/>
        <w:rPr>
          <w:rFonts w:hint="eastAsia" w:ascii="宋体" w:hAnsi="宋体"/>
          <w:bCs/>
          <w:szCs w:val="21"/>
        </w:rPr>
      </w:pPr>
      <w:r>
        <w:rPr>
          <w:rFonts w:hint="eastAsia" w:ascii="宋体" w:hAnsi="宋体"/>
          <w:szCs w:val="21"/>
        </w:rPr>
        <w:t>（1）最低评标价法：</w:t>
      </w:r>
      <w:r>
        <w:rPr>
          <w:rFonts w:hint="eastAsia" w:ascii="宋体" w:hAnsi="宋体"/>
          <w:bCs/>
          <w:szCs w:val="21"/>
        </w:rPr>
        <w:t>提供相同品牌产品的不同投标人参加同一合同项下投标的，以其中通过资格审查、符合性审查且报价最低的参加评标，其他投标无效；报价相同的，按照</w:t>
      </w:r>
      <w:r>
        <w:rPr>
          <w:rFonts w:hint="eastAsia" w:ascii="宋体" w:hAnsi="宋体"/>
          <w:b/>
          <w:bCs/>
          <w:szCs w:val="21"/>
        </w:rPr>
        <w:t>【评标方法及标准前附表】</w:t>
      </w:r>
      <w:r>
        <w:rPr>
          <w:rFonts w:hint="eastAsia" w:ascii="宋体" w:hAnsi="宋体"/>
          <w:bCs/>
          <w:szCs w:val="21"/>
        </w:rPr>
        <w:t>规定的方式确定一个参加评标的投标人，招标文件未规定的采取随机抽取方式确定，其他</w:t>
      </w:r>
      <w:r>
        <w:rPr>
          <w:rFonts w:hint="eastAsia" w:ascii="宋体" w:hAnsi="宋体"/>
          <w:b/>
          <w:bCs/>
          <w:szCs w:val="21"/>
        </w:rPr>
        <w:t>投标无效</w:t>
      </w:r>
      <w:r>
        <w:rPr>
          <w:rFonts w:hint="eastAsia" w:ascii="宋体" w:hAnsi="宋体"/>
          <w:bCs/>
          <w:szCs w:val="21"/>
        </w:rPr>
        <w:t>。</w:t>
      </w:r>
    </w:p>
    <w:p w14:paraId="53C0BC33">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（2）综合评分法：提供相同品牌产品且通过资格审查、符合性审查的不同投标人参加同一合同项下投标的，评审后得分最高的同品牌投标人获得中标人推荐资格；评审得分相同的，按照</w:t>
      </w:r>
      <w:r>
        <w:rPr>
          <w:rFonts w:hint="eastAsia" w:ascii="宋体" w:hAnsi="宋体"/>
          <w:b/>
          <w:szCs w:val="21"/>
        </w:rPr>
        <w:t>【评标方法及标准前附表】</w:t>
      </w:r>
      <w:r>
        <w:rPr>
          <w:rFonts w:hint="eastAsia" w:ascii="宋体" w:hAnsi="宋体"/>
          <w:szCs w:val="21"/>
        </w:rPr>
        <w:t>规定的方式确定一个投标人获得中标人推荐资格，招标文件未规定的采取随机抽取方式确定，其他同品牌投标人</w:t>
      </w:r>
      <w:r>
        <w:rPr>
          <w:rFonts w:hint="eastAsia" w:ascii="宋体" w:hAnsi="宋体"/>
          <w:b/>
          <w:szCs w:val="21"/>
        </w:rPr>
        <w:t>不作为中标候选人</w:t>
      </w:r>
      <w:r>
        <w:rPr>
          <w:rFonts w:hint="eastAsia" w:ascii="宋体" w:hAnsi="宋体"/>
          <w:szCs w:val="21"/>
        </w:rPr>
        <w:t>。</w:t>
      </w:r>
    </w:p>
    <w:p w14:paraId="3850DD39">
      <w:pPr>
        <w:adjustRightInd w:val="0"/>
        <w:snapToGrid w:val="0"/>
        <w:spacing w:before="156" w:beforeLines="50" w:line="360" w:lineRule="auto"/>
        <w:ind w:firstLine="420" w:firstLineChars="200"/>
        <w:jc w:val="left"/>
        <w:rPr>
          <w:rFonts w:hint="eastAsia" w:ascii="宋体" w:hAnsi="宋体"/>
          <w:bCs/>
          <w:szCs w:val="21"/>
        </w:rPr>
      </w:pPr>
      <w:r>
        <w:rPr>
          <w:rFonts w:hint="eastAsia" w:ascii="宋体" w:hAnsi="宋体"/>
          <w:bCs/>
          <w:szCs w:val="21"/>
        </w:rPr>
        <w:t>5.3非单一产品采购项目：多家投标人提供的核心产品品牌相同的，视为相同品牌，按本章本节第 5.2 款规定处理。</w:t>
      </w:r>
    </w:p>
    <w:p w14:paraId="6BA370E2">
      <w:pPr>
        <w:adjustRightInd w:val="0"/>
        <w:snapToGrid w:val="0"/>
        <w:spacing w:before="156" w:beforeLines="50" w:line="360" w:lineRule="auto"/>
        <w:ind w:firstLine="420" w:firstLineChars="200"/>
        <w:jc w:val="left"/>
        <w:rPr>
          <w:rFonts w:hint="eastAsia" w:ascii="宋体" w:hAnsi="宋体"/>
          <w:bCs/>
          <w:szCs w:val="21"/>
        </w:rPr>
      </w:pPr>
      <w:r>
        <w:rPr>
          <w:rFonts w:hint="eastAsia" w:ascii="宋体" w:hAnsi="宋体"/>
          <w:bCs/>
          <w:szCs w:val="21"/>
        </w:rPr>
        <w:t>5.4政府采购政策：</w:t>
      </w:r>
    </w:p>
    <w:p w14:paraId="6CD481FC">
      <w:pPr>
        <w:adjustRightInd w:val="0"/>
        <w:snapToGrid w:val="0"/>
        <w:spacing w:before="156" w:beforeLines="50" w:line="360" w:lineRule="auto"/>
        <w:ind w:firstLine="420" w:firstLineChars="200"/>
        <w:jc w:val="left"/>
        <w:rPr>
          <w:rFonts w:hint="eastAsia" w:ascii="宋体" w:hAnsi="宋体"/>
          <w:bCs/>
          <w:szCs w:val="21"/>
        </w:rPr>
      </w:pPr>
      <w:r>
        <w:rPr>
          <w:rFonts w:hint="eastAsia" w:ascii="宋体" w:hAnsi="宋体"/>
          <w:szCs w:val="21"/>
        </w:rPr>
        <w:t>（1）</w:t>
      </w:r>
      <w:r>
        <w:rPr>
          <w:rFonts w:hint="eastAsia" w:ascii="宋体" w:hAnsi="宋体"/>
          <w:bCs/>
          <w:szCs w:val="21"/>
        </w:rPr>
        <w:t>价格评审优惠：评审时</w:t>
      </w:r>
      <w:r>
        <w:rPr>
          <w:rFonts w:hint="eastAsia" w:ascii="宋体" w:hAnsi="宋体"/>
          <w:szCs w:val="21"/>
        </w:rPr>
        <w:t>按</w:t>
      </w:r>
      <w:r>
        <w:rPr>
          <w:rFonts w:hint="eastAsia" w:ascii="宋体" w:hAnsi="宋体"/>
          <w:b/>
          <w:szCs w:val="21"/>
        </w:rPr>
        <w:t>【评标方法及标准前附表】</w:t>
      </w:r>
      <w:r>
        <w:rPr>
          <w:rFonts w:hint="eastAsia" w:ascii="宋体" w:hAnsi="宋体"/>
          <w:szCs w:val="21"/>
        </w:rPr>
        <w:t>及第二章“投标须知”的相关规定给予相应比例的价格折扣。</w:t>
      </w:r>
    </w:p>
    <w:p w14:paraId="4CDCA196">
      <w:pPr>
        <w:adjustRightInd w:val="0"/>
        <w:snapToGrid w:val="0"/>
        <w:spacing w:before="156" w:beforeLines="50" w:line="360" w:lineRule="auto"/>
        <w:ind w:firstLine="420" w:firstLineChars="200"/>
        <w:jc w:val="left"/>
        <w:rPr>
          <w:rFonts w:hint="eastAsia" w:ascii="宋体" w:hAnsi="宋体"/>
          <w:bCs/>
          <w:szCs w:val="21"/>
        </w:rPr>
      </w:pPr>
      <w:r>
        <w:rPr>
          <w:rFonts w:hint="eastAsia" w:ascii="宋体" w:hAnsi="宋体"/>
          <w:szCs w:val="21"/>
        </w:rPr>
        <w:t>（2）优先采购：</w:t>
      </w:r>
      <w:r>
        <w:rPr>
          <w:rFonts w:hint="eastAsia" w:ascii="宋体" w:hAnsi="宋体"/>
          <w:bCs/>
          <w:szCs w:val="21"/>
        </w:rPr>
        <w:t>评审时按</w:t>
      </w:r>
      <w:r>
        <w:rPr>
          <w:rFonts w:hint="eastAsia" w:ascii="宋体" w:hAnsi="宋体"/>
          <w:b/>
          <w:szCs w:val="21"/>
        </w:rPr>
        <w:t>【评标方法及标准前附表】</w:t>
      </w:r>
      <w:r>
        <w:rPr>
          <w:rFonts w:hint="eastAsia" w:ascii="宋体" w:hAnsi="宋体"/>
          <w:bCs/>
          <w:szCs w:val="21"/>
        </w:rPr>
        <w:t>及第二章</w:t>
      </w:r>
      <w:r>
        <w:rPr>
          <w:rFonts w:hint="eastAsia" w:ascii="宋体" w:hAnsi="宋体"/>
          <w:szCs w:val="21"/>
        </w:rPr>
        <w:t>“投标须知”</w:t>
      </w:r>
      <w:r>
        <w:rPr>
          <w:rFonts w:hint="eastAsia" w:ascii="宋体" w:hAnsi="宋体"/>
          <w:bCs/>
          <w:szCs w:val="21"/>
        </w:rPr>
        <w:t>的相关规定给予相应比例的价格折扣或者加分。</w:t>
      </w:r>
    </w:p>
    <w:p w14:paraId="45F89447">
      <w:pPr>
        <w:pStyle w:val="4"/>
        <w:keepNext w:val="0"/>
        <w:keepLines w:val="0"/>
        <w:adjustRightInd w:val="0"/>
        <w:snapToGrid w:val="0"/>
        <w:spacing w:before="156" w:beforeLines="50" w:after="0" w:line="360" w:lineRule="auto"/>
        <w:rPr>
          <w:rFonts w:hint="eastAsia" w:ascii="黑体" w:hAnsi="黑体" w:eastAsia="黑体"/>
          <w:sz w:val="24"/>
          <w:szCs w:val="24"/>
        </w:rPr>
      </w:pPr>
      <w:bookmarkStart w:id="123" w:name="_Toc7547"/>
      <w:r>
        <w:rPr>
          <w:rFonts w:hint="eastAsia" w:ascii="黑体" w:hAnsi="黑体" w:eastAsia="黑体"/>
          <w:bCs w:val="0"/>
          <w:sz w:val="24"/>
          <w:szCs w:val="24"/>
        </w:rPr>
        <w:t>6．</w:t>
      </w:r>
      <w:r>
        <w:rPr>
          <w:rFonts w:hint="eastAsia" w:ascii="黑体" w:hAnsi="黑体" w:eastAsia="黑体"/>
          <w:sz w:val="24"/>
          <w:szCs w:val="24"/>
        </w:rPr>
        <w:t>推荐中标候选人</w:t>
      </w:r>
      <w:bookmarkEnd w:id="123"/>
    </w:p>
    <w:p w14:paraId="0198C167">
      <w:pPr>
        <w:adjustRightInd w:val="0"/>
        <w:snapToGrid w:val="0"/>
        <w:spacing w:before="156" w:beforeLines="50" w:line="360" w:lineRule="auto"/>
        <w:ind w:firstLine="420" w:firstLineChars="200"/>
        <w:jc w:val="left"/>
        <w:rPr>
          <w:rFonts w:hint="eastAsia" w:ascii="宋体" w:hAnsi="宋体"/>
          <w:bCs/>
          <w:szCs w:val="21"/>
        </w:rPr>
      </w:pPr>
      <w:r>
        <w:rPr>
          <w:rFonts w:hint="eastAsia" w:ascii="宋体" w:hAnsi="宋体"/>
          <w:szCs w:val="21"/>
        </w:rPr>
        <w:t>6.1最低评标价法：</w:t>
      </w:r>
      <w:r>
        <w:rPr>
          <w:rFonts w:hint="eastAsia" w:ascii="宋体" w:hAnsi="宋体"/>
          <w:bCs/>
          <w:szCs w:val="21"/>
        </w:rPr>
        <w:t>评标结果按算术修正和落实政府采购政策需进行的价格扣除后的投标报价由低到高顺序排列。报价相同的并列，按</w:t>
      </w:r>
      <w:r>
        <w:rPr>
          <w:rFonts w:hint="eastAsia" w:ascii="宋体" w:hAnsi="宋体"/>
          <w:b/>
          <w:szCs w:val="21"/>
        </w:rPr>
        <w:t>【评标方法及标准前附表】</w:t>
      </w:r>
      <w:r>
        <w:rPr>
          <w:rFonts w:hint="eastAsia" w:ascii="宋体" w:hAnsi="宋体"/>
          <w:szCs w:val="21"/>
        </w:rPr>
        <w:t>规定的方式确定中标人；</w:t>
      </w:r>
      <w:r>
        <w:rPr>
          <w:rFonts w:hint="eastAsia" w:ascii="宋体" w:hAnsi="宋体"/>
          <w:bCs/>
          <w:szCs w:val="21"/>
        </w:rPr>
        <w:t>招标文件未规定的，采取随机抽取的方式确定。</w:t>
      </w:r>
    </w:p>
    <w:p w14:paraId="291479C0">
      <w:pPr>
        <w:adjustRightInd w:val="0"/>
        <w:snapToGrid w:val="0"/>
        <w:spacing w:before="156" w:beforeLines="50" w:line="360" w:lineRule="auto"/>
        <w:ind w:firstLine="420" w:firstLineChars="200"/>
        <w:jc w:val="left"/>
        <w:rPr>
          <w:rFonts w:hint="eastAsia" w:ascii="宋体" w:hAnsi="宋体"/>
          <w:bCs/>
          <w:szCs w:val="21"/>
        </w:rPr>
      </w:pPr>
      <w:r>
        <w:rPr>
          <w:rFonts w:hint="eastAsia" w:ascii="宋体" w:hAnsi="宋体"/>
          <w:bCs/>
          <w:szCs w:val="21"/>
        </w:rPr>
        <w:t>6.2综合评分法：评标结果按评审后得分由高到低顺序排列。得分相同的，按投标报价由低到高顺序排列。得分且投标报价相同的并列，按</w:t>
      </w:r>
      <w:r>
        <w:rPr>
          <w:rFonts w:hint="eastAsia" w:ascii="宋体" w:hAnsi="宋体"/>
          <w:b/>
          <w:bCs/>
          <w:szCs w:val="21"/>
        </w:rPr>
        <w:t>【评标方法及标准前附表】</w:t>
      </w:r>
      <w:r>
        <w:rPr>
          <w:rFonts w:hint="eastAsia" w:ascii="宋体" w:hAnsi="宋体"/>
          <w:bCs/>
          <w:szCs w:val="21"/>
        </w:rPr>
        <w:t>规定的方式确定中标人；招标文件未规定的，采取随机抽取的方式确定。</w:t>
      </w:r>
    </w:p>
    <w:p w14:paraId="3571D3B2">
      <w:pPr>
        <w:pStyle w:val="4"/>
        <w:keepNext w:val="0"/>
        <w:keepLines w:val="0"/>
        <w:adjustRightInd w:val="0"/>
        <w:snapToGrid w:val="0"/>
        <w:spacing w:before="156" w:beforeLines="50" w:after="0" w:line="360" w:lineRule="auto"/>
        <w:rPr>
          <w:rFonts w:hint="eastAsia" w:ascii="黑体" w:hAnsi="黑体" w:eastAsia="黑体"/>
          <w:sz w:val="24"/>
          <w:szCs w:val="24"/>
        </w:rPr>
      </w:pPr>
      <w:bookmarkStart w:id="124" w:name="_Toc28986"/>
      <w:r>
        <w:rPr>
          <w:rFonts w:hint="eastAsia" w:ascii="黑体" w:hAnsi="黑体" w:eastAsia="黑体"/>
          <w:bCs w:val="0"/>
          <w:sz w:val="24"/>
          <w:szCs w:val="24"/>
        </w:rPr>
        <w:t>7．</w:t>
      </w:r>
      <w:r>
        <w:rPr>
          <w:rFonts w:hint="eastAsia" w:ascii="黑体" w:hAnsi="黑体" w:eastAsia="黑体"/>
          <w:sz w:val="24"/>
          <w:szCs w:val="24"/>
        </w:rPr>
        <w:t>编写评标报告</w:t>
      </w:r>
      <w:bookmarkEnd w:id="124"/>
    </w:p>
    <w:p w14:paraId="0FAA70CF">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7.1评标</w:t>
      </w:r>
      <w:r>
        <w:rPr>
          <w:rFonts w:hint="eastAsia" w:ascii="宋体" w:hAnsi="宋体"/>
          <w:bCs/>
          <w:szCs w:val="21"/>
        </w:rPr>
        <w:t>委员会</w:t>
      </w:r>
      <w:r>
        <w:rPr>
          <w:rFonts w:hint="eastAsia" w:ascii="宋体" w:hAnsi="宋体"/>
          <w:szCs w:val="21"/>
        </w:rPr>
        <w:t>根据全体评标成员签字的原始评标记录和评标结果编写评标报告。</w:t>
      </w:r>
    </w:p>
    <w:p w14:paraId="019567DB">
      <w:pPr>
        <w:adjustRightInd w:val="0"/>
        <w:snapToGrid w:val="0"/>
        <w:spacing w:before="156" w:beforeLines="50" w:line="360" w:lineRule="auto"/>
        <w:ind w:firstLine="420" w:firstLineChars="200"/>
        <w:jc w:val="left"/>
        <w:rPr>
          <w:rFonts w:hint="eastAsia" w:ascii="宋体" w:hAnsi="宋体"/>
          <w:bCs/>
          <w:szCs w:val="21"/>
        </w:rPr>
      </w:pPr>
      <w:r>
        <w:rPr>
          <w:rFonts w:hint="eastAsia" w:ascii="宋体" w:hAnsi="宋体"/>
          <w:szCs w:val="21"/>
        </w:rPr>
        <w:t>7.2</w:t>
      </w:r>
      <w:r>
        <w:rPr>
          <w:rFonts w:hint="eastAsia" w:ascii="宋体" w:hAnsi="宋体"/>
          <w:bCs/>
          <w:szCs w:val="21"/>
        </w:rPr>
        <w:t>评标委员会成员对需要共同认定的事项存在争议的，应当按照少数服从多数的原则作出结论。持不同意见的评标委员会成员应当在评标报告上签署不同意见及理由，否则视为同意评标报告。</w:t>
      </w:r>
    </w:p>
    <w:p w14:paraId="70C334AD">
      <w:pPr>
        <w:pStyle w:val="4"/>
        <w:keepNext w:val="0"/>
        <w:keepLines w:val="0"/>
        <w:adjustRightInd w:val="0"/>
        <w:snapToGrid w:val="0"/>
        <w:spacing w:before="156" w:beforeLines="50" w:after="0" w:line="360" w:lineRule="auto"/>
        <w:rPr>
          <w:rFonts w:hint="eastAsia" w:ascii="黑体" w:hAnsi="黑体" w:eastAsia="黑体"/>
          <w:bCs w:val="0"/>
          <w:sz w:val="24"/>
          <w:szCs w:val="24"/>
        </w:rPr>
      </w:pPr>
      <w:bookmarkStart w:id="125" w:name="_Toc15028"/>
      <w:r>
        <w:rPr>
          <w:rFonts w:hint="eastAsia" w:ascii="黑体" w:hAnsi="黑体" w:eastAsia="黑体"/>
          <w:bCs w:val="0"/>
          <w:sz w:val="24"/>
          <w:szCs w:val="24"/>
        </w:rPr>
        <w:t>8．</w:t>
      </w:r>
      <w:r>
        <w:rPr>
          <w:rFonts w:hint="eastAsia" w:ascii="黑体" w:hAnsi="黑体" w:eastAsia="黑体"/>
          <w:sz w:val="24"/>
          <w:szCs w:val="24"/>
        </w:rPr>
        <w:t>评标报告</w:t>
      </w:r>
      <w:r>
        <w:rPr>
          <w:rFonts w:hint="eastAsia" w:ascii="黑体" w:hAnsi="黑体" w:eastAsia="黑体"/>
          <w:bCs w:val="0"/>
          <w:sz w:val="24"/>
          <w:szCs w:val="24"/>
        </w:rPr>
        <w:t>复核</w:t>
      </w:r>
      <w:bookmarkEnd w:id="125"/>
    </w:p>
    <w:p w14:paraId="32A19063">
      <w:pPr>
        <w:adjustRightInd w:val="0"/>
        <w:snapToGrid w:val="0"/>
        <w:spacing w:before="156" w:beforeLines="50" w:line="360" w:lineRule="auto"/>
        <w:ind w:firstLine="420" w:firstLineChars="200"/>
        <w:jc w:val="left"/>
        <w:rPr>
          <w:rFonts w:hint="eastAsia" w:ascii="宋体" w:hAnsi="宋体"/>
          <w:bCs/>
          <w:szCs w:val="21"/>
        </w:rPr>
      </w:pPr>
      <w:r>
        <w:rPr>
          <w:rFonts w:hint="eastAsia" w:ascii="宋体" w:hAnsi="宋体"/>
          <w:bCs/>
          <w:szCs w:val="21"/>
        </w:rPr>
        <w:t>8.1汇总结束后，评标委员会应当进行复核，特别要对拟推荐为中标候选供应商的、报价最低的、投标文件被认定为无效的进行重点复核。</w:t>
      </w:r>
    </w:p>
    <w:p w14:paraId="35EFE1BC">
      <w:pPr>
        <w:adjustRightInd w:val="0"/>
        <w:snapToGrid w:val="0"/>
        <w:spacing w:before="156" w:beforeLines="50" w:line="360" w:lineRule="auto"/>
        <w:ind w:firstLine="420" w:firstLineChars="200"/>
        <w:jc w:val="left"/>
        <w:rPr>
          <w:rFonts w:hint="eastAsia" w:ascii="宋体" w:hAnsi="宋体"/>
          <w:bCs/>
          <w:szCs w:val="21"/>
        </w:rPr>
      </w:pPr>
      <w:r>
        <w:rPr>
          <w:rFonts w:hint="eastAsia" w:ascii="宋体" w:hAnsi="宋体"/>
          <w:bCs/>
          <w:szCs w:val="21"/>
        </w:rPr>
        <w:t>8.2汇总完成后，除下列情形外，任何人不得修改评标结果：</w:t>
      </w:r>
    </w:p>
    <w:p w14:paraId="6C2DDFC0">
      <w:pPr>
        <w:adjustRightInd w:val="0"/>
        <w:snapToGrid w:val="0"/>
        <w:spacing w:before="156" w:beforeLines="50" w:line="360" w:lineRule="auto"/>
        <w:ind w:firstLine="420" w:firstLineChars="200"/>
        <w:jc w:val="left"/>
        <w:rPr>
          <w:rFonts w:hint="eastAsia" w:ascii="宋体" w:hAnsi="宋体" w:cs="宋体"/>
          <w:kern w:val="0"/>
          <w:szCs w:val="21"/>
        </w:rPr>
      </w:pPr>
      <w:r>
        <w:rPr>
          <w:rFonts w:hint="eastAsia" w:ascii="宋体" w:hAnsi="宋体" w:cs="宋体"/>
          <w:kern w:val="0"/>
          <w:szCs w:val="21"/>
        </w:rPr>
        <w:t>（1）分值汇总计算错误的；</w:t>
      </w:r>
    </w:p>
    <w:p w14:paraId="1E4EF42D">
      <w:pPr>
        <w:adjustRightInd w:val="0"/>
        <w:snapToGrid w:val="0"/>
        <w:spacing w:before="156" w:beforeLines="50" w:line="360" w:lineRule="auto"/>
        <w:ind w:firstLine="420" w:firstLineChars="200"/>
        <w:jc w:val="left"/>
        <w:rPr>
          <w:rFonts w:hint="eastAsia" w:ascii="宋体" w:hAnsi="宋体" w:cs="宋体"/>
          <w:kern w:val="0"/>
          <w:szCs w:val="21"/>
        </w:rPr>
      </w:pPr>
      <w:r>
        <w:rPr>
          <w:rFonts w:hint="eastAsia" w:ascii="宋体" w:hAnsi="宋体" w:cs="宋体"/>
          <w:kern w:val="0"/>
          <w:szCs w:val="21"/>
        </w:rPr>
        <w:t>（2）分项评分超出评分标准范围的；</w:t>
      </w:r>
    </w:p>
    <w:p w14:paraId="0FD8443F">
      <w:pPr>
        <w:adjustRightInd w:val="0"/>
        <w:snapToGrid w:val="0"/>
        <w:spacing w:before="156" w:beforeLines="50" w:line="360" w:lineRule="auto"/>
        <w:ind w:firstLine="420" w:firstLineChars="200"/>
        <w:jc w:val="left"/>
        <w:rPr>
          <w:rFonts w:hint="eastAsia" w:ascii="宋体" w:hAnsi="宋体" w:cs="宋体"/>
          <w:kern w:val="0"/>
          <w:szCs w:val="21"/>
        </w:rPr>
      </w:pPr>
      <w:r>
        <w:rPr>
          <w:rFonts w:hint="eastAsia" w:ascii="宋体" w:hAnsi="宋体" w:cs="宋体"/>
          <w:kern w:val="0"/>
          <w:szCs w:val="21"/>
        </w:rPr>
        <w:t>（3）评标委员会成员对客观评审因素评分不一致的；</w:t>
      </w:r>
    </w:p>
    <w:p w14:paraId="3113B82A">
      <w:pPr>
        <w:adjustRightInd w:val="0"/>
        <w:snapToGrid w:val="0"/>
        <w:spacing w:before="156" w:beforeLines="50" w:line="360" w:lineRule="auto"/>
        <w:ind w:firstLine="420" w:firstLineChars="200"/>
        <w:jc w:val="left"/>
        <w:rPr>
          <w:rFonts w:hint="eastAsia" w:ascii="宋体" w:hAnsi="宋体" w:cs="宋体"/>
          <w:kern w:val="0"/>
          <w:szCs w:val="21"/>
        </w:rPr>
      </w:pPr>
      <w:r>
        <w:rPr>
          <w:rFonts w:hint="eastAsia" w:ascii="宋体" w:hAnsi="宋体" w:cs="宋体"/>
          <w:kern w:val="0"/>
          <w:szCs w:val="21"/>
        </w:rPr>
        <w:t>（4）经评标委员会认定评分畸高、畸低的。</w:t>
      </w:r>
    </w:p>
    <w:p w14:paraId="48374C20">
      <w:pPr>
        <w:adjustRightInd w:val="0"/>
        <w:snapToGrid w:val="0"/>
        <w:spacing w:before="156" w:beforeLines="50" w:line="360" w:lineRule="auto"/>
        <w:ind w:firstLine="420" w:firstLineChars="200"/>
        <w:jc w:val="left"/>
        <w:rPr>
          <w:rFonts w:hint="eastAsia" w:ascii="宋体" w:hAnsi="宋体"/>
          <w:b/>
          <w:bCs/>
          <w:szCs w:val="21"/>
        </w:rPr>
      </w:pPr>
      <w:r>
        <w:rPr>
          <w:rFonts w:hint="eastAsia" w:ascii="宋体" w:hAnsi="宋体"/>
          <w:bCs/>
          <w:szCs w:val="21"/>
        </w:rPr>
        <w:t>8.3评标报告签署前，经复核发现存在以上情形之一的，评标委员会应当当场修改评标结果，并在评标报告中记载；评标报告签署后，采购人或者采购代理机构发现存在以上情形之一的，应当组织原评标委员会进行重新评审。重新评审改变评标结果的，书面报告本级财政部门。</w:t>
      </w:r>
    </w:p>
    <w:p w14:paraId="00497BD6">
      <w:pPr>
        <w:pStyle w:val="4"/>
        <w:keepNext w:val="0"/>
        <w:keepLines w:val="0"/>
        <w:adjustRightInd w:val="0"/>
        <w:snapToGrid w:val="0"/>
        <w:spacing w:before="156" w:beforeLines="50" w:after="0" w:line="360" w:lineRule="auto"/>
        <w:rPr>
          <w:rFonts w:hint="eastAsia" w:ascii="黑体" w:hAnsi="黑体" w:eastAsia="黑体"/>
          <w:bCs w:val="0"/>
          <w:sz w:val="24"/>
          <w:szCs w:val="24"/>
        </w:rPr>
      </w:pPr>
      <w:bookmarkStart w:id="126" w:name="_Toc18644"/>
      <w:r>
        <w:rPr>
          <w:rFonts w:hint="eastAsia" w:ascii="黑体" w:hAnsi="黑体" w:eastAsia="黑体"/>
          <w:sz w:val="24"/>
          <w:szCs w:val="24"/>
        </w:rPr>
        <w:t>9．</w:t>
      </w:r>
      <w:r>
        <w:rPr>
          <w:rFonts w:hint="eastAsia" w:ascii="黑体" w:hAnsi="黑体" w:eastAsia="黑体"/>
          <w:bCs w:val="0"/>
          <w:sz w:val="24"/>
          <w:szCs w:val="24"/>
        </w:rPr>
        <w:t>停止评标</w:t>
      </w:r>
      <w:bookmarkEnd w:id="126"/>
    </w:p>
    <w:p w14:paraId="51F40C8B">
      <w:pPr>
        <w:adjustRightInd w:val="0"/>
        <w:snapToGrid w:val="0"/>
        <w:spacing w:before="156" w:beforeLines="50" w:line="360" w:lineRule="auto"/>
        <w:ind w:firstLine="420" w:firstLineChars="200"/>
        <w:jc w:val="left"/>
        <w:rPr>
          <w:rFonts w:hint="eastAsia" w:ascii="宋体" w:hAnsi="宋体" w:cs="宋体"/>
          <w:kern w:val="0"/>
          <w:szCs w:val="21"/>
        </w:rPr>
      </w:pPr>
      <w:r>
        <w:rPr>
          <w:rFonts w:hint="eastAsia" w:ascii="宋体" w:hAnsi="宋体"/>
          <w:bCs/>
          <w:szCs w:val="21"/>
        </w:rPr>
        <w:t>9.1</w:t>
      </w:r>
      <w:r>
        <w:rPr>
          <w:rFonts w:hint="eastAsia" w:ascii="宋体" w:hAnsi="宋体" w:cs="宋体"/>
          <w:kern w:val="0"/>
          <w:szCs w:val="21"/>
        </w:rPr>
        <w:t>评标委员会发现招标文件存在歧义、重大缺陷导致评标工作无法进行，或者招标文件内容违反国家有关强制性规定的，应当停止评标工作，与采购人、采购代理机构沟通并作书面记录。采购人、采购代理机构确认后，应当修改招标文件，重新组织采购活动。</w:t>
      </w:r>
    </w:p>
    <w:p w14:paraId="135AC9BF">
      <w:pPr>
        <w:pStyle w:val="4"/>
        <w:keepNext w:val="0"/>
        <w:keepLines w:val="0"/>
        <w:adjustRightInd w:val="0"/>
        <w:snapToGrid w:val="0"/>
        <w:spacing w:before="156" w:beforeLines="50" w:after="0" w:line="360" w:lineRule="auto"/>
        <w:rPr>
          <w:rFonts w:hint="eastAsia" w:ascii="黑体" w:hAnsi="黑体" w:eastAsia="黑体"/>
          <w:sz w:val="24"/>
          <w:szCs w:val="24"/>
        </w:rPr>
      </w:pPr>
      <w:bookmarkStart w:id="127" w:name="_Toc29884"/>
      <w:r>
        <w:rPr>
          <w:rFonts w:hint="eastAsia" w:ascii="黑体" w:hAnsi="黑体" w:eastAsia="黑体"/>
          <w:sz w:val="24"/>
          <w:szCs w:val="24"/>
        </w:rPr>
        <w:t>10</w:t>
      </w:r>
      <w:r>
        <w:rPr>
          <w:rFonts w:hint="eastAsia" w:ascii="黑体" w:hAnsi="黑体" w:eastAsia="黑体" w:cs="宋体"/>
          <w:kern w:val="0"/>
          <w:sz w:val="24"/>
          <w:szCs w:val="24"/>
        </w:rPr>
        <w:t>．</w:t>
      </w:r>
      <w:r>
        <w:rPr>
          <w:rFonts w:hint="eastAsia" w:ascii="黑体" w:hAnsi="黑体" w:eastAsia="黑体"/>
          <w:sz w:val="24"/>
          <w:szCs w:val="24"/>
        </w:rPr>
        <w:t>废标</w:t>
      </w:r>
      <w:bookmarkEnd w:id="127"/>
    </w:p>
    <w:p w14:paraId="1A363F7E">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10.1 根据有关法律法规和招标文件的有关规定，如出现下列情况之一的，应予以废标：</w:t>
      </w:r>
    </w:p>
    <w:p w14:paraId="6DC315B8">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（1）符合专业条件的投标人或者对招标文件作实质响应的投标人不足三家的；</w:t>
      </w:r>
    </w:p>
    <w:p w14:paraId="4B7A2A5A">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（2）出现影响采购公正的违法、违规行为的；</w:t>
      </w:r>
    </w:p>
    <w:p w14:paraId="07D048C8">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（3）投标人的报价均超过采购项目预算，采购人不能支付的；</w:t>
      </w:r>
    </w:p>
    <w:p w14:paraId="76B2BD36">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（4）因重大变故，采购任务取消的。</w:t>
      </w:r>
    </w:p>
    <w:p w14:paraId="77280066">
      <w:pPr>
        <w:pStyle w:val="4"/>
        <w:keepNext w:val="0"/>
        <w:keepLines w:val="0"/>
        <w:adjustRightInd w:val="0"/>
        <w:snapToGrid w:val="0"/>
        <w:spacing w:before="156" w:beforeLines="50" w:after="0" w:line="360" w:lineRule="auto"/>
        <w:rPr>
          <w:rFonts w:hint="eastAsia" w:ascii="黑体" w:hAnsi="黑体" w:eastAsia="黑体"/>
          <w:bCs w:val="0"/>
          <w:sz w:val="24"/>
          <w:szCs w:val="24"/>
        </w:rPr>
      </w:pPr>
      <w:bookmarkStart w:id="128" w:name="_Toc27735"/>
      <w:r>
        <w:rPr>
          <w:rFonts w:hint="eastAsia" w:ascii="黑体" w:hAnsi="黑体" w:eastAsia="黑体" w:cs="宋体"/>
          <w:kern w:val="0"/>
          <w:sz w:val="24"/>
          <w:szCs w:val="24"/>
        </w:rPr>
        <w:t>11．重新组建评标委员会进行评标</w:t>
      </w:r>
      <w:bookmarkEnd w:id="128"/>
    </w:p>
    <w:p w14:paraId="3FACB93F">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11.1评标委员会或者其成员存在下列情形导致评标结果无效的，采购人、采购代理机构可以重新组建评标委员会进行评标，并书面报告本级财政部门，但采购合同已经履行的除外：</w:t>
      </w:r>
    </w:p>
    <w:p w14:paraId="688B2618">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（1）评标委员会组成不符合《政府采购货物和服务招标投标管理办法》规定的；</w:t>
      </w:r>
    </w:p>
    <w:p w14:paraId="28D1BB59">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（2）有《政府采购货物和服务招标投标管理办法》第六十二条第一至五项情形的；</w:t>
      </w:r>
    </w:p>
    <w:p w14:paraId="60297E7B">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（3）评标委员会及其成员独立评标受到非法干预的；</w:t>
      </w:r>
    </w:p>
    <w:p w14:paraId="0171729A">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（4）有政府采购法实施条例第七十五条规定的违法行为的。</w:t>
      </w:r>
    </w:p>
    <w:p w14:paraId="207C5244">
      <w:pPr>
        <w:adjustRightInd w:val="0"/>
        <w:snapToGrid w:val="0"/>
        <w:spacing w:before="156" w:beforeLines="50" w:line="360" w:lineRule="auto"/>
        <w:ind w:firstLine="420" w:firstLineChars="200"/>
        <w:jc w:val="left"/>
        <w:rPr>
          <w:rFonts w:hint="eastAsia" w:ascii="黑体" w:hAnsi="华文中宋" w:eastAsia="黑体"/>
          <w:b/>
          <w:sz w:val="13"/>
          <w:szCs w:val="13"/>
        </w:rPr>
      </w:pPr>
      <w:r>
        <w:rPr>
          <w:rFonts w:hint="eastAsia" w:ascii="宋体" w:hAnsi="宋体"/>
          <w:szCs w:val="21"/>
        </w:rPr>
        <w:t>11.2有违法违规行为的原评标委员会成员不得参加重新组建的评标委员会。</w:t>
      </w:r>
      <w:r>
        <w:rPr>
          <w:rFonts w:ascii="黑体" w:hAnsi="华文中宋" w:eastAsia="黑体"/>
          <w:b/>
          <w:sz w:val="32"/>
          <w:szCs w:val="32"/>
        </w:rPr>
        <w:br w:type="page"/>
      </w:r>
    </w:p>
    <w:p w14:paraId="5F4A50D9">
      <w:pPr>
        <w:pStyle w:val="2"/>
        <w:adjustRightInd w:val="0"/>
        <w:snapToGrid w:val="0"/>
        <w:jc w:val="center"/>
        <w:rPr>
          <w:rFonts w:hint="eastAsia" w:ascii="黑体" w:hAnsi="华文中宋" w:eastAsia="黑体"/>
          <w:sz w:val="28"/>
          <w:szCs w:val="28"/>
        </w:rPr>
      </w:pPr>
      <w:bookmarkStart w:id="129" w:name="_Toc22784"/>
      <w:r>
        <w:rPr>
          <w:rFonts w:hint="eastAsia" w:ascii="黑体" w:hAnsi="华文中宋" w:eastAsia="黑体"/>
          <w:sz w:val="28"/>
          <w:szCs w:val="28"/>
        </w:rPr>
        <w:t>第三节 投标文件的符合性审查</w:t>
      </w:r>
      <w:bookmarkEnd w:id="129"/>
    </w:p>
    <w:p w14:paraId="23E43976">
      <w:pPr>
        <w:adjustRightInd w:val="0"/>
        <w:snapToGrid w:val="0"/>
        <w:spacing w:before="156" w:beforeLines="50" w:line="360" w:lineRule="auto"/>
        <w:rPr>
          <w:rFonts w:hint="eastAsia" w:ascii="黑体" w:hAnsi="黑体" w:eastAsia="黑体"/>
          <w:b/>
          <w:sz w:val="24"/>
        </w:rPr>
      </w:pPr>
      <w:r>
        <w:rPr>
          <w:rFonts w:hint="eastAsia" w:ascii="黑体" w:hAnsi="黑体" w:eastAsia="黑体"/>
          <w:b/>
          <w:sz w:val="24"/>
        </w:rPr>
        <w:t>1.符合性审查</w:t>
      </w:r>
    </w:p>
    <w:p w14:paraId="1CD0336B">
      <w:pPr>
        <w:adjustRightInd w:val="0"/>
        <w:snapToGrid w:val="0"/>
        <w:spacing w:before="156" w:beforeLines="50" w:line="360" w:lineRule="auto"/>
        <w:ind w:firstLine="420" w:firstLineChars="200"/>
        <w:rPr>
          <w:rFonts w:hint="eastAsia" w:ascii="宋体" w:hAnsi="宋体"/>
        </w:rPr>
      </w:pPr>
      <w:r>
        <w:rPr>
          <w:rFonts w:hint="eastAsia" w:ascii="宋体" w:hAnsi="宋体"/>
        </w:rPr>
        <w:t>1.1</w:t>
      </w:r>
      <w:r>
        <w:rPr>
          <w:rFonts w:hint="eastAsia" w:ascii="宋体" w:hAnsi="宋体"/>
          <w:szCs w:val="21"/>
        </w:rPr>
        <w:t>评标委员会应按本章本节附表1“符合性审查表”所列审查项目及审查标准，</w:t>
      </w:r>
      <w:r>
        <w:rPr>
          <w:rFonts w:hint="eastAsia" w:ascii="宋体" w:hAnsi="宋体"/>
        </w:rPr>
        <w:t>对符合资格条件的投标人的投标文件进行符合性审查，以确定其是否满足招标文件的实质性要求。</w:t>
      </w:r>
    </w:p>
    <w:p w14:paraId="1F172218">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1）依据招标文件的规定，从投标文件的有效性、完整性和对招标文件的响应程度进行审查，以确定是否对招标文件的实质性要求作出响应。评标委员会判断投标文件的响应性只根据投标文件的内容，而不依据外部的证据。</w:t>
      </w:r>
    </w:p>
    <w:p w14:paraId="3029D136">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（2）投标人不得通过修正或撤销不合要求的偏离从而使其投标成为实质上响应的投标。</w:t>
      </w:r>
    </w:p>
    <w:p w14:paraId="5FF6FB5D">
      <w:pPr>
        <w:adjustRightInd w:val="0"/>
        <w:snapToGrid w:val="0"/>
        <w:spacing w:before="156" w:beforeLines="50" w:line="360" w:lineRule="auto"/>
        <w:ind w:firstLine="420" w:firstLineChars="200"/>
        <w:jc w:val="left"/>
        <w:rPr>
          <w:rFonts w:hint="eastAsia" w:ascii="宋体" w:hAnsi="宋体"/>
        </w:rPr>
      </w:pPr>
      <w:r>
        <w:rPr>
          <w:rFonts w:hint="eastAsia" w:ascii="宋体" w:hAnsi="宋体"/>
          <w:kern w:val="0"/>
          <w:szCs w:val="21"/>
        </w:rPr>
        <w:t>1.2</w:t>
      </w:r>
      <w:r>
        <w:rPr>
          <w:rFonts w:hint="eastAsia" w:ascii="宋体" w:hAnsi="宋体"/>
        </w:rPr>
        <w:t>未通过符合性审查的投标人，其投标将被认定为投标无效，不能进入下一阶段评审。通过符合性审查的投标人数量不足 3 家的，不得作进一步的比较和评价。</w:t>
      </w:r>
    </w:p>
    <w:p w14:paraId="07408530">
      <w:pPr>
        <w:adjustRightInd w:val="0"/>
        <w:snapToGrid w:val="0"/>
        <w:spacing w:before="156" w:beforeLines="50" w:line="360" w:lineRule="auto"/>
        <w:jc w:val="left"/>
        <w:rPr>
          <w:rFonts w:hint="eastAsia" w:ascii="黑体" w:hAnsi="黑体" w:eastAsia="黑体"/>
          <w:b/>
          <w:sz w:val="24"/>
        </w:rPr>
      </w:pPr>
      <w:r>
        <w:rPr>
          <w:rFonts w:hint="eastAsia" w:ascii="黑体" w:hAnsi="黑体" w:eastAsia="黑体"/>
          <w:b/>
          <w:sz w:val="24"/>
        </w:rPr>
        <w:t>2.投标无效</w:t>
      </w:r>
    </w:p>
    <w:p w14:paraId="146C4677">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2.1投标人存在下列情况之一的，符合性审查不合格，投标无效：</w:t>
      </w:r>
    </w:p>
    <w:p w14:paraId="49D476CA">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（1）投标文件中商务技术文件未按照招标文件规定要求签署、盖章的；</w:t>
      </w:r>
    </w:p>
    <w:p w14:paraId="1C518AA4">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（2）投标文件没有对招标文件的实质性要求和条件作出响应，或者对招标文件的偏离超出招标文件规定的偏离</w:t>
      </w:r>
      <w:r>
        <w:rPr>
          <w:rFonts w:hint="eastAsia" w:ascii="宋体" w:hAnsi="宋体"/>
        </w:rPr>
        <w:t>范围和幅度</w:t>
      </w:r>
      <w:r>
        <w:rPr>
          <w:rFonts w:hint="eastAsia" w:ascii="宋体" w:hAnsi="宋体"/>
          <w:szCs w:val="21"/>
        </w:rPr>
        <w:t>；</w:t>
      </w:r>
    </w:p>
    <w:p w14:paraId="193F013D">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（3）投标有效期不足的；</w:t>
      </w:r>
    </w:p>
    <w:p w14:paraId="054E6367">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（4）投标文件含有采购人不能接受的附加条件的；</w:t>
      </w:r>
    </w:p>
    <w:p w14:paraId="745547CD">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（5）不符合本节第1.1款规定符合性审查标准的；</w:t>
      </w:r>
    </w:p>
    <w:p w14:paraId="064AF09F">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（6）法律、法规和招标文件规定的其他投标无效情形的。</w:t>
      </w:r>
    </w:p>
    <w:p w14:paraId="703621AE">
      <w:pPr>
        <w:adjustRightInd w:val="0"/>
        <w:snapToGrid w:val="0"/>
        <w:spacing w:before="156" w:beforeLines="50" w:line="360" w:lineRule="auto"/>
        <w:ind w:firstLine="420" w:firstLineChars="200"/>
        <w:jc w:val="left"/>
        <w:rPr>
          <w:rFonts w:hint="eastAsia" w:ascii="宋体" w:hAnsi="宋体"/>
          <w:kern w:val="0"/>
          <w:szCs w:val="21"/>
        </w:rPr>
      </w:pPr>
      <w:r>
        <w:rPr>
          <w:rFonts w:hint="eastAsia" w:ascii="宋体" w:hAnsi="宋体"/>
          <w:kern w:val="0"/>
          <w:szCs w:val="21"/>
        </w:rPr>
        <w:t>2.2在评标过程中发现投标人有不遵循公平竞争的原则，恶意串通，妨碍其他投标人的竞争行为，损害采购人或者其他投标人的合法权益的，评标委员会应当认定其</w:t>
      </w:r>
      <w:r>
        <w:rPr>
          <w:rFonts w:hint="eastAsia" w:ascii="宋体" w:hAnsi="宋体"/>
          <w:b/>
          <w:kern w:val="0"/>
          <w:szCs w:val="21"/>
        </w:rPr>
        <w:t>投标无效</w:t>
      </w:r>
      <w:r>
        <w:rPr>
          <w:rFonts w:hint="eastAsia" w:ascii="宋体" w:hAnsi="宋体"/>
          <w:kern w:val="0"/>
          <w:szCs w:val="21"/>
        </w:rPr>
        <w:t>，并书面报告本级财政部门。</w:t>
      </w:r>
    </w:p>
    <w:p w14:paraId="3CE6E7C8"/>
    <w:p w14:paraId="72DF489E"/>
    <w:p w14:paraId="2A1CB8CA">
      <w:pPr>
        <w:widowControl/>
        <w:jc w:val="left"/>
        <w:rPr>
          <w:rFonts w:hint="eastAsia" w:ascii="黑体" w:hAnsi="黑体"/>
          <w:b/>
          <w:sz w:val="10"/>
          <w:szCs w:val="10"/>
        </w:rPr>
      </w:pPr>
      <w:r>
        <w:rPr>
          <w:rFonts w:ascii="黑体" w:hAnsi="黑体"/>
          <w:b/>
          <w:szCs w:val="21"/>
        </w:rPr>
        <w:br w:type="page"/>
      </w:r>
    </w:p>
    <w:p w14:paraId="43662357">
      <w:pPr>
        <w:pStyle w:val="4"/>
        <w:adjustRightInd w:val="0"/>
        <w:snapToGrid w:val="0"/>
        <w:spacing w:before="156" w:beforeLines="50" w:after="0" w:line="360" w:lineRule="auto"/>
        <w:rPr>
          <w:rFonts w:hint="eastAsia" w:ascii="黑体" w:hAnsi="黑体" w:eastAsia="黑体" w:cs="黑体"/>
          <w:b w:val="0"/>
          <w:bCs w:val="0"/>
          <w:sz w:val="21"/>
          <w:szCs w:val="21"/>
        </w:rPr>
      </w:pPr>
      <w:bookmarkStart w:id="130" w:name="_Toc2123"/>
      <w:r>
        <w:rPr>
          <w:rFonts w:hint="eastAsia" w:ascii="黑体" w:hAnsi="黑体" w:eastAsia="黑体" w:cs="黑体"/>
          <w:b w:val="0"/>
          <w:bCs w:val="0"/>
          <w:sz w:val="21"/>
          <w:szCs w:val="21"/>
        </w:rPr>
        <w:t>附表1 符合性审查表</w:t>
      </w:r>
      <w:bookmarkEnd w:id="130"/>
    </w:p>
    <w:p w14:paraId="40F33B64">
      <w:pPr>
        <w:adjustRightInd w:val="0"/>
        <w:snapToGrid w:val="0"/>
        <w:spacing w:before="156" w:beforeLines="50" w:line="360" w:lineRule="auto"/>
        <w:jc w:val="center"/>
        <w:rPr>
          <w:rFonts w:hint="eastAsia" w:ascii="黑体" w:hAnsi="黑体" w:eastAsia="黑体"/>
          <w:b/>
          <w:sz w:val="28"/>
          <w:szCs w:val="28"/>
        </w:rPr>
      </w:pPr>
      <w:r>
        <w:rPr>
          <w:rFonts w:hint="eastAsia" w:ascii="黑体" w:hAnsi="黑体" w:eastAsia="黑体"/>
          <w:b/>
          <w:sz w:val="28"/>
          <w:szCs w:val="28"/>
        </w:rPr>
        <w:t>符合性审查表</w:t>
      </w:r>
    </w:p>
    <w:p w14:paraId="3401B4D8">
      <w:pPr>
        <w:adjustRightInd w:val="0"/>
        <w:snapToGrid w:val="0"/>
        <w:spacing w:before="156" w:beforeLines="50" w:line="360" w:lineRule="auto"/>
        <w:rPr>
          <w:rFonts w:hint="eastAsia" w:ascii="宋体" w:hAnsi="宋体"/>
          <w:szCs w:val="21"/>
        </w:rPr>
      </w:pPr>
      <w:r>
        <w:rPr>
          <w:rFonts w:hint="eastAsia" w:ascii="宋体" w:hAnsi="宋体"/>
          <w:szCs w:val="21"/>
        </w:rPr>
        <w:t>项目名称：</w:t>
      </w:r>
      <w:r>
        <w:rPr>
          <w:rFonts w:hint="eastAsia" w:ascii="宋体" w:hAnsi="宋体"/>
          <w:szCs w:val="21"/>
          <w:lang w:eastAsia="zh-CN"/>
        </w:rPr>
        <w:t>新化县殡仪馆新建项目相关设备设施采购项目</w:t>
      </w:r>
      <w:r>
        <w:rPr>
          <w:rFonts w:hint="eastAsia" w:ascii="宋体" w:hAnsi="宋体"/>
          <w:szCs w:val="21"/>
        </w:rPr>
        <w:t xml:space="preserve">           </w:t>
      </w:r>
    </w:p>
    <w:p w14:paraId="7145D92D">
      <w:pPr>
        <w:adjustRightInd w:val="0"/>
        <w:snapToGrid w:val="0"/>
        <w:spacing w:before="156" w:beforeLines="50" w:line="360" w:lineRule="auto"/>
        <w:rPr>
          <w:rFonts w:hint="eastAsia" w:ascii="宋体" w:hAnsi="宋体"/>
          <w:szCs w:val="21"/>
        </w:rPr>
      </w:pPr>
      <w:r>
        <w:rPr>
          <w:rFonts w:hint="eastAsia" w:ascii="宋体" w:hAnsi="宋体"/>
          <w:szCs w:val="21"/>
        </w:rPr>
        <w:t xml:space="preserve">政府采购计划编号： </w:t>
      </w:r>
    </w:p>
    <w:tbl>
      <w:tblPr>
        <w:tblStyle w:val="27"/>
        <w:tblW w:w="9060" w:type="dxa"/>
        <w:tblInd w:w="0" w:type="dxa"/>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683"/>
        <w:gridCol w:w="2686"/>
        <w:gridCol w:w="5691"/>
      </w:tblGrid>
      <w:tr w14:paraId="314D079D">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532" w:hRule="atLeast"/>
        </w:trPr>
        <w:tc>
          <w:tcPr>
            <w:tcW w:w="683" w:type="dxa"/>
            <w:noWrap w:val="0"/>
            <w:vAlign w:val="center"/>
          </w:tcPr>
          <w:p w14:paraId="6117B0D9">
            <w:pPr>
              <w:adjustRightInd w:val="0"/>
              <w:snapToGrid w:val="0"/>
              <w:spacing w:before="156" w:beforeLines="50" w:line="360" w:lineRule="auto"/>
              <w:jc w:val="center"/>
              <w:rPr>
                <w:rFonts w:ascii="宋体" w:hAnsi="宋体" w:cs="宋体"/>
                <w:b/>
                <w:kern w:val="0"/>
                <w:szCs w:val="21"/>
              </w:rPr>
            </w:pPr>
            <w:r>
              <w:rPr>
                <w:rFonts w:hint="eastAsia" w:ascii="宋体" w:hAnsi="宋体" w:cs="宋体"/>
                <w:b/>
                <w:kern w:val="0"/>
                <w:szCs w:val="21"/>
              </w:rPr>
              <w:t>序号</w:t>
            </w:r>
          </w:p>
        </w:tc>
        <w:tc>
          <w:tcPr>
            <w:tcW w:w="2686" w:type="dxa"/>
            <w:noWrap w:val="0"/>
            <w:vAlign w:val="center"/>
          </w:tcPr>
          <w:p w14:paraId="4E086467">
            <w:pPr>
              <w:adjustRightInd w:val="0"/>
              <w:snapToGrid w:val="0"/>
              <w:spacing w:before="156" w:beforeLines="50" w:line="360" w:lineRule="auto"/>
              <w:jc w:val="center"/>
              <w:rPr>
                <w:rFonts w:ascii="宋体" w:hAnsi="宋体" w:cs="宋体"/>
                <w:b/>
                <w:kern w:val="0"/>
                <w:szCs w:val="21"/>
              </w:rPr>
            </w:pPr>
            <w:r>
              <w:rPr>
                <w:rFonts w:hint="eastAsia" w:ascii="宋体" w:hAnsi="宋体" w:cs="宋体"/>
                <w:b/>
                <w:kern w:val="0"/>
                <w:szCs w:val="21"/>
              </w:rPr>
              <w:t>审查项目</w:t>
            </w:r>
          </w:p>
        </w:tc>
        <w:tc>
          <w:tcPr>
            <w:tcW w:w="5691" w:type="dxa"/>
            <w:noWrap w:val="0"/>
            <w:vAlign w:val="center"/>
          </w:tcPr>
          <w:p w14:paraId="69CA1099">
            <w:pPr>
              <w:adjustRightInd w:val="0"/>
              <w:snapToGrid w:val="0"/>
              <w:spacing w:before="156" w:beforeLines="50" w:line="360" w:lineRule="auto"/>
              <w:jc w:val="center"/>
              <w:rPr>
                <w:rFonts w:ascii="宋体" w:hAnsi="宋体" w:cs="宋体"/>
                <w:b/>
                <w:kern w:val="0"/>
                <w:szCs w:val="21"/>
              </w:rPr>
            </w:pPr>
            <w:r>
              <w:rPr>
                <w:rFonts w:hint="eastAsia" w:ascii="宋体" w:hAnsi="宋体" w:cs="宋体"/>
                <w:b/>
                <w:kern w:val="0"/>
                <w:szCs w:val="21"/>
              </w:rPr>
              <w:t>审查标准</w:t>
            </w:r>
          </w:p>
        </w:tc>
      </w:tr>
      <w:tr w14:paraId="61E7FBAA">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683" w:type="dxa"/>
            <w:noWrap w:val="0"/>
            <w:vAlign w:val="center"/>
          </w:tcPr>
          <w:p w14:paraId="097A2098">
            <w:pPr>
              <w:adjustRightInd w:val="0"/>
              <w:snapToGrid w:val="0"/>
              <w:spacing w:before="156" w:beforeLines="50" w:line="360" w:lineRule="auto"/>
              <w:jc w:val="center"/>
              <w:rPr>
                <w:rFonts w:ascii="宋体" w:hAnsi="宋体" w:cs="宋体"/>
                <w:kern w:val="0"/>
                <w:szCs w:val="21"/>
              </w:rPr>
            </w:pPr>
            <w:r>
              <w:rPr>
                <w:rFonts w:hint="eastAsia" w:ascii="宋体" w:hAnsi="宋体" w:cs="宋体"/>
                <w:kern w:val="0"/>
                <w:szCs w:val="21"/>
              </w:rPr>
              <w:t>1</w:t>
            </w:r>
          </w:p>
        </w:tc>
        <w:tc>
          <w:tcPr>
            <w:tcW w:w="2686" w:type="dxa"/>
            <w:noWrap w:val="0"/>
            <w:vAlign w:val="center"/>
          </w:tcPr>
          <w:p w14:paraId="6A3942F0">
            <w:pPr>
              <w:snapToGrid w:val="0"/>
              <w:spacing w:before="156" w:line="360" w:lineRule="auto"/>
              <w:jc w:val="left"/>
              <w:textAlignment w:val="baseline"/>
              <w:rPr>
                <w:rFonts w:ascii="宋体" w:hAnsi="宋体" w:cs="宋体"/>
                <w:b/>
                <w:color w:val="FF0000"/>
                <w:kern w:val="0"/>
                <w:sz w:val="20"/>
                <w:szCs w:val="21"/>
              </w:rPr>
            </w:pPr>
            <w:r>
              <w:rPr>
                <w:rFonts w:hint="eastAsia" w:ascii="宋体" w:hAnsi="宋体"/>
                <w:sz w:val="20"/>
                <w:szCs w:val="21"/>
              </w:rPr>
              <w:t>投标文件签署、盖章的情况</w:t>
            </w:r>
          </w:p>
        </w:tc>
        <w:tc>
          <w:tcPr>
            <w:tcW w:w="5691" w:type="dxa"/>
            <w:noWrap w:val="0"/>
            <w:vAlign w:val="center"/>
          </w:tcPr>
          <w:p w14:paraId="2DA8F682">
            <w:pPr>
              <w:snapToGrid w:val="0"/>
              <w:spacing w:before="156" w:line="360" w:lineRule="auto"/>
              <w:jc w:val="left"/>
              <w:textAlignment w:val="baseline"/>
              <w:rPr>
                <w:rFonts w:ascii="宋体" w:hAnsi="宋体" w:cs="宋体"/>
                <w:color w:val="FF0000"/>
                <w:kern w:val="0"/>
                <w:sz w:val="20"/>
                <w:szCs w:val="21"/>
              </w:rPr>
            </w:pPr>
            <w:r>
              <w:rPr>
                <w:rFonts w:hint="eastAsia" w:ascii="宋体" w:hAnsi="宋体"/>
                <w:sz w:val="20"/>
                <w:szCs w:val="21"/>
              </w:rPr>
              <w:t>商务</w:t>
            </w:r>
            <w:r>
              <w:rPr>
                <w:rFonts w:ascii="宋体" w:hAnsi="宋体"/>
                <w:sz w:val="20"/>
                <w:szCs w:val="21"/>
              </w:rPr>
              <w:t>与技术响应文件</w:t>
            </w:r>
            <w:r>
              <w:rPr>
                <w:rFonts w:hint="eastAsia" w:ascii="宋体" w:hAnsi="宋体"/>
                <w:sz w:val="20"/>
                <w:szCs w:val="21"/>
              </w:rPr>
              <w:t>是否按照招标文件规定要求签署、盖章。</w:t>
            </w:r>
          </w:p>
        </w:tc>
      </w:tr>
      <w:tr w14:paraId="05C15C6C">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683" w:type="dxa"/>
            <w:noWrap w:val="0"/>
            <w:vAlign w:val="center"/>
          </w:tcPr>
          <w:p w14:paraId="3F2CA281">
            <w:pPr>
              <w:adjustRightInd w:val="0"/>
              <w:snapToGrid w:val="0"/>
              <w:spacing w:before="156" w:beforeLines="50" w:line="360" w:lineRule="auto"/>
              <w:jc w:val="center"/>
              <w:rPr>
                <w:rFonts w:ascii="宋体" w:hAnsi="宋体" w:cs="宋体"/>
                <w:kern w:val="0"/>
                <w:szCs w:val="21"/>
              </w:rPr>
            </w:pPr>
            <w:r>
              <w:rPr>
                <w:rFonts w:hint="eastAsia" w:ascii="宋体" w:hAnsi="宋体" w:cs="宋体"/>
                <w:kern w:val="0"/>
                <w:szCs w:val="21"/>
              </w:rPr>
              <w:t>2</w:t>
            </w:r>
          </w:p>
        </w:tc>
        <w:tc>
          <w:tcPr>
            <w:tcW w:w="2686" w:type="dxa"/>
            <w:noWrap w:val="0"/>
            <w:vAlign w:val="center"/>
          </w:tcPr>
          <w:p w14:paraId="238692EC">
            <w:pPr>
              <w:snapToGrid w:val="0"/>
              <w:spacing w:before="156" w:line="360" w:lineRule="auto"/>
              <w:jc w:val="left"/>
              <w:textAlignment w:val="baseline"/>
              <w:rPr>
                <w:rFonts w:ascii="宋体" w:hAnsi="宋体"/>
                <w:sz w:val="20"/>
                <w:szCs w:val="21"/>
              </w:rPr>
            </w:pPr>
            <w:r>
              <w:rPr>
                <w:rFonts w:hint="eastAsia" w:ascii="宋体" w:hAnsi="宋体"/>
                <w:sz w:val="20"/>
                <w:szCs w:val="21"/>
              </w:rPr>
              <w:t>投标文件</w:t>
            </w:r>
            <w:r>
              <w:rPr>
                <w:rFonts w:ascii="宋体" w:hAnsi="宋体"/>
                <w:sz w:val="20"/>
                <w:szCs w:val="21"/>
              </w:rPr>
              <w:t>实质性</w:t>
            </w:r>
            <w:r>
              <w:rPr>
                <w:rFonts w:hint="eastAsia" w:ascii="宋体" w:hAnsi="宋体"/>
                <w:sz w:val="20"/>
                <w:szCs w:val="21"/>
              </w:rPr>
              <w:t>响应</w:t>
            </w:r>
            <w:r>
              <w:rPr>
                <w:rFonts w:ascii="宋体" w:hAnsi="宋体"/>
                <w:sz w:val="20"/>
                <w:szCs w:val="21"/>
              </w:rPr>
              <w:t>情况或</w:t>
            </w:r>
            <w:r>
              <w:rPr>
                <w:rFonts w:hint="eastAsia" w:ascii="宋体" w:hAnsi="宋体"/>
                <w:sz w:val="20"/>
                <w:szCs w:val="21"/>
              </w:rPr>
              <w:t>偏离的</w:t>
            </w:r>
            <w:r>
              <w:rPr>
                <w:rFonts w:hint="eastAsia" w:ascii="宋体" w:hAnsi="宋体"/>
                <w:sz w:val="20"/>
              </w:rPr>
              <w:t>范围和幅度</w:t>
            </w:r>
            <w:r>
              <w:rPr>
                <w:rFonts w:hint="eastAsia" w:ascii="宋体" w:hAnsi="宋体"/>
                <w:sz w:val="20"/>
                <w:szCs w:val="21"/>
              </w:rPr>
              <w:t>。</w:t>
            </w:r>
          </w:p>
        </w:tc>
        <w:tc>
          <w:tcPr>
            <w:tcW w:w="5691" w:type="dxa"/>
            <w:noWrap w:val="0"/>
            <w:vAlign w:val="center"/>
          </w:tcPr>
          <w:p w14:paraId="425F3C5A">
            <w:pPr>
              <w:snapToGrid w:val="0"/>
              <w:spacing w:before="156" w:line="360" w:lineRule="auto"/>
              <w:jc w:val="left"/>
              <w:textAlignment w:val="baseline"/>
              <w:rPr>
                <w:rFonts w:ascii="宋体" w:hAnsi="宋体"/>
                <w:sz w:val="20"/>
              </w:rPr>
            </w:pPr>
            <w:r>
              <w:rPr>
                <w:rFonts w:hint="eastAsia" w:ascii="宋体" w:hAnsi="宋体"/>
                <w:sz w:val="20"/>
                <w:szCs w:val="21"/>
              </w:rPr>
              <w:t>是否对招标文件的实质性要求和条件作出了完全响应；</w:t>
            </w:r>
          </w:p>
          <w:p w14:paraId="358D785D">
            <w:pPr>
              <w:snapToGrid w:val="0"/>
              <w:spacing w:before="156" w:line="360" w:lineRule="auto"/>
              <w:jc w:val="left"/>
              <w:textAlignment w:val="baseline"/>
              <w:rPr>
                <w:rFonts w:hint="eastAsia" w:ascii="宋体" w:hAnsi="宋体" w:eastAsia="宋体"/>
                <w:sz w:val="20"/>
                <w:szCs w:val="21"/>
                <w:lang w:eastAsia="zh-CN"/>
              </w:rPr>
            </w:pPr>
            <w:r>
              <w:rPr>
                <w:rFonts w:hint="eastAsia" w:ascii="宋体" w:hAnsi="宋体"/>
                <w:sz w:val="20"/>
                <w:szCs w:val="21"/>
              </w:rPr>
              <w:t>评标委员会判断投标文件的响应性只根据投标文件的内容，而不依据外部的证据</w:t>
            </w:r>
            <w:r>
              <w:rPr>
                <w:rFonts w:hint="eastAsia" w:ascii="宋体" w:hAnsi="宋体"/>
                <w:sz w:val="20"/>
                <w:szCs w:val="21"/>
                <w:lang w:eastAsia="zh-CN"/>
              </w:rPr>
              <w:t>。</w:t>
            </w:r>
          </w:p>
        </w:tc>
      </w:tr>
      <w:tr w14:paraId="46AC1208">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683" w:type="dxa"/>
            <w:noWrap w:val="0"/>
            <w:vAlign w:val="center"/>
          </w:tcPr>
          <w:p w14:paraId="390374F8">
            <w:pPr>
              <w:adjustRightInd w:val="0"/>
              <w:snapToGrid w:val="0"/>
              <w:spacing w:before="156" w:beforeLines="50" w:line="360" w:lineRule="auto"/>
              <w:jc w:val="center"/>
              <w:rPr>
                <w:rFonts w:ascii="宋体" w:hAnsi="宋体" w:cs="宋体"/>
                <w:kern w:val="0"/>
                <w:szCs w:val="21"/>
              </w:rPr>
            </w:pPr>
            <w:r>
              <w:rPr>
                <w:rFonts w:hint="eastAsia" w:ascii="宋体" w:hAnsi="宋体" w:cs="宋体"/>
                <w:kern w:val="0"/>
                <w:szCs w:val="21"/>
              </w:rPr>
              <w:t>3</w:t>
            </w:r>
          </w:p>
        </w:tc>
        <w:tc>
          <w:tcPr>
            <w:tcW w:w="2686" w:type="dxa"/>
            <w:noWrap w:val="0"/>
            <w:vAlign w:val="top"/>
          </w:tcPr>
          <w:p w14:paraId="624091C9">
            <w:pPr>
              <w:snapToGrid w:val="0"/>
              <w:spacing w:before="156" w:line="360" w:lineRule="auto"/>
              <w:jc w:val="left"/>
              <w:textAlignment w:val="baseline"/>
              <w:rPr>
                <w:rFonts w:hint="eastAsia" w:ascii="宋体" w:hAnsi="宋体" w:eastAsia="宋体" w:cs="Times New Roman"/>
                <w:sz w:val="20"/>
                <w:szCs w:val="21"/>
              </w:rPr>
            </w:pPr>
            <w:r>
              <w:rPr>
                <w:rFonts w:hint="eastAsia" w:ascii="宋体" w:hAnsi="宋体" w:eastAsia="宋体" w:cs="Times New Roman"/>
                <w:sz w:val="20"/>
                <w:szCs w:val="21"/>
              </w:rPr>
              <w:t>投标文件有效性审查</w:t>
            </w:r>
          </w:p>
        </w:tc>
        <w:tc>
          <w:tcPr>
            <w:tcW w:w="5691" w:type="dxa"/>
            <w:noWrap w:val="0"/>
            <w:vAlign w:val="top"/>
          </w:tcPr>
          <w:p w14:paraId="11B3052D">
            <w:pPr>
              <w:snapToGrid w:val="0"/>
              <w:spacing w:before="156" w:line="360" w:lineRule="auto"/>
              <w:jc w:val="left"/>
              <w:textAlignment w:val="baseline"/>
              <w:rPr>
                <w:rFonts w:hint="eastAsia" w:ascii="宋体" w:hAnsi="宋体" w:eastAsia="宋体" w:cs="Times New Roman"/>
                <w:sz w:val="20"/>
                <w:szCs w:val="21"/>
              </w:rPr>
            </w:pPr>
            <w:r>
              <w:rPr>
                <w:rFonts w:hint="eastAsia" w:ascii="宋体" w:hAnsi="宋体" w:eastAsia="宋体" w:cs="Times New Roman"/>
                <w:sz w:val="20"/>
                <w:szCs w:val="21"/>
              </w:rPr>
              <w:t>每个分包只能有一个方案投标（前附表中允许除外）。</w:t>
            </w:r>
          </w:p>
        </w:tc>
      </w:tr>
      <w:tr w14:paraId="611FBC9E">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683" w:type="dxa"/>
            <w:noWrap w:val="0"/>
            <w:vAlign w:val="center"/>
          </w:tcPr>
          <w:p w14:paraId="0AAC453B">
            <w:pPr>
              <w:adjustRightInd w:val="0"/>
              <w:snapToGrid w:val="0"/>
              <w:spacing w:before="156" w:beforeLines="50" w:line="360" w:lineRule="auto"/>
              <w:jc w:val="center"/>
              <w:rPr>
                <w:rFonts w:ascii="宋体" w:hAnsi="宋体" w:cs="宋体"/>
                <w:kern w:val="0"/>
                <w:szCs w:val="21"/>
              </w:rPr>
            </w:pPr>
            <w:r>
              <w:rPr>
                <w:rFonts w:hint="eastAsia" w:ascii="宋体" w:hAnsi="宋体" w:cs="宋体"/>
                <w:kern w:val="0"/>
                <w:szCs w:val="21"/>
              </w:rPr>
              <w:t>4</w:t>
            </w:r>
          </w:p>
        </w:tc>
        <w:tc>
          <w:tcPr>
            <w:tcW w:w="2686" w:type="dxa"/>
            <w:noWrap w:val="0"/>
            <w:vAlign w:val="top"/>
          </w:tcPr>
          <w:p w14:paraId="2DF94067">
            <w:pPr>
              <w:snapToGrid w:val="0"/>
              <w:spacing w:before="156" w:line="360" w:lineRule="auto"/>
              <w:jc w:val="left"/>
              <w:textAlignment w:val="baseline"/>
              <w:rPr>
                <w:rFonts w:hint="eastAsia" w:ascii="宋体" w:hAnsi="宋体" w:eastAsia="宋体" w:cs="Times New Roman"/>
                <w:sz w:val="20"/>
                <w:szCs w:val="21"/>
              </w:rPr>
            </w:pPr>
            <w:r>
              <w:rPr>
                <w:rFonts w:hint="eastAsia" w:ascii="宋体" w:hAnsi="宋体" w:eastAsia="宋体" w:cs="Times New Roman"/>
                <w:sz w:val="20"/>
                <w:szCs w:val="21"/>
              </w:rPr>
              <w:t>投标文件有效性审查</w:t>
            </w:r>
          </w:p>
        </w:tc>
        <w:tc>
          <w:tcPr>
            <w:tcW w:w="5691" w:type="dxa"/>
            <w:noWrap w:val="0"/>
            <w:vAlign w:val="top"/>
          </w:tcPr>
          <w:p w14:paraId="43AC8631">
            <w:pPr>
              <w:snapToGrid w:val="0"/>
              <w:spacing w:before="156" w:line="360" w:lineRule="auto"/>
              <w:jc w:val="left"/>
              <w:textAlignment w:val="baseline"/>
              <w:rPr>
                <w:rFonts w:hint="eastAsia" w:ascii="宋体" w:hAnsi="宋体" w:eastAsia="宋体" w:cs="Times New Roman"/>
                <w:sz w:val="20"/>
                <w:szCs w:val="21"/>
              </w:rPr>
            </w:pPr>
            <w:r>
              <w:rPr>
                <w:rFonts w:hint="eastAsia" w:ascii="宋体" w:hAnsi="宋体" w:eastAsia="宋体" w:cs="Times New Roman"/>
                <w:sz w:val="20"/>
                <w:szCs w:val="21"/>
              </w:rPr>
              <w:t>只能在采购预算范围内报价，只能有一个有效报价，不得提交选择性报价（前附表中允许除外）。</w:t>
            </w:r>
          </w:p>
        </w:tc>
      </w:tr>
      <w:tr w14:paraId="46898AC6">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683" w:type="dxa"/>
            <w:noWrap w:val="0"/>
            <w:vAlign w:val="center"/>
          </w:tcPr>
          <w:p w14:paraId="025CAB6B">
            <w:pPr>
              <w:adjustRightInd w:val="0"/>
              <w:snapToGrid w:val="0"/>
              <w:spacing w:before="156" w:beforeLines="50" w:line="360" w:lineRule="auto"/>
              <w:jc w:val="center"/>
              <w:rPr>
                <w:rFonts w:ascii="宋体" w:hAnsi="宋体" w:cs="宋体"/>
                <w:kern w:val="0"/>
                <w:szCs w:val="21"/>
              </w:rPr>
            </w:pPr>
            <w:r>
              <w:rPr>
                <w:rFonts w:hint="eastAsia" w:ascii="宋体" w:hAnsi="宋体" w:cs="宋体"/>
                <w:kern w:val="0"/>
                <w:szCs w:val="21"/>
              </w:rPr>
              <w:t>5</w:t>
            </w:r>
          </w:p>
        </w:tc>
        <w:tc>
          <w:tcPr>
            <w:tcW w:w="2686" w:type="dxa"/>
            <w:noWrap w:val="0"/>
            <w:vAlign w:val="top"/>
          </w:tcPr>
          <w:p w14:paraId="6ABF0C9A">
            <w:pPr>
              <w:snapToGrid w:val="0"/>
              <w:spacing w:before="156" w:line="360" w:lineRule="auto"/>
              <w:jc w:val="left"/>
              <w:textAlignment w:val="baseline"/>
              <w:rPr>
                <w:rFonts w:hint="eastAsia" w:ascii="宋体" w:hAnsi="宋体" w:eastAsia="宋体" w:cs="Times New Roman"/>
                <w:sz w:val="20"/>
                <w:szCs w:val="21"/>
              </w:rPr>
            </w:pPr>
            <w:r>
              <w:rPr>
                <w:rFonts w:hint="eastAsia" w:ascii="宋体" w:hAnsi="宋体" w:eastAsia="宋体" w:cs="Times New Roman"/>
                <w:sz w:val="20"/>
                <w:szCs w:val="21"/>
              </w:rPr>
              <w:t>投标文件完整性审查</w:t>
            </w:r>
          </w:p>
        </w:tc>
        <w:tc>
          <w:tcPr>
            <w:tcW w:w="5691" w:type="dxa"/>
            <w:noWrap w:val="0"/>
            <w:vAlign w:val="top"/>
          </w:tcPr>
          <w:p w14:paraId="3F28DAC1">
            <w:pPr>
              <w:snapToGrid w:val="0"/>
              <w:spacing w:before="156" w:line="360" w:lineRule="auto"/>
              <w:jc w:val="left"/>
              <w:textAlignment w:val="baseline"/>
              <w:rPr>
                <w:rFonts w:hint="eastAsia" w:ascii="宋体" w:hAnsi="宋体" w:eastAsia="宋体" w:cs="Times New Roman"/>
                <w:sz w:val="20"/>
                <w:szCs w:val="21"/>
              </w:rPr>
            </w:pPr>
            <w:r>
              <w:rPr>
                <w:rFonts w:hint="eastAsia" w:ascii="宋体" w:hAnsi="宋体" w:eastAsia="宋体" w:cs="Times New Roman"/>
                <w:sz w:val="20"/>
                <w:szCs w:val="21"/>
              </w:rPr>
              <w:t>投标文件内容齐全、无遗漏。</w:t>
            </w:r>
          </w:p>
        </w:tc>
      </w:tr>
      <w:tr w14:paraId="68892C77">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683" w:type="dxa"/>
            <w:noWrap w:val="0"/>
            <w:vAlign w:val="center"/>
          </w:tcPr>
          <w:p w14:paraId="2494B33F">
            <w:pPr>
              <w:adjustRightInd w:val="0"/>
              <w:snapToGrid w:val="0"/>
              <w:spacing w:before="156" w:beforeLines="50" w:line="360" w:lineRule="auto"/>
              <w:jc w:val="center"/>
              <w:rPr>
                <w:rFonts w:hint="eastAsia" w:ascii="宋体" w:hAnsi="宋体" w:eastAsia="宋体" w:cs="宋体"/>
                <w:kern w:val="0"/>
                <w:szCs w:val="21"/>
                <w:lang w:val="en-US" w:eastAsia="zh-CN"/>
              </w:rPr>
            </w:pPr>
            <w:r>
              <w:rPr>
                <w:rFonts w:hint="eastAsia" w:ascii="宋体" w:hAnsi="宋体" w:cs="宋体"/>
                <w:kern w:val="0"/>
                <w:szCs w:val="21"/>
                <w:lang w:val="en-US" w:eastAsia="zh-CN"/>
              </w:rPr>
              <w:t>6</w:t>
            </w:r>
          </w:p>
        </w:tc>
        <w:tc>
          <w:tcPr>
            <w:tcW w:w="2686" w:type="dxa"/>
            <w:noWrap w:val="0"/>
            <w:vAlign w:val="center"/>
          </w:tcPr>
          <w:p w14:paraId="7D6563BC">
            <w:pPr>
              <w:snapToGrid w:val="0"/>
              <w:spacing w:before="156" w:line="360" w:lineRule="auto"/>
              <w:jc w:val="left"/>
              <w:textAlignment w:val="baseline"/>
              <w:rPr>
                <w:rFonts w:ascii="宋体" w:hAnsi="宋体" w:cs="宋体"/>
                <w:b/>
                <w:color w:val="FF0000"/>
                <w:kern w:val="0"/>
                <w:sz w:val="20"/>
                <w:szCs w:val="21"/>
              </w:rPr>
            </w:pPr>
            <w:r>
              <w:rPr>
                <w:rFonts w:hint="eastAsia" w:ascii="宋体" w:hAnsi="宋体"/>
                <w:sz w:val="20"/>
                <w:szCs w:val="21"/>
              </w:rPr>
              <w:t>投标有效期</w:t>
            </w:r>
          </w:p>
        </w:tc>
        <w:tc>
          <w:tcPr>
            <w:tcW w:w="5691" w:type="dxa"/>
            <w:noWrap w:val="0"/>
            <w:vAlign w:val="center"/>
          </w:tcPr>
          <w:p w14:paraId="118F0B25">
            <w:pPr>
              <w:snapToGrid w:val="0"/>
              <w:spacing w:before="156" w:line="360" w:lineRule="auto"/>
              <w:jc w:val="left"/>
              <w:textAlignment w:val="baseline"/>
              <w:rPr>
                <w:rFonts w:hint="eastAsia" w:ascii="宋体" w:hAnsi="宋体" w:eastAsia="宋体" w:cs="宋体"/>
                <w:color w:val="FF0000"/>
                <w:kern w:val="0"/>
                <w:sz w:val="20"/>
                <w:szCs w:val="21"/>
                <w:lang w:val="en-US" w:eastAsia="zh-CN"/>
              </w:rPr>
            </w:pPr>
            <w:r>
              <w:rPr>
                <w:rFonts w:hint="eastAsia" w:ascii="宋体" w:hAnsi="宋体"/>
                <w:sz w:val="20"/>
                <w:szCs w:val="21"/>
              </w:rPr>
              <w:t>是否</w:t>
            </w:r>
            <w:r>
              <w:rPr>
                <w:rFonts w:ascii="宋体" w:hAnsi="宋体"/>
                <w:sz w:val="20"/>
                <w:szCs w:val="21"/>
              </w:rPr>
              <w:t>响应</w:t>
            </w:r>
            <w:r>
              <w:rPr>
                <w:rFonts w:hint="eastAsia" w:ascii="宋体" w:hAnsi="宋体"/>
                <w:sz w:val="20"/>
                <w:szCs w:val="21"/>
              </w:rPr>
              <w:t>招标文件规定</w:t>
            </w:r>
            <w:r>
              <w:rPr>
                <w:rFonts w:ascii="宋体" w:hAnsi="宋体"/>
                <w:sz w:val="20"/>
                <w:szCs w:val="21"/>
              </w:rPr>
              <w:t>的</w:t>
            </w:r>
            <w:r>
              <w:rPr>
                <w:rFonts w:hint="eastAsia" w:ascii="宋体" w:hAnsi="宋体"/>
                <w:sz w:val="20"/>
                <w:szCs w:val="21"/>
              </w:rPr>
              <w:t>9</w:t>
            </w:r>
            <w:r>
              <w:rPr>
                <w:rFonts w:ascii="宋体" w:hAnsi="宋体"/>
                <w:sz w:val="20"/>
                <w:szCs w:val="21"/>
              </w:rPr>
              <w:t>0天投标有效期（投标函）</w:t>
            </w:r>
            <w:r>
              <w:rPr>
                <w:rFonts w:hint="eastAsia" w:ascii="宋体" w:hAnsi="宋体"/>
                <w:sz w:val="20"/>
                <w:szCs w:val="21"/>
                <w:lang w:eastAsia="zh-CN"/>
              </w:rPr>
              <w:t>。</w:t>
            </w:r>
          </w:p>
        </w:tc>
      </w:tr>
      <w:tr w14:paraId="22172B25">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683" w:type="dxa"/>
            <w:noWrap w:val="0"/>
            <w:vAlign w:val="center"/>
          </w:tcPr>
          <w:p w14:paraId="63D17AB0">
            <w:pPr>
              <w:adjustRightInd w:val="0"/>
              <w:snapToGrid w:val="0"/>
              <w:spacing w:before="156" w:beforeLines="50" w:line="360" w:lineRule="auto"/>
              <w:jc w:val="center"/>
              <w:rPr>
                <w:rFonts w:hint="eastAsia" w:ascii="宋体" w:hAnsi="宋体" w:eastAsia="宋体" w:cs="宋体"/>
                <w:kern w:val="0"/>
                <w:szCs w:val="21"/>
                <w:lang w:val="en-US" w:eastAsia="zh-CN"/>
              </w:rPr>
            </w:pPr>
            <w:r>
              <w:rPr>
                <w:rFonts w:hint="eastAsia" w:ascii="宋体" w:hAnsi="宋体" w:cs="宋体"/>
                <w:kern w:val="0"/>
                <w:szCs w:val="21"/>
                <w:lang w:val="en-US" w:eastAsia="zh-CN"/>
              </w:rPr>
              <w:t>7</w:t>
            </w:r>
          </w:p>
        </w:tc>
        <w:tc>
          <w:tcPr>
            <w:tcW w:w="2686" w:type="dxa"/>
            <w:noWrap w:val="0"/>
            <w:vAlign w:val="center"/>
          </w:tcPr>
          <w:p w14:paraId="6DD306C3">
            <w:pPr>
              <w:snapToGrid w:val="0"/>
              <w:spacing w:before="156" w:line="360" w:lineRule="auto"/>
              <w:jc w:val="left"/>
              <w:textAlignment w:val="baseline"/>
              <w:rPr>
                <w:rFonts w:ascii="宋体" w:hAnsi="宋体"/>
                <w:kern w:val="0"/>
                <w:szCs w:val="21"/>
              </w:rPr>
            </w:pPr>
            <w:r>
              <w:rPr>
                <w:rFonts w:hint="eastAsia" w:ascii="宋体" w:hAnsi="宋体"/>
                <w:sz w:val="20"/>
                <w:szCs w:val="21"/>
              </w:rPr>
              <w:t>附加条件</w:t>
            </w:r>
          </w:p>
        </w:tc>
        <w:tc>
          <w:tcPr>
            <w:tcW w:w="5691" w:type="dxa"/>
            <w:noWrap w:val="0"/>
            <w:vAlign w:val="center"/>
          </w:tcPr>
          <w:p w14:paraId="5B86039F">
            <w:pPr>
              <w:snapToGrid w:val="0"/>
              <w:spacing w:before="156" w:line="360" w:lineRule="auto"/>
              <w:jc w:val="left"/>
              <w:textAlignment w:val="baseline"/>
              <w:rPr>
                <w:rFonts w:hint="eastAsia" w:ascii="宋体" w:hAnsi="宋体" w:eastAsia="宋体" w:cs="宋体"/>
                <w:kern w:val="0"/>
                <w:szCs w:val="21"/>
                <w:lang w:val="en-US" w:eastAsia="zh-CN"/>
              </w:rPr>
            </w:pPr>
            <w:r>
              <w:rPr>
                <w:rFonts w:hint="eastAsia" w:ascii="宋体" w:hAnsi="宋体"/>
                <w:sz w:val="20"/>
                <w:szCs w:val="21"/>
              </w:rPr>
              <w:t>是否有采购人不能接受的附加条件的</w:t>
            </w:r>
            <w:r>
              <w:rPr>
                <w:rFonts w:hint="eastAsia" w:ascii="宋体" w:hAnsi="宋体"/>
                <w:sz w:val="20"/>
                <w:szCs w:val="21"/>
                <w:lang w:eastAsia="zh-CN"/>
              </w:rPr>
              <w:t>。</w:t>
            </w:r>
          </w:p>
        </w:tc>
      </w:tr>
      <w:tr w14:paraId="7D5FB249">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683" w:type="dxa"/>
            <w:noWrap w:val="0"/>
            <w:vAlign w:val="center"/>
          </w:tcPr>
          <w:p w14:paraId="49B3F90B">
            <w:pPr>
              <w:adjustRightInd w:val="0"/>
              <w:snapToGrid w:val="0"/>
              <w:spacing w:before="156" w:beforeLines="50" w:line="360" w:lineRule="auto"/>
              <w:jc w:val="center"/>
              <w:rPr>
                <w:rFonts w:hint="eastAsia" w:ascii="宋体" w:hAnsi="宋体" w:eastAsia="宋体"/>
                <w:kern w:val="0"/>
                <w:szCs w:val="21"/>
                <w:lang w:val="en-US" w:eastAsia="zh-CN"/>
              </w:rPr>
            </w:pPr>
            <w:r>
              <w:rPr>
                <w:rFonts w:hint="eastAsia" w:ascii="宋体" w:hAnsi="宋体"/>
                <w:kern w:val="0"/>
                <w:szCs w:val="21"/>
                <w:lang w:val="en-US" w:eastAsia="zh-CN"/>
              </w:rPr>
              <w:t>8</w:t>
            </w:r>
          </w:p>
        </w:tc>
        <w:tc>
          <w:tcPr>
            <w:tcW w:w="2686" w:type="dxa"/>
            <w:noWrap w:val="0"/>
            <w:vAlign w:val="center"/>
          </w:tcPr>
          <w:p w14:paraId="54EB7B87">
            <w:pPr>
              <w:snapToGrid w:val="0"/>
              <w:spacing w:before="156" w:line="360" w:lineRule="auto"/>
              <w:jc w:val="left"/>
              <w:textAlignment w:val="baseline"/>
              <w:rPr>
                <w:rFonts w:ascii="宋体" w:hAnsi="宋体"/>
                <w:kern w:val="0"/>
                <w:szCs w:val="21"/>
              </w:rPr>
            </w:pPr>
            <w:r>
              <w:rPr>
                <w:rFonts w:hint="eastAsia" w:ascii="宋体" w:hAnsi="宋体"/>
                <w:sz w:val="20"/>
                <w:szCs w:val="21"/>
              </w:rPr>
              <w:t>其它</w:t>
            </w:r>
          </w:p>
        </w:tc>
        <w:tc>
          <w:tcPr>
            <w:tcW w:w="5691" w:type="dxa"/>
            <w:noWrap w:val="0"/>
            <w:vAlign w:val="center"/>
          </w:tcPr>
          <w:p w14:paraId="6F836311">
            <w:pPr>
              <w:snapToGrid w:val="0"/>
              <w:spacing w:before="156" w:line="360" w:lineRule="auto"/>
              <w:jc w:val="left"/>
              <w:textAlignment w:val="baseline"/>
              <w:rPr>
                <w:rFonts w:hint="eastAsia" w:ascii="宋体" w:hAnsi="宋体" w:eastAsia="宋体" w:cs="宋体"/>
                <w:kern w:val="0"/>
                <w:szCs w:val="21"/>
                <w:lang w:val="en-US" w:eastAsia="zh-CN"/>
              </w:rPr>
            </w:pPr>
            <w:r>
              <w:rPr>
                <w:rFonts w:hint="eastAsia" w:ascii="宋体" w:hAnsi="宋体"/>
                <w:sz w:val="20"/>
                <w:szCs w:val="21"/>
              </w:rPr>
              <w:t>法律、法规和招标文件规定的其他投标无效情形</w:t>
            </w:r>
            <w:r>
              <w:rPr>
                <w:rFonts w:hint="eastAsia" w:ascii="宋体" w:hAnsi="宋体"/>
                <w:sz w:val="20"/>
                <w:szCs w:val="21"/>
                <w:lang w:eastAsia="zh-CN"/>
              </w:rPr>
              <w:t>。</w:t>
            </w:r>
          </w:p>
        </w:tc>
      </w:tr>
      <w:tr w14:paraId="3EA23EFA">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683" w:type="dxa"/>
            <w:noWrap w:val="0"/>
            <w:vAlign w:val="center"/>
          </w:tcPr>
          <w:p w14:paraId="5D7BE70A">
            <w:pPr>
              <w:adjustRightInd w:val="0"/>
              <w:snapToGrid w:val="0"/>
              <w:spacing w:before="156" w:beforeLines="50" w:line="360" w:lineRule="auto"/>
              <w:jc w:val="center"/>
              <w:rPr>
                <w:rFonts w:ascii="宋体" w:hAnsi="宋体"/>
                <w:kern w:val="0"/>
                <w:szCs w:val="21"/>
              </w:rPr>
            </w:pPr>
          </w:p>
        </w:tc>
        <w:tc>
          <w:tcPr>
            <w:tcW w:w="2686" w:type="dxa"/>
            <w:noWrap w:val="0"/>
            <w:vAlign w:val="top"/>
          </w:tcPr>
          <w:p w14:paraId="48BBB797">
            <w:pPr>
              <w:adjustRightInd w:val="0"/>
              <w:snapToGrid w:val="0"/>
              <w:spacing w:before="156" w:beforeLines="50" w:line="360" w:lineRule="auto"/>
              <w:jc w:val="left"/>
              <w:rPr>
                <w:rFonts w:ascii="宋体" w:hAnsi="宋体"/>
                <w:kern w:val="0"/>
                <w:szCs w:val="21"/>
              </w:rPr>
            </w:pPr>
          </w:p>
        </w:tc>
        <w:tc>
          <w:tcPr>
            <w:tcW w:w="5691" w:type="dxa"/>
            <w:noWrap w:val="0"/>
            <w:vAlign w:val="center"/>
          </w:tcPr>
          <w:p w14:paraId="5E44619B">
            <w:pPr>
              <w:adjustRightInd w:val="0"/>
              <w:snapToGrid w:val="0"/>
              <w:spacing w:before="156" w:beforeLines="50" w:line="360" w:lineRule="auto"/>
              <w:jc w:val="center"/>
              <w:rPr>
                <w:rFonts w:ascii="宋体" w:hAnsi="宋体" w:cs="宋体"/>
                <w:kern w:val="0"/>
                <w:szCs w:val="21"/>
              </w:rPr>
            </w:pPr>
          </w:p>
        </w:tc>
      </w:tr>
      <w:tr w14:paraId="7251B638">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683" w:type="dxa"/>
            <w:noWrap w:val="0"/>
            <w:vAlign w:val="center"/>
          </w:tcPr>
          <w:p w14:paraId="6EF69A79">
            <w:pPr>
              <w:adjustRightInd w:val="0"/>
              <w:snapToGrid w:val="0"/>
              <w:spacing w:before="156" w:beforeLines="50" w:line="360" w:lineRule="auto"/>
              <w:jc w:val="center"/>
              <w:rPr>
                <w:rFonts w:ascii="宋体" w:hAnsi="宋体"/>
                <w:kern w:val="0"/>
                <w:szCs w:val="21"/>
              </w:rPr>
            </w:pPr>
          </w:p>
        </w:tc>
        <w:tc>
          <w:tcPr>
            <w:tcW w:w="2686" w:type="dxa"/>
            <w:noWrap w:val="0"/>
            <w:vAlign w:val="center"/>
          </w:tcPr>
          <w:p w14:paraId="7C7D0763">
            <w:pPr>
              <w:snapToGrid w:val="0"/>
              <w:spacing w:before="156" w:line="360" w:lineRule="auto"/>
              <w:jc w:val="left"/>
              <w:textAlignment w:val="baseline"/>
              <w:rPr>
                <w:rFonts w:ascii="宋体" w:hAnsi="宋体"/>
                <w:kern w:val="0"/>
                <w:szCs w:val="21"/>
              </w:rPr>
            </w:pPr>
          </w:p>
        </w:tc>
        <w:tc>
          <w:tcPr>
            <w:tcW w:w="5691" w:type="dxa"/>
            <w:noWrap w:val="0"/>
            <w:vAlign w:val="center"/>
          </w:tcPr>
          <w:p w14:paraId="0F848D6E">
            <w:pPr>
              <w:snapToGrid w:val="0"/>
              <w:spacing w:before="156" w:line="360" w:lineRule="auto"/>
              <w:jc w:val="left"/>
              <w:textAlignment w:val="baseline"/>
              <w:rPr>
                <w:rFonts w:ascii="宋体" w:hAnsi="宋体" w:cs="宋体"/>
                <w:kern w:val="0"/>
                <w:szCs w:val="21"/>
              </w:rPr>
            </w:pPr>
          </w:p>
        </w:tc>
      </w:tr>
      <w:tr w14:paraId="64EEF2F2">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683" w:type="dxa"/>
            <w:noWrap w:val="0"/>
            <w:vAlign w:val="center"/>
          </w:tcPr>
          <w:p w14:paraId="3657E7EF">
            <w:pPr>
              <w:adjustRightInd w:val="0"/>
              <w:snapToGrid w:val="0"/>
              <w:spacing w:before="156" w:beforeLines="50" w:line="360" w:lineRule="auto"/>
              <w:jc w:val="center"/>
              <w:rPr>
                <w:rFonts w:ascii="宋体" w:hAnsi="宋体" w:cs="宋体"/>
                <w:kern w:val="0"/>
                <w:sz w:val="20"/>
                <w:szCs w:val="21"/>
              </w:rPr>
            </w:pPr>
            <w:r>
              <w:rPr>
                <w:rFonts w:hint="eastAsia" w:ascii="宋体" w:hAnsi="宋体" w:cs="宋体"/>
                <w:kern w:val="0"/>
                <w:sz w:val="20"/>
                <w:szCs w:val="21"/>
              </w:rPr>
              <w:t>结论</w:t>
            </w:r>
          </w:p>
        </w:tc>
        <w:tc>
          <w:tcPr>
            <w:tcW w:w="8377" w:type="dxa"/>
            <w:gridSpan w:val="2"/>
            <w:noWrap w:val="0"/>
            <w:vAlign w:val="center"/>
          </w:tcPr>
          <w:p w14:paraId="2EA11D2E">
            <w:pPr>
              <w:adjustRightInd w:val="0"/>
              <w:snapToGrid w:val="0"/>
              <w:spacing w:before="156" w:beforeLines="50" w:line="360" w:lineRule="auto"/>
              <w:jc w:val="center"/>
              <w:rPr>
                <w:rFonts w:ascii="宋体" w:hAnsi="宋体" w:cs="宋体"/>
                <w:kern w:val="0"/>
                <w:sz w:val="20"/>
                <w:szCs w:val="21"/>
              </w:rPr>
            </w:pPr>
          </w:p>
        </w:tc>
      </w:tr>
    </w:tbl>
    <w:p w14:paraId="71AB69C6">
      <w:pPr>
        <w:adjustRightInd w:val="0"/>
        <w:snapToGrid w:val="0"/>
        <w:spacing w:line="360" w:lineRule="auto"/>
        <w:rPr>
          <w:rFonts w:hint="eastAsia" w:ascii="宋体" w:hAnsi="宋体"/>
          <w:szCs w:val="21"/>
        </w:rPr>
      </w:pPr>
    </w:p>
    <w:p w14:paraId="4EBBBAB5">
      <w:pPr>
        <w:adjustRightInd w:val="0"/>
        <w:snapToGrid w:val="0"/>
        <w:spacing w:line="360" w:lineRule="auto"/>
        <w:rPr>
          <w:rFonts w:hint="eastAsia" w:ascii="宋体" w:hAnsi="宋体"/>
          <w:szCs w:val="21"/>
        </w:rPr>
      </w:pPr>
    </w:p>
    <w:p w14:paraId="558059FB">
      <w:pPr>
        <w:adjustRightInd w:val="0"/>
        <w:snapToGrid w:val="0"/>
        <w:spacing w:line="360" w:lineRule="auto"/>
        <w:rPr>
          <w:rFonts w:hint="eastAsia" w:ascii="黑体" w:hAnsi="黑体" w:eastAsia="黑体" w:cs="黑体"/>
          <w:b w:val="0"/>
          <w:bCs w:val="0"/>
          <w:sz w:val="21"/>
          <w:szCs w:val="21"/>
        </w:rPr>
      </w:pPr>
      <w:r>
        <w:rPr>
          <w:rFonts w:hint="eastAsia" w:ascii="宋体" w:hAnsi="宋体"/>
          <w:szCs w:val="21"/>
        </w:rPr>
        <w:t xml:space="preserve"> </w:t>
      </w:r>
      <w:bookmarkStart w:id="131" w:name="_Toc2947"/>
      <w:r>
        <w:rPr>
          <w:rFonts w:hint="eastAsia" w:ascii="黑体" w:hAnsi="黑体" w:eastAsia="黑体" w:cs="黑体"/>
          <w:b w:val="0"/>
          <w:bCs w:val="0"/>
          <w:sz w:val="21"/>
          <w:szCs w:val="21"/>
        </w:rPr>
        <w:t>附表2 符合性审查结果一览表</w:t>
      </w:r>
      <w:bookmarkEnd w:id="131"/>
    </w:p>
    <w:p w14:paraId="35AA7A1F">
      <w:pPr>
        <w:adjustRightInd w:val="0"/>
        <w:snapToGrid w:val="0"/>
        <w:spacing w:before="156" w:beforeLines="50" w:line="360" w:lineRule="auto"/>
        <w:jc w:val="center"/>
        <w:rPr>
          <w:rFonts w:hint="eastAsia" w:ascii="黑体" w:hAnsi="黑体" w:eastAsia="黑体"/>
          <w:b/>
          <w:sz w:val="28"/>
          <w:szCs w:val="28"/>
        </w:rPr>
      </w:pPr>
      <w:r>
        <w:rPr>
          <w:rFonts w:hint="eastAsia" w:ascii="黑体" w:hAnsi="黑体" w:eastAsia="黑体"/>
          <w:b/>
          <w:sz w:val="28"/>
          <w:szCs w:val="28"/>
        </w:rPr>
        <w:t>符合性审查结果一览表</w:t>
      </w:r>
    </w:p>
    <w:p w14:paraId="554C8C3B">
      <w:pPr>
        <w:adjustRightInd w:val="0"/>
        <w:snapToGrid w:val="0"/>
        <w:spacing w:before="156" w:beforeLines="50" w:line="360" w:lineRule="auto"/>
        <w:rPr>
          <w:rFonts w:hint="eastAsia" w:ascii="宋体" w:hAnsi="宋体"/>
          <w:szCs w:val="21"/>
        </w:rPr>
      </w:pPr>
      <w:r>
        <w:rPr>
          <w:rFonts w:hint="eastAsia" w:ascii="宋体" w:hAnsi="宋体"/>
          <w:szCs w:val="21"/>
        </w:rPr>
        <w:t>项目名称：</w:t>
      </w:r>
      <w:r>
        <w:rPr>
          <w:rFonts w:hint="eastAsia" w:ascii="宋体" w:hAnsi="宋体"/>
          <w:szCs w:val="21"/>
          <w:lang w:eastAsia="zh-CN"/>
        </w:rPr>
        <w:t>新化县殡仪馆新建项目相关设备设施采购项目</w:t>
      </w:r>
      <w:r>
        <w:rPr>
          <w:rFonts w:hint="eastAsia" w:ascii="宋体" w:hAnsi="宋体"/>
          <w:szCs w:val="21"/>
        </w:rPr>
        <w:t xml:space="preserve">    </w:t>
      </w:r>
    </w:p>
    <w:p w14:paraId="0A27490F">
      <w:pPr>
        <w:adjustRightInd w:val="0"/>
        <w:snapToGrid w:val="0"/>
        <w:spacing w:before="156" w:beforeLines="50" w:line="360" w:lineRule="auto"/>
        <w:rPr>
          <w:rFonts w:hint="eastAsia" w:ascii="宋体" w:hAnsi="宋体"/>
          <w:szCs w:val="21"/>
        </w:rPr>
      </w:pPr>
      <w:r>
        <w:rPr>
          <w:rFonts w:hint="eastAsia" w:ascii="宋体" w:hAnsi="宋体"/>
          <w:szCs w:val="21"/>
        </w:rPr>
        <w:t>政府采购计划编号：</w:t>
      </w:r>
    </w:p>
    <w:tbl>
      <w:tblPr>
        <w:tblStyle w:val="27"/>
        <w:tblW w:w="9060" w:type="dxa"/>
        <w:tblInd w:w="0" w:type="dxa"/>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697"/>
        <w:gridCol w:w="2963"/>
        <w:gridCol w:w="2439"/>
        <w:gridCol w:w="2961"/>
      </w:tblGrid>
      <w:tr w14:paraId="7EEFCA21">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697" w:type="dxa"/>
            <w:vAlign w:val="center"/>
          </w:tcPr>
          <w:p w14:paraId="37014D5B">
            <w:pPr>
              <w:jc w:val="center"/>
              <w:rPr>
                <w:rFonts w:hint="eastAsia" w:ascii="宋体" w:hAnsi="宋体"/>
                <w:b/>
                <w:kern w:val="0"/>
                <w:szCs w:val="21"/>
              </w:rPr>
            </w:pPr>
            <w:r>
              <w:rPr>
                <w:rFonts w:hint="eastAsia" w:ascii="宋体" w:hAnsi="宋体"/>
                <w:b/>
                <w:kern w:val="0"/>
                <w:szCs w:val="21"/>
              </w:rPr>
              <w:t>序号</w:t>
            </w:r>
          </w:p>
        </w:tc>
        <w:tc>
          <w:tcPr>
            <w:tcW w:w="2963" w:type="dxa"/>
            <w:vAlign w:val="center"/>
          </w:tcPr>
          <w:p w14:paraId="6BCF0E50">
            <w:pPr>
              <w:jc w:val="center"/>
              <w:rPr>
                <w:rFonts w:hint="eastAsia" w:ascii="宋体" w:hAnsi="宋体"/>
                <w:b/>
                <w:kern w:val="0"/>
                <w:szCs w:val="21"/>
              </w:rPr>
            </w:pPr>
            <w:r>
              <w:rPr>
                <w:rFonts w:hint="eastAsia" w:ascii="宋体" w:hAnsi="宋体"/>
                <w:b/>
                <w:kern w:val="0"/>
                <w:szCs w:val="21"/>
              </w:rPr>
              <w:t>投标人名称</w:t>
            </w:r>
          </w:p>
        </w:tc>
        <w:tc>
          <w:tcPr>
            <w:tcW w:w="2439" w:type="dxa"/>
            <w:vAlign w:val="center"/>
          </w:tcPr>
          <w:p w14:paraId="3FDBADC2">
            <w:pPr>
              <w:jc w:val="center"/>
              <w:rPr>
                <w:rFonts w:hint="eastAsia" w:ascii="宋体" w:hAnsi="宋体"/>
                <w:b/>
                <w:kern w:val="0"/>
                <w:szCs w:val="21"/>
              </w:rPr>
            </w:pPr>
            <w:r>
              <w:rPr>
                <w:rFonts w:hint="eastAsia" w:ascii="宋体" w:hAnsi="宋体"/>
                <w:b/>
                <w:kern w:val="0"/>
                <w:szCs w:val="21"/>
              </w:rPr>
              <w:t>符合性审查结果</w:t>
            </w:r>
          </w:p>
          <w:p w14:paraId="7751CBD8">
            <w:pPr>
              <w:jc w:val="center"/>
              <w:rPr>
                <w:rFonts w:hint="eastAsia" w:ascii="宋体" w:hAnsi="宋体"/>
                <w:b/>
                <w:kern w:val="0"/>
                <w:szCs w:val="21"/>
              </w:rPr>
            </w:pPr>
            <w:r>
              <w:rPr>
                <w:rFonts w:hint="eastAsia" w:ascii="宋体" w:hAnsi="宋体"/>
                <w:b/>
                <w:kern w:val="0"/>
                <w:szCs w:val="21"/>
              </w:rPr>
              <w:t>（合格/不合格）</w:t>
            </w:r>
          </w:p>
        </w:tc>
        <w:tc>
          <w:tcPr>
            <w:tcW w:w="2961" w:type="dxa"/>
            <w:vAlign w:val="center"/>
          </w:tcPr>
          <w:p w14:paraId="0FC2850C">
            <w:pPr>
              <w:jc w:val="center"/>
              <w:rPr>
                <w:rFonts w:hint="eastAsia" w:ascii="宋体" w:hAnsi="宋体"/>
                <w:b/>
                <w:kern w:val="0"/>
                <w:szCs w:val="21"/>
              </w:rPr>
            </w:pPr>
            <w:r>
              <w:rPr>
                <w:rFonts w:hint="eastAsia" w:ascii="宋体" w:hAnsi="宋体"/>
                <w:b/>
                <w:kern w:val="0"/>
                <w:szCs w:val="21"/>
              </w:rPr>
              <w:t>符合性审查不合格原因</w:t>
            </w:r>
          </w:p>
        </w:tc>
      </w:tr>
      <w:tr w14:paraId="3A13C357">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697" w:type="dxa"/>
          </w:tcPr>
          <w:p w14:paraId="20A0C687">
            <w:pPr>
              <w:adjustRightInd w:val="0"/>
              <w:snapToGrid w:val="0"/>
              <w:spacing w:line="360" w:lineRule="auto"/>
              <w:rPr>
                <w:rFonts w:hint="eastAsia" w:ascii="宋体" w:hAnsi="宋体"/>
                <w:kern w:val="0"/>
                <w:sz w:val="24"/>
              </w:rPr>
            </w:pPr>
          </w:p>
        </w:tc>
        <w:tc>
          <w:tcPr>
            <w:tcW w:w="2963" w:type="dxa"/>
          </w:tcPr>
          <w:p w14:paraId="57D8A718">
            <w:pPr>
              <w:adjustRightInd w:val="0"/>
              <w:snapToGrid w:val="0"/>
              <w:spacing w:line="360" w:lineRule="auto"/>
              <w:rPr>
                <w:rFonts w:hint="eastAsia" w:ascii="宋体" w:hAnsi="宋体"/>
                <w:kern w:val="0"/>
                <w:sz w:val="24"/>
              </w:rPr>
            </w:pPr>
          </w:p>
        </w:tc>
        <w:tc>
          <w:tcPr>
            <w:tcW w:w="2439" w:type="dxa"/>
          </w:tcPr>
          <w:p w14:paraId="134153E8">
            <w:pPr>
              <w:adjustRightInd w:val="0"/>
              <w:snapToGrid w:val="0"/>
              <w:spacing w:line="360" w:lineRule="auto"/>
              <w:rPr>
                <w:rFonts w:hint="eastAsia" w:ascii="宋体" w:hAnsi="宋体"/>
                <w:kern w:val="0"/>
                <w:sz w:val="24"/>
              </w:rPr>
            </w:pPr>
          </w:p>
        </w:tc>
        <w:tc>
          <w:tcPr>
            <w:tcW w:w="2961" w:type="dxa"/>
          </w:tcPr>
          <w:p w14:paraId="729C9879">
            <w:pPr>
              <w:adjustRightInd w:val="0"/>
              <w:snapToGrid w:val="0"/>
              <w:spacing w:line="360" w:lineRule="auto"/>
              <w:rPr>
                <w:rFonts w:hint="eastAsia" w:ascii="宋体" w:hAnsi="宋体"/>
                <w:kern w:val="0"/>
                <w:sz w:val="24"/>
              </w:rPr>
            </w:pPr>
          </w:p>
        </w:tc>
      </w:tr>
      <w:tr w14:paraId="3FFDCA1A">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697" w:type="dxa"/>
          </w:tcPr>
          <w:p w14:paraId="3204F7D0">
            <w:pPr>
              <w:adjustRightInd w:val="0"/>
              <w:snapToGrid w:val="0"/>
              <w:spacing w:line="360" w:lineRule="auto"/>
              <w:rPr>
                <w:rFonts w:hint="eastAsia" w:ascii="宋体" w:hAnsi="宋体"/>
                <w:kern w:val="0"/>
                <w:sz w:val="24"/>
              </w:rPr>
            </w:pPr>
          </w:p>
        </w:tc>
        <w:tc>
          <w:tcPr>
            <w:tcW w:w="2963" w:type="dxa"/>
          </w:tcPr>
          <w:p w14:paraId="0AC5A364">
            <w:pPr>
              <w:adjustRightInd w:val="0"/>
              <w:snapToGrid w:val="0"/>
              <w:spacing w:line="360" w:lineRule="auto"/>
              <w:rPr>
                <w:rFonts w:hint="eastAsia" w:ascii="宋体" w:hAnsi="宋体"/>
                <w:kern w:val="0"/>
                <w:sz w:val="24"/>
              </w:rPr>
            </w:pPr>
          </w:p>
        </w:tc>
        <w:tc>
          <w:tcPr>
            <w:tcW w:w="2439" w:type="dxa"/>
          </w:tcPr>
          <w:p w14:paraId="6A4B1533">
            <w:pPr>
              <w:adjustRightInd w:val="0"/>
              <w:snapToGrid w:val="0"/>
              <w:spacing w:line="360" w:lineRule="auto"/>
              <w:rPr>
                <w:rFonts w:hint="eastAsia" w:ascii="宋体" w:hAnsi="宋体"/>
                <w:kern w:val="0"/>
                <w:sz w:val="24"/>
              </w:rPr>
            </w:pPr>
          </w:p>
        </w:tc>
        <w:tc>
          <w:tcPr>
            <w:tcW w:w="2961" w:type="dxa"/>
          </w:tcPr>
          <w:p w14:paraId="16A3B868">
            <w:pPr>
              <w:adjustRightInd w:val="0"/>
              <w:snapToGrid w:val="0"/>
              <w:spacing w:line="360" w:lineRule="auto"/>
              <w:rPr>
                <w:rFonts w:hint="eastAsia" w:ascii="宋体" w:hAnsi="宋体"/>
                <w:kern w:val="0"/>
                <w:sz w:val="24"/>
              </w:rPr>
            </w:pPr>
          </w:p>
        </w:tc>
      </w:tr>
      <w:tr w14:paraId="5A8B0E8C">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697" w:type="dxa"/>
          </w:tcPr>
          <w:p w14:paraId="2301523E">
            <w:pPr>
              <w:adjustRightInd w:val="0"/>
              <w:snapToGrid w:val="0"/>
              <w:spacing w:line="360" w:lineRule="auto"/>
              <w:rPr>
                <w:rFonts w:hint="eastAsia" w:ascii="宋体" w:hAnsi="宋体"/>
                <w:kern w:val="0"/>
                <w:sz w:val="24"/>
              </w:rPr>
            </w:pPr>
          </w:p>
        </w:tc>
        <w:tc>
          <w:tcPr>
            <w:tcW w:w="2963" w:type="dxa"/>
          </w:tcPr>
          <w:p w14:paraId="164AE909">
            <w:pPr>
              <w:adjustRightInd w:val="0"/>
              <w:snapToGrid w:val="0"/>
              <w:spacing w:line="360" w:lineRule="auto"/>
              <w:rPr>
                <w:rFonts w:hint="eastAsia" w:ascii="宋体" w:hAnsi="宋体"/>
                <w:kern w:val="0"/>
                <w:sz w:val="24"/>
              </w:rPr>
            </w:pPr>
          </w:p>
        </w:tc>
        <w:tc>
          <w:tcPr>
            <w:tcW w:w="2439" w:type="dxa"/>
          </w:tcPr>
          <w:p w14:paraId="26DBDA0F">
            <w:pPr>
              <w:adjustRightInd w:val="0"/>
              <w:snapToGrid w:val="0"/>
              <w:spacing w:line="360" w:lineRule="auto"/>
              <w:rPr>
                <w:rFonts w:hint="eastAsia" w:ascii="宋体" w:hAnsi="宋体"/>
                <w:kern w:val="0"/>
                <w:sz w:val="24"/>
              </w:rPr>
            </w:pPr>
          </w:p>
        </w:tc>
        <w:tc>
          <w:tcPr>
            <w:tcW w:w="2961" w:type="dxa"/>
          </w:tcPr>
          <w:p w14:paraId="7CB7CBF6">
            <w:pPr>
              <w:adjustRightInd w:val="0"/>
              <w:snapToGrid w:val="0"/>
              <w:spacing w:line="360" w:lineRule="auto"/>
              <w:rPr>
                <w:rFonts w:hint="eastAsia" w:ascii="宋体" w:hAnsi="宋体"/>
                <w:kern w:val="0"/>
                <w:sz w:val="24"/>
              </w:rPr>
            </w:pPr>
          </w:p>
        </w:tc>
      </w:tr>
      <w:tr w14:paraId="2BDFB90F">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697" w:type="dxa"/>
          </w:tcPr>
          <w:p w14:paraId="64D77D0D">
            <w:pPr>
              <w:adjustRightInd w:val="0"/>
              <w:snapToGrid w:val="0"/>
              <w:spacing w:line="360" w:lineRule="auto"/>
              <w:rPr>
                <w:rFonts w:hint="eastAsia" w:ascii="宋体" w:hAnsi="宋体"/>
                <w:kern w:val="0"/>
                <w:sz w:val="24"/>
              </w:rPr>
            </w:pPr>
          </w:p>
        </w:tc>
        <w:tc>
          <w:tcPr>
            <w:tcW w:w="2963" w:type="dxa"/>
          </w:tcPr>
          <w:p w14:paraId="6F4B9495">
            <w:pPr>
              <w:adjustRightInd w:val="0"/>
              <w:snapToGrid w:val="0"/>
              <w:spacing w:line="360" w:lineRule="auto"/>
              <w:rPr>
                <w:rFonts w:hint="eastAsia" w:ascii="宋体" w:hAnsi="宋体"/>
                <w:kern w:val="0"/>
                <w:sz w:val="24"/>
              </w:rPr>
            </w:pPr>
          </w:p>
        </w:tc>
        <w:tc>
          <w:tcPr>
            <w:tcW w:w="2439" w:type="dxa"/>
          </w:tcPr>
          <w:p w14:paraId="26B8529A">
            <w:pPr>
              <w:adjustRightInd w:val="0"/>
              <w:snapToGrid w:val="0"/>
              <w:spacing w:line="360" w:lineRule="auto"/>
              <w:rPr>
                <w:rFonts w:hint="eastAsia" w:ascii="宋体" w:hAnsi="宋体"/>
                <w:kern w:val="0"/>
                <w:sz w:val="24"/>
              </w:rPr>
            </w:pPr>
          </w:p>
        </w:tc>
        <w:tc>
          <w:tcPr>
            <w:tcW w:w="2961" w:type="dxa"/>
          </w:tcPr>
          <w:p w14:paraId="29E8478E">
            <w:pPr>
              <w:adjustRightInd w:val="0"/>
              <w:snapToGrid w:val="0"/>
              <w:spacing w:line="360" w:lineRule="auto"/>
              <w:rPr>
                <w:rFonts w:hint="eastAsia" w:ascii="宋体" w:hAnsi="宋体"/>
                <w:kern w:val="0"/>
                <w:sz w:val="24"/>
              </w:rPr>
            </w:pPr>
          </w:p>
        </w:tc>
      </w:tr>
      <w:tr w14:paraId="65B66D95">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697" w:type="dxa"/>
          </w:tcPr>
          <w:p w14:paraId="41E8C7C4">
            <w:pPr>
              <w:adjustRightInd w:val="0"/>
              <w:snapToGrid w:val="0"/>
              <w:spacing w:line="360" w:lineRule="auto"/>
              <w:rPr>
                <w:rFonts w:hint="eastAsia" w:ascii="宋体" w:hAnsi="宋体"/>
                <w:kern w:val="0"/>
                <w:sz w:val="24"/>
              </w:rPr>
            </w:pPr>
          </w:p>
        </w:tc>
        <w:tc>
          <w:tcPr>
            <w:tcW w:w="2963" w:type="dxa"/>
          </w:tcPr>
          <w:p w14:paraId="4926CB41">
            <w:pPr>
              <w:adjustRightInd w:val="0"/>
              <w:snapToGrid w:val="0"/>
              <w:spacing w:line="360" w:lineRule="auto"/>
              <w:rPr>
                <w:rFonts w:hint="eastAsia" w:ascii="宋体" w:hAnsi="宋体"/>
                <w:kern w:val="0"/>
                <w:sz w:val="24"/>
              </w:rPr>
            </w:pPr>
          </w:p>
        </w:tc>
        <w:tc>
          <w:tcPr>
            <w:tcW w:w="2439" w:type="dxa"/>
          </w:tcPr>
          <w:p w14:paraId="6089AC4A">
            <w:pPr>
              <w:adjustRightInd w:val="0"/>
              <w:snapToGrid w:val="0"/>
              <w:spacing w:line="360" w:lineRule="auto"/>
              <w:rPr>
                <w:rFonts w:hint="eastAsia" w:ascii="宋体" w:hAnsi="宋体"/>
                <w:kern w:val="0"/>
                <w:sz w:val="24"/>
              </w:rPr>
            </w:pPr>
          </w:p>
        </w:tc>
        <w:tc>
          <w:tcPr>
            <w:tcW w:w="2961" w:type="dxa"/>
          </w:tcPr>
          <w:p w14:paraId="248F0491">
            <w:pPr>
              <w:adjustRightInd w:val="0"/>
              <w:snapToGrid w:val="0"/>
              <w:spacing w:line="360" w:lineRule="auto"/>
              <w:rPr>
                <w:rFonts w:hint="eastAsia" w:ascii="宋体" w:hAnsi="宋体"/>
                <w:kern w:val="0"/>
                <w:sz w:val="24"/>
              </w:rPr>
            </w:pPr>
          </w:p>
        </w:tc>
      </w:tr>
      <w:tr w14:paraId="25D6AD11">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697" w:type="dxa"/>
          </w:tcPr>
          <w:p w14:paraId="4DF13EEA">
            <w:pPr>
              <w:adjustRightInd w:val="0"/>
              <w:snapToGrid w:val="0"/>
              <w:spacing w:line="360" w:lineRule="auto"/>
              <w:rPr>
                <w:rFonts w:hint="eastAsia" w:ascii="宋体" w:hAnsi="宋体"/>
                <w:kern w:val="0"/>
                <w:sz w:val="24"/>
              </w:rPr>
            </w:pPr>
          </w:p>
        </w:tc>
        <w:tc>
          <w:tcPr>
            <w:tcW w:w="2963" w:type="dxa"/>
          </w:tcPr>
          <w:p w14:paraId="3FADA494">
            <w:pPr>
              <w:adjustRightInd w:val="0"/>
              <w:snapToGrid w:val="0"/>
              <w:spacing w:line="360" w:lineRule="auto"/>
              <w:rPr>
                <w:rFonts w:hint="eastAsia" w:ascii="宋体" w:hAnsi="宋体"/>
                <w:kern w:val="0"/>
                <w:sz w:val="24"/>
              </w:rPr>
            </w:pPr>
          </w:p>
        </w:tc>
        <w:tc>
          <w:tcPr>
            <w:tcW w:w="2439" w:type="dxa"/>
          </w:tcPr>
          <w:p w14:paraId="2B6337E7">
            <w:pPr>
              <w:adjustRightInd w:val="0"/>
              <w:snapToGrid w:val="0"/>
              <w:spacing w:line="360" w:lineRule="auto"/>
              <w:rPr>
                <w:rFonts w:hint="eastAsia" w:ascii="宋体" w:hAnsi="宋体"/>
                <w:kern w:val="0"/>
                <w:sz w:val="24"/>
              </w:rPr>
            </w:pPr>
          </w:p>
        </w:tc>
        <w:tc>
          <w:tcPr>
            <w:tcW w:w="2961" w:type="dxa"/>
          </w:tcPr>
          <w:p w14:paraId="634BBB22">
            <w:pPr>
              <w:adjustRightInd w:val="0"/>
              <w:snapToGrid w:val="0"/>
              <w:spacing w:line="360" w:lineRule="auto"/>
              <w:rPr>
                <w:rFonts w:hint="eastAsia" w:ascii="宋体" w:hAnsi="宋体"/>
                <w:kern w:val="0"/>
                <w:sz w:val="24"/>
              </w:rPr>
            </w:pPr>
          </w:p>
        </w:tc>
      </w:tr>
      <w:tr w14:paraId="3CAA2BAB">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697" w:type="dxa"/>
          </w:tcPr>
          <w:p w14:paraId="05008B6A">
            <w:pPr>
              <w:adjustRightInd w:val="0"/>
              <w:snapToGrid w:val="0"/>
              <w:spacing w:line="360" w:lineRule="auto"/>
              <w:rPr>
                <w:rFonts w:hint="eastAsia" w:ascii="宋体" w:hAnsi="宋体"/>
                <w:kern w:val="0"/>
                <w:sz w:val="24"/>
              </w:rPr>
            </w:pPr>
          </w:p>
        </w:tc>
        <w:tc>
          <w:tcPr>
            <w:tcW w:w="2963" w:type="dxa"/>
          </w:tcPr>
          <w:p w14:paraId="5403D94C">
            <w:pPr>
              <w:adjustRightInd w:val="0"/>
              <w:snapToGrid w:val="0"/>
              <w:spacing w:line="360" w:lineRule="auto"/>
              <w:rPr>
                <w:rFonts w:hint="eastAsia" w:ascii="宋体" w:hAnsi="宋体"/>
                <w:kern w:val="0"/>
                <w:sz w:val="24"/>
              </w:rPr>
            </w:pPr>
          </w:p>
        </w:tc>
        <w:tc>
          <w:tcPr>
            <w:tcW w:w="2439" w:type="dxa"/>
          </w:tcPr>
          <w:p w14:paraId="1EDA4FDB">
            <w:pPr>
              <w:adjustRightInd w:val="0"/>
              <w:snapToGrid w:val="0"/>
              <w:spacing w:line="360" w:lineRule="auto"/>
              <w:rPr>
                <w:rFonts w:hint="eastAsia" w:ascii="宋体" w:hAnsi="宋体"/>
                <w:kern w:val="0"/>
                <w:sz w:val="24"/>
              </w:rPr>
            </w:pPr>
          </w:p>
        </w:tc>
        <w:tc>
          <w:tcPr>
            <w:tcW w:w="2961" w:type="dxa"/>
          </w:tcPr>
          <w:p w14:paraId="511CC385">
            <w:pPr>
              <w:adjustRightInd w:val="0"/>
              <w:snapToGrid w:val="0"/>
              <w:spacing w:line="360" w:lineRule="auto"/>
              <w:rPr>
                <w:rFonts w:hint="eastAsia" w:ascii="宋体" w:hAnsi="宋体"/>
                <w:kern w:val="0"/>
                <w:sz w:val="24"/>
              </w:rPr>
            </w:pPr>
          </w:p>
        </w:tc>
      </w:tr>
      <w:tr w14:paraId="32D961AB">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697" w:type="dxa"/>
          </w:tcPr>
          <w:p w14:paraId="065457E2">
            <w:pPr>
              <w:adjustRightInd w:val="0"/>
              <w:snapToGrid w:val="0"/>
              <w:spacing w:line="360" w:lineRule="auto"/>
              <w:rPr>
                <w:rFonts w:hint="eastAsia" w:ascii="宋体" w:hAnsi="宋体"/>
                <w:kern w:val="0"/>
                <w:sz w:val="24"/>
              </w:rPr>
            </w:pPr>
          </w:p>
        </w:tc>
        <w:tc>
          <w:tcPr>
            <w:tcW w:w="2963" w:type="dxa"/>
          </w:tcPr>
          <w:p w14:paraId="4260728A">
            <w:pPr>
              <w:adjustRightInd w:val="0"/>
              <w:snapToGrid w:val="0"/>
              <w:spacing w:line="360" w:lineRule="auto"/>
              <w:rPr>
                <w:rFonts w:hint="eastAsia" w:ascii="宋体" w:hAnsi="宋体"/>
                <w:kern w:val="0"/>
                <w:sz w:val="24"/>
              </w:rPr>
            </w:pPr>
          </w:p>
        </w:tc>
        <w:tc>
          <w:tcPr>
            <w:tcW w:w="2439" w:type="dxa"/>
          </w:tcPr>
          <w:p w14:paraId="1119D79B">
            <w:pPr>
              <w:adjustRightInd w:val="0"/>
              <w:snapToGrid w:val="0"/>
              <w:spacing w:line="360" w:lineRule="auto"/>
              <w:rPr>
                <w:rFonts w:hint="eastAsia" w:ascii="宋体" w:hAnsi="宋体"/>
                <w:kern w:val="0"/>
                <w:sz w:val="24"/>
              </w:rPr>
            </w:pPr>
          </w:p>
        </w:tc>
        <w:tc>
          <w:tcPr>
            <w:tcW w:w="2961" w:type="dxa"/>
          </w:tcPr>
          <w:p w14:paraId="4966AF98">
            <w:pPr>
              <w:adjustRightInd w:val="0"/>
              <w:snapToGrid w:val="0"/>
              <w:spacing w:line="360" w:lineRule="auto"/>
              <w:rPr>
                <w:rFonts w:hint="eastAsia" w:ascii="宋体" w:hAnsi="宋体"/>
                <w:kern w:val="0"/>
                <w:sz w:val="24"/>
              </w:rPr>
            </w:pPr>
          </w:p>
        </w:tc>
      </w:tr>
      <w:tr w14:paraId="770F4512">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697" w:type="dxa"/>
          </w:tcPr>
          <w:p w14:paraId="64C23D34">
            <w:pPr>
              <w:adjustRightInd w:val="0"/>
              <w:snapToGrid w:val="0"/>
              <w:spacing w:line="360" w:lineRule="auto"/>
              <w:rPr>
                <w:rFonts w:hint="eastAsia" w:ascii="宋体" w:hAnsi="宋体"/>
                <w:kern w:val="0"/>
                <w:sz w:val="24"/>
              </w:rPr>
            </w:pPr>
          </w:p>
        </w:tc>
        <w:tc>
          <w:tcPr>
            <w:tcW w:w="2963" w:type="dxa"/>
          </w:tcPr>
          <w:p w14:paraId="387876D1">
            <w:pPr>
              <w:adjustRightInd w:val="0"/>
              <w:snapToGrid w:val="0"/>
              <w:spacing w:line="360" w:lineRule="auto"/>
              <w:rPr>
                <w:rFonts w:hint="eastAsia" w:ascii="宋体" w:hAnsi="宋体"/>
                <w:kern w:val="0"/>
                <w:sz w:val="24"/>
              </w:rPr>
            </w:pPr>
          </w:p>
        </w:tc>
        <w:tc>
          <w:tcPr>
            <w:tcW w:w="2439" w:type="dxa"/>
          </w:tcPr>
          <w:p w14:paraId="5927B1FC">
            <w:pPr>
              <w:adjustRightInd w:val="0"/>
              <w:snapToGrid w:val="0"/>
              <w:spacing w:line="360" w:lineRule="auto"/>
              <w:rPr>
                <w:rFonts w:hint="eastAsia" w:ascii="宋体" w:hAnsi="宋体"/>
                <w:kern w:val="0"/>
                <w:sz w:val="24"/>
              </w:rPr>
            </w:pPr>
          </w:p>
        </w:tc>
        <w:tc>
          <w:tcPr>
            <w:tcW w:w="2961" w:type="dxa"/>
          </w:tcPr>
          <w:p w14:paraId="05900536">
            <w:pPr>
              <w:adjustRightInd w:val="0"/>
              <w:snapToGrid w:val="0"/>
              <w:spacing w:line="360" w:lineRule="auto"/>
              <w:rPr>
                <w:rFonts w:hint="eastAsia" w:ascii="宋体" w:hAnsi="宋体"/>
                <w:kern w:val="0"/>
                <w:sz w:val="24"/>
              </w:rPr>
            </w:pPr>
          </w:p>
        </w:tc>
      </w:tr>
    </w:tbl>
    <w:p w14:paraId="74A0C184">
      <w:pPr>
        <w:widowControl/>
        <w:jc w:val="left"/>
        <w:rPr>
          <w:rFonts w:hint="eastAsia" w:ascii="黑体" w:hAnsi="黑体" w:eastAsia="黑体"/>
          <w:bCs/>
          <w:szCs w:val="21"/>
        </w:rPr>
      </w:pPr>
      <w:r>
        <w:rPr>
          <w:rFonts w:ascii="黑体" w:hAnsi="黑体"/>
          <w:b/>
          <w:szCs w:val="21"/>
        </w:rPr>
        <w:br w:type="page"/>
      </w:r>
    </w:p>
    <w:p w14:paraId="4B854BFA">
      <w:pPr>
        <w:pStyle w:val="4"/>
        <w:adjustRightInd w:val="0"/>
        <w:snapToGrid w:val="0"/>
        <w:spacing w:before="156" w:beforeLines="50" w:after="0" w:line="360" w:lineRule="auto"/>
        <w:rPr>
          <w:rFonts w:hint="eastAsia" w:ascii="黑体" w:hAnsi="黑体" w:eastAsia="黑体" w:cs="黑体"/>
          <w:b w:val="0"/>
          <w:bCs w:val="0"/>
          <w:sz w:val="21"/>
          <w:szCs w:val="21"/>
        </w:rPr>
      </w:pPr>
      <w:bookmarkStart w:id="132" w:name="_Toc15297"/>
      <w:r>
        <w:rPr>
          <w:rFonts w:hint="eastAsia" w:ascii="黑体" w:hAnsi="黑体" w:eastAsia="黑体" w:cs="黑体"/>
          <w:b w:val="0"/>
          <w:bCs w:val="0"/>
          <w:sz w:val="21"/>
          <w:szCs w:val="21"/>
        </w:rPr>
        <w:t>附表3 符合性审查合格投标人名单</w:t>
      </w:r>
      <w:bookmarkEnd w:id="132"/>
    </w:p>
    <w:p w14:paraId="1486D2D7">
      <w:pPr>
        <w:adjustRightInd w:val="0"/>
        <w:snapToGrid w:val="0"/>
        <w:spacing w:before="156" w:beforeLines="50" w:line="360" w:lineRule="auto"/>
        <w:jc w:val="center"/>
        <w:rPr>
          <w:rFonts w:hint="eastAsia" w:ascii="黑体" w:hAnsi="黑体" w:eastAsia="黑体"/>
          <w:b/>
          <w:sz w:val="28"/>
          <w:szCs w:val="28"/>
        </w:rPr>
      </w:pPr>
      <w:r>
        <w:rPr>
          <w:rFonts w:hint="eastAsia" w:ascii="黑体" w:hAnsi="黑体" w:eastAsia="黑体"/>
          <w:b/>
          <w:sz w:val="28"/>
          <w:szCs w:val="28"/>
        </w:rPr>
        <w:t>符合性审查合格投标人名单</w:t>
      </w:r>
    </w:p>
    <w:p w14:paraId="23EE0F8A">
      <w:pPr>
        <w:adjustRightInd w:val="0"/>
        <w:snapToGrid w:val="0"/>
        <w:spacing w:before="156" w:beforeLines="50" w:line="360" w:lineRule="auto"/>
        <w:rPr>
          <w:rFonts w:hint="eastAsia" w:ascii="宋体" w:hAnsi="宋体"/>
          <w:szCs w:val="21"/>
        </w:rPr>
      </w:pPr>
      <w:r>
        <w:rPr>
          <w:rFonts w:hint="eastAsia" w:ascii="宋体" w:hAnsi="宋体"/>
          <w:szCs w:val="21"/>
        </w:rPr>
        <w:t>项目名称：</w:t>
      </w:r>
      <w:r>
        <w:rPr>
          <w:rFonts w:hint="eastAsia" w:ascii="宋体" w:hAnsi="宋体"/>
          <w:szCs w:val="21"/>
          <w:lang w:eastAsia="zh-CN"/>
        </w:rPr>
        <w:t>新化县殡仪馆新建项目相关设备设施采购项目</w:t>
      </w:r>
      <w:r>
        <w:rPr>
          <w:rFonts w:hint="eastAsia" w:ascii="宋体" w:hAnsi="宋体"/>
          <w:szCs w:val="21"/>
        </w:rPr>
        <w:t xml:space="preserve">  </w:t>
      </w:r>
    </w:p>
    <w:p w14:paraId="03592033">
      <w:pPr>
        <w:adjustRightInd w:val="0"/>
        <w:snapToGrid w:val="0"/>
        <w:spacing w:before="156" w:beforeLines="50" w:line="360" w:lineRule="auto"/>
        <w:rPr>
          <w:rFonts w:hint="eastAsia" w:ascii="华文中宋" w:hAnsi="华文中宋" w:eastAsia="华文中宋"/>
          <w:sz w:val="32"/>
          <w:szCs w:val="32"/>
        </w:rPr>
      </w:pPr>
      <w:r>
        <w:rPr>
          <w:rFonts w:hint="eastAsia" w:ascii="宋体" w:hAnsi="宋体"/>
          <w:szCs w:val="21"/>
        </w:rPr>
        <w:t>政府采购计划编号：</w:t>
      </w:r>
    </w:p>
    <w:tbl>
      <w:tblPr>
        <w:tblStyle w:val="27"/>
        <w:tblW w:w="8789" w:type="dxa"/>
        <w:tblInd w:w="108" w:type="dxa"/>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993"/>
        <w:gridCol w:w="7796"/>
      </w:tblGrid>
      <w:tr w14:paraId="3A405BD6">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993" w:type="dxa"/>
            <w:vAlign w:val="center"/>
          </w:tcPr>
          <w:p w14:paraId="096EF56E">
            <w:pPr>
              <w:jc w:val="center"/>
              <w:rPr>
                <w:b/>
                <w:kern w:val="0"/>
                <w:szCs w:val="21"/>
              </w:rPr>
            </w:pPr>
            <w:r>
              <w:rPr>
                <w:rFonts w:hint="eastAsia"/>
                <w:b/>
                <w:kern w:val="0"/>
                <w:szCs w:val="21"/>
              </w:rPr>
              <w:t>序号</w:t>
            </w:r>
          </w:p>
        </w:tc>
        <w:tc>
          <w:tcPr>
            <w:tcW w:w="7796" w:type="dxa"/>
            <w:vAlign w:val="center"/>
          </w:tcPr>
          <w:p w14:paraId="6707AF64">
            <w:pPr>
              <w:jc w:val="center"/>
              <w:rPr>
                <w:b/>
                <w:kern w:val="0"/>
                <w:szCs w:val="21"/>
              </w:rPr>
            </w:pPr>
            <w:r>
              <w:rPr>
                <w:rFonts w:hint="eastAsia"/>
                <w:b/>
                <w:kern w:val="0"/>
                <w:szCs w:val="21"/>
              </w:rPr>
              <w:t>合格投标人名称</w:t>
            </w:r>
          </w:p>
        </w:tc>
      </w:tr>
      <w:tr w14:paraId="15CDFA32">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993" w:type="dxa"/>
          </w:tcPr>
          <w:p w14:paraId="56B20BCB">
            <w:pPr>
              <w:adjustRightInd w:val="0"/>
              <w:snapToGrid w:val="0"/>
              <w:spacing w:line="360" w:lineRule="auto"/>
              <w:rPr>
                <w:rFonts w:hint="eastAsia" w:ascii="宋体" w:hAnsi="宋体"/>
                <w:kern w:val="0"/>
                <w:szCs w:val="21"/>
              </w:rPr>
            </w:pPr>
          </w:p>
        </w:tc>
        <w:tc>
          <w:tcPr>
            <w:tcW w:w="7796" w:type="dxa"/>
          </w:tcPr>
          <w:p w14:paraId="5817DC07">
            <w:pPr>
              <w:adjustRightInd w:val="0"/>
              <w:snapToGrid w:val="0"/>
              <w:spacing w:line="360" w:lineRule="auto"/>
              <w:rPr>
                <w:rFonts w:hint="eastAsia" w:ascii="宋体" w:hAnsi="宋体"/>
                <w:kern w:val="0"/>
                <w:szCs w:val="21"/>
              </w:rPr>
            </w:pPr>
          </w:p>
        </w:tc>
      </w:tr>
      <w:tr w14:paraId="7DAA1929">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993" w:type="dxa"/>
          </w:tcPr>
          <w:p w14:paraId="7F6417D6">
            <w:pPr>
              <w:adjustRightInd w:val="0"/>
              <w:snapToGrid w:val="0"/>
              <w:spacing w:line="360" w:lineRule="auto"/>
              <w:rPr>
                <w:rFonts w:hint="eastAsia" w:ascii="宋体" w:hAnsi="宋体"/>
                <w:kern w:val="0"/>
                <w:sz w:val="24"/>
              </w:rPr>
            </w:pPr>
          </w:p>
        </w:tc>
        <w:tc>
          <w:tcPr>
            <w:tcW w:w="7796" w:type="dxa"/>
          </w:tcPr>
          <w:p w14:paraId="42E3E3DA">
            <w:pPr>
              <w:adjustRightInd w:val="0"/>
              <w:snapToGrid w:val="0"/>
              <w:spacing w:line="360" w:lineRule="auto"/>
              <w:rPr>
                <w:rFonts w:hint="eastAsia" w:ascii="宋体" w:hAnsi="宋体"/>
                <w:kern w:val="0"/>
                <w:sz w:val="24"/>
              </w:rPr>
            </w:pPr>
          </w:p>
        </w:tc>
      </w:tr>
      <w:tr w14:paraId="42D65FBF">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993" w:type="dxa"/>
          </w:tcPr>
          <w:p w14:paraId="1C09F053">
            <w:pPr>
              <w:adjustRightInd w:val="0"/>
              <w:snapToGrid w:val="0"/>
              <w:spacing w:line="360" w:lineRule="auto"/>
              <w:rPr>
                <w:rFonts w:hint="eastAsia" w:ascii="宋体" w:hAnsi="宋体"/>
                <w:kern w:val="0"/>
                <w:sz w:val="24"/>
              </w:rPr>
            </w:pPr>
          </w:p>
        </w:tc>
        <w:tc>
          <w:tcPr>
            <w:tcW w:w="7796" w:type="dxa"/>
          </w:tcPr>
          <w:p w14:paraId="2F994217">
            <w:pPr>
              <w:adjustRightInd w:val="0"/>
              <w:snapToGrid w:val="0"/>
              <w:spacing w:line="360" w:lineRule="auto"/>
              <w:rPr>
                <w:rFonts w:hint="eastAsia" w:ascii="宋体" w:hAnsi="宋体"/>
                <w:kern w:val="0"/>
                <w:sz w:val="24"/>
              </w:rPr>
            </w:pPr>
          </w:p>
        </w:tc>
      </w:tr>
      <w:tr w14:paraId="1991AB45">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993" w:type="dxa"/>
          </w:tcPr>
          <w:p w14:paraId="2C712217">
            <w:pPr>
              <w:adjustRightInd w:val="0"/>
              <w:snapToGrid w:val="0"/>
              <w:spacing w:line="360" w:lineRule="auto"/>
              <w:rPr>
                <w:rFonts w:hint="eastAsia" w:ascii="宋体" w:hAnsi="宋体"/>
                <w:kern w:val="0"/>
                <w:sz w:val="24"/>
              </w:rPr>
            </w:pPr>
          </w:p>
        </w:tc>
        <w:tc>
          <w:tcPr>
            <w:tcW w:w="7796" w:type="dxa"/>
          </w:tcPr>
          <w:p w14:paraId="2A38F64D">
            <w:pPr>
              <w:adjustRightInd w:val="0"/>
              <w:snapToGrid w:val="0"/>
              <w:spacing w:line="360" w:lineRule="auto"/>
              <w:rPr>
                <w:rFonts w:hint="eastAsia" w:ascii="宋体" w:hAnsi="宋体"/>
                <w:kern w:val="0"/>
                <w:sz w:val="24"/>
              </w:rPr>
            </w:pPr>
          </w:p>
        </w:tc>
      </w:tr>
      <w:tr w14:paraId="09190D46">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993" w:type="dxa"/>
          </w:tcPr>
          <w:p w14:paraId="539CE80E">
            <w:pPr>
              <w:adjustRightInd w:val="0"/>
              <w:snapToGrid w:val="0"/>
              <w:spacing w:line="360" w:lineRule="auto"/>
              <w:rPr>
                <w:rFonts w:hint="eastAsia" w:ascii="宋体" w:hAnsi="宋体"/>
                <w:kern w:val="0"/>
                <w:sz w:val="24"/>
              </w:rPr>
            </w:pPr>
          </w:p>
        </w:tc>
        <w:tc>
          <w:tcPr>
            <w:tcW w:w="7796" w:type="dxa"/>
          </w:tcPr>
          <w:p w14:paraId="2900B20D">
            <w:pPr>
              <w:adjustRightInd w:val="0"/>
              <w:snapToGrid w:val="0"/>
              <w:spacing w:line="360" w:lineRule="auto"/>
              <w:rPr>
                <w:rFonts w:hint="eastAsia" w:ascii="宋体" w:hAnsi="宋体"/>
                <w:kern w:val="0"/>
                <w:sz w:val="24"/>
              </w:rPr>
            </w:pPr>
          </w:p>
        </w:tc>
      </w:tr>
      <w:tr w14:paraId="2DCCEC35">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993" w:type="dxa"/>
          </w:tcPr>
          <w:p w14:paraId="3F46D511">
            <w:pPr>
              <w:adjustRightInd w:val="0"/>
              <w:snapToGrid w:val="0"/>
              <w:spacing w:line="360" w:lineRule="auto"/>
              <w:rPr>
                <w:rFonts w:hint="eastAsia" w:ascii="宋体" w:hAnsi="宋体"/>
                <w:kern w:val="0"/>
                <w:sz w:val="24"/>
              </w:rPr>
            </w:pPr>
          </w:p>
        </w:tc>
        <w:tc>
          <w:tcPr>
            <w:tcW w:w="7796" w:type="dxa"/>
          </w:tcPr>
          <w:p w14:paraId="30C0F1E8">
            <w:pPr>
              <w:adjustRightInd w:val="0"/>
              <w:snapToGrid w:val="0"/>
              <w:spacing w:line="360" w:lineRule="auto"/>
              <w:rPr>
                <w:rFonts w:hint="eastAsia" w:ascii="宋体" w:hAnsi="宋体"/>
                <w:kern w:val="0"/>
                <w:sz w:val="24"/>
              </w:rPr>
            </w:pPr>
          </w:p>
        </w:tc>
      </w:tr>
    </w:tbl>
    <w:p w14:paraId="0B21DC27">
      <w:pPr>
        <w:rPr>
          <w:w w:val="90"/>
        </w:rPr>
      </w:pPr>
    </w:p>
    <w:p w14:paraId="20DD7C2D">
      <w:pPr>
        <w:rPr>
          <w:rFonts w:hint="eastAsia" w:ascii="黑体" w:hAnsi="黑体" w:eastAsia="黑体"/>
          <w:b/>
          <w:sz w:val="32"/>
          <w:szCs w:val="32"/>
        </w:rPr>
      </w:pPr>
    </w:p>
    <w:p w14:paraId="679CDAE2">
      <w:pPr>
        <w:pStyle w:val="2"/>
        <w:adjustRightInd w:val="0"/>
        <w:snapToGrid w:val="0"/>
        <w:jc w:val="center"/>
        <w:rPr>
          <w:rFonts w:hint="eastAsia" w:ascii="黑体" w:hAnsi="华文中宋" w:eastAsia="黑体"/>
          <w:sz w:val="28"/>
          <w:szCs w:val="28"/>
        </w:rPr>
      </w:pPr>
      <w:r>
        <w:rPr>
          <w:rFonts w:ascii="黑体" w:hAnsi="黑体" w:eastAsia="黑体"/>
          <w:b w:val="0"/>
          <w:sz w:val="32"/>
        </w:rPr>
        <w:br w:type="page"/>
      </w:r>
      <w:bookmarkStart w:id="133" w:name="_Toc30156"/>
      <w:r>
        <w:rPr>
          <w:rFonts w:hint="eastAsia" w:ascii="黑体" w:hAnsi="华文中宋" w:eastAsia="黑体"/>
          <w:sz w:val="28"/>
          <w:szCs w:val="28"/>
        </w:rPr>
        <w:t>第四节 投标文件的比较与评价（综合评分法）</w:t>
      </w:r>
      <w:bookmarkEnd w:id="133"/>
    </w:p>
    <w:p w14:paraId="160D02DD">
      <w:pPr>
        <w:widowControl/>
        <w:adjustRightInd w:val="0"/>
        <w:snapToGrid w:val="0"/>
        <w:spacing w:before="156" w:beforeLines="50" w:line="360" w:lineRule="auto"/>
        <w:jc w:val="left"/>
        <w:rPr>
          <w:rFonts w:hint="eastAsia" w:ascii="黑体" w:hAnsi="黑体" w:eastAsia="黑体"/>
          <w:b/>
          <w:sz w:val="24"/>
        </w:rPr>
      </w:pPr>
      <w:r>
        <w:rPr>
          <w:rFonts w:hint="eastAsia" w:ascii="黑体" w:hAnsi="黑体" w:eastAsia="黑体"/>
          <w:b/>
          <w:sz w:val="24"/>
        </w:rPr>
        <w:t>1.</w:t>
      </w:r>
      <w:r>
        <w:rPr>
          <w:rFonts w:hint="eastAsia"/>
        </w:rPr>
        <w:t xml:space="preserve"> </w:t>
      </w:r>
      <w:r>
        <w:rPr>
          <w:rFonts w:hint="eastAsia" w:ascii="黑体" w:hAnsi="黑体" w:eastAsia="黑体"/>
          <w:b/>
          <w:sz w:val="24"/>
        </w:rPr>
        <w:t>综合评分法</w:t>
      </w:r>
    </w:p>
    <w:p w14:paraId="02FCA5FB">
      <w:pPr>
        <w:adjustRightInd w:val="0"/>
        <w:snapToGrid w:val="0"/>
        <w:spacing w:before="156" w:beforeLines="50" w:line="360" w:lineRule="auto"/>
        <w:ind w:firstLine="420" w:firstLineChars="200"/>
        <w:jc w:val="left"/>
        <w:rPr>
          <w:rFonts w:hint="eastAsia" w:ascii="宋体" w:hAnsi="宋体"/>
          <w:bCs/>
          <w:szCs w:val="21"/>
        </w:rPr>
      </w:pPr>
      <w:r>
        <w:rPr>
          <w:rFonts w:hint="eastAsia" w:ascii="宋体" w:hAnsi="宋体"/>
          <w:bCs/>
          <w:szCs w:val="21"/>
        </w:rPr>
        <w:t>1.1综合评分法，指投标文件满足招标文件全部实质性要求，且按照评审因素的量化指标评审得分最高的投标人为中标候选人的评标方法。</w:t>
      </w:r>
    </w:p>
    <w:p w14:paraId="3968EE11">
      <w:pPr>
        <w:adjustRightInd w:val="0"/>
        <w:snapToGrid w:val="0"/>
        <w:spacing w:before="156" w:beforeLines="50" w:line="360" w:lineRule="auto"/>
        <w:ind w:firstLine="420" w:firstLineChars="200"/>
        <w:jc w:val="left"/>
        <w:rPr>
          <w:rFonts w:hint="eastAsia" w:ascii="宋体" w:hAnsi="宋体"/>
          <w:bCs/>
          <w:szCs w:val="21"/>
        </w:rPr>
      </w:pPr>
      <w:r>
        <w:rPr>
          <w:rFonts w:hint="eastAsia" w:ascii="宋体" w:hAnsi="宋体"/>
          <w:bCs/>
          <w:szCs w:val="21"/>
        </w:rPr>
        <w:t>1.2评标因素：评审因素的设定应当与投标人所提供货物服务的质量相关，包括投标报价、技术或者服务水平、履约能力、售后服务等，但不包括第一章投标人的资格要求。本采购项目的评标因素和标准见本章本节附表1“评标方法及标准表”。</w:t>
      </w:r>
    </w:p>
    <w:p w14:paraId="4A2F9027">
      <w:pPr>
        <w:adjustRightInd w:val="0"/>
        <w:snapToGrid w:val="0"/>
        <w:spacing w:before="156" w:beforeLines="50" w:line="360" w:lineRule="auto"/>
        <w:ind w:firstLine="420" w:firstLineChars="200"/>
        <w:jc w:val="left"/>
        <w:rPr>
          <w:rFonts w:hint="eastAsia" w:ascii="宋体" w:hAnsi="宋体"/>
          <w:bCs/>
          <w:szCs w:val="21"/>
        </w:rPr>
      </w:pPr>
      <w:r>
        <w:rPr>
          <w:rFonts w:hint="eastAsia" w:ascii="宋体" w:hAnsi="宋体"/>
          <w:bCs/>
          <w:szCs w:val="21"/>
        </w:rPr>
        <w:t>1.3未通过符合性审查的投标文件不得进入比较与评价。</w:t>
      </w:r>
    </w:p>
    <w:p w14:paraId="2B2952EF">
      <w:pPr>
        <w:adjustRightInd w:val="0"/>
        <w:snapToGrid w:val="0"/>
        <w:spacing w:before="156" w:beforeLines="50" w:line="360" w:lineRule="auto"/>
        <w:jc w:val="left"/>
        <w:rPr>
          <w:rFonts w:hint="eastAsia" w:ascii="黑体" w:hAnsi="黑体" w:eastAsia="黑体"/>
          <w:b/>
          <w:bCs/>
          <w:sz w:val="24"/>
        </w:rPr>
      </w:pPr>
      <w:r>
        <w:rPr>
          <w:rFonts w:hint="eastAsia" w:ascii="黑体" w:hAnsi="黑体" w:eastAsia="黑体"/>
          <w:b/>
          <w:bCs/>
          <w:sz w:val="24"/>
        </w:rPr>
        <w:t>2.</w:t>
      </w:r>
      <w:r>
        <w:rPr>
          <w:rFonts w:hint="eastAsia"/>
        </w:rPr>
        <w:t xml:space="preserve"> </w:t>
      </w:r>
      <w:r>
        <w:rPr>
          <w:rFonts w:hint="eastAsia" w:ascii="黑体" w:hAnsi="黑体" w:eastAsia="黑体"/>
          <w:b/>
          <w:bCs/>
          <w:sz w:val="24"/>
        </w:rPr>
        <w:t>投标报价的算术修正及政府采购政策调整</w:t>
      </w:r>
    </w:p>
    <w:p w14:paraId="114A9E57">
      <w:pPr>
        <w:adjustRightInd w:val="0"/>
        <w:snapToGrid w:val="0"/>
        <w:spacing w:before="156" w:beforeLines="50" w:line="360" w:lineRule="auto"/>
        <w:ind w:firstLine="420" w:firstLineChars="200"/>
        <w:jc w:val="left"/>
        <w:rPr>
          <w:rFonts w:hint="eastAsia" w:ascii="宋体" w:hAnsi="宋体"/>
          <w:bCs/>
          <w:szCs w:val="21"/>
        </w:rPr>
      </w:pPr>
      <w:r>
        <w:rPr>
          <w:rFonts w:hint="eastAsia" w:ascii="宋体" w:hAnsi="宋体"/>
          <w:bCs/>
          <w:szCs w:val="21"/>
        </w:rPr>
        <w:t>2.1如果有算术错误，投标报价将按本章第二节第4.2款、第4.3款规定进行算术修正。</w:t>
      </w:r>
    </w:p>
    <w:p w14:paraId="11A4548B">
      <w:pPr>
        <w:adjustRightInd w:val="0"/>
        <w:snapToGrid w:val="0"/>
        <w:spacing w:before="156" w:beforeLines="50" w:line="360" w:lineRule="auto"/>
        <w:ind w:firstLine="420" w:firstLineChars="200"/>
        <w:jc w:val="left"/>
        <w:rPr>
          <w:rFonts w:hint="eastAsia" w:ascii="宋体" w:hAnsi="宋体"/>
          <w:bCs/>
          <w:szCs w:val="21"/>
        </w:rPr>
      </w:pPr>
      <w:r>
        <w:rPr>
          <w:rFonts w:hint="eastAsia" w:ascii="宋体" w:hAnsi="宋体"/>
          <w:bCs/>
          <w:szCs w:val="21"/>
        </w:rPr>
        <w:t>2.2需落实政府采购政策（价格评审优惠）的，按第二章“投标须知”及本章第二节第</w:t>
      </w:r>
      <w:r>
        <w:rPr>
          <w:rFonts w:ascii="宋体" w:hAnsi="宋体"/>
          <w:bCs/>
          <w:szCs w:val="21"/>
        </w:rPr>
        <w:t>5.</w:t>
      </w:r>
      <w:r>
        <w:rPr>
          <w:rFonts w:hint="eastAsia" w:ascii="宋体" w:hAnsi="宋体"/>
          <w:bCs/>
          <w:szCs w:val="21"/>
        </w:rPr>
        <w:t>4（1）项的相关规定进行价格调整。</w:t>
      </w:r>
    </w:p>
    <w:p w14:paraId="5E8FBCDF">
      <w:pPr>
        <w:adjustRightInd w:val="0"/>
        <w:snapToGrid w:val="0"/>
        <w:spacing w:before="156" w:beforeLines="50" w:line="360" w:lineRule="auto"/>
        <w:ind w:firstLine="420" w:firstLineChars="200"/>
        <w:jc w:val="left"/>
        <w:rPr>
          <w:rFonts w:hint="eastAsia" w:ascii="宋体" w:hAnsi="宋体"/>
          <w:bCs/>
          <w:szCs w:val="21"/>
        </w:rPr>
      </w:pPr>
      <w:r>
        <w:rPr>
          <w:rFonts w:hint="eastAsia" w:ascii="宋体" w:hAnsi="宋体"/>
          <w:bCs/>
          <w:szCs w:val="21"/>
        </w:rPr>
        <w:t>2.3按本章本节第2.1款、第2.2款规定，以修正或调整后的价格确定投标人的投标报价和评标基准价，用于投标报价评价。</w:t>
      </w:r>
    </w:p>
    <w:p w14:paraId="3EB11485">
      <w:pPr>
        <w:adjustRightInd w:val="0"/>
        <w:snapToGrid w:val="0"/>
        <w:spacing w:before="156" w:beforeLines="50" w:line="360" w:lineRule="auto"/>
        <w:jc w:val="left"/>
        <w:rPr>
          <w:rFonts w:hint="eastAsia" w:ascii="黑体" w:hAnsi="黑体" w:eastAsia="黑体"/>
          <w:b/>
          <w:bCs/>
          <w:sz w:val="24"/>
        </w:rPr>
      </w:pPr>
      <w:r>
        <w:rPr>
          <w:rFonts w:hint="eastAsia" w:ascii="黑体" w:hAnsi="黑体" w:eastAsia="黑体"/>
          <w:b/>
          <w:bCs/>
          <w:sz w:val="24"/>
        </w:rPr>
        <w:t>3.</w:t>
      </w:r>
      <w:r>
        <w:rPr>
          <w:rFonts w:hint="eastAsia"/>
        </w:rPr>
        <w:t xml:space="preserve"> </w:t>
      </w:r>
      <w:r>
        <w:rPr>
          <w:rFonts w:hint="eastAsia" w:ascii="黑体" w:hAnsi="黑体" w:eastAsia="黑体"/>
          <w:b/>
          <w:bCs/>
          <w:sz w:val="24"/>
        </w:rPr>
        <w:t>投标报价评价</w:t>
      </w:r>
    </w:p>
    <w:p w14:paraId="4F3CF5A9">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3.1投标报价评价：价格分应当采用低价优先法计算，即满足招标文件要求且投标价格最低的投标报价为评标基准价，其价格分为满分（报价权重分）。其他投标人的价格分统一按照下列公式计算：</w:t>
      </w:r>
    </w:p>
    <w:p w14:paraId="474CF7FA">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投标报价得分=（评标基准价</w:t>
      </w:r>
      <w:r>
        <w:rPr>
          <w:rFonts w:hint="eastAsia" w:ascii="宋体" w:hAnsi="宋体"/>
          <w:szCs w:val="21"/>
          <w:vertAlign w:val="subscript"/>
        </w:rPr>
        <w:t>修正或调整</w:t>
      </w:r>
      <w:r>
        <w:rPr>
          <w:rFonts w:hint="eastAsia" w:ascii="宋体" w:hAnsi="宋体"/>
          <w:szCs w:val="21"/>
        </w:rPr>
        <w:t>／投标报价</w:t>
      </w:r>
      <w:r>
        <w:rPr>
          <w:rFonts w:hint="eastAsia" w:ascii="宋体" w:hAnsi="宋体"/>
          <w:szCs w:val="21"/>
          <w:vertAlign w:val="subscript"/>
        </w:rPr>
        <w:t>修正或调整</w:t>
      </w:r>
      <w:r>
        <w:rPr>
          <w:rFonts w:hint="eastAsia" w:ascii="宋体" w:hAnsi="宋体"/>
          <w:szCs w:val="21"/>
        </w:rPr>
        <w:t>） ×100×报价权值</w:t>
      </w:r>
    </w:p>
    <w:p w14:paraId="21E1D90C">
      <w:pPr>
        <w:numPr>
          <w:ilvl w:val="0"/>
          <w:numId w:val="1"/>
        </w:numPr>
        <w:adjustRightInd w:val="0"/>
        <w:snapToGrid w:val="0"/>
        <w:spacing w:before="156" w:beforeLines="50" w:line="360" w:lineRule="auto"/>
        <w:jc w:val="left"/>
        <w:rPr>
          <w:rFonts w:hint="eastAsia" w:ascii="黑体" w:hAnsi="黑体" w:eastAsia="黑体"/>
          <w:b/>
          <w:sz w:val="24"/>
        </w:rPr>
      </w:pPr>
      <w:r>
        <w:rPr>
          <w:rFonts w:hint="eastAsia" w:ascii="黑体" w:hAnsi="黑体" w:eastAsia="黑体"/>
          <w:b/>
          <w:sz w:val="24"/>
        </w:rPr>
        <w:t>技术、商务等评分项响应评价及政府采购政策加分</w:t>
      </w:r>
    </w:p>
    <w:p w14:paraId="26FC4E99">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4.1技术、商务等评分项响应评分。按</w:t>
      </w:r>
      <w:r>
        <w:rPr>
          <w:rFonts w:hint="eastAsia" w:ascii="宋体" w:hAnsi="宋体"/>
          <w:bCs/>
          <w:szCs w:val="21"/>
        </w:rPr>
        <w:t>本章</w:t>
      </w:r>
      <w:r>
        <w:rPr>
          <w:rFonts w:hint="eastAsia" w:ascii="宋体" w:hAnsi="宋体"/>
          <w:szCs w:val="21"/>
        </w:rPr>
        <w:t>本节附表1“评标方法及标准表”规定的评标因素和标准，对技术、商务等评分项计算得分。</w:t>
      </w:r>
    </w:p>
    <w:p w14:paraId="5743B4C8">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4.2需落实政府采购政策（优先采购）的，按第二章、本章第二节第5.4（2）项以及本节附表1“评标方法及标准表”的相关规定进行技术、价格、商务项得分(加分)计算。</w:t>
      </w:r>
    </w:p>
    <w:p w14:paraId="09267AC3">
      <w:pPr>
        <w:numPr>
          <w:ilvl w:val="0"/>
          <w:numId w:val="1"/>
        </w:numPr>
        <w:adjustRightInd w:val="0"/>
        <w:snapToGrid w:val="0"/>
        <w:spacing w:before="156" w:beforeLines="50" w:line="360" w:lineRule="auto"/>
        <w:jc w:val="left"/>
        <w:rPr>
          <w:rFonts w:hint="eastAsia" w:ascii="黑体" w:hAnsi="黑体" w:eastAsia="黑体"/>
          <w:b/>
          <w:sz w:val="24"/>
        </w:rPr>
      </w:pPr>
      <w:r>
        <w:rPr>
          <w:rFonts w:hint="eastAsia" w:ascii="黑体" w:hAnsi="黑体" w:eastAsia="黑体"/>
          <w:b/>
          <w:sz w:val="24"/>
        </w:rPr>
        <w:t>评标总得分</w:t>
      </w:r>
    </w:p>
    <w:p w14:paraId="576A14BB">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5.1评标总得分为投标报价、技术、商务等评分项得分(含优先采购政策加分)之和。</w:t>
      </w:r>
    </w:p>
    <w:p w14:paraId="6991891D">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评标总得分＝A</w:t>
      </w:r>
      <w:r>
        <w:rPr>
          <w:rFonts w:hint="eastAsia" w:ascii="宋体" w:hAnsi="宋体"/>
          <w:szCs w:val="21"/>
          <w:vertAlign w:val="subscript"/>
        </w:rPr>
        <w:t>投标报价得分</w:t>
      </w:r>
      <w:r>
        <w:rPr>
          <w:rFonts w:hint="eastAsia" w:ascii="宋体" w:hAnsi="宋体"/>
          <w:szCs w:val="21"/>
        </w:rPr>
        <w:t>＋A</w:t>
      </w:r>
      <w:r>
        <w:rPr>
          <w:rFonts w:hint="eastAsia" w:ascii="宋体" w:hAnsi="宋体"/>
          <w:szCs w:val="21"/>
          <w:vertAlign w:val="subscript"/>
        </w:rPr>
        <w:t>技术项得分</w:t>
      </w:r>
      <w:r>
        <w:rPr>
          <w:rFonts w:hint="eastAsia" w:ascii="宋体" w:hAnsi="宋体"/>
          <w:szCs w:val="21"/>
        </w:rPr>
        <w:t>＋A</w:t>
      </w:r>
      <w:r>
        <w:rPr>
          <w:rFonts w:hint="eastAsia" w:ascii="宋体" w:hAnsi="宋体"/>
          <w:szCs w:val="21"/>
          <w:vertAlign w:val="subscript"/>
        </w:rPr>
        <w:t>商务项得分</w:t>
      </w:r>
      <w:r>
        <w:rPr>
          <w:rFonts w:hint="eastAsia" w:ascii="宋体" w:hAnsi="宋体"/>
          <w:szCs w:val="21"/>
        </w:rPr>
        <w:t>＋A</w:t>
      </w:r>
      <w:r>
        <w:rPr>
          <w:rFonts w:hint="eastAsia" w:ascii="宋体" w:hAnsi="宋体"/>
          <w:szCs w:val="21"/>
          <w:vertAlign w:val="subscript"/>
        </w:rPr>
        <w:t>优先采购加分</w:t>
      </w:r>
    </w:p>
    <w:p w14:paraId="6E323320">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5.2评分分值计算保留小数点后两位，小数点后第三位“四舍五入”。</w:t>
      </w:r>
    </w:p>
    <w:p w14:paraId="05AEDF9C">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cs="宋体"/>
          <w:kern w:val="0"/>
          <w:szCs w:val="21"/>
        </w:rPr>
        <w:t>5.3</w:t>
      </w:r>
      <w:r>
        <w:rPr>
          <w:rFonts w:hint="eastAsia" w:ascii="宋体" w:hAnsi="宋体"/>
          <w:szCs w:val="21"/>
        </w:rPr>
        <w:t>评标时，评标委员会成员应当独立对满足招标文件全部实质性要求投标人的</w:t>
      </w:r>
      <w:r>
        <w:rPr>
          <w:rFonts w:hint="eastAsia" w:ascii="宋体" w:hAnsi="宋体"/>
          <w:bCs/>
          <w:szCs w:val="21"/>
        </w:rPr>
        <w:t>投标文件</w:t>
      </w:r>
      <w:r>
        <w:rPr>
          <w:rFonts w:hint="eastAsia" w:ascii="宋体" w:hAnsi="宋体"/>
          <w:szCs w:val="21"/>
        </w:rPr>
        <w:t>进行评价、评分，然后汇总每个投标人每项评分因素的得分。每个投标人的最终得分为所有评标委员会成员评分的算术平均值。</w:t>
      </w:r>
    </w:p>
    <w:p w14:paraId="31C53DD3">
      <w:pPr>
        <w:numPr>
          <w:ilvl w:val="0"/>
          <w:numId w:val="1"/>
        </w:numPr>
        <w:adjustRightInd w:val="0"/>
        <w:snapToGrid w:val="0"/>
        <w:spacing w:before="156" w:beforeLines="50" w:line="360" w:lineRule="auto"/>
        <w:jc w:val="left"/>
        <w:rPr>
          <w:rFonts w:hint="eastAsia" w:ascii="黑体" w:hAnsi="黑体" w:eastAsia="黑体"/>
          <w:b/>
          <w:bCs/>
          <w:sz w:val="24"/>
        </w:rPr>
      </w:pPr>
      <w:r>
        <w:rPr>
          <w:rFonts w:hint="eastAsia" w:ascii="黑体" w:hAnsi="黑体" w:eastAsia="黑体"/>
          <w:b/>
          <w:bCs/>
          <w:sz w:val="24"/>
        </w:rPr>
        <w:t>中标候选人的推荐方法</w:t>
      </w:r>
    </w:p>
    <w:p w14:paraId="34FA6D55">
      <w:pPr>
        <w:adjustRightInd w:val="0"/>
        <w:snapToGrid w:val="0"/>
        <w:spacing w:before="156" w:beforeLines="50" w:line="360" w:lineRule="auto"/>
        <w:ind w:firstLine="420" w:firstLineChars="200"/>
        <w:jc w:val="left"/>
        <w:rPr>
          <w:rFonts w:hint="eastAsia" w:ascii="宋体" w:hAnsi="宋体"/>
          <w:bCs/>
          <w:szCs w:val="21"/>
        </w:rPr>
      </w:pPr>
      <w:r>
        <w:rPr>
          <w:rFonts w:hint="eastAsia" w:ascii="宋体" w:hAnsi="宋体"/>
          <w:bCs/>
          <w:szCs w:val="21"/>
        </w:rPr>
        <w:t>6.1评标结果按评审后得分由高到低顺序排列。得分相同的，按投标报价由低到高顺序排列。得分且投标报价相同的并列。投标文件满足招标文件全部实质性要求，且按照评审因素的量化指标评审得分最高的投标人为排名第一的中标候选人。</w:t>
      </w:r>
    </w:p>
    <w:p w14:paraId="54BBF207">
      <w:pPr>
        <w:adjustRightInd w:val="0"/>
        <w:snapToGrid w:val="0"/>
        <w:spacing w:before="156" w:beforeLines="50" w:line="360" w:lineRule="auto"/>
        <w:ind w:firstLine="420" w:firstLineChars="200"/>
        <w:jc w:val="left"/>
        <w:rPr>
          <w:rFonts w:hint="eastAsia" w:ascii="宋体" w:hAnsi="宋体"/>
          <w:bCs/>
          <w:szCs w:val="21"/>
        </w:rPr>
      </w:pPr>
      <w:r>
        <w:rPr>
          <w:rFonts w:hint="eastAsia" w:ascii="宋体" w:hAnsi="宋体"/>
          <w:bCs/>
          <w:szCs w:val="21"/>
        </w:rPr>
        <w:t>6.2得分且投标报价相同的并列，按本章第二节规定确定中标候选人。</w:t>
      </w:r>
    </w:p>
    <w:p w14:paraId="1695B2AB">
      <w:pPr>
        <w:adjustRightInd w:val="0"/>
        <w:snapToGrid w:val="0"/>
        <w:spacing w:before="156" w:beforeLines="50" w:line="360" w:lineRule="auto"/>
        <w:ind w:firstLine="420" w:firstLineChars="200"/>
        <w:jc w:val="left"/>
        <w:rPr>
          <w:rFonts w:hint="eastAsia" w:ascii="宋体" w:hAnsi="宋体"/>
          <w:bCs/>
          <w:szCs w:val="21"/>
        </w:rPr>
      </w:pPr>
    </w:p>
    <w:p w14:paraId="701D3560">
      <w:pPr>
        <w:wordWrap w:val="0"/>
        <w:adjustRightInd w:val="0"/>
        <w:snapToGrid w:val="0"/>
        <w:spacing w:before="156" w:beforeLines="50" w:line="360" w:lineRule="auto"/>
        <w:jc w:val="center"/>
        <w:rPr>
          <w:rFonts w:hint="eastAsia" w:ascii="宋体" w:hAnsi="宋体" w:cs="宋体"/>
          <w:b/>
          <w:sz w:val="28"/>
          <w:szCs w:val="28"/>
        </w:rPr>
      </w:pPr>
      <w:r>
        <w:rPr>
          <w:rFonts w:ascii="宋体" w:hAnsi="宋体"/>
          <w:bCs/>
          <w:szCs w:val="21"/>
        </w:rPr>
        <w:br w:type="page"/>
      </w:r>
      <w:r>
        <w:rPr>
          <w:rFonts w:hint="eastAsia" w:ascii="宋体" w:hAnsi="宋体" w:cs="宋体"/>
          <w:b/>
          <w:sz w:val="28"/>
          <w:szCs w:val="28"/>
        </w:rPr>
        <w:t>评标方法及标准表</w:t>
      </w:r>
    </w:p>
    <w:p w14:paraId="2EB7E890">
      <w:pPr>
        <w:pStyle w:val="6"/>
        <w:rPr>
          <w:rFonts w:hint="eastAsia" w:ascii="仿宋" w:hAnsi="仿宋" w:eastAsia="仿宋" w:cs="仿宋"/>
          <w:b/>
          <w:bCs/>
          <w:color w:val="000000"/>
          <w:sz w:val="27"/>
          <w:szCs w:val="27"/>
          <w:lang w:bidi="ar"/>
        </w:rPr>
      </w:pPr>
      <w:r>
        <w:rPr>
          <w:rFonts w:hint="eastAsia" w:ascii="仿宋" w:hAnsi="仿宋" w:eastAsia="仿宋" w:cs="仿宋"/>
          <w:b/>
          <w:bCs/>
          <w:color w:val="000000"/>
          <w:sz w:val="27"/>
          <w:szCs w:val="27"/>
          <w:lang w:bidi="ar"/>
        </w:rPr>
        <w:t>本采购项目权值见下表</w:t>
      </w:r>
    </w:p>
    <w:tbl>
      <w:tblPr>
        <w:tblStyle w:val="27"/>
        <w:tblW w:w="8772" w:type="dxa"/>
        <w:jc w:val="center"/>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ayout w:type="fixed"/>
        <w:tblCellMar>
          <w:top w:w="0" w:type="dxa"/>
          <w:left w:w="108" w:type="dxa"/>
          <w:bottom w:w="0" w:type="dxa"/>
          <w:right w:w="108" w:type="dxa"/>
        </w:tblCellMar>
      </w:tblPr>
      <w:tblGrid>
        <w:gridCol w:w="847"/>
        <w:gridCol w:w="4680"/>
        <w:gridCol w:w="3245"/>
      </w:tblGrid>
      <w:tr w14:paraId="1AAC2337">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108" w:type="dxa"/>
            <w:bottom w:w="0" w:type="dxa"/>
            <w:right w:w="108" w:type="dxa"/>
          </w:tblCellMar>
        </w:tblPrEx>
        <w:trPr>
          <w:trHeight w:val="397" w:hRule="exact"/>
          <w:jc w:val="center"/>
        </w:trPr>
        <w:tc>
          <w:tcPr>
            <w:tcW w:w="847" w:type="dxa"/>
            <w:noWrap/>
            <w:vAlign w:val="center"/>
          </w:tcPr>
          <w:p w14:paraId="4A7618ED">
            <w:pPr>
              <w:jc w:val="center"/>
              <w:rPr>
                <w:rFonts w:ascii="宋体" w:hAnsi="宋体" w:cs="宋体"/>
                <w:b/>
                <w:bCs/>
                <w:szCs w:val="21"/>
              </w:rPr>
            </w:pPr>
            <w:r>
              <w:rPr>
                <w:rFonts w:hint="eastAsia" w:ascii="宋体" w:hAnsi="宋体" w:cs="宋体"/>
                <w:b/>
                <w:bCs/>
                <w:szCs w:val="21"/>
              </w:rPr>
              <w:t>序号</w:t>
            </w:r>
          </w:p>
        </w:tc>
        <w:tc>
          <w:tcPr>
            <w:tcW w:w="4680" w:type="dxa"/>
            <w:noWrap/>
            <w:vAlign w:val="center"/>
          </w:tcPr>
          <w:p w14:paraId="1AA7175F">
            <w:pPr>
              <w:jc w:val="center"/>
              <w:rPr>
                <w:rFonts w:ascii="宋体" w:hAnsi="宋体" w:cs="宋体"/>
                <w:b/>
                <w:bCs/>
                <w:szCs w:val="21"/>
              </w:rPr>
            </w:pPr>
            <w:r>
              <w:rPr>
                <w:rFonts w:hint="eastAsia" w:ascii="宋体" w:hAnsi="宋体" w:cs="宋体"/>
                <w:b/>
                <w:bCs/>
                <w:szCs w:val="21"/>
              </w:rPr>
              <w:t>项</w:t>
            </w:r>
            <w:r>
              <w:rPr>
                <w:rFonts w:hint="eastAsia" w:ascii="宋体" w:hAnsi="宋体" w:cs="宋体"/>
                <w:b/>
                <w:bCs/>
                <w:szCs w:val="21"/>
              </w:rPr>
              <w:tab/>
            </w:r>
            <w:r>
              <w:rPr>
                <w:rFonts w:hint="eastAsia" w:ascii="宋体" w:hAnsi="宋体" w:cs="宋体"/>
                <w:b/>
                <w:bCs/>
                <w:szCs w:val="21"/>
              </w:rPr>
              <w:t>目</w:t>
            </w:r>
          </w:p>
        </w:tc>
        <w:tc>
          <w:tcPr>
            <w:tcW w:w="3245" w:type="dxa"/>
            <w:noWrap/>
            <w:vAlign w:val="center"/>
          </w:tcPr>
          <w:p w14:paraId="60D282B8">
            <w:pPr>
              <w:jc w:val="center"/>
              <w:rPr>
                <w:rFonts w:ascii="宋体" w:hAnsi="宋体" w:cs="宋体"/>
                <w:b/>
                <w:bCs/>
                <w:szCs w:val="21"/>
              </w:rPr>
            </w:pPr>
            <w:r>
              <w:rPr>
                <w:rFonts w:hint="eastAsia" w:ascii="宋体" w:hAnsi="宋体" w:cs="宋体"/>
                <w:b/>
                <w:bCs/>
                <w:szCs w:val="21"/>
              </w:rPr>
              <w:t>权值的取值</w:t>
            </w:r>
          </w:p>
        </w:tc>
      </w:tr>
      <w:tr w14:paraId="529C5346">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108" w:type="dxa"/>
            <w:bottom w:w="0" w:type="dxa"/>
            <w:right w:w="108" w:type="dxa"/>
          </w:tblCellMar>
        </w:tblPrEx>
        <w:trPr>
          <w:trHeight w:val="397" w:hRule="exact"/>
          <w:jc w:val="center"/>
        </w:trPr>
        <w:tc>
          <w:tcPr>
            <w:tcW w:w="847" w:type="dxa"/>
            <w:noWrap/>
            <w:vAlign w:val="center"/>
          </w:tcPr>
          <w:p w14:paraId="38ABBD3F">
            <w:pPr>
              <w:jc w:val="center"/>
              <w:rPr>
                <w:rFonts w:ascii="宋体" w:hAnsi="宋体" w:cs="宋体"/>
                <w:szCs w:val="21"/>
              </w:rPr>
            </w:pPr>
            <w:r>
              <w:rPr>
                <w:rFonts w:hint="eastAsia" w:ascii="宋体" w:hAnsi="宋体" w:cs="宋体"/>
                <w:szCs w:val="21"/>
              </w:rPr>
              <w:t>1</w:t>
            </w:r>
          </w:p>
        </w:tc>
        <w:tc>
          <w:tcPr>
            <w:tcW w:w="4680" w:type="dxa"/>
            <w:noWrap/>
            <w:vAlign w:val="center"/>
          </w:tcPr>
          <w:p w14:paraId="0F0B1E3F">
            <w:pPr>
              <w:jc w:val="center"/>
              <w:rPr>
                <w:rFonts w:ascii="宋体" w:hAnsi="宋体" w:cs="宋体"/>
                <w:szCs w:val="21"/>
              </w:rPr>
            </w:pPr>
            <w:r>
              <w:rPr>
                <w:rFonts w:hint="eastAsia" w:ascii="宋体" w:hAnsi="宋体" w:cs="宋体"/>
                <w:szCs w:val="21"/>
              </w:rPr>
              <w:t>报价（A1）</w:t>
            </w:r>
          </w:p>
        </w:tc>
        <w:tc>
          <w:tcPr>
            <w:tcW w:w="3245" w:type="dxa"/>
            <w:noWrap/>
            <w:vAlign w:val="center"/>
          </w:tcPr>
          <w:p w14:paraId="2708B4CD">
            <w:pPr>
              <w:jc w:val="center"/>
              <w:rPr>
                <w:rFonts w:ascii="宋体" w:hAnsi="宋体" w:cs="宋体"/>
                <w:szCs w:val="21"/>
                <w:highlight w:val="none"/>
              </w:rPr>
            </w:pPr>
            <w:r>
              <w:rPr>
                <w:rFonts w:hint="eastAsia" w:ascii="宋体" w:hAnsi="宋体" w:cs="宋体"/>
                <w:szCs w:val="21"/>
                <w:highlight w:val="none"/>
              </w:rPr>
              <w:t>0.30</w:t>
            </w:r>
          </w:p>
        </w:tc>
      </w:tr>
      <w:tr w14:paraId="5B396265">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108" w:type="dxa"/>
            <w:bottom w:w="0" w:type="dxa"/>
            <w:right w:w="108" w:type="dxa"/>
          </w:tblCellMar>
        </w:tblPrEx>
        <w:trPr>
          <w:trHeight w:val="397" w:hRule="exact"/>
          <w:jc w:val="center"/>
        </w:trPr>
        <w:tc>
          <w:tcPr>
            <w:tcW w:w="847" w:type="dxa"/>
            <w:noWrap/>
            <w:vAlign w:val="center"/>
          </w:tcPr>
          <w:p w14:paraId="5218E6FA">
            <w:pPr>
              <w:jc w:val="center"/>
              <w:rPr>
                <w:rFonts w:ascii="宋体" w:hAnsi="宋体" w:cs="宋体"/>
                <w:szCs w:val="21"/>
              </w:rPr>
            </w:pPr>
            <w:r>
              <w:rPr>
                <w:rFonts w:hint="eastAsia" w:ascii="宋体" w:hAnsi="宋体" w:cs="宋体"/>
                <w:szCs w:val="21"/>
              </w:rPr>
              <w:t>2</w:t>
            </w:r>
          </w:p>
        </w:tc>
        <w:tc>
          <w:tcPr>
            <w:tcW w:w="4680" w:type="dxa"/>
            <w:noWrap/>
            <w:vAlign w:val="center"/>
          </w:tcPr>
          <w:p w14:paraId="27A2A3C6">
            <w:pPr>
              <w:jc w:val="center"/>
              <w:rPr>
                <w:rFonts w:ascii="宋体" w:hAnsi="宋体" w:cs="宋体"/>
                <w:szCs w:val="21"/>
              </w:rPr>
            </w:pPr>
            <w:r>
              <w:rPr>
                <w:rFonts w:hint="eastAsia" w:ascii="宋体" w:hAnsi="宋体" w:cs="宋体"/>
                <w:szCs w:val="21"/>
              </w:rPr>
              <w:t>技术（A2）</w:t>
            </w:r>
          </w:p>
        </w:tc>
        <w:tc>
          <w:tcPr>
            <w:tcW w:w="3245" w:type="dxa"/>
            <w:noWrap/>
            <w:vAlign w:val="center"/>
          </w:tcPr>
          <w:p w14:paraId="18527970">
            <w:pPr>
              <w:jc w:val="center"/>
              <w:rPr>
                <w:rFonts w:ascii="宋体" w:hAnsi="宋体" w:cs="宋体"/>
                <w:szCs w:val="21"/>
                <w:highlight w:val="none"/>
              </w:rPr>
            </w:pPr>
            <w:r>
              <w:rPr>
                <w:rFonts w:hint="eastAsia" w:ascii="宋体" w:hAnsi="宋体" w:cs="宋体"/>
                <w:szCs w:val="21"/>
                <w:highlight w:val="none"/>
              </w:rPr>
              <w:t>0.</w:t>
            </w:r>
            <w:r>
              <w:rPr>
                <w:rFonts w:hint="eastAsia" w:ascii="宋体" w:hAnsi="宋体" w:cs="宋体"/>
                <w:szCs w:val="21"/>
                <w:highlight w:val="none"/>
                <w:lang w:val="en-US" w:eastAsia="zh-CN"/>
              </w:rPr>
              <w:t>5</w:t>
            </w:r>
            <w:r>
              <w:rPr>
                <w:rFonts w:hint="eastAsia" w:ascii="宋体" w:hAnsi="宋体" w:cs="宋体"/>
                <w:szCs w:val="21"/>
                <w:highlight w:val="none"/>
              </w:rPr>
              <w:t>0</w:t>
            </w:r>
          </w:p>
        </w:tc>
      </w:tr>
      <w:tr w14:paraId="64412423">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108" w:type="dxa"/>
            <w:bottom w:w="0" w:type="dxa"/>
            <w:right w:w="108" w:type="dxa"/>
          </w:tblCellMar>
        </w:tblPrEx>
        <w:trPr>
          <w:trHeight w:val="397" w:hRule="exact"/>
          <w:jc w:val="center"/>
        </w:trPr>
        <w:tc>
          <w:tcPr>
            <w:tcW w:w="847" w:type="dxa"/>
            <w:noWrap/>
            <w:vAlign w:val="center"/>
          </w:tcPr>
          <w:p w14:paraId="2CF6C7FF">
            <w:pPr>
              <w:jc w:val="center"/>
              <w:rPr>
                <w:rFonts w:ascii="宋体" w:hAnsi="宋体" w:cs="宋体"/>
                <w:szCs w:val="21"/>
              </w:rPr>
            </w:pPr>
            <w:r>
              <w:rPr>
                <w:rFonts w:hint="eastAsia" w:ascii="宋体" w:hAnsi="宋体" w:cs="宋体"/>
                <w:szCs w:val="21"/>
              </w:rPr>
              <w:t>3</w:t>
            </w:r>
          </w:p>
        </w:tc>
        <w:tc>
          <w:tcPr>
            <w:tcW w:w="4680" w:type="dxa"/>
            <w:noWrap/>
            <w:vAlign w:val="center"/>
          </w:tcPr>
          <w:p w14:paraId="027D4FF5">
            <w:pPr>
              <w:jc w:val="center"/>
              <w:rPr>
                <w:rFonts w:ascii="宋体" w:hAnsi="宋体" w:cs="宋体"/>
                <w:szCs w:val="21"/>
              </w:rPr>
            </w:pPr>
            <w:r>
              <w:rPr>
                <w:rFonts w:hint="eastAsia" w:ascii="宋体" w:hAnsi="宋体" w:cs="宋体"/>
                <w:szCs w:val="21"/>
              </w:rPr>
              <w:t>商务（A3）</w:t>
            </w:r>
          </w:p>
        </w:tc>
        <w:tc>
          <w:tcPr>
            <w:tcW w:w="3245" w:type="dxa"/>
            <w:noWrap/>
            <w:vAlign w:val="center"/>
          </w:tcPr>
          <w:p w14:paraId="731390C6">
            <w:pPr>
              <w:jc w:val="center"/>
              <w:rPr>
                <w:rFonts w:ascii="宋体" w:hAnsi="宋体" w:cs="宋体"/>
                <w:szCs w:val="21"/>
                <w:highlight w:val="none"/>
              </w:rPr>
            </w:pPr>
            <w:r>
              <w:rPr>
                <w:rFonts w:hint="eastAsia" w:ascii="宋体" w:hAnsi="宋体" w:cs="宋体"/>
                <w:szCs w:val="21"/>
                <w:highlight w:val="none"/>
              </w:rPr>
              <w:t>0.</w:t>
            </w:r>
            <w:r>
              <w:rPr>
                <w:rFonts w:hint="eastAsia" w:ascii="宋体" w:hAnsi="宋体" w:cs="宋体"/>
                <w:szCs w:val="21"/>
                <w:highlight w:val="none"/>
                <w:lang w:val="en-US" w:eastAsia="zh-CN"/>
              </w:rPr>
              <w:t>2</w:t>
            </w:r>
            <w:r>
              <w:rPr>
                <w:rFonts w:hint="eastAsia" w:ascii="宋体" w:hAnsi="宋体" w:cs="宋体"/>
                <w:szCs w:val="21"/>
                <w:highlight w:val="none"/>
              </w:rPr>
              <w:t>0</w:t>
            </w:r>
          </w:p>
        </w:tc>
      </w:tr>
      <w:tr w14:paraId="254072EA">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108" w:type="dxa"/>
            <w:bottom w:w="0" w:type="dxa"/>
            <w:right w:w="108" w:type="dxa"/>
          </w:tblCellMar>
        </w:tblPrEx>
        <w:trPr>
          <w:trHeight w:val="397" w:hRule="exact"/>
          <w:jc w:val="center"/>
        </w:trPr>
        <w:tc>
          <w:tcPr>
            <w:tcW w:w="5527" w:type="dxa"/>
            <w:gridSpan w:val="2"/>
            <w:noWrap/>
            <w:vAlign w:val="center"/>
          </w:tcPr>
          <w:p w14:paraId="47D5AFC8">
            <w:pPr>
              <w:jc w:val="center"/>
              <w:rPr>
                <w:rFonts w:ascii="宋体" w:hAnsi="宋体" w:cs="宋体"/>
                <w:szCs w:val="21"/>
              </w:rPr>
            </w:pPr>
            <w:r>
              <w:rPr>
                <w:rFonts w:hint="eastAsia" w:ascii="宋体" w:hAnsi="宋体" w:cs="宋体"/>
                <w:szCs w:val="21"/>
              </w:rPr>
              <w:t>合计</w:t>
            </w:r>
          </w:p>
        </w:tc>
        <w:tc>
          <w:tcPr>
            <w:tcW w:w="3245" w:type="dxa"/>
            <w:noWrap/>
            <w:vAlign w:val="center"/>
          </w:tcPr>
          <w:p w14:paraId="352CCF99">
            <w:pPr>
              <w:jc w:val="center"/>
              <w:rPr>
                <w:rFonts w:ascii="宋体" w:hAnsi="宋体" w:cs="宋体"/>
                <w:szCs w:val="21"/>
              </w:rPr>
            </w:pPr>
            <w:r>
              <w:rPr>
                <w:rFonts w:hint="eastAsia" w:ascii="宋体" w:hAnsi="宋体" w:cs="宋体"/>
                <w:szCs w:val="21"/>
              </w:rPr>
              <w:t>1.00</w:t>
            </w:r>
          </w:p>
        </w:tc>
      </w:tr>
    </w:tbl>
    <w:p w14:paraId="0A62F386"/>
    <w:p w14:paraId="1028FAC3">
      <w:pPr>
        <w:adjustRightInd w:val="0"/>
        <w:snapToGrid w:val="0"/>
        <w:spacing w:before="156" w:beforeLines="50" w:line="360" w:lineRule="auto"/>
        <w:jc w:val="center"/>
        <w:rPr>
          <w:b/>
          <w:bCs/>
        </w:rPr>
      </w:pPr>
      <w:r>
        <w:rPr>
          <w:rFonts w:hint="eastAsia"/>
          <w:b/>
          <w:bCs/>
        </w:rPr>
        <w:t>附表1.1投标报价评审标准表</w:t>
      </w:r>
    </w:p>
    <w:tbl>
      <w:tblPr>
        <w:tblStyle w:val="27"/>
        <w:tblW w:w="8916" w:type="dxa"/>
        <w:jc w:val="center"/>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503"/>
        <w:gridCol w:w="1801"/>
        <w:gridCol w:w="6612"/>
      </w:tblGrid>
      <w:tr w14:paraId="6F3E8930">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652" w:hRule="atLeast"/>
          <w:jc w:val="center"/>
        </w:trPr>
        <w:tc>
          <w:tcPr>
            <w:tcW w:w="503" w:type="dxa"/>
            <w:tcBorders>
              <w:right w:val="single" w:color="auto" w:sz="4" w:space="0"/>
            </w:tcBorders>
            <w:noWrap w:val="0"/>
            <w:vAlign w:val="center"/>
          </w:tcPr>
          <w:p w14:paraId="04659AE7">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20" w:lineRule="exact"/>
              <w:ind w:right="0"/>
              <w:jc w:val="left"/>
              <w:textAlignment w:val="auto"/>
              <w:rPr>
                <w:rFonts w:hint="eastAsia" w:ascii="宋体" w:hAnsi="宋体" w:cs="宋体"/>
                <w:color w:val="auto"/>
                <w:kern w:val="2"/>
                <w:sz w:val="21"/>
                <w:szCs w:val="21"/>
                <w:lang w:val="en-US" w:eastAsia="zh-CN" w:bidi="ar-SA"/>
              </w:rPr>
            </w:pPr>
            <w:r>
              <w:rPr>
                <w:rFonts w:hint="eastAsia" w:ascii="宋体" w:hAnsi="宋体" w:cs="宋体"/>
                <w:color w:val="auto"/>
                <w:kern w:val="2"/>
                <w:sz w:val="21"/>
                <w:szCs w:val="21"/>
                <w:lang w:val="en-US" w:eastAsia="zh-CN" w:bidi="ar-SA"/>
              </w:rPr>
              <w:t>序号</w:t>
            </w:r>
          </w:p>
        </w:tc>
        <w:tc>
          <w:tcPr>
            <w:tcW w:w="1801" w:type="dxa"/>
            <w:tcBorders>
              <w:left w:val="single" w:color="auto" w:sz="4" w:space="0"/>
              <w:right w:val="single" w:color="auto" w:sz="4" w:space="0"/>
            </w:tcBorders>
            <w:noWrap w:val="0"/>
            <w:vAlign w:val="center"/>
          </w:tcPr>
          <w:p w14:paraId="67B52BB3">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20" w:lineRule="exact"/>
              <w:ind w:right="0"/>
              <w:jc w:val="left"/>
              <w:textAlignment w:val="auto"/>
              <w:rPr>
                <w:rFonts w:hint="eastAsia" w:ascii="宋体" w:hAnsi="宋体" w:cs="宋体"/>
                <w:color w:val="auto"/>
                <w:kern w:val="2"/>
                <w:sz w:val="21"/>
                <w:szCs w:val="21"/>
                <w:lang w:val="en-US" w:eastAsia="zh-CN" w:bidi="ar-SA"/>
              </w:rPr>
            </w:pPr>
            <w:r>
              <w:rPr>
                <w:rFonts w:hint="eastAsia" w:ascii="宋体" w:hAnsi="宋体" w:cs="宋体"/>
                <w:color w:val="auto"/>
                <w:kern w:val="2"/>
                <w:sz w:val="21"/>
                <w:szCs w:val="21"/>
                <w:lang w:val="en-US" w:eastAsia="zh-CN" w:bidi="ar-SA"/>
              </w:rPr>
              <w:t>评标因素（分值）</w:t>
            </w:r>
          </w:p>
        </w:tc>
        <w:tc>
          <w:tcPr>
            <w:tcW w:w="6612" w:type="dxa"/>
            <w:tcBorders>
              <w:left w:val="single" w:color="auto" w:sz="4" w:space="0"/>
            </w:tcBorders>
            <w:noWrap w:val="0"/>
            <w:vAlign w:val="center"/>
          </w:tcPr>
          <w:p w14:paraId="06115AE6">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20" w:lineRule="exact"/>
              <w:ind w:right="0"/>
              <w:jc w:val="left"/>
              <w:textAlignment w:val="auto"/>
              <w:rPr>
                <w:rFonts w:hint="eastAsia" w:ascii="宋体" w:hAnsi="宋体" w:cs="宋体"/>
                <w:color w:val="auto"/>
                <w:kern w:val="2"/>
                <w:sz w:val="21"/>
                <w:szCs w:val="21"/>
                <w:lang w:val="en-US" w:eastAsia="zh-CN" w:bidi="ar-SA"/>
              </w:rPr>
            </w:pPr>
            <w:r>
              <w:rPr>
                <w:rFonts w:hint="eastAsia" w:ascii="宋体" w:hAnsi="宋体" w:cs="宋体"/>
                <w:color w:val="auto"/>
                <w:kern w:val="2"/>
                <w:sz w:val="21"/>
                <w:szCs w:val="21"/>
                <w:lang w:val="en-US" w:eastAsia="zh-CN" w:bidi="ar-SA"/>
              </w:rPr>
              <w:t>评标标准</w:t>
            </w:r>
          </w:p>
        </w:tc>
      </w:tr>
      <w:tr w14:paraId="202CCB1E">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514" w:hRule="atLeast"/>
          <w:jc w:val="center"/>
        </w:trPr>
        <w:tc>
          <w:tcPr>
            <w:tcW w:w="503" w:type="dxa"/>
            <w:tcBorders>
              <w:right w:val="single" w:color="auto" w:sz="4" w:space="0"/>
            </w:tcBorders>
            <w:noWrap w:val="0"/>
            <w:vAlign w:val="center"/>
          </w:tcPr>
          <w:p w14:paraId="50AAACF2">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20" w:lineRule="exact"/>
              <w:ind w:right="0"/>
              <w:jc w:val="left"/>
              <w:textAlignment w:val="auto"/>
              <w:rPr>
                <w:rFonts w:hint="eastAsia" w:ascii="宋体" w:hAnsi="宋体" w:cs="宋体"/>
                <w:color w:val="auto"/>
                <w:kern w:val="2"/>
                <w:sz w:val="21"/>
                <w:szCs w:val="21"/>
                <w:lang w:val="en-US" w:eastAsia="zh-CN" w:bidi="ar-SA"/>
              </w:rPr>
            </w:pPr>
            <w:r>
              <w:rPr>
                <w:rFonts w:hint="eastAsia" w:ascii="宋体" w:hAnsi="宋体" w:cs="宋体"/>
                <w:color w:val="auto"/>
                <w:kern w:val="2"/>
                <w:sz w:val="21"/>
                <w:szCs w:val="21"/>
                <w:lang w:val="en-US" w:eastAsia="zh-CN" w:bidi="ar-SA"/>
              </w:rPr>
              <w:t>1</w:t>
            </w:r>
          </w:p>
        </w:tc>
        <w:tc>
          <w:tcPr>
            <w:tcW w:w="1801" w:type="dxa"/>
            <w:tcBorders>
              <w:left w:val="single" w:color="auto" w:sz="4" w:space="0"/>
              <w:right w:val="single" w:color="auto" w:sz="4" w:space="0"/>
            </w:tcBorders>
            <w:noWrap w:val="0"/>
            <w:vAlign w:val="center"/>
          </w:tcPr>
          <w:p w14:paraId="5DFF6F55">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20" w:lineRule="exact"/>
              <w:ind w:right="0"/>
              <w:jc w:val="left"/>
              <w:textAlignment w:val="auto"/>
              <w:rPr>
                <w:rFonts w:hint="eastAsia" w:ascii="宋体" w:hAnsi="宋体" w:cs="宋体"/>
                <w:color w:val="auto"/>
                <w:kern w:val="2"/>
                <w:sz w:val="21"/>
                <w:szCs w:val="21"/>
                <w:lang w:val="en-US" w:eastAsia="zh-CN" w:bidi="ar-SA"/>
              </w:rPr>
            </w:pPr>
            <w:r>
              <w:rPr>
                <w:rFonts w:hint="eastAsia" w:ascii="宋体" w:hAnsi="宋体" w:cs="宋体"/>
                <w:color w:val="auto"/>
                <w:kern w:val="2"/>
                <w:sz w:val="21"/>
                <w:szCs w:val="21"/>
                <w:lang w:val="en-US" w:eastAsia="zh-CN" w:bidi="ar-SA"/>
              </w:rPr>
              <w:t>价格评价项</w:t>
            </w:r>
          </w:p>
          <w:p w14:paraId="4477CE44">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20" w:lineRule="exact"/>
              <w:ind w:right="0"/>
              <w:jc w:val="left"/>
              <w:textAlignment w:val="auto"/>
              <w:rPr>
                <w:rFonts w:hint="eastAsia" w:ascii="宋体" w:hAnsi="宋体" w:cs="宋体"/>
                <w:color w:val="auto"/>
                <w:kern w:val="2"/>
                <w:sz w:val="21"/>
                <w:szCs w:val="21"/>
                <w:lang w:val="en-US" w:eastAsia="zh-CN" w:bidi="ar-SA"/>
              </w:rPr>
            </w:pPr>
            <w:r>
              <w:rPr>
                <w:rFonts w:hint="eastAsia" w:ascii="宋体" w:hAnsi="宋体" w:cs="宋体"/>
                <w:color w:val="auto"/>
                <w:kern w:val="2"/>
                <w:sz w:val="21"/>
                <w:szCs w:val="21"/>
                <w:lang w:val="en-US" w:eastAsia="zh-CN" w:bidi="ar-SA"/>
              </w:rPr>
              <w:t>（F=100分）</w:t>
            </w:r>
          </w:p>
        </w:tc>
        <w:tc>
          <w:tcPr>
            <w:tcW w:w="6612" w:type="dxa"/>
            <w:tcBorders>
              <w:left w:val="single" w:color="auto" w:sz="4" w:space="0"/>
            </w:tcBorders>
            <w:noWrap w:val="0"/>
            <w:vAlign w:val="center"/>
          </w:tcPr>
          <w:p w14:paraId="3795EACA">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20" w:lineRule="exact"/>
              <w:ind w:right="0"/>
              <w:jc w:val="left"/>
              <w:textAlignment w:val="auto"/>
              <w:rPr>
                <w:rFonts w:hint="eastAsia" w:ascii="宋体" w:hAnsi="宋体" w:cs="宋体"/>
                <w:color w:val="auto"/>
                <w:kern w:val="2"/>
                <w:sz w:val="21"/>
                <w:szCs w:val="21"/>
                <w:lang w:val="en-US" w:eastAsia="zh-CN" w:bidi="ar-SA"/>
              </w:rPr>
            </w:pPr>
            <w:r>
              <w:rPr>
                <w:rFonts w:hint="eastAsia" w:ascii="宋体" w:hAnsi="宋体" w:cs="宋体"/>
                <w:color w:val="auto"/>
                <w:kern w:val="2"/>
                <w:sz w:val="21"/>
                <w:szCs w:val="21"/>
                <w:lang w:val="en-US" w:eastAsia="zh-CN" w:bidi="ar-SA"/>
              </w:rPr>
              <w:t xml:space="preserve">满足招标文件要求且投标价格最低的投标报价为评标基准价，其价格分为100分。其他投标人的价格分统一按照下列公式计算：报价得分＝评标基准价÷投标报价×100 </w:t>
            </w:r>
          </w:p>
        </w:tc>
      </w:tr>
      <w:tr w14:paraId="559F09C4">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570" w:hRule="atLeast"/>
          <w:jc w:val="center"/>
        </w:trPr>
        <w:tc>
          <w:tcPr>
            <w:tcW w:w="503" w:type="dxa"/>
            <w:tcBorders>
              <w:right w:val="single" w:color="auto" w:sz="4" w:space="0"/>
            </w:tcBorders>
            <w:noWrap w:val="0"/>
            <w:vAlign w:val="center"/>
          </w:tcPr>
          <w:p w14:paraId="761B68D2">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20" w:lineRule="exact"/>
              <w:ind w:right="0"/>
              <w:jc w:val="left"/>
              <w:textAlignment w:val="auto"/>
              <w:rPr>
                <w:rFonts w:hint="eastAsia" w:ascii="宋体" w:hAnsi="宋体" w:cs="宋体"/>
                <w:color w:val="auto"/>
                <w:kern w:val="2"/>
                <w:sz w:val="21"/>
                <w:szCs w:val="21"/>
                <w:lang w:val="en-US" w:eastAsia="zh-CN" w:bidi="ar-SA"/>
              </w:rPr>
            </w:pPr>
            <w:r>
              <w:rPr>
                <w:rFonts w:hint="eastAsia" w:ascii="宋体" w:hAnsi="宋体" w:cs="宋体"/>
                <w:color w:val="auto"/>
                <w:kern w:val="2"/>
                <w:sz w:val="21"/>
                <w:szCs w:val="21"/>
                <w:lang w:val="en-US" w:eastAsia="zh-CN" w:bidi="ar-SA"/>
              </w:rPr>
              <w:t>2</w:t>
            </w:r>
          </w:p>
        </w:tc>
        <w:tc>
          <w:tcPr>
            <w:tcW w:w="1801" w:type="dxa"/>
            <w:tcBorders>
              <w:left w:val="single" w:color="auto" w:sz="4" w:space="0"/>
            </w:tcBorders>
            <w:noWrap w:val="0"/>
            <w:vAlign w:val="center"/>
          </w:tcPr>
          <w:p w14:paraId="049DDE2A">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20" w:lineRule="exact"/>
              <w:ind w:right="0"/>
              <w:jc w:val="left"/>
              <w:textAlignment w:val="auto"/>
              <w:rPr>
                <w:rFonts w:hint="eastAsia" w:ascii="宋体" w:hAnsi="宋体" w:cs="宋体"/>
                <w:color w:val="auto"/>
                <w:kern w:val="2"/>
                <w:sz w:val="21"/>
                <w:szCs w:val="21"/>
                <w:lang w:val="en-US" w:eastAsia="zh-CN" w:bidi="ar-SA"/>
              </w:rPr>
            </w:pPr>
            <w:r>
              <w:rPr>
                <w:rFonts w:hint="eastAsia" w:ascii="宋体" w:hAnsi="宋体" w:cs="宋体"/>
                <w:color w:val="auto"/>
                <w:kern w:val="2"/>
                <w:sz w:val="21"/>
                <w:szCs w:val="21"/>
                <w:lang w:val="en-US" w:eastAsia="zh-CN" w:bidi="ar-SA"/>
              </w:rPr>
              <w:t>优先采购加分（F优先采购加分）</w:t>
            </w:r>
          </w:p>
        </w:tc>
        <w:tc>
          <w:tcPr>
            <w:tcW w:w="6612" w:type="dxa"/>
            <w:tcBorders>
              <w:bottom w:val="single" w:color="auto" w:sz="4" w:space="0"/>
            </w:tcBorders>
            <w:noWrap w:val="0"/>
            <w:vAlign w:val="center"/>
          </w:tcPr>
          <w:p w14:paraId="39FADB7E">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20" w:lineRule="exact"/>
              <w:ind w:right="0"/>
              <w:jc w:val="left"/>
              <w:textAlignment w:val="auto"/>
              <w:rPr>
                <w:rFonts w:hint="eastAsia" w:ascii="宋体" w:hAnsi="宋体" w:cs="宋体"/>
                <w:color w:val="auto"/>
                <w:kern w:val="2"/>
                <w:sz w:val="21"/>
                <w:szCs w:val="21"/>
                <w:lang w:val="en-US" w:eastAsia="zh-CN" w:bidi="ar-SA"/>
              </w:rPr>
            </w:pPr>
            <w:r>
              <w:rPr>
                <w:rFonts w:hint="eastAsia" w:ascii="宋体" w:hAnsi="宋体" w:cs="宋体"/>
                <w:color w:val="auto"/>
                <w:kern w:val="2"/>
                <w:sz w:val="21"/>
                <w:szCs w:val="21"/>
                <w:lang w:val="en-US" w:eastAsia="zh-CN" w:bidi="ar-SA"/>
              </w:rPr>
              <w:t>1.节能产品或环境标志产品加分(此仅限于节能产品或环境标志政府采购品目清单内产品，不是品目清单内的产品，在评审时不予以考虑)：所投节能产品或环境标志产品的价格/项目总价格×价格权值×100×本项目加分比例=应加分数</w:t>
            </w:r>
          </w:p>
          <w:p w14:paraId="2AAE03BB">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20" w:lineRule="exact"/>
              <w:ind w:right="0"/>
              <w:jc w:val="left"/>
              <w:textAlignment w:val="auto"/>
              <w:rPr>
                <w:rFonts w:hint="eastAsia" w:ascii="宋体" w:hAnsi="宋体" w:cs="宋体"/>
                <w:color w:val="auto"/>
                <w:kern w:val="2"/>
                <w:sz w:val="21"/>
                <w:szCs w:val="21"/>
                <w:lang w:val="en-US" w:eastAsia="zh-CN" w:bidi="ar-SA"/>
              </w:rPr>
            </w:pPr>
            <w:r>
              <w:rPr>
                <w:rFonts w:hint="eastAsia" w:ascii="宋体" w:hAnsi="宋体" w:cs="宋体"/>
                <w:color w:val="auto"/>
                <w:kern w:val="2"/>
                <w:sz w:val="21"/>
                <w:szCs w:val="21"/>
                <w:lang w:val="en-US" w:eastAsia="zh-CN" w:bidi="ar-SA"/>
              </w:rPr>
              <w:t>注：整包中某一品目为节能、环境标志政府采购品目清单内产品时只对该品目价格加分，并合计到价格最终得分。</w:t>
            </w:r>
          </w:p>
          <w:p w14:paraId="54064140">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20" w:lineRule="exact"/>
              <w:ind w:right="0"/>
              <w:jc w:val="left"/>
              <w:textAlignment w:val="auto"/>
              <w:rPr>
                <w:rFonts w:hint="eastAsia" w:ascii="宋体" w:hAnsi="宋体" w:cs="宋体"/>
                <w:color w:val="auto"/>
                <w:kern w:val="2"/>
                <w:sz w:val="21"/>
                <w:szCs w:val="21"/>
                <w:lang w:val="en-US" w:eastAsia="zh-CN" w:bidi="ar-SA"/>
              </w:rPr>
            </w:pPr>
            <w:r>
              <w:rPr>
                <w:rFonts w:hint="eastAsia" w:ascii="宋体" w:hAnsi="宋体" w:cs="宋体"/>
                <w:color w:val="auto"/>
                <w:kern w:val="2"/>
                <w:sz w:val="21"/>
                <w:szCs w:val="21"/>
                <w:lang w:val="en-US" w:eastAsia="zh-CN" w:bidi="ar-SA"/>
              </w:rPr>
              <w:t>2.给予小型和微型企业产品的价格给予扣除，用扣除后的价格参与评审。</w:t>
            </w:r>
          </w:p>
        </w:tc>
      </w:tr>
      <w:tr w14:paraId="7BDA5EE2">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10" w:hRule="atLeast"/>
          <w:jc w:val="center"/>
        </w:trPr>
        <w:tc>
          <w:tcPr>
            <w:tcW w:w="503" w:type="dxa"/>
            <w:tcBorders>
              <w:right w:val="single" w:color="auto" w:sz="4" w:space="0"/>
            </w:tcBorders>
            <w:noWrap w:val="0"/>
            <w:vAlign w:val="center"/>
          </w:tcPr>
          <w:p w14:paraId="43F05EE6">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20" w:lineRule="exact"/>
              <w:ind w:right="0"/>
              <w:jc w:val="left"/>
              <w:textAlignment w:val="auto"/>
              <w:rPr>
                <w:rFonts w:hint="eastAsia" w:ascii="宋体" w:hAnsi="宋体" w:cs="宋体"/>
                <w:color w:val="auto"/>
                <w:kern w:val="2"/>
                <w:sz w:val="21"/>
                <w:szCs w:val="21"/>
                <w:lang w:val="en-US" w:eastAsia="zh-CN" w:bidi="ar-SA"/>
              </w:rPr>
            </w:pPr>
            <w:r>
              <w:rPr>
                <w:rFonts w:hint="eastAsia" w:ascii="宋体" w:hAnsi="宋体" w:cs="宋体"/>
                <w:color w:val="auto"/>
                <w:kern w:val="2"/>
                <w:sz w:val="21"/>
                <w:szCs w:val="21"/>
                <w:lang w:val="en-US" w:eastAsia="zh-CN" w:bidi="ar-SA"/>
              </w:rPr>
              <w:t>∑</w:t>
            </w:r>
          </w:p>
        </w:tc>
        <w:tc>
          <w:tcPr>
            <w:tcW w:w="8413" w:type="dxa"/>
            <w:gridSpan w:val="2"/>
            <w:tcBorders>
              <w:left w:val="single" w:color="auto" w:sz="4" w:space="0"/>
            </w:tcBorders>
            <w:noWrap w:val="0"/>
            <w:vAlign w:val="center"/>
          </w:tcPr>
          <w:p w14:paraId="4645D48F">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20" w:lineRule="exact"/>
              <w:ind w:right="0"/>
              <w:jc w:val="left"/>
              <w:textAlignment w:val="auto"/>
              <w:rPr>
                <w:rFonts w:hint="eastAsia" w:ascii="宋体" w:hAnsi="宋体" w:cs="宋体"/>
                <w:color w:val="auto"/>
                <w:kern w:val="2"/>
                <w:sz w:val="21"/>
                <w:szCs w:val="21"/>
                <w:lang w:val="en-US" w:eastAsia="zh-CN" w:bidi="ar-SA"/>
              </w:rPr>
            </w:pPr>
            <w:r>
              <w:rPr>
                <w:rFonts w:hint="eastAsia" w:ascii="宋体" w:hAnsi="宋体" w:cs="宋体"/>
                <w:color w:val="auto"/>
                <w:kern w:val="2"/>
                <w:sz w:val="21"/>
                <w:szCs w:val="21"/>
                <w:lang w:val="en-US" w:eastAsia="zh-CN" w:bidi="ar-SA"/>
              </w:rPr>
              <w:t>F1=F+ F优先采购加分</w:t>
            </w:r>
          </w:p>
        </w:tc>
      </w:tr>
      <w:tr w14:paraId="1384EB36">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10" w:hRule="atLeast"/>
          <w:jc w:val="center"/>
        </w:trPr>
        <w:tc>
          <w:tcPr>
            <w:tcW w:w="503" w:type="dxa"/>
            <w:tcBorders>
              <w:right w:val="single" w:color="auto" w:sz="4" w:space="0"/>
            </w:tcBorders>
            <w:noWrap w:val="0"/>
            <w:vAlign w:val="center"/>
          </w:tcPr>
          <w:p w14:paraId="16734B2C">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20" w:lineRule="exact"/>
              <w:ind w:right="0"/>
              <w:jc w:val="left"/>
              <w:textAlignment w:val="auto"/>
              <w:rPr>
                <w:rFonts w:hint="eastAsia" w:ascii="宋体" w:hAnsi="宋体" w:cs="宋体"/>
                <w:color w:val="auto"/>
                <w:kern w:val="2"/>
                <w:sz w:val="21"/>
                <w:szCs w:val="21"/>
                <w:lang w:val="en-US" w:eastAsia="zh-CN" w:bidi="ar-SA"/>
              </w:rPr>
            </w:pPr>
            <w:r>
              <w:rPr>
                <w:rFonts w:hint="eastAsia" w:ascii="宋体" w:hAnsi="宋体" w:cs="宋体"/>
                <w:color w:val="auto"/>
                <w:kern w:val="2"/>
                <w:sz w:val="21"/>
                <w:szCs w:val="21"/>
                <w:lang w:val="en-US" w:eastAsia="zh-CN" w:bidi="ar-SA"/>
              </w:rPr>
              <w:t>说明</w:t>
            </w:r>
          </w:p>
        </w:tc>
        <w:tc>
          <w:tcPr>
            <w:tcW w:w="8413" w:type="dxa"/>
            <w:gridSpan w:val="2"/>
            <w:tcBorders>
              <w:left w:val="single" w:color="auto" w:sz="4" w:space="0"/>
            </w:tcBorders>
            <w:noWrap w:val="0"/>
            <w:vAlign w:val="center"/>
          </w:tcPr>
          <w:p w14:paraId="0661223E">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20" w:lineRule="exact"/>
              <w:ind w:right="0"/>
              <w:jc w:val="left"/>
              <w:textAlignment w:val="auto"/>
              <w:rPr>
                <w:rFonts w:hint="eastAsia" w:ascii="宋体" w:hAnsi="宋体" w:cs="宋体"/>
                <w:color w:val="auto"/>
                <w:kern w:val="2"/>
                <w:sz w:val="21"/>
                <w:szCs w:val="21"/>
                <w:lang w:val="en-US" w:eastAsia="zh-CN" w:bidi="ar-SA"/>
              </w:rPr>
            </w:pPr>
            <w:r>
              <w:rPr>
                <w:rFonts w:hint="eastAsia" w:ascii="宋体" w:hAnsi="宋体" w:cs="宋体"/>
                <w:color w:val="auto"/>
                <w:kern w:val="2"/>
                <w:sz w:val="21"/>
                <w:szCs w:val="21"/>
                <w:lang w:val="en-US" w:eastAsia="zh-CN" w:bidi="ar-SA"/>
              </w:rPr>
              <w:t>1、根据“财政部令第87号”第六十条的规定“评标委员会认为投标人的报价明显低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处理。”</w:t>
            </w:r>
          </w:p>
          <w:p w14:paraId="22C707CB">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20" w:lineRule="exact"/>
              <w:ind w:right="0"/>
              <w:jc w:val="left"/>
              <w:textAlignment w:val="auto"/>
              <w:rPr>
                <w:rFonts w:hint="eastAsia" w:ascii="宋体" w:hAnsi="宋体" w:cs="宋体"/>
                <w:color w:val="auto"/>
                <w:kern w:val="2"/>
                <w:sz w:val="21"/>
                <w:szCs w:val="21"/>
                <w:lang w:val="en-US" w:eastAsia="zh-CN" w:bidi="ar-SA"/>
              </w:rPr>
            </w:pPr>
            <w:r>
              <w:rPr>
                <w:rFonts w:hint="eastAsia" w:ascii="宋体" w:hAnsi="宋体" w:cs="宋体"/>
                <w:color w:val="auto"/>
                <w:kern w:val="2"/>
                <w:sz w:val="21"/>
                <w:szCs w:val="21"/>
                <w:lang w:val="en-US" w:eastAsia="zh-CN" w:bidi="ar-SA"/>
              </w:rPr>
              <w:t>2、异常低价：根据《财库〔2026〕2号文》相关规定，本项目异常低价处理规定如下：</w:t>
            </w:r>
          </w:p>
          <w:p w14:paraId="302BBB50">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20" w:lineRule="exact"/>
              <w:ind w:right="0"/>
              <w:jc w:val="left"/>
              <w:textAlignment w:val="auto"/>
              <w:rPr>
                <w:rFonts w:hint="eastAsia" w:ascii="宋体" w:hAnsi="宋体" w:cs="宋体"/>
                <w:color w:val="auto"/>
                <w:kern w:val="2"/>
                <w:sz w:val="21"/>
                <w:szCs w:val="21"/>
                <w:lang w:val="en-US" w:eastAsia="zh-CN" w:bidi="ar-SA"/>
              </w:rPr>
            </w:pPr>
            <w:r>
              <w:rPr>
                <w:rFonts w:hint="eastAsia" w:ascii="宋体" w:hAnsi="宋体" w:cs="宋体"/>
                <w:color w:val="auto"/>
                <w:kern w:val="2"/>
                <w:sz w:val="21"/>
                <w:szCs w:val="21"/>
                <w:lang w:val="en-US" w:eastAsia="zh-CN" w:bidi="ar-SA"/>
              </w:rPr>
              <w:t>（1）政府采购评审中出现下列情形之一的，评审委员会应当启动异常低价投标（响应）审查程序：</w:t>
            </w:r>
          </w:p>
          <w:p w14:paraId="1559506D">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20" w:lineRule="exact"/>
              <w:ind w:right="0"/>
              <w:jc w:val="left"/>
              <w:textAlignment w:val="auto"/>
              <w:rPr>
                <w:rFonts w:hint="eastAsia" w:ascii="宋体" w:hAnsi="宋体" w:cs="宋体"/>
                <w:color w:val="auto"/>
                <w:kern w:val="2"/>
                <w:sz w:val="21"/>
                <w:szCs w:val="21"/>
                <w:lang w:val="en-US" w:eastAsia="zh-CN" w:bidi="ar-SA"/>
              </w:rPr>
            </w:pPr>
            <w:r>
              <w:rPr>
                <w:rFonts w:hint="eastAsia" w:ascii="宋体" w:hAnsi="宋体" w:cs="宋体"/>
                <w:color w:val="auto"/>
                <w:kern w:val="2"/>
                <w:sz w:val="21"/>
                <w:szCs w:val="21"/>
                <w:lang w:val="en-US" w:eastAsia="zh-CN" w:bidi="ar-SA"/>
              </w:rPr>
              <w:t>①投标（响应）报价低于全部通过符合性审查供应商投标（响应）报价平均值50%的，即投标（响应）报价&lt;全部通过符合性审查供应商投标（响应）报价平均值×50%；</w:t>
            </w:r>
          </w:p>
          <w:p w14:paraId="1F676B5D">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20" w:lineRule="exact"/>
              <w:ind w:right="0"/>
              <w:jc w:val="left"/>
              <w:textAlignment w:val="auto"/>
              <w:rPr>
                <w:rFonts w:hint="eastAsia" w:ascii="宋体" w:hAnsi="宋体" w:cs="宋体"/>
                <w:color w:val="auto"/>
                <w:kern w:val="2"/>
                <w:sz w:val="21"/>
                <w:szCs w:val="21"/>
                <w:lang w:val="en-US" w:eastAsia="zh-CN" w:bidi="ar-SA"/>
              </w:rPr>
            </w:pPr>
            <w:r>
              <w:rPr>
                <w:rFonts w:hint="eastAsia" w:ascii="宋体" w:hAnsi="宋体" w:cs="宋体"/>
                <w:color w:val="auto"/>
                <w:kern w:val="2"/>
                <w:sz w:val="21"/>
                <w:szCs w:val="21"/>
                <w:lang w:val="en-US" w:eastAsia="zh-CN" w:bidi="ar-SA"/>
              </w:rPr>
              <w:t>②投标（响应）报价低于通过符合性审查的次低报价供应商投标（响应）报价50%的，即投标（响应）报价&lt;通过符合性审查的次低报价供应商投标（响应）报价×50%；</w:t>
            </w:r>
          </w:p>
          <w:p w14:paraId="68A844F5">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20" w:lineRule="exact"/>
              <w:ind w:right="0"/>
              <w:jc w:val="left"/>
              <w:textAlignment w:val="auto"/>
              <w:rPr>
                <w:rFonts w:hint="eastAsia" w:ascii="宋体" w:hAnsi="宋体" w:cs="宋体"/>
                <w:color w:val="auto"/>
                <w:kern w:val="2"/>
                <w:sz w:val="21"/>
                <w:szCs w:val="21"/>
                <w:lang w:val="en-US" w:eastAsia="zh-CN" w:bidi="ar-SA"/>
              </w:rPr>
            </w:pPr>
            <w:r>
              <w:rPr>
                <w:rFonts w:hint="eastAsia" w:ascii="宋体" w:hAnsi="宋体" w:cs="宋体"/>
                <w:color w:val="auto"/>
                <w:kern w:val="2"/>
                <w:sz w:val="21"/>
                <w:szCs w:val="21"/>
                <w:lang w:val="en-US" w:eastAsia="zh-CN" w:bidi="ar-SA"/>
              </w:rPr>
              <w:t>③投标（响应）报价低于采购项目最高限价45%的，即投标（响应）报价&lt;采购项目最高限价×45%；</w:t>
            </w:r>
          </w:p>
          <w:p w14:paraId="77BE2DB2">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20" w:lineRule="exact"/>
              <w:ind w:right="0"/>
              <w:jc w:val="left"/>
              <w:textAlignment w:val="auto"/>
              <w:rPr>
                <w:rFonts w:hint="eastAsia" w:ascii="宋体" w:hAnsi="宋体" w:cs="宋体"/>
                <w:color w:val="auto"/>
                <w:kern w:val="2"/>
                <w:sz w:val="21"/>
                <w:szCs w:val="21"/>
                <w:lang w:val="en-US" w:eastAsia="zh-CN" w:bidi="ar-SA"/>
              </w:rPr>
            </w:pPr>
            <w:r>
              <w:rPr>
                <w:rFonts w:hint="eastAsia" w:ascii="宋体" w:hAnsi="宋体" w:cs="宋体"/>
                <w:color w:val="auto"/>
                <w:kern w:val="2"/>
                <w:sz w:val="21"/>
                <w:szCs w:val="21"/>
                <w:lang w:val="en-US" w:eastAsia="zh-CN" w:bidi="ar-SA"/>
              </w:rPr>
              <w:t>④评审委员会基于专业判断，认为供应商报价过低，有可能影响产品质量或者不能诚信履约的其他情形。相关法律法规对供应商报价有规定的，从其规定。</w:t>
            </w:r>
          </w:p>
          <w:p w14:paraId="0AB66979">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20" w:lineRule="exact"/>
              <w:ind w:right="0"/>
              <w:jc w:val="left"/>
              <w:textAlignment w:val="auto"/>
              <w:rPr>
                <w:rFonts w:hint="eastAsia" w:ascii="宋体" w:hAnsi="宋体" w:cs="宋体"/>
                <w:color w:val="auto"/>
                <w:kern w:val="2"/>
                <w:sz w:val="21"/>
                <w:szCs w:val="21"/>
                <w:lang w:val="en-US" w:eastAsia="zh-CN" w:bidi="ar-SA"/>
              </w:rPr>
            </w:pPr>
            <w:r>
              <w:rPr>
                <w:rFonts w:hint="eastAsia" w:ascii="宋体" w:hAnsi="宋体" w:cs="宋体"/>
                <w:color w:val="auto"/>
                <w:kern w:val="2"/>
                <w:sz w:val="21"/>
                <w:szCs w:val="21"/>
                <w:lang w:val="en-US" w:eastAsia="zh-CN" w:bidi="ar-SA"/>
              </w:rPr>
              <w:t>评审委员会启动异常低价投标（响应）审查后，属于前述第1项至第4项情形的，应当要求相关供应商在评审现场合理的时间内对投标（响应）价格作出解释，提供项目具体成本测算等与报价合理性相关的书面说明及必要的证明材料，包括但不限于原材料成本、人工成本、制造费用等，给予相关供应商的合理时间一般不少于30分钟。其中，属于第3项情形，供应商已随投标（响应）文件一并提交相关书面说明及必要的证明材料的，在评审现场可不再重复提交。评审委员会依据专业经验，参考同类项目中标（成交）价格、类似产品市场价格水平、行业人工费用标准、国家有关部门指导行业协会发布的行业平均成本等情况，对报价合理性进行判断。投标（响应）供应商不能提供书面说明、证明材料，或者提供的书面说明、证明材料不能证明其报价合理性的，评审委员会应当将其作为无效投标（响应）处理。</w:t>
            </w:r>
          </w:p>
          <w:p w14:paraId="53778FE9">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20" w:lineRule="exact"/>
              <w:ind w:right="0"/>
              <w:jc w:val="left"/>
              <w:textAlignment w:val="auto"/>
              <w:rPr>
                <w:rFonts w:hint="eastAsia" w:ascii="宋体" w:hAnsi="宋体" w:cs="宋体"/>
                <w:color w:val="auto"/>
                <w:kern w:val="2"/>
                <w:sz w:val="21"/>
                <w:szCs w:val="21"/>
                <w:lang w:val="en-US" w:eastAsia="zh-CN" w:bidi="ar-SA"/>
              </w:rPr>
            </w:pPr>
            <w:r>
              <w:rPr>
                <w:rFonts w:hint="eastAsia" w:ascii="宋体" w:hAnsi="宋体" w:cs="宋体"/>
                <w:color w:val="auto"/>
                <w:kern w:val="2"/>
                <w:sz w:val="21"/>
                <w:szCs w:val="21"/>
                <w:lang w:val="en-US" w:eastAsia="zh-CN" w:bidi="ar-SA"/>
              </w:rPr>
              <w:t>3、评审委员会借助互联网等渠道查询相关信息的，应当严格遵守评审工作纪律，不得实施影响评审公正的行为。</w:t>
            </w:r>
          </w:p>
          <w:p w14:paraId="4DB1FC0B">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20" w:lineRule="exact"/>
              <w:ind w:right="0"/>
              <w:jc w:val="left"/>
              <w:textAlignment w:val="auto"/>
              <w:rPr>
                <w:rFonts w:hint="eastAsia" w:ascii="宋体" w:hAnsi="宋体" w:cs="宋体"/>
                <w:color w:val="auto"/>
                <w:kern w:val="2"/>
                <w:sz w:val="21"/>
                <w:szCs w:val="21"/>
                <w:lang w:val="en-US" w:eastAsia="zh-CN" w:bidi="ar-SA"/>
              </w:rPr>
            </w:pPr>
            <w:r>
              <w:rPr>
                <w:rFonts w:hint="eastAsia" w:ascii="宋体" w:hAnsi="宋体" w:cs="宋体"/>
                <w:color w:val="auto"/>
                <w:kern w:val="2"/>
                <w:sz w:val="21"/>
                <w:szCs w:val="21"/>
                <w:lang w:val="en-US" w:eastAsia="zh-CN" w:bidi="ar-SA"/>
              </w:rPr>
              <w:t>4、异常低价投标（响应）审查的启动原因、审查意见和审查结果应当在评审报告中记录，并随供应商提供的相关书面说明及证明材料，以及评审委员会有关互联网浏览、查询历史一并归档。</w:t>
            </w:r>
          </w:p>
        </w:tc>
      </w:tr>
    </w:tbl>
    <w:p w14:paraId="544A90AE">
      <w:pPr>
        <w:pStyle w:val="26"/>
      </w:pPr>
    </w:p>
    <w:p w14:paraId="31E6E9E3">
      <w:pPr>
        <w:adjustRightInd w:val="0"/>
        <w:snapToGrid w:val="0"/>
        <w:spacing w:before="156" w:beforeLines="50" w:line="360" w:lineRule="auto"/>
        <w:jc w:val="center"/>
        <w:rPr>
          <w:b/>
          <w:bCs/>
        </w:rPr>
      </w:pPr>
      <w:r>
        <w:rPr>
          <w:rFonts w:hint="eastAsia"/>
          <w:b/>
          <w:bCs/>
        </w:rPr>
        <w:t>附表1.2技术部分评审标准表</w:t>
      </w:r>
    </w:p>
    <w:tbl>
      <w:tblPr>
        <w:tblStyle w:val="27"/>
        <w:tblW w:w="4999" w:type="pct"/>
        <w:jc w:val="center"/>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ayout w:type="autofit"/>
        <w:tblCellMar>
          <w:top w:w="0" w:type="dxa"/>
          <w:left w:w="108" w:type="dxa"/>
          <w:bottom w:w="0" w:type="dxa"/>
          <w:right w:w="108" w:type="dxa"/>
        </w:tblCellMar>
      </w:tblPr>
      <w:tblGrid>
        <w:gridCol w:w="494"/>
        <w:gridCol w:w="1223"/>
        <w:gridCol w:w="1169"/>
        <w:gridCol w:w="6172"/>
      </w:tblGrid>
      <w:tr w14:paraId="622CDF3A">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108" w:type="dxa"/>
            <w:bottom w:w="0" w:type="dxa"/>
            <w:right w:w="108" w:type="dxa"/>
          </w:tblCellMar>
        </w:tblPrEx>
        <w:trPr>
          <w:trHeight w:val="652" w:hRule="atLeast"/>
          <w:jc w:val="center"/>
        </w:trPr>
        <w:tc>
          <w:tcPr>
            <w:tcW w:w="273" w:type="pct"/>
            <w:tcBorders>
              <w:tl2br w:val="nil"/>
              <w:tr2bl w:val="nil"/>
            </w:tcBorders>
            <w:noWrap w:val="0"/>
            <w:vAlign w:val="center"/>
          </w:tcPr>
          <w:p w14:paraId="5E8391A8">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20" w:lineRule="exact"/>
              <w:ind w:right="0"/>
              <w:jc w:val="left"/>
              <w:textAlignment w:val="auto"/>
              <w:rPr>
                <w:rFonts w:hint="default" w:ascii="宋体" w:hAnsi="宋体" w:cs="宋体"/>
                <w:color w:val="auto"/>
                <w:kern w:val="2"/>
                <w:sz w:val="21"/>
                <w:szCs w:val="21"/>
                <w:lang w:val="en-US" w:eastAsia="zh-CN" w:bidi="ar-SA"/>
              </w:rPr>
            </w:pPr>
            <w:r>
              <w:rPr>
                <w:rFonts w:hint="eastAsia" w:ascii="宋体" w:hAnsi="宋体" w:cs="宋体"/>
                <w:color w:val="auto"/>
                <w:kern w:val="2"/>
                <w:sz w:val="21"/>
                <w:szCs w:val="21"/>
                <w:lang w:val="en-US" w:eastAsia="zh-CN" w:bidi="ar-SA"/>
              </w:rPr>
              <w:t>序号</w:t>
            </w:r>
          </w:p>
        </w:tc>
        <w:tc>
          <w:tcPr>
            <w:tcW w:w="675" w:type="pct"/>
            <w:tcBorders>
              <w:tl2br w:val="nil"/>
              <w:tr2bl w:val="nil"/>
            </w:tcBorders>
            <w:noWrap w:val="0"/>
            <w:vAlign w:val="center"/>
          </w:tcPr>
          <w:p w14:paraId="1ABBEB10">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20" w:lineRule="exact"/>
              <w:ind w:right="0"/>
              <w:jc w:val="left"/>
              <w:textAlignment w:val="auto"/>
              <w:rPr>
                <w:rFonts w:hint="eastAsia" w:ascii="宋体" w:hAnsi="宋体" w:cs="宋体"/>
                <w:color w:val="auto"/>
                <w:kern w:val="2"/>
                <w:sz w:val="21"/>
                <w:szCs w:val="21"/>
                <w:lang w:val="en-US" w:eastAsia="zh-CN" w:bidi="ar-SA"/>
              </w:rPr>
            </w:pPr>
            <w:r>
              <w:rPr>
                <w:rFonts w:hint="eastAsia" w:ascii="宋体" w:hAnsi="宋体" w:cs="宋体"/>
                <w:color w:val="auto"/>
                <w:kern w:val="2"/>
                <w:sz w:val="21"/>
                <w:szCs w:val="21"/>
                <w:lang w:val="en-US" w:eastAsia="zh-CN" w:bidi="ar-SA"/>
              </w:rPr>
              <w:t>评标因素（分值）</w:t>
            </w:r>
          </w:p>
        </w:tc>
        <w:tc>
          <w:tcPr>
            <w:tcW w:w="4051" w:type="pct"/>
            <w:gridSpan w:val="2"/>
            <w:tcBorders>
              <w:tl2br w:val="nil"/>
              <w:tr2bl w:val="nil"/>
            </w:tcBorders>
            <w:noWrap w:val="0"/>
            <w:vAlign w:val="center"/>
          </w:tcPr>
          <w:p w14:paraId="4A6A6BD6">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20" w:lineRule="exact"/>
              <w:ind w:right="0"/>
              <w:jc w:val="left"/>
              <w:textAlignment w:val="auto"/>
              <w:rPr>
                <w:rFonts w:hint="eastAsia" w:ascii="宋体" w:hAnsi="宋体" w:cs="宋体"/>
                <w:color w:val="auto"/>
                <w:kern w:val="2"/>
                <w:sz w:val="21"/>
                <w:szCs w:val="21"/>
                <w:lang w:val="en-US" w:eastAsia="zh-CN" w:bidi="ar-SA"/>
              </w:rPr>
            </w:pPr>
            <w:r>
              <w:rPr>
                <w:rFonts w:hint="eastAsia" w:ascii="宋体" w:hAnsi="宋体" w:cs="宋体"/>
                <w:color w:val="auto"/>
                <w:kern w:val="2"/>
                <w:sz w:val="21"/>
                <w:szCs w:val="21"/>
                <w:lang w:val="en-US" w:eastAsia="zh-CN" w:bidi="ar-SA"/>
              </w:rPr>
              <w:t>评标标准</w:t>
            </w:r>
          </w:p>
        </w:tc>
      </w:tr>
      <w:tr w14:paraId="4B8CA556">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108" w:type="dxa"/>
            <w:bottom w:w="0" w:type="dxa"/>
            <w:right w:w="108" w:type="dxa"/>
          </w:tblCellMar>
        </w:tblPrEx>
        <w:trPr>
          <w:trHeight w:val="409" w:hRule="atLeast"/>
          <w:jc w:val="center"/>
        </w:trPr>
        <w:tc>
          <w:tcPr>
            <w:tcW w:w="273" w:type="pct"/>
            <w:vMerge w:val="restart"/>
            <w:tcBorders>
              <w:tl2br w:val="nil"/>
              <w:tr2bl w:val="nil"/>
            </w:tcBorders>
            <w:noWrap w:val="0"/>
            <w:vAlign w:val="center"/>
          </w:tcPr>
          <w:p w14:paraId="69517575">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20" w:lineRule="exact"/>
              <w:ind w:right="0"/>
              <w:jc w:val="left"/>
              <w:textAlignment w:val="auto"/>
              <w:rPr>
                <w:rFonts w:hint="default" w:ascii="宋体" w:hAnsi="宋体" w:cs="宋体"/>
                <w:color w:val="auto"/>
                <w:kern w:val="2"/>
                <w:sz w:val="21"/>
                <w:szCs w:val="21"/>
                <w:lang w:val="en-US" w:eastAsia="zh-CN" w:bidi="ar-SA"/>
              </w:rPr>
            </w:pPr>
            <w:r>
              <w:rPr>
                <w:rFonts w:hint="eastAsia" w:ascii="宋体" w:hAnsi="宋体" w:cs="宋体"/>
                <w:color w:val="auto"/>
                <w:kern w:val="2"/>
                <w:sz w:val="21"/>
                <w:szCs w:val="21"/>
                <w:lang w:val="en-US" w:eastAsia="zh-CN" w:bidi="ar-SA"/>
              </w:rPr>
              <w:t>2</w:t>
            </w:r>
          </w:p>
        </w:tc>
        <w:tc>
          <w:tcPr>
            <w:tcW w:w="675" w:type="pct"/>
            <w:vMerge w:val="restart"/>
            <w:tcBorders>
              <w:tl2br w:val="nil"/>
              <w:tr2bl w:val="nil"/>
            </w:tcBorders>
            <w:noWrap w:val="0"/>
            <w:vAlign w:val="center"/>
          </w:tcPr>
          <w:p w14:paraId="5F3FC576">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20" w:lineRule="exact"/>
              <w:ind w:right="0"/>
              <w:jc w:val="left"/>
              <w:textAlignment w:val="auto"/>
              <w:rPr>
                <w:rFonts w:hint="eastAsia" w:ascii="宋体" w:hAnsi="宋体" w:cs="宋体"/>
                <w:color w:val="auto"/>
                <w:kern w:val="2"/>
                <w:sz w:val="21"/>
                <w:szCs w:val="21"/>
                <w:lang w:val="en-US" w:eastAsia="zh-CN" w:bidi="ar-SA"/>
              </w:rPr>
            </w:pPr>
            <w:r>
              <w:rPr>
                <w:rFonts w:hint="eastAsia" w:ascii="宋体" w:hAnsi="宋体" w:cs="宋体"/>
                <w:color w:val="auto"/>
                <w:kern w:val="2"/>
                <w:sz w:val="21"/>
                <w:szCs w:val="21"/>
                <w:lang w:val="en-US" w:eastAsia="zh-CN" w:bidi="ar-SA"/>
              </w:rPr>
              <w:t>技术评价项</w:t>
            </w:r>
          </w:p>
          <w:p w14:paraId="7C98E6AD">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20" w:lineRule="exact"/>
              <w:ind w:right="0"/>
              <w:jc w:val="left"/>
              <w:textAlignment w:val="auto"/>
              <w:rPr>
                <w:rFonts w:hint="eastAsia" w:ascii="宋体" w:hAnsi="宋体" w:cs="宋体"/>
                <w:color w:val="auto"/>
                <w:kern w:val="2"/>
                <w:sz w:val="21"/>
                <w:szCs w:val="21"/>
                <w:lang w:val="en-US" w:eastAsia="zh-CN" w:bidi="ar-SA"/>
              </w:rPr>
            </w:pPr>
            <w:r>
              <w:rPr>
                <w:rFonts w:hint="eastAsia" w:ascii="宋体" w:hAnsi="宋体" w:cs="宋体"/>
                <w:color w:val="auto"/>
                <w:kern w:val="2"/>
                <w:sz w:val="21"/>
                <w:szCs w:val="21"/>
                <w:lang w:val="en-US" w:eastAsia="zh-CN" w:bidi="ar-SA"/>
              </w:rPr>
              <w:t>（F=100分）</w:t>
            </w:r>
          </w:p>
        </w:tc>
        <w:tc>
          <w:tcPr>
            <w:tcW w:w="645" w:type="pct"/>
            <w:tcBorders>
              <w:tl2br w:val="nil"/>
              <w:tr2bl w:val="nil"/>
            </w:tcBorders>
            <w:noWrap w:val="0"/>
            <w:vAlign w:val="center"/>
          </w:tcPr>
          <w:p w14:paraId="2AA0EDBD">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20" w:lineRule="exact"/>
              <w:ind w:right="0"/>
              <w:jc w:val="left"/>
              <w:textAlignment w:val="auto"/>
              <w:rPr>
                <w:rFonts w:hint="eastAsia" w:ascii="宋体" w:hAnsi="宋体" w:cs="宋体"/>
                <w:color w:val="auto"/>
                <w:kern w:val="2"/>
                <w:sz w:val="21"/>
                <w:szCs w:val="21"/>
                <w:lang w:val="en-US" w:eastAsia="zh-CN" w:bidi="ar-SA"/>
              </w:rPr>
            </w:pPr>
            <w:r>
              <w:rPr>
                <w:rFonts w:hint="eastAsia" w:ascii="宋体" w:hAnsi="宋体" w:cs="宋体"/>
                <w:color w:val="auto"/>
                <w:kern w:val="2"/>
                <w:sz w:val="21"/>
                <w:szCs w:val="21"/>
                <w:lang w:val="en-US" w:eastAsia="zh-CN" w:bidi="ar-SA"/>
              </w:rPr>
              <w:t>产品配置技术参数</w:t>
            </w:r>
          </w:p>
          <w:p w14:paraId="0971B575">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20" w:lineRule="exact"/>
              <w:ind w:right="0"/>
              <w:jc w:val="left"/>
              <w:textAlignment w:val="auto"/>
              <w:rPr>
                <w:rFonts w:hint="eastAsia" w:ascii="宋体" w:hAnsi="宋体" w:cs="宋体"/>
                <w:color w:val="auto"/>
                <w:kern w:val="2"/>
                <w:sz w:val="21"/>
                <w:szCs w:val="21"/>
                <w:lang w:val="en-US" w:eastAsia="zh-CN" w:bidi="ar-SA"/>
              </w:rPr>
            </w:pPr>
            <w:r>
              <w:rPr>
                <w:rFonts w:hint="eastAsia" w:ascii="宋体" w:hAnsi="宋体" w:cs="宋体"/>
                <w:color w:val="auto"/>
                <w:kern w:val="2"/>
                <w:sz w:val="21"/>
                <w:szCs w:val="21"/>
                <w:lang w:val="en-US" w:eastAsia="zh-CN" w:bidi="ar-SA"/>
              </w:rPr>
              <w:t>（30分）</w:t>
            </w:r>
          </w:p>
        </w:tc>
        <w:tc>
          <w:tcPr>
            <w:tcW w:w="3406" w:type="pct"/>
            <w:tcBorders>
              <w:tl2br w:val="nil"/>
              <w:tr2bl w:val="nil"/>
            </w:tcBorders>
            <w:noWrap w:val="0"/>
            <w:vAlign w:val="center"/>
          </w:tcPr>
          <w:p w14:paraId="71A07BCA">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20" w:lineRule="exact"/>
              <w:ind w:right="0"/>
              <w:jc w:val="left"/>
              <w:textAlignment w:val="auto"/>
              <w:rPr>
                <w:rFonts w:hint="eastAsia" w:ascii="宋体" w:hAnsi="宋体" w:cs="宋体"/>
                <w:color w:val="auto"/>
                <w:kern w:val="2"/>
                <w:sz w:val="21"/>
                <w:szCs w:val="21"/>
                <w:lang w:val="en-US" w:eastAsia="zh-CN" w:bidi="ar-SA"/>
              </w:rPr>
            </w:pPr>
            <w:r>
              <w:rPr>
                <w:rFonts w:hint="eastAsia" w:ascii="宋体" w:hAnsi="宋体" w:cs="宋体"/>
                <w:color w:val="auto"/>
                <w:kern w:val="2"/>
                <w:sz w:val="21"/>
                <w:szCs w:val="21"/>
                <w:lang w:val="en-US" w:eastAsia="zh-CN" w:bidi="ar-SA"/>
              </w:rPr>
              <w:t>投标人所投产品配置技术参数完全满足采购需求的，计30分。标“★”为实质性响应条款。</w:t>
            </w:r>
          </w:p>
          <w:p w14:paraId="2DD5A0CF">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20" w:lineRule="exact"/>
              <w:ind w:right="0"/>
              <w:jc w:val="left"/>
              <w:textAlignment w:val="auto"/>
              <w:rPr>
                <w:rFonts w:hint="eastAsia" w:ascii="宋体" w:hAnsi="宋体" w:cs="宋体"/>
                <w:color w:val="auto"/>
                <w:kern w:val="2"/>
                <w:sz w:val="21"/>
                <w:szCs w:val="21"/>
                <w:lang w:val="en-US" w:eastAsia="zh-CN" w:bidi="ar-SA"/>
              </w:rPr>
            </w:pPr>
            <w:r>
              <w:rPr>
                <w:rFonts w:hint="eastAsia" w:ascii="宋体" w:hAnsi="宋体" w:cs="宋体"/>
                <w:color w:val="auto"/>
                <w:kern w:val="2"/>
                <w:sz w:val="21"/>
                <w:szCs w:val="21"/>
                <w:lang w:val="en-US" w:eastAsia="zh-CN" w:bidi="ar-SA"/>
              </w:rPr>
              <w:t>1.技术参数不清，有缺漏项的，或有负偏离的，每处扣3分，扣完为止。</w:t>
            </w:r>
          </w:p>
          <w:p w14:paraId="59541618">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20" w:lineRule="exact"/>
              <w:ind w:right="0"/>
              <w:jc w:val="left"/>
              <w:textAlignment w:val="auto"/>
              <w:rPr>
                <w:rFonts w:hint="eastAsia" w:ascii="宋体" w:hAnsi="宋体" w:cs="宋体"/>
                <w:color w:val="auto"/>
                <w:kern w:val="2"/>
                <w:sz w:val="21"/>
                <w:szCs w:val="21"/>
                <w:lang w:val="en-US" w:eastAsia="zh-CN" w:bidi="ar-SA"/>
              </w:rPr>
            </w:pPr>
            <w:r>
              <w:rPr>
                <w:rFonts w:hint="eastAsia" w:ascii="宋体" w:hAnsi="宋体" w:cs="宋体"/>
                <w:color w:val="auto"/>
                <w:kern w:val="2"/>
                <w:sz w:val="21"/>
                <w:szCs w:val="21"/>
                <w:lang w:val="en-US" w:eastAsia="zh-CN" w:bidi="ar-SA"/>
              </w:rPr>
              <w:t>2.▲参数为关键技术指标，投标人有负偏离的，每处扣4分，扣完为止。</w:t>
            </w:r>
          </w:p>
          <w:p w14:paraId="52B9E5A0">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20" w:lineRule="exact"/>
              <w:ind w:right="0"/>
              <w:jc w:val="left"/>
              <w:textAlignment w:val="auto"/>
              <w:rPr>
                <w:rFonts w:hint="eastAsia" w:ascii="宋体" w:hAnsi="宋体" w:cs="宋体"/>
                <w:color w:val="auto"/>
                <w:kern w:val="2"/>
                <w:sz w:val="21"/>
                <w:szCs w:val="21"/>
                <w:lang w:val="en-US" w:eastAsia="zh-CN" w:bidi="ar-SA"/>
              </w:rPr>
            </w:pPr>
            <w:r>
              <w:rPr>
                <w:rFonts w:hint="eastAsia" w:ascii="宋体" w:hAnsi="宋体" w:cs="宋体"/>
                <w:color w:val="auto"/>
                <w:kern w:val="2"/>
                <w:sz w:val="21"/>
                <w:szCs w:val="21"/>
                <w:lang w:val="en-US" w:eastAsia="zh-CN" w:bidi="ar-SA"/>
              </w:rPr>
              <w:t>备注：所投产品如品牌型号产品参数相同的，每偏离1项，只按1项计算，不重复计算。</w:t>
            </w:r>
          </w:p>
        </w:tc>
      </w:tr>
      <w:tr w14:paraId="7D7792C9">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108" w:type="dxa"/>
            <w:bottom w:w="0" w:type="dxa"/>
            <w:right w:w="108" w:type="dxa"/>
          </w:tblCellMar>
        </w:tblPrEx>
        <w:trPr>
          <w:trHeight w:val="1548" w:hRule="atLeast"/>
          <w:jc w:val="center"/>
        </w:trPr>
        <w:tc>
          <w:tcPr>
            <w:tcW w:w="273" w:type="pct"/>
            <w:vMerge w:val="continue"/>
            <w:tcBorders>
              <w:tl2br w:val="nil"/>
              <w:tr2bl w:val="nil"/>
            </w:tcBorders>
            <w:noWrap w:val="0"/>
            <w:vAlign w:val="center"/>
          </w:tcPr>
          <w:p w14:paraId="6282EFA2">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20" w:lineRule="exact"/>
              <w:ind w:right="0"/>
              <w:jc w:val="left"/>
              <w:textAlignment w:val="auto"/>
              <w:rPr>
                <w:rFonts w:hint="eastAsia" w:ascii="宋体" w:hAnsi="宋体" w:cs="宋体"/>
                <w:color w:val="auto"/>
                <w:kern w:val="2"/>
                <w:sz w:val="21"/>
                <w:szCs w:val="21"/>
                <w:lang w:val="en-US" w:eastAsia="zh-CN" w:bidi="ar-SA"/>
              </w:rPr>
            </w:pPr>
          </w:p>
        </w:tc>
        <w:tc>
          <w:tcPr>
            <w:tcW w:w="675" w:type="pct"/>
            <w:vMerge w:val="continue"/>
            <w:tcBorders>
              <w:tl2br w:val="nil"/>
              <w:tr2bl w:val="nil"/>
            </w:tcBorders>
            <w:noWrap w:val="0"/>
            <w:vAlign w:val="center"/>
          </w:tcPr>
          <w:p w14:paraId="02C209A5">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20" w:lineRule="exact"/>
              <w:ind w:right="0"/>
              <w:jc w:val="left"/>
              <w:textAlignment w:val="auto"/>
              <w:rPr>
                <w:rFonts w:hint="eastAsia" w:ascii="宋体" w:hAnsi="宋体" w:cs="宋体"/>
                <w:color w:val="auto"/>
                <w:kern w:val="2"/>
                <w:sz w:val="21"/>
                <w:szCs w:val="21"/>
                <w:lang w:val="en-US" w:eastAsia="zh-CN" w:bidi="ar-SA"/>
              </w:rPr>
            </w:pPr>
          </w:p>
        </w:tc>
        <w:tc>
          <w:tcPr>
            <w:tcW w:w="1169" w:type="dxa"/>
            <w:tcBorders>
              <w:tl2br w:val="nil"/>
              <w:tr2bl w:val="nil"/>
            </w:tcBorders>
            <w:noWrap w:val="0"/>
            <w:vAlign w:val="center"/>
          </w:tcPr>
          <w:p w14:paraId="6DEE0CA6">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20" w:lineRule="exact"/>
              <w:ind w:right="0"/>
              <w:jc w:val="left"/>
              <w:textAlignment w:val="auto"/>
              <w:rPr>
                <w:rFonts w:hint="eastAsia" w:ascii="宋体" w:hAnsi="宋体" w:cs="宋体"/>
                <w:color w:val="auto"/>
                <w:kern w:val="2"/>
                <w:sz w:val="21"/>
                <w:szCs w:val="21"/>
                <w:lang w:val="en-US" w:eastAsia="zh-CN" w:bidi="ar-SA"/>
              </w:rPr>
            </w:pPr>
            <w:r>
              <w:rPr>
                <w:rFonts w:hint="eastAsia" w:ascii="宋体" w:hAnsi="宋体" w:cs="宋体"/>
                <w:color w:val="auto"/>
                <w:kern w:val="2"/>
                <w:sz w:val="21"/>
                <w:szCs w:val="21"/>
                <w:lang w:val="en-US" w:eastAsia="zh-CN" w:bidi="ar-SA"/>
              </w:rPr>
              <w:t>项目实施</w:t>
            </w:r>
          </w:p>
          <w:p w14:paraId="3BDA6D30">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20" w:lineRule="exact"/>
              <w:ind w:right="0"/>
              <w:jc w:val="left"/>
              <w:textAlignment w:val="auto"/>
              <w:rPr>
                <w:rFonts w:hint="eastAsia" w:ascii="宋体" w:hAnsi="宋体" w:cs="宋体"/>
                <w:color w:val="auto"/>
                <w:kern w:val="2"/>
                <w:sz w:val="21"/>
                <w:szCs w:val="21"/>
                <w:lang w:val="en-US" w:eastAsia="zh-CN" w:bidi="ar-SA"/>
              </w:rPr>
            </w:pPr>
            <w:r>
              <w:rPr>
                <w:rFonts w:hint="eastAsia" w:ascii="宋体" w:hAnsi="宋体" w:cs="宋体"/>
                <w:color w:val="auto"/>
                <w:kern w:val="2"/>
                <w:sz w:val="21"/>
                <w:szCs w:val="21"/>
                <w:lang w:val="en-US" w:eastAsia="zh-CN" w:bidi="ar-SA"/>
              </w:rPr>
              <w:t>方案</w:t>
            </w:r>
          </w:p>
          <w:p w14:paraId="645D79A2">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20" w:lineRule="exact"/>
              <w:ind w:right="0"/>
              <w:jc w:val="left"/>
              <w:textAlignment w:val="auto"/>
              <w:rPr>
                <w:rFonts w:hint="eastAsia" w:ascii="宋体" w:hAnsi="宋体" w:cs="宋体"/>
                <w:color w:val="auto"/>
                <w:kern w:val="2"/>
                <w:sz w:val="21"/>
                <w:szCs w:val="21"/>
                <w:lang w:val="en-US" w:eastAsia="zh-CN" w:bidi="ar-SA"/>
              </w:rPr>
            </w:pPr>
            <w:r>
              <w:rPr>
                <w:rFonts w:hint="eastAsia" w:ascii="宋体" w:hAnsi="宋体" w:cs="宋体"/>
                <w:color w:val="auto"/>
                <w:kern w:val="2"/>
                <w:sz w:val="21"/>
                <w:szCs w:val="21"/>
                <w:lang w:val="en-US" w:eastAsia="zh-CN" w:bidi="ar-SA"/>
              </w:rPr>
              <w:t>（40分）</w:t>
            </w:r>
          </w:p>
        </w:tc>
        <w:tc>
          <w:tcPr>
            <w:tcW w:w="6172" w:type="dxa"/>
            <w:tcBorders>
              <w:tl2br w:val="nil"/>
              <w:tr2bl w:val="nil"/>
            </w:tcBorders>
            <w:noWrap w:val="0"/>
            <w:vAlign w:val="center"/>
          </w:tcPr>
          <w:p w14:paraId="3409FB1C">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20" w:lineRule="exact"/>
              <w:ind w:right="0"/>
              <w:jc w:val="left"/>
              <w:textAlignment w:val="auto"/>
              <w:rPr>
                <w:rFonts w:hint="eastAsia" w:ascii="宋体" w:hAnsi="宋体" w:cs="宋体"/>
                <w:color w:val="auto"/>
                <w:kern w:val="2"/>
                <w:sz w:val="21"/>
                <w:szCs w:val="21"/>
                <w:lang w:val="en-US" w:eastAsia="zh-CN" w:bidi="ar-SA"/>
              </w:rPr>
            </w:pPr>
            <w:r>
              <w:rPr>
                <w:rFonts w:hint="eastAsia" w:ascii="宋体" w:hAnsi="宋体" w:cs="宋体"/>
                <w:color w:val="auto"/>
                <w:kern w:val="2"/>
                <w:sz w:val="21"/>
                <w:szCs w:val="21"/>
                <w:lang w:val="en-US" w:eastAsia="zh-CN" w:bidi="ar-SA"/>
              </w:rPr>
              <w:t>根据投标人提供的项目实施方案包括但不限于：①需求分析、②进度计划及人员安排、③安装调试程序、④培训方案等。</w:t>
            </w:r>
          </w:p>
          <w:p w14:paraId="2D0214A4">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20" w:lineRule="exact"/>
              <w:ind w:right="0"/>
              <w:jc w:val="left"/>
              <w:textAlignment w:val="auto"/>
              <w:rPr>
                <w:rFonts w:hint="eastAsia" w:ascii="宋体" w:hAnsi="宋体" w:cs="宋体"/>
                <w:color w:val="auto"/>
                <w:kern w:val="2"/>
                <w:sz w:val="21"/>
                <w:szCs w:val="21"/>
                <w:lang w:val="en-US" w:eastAsia="zh-CN" w:bidi="ar-SA"/>
              </w:rPr>
            </w:pPr>
            <w:r>
              <w:rPr>
                <w:rFonts w:hint="eastAsia" w:ascii="宋体" w:hAnsi="宋体" w:cs="宋体"/>
                <w:color w:val="auto"/>
                <w:kern w:val="2"/>
                <w:sz w:val="21"/>
                <w:szCs w:val="21"/>
                <w:lang w:val="en-US" w:eastAsia="zh-CN" w:bidi="ar-SA"/>
              </w:rPr>
              <w:t>方案完整详实、符合本项目采购需求的计40分。内容有缺漏项的，每缺一项扣10分；内容不完整、不符合项目采购需求、有缺陷的每处扣2分，扣完为止。未提供的不计分。</w:t>
            </w:r>
          </w:p>
        </w:tc>
      </w:tr>
      <w:tr w14:paraId="3A24054E">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108" w:type="dxa"/>
            <w:bottom w:w="0" w:type="dxa"/>
            <w:right w:w="108" w:type="dxa"/>
          </w:tblCellMar>
        </w:tblPrEx>
        <w:trPr>
          <w:trHeight w:val="90" w:hRule="atLeast"/>
          <w:jc w:val="center"/>
        </w:trPr>
        <w:tc>
          <w:tcPr>
            <w:tcW w:w="273" w:type="pct"/>
            <w:vMerge w:val="continue"/>
            <w:tcBorders>
              <w:tl2br w:val="nil"/>
              <w:tr2bl w:val="nil"/>
            </w:tcBorders>
            <w:noWrap w:val="0"/>
            <w:vAlign w:val="center"/>
          </w:tcPr>
          <w:p w14:paraId="41DE5BC6">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20" w:lineRule="exact"/>
              <w:ind w:right="0"/>
              <w:jc w:val="left"/>
              <w:textAlignment w:val="auto"/>
              <w:rPr>
                <w:rFonts w:hint="eastAsia" w:ascii="宋体" w:hAnsi="宋体" w:cs="宋体"/>
                <w:color w:val="auto"/>
                <w:kern w:val="2"/>
                <w:sz w:val="21"/>
                <w:szCs w:val="21"/>
                <w:lang w:val="en-US" w:eastAsia="zh-CN" w:bidi="ar-SA"/>
              </w:rPr>
            </w:pPr>
          </w:p>
        </w:tc>
        <w:tc>
          <w:tcPr>
            <w:tcW w:w="675" w:type="pct"/>
            <w:vMerge w:val="continue"/>
            <w:tcBorders>
              <w:tl2br w:val="nil"/>
              <w:tr2bl w:val="nil"/>
            </w:tcBorders>
            <w:noWrap w:val="0"/>
            <w:vAlign w:val="center"/>
          </w:tcPr>
          <w:p w14:paraId="45F1144E">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20" w:lineRule="exact"/>
              <w:ind w:right="0"/>
              <w:jc w:val="left"/>
              <w:textAlignment w:val="auto"/>
              <w:rPr>
                <w:rFonts w:hint="eastAsia" w:ascii="宋体" w:hAnsi="宋体" w:cs="宋体"/>
                <w:color w:val="auto"/>
                <w:kern w:val="2"/>
                <w:sz w:val="21"/>
                <w:szCs w:val="21"/>
                <w:lang w:val="en-US" w:eastAsia="zh-CN" w:bidi="ar-SA"/>
              </w:rPr>
            </w:pPr>
          </w:p>
        </w:tc>
        <w:tc>
          <w:tcPr>
            <w:tcW w:w="1169" w:type="dxa"/>
            <w:tcBorders>
              <w:tl2br w:val="nil"/>
              <w:tr2bl w:val="nil"/>
            </w:tcBorders>
            <w:noWrap w:val="0"/>
            <w:vAlign w:val="center"/>
          </w:tcPr>
          <w:p w14:paraId="3CB2A5C4">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20" w:lineRule="exact"/>
              <w:ind w:right="0"/>
              <w:jc w:val="left"/>
              <w:textAlignment w:val="auto"/>
              <w:rPr>
                <w:rFonts w:hint="eastAsia" w:ascii="宋体" w:hAnsi="宋体" w:cs="宋体"/>
                <w:color w:val="auto"/>
                <w:kern w:val="2"/>
                <w:sz w:val="21"/>
                <w:szCs w:val="21"/>
                <w:lang w:val="en-US" w:eastAsia="zh-CN" w:bidi="ar-SA"/>
              </w:rPr>
            </w:pPr>
            <w:r>
              <w:rPr>
                <w:rFonts w:hint="eastAsia" w:ascii="宋体" w:hAnsi="宋体" w:cs="宋体"/>
                <w:color w:val="auto"/>
                <w:kern w:val="2"/>
                <w:sz w:val="21"/>
                <w:szCs w:val="21"/>
                <w:lang w:val="en-US" w:eastAsia="zh-CN" w:bidi="ar-SA"/>
              </w:rPr>
              <w:t>质量保证措施（30分）</w:t>
            </w:r>
          </w:p>
        </w:tc>
        <w:tc>
          <w:tcPr>
            <w:tcW w:w="6172" w:type="dxa"/>
            <w:tcBorders>
              <w:tl2br w:val="nil"/>
              <w:tr2bl w:val="nil"/>
            </w:tcBorders>
            <w:noWrap w:val="0"/>
            <w:vAlign w:val="center"/>
          </w:tcPr>
          <w:p w14:paraId="2B42340E">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20" w:lineRule="exact"/>
              <w:ind w:right="0"/>
              <w:jc w:val="left"/>
              <w:textAlignment w:val="auto"/>
              <w:rPr>
                <w:rFonts w:hint="eastAsia" w:ascii="宋体" w:hAnsi="宋体" w:cs="宋体"/>
                <w:color w:val="auto"/>
                <w:kern w:val="2"/>
                <w:sz w:val="21"/>
                <w:szCs w:val="21"/>
                <w:lang w:val="en-US" w:eastAsia="zh-CN" w:bidi="ar-SA"/>
              </w:rPr>
            </w:pPr>
            <w:r>
              <w:rPr>
                <w:rFonts w:hint="eastAsia" w:ascii="宋体" w:hAnsi="宋体" w:cs="宋体"/>
                <w:color w:val="auto"/>
                <w:kern w:val="2"/>
                <w:sz w:val="21"/>
                <w:szCs w:val="21"/>
                <w:lang w:val="en-US" w:eastAsia="zh-CN" w:bidi="ar-SA"/>
              </w:rPr>
              <w:t>投标人提供的质量保证措施包括但不限于①质量管理机构、②质量管理体系和制度、③安全文明施工、④项目风险控制、⑤应急方案等。</w:t>
            </w:r>
          </w:p>
          <w:p w14:paraId="7644E8BB">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20" w:lineRule="exact"/>
              <w:ind w:right="0"/>
              <w:jc w:val="left"/>
              <w:textAlignment w:val="auto"/>
              <w:rPr>
                <w:rFonts w:hint="eastAsia" w:ascii="宋体" w:hAnsi="宋体" w:cs="宋体"/>
                <w:color w:val="auto"/>
                <w:kern w:val="2"/>
                <w:sz w:val="21"/>
                <w:szCs w:val="21"/>
                <w:lang w:val="en-US" w:eastAsia="zh-CN" w:bidi="ar-SA"/>
              </w:rPr>
            </w:pPr>
            <w:r>
              <w:rPr>
                <w:rFonts w:hint="eastAsia" w:ascii="宋体" w:hAnsi="宋体" w:cs="宋体"/>
                <w:color w:val="auto"/>
                <w:kern w:val="2"/>
                <w:sz w:val="21"/>
                <w:szCs w:val="21"/>
                <w:lang w:val="en-US" w:eastAsia="zh-CN" w:bidi="ar-SA"/>
              </w:rPr>
              <w:t>方案完整详实、符合本项目采购需求的计30分。内容有缺漏项的，每缺一项扣6分；内容不完整、不符合项目采购需求、有缺陷的每处扣2分，扣完为止。未提供的不计分。</w:t>
            </w:r>
          </w:p>
        </w:tc>
      </w:tr>
      <w:tr w14:paraId="6B2A4F07">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108" w:type="dxa"/>
            <w:bottom w:w="0" w:type="dxa"/>
            <w:right w:w="108" w:type="dxa"/>
          </w:tblCellMar>
        </w:tblPrEx>
        <w:trPr>
          <w:trHeight w:val="20" w:hRule="atLeast"/>
          <w:jc w:val="center"/>
        </w:trPr>
        <w:tc>
          <w:tcPr>
            <w:tcW w:w="273" w:type="pct"/>
            <w:vMerge w:val="continue"/>
            <w:tcBorders>
              <w:tl2br w:val="nil"/>
              <w:tr2bl w:val="nil"/>
            </w:tcBorders>
            <w:noWrap w:val="0"/>
            <w:vAlign w:val="center"/>
          </w:tcPr>
          <w:p w14:paraId="0E37B73A">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20" w:lineRule="exact"/>
              <w:ind w:right="0"/>
              <w:jc w:val="left"/>
              <w:textAlignment w:val="auto"/>
              <w:rPr>
                <w:rFonts w:hint="eastAsia" w:ascii="宋体" w:hAnsi="宋体" w:cs="宋体"/>
                <w:color w:val="auto"/>
                <w:kern w:val="2"/>
                <w:sz w:val="21"/>
                <w:szCs w:val="21"/>
                <w:lang w:val="en-US" w:eastAsia="zh-CN" w:bidi="ar-SA"/>
              </w:rPr>
            </w:pPr>
          </w:p>
        </w:tc>
        <w:tc>
          <w:tcPr>
            <w:tcW w:w="675" w:type="pct"/>
            <w:vMerge w:val="continue"/>
            <w:tcBorders>
              <w:tl2br w:val="nil"/>
              <w:tr2bl w:val="nil"/>
            </w:tcBorders>
            <w:noWrap w:val="0"/>
            <w:vAlign w:val="center"/>
          </w:tcPr>
          <w:p w14:paraId="768931A5">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20" w:lineRule="exact"/>
              <w:ind w:right="0"/>
              <w:jc w:val="left"/>
              <w:textAlignment w:val="auto"/>
              <w:rPr>
                <w:rFonts w:hint="eastAsia" w:ascii="宋体" w:hAnsi="宋体" w:cs="宋体"/>
                <w:color w:val="auto"/>
                <w:kern w:val="2"/>
                <w:sz w:val="21"/>
                <w:szCs w:val="21"/>
                <w:lang w:val="en-US" w:eastAsia="zh-CN" w:bidi="ar-SA"/>
              </w:rPr>
            </w:pPr>
          </w:p>
        </w:tc>
        <w:tc>
          <w:tcPr>
            <w:tcW w:w="4051" w:type="pct"/>
            <w:gridSpan w:val="2"/>
            <w:tcBorders>
              <w:tl2br w:val="nil"/>
              <w:tr2bl w:val="nil"/>
            </w:tcBorders>
            <w:noWrap w:val="0"/>
            <w:vAlign w:val="center"/>
          </w:tcPr>
          <w:p w14:paraId="27BC6C9C">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20" w:lineRule="exact"/>
              <w:ind w:right="0"/>
              <w:jc w:val="left"/>
              <w:textAlignment w:val="auto"/>
              <w:rPr>
                <w:rFonts w:hint="eastAsia" w:ascii="宋体" w:hAnsi="宋体" w:cs="宋体"/>
                <w:color w:val="auto"/>
                <w:kern w:val="2"/>
                <w:sz w:val="21"/>
                <w:szCs w:val="21"/>
                <w:lang w:val="en-US" w:eastAsia="zh-CN" w:bidi="ar-SA"/>
              </w:rPr>
            </w:pPr>
            <w:r>
              <w:rPr>
                <w:rFonts w:hint="eastAsia" w:ascii="宋体" w:hAnsi="宋体" w:cs="宋体"/>
                <w:color w:val="auto"/>
                <w:kern w:val="2"/>
                <w:sz w:val="21"/>
                <w:szCs w:val="21"/>
                <w:lang w:val="en-US" w:eastAsia="zh-CN" w:bidi="ar-SA"/>
              </w:rPr>
              <w:t>注：缺漏项是指有缺漏方案的；内容不完整、不符合项目采购需求、有缺陷是指：存在非专门针对本项目采购需求内容或不适用本项目的、内容不完整或缺少关键节点、套用其他项目方案等任意一种情形。</w:t>
            </w:r>
          </w:p>
        </w:tc>
      </w:tr>
      <w:tr w14:paraId="1DFAC859">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108" w:type="dxa"/>
            <w:bottom w:w="0" w:type="dxa"/>
            <w:right w:w="108" w:type="dxa"/>
          </w:tblCellMar>
        </w:tblPrEx>
        <w:trPr>
          <w:trHeight w:val="570" w:hRule="atLeast"/>
          <w:jc w:val="center"/>
        </w:trPr>
        <w:tc>
          <w:tcPr>
            <w:tcW w:w="273" w:type="pct"/>
            <w:vMerge w:val="continue"/>
            <w:tcBorders>
              <w:tl2br w:val="nil"/>
              <w:tr2bl w:val="nil"/>
            </w:tcBorders>
            <w:noWrap w:val="0"/>
            <w:vAlign w:val="center"/>
          </w:tcPr>
          <w:p w14:paraId="40912705">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20" w:lineRule="exact"/>
              <w:ind w:right="0"/>
              <w:jc w:val="left"/>
              <w:textAlignment w:val="auto"/>
              <w:rPr>
                <w:rFonts w:hint="eastAsia" w:ascii="宋体" w:hAnsi="宋体" w:cs="宋体"/>
                <w:color w:val="auto"/>
                <w:kern w:val="2"/>
                <w:sz w:val="21"/>
                <w:szCs w:val="21"/>
                <w:lang w:val="en-US" w:eastAsia="zh-CN" w:bidi="ar-SA"/>
              </w:rPr>
            </w:pPr>
          </w:p>
        </w:tc>
        <w:tc>
          <w:tcPr>
            <w:tcW w:w="675" w:type="pct"/>
            <w:tcBorders>
              <w:tl2br w:val="nil"/>
              <w:tr2bl w:val="nil"/>
            </w:tcBorders>
            <w:noWrap w:val="0"/>
            <w:vAlign w:val="center"/>
          </w:tcPr>
          <w:p w14:paraId="0C10EBC9">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20" w:lineRule="exact"/>
              <w:ind w:right="0"/>
              <w:jc w:val="left"/>
              <w:textAlignment w:val="auto"/>
              <w:rPr>
                <w:rFonts w:hint="eastAsia" w:ascii="宋体" w:hAnsi="宋体" w:cs="宋体"/>
                <w:color w:val="auto"/>
                <w:kern w:val="2"/>
                <w:sz w:val="21"/>
                <w:szCs w:val="21"/>
                <w:lang w:val="en-US" w:eastAsia="zh-CN" w:bidi="ar-SA"/>
              </w:rPr>
            </w:pPr>
            <w:r>
              <w:rPr>
                <w:rFonts w:hint="eastAsia" w:ascii="宋体" w:hAnsi="宋体" w:cs="宋体"/>
                <w:color w:val="auto"/>
                <w:kern w:val="2"/>
                <w:sz w:val="21"/>
                <w:szCs w:val="21"/>
                <w:lang w:val="en-US" w:eastAsia="zh-CN" w:bidi="ar-SA"/>
              </w:rPr>
              <w:t>优先采购加分（F优先采购加分）</w:t>
            </w:r>
          </w:p>
        </w:tc>
        <w:tc>
          <w:tcPr>
            <w:tcW w:w="4051" w:type="pct"/>
            <w:gridSpan w:val="2"/>
            <w:tcBorders>
              <w:tl2br w:val="nil"/>
              <w:tr2bl w:val="nil"/>
            </w:tcBorders>
            <w:noWrap w:val="0"/>
            <w:vAlign w:val="center"/>
          </w:tcPr>
          <w:p w14:paraId="1B02E326">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20" w:lineRule="exact"/>
              <w:ind w:right="0"/>
              <w:jc w:val="left"/>
              <w:textAlignment w:val="auto"/>
              <w:rPr>
                <w:rFonts w:hint="eastAsia" w:ascii="宋体" w:hAnsi="宋体" w:cs="宋体"/>
                <w:color w:val="auto"/>
                <w:kern w:val="2"/>
                <w:sz w:val="21"/>
                <w:szCs w:val="21"/>
                <w:lang w:val="en-US" w:eastAsia="zh-CN" w:bidi="ar-SA"/>
              </w:rPr>
            </w:pPr>
            <w:r>
              <w:rPr>
                <w:rFonts w:hint="eastAsia" w:ascii="宋体" w:hAnsi="宋体" w:cs="宋体"/>
                <w:color w:val="auto"/>
                <w:kern w:val="2"/>
                <w:sz w:val="21"/>
                <w:szCs w:val="21"/>
                <w:lang w:val="en-US" w:eastAsia="zh-CN" w:bidi="ar-SA"/>
              </w:rPr>
              <w:t>见第二章投标须知和评标方法及标准</w:t>
            </w:r>
          </w:p>
        </w:tc>
      </w:tr>
      <w:tr w14:paraId="7F320DA6">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108" w:type="dxa"/>
            <w:bottom w:w="0" w:type="dxa"/>
            <w:right w:w="108" w:type="dxa"/>
          </w:tblCellMar>
        </w:tblPrEx>
        <w:trPr>
          <w:trHeight w:val="410" w:hRule="atLeast"/>
          <w:jc w:val="center"/>
        </w:trPr>
        <w:tc>
          <w:tcPr>
            <w:tcW w:w="273" w:type="pct"/>
            <w:tcBorders>
              <w:tl2br w:val="nil"/>
              <w:tr2bl w:val="nil"/>
            </w:tcBorders>
            <w:noWrap w:val="0"/>
            <w:vAlign w:val="center"/>
          </w:tcPr>
          <w:p w14:paraId="79C9A7AF">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20" w:lineRule="exact"/>
              <w:ind w:right="0"/>
              <w:jc w:val="left"/>
              <w:textAlignment w:val="auto"/>
              <w:rPr>
                <w:rFonts w:hint="eastAsia" w:ascii="宋体" w:hAnsi="宋体" w:cs="宋体"/>
                <w:color w:val="auto"/>
                <w:kern w:val="2"/>
                <w:sz w:val="21"/>
                <w:szCs w:val="21"/>
                <w:lang w:val="en-US" w:eastAsia="zh-CN" w:bidi="ar-SA"/>
              </w:rPr>
            </w:pPr>
            <w:r>
              <w:rPr>
                <w:rFonts w:hint="eastAsia" w:ascii="宋体" w:hAnsi="宋体" w:cs="宋体"/>
                <w:color w:val="auto"/>
                <w:kern w:val="2"/>
                <w:sz w:val="21"/>
                <w:szCs w:val="21"/>
                <w:lang w:val="en-US" w:eastAsia="zh-CN" w:bidi="ar-SA"/>
              </w:rPr>
              <w:t>∑</w:t>
            </w:r>
          </w:p>
        </w:tc>
        <w:tc>
          <w:tcPr>
            <w:tcW w:w="4726" w:type="pct"/>
            <w:gridSpan w:val="3"/>
            <w:tcBorders>
              <w:tl2br w:val="nil"/>
              <w:tr2bl w:val="nil"/>
            </w:tcBorders>
            <w:noWrap w:val="0"/>
            <w:vAlign w:val="center"/>
          </w:tcPr>
          <w:p w14:paraId="121C6B2E">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20" w:lineRule="exact"/>
              <w:ind w:right="0"/>
              <w:jc w:val="left"/>
              <w:textAlignment w:val="auto"/>
              <w:rPr>
                <w:rFonts w:hint="eastAsia" w:ascii="宋体" w:hAnsi="宋体" w:cs="宋体"/>
                <w:color w:val="auto"/>
                <w:kern w:val="2"/>
                <w:sz w:val="21"/>
                <w:szCs w:val="21"/>
                <w:lang w:val="en-US" w:eastAsia="zh-CN" w:bidi="ar-SA"/>
              </w:rPr>
            </w:pPr>
            <w:r>
              <w:rPr>
                <w:rFonts w:hint="eastAsia" w:ascii="宋体" w:hAnsi="宋体" w:cs="宋体"/>
                <w:color w:val="auto"/>
                <w:kern w:val="2"/>
                <w:sz w:val="21"/>
                <w:szCs w:val="21"/>
                <w:lang w:val="en-US" w:eastAsia="zh-CN" w:bidi="ar-SA"/>
              </w:rPr>
              <w:t>F2=F+F优先采购加分</w:t>
            </w:r>
          </w:p>
        </w:tc>
      </w:tr>
    </w:tbl>
    <w:p w14:paraId="341B53E7">
      <w:pPr>
        <w:pStyle w:val="26"/>
      </w:pPr>
    </w:p>
    <w:p w14:paraId="58A933F6">
      <w:pPr>
        <w:adjustRightInd w:val="0"/>
        <w:snapToGrid w:val="0"/>
        <w:spacing w:before="156" w:beforeLines="50" w:line="360" w:lineRule="auto"/>
        <w:jc w:val="center"/>
        <w:rPr>
          <w:b/>
          <w:bCs/>
        </w:rPr>
      </w:pPr>
      <w:r>
        <w:rPr>
          <w:rFonts w:hint="eastAsia"/>
          <w:b/>
          <w:bCs/>
        </w:rPr>
        <w:t>附表1.3商务部分评审标准表</w:t>
      </w:r>
    </w:p>
    <w:tbl>
      <w:tblPr>
        <w:tblStyle w:val="27"/>
        <w:tblW w:w="4997" w:type="pct"/>
        <w:jc w:val="center"/>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ayout w:type="autofit"/>
        <w:tblCellMar>
          <w:top w:w="0" w:type="dxa"/>
          <w:left w:w="108" w:type="dxa"/>
          <w:bottom w:w="0" w:type="dxa"/>
          <w:right w:w="108" w:type="dxa"/>
        </w:tblCellMar>
      </w:tblPr>
      <w:tblGrid>
        <w:gridCol w:w="498"/>
        <w:gridCol w:w="1023"/>
        <w:gridCol w:w="1253"/>
        <w:gridCol w:w="6281"/>
      </w:tblGrid>
      <w:tr w14:paraId="6E536178">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108" w:type="dxa"/>
            <w:bottom w:w="0" w:type="dxa"/>
            <w:right w:w="108" w:type="dxa"/>
          </w:tblCellMar>
        </w:tblPrEx>
        <w:trPr>
          <w:trHeight w:val="652" w:hRule="atLeast"/>
          <w:jc w:val="center"/>
        </w:trPr>
        <w:tc>
          <w:tcPr>
            <w:tcW w:w="275" w:type="pct"/>
            <w:noWrap w:val="0"/>
            <w:vAlign w:val="center"/>
          </w:tcPr>
          <w:p w14:paraId="00FE755B">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20" w:lineRule="exact"/>
              <w:ind w:right="0"/>
              <w:jc w:val="left"/>
              <w:textAlignment w:val="auto"/>
              <w:rPr>
                <w:rFonts w:hint="eastAsia" w:ascii="宋体" w:hAnsi="宋体" w:cs="宋体"/>
                <w:color w:val="auto"/>
                <w:kern w:val="2"/>
                <w:sz w:val="21"/>
                <w:szCs w:val="21"/>
                <w:lang w:val="en-US" w:eastAsia="zh-CN" w:bidi="ar-SA"/>
              </w:rPr>
            </w:pPr>
            <w:r>
              <w:rPr>
                <w:rFonts w:hint="eastAsia" w:ascii="宋体" w:hAnsi="宋体" w:cs="宋体"/>
                <w:color w:val="auto"/>
                <w:kern w:val="2"/>
                <w:sz w:val="21"/>
                <w:szCs w:val="21"/>
                <w:lang w:val="en-US" w:eastAsia="zh-CN" w:bidi="ar-SA"/>
              </w:rPr>
              <w:t>序号</w:t>
            </w:r>
          </w:p>
        </w:tc>
        <w:tc>
          <w:tcPr>
            <w:tcW w:w="565" w:type="pct"/>
            <w:noWrap w:val="0"/>
            <w:vAlign w:val="center"/>
          </w:tcPr>
          <w:p w14:paraId="2599F09E">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20" w:lineRule="exact"/>
              <w:ind w:right="0"/>
              <w:jc w:val="left"/>
              <w:textAlignment w:val="auto"/>
              <w:rPr>
                <w:rFonts w:hint="eastAsia" w:ascii="宋体" w:hAnsi="宋体" w:cs="宋体"/>
                <w:color w:val="auto"/>
                <w:kern w:val="2"/>
                <w:sz w:val="21"/>
                <w:szCs w:val="21"/>
                <w:lang w:val="en-US" w:eastAsia="zh-CN" w:bidi="ar-SA"/>
              </w:rPr>
            </w:pPr>
            <w:r>
              <w:rPr>
                <w:rFonts w:hint="eastAsia" w:ascii="宋体" w:hAnsi="宋体" w:cs="宋体"/>
                <w:color w:val="auto"/>
                <w:kern w:val="2"/>
                <w:sz w:val="21"/>
                <w:szCs w:val="21"/>
                <w:lang w:val="en-US" w:eastAsia="zh-CN" w:bidi="ar-SA"/>
              </w:rPr>
              <w:t>评标因素（分值）</w:t>
            </w:r>
          </w:p>
        </w:tc>
        <w:tc>
          <w:tcPr>
            <w:tcW w:w="4159" w:type="pct"/>
            <w:gridSpan w:val="2"/>
            <w:noWrap w:val="0"/>
            <w:vAlign w:val="center"/>
          </w:tcPr>
          <w:p w14:paraId="3072C261">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20" w:lineRule="exact"/>
              <w:ind w:right="0"/>
              <w:jc w:val="left"/>
              <w:textAlignment w:val="auto"/>
              <w:rPr>
                <w:rFonts w:hint="eastAsia" w:ascii="宋体" w:hAnsi="宋体" w:cs="宋体"/>
                <w:color w:val="auto"/>
                <w:kern w:val="2"/>
                <w:sz w:val="21"/>
                <w:szCs w:val="21"/>
                <w:lang w:val="en-US" w:eastAsia="zh-CN" w:bidi="ar-SA"/>
              </w:rPr>
            </w:pPr>
            <w:r>
              <w:rPr>
                <w:rFonts w:hint="eastAsia" w:ascii="宋体" w:hAnsi="宋体" w:cs="宋体"/>
                <w:color w:val="auto"/>
                <w:kern w:val="2"/>
                <w:sz w:val="21"/>
                <w:szCs w:val="21"/>
                <w:lang w:val="en-US" w:eastAsia="zh-CN" w:bidi="ar-SA"/>
              </w:rPr>
              <w:t>评标标准</w:t>
            </w:r>
          </w:p>
        </w:tc>
      </w:tr>
      <w:tr w14:paraId="3010B22B">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108" w:type="dxa"/>
            <w:bottom w:w="0" w:type="dxa"/>
            <w:right w:w="108" w:type="dxa"/>
          </w:tblCellMar>
        </w:tblPrEx>
        <w:trPr>
          <w:trHeight w:val="728" w:hRule="atLeast"/>
          <w:jc w:val="center"/>
        </w:trPr>
        <w:tc>
          <w:tcPr>
            <w:tcW w:w="275" w:type="pct"/>
            <w:vMerge w:val="restart"/>
            <w:noWrap w:val="0"/>
            <w:vAlign w:val="center"/>
          </w:tcPr>
          <w:p w14:paraId="6C2738ED">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20" w:lineRule="exact"/>
              <w:ind w:right="0"/>
              <w:jc w:val="left"/>
              <w:textAlignment w:val="auto"/>
              <w:rPr>
                <w:rFonts w:hint="default" w:ascii="宋体" w:hAnsi="宋体" w:cs="宋体"/>
                <w:color w:val="auto"/>
                <w:kern w:val="2"/>
                <w:sz w:val="21"/>
                <w:szCs w:val="21"/>
                <w:lang w:val="en-US" w:eastAsia="zh-CN" w:bidi="ar-SA"/>
              </w:rPr>
            </w:pPr>
            <w:r>
              <w:rPr>
                <w:rFonts w:hint="eastAsia" w:ascii="宋体" w:hAnsi="宋体" w:cs="宋体"/>
                <w:color w:val="auto"/>
                <w:kern w:val="2"/>
                <w:sz w:val="21"/>
                <w:szCs w:val="21"/>
                <w:lang w:val="en-US" w:eastAsia="zh-CN" w:bidi="ar-SA"/>
              </w:rPr>
              <w:tab/>
            </w:r>
            <w:r>
              <w:rPr>
                <w:rFonts w:hint="eastAsia" w:ascii="宋体" w:hAnsi="宋体" w:cs="宋体"/>
                <w:color w:val="auto"/>
                <w:kern w:val="2"/>
                <w:sz w:val="21"/>
                <w:szCs w:val="21"/>
                <w:lang w:val="en-US" w:eastAsia="zh-CN" w:bidi="ar-SA"/>
              </w:rPr>
              <w:t>3</w:t>
            </w:r>
          </w:p>
        </w:tc>
        <w:tc>
          <w:tcPr>
            <w:tcW w:w="565" w:type="pct"/>
            <w:vMerge w:val="restart"/>
            <w:noWrap w:val="0"/>
            <w:vAlign w:val="center"/>
          </w:tcPr>
          <w:p w14:paraId="51B0C164">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20" w:lineRule="exact"/>
              <w:ind w:right="0"/>
              <w:jc w:val="left"/>
              <w:textAlignment w:val="auto"/>
              <w:rPr>
                <w:rFonts w:hint="eastAsia" w:ascii="宋体" w:hAnsi="宋体" w:cs="宋体"/>
                <w:color w:val="auto"/>
                <w:kern w:val="2"/>
                <w:sz w:val="21"/>
                <w:szCs w:val="21"/>
                <w:lang w:val="en-US" w:eastAsia="zh-CN" w:bidi="ar-SA"/>
              </w:rPr>
            </w:pPr>
            <w:r>
              <w:rPr>
                <w:rFonts w:hint="eastAsia" w:ascii="宋体" w:hAnsi="宋体" w:cs="宋体"/>
                <w:color w:val="auto"/>
                <w:kern w:val="2"/>
                <w:sz w:val="21"/>
                <w:szCs w:val="21"/>
                <w:lang w:val="en-US" w:eastAsia="zh-CN" w:bidi="ar-SA"/>
              </w:rPr>
              <w:t>商务评价项</w:t>
            </w:r>
          </w:p>
          <w:p w14:paraId="7C8B1DBE">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20" w:lineRule="exact"/>
              <w:ind w:right="0"/>
              <w:jc w:val="left"/>
              <w:textAlignment w:val="auto"/>
              <w:rPr>
                <w:rFonts w:hint="eastAsia" w:ascii="宋体" w:hAnsi="宋体" w:cs="宋体"/>
                <w:color w:val="auto"/>
                <w:kern w:val="2"/>
                <w:sz w:val="21"/>
                <w:szCs w:val="21"/>
                <w:lang w:val="en-US" w:eastAsia="zh-CN" w:bidi="ar-SA"/>
              </w:rPr>
            </w:pPr>
            <w:r>
              <w:rPr>
                <w:rFonts w:hint="eastAsia" w:ascii="宋体" w:hAnsi="宋体" w:cs="宋体"/>
                <w:color w:val="auto"/>
                <w:kern w:val="2"/>
                <w:sz w:val="21"/>
                <w:szCs w:val="21"/>
                <w:lang w:val="en-US" w:eastAsia="zh-CN" w:bidi="ar-SA"/>
              </w:rPr>
              <w:t>（F=100分）</w:t>
            </w:r>
          </w:p>
        </w:tc>
        <w:tc>
          <w:tcPr>
            <w:tcW w:w="692" w:type="pct"/>
            <w:noWrap w:val="0"/>
            <w:vAlign w:val="center"/>
          </w:tcPr>
          <w:p w14:paraId="068F665B">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20" w:lineRule="exact"/>
              <w:ind w:right="0"/>
              <w:jc w:val="left"/>
              <w:textAlignment w:val="auto"/>
              <w:rPr>
                <w:rFonts w:hint="eastAsia" w:ascii="宋体" w:hAnsi="宋体" w:cs="宋体"/>
                <w:color w:val="auto"/>
                <w:kern w:val="2"/>
                <w:sz w:val="21"/>
                <w:szCs w:val="21"/>
                <w:lang w:val="en-US" w:eastAsia="zh-CN" w:bidi="ar-SA"/>
              </w:rPr>
            </w:pPr>
            <w:r>
              <w:rPr>
                <w:rFonts w:hint="eastAsia" w:ascii="宋体" w:hAnsi="宋体" w:cs="宋体"/>
                <w:color w:val="auto"/>
                <w:kern w:val="2"/>
                <w:sz w:val="21"/>
                <w:szCs w:val="21"/>
                <w:lang w:val="en-US" w:eastAsia="zh-CN" w:bidi="ar-SA"/>
              </w:rPr>
              <w:t>类似业绩   （60分）</w:t>
            </w:r>
          </w:p>
        </w:tc>
        <w:tc>
          <w:tcPr>
            <w:tcW w:w="3466" w:type="pct"/>
            <w:noWrap w:val="0"/>
            <w:vAlign w:val="center"/>
          </w:tcPr>
          <w:p w14:paraId="53767340">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20" w:lineRule="exact"/>
              <w:ind w:right="0"/>
              <w:jc w:val="left"/>
              <w:textAlignment w:val="auto"/>
              <w:rPr>
                <w:rFonts w:hint="eastAsia" w:ascii="宋体" w:hAnsi="宋体" w:cs="宋体"/>
                <w:color w:val="auto"/>
                <w:kern w:val="2"/>
                <w:sz w:val="21"/>
                <w:szCs w:val="21"/>
                <w:lang w:val="en-US" w:eastAsia="zh-CN" w:bidi="ar-SA"/>
              </w:rPr>
            </w:pPr>
            <w:r>
              <w:rPr>
                <w:rFonts w:hint="default" w:ascii="宋体" w:hAnsi="宋体" w:cs="宋体"/>
                <w:color w:val="auto"/>
                <w:kern w:val="2"/>
                <w:sz w:val="21"/>
                <w:szCs w:val="21"/>
                <w:lang w:val="en-US" w:eastAsia="zh-CN" w:bidi="ar-SA"/>
              </w:rPr>
              <w:t>投标人</w:t>
            </w:r>
            <w:r>
              <w:rPr>
                <w:rFonts w:hint="eastAsia" w:ascii="宋体" w:hAnsi="宋体" w:cs="宋体"/>
                <w:color w:val="auto"/>
                <w:kern w:val="2"/>
                <w:sz w:val="21"/>
                <w:szCs w:val="21"/>
                <w:lang w:val="en-US" w:eastAsia="zh-CN" w:bidi="ar-SA"/>
              </w:rPr>
              <w:t>有类似业绩的，每个计20分，最多计60分。</w:t>
            </w:r>
          </w:p>
          <w:p w14:paraId="5893E9F3">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20" w:lineRule="exact"/>
              <w:ind w:right="0"/>
              <w:jc w:val="left"/>
              <w:textAlignment w:val="auto"/>
              <w:rPr>
                <w:rFonts w:hint="eastAsia" w:ascii="宋体" w:hAnsi="宋体" w:cs="宋体"/>
                <w:color w:val="auto"/>
                <w:kern w:val="2"/>
                <w:sz w:val="21"/>
                <w:szCs w:val="21"/>
                <w:lang w:val="en-US" w:eastAsia="zh-CN" w:bidi="ar-SA"/>
              </w:rPr>
            </w:pPr>
            <w:r>
              <w:rPr>
                <w:rFonts w:hint="default" w:ascii="宋体" w:hAnsi="宋体" w:cs="宋体"/>
                <w:color w:val="auto"/>
                <w:kern w:val="2"/>
                <w:sz w:val="21"/>
                <w:szCs w:val="21"/>
                <w:lang w:val="en-US" w:eastAsia="zh-CN" w:bidi="ar-SA"/>
              </w:rPr>
              <w:t>（</w:t>
            </w:r>
            <w:r>
              <w:rPr>
                <w:rFonts w:hint="eastAsia" w:ascii="宋体" w:hAnsi="宋体" w:cs="宋体"/>
                <w:color w:val="auto"/>
                <w:kern w:val="2"/>
                <w:sz w:val="21"/>
                <w:szCs w:val="21"/>
                <w:lang w:val="en-US" w:eastAsia="zh-CN" w:bidi="ar-SA"/>
              </w:rPr>
              <w:t>评审依据</w:t>
            </w:r>
            <w:r>
              <w:rPr>
                <w:rFonts w:hint="default" w:ascii="宋体" w:hAnsi="宋体" w:cs="宋体"/>
                <w:color w:val="auto"/>
                <w:kern w:val="2"/>
                <w:sz w:val="21"/>
                <w:szCs w:val="21"/>
                <w:lang w:val="en-US" w:eastAsia="zh-CN" w:bidi="ar-SA"/>
              </w:rPr>
              <w:t>：</w:t>
            </w:r>
            <w:r>
              <w:rPr>
                <w:rFonts w:hint="eastAsia" w:ascii="宋体" w:hAnsi="宋体" w:cs="宋体"/>
                <w:color w:val="auto"/>
                <w:kern w:val="2"/>
                <w:sz w:val="21"/>
                <w:szCs w:val="21"/>
                <w:lang w:val="en-US" w:eastAsia="zh-CN" w:bidi="ar-SA"/>
              </w:rPr>
              <w:t>投标文件中提供合同扫描件，否则不计分</w:t>
            </w:r>
            <w:r>
              <w:rPr>
                <w:rFonts w:hint="default" w:ascii="宋体" w:hAnsi="宋体" w:cs="宋体"/>
                <w:color w:val="auto"/>
                <w:kern w:val="2"/>
                <w:sz w:val="21"/>
                <w:szCs w:val="21"/>
                <w:lang w:val="en-US" w:eastAsia="zh-CN" w:bidi="ar-SA"/>
              </w:rPr>
              <w:t>）</w:t>
            </w:r>
          </w:p>
        </w:tc>
      </w:tr>
      <w:tr w14:paraId="0E3EDF86">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108" w:type="dxa"/>
            <w:bottom w:w="0" w:type="dxa"/>
            <w:right w:w="108" w:type="dxa"/>
          </w:tblCellMar>
        </w:tblPrEx>
        <w:trPr>
          <w:trHeight w:val="90" w:hRule="atLeast"/>
          <w:jc w:val="center"/>
        </w:trPr>
        <w:tc>
          <w:tcPr>
            <w:tcW w:w="275" w:type="pct"/>
            <w:vMerge w:val="continue"/>
            <w:noWrap w:val="0"/>
            <w:vAlign w:val="center"/>
          </w:tcPr>
          <w:p w14:paraId="63A5DA12">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20" w:lineRule="exact"/>
              <w:ind w:right="0"/>
              <w:jc w:val="left"/>
              <w:textAlignment w:val="auto"/>
              <w:rPr>
                <w:rFonts w:hint="eastAsia" w:ascii="宋体" w:hAnsi="宋体" w:cs="宋体"/>
                <w:color w:val="auto"/>
                <w:kern w:val="2"/>
                <w:sz w:val="21"/>
                <w:szCs w:val="21"/>
                <w:lang w:val="en-US" w:eastAsia="zh-CN" w:bidi="ar-SA"/>
              </w:rPr>
            </w:pPr>
          </w:p>
        </w:tc>
        <w:tc>
          <w:tcPr>
            <w:tcW w:w="565" w:type="pct"/>
            <w:vMerge w:val="continue"/>
            <w:noWrap w:val="0"/>
            <w:vAlign w:val="center"/>
          </w:tcPr>
          <w:p w14:paraId="5AD57723">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20" w:lineRule="exact"/>
              <w:ind w:right="0"/>
              <w:jc w:val="left"/>
              <w:textAlignment w:val="auto"/>
              <w:rPr>
                <w:rFonts w:hint="eastAsia" w:ascii="宋体" w:hAnsi="宋体" w:cs="宋体"/>
                <w:color w:val="auto"/>
                <w:kern w:val="2"/>
                <w:sz w:val="21"/>
                <w:szCs w:val="21"/>
                <w:lang w:val="en-US" w:eastAsia="zh-CN" w:bidi="ar-SA"/>
              </w:rPr>
            </w:pPr>
          </w:p>
        </w:tc>
        <w:tc>
          <w:tcPr>
            <w:tcW w:w="692" w:type="pct"/>
            <w:noWrap w:val="0"/>
            <w:vAlign w:val="center"/>
          </w:tcPr>
          <w:p w14:paraId="6AFF018F">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20" w:lineRule="exact"/>
              <w:ind w:right="0"/>
              <w:jc w:val="left"/>
              <w:textAlignment w:val="auto"/>
              <w:rPr>
                <w:rFonts w:hint="eastAsia" w:ascii="宋体" w:hAnsi="宋体" w:cs="宋体"/>
                <w:color w:val="auto"/>
                <w:kern w:val="2"/>
                <w:sz w:val="21"/>
                <w:szCs w:val="21"/>
                <w:lang w:val="en-US" w:eastAsia="zh-CN" w:bidi="ar-SA"/>
              </w:rPr>
            </w:pPr>
            <w:r>
              <w:rPr>
                <w:rFonts w:hint="eastAsia" w:ascii="宋体" w:hAnsi="宋体" w:cs="宋体"/>
                <w:color w:val="auto"/>
                <w:kern w:val="2"/>
                <w:sz w:val="21"/>
                <w:szCs w:val="21"/>
                <w:lang w:val="en-US" w:eastAsia="zh-CN" w:bidi="ar-SA"/>
              </w:rPr>
              <w:t>售后服务方案</w:t>
            </w:r>
          </w:p>
          <w:p w14:paraId="5FAC98FF">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20" w:lineRule="exact"/>
              <w:ind w:right="0"/>
              <w:jc w:val="left"/>
              <w:textAlignment w:val="auto"/>
              <w:rPr>
                <w:rFonts w:hint="default" w:ascii="宋体" w:hAnsi="宋体" w:cs="宋体"/>
                <w:color w:val="auto"/>
                <w:kern w:val="2"/>
                <w:sz w:val="21"/>
                <w:szCs w:val="21"/>
                <w:lang w:val="en-US" w:eastAsia="zh-CN" w:bidi="ar-SA"/>
              </w:rPr>
            </w:pPr>
            <w:r>
              <w:rPr>
                <w:rFonts w:hint="eastAsia" w:ascii="宋体" w:hAnsi="宋体" w:cs="宋体"/>
                <w:color w:val="auto"/>
                <w:kern w:val="2"/>
                <w:sz w:val="21"/>
                <w:szCs w:val="21"/>
                <w:lang w:val="en-US" w:eastAsia="zh-CN" w:bidi="ar-SA"/>
              </w:rPr>
              <w:t>（40分）</w:t>
            </w:r>
          </w:p>
        </w:tc>
        <w:tc>
          <w:tcPr>
            <w:tcW w:w="3466" w:type="pct"/>
            <w:noWrap w:val="0"/>
            <w:vAlign w:val="center"/>
          </w:tcPr>
          <w:p w14:paraId="552B6A04">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20" w:lineRule="exact"/>
              <w:ind w:right="0"/>
              <w:jc w:val="left"/>
              <w:textAlignment w:val="auto"/>
              <w:rPr>
                <w:rFonts w:hint="eastAsia" w:ascii="宋体" w:hAnsi="宋体" w:cs="宋体"/>
                <w:color w:val="auto"/>
                <w:kern w:val="2"/>
                <w:sz w:val="21"/>
                <w:szCs w:val="21"/>
                <w:lang w:val="en-US" w:eastAsia="zh-CN" w:bidi="ar-SA"/>
              </w:rPr>
            </w:pPr>
            <w:r>
              <w:rPr>
                <w:rFonts w:hint="eastAsia" w:ascii="宋体" w:hAnsi="宋体" w:cs="宋体"/>
                <w:color w:val="auto"/>
                <w:kern w:val="2"/>
                <w:sz w:val="21"/>
                <w:szCs w:val="21"/>
                <w:lang w:val="en-US" w:eastAsia="zh-CN" w:bidi="ar-SA"/>
              </w:rPr>
              <w:t>投标人提供本项目售后服务方案包括但不限于：</w:t>
            </w:r>
          </w:p>
          <w:p w14:paraId="7BFDB937">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20" w:lineRule="exact"/>
              <w:ind w:right="0"/>
              <w:jc w:val="left"/>
              <w:textAlignment w:val="auto"/>
              <w:rPr>
                <w:rFonts w:hint="eastAsia" w:ascii="宋体" w:hAnsi="宋体" w:cs="宋体"/>
                <w:color w:val="auto"/>
                <w:kern w:val="2"/>
                <w:sz w:val="21"/>
                <w:szCs w:val="21"/>
                <w:lang w:val="en-US" w:eastAsia="zh-CN" w:bidi="ar-SA"/>
              </w:rPr>
            </w:pPr>
            <w:r>
              <w:rPr>
                <w:rFonts w:hint="eastAsia" w:ascii="宋体" w:hAnsi="宋体" w:cs="宋体"/>
                <w:color w:val="auto"/>
                <w:kern w:val="2"/>
                <w:sz w:val="21"/>
                <w:szCs w:val="21"/>
                <w:lang w:val="en-US" w:eastAsia="zh-CN" w:bidi="ar-SA"/>
              </w:rPr>
              <w:t>①售后技术方案；②服务机构及团队；③备品备件方案；④运维服务方案及保障措施；</w:t>
            </w:r>
          </w:p>
          <w:p w14:paraId="7AA8D05A">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20" w:lineRule="exact"/>
              <w:ind w:right="0"/>
              <w:jc w:val="left"/>
              <w:textAlignment w:val="auto"/>
              <w:rPr>
                <w:rFonts w:hint="eastAsia" w:ascii="宋体" w:hAnsi="宋体" w:cs="宋体"/>
                <w:color w:val="auto"/>
                <w:kern w:val="2"/>
                <w:sz w:val="21"/>
                <w:szCs w:val="21"/>
                <w:lang w:val="en-US" w:eastAsia="zh-CN" w:bidi="ar-SA"/>
              </w:rPr>
            </w:pPr>
            <w:r>
              <w:rPr>
                <w:rFonts w:hint="eastAsia" w:ascii="宋体" w:hAnsi="宋体" w:cs="宋体"/>
                <w:color w:val="auto"/>
                <w:kern w:val="2"/>
                <w:sz w:val="21"/>
                <w:szCs w:val="21"/>
                <w:lang w:val="en-US" w:eastAsia="zh-CN" w:bidi="ar-SA"/>
              </w:rPr>
              <w:t>方案完整详实、符合本项目采购需求的计40分。内容有缺漏项的，每缺一项扣10分；内容不完整、不符合项目采购需求、有缺陷的每处扣2分，扣完为止。未提供的不计分。</w:t>
            </w:r>
          </w:p>
        </w:tc>
      </w:tr>
      <w:tr w14:paraId="64AF63D6">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108" w:type="dxa"/>
            <w:bottom w:w="0" w:type="dxa"/>
            <w:right w:w="108" w:type="dxa"/>
          </w:tblCellMar>
        </w:tblPrEx>
        <w:trPr>
          <w:trHeight w:val="1152" w:hRule="atLeast"/>
          <w:jc w:val="center"/>
        </w:trPr>
        <w:tc>
          <w:tcPr>
            <w:tcW w:w="275" w:type="pct"/>
            <w:vMerge w:val="continue"/>
            <w:noWrap w:val="0"/>
            <w:vAlign w:val="center"/>
          </w:tcPr>
          <w:p w14:paraId="0AAC73DA">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20" w:lineRule="exact"/>
              <w:ind w:right="0"/>
              <w:jc w:val="left"/>
              <w:textAlignment w:val="auto"/>
              <w:rPr>
                <w:rFonts w:hint="eastAsia" w:ascii="宋体" w:hAnsi="宋体" w:cs="宋体"/>
                <w:color w:val="auto"/>
                <w:kern w:val="2"/>
                <w:sz w:val="21"/>
                <w:szCs w:val="21"/>
                <w:lang w:val="en-US" w:eastAsia="zh-CN" w:bidi="ar-SA"/>
              </w:rPr>
            </w:pPr>
          </w:p>
        </w:tc>
        <w:tc>
          <w:tcPr>
            <w:tcW w:w="565" w:type="pct"/>
            <w:vMerge w:val="continue"/>
            <w:noWrap w:val="0"/>
            <w:vAlign w:val="center"/>
          </w:tcPr>
          <w:p w14:paraId="44DD4738">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20" w:lineRule="exact"/>
              <w:ind w:right="0"/>
              <w:jc w:val="left"/>
              <w:textAlignment w:val="auto"/>
              <w:rPr>
                <w:rFonts w:hint="eastAsia" w:ascii="宋体" w:hAnsi="宋体" w:cs="宋体"/>
                <w:color w:val="auto"/>
                <w:kern w:val="2"/>
                <w:sz w:val="21"/>
                <w:szCs w:val="21"/>
                <w:lang w:val="en-US" w:eastAsia="zh-CN" w:bidi="ar-SA"/>
              </w:rPr>
            </w:pPr>
          </w:p>
        </w:tc>
        <w:tc>
          <w:tcPr>
            <w:tcW w:w="4159" w:type="pct"/>
            <w:gridSpan w:val="2"/>
            <w:noWrap w:val="0"/>
            <w:vAlign w:val="center"/>
          </w:tcPr>
          <w:p w14:paraId="7EEACC30">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20" w:lineRule="exact"/>
              <w:ind w:right="0"/>
              <w:jc w:val="left"/>
              <w:textAlignment w:val="auto"/>
              <w:rPr>
                <w:rFonts w:hint="eastAsia" w:ascii="宋体" w:hAnsi="宋体" w:cs="宋体"/>
                <w:color w:val="auto"/>
                <w:kern w:val="2"/>
                <w:sz w:val="21"/>
                <w:szCs w:val="21"/>
                <w:lang w:val="en-US" w:eastAsia="zh-CN" w:bidi="ar-SA"/>
              </w:rPr>
            </w:pPr>
            <w:r>
              <w:rPr>
                <w:rFonts w:hint="eastAsia" w:ascii="宋体" w:hAnsi="宋体" w:cs="宋体"/>
                <w:color w:val="auto"/>
                <w:kern w:val="2"/>
                <w:sz w:val="21"/>
                <w:szCs w:val="21"/>
                <w:lang w:val="en-US" w:eastAsia="zh-CN" w:bidi="ar-SA"/>
              </w:rPr>
              <w:t>注：缺漏项是指有缺漏方案的；内容不完整、不符合项目采购需求、有缺陷是指：存在非专门针对本项目采购需求内容或不适用本项目的、内容不完整或缺少关键节点、套用其他项目方案等任意一种情形。</w:t>
            </w:r>
          </w:p>
        </w:tc>
      </w:tr>
      <w:tr w14:paraId="46ECCC91">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108" w:type="dxa"/>
            <w:bottom w:w="0" w:type="dxa"/>
            <w:right w:w="108" w:type="dxa"/>
          </w:tblCellMar>
        </w:tblPrEx>
        <w:trPr>
          <w:trHeight w:val="456" w:hRule="atLeast"/>
          <w:jc w:val="center"/>
        </w:trPr>
        <w:tc>
          <w:tcPr>
            <w:tcW w:w="275" w:type="pct"/>
            <w:vMerge w:val="continue"/>
            <w:noWrap w:val="0"/>
            <w:vAlign w:val="center"/>
          </w:tcPr>
          <w:p w14:paraId="3D665635">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20" w:lineRule="exact"/>
              <w:ind w:right="0"/>
              <w:jc w:val="left"/>
              <w:textAlignment w:val="auto"/>
              <w:rPr>
                <w:rFonts w:hint="eastAsia" w:ascii="宋体" w:hAnsi="宋体" w:cs="宋体"/>
                <w:color w:val="auto"/>
                <w:kern w:val="2"/>
                <w:sz w:val="21"/>
                <w:szCs w:val="21"/>
                <w:lang w:val="en-US" w:eastAsia="zh-CN" w:bidi="ar-SA"/>
              </w:rPr>
            </w:pPr>
          </w:p>
        </w:tc>
        <w:tc>
          <w:tcPr>
            <w:tcW w:w="565" w:type="pct"/>
            <w:noWrap w:val="0"/>
            <w:vAlign w:val="center"/>
          </w:tcPr>
          <w:p w14:paraId="30C8BFBA">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20" w:lineRule="exact"/>
              <w:ind w:right="0"/>
              <w:jc w:val="left"/>
              <w:textAlignment w:val="auto"/>
              <w:rPr>
                <w:rFonts w:hint="eastAsia" w:ascii="宋体" w:hAnsi="宋体" w:cs="宋体"/>
                <w:color w:val="auto"/>
                <w:kern w:val="2"/>
                <w:sz w:val="21"/>
                <w:szCs w:val="21"/>
                <w:lang w:val="en-US" w:eastAsia="zh-CN" w:bidi="ar-SA"/>
              </w:rPr>
            </w:pPr>
            <w:r>
              <w:rPr>
                <w:rFonts w:hint="eastAsia" w:ascii="宋体" w:hAnsi="宋体" w:cs="宋体"/>
                <w:color w:val="auto"/>
                <w:kern w:val="2"/>
                <w:sz w:val="21"/>
                <w:szCs w:val="21"/>
                <w:lang w:val="en-US" w:eastAsia="zh-CN" w:bidi="ar-SA"/>
              </w:rPr>
              <w:t>优先采购加分（F优先采购加分）</w:t>
            </w:r>
          </w:p>
        </w:tc>
        <w:tc>
          <w:tcPr>
            <w:tcW w:w="4159" w:type="pct"/>
            <w:gridSpan w:val="2"/>
            <w:noWrap w:val="0"/>
            <w:vAlign w:val="center"/>
          </w:tcPr>
          <w:p w14:paraId="5C0A7AE7">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20" w:lineRule="exact"/>
              <w:ind w:right="0"/>
              <w:jc w:val="left"/>
              <w:textAlignment w:val="auto"/>
              <w:rPr>
                <w:rFonts w:hint="eastAsia" w:ascii="宋体" w:hAnsi="宋体" w:cs="宋体"/>
                <w:color w:val="auto"/>
                <w:kern w:val="2"/>
                <w:sz w:val="21"/>
                <w:szCs w:val="21"/>
                <w:lang w:val="en-US" w:eastAsia="zh-CN" w:bidi="ar-SA"/>
              </w:rPr>
            </w:pPr>
            <w:r>
              <w:rPr>
                <w:rFonts w:hint="eastAsia" w:ascii="宋体" w:hAnsi="宋体" w:cs="宋体"/>
                <w:color w:val="auto"/>
                <w:kern w:val="2"/>
                <w:sz w:val="21"/>
                <w:szCs w:val="21"/>
                <w:lang w:val="en-US" w:eastAsia="zh-CN" w:bidi="ar-SA"/>
              </w:rPr>
              <w:t>见第二章投标须知和评标方法及标准</w:t>
            </w:r>
          </w:p>
        </w:tc>
      </w:tr>
      <w:tr w14:paraId="3E04770A">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108" w:type="dxa"/>
            <w:bottom w:w="0" w:type="dxa"/>
            <w:right w:w="108" w:type="dxa"/>
          </w:tblCellMar>
        </w:tblPrEx>
        <w:trPr>
          <w:trHeight w:val="456" w:hRule="atLeast"/>
          <w:jc w:val="center"/>
        </w:trPr>
        <w:tc>
          <w:tcPr>
            <w:tcW w:w="275" w:type="pct"/>
            <w:noWrap w:val="0"/>
            <w:vAlign w:val="center"/>
          </w:tcPr>
          <w:p w14:paraId="389B4EE1">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20" w:lineRule="exact"/>
              <w:ind w:right="0"/>
              <w:jc w:val="left"/>
              <w:textAlignment w:val="auto"/>
              <w:rPr>
                <w:rFonts w:hint="eastAsia" w:ascii="宋体" w:hAnsi="宋体" w:cs="宋体"/>
                <w:color w:val="auto"/>
                <w:kern w:val="2"/>
                <w:sz w:val="21"/>
                <w:szCs w:val="21"/>
                <w:lang w:val="en-US" w:eastAsia="zh-CN" w:bidi="ar-SA"/>
              </w:rPr>
            </w:pPr>
            <w:r>
              <w:rPr>
                <w:rFonts w:hint="eastAsia" w:ascii="宋体" w:hAnsi="宋体" w:cs="宋体"/>
                <w:color w:val="auto"/>
                <w:kern w:val="2"/>
                <w:sz w:val="21"/>
                <w:szCs w:val="21"/>
                <w:lang w:val="en-US" w:eastAsia="zh-CN" w:bidi="ar-SA"/>
              </w:rPr>
              <w:t>∑</w:t>
            </w:r>
          </w:p>
        </w:tc>
        <w:tc>
          <w:tcPr>
            <w:tcW w:w="4724" w:type="pct"/>
            <w:gridSpan w:val="3"/>
            <w:noWrap w:val="0"/>
            <w:vAlign w:val="center"/>
          </w:tcPr>
          <w:p w14:paraId="1FAF2B91">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20" w:lineRule="exact"/>
              <w:ind w:right="0"/>
              <w:jc w:val="left"/>
              <w:textAlignment w:val="auto"/>
              <w:rPr>
                <w:rFonts w:hint="eastAsia" w:ascii="宋体" w:hAnsi="宋体" w:cs="宋体"/>
                <w:color w:val="auto"/>
                <w:kern w:val="2"/>
                <w:sz w:val="21"/>
                <w:szCs w:val="21"/>
                <w:lang w:val="en-US" w:eastAsia="zh-CN" w:bidi="ar-SA"/>
              </w:rPr>
            </w:pPr>
            <w:r>
              <w:rPr>
                <w:rFonts w:hint="eastAsia" w:ascii="宋体" w:hAnsi="宋体" w:cs="宋体"/>
                <w:color w:val="auto"/>
                <w:kern w:val="2"/>
                <w:sz w:val="21"/>
                <w:szCs w:val="21"/>
                <w:lang w:val="en-US" w:eastAsia="zh-CN" w:bidi="ar-SA"/>
              </w:rPr>
              <w:t>F3=F+F优先采购加分</w:t>
            </w:r>
          </w:p>
        </w:tc>
      </w:tr>
    </w:tbl>
    <w:p w14:paraId="2786A61C">
      <w:pPr>
        <w:rPr>
          <w:rFonts w:hint="eastAsia" w:ascii="宋体" w:hAnsi="宋体" w:cs="宋体"/>
          <w:b/>
          <w:sz w:val="32"/>
          <w:szCs w:val="32"/>
        </w:rPr>
        <w:sectPr>
          <w:headerReference r:id="rId10" w:type="first"/>
          <w:footerReference r:id="rId13" w:type="first"/>
          <w:headerReference r:id="rId8" w:type="default"/>
          <w:footerReference r:id="rId11" w:type="default"/>
          <w:headerReference r:id="rId9" w:type="even"/>
          <w:footerReference r:id="rId12" w:type="even"/>
          <w:pgSz w:w="11906" w:h="16838"/>
          <w:pgMar w:top="1474" w:right="1474" w:bottom="1474" w:left="1588" w:header="851" w:footer="992" w:gutter="0"/>
          <w:pgBorders>
            <w:top w:val="none" w:sz="0" w:space="0"/>
            <w:left w:val="none" w:sz="0" w:space="0"/>
            <w:bottom w:val="none" w:sz="0" w:space="0"/>
            <w:right w:val="none" w:sz="0" w:space="0"/>
          </w:pgBorders>
          <w:pgNumType w:start="1"/>
          <w:cols w:space="720" w:num="1"/>
          <w:docGrid w:type="lines" w:linePitch="312" w:charSpace="0"/>
        </w:sectPr>
      </w:pPr>
    </w:p>
    <w:p w14:paraId="645AEEEA">
      <w:pPr>
        <w:pStyle w:val="3"/>
        <w:jc w:val="both"/>
        <w:rPr>
          <w:rFonts w:hint="eastAsia" w:ascii="黑体" w:hAnsi="黑体" w:eastAsia="黑体" w:cs="黑体"/>
          <w:sz w:val="32"/>
          <w:szCs w:val="32"/>
        </w:rPr>
      </w:pPr>
    </w:p>
    <w:p w14:paraId="19904D44">
      <w:pPr>
        <w:pStyle w:val="3"/>
        <w:ind w:firstLine="2891" w:firstLineChars="900"/>
        <w:jc w:val="both"/>
        <w:rPr>
          <w:rFonts w:hint="eastAsia" w:ascii="黑体" w:hAnsi="黑体" w:eastAsia="黑体" w:cs="黑体"/>
          <w:sz w:val="32"/>
          <w:szCs w:val="32"/>
        </w:rPr>
      </w:pPr>
      <w:bookmarkStart w:id="134" w:name="_Toc15881"/>
      <w:r>
        <w:rPr>
          <w:rFonts w:hint="eastAsia" w:ascii="黑体" w:hAnsi="黑体" w:eastAsia="黑体" w:cs="黑体"/>
          <w:sz w:val="32"/>
          <w:szCs w:val="32"/>
        </w:rPr>
        <w:t>第五章 采购需求</w:t>
      </w:r>
      <w:bookmarkEnd w:id="134"/>
    </w:p>
    <w:p w14:paraId="1E334873">
      <w:pPr>
        <w:pStyle w:val="2"/>
        <w:adjustRightInd w:val="0"/>
        <w:snapToGrid w:val="0"/>
        <w:spacing w:before="156" w:beforeLines="50"/>
        <w:jc w:val="center"/>
        <w:rPr>
          <w:rFonts w:hint="eastAsia" w:ascii="黑体" w:hAnsi="黑体" w:eastAsia="黑体"/>
          <w:sz w:val="28"/>
          <w:szCs w:val="28"/>
        </w:rPr>
      </w:pPr>
      <w:bookmarkStart w:id="135" w:name="_Toc15912"/>
      <w:r>
        <w:rPr>
          <w:rFonts w:hint="eastAsia" w:ascii="黑体" w:hAnsi="黑体" w:eastAsia="黑体"/>
          <w:sz w:val="28"/>
          <w:szCs w:val="28"/>
        </w:rPr>
        <w:t>第一节 采购清单一览表</w:t>
      </w:r>
      <w:bookmarkEnd w:id="135"/>
    </w:p>
    <w:tbl>
      <w:tblPr>
        <w:tblStyle w:val="27"/>
        <w:tblW w:w="8408" w:type="dxa"/>
        <w:jc w:val="center"/>
        <w:tblLayout w:type="fixed"/>
        <w:tblCellMar>
          <w:top w:w="0" w:type="dxa"/>
          <w:left w:w="0" w:type="dxa"/>
          <w:bottom w:w="0" w:type="dxa"/>
          <w:right w:w="0" w:type="dxa"/>
        </w:tblCellMar>
      </w:tblPr>
      <w:tblGrid>
        <w:gridCol w:w="562"/>
        <w:gridCol w:w="588"/>
        <w:gridCol w:w="4366"/>
        <w:gridCol w:w="619"/>
        <w:gridCol w:w="1082"/>
        <w:gridCol w:w="624"/>
        <w:gridCol w:w="567"/>
      </w:tblGrid>
      <w:tr w14:paraId="190D79A0">
        <w:trPr>
          <w:trHeight w:val="432" w:hRule="atLeast"/>
          <w:jc w:val="center"/>
        </w:trPr>
        <w:tc>
          <w:tcPr>
            <w:tcW w:w="562" w:type="dxa"/>
            <w:tcBorders>
              <w:top w:val="single" w:color="000000" w:sz="8" w:space="0"/>
              <w:left w:val="single" w:color="000000" w:sz="8" w:space="0"/>
              <w:bottom w:val="single" w:color="auto" w:sz="4" w:space="0"/>
              <w:right w:val="single" w:color="auto" w:sz="4" w:space="0"/>
            </w:tcBorders>
            <w:shd w:val="clear" w:color="auto" w:fill="FFFFFF"/>
            <w:tcMar>
              <w:top w:w="0" w:type="dxa"/>
              <w:left w:w="108" w:type="dxa"/>
              <w:bottom w:w="0" w:type="dxa"/>
              <w:right w:w="108" w:type="dxa"/>
            </w:tcMar>
            <w:vAlign w:val="center"/>
          </w:tcPr>
          <w:p w14:paraId="0A9E2C93">
            <w:pPr>
              <w:jc w:val="center"/>
              <w:rPr>
                <w:rFonts w:ascii="宋体"/>
                <w:kern w:val="0"/>
                <w:highlight w:val="none"/>
              </w:rPr>
            </w:pPr>
            <w:r>
              <w:rPr>
                <w:rFonts w:ascii="宋体"/>
                <w:kern w:val="0"/>
                <w:highlight w:val="none"/>
              </w:rPr>
              <w:t>包号</w:t>
            </w:r>
          </w:p>
        </w:tc>
        <w:tc>
          <w:tcPr>
            <w:tcW w:w="588" w:type="dxa"/>
            <w:tcBorders>
              <w:top w:val="single" w:color="000000" w:sz="8" w:space="0"/>
              <w:left w:val="single" w:color="auto" w:sz="4" w:space="0"/>
              <w:bottom w:val="single" w:color="auto" w:sz="4" w:space="0"/>
              <w:right w:val="single" w:color="auto" w:sz="4" w:space="0"/>
            </w:tcBorders>
            <w:shd w:val="clear" w:color="auto" w:fill="FFFFFF"/>
            <w:vAlign w:val="center"/>
          </w:tcPr>
          <w:p w14:paraId="6A56E324">
            <w:pPr>
              <w:jc w:val="center"/>
              <w:rPr>
                <w:rFonts w:ascii="宋体"/>
                <w:kern w:val="0"/>
                <w:highlight w:val="none"/>
              </w:rPr>
            </w:pPr>
            <w:r>
              <w:rPr>
                <w:rFonts w:hint="eastAsia" w:ascii="宋体" w:hAnsi="宋体" w:cs="宋体"/>
                <w:kern w:val="0"/>
                <w:highlight w:val="none"/>
              </w:rPr>
              <w:t>包名称</w:t>
            </w:r>
          </w:p>
        </w:tc>
        <w:tc>
          <w:tcPr>
            <w:tcW w:w="4366" w:type="dxa"/>
            <w:tcBorders>
              <w:top w:val="single" w:color="000000" w:sz="8" w:space="0"/>
              <w:left w:val="single" w:color="auto" w:sz="4" w:space="0"/>
              <w:bottom w:val="single" w:color="auto" w:sz="4" w:space="0"/>
              <w:right w:val="single" w:color="auto" w:sz="4" w:space="0"/>
            </w:tcBorders>
            <w:shd w:val="clear" w:color="auto" w:fill="FFFFFF"/>
            <w:vAlign w:val="center"/>
          </w:tcPr>
          <w:p w14:paraId="1AE4AF57">
            <w:pPr>
              <w:jc w:val="center"/>
              <w:rPr>
                <w:rFonts w:ascii="宋体"/>
                <w:kern w:val="0"/>
                <w:highlight w:val="none"/>
              </w:rPr>
            </w:pPr>
            <w:r>
              <w:rPr>
                <w:rFonts w:hint="eastAsia" w:ascii="宋体" w:hAnsi="宋体" w:cs="宋体"/>
                <w:kern w:val="0"/>
                <w:highlight w:val="none"/>
              </w:rPr>
              <w:t>标的名称</w:t>
            </w:r>
          </w:p>
        </w:tc>
        <w:tc>
          <w:tcPr>
            <w:tcW w:w="619" w:type="dxa"/>
            <w:tcBorders>
              <w:top w:val="single" w:color="000000" w:sz="8" w:space="0"/>
              <w:left w:val="single" w:color="auto" w:sz="4" w:space="0"/>
              <w:bottom w:val="single" w:color="auto" w:sz="4" w:space="0"/>
              <w:right w:val="single" w:color="auto" w:sz="4" w:space="0"/>
            </w:tcBorders>
            <w:shd w:val="clear" w:color="auto" w:fill="FFFFFF"/>
            <w:vAlign w:val="center"/>
          </w:tcPr>
          <w:p w14:paraId="648BBE75">
            <w:pPr>
              <w:jc w:val="center"/>
              <w:rPr>
                <w:rFonts w:ascii="宋体"/>
                <w:kern w:val="0"/>
                <w:highlight w:val="none"/>
              </w:rPr>
            </w:pPr>
            <w:r>
              <w:rPr>
                <w:rFonts w:hint="eastAsia" w:ascii="宋体" w:hAnsi="宋体" w:cs="宋体"/>
                <w:kern w:val="0"/>
                <w:highlight w:val="none"/>
              </w:rPr>
              <w:t>数量</w:t>
            </w:r>
          </w:p>
        </w:tc>
        <w:tc>
          <w:tcPr>
            <w:tcW w:w="1082" w:type="dxa"/>
            <w:tcBorders>
              <w:top w:val="single" w:color="000000" w:sz="8" w:space="0"/>
              <w:left w:val="single" w:color="auto" w:sz="4" w:space="0"/>
              <w:bottom w:val="single" w:color="auto" w:sz="4" w:space="0"/>
              <w:right w:val="single" w:color="auto" w:sz="4" w:space="0"/>
            </w:tcBorders>
            <w:shd w:val="clear" w:color="auto" w:fill="FFFFFF"/>
            <w:vAlign w:val="center"/>
          </w:tcPr>
          <w:p w14:paraId="6B12EF5E">
            <w:pPr>
              <w:jc w:val="center"/>
              <w:rPr>
                <w:rFonts w:ascii="宋体"/>
                <w:kern w:val="0"/>
                <w:highlight w:val="none"/>
              </w:rPr>
            </w:pPr>
            <w:r>
              <w:rPr>
                <w:rFonts w:hint="eastAsia" w:ascii="宋体"/>
                <w:kern w:val="0"/>
                <w:highlight w:val="none"/>
              </w:rPr>
              <w:t>简要技术要求</w:t>
            </w:r>
          </w:p>
        </w:tc>
        <w:tc>
          <w:tcPr>
            <w:tcW w:w="624" w:type="dxa"/>
            <w:tcBorders>
              <w:top w:val="single" w:color="000000" w:sz="8" w:space="0"/>
              <w:left w:val="single" w:color="auto" w:sz="4" w:space="0"/>
              <w:bottom w:val="single" w:color="auto" w:sz="4" w:space="0"/>
              <w:right w:val="single" w:color="auto" w:sz="4" w:space="0"/>
            </w:tcBorders>
            <w:shd w:val="clear" w:color="auto" w:fill="FFFFFF"/>
            <w:vAlign w:val="center"/>
          </w:tcPr>
          <w:p w14:paraId="0D26EAFE">
            <w:pPr>
              <w:jc w:val="center"/>
              <w:rPr>
                <w:rFonts w:ascii="宋体"/>
                <w:kern w:val="0"/>
                <w:highlight w:val="none"/>
              </w:rPr>
            </w:pPr>
            <w:r>
              <w:rPr>
                <w:rFonts w:ascii="宋体"/>
                <w:kern w:val="0"/>
                <w:highlight w:val="none"/>
              </w:rPr>
              <w:t>节能产品</w:t>
            </w:r>
          </w:p>
        </w:tc>
        <w:tc>
          <w:tcPr>
            <w:tcW w:w="567" w:type="dxa"/>
            <w:tcBorders>
              <w:top w:val="single" w:color="000000" w:sz="8" w:space="0"/>
              <w:left w:val="single" w:color="auto" w:sz="4" w:space="0"/>
              <w:bottom w:val="single" w:color="auto" w:sz="4" w:space="0"/>
              <w:right w:val="single" w:color="auto" w:sz="8" w:space="0"/>
            </w:tcBorders>
            <w:shd w:val="clear" w:color="auto" w:fill="FFFFFF"/>
            <w:vAlign w:val="center"/>
          </w:tcPr>
          <w:p w14:paraId="363DF1B8">
            <w:pPr>
              <w:jc w:val="center"/>
              <w:rPr>
                <w:rFonts w:ascii="宋体"/>
                <w:kern w:val="0"/>
                <w:highlight w:val="none"/>
              </w:rPr>
            </w:pPr>
            <w:r>
              <w:rPr>
                <w:rFonts w:ascii="宋体"/>
                <w:kern w:val="0"/>
                <w:highlight w:val="none"/>
              </w:rPr>
              <w:t>进口产品</w:t>
            </w:r>
          </w:p>
        </w:tc>
      </w:tr>
      <w:tr w14:paraId="4934623F">
        <w:tblPrEx>
          <w:tblCellMar>
            <w:top w:w="0" w:type="dxa"/>
            <w:left w:w="0" w:type="dxa"/>
            <w:bottom w:w="0" w:type="dxa"/>
            <w:right w:w="0" w:type="dxa"/>
          </w:tblCellMar>
        </w:tblPrEx>
        <w:trPr>
          <w:trHeight w:val="432" w:hRule="atLeast"/>
          <w:jc w:val="center"/>
        </w:trPr>
        <w:tc>
          <w:tcPr>
            <w:tcW w:w="562" w:type="dxa"/>
            <w:vMerge w:val="restart"/>
            <w:tcBorders>
              <w:top w:val="single" w:color="auto" w:sz="4" w:space="0"/>
              <w:left w:val="single" w:color="000000" w:sz="8" w:space="0"/>
              <w:right w:val="single" w:color="auto" w:sz="4" w:space="0"/>
            </w:tcBorders>
            <w:shd w:val="clear" w:color="auto" w:fill="FFFFFF"/>
            <w:tcMar>
              <w:top w:w="0" w:type="dxa"/>
              <w:left w:w="108" w:type="dxa"/>
              <w:bottom w:w="0" w:type="dxa"/>
              <w:right w:w="108" w:type="dxa"/>
            </w:tcMar>
            <w:vAlign w:val="center"/>
          </w:tcPr>
          <w:p w14:paraId="2E2BE080">
            <w:pPr>
              <w:jc w:val="center"/>
              <w:rPr>
                <w:rFonts w:ascii="宋体" w:hAnsi="宋体" w:cs="宋体"/>
                <w:kern w:val="0"/>
                <w:highlight w:val="none"/>
              </w:rPr>
            </w:pPr>
            <w:r>
              <w:rPr>
                <w:rFonts w:hint="eastAsia" w:ascii="宋体" w:hAnsi="宋体" w:cs="宋体"/>
                <w:kern w:val="0"/>
                <w:highlight w:val="none"/>
              </w:rPr>
              <w:t>01</w:t>
            </w:r>
          </w:p>
        </w:tc>
        <w:tc>
          <w:tcPr>
            <w:tcW w:w="588" w:type="dxa"/>
            <w:vMerge w:val="restart"/>
            <w:tcBorders>
              <w:top w:val="single" w:color="auto" w:sz="4" w:space="0"/>
              <w:left w:val="single" w:color="auto" w:sz="4" w:space="0"/>
              <w:right w:val="single" w:color="auto" w:sz="4" w:space="0"/>
            </w:tcBorders>
            <w:shd w:val="clear" w:color="auto" w:fill="FFFFFF"/>
            <w:vAlign w:val="center"/>
          </w:tcPr>
          <w:p w14:paraId="1A997581">
            <w:pPr>
              <w:jc w:val="center"/>
              <w:rPr>
                <w:rFonts w:ascii="宋体" w:hAnsi="宋体" w:cs="宋体"/>
                <w:kern w:val="0"/>
                <w:highlight w:val="none"/>
              </w:rPr>
            </w:pPr>
            <w:r>
              <w:rPr>
                <w:rFonts w:hint="eastAsia" w:ascii="宋体" w:hAnsi="宋体" w:cs="宋体"/>
                <w:kern w:val="0"/>
                <w:highlight w:val="none"/>
              </w:rPr>
              <w:t>包1</w:t>
            </w:r>
          </w:p>
        </w:tc>
        <w:tc>
          <w:tcPr>
            <w:tcW w:w="4366" w:type="dxa"/>
            <w:tcBorders>
              <w:top w:val="single" w:color="auto" w:sz="4" w:space="0"/>
              <w:left w:val="single" w:color="auto" w:sz="4" w:space="0"/>
              <w:bottom w:val="single" w:color="auto" w:sz="4" w:space="0"/>
              <w:right w:val="single" w:color="auto" w:sz="4" w:space="0"/>
            </w:tcBorders>
            <w:shd w:val="clear" w:color="auto" w:fill="FFFFFF"/>
            <w:vAlign w:val="center"/>
          </w:tcPr>
          <w:p w14:paraId="208A9CBF">
            <w:pPr>
              <w:keepNext w:val="0"/>
              <w:keepLines w:val="0"/>
              <w:widowControl/>
              <w:suppressLineNumbers w:val="0"/>
              <w:jc w:val="center"/>
              <w:textAlignment w:val="center"/>
              <w:rPr>
                <w:rFonts w:ascii="宋体" w:hAnsi="宋体" w:cs="宋体"/>
                <w:kern w:val="0"/>
                <w:highlight w:val="none"/>
              </w:rPr>
            </w:pPr>
            <w:r>
              <w:rPr>
                <w:rFonts w:hint="eastAsia" w:ascii="宋体" w:hAnsi="宋体" w:eastAsia="宋体" w:cs="宋体"/>
                <w:i w:val="0"/>
                <w:iCs w:val="0"/>
                <w:color w:val="000000"/>
                <w:kern w:val="0"/>
                <w:sz w:val="21"/>
                <w:szCs w:val="21"/>
                <w:u w:val="none"/>
                <w:lang w:val="en-US" w:eastAsia="zh-CN" w:bidi="ar"/>
              </w:rPr>
              <w:t>悼念厅物资采购-LED显示屏</w:t>
            </w:r>
          </w:p>
        </w:tc>
        <w:tc>
          <w:tcPr>
            <w:tcW w:w="619" w:type="dxa"/>
            <w:tcBorders>
              <w:top w:val="single" w:color="auto" w:sz="4" w:space="0"/>
              <w:left w:val="single" w:color="auto" w:sz="4" w:space="0"/>
              <w:bottom w:val="single" w:color="auto" w:sz="4" w:space="0"/>
              <w:right w:val="single" w:color="auto" w:sz="4" w:space="0"/>
            </w:tcBorders>
            <w:shd w:val="clear" w:color="auto" w:fill="FFFFFF"/>
            <w:vAlign w:val="center"/>
          </w:tcPr>
          <w:p w14:paraId="2DE635B7">
            <w:pPr>
              <w:jc w:val="center"/>
              <w:rPr>
                <w:rFonts w:ascii="宋体" w:hAnsi="宋体" w:cs="宋体"/>
                <w:kern w:val="0"/>
                <w:highlight w:val="none"/>
              </w:rPr>
            </w:pPr>
            <w:r>
              <w:rPr>
                <w:rFonts w:hint="eastAsia" w:ascii="宋体" w:hAnsi="宋体" w:cs="宋体"/>
                <w:kern w:val="0"/>
                <w:highlight w:val="none"/>
              </w:rPr>
              <w:t>1批</w:t>
            </w:r>
          </w:p>
        </w:tc>
        <w:tc>
          <w:tcPr>
            <w:tcW w:w="1082" w:type="dxa"/>
            <w:vMerge w:val="restart"/>
            <w:tcBorders>
              <w:top w:val="single" w:color="auto" w:sz="4" w:space="0"/>
              <w:left w:val="single" w:color="auto" w:sz="4" w:space="0"/>
              <w:right w:val="single" w:color="auto" w:sz="4" w:space="0"/>
            </w:tcBorders>
            <w:shd w:val="clear" w:color="auto" w:fill="FFFFFF"/>
            <w:vAlign w:val="center"/>
          </w:tcPr>
          <w:p w14:paraId="68EFEB3C">
            <w:pPr>
              <w:jc w:val="center"/>
              <w:rPr>
                <w:rFonts w:ascii="宋体" w:hAnsi="宋体" w:cs="宋体"/>
                <w:kern w:val="0"/>
                <w:highlight w:val="none"/>
              </w:rPr>
            </w:pPr>
            <w:r>
              <w:rPr>
                <w:rFonts w:ascii="宋体" w:hAnsi="宋体" w:cs="宋体"/>
                <w:kern w:val="0"/>
                <w:highlight w:val="none"/>
              </w:rPr>
              <w:t>详见第</w:t>
            </w:r>
            <w:r>
              <w:rPr>
                <w:rFonts w:hint="eastAsia" w:ascii="宋体" w:hAnsi="宋体" w:cs="宋体"/>
                <w:kern w:val="0"/>
                <w:highlight w:val="none"/>
              </w:rPr>
              <w:t>五</w:t>
            </w:r>
            <w:r>
              <w:rPr>
                <w:rFonts w:ascii="宋体" w:hAnsi="宋体" w:cs="宋体"/>
                <w:kern w:val="0"/>
                <w:highlight w:val="none"/>
              </w:rPr>
              <w:t>章</w:t>
            </w:r>
            <w:r>
              <w:rPr>
                <w:rFonts w:hint="eastAsia" w:ascii="宋体" w:hAnsi="宋体" w:cs="宋体"/>
                <w:kern w:val="0"/>
                <w:highlight w:val="none"/>
              </w:rPr>
              <w:t>技术要求</w:t>
            </w:r>
          </w:p>
        </w:tc>
        <w:tc>
          <w:tcPr>
            <w:tcW w:w="624" w:type="dxa"/>
            <w:vMerge w:val="restart"/>
            <w:tcBorders>
              <w:top w:val="single" w:color="auto" w:sz="4" w:space="0"/>
              <w:left w:val="single" w:color="auto" w:sz="4" w:space="0"/>
              <w:right w:val="single" w:color="auto" w:sz="4" w:space="0"/>
            </w:tcBorders>
            <w:shd w:val="clear" w:color="auto" w:fill="FFFFFF"/>
            <w:vAlign w:val="center"/>
          </w:tcPr>
          <w:p w14:paraId="38738A5A">
            <w:pPr>
              <w:jc w:val="center"/>
              <w:rPr>
                <w:rFonts w:ascii="宋体" w:hAnsi="宋体" w:cs="宋体"/>
                <w:kern w:val="0"/>
                <w:highlight w:val="none"/>
              </w:rPr>
            </w:pPr>
            <w:r>
              <w:rPr>
                <w:rFonts w:hint="eastAsia" w:ascii="宋体" w:hAnsi="宋体"/>
                <w:iCs/>
                <w:highlight w:val="none"/>
              </w:rPr>
              <w:sym w:font="Wingdings" w:char="00A8"/>
            </w:r>
          </w:p>
        </w:tc>
        <w:tc>
          <w:tcPr>
            <w:tcW w:w="567" w:type="dxa"/>
            <w:vMerge w:val="restart"/>
            <w:tcBorders>
              <w:top w:val="single" w:color="auto" w:sz="4" w:space="0"/>
              <w:left w:val="single" w:color="auto" w:sz="4" w:space="0"/>
              <w:right w:val="single" w:color="auto" w:sz="8" w:space="0"/>
            </w:tcBorders>
            <w:shd w:val="clear" w:color="auto" w:fill="FFFFFF"/>
            <w:vAlign w:val="center"/>
          </w:tcPr>
          <w:p w14:paraId="549758B9">
            <w:pPr>
              <w:jc w:val="center"/>
              <w:rPr>
                <w:rFonts w:ascii="宋体"/>
                <w:kern w:val="0"/>
                <w:highlight w:val="none"/>
              </w:rPr>
            </w:pPr>
            <w:r>
              <w:rPr>
                <w:rFonts w:hint="eastAsia" w:ascii="宋体" w:hAnsi="宋体"/>
                <w:iCs/>
                <w:highlight w:val="none"/>
              </w:rPr>
              <w:sym w:font="Wingdings" w:char="00A8"/>
            </w:r>
          </w:p>
        </w:tc>
      </w:tr>
      <w:tr w14:paraId="1A5840C1">
        <w:tblPrEx>
          <w:tblCellMar>
            <w:top w:w="0" w:type="dxa"/>
            <w:left w:w="0" w:type="dxa"/>
            <w:bottom w:w="0" w:type="dxa"/>
            <w:right w:w="0" w:type="dxa"/>
          </w:tblCellMar>
        </w:tblPrEx>
        <w:trPr>
          <w:trHeight w:val="442" w:hRule="atLeast"/>
          <w:jc w:val="center"/>
        </w:trPr>
        <w:tc>
          <w:tcPr>
            <w:tcW w:w="562" w:type="dxa"/>
            <w:vMerge w:val="continue"/>
            <w:tcBorders>
              <w:left w:val="single" w:color="000000" w:sz="8" w:space="0"/>
              <w:right w:val="single" w:color="auto" w:sz="4" w:space="0"/>
            </w:tcBorders>
            <w:shd w:val="clear" w:color="auto" w:fill="FFFFFF"/>
            <w:tcMar>
              <w:top w:w="0" w:type="dxa"/>
              <w:left w:w="108" w:type="dxa"/>
              <w:bottom w:w="0" w:type="dxa"/>
              <w:right w:w="108" w:type="dxa"/>
            </w:tcMar>
            <w:vAlign w:val="center"/>
          </w:tcPr>
          <w:p w14:paraId="59C16556">
            <w:pPr>
              <w:jc w:val="center"/>
              <w:rPr>
                <w:rFonts w:ascii="宋体" w:hAnsi="宋体" w:cs="宋体"/>
                <w:kern w:val="0"/>
                <w:highlight w:val="none"/>
              </w:rPr>
            </w:pPr>
          </w:p>
        </w:tc>
        <w:tc>
          <w:tcPr>
            <w:tcW w:w="588" w:type="dxa"/>
            <w:vMerge w:val="continue"/>
            <w:tcBorders>
              <w:left w:val="single" w:color="auto" w:sz="4" w:space="0"/>
              <w:right w:val="single" w:color="auto" w:sz="4" w:space="0"/>
            </w:tcBorders>
            <w:shd w:val="clear" w:color="auto" w:fill="FFFFFF"/>
            <w:vAlign w:val="center"/>
          </w:tcPr>
          <w:p w14:paraId="2DB0FCB6">
            <w:pPr>
              <w:jc w:val="center"/>
              <w:rPr>
                <w:rFonts w:ascii="宋体" w:hAnsi="宋体" w:cs="宋体"/>
                <w:kern w:val="0"/>
                <w:highlight w:val="none"/>
              </w:rPr>
            </w:pPr>
          </w:p>
        </w:tc>
        <w:tc>
          <w:tcPr>
            <w:tcW w:w="4366" w:type="dxa"/>
            <w:tcBorders>
              <w:top w:val="single" w:color="auto" w:sz="4" w:space="0"/>
              <w:left w:val="single" w:color="auto" w:sz="4" w:space="0"/>
              <w:bottom w:val="single" w:color="auto" w:sz="4" w:space="0"/>
              <w:right w:val="single" w:color="auto" w:sz="4" w:space="0"/>
            </w:tcBorders>
            <w:shd w:val="clear" w:color="auto" w:fill="FFFFFF"/>
            <w:vAlign w:val="center"/>
          </w:tcPr>
          <w:p w14:paraId="52DCA467">
            <w:pPr>
              <w:keepNext w:val="0"/>
              <w:keepLines w:val="0"/>
              <w:widowControl/>
              <w:suppressLineNumbers w:val="0"/>
              <w:jc w:val="center"/>
              <w:textAlignment w:val="center"/>
              <w:rPr>
                <w:rFonts w:ascii="宋体" w:hAnsi="宋体" w:cs="宋体"/>
                <w:kern w:val="0"/>
                <w:highlight w:val="none"/>
              </w:rPr>
            </w:pPr>
            <w:r>
              <w:rPr>
                <w:rFonts w:hint="eastAsia" w:ascii="宋体" w:hAnsi="宋体" w:eastAsia="宋体" w:cs="宋体"/>
                <w:i w:val="0"/>
                <w:iCs w:val="0"/>
                <w:color w:val="000000"/>
                <w:kern w:val="0"/>
                <w:sz w:val="21"/>
                <w:szCs w:val="21"/>
                <w:u w:val="none"/>
                <w:lang w:val="en-US" w:eastAsia="zh-CN" w:bidi="ar"/>
              </w:rPr>
              <w:t>服务中心物资采购</w:t>
            </w:r>
          </w:p>
        </w:tc>
        <w:tc>
          <w:tcPr>
            <w:tcW w:w="619" w:type="dxa"/>
            <w:tcBorders>
              <w:top w:val="single" w:color="auto" w:sz="4" w:space="0"/>
              <w:left w:val="single" w:color="auto" w:sz="4" w:space="0"/>
              <w:bottom w:val="single" w:color="auto" w:sz="4" w:space="0"/>
              <w:right w:val="single" w:color="auto" w:sz="4" w:space="0"/>
            </w:tcBorders>
            <w:shd w:val="clear" w:color="auto" w:fill="FFFFFF"/>
            <w:vAlign w:val="center"/>
          </w:tcPr>
          <w:p w14:paraId="304112C2">
            <w:pPr>
              <w:jc w:val="center"/>
              <w:rPr>
                <w:rFonts w:ascii="宋体" w:hAnsi="宋体" w:cs="宋体"/>
                <w:kern w:val="0"/>
                <w:highlight w:val="none"/>
              </w:rPr>
            </w:pPr>
            <w:r>
              <w:rPr>
                <w:rFonts w:hint="eastAsia" w:ascii="宋体" w:hAnsi="宋体" w:cs="宋体"/>
                <w:kern w:val="0"/>
                <w:highlight w:val="none"/>
              </w:rPr>
              <w:t>1批</w:t>
            </w:r>
          </w:p>
        </w:tc>
        <w:tc>
          <w:tcPr>
            <w:tcW w:w="1082" w:type="dxa"/>
            <w:vMerge w:val="continue"/>
            <w:tcBorders>
              <w:left w:val="single" w:color="auto" w:sz="4" w:space="0"/>
              <w:right w:val="single" w:color="auto" w:sz="4" w:space="0"/>
            </w:tcBorders>
            <w:shd w:val="clear" w:color="auto" w:fill="FFFFFF"/>
            <w:vAlign w:val="center"/>
          </w:tcPr>
          <w:p w14:paraId="67C7D9FB">
            <w:pPr>
              <w:jc w:val="center"/>
              <w:rPr>
                <w:rFonts w:ascii="宋体" w:hAnsi="宋体" w:cs="宋体"/>
                <w:kern w:val="0"/>
                <w:highlight w:val="none"/>
              </w:rPr>
            </w:pPr>
          </w:p>
        </w:tc>
        <w:tc>
          <w:tcPr>
            <w:tcW w:w="624" w:type="dxa"/>
            <w:vMerge w:val="continue"/>
            <w:tcBorders>
              <w:left w:val="single" w:color="auto" w:sz="4" w:space="0"/>
              <w:right w:val="single" w:color="auto" w:sz="4" w:space="0"/>
            </w:tcBorders>
            <w:shd w:val="clear" w:color="auto" w:fill="FFFFFF"/>
            <w:vAlign w:val="center"/>
          </w:tcPr>
          <w:p w14:paraId="3E0771E3">
            <w:pPr>
              <w:jc w:val="center"/>
              <w:rPr>
                <w:rFonts w:ascii="宋体" w:hAnsi="宋体"/>
                <w:iCs/>
                <w:highlight w:val="none"/>
              </w:rPr>
            </w:pPr>
          </w:p>
        </w:tc>
        <w:tc>
          <w:tcPr>
            <w:tcW w:w="567" w:type="dxa"/>
            <w:vMerge w:val="continue"/>
            <w:tcBorders>
              <w:left w:val="single" w:color="auto" w:sz="4" w:space="0"/>
              <w:right w:val="single" w:color="auto" w:sz="8" w:space="0"/>
            </w:tcBorders>
            <w:shd w:val="clear" w:color="auto" w:fill="FFFFFF"/>
            <w:vAlign w:val="center"/>
          </w:tcPr>
          <w:p w14:paraId="6E59B9A0">
            <w:pPr>
              <w:jc w:val="center"/>
              <w:rPr>
                <w:rFonts w:ascii="宋体" w:hAnsi="宋体"/>
                <w:iCs/>
                <w:highlight w:val="none"/>
              </w:rPr>
            </w:pPr>
          </w:p>
        </w:tc>
      </w:tr>
      <w:tr w14:paraId="7C2434DF">
        <w:tblPrEx>
          <w:tblCellMar>
            <w:top w:w="0" w:type="dxa"/>
            <w:left w:w="0" w:type="dxa"/>
            <w:bottom w:w="0" w:type="dxa"/>
            <w:right w:w="0" w:type="dxa"/>
          </w:tblCellMar>
        </w:tblPrEx>
        <w:trPr>
          <w:trHeight w:val="442" w:hRule="atLeast"/>
          <w:jc w:val="center"/>
        </w:trPr>
        <w:tc>
          <w:tcPr>
            <w:tcW w:w="562" w:type="dxa"/>
            <w:vMerge w:val="continue"/>
            <w:tcBorders>
              <w:left w:val="single" w:color="000000" w:sz="8" w:space="0"/>
              <w:right w:val="single" w:color="auto" w:sz="4" w:space="0"/>
            </w:tcBorders>
            <w:shd w:val="clear" w:color="auto" w:fill="FFFFFF"/>
            <w:tcMar>
              <w:top w:w="0" w:type="dxa"/>
              <w:left w:w="108" w:type="dxa"/>
              <w:bottom w:w="0" w:type="dxa"/>
              <w:right w:w="108" w:type="dxa"/>
            </w:tcMar>
            <w:vAlign w:val="center"/>
          </w:tcPr>
          <w:p w14:paraId="3568AC3C">
            <w:pPr>
              <w:jc w:val="center"/>
              <w:rPr>
                <w:rFonts w:ascii="宋体" w:hAnsi="宋体" w:cs="宋体"/>
                <w:kern w:val="0"/>
                <w:highlight w:val="none"/>
              </w:rPr>
            </w:pPr>
          </w:p>
        </w:tc>
        <w:tc>
          <w:tcPr>
            <w:tcW w:w="588" w:type="dxa"/>
            <w:vMerge w:val="continue"/>
            <w:tcBorders>
              <w:left w:val="single" w:color="auto" w:sz="4" w:space="0"/>
              <w:right w:val="single" w:color="auto" w:sz="4" w:space="0"/>
            </w:tcBorders>
            <w:shd w:val="clear" w:color="auto" w:fill="FFFFFF"/>
            <w:vAlign w:val="center"/>
          </w:tcPr>
          <w:p w14:paraId="0DA69803">
            <w:pPr>
              <w:jc w:val="center"/>
              <w:rPr>
                <w:rFonts w:ascii="宋体" w:hAnsi="宋体" w:cs="宋体"/>
                <w:kern w:val="0"/>
                <w:highlight w:val="none"/>
              </w:rPr>
            </w:pPr>
          </w:p>
        </w:tc>
        <w:tc>
          <w:tcPr>
            <w:tcW w:w="4366" w:type="dxa"/>
            <w:tcBorders>
              <w:top w:val="single" w:color="auto" w:sz="4" w:space="0"/>
              <w:left w:val="single" w:color="auto" w:sz="4" w:space="0"/>
              <w:bottom w:val="single" w:color="auto" w:sz="4" w:space="0"/>
              <w:right w:val="single" w:color="auto" w:sz="4" w:space="0"/>
            </w:tcBorders>
            <w:shd w:val="clear" w:color="auto" w:fill="FFFFFF"/>
            <w:vAlign w:val="center"/>
          </w:tcPr>
          <w:p w14:paraId="61A45124">
            <w:pPr>
              <w:keepNext w:val="0"/>
              <w:keepLines w:val="0"/>
              <w:widowControl/>
              <w:suppressLineNumbers w:val="0"/>
              <w:jc w:val="center"/>
              <w:textAlignment w:val="center"/>
              <w:rPr>
                <w:rFonts w:ascii="宋体" w:hAnsi="宋体" w:cs="宋体"/>
                <w:kern w:val="0"/>
                <w:highlight w:val="none"/>
              </w:rPr>
            </w:pPr>
            <w:r>
              <w:rPr>
                <w:rFonts w:hint="eastAsia" w:ascii="宋体" w:hAnsi="宋体" w:eastAsia="宋体" w:cs="宋体"/>
                <w:i w:val="0"/>
                <w:iCs w:val="0"/>
                <w:color w:val="000000"/>
                <w:kern w:val="0"/>
                <w:sz w:val="21"/>
                <w:szCs w:val="21"/>
                <w:u w:val="none"/>
                <w:lang w:val="en-US" w:eastAsia="zh-CN" w:bidi="ar"/>
              </w:rPr>
              <w:t>殡仪服务中心厨房设备物资采购</w:t>
            </w:r>
          </w:p>
        </w:tc>
        <w:tc>
          <w:tcPr>
            <w:tcW w:w="619" w:type="dxa"/>
            <w:tcBorders>
              <w:top w:val="single" w:color="auto" w:sz="4" w:space="0"/>
              <w:left w:val="single" w:color="auto" w:sz="4" w:space="0"/>
              <w:bottom w:val="single" w:color="auto" w:sz="4" w:space="0"/>
              <w:right w:val="single" w:color="auto" w:sz="4" w:space="0"/>
            </w:tcBorders>
            <w:shd w:val="clear" w:color="auto" w:fill="FFFFFF"/>
            <w:vAlign w:val="center"/>
          </w:tcPr>
          <w:p w14:paraId="6AAB3C10">
            <w:pPr>
              <w:jc w:val="center"/>
              <w:rPr>
                <w:rFonts w:ascii="宋体" w:hAnsi="宋体" w:cs="宋体"/>
                <w:kern w:val="0"/>
                <w:highlight w:val="none"/>
              </w:rPr>
            </w:pPr>
            <w:r>
              <w:rPr>
                <w:rFonts w:hint="eastAsia" w:ascii="宋体" w:hAnsi="宋体" w:cs="宋体"/>
                <w:kern w:val="0"/>
                <w:highlight w:val="none"/>
              </w:rPr>
              <w:t>1批</w:t>
            </w:r>
          </w:p>
        </w:tc>
        <w:tc>
          <w:tcPr>
            <w:tcW w:w="1082" w:type="dxa"/>
            <w:vMerge w:val="continue"/>
            <w:tcBorders>
              <w:left w:val="single" w:color="auto" w:sz="4" w:space="0"/>
              <w:right w:val="single" w:color="auto" w:sz="4" w:space="0"/>
            </w:tcBorders>
            <w:shd w:val="clear" w:color="auto" w:fill="FFFFFF"/>
            <w:vAlign w:val="center"/>
          </w:tcPr>
          <w:p w14:paraId="2100401D">
            <w:pPr>
              <w:jc w:val="center"/>
              <w:rPr>
                <w:rFonts w:ascii="宋体" w:hAnsi="宋体" w:cs="宋体"/>
                <w:kern w:val="0"/>
                <w:highlight w:val="none"/>
              </w:rPr>
            </w:pPr>
          </w:p>
        </w:tc>
        <w:tc>
          <w:tcPr>
            <w:tcW w:w="624" w:type="dxa"/>
            <w:vMerge w:val="continue"/>
            <w:tcBorders>
              <w:left w:val="single" w:color="auto" w:sz="4" w:space="0"/>
              <w:right w:val="single" w:color="auto" w:sz="4" w:space="0"/>
            </w:tcBorders>
            <w:shd w:val="clear" w:color="auto" w:fill="FFFFFF"/>
            <w:vAlign w:val="center"/>
          </w:tcPr>
          <w:p w14:paraId="383AFB8A">
            <w:pPr>
              <w:jc w:val="center"/>
              <w:rPr>
                <w:rFonts w:ascii="宋体" w:hAnsi="宋体"/>
                <w:iCs/>
                <w:highlight w:val="none"/>
              </w:rPr>
            </w:pPr>
          </w:p>
        </w:tc>
        <w:tc>
          <w:tcPr>
            <w:tcW w:w="567" w:type="dxa"/>
            <w:vMerge w:val="continue"/>
            <w:tcBorders>
              <w:left w:val="single" w:color="auto" w:sz="4" w:space="0"/>
              <w:right w:val="single" w:color="auto" w:sz="8" w:space="0"/>
            </w:tcBorders>
            <w:shd w:val="clear" w:color="auto" w:fill="FFFFFF"/>
            <w:vAlign w:val="center"/>
          </w:tcPr>
          <w:p w14:paraId="5A143184">
            <w:pPr>
              <w:jc w:val="center"/>
              <w:rPr>
                <w:rFonts w:ascii="宋体" w:hAnsi="宋体"/>
                <w:iCs/>
                <w:highlight w:val="none"/>
              </w:rPr>
            </w:pPr>
          </w:p>
        </w:tc>
      </w:tr>
      <w:tr w14:paraId="02A9B888">
        <w:tblPrEx>
          <w:tblCellMar>
            <w:top w:w="0" w:type="dxa"/>
            <w:left w:w="0" w:type="dxa"/>
            <w:bottom w:w="0" w:type="dxa"/>
            <w:right w:w="0" w:type="dxa"/>
          </w:tblCellMar>
        </w:tblPrEx>
        <w:trPr>
          <w:trHeight w:val="442" w:hRule="atLeast"/>
          <w:jc w:val="center"/>
        </w:trPr>
        <w:tc>
          <w:tcPr>
            <w:tcW w:w="562" w:type="dxa"/>
            <w:vMerge w:val="continue"/>
            <w:tcBorders>
              <w:left w:val="single" w:color="000000" w:sz="8" w:space="0"/>
              <w:right w:val="single" w:color="auto" w:sz="4" w:space="0"/>
            </w:tcBorders>
            <w:shd w:val="clear" w:color="auto" w:fill="FFFFFF"/>
            <w:tcMar>
              <w:top w:w="0" w:type="dxa"/>
              <w:left w:w="108" w:type="dxa"/>
              <w:bottom w:w="0" w:type="dxa"/>
              <w:right w:w="108" w:type="dxa"/>
            </w:tcMar>
            <w:vAlign w:val="center"/>
          </w:tcPr>
          <w:p w14:paraId="36E81FD1">
            <w:pPr>
              <w:jc w:val="center"/>
              <w:rPr>
                <w:rFonts w:ascii="宋体" w:hAnsi="宋体" w:cs="宋体"/>
                <w:kern w:val="0"/>
                <w:highlight w:val="none"/>
              </w:rPr>
            </w:pPr>
          </w:p>
        </w:tc>
        <w:tc>
          <w:tcPr>
            <w:tcW w:w="588" w:type="dxa"/>
            <w:vMerge w:val="continue"/>
            <w:tcBorders>
              <w:left w:val="single" w:color="auto" w:sz="4" w:space="0"/>
              <w:right w:val="single" w:color="auto" w:sz="4" w:space="0"/>
            </w:tcBorders>
            <w:shd w:val="clear" w:color="auto" w:fill="FFFFFF"/>
            <w:vAlign w:val="center"/>
          </w:tcPr>
          <w:p w14:paraId="698D2774">
            <w:pPr>
              <w:jc w:val="center"/>
              <w:rPr>
                <w:rFonts w:ascii="宋体" w:hAnsi="宋体" w:cs="宋体"/>
                <w:kern w:val="0"/>
                <w:highlight w:val="none"/>
              </w:rPr>
            </w:pPr>
          </w:p>
        </w:tc>
        <w:tc>
          <w:tcPr>
            <w:tcW w:w="4366" w:type="dxa"/>
            <w:tcBorders>
              <w:top w:val="single" w:color="auto" w:sz="4" w:space="0"/>
              <w:left w:val="single" w:color="auto" w:sz="4" w:space="0"/>
              <w:bottom w:val="single" w:color="auto" w:sz="4" w:space="0"/>
              <w:right w:val="single" w:color="auto" w:sz="4" w:space="0"/>
            </w:tcBorders>
            <w:shd w:val="clear" w:color="auto" w:fill="FFFFFF"/>
            <w:vAlign w:val="center"/>
          </w:tcPr>
          <w:p w14:paraId="63CD2487">
            <w:pPr>
              <w:keepNext w:val="0"/>
              <w:keepLines w:val="0"/>
              <w:widowControl/>
              <w:suppressLineNumbers w:val="0"/>
              <w:jc w:val="center"/>
              <w:textAlignment w:val="center"/>
              <w:rPr>
                <w:rFonts w:ascii="宋体" w:hAnsi="宋体" w:cs="宋体"/>
                <w:kern w:val="0"/>
                <w:highlight w:val="none"/>
              </w:rPr>
            </w:pPr>
            <w:r>
              <w:rPr>
                <w:rFonts w:hint="eastAsia" w:ascii="宋体" w:hAnsi="宋体" w:eastAsia="宋体" w:cs="宋体"/>
                <w:i w:val="0"/>
                <w:iCs w:val="0"/>
                <w:color w:val="000000"/>
                <w:kern w:val="0"/>
                <w:sz w:val="21"/>
                <w:szCs w:val="21"/>
                <w:u w:val="none"/>
                <w:lang w:val="en-US" w:eastAsia="zh-CN" w:bidi="ar"/>
              </w:rPr>
              <w:t>殡仪服务中心厨房、备餐间建筑工程</w:t>
            </w:r>
          </w:p>
        </w:tc>
        <w:tc>
          <w:tcPr>
            <w:tcW w:w="619" w:type="dxa"/>
            <w:tcBorders>
              <w:top w:val="single" w:color="auto" w:sz="4" w:space="0"/>
              <w:left w:val="single" w:color="auto" w:sz="4" w:space="0"/>
              <w:bottom w:val="single" w:color="auto" w:sz="4" w:space="0"/>
              <w:right w:val="single" w:color="auto" w:sz="4" w:space="0"/>
            </w:tcBorders>
            <w:shd w:val="clear" w:color="auto" w:fill="FFFFFF"/>
            <w:vAlign w:val="center"/>
          </w:tcPr>
          <w:p w14:paraId="1D487867">
            <w:pPr>
              <w:jc w:val="center"/>
              <w:rPr>
                <w:rFonts w:ascii="宋体" w:hAnsi="宋体" w:cs="宋体"/>
                <w:kern w:val="0"/>
                <w:highlight w:val="none"/>
              </w:rPr>
            </w:pPr>
            <w:r>
              <w:rPr>
                <w:rFonts w:hint="eastAsia" w:ascii="宋体" w:hAnsi="宋体" w:cs="宋体"/>
                <w:kern w:val="0"/>
                <w:highlight w:val="none"/>
              </w:rPr>
              <w:t>1</w:t>
            </w:r>
            <w:r>
              <w:rPr>
                <w:rFonts w:hint="eastAsia" w:ascii="宋体" w:hAnsi="宋体" w:cs="宋体"/>
                <w:kern w:val="0"/>
                <w:highlight w:val="none"/>
                <w:lang w:val="en-US" w:eastAsia="zh-CN"/>
              </w:rPr>
              <w:t>项</w:t>
            </w:r>
          </w:p>
        </w:tc>
        <w:tc>
          <w:tcPr>
            <w:tcW w:w="1082" w:type="dxa"/>
            <w:vMerge w:val="continue"/>
            <w:tcBorders>
              <w:left w:val="single" w:color="auto" w:sz="4" w:space="0"/>
              <w:right w:val="single" w:color="auto" w:sz="4" w:space="0"/>
            </w:tcBorders>
            <w:shd w:val="clear" w:color="auto" w:fill="FFFFFF"/>
            <w:vAlign w:val="center"/>
          </w:tcPr>
          <w:p w14:paraId="13586145">
            <w:pPr>
              <w:jc w:val="center"/>
              <w:rPr>
                <w:rFonts w:ascii="宋体" w:hAnsi="宋体" w:cs="宋体"/>
                <w:kern w:val="0"/>
                <w:highlight w:val="none"/>
              </w:rPr>
            </w:pPr>
          </w:p>
        </w:tc>
        <w:tc>
          <w:tcPr>
            <w:tcW w:w="624" w:type="dxa"/>
            <w:vMerge w:val="continue"/>
            <w:tcBorders>
              <w:left w:val="single" w:color="auto" w:sz="4" w:space="0"/>
              <w:right w:val="single" w:color="auto" w:sz="4" w:space="0"/>
            </w:tcBorders>
            <w:shd w:val="clear" w:color="auto" w:fill="FFFFFF"/>
            <w:vAlign w:val="center"/>
          </w:tcPr>
          <w:p w14:paraId="50E1192B">
            <w:pPr>
              <w:jc w:val="center"/>
              <w:rPr>
                <w:rFonts w:ascii="宋体" w:hAnsi="宋体"/>
                <w:iCs/>
                <w:highlight w:val="none"/>
              </w:rPr>
            </w:pPr>
          </w:p>
        </w:tc>
        <w:tc>
          <w:tcPr>
            <w:tcW w:w="567" w:type="dxa"/>
            <w:vMerge w:val="continue"/>
            <w:tcBorders>
              <w:left w:val="single" w:color="auto" w:sz="4" w:space="0"/>
              <w:right w:val="single" w:color="auto" w:sz="8" w:space="0"/>
            </w:tcBorders>
            <w:shd w:val="clear" w:color="auto" w:fill="FFFFFF"/>
            <w:vAlign w:val="center"/>
          </w:tcPr>
          <w:p w14:paraId="08E086ED">
            <w:pPr>
              <w:jc w:val="center"/>
              <w:rPr>
                <w:rFonts w:ascii="宋体" w:hAnsi="宋体"/>
                <w:iCs/>
                <w:highlight w:val="none"/>
              </w:rPr>
            </w:pPr>
          </w:p>
        </w:tc>
      </w:tr>
      <w:tr w14:paraId="19A0F173">
        <w:tblPrEx>
          <w:tblCellMar>
            <w:top w:w="0" w:type="dxa"/>
            <w:left w:w="0" w:type="dxa"/>
            <w:bottom w:w="0" w:type="dxa"/>
            <w:right w:w="0" w:type="dxa"/>
          </w:tblCellMar>
        </w:tblPrEx>
        <w:trPr>
          <w:trHeight w:val="442" w:hRule="atLeast"/>
          <w:jc w:val="center"/>
        </w:trPr>
        <w:tc>
          <w:tcPr>
            <w:tcW w:w="562" w:type="dxa"/>
            <w:vMerge w:val="continue"/>
            <w:tcBorders>
              <w:left w:val="single" w:color="000000" w:sz="8" w:space="0"/>
              <w:right w:val="single" w:color="auto" w:sz="4" w:space="0"/>
            </w:tcBorders>
            <w:shd w:val="clear" w:color="auto" w:fill="FFFFFF"/>
            <w:tcMar>
              <w:top w:w="0" w:type="dxa"/>
              <w:left w:w="108" w:type="dxa"/>
              <w:bottom w:w="0" w:type="dxa"/>
              <w:right w:w="108" w:type="dxa"/>
            </w:tcMar>
            <w:vAlign w:val="center"/>
          </w:tcPr>
          <w:p w14:paraId="27445238">
            <w:pPr>
              <w:jc w:val="center"/>
              <w:rPr>
                <w:rFonts w:ascii="宋体" w:hAnsi="宋体" w:cs="宋体"/>
                <w:kern w:val="0"/>
                <w:highlight w:val="none"/>
              </w:rPr>
            </w:pPr>
          </w:p>
        </w:tc>
        <w:tc>
          <w:tcPr>
            <w:tcW w:w="588" w:type="dxa"/>
            <w:vMerge w:val="continue"/>
            <w:tcBorders>
              <w:left w:val="single" w:color="auto" w:sz="4" w:space="0"/>
              <w:right w:val="single" w:color="auto" w:sz="4" w:space="0"/>
            </w:tcBorders>
            <w:shd w:val="clear" w:color="auto" w:fill="FFFFFF"/>
            <w:vAlign w:val="center"/>
          </w:tcPr>
          <w:p w14:paraId="5A5E95EE">
            <w:pPr>
              <w:jc w:val="center"/>
              <w:rPr>
                <w:rFonts w:ascii="宋体" w:hAnsi="宋体" w:cs="宋体"/>
                <w:kern w:val="0"/>
                <w:highlight w:val="none"/>
              </w:rPr>
            </w:pPr>
          </w:p>
        </w:tc>
        <w:tc>
          <w:tcPr>
            <w:tcW w:w="4366" w:type="dxa"/>
            <w:tcBorders>
              <w:top w:val="single" w:color="auto" w:sz="4" w:space="0"/>
              <w:left w:val="single" w:color="auto" w:sz="4" w:space="0"/>
              <w:bottom w:val="single" w:color="auto" w:sz="4" w:space="0"/>
              <w:right w:val="single" w:color="auto" w:sz="4" w:space="0"/>
            </w:tcBorders>
            <w:shd w:val="clear" w:color="auto" w:fill="FFFFFF"/>
            <w:vAlign w:val="center"/>
          </w:tcPr>
          <w:p w14:paraId="09D000B1">
            <w:pPr>
              <w:keepNext w:val="0"/>
              <w:keepLines w:val="0"/>
              <w:widowControl/>
              <w:suppressLineNumbers w:val="0"/>
              <w:jc w:val="center"/>
              <w:textAlignment w:val="center"/>
              <w:rPr>
                <w:rFonts w:ascii="宋体" w:hAnsi="宋体" w:cs="宋体"/>
                <w:kern w:val="0"/>
                <w:highlight w:val="none"/>
              </w:rPr>
            </w:pPr>
            <w:r>
              <w:rPr>
                <w:rFonts w:hint="eastAsia" w:ascii="宋体" w:hAnsi="宋体" w:eastAsia="宋体" w:cs="宋体"/>
                <w:i w:val="0"/>
                <w:iCs w:val="0"/>
                <w:color w:val="000000"/>
                <w:kern w:val="0"/>
                <w:sz w:val="21"/>
                <w:szCs w:val="21"/>
                <w:u w:val="none"/>
                <w:lang w:val="en-US" w:eastAsia="zh-CN" w:bidi="ar"/>
              </w:rPr>
              <w:t>殡仪服务中心厨房、备餐间装饰工程</w:t>
            </w:r>
          </w:p>
        </w:tc>
        <w:tc>
          <w:tcPr>
            <w:tcW w:w="619" w:type="dxa"/>
            <w:tcBorders>
              <w:top w:val="single" w:color="auto" w:sz="4" w:space="0"/>
              <w:left w:val="single" w:color="auto" w:sz="4" w:space="0"/>
              <w:bottom w:val="single" w:color="auto" w:sz="4" w:space="0"/>
              <w:right w:val="single" w:color="auto" w:sz="4" w:space="0"/>
            </w:tcBorders>
            <w:shd w:val="clear" w:color="auto" w:fill="FFFFFF"/>
            <w:vAlign w:val="center"/>
          </w:tcPr>
          <w:p w14:paraId="1EC471D7">
            <w:pPr>
              <w:jc w:val="center"/>
              <w:rPr>
                <w:rFonts w:ascii="宋体" w:hAnsi="宋体" w:cs="宋体"/>
                <w:kern w:val="0"/>
                <w:highlight w:val="none"/>
              </w:rPr>
            </w:pPr>
            <w:r>
              <w:rPr>
                <w:rFonts w:hint="eastAsia" w:ascii="宋体" w:hAnsi="宋体" w:cs="宋体"/>
                <w:kern w:val="0"/>
                <w:highlight w:val="none"/>
              </w:rPr>
              <w:t>1</w:t>
            </w:r>
            <w:r>
              <w:rPr>
                <w:rFonts w:hint="eastAsia" w:ascii="宋体" w:hAnsi="宋体" w:cs="宋体"/>
                <w:kern w:val="0"/>
                <w:highlight w:val="none"/>
                <w:lang w:val="en-US" w:eastAsia="zh-CN"/>
              </w:rPr>
              <w:t>项</w:t>
            </w:r>
          </w:p>
        </w:tc>
        <w:tc>
          <w:tcPr>
            <w:tcW w:w="1082" w:type="dxa"/>
            <w:vMerge w:val="continue"/>
            <w:tcBorders>
              <w:left w:val="single" w:color="auto" w:sz="4" w:space="0"/>
              <w:right w:val="single" w:color="auto" w:sz="4" w:space="0"/>
            </w:tcBorders>
            <w:shd w:val="clear" w:color="auto" w:fill="FFFFFF"/>
            <w:vAlign w:val="center"/>
          </w:tcPr>
          <w:p w14:paraId="45494F23">
            <w:pPr>
              <w:jc w:val="center"/>
              <w:rPr>
                <w:rFonts w:ascii="宋体" w:hAnsi="宋体" w:cs="宋体"/>
                <w:kern w:val="0"/>
                <w:highlight w:val="none"/>
              </w:rPr>
            </w:pPr>
          </w:p>
        </w:tc>
        <w:tc>
          <w:tcPr>
            <w:tcW w:w="624" w:type="dxa"/>
            <w:vMerge w:val="continue"/>
            <w:tcBorders>
              <w:left w:val="single" w:color="auto" w:sz="4" w:space="0"/>
              <w:right w:val="single" w:color="auto" w:sz="4" w:space="0"/>
            </w:tcBorders>
            <w:shd w:val="clear" w:color="auto" w:fill="FFFFFF"/>
            <w:vAlign w:val="center"/>
          </w:tcPr>
          <w:p w14:paraId="2B6863FA">
            <w:pPr>
              <w:jc w:val="center"/>
              <w:rPr>
                <w:rFonts w:ascii="宋体" w:hAnsi="宋体"/>
                <w:iCs/>
                <w:highlight w:val="none"/>
              </w:rPr>
            </w:pPr>
          </w:p>
        </w:tc>
        <w:tc>
          <w:tcPr>
            <w:tcW w:w="567" w:type="dxa"/>
            <w:vMerge w:val="continue"/>
            <w:tcBorders>
              <w:left w:val="single" w:color="auto" w:sz="4" w:space="0"/>
              <w:right w:val="single" w:color="auto" w:sz="8" w:space="0"/>
            </w:tcBorders>
            <w:shd w:val="clear" w:color="auto" w:fill="FFFFFF"/>
            <w:vAlign w:val="center"/>
          </w:tcPr>
          <w:p w14:paraId="5447E5E9">
            <w:pPr>
              <w:jc w:val="center"/>
              <w:rPr>
                <w:rFonts w:ascii="宋体" w:hAnsi="宋体"/>
                <w:iCs/>
                <w:highlight w:val="none"/>
              </w:rPr>
            </w:pPr>
          </w:p>
        </w:tc>
      </w:tr>
      <w:tr w14:paraId="766F666B">
        <w:tblPrEx>
          <w:tblCellMar>
            <w:top w:w="0" w:type="dxa"/>
            <w:left w:w="0" w:type="dxa"/>
            <w:bottom w:w="0" w:type="dxa"/>
            <w:right w:w="0" w:type="dxa"/>
          </w:tblCellMar>
        </w:tblPrEx>
        <w:trPr>
          <w:trHeight w:val="430" w:hRule="atLeast"/>
          <w:jc w:val="center"/>
        </w:trPr>
        <w:tc>
          <w:tcPr>
            <w:tcW w:w="562" w:type="dxa"/>
            <w:vMerge w:val="continue"/>
            <w:tcBorders>
              <w:left w:val="single" w:color="000000" w:sz="8" w:space="0"/>
              <w:bottom w:val="single" w:color="auto" w:sz="4" w:space="0"/>
              <w:right w:val="single" w:color="auto" w:sz="4" w:space="0"/>
            </w:tcBorders>
            <w:shd w:val="clear" w:color="auto" w:fill="FFFFFF"/>
            <w:tcMar>
              <w:top w:w="0" w:type="dxa"/>
              <w:left w:w="108" w:type="dxa"/>
              <w:bottom w:w="0" w:type="dxa"/>
              <w:right w:w="108" w:type="dxa"/>
            </w:tcMar>
            <w:vAlign w:val="center"/>
          </w:tcPr>
          <w:p w14:paraId="3CBFF335">
            <w:pPr>
              <w:jc w:val="center"/>
              <w:rPr>
                <w:rFonts w:ascii="宋体" w:hAnsi="宋体" w:cs="宋体"/>
                <w:kern w:val="0"/>
                <w:highlight w:val="none"/>
              </w:rPr>
            </w:pPr>
          </w:p>
        </w:tc>
        <w:tc>
          <w:tcPr>
            <w:tcW w:w="588" w:type="dxa"/>
            <w:vMerge w:val="continue"/>
            <w:tcBorders>
              <w:left w:val="single" w:color="auto" w:sz="4" w:space="0"/>
              <w:bottom w:val="single" w:color="auto" w:sz="4" w:space="0"/>
              <w:right w:val="single" w:color="auto" w:sz="4" w:space="0"/>
            </w:tcBorders>
            <w:shd w:val="clear" w:color="auto" w:fill="FFFFFF"/>
            <w:vAlign w:val="center"/>
          </w:tcPr>
          <w:p w14:paraId="55D5F2F6">
            <w:pPr>
              <w:jc w:val="center"/>
              <w:rPr>
                <w:rFonts w:ascii="宋体" w:hAnsi="宋体" w:cs="宋体"/>
                <w:kern w:val="0"/>
                <w:highlight w:val="none"/>
              </w:rPr>
            </w:pPr>
          </w:p>
        </w:tc>
        <w:tc>
          <w:tcPr>
            <w:tcW w:w="4366" w:type="dxa"/>
            <w:tcBorders>
              <w:top w:val="single" w:color="auto" w:sz="4" w:space="0"/>
              <w:left w:val="single" w:color="auto" w:sz="4" w:space="0"/>
              <w:bottom w:val="single" w:color="auto" w:sz="4" w:space="0"/>
              <w:right w:val="single" w:color="auto" w:sz="4" w:space="0"/>
            </w:tcBorders>
            <w:shd w:val="clear" w:color="auto" w:fill="FFFFFF"/>
            <w:vAlign w:val="center"/>
          </w:tcPr>
          <w:p w14:paraId="6BC1BA6E">
            <w:pPr>
              <w:keepNext w:val="0"/>
              <w:keepLines w:val="0"/>
              <w:widowControl/>
              <w:suppressLineNumbers w:val="0"/>
              <w:jc w:val="center"/>
              <w:textAlignment w:val="center"/>
              <w:rPr>
                <w:rFonts w:ascii="宋体" w:hAnsi="宋体" w:cs="宋体"/>
                <w:kern w:val="0"/>
                <w:highlight w:val="none"/>
              </w:rPr>
            </w:pPr>
            <w:r>
              <w:rPr>
                <w:rFonts w:hint="eastAsia" w:ascii="宋体" w:hAnsi="宋体" w:eastAsia="宋体" w:cs="宋体"/>
                <w:i w:val="0"/>
                <w:iCs w:val="0"/>
                <w:color w:val="000000"/>
                <w:kern w:val="0"/>
                <w:sz w:val="21"/>
                <w:szCs w:val="21"/>
                <w:u w:val="none"/>
                <w:lang w:val="en-US" w:eastAsia="zh-CN" w:bidi="ar"/>
              </w:rPr>
              <w:t>殡仪服务中心厨房、备餐间安装工程</w:t>
            </w:r>
          </w:p>
        </w:tc>
        <w:tc>
          <w:tcPr>
            <w:tcW w:w="619" w:type="dxa"/>
            <w:tcBorders>
              <w:top w:val="single" w:color="auto" w:sz="4" w:space="0"/>
              <w:left w:val="single" w:color="auto" w:sz="4" w:space="0"/>
              <w:bottom w:val="single" w:color="auto" w:sz="4" w:space="0"/>
              <w:right w:val="single" w:color="auto" w:sz="4" w:space="0"/>
            </w:tcBorders>
            <w:shd w:val="clear" w:color="auto" w:fill="FFFFFF"/>
            <w:vAlign w:val="center"/>
          </w:tcPr>
          <w:p w14:paraId="66BBD865">
            <w:pPr>
              <w:jc w:val="center"/>
              <w:rPr>
                <w:rFonts w:ascii="宋体" w:hAnsi="宋体" w:cs="宋体"/>
                <w:kern w:val="0"/>
                <w:highlight w:val="none"/>
              </w:rPr>
            </w:pPr>
            <w:r>
              <w:rPr>
                <w:rFonts w:hint="eastAsia" w:ascii="宋体" w:hAnsi="宋体" w:cs="宋体"/>
                <w:kern w:val="0"/>
                <w:highlight w:val="none"/>
              </w:rPr>
              <w:t>1</w:t>
            </w:r>
            <w:r>
              <w:rPr>
                <w:rFonts w:hint="eastAsia" w:ascii="宋体" w:hAnsi="宋体" w:cs="宋体"/>
                <w:kern w:val="0"/>
                <w:highlight w:val="none"/>
                <w:lang w:val="en-US" w:eastAsia="zh-CN"/>
              </w:rPr>
              <w:t>项</w:t>
            </w:r>
          </w:p>
        </w:tc>
        <w:tc>
          <w:tcPr>
            <w:tcW w:w="1082" w:type="dxa"/>
            <w:vMerge w:val="continue"/>
            <w:tcBorders>
              <w:left w:val="single" w:color="auto" w:sz="4" w:space="0"/>
              <w:bottom w:val="single" w:color="auto" w:sz="4" w:space="0"/>
              <w:right w:val="single" w:color="auto" w:sz="4" w:space="0"/>
            </w:tcBorders>
            <w:shd w:val="clear" w:color="auto" w:fill="FFFFFF"/>
            <w:vAlign w:val="center"/>
          </w:tcPr>
          <w:p w14:paraId="6F4FA86C">
            <w:pPr>
              <w:jc w:val="center"/>
              <w:rPr>
                <w:rFonts w:ascii="宋体" w:hAnsi="宋体" w:cs="宋体"/>
                <w:kern w:val="0"/>
                <w:highlight w:val="none"/>
              </w:rPr>
            </w:pPr>
          </w:p>
        </w:tc>
        <w:tc>
          <w:tcPr>
            <w:tcW w:w="624" w:type="dxa"/>
            <w:vMerge w:val="continue"/>
            <w:tcBorders>
              <w:left w:val="single" w:color="auto" w:sz="4" w:space="0"/>
              <w:bottom w:val="single" w:color="auto" w:sz="4" w:space="0"/>
              <w:right w:val="single" w:color="auto" w:sz="4" w:space="0"/>
            </w:tcBorders>
            <w:shd w:val="clear" w:color="auto" w:fill="FFFFFF"/>
            <w:vAlign w:val="center"/>
          </w:tcPr>
          <w:p w14:paraId="1599AB1D">
            <w:pPr>
              <w:jc w:val="center"/>
              <w:rPr>
                <w:rFonts w:ascii="宋体" w:hAnsi="宋体"/>
                <w:iCs/>
                <w:highlight w:val="none"/>
              </w:rPr>
            </w:pPr>
          </w:p>
        </w:tc>
        <w:tc>
          <w:tcPr>
            <w:tcW w:w="567" w:type="dxa"/>
            <w:vMerge w:val="continue"/>
            <w:tcBorders>
              <w:left w:val="single" w:color="auto" w:sz="4" w:space="0"/>
              <w:bottom w:val="single" w:color="auto" w:sz="4" w:space="0"/>
              <w:right w:val="single" w:color="auto" w:sz="8" w:space="0"/>
            </w:tcBorders>
            <w:shd w:val="clear" w:color="auto" w:fill="FFFFFF"/>
            <w:vAlign w:val="center"/>
          </w:tcPr>
          <w:p w14:paraId="49D8DB7B">
            <w:pPr>
              <w:jc w:val="center"/>
              <w:rPr>
                <w:rFonts w:ascii="宋体" w:hAnsi="宋体"/>
                <w:iCs/>
                <w:highlight w:val="none"/>
              </w:rPr>
            </w:pPr>
          </w:p>
        </w:tc>
      </w:tr>
    </w:tbl>
    <w:p w14:paraId="2E5DAF5E"/>
    <w:p w14:paraId="5E0C7BCB">
      <w:pPr>
        <w:adjustRightInd w:val="0"/>
        <w:snapToGrid w:val="0"/>
        <w:spacing w:before="156" w:beforeLines="50" w:line="360" w:lineRule="auto"/>
        <w:rPr>
          <w:rFonts w:hint="eastAsia" w:ascii="宋体" w:hAnsi="宋体"/>
          <w:szCs w:val="21"/>
        </w:rPr>
      </w:pPr>
      <w:r>
        <w:rPr>
          <w:rFonts w:hint="eastAsia" w:ascii="宋体" w:hAnsi="宋体"/>
          <w:szCs w:val="21"/>
        </w:rPr>
        <w:t>注：1.“包”为最小合同单位（最小投标单位）。每“包”内容应细化到具体标的。</w:t>
      </w:r>
    </w:p>
    <w:p w14:paraId="44A52057">
      <w:pPr>
        <w:adjustRightInd w:val="0"/>
        <w:snapToGrid w:val="0"/>
        <w:spacing w:before="156" w:beforeLines="50" w:line="360" w:lineRule="auto"/>
        <w:ind w:firstLine="420" w:firstLineChars="200"/>
        <w:rPr>
          <w:rFonts w:hint="eastAsia" w:ascii="宋体" w:hAnsi="宋体"/>
          <w:szCs w:val="21"/>
        </w:rPr>
      </w:pPr>
      <w:r>
        <w:rPr>
          <w:rFonts w:hint="eastAsia" w:ascii="宋体" w:hAnsi="宋体"/>
          <w:szCs w:val="21"/>
        </w:rPr>
        <w:t>2.投标人必须对一个完整、独立的包进行投标，不得仅对一个包中的部分标的投标，否则</w:t>
      </w:r>
      <w:r>
        <w:rPr>
          <w:rFonts w:hint="eastAsia" w:ascii="宋体" w:hAnsi="宋体"/>
          <w:b/>
          <w:szCs w:val="21"/>
        </w:rPr>
        <w:t>投标无效。</w:t>
      </w:r>
    </w:p>
    <w:p w14:paraId="1AA8D096">
      <w:pPr>
        <w:adjustRightInd w:val="0"/>
        <w:snapToGrid w:val="0"/>
        <w:spacing w:before="156" w:beforeLines="50" w:line="360" w:lineRule="auto"/>
        <w:ind w:firstLine="420" w:firstLineChars="200"/>
        <w:rPr>
          <w:rFonts w:hint="eastAsia" w:ascii="宋体" w:hAnsi="宋体" w:cs="宋体"/>
          <w:kern w:val="0"/>
          <w:szCs w:val="21"/>
        </w:rPr>
      </w:pPr>
      <w:r>
        <w:rPr>
          <w:rFonts w:hint="eastAsia" w:ascii="宋体" w:hAnsi="宋体"/>
          <w:szCs w:val="21"/>
        </w:rPr>
        <w:t>3.货物的主要技术参数或规格：</w:t>
      </w:r>
      <w:r>
        <w:rPr>
          <w:rFonts w:ascii="宋体" w:hAnsi="宋体" w:cs="宋体"/>
          <w:kern w:val="0"/>
          <w:szCs w:val="21"/>
        </w:rPr>
        <w:t>详见“技术要求”中的具体技术参数</w:t>
      </w:r>
      <w:r>
        <w:rPr>
          <w:rFonts w:hint="eastAsia" w:ascii="宋体" w:hAnsi="宋体" w:cs="宋体"/>
          <w:kern w:val="0"/>
          <w:szCs w:val="21"/>
        </w:rPr>
        <w:t>。</w:t>
      </w:r>
    </w:p>
    <w:p w14:paraId="46916FA4">
      <w:pPr>
        <w:adjustRightInd w:val="0"/>
        <w:snapToGrid w:val="0"/>
        <w:spacing w:before="156" w:beforeLines="50" w:line="360" w:lineRule="auto"/>
        <w:ind w:firstLine="420" w:firstLineChars="200"/>
        <w:rPr>
          <w:rFonts w:hint="eastAsia" w:ascii="宋体" w:hAnsi="宋体" w:cs="Times New Roman"/>
          <w:szCs w:val="21"/>
        </w:rPr>
      </w:pPr>
      <w:r>
        <w:rPr>
          <w:rFonts w:hint="eastAsia" w:ascii="宋体" w:hAnsi="宋体" w:cs="宋体"/>
          <w:bCs/>
          <w:kern w:val="0"/>
          <w:szCs w:val="21"/>
        </w:rPr>
        <w:t>4.投标人应</w:t>
      </w:r>
      <w:r>
        <w:rPr>
          <w:rFonts w:hint="eastAsia" w:ascii="宋体" w:hAnsi="宋体" w:cs="宋体"/>
          <w:kern w:val="0"/>
          <w:szCs w:val="21"/>
        </w:rPr>
        <w:t>在投标文件《分项报价明细表》中按</w:t>
      </w:r>
      <w:r>
        <w:rPr>
          <w:rFonts w:hint="eastAsia" w:ascii="宋体" w:hAnsi="宋体"/>
          <w:szCs w:val="21"/>
        </w:rPr>
        <w:t>标的名称</w:t>
      </w:r>
      <w:r>
        <w:rPr>
          <w:rFonts w:hint="eastAsia" w:ascii="宋体" w:hAnsi="宋体" w:cs="宋体"/>
          <w:kern w:val="0"/>
          <w:szCs w:val="21"/>
        </w:rPr>
        <w:t>顺序逐项填写，且每个标的中的</w:t>
      </w:r>
      <w:r>
        <w:rPr>
          <w:rFonts w:hint="eastAsia" w:ascii="宋体" w:hAnsi="宋体" w:cs="Times New Roman"/>
          <w:szCs w:val="21"/>
        </w:rPr>
        <w:t>条目均需按招标文件规定报价。如有缺项、漏项，其投标无效。</w:t>
      </w:r>
    </w:p>
    <w:p w14:paraId="5BCE758B">
      <w:pPr>
        <w:adjustRightInd w:val="0"/>
        <w:snapToGrid w:val="0"/>
        <w:spacing w:before="156" w:beforeLines="50" w:line="360" w:lineRule="auto"/>
        <w:ind w:firstLine="420" w:firstLineChars="200"/>
        <w:rPr>
          <w:rFonts w:hint="eastAsia" w:ascii="宋体" w:hAnsi="宋体" w:cs="Times New Roman"/>
          <w:szCs w:val="21"/>
        </w:rPr>
      </w:pPr>
      <w:r>
        <w:rPr>
          <w:rFonts w:hint="eastAsia" w:ascii="宋体" w:hAnsi="宋体" w:cs="Times New Roman"/>
          <w:szCs w:val="21"/>
        </w:rPr>
        <w:t>5、上述设备中实行强制采购的节能产品详见最新一期《节能产品政府采购品目清单》，各潜在投标人需自行查询。</w:t>
      </w:r>
    </w:p>
    <w:p w14:paraId="50390C1F">
      <w:pPr>
        <w:adjustRightInd w:val="0"/>
        <w:snapToGrid w:val="0"/>
        <w:spacing w:before="156" w:beforeLines="50" w:line="360" w:lineRule="auto"/>
        <w:ind w:firstLine="420" w:firstLineChars="200"/>
        <w:rPr>
          <w:rFonts w:hint="eastAsia" w:ascii="宋体" w:hAnsi="宋体" w:cs="Times New Roman"/>
          <w:szCs w:val="21"/>
        </w:rPr>
        <w:sectPr>
          <w:headerReference r:id="rId14" w:type="first"/>
          <w:footerReference r:id="rId16" w:type="first"/>
          <w:footerReference r:id="rId15" w:type="default"/>
          <w:pgSz w:w="11906" w:h="16838"/>
          <w:pgMar w:top="1440" w:right="1800" w:bottom="1440" w:left="1800" w:header="851" w:footer="992" w:gutter="0"/>
          <w:pgBorders>
            <w:top w:val="none" w:sz="0" w:space="0"/>
            <w:left w:val="none" w:sz="0" w:space="0"/>
            <w:bottom w:val="none" w:sz="0" w:space="0"/>
            <w:right w:val="none" w:sz="0" w:space="0"/>
          </w:pgBorders>
          <w:cols w:space="720" w:num="1"/>
          <w:titlePg/>
          <w:docGrid w:type="lines" w:linePitch="312" w:charSpace="0"/>
        </w:sectPr>
      </w:pPr>
      <w:r>
        <w:rPr>
          <w:rFonts w:hint="eastAsia" w:ascii="宋体" w:hAnsi="宋体" w:cs="Times New Roman"/>
          <w:szCs w:val="21"/>
          <w:lang w:val="en-US" w:eastAsia="zh-CN"/>
        </w:rPr>
        <w:t>6、本项目总预算限价为3190000元，</w:t>
      </w:r>
      <w:r>
        <w:rPr>
          <w:rFonts w:hint="eastAsia" w:ascii="宋体" w:hAnsi="宋体" w:cs="Times New Roman"/>
          <w:szCs w:val="21"/>
        </w:rPr>
        <w:t>投标人报价不得超过最高总价限价和最高单价限价，否则投标无效。</w:t>
      </w:r>
    </w:p>
    <w:p w14:paraId="0A19D08A">
      <w:pPr>
        <w:pStyle w:val="2"/>
        <w:jc w:val="center"/>
        <w:rPr>
          <w:rFonts w:ascii="黑体" w:hAnsi="黑体" w:eastAsia="黑体"/>
          <w:sz w:val="28"/>
          <w:szCs w:val="28"/>
          <w:highlight w:val="none"/>
        </w:rPr>
      </w:pPr>
      <w:bookmarkStart w:id="136" w:name="_Toc22929"/>
      <w:bookmarkStart w:id="137" w:name="_Toc16251"/>
      <w:r>
        <w:rPr>
          <w:rFonts w:hint="eastAsia" w:ascii="黑体" w:hAnsi="黑体" w:eastAsia="黑体"/>
          <w:sz w:val="28"/>
          <w:szCs w:val="28"/>
          <w:highlight w:val="none"/>
        </w:rPr>
        <w:t>第二节 技术要求</w:t>
      </w:r>
      <w:bookmarkEnd w:id="136"/>
      <w:bookmarkEnd w:id="137"/>
    </w:p>
    <w:p w14:paraId="27D807FF">
      <w:pPr>
        <w:keepNext w:val="0"/>
        <w:keepLines w:val="0"/>
        <w:pageBreakBefore w:val="0"/>
        <w:widowControl/>
        <w:kinsoku/>
        <w:wordWrap/>
        <w:overflowPunct/>
        <w:topLinePunct w:val="0"/>
        <w:autoSpaceDE/>
        <w:autoSpaceDN/>
        <w:bidi w:val="0"/>
        <w:adjustRightInd/>
        <w:snapToGrid/>
        <w:spacing w:after="0" w:line="360" w:lineRule="auto"/>
        <w:jc w:val="left"/>
        <w:textAlignment w:val="auto"/>
        <w:rPr>
          <w:rFonts w:hint="eastAsia" w:ascii="宋体" w:hAnsi="宋体" w:cs="宋体"/>
          <w:kern w:val="0"/>
          <w:highlight w:val="none"/>
        </w:rPr>
      </w:pPr>
      <w:r>
        <w:rPr>
          <w:rFonts w:hint="eastAsia" w:asciiTheme="minorEastAsia" w:hAnsiTheme="minorEastAsia" w:eastAsiaTheme="minorEastAsia"/>
          <w:szCs w:val="21"/>
          <w:highlight w:val="none"/>
        </w:rPr>
        <w:t>一、</w:t>
      </w:r>
      <w:r>
        <w:rPr>
          <w:rFonts w:hint="eastAsia" w:ascii="宋体" w:hAnsi="宋体" w:cs="宋体"/>
          <w:kern w:val="0"/>
          <w:highlight w:val="none"/>
        </w:rPr>
        <w:t>悼念厅物资采购-LED显示屏</w:t>
      </w:r>
    </w:p>
    <w:tbl>
      <w:tblPr>
        <w:tblStyle w:val="27"/>
        <w:tblW w:w="4997"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FFF" w:themeFill="background1"/>
        <w:tblLayout w:type="autofit"/>
        <w:tblCellMar>
          <w:top w:w="0" w:type="dxa"/>
          <w:left w:w="108" w:type="dxa"/>
          <w:bottom w:w="0" w:type="dxa"/>
          <w:right w:w="108" w:type="dxa"/>
        </w:tblCellMar>
      </w:tblPr>
      <w:tblGrid>
        <w:gridCol w:w="440"/>
        <w:gridCol w:w="583"/>
        <w:gridCol w:w="4525"/>
        <w:gridCol w:w="440"/>
        <w:gridCol w:w="483"/>
        <w:gridCol w:w="1011"/>
        <w:gridCol w:w="1041"/>
      </w:tblGrid>
      <w:tr w14:paraId="0204165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FFF" w:themeFill="background1"/>
          <w:tblCellMar>
            <w:top w:w="0" w:type="dxa"/>
            <w:left w:w="108" w:type="dxa"/>
            <w:bottom w:w="0" w:type="dxa"/>
            <w:right w:w="108" w:type="dxa"/>
          </w:tblCellMar>
        </w:tblPrEx>
        <w:trPr>
          <w:trHeight w:val="312" w:hRule="atLeast"/>
          <w:jc w:val="center"/>
        </w:trPr>
        <w:tc>
          <w:tcPr>
            <w:tcW w:w="259" w:type="pct"/>
            <w:vMerge w:val="restar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CCABCBA">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序号</w:t>
            </w:r>
          </w:p>
        </w:tc>
        <w:tc>
          <w:tcPr>
            <w:tcW w:w="343" w:type="pct"/>
            <w:vMerge w:val="restar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341C9B3B">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项目名称</w:t>
            </w:r>
          </w:p>
        </w:tc>
        <w:tc>
          <w:tcPr>
            <w:tcW w:w="2661" w:type="pct"/>
            <w:vMerge w:val="restar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70A16F4C">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规格型号材质</w:t>
            </w:r>
          </w:p>
        </w:tc>
        <w:tc>
          <w:tcPr>
            <w:tcW w:w="259" w:type="pct"/>
            <w:vMerge w:val="restar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7A3EC69E">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计量单位</w:t>
            </w:r>
          </w:p>
        </w:tc>
        <w:tc>
          <w:tcPr>
            <w:tcW w:w="289" w:type="pct"/>
            <w:vMerge w:val="restar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2E8F06A">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工程量</w:t>
            </w:r>
          </w:p>
        </w:tc>
        <w:tc>
          <w:tcPr>
            <w:tcW w:w="596" w:type="pct"/>
            <w:vMerge w:val="restar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791DB89">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b/>
                <w:bCs/>
                <w:i w:val="0"/>
                <w:iCs w:val="0"/>
                <w:color w:val="000000"/>
                <w:kern w:val="0"/>
                <w:sz w:val="22"/>
                <w:szCs w:val="22"/>
                <w:u w:val="none"/>
                <w:lang w:val="en-US" w:eastAsia="zh-CN" w:bidi="ar"/>
              </w:rPr>
            </w:pPr>
            <w:r>
              <w:rPr>
                <w:rFonts w:hint="eastAsia" w:ascii="宋体" w:hAnsi="宋体" w:cs="宋体"/>
                <w:b/>
                <w:bCs/>
                <w:i w:val="0"/>
                <w:iCs w:val="0"/>
                <w:color w:val="000000"/>
                <w:kern w:val="0"/>
                <w:sz w:val="22"/>
                <w:szCs w:val="22"/>
                <w:u w:val="none"/>
                <w:lang w:val="en-US" w:eastAsia="zh-CN" w:bidi="ar"/>
              </w:rPr>
              <w:t>最高限价（</w:t>
            </w:r>
            <w:r>
              <w:rPr>
                <w:rFonts w:hint="eastAsia" w:ascii="宋体" w:hAnsi="宋体" w:eastAsia="宋体" w:cs="宋体"/>
                <w:b/>
                <w:bCs/>
                <w:i w:val="0"/>
                <w:iCs w:val="0"/>
                <w:color w:val="000000"/>
                <w:kern w:val="0"/>
                <w:sz w:val="22"/>
                <w:szCs w:val="22"/>
                <w:u w:val="none"/>
                <w:lang w:val="en-US" w:eastAsia="zh-CN" w:bidi="ar"/>
              </w:rPr>
              <w:t>单价</w:t>
            </w:r>
            <w:r>
              <w:rPr>
                <w:rFonts w:hint="eastAsia" w:ascii="宋体" w:hAnsi="宋体" w:cs="宋体"/>
                <w:b/>
                <w:bCs/>
                <w:i w:val="0"/>
                <w:iCs w:val="0"/>
                <w:color w:val="000000"/>
                <w:kern w:val="0"/>
                <w:sz w:val="22"/>
                <w:szCs w:val="22"/>
                <w:u w:val="none"/>
                <w:lang w:val="en-US" w:eastAsia="zh-CN" w:bidi="ar"/>
              </w:rPr>
              <w:t>）</w:t>
            </w:r>
          </w:p>
          <w:p w14:paraId="21F3D482">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（元）</w:t>
            </w:r>
          </w:p>
        </w:tc>
        <w:tc>
          <w:tcPr>
            <w:tcW w:w="589" w:type="pct"/>
            <w:vMerge w:val="restar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4F444F54">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b/>
                <w:bCs/>
                <w:i w:val="0"/>
                <w:iCs w:val="0"/>
                <w:color w:val="000000"/>
                <w:kern w:val="0"/>
                <w:sz w:val="22"/>
                <w:szCs w:val="22"/>
                <w:u w:val="none"/>
                <w:lang w:val="en-US" w:eastAsia="zh-CN" w:bidi="ar"/>
              </w:rPr>
            </w:pPr>
            <w:r>
              <w:rPr>
                <w:rFonts w:hint="eastAsia" w:ascii="宋体" w:hAnsi="宋体" w:eastAsia="宋体" w:cs="宋体"/>
                <w:b/>
                <w:bCs/>
                <w:i w:val="0"/>
                <w:iCs w:val="0"/>
                <w:color w:val="000000"/>
                <w:kern w:val="0"/>
                <w:sz w:val="22"/>
                <w:szCs w:val="22"/>
                <w:u w:val="none"/>
                <w:lang w:val="en-US" w:eastAsia="zh-CN" w:bidi="ar"/>
              </w:rPr>
              <w:t>金额</w:t>
            </w:r>
          </w:p>
          <w:p w14:paraId="06116EDD">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（元）</w:t>
            </w:r>
          </w:p>
        </w:tc>
      </w:tr>
      <w:tr w14:paraId="2E1D8AE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FFF" w:themeFill="background1"/>
          <w:tblCellMar>
            <w:top w:w="0" w:type="dxa"/>
            <w:left w:w="108" w:type="dxa"/>
            <w:bottom w:w="0" w:type="dxa"/>
            <w:right w:w="108" w:type="dxa"/>
          </w:tblCellMar>
        </w:tblPrEx>
        <w:trPr>
          <w:trHeight w:val="312" w:hRule="atLeast"/>
          <w:jc w:val="center"/>
        </w:trPr>
        <w:tc>
          <w:tcPr>
            <w:tcW w:w="259" w:type="pct"/>
            <w:vMerge w:val="continue"/>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36ABF8D3">
            <w:pPr>
              <w:snapToGrid w:val="0"/>
              <w:ind w:left="0" w:leftChars="0" w:right="0" w:rightChars="0" w:firstLine="0" w:firstLineChars="0"/>
              <w:jc w:val="center"/>
              <w:rPr>
                <w:rFonts w:hint="eastAsia" w:ascii="宋体" w:hAnsi="宋体" w:eastAsia="宋体" w:cs="宋体"/>
                <w:b/>
                <w:bCs/>
                <w:i w:val="0"/>
                <w:iCs w:val="0"/>
                <w:color w:val="000000"/>
                <w:sz w:val="22"/>
                <w:szCs w:val="22"/>
                <w:u w:val="none"/>
              </w:rPr>
            </w:pPr>
          </w:p>
        </w:tc>
        <w:tc>
          <w:tcPr>
            <w:tcW w:w="343" w:type="pct"/>
            <w:vMerge w:val="continue"/>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282E4A8">
            <w:pPr>
              <w:snapToGrid w:val="0"/>
              <w:ind w:left="0" w:leftChars="0" w:right="0" w:rightChars="0" w:firstLine="0" w:firstLineChars="0"/>
              <w:jc w:val="center"/>
              <w:rPr>
                <w:rFonts w:hint="eastAsia" w:ascii="宋体" w:hAnsi="宋体" w:eastAsia="宋体" w:cs="宋体"/>
                <w:b/>
                <w:bCs/>
                <w:i w:val="0"/>
                <w:iCs w:val="0"/>
                <w:color w:val="000000"/>
                <w:sz w:val="22"/>
                <w:szCs w:val="22"/>
                <w:u w:val="none"/>
              </w:rPr>
            </w:pPr>
          </w:p>
        </w:tc>
        <w:tc>
          <w:tcPr>
            <w:tcW w:w="2661" w:type="pct"/>
            <w:vMerge w:val="continue"/>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09136592">
            <w:pPr>
              <w:snapToGrid w:val="0"/>
              <w:ind w:left="0" w:leftChars="0" w:right="0" w:rightChars="0" w:firstLine="0" w:firstLineChars="0"/>
              <w:jc w:val="center"/>
              <w:rPr>
                <w:rFonts w:hint="eastAsia" w:ascii="宋体" w:hAnsi="宋体" w:eastAsia="宋体" w:cs="宋体"/>
                <w:b/>
                <w:bCs/>
                <w:i w:val="0"/>
                <w:iCs w:val="0"/>
                <w:color w:val="000000"/>
                <w:sz w:val="22"/>
                <w:szCs w:val="22"/>
                <w:u w:val="none"/>
              </w:rPr>
            </w:pPr>
          </w:p>
        </w:tc>
        <w:tc>
          <w:tcPr>
            <w:tcW w:w="259" w:type="pct"/>
            <w:vMerge w:val="continue"/>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667298AC">
            <w:pPr>
              <w:snapToGrid w:val="0"/>
              <w:ind w:left="0" w:leftChars="0" w:right="0" w:rightChars="0" w:firstLine="0" w:firstLineChars="0"/>
              <w:jc w:val="center"/>
              <w:rPr>
                <w:rFonts w:hint="eastAsia" w:ascii="宋体" w:hAnsi="宋体" w:eastAsia="宋体" w:cs="宋体"/>
                <w:b/>
                <w:bCs/>
                <w:i w:val="0"/>
                <w:iCs w:val="0"/>
                <w:color w:val="000000"/>
                <w:sz w:val="22"/>
                <w:szCs w:val="22"/>
                <w:u w:val="none"/>
              </w:rPr>
            </w:pPr>
          </w:p>
        </w:tc>
        <w:tc>
          <w:tcPr>
            <w:tcW w:w="289" w:type="pct"/>
            <w:vMerge w:val="continue"/>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5C395B8">
            <w:pPr>
              <w:snapToGrid w:val="0"/>
              <w:ind w:left="0" w:leftChars="0" w:right="0" w:rightChars="0" w:firstLine="0" w:firstLineChars="0"/>
              <w:jc w:val="center"/>
              <w:rPr>
                <w:rFonts w:hint="eastAsia" w:ascii="宋体" w:hAnsi="宋体" w:eastAsia="宋体" w:cs="宋体"/>
                <w:b/>
                <w:bCs/>
                <w:i w:val="0"/>
                <w:iCs w:val="0"/>
                <w:color w:val="000000"/>
                <w:sz w:val="22"/>
                <w:szCs w:val="22"/>
                <w:u w:val="none"/>
              </w:rPr>
            </w:pPr>
          </w:p>
        </w:tc>
        <w:tc>
          <w:tcPr>
            <w:tcW w:w="596" w:type="pct"/>
            <w:vMerge w:val="continue"/>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404FFD74">
            <w:pPr>
              <w:snapToGrid w:val="0"/>
              <w:ind w:left="0" w:leftChars="0" w:right="0" w:rightChars="0" w:firstLine="0" w:firstLineChars="0"/>
              <w:jc w:val="center"/>
              <w:rPr>
                <w:rFonts w:hint="eastAsia" w:ascii="宋体" w:hAnsi="宋体" w:eastAsia="宋体" w:cs="宋体"/>
                <w:b/>
                <w:bCs/>
                <w:i w:val="0"/>
                <w:iCs w:val="0"/>
                <w:color w:val="000000"/>
                <w:sz w:val="22"/>
                <w:szCs w:val="22"/>
                <w:u w:val="none"/>
              </w:rPr>
            </w:pPr>
          </w:p>
        </w:tc>
        <w:tc>
          <w:tcPr>
            <w:tcW w:w="589" w:type="pct"/>
            <w:vMerge w:val="continue"/>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062CD34A">
            <w:pPr>
              <w:snapToGrid w:val="0"/>
              <w:ind w:left="0" w:leftChars="0" w:right="0" w:rightChars="0" w:firstLine="0" w:firstLineChars="0"/>
              <w:jc w:val="center"/>
              <w:rPr>
                <w:rFonts w:hint="eastAsia" w:ascii="宋体" w:hAnsi="宋体" w:eastAsia="宋体" w:cs="宋体"/>
                <w:b/>
                <w:bCs/>
                <w:i w:val="0"/>
                <w:iCs w:val="0"/>
                <w:color w:val="000000"/>
                <w:sz w:val="22"/>
                <w:szCs w:val="22"/>
                <w:u w:val="none"/>
              </w:rPr>
            </w:pPr>
          </w:p>
        </w:tc>
      </w:tr>
      <w:tr w14:paraId="4560EE6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FFF" w:themeFill="background1"/>
          <w:tblCellMar>
            <w:top w:w="0" w:type="dxa"/>
            <w:left w:w="108" w:type="dxa"/>
            <w:bottom w:w="0" w:type="dxa"/>
            <w:right w:w="108" w:type="dxa"/>
          </w:tblCellMar>
        </w:tblPrEx>
        <w:trPr>
          <w:trHeight w:val="0" w:hRule="atLeast"/>
          <w:jc w:val="center"/>
        </w:trPr>
        <w:tc>
          <w:tcPr>
            <w:tcW w:w="259" w:type="pct"/>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49EA89B7">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w:t>
            </w:r>
          </w:p>
        </w:tc>
        <w:tc>
          <w:tcPr>
            <w:tcW w:w="343"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7ADECCA0">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室内全彩LED屏（小厅）</w:t>
            </w:r>
          </w:p>
        </w:tc>
        <w:tc>
          <w:tcPr>
            <w:tcW w:w="2661"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06112A1">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u w:val="none"/>
                <w:lang w:val="en-US" w:eastAsia="zh-CN" w:bidi="ar"/>
              </w:rPr>
            </w:pPr>
            <w:r>
              <w:rPr>
                <w:rFonts w:hint="eastAsia" w:ascii="宋体" w:hAnsi="宋体" w:eastAsia="宋体" w:cs="宋体"/>
                <w:i w:val="0"/>
                <w:iCs w:val="0"/>
                <w:color w:val="000000"/>
                <w:kern w:val="0"/>
                <w:sz w:val="18"/>
                <w:szCs w:val="18"/>
                <w:u w:val="none"/>
                <w:lang w:val="en-US" w:eastAsia="zh-CN" w:bidi="ar"/>
              </w:rPr>
              <w:t>(1)名称:全彩LED屏(含安装所需全部辅材及控制系统)</w:t>
            </w:r>
          </w:p>
          <w:p w14:paraId="5885F07B">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u w:val="none"/>
                <w:lang w:val="en-US" w:eastAsia="zh-CN" w:bidi="ar"/>
              </w:rPr>
            </w:pPr>
            <w:r>
              <w:rPr>
                <w:rFonts w:hint="eastAsia" w:ascii="宋体" w:hAnsi="宋体" w:eastAsia="宋体" w:cs="宋体"/>
                <w:i w:val="0"/>
                <w:iCs w:val="0"/>
                <w:color w:val="000000"/>
                <w:kern w:val="0"/>
                <w:sz w:val="18"/>
                <w:szCs w:val="18"/>
                <w:u w:val="none"/>
                <w:lang w:val="en-US" w:eastAsia="zh-CN" w:bidi="ar"/>
              </w:rPr>
              <w:t>(2)规格:3620*2020mm</w:t>
            </w:r>
          </w:p>
          <w:p w14:paraId="69EC5742">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u w:val="none"/>
                <w:lang w:val="en-US" w:eastAsia="zh-CN" w:bidi="ar"/>
              </w:rPr>
            </w:pPr>
            <w:r>
              <w:rPr>
                <w:rFonts w:hint="eastAsia" w:ascii="宋体" w:hAnsi="宋体" w:eastAsia="宋体" w:cs="宋体"/>
                <w:i w:val="0"/>
                <w:iCs w:val="0"/>
                <w:color w:val="000000"/>
                <w:kern w:val="0"/>
                <w:sz w:val="18"/>
                <w:szCs w:val="18"/>
                <w:u w:val="none"/>
                <w:lang w:val="en-US" w:eastAsia="zh-CN" w:bidi="ar"/>
              </w:rPr>
              <w:t>★1.点间距：≤2.5mm全彩，点密度：≥160000点/平米；</w:t>
            </w:r>
          </w:p>
          <w:p w14:paraId="1E44F7C0">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u w:val="none"/>
                <w:lang w:val="en-US" w:eastAsia="zh-CN" w:bidi="ar"/>
              </w:rPr>
            </w:pPr>
            <w:r>
              <w:rPr>
                <w:rFonts w:hint="eastAsia" w:ascii="宋体" w:hAnsi="宋体" w:eastAsia="宋体" w:cs="宋体"/>
                <w:i w:val="0"/>
                <w:iCs w:val="0"/>
                <w:color w:val="000000"/>
                <w:kern w:val="0"/>
                <w:sz w:val="18"/>
                <w:szCs w:val="18"/>
                <w:u w:val="none"/>
                <w:lang w:val="en-US" w:eastAsia="zh-CN" w:bidi="ar"/>
              </w:rPr>
              <w:t>2.模组尺寸：320mm*160mm；</w:t>
            </w:r>
          </w:p>
          <w:p w14:paraId="676271FB">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u w:val="none"/>
                <w:lang w:val="en-US" w:eastAsia="zh-CN" w:bidi="ar"/>
              </w:rPr>
            </w:pPr>
            <w:r>
              <w:rPr>
                <w:rFonts w:hint="eastAsia" w:ascii="宋体" w:hAnsi="宋体" w:eastAsia="宋体" w:cs="宋体"/>
                <w:i w:val="0"/>
                <w:iCs w:val="0"/>
                <w:color w:val="000000"/>
                <w:kern w:val="0"/>
                <w:sz w:val="18"/>
                <w:szCs w:val="18"/>
                <w:u w:val="none"/>
                <w:lang w:val="en-US" w:eastAsia="zh-CN" w:bidi="ar"/>
              </w:rPr>
              <w:t>3.管芯：故障率低、使用寿命长；</w:t>
            </w:r>
          </w:p>
          <w:p w14:paraId="66BED18B">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u w:val="none"/>
                <w:lang w:val="en-US" w:eastAsia="zh-CN" w:bidi="ar"/>
              </w:rPr>
            </w:pPr>
            <w:r>
              <w:rPr>
                <w:rFonts w:hint="eastAsia" w:ascii="宋体" w:hAnsi="宋体" w:eastAsia="宋体" w:cs="宋体"/>
                <w:i w:val="0"/>
                <w:iCs w:val="0"/>
                <w:color w:val="000000"/>
                <w:kern w:val="0"/>
                <w:sz w:val="18"/>
                <w:szCs w:val="18"/>
                <w:u w:val="none"/>
                <w:lang w:val="en-US" w:eastAsia="zh-CN" w:bidi="ar"/>
              </w:rPr>
              <w:t>4.亮度:≥450cd/㎡；</w:t>
            </w:r>
          </w:p>
          <w:p w14:paraId="3D8C7FB3">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u w:val="none"/>
                <w:lang w:val="en-US" w:eastAsia="zh-CN" w:bidi="ar"/>
              </w:rPr>
            </w:pPr>
            <w:r>
              <w:rPr>
                <w:rFonts w:hint="eastAsia" w:ascii="宋体" w:hAnsi="宋体" w:eastAsia="宋体" w:cs="宋体"/>
                <w:i w:val="0"/>
                <w:iCs w:val="0"/>
                <w:color w:val="000000"/>
                <w:kern w:val="0"/>
                <w:sz w:val="18"/>
                <w:szCs w:val="18"/>
                <w:u w:val="none"/>
                <w:lang w:val="en-US" w:eastAsia="zh-CN" w:bidi="ar"/>
              </w:rPr>
              <w:t>5.颜色深度:14bit；</w:t>
            </w:r>
          </w:p>
          <w:p w14:paraId="66FFF868">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u w:val="none"/>
                <w:lang w:val="en-US" w:eastAsia="zh-CN" w:bidi="ar"/>
              </w:rPr>
            </w:pPr>
            <w:r>
              <w:rPr>
                <w:rFonts w:hint="eastAsia" w:ascii="宋体" w:hAnsi="宋体" w:eastAsia="宋体" w:cs="宋体"/>
                <w:i w:val="0"/>
                <w:iCs w:val="0"/>
                <w:color w:val="000000"/>
                <w:kern w:val="0"/>
                <w:sz w:val="18"/>
                <w:szCs w:val="18"/>
                <w:u w:val="none"/>
                <w:lang w:val="en-US" w:eastAsia="zh-CN" w:bidi="ar"/>
              </w:rPr>
              <w:t>6.刷新频率：3840HZ；</w:t>
            </w:r>
          </w:p>
          <w:p w14:paraId="5AB3EF72">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u w:val="none"/>
                <w:lang w:val="en-US" w:eastAsia="zh-CN" w:bidi="ar"/>
              </w:rPr>
            </w:pPr>
            <w:r>
              <w:rPr>
                <w:rFonts w:hint="eastAsia" w:ascii="宋体" w:hAnsi="宋体" w:eastAsia="宋体" w:cs="宋体"/>
                <w:i w:val="0"/>
                <w:iCs w:val="0"/>
                <w:color w:val="000000"/>
                <w:kern w:val="0"/>
                <w:sz w:val="18"/>
                <w:szCs w:val="18"/>
                <w:u w:val="none"/>
                <w:lang w:val="en-US" w:eastAsia="zh-CN" w:bidi="ar"/>
              </w:rPr>
              <w:t>7.开关电源工作电压：DC4.5V；</w:t>
            </w:r>
          </w:p>
          <w:p w14:paraId="0CDBEE7B">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u w:val="none"/>
                <w:lang w:val="en-US" w:eastAsia="zh-CN" w:bidi="ar"/>
              </w:rPr>
            </w:pPr>
            <w:r>
              <w:rPr>
                <w:rFonts w:hint="eastAsia" w:ascii="宋体" w:hAnsi="宋体" w:eastAsia="宋体" w:cs="宋体"/>
                <w:i w:val="0"/>
                <w:iCs w:val="0"/>
                <w:color w:val="000000"/>
                <w:kern w:val="0"/>
                <w:sz w:val="18"/>
                <w:szCs w:val="18"/>
                <w:u w:val="none"/>
                <w:lang w:val="en-US" w:eastAsia="zh-CN" w:bidi="ar"/>
              </w:rPr>
              <w:t>8.模组视角：水平视角140度，垂直视角130度；</w:t>
            </w:r>
          </w:p>
          <w:p w14:paraId="672206CA">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u w:val="none"/>
                <w:lang w:val="en-US" w:eastAsia="zh-CN" w:bidi="ar"/>
              </w:rPr>
            </w:pPr>
            <w:r>
              <w:rPr>
                <w:rFonts w:hint="eastAsia" w:ascii="宋体" w:hAnsi="宋体" w:eastAsia="宋体" w:cs="宋体"/>
                <w:i w:val="0"/>
                <w:iCs w:val="0"/>
                <w:color w:val="000000"/>
                <w:kern w:val="0"/>
                <w:sz w:val="18"/>
                <w:szCs w:val="18"/>
                <w:u w:val="none"/>
                <w:lang w:val="en-US" w:eastAsia="zh-CN" w:bidi="ar"/>
              </w:rPr>
              <w:t>▲9.最大功率：≤457W/㎡，视频功率：≤160W/㎡。控制方式计算机控制，逐点一一对应，视频同步，实时显示，亮度调节手动/自动可调，使用寿命≥10万小时，平均无故障时间≥1万小时，衰减率≤15%，连续失控点0，离散失控点＜0.0001，出厂时为0，盲点率＜0.0003，出厂时为0，工作温度范围-20℃ 至40℃，工作温度范围10%至65%RH，防护性能超温/过载/掉电/图像补偿/各种校正技术/过流/过压/防雷（可选项）屏幕水平平整度 ＜1mm/㎡，屏幕垂直平整度 ＜1mm/㎡</w:t>
            </w:r>
          </w:p>
          <w:p w14:paraId="205808E9">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u w:val="none"/>
                <w:lang w:val="en-US" w:eastAsia="zh-CN" w:bidi="ar"/>
              </w:rPr>
            </w:pPr>
            <w:r>
              <w:rPr>
                <w:rFonts w:hint="eastAsia" w:ascii="宋体" w:hAnsi="宋体" w:eastAsia="宋体" w:cs="宋体"/>
                <w:i w:val="0"/>
                <w:iCs w:val="0"/>
                <w:color w:val="000000"/>
                <w:kern w:val="0"/>
                <w:sz w:val="18"/>
                <w:szCs w:val="18"/>
                <w:u w:val="none"/>
                <w:lang w:val="en-US" w:eastAsia="zh-CN" w:bidi="ar"/>
              </w:rPr>
              <w:t>(3)辅材及控制系统：视频处理器最大带载：130万点最宽：8192，最高：4096画面数量：1，输入：HDMI*1，USB*1</w:t>
            </w:r>
          </w:p>
          <w:p w14:paraId="493AC307">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u w:val="none"/>
                <w:lang w:val="en-US" w:eastAsia="zh-CN" w:bidi="ar"/>
              </w:rPr>
            </w:pPr>
            <w:r>
              <w:rPr>
                <w:rFonts w:hint="eastAsia" w:ascii="宋体" w:hAnsi="宋体" w:eastAsia="宋体" w:cs="宋体"/>
                <w:i w:val="0"/>
                <w:iCs w:val="0"/>
                <w:color w:val="000000"/>
                <w:kern w:val="0"/>
                <w:sz w:val="18"/>
                <w:szCs w:val="18"/>
                <w:u w:val="none"/>
                <w:lang w:val="en-US" w:eastAsia="zh-CN" w:bidi="ar"/>
              </w:rPr>
              <w:t>输出：网口*2，音频*1，1.标准 1U 机箱，方便机柜安装；</w:t>
            </w:r>
          </w:p>
          <w:p w14:paraId="787A60E9">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u w:val="none"/>
                <w:lang w:val="en-US" w:eastAsia="zh-CN" w:bidi="ar"/>
              </w:rPr>
            </w:pPr>
            <w:r>
              <w:rPr>
                <w:rFonts w:hint="eastAsia" w:ascii="宋体" w:hAnsi="宋体" w:eastAsia="宋体" w:cs="宋体"/>
                <w:i w:val="0"/>
                <w:iCs w:val="0"/>
                <w:color w:val="000000"/>
                <w:kern w:val="0"/>
                <w:sz w:val="18"/>
                <w:szCs w:val="18"/>
                <w:u w:val="none"/>
                <w:lang w:val="en-US" w:eastAsia="zh-CN" w:bidi="ar"/>
              </w:rPr>
              <w:t>2.支持多路信号输入：HDMI，USB接口；</w:t>
            </w:r>
          </w:p>
          <w:p w14:paraId="66D8C2FE">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u w:val="none"/>
                <w:lang w:val="en-US" w:eastAsia="zh-CN" w:bidi="ar"/>
              </w:rPr>
            </w:pPr>
            <w:r>
              <w:rPr>
                <w:rFonts w:hint="eastAsia" w:ascii="宋体" w:hAnsi="宋体" w:eastAsia="宋体" w:cs="宋体"/>
                <w:i w:val="0"/>
                <w:iCs w:val="0"/>
                <w:color w:val="000000"/>
                <w:kern w:val="0"/>
                <w:sz w:val="18"/>
                <w:szCs w:val="18"/>
                <w:u w:val="none"/>
                <w:lang w:val="en-US" w:eastAsia="zh-CN" w:bidi="ar"/>
              </w:rPr>
              <w:t>3.支持音视频同步输入；</w:t>
            </w:r>
          </w:p>
          <w:p w14:paraId="4E2CD100">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u w:val="none"/>
                <w:lang w:val="en-US" w:eastAsia="zh-CN" w:bidi="ar"/>
              </w:rPr>
            </w:pPr>
            <w:r>
              <w:rPr>
                <w:rFonts w:hint="eastAsia" w:ascii="宋体" w:hAnsi="宋体" w:eastAsia="宋体" w:cs="宋体"/>
                <w:i w:val="0"/>
                <w:iCs w:val="0"/>
                <w:color w:val="000000"/>
                <w:kern w:val="0"/>
                <w:sz w:val="18"/>
                <w:szCs w:val="18"/>
                <w:u w:val="none"/>
                <w:lang w:val="en-US" w:eastAsia="zh-CN" w:bidi="ar"/>
              </w:rPr>
              <w:t>4.支持以下输出信号接口：LAN(RJ45)×2（带网口连接状态指示），整机最大支持分辨率为130万像素，支持自定义分辨率，最宽8192像素，最高4096像素；Audio音频（PJ35）×1；</w:t>
            </w:r>
          </w:p>
          <w:p w14:paraId="7828F5A3">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u w:val="none"/>
                <w:lang w:val="en-US" w:eastAsia="zh-CN" w:bidi="ar"/>
              </w:rPr>
            </w:pPr>
            <w:r>
              <w:rPr>
                <w:rFonts w:hint="eastAsia" w:ascii="宋体" w:hAnsi="宋体" w:eastAsia="宋体" w:cs="宋体"/>
                <w:i w:val="0"/>
                <w:iCs w:val="0"/>
                <w:color w:val="000000"/>
                <w:kern w:val="0"/>
                <w:sz w:val="18"/>
                <w:szCs w:val="18"/>
                <w:u w:val="none"/>
                <w:lang w:val="en-US" w:eastAsia="zh-CN" w:bidi="ar"/>
              </w:rPr>
              <w:t>5.自带U盘播放功能：直接插上U盘，自动播放U盘的视频或图片；</w:t>
            </w:r>
          </w:p>
          <w:p w14:paraId="57535C32">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u w:val="none"/>
                <w:lang w:val="en-US" w:eastAsia="zh-CN" w:bidi="ar"/>
              </w:rPr>
            </w:pPr>
            <w:r>
              <w:rPr>
                <w:rFonts w:hint="eastAsia" w:ascii="宋体" w:hAnsi="宋体" w:eastAsia="宋体" w:cs="宋体"/>
                <w:i w:val="0"/>
                <w:iCs w:val="0"/>
                <w:color w:val="000000"/>
                <w:kern w:val="0"/>
                <w:sz w:val="18"/>
                <w:szCs w:val="18"/>
                <w:u w:val="none"/>
                <w:lang w:val="en-US" w:eastAsia="zh-CN" w:bidi="ar"/>
              </w:rPr>
              <w:t>5.支持图像亮度调节、对比度、饱和度、色温调节；</w:t>
            </w:r>
          </w:p>
          <w:p w14:paraId="30CBA6BA">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u w:val="none"/>
                <w:lang w:val="en-US" w:eastAsia="zh-CN" w:bidi="ar"/>
              </w:rPr>
            </w:pPr>
            <w:r>
              <w:rPr>
                <w:rFonts w:hint="eastAsia" w:ascii="宋体" w:hAnsi="宋体" w:eastAsia="宋体" w:cs="宋体"/>
                <w:i w:val="0"/>
                <w:iCs w:val="0"/>
                <w:color w:val="000000"/>
                <w:kern w:val="0"/>
                <w:sz w:val="18"/>
                <w:szCs w:val="18"/>
                <w:u w:val="none"/>
                <w:lang w:val="en-US" w:eastAsia="zh-CN" w:bidi="ar"/>
              </w:rPr>
              <w:t>6.支持EDID配置管理：支持EDID（Extended Display Identification Data，扩展显示识别数据）的读取、修改、自定义；</w:t>
            </w:r>
          </w:p>
          <w:p w14:paraId="4CAF2E82">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u w:val="none"/>
                <w:lang w:val="en-US" w:eastAsia="zh-CN" w:bidi="ar"/>
              </w:rPr>
            </w:pPr>
            <w:r>
              <w:rPr>
                <w:rFonts w:hint="eastAsia" w:ascii="宋体" w:hAnsi="宋体" w:eastAsia="宋体" w:cs="宋体"/>
                <w:i w:val="0"/>
                <w:iCs w:val="0"/>
                <w:color w:val="000000"/>
                <w:kern w:val="0"/>
                <w:sz w:val="18"/>
                <w:szCs w:val="18"/>
                <w:u w:val="none"/>
                <w:lang w:val="en-US" w:eastAsia="zh-CN" w:bidi="ar"/>
              </w:rPr>
              <w:t>7.支持Super Resolution放大技术：视频补偿处理算法。画面缩小无尺寸限制，并保留图像细节，减轻画面放大多倍后产生的失焦现象；</w:t>
            </w:r>
          </w:p>
          <w:p w14:paraId="62FD82AA">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u w:val="none"/>
                <w:lang w:val="en-US" w:eastAsia="zh-CN" w:bidi="ar"/>
              </w:rPr>
            </w:pPr>
            <w:r>
              <w:rPr>
                <w:rFonts w:hint="eastAsia" w:ascii="宋体" w:hAnsi="宋体" w:eastAsia="宋体" w:cs="宋体"/>
                <w:i w:val="0"/>
                <w:iCs w:val="0"/>
                <w:color w:val="000000"/>
                <w:kern w:val="0"/>
                <w:sz w:val="18"/>
                <w:szCs w:val="18"/>
                <w:u w:val="none"/>
                <w:lang w:val="en-US" w:eastAsia="zh-CN" w:bidi="ar"/>
              </w:rPr>
              <w:t>8.支持去黑边/剪裁功能：解决输入信号产生的黑边问题，针对任意信号源做任意裁剪（依旧保持满屏状态）；</w:t>
            </w:r>
          </w:p>
          <w:p w14:paraId="5BF42D28">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u w:val="none"/>
                <w:lang w:val="en-US" w:eastAsia="zh-CN" w:bidi="ar"/>
              </w:rPr>
            </w:pPr>
            <w:r>
              <w:rPr>
                <w:rFonts w:hint="eastAsia" w:ascii="宋体" w:hAnsi="宋体" w:eastAsia="宋体" w:cs="宋体"/>
                <w:i w:val="0"/>
                <w:iCs w:val="0"/>
                <w:color w:val="000000"/>
                <w:kern w:val="0"/>
                <w:sz w:val="18"/>
                <w:szCs w:val="18"/>
                <w:u w:val="none"/>
                <w:lang w:val="en-US" w:eastAsia="zh-CN" w:bidi="ar"/>
              </w:rPr>
              <w:t>9.支持通道保护：对设备输入、输出I/O接口进行保护 ，支持U盘播放</w:t>
            </w:r>
          </w:p>
          <w:p w14:paraId="33D2C88F">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无液晶面板</w:t>
            </w:r>
          </w:p>
        </w:tc>
        <w:tc>
          <w:tcPr>
            <w:tcW w:w="25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45E4B38D">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台</w:t>
            </w:r>
          </w:p>
        </w:tc>
        <w:tc>
          <w:tcPr>
            <w:tcW w:w="289" w:type="pct"/>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402D01F4">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6</w:t>
            </w:r>
          </w:p>
        </w:tc>
        <w:tc>
          <w:tcPr>
            <w:tcW w:w="596" w:type="pct"/>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7FB2C771">
            <w:pPr>
              <w:keepNext w:val="0"/>
              <w:keepLines w:val="0"/>
              <w:widowControl/>
              <w:suppressLineNumbers w:val="0"/>
              <w:snapToGrid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20"/>
                <w:u w:val="none"/>
              </w:rPr>
            </w:pPr>
            <w:r>
              <w:rPr>
                <w:rFonts w:hint="eastAsia" w:ascii="宋体" w:hAnsi="宋体" w:eastAsia="宋体" w:cs="宋体"/>
                <w:i w:val="0"/>
                <w:iCs w:val="0"/>
                <w:color w:val="000000"/>
                <w:kern w:val="0"/>
                <w:sz w:val="18"/>
                <w:szCs w:val="20"/>
                <w:u w:val="none"/>
                <w:lang w:val="en-US" w:eastAsia="zh-CN" w:bidi="ar"/>
              </w:rPr>
              <w:t xml:space="preserve">37874.53 </w:t>
            </w:r>
          </w:p>
        </w:tc>
        <w:tc>
          <w:tcPr>
            <w:tcW w:w="589" w:type="pct"/>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2CDC8268">
            <w:pPr>
              <w:keepNext w:val="0"/>
              <w:keepLines w:val="0"/>
              <w:widowControl/>
              <w:suppressLineNumbers w:val="0"/>
              <w:snapToGrid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 xml:space="preserve">227247.20 </w:t>
            </w:r>
          </w:p>
        </w:tc>
      </w:tr>
      <w:tr w14:paraId="5F9B891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FFF" w:themeFill="background1"/>
          <w:tblCellMar>
            <w:top w:w="0" w:type="dxa"/>
            <w:left w:w="108" w:type="dxa"/>
            <w:bottom w:w="0" w:type="dxa"/>
            <w:right w:w="108" w:type="dxa"/>
          </w:tblCellMar>
        </w:tblPrEx>
        <w:trPr>
          <w:trHeight w:val="0" w:hRule="atLeast"/>
          <w:jc w:val="center"/>
        </w:trPr>
        <w:tc>
          <w:tcPr>
            <w:tcW w:w="259" w:type="pct"/>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478A87D">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w:t>
            </w:r>
          </w:p>
        </w:tc>
        <w:tc>
          <w:tcPr>
            <w:tcW w:w="343"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EDFA012">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室内全彩LED屏（中厅）</w:t>
            </w:r>
          </w:p>
        </w:tc>
        <w:tc>
          <w:tcPr>
            <w:tcW w:w="2661"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318A3E5F">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(1)名称:全彩LED屏(含安装所需全部辅材及控制系统)</w:t>
            </w:r>
          </w:p>
          <w:p w14:paraId="2F7F990B">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(2)规格:5220*2980mm</w:t>
            </w:r>
          </w:p>
          <w:p w14:paraId="73E2C4A6">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★1.点间距：≤2.5mm全彩，点密度：≥160000点/平米；</w:t>
            </w:r>
          </w:p>
          <w:p w14:paraId="102CB491">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2.模组尺寸：320mm*160mm；</w:t>
            </w:r>
          </w:p>
          <w:p w14:paraId="198673E3">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3.管芯：故障率低、使用寿命长；</w:t>
            </w:r>
          </w:p>
          <w:p w14:paraId="3344BEB8">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4.亮度:≥450cd/㎡；</w:t>
            </w:r>
          </w:p>
          <w:p w14:paraId="3D9F8388">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5.颜色深度:14bit；</w:t>
            </w:r>
          </w:p>
          <w:p w14:paraId="1FA33351">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6.刷新频率：3840HZ；</w:t>
            </w:r>
          </w:p>
          <w:p w14:paraId="1F40FB17">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7.开关电源工作电压：DC4.5V；</w:t>
            </w:r>
          </w:p>
          <w:p w14:paraId="0EEAA501">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8.模组视角：水平视角140度，垂直视角130度；</w:t>
            </w:r>
          </w:p>
          <w:p w14:paraId="7414501C">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9.最大功率：≤457W/㎡，视频功率：≤160W/㎡。控制方式计算机控制，逐点一一对应，视频同步，实时显示，亮度调节手动/自动可调，使用寿命≥10万小时，平均无故障时间≥1万小时，衰减率≤15%，连续失控点0，离散失控点＜0.0001，出厂时为0，盲点率＜0.0003，出厂时为0，工作温度范围-20℃ 至40℃，工作温度范围10%至65%RH，防护性能超温/过载/掉电/图像补偿/各种校正技术/过流/过压/防雷（可选项）屏幕水平平整度 ＜1mm/㎡，屏幕垂直平整度 ＜1mm/㎡</w:t>
            </w:r>
          </w:p>
          <w:p w14:paraId="45333741">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(3)辅材及控制系统：视频处理器最大带载：260万点最宽：8192，最高：2160画面数量：1，输入:HDMI*1,DVI*1，VGA*1，CVBS*2，USB*1，音频*2输出:网口*4，音频*1，1.支持多路信号输入：HDMI，DVI，VGA，CVBS*2，音频*2；</w:t>
            </w:r>
          </w:p>
          <w:p w14:paraId="6FEB8B08">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2.支持音视频同步输入：支持音视频同步输入：除HDMI音频外，可以外接两路针对DVI\VGA视频通道的音频输入（PJ3.5）；</w:t>
            </w:r>
          </w:p>
          <w:p w14:paraId="741219C9">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3.支持以下输出信号接口：LAN(RJ45)×4（带网口连接状态指示），整机最大支持分辨率为260万像素，支持自定义分辨率，最宽8192像素，最高2160像素；单网口宽度最大2048，高度最大1920；Audio音频（PJ35）×1；</w:t>
            </w:r>
          </w:p>
          <w:p w14:paraId="28202F07">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4.支持切换特效：信号源通道与通道之间均支持淡入淡出/直切的切换特效；</w:t>
            </w:r>
          </w:p>
          <w:p w14:paraId="6A7F2A06">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5.支持图像亮度调节、对比度、清晰度、色度调节；</w:t>
            </w:r>
          </w:p>
          <w:p w14:paraId="5A386F40">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6.支持EDID配置管理：支持EDID（Extended Display Identification Data，扩展显示识别数据）的读取、修改、自定义；</w:t>
            </w:r>
          </w:p>
          <w:p w14:paraId="7888121D">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7.支持VGA校正功能：解决模拟信号在传输过程中容易产生的黑边、偏移问题；</w:t>
            </w:r>
          </w:p>
          <w:p w14:paraId="06167D82">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8.支持Super Resolution放大技术：视频补偿处理算法。画面缩小无尺寸限制，并保留图像细节</w:t>
            </w:r>
          </w:p>
        </w:tc>
        <w:tc>
          <w:tcPr>
            <w:tcW w:w="25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491E3DDB">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289" w:type="pct"/>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737F4591">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4</w:t>
            </w:r>
          </w:p>
        </w:tc>
        <w:tc>
          <w:tcPr>
            <w:tcW w:w="596" w:type="pct"/>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446B0FAC">
            <w:pPr>
              <w:keepNext w:val="0"/>
              <w:keepLines w:val="0"/>
              <w:widowControl/>
              <w:suppressLineNumbers w:val="0"/>
              <w:snapToGrid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20"/>
                <w:highlight w:val="none"/>
                <w:u w:val="none"/>
              </w:rPr>
            </w:pPr>
            <w:r>
              <w:rPr>
                <w:rFonts w:hint="eastAsia" w:ascii="宋体" w:hAnsi="宋体" w:eastAsia="宋体" w:cs="宋体"/>
                <w:i w:val="0"/>
                <w:iCs w:val="0"/>
                <w:color w:val="000000"/>
                <w:kern w:val="0"/>
                <w:sz w:val="18"/>
                <w:szCs w:val="20"/>
                <w:highlight w:val="none"/>
                <w:u w:val="none"/>
                <w:lang w:val="en-US" w:eastAsia="zh-CN" w:bidi="ar"/>
              </w:rPr>
              <w:t xml:space="preserve">79531.63 </w:t>
            </w:r>
          </w:p>
        </w:tc>
        <w:tc>
          <w:tcPr>
            <w:tcW w:w="589" w:type="pct"/>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1135392C">
            <w:pPr>
              <w:keepNext w:val="0"/>
              <w:keepLines w:val="0"/>
              <w:widowControl/>
              <w:suppressLineNumbers w:val="0"/>
              <w:snapToGrid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318126.54 </w:t>
            </w:r>
          </w:p>
        </w:tc>
      </w:tr>
      <w:tr w14:paraId="10D0AF1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FFF" w:themeFill="background1"/>
          <w:tblCellMar>
            <w:top w:w="0" w:type="dxa"/>
            <w:left w:w="108" w:type="dxa"/>
            <w:bottom w:w="0" w:type="dxa"/>
            <w:right w:w="108" w:type="dxa"/>
          </w:tblCellMar>
        </w:tblPrEx>
        <w:trPr>
          <w:trHeight w:val="0" w:hRule="atLeast"/>
          <w:jc w:val="center"/>
        </w:trPr>
        <w:tc>
          <w:tcPr>
            <w:tcW w:w="259" w:type="pct"/>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67541A85">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3</w:t>
            </w:r>
          </w:p>
        </w:tc>
        <w:tc>
          <w:tcPr>
            <w:tcW w:w="343"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45F618CD">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室内全彩LED屏（大厅）</w:t>
            </w:r>
          </w:p>
        </w:tc>
        <w:tc>
          <w:tcPr>
            <w:tcW w:w="2661"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3CF429C1">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(1)名称:全彩LED屏(含安装所需全部辅材及控制系统)</w:t>
            </w:r>
          </w:p>
          <w:p w14:paraId="787A7A0A">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(2)规格:5860*3300mm</w:t>
            </w:r>
          </w:p>
          <w:p w14:paraId="3BCB532D">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★1.点间距：≤2.5mm全彩，点密度：≥160000点/平米；</w:t>
            </w:r>
          </w:p>
          <w:p w14:paraId="7A68B775">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2.模组尺寸：320mm*160mm；</w:t>
            </w:r>
          </w:p>
          <w:p w14:paraId="20C9C62E">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3.管芯：故障率低、使用寿命长；</w:t>
            </w:r>
          </w:p>
          <w:p w14:paraId="6C1782AC">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4.亮度:≥450cd/㎡；</w:t>
            </w:r>
          </w:p>
          <w:p w14:paraId="64460866">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5.颜色深度:14bit；</w:t>
            </w:r>
          </w:p>
          <w:p w14:paraId="05D19666">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6.刷新频率：3840HZ；</w:t>
            </w:r>
          </w:p>
          <w:p w14:paraId="7EE711F3">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7.开关电源工作电压：DC4.5V；</w:t>
            </w:r>
          </w:p>
          <w:p w14:paraId="0559A8EE">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8.模组视角：水平视角140度，垂直视角130度；</w:t>
            </w:r>
          </w:p>
          <w:p w14:paraId="0E1F74D9">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9.最大功率：≤457W/㎡，视频功率：≤160W/㎡。控制方式计算机控制，逐点一一对应，视频同步，实时显示，亮度调节手动/自动可调，使用寿命≥10万小时，平均无故障时间≥1万小时，衰减率≤15%，连续失控点0，离散失控点＜0.0001，出厂时为0，盲点率＜0.0003，出厂时为0，工作温度范围-20℃ 至40℃，工作温度范围10%至65%RH，防护性能超温/过载/掉电/图像补偿/各种校正技术/过流/过压/防雷（可选项）屏幕水平平整度 ＜1mm/㎡，屏幕垂直平整度 ＜1mm/㎡</w:t>
            </w:r>
          </w:p>
          <w:p w14:paraId="39EFF4B1">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(3)辅材及控制系统：视频处理器最大带载：390万点，最宽：16384,最高：4096</w:t>
            </w:r>
          </w:p>
          <w:p w14:paraId="255A7FBD">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 xml:space="preserve">画面数量：1，输入:HDMI*3，USB*1 </w:t>
            </w:r>
          </w:p>
          <w:p w14:paraId="022DDC5B">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输出:网口*6，音频*1，1.支持多路信号输入：3路 HDMI，1路 U盘；</w:t>
            </w:r>
          </w:p>
          <w:p w14:paraId="758F12CE">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2.输入分辨率：最大 4096*2160@30Hz 像素，支持任意分辨率设置；</w:t>
            </w:r>
          </w:p>
          <w:p w14:paraId="0A200130">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3.支持音视频同步输入：支持音视频同步输入；</w:t>
            </w:r>
          </w:p>
          <w:p w14:paraId="6107D3F2">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4.支持以下输出信号接口：LAN(RJ45)×6（带网口连接状态指示），整机最大支持分辨率为390万像素，支持自定义分辨率，最宽16384像素，最高4096像素；Audio音频（PJ35）×1；</w:t>
            </w:r>
          </w:p>
          <w:p w14:paraId="1FC3B545">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5.自带U盘播放功能：直接插上U盘，自动播放U盘的视频或图片；</w:t>
            </w:r>
          </w:p>
          <w:p w14:paraId="46717BDE">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 xml:space="preserve">6.支持视频源任意切换，可根据显示屏分辨率对输入图像进行缩放； </w:t>
            </w:r>
          </w:p>
          <w:p w14:paraId="0369701D">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7.支持音频输入输出；</w:t>
            </w:r>
          </w:p>
          <w:p w14:paraId="6D591E7C">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8.支持图像亮度调节、对比度、饱和度、色温调节；</w:t>
            </w:r>
          </w:p>
          <w:p w14:paraId="5A666F9E">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9.支持自定义分辨率；</w:t>
            </w:r>
          </w:p>
          <w:p w14:paraId="59085C1B">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10.支持LED屏幕测试：黑屏、蓝屏、红屏等任意显示切换；</w:t>
            </w:r>
          </w:p>
          <w:p w14:paraId="6394E6A0">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11.支持场景调用与保存；</w:t>
            </w:r>
          </w:p>
          <w:p w14:paraId="44124444">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12.支持标准网口中控对接；</w:t>
            </w:r>
          </w:p>
          <w:p w14:paraId="2685D3AB">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13.支持在线系统升级：</w:t>
            </w:r>
          </w:p>
          <w:p w14:paraId="656633F1">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14.支持热备份：同一组的两个网口热备份和多卡热备份；</w:t>
            </w:r>
          </w:p>
          <w:p w14:paraId="53B54A98">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15.支持中航全系列接收卡、多功能 </w:t>
            </w:r>
          </w:p>
        </w:tc>
        <w:tc>
          <w:tcPr>
            <w:tcW w:w="25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7AA313EE">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289" w:type="pct"/>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19966910">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596" w:type="pct"/>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5B1A8C83">
            <w:pPr>
              <w:keepNext w:val="0"/>
              <w:keepLines w:val="0"/>
              <w:widowControl/>
              <w:suppressLineNumbers w:val="0"/>
              <w:snapToGrid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20"/>
                <w:highlight w:val="none"/>
                <w:u w:val="none"/>
              </w:rPr>
            </w:pPr>
            <w:r>
              <w:rPr>
                <w:rFonts w:hint="eastAsia" w:ascii="宋体" w:hAnsi="宋体" w:eastAsia="宋体" w:cs="宋体"/>
                <w:i w:val="0"/>
                <w:iCs w:val="0"/>
                <w:color w:val="000000"/>
                <w:kern w:val="0"/>
                <w:sz w:val="18"/>
                <w:szCs w:val="20"/>
                <w:highlight w:val="none"/>
                <w:u w:val="none"/>
                <w:lang w:val="en-US" w:eastAsia="zh-CN" w:bidi="ar"/>
              </w:rPr>
              <w:t xml:space="preserve">97111.31 </w:t>
            </w:r>
          </w:p>
        </w:tc>
        <w:tc>
          <w:tcPr>
            <w:tcW w:w="589" w:type="pct"/>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452052F6">
            <w:pPr>
              <w:keepNext w:val="0"/>
              <w:keepLines w:val="0"/>
              <w:widowControl/>
              <w:suppressLineNumbers w:val="0"/>
              <w:snapToGrid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97111.31 </w:t>
            </w:r>
          </w:p>
        </w:tc>
      </w:tr>
      <w:tr w14:paraId="1EF5130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FFF" w:themeFill="background1"/>
          <w:tblCellMar>
            <w:top w:w="0" w:type="dxa"/>
            <w:left w:w="108" w:type="dxa"/>
            <w:bottom w:w="0" w:type="dxa"/>
            <w:right w:w="108" w:type="dxa"/>
          </w:tblCellMar>
        </w:tblPrEx>
        <w:trPr>
          <w:trHeight w:val="0" w:hRule="atLeast"/>
          <w:jc w:val="center"/>
        </w:trPr>
        <w:tc>
          <w:tcPr>
            <w:tcW w:w="259" w:type="pct"/>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2A84BEBD">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4</w:t>
            </w:r>
          </w:p>
        </w:tc>
        <w:tc>
          <w:tcPr>
            <w:tcW w:w="343"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105252E9">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大厅横屏P10户外单白LED屏</w:t>
            </w:r>
          </w:p>
        </w:tc>
        <w:tc>
          <w:tcPr>
            <w:tcW w:w="2661"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0D32D38F">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(1)名称:P10户外单白LED横屏</w:t>
            </w:r>
          </w:p>
          <w:p w14:paraId="2E974692">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(2)规格:11610*570mm</w:t>
            </w:r>
          </w:p>
          <w:p w14:paraId="5CFC25A0">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(3)单元板：P10户外单白表贴</w:t>
            </w:r>
          </w:p>
          <w:p w14:paraId="70609F90">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(4)电源：5V40A200W</w:t>
            </w:r>
          </w:p>
          <w:p w14:paraId="1E0DB7CF">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(5)模组尺寸：320*160；模组分辨率（点）：32*16；贴片方式：贴片灯；像素点间距：10mm   基色：白色  ；一托四单元板包含排线，电源线，磁柱；标准防水箱体；单元板接口：HUB12</w:t>
            </w:r>
          </w:p>
        </w:tc>
        <w:tc>
          <w:tcPr>
            <w:tcW w:w="25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18806BBE">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289" w:type="pct"/>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43A141C4">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596" w:type="pct"/>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6FD41E38">
            <w:pPr>
              <w:keepNext w:val="0"/>
              <w:keepLines w:val="0"/>
              <w:widowControl/>
              <w:suppressLineNumbers w:val="0"/>
              <w:snapToGrid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20"/>
                <w:highlight w:val="none"/>
                <w:u w:val="none"/>
              </w:rPr>
            </w:pPr>
            <w:r>
              <w:rPr>
                <w:rFonts w:hint="eastAsia" w:ascii="宋体" w:hAnsi="宋体" w:eastAsia="宋体" w:cs="宋体"/>
                <w:i w:val="0"/>
                <w:iCs w:val="0"/>
                <w:color w:val="000000"/>
                <w:kern w:val="0"/>
                <w:sz w:val="18"/>
                <w:szCs w:val="20"/>
                <w:highlight w:val="none"/>
                <w:u w:val="none"/>
                <w:lang w:val="en-US" w:eastAsia="zh-CN" w:bidi="ar"/>
              </w:rPr>
              <w:t xml:space="preserve">10849.47 </w:t>
            </w:r>
          </w:p>
        </w:tc>
        <w:tc>
          <w:tcPr>
            <w:tcW w:w="589" w:type="pct"/>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6FE3AC76">
            <w:pPr>
              <w:keepNext w:val="0"/>
              <w:keepLines w:val="0"/>
              <w:widowControl/>
              <w:suppressLineNumbers w:val="0"/>
              <w:snapToGrid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10849.47 </w:t>
            </w:r>
          </w:p>
        </w:tc>
      </w:tr>
      <w:tr w14:paraId="31E749E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FFF" w:themeFill="background1"/>
          <w:tblCellMar>
            <w:top w:w="0" w:type="dxa"/>
            <w:left w:w="108" w:type="dxa"/>
            <w:bottom w:w="0" w:type="dxa"/>
            <w:right w:w="108" w:type="dxa"/>
          </w:tblCellMar>
        </w:tblPrEx>
        <w:trPr>
          <w:trHeight w:val="0" w:hRule="atLeast"/>
          <w:jc w:val="center"/>
        </w:trPr>
        <w:tc>
          <w:tcPr>
            <w:tcW w:w="259" w:type="pct"/>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0EA4A914">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5</w:t>
            </w:r>
          </w:p>
        </w:tc>
        <w:tc>
          <w:tcPr>
            <w:tcW w:w="343"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6AD9C535">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大厅竖屏P10户外单白/红LED屏</w:t>
            </w:r>
          </w:p>
        </w:tc>
        <w:tc>
          <w:tcPr>
            <w:tcW w:w="2661"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BEB56D8">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(1)名称:P10户外单白/红LED竖屏</w:t>
            </w:r>
          </w:p>
          <w:p w14:paraId="7B79AAB7">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(2)规格:2650*410mm</w:t>
            </w:r>
          </w:p>
          <w:p w14:paraId="61335130">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(3)单元板：P10户外单白表贴</w:t>
            </w:r>
          </w:p>
          <w:p w14:paraId="425B065D">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(4)电源：5V40A200W</w:t>
            </w:r>
          </w:p>
          <w:p w14:paraId="56A3D750">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(5)模组尺寸：320*160；模组分辨率（点）：32*16；贴片方式：贴片灯；像素点间距：10mm   基色：白色  ；一托四单元板包含排线，电源线，磁柱；标准防水箱体；单元板接口：HUB12</w:t>
            </w:r>
          </w:p>
        </w:tc>
        <w:tc>
          <w:tcPr>
            <w:tcW w:w="25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131B591">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289" w:type="pct"/>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21A0D486">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w:t>
            </w:r>
          </w:p>
        </w:tc>
        <w:tc>
          <w:tcPr>
            <w:tcW w:w="596" w:type="pct"/>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14B4D983">
            <w:pPr>
              <w:keepNext w:val="0"/>
              <w:keepLines w:val="0"/>
              <w:widowControl/>
              <w:suppressLineNumbers w:val="0"/>
              <w:snapToGrid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20"/>
                <w:highlight w:val="none"/>
                <w:u w:val="none"/>
              </w:rPr>
            </w:pPr>
            <w:r>
              <w:rPr>
                <w:rFonts w:hint="eastAsia" w:ascii="宋体" w:hAnsi="宋体" w:eastAsia="宋体" w:cs="宋体"/>
                <w:i w:val="0"/>
                <w:iCs w:val="0"/>
                <w:color w:val="000000"/>
                <w:kern w:val="0"/>
                <w:sz w:val="18"/>
                <w:szCs w:val="20"/>
                <w:highlight w:val="none"/>
                <w:u w:val="none"/>
                <w:lang w:val="en-US" w:eastAsia="zh-CN" w:bidi="ar"/>
              </w:rPr>
              <w:t xml:space="preserve">1781.27 </w:t>
            </w:r>
          </w:p>
        </w:tc>
        <w:tc>
          <w:tcPr>
            <w:tcW w:w="589" w:type="pct"/>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24121239">
            <w:pPr>
              <w:keepNext w:val="0"/>
              <w:keepLines w:val="0"/>
              <w:widowControl/>
              <w:suppressLineNumbers w:val="0"/>
              <w:snapToGrid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3562.53 </w:t>
            </w:r>
          </w:p>
        </w:tc>
      </w:tr>
      <w:tr w14:paraId="15AB60D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FFF" w:themeFill="background1"/>
          <w:tblCellMar>
            <w:top w:w="0" w:type="dxa"/>
            <w:left w:w="108" w:type="dxa"/>
            <w:bottom w:w="0" w:type="dxa"/>
            <w:right w:w="108" w:type="dxa"/>
          </w:tblCellMar>
        </w:tblPrEx>
        <w:trPr>
          <w:trHeight w:val="0" w:hRule="atLeast"/>
          <w:jc w:val="center"/>
        </w:trPr>
        <w:tc>
          <w:tcPr>
            <w:tcW w:w="259" w:type="pct"/>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190E2CBF">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6</w:t>
            </w:r>
          </w:p>
        </w:tc>
        <w:tc>
          <w:tcPr>
            <w:tcW w:w="343"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47ADF121">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中厅横屏P10户外单白LED屏</w:t>
            </w:r>
          </w:p>
        </w:tc>
        <w:tc>
          <w:tcPr>
            <w:tcW w:w="2661"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7412B7C0">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(1)名称:P10户外单白LED横屏</w:t>
            </w:r>
          </w:p>
          <w:p w14:paraId="54F8B198">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(2)规格:7770*570mm</w:t>
            </w:r>
          </w:p>
          <w:p w14:paraId="2673167D">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(3)单元板：P10户外单白表贴</w:t>
            </w:r>
          </w:p>
          <w:p w14:paraId="27CFE355">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(4)电源：5V40A200W</w:t>
            </w:r>
          </w:p>
          <w:p w14:paraId="37EF75A2">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(5)模组尺寸：320*160；模组分辨率（点）：32*16；贴片方式：贴片灯；像素点间距：10mm   基色：白色  ；一托四单元板包含排线，电源线，磁柱；标准防水箱体；单元板接口：HUB12</w:t>
            </w:r>
          </w:p>
        </w:tc>
        <w:tc>
          <w:tcPr>
            <w:tcW w:w="25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71335EDB">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289" w:type="pct"/>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46208D3E">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4</w:t>
            </w:r>
          </w:p>
        </w:tc>
        <w:tc>
          <w:tcPr>
            <w:tcW w:w="596" w:type="pct"/>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0D4C673">
            <w:pPr>
              <w:keepNext w:val="0"/>
              <w:keepLines w:val="0"/>
              <w:widowControl/>
              <w:suppressLineNumbers w:val="0"/>
              <w:snapToGrid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20"/>
                <w:highlight w:val="none"/>
                <w:u w:val="none"/>
              </w:rPr>
            </w:pPr>
            <w:r>
              <w:rPr>
                <w:rFonts w:hint="eastAsia" w:ascii="宋体" w:hAnsi="宋体" w:eastAsia="宋体" w:cs="宋体"/>
                <w:i w:val="0"/>
                <w:iCs w:val="0"/>
                <w:color w:val="000000"/>
                <w:kern w:val="0"/>
                <w:sz w:val="18"/>
                <w:szCs w:val="20"/>
                <w:highlight w:val="none"/>
                <w:u w:val="none"/>
                <w:lang w:val="en-US" w:eastAsia="zh-CN" w:bidi="ar"/>
              </w:rPr>
              <w:t xml:space="preserve">7261.01 </w:t>
            </w:r>
          </w:p>
        </w:tc>
        <w:tc>
          <w:tcPr>
            <w:tcW w:w="589" w:type="pct"/>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CC5F138">
            <w:pPr>
              <w:keepNext w:val="0"/>
              <w:keepLines w:val="0"/>
              <w:widowControl/>
              <w:suppressLineNumbers w:val="0"/>
              <w:snapToGrid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29044.04 </w:t>
            </w:r>
          </w:p>
        </w:tc>
      </w:tr>
      <w:tr w14:paraId="6852191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FFF" w:themeFill="background1"/>
          <w:tblCellMar>
            <w:top w:w="0" w:type="dxa"/>
            <w:left w:w="108" w:type="dxa"/>
            <w:bottom w:w="0" w:type="dxa"/>
            <w:right w:w="108" w:type="dxa"/>
          </w:tblCellMar>
        </w:tblPrEx>
        <w:trPr>
          <w:trHeight w:val="0" w:hRule="atLeast"/>
          <w:jc w:val="center"/>
        </w:trPr>
        <w:tc>
          <w:tcPr>
            <w:tcW w:w="259" w:type="pct"/>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59BC1B0E">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7</w:t>
            </w:r>
          </w:p>
        </w:tc>
        <w:tc>
          <w:tcPr>
            <w:tcW w:w="343"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2993206">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中厅竖屏P10户外单白LED屏</w:t>
            </w:r>
          </w:p>
        </w:tc>
        <w:tc>
          <w:tcPr>
            <w:tcW w:w="2661"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E4312A3">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(1)名称:P10户外单白LED竖屏</w:t>
            </w:r>
          </w:p>
          <w:p w14:paraId="1C0D189A">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(2)规格:2650*410mm</w:t>
            </w:r>
          </w:p>
          <w:p w14:paraId="5CD02022">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(3)单元板：P10户外单白表贴</w:t>
            </w:r>
          </w:p>
          <w:p w14:paraId="2D9F9BBA">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(4)电源：5V40A200W</w:t>
            </w:r>
          </w:p>
          <w:p w14:paraId="7A770500">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(5)模组尺寸：320*160；模组分辨率（点）：32*16；贴片方式：贴片灯；像素点间距：10mm   基色：白色  ；一托四单元板包含排线，电源线，磁柱；标准防水箱体；单元板接口：HUB12</w:t>
            </w:r>
          </w:p>
        </w:tc>
        <w:tc>
          <w:tcPr>
            <w:tcW w:w="25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6721C62C">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289" w:type="pct"/>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1E02F262">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8</w:t>
            </w:r>
          </w:p>
        </w:tc>
        <w:tc>
          <w:tcPr>
            <w:tcW w:w="596" w:type="pct"/>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507604A7">
            <w:pPr>
              <w:keepNext w:val="0"/>
              <w:keepLines w:val="0"/>
              <w:widowControl/>
              <w:suppressLineNumbers w:val="0"/>
              <w:snapToGrid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20"/>
                <w:highlight w:val="none"/>
                <w:u w:val="none"/>
              </w:rPr>
            </w:pPr>
            <w:r>
              <w:rPr>
                <w:rFonts w:hint="eastAsia" w:ascii="宋体" w:hAnsi="宋体" w:eastAsia="宋体" w:cs="宋体"/>
                <w:i w:val="0"/>
                <w:iCs w:val="0"/>
                <w:color w:val="000000"/>
                <w:kern w:val="0"/>
                <w:sz w:val="18"/>
                <w:szCs w:val="20"/>
                <w:highlight w:val="none"/>
                <w:u w:val="none"/>
                <w:lang w:val="en-US" w:eastAsia="zh-CN" w:bidi="ar"/>
              </w:rPr>
              <w:t xml:space="preserve">1781.27 </w:t>
            </w:r>
          </w:p>
        </w:tc>
        <w:tc>
          <w:tcPr>
            <w:tcW w:w="589" w:type="pct"/>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12FC38F3">
            <w:pPr>
              <w:keepNext w:val="0"/>
              <w:keepLines w:val="0"/>
              <w:widowControl/>
              <w:suppressLineNumbers w:val="0"/>
              <w:snapToGrid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14250.14 </w:t>
            </w:r>
          </w:p>
        </w:tc>
      </w:tr>
      <w:tr w14:paraId="0141DA8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FFF" w:themeFill="background1"/>
          <w:tblCellMar>
            <w:top w:w="0" w:type="dxa"/>
            <w:left w:w="108" w:type="dxa"/>
            <w:bottom w:w="0" w:type="dxa"/>
            <w:right w:w="108" w:type="dxa"/>
          </w:tblCellMar>
        </w:tblPrEx>
        <w:trPr>
          <w:trHeight w:val="0" w:hRule="atLeast"/>
          <w:jc w:val="center"/>
        </w:trPr>
        <w:tc>
          <w:tcPr>
            <w:tcW w:w="259" w:type="pct"/>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B535E85">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8</w:t>
            </w:r>
          </w:p>
        </w:tc>
        <w:tc>
          <w:tcPr>
            <w:tcW w:w="343"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7D0061AE">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小厅横屏P10户外单白LED屏</w:t>
            </w:r>
          </w:p>
        </w:tc>
        <w:tc>
          <w:tcPr>
            <w:tcW w:w="2661"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740C1033">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(1)名称:P10户外单白LED横屏</w:t>
            </w:r>
          </w:p>
          <w:p w14:paraId="5801C02E">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(2)规格:5850*570mm</w:t>
            </w:r>
          </w:p>
          <w:p w14:paraId="6327FC61">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(3)单元板：P10户外单白表贴</w:t>
            </w:r>
          </w:p>
          <w:p w14:paraId="514ED6D0">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(4)电源：5V40A200W</w:t>
            </w:r>
          </w:p>
          <w:p w14:paraId="5B8D40D0">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(5)模组尺寸：320*160；模组分辨率（点）：32*16；贴片方式：贴片灯；像素点间距：10mm   基色：白色  ；一托四单元板包含排线，电源线，磁柱；标准防水箱体；单元板接口：HUB12</w:t>
            </w:r>
          </w:p>
        </w:tc>
        <w:tc>
          <w:tcPr>
            <w:tcW w:w="25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132606D4">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289" w:type="pct"/>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11C6A041">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6</w:t>
            </w:r>
          </w:p>
        </w:tc>
        <w:tc>
          <w:tcPr>
            <w:tcW w:w="596" w:type="pct"/>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3EEAA9E">
            <w:pPr>
              <w:keepNext w:val="0"/>
              <w:keepLines w:val="0"/>
              <w:widowControl/>
              <w:suppressLineNumbers w:val="0"/>
              <w:snapToGrid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20"/>
                <w:highlight w:val="none"/>
                <w:u w:val="none"/>
              </w:rPr>
            </w:pPr>
            <w:r>
              <w:rPr>
                <w:rFonts w:hint="eastAsia" w:ascii="宋体" w:hAnsi="宋体" w:eastAsia="宋体" w:cs="宋体"/>
                <w:i w:val="0"/>
                <w:iCs w:val="0"/>
                <w:color w:val="000000"/>
                <w:kern w:val="0"/>
                <w:sz w:val="18"/>
                <w:szCs w:val="20"/>
                <w:highlight w:val="none"/>
                <w:u w:val="none"/>
                <w:lang w:val="en-US" w:eastAsia="zh-CN" w:bidi="ar"/>
              </w:rPr>
              <w:t xml:space="preserve">5466.79 </w:t>
            </w:r>
          </w:p>
        </w:tc>
        <w:tc>
          <w:tcPr>
            <w:tcW w:w="589" w:type="pct"/>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280765E7">
            <w:pPr>
              <w:keepNext w:val="0"/>
              <w:keepLines w:val="0"/>
              <w:widowControl/>
              <w:suppressLineNumbers w:val="0"/>
              <w:snapToGrid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32800.74 </w:t>
            </w:r>
          </w:p>
        </w:tc>
      </w:tr>
      <w:tr w14:paraId="4DD9B4C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FFF" w:themeFill="background1"/>
          <w:tblCellMar>
            <w:top w:w="0" w:type="dxa"/>
            <w:left w:w="108" w:type="dxa"/>
            <w:bottom w:w="0" w:type="dxa"/>
            <w:right w:w="108" w:type="dxa"/>
          </w:tblCellMar>
        </w:tblPrEx>
        <w:trPr>
          <w:trHeight w:val="0" w:hRule="atLeast"/>
          <w:jc w:val="center"/>
        </w:trPr>
        <w:tc>
          <w:tcPr>
            <w:tcW w:w="259" w:type="pct"/>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5898DB60">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9</w:t>
            </w:r>
          </w:p>
        </w:tc>
        <w:tc>
          <w:tcPr>
            <w:tcW w:w="343"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311A997D">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小厅竖屏P10户外单白LED屏</w:t>
            </w:r>
          </w:p>
        </w:tc>
        <w:tc>
          <w:tcPr>
            <w:tcW w:w="2661"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33531594">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(1)名称:P10户外单白LED竖屏</w:t>
            </w:r>
          </w:p>
          <w:p w14:paraId="3A1CE03C">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(2)规格:2650*410mm</w:t>
            </w:r>
          </w:p>
          <w:p w14:paraId="2DDF53F1">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(3)单元板：P10户外单白表贴</w:t>
            </w:r>
          </w:p>
          <w:p w14:paraId="1AA58A5D">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(4)电源：5V40A200W</w:t>
            </w:r>
          </w:p>
          <w:p w14:paraId="16B88CC9">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(5)模组尺寸：320*160；模组分辨率（点）：32*16；贴片方式：贴片灯；像素点间距：10mm   基色：白色  ；一托四单元板包含排线，电源线，磁柱；标准防水箱体；单元板接口：HUB12</w:t>
            </w:r>
          </w:p>
        </w:tc>
        <w:tc>
          <w:tcPr>
            <w:tcW w:w="25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656D1F87">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289" w:type="pct"/>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025852C2">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12</w:t>
            </w:r>
          </w:p>
        </w:tc>
        <w:tc>
          <w:tcPr>
            <w:tcW w:w="596" w:type="pct"/>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493AF5CB">
            <w:pPr>
              <w:keepNext w:val="0"/>
              <w:keepLines w:val="0"/>
              <w:widowControl/>
              <w:suppressLineNumbers w:val="0"/>
              <w:snapToGrid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20"/>
                <w:highlight w:val="none"/>
                <w:u w:val="none"/>
              </w:rPr>
            </w:pPr>
            <w:r>
              <w:rPr>
                <w:rFonts w:hint="eastAsia" w:ascii="宋体" w:hAnsi="宋体" w:eastAsia="宋体" w:cs="宋体"/>
                <w:i w:val="0"/>
                <w:iCs w:val="0"/>
                <w:color w:val="000000"/>
                <w:kern w:val="0"/>
                <w:sz w:val="18"/>
                <w:szCs w:val="20"/>
                <w:highlight w:val="none"/>
                <w:u w:val="none"/>
                <w:lang w:val="en-US" w:eastAsia="zh-CN" w:bidi="ar"/>
              </w:rPr>
              <w:t xml:space="preserve">1781.27 </w:t>
            </w:r>
          </w:p>
        </w:tc>
        <w:tc>
          <w:tcPr>
            <w:tcW w:w="589" w:type="pct"/>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10C48E6D">
            <w:pPr>
              <w:keepNext w:val="0"/>
              <w:keepLines w:val="0"/>
              <w:widowControl/>
              <w:suppressLineNumbers w:val="0"/>
              <w:snapToGrid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21375.21 </w:t>
            </w:r>
          </w:p>
        </w:tc>
      </w:tr>
      <w:tr w14:paraId="4A241F7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FFF" w:themeFill="background1"/>
          <w:tblCellMar>
            <w:top w:w="0" w:type="dxa"/>
            <w:left w:w="108" w:type="dxa"/>
            <w:bottom w:w="0" w:type="dxa"/>
            <w:right w:w="108" w:type="dxa"/>
          </w:tblCellMar>
        </w:tblPrEx>
        <w:trPr>
          <w:trHeight w:val="0" w:hRule="atLeast"/>
          <w:jc w:val="center"/>
        </w:trPr>
        <w:tc>
          <w:tcPr>
            <w:tcW w:w="259" w:type="pct"/>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04AD485B">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10</w:t>
            </w:r>
          </w:p>
        </w:tc>
        <w:tc>
          <w:tcPr>
            <w:tcW w:w="343"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9C16C0E">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会议室横屏P10户外单红LED屏</w:t>
            </w:r>
          </w:p>
        </w:tc>
        <w:tc>
          <w:tcPr>
            <w:tcW w:w="2661"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7F6E3F54">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(1)名称:P10户外单红LED横屏</w:t>
            </w:r>
          </w:p>
          <w:p w14:paraId="2F837FA3">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(2)规格:5850*570mm</w:t>
            </w:r>
          </w:p>
          <w:p w14:paraId="6ACA6BFB">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(3)单元板：P10户外单白表贴</w:t>
            </w:r>
          </w:p>
          <w:p w14:paraId="60F7CB98">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(4)电源：5V40A200W</w:t>
            </w:r>
          </w:p>
          <w:p w14:paraId="02F18715">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(5)模组尺寸：320*160；模组分辨率（点）：32*16；贴片方式：贴片灯；像素点间距：10mm   基色：白色  ；一托四单元板包含排线，电源线，磁柱；标准防水箱体；单元板接口：HUB12</w:t>
            </w:r>
          </w:p>
        </w:tc>
        <w:tc>
          <w:tcPr>
            <w:tcW w:w="25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FDEE468">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289" w:type="pct"/>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039474EE">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596" w:type="pct"/>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68234236">
            <w:pPr>
              <w:keepNext w:val="0"/>
              <w:keepLines w:val="0"/>
              <w:widowControl/>
              <w:suppressLineNumbers w:val="0"/>
              <w:snapToGrid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20"/>
                <w:highlight w:val="none"/>
                <w:u w:val="none"/>
              </w:rPr>
            </w:pPr>
            <w:r>
              <w:rPr>
                <w:rFonts w:hint="eastAsia" w:ascii="宋体" w:hAnsi="宋体" w:eastAsia="宋体" w:cs="宋体"/>
                <w:i w:val="0"/>
                <w:iCs w:val="0"/>
                <w:color w:val="000000"/>
                <w:kern w:val="0"/>
                <w:sz w:val="18"/>
                <w:szCs w:val="20"/>
                <w:highlight w:val="none"/>
                <w:u w:val="none"/>
                <w:lang w:val="en-US" w:eastAsia="zh-CN" w:bidi="ar"/>
              </w:rPr>
              <w:t xml:space="preserve">5466.79 </w:t>
            </w:r>
          </w:p>
        </w:tc>
        <w:tc>
          <w:tcPr>
            <w:tcW w:w="589" w:type="pct"/>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CA80E30">
            <w:pPr>
              <w:keepNext w:val="0"/>
              <w:keepLines w:val="0"/>
              <w:widowControl/>
              <w:suppressLineNumbers w:val="0"/>
              <w:snapToGrid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5466.79 </w:t>
            </w:r>
          </w:p>
        </w:tc>
      </w:tr>
      <w:tr w14:paraId="0EA3CC7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FFF" w:themeFill="background1"/>
          <w:tblCellMar>
            <w:top w:w="0" w:type="dxa"/>
            <w:left w:w="108" w:type="dxa"/>
            <w:bottom w:w="0" w:type="dxa"/>
            <w:right w:w="108" w:type="dxa"/>
          </w:tblCellMar>
        </w:tblPrEx>
        <w:trPr>
          <w:trHeight w:val="0" w:hRule="atLeast"/>
          <w:jc w:val="center"/>
        </w:trPr>
        <w:tc>
          <w:tcPr>
            <w:tcW w:w="259" w:type="pct"/>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25DE4334">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11</w:t>
            </w:r>
          </w:p>
        </w:tc>
        <w:tc>
          <w:tcPr>
            <w:tcW w:w="343"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3CF425A">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室内全彩LED屏（服务大厅</w:t>
            </w:r>
          </w:p>
        </w:tc>
        <w:tc>
          <w:tcPr>
            <w:tcW w:w="2661"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3DAA2DFC">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(1)名称:全彩LED屏(含安装所需全部辅材及控制系统)</w:t>
            </w:r>
          </w:p>
          <w:p w14:paraId="6785BF84">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(2)规格:5860*3300mm</w:t>
            </w:r>
          </w:p>
          <w:p w14:paraId="0E6C8640">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★1.点间距：≤2.5mm全彩，点密度：≥160000点/平米；</w:t>
            </w:r>
          </w:p>
          <w:p w14:paraId="05F82393">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2.模组尺寸：320mm*160mm；</w:t>
            </w:r>
          </w:p>
          <w:p w14:paraId="376F740F">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3.管芯：故障率低、使用寿命长；</w:t>
            </w:r>
          </w:p>
          <w:p w14:paraId="05D8E021">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4.亮度:≥450cd/㎡；</w:t>
            </w:r>
          </w:p>
          <w:p w14:paraId="77564F18">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5.颜色深度:14bit；</w:t>
            </w:r>
          </w:p>
          <w:p w14:paraId="2CE17F78">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6.刷新频率：3840HZ；</w:t>
            </w:r>
          </w:p>
          <w:p w14:paraId="43BABB5C">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7.开关电源工作电压：DC4.5V；</w:t>
            </w:r>
          </w:p>
          <w:p w14:paraId="784F0FBC">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8.模组视角：水平视角140度，垂直视角130度；</w:t>
            </w:r>
          </w:p>
          <w:p w14:paraId="3B5F40A7">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9.最大功率：≤457W/㎡，视频功率：≤160W/㎡。控制方式计算机控制，逐点一一对应，视频同步，实时显示，亮度调节手动/自动可调，使用寿命≥10万小时，平均无故障时间≥1万小时，衰减率≤15%，连续失控点0，离散失控点＜0.0001，出厂时为0，盲点率＜0.0003，出厂时为0，工作温度范围-20℃ 至40℃，工作温度范围10%至65%RH，防护性能超温/过载/掉电/图像补偿/各种校正技术/过流/过压/防雷（可选项）屏幕水平平整度 ＜1mm/㎡，屏幕垂直平整度 ＜1mm/㎡</w:t>
            </w:r>
          </w:p>
          <w:p w14:paraId="43927824">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(3)辅材及控制系统：视频处理器最大带载：390万点，最宽：16384,最高：4096</w:t>
            </w:r>
          </w:p>
          <w:p w14:paraId="5C430816">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 xml:space="preserve">画面数量：1，输入:HDMI*3，USB*1 </w:t>
            </w:r>
          </w:p>
          <w:p w14:paraId="61715937">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输出:网口*6，音频*1，1.支持多路信号输入：3路 HDMI，1路 U盘；</w:t>
            </w:r>
          </w:p>
          <w:p w14:paraId="651B15E7">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2.输入分辨率：最大 4096*2160@30Hz 像素，支持任意分辨率设置；</w:t>
            </w:r>
          </w:p>
          <w:p w14:paraId="21E533D3">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3.支持音视频同步输入：支持音视频同步输入；</w:t>
            </w:r>
          </w:p>
          <w:p w14:paraId="76656DCB">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4.支持以下输出信号接口：LAN(RJ45)×6（带网口连接状态指示），整机最大支持分辨率为390万像素，支持自定义分辨率，最宽16384像素，最高4096像素；Audio音频（PJ35）×1；</w:t>
            </w:r>
          </w:p>
          <w:p w14:paraId="240AC5A1">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5.自带U盘播放功能：直接插上U盘，自动播放U盘的视频或图片；</w:t>
            </w:r>
          </w:p>
          <w:p w14:paraId="64801FD9">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 xml:space="preserve">6.支持视频源任意切换，可根据显示屏分辨率对输入图像进行缩放； </w:t>
            </w:r>
          </w:p>
          <w:p w14:paraId="29E902DF">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7.支持音频输入输出；</w:t>
            </w:r>
          </w:p>
          <w:p w14:paraId="3DB60101">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8.支持图像亮度调节、对比度、饱和度、色温调节；</w:t>
            </w:r>
          </w:p>
          <w:p w14:paraId="4F352AAE">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9.支持自定义分辨率；</w:t>
            </w:r>
          </w:p>
          <w:p w14:paraId="29B5D010">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10.支持LED屏幕测试：黑屏、蓝屏、红屏等任意显示切换；</w:t>
            </w:r>
          </w:p>
          <w:p w14:paraId="1A9C6A91">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11.支持场景调用与保存；</w:t>
            </w:r>
          </w:p>
          <w:p w14:paraId="53616283">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12.支持标准网口中控对接；</w:t>
            </w:r>
          </w:p>
          <w:p w14:paraId="574F9981">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13.支持在线系统升级：</w:t>
            </w:r>
          </w:p>
          <w:p w14:paraId="3F0C8D0F">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14.支持热备份：同一组的两个网口热备份和多卡热备份；</w:t>
            </w:r>
          </w:p>
          <w:p w14:paraId="282E4A99">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15.支持接收卡、多功能 </w:t>
            </w:r>
          </w:p>
        </w:tc>
        <w:tc>
          <w:tcPr>
            <w:tcW w:w="25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4FFCE61D">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289" w:type="pct"/>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5B80496F">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596" w:type="pct"/>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6EE2AF74">
            <w:pPr>
              <w:keepNext w:val="0"/>
              <w:keepLines w:val="0"/>
              <w:widowControl/>
              <w:suppressLineNumbers w:val="0"/>
              <w:snapToGrid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20"/>
                <w:highlight w:val="none"/>
                <w:u w:val="none"/>
              </w:rPr>
            </w:pPr>
            <w:r>
              <w:rPr>
                <w:rFonts w:hint="eastAsia" w:ascii="宋体" w:hAnsi="宋体" w:eastAsia="宋体" w:cs="宋体"/>
                <w:i w:val="0"/>
                <w:iCs w:val="0"/>
                <w:color w:val="000000"/>
                <w:kern w:val="0"/>
                <w:sz w:val="18"/>
                <w:szCs w:val="20"/>
                <w:highlight w:val="none"/>
                <w:u w:val="none"/>
                <w:lang w:val="en-US" w:eastAsia="zh-CN" w:bidi="ar"/>
              </w:rPr>
              <w:t xml:space="preserve">97111.31 </w:t>
            </w:r>
          </w:p>
        </w:tc>
        <w:tc>
          <w:tcPr>
            <w:tcW w:w="589" w:type="pct"/>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00F07E66">
            <w:pPr>
              <w:keepNext w:val="0"/>
              <w:keepLines w:val="0"/>
              <w:widowControl/>
              <w:suppressLineNumbers w:val="0"/>
              <w:snapToGrid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97111.31 </w:t>
            </w:r>
          </w:p>
        </w:tc>
      </w:tr>
      <w:tr w14:paraId="2B42FB4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FFF" w:themeFill="background1"/>
          <w:tblCellMar>
            <w:top w:w="0" w:type="dxa"/>
            <w:left w:w="108" w:type="dxa"/>
            <w:bottom w:w="0" w:type="dxa"/>
            <w:right w:w="108" w:type="dxa"/>
          </w:tblCellMar>
        </w:tblPrEx>
        <w:trPr>
          <w:trHeight w:val="0" w:hRule="atLeast"/>
          <w:jc w:val="center"/>
        </w:trPr>
        <w:tc>
          <w:tcPr>
            <w:tcW w:w="259" w:type="pct"/>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45C773EC">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12</w:t>
            </w:r>
          </w:p>
        </w:tc>
        <w:tc>
          <w:tcPr>
            <w:tcW w:w="343"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1EE13910">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音响设备（会议室）</w:t>
            </w:r>
          </w:p>
        </w:tc>
        <w:tc>
          <w:tcPr>
            <w:tcW w:w="2661"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1A821FE4">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(1)名称:500W功放两台，12寸音响4只，效果器一台，机柜一台，电源时序器一台，无线话筒一套</w:t>
            </w:r>
          </w:p>
          <w:p w14:paraId="46666FCF">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系统类型：12寸全频专业音箱；性能特点：低频浑厚有弹性、中高频明亮通透丰富，对音乐和麦克风解晰力强，具有良好表现力和平滑的频谱曲线特性。</w:t>
            </w:r>
          </w:p>
          <w:p w14:paraId="53E1A0EA">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产品特点：箱体采用夹板材质，多边形设计，黑色磨砂喷点烤漆，前面板采用不锈钢网罩，两分频全音域音箱，高低音比例协调，还原性好，低音坚实有力。远程号角高音扩声单元，复合纸盆分频器采用顶级小S电容，音色达到极致</w:t>
            </w:r>
          </w:p>
          <w:p w14:paraId="36EA453C">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应用范围：KTV扩声系统、会议扩声系统、俱乐部、多功能厅</w:t>
            </w:r>
          </w:p>
          <w:p w14:paraId="218B1D00">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参数：</w:t>
            </w:r>
          </w:p>
          <w:p w14:paraId="3BF4E2E3">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频率响应：20HZ-20KHZ</w:t>
            </w:r>
          </w:p>
          <w:p w14:paraId="2A23A328">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灵敏度：98dB</w:t>
            </w:r>
          </w:p>
          <w:p w14:paraId="452D4D28">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 xml:space="preserve">额定阻抗：6Ω  </w:t>
            </w:r>
          </w:p>
          <w:p w14:paraId="08493EF8">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 xml:space="preserve">额定功率：350W -600W </w:t>
            </w:r>
          </w:p>
          <w:p w14:paraId="523A1945">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覆盖角度：90° H</w:t>
            </w:r>
          </w:p>
          <w:p w14:paraId="0A84BF04">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分频模式：内置分频</w:t>
            </w:r>
          </w:p>
          <w:p w14:paraId="073BF459">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 xml:space="preserve">低频：1×12in（寸）.190磁75芯  </w:t>
            </w:r>
          </w:p>
          <w:p w14:paraId="4DA9F610">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表面处理：浮点耐磨点漆</w:t>
            </w:r>
          </w:p>
          <w:p w14:paraId="4F4D1E4D">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高频：远程号角高音120磁44芯</w:t>
            </w:r>
          </w:p>
          <w:p w14:paraId="01D9D430">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吊挂硬件：多点吊挂、支架（可旋转调整）</w:t>
            </w:r>
          </w:p>
          <w:p w14:paraId="2459E665">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箱体尺寸：（D×W×H）363mm ×387mm×622mm</w:t>
            </w:r>
          </w:p>
          <w:p w14:paraId="21E19837">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重量：20.45KG/只效果器</w:t>
            </w:r>
          </w:p>
          <w:p w14:paraId="4F663365">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产品尺寸:480*220*50mm：主机重量：1.55KG/台 方杆话筒重量：0.8KG/只</w:t>
            </w:r>
          </w:p>
        </w:tc>
        <w:tc>
          <w:tcPr>
            <w:tcW w:w="25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06030DFD">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套</w:t>
            </w:r>
          </w:p>
        </w:tc>
        <w:tc>
          <w:tcPr>
            <w:tcW w:w="289" w:type="pct"/>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68FFFC6">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596" w:type="pct"/>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49A39037">
            <w:pPr>
              <w:keepNext w:val="0"/>
              <w:keepLines w:val="0"/>
              <w:widowControl/>
              <w:suppressLineNumbers w:val="0"/>
              <w:snapToGrid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20"/>
                <w:highlight w:val="none"/>
                <w:u w:val="none"/>
              </w:rPr>
            </w:pPr>
            <w:r>
              <w:rPr>
                <w:rFonts w:hint="eastAsia" w:ascii="宋体" w:hAnsi="宋体" w:eastAsia="宋体" w:cs="宋体"/>
                <w:i w:val="0"/>
                <w:iCs w:val="0"/>
                <w:color w:val="000000"/>
                <w:kern w:val="0"/>
                <w:sz w:val="18"/>
                <w:szCs w:val="20"/>
                <w:highlight w:val="none"/>
                <w:u w:val="none"/>
                <w:lang w:val="en-US" w:eastAsia="zh-CN" w:bidi="ar"/>
              </w:rPr>
              <w:t xml:space="preserve">48223.43 </w:t>
            </w:r>
          </w:p>
        </w:tc>
        <w:tc>
          <w:tcPr>
            <w:tcW w:w="589" w:type="pct"/>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42F6ED54">
            <w:pPr>
              <w:keepNext w:val="0"/>
              <w:keepLines w:val="0"/>
              <w:widowControl/>
              <w:suppressLineNumbers w:val="0"/>
              <w:snapToGrid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48223.43 </w:t>
            </w:r>
          </w:p>
        </w:tc>
      </w:tr>
      <w:tr w14:paraId="00F61A5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FFF" w:themeFill="background1"/>
          <w:tblCellMar>
            <w:top w:w="0" w:type="dxa"/>
            <w:left w:w="108" w:type="dxa"/>
            <w:bottom w:w="0" w:type="dxa"/>
            <w:right w:w="108" w:type="dxa"/>
          </w:tblCellMar>
        </w:tblPrEx>
        <w:trPr>
          <w:trHeight w:val="0" w:hRule="atLeast"/>
          <w:jc w:val="center"/>
        </w:trPr>
        <w:tc>
          <w:tcPr>
            <w:tcW w:w="259" w:type="pct"/>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6AC5E520">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13</w:t>
            </w:r>
          </w:p>
        </w:tc>
        <w:tc>
          <w:tcPr>
            <w:tcW w:w="343"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4A430D65">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控制计算机设备</w:t>
            </w:r>
          </w:p>
        </w:tc>
        <w:tc>
          <w:tcPr>
            <w:tcW w:w="2661"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1D67B61D">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(1)名称:台式电脑16G内存 512G硬盘 独立显卡，21.5寸屏</w:t>
            </w:r>
          </w:p>
        </w:tc>
        <w:tc>
          <w:tcPr>
            <w:tcW w:w="25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41FA9284">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套</w:t>
            </w:r>
          </w:p>
        </w:tc>
        <w:tc>
          <w:tcPr>
            <w:tcW w:w="289" w:type="pct"/>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1D945E46">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11</w:t>
            </w:r>
          </w:p>
        </w:tc>
        <w:tc>
          <w:tcPr>
            <w:tcW w:w="596" w:type="pct"/>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65B053B4">
            <w:pPr>
              <w:keepNext w:val="0"/>
              <w:keepLines w:val="0"/>
              <w:widowControl/>
              <w:suppressLineNumbers w:val="0"/>
              <w:snapToGrid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20"/>
                <w:highlight w:val="none"/>
                <w:u w:val="none"/>
              </w:rPr>
            </w:pPr>
            <w:r>
              <w:rPr>
                <w:rFonts w:hint="eastAsia" w:ascii="宋体" w:hAnsi="宋体" w:eastAsia="宋体" w:cs="宋体"/>
                <w:i w:val="0"/>
                <w:iCs w:val="0"/>
                <w:color w:val="000000"/>
                <w:kern w:val="0"/>
                <w:sz w:val="18"/>
                <w:szCs w:val="20"/>
                <w:highlight w:val="none"/>
                <w:u w:val="none"/>
                <w:lang w:val="en-US" w:eastAsia="zh-CN" w:bidi="ar"/>
              </w:rPr>
              <w:t xml:space="preserve">3000.00 </w:t>
            </w:r>
          </w:p>
        </w:tc>
        <w:tc>
          <w:tcPr>
            <w:tcW w:w="589" w:type="pct"/>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44855FB">
            <w:pPr>
              <w:keepNext w:val="0"/>
              <w:keepLines w:val="0"/>
              <w:widowControl/>
              <w:suppressLineNumbers w:val="0"/>
              <w:snapToGrid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33000.00 </w:t>
            </w:r>
          </w:p>
        </w:tc>
      </w:tr>
      <w:tr w14:paraId="6D52872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FFF" w:themeFill="background1"/>
          <w:tblCellMar>
            <w:top w:w="0" w:type="dxa"/>
            <w:left w:w="108" w:type="dxa"/>
            <w:bottom w:w="0" w:type="dxa"/>
            <w:right w:w="108" w:type="dxa"/>
          </w:tblCellMar>
        </w:tblPrEx>
        <w:trPr>
          <w:trHeight w:val="0" w:hRule="atLeast"/>
          <w:jc w:val="center"/>
        </w:trPr>
        <w:tc>
          <w:tcPr>
            <w:tcW w:w="259" w:type="pct"/>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1F9D76A2">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14</w:t>
            </w:r>
          </w:p>
        </w:tc>
        <w:tc>
          <w:tcPr>
            <w:tcW w:w="343"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04F4859F">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脚手架</w:t>
            </w:r>
          </w:p>
        </w:tc>
        <w:tc>
          <w:tcPr>
            <w:tcW w:w="2661"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1AE4627D">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1.电气设备安装工程 脚手架搭拆费</w:t>
            </w:r>
          </w:p>
        </w:tc>
        <w:tc>
          <w:tcPr>
            <w:tcW w:w="25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65DF8B4D">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项</w:t>
            </w:r>
          </w:p>
        </w:tc>
        <w:tc>
          <w:tcPr>
            <w:tcW w:w="289" w:type="pct"/>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4DDB555D">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596" w:type="pct"/>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4F7BEC28">
            <w:pPr>
              <w:keepNext w:val="0"/>
              <w:keepLines w:val="0"/>
              <w:widowControl/>
              <w:suppressLineNumbers w:val="0"/>
              <w:snapToGrid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20"/>
                <w:highlight w:val="none"/>
                <w:u w:val="none"/>
              </w:rPr>
            </w:pPr>
            <w:r>
              <w:rPr>
                <w:rFonts w:hint="eastAsia" w:ascii="宋体" w:hAnsi="宋体" w:eastAsia="宋体" w:cs="宋体"/>
                <w:i w:val="0"/>
                <w:iCs w:val="0"/>
                <w:color w:val="000000"/>
                <w:kern w:val="0"/>
                <w:sz w:val="18"/>
                <w:szCs w:val="20"/>
                <w:highlight w:val="none"/>
                <w:u w:val="none"/>
                <w:lang w:val="en-US" w:eastAsia="zh-CN" w:bidi="ar"/>
              </w:rPr>
              <w:t xml:space="preserve">4089.31 </w:t>
            </w:r>
          </w:p>
        </w:tc>
        <w:tc>
          <w:tcPr>
            <w:tcW w:w="589" w:type="pct"/>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6B4EFF77">
            <w:pPr>
              <w:keepNext w:val="0"/>
              <w:keepLines w:val="0"/>
              <w:widowControl/>
              <w:suppressLineNumbers w:val="0"/>
              <w:snapToGrid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4089.31 </w:t>
            </w:r>
          </w:p>
        </w:tc>
      </w:tr>
    </w:tbl>
    <w:p w14:paraId="2F8F00C1">
      <w:pPr>
        <w:keepNext w:val="0"/>
        <w:keepLines w:val="0"/>
        <w:pageBreakBefore w:val="0"/>
        <w:widowControl/>
        <w:kinsoku/>
        <w:wordWrap/>
        <w:overflowPunct/>
        <w:topLinePunct w:val="0"/>
        <w:autoSpaceDE/>
        <w:autoSpaceDN/>
        <w:bidi w:val="0"/>
        <w:adjustRightInd/>
        <w:snapToGrid/>
        <w:spacing w:after="0" w:line="360" w:lineRule="auto"/>
        <w:jc w:val="left"/>
        <w:textAlignment w:val="auto"/>
        <w:rPr>
          <w:rFonts w:hint="eastAsia" w:asciiTheme="minorEastAsia" w:hAnsiTheme="minorEastAsia" w:eastAsiaTheme="minorEastAsia"/>
          <w:szCs w:val="21"/>
          <w:highlight w:val="none"/>
          <w:lang w:val="en-US" w:eastAsia="zh-CN"/>
        </w:rPr>
      </w:pPr>
    </w:p>
    <w:p w14:paraId="256AB0A4">
      <w:pPr>
        <w:keepNext w:val="0"/>
        <w:keepLines w:val="0"/>
        <w:pageBreakBefore w:val="0"/>
        <w:widowControl/>
        <w:numPr>
          <w:ilvl w:val="0"/>
          <w:numId w:val="2"/>
        </w:numPr>
        <w:kinsoku/>
        <w:wordWrap/>
        <w:overflowPunct/>
        <w:topLinePunct w:val="0"/>
        <w:autoSpaceDE/>
        <w:autoSpaceDN/>
        <w:bidi w:val="0"/>
        <w:adjustRightInd/>
        <w:snapToGrid/>
        <w:spacing w:after="0" w:line="360" w:lineRule="auto"/>
        <w:ind w:firstLine="426" w:firstLineChars="200"/>
        <w:jc w:val="left"/>
        <w:textAlignment w:val="auto"/>
        <w:rPr>
          <w:rFonts w:hint="eastAsia" w:asciiTheme="minorEastAsia" w:hAnsiTheme="minorEastAsia" w:eastAsiaTheme="minorEastAsia"/>
          <w:szCs w:val="21"/>
          <w:highlight w:val="none"/>
        </w:rPr>
      </w:pPr>
      <w:r>
        <w:rPr>
          <w:rFonts w:hint="eastAsia" w:asciiTheme="minorEastAsia" w:hAnsiTheme="minorEastAsia" w:eastAsiaTheme="minorEastAsia"/>
          <w:szCs w:val="21"/>
          <w:highlight w:val="none"/>
        </w:rPr>
        <w:t>服务中心物资采购</w:t>
      </w:r>
    </w:p>
    <w:tbl>
      <w:tblPr>
        <w:tblStyle w:val="27"/>
        <w:tblW w:w="4998"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490"/>
        <w:gridCol w:w="636"/>
        <w:gridCol w:w="4496"/>
        <w:gridCol w:w="452"/>
        <w:gridCol w:w="502"/>
        <w:gridCol w:w="887"/>
        <w:gridCol w:w="1062"/>
      </w:tblGrid>
      <w:tr w14:paraId="01A896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blHeader/>
          <w:jc w:val="center"/>
        </w:trPr>
        <w:tc>
          <w:tcPr>
            <w:tcW w:w="287" w:type="pct"/>
            <w:vMerge w:val="restart"/>
            <w:tcBorders>
              <w:top w:val="single" w:color="000000" w:sz="4" w:space="0"/>
              <w:left w:val="single" w:color="000000" w:sz="4" w:space="0"/>
              <w:bottom w:val="single" w:color="000000" w:sz="4" w:space="0"/>
              <w:right w:val="single" w:color="000000" w:sz="4" w:space="0"/>
            </w:tcBorders>
            <w:shd w:val="clear" w:color="000000" w:fill="FFFFFF"/>
            <w:vAlign w:val="center"/>
          </w:tcPr>
          <w:p w14:paraId="7ADC1C51">
            <w:pPr>
              <w:keepNext/>
              <w:keepLines w:val="0"/>
              <w:widowControl/>
              <w:suppressLineNumbers w:val="0"/>
              <w:snapToGrid w:val="0"/>
              <w:spacing w:line="240" w:lineRule="auto"/>
              <w:ind w:left="0" w:leftChars="0" w:right="0" w:rightChars="0" w:firstLine="0" w:firstLineChars="0"/>
              <w:jc w:val="both"/>
              <w:textAlignment w:val="center"/>
              <w:rPr>
                <w:rFonts w:hint="eastAsia" w:ascii="宋体" w:hAnsi="宋体" w:eastAsia="宋体" w:cs="宋体"/>
                <w:b/>
                <w:bCs/>
                <w:i w:val="0"/>
                <w:iCs w:val="0"/>
                <w:color w:val="000000"/>
                <w:sz w:val="16"/>
                <w:szCs w:val="16"/>
                <w:highlight w:val="none"/>
                <w:u w:val="none"/>
              </w:rPr>
            </w:pPr>
            <w:r>
              <w:rPr>
                <w:rFonts w:hint="eastAsia" w:ascii="宋体" w:hAnsi="宋体" w:eastAsia="宋体" w:cs="宋体"/>
                <w:b/>
                <w:bCs/>
                <w:i w:val="0"/>
                <w:iCs w:val="0"/>
                <w:color w:val="000000"/>
                <w:kern w:val="0"/>
                <w:sz w:val="16"/>
                <w:szCs w:val="16"/>
                <w:highlight w:val="none"/>
                <w:u w:val="none"/>
                <w:lang w:val="en-US" w:eastAsia="zh-CN" w:bidi="ar"/>
              </w:rPr>
              <w:t>序号</w:t>
            </w:r>
          </w:p>
        </w:tc>
        <w:tc>
          <w:tcPr>
            <w:tcW w:w="373" w:type="pct"/>
            <w:vMerge w:val="restart"/>
            <w:tcBorders>
              <w:top w:val="single" w:color="000000" w:sz="4" w:space="0"/>
              <w:left w:val="single" w:color="000000" w:sz="4" w:space="0"/>
              <w:bottom w:val="single" w:color="000000" w:sz="4" w:space="0"/>
              <w:right w:val="single" w:color="000000" w:sz="4" w:space="0"/>
            </w:tcBorders>
            <w:shd w:val="clear" w:color="000000" w:fill="FFFFFF"/>
            <w:vAlign w:val="center"/>
          </w:tcPr>
          <w:p w14:paraId="1D918614">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b/>
                <w:bCs/>
                <w:i w:val="0"/>
                <w:iCs w:val="0"/>
                <w:color w:val="000000"/>
                <w:sz w:val="16"/>
                <w:szCs w:val="16"/>
                <w:highlight w:val="none"/>
                <w:u w:val="none"/>
              </w:rPr>
            </w:pPr>
            <w:r>
              <w:rPr>
                <w:rFonts w:hint="eastAsia" w:ascii="宋体" w:hAnsi="宋体" w:eastAsia="宋体" w:cs="宋体"/>
                <w:b/>
                <w:bCs/>
                <w:i w:val="0"/>
                <w:iCs w:val="0"/>
                <w:color w:val="000000"/>
                <w:kern w:val="0"/>
                <w:sz w:val="16"/>
                <w:szCs w:val="16"/>
                <w:highlight w:val="none"/>
                <w:u w:val="none"/>
                <w:lang w:val="en-US" w:eastAsia="zh-CN" w:bidi="ar"/>
              </w:rPr>
              <w:t>项目名称</w:t>
            </w:r>
          </w:p>
        </w:tc>
        <w:tc>
          <w:tcPr>
            <w:tcW w:w="2635" w:type="pct"/>
            <w:vMerge w:val="restart"/>
            <w:tcBorders>
              <w:top w:val="single" w:color="000000" w:sz="4" w:space="0"/>
              <w:left w:val="single" w:color="000000" w:sz="4" w:space="0"/>
              <w:bottom w:val="single" w:color="000000" w:sz="4" w:space="0"/>
              <w:right w:val="single" w:color="000000" w:sz="4" w:space="0"/>
            </w:tcBorders>
            <w:shd w:val="clear" w:color="000000" w:fill="FFFFFF"/>
            <w:vAlign w:val="center"/>
          </w:tcPr>
          <w:p w14:paraId="6EF1287F">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b/>
                <w:bCs/>
                <w:i w:val="0"/>
                <w:iCs w:val="0"/>
                <w:color w:val="000000"/>
                <w:sz w:val="16"/>
                <w:szCs w:val="16"/>
                <w:highlight w:val="none"/>
                <w:u w:val="none"/>
              </w:rPr>
            </w:pPr>
            <w:r>
              <w:rPr>
                <w:rFonts w:hint="eastAsia" w:ascii="宋体" w:hAnsi="宋体" w:eastAsia="宋体" w:cs="宋体"/>
                <w:b/>
                <w:bCs/>
                <w:i w:val="0"/>
                <w:iCs w:val="0"/>
                <w:color w:val="000000"/>
                <w:kern w:val="0"/>
                <w:sz w:val="16"/>
                <w:szCs w:val="16"/>
                <w:highlight w:val="none"/>
                <w:u w:val="none"/>
                <w:lang w:val="en-US" w:eastAsia="zh-CN" w:bidi="ar"/>
              </w:rPr>
              <w:t>规格型号材质</w:t>
            </w:r>
          </w:p>
        </w:tc>
        <w:tc>
          <w:tcPr>
            <w:tcW w:w="265" w:type="pct"/>
            <w:vMerge w:val="restart"/>
            <w:tcBorders>
              <w:top w:val="single" w:color="000000" w:sz="4" w:space="0"/>
              <w:left w:val="single" w:color="000000" w:sz="4" w:space="0"/>
              <w:bottom w:val="single" w:color="000000" w:sz="4" w:space="0"/>
              <w:right w:val="single" w:color="000000" w:sz="4" w:space="0"/>
            </w:tcBorders>
            <w:shd w:val="clear" w:color="000000" w:fill="FFFFFF"/>
            <w:vAlign w:val="center"/>
          </w:tcPr>
          <w:p w14:paraId="751A21D3">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b/>
                <w:bCs/>
                <w:i w:val="0"/>
                <w:iCs w:val="0"/>
                <w:color w:val="000000"/>
                <w:sz w:val="16"/>
                <w:szCs w:val="16"/>
                <w:highlight w:val="none"/>
                <w:u w:val="none"/>
              </w:rPr>
            </w:pPr>
            <w:r>
              <w:rPr>
                <w:rFonts w:hint="eastAsia" w:ascii="宋体" w:hAnsi="宋体" w:eastAsia="宋体" w:cs="宋体"/>
                <w:b/>
                <w:bCs/>
                <w:i w:val="0"/>
                <w:iCs w:val="0"/>
                <w:color w:val="000000"/>
                <w:kern w:val="0"/>
                <w:sz w:val="16"/>
                <w:szCs w:val="16"/>
                <w:highlight w:val="none"/>
                <w:u w:val="none"/>
                <w:lang w:val="en-US" w:eastAsia="zh-CN" w:bidi="ar"/>
              </w:rPr>
              <w:t>计量单位</w:t>
            </w:r>
          </w:p>
        </w:tc>
        <w:tc>
          <w:tcPr>
            <w:tcW w:w="294" w:type="pct"/>
            <w:vMerge w:val="restart"/>
            <w:tcBorders>
              <w:top w:val="single" w:color="000000" w:sz="4" w:space="0"/>
              <w:left w:val="single" w:color="000000" w:sz="4" w:space="0"/>
              <w:bottom w:val="single" w:color="000000" w:sz="4" w:space="0"/>
              <w:right w:val="single" w:color="000000" w:sz="4" w:space="0"/>
            </w:tcBorders>
            <w:shd w:val="clear" w:color="000000" w:fill="FFFFFF"/>
            <w:vAlign w:val="center"/>
          </w:tcPr>
          <w:p w14:paraId="11629CAC">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b/>
                <w:bCs/>
                <w:i w:val="0"/>
                <w:iCs w:val="0"/>
                <w:color w:val="000000"/>
                <w:sz w:val="16"/>
                <w:szCs w:val="16"/>
                <w:highlight w:val="none"/>
                <w:u w:val="none"/>
              </w:rPr>
            </w:pPr>
            <w:r>
              <w:rPr>
                <w:rFonts w:hint="eastAsia" w:ascii="宋体" w:hAnsi="宋体" w:eastAsia="宋体" w:cs="宋体"/>
                <w:b/>
                <w:bCs/>
                <w:i w:val="0"/>
                <w:iCs w:val="0"/>
                <w:color w:val="000000"/>
                <w:kern w:val="0"/>
                <w:sz w:val="16"/>
                <w:szCs w:val="16"/>
                <w:highlight w:val="none"/>
                <w:u w:val="none"/>
                <w:lang w:val="en-US" w:eastAsia="zh-CN" w:bidi="ar"/>
              </w:rPr>
              <w:t>工程量</w:t>
            </w:r>
          </w:p>
        </w:tc>
        <w:tc>
          <w:tcPr>
            <w:tcW w:w="520" w:type="pct"/>
            <w:vMerge w:val="restart"/>
            <w:tcBorders>
              <w:top w:val="single" w:color="000000" w:sz="4" w:space="0"/>
              <w:left w:val="single" w:color="000000" w:sz="4" w:space="0"/>
              <w:bottom w:val="single" w:color="000000" w:sz="4" w:space="0"/>
              <w:right w:val="single" w:color="000000" w:sz="4" w:space="0"/>
            </w:tcBorders>
            <w:shd w:val="clear" w:color="000000" w:fill="FFFFFF"/>
            <w:vAlign w:val="center"/>
          </w:tcPr>
          <w:p w14:paraId="521AE65C">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b/>
                <w:bCs/>
                <w:i w:val="0"/>
                <w:iCs w:val="0"/>
                <w:color w:val="000000"/>
                <w:kern w:val="0"/>
                <w:sz w:val="16"/>
                <w:szCs w:val="16"/>
                <w:highlight w:val="none"/>
                <w:u w:val="none"/>
                <w:lang w:val="en-US" w:eastAsia="zh-CN" w:bidi="ar"/>
              </w:rPr>
            </w:pPr>
            <w:r>
              <w:rPr>
                <w:rFonts w:hint="eastAsia" w:ascii="宋体" w:hAnsi="宋体" w:eastAsia="宋体" w:cs="宋体"/>
                <w:b/>
                <w:bCs/>
                <w:i w:val="0"/>
                <w:iCs w:val="0"/>
                <w:color w:val="000000"/>
                <w:kern w:val="0"/>
                <w:sz w:val="16"/>
                <w:szCs w:val="16"/>
                <w:highlight w:val="none"/>
                <w:u w:val="none"/>
                <w:lang w:val="en-US" w:eastAsia="zh-CN" w:bidi="ar"/>
              </w:rPr>
              <w:t>最高限价（单价）</w:t>
            </w:r>
          </w:p>
          <w:p w14:paraId="5B011950">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b/>
                <w:bCs/>
                <w:i w:val="0"/>
                <w:iCs w:val="0"/>
                <w:color w:val="000000"/>
                <w:sz w:val="16"/>
                <w:szCs w:val="16"/>
                <w:highlight w:val="none"/>
                <w:u w:val="none"/>
              </w:rPr>
            </w:pPr>
            <w:r>
              <w:rPr>
                <w:rFonts w:hint="eastAsia" w:ascii="宋体" w:hAnsi="宋体" w:eastAsia="宋体" w:cs="宋体"/>
                <w:b/>
                <w:bCs/>
                <w:i w:val="0"/>
                <w:iCs w:val="0"/>
                <w:color w:val="000000"/>
                <w:kern w:val="0"/>
                <w:sz w:val="16"/>
                <w:szCs w:val="16"/>
                <w:highlight w:val="none"/>
                <w:u w:val="none"/>
                <w:lang w:val="en-US" w:eastAsia="zh-CN" w:bidi="ar"/>
              </w:rPr>
              <w:t>（元）</w:t>
            </w:r>
          </w:p>
        </w:tc>
        <w:tc>
          <w:tcPr>
            <w:tcW w:w="622" w:type="pct"/>
            <w:vMerge w:val="restart"/>
            <w:tcBorders>
              <w:top w:val="single" w:color="000000" w:sz="4" w:space="0"/>
              <w:left w:val="single" w:color="000000" w:sz="4" w:space="0"/>
              <w:bottom w:val="single" w:color="000000" w:sz="4" w:space="0"/>
              <w:right w:val="single" w:color="000000" w:sz="4" w:space="0"/>
            </w:tcBorders>
            <w:shd w:val="clear" w:color="000000" w:fill="FFFFFF"/>
            <w:vAlign w:val="center"/>
          </w:tcPr>
          <w:p w14:paraId="16DA7C2A">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b/>
                <w:bCs/>
                <w:i w:val="0"/>
                <w:iCs w:val="0"/>
                <w:color w:val="000000"/>
                <w:sz w:val="16"/>
                <w:szCs w:val="16"/>
                <w:highlight w:val="none"/>
                <w:u w:val="none"/>
              </w:rPr>
            </w:pPr>
            <w:r>
              <w:rPr>
                <w:rFonts w:hint="eastAsia" w:ascii="宋体" w:hAnsi="宋体" w:eastAsia="宋体" w:cs="宋体"/>
                <w:b/>
                <w:bCs/>
                <w:i w:val="0"/>
                <w:iCs w:val="0"/>
                <w:color w:val="000000"/>
                <w:kern w:val="0"/>
                <w:sz w:val="16"/>
                <w:szCs w:val="16"/>
                <w:highlight w:val="none"/>
                <w:u w:val="none"/>
                <w:lang w:val="en-US" w:eastAsia="zh-CN" w:bidi="ar"/>
              </w:rPr>
              <w:t>金额（元）</w:t>
            </w:r>
          </w:p>
        </w:tc>
      </w:tr>
      <w:tr w14:paraId="4B00558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2" w:hRule="atLeast"/>
          <w:tblHeader/>
          <w:jc w:val="center"/>
        </w:trPr>
        <w:tc>
          <w:tcPr>
            <w:tcW w:w="287" w:type="pct"/>
            <w:vMerge w:val="continue"/>
            <w:tcBorders>
              <w:top w:val="single" w:color="000000" w:sz="4" w:space="0"/>
              <w:left w:val="single" w:color="000000" w:sz="4" w:space="0"/>
              <w:bottom w:val="single" w:color="000000" w:sz="4" w:space="0"/>
              <w:right w:val="single" w:color="000000" w:sz="4" w:space="0"/>
            </w:tcBorders>
            <w:shd w:val="clear" w:color="000000" w:fill="FFFFFF"/>
            <w:vAlign w:val="center"/>
          </w:tcPr>
          <w:p w14:paraId="3150438A">
            <w:pPr>
              <w:keepNext/>
              <w:snapToGrid w:val="0"/>
              <w:ind w:left="0" w:leftChars="0" w:right="0" w:rightChars="0" w:firstLine="0" w:firstLineChars="0"/>
              <w:jc w:val="center"/>
              <w:rPr>
                <w:rFonts w:hint="eastAsia" w:ascii="宋体" w:hAnsi="宋体" w:eastAsia="宋体" w:cs="宋体"/>
                <w:b/>
                <w:bCs/>
                <w:i w:val="0"/>
                <w:iCs w:val="0"/>
                <w:color w:val="000000"/>
                <w:sz w:val="16"/>
                <w:szCs w:val="16"/>
                <w:highlight w:val="none"/>
                <w:u w:val="none"/>
              </w:rPr>
            </w:pPr>
          </w:p>
        </w:tc>
        <w:tc>
          <w:tcPr>
            <w:tcW w:w="373" w:type="pct"/>
            <w:vMerge w:val="continue"/>
            <w:tcBorders>
              <w:top w:val="single" w:color="000000" w:sz="4" w:space="0"/>
              <w:left w:val="single" w:color="000000" w:sz="4" w:space="0"/>
              <w:bottom w:val="single" w:color="000000" w:sz="4" w:space="0"/>
              <w:right w:val="single" w:color="000000" w:sz="4" w:space="0"/>
            </w:tcBorders>
            <w:shd w:val="clear" w:color="000000" w:fill="FFFFFF"/>
            <w:vAlign w:val="center"/>
          </w:tcPr>
          <w:p w14:paraId="49161929">
            <w:pPr>
              <w:keepNext/>
              <w:snapToGrid w:val="0"/>
              <w:ind w:left="0" w:leftChars="0" w:right="0" w:rightChars="0" w:firstLine="0" w:firstLineChars="0"/>
              <w:jc w:val="center"/>
              <w:rPr>
                <w:rFonts w:hint="eastAsia" w:ascii="宋体" w:hAnsi="宋体" w:eastAsia="宋体" w:cs="宋体"/>
                <w:b/>
                <w:bCs/>
                <w:i w:val="0"/>
                <w:iCs w:val="0"/>
                <w:color w:val="000000"/>
                <w:sz w:val="16"/>
                <w:szCs w:val="16"/>
                <w:highlight w:val="none"/>
                <w:u w:val="none"/>
              </w:rPr>
            </w:pPr>
          </w:p>
        </w:tc>
        <w:tc>
          <w:tcPr>
            <w:tcW w:w="2635" w:type="pct"/>
            <w:vMerge w:val="continue"/>
            <w:tcBorders>
              <w:top w:val="single" w:color="000000" w:sz="4" w:space="0"/>
              <w:left w:val="single" w:color="000000" w:sz="4" w:space="0"/>
              <w:bottom w:val="single" w:color="000000" w:sz="4" w:space="0"/>
              <w:right w:val="single" w:color="000000" w:sz="4" w:space="0"/>
            </w:tcBorders>
            <w:shd w:val="clear" w:color="000000" w:fill="FFFFFF"/>
            <w:vAlign w:val="center"/>
          </w:tcPr>
          <w:p w14:paraId="1982E80F">
            <w:pPr>
              <w:keepNext/>
              <w:snapToGrid w:val="0"/>
              <w:ind w:left="0" w:leftChars="0" w:right="0" w:rightChars="0" w:firstLine="0" w:firstLineChars="0"/>
              <w:jc w:val="center"/>
              <w:rPr>
                <w:rFonts w:hint="eastAsia" w:ascii="宋体" w:hAnsi="宋体" w:eastAsia="宋体" w:cs="宋体"/>
                <w:b/>
                <w:bCs/>
                <w:i w:val="0"/>
                <w:iCs w:val="0"/>
                <w:color w:val="000000"/>
                <w:sz w:val="16"/>
                <w:szCs w:val="16"/>
                <w:highlight w:val="none"/>
                <w:u w:val="none"/>
              </w:rPr>
            </w:pPr>
          </w:p>
        </w:tc>
        <w:tc>
          <w:tcPr>
            <w:tcW w:w="265" w:type="pct"/>
            <w:vMerge w:val="continue"/>
            <w:tcBorders>
              <w:top w:val="single" w:color="000000" w:sz="4" w:space="0"/>
              <w:left w:val="single" w:color="000000" w:sz="4" w:space="0"/>
              <w:bottom w:val="single" w:color="000000" w:sz="4" w:space="0"/>
              <w:right w:val="single" w:color="000000" w:sz="4" w:space="0"/>
            </w:tcBorders>
            <w:shd w:val="clear" w:color="000000" w:fill="FFFFFF"/>
            <w:vAlign w:val="center"/>
          </w:tcPr>
          <w:p w14:paraId="56BE72C0">
            <w:pPr>
              <w:keepNext/>
              <w:snapToGrid w:val="0"/>
              <w:ind w:left="0" w:leftChars="0" w:right="0" w:rightChars="0" w:firstLine="0" w:firstLineChars="0"/>
              <w:jc w:val="center"/>
              <w:rPr>
                <w:rFonts w:hint="eastAsia" w:ascii="宋体" w:hAnsi="宋体" w:eastAsia="宋体" w:cs="宋体"/>
                <w:b/>
                <w:bCs/>
                <w:i w:val="0"/>
                <w:iCs w:val="0"/>
                <w:color w:val="000000"/>
                <w:sz w:val="16"/>
                <w:szCs w:val="16"/>
                <w:highlight w:val="none"/>
                <w:u w:val="none"/>
              </w:rPr>
            </w:pPr>
          </w:p>
        </w:tc>
        <w:tc>
          <w:tcPr>
            <w:tcW w:w="294" w:type="pct"/>
            <w:vMerge w:val="continue"/>
            <w:tcBorders>
              <w:top w:val="single" w:color="000000" w:sz="4" w:space="0"/>
              <w:left w:val="single" w:color="000000" w:sz="4" w:space="0"/>
              <w:bottom w:val="single" w:color="000000" w:sz="4" w:space="0"/>
              <w:right w:val="single" w:color="000000" w:sz="4" w:space="0"/>
            </w:tcBorders>
            <w:shd w:val="clear" w:color="000000" w:fill="FFFFFF"/>
            <w:vAlign w:val="center"/>
          </w:tcPr>
          <w:p w14:paraId="2D41FD33">
            <w:pPr>
              <w:keepNext/>
              <w:snapToGrid w:val="0"/>
              <w:ind w:left="0" w:leftChars="0" w:right="0" w:rightChars="0" w:firstLine="0" w:firstLineChars="0"/>
              <w:jc w:val="center"/>
              <w:rPr>
                <w:rFonts w:hint="eastAsia" w:ascii="宋体" w:hAnsi="宋体" w:eastAsia="宋体" w:cs="宋体"/>
                <w:b/>
                <w:bCs/>
                <w:i w:val="0"/>
                <w:iCs w:val="0"/>
                <w:color w:val="000000"/>
                <w:sz w:val="16"/>
                <w:szCs w:val="16"/>
                <w:highlight w:val="none"/>
                <w:u w:val="none"/>
              </w:rPr>
            </w:pPr>
          </w:p>
        </w:tc>
        <w:tc>
          <w:tcPr>
            <w:tcW w:w="520" w:type="pct"/>
            <w:vMerge w:val="continue"/>
            <w:tcBorders>
              <w:top w:val="single" w:color="000000" w:sz="4" w:space="0"/>
              <w:left w:val="single" w:color="000000" w:sz="4" w:space="0"/>
              <w:bottom w:val="single" w:color="000000" w:sz="4" w:space="0"/>
              <w:right w:val="single" w:color="000000" w:sz="4" w:space="0"/>
            </w:tcBorders>
            <w:shd w:val="clear" w:color="000000" w:fill="FFFFFF"/>
            <w:vAlign w:val="center"/>
          </w:tcPr>
          <w:p w14:paraId="54B21D01">
            <w:pPr>
              <w:keepNext/>
              <w:snapToGrid w:val="0"/>
              <w:ind w:left="0" w:leftChars="0" w:right="0" w:rightChars="0" w:firstLine="0" w:firstLineChars="0"/>
              <w:jc w:val="center"/>
              <w:rPr>
                <w:rFonts w:hint="eastAsia" w:ascii="宋体" w:hAnsi="宋体" w:eastAsia="宋体" w:cs="宋体"/>
                <w:b/>
                <w:bCs/>
                <w:i w:val="0"/>
                <w:iCs w:val="0"/>
                <w:color w:val="000000"/>
                <w:sz w:val="16"/>
                <w:szCs w:val="16"/>
                <w:highlight w:val="none"/>
                <w:u w:val="none"/>
              </w:rPr>
            </w:pPr>
          </w:p>
        </w:tc>
        <w:tc>
          <w:tcPr>
            <w:tcW w:w="622" w:type="pct"/>
            <w:vMerge w:val="continue"/>
            <w:tcBorders>
              <w:top w:val="single" w:color="000000" w:sz="4" w:space="0"/>
              <w:left w:val="single" w:color="000000" w:sz="4" w:space="0"/>
              <w:bottom w:val="single" w:color="000000" w:sz="4" w:space="0"/>
              <w:right w:val="single" w:color="000000" w:sz="4" w:space="0"/>
            </w:tcBorders>
            <w:shd w:val="clear" w:color="000000" w:fill="FFFFFF"/>
            <w:vAlign w:val="center"/>
          </w:tcPr>
          <w:p w14:paraId="630BE7DE">
            <w:pPr>
              <w:keepNext/>
              <w:snapToGrid w:val="0"/>
              <w:ind w:left="0" w:leftChars="0" w:right="0" w:rightChars="0" w:firstLine="0" w:firstLineChars="0"/>
              <w:jc w:val="center"/>
              <w:rPr>
                <w:rFonts w:hint="eastAsia" w:ascii="宋体" w:hAnsi="宋体" w:eastAsia="宋体" w:cs="宋体"/>
                <w:b/>
                <w:bCs/>
                <w:i w:val="0"/>
                <w:iCs w:val="0"/>
                <w:color w:val="000000"/>
                <w:sz w:val="16"/>
                <w:szCs w:val="16"/>
                <w:highlight w:val="none"/>
                <w:u w:val="none"/>
              </w:rPr>
            </w:pPr>
          </w:p>
        </w:tc>
      </w:tr>
      <w:tr w14:paraId="10500E8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287" w:type="pct"/>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334F7DC6">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1</w:t>
            </w:r>
          </w:p>
        </w:tc>
        <w:tc>
          <w:tcPr>
            <w:tcW w:w="373" w:type="pct"/>
            <w:tcBorders>
              <w:top w:val="single" w:color="000000" w:sz="4" w:space="0"/>
              <w:left w:val="single" w:color="000000" w:sz="4" w:space="0"/>
              <w:bottom w:val="single" w:color="000000" w:sz="4" w:space="0"/>
              <w:right w:val="single" w:color="000000" w:sz="4" w:space="0"/>
            </w:tcBorders>
            <w:shd w:val="clear" w:color="000000" w:fill="FFFFFF"/>
            <w:vAlign w:val="center"/>
          </w:tcPr>
          <w:p w14:paraId="298FD153">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前台</w:t>
            </w:r>
          </w:p>
        </w:tc>
        <w:tc>
          <w:tcPr>
            <w:tcW w:w="2635" w:type="pct"/>
            <w:tcBorders>
              <w:top w:val="single" w:color="000000" w:sz="4" w:space="0"/>
              <w:left w:val="single" w:color="000000" w:sz="4" w:space="0"/>
              <w:bottom w:val="single" w:color="000000" w:sz="4" w:space="0"/>
              <w:right w:val="single" w:color="000000" w:sz="4" w:space="0"/>
            </w:tcBorders>
            <w:shd w:val="clear" w:color="000000" w:fill="FFFFFF"/>
            <w:vAlign w:val="center"/>
          </w:tcPr>
          <w:p w14:paraId="48D8A321">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6"/>
                <w:szCs w:val="16"/>
                <w:highlight w:val="none"/>
                <w:u w:val="none"/>
                <w:lang w:val="en-US" w:eastAsia="zh-CN" w:bidi="ar"/>
              </w:rPr>
            </w:pPr>
            <w:r>
              <w:rPr>
                <w:rFonts w:hint="eastAsia" w:ascii="宋体" w:hAnsi="宋体" w:eastAsia="宋体" w:cs="宋体"/>
                <w:i w:val="0"/>
                <w:iCs w:val="0"/>
                <w:color w:val="000000"/>
                <w:kern w:val="0"/>
                <w:sz w:val="16"/>
                <w:szCs w:val="16"/>
                <w:highlight w:val="none"/>
                <w:u w:val="none"/>
                <w:lang w:val="en-US" w:eastAsia="zh-CN" w:bidi="ar"/>
              </w:rPr>
              <w:t>1.尺寸：正面12米，双侧面转角3米，高度1.1米，深度0.45米；</w:t>
            </w:r>
          </w:p>
          <w:p w14:paraId="0628A2AA">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6"/>
                <w:szCs w:val="16"/>
                <w:highlight w:val="none"/>
                <w:u w:val="none"/>
                <w:lang w:val="en-US" w:eastAsia="zh-CN" w:bidi="ar"/>
              </w:rPr>
            </w:pPr>
            <w:r>
              <w:rPr>
                <w:rFonts w:hint="eastAsia" w:ascii="宋体" w:hAnsi="宋体" w:eastAsia="宋体" w:cs="宋体"/>
                <w:i w:val="0"/>
                <w:iCs w:val="0"/>
                <w:color w:val="000000"/>
                <w:kern w:val="0"/>
                <w:sz w:val="16"/>
                <w:szCs w:val="16"/>
                <w:highlight w:val="none"/>
                <w:u w:val="none"/>
                <w:lang w:val="en-US" w:eastAsia="zh-CN" w:bidi="ar"/>
              </w:rPr>
              <w:t>2.基材：采用品牌实木颗粒板，甲醛释放量符合E1级标准；</w:t>
            </w:r>
          </w:p>
          <w:p w14:paraId="5C22DA0B">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6"/>
                <w:szCs w:val="16"/>
                <w:highlight w:val="none"/>
                <w:u w:val="none"/>
                <w:lang w:val="en-US" w:eastAsia="zh-CN" w:bidi="ar"/>
              </w:rPr>
            </w:pPr>
            <w:r>
              <w:rPr>
                <w:rFonts w:hint="eastAsia" w:ascii="宋体" w:hAnsi="宋体" w:eastAsia="宋体" w:cs="宋体"/>
                <w:i w:val="0"/>
                <w:iCs w:val="0"/>
                <w:color w:val="000000"/>
                <w:kern w:val="0"/>
                <w:sz w:val="16"/>
                <w:szCs w:val="16"/>
                <w:highlight w:val="none"/>
                <w:u w:val="none"/>
                <w:lang w:val="en-US" w:eastAsia="zh-CN" w:bidi="ar"/>
              </w:rPr>
              <w:t>3.贴面材料：采用实木皮，厚度0.6㎜；</w:t>
            </w:r>
          </w:p>
          <w:p w14:paraId="3436FE03">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6"/>
                <w:szCs w:val="16"/>
                <w:highlight w:val="none"/>
                <w:u w:val="none"/>
                <w:lang w:val="en-US" w:eastAsia="zh-CN" w:bidi="ar"/>
              </w:rPr>
            </w:pPr>
            <w:r>
              <w:rPr>
                <w:rFonts w:hint="eastAsia" w:ascii="宋体" w:hAnsi="宋体" w:eastAsia="宋体" w:cs="宋体"/>
                <w:i w:val="0"/>
                <w:iCs w:val="0"/>
                <w:color w:val="000000"/>
                <w:kern w:val="0"/>
                <w:sz w:val="16"/>
                <w:szCs w:val="16"/>
                <w:highlight w:val="none"/>
                <w:u w:val="none"/>
                <w:lang w:val="en-US" w:eastAsia="zh-CN" w:bidi="ar"/>
              </w:rPr>
              <w:t>4.油漆：采用五底三面亚光透明油漆工艺。经过十二道油漆工序。表面纹理清晰无颗粒、无气泡、无渣点，颜色均匀，外部油漆厚度≥1.2㎜，甲醛含量&lt;0.5mg/L；</w:t>
            </w:r>
          </w:p>
          <w:p w14:paraId="3806D231">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6"/>
                <w:szCs w:val="16"/>
                <w:highlight w:val="none"/>
                <w:u w:val="none"/>
                <w:lang w:val="en-US" w:eastAsia="zh-CN" w:bidi="ar"/>
              </w:rPr>
            </w:pPr>
            <w:r>
              <w:rPr>
                <w:rFonts w:hint="eastAsia" w:ascii="宋体" w:hAnsi="宋体" w:eastAsia="宋体" w:cs="宋体"/>
                <w:i w:val="0"/>
                <w:iCs w:val="0"/>
                <w:color w:val="000000"/>
                <w:kern w:val="0"/>
                <w:sz w:val="16"/>
                <w:szCs w:val="16"/>
                <w:highlight w:val="none"/>
                <w:u w:val="none"/>
                <w:lang w:val="en-US" w:eastAsia="zh-CN" w:bidi="ar"/>
              </w:rPr>
              <w:t>5.粘胶：均采用符合国家标准的品牌白乳胶，粘合强度大，粘合时间长符合标准要求；</w:t>
            </w:r>
          </w:p>
          <w:p w14:paraId="78C1D7D0">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6"/>
                <w:szCs w:val="16"/>
                <w:highlight w:val="none"/>
                <w:u w:val="none"/>
                <w:lang w:val="en-US" w:eastAsia="zh-CN" w:bidi="ar"/>
              </w:rPr>
            </w:pPr>
            <w:r>
              <w:rPr>
                <w:rFonts w:hint="eastAsia" w:ascii="宋体" w:hAnsi="宋体" w:eastAsia="宋体" w:cs="宋体"/>
                <w:i w:val="0"/>
                <w:iCs w:val="0"/>
                <w:color w:val="000000"/>
                <w:kern w:val="0"/>
                <w:sz w:val="16"/>
                <w:szCs w:val="16"/>
                <w:highlight w:val="none"/>
                <w:u w:val="none"/>
                <w:lang w:val="en-US" w:eastAsia="zh-CN" w:bidi="ar"/>
              </w:rPr>
              <w:t>6.五金配件：采用品牌优质五金配件；</w:t>
            </w:r>
          </w:p>
          <w:p w14:paraId="05A94EB4">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7.成品采购安装；</w:t>
            </w:r>
          </w:p>
        </w:tc>
        <w:tc>
          <w:tcPr>
            <w:tcW w:w="265"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764BAEDD">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套</w:t>
            </w:r>
          </w:p>
        </w:tc>
        <w:tc>
          <w:tcPr>
            <w:tcW w:w="294" w:type="pct"/>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79F6E61E">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1</w:t>
            </w:r>
          </w:p>
        </w:tc>
        <w:tc>
          <w:tcPr>
            <w:tcW w:w="520" w:type="pct"/>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4BAB8DC4">
            <w:pPr>
              <w:keepNext/>
              <w:keepLines w:val="0"/>
              <w:widowControl/>
              <w:suppressLineNumbers w:val="0"/>
              <w:snapToGrid w:val="0"/>
              <w:spacing w:line="240" w:lineRule="auto"/>
              <w:ind w:left="0" w:leftChars="0" w:right="0" w:rightChars="0" w:firstLine="0" w:firstLineChars="0"/>
              <w:jc w:val="righ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 xml:space="preserve">21242.90 </w:t>
            </w:r>
          </w:p>
        </w:tc>
        <w:tc>
          <w:tcPr>
            <w:tcW w:w="622" w:type="pct"/>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7576275D">
            <w:pPr>
              <w:keepNext/>
              <w:keepLines w:val="0"/>
              <w:widowControl/>
              <w:suppressLineNumbers w:val="0"/>
              <w:snapToGrid w:val="0"/>
              <w:spacing w:line="240" w:lineRule="auto"/>
              <w:ind w:left="0" w:leftChars="0" w:right="0" w:rightChars="0" w:firstLine="0" w:firstLineChars="0"/>
              <w:jc w:val="righ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 xml:space="preserve">21242.90 </w:t>
            </w:r>
          </w:p>
        </w:tc>
      </w:tr>
      <w:tr w14:paraId="5C4BB9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287" w:type="pct"/>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4E8D8D38">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2</w:t>
            </w:r>
          </w:p>
        </w:tc>
        <w:tc>
          <w:tcPr>
            <w:tcW w:w="373" w:type="pct"/>
            <w:tcBorders>
              <w:top w:val="single" w:color="000000" w:sz="4" w:space="0"/>
              <w:left w:val="single" w:color="000000" w:sz="4" w:space="0"/>
              <w:bottom w:val="single" w:color="000000" w:sz="4" w:space="0"/>
              <w:right w:val="single" w:color="000000" w:sz="4" w:space="0"/>
            </w:tcBorders>
            <w:shd w:val="clear" w:color="000000" w:fill="FFFFFF"/>
            <w:vAlign w:val="center"/>
          </w:tcPr>
          <w:p w14:paraId="49D47879">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文件柜（会议室）</w:t>
            </w:r>
          </w:p>
        </w:tc>
        <w:tc>
          <w:tcPr>
            <w:tcW w:w="2635" w:type="pct"/>
            <w:tcBorders>
              <w:top w:val="single" w:color="000000" w:sz="4" w:space="0"/>
              <w:left w:val="single" w:color="000000" w:sz="4" w:space="0"/>
              <w:bottom w:val="single" w:color="000000" w:sz="4" w:space="0"/>
              <w:right w:val="single" w:color="000000" w:sz="4" w:space="0"/>
            </w:tcBorders>
            <w:shd w:val="clear" w:color="000000" w:fill="FFFFFF"/>
            <w:vAlign w:val="center"/>
          </w:tcPr>
          <w:p w14:paraId="067B76EB">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6"/>
                <w:szCs w:val="16"/>
                <w:highlight w:val="none"/>
                <w:u w:val="none"/>
                <w:lang w:val="en-US" w:eastAsia="zh-CN" w:bidi="ar"/>
              </w:rPr>
            </w:pPr>
            <w:r>
              <w:rPr>
                <w:rFonts w:hint="eastAsia" w:ascii="宋体" w:hAnsi="宋体" w:eastAsia="宋体" w:cs="宋体"/>
                <w:i w:val="0"/>
                <w:iCs w:val="0"/>
                <w:color w:val="000000"/>
                <w:kern w:val="0"/>
                <w:sz w:val="16"/>
                <w:szCs w:val="16"/>
                <w:highlight w:val="none"/>
                <w:u w:val="none"/>
                <w:lang w:val="en-US" w:eastAsia="zh-CN" w:bidi="ar"/>
              </w:rPr>
              <w:t>1.文件柜尺寸：1.2*0.4*2m</w:t>
            </w:r>
          </w:p>
          <w:p w14:paraId="3CE6D592">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6"/>
                <w:szCs w:val="16"/>
                <w:highlight w:val="none"/>
                <w:u w:val="none"/>
                <w:lang w:val="en-US" w:eastAsia="zh-CN" w:bidi="ar"/>
              </w:rPr>
            </w:pPr>
            <w:r>
              <w:rPr>
                <w:rFonts w:hint="eastAsia" w:ascii="宋体" w:hAnsi="宋体" w:eastAsia="宋体" w:cs="宋体"/>
                <w:i w:val="0"/>
                <w:iCs w:val="0"/>
                <w:color w:val="000000"/>
                <w:kern w:val="0"/>
                <w:sz w:val="16"/>
                <w:szCs w:val="16"/>
                <w:highlight w:val="none"/>
                <w:u w:val="none"/>
                <w:lang w:val="en-US" w:eastAsia="zh-CN" w:bidi="ar"/>
              </w:rPr>
              <w:t>2.基材：环保型中纤板，甲醛释放量符合E1级标准；</w:t>
            </w:r>
          </w:p>
          <w:p w14:paraId="231BD3F9">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6"/>
                <w:szCs w:val="16"/>
                <w:highlight w:val="none"/>
                <w:u w:val="none"/>
                <w:lang w:val="en-US" w:eastAsia="zh-CN" w:bidi="ar"/>
              </w:rPr>
            </w:pPr>
            <w:r>
              <w:rPr>
                <w:rFonts w:hint="eastAsia" w:ascii="宋体" w:hAnsi="宋体" w:eastAsia="宋体" w:cs="宋体"/>
                <w:i w:val="0"/>
                <w:iCs w:val="0"/>
                <w:color w:val="000000"/>
                <w:kern w:val="0"/>
                <w:sz w:val="16"/>
                <w:szCs w:val="16"/>
                <w:highlight w:val="none"/>
                <w:u w:val="none"/>
                <w:lang w:val="en-US" w:eastAsia="zh-CN" w:bidi="ar"/>
              </w:rPr>
              <w:t>3.贴面材料：贴实木皮，厚度0.6㎜；</w:t>
            </w:r>
          </w:p>
          <w:p w14:paraId="4BFD1341">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6"/>
                <w:szCs w:val="16"/>
                <w:highlight w:val="none"/>
                <w:u w:val="none"/>
                <w:lang w:val="en-US" w:eastAsia="zh-CN" w:bidi="ar"/>
              </w:rPr>
            </w:pPr>
            <w:r>
              <w:rPr>
                <w:rFonts w:hint="eastAsia" w:ascii="宋体" w:hAnsi="宋体" w:eastAsia="宋体" w:cs="宋体"/>
                <w:i w:val="0"/>
                <w:iCs w:val="0"/>
                <w:color w:val="000000"/>
                <w:kern w:val="0"/>
                <w:sz w:val="16"/>
                <w:szCs w:val="16"/>
                <w:highlight w:val="none"/>
                <w:u w:val="none"/>
                <w:lang w:val="en-US" w:eastAsia="zh-CN" w:bidi="ar"/>
              </w:rPr>
              <w:t>4.油漆：采用五底三面亚光透明油漆工艺。经过十二道油漆工序。表面纹理清晰无颗粒、无气泡、无渣点，颜色均匀，外部油漆厚度≥1.2㎜，甲醛含量&lt;0.5mg/L；</w:t>
            </w:r>
          </w:p>
          <w:p w14:paraId="09BC1722">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6"/>
                <w:szCs w:val="16"/>
                <w:highlight w:val="none"/>
                <w:u w:val="none"/>
                <w:lang w:val="en-US" w:eastAsia="zh-CN" w:bidi="ar"/>
              </w:rPr>
            </w:pPr>
            <w:r>
              <w:rPr>
                <w:rFonts w:hint="eastAsia" w:ascii="宋体" w:hAnsi="宋体" w:eastAsia="宋体" w:cs="宋体"/>
                <w:i w:val="0"/>
                <w:iCs w:val="0"/>
                <w:color w:val="000000"/>
                <w:kern w:val="0"/>
                <w:sz w:val="16"/>
                <w:szCs w:val="16"/>
                <w:highlight w:val="none"/>
                <w:u w:val="none"/>
                <w:lang w:val="en-US" w:eastAsia="zh-CN" w:bidi="ar"/>
              </w:rPr>
              <w:t>5.粘胶：均采用符合国家标准的品牌白乳胶，粘合强度大，粘合时间长符合标准要求；</w:t>
            </w:r>
          </w:p>
          <w:p w14:paraId="6230B5BB">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6"/>
                <w:szCs w:val="16"/>
                <w:highlight w:val="none"/>
                <w:u w:val="none"/>
                <w:lang w:val="en-US" w:eastAsia="zh-CN" w:bidi="ar"/>
              </w:rPr>
            </w:pPr>
            <w:r>
              <w:rPr>
                <w:rFonts w:hint="eastAsia" w:ascii="宋体" w:hAnsi="宋体" w:eastAsia="宋体" w:cs="宋体"/>
                <w:i w:val="0"/>
                <w:iCs w:val="0"/>
                <w:color w:val="000000"/>
                <w:kern w:val="0"/>
                <w:sz w:val="16"/>
                <w:szCs w:val="16"/>
                <w:highlight w:val="none"/>
                <w:u w:val="none"/>
                <w:lang w:val="en-US" w:eastAsia="zh-CN" w:bidi="ar"/>
              </w:rPr>
              <w:t>6.五金配件：采用品牌优质五金配件；</w:t>
            </w:r>
          </w:p>
          <w:p w14:paraId="2B0B09A3">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7.成品采购安装；</w:t>
            </w:r>
          </w:p>
        </w:tc>
        <w:tc>
          <w:tcPr>
            <w:tcW w:w="265"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1827083B">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套</w:t>
            </w:r>
          </w:p>
        </w:tc>
        <w:tc>
          <w:tcPr>
            <w:tcW w:w="294" w:type="pct"/>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4F7C76B4">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6</w:t>
            </w:r>
          </w:p>
        </w:tc>
        <w:tc>
          <w:tcPr>
            <w:tcW w:w="520" w:type="pct"/>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021360E3">
            <w:pPr>
              <w:keepNext/>
              <w:keepLines w:val="0"/>
              <w:widowControl/>
              <w:suppressLineNumbers w:val="0"/>
              <w:snapToGrid w:val="0"/>
              <w:spacing w:line="240" w:lineRule="auto"/>
              <w:ind w:left="0" w:leftChars="0" w:right="0" w:rightChars="0" w:firstLine="0" w:firstLineChars="0"/>
              <w:jc w:val="righ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 xml:space="preserve">867.06 </w:t>
            </w:r>
          </w:p>
        </w:tc>
        <w:tc>
          <w:tcPr>
            <w:tcW w:w="622" w:type="pct"/>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59A75009">
            <w:pPr>
              <w:keepNext/>
              <w:keepLines w:val="0"/>
              <w:widowControl/>
              <w:suppressLineNumbers w:val="0"/>
              <w:snapToGrid w:val="0"/>
              <w:spacing w:line="240" w:lineRule="auto"/>
              <w:ind w:left="0" w:leftChars="0" w:right="0" w:rightChars="0" w:firstLine="0" w:firstLineChars="0"/>
              <w:jc w:val="righ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 xml:space="preserve">5202.34 </w:t>
            </w:r>
          </w:p>
        </w:tc>
      </w:tr>
      <w:tr w14:paraId="636269A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287" w:type="pct"/>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6D32CCF8">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4</w:t>
            </w:r>
          </w:p>
        </w:tc>
        <w:tc>
          <w:tcPr>
            <w:tcW w:w="373" w:type="pct"/>
            <w:tcBorders>
              <w:top w:val="single" w:color="000000" w:sz="4" w:space="0"/>
              <w:left w:val="single" w:color="000000" w:sz="4" w:space="0"/>
              <w:bottom w:val="single" w:color="000000" w:sz="4" w:space="0"/>
              <w:right w:val="single" w:color="000000" w:sz="4" w:space="0"/>
            </w:tcBorders>
            <w:shd w:val="clear" w:color="000000" w:fill="FFFFFF"/>
            <w:vAlign w:val="center"/>
          </w:tcPr>
          <w:p w14:paraId="6D29FD55">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档案柜</w:t>
            </w:r>
          </w:p>
        </w:tc>
        <w:tc>
          <w:tcPr>
            <w:tcW w:w="2635" w:type="pct"/>
            <w:tcBorders>
              <w:top w:val="single" w:color="000000" w:sz="4" w:space="0"/>
              <w:left w:val="single" w:color="000000" w:sz="4" w:space="0"/>
              <w:bottom w:val="single" w:color="000000" w:sz="4" w:space="0"/>
              <w:right w:val="single" w:color="000000" w:sz="4" w:space="0"/>
            </w:tcBorders>
            <w:shd w:val="clear" w:color="000000" w:fill="FFFFFF"/>
            <w:vAlign w:val="center"/>
          </w:tcPr>
          <w:p w14:paraId="07259707">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6"/>
                <w:szCs w:val="16"/>
                <w:highlight w:val="none"/>
                <w:u w:val="none"/>
                <w:lang w:val="en-US" w:eastAsia="zh-CN" w:bidi="ar"/>
              </w:rPr>
            </w:pPr>
            <w:r>
              <w:rPr>
                <w:rFonts w:hint="eastAsia" w:ascii="宋体" w:hAnsi="宋体" w:eastAsia="宋体" w:cs="宋体"/>
                <w:i w:val="0"/>
                <w:iCs w:val="0"/>
                <w:color w:val="000000"/>
                <w:kern w:val="0"/>
                <w:sz w:val="16"/>
                <w:szCs w:val="16"/>
                <w:highlight w:val="none"/>
                <w:u w:val="none"/>
                <w:lang w:val="en-US" w:eastAsia="zh-CN" w:bidi="ar"/>
              </w:rPr>
              <w:t>1.档案柜,1.8*0.85*0.39m；</w:t>
            </w:r>
          </w:p>
          <w:p w14:paraId="65F9F2EC">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6"/>
                <w:szCs w:val="16"/>
                <w:highlight w:val="none"/>
                <w:u w:val="none"/>
                <w:lang w:val="en-US" w:eastAsia="zh-CN" w:bidi="ar"/>
              </w:rPr>
            </w:pPr>
            <w:r>
              <w:rPr>
                <w:rFonts w:hint="eastAsia" w:ascii="宋体" w:hAnsi="宋体" w:eastAsia="宋体" w:cs="宋体"/>
                <w:i w:val="0"/>
                <w:iCs w:val="0"/>
                <w:color w:val="000000"/>
                <w:kern w:val="0"/>
                <w:sz w:val="16"/>
                <w:szCs w:val="16"/>
                <w:highlight w:val="none"/>
                <w:u w:val="none"/>
                <w:lang w:val="en-US" w:eastAsia="zh-CN" w:bidi="ar"/>
              </w:rPr>
              <w:t>2.材料：喷塑,厚度0.4mm，材质：一级冷轧钢板；</w:t>
            </w:r>
          </w:p>
          <w:p w14:paraId="7980BAA4">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6"/>
                <w:szCs w:val="16"/>
                <w:highlight w:val="none"/>
                <w:u w:val="none"/>
                <w:lang w:val="en-US" w:eastAsia="zh-CN" w:bidi="ar"/>
              </w:rPr>
            </w:pPr>
            <w:r>
              <w:rPr>
                <w:rFonts w:hint="eastAsia" w:ascii="宋体" w:hAnsi="宋体" w:eastAsia="宋体" w:cs="宋体"/>
                <w:i w:val="0"/>
                <w:iCs w:val="0"/>
                <w:color w:val="000000"/>
                <w:kern w:val="0"/>
                <w:sz w:val="16"/>
                <w:szCs w:val="16"/>
                <w:highlight w:val="none"/>
                <w:u w:val="none"/>
                <w:lang w:val="en-US" w:eastAsia="zh-CN" w:bidi="ar"/>
              </w:rPr>
              <w:t>3.厚度≥0.4㎜，活动压条采用SGD光圆铁，涂装经隧道喷雾式十道防锈处理，全自动喷涂作业后烤漆，喷涂膜厚20UM以上，硬度达H级；</w:t>
            </w:r>
          </w:p>
          <w:p w14:paraId="6204C0A6">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6"/>
                <w:szCs w:val="16"/>
                <w:highlight w:val="none"/>
                <w:u w:val="none"/>
                <w:lang w:val="en-US" w:eastAsia="zh-CN" w:bidi="ar"/>
              </w:rPr>
            </w:pPr>
            <w:r>
              <w:rPr>
                <w:rFonts w:hint="eastAsia" w:ascii="宋体" w:hAnsi="宋体" w:eastAsia="宋体" w:cs="宋体"/>
                <w:i w:val="0"/>
                <w:iCs w:val="0"/>
                <w:color w:val="000000"/>
                <w:kern w:val="0"/>
                <w:sz w:val="16"/>
                <w:szCs w:val="16"/>
                <w:highlight w:val="none"/>
                <w:u w:val="none"/>
                <w:lang w:val="en-US" w:eastAsia="zh-CN" w:bidi="ar"/>
              </w:rPr>
              <w:t>4.结构：上下平开门；</w:t>
            </w:r>
          </w:p>
          <w:p w14:paraId="46BA5C8F">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5.成品采购安装；</w:t>
            </w:r>
          </w:p>
        </w:tc>
        <w:tc>
          <w:tcPr>
            <w:tcW w:w="265"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40322D6E">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个</w:t>
            </w:r>
          </w:p>
        </w:tc>
        <w:tc>
          <w:tcPr>
            <w:tcW w:w="294" w:type="pct"/>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227FF751">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38</w:t>
            </w:r>
          </w:p>
        </w:tc>
        <w:tc>
          <w:tcPr>
            <w:tcW w:w="520" w:type="pct"/>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56FC5A60">
            <w:pPr>
              <w:keepNext/>
              <w:keepLines w:val="0"/>
              <w:widowControl/>
              <w:suppressLineNumbers w:val="0"/>
              <w:snapToGrid w:val="0"/>
              <w:spacing w:line="240" w:lineRule="auto"/>
              <w:ind w:left="0" w:leftChars="0" w:right="0" w:rightChars="0" w:firstLine="0" w:firstLineChars="0"/>
              <w:jc w:val="righ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 xml:space="preserve">867.06 </w:t>
            </w:r>
          </w:p>
        </w:tc>
        <w:tc>
          <w:tcPr>
            <w:tcW w:w="622" w:type="pct"/>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693DDF66">
            <w:pPr>
              <w:keepNext/>
              <w:keepLines w:val="0"/>
              <w:widowControl/>
              <w:suppressLineNumbers w:val="0"/>
              <w:snapToGrid w:val="0"/>
              <w:spacing w:line="240" w:lineRule="auto"/>
              <w:ind w:left="0" w:leftChars="0" w:right="0" w:rightChars="0" w:firstLine="0" w:firstLineChars="0"/>
              <w:jc w:val="righ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 xml:space="preserve">32948.17 </w:t>
            </w:r>
          </w:p>
        </w:tc>
      </w:tr>
      <w:tr w14:paraId="3BE2EFF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287" w:type="pct"/>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0128A5C1">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5</w:t>
            </w:r>
          </w:p>
        </w:tc>
        <w:tc>
          <w:tcPr>
            <w:tcW w:w="373" w:type="pct"/>
            <w:tcBorders>
              <w:top w:val="single" w:color="000000" w:sz="4" w:space="0"/>
              <w:left w:val="single" w:color="000000" w:sz="4" w:space="0"/>
              <w:bottom w:val="single" w:color="000000" w:sz="4" w:space="0"/>
              <w:right w:val="single" w:color="000000" w:sz="4" w:space="0"/>
            </w:tcBorders>
            <w:shd w:val="clear" w:color="000000" w:fill="FFFFFF"/>
            <w:vAlign w:val="center"/>
          </w:tcPr>
          <w:p w14:paraId="14A12791">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会议桌</w:t>
            </w:r>
          </w:p>
        </w:tc>
        <w:tc>
          <w:tcPr>
            <w:tcW w:w="2635" w:type="pct"/>
            <w:tcBorders>
              <w:top w:val="single" w:color="000000" w:sz="4" w:space="0"/>
              <w:left w:val="single" w:color="000000" w:sz="4" w:space="0"/>
              <w:bottom w:val="single" w:color="000000" w:sz="4" w:space="0"/>
              <w:right w:val="single" w:color="000000" w:sz="4" w:space="0"/>
            </w:tcBorders>
            <w:shd w:val="clear" w:color="000000" w:fill="FFFFFF"/>
            <w:vAlign w:val="center"/>
          </w:tcPr>
          <w:p w14:paraId="6DB7A3F6">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6"/>
                <w:szCs w:val="16"/>
                <w:highlight w:val="none"/>
                <w:u w:val="none"/>
                <w:lang w:val="en-US" w:eastAsia="zh-CN" w:bidi="ar"/>
              </w:rPr>
            </w:pPr>
            <w:r>
              <w:rPr>
                <w:rFonts w:hint="eastAsia" w:ascii="宋体" w:hAnsi="宋体" w:eastAsia="宋体" w:cs="宋体"/>
                <w:i w:val="0"/>
                <w:iCs w:val="0"/>
                <w:color w:val="000000"/>
                <w:kern w:val="0"/>
                <w:sz w:val="16"/>
                <w:szCs w:val="16"/>
                <w:highlight w:val="none"/>
                <w:u w:val="none"/>
                <w:lang w:val="en-US" w:eastAsia="zh-CN" w:bidi="ar"/>
              </w:rPr>
              <w:t>1.会议桌，6.6*2.2*0.75m；</w:t>
            </w:r>
          </w:p>
          <w:p w14:paraId="2E4E0075">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6"/>
                <w:szCs w:val="16"/>
                <w:highlight w:val="none"/>
                <w:u w:val="none"/>
                <w:lang w:val="en-US" w:eastAsia="zh-CN" w:bidi="ar"/>
              </w:rPr>
            </w:pPr>
            <w:r>
              <w:rPr>
                <w:rFonts w:hint="eastAsia" w:ascii="宋体" w:hAnsi="宋体" w:eastAsia="宋体" w:cs="宋体"/>
                <w:i w:val="0"/>
                <w:iCs w:val="0"/>
                <w:color w:val="000000"/>
                <w:kern w:val="0"/>
                <w:sz w:val="16"/>
                <w:szCs w:val="16"/>
                <w:highlight w:val="none"/>
                <w:u w:val="none"/>
                <w:lang w:val="en-US" w:eastAsia="zh-CN" w:bidi="ar"/>
              </w:rPr>
              <w:t>2.基材：采用E1级优质环保中密度纤维板，密度为840㎏/m3,游离甲醛量9.1mg/100mg，含水率7.4%，板材经防潮；</w:t>
            </w:r>
          </w:p>
          <w:p w14:paraId="541ED6AB">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6"/>
                <w:szCs w:val="16"/>
                <w:highlight w:val="none"/>
                <w:u w:val="none"/>
                <w:lang w:val="en-US" w:eastAsia="zh-CN" w:bidi="ar"/>
              </w:rPr>
            </w:pPr>
            <w:r>
              <w:rPr>
                <w:rFonts w:hint="eastAsia" w:ascii="宋体" w:hAnsi="宋体" w:eastAsia="宋体" w:cs="宋体"/>
                <w:i w:val="0"/>
                <w:iCs w:val="0"/>
                <w:color w:val="000000"/>
                <w:kern w:val="0"/>
                <w:sz w:val="16"/>
                <w:szCs w:val="16"/>
                <w:highlight w:val="none"/>
                <w:u w:val="none"/>
                <w:lang w:val="en-US" w:eastAsia="zh-CN" w:bidi="ar"/>
              </w:rPr>
              <w:t>3.面材：表面贴≥0.6㎜厚AAA级胡桃木皮，所有截面均用≥8㎜厚橡木封边，橡木经防潮、防腐、防虫化学处理，含水率为8-11%。台面成型厚度为60㎜厚；</w:t>
            </w:r>
          </w:p>
          <w:p w14:paraId="3179FE77">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6"/>
                <w:szCs w:val="16"/>
                <w:highlight w:val="none"/>
                <w:u w:val="none"/>
                <w:lang w:val="en-US" w:eastAsia="zh-CN" w:bidi="ar"/>
              </w:rPr>
            </w:pPr>
            <w:r>
              <w:rPr>
                <w:rFonts w:hint="eastAsia" w:ascii="宋体" w:hAnsi="宋体" w:eastAsia="宋体" w:cs="宋体"/>
                <w:i w:val="0"/>
                <w:iCs w:val="0"/>
                <w:color w:val="000000"/>
                <w:kern w:val="0"/>
                <w:sz w:val="16"/>
                <w:szCs w:val="16"/>
                <w:highlight w:val="none"/>
                <w:u w:val="none"/>
                <w:lang w:val="en-US" w:eastAsia="zh-CN" w:bidi="ar"/>
              </w:rPr>
              <w:t>4.油漆：均采用PU透明底漆作全封闭处理。“PU”5分消透明面漆饰面，经三底二面工艺工序处理，表面纹理清晰无颗粒、无气泡、无渣点，颜色均匀，硬度高，漆膜厚度；</w:t>
            </w:r>
          </w:p>
          <w:p w14:paraId="3B7D6B8C">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5.成品采购安装；</w:t>
            </w:r>
          </w:p>
        </w:tc>
        <w:tc>
          <w:tcPr>
            <w:tcW w:w="265"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6982CD79">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张</w:t>
            </w:r>
          </w:p>
        </w:tc>
        <w:tc>
          <w:tcPr>
            <w:tcW w:w="294" w:type="pct"/>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08BCBEDC">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1</w:t>
            </w:r>
          </w:p>
        </w:tc>
        <w:tc>
          <w:tcPr>
            <w:tcW w:w="520" w:type="pct"/>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729BAE49">
            <w:pPr>
              <w:keepNext/>
              <w:keepLines w:val="0"/>
              <w:widowControl/>
              <w:suppressLineNumbers w:val="0"/>
              <w:snapToGrid w:val="0"/>
              <w:spacing w:line="240" w:lineRule="auto"/>
              <w:ind w:left="0" w:leftChars="0" w:right="0" w:rightChars="0" w:firstLine="0" w:firstLineChars="0"/>
              <w:jc w:val="righ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 xml:space="preserve">9712.58 </w:t>
            </w:r>
          </w:p>
        </w:tc>
        <w:tc>
          <w:tcPr>
            <w:tcW w:w="622" w:type="pct"/>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41866C60">
            <w:pPr>
              <w:keepNext/>
              <w:keepLines w:val="0"/>
              <w:widowControl/>
              <w:suppressLineNumbers w:val="0"/>
              <w:snapToGrid w:val="0"/>
              <w:spacing w:line="240" w:lineRule="auto"/>
              <w:ind w:left="0" w:leftChars="0" w:right="0" w:rightChars="0" w:firstLine="0" w:firstLineChars="0"/>
              <w:jc w:val="righ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 xml:space="preserve">9712.58 </w:t>
            </w:r>
          </w:p>
        </w:tc>
      </w:tr>
      <w:tr w14:paraId="0629245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287" w:type="pct"/>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3FD1CC7D">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6</w:t>
            </w:r>
          </w:p>
        </w:tc>
        <w:tc>
          <w:tcPr>
            <w:tcW w:w="373" w:type="pct"/>
            <w:tcBorders>
              <w:top w:val="single" w:color="000000" w:sz="4" w:space="0"/>
              <w:left w:val="single" w:color="000000" w:sz="4" w:space="0"/>
              <w:bottom w:val="single" w:color="000000" w:sz="4" w:space="0"/>
              <w:right w:val="single" w:color="000000" w:sz="4" w:space="0"/>
            </w:tcBorders>
            <w:shd w:val="clear" w:color="000000" w:fill="FFFFFF"/>
            <w:vAlign w:val="center"/>
          </w:tcPr>
          <w:p w14:paraId="0B8B0BBF">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会议椅</w:t>
            </w:r>
          </w:p>
        </w:tc>
        <w:tc>
          <w:tcPr>
            <w:tcW w:w="2635" w:type="pct"/>
            <w:tcBorders>
              <w:top w:val="single" w:color="000000" w:sz="4" w:space="0"/>
              <w:left w:val="single" w:color="000000" w:sz="4" w:space="0"/>
              <w:bottom w:val="single" w:color="000000" w:sz="4" w:space="0"/>
              <w:right w:val="single" w:color="000000" w:sz="4" w:space="0"/>
            </w:tcBorders>
            <w:shd w:val="clear" w:color="000000" w:fill="FFFFFF"/>
            <w:vAlign w:val="center"/>
          </w:tcPr>
          <w:p w14:paraId="140724DC">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6"/>
                <w:szCs w:val="16"/>
                <w:highlight w:val="none"/>
                <w:u w:val="none"/>
                <w:lang w:val="en-US" w:eastAsia="zh-CN" w:bidi="ar"/>
              </w:rPr>
            </w:pPr>
            <w:r>
              <w:rPr>
                <w:rFonts w:hint="eastAsia" w:ascii="宋体" w:hAnsi="宋体" w:eastAsia="宋体" w:cs="宋体"/>
                <w:i w:val="0"/>
                <w:iCs w:val="0"/>
                <w:color w:val="000000"/>
                <w:kern w:val="0"/>
                <w:sz w:val="16"/>
                <w:szCs w:val="16"/>
                <w:highlight w:val="none"/>
                <w:u w:val="none"/>
                <w:lang w:val="en-US" w:eastAsia="zh-CN" w:bidi="ar"/>
              </w:rPr>
              <w:t>1.会议椅，0.62*0.56*1.08m；</w:t>
            </w:r>
          </w:p>
          <w:p w14:paraId="069DAC43">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6"/>
                <w:szCs w:val="16"/>
                <w:highlight w:val="none"/>
                <w:u w:val="none"/>
                <w:lang w:val="en-US" w:eastAsia="zh-CN" w:bidi="ar"/>
              </w:rPr>
            </w:pPr>
            <w:r>
              <w:rPr>
                <w:rFonts w:hint="eastAsia" w:ascii="宋体" w:hAnsi="宋体" w:eastAsia="宋体" w:cs="宋体"/>
                <w:i w:val="0"/>
                <w:iCs w:val="0"/>
                <w:color w:val="000000"/>
                <w:kern w:val="0"/>
                <w:sz w:val="16"/>
                <w:szCs w:val="16"/>
                <w:highlight w:val="none"/>
                <w:u w:val="none"/>
                <w:lang w:val="en-US" w:eastAsia="zh-CN" w:bidi="ar"/>
              </w:rPr>
              <w:t>2.面料：优质皮革，外观色泽均匀、自然、皮纹细腻、手感柔软、透气性佳，厚度1.5㎜，撕裂强求度35N/㎜，断裂伸长率＜80%，颜色摩擦牢度＞4.5级，扪皮平整，倒角；</w:t>
            </w:r>
          </w:p>
          <w:p w14:paraId="1CD85E4E">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6"/>
                <w:szCs w:val="16"/>
                <w:highlight w:val="none"/>
                <w:u w:val="none"/>
                <w:lang w:val="en-US" w:eastAsia="zh-CN" w:bidi="ar"/>
              </w:rPr>
            </w:pPr>
            <w:r>
              <w:rPr>
                <w:rFonts w:hint="eastAsia" w:ascii="宋体" w:hAnsi="宋体" w:eastAsia="宋体" w:cs="宋体"/>
                <w:i w:val="0"/>
                <w:iCs w:val="0"/>
                <w:color w:val="000000"/>
                <w:kern w:val="0"/>
                <w:sz w:val="16"/>
                <w:szCs w:val="16"/>
                <w:highlight w:val="none"/>
                <w:u w:val="none"/>
                <w:lang w:val="en-US" w:eastAsia="zh-CN" w:bidi="ar"/>
              </w:rPr>
              <w:t>3.海绵：坐垫及靠背：采用P.U发泡阻燃海绵海绵，软硬适中，密度55㎏/m3，回弹力52%；坐靠曲木板材依据人体工程学原理设计采用1.5㎜夹板八层垫压成型，成型板材12㎜厚，板材承受压力310㎏；</w:t>
            </w:r>
          </w:p>
          <w:p w14:paraId="74BE1540">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4.成品采购安装；</w:t>
            </w:r>
          </w:p>
        </w:tc>
        <w:tc>
          <w:tcPr>
            <w:tcW w:w="265"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63AC9901">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条</w:t>
            </w:r>
          </w:p>
        </w:tc>
        <w:tc>
          <w:tcPr>
            <w:tcW w:w="294" w:type="pct"/>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1D257A27">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32</w:t>
            </w:r>
          </w:p>
        </w:tc>
        <w:tc>
          <w:tcPr>
            <w:tcW w:w="520" w:type="pct"/>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0D37F86">
            <w:pPr>
              <w:keepNext/>
              <w:keepLines w:val="0"/>
              <w:widowControl/>
              <w:suppressLineNumbers w:val="0"/>
              <w:snapToGrid w:val="0"/>
              <w:spacing w:line="240" w:lineRule="auto"/>
              <w:ind w:left="0" w:leftChars="0" w:right="0" w:rightChars="0" w:firstLine="0" w:firstLineChars="0"/>
              <w:jc w:val="righ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 xml:space="preserve">346.82 </w:t>
            </w:r>
          </w:p>
        </w:tc>
        <w:tc>
          <w:tcPr>
            <w:tcW w:w="622" w:type="pct"/>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4DA9DD4C">
            <w:pPr>
              <w:keepNext/>
              <w:keepLines w:val="0"/>
              <w:widowControl/>
              <w:suppressLineNumbers w:val="0"/>
              <w:snapToGrid w:val="0"/>
              <w:spacing w:line="240" w:lineRule="auto"/>
              <w:ind w:left="0" w:leftChars="0" w:right="0" w:rightChars="0" w:firstLine="0" w:firstLineChars="0"/>
              <w:jc w:val="righ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 xml:space="preserve">11098.33 </w:t>
            </w:r>
          </w:p>
        </w:tc>
      </w:tr>
      <w:tr w14:paraId="0A16CCD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287" w:type="pct"/>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13B3BB0">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7</w:t>
            </w:r>
          </w:p>
        </w:tc>
        <w:tc>
          <w:tcPr>
            <w:tcW w:w="373" w:type="pct"/>
            <w:tcBorders>
              <w:top w:val="single" w:color="000000" w:sz="4" w:space="0"/>
              <w:left w:val="single" w:color="000000" w:sz="4" w:space="0"/>
              <w:bottom w:val="single" w:color="000000" w:sz="4" w:space="0"/>
              <w:right w:val="single" w:color="000000" w:sz="4" w:space="0"/>
            </w:tcBorders>
            <w:shd w:val="clear" w:color="000000" w:fill="FFFFFF"/>
            <w:vAlign w:val="center"/>
          </w:tcPr>
          <w:p w14:paraId="02F0B60C">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不锈钢垃圾桶</w:t>
            </w:r>
          </w:p>
        </w:tc>
        <w:tc>
          <w:tcPr>
            <w:tcW w:w="2635" w:type="pct"/>
            <w:tcBorders>
              <w:top w:val="single" w:color="000000" w:sz="4" w:space="0"/>
              <w:left w:val="single" w:color="000000" w:sz="4" w:space="0"/>
              <w:bottom w:val="single" w:color="000000" w:sz="4" w:space="0"/>
              <w:right w:val="single" w:color="000000" w:sz="4" w:space="0"/>
            </w:tcBorders>
            <w:shd w:val="clear" w:color="000000" w:fill="FFFFFF"/>
            <w:vAlign w:val="center"/>
          </w:tcPr>
          <w:p w14:paraId="148B989A">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1.材质：无指纹不锈钢，0.33*0.33*0.77m高灭烟款</w:t>
            </w:r>
          </w:p>
        </w:tc>
        <w:tc>
          <w:tcPr>
            <w:tcW w:w="265"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7758DE1A">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个</w:t>
            </w:r>
          </w:p>
        </w:tc>
        <w:tc>
          <w:tcPr>
            <w:tcW w:w="294" w:type="pct"/>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12A71C89">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38</w:t>
            </w:r>
          </w:p>
        </w:tc>
        <w:tc>
          <w:tcPr>
            <w:tcW w:w="520" w:type="pct"/>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22993CCD">
            <w:pPr>
              <w:keepNext/>
              <w:keepLines w:val="0"/>
              <w:widowControl/>
              <w:suppressLineNumbers w:val="0"/>
              <w:snapToGrid w:val="0"/>
              <w:spacing w:line="240" w:lineRule="auto"/>
              <w:ind w:left="0" w:leftChars="0" w:right="0" w:rightChars="0" w:firstLine="0" w:firstLineChars="0"/>
              <w:jc w:val="righ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 xml:space="preserve">475.73 </w:t>
            </w:r>
          </w:p>
        </w:tc>
        <w:tc>
          <w:tcPr>
            <w:tcW w:w="622" w:type="pct"/>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1CD9B779">
            <w:pPr>
              <w:keepNext/>
              <w:keepLines w:val="0"/>
              <w:widowControl/>
              <w:suppressLineNumbers w:val="0"/>
              <w:snapToGrid w:val="0"/>
              <w:spacing w:line="240" w:lineRule="auto"/>
              <w:ind w:left="0" w:leftChars="0" w:right="0" w:rightChars="0" w:firstLine="0" w:firstLineChars="0"/>
              <w:jc w:val="righ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 xml:space="preserve">18077.67 </w:t>
            </w:r>
          </w:p>
        </w:tc>
      </w:tr>
    </w:tbl>
    <w:p w14:paraId="218BEF96">
      <w:pPr>
        <w:bidi w:val="0"/>
        <w:rPr>
          <w:rFonts w:hint="eastAsia"/>
          <w:highlight w:val="none"/>
          <w:lang w:val="en-US" w:eastAsia="zh-CN"/>
        </w:rPr>
      </w:pPr>
    </w:p>
    <w:tbl>
      <w:tblPr>
        <w:tblStyle w:val="27"/>
        <w:tblW w:w="8528"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380"/>
        <w:gridCol w:w="660"/>
        <w:gridCol w:w="4582"/>
        <w:gridCol w:w="380"/>
        <w:gridCol w:w="642"/>
        <w:gridCol w:w="933"/>
        <w:gridCol w:w="951"/>
      </w:tblGrid>
      <w:tr w14:paraId="23147D1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380"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2075C21">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kern w:val="0"/>
                <w:sz w:val="16"/>
                <w:szCs w:val="16"/>
                <w:highlight w:val="none"/>
                <w:u w:val="none"/>
                <w:lang w:val="en-US" w:eastAsia="zh-CN" w:bidi="ar"/>
              </w:rPr>
            </w:pPr>
          </w:p>
          <w:p w14:paraId="287C9A0A">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8</w:t>
            </w:r>
          </w:p>
        </w:tc>
        <w:tc>
          <w:tcPr>
            <w:tcW w:w="66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56C33427">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茶水柜</w:t>
            </w:r>
          </w:p>
        </w:tc>
        <w:tc>
          <w:tcPr>
            <w:tcW w:w="4582"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42355A56">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6"/>
                <w:szCs w:val="16"/>
                <w:highlight w:val="none"/>
                <w:u w:val="none"/>
                <w:lang w:val="en-US" w:eastAsia="zh-CN" w:bidi="ar"/>
              </w:rPr>
            </w:pPr>
            <w:r>
              <w:rPr>
                <w:rFonts w:hint="eastAsia" w:ascii="宋体" w:hAnsi="宋体" w:eastAsia="宋体" w:cs="宋体"/>
                <w:i w:val="0"/>
                <w:iCs w:val="0"/>
                <w:color w:val="000000"/>
                <w:kern w:val="0"/>
                <w:sz w:val="16"/>
                <w:szCs w:val="16"/>
                <w:highlight w:val="none"/>
                <w:u w:val="none"/>
                <w:lang w:val="en-US" w:eastAsia="zh-CN" w:bidi="ar"/>
              </w:rPr>
              <w:t>1.茶水柜，0.8*0.4*0.8m</w:t>
            </w:r>
          </w:p>
          <w:p w14:paraId="0C63AC7D">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6"/>
                <w:szCs w:val="16"/>
                <w:highlight w:val="none"/>
                <w:u w:val="none"/>
                <w:lang w:val="en-US" w:eastAsia="zh-CN" w:bidi="ar"/>
              </w:rPr>
            </w:pPr>
            <w:r>
              <w:rPr>
                <w:rFonts w:hint="eastAsia" w:ascii="宋体" w:hAnsi="宋体" w:eastAsia="宋体" w:cs="宋体"/>
                <w:i w:val="0"/>
                <w:iCs w:val="0"/>
                <w:color w:val="000000"/>
                <w:kern w:val="0"/>
                <w:sz w:val="16"/>
                <w:szCs w:val="16"/>
                <w:highlight w:val="none"/>
                <w:u w:val="none"/>
                <w:lang w:val="en-US" w:eastAsia="zh-CN" w:bidi="ar"/>
              </w:rPr>
              <w:t>2.基材：环保型中纤板，甲醛释放量符合E1级标准；</w:t>
            </w:r>
          </w:p>
          <w:p w14:paraId="42950113">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6"/>
                <w:szCs w:val="16"/>
                <w:highlight w:val="none"/>
                <w:u w:val="none"/>
                <w:lang w:val="en-US" w:eastAsia="zh-CN" w:bidi="ar"/>
              </w:rPr>
            </w:pPr>
            <w:r>
              <w:rPr>
                <w:rFonts w:hint="eastAsia" w:ascii="宋体" w:hAnsi="宋体" w:eastAsia="宋体" w:cs="宋体"/>
                <w:i w:val="0"/>
                <w:iCs w:val="0"/>
                <w:color w:val="000000"/>
                <w:kern w:val="0"/>
                <w:sz w:val="16"/>
                <w:szCs w:val="16"/>
                <w:highlight w:val="none"/>
                <w:u w:val="none"/>
                <w:lang w:val="en-US" w:eastAsia="zh-CN" w:bidi="ar"/>
              </w:rPr>
              <w:t>3.贴面材料：贴实木皮，厚度0.6㎜；</w:t>
            </w:r>
          </w:p>
          <w:p w14:paraId="3779DD6E">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6"/>
                <w:szCs w:val="16"/>
                <w:highlight w:val="none"/>
                <w:u w:val="none"/>
                <w:lang w:val="en-US" w:eastAsia="zh-CN" w:bidi="ar"/>
              </w:rPr>
            </w:pPr>
            <w:r>
              <w:rPr>
                <w:rFonts w:hint="eastAsia" w:ascii="宋体" w:hAnsi="宋体" w:eastAsia="宋体" w:cs="宋体"/>
                <w:i w:val="0"/>
                <w:iCs w:val="0"/>
                <w:color w:val="000000"/>
                <w:kern w:val="0"/>
                <w:sz w:val="16"/>
                <w:szCs w:val="16"/>
                <w:highlight w:val="none"/>
                <w:u w:val="none"/>
                <w:lang w:val="en-US" w:eastAsia="zh-CN" w:bidi="ar"/>
              </w:rPr>
              <w:t>4.油漆：品牌PU漆，采用五底三面亚光透明油漆工艺。经过十二道油漆工序。表面纹理清晰无颗粒、无气泡、无渣点，颜色均匀，外部油漆厚度≥1.2㎜，甲醛含量&lt;0.5mg/L；</w:t>
            </w:r>
          </w:p>
          <w:p w14:paraId="0178CDB5">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6"/>
                <w:szCs w:val="16"/>
                <w:highlight w:val="none"/>
                <w:u w:val="none"/>
                <w:lang w:val="en-US" w:eastAsia="zh-CN" w:bidi="ar"/>
              </w:rPr>
            </w:pPr>
            <w:r>
              <w:rPr>
                <w:rFonts w:hint="eastAsia" w:ascii="宋体" w:hAnsi="宋体" w:eastAsia="宋体" w:cs="宋体"/>
                <w:i w:val="0"/>
                <w:iCs w:val="0"/>
                <w:color w:val="000000"/>
                <w:kern w:val="0"/>
                <w:sz w:val="16"/>
                <w:szCs w:val="16"/>
                <w:highlight w:val="none"/>
                <w:u w:val="none"/>
                <w:lang w:val="en-US" w:eastAsia="zh-CN" w:bidi="ar"/>
              </w:rPr>
              <w:t>5.粘胶：均采用符合国家标准的品牌白乳胶，粘合强度大，粘合时间长符合标准要求；</w:t>
            </w:r>
          </w:p>
          <w:p w14:paraId="21F34EAE">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6"/>
                <w:szCs w:val="16"/>
                <w:highlight w:val="none"/>
                <w:u w:val="none"/>
                <w:lang w:val="en-US" w:eastAsia="zh-CN" w:bidi="ar"/>
              </w:rPr>
            </w:pPr>
            <w:r>
              <w:rPr>
                <w:rFonts w:hint="eastAsia" w:ascii="宋体" w:hAnsi="宋体" w:eastAsia="宋体" w:cs="宋体"/>
                <w:i w:val="0"/>
                <w:iCs w:val="0"/>
                <w:color w:val="000000"/>
                <w:kern w:val="0"/>
                <w:sz w:val="16"/>
                <w:szCs w:val="16"/>
                <w:highlight w:val="none"/>
                <w:u w:val="none"/>
                <w:lang w:val="en-US" w:eastAsia="zh-CN" w:bidi="ar"/>
              </w:rPr>
              <w:t>6.五金配件：采用品牌优质五金配件；</w:t>
            </w:r>
          </w:p>
          <w:p w14:paraId="62FFD598">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7.成品采购安装；</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5485A16A">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套</w:t>
            </w:r>
          </w:p>
        </w:tc>
        <w:tc>
          <w:tcPr>
            <w:tcW w:w="642"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6FF4F3F1">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20</w:t>
            </w:r>
          </w:p>
        </w:tc>
        <w:tc>
          <w:tcPr>
            <w:tcW w:w="933"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6EE2FF96">
            <w:pPr>
              <w:keepNext/>
              <w:keepLines w:val="0"/>
              <w:widowControl/>
              <w:suppressLineNumbers w:val="0"/>
              <w:snapToGrid w:val="0"/>
              <w:spacing w:line="240" w:lineRule="auto"/>
              <w:ind w:left="0" w:leftChars="0" w:right="0" w:rightChars="0" w:firstLine="0" w:firstLineChars="0"/>
              <w:jc w:val="righ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 xml:space="preserve">346.82 </w:t>
            </w:r>
          </w:p>
        </w:tc>
        <w:tc>
          <w:tcPr>
            <w:tcW w:w="95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1C53DDE1">
            <w:pPr>
              <w:keepNext/>
              <w:keepLines w:val="0"/>
              <w:widowControl/>
              <w:suppressLineNumbers w:val="0"/>
              <w:snapToGrid w:val="0"/>
              <w:spacing w:line="240" w:lineRule="auto"/>
              <w:ind w:left="0" w:leftChars="0" w:right="0" w:rightChars="0" w:firstLine="0" w:firstLineChars="0"/>
              <w:jc w:val="righ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 xml:space="preserve">6936.46 </w:t>
            </w:r>
          </w:p>
        </w:tc>
      </w:tr>
      <w:tr w14:paraId="447A9EB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380"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A68F8A8">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9</w:t>
            </w:r>
          </w:p>
        </w:tc>
        <w:tc>
          <w:tcPr>
            <w:tcW w:w="66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3747D110">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转台餐桌带椅</w:t>
            </w:r>
          </w:p>
        </w:tc>
        <w:tc>
          <w:tcPr>
            <w:tcW w:w="4582"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4A0FAC03">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6"/>
                <w:szCs w:val="16"/>
                <w:highlight w:val="none"/>
                <w:u w:val="none"/>
                <w:lang w:val="en-US" w:eastAsia="zh-CN" w:bidi="ar"/>
              </w:rPr>
            </w:pPr>
            <w:r>
              <w:rPr>
                <w:rFonts w:hint="eastAsia" w:ascii="宋体" w:hAnsi="宋体" w:eastAsia="宋体" w:cs="宋体"/>
                <w:i w:val="0"/>
                <w:iCs w:val="0"/>
                <w:color w:val="000000"/>
                <w:kern w:val="0"/>
                <w:sz w:val="16"/>
                <w:szCs w:val="16"/>
                <w:highlight w:val="none"/>
                <w:u w:val="none"/>
                <w:lang w:val="en-US" w:eastAsia="zh-CN" w:bidi="ar"/>
              </w:rPr>
              <w:t>1.转台餐桌带椅，1.6米橡胶木餐桌+10条橡胶木餐椅，带转台；</w:t>
            </w:r>
          </w:p>
          <w:p w14:paraId="40CFF9BA">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6"/>
                <w:szCs w:val="16"/>
                <w:highlight w:val="none"/>
                <w:u w:val="none"/>
                <w:lang w:val="en-US" w:eastAsia="zh-CN" w:bidi="ar"/>
              </w:rPr>
            </w:pPr>
            <w:r>
              <w:rPr>
                <w:rFonts w:hint="eastAsia" w:ascii="宋体" w:hAnsi="宋体" w:eastAsia="宋体" w:cs="宋体"/>
                <w:i w:val="0"/>
                <w:iCs w:val="0"/>
                <w:color w:val="000000"/>
                <w:kern w:val="0"/>
                <w:sz w:val="16"/>
                <w:szCs w:val="16"/>
                <w:highlight w:val="none"/>
                <w:u w:val="none"/>
                <w:lang w:val="en-US" w:eastAsia="zh-CN" w:bidi="ar"/>
              </w:rPr>
              <w:t>2.基材：采用E1级优质环保实木板材，板材经防潮；</w:t>
            </w:r>
          </w:p>
          <w:p w14:paraId="43FB9ECA">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6"/>
                <w:szCs w:val="16"/>
                <w:highlight w:val="none"/>
                <w:u w:val="none"/>
                <w:lang w:val="en-US" w:eastAsia="zh-CN" w:bidi="ar"/>
              </w:rPr>
            </w:pPr>
            <w:r>
              <w:rPr>
                <w:rFonts w:hint="eastAsia" w:ascii="宋体" w:hAnsi="宋体" w:eastAsia="宋体" w:cs="宋体"/>
                <w:i w:val="0"/>
                <w:iCs w:val="0"/>
                <w:color w:val="000000"/>
                <w:kern w:val="0"/>
                <w:sz w:val="16"/>
                <w:szCs w:val="16"/>
                <w:highlight w:val="none"/>
                <w:u w:val="none"/>
                <w:lang w:val="en-US" w:eastAsia="zh-CN" w:bidi="ar"/>
              </w:rPr>
              <w:t>3.油漆：均采用环保面漆，经三底二面工艺工序处理，表面纹理清晰无颗粒、无气泡、无渣点，颜色均匀，硬度高，漆膜厚度；</w:t>
            </w:r>
          </w:p>
          <w:p w14:paraId="38E468F8">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4.成品采购安装；</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59A0C5A0">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套</w:t>
            </w:r>
          </w:p>
        </w:tc>
        <w:tc>
          <w:tcPr>
            <w:tcW w:w="642"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450C66EE">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42</w:t>
            </w:r>
          </w:p>
        </w:tc>
        <w:tc>
          <w:tcPr>
            <w:tcW w:w="933"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4361DF18">
            <w:pPr>
              <w:keepNext/>
              <w:keepLines w:val="0"/>
              <w:widowControl/>
              <w:suppressLineNumbers w:val="0"/>
              <w:snapToGrid w:val="0"/>
              <w:spacing w:line="240" w:lineRule="auto"/>
              <w:ind w:left="0" w:leftChars="0" w:right="0" w:rightChars="0" w:firstLine="0" w:firstLineChars="0"/>
              <w:jc w:val="righ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 xml:space="preserve">7289.42 </w:t>
            </w:r>
          </w:p>
        </w:tc>
        <w:tc>
          <w:tcPr>
            <w:tcW w:w="95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784DFBAE">
            <w:pPr>
              <w:keepNext/>
              <w:keepLines w:val="0"/>
              <w:widowControl/>
              <w:suppressLineNumbers w:val="0"/>
              <w:snapToGrid w:val="0"/>
              <w:spacing w:line="240" w:lineRule="auto"/>
              <w:ind w:left="0" w:leftChars="0" w:right="0" w:rightChars="0" w:firstLine="0" w:firstLineChars="0"/>
              <w:jc w:val="righ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 xml:space="preserve">306155.61 </w:t>
            </w:r>
          </w:p>
        </w:tc>
      </w:tr>
      <w:tr w14:paraId="297E9F6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380"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D252F1B">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10</w:t>
            </w:r>
          </w:p>
        </w:tc>
        <w:tc>
          <w:tcPr>
            <w:tcW w:w="66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321A9FF3">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转台餐桌带椅</w:t>
            </w:r>
          </w:p>
        </w:tc>
        <w:tc>
          <w:tcPr>
            <w:tcW w:w="4582"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1199E15B">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6"/>
                <w:szCs w:val="16"/>
                <w:highlight w:val="none"/>
                <w:u w:val="none"/>
                <w:lang w:val="en-US" w:eastAsia="zh-CN" w:bidi="ar"/>
              </w:rPr>
            </w:pPr>
            <w:r>
              <w:rPr>
                <w:rFonts w:hint="eastAsia" w:ascii="宋体" w:hAnsi="宋体" w:eastAsia="宋体" w:cs="宋体"/>
                <w:i w:val="0"/>
                <w:iCs w:val="0"/>
                <w:color w:val="000000"/>
                <w:kern w:val="0"/>
                <w:sz w:val="16"/>
                <w:szCs w:val="16"/>
                <w:highlight w:val="none"/>
                <w:u w:val="none"/>
                <w:lang w:val="en-US" w:eastAsia="zh-CN" w:bidi="ar"/>
              </w:rPr>
              <w:t>1.转台餐桌带椅，2.5米电动餐桌含转盘+12条餐椅，实木框架；</w:t>
            </w:r>
          </w:p>
          <w:p w14:paraId="00AAD72A">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6"/>
                <w:szCs w:val="16"/>
                <w:highlight w:val="none"/>
                <w:u w:val="none"/>
                <w:lang w:val="en-US" w:eastAsia="zh-CN" w:bidi="ar"/>
              </w:rPr>
            </w:pPr>
            <w:r>
              <w:rPr>
                <w:rFonts w:hint="eastAsia" w:ascii="宋体" w:hAnsi="宋体" w:eastAsia="宋体" w:cs="宋体"/>
                <w:i w:val="0"/>
                <w:iCs w:val="0"/>
                <w:color w:val="000000"/>
                <w:kern w:val="0"/>
                <w:sz w:val="16"/>
                <w:szCs w:val="16"/>
                <w:highlight w:val="none"/>
                <w:u w:val="none"/>
                <w:lang w:val="en-US" w:eastAsia="zh-CN" w:bidi="ar"/>
              </w:rPr>
              <w:t>2.转盘：电动遥控转盘≥4档调速，直径2500mm，可正反转，定点停止，落地机芯支架，调速电机；</w:t>
            </w:r>
          </w:p>
          <w:p w14:paraId="2D1E92D8">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6"/>
                <w:szCs w:val="16"/>
                <w:highlight w:val="none"/>
                <w:u w:val="none"/>
                <w:lang w:val="en-US" w:eastAsia="zh-CN" w:bidi="ar"/>
              </w:rPr>
            </w:pPr>
            <w:r>
              <w:rPr>
                <w:rFonts w:hint="eastAsia" w:ascii="宋体" w:hAnsi="宋体" w:eastAsia="宋体" w:cs="宋体"/>
                <w:i w:val="0"/>
                <w:iCs w:val="0"/>
                <w:color w:val="000000"/>
                <w:kern w:val="0"/>
                <w:sz w:val="16"/>
                <w:szCs w:val="16"/>
                <w:highlight w:val="none"/>
                <w:u w:val="none"/>
                <w:lang w:val="en-US" w:eastAsia="zh-CN" w:bidi="ar"/>
              </w:rPr>
              <w:t>3.桌面、转盘：采用12mm优质岩板,岩板防水防变形抗刮花耐高温，易清洁，底面用厚度≥18mm且优于E0级实木多层板做承重托板；</w:t>
            </w:r>
          </w:p>
          <w:p w14:paraId="4DA36954">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6"/>
                <w:szCs w:val="16"/>
                <w:highlight w:val="none"/>
                <w:u w:val="none"/>
                <w:lang w:val="en-US" w:eastAsia="zh-CN" w:bidi="ar"/>
              </w:rPr>
            </w:pPr>
            <w:r>
              <w:rPr>
                <w:rFonts w:hint="eastAsia" w:ascii="宋体" w:hAnsi="宋体" w:eastAsia="宋体" w:cs="宋体"/>
                <w:i w:val="0"/>
                <w:iCs w:val="0"/>
                <w:color w:val="000000"/>
                <w:kern w:val="0"/>
                <w:sz w:val="16"/>
                <w:szCs w:val="16"/>
                <w:highlight w:val="none"/>
                <w:u w:val="none"/>
                <w:lang w:val="en-US" w:eastAsia="zh-CN" w:bidi="ar"/>
              </w:rPr>
              <w:t>4.底桶、框架：直径≥1800mm，采用厚度18mm且优于E0级实木多层板；</w:t>
            </w:r>
          </w:p>
          <w:p w14:paraId="505A4251">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6"/>
                <w:szCs w:val="16"/>
                <w:highlight w:val="none"/>
                <w:u w:val="none"/>
                <w:lang w:val="en-US" w:eastAsia="zh-CN" w:bidi="ar"/>
              </w:rPr>
            </w:pPr>
            <w:r>
              <w:rPr>
                <w:rFonts w:hint="eastAsia" w:ascii="宋体" w:hAnsi="宋体" w:eastAsia="宋体" w:cs="宋体"/>
                <w:i w:val="0"/>
                <w:iCs w:val="0"/>
                <w:color w:val="000000"/>
                <w:kern w:val="0"/>
                <w:sz w:val="16"/>
                <w:szCs w:val="16"/>
                <w:highlight w:val="none"/>
                <w:u w:val="none"/>
                <w:lang w:val="en-US" w:eastAsia="zh-CN" w:bidi="ar"/>
              </w:rPr>
              <w:t>5.油漆：均采用环保面漆，经三底二面工艺工序处理，表面纹理清晰无颗粒、无气泡、无渣点，颜色均匀，硬度高，漆膜厚度；</w:t>
            </w:r>
          </w:p>
          <w:p w14:paraId="7AFFF954">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6.成品采购安装；</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5D747C3E">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套</w:t>
            </w:r>
          </w:p>
        </w:tc>
        <w:tc>
          <w:tcPr>
            <w:tcW w:w="642"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50107EB8">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1</w:t>
            </w:r>
          </w:p>
        </w:tc>
        <w:tc>
          <w:tcPr>
            <w:tcW w:w="933"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0A5553BE">
            <w:pPr>
              <w:keepNext/>
              <w:keepLines w:val="0"/>
              <w:widowControl/>
              <w:suppressLineNumbers w:val="0"/>
              <w:snapToGrid w:val="0"/>
              <w:spacing w:line="240" w:lineRule="auto"/>
              <w:ind w:left="0" w:leftChars="0" w:right="0" w:rightChars="0" w:firstLine="0" w:firstLineChars="0"/>
              <w:jc w:val="righ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 xml:space="preserve">10924.92 </w:t>
            </w:r>
          </w:p>
        </w:tc>
        <w:tc>
          <w:tcPr>
            <w:tcW w:w="95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12CBA76">
            <w:pPr>
              <w:keepNext/>
              <w:keepLines w:val="0"/>
              <w:widowControl/>
              <w:suppressLineNumbers w:val="0"/>
              <w:snapToGrid w:val="0"/>
              <w:spacing w:line="240" w:lineRule="auto"/>
              <w:ind w:left="0" w:leftChars="0" w:right="0" w:rightChars="0" w:firstLine="0" w:firstLineChars="0"/>
              <w:jc w:val="righ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 xml:space="preserve">10924.92 </w:t>
            </w:r>
          </w:p>
        </w:tc>
      </w:tr>
      <w:tr w14:paraId="0752A9B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380"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4B6F35A8">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11</w:t>
            </w:r>
          </w:p>
        </w:tc>
        <w:tc>
          <w:tcPr>
            <w:tcW w:w="66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7B95AFAD">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沙发（大包厢）</w:t>
            </w:r>
          </w:p>
        </w:tc>
        <w:tc>
          <w:tcPr>
            <w:tcW w:w="4582"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5C5E6B22">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6"/>
                <w:szCs w:val="16"/>
                <w:highlight w:val="none"/>
                <w:u w:val="none"/>
                <w:lang w:val="en-US" w:eastAsia="zh-CN" w:bidi="ar"/>
              </w:rPr>
            </w:pPr>
            <w:r>
              <w:rPr>
                <w:rFonts w:hint="eastAsia" w:ascii="宋体" w:hAnsi="宋体" w:eastAsia="宋体" w:cs="宋体"/>
                <w:i w:val="0"/>
                <w:iCs w:val="0"/>
                <w:color w:val="000000"/>
                <w:kern w:val="0"/>
                <w:sz w:val="16"/>
                <w:szCs w:val="16"/>
                <w:highlight w:val="none"/>
                <w:u w:val="none"/>
                <w:lang w:val="en-US" w:eastAsia="zh-CN" w:bidi="ar"/>
              </w:rPr>
              <w:t>1.沙发3+1+1+茶几；                                  沙发尺寸:三位1950*850*800mm/单位1050*850*800mm</w:t>
            </w:r>
          </w:p>
          <w:p w14:paraId="31669211">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6"/>
                <w:szCs w:val="16"/>
                <w:highlight w:val="none"/>
                <w:u w:val="none"/>
                <w:lang w:val="en-US" w:eastAsia="zh-CN" w:bidi="ar"/>
              </w:rPr>
            </w:pPr>
            <w:r>
              <w:rPr>
                <w:rFonts w:hint="eastAsia" w:ascii="宋体" w:hAnsi="宋体" w:eastAsia="宋体" w:cs="宋体"/>
                <w:i w:val="0"/>
                <w:iCs w:val="0"/>
                <w:color w:val="000000"/>
                <w:kern w:val="0"/>
                <w:sz w:val="16"/>
                <w:szCs w:val="16"/>
                <w:highlight w:val="none"/>
                <w:u w:val="none"/>
                <w:lang w:val="en-US" w:eastAsia="zh-CN" w:bidi="ar"/>
              </w:rPr>
              <w:t>茶几尺寸1.2m*0.6m*0.45m</w:t>
            </w:r>
          </w:p>
          <w:p w14:paraId="4A513880">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6"/>
                <w:szCs w:val="16"/>
                <w:highlight w:val="none"/>
                <w:u w:val="none"/>
                <w:lang w:val="en-US" w:eastAsia="zh-CN" w:bidi="ar"/>
              </w:rPr>
            </w:pPr>
            <w:r>
              <w:rPr>
                <w:rFonts w:hint="eastAsia" w:ascii="宋体" w:hAnsi="宋体" w:eastAsia="宋体" w:cs="宋体"/>
                <w:i w:val="0"/>
                <w:iCs w:val="0"/>
                <w:color w:val="000000"/>
                <w:kern w:val="0"/>
                <w:sz w:val="16"/>
                <w:szCs w:val="16"/>
                <w:highlight w:val="none"/>
                <w:u w:val="none"/>
                <w:lang w:val="en-US" w:eastAsia="zh-CN" w:bidi="ar"/>
              </w:rPr>
              <w:t>2.基材：沙发全实木，茶几环保型中纤板甲醛释放量符合E1级标准；</w:t>
            </w:r>
          </w:p>
          <w:p w14:paraId="07551C8D">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6"/>
                <w:szCs w:val="16"/>
                <w:highlight w:val="none"/>
                <w:u w:val="none"/>
                <w:lang w:val="en-US" w:eastAsia="zh-CN" w:bidi="ar"/>
              </w:rPr>
            </w:pPr>
            <w:r>
              <w:rPr>
                <w:rFonts w:hint="eastAsia" w:ascii="宋体" w:hAnsi="宋体" w:eastAsia="宋体" w:cs="宋体"/>
                <w:i w:val="0"/>
                <w:iCs w:val="0"/>
                <w:color w:val="000000"/>
                <w:kern w:val="0"/>
                <w:sz w:val="16"/>
                <w:szCs w:val="16"/>
                <w:highlight w:val="none"/>
                <w:u w:val="none"/>
                <w:lang w:val="en-US" w:eastAsia="zh-CN" w:bidi="ar"/>
              </w:rPr>
              <w:t>3.贴面材料：高档西皮沙发/茶几贴实木皮</w:t>
            </w:r>
          </w:p>
          <w:p w14:paraId="52552562">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6"/>
                <w:szCs w:val="16"/>
                <w:highlight w:val="none"/>
                <w:u w:val="none"/>
                <w:lang w:val="en-US" w:eastAsia="zh-CN" w:bidi="ar"/>
              </w:rPr>
            </w:pPr>
            <w:r>
              <w:rPr>
                <w:rFonts w:hint="eastAsia" w:ascii="宋体" w:hAnsi="宋体" w:eastAsia="宋体" w:cs="宋体"/>
                <w:i w:val="0"/>
                <w:iCs w:val="0"/>
                <w:color w:val="000000"/>
                <w:kern w:val="0"/>
                <w:sz w:val="16"/>
                <w:szCs w:val="16"/>
                <w:highlight w:val="none"/>
                <w:u w:val="none"/>
                <w:lang w:val="en-US" w:eastAsia="zh-CN" w:bidi="ar"/>
              </w:rPr>
              <w:t>4.油漆：环保油漆，采用五底三面亚光透明油漆工艺。经过十二道油漆工序。表面纹理清晰无颗粒、无气泡、无渣点，颜色均匀，外部油漆厚度≥1.2㎜，甲醛含量&lt;0.5mg/L；</w:t>
            </w:r>
          </w:p>
          <w:p w14:paraId="453C8C05">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6"/>
                <w:szCs w:val="16"/>
                <w:highlight w:val="none"/>
                <w:u w:val="none"/>
                <w:lang w:val="en-US" w:eastAsia="zh-CN" w:bidi="ar"/>
              </w:rPr>
            </w:pPr>
            <w:r>
              <w:rPr>
                <w:rFonts w:hint="eastAsia" w:ascii="宋体" w:hAnsi="宋体" w:eastAsia="宋体" w:cs="宋体"/>
                <w:i w:val="0"/>
                <w:iCs w:val="0"/>
                <w:color w:val="000000"/>
                <w:kern w:val="0"/>
                <w:sz w:val="16"/>
                <w:szCs w:val="16"/>
                <w:highlight w:val="none"/>
                <w:u w:val="none"/>
                <w:lang w:val="en-US" w:eastAsia="zh-CN" w:bidi="ar"/>
              </w:rPr>
              <w:t>5.五金配件：采用品牌优质五金配件；</w:t>
            </w:r>
          </w:p>
          <w:p w14:paraId="283D8EAD">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6.成品采购安装；</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23B4638D">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套</w:t>
            </w:r>
          </w:p>
        </w:tc>
        <w:tc>
          <w:tcPr>
            <w:tcW w:w="642"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0DF0C324">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1</w:t>
            </w:r>
          </w:p>
        </w:tc>
        <w:tc>
          <w:tcPr>
            <w:tcW w:w="933"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76D2841">
            <w:pPr>
              <w:keepNext/>
              <w:keepLines w:val="0"/>
              <w:widowControl/>
              <w:suppressLineNumbers w:val="0"/>
              <w:snapToGrid w:val="0"/>
              <w:spacing w:line="240" w:lineRule="auto"/>
              <w:ind w:left="0" w:leftChars="0" w:right="0" w:rightChars="0" w:firstLine="0" w:firstLineChars="0"/>
              <w:jc w:val="righ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 xml:space="preserve">5527.49 </w:t>
            </w:r>
          </w:p>
        </w:tc>
        <w:tc>
          <w:tcPr>
            <w:tcW w:w="95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13884A7A">
            <w:pPr>
              <w:keepNext/>
              <w:keepLines w:val="0"/>
              <w:widowControl/>
              <w:suppressLineNumbers w:val="0"/>
              <w:snapToGrid w:val="0"/>
              <w:spacing w:line="240" w:lineRule="auto"/>
              <w:ind w:left="0" w:leftChars="0" w:right="0" w:rightChars="0" w:firstLine="0" w:firstLineChars="0"/>
              <w:jc w:val="righ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 xml:space="preserve">5527.49 </w:t>
            </w:r>
          </w:p>
        </w:tc>
      </w:tr>
      <w:tr w14:paraId="3C1B02F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380"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109B24E">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12</w:t>
            </w:r>
          </w:p>
        </w:tc>
        <w:tc>
          <w:tcPr>
            <w:tcW w:w="66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53CFDEA3">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供桌</w:t>
            </w:r>
          </w:p>
        </w:tc>
        <w:tc>
          <w:tcPr>
            <w:tcW w:w="4582"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125AD7D0">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6"/>
                <w:szCs w:val="16"/>
                <w:highlight w:val="none"/>
                <w:u w:val="none"/>
                <w:lang w:val="en-US" w:eastAsia="zh-CN" w:bidi="ar"/>
              </w:rPr>
            </w:pPr>
            <w:r>
              <w:rPr>
                <w:rFonts w:hint="eastAsia" w:ascii="宋体" w:hAnsi="宋体" w:eastAsia="宋体" w:cs="宋体"/>
                <w:i w:val="0"/>
                <w:iCs w:val="0"/>
                <w:color w:val="000000"/>
                <w:kern w:val="0"/>
                <w:sz w:val="16"/>
                <w:szCs w:val="16"/>
                <w:highlight w:val="none"/>
                <w:u w:val="none"/>
                <w:lang w:val="en-US" w:eastAsia="zh-CN" w:bidi="ar"/>
              </w:rPr>
              <w:t>1.供桌2000*1000*450胡桃木；</w:t>
            </w:r>
          </w:p>
          <w:p w14:paraId="7602D627">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6"/>
                <w:szCs w:val="16"/>
                <w:highlight w:val="none"/>
                <w:u w:val="none"/>
                <w:lang w:val="en-US" w:eastAsia="zh-CN" w:bidi="ar"/>
              </w:rPr>
            </w:pPr>
            <w:r>
              <w:rPr>
                <w:rFonts w:hint="eastAsia" w:ascii="宋体" w:hAnsi="宋体" w:eastAsia="宋体" w:cs="宋体"/>
                <w:i w:val="0"/>
                <w:iCs w:val="0"/>
                <w:color w:val="000000"/>
                <w:kern w:val="0"/>
                <w:sz w:val="16"/>
                <w:szCs w:val="16"/>
                <w:highlight w:val="none"/>
                <w:u w:val="none"/>
                <w:lang w:val="en-US" w:eastAsia="zh-CN" w:bidi="ar"/>
              </w:rPr>
              <w:t>2.基材：采用E1级优质环保实木板材，板材经防潮；</w:t>
            </w:r>
          </w:p>
          <w:p w14:paraId="049EBC6B">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6"/>
                <w:szCs w:val="16"/>
                <w:highlight w:val="none"/>
                <w:u w:val="none"/>
                <w:lang w:val="en-US" w:eastAsia="zh-CN" w:bidi="ar"/>
              </w:rPr>
            </w:pPr>
            <w:r>
              <w:rPr>
                <w:rFonts w:hint="eastAsia" w:ascii="宋体" w:hAnsi="宋体" w:eastAsia="宋体" w:cs="宋体"/>
                <w:i w:val="0"/>
                <w:iCs w:val="0"/>
                <w:color w:val="000000"/>
                <w:kern w:val="0"/>
                <w:sz w:val="16"/>
                <w:szCs w:val="16"/>
                <w:highlight w:val="none"/>
                <w:u w:val="none"/>
                <w:lang w:val="en-US" w:eastAsia="zh-CN" w:bidi="ar"/>
              </w:rPr>
              <w:t>3.油漆：均采用环保面漆，经三底二面工艺工序处理，表面纹理清晰无颗粒、无气泡、无渣点，颜色均匀，硬度高，漆膜厚度；</w:t>
            </w:r>
          </w:p>
          <w:p w14:paraId="329E65AE">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4.成品采购安装；</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34658E59">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张</w:t>
            </w:r>
          </w:p>
        </w:tc>
        <w:tc>
          <w:tcPr>
            <w:tcW w:w="642"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1EF41577">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11</w:t>
            </w:r>
          </w:p>
        </w:tc>
        <w:tc>
          <w:tcPr>
            <w:tcW w:w="933"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1EFD02A6">
            <w:pPr>
              <w:keepNext/>
              <w:keepLines w:val="0"/>
              <w:widowControl/>
              <w:suppressLineNumbers w:val="0"/>
              <w:snapToGrid w:val="0"/>
              <w:spacing w:line="240" w:lineRule="auto"/>
              <w:ind w:left="0" w:leftChars="0" w:right="0" w:rightChars="0" w:firstLine="0" w:firstLineChars="0"/>
              <w:jc w:val="righ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 xml:space="preserve">3078.05 </w:t>
            </w:r>
          </w:p>
        </w:tc>
        <w:tc>
          <w:tcPr>
            <w:tcW w:w="95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19A1A8E7">
            <w:pPr>
              <w:keepNext/>
              <w:keepLines w:val="0"/>
              <w:widowControl/>
              <w:suppressLineNumbers w:val="0"/>
              <w:snapToGrid w:val="0"/>
              <w:spacing w:line="240" w:lineRule="auto"/>
              <w:ind w:left="0" w:leftChars="0" w:right="0" w:rightChars="0" w:firstLine="0" w:firstLineChars="0"/>
              <w:jc w:val="righ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 xml:space="preserve">33858.58 </w:t>
            </w:r>
          </w:p>
        </w:tc>
      </w:tr>
      <w:tr w14:paraId="40851A1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380"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3145B6F4">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13</w:t>
            </w:r>
          </w:p>
        </w:tc>
        <w:tc>
          <w:tcPr>
            <w:tcW w:w="66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43ED271E">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仪式主持台</w:t>
            </w:r>
          </w:p>
        </w:tc>
        <w:tc>
          <w:tcPr>
            <w:tcW w:w="4582"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4ED7B6C7">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6"/>
                <w:szCs w:val="16"/>
                <w:highlight w:val="none"/>
                <w:u w:val="none"/>
                <w:lang w:val="en-US" w:eastAsia="zh-CN" w:bidi="ar"/>
              </w:rPr>
            </w:pPr>
            <w:r>
              <w:rPr>
                <w:rFonts w:hint="eastAsia" w:ascii="宋体" w:hAnsi="宋体" w:eastAsia="宋体" w:cs="宋体"/>
                <w:i w:val="0"/>
                <w:iCs w:val="0"/>
                <w:color w:val="000000"/>
                <w:kern w:val="0"/>
                <w:sz w:val="16"/>
                <w:szCs w:val="16"/>
                <w:highlight w:val="none"/>
                <w:u w:val="none"/>
                <w:lang w:val="en-US" w:eastAsia="zh-CN" w:bidi="ar"/>
              </w:rPr>
              <w:t>1.仪式主持台660*1100*340实木；</w:t>
            </w:r>
          </w:p>
          <w:p w14:paraId="219ED4D4">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6"/>
                <w:szCs w:val="16"/>
                <w:highlight w:val="none"/>
                <w:u w:val="none"/>
                <w:lang w:val="en-US" w:eastAsia="zh-CN" w:bidi="ar"/>
              </w:rPr>
            </w:pPr>
            <w:r>
              <w:rPr>
                <w:rFonts w:hint="eastAsia" w:ascii="宋体" w:hAnsi="宋体" w:eastAsia="宋体" w:cs="宋体"/>
                <w:i w:val="0"/>
                <w:iCs w:val="0"/>
                <w:color w:val="000000"/>
                <w:kern w:val="0"/>
                <w:sz w:val="16"/>
                <w:szCs w:val="16"/>
                <w:highlight w:val="none"/>
                <w:u w:val="none"/>
                <w:lang w:val="en-US" w:eastAsia="zh-CN" w:bidi="ar"/>
              </w:rPr>
              <w:t>2.基材：采用E1级优质环保实木板材，板材经防潮；</w:t>
            </w:r>
          </w:p>
          <w:p w14:paraId="35C264AC">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6"/>
                <w:szCs w:val="16"/>
                <w:highlight w:val="none"/>
                <w:u w:val="none"/>
                <w:lang w:val="en-US" w:eastAsia="zh-CN" w:bidi="ar"/>
              </w:rPr>
            </w:pPr>
            <w:r>
              <w:rPr>
                <w:rFonts w:hint="eastAsia" w:ascii="宋体" w:hAnsi="宋体" w:eastAsia="宋体" w:cs="宋体"/>
                <w:i w:val="0"/>
                <w:iCs w:val="0"/>
                <w:color w:val="000000"/>
                <w:kern w:val="0"/>
                <w:sz w:val="16"/>
                <w:szCs w:val="16"/>
                <w:highlight w:val="none"/>
                <w:u w:val="none"/>
                <w:lang w:val="en-US" w:eastAsia="zh-CN" w:bidi="ar"/>
              </w:rPr>
              <w:t>3.油漆：均采用环保面漆，经三底二面工艺工序处理，表面纹理清晰无颗粒、无气泡、无渣点，颜色均匀，硬度高，漆膜厚度；</w:t>
            </w:r>
          </w:p>
          <w:p w14:paraId="6F55DBB9">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4.成品采购安装；</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40D6D5AF">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套</w:t>
            </w:r>
          </w:p>
        </w:tc>
        <w:tc>
          <w:tcPr>
            <w:tcW w:w="642"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47224201">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11</w:t>
            </w:r>
          </w:p>
        </w:tc>
        <w:tc>
          <w:tcPr>
            <w:tcW w:w="933"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5133347">
            <w:pPr>
              <w:keepNext/>
              <w:keepLines w:val="0"/>
              <w:widowControl/>
              <w:suppressLineNumbers w:val="0"/>
              <w:snapToGrid w:val="0"/>
              <w:spacing w:line="240" w:lineRule="auto"/>
              <w:ind w:left="0" w:leftChars="0" w:right="0" w:rightChars="0" w:firstLine="0" w:firstLineChars="0"/>
              <w:jc w:val="righ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 xml:space="preserve">2211.00 </w:t>
            </w:r>
          </w:p>
        </w:tc>
        <w:tc>
          <w:tcPr>
            <w:tcW w:w="95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660AE40F">
            <w:pPr>
              <w:keepNext/>
              <w:keepLines w:val="0"/>
              <w:widowControl/>
              <w:suppressLineNumbers w:val="0"/>
              <w:snapToGrid w:val="0"/>
              <w:spacing w:line="240" w:lineRule="auto"/>
              <w:ind w:left="0" w:leftChars="0" w:right="0" w:rightChars="0" w:firstLine="0" w:firstLineChars="0"/>
              <w:jc w:val="righ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 xml:space="preserve">24320.95 </w:t>
            </w:r>
          </w:p>
        </w:tc>
      </w:tr>
      <w:tr w14:paraId="7625E41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380"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DF8F100">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14</w:t>
            </w:r>
          </w:p>
        </w:tc>
        <w:tc>
          <w:tcPr>
            <w:tcW w:w="66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655290AD">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香烛台</w:t>
            </w:r>
          </w:p>
        </w:tc>
        <w:tc>
          <w:tcPr>
            <w:tcW w:w="4582"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3A1C57D8">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6"/>
                <w:szCs w:val="16"/>
                <w:highlight w:val="none"/>
                <w:u w:val="none"/>
                <w:lang w:val="en-US" w:eastAsia="zh-CN" w:bidi="ar"/>
              </w:rPr>
            </w:pPr>
            <w:r>
              <w:rPr>
                <w:rFonts w:hint="eastAsia" w:ascii="宋体" w:hAnsi="宋体" w:eastAsia="宋体" w:cs="宋体"/>
                <w:i w:val="0"/>
                <w:iCs w:val="0"/>
                <w:color w:val="000000"/>
                <w:kern w:val="0"/>
                <w:sz w:val="16"/>
                <w:szCs w:val="16"/>
                <w:highlight w:val="none"/>
                <w:u w:val="none"/>
                <w:lang w:val="en-US" w:eastAsia="zh-CN" w:bidi="ar"/>
              </w:rPr>
              <w:t>1.香烛台1200*600*800胡桃木；</w:t>
            </w:r>
          </w:p>
          <w:p w14:paraId="3C27B05B">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6"/>
                <w:szCs w:val="16"/>
                <w:highlight w:val="none"/>
                <w:u w:val="none"/>
                <w:lang w:val="en-US" w:eastAsia="zh-CN" w:bidi="ar"/>
              </w:rPr>
            </w:pPr>
            <w:r>
              <w:rPr>
                <w:rFonts w:hint="eastAsia" w:ascii="宋体" w:hAnsi="宋体" w:eastAsia="宋体" w:cs="宋体"/>
                <w:i w:val="0"/>
                <w:iCs w:val="0"/>
                <w:color w:val="000000"/>
                <w:kern w:val="0"/>
                <w:sz w:val="16"/>
                <w:szCs w:val="16"/>
                <w:highlight w:val="none"/>
                <w:u w:val="none"/>
                <w:lang w:val="en-US" w:eastAsia="zh-CN" w:bidi="ar"/>
              </w:rPr>
              <w:t>2.基材：采用E1级优质环保实木板材，板材经防潮；</w:t>
            </w:r>
          </w:p>
          <w:p w14:paraId="09EEA827">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6"/>
                <w:szCs w:val="16"/>
                <w:highlight w:val="none"/>
                <w:u w:val="none"/>
                <w:lang w:val="en-US" w:eastAsia="zh-CN" w:bidi="ar"/>
              </w:rPr>
            </w:pPr>
            <w:r>
              <w:rPr>
                <w:rFonts w:hint="eastAsia" w:ascii="宋体" w:hAnsi="宋体" w:eastAsia="宋体" w:cs="宋体"/>
                <w:i w:val="0"/>
                <w:iCs w:val="0"/>
                <w:color w:val="000000"/>
                <w:kern w:val="0"/>
                <w:sz w:val="16"/>
                <w:szCs w:val="16"/>
                <w:highlight w:val="none"/>
                <w:u w:val="none"/>
                <w:lang w:val="en-US" w:eastAsia="zh-CN" w:bidi="ar"/>
              </w:rPr>
              <w:t>3.油漆：均采用环保面漆，经三底二面工艺工序处理，表面纹理清晰无颗粒、无气泡、无渣点，颜色均匀，硬度高，漆膜厚度；</w:t>
            </w:r>
          </w:p>
          <w:p w14:paraId="1635C0F3">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4.成品采购安装；</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17619DBE">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套</w:t>
            </w:r>
          </w:p>
        </w:tc>
        <w:tc>
          <w:tcPr>
            <w:tcW w:w="642"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762BFB8E">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22</w:t>
            </w:r>
          </w:p>
        </w:tc>
        <w:tc>
          <w:tcPr>
            <w:tcW w:w="933"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406B36D1">
            <w:pPr>
              <w:keepNext/>
              <w:keepLines w:val="0"/>
              <w:widowControl/>
              <w:suppressLineNumbers w:val="0"/>
              <w:snapToGrid w:val="0"/>
              <w:spacing w:line="240" w:lineRule="auto"/>
              <w:ind w:left="0" w:leftChars="0" w:right="0" w:rightChars="0" w:firstLine="0" w:firstLineChars="0"/>
              <w:jc w:val="righ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 xml:space="preserve">1556.10 </w:t>
            </w:r>
          </w:p>
        </w:tc>
        <w:tc>
          <w:tcPr>
            <w:tcW w:w="95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56BFA4D2">
            <w:pPr>
              <w:keepNext/>
              <w:keepLines w:val="0"/>
              <w:widowControl/>
              <w:suppressLineNumbers w:val="0"/>
              <w:snapToGrid w:val="0"/>
              <w:spacing w:line="240" w:lineRule="auto"/>
              <w:ind w:left="0" w:leftChars="0" w:right="0" w:rightChars="0" w:firstLine="0" w:firstLineChars="0"/>
              <w:jc w:val="righ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 xml:space="preserve">34234.18 </w:t>
            </w:r>
          </w:p>
        </w:tc>
      </w:tr>
      <w:tr w14:paraId="628BEC5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380"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688D13F8">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15</w:t>
            </w:r>
          </w:p>
        </w:tc>
        <w:tc>
          <w:tcPr>
            <w:tcW w:w="66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78D0E218">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四方桌</w:t>
            </w:r>
          </w:p>
        </w:tc>
        <w:tc>
          <w:tcPr>
            <w:tcW w:w="4582"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09100DFC">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6"/>
                <w:szCs w:val="16"/>
                <w:highlight w:val="none"/>
                <w:u w:val="none"/>
                <w:lang w:val="en-US" w:eastAsia="zh-CN" w:bidi="ar"/>
              </w:rPr>
            </w:pPr>
            <w:r>
              <w:rPr>
                <w:rFonts w:hint="eastAsia" w:ascii="宋体" w:hAnsi="宋体" w:eastAsia="宋体" w:cs="宋体"/>
                <w:i w:val="0"/>
                <w:iCs w:val="0"/>
                <w:color w:val="000000"/>
                <w:kern w:val="0"/>
                <w:sz w:val="16"/>
                <w:szCs w:val="16"/>
                <w:highlight w:val="none"/>
                <w:u w:val="none"/>
                <w:lang w:val="en-US" w:eastAsia="zh-CN" w:bidi="ar"/>
              </w:rPr>
              <w:t>1.四方桌1060*1060*800胡桃木；</w:t>
            </w:r>
          </w:p>
          <w:p w14:paraId="19888351">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6"/>
                <w:szCs w:val="16"/>
                <w:highlight w:val="none"/>
                <w:u w:val="none"/>
                <w:lang w:val="en-US" w:eastAsia="zh-CN" w:bidi="ar"/>
              </w:rPr>
            </w:pPr>
            <w:r>
              <w:rPr>
                <w:rFonts w:hint="eastAsia" w:ascii="宋体" w:hAnsi="宋体" w:eastAsia="宋体" w:cs="宋体"/>
                <w:i w:val="0"/>
                <w:iCs w:val="0"/>
                <w:color w:val="000000"/>
                <w:kern w:val="0"/>
                <w:sz w:val="16"/>
                <w:szCs w:val="16"/>
                <w:highlight w:val="none"/>
                <w:u w:val="none"/>
                <w:lang w:val="en-US" w:eastAsia="zh-CN" w:bidi="ar"/>
              </w:rPr>
              <w:t>2.基材：采用E1级优质环保实木板材，板材经防潮；</w:t>
            </w:r>
          </w:p>
          <w:p w14:paraId="11C8A599">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6"/>
                <w:szCs w:val="16"/>
                <w:highlight w:val="none"/>
                <w:u w:val="none"/>
                <w:lang w:val="en-US" w:eastAsia="zh-CN" w:bidi="ar"/>
              </w:rPr>
            </w:pPr>
            <w:r>
              <w:rPr>
                <w:rFonts w:hint="eastAsia" w:ascii="宋体" w:hAnsi="宋体" w:eastAsia="宋体" w:cs="宋体"/>
                <w:i w:val="0"/>
                <w:iCs w:val="0"/>
                <w:color w:val="000000"/>
                <w:kern w:val="0"/>
                <w:sz w:val="16"/>
                <w:szCs w:val="16"/>
                <w:highlight w:val="none"/>
                <w:u w:val="none"/>
                <w:lang w:val="en-US" w:eastAsia="zh-CN" w:bidi="ar"/>
              </w:rPr>
              <w:t>3.油漆：均采用环保面漆，经三底二面工艺工序处理，表面纹理清晰无颗粒、无气泡、无渣点，颜色均匀，硬度高，漆膜厚度；</w:t>
            </w:r>
          </w:p>
          <w:p w14:paraId="65E509B3">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4.成品采购安装；</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23E5B2C7">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张</w:t>
            </w:r>
          </w:p>
        </w:tc>
        <w:tc>
          <w:tcPr>
            <w:tcW w:w="642"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1F758CD8">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56</w:t>
            </w:r>
          </w:p>
        </w:tc>
        <w:tc>
          <w:tcPr>
            <w:tcW w:w="933"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10DC73BC">
            <w:pPr>
              <w:keepNext/>
              <w:keepLines w:val="0"/>
              <w:widowControl/>
              <w:suppressLineNumbers w:val="0"/>
              <w:snapToGrid w:val="0"/>
              <w:spacing w:line="240" w:lineRule="auto"/>
              <w:ind w:left="0" w:leftChars="0" w:right="0" w:rightChars="0" w:firstLine="0" w:firstLineChars="0"/>
              <w:jc w:val="righ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 xml:space="preserve">1556.10 </w:t>
            </w:r>
          </w:p>
        </w:tc>
        <w:tc>
          <w:tcPr>
            <w:tcW w:w="95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505E14D1">
            <w:pPr>
              <w:keepNext/>
              <w:keepLines w:val="0"/>
              <w:widowControl/>
              <w:suppressLineNumbers w:val="0"/>
              <w:snapToGrid w:val="0"/>
              <w:spacing w:line="240" w:lineRule="auto"/>
              <w:ind w:left="0" w:leftChars="0" w:right="0" w:rightChars="0" w:firstLine="0" w:firstLineChars="0"/>
              <w:jc w:val="righ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 xml:space="preserve">87141.54 </w:t>
            </w:r>
          </w:p>
        </w:tc>
      </w:tr>
      <w:tr w14:paraId="2CCA022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380"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3B2A025">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16</w:t>
            </w:r>
          </w:p>
        </w:tc>
        <w:tc>
          <w:tcPr>
            <w:tcW w:w="66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2839432C">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椅子（每厅10张）</w:t>
            </w:r>
          </w:p>
        </w:tc>
        <w:tc>
          <w:tcPr>
            <w:tcW w:w="4582"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0F4FFFE1">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6"/>
                <w:szCs w:val="16"/>
                <w:highlight w:val="none"/>
                <w:u w:val="none"/>
                <w:lang w:val="en-US" w:eastAsia="zh-CN" w:bidi="ar"/>
              </w:rPr>
            </w:pPr>
            <w:r>
              <w:rPr>
                <w:rFonts w:hint="eastAsia" w:ascii="宋体" w:hAnsi="宋体" w:eastAsia="宋体" w:cs="宋体"/>
                <w:i w:val="0"/>
                <w:iCs w:val="0"/>
                <w:color w:val="000000"/>
                <w:kern w:val="0"/>
                <w:sz w:val="16"/>
                <w:szCs w:val="16"/>
                <w:highlight w:val="none"/>
                <w:u w:val="none"/>
                <w:lang w:val="en-US" w:eastAsia="zh-CN" w:bidi="ar"/>
              </w:rPr>
              <w:t>1.椅子440*540*850实木</w:t>
            </w:r>
          </w:p>
          <w:p w14:paraId="2D9C168E">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6"/>
                <w:szCs w:val="16"/>
                <w:highlight w:val="none"/>
                <w:u w:val="none"/>
                <w:lang w:val="en-US" w:eastAsia="zh-CN" w:bidi="ar"/>
              </w:rPr>
            </w:pPr>
            <w:r>
              <w:rPr>
                <w:rFonts w:hint="eastAsia" w:ascii="宋体" w:hAnsi="宋体" w:eastAsia="宋体" w:cs="宋体"/>
                <w:i w:val="0"/>
                <w:iCs w:val="0"/>
                <w:color w:val="000000"/>
                <w:kern w:val="0"/>
                <w:sz w:val="16"/>
                <w:szCs w:val="16"/>
                <w:highlight w:val="none"/>
                <w:u w:val="none"/>
                <w:lang w:val="en-US" w:eastAsia="zh-CN" w:bidi="ar"/>
              </w:rPr>
              <w:t>2.面料：优质皮革，外观色泽均匀、自然、皮纹细腻、手感柔软、透气性佳，厚度1.5㎜，撕裂强求度35N/㎜，断裂伸长率＜80%，颜色摩擦牢度＞4.5级，扪皮平整，倒角；</w:t>
            </w:r>
          </w:p>
          <w:p w14:paraId="074C355B">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6"/>
                <w:szCs w:val="16"/>
                <w:highlight w:val="none"/>
                <w:u w:val="none"/>
                <w:lang w:val="en-US" w:eastAsia="zh-CN" w:bidi="ar"/>
              </w:rPr>
            </w:pPr>
            <w:r>
              <w:rPr>
                <w:rFonts w:hint="eastAsia" w:ascii="宋体" w:hAnsi="宋体" w:eastAsia="宋体" w:cs="宋体"/>
                <w:i w:val="0"/>
                <w:iCs w:val="0"/>
                <w:color w:val="000000"/>
                <w:kern w:val="0"/>
                <w:sz w:val="16"/>
                <w:szCs w:val="16"/>
                <w:highlight w:val="none"/>
                <w:u w:val="none"/>
                <w:lang w:val="en-US" w:eastAsia="zh-CN" w:bidi="ar"/>
              </w:rPr>
              <w:t>3.海绵：坐垫及靠背：采用P.U发泡阻燃海绵海绵，软硬适中，密度55㎏/m3，回弹力52%；坐靠曲木板材依据人体工程学原理设计采用1.5㎜夹板八层垫压成型，成型板材12㎜厚，板材承受压力310㎏；</w:t>
            </w:r>
          </w:p>
          <w:p w14:paraId="6CE5BA7A">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4.成品采购安装；</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623455B2">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张</w:t>
            </w:r>
          </w:p>
        </w:tc>
        <w:tc>
          <w:tcPr>
            <w:tcW w:w="642"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9B8E220">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110</w:t>
            </w:r>
          </w:p>
        </w:tc>
        <w:tc>
          <w:tcPr>
            <w:tcW w:w="933"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0894106C">
            <w:pPr>
              <w:keepNext/>
              <w:keepLines w:val="0"/>
              <w:widowControl/>
              <w:suppressLineNumbers w:val="0"/>
              <w:snapToGrid w:val="0"/>
              <w:spacing w:line="240" w:lineRule="auto"/>
              <w:ind w:left="0" w:leftChars="0" w:right="0" w:rightChars="0" w:firstLine="0" w:firstLineChars="0"/>
              <w:jc w:val="righ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 xml:space="preserve">346.82 </w:t>
            </w:r>
          </w:p>
        </w:tc>
        <w:tc>
          <w:tcPr>
            <w:tcW w:w="95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6035C708">
            <w:pPr>
              <w:keepNext/>
              <w:keepLines w:val="0"/>
              <w:widowControl/>
              <w:suppressLineNumbers w:val="0"/>
              <w:snapToGrid w:val="0"/>
              <w:spacing w:line="240" w:lineRule="auto"/>
              <w:ind w:left="0" w:leftChars="0" w:right="0" w:rightChars="0" w:firstLine="0" w:firstLineChars="0"/>
              <w:jc w:val="righ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 xml:space="preserve">38150.52 </w:t>
            </w:r>
          </w:p>
        </w:tc>
      </w:tr>
      <w:tr w14:paraId="22E3B26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380"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48D6052A">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17</w:t>
            </w:r>
          </w:p>
        </w:tc>
        <w:tc>
          <w:tcPr>
            <w:tcW w:w="66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0DB03988">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1.8米床</w:t>
            </w:r>
          </w:p>
        </w:tc>
        <w:tc>
          <w:tcPr>
            <w:tcW w:w="4582"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43BC45E8">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6"/>
                <w:szCs w:val="16"/>
                <w:highlight w:val="none"/>
                <w:u w:val="none"/>
                <w:lang w:val="en-US" w:eastAsia="zh-CN" w:bidi="ar"/>
              </w:rPr>
            </w:pPr>
            <w:r>
              <w:rPr>
                <w:rFonts w:hint="eastAsia" w:ascii="宋体" w:hAnsi="宋体" w:eastAsia="宋体" w:cs="宋体"/>
                <w:i w:val="0"/>
                <w:iCs w:val="0"/>
                <w:color w:val="000000"/>
                <w:kern w:val="0"/>
                <w:sz w:val="16"/>
                <w:szCs w:val="16"/>
                <w:highlight w:val="none"/>
                <w:u w:val="none"/>
                <w:lang w:val="en-US" w:eastAsia="zh-CN" w:bidi="ar"/>
              </w:rPr>
              <w:t>1.橡胶木床1.8*2m+松木床子床板</w:t>
            </w:r>
          </w:p>
          <w:p w14:paraId="352EE8B3">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6"/>
                <w:szCs w:val="16"/>
                <w:highlight w:val="none"/>
                <w:u w:val="none"/>
                <w:lang w:val="en-US" w:eastAsia="zh-CN" w:bidi="ar"/>
              </w:rPr>
            </w:pPr>
            <w:r>
              <w:rPr>
                <w:rFonts w:hint="eastAsia" w:ascii="宋体" w:hAnsi="宋体" w:eastAsia="宋体" w:cs="宋体"/>
                <w:i w:val="0"/>
                <w:iCs w:val="0"/>
                <w:color w:val="000000"/>
                <w:kern w:val="0"/>
                <w:sz w:val="16"/>
                <w:szCs w:val="16"/>
                <w:highlight w:val="none"/>
                <w:u w:val="none"/>
                <w:lang w:val="en-US" w:eastAsia="zh-CN" w:bidi="ar"/>
              </w:rPr>
              <w:t>2.基材：采用E1级优质环保实木板材，板材经防潮；</w:t>
            </w:r>
          </w:p>
          <w:p w14:paraId="4AAAE9E4">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6"/>
                <w:szCs w:val="16"/>
                <w:highlight w:val="none"/>
                <w:u w:val="none"/>
                <w:lang w:val="en-US" w:eastAsia="zh-CN" w:bidi="ar"/>
              </w:rPr>
            </w:pPr>
            <w:r>
              <w:rPr>
                <w:rFonts w:hint="eastAsia" w:ascii="宋体" w:hAnsi="宋体" w:eastAsia="宋体" w:cs="宋体"/>
                <w:i w:val="0"/>
                <w:iCs w:val="0"/>
                <w:color w:val="000000"/>
                <w:kern w:val="0"/>
                <w:sz w:val="16"/>
                <w:szCs w:val="16"/>
                <w:highlight w:val="none"/>
                <w:u w:val="none"/>
                <w:lang w:val="en-US" w:eastAsia="zh-CN" w:bidi="ar"/>
              </w:rPr>
              <w:t>3.油漆：均采用环保面漆，经三底二面工艺工序处理，表面纹理清晰无颗粒、无气泡、无渣点，颜色均匀，硬度高，漆膜厚度；</w:t>
            </w:r>
          </w:p>
          <w:p w14:paraId="6623BF7E">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4.成品采购安装；</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43CA35C3">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套</w:t>
            </w:r>
          </w:p>
        </w:tc>
        <w:tc>
          <w:tcPr>
            <w:tcW w:w="642"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28FA66A0">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4</w:t>
            </w:r>
          </w:p>
        </w:tc>
        <w:tc>
          <w:tcPr>
            <w:tcW w:w="933"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0009E1FA">
            <w:pPr>
              <w:keepNext/>
              <w:keepLines w:val="0"/>
              <w:widowControl/>
              <w:suppressLineNumbers w:val="0"/>
              <w:snapToGrid w:val="0"/>
              <w:spacing w:line="240" w:lineRule="auto"/>
              <w:ind w:left="0" w:leftChars="0" w:right="0" w:rightChars="0" w:firstLine="0" w:firstLineChars="0"/>
              <w:jc w:val="righ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 xml:space="preserve">1040.47 </w:t>
            </w:r>
          </w:p>
        </w:tc>
        <w:tc>
          <w:tcPr>
            <w:tcW w:w="95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110F3F18">
            <w:pPr>
              <w:keepNext/>
              <w:keepLines w:val="0"/>
              <w:widowControl/>
              <w:suppressLineNumbers w:val="0"/>
              <w:snapToGrid w:val="0"/>
              <w:spacing w:line="240" w:lineRule="auto"/>
              <w:ind w:left="0" w:leftChars="0" w:right="0" w:rightChars="0" w:firstLine="0" w:firstLineChars="0"/>
              <w:jc w:val="righ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 xml:space="preserve">4161.87 </w:t>
            </w:r>
          </w:p>
        </w:tc>
      </w:tr>
      <w:tr w14:paraId="34682B8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380"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4621C4A7">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18</w:t>
            </w:r>
          </w:p>
        </w:tc>
        <w:tc>
          <w:tcPr>
            <w:tcW w:w="66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260D7C08">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1.8m床垫</w:t>
            </w:r>
          </w:p>
        </w:tc>
        <w:tc>
          <w:tcPr>
            <w:tcW w:w="4582"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4BC9D940">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6"/>
                <w:szCs w:val="16"/>
                <w:highlight w:val="none"/>
                <w:u w:val="none"/>
                <w:lang w:val="en-US" w:eastAsia="zh-CN" w:bidi="ar"/>
              </w:rPr>
            </w:pPr>
            <w:r>
              <w:rPr>
                <w:rFonts w:hint="eastAsia" w:ascii="宋体" w:hAnsi="宋体" w:eastAsia="宋体" w:cs="宋体"/>
                <w:i w:val="0"/>
                <w:iCs w:val="0"/>
                <w:color w:val="000000"/>
                <w:kern w:val="0"/>
                <w:sz w:val="16"/>
                <w:szCs w:val="16"/>
                <w:highlight w:val="none"/>
                <w:u w:val="none"/>
                <w:lang w:val="en-US" w:eastAsia="zh-CN" w:bidi="ar"/>
              </w:rPr>
              <w:t>1.1.弹簧垫床垫，1.8*2米，22CM厚度</w:t>
            </w:r>
          </w:p>
          <w:p w14:paraId="20BF4358">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2.成品采购安装</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218F9528">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套</w:t>
            </w:r>
          </w:p>
        </w:tc>
        <w:tc>
          <w:tcPr>
            <w:tcW w:w="642"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97E1735">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4</w:t>
            </w:r>
          </w:p>
        </w:tc>
        <w:tc>
          <w:tcPr>
            <w:tcW w:w="933"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79AB992F">
            <w:pPr>
              <w:keepNext/>
              <w:keepLines w:val="0"/>
              <w:widowControl/>
              <w:suppressLineNumbers w:val="0"/>
              <w:snapToGrid w:val="0"/>
              <w:spacing w:line="240" w:lineRule="auto"/>
              <w:ind w:left="0" w:leftChars="0" w:right="0" w:rightChars="0" w:firstLine="0" w:firstLineChars="0"/>
              <w:jc w:val="righ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 xml:space="preserve">1040.47 </w:t>
            </w:r>
          </w:p>
        </w:tc>
        <w:tc>
          <w:tcPr>
            <w:tcW w:w="95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3856A34">
            <w:pPr>
              <w:keepNext/>
              <w:keepLines w:val="0"/>
              <w:widowControl/>
              <w:suppressLineNumbers w:val="0"/>
              <w:snapToGrid w:val="0"/>
              <w:spacing w:line="240" w:lineRule="auto"/>
              <w:ind w:left="0" w:leftChars="0" w:right="0" w:rightChars="0" w:firstLine="0" w:firstLineChars="0"/>
              <w:jc w:val="righ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 xml:space="preserve">4161.87 </w:t>
            </w:r>
          </w:p>
        </w:tc>
      </w:tr>
      <w:tr w14:paraId="3AB557F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380"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58C541D">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19</w:t>
            </w:r>
          </w:p>
        </w:tc>
        <w:tc>
          <w:tcPr>
            <w:tcW w:w="66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407DDE27">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床头柜</w:t>
            </w:r>
          </w:p>
        </w:tc>
        <w:tc>
          <w:tcPr>
            <w:tcW w:w="4582"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79FDF3E6">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6"/>
                <w:szCs w:val="16"/>
                <w:highlight w:val="none"/>
                <w:u w:val="none"/>
                <w:lang w:val="en-US" w:eastAsia="zh-CN" w:bidi="ar"/>
              </w:rPr>
            </w:pPr>
            <w:r>
              <w:rPr>
                <w:rFonts w:hint="eastAsia" w:ascii="宋体" w:hAnsi="宋体" w:eastAsia="宋体" w:cs="宋体"/>
                <w:i w:val="0"/>
                <w:iCs w:val="0"/>
                <w:color w:val="000000"/>
                <w:kern w:val="0"/>
                <w:sz w:val="16"/>
                <w:szCs w:val="16"/>
                <w:highlight w:val="none"/>
                <w:u w:val="none"/>
                <w:lang w:val="en-US" w:eastAsia="zh-CN" w:bidi="ar"/>
              </w:rPr>
              <w:t>1.床头柜480*480*500mm,材质橡木+实木；</w:t>
            </w:r>
          </w:p>
          <w:p w14:paraId="299A4AED">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6"/>
                <w:szCs w:val="16"/>
                <w:highlight w:val="none"/>
                <w:u w:val="none"/>
                <w:lang w:val="en-US" w:eastAsia="zh-CN" w:bidi="ar"/>
              </w:rPr>
            </w:pPr>
            <w:r>
              <w:rPr>
                <w:rFonts w:hint="eastAsia" w:ascii="宋体" w:hAnsi="宋体" w:eastAsia="宋体" w:cs="宋体"/>
                <w:i w:val="0"/>
                <w:iCs w:val="0"/>
                <w:color w:val="000000"/>
                <w:kern w:val="0"/>
                <w:sz w:val="16"/>
                <w:szCs w:val="16"/>
                <w:highlight w:val="none"/>
                <w:u w:val="none"/>
                <w:lang w:val="en-US" w:eastAsia="zh-CN" w:bidi="ar"/>
              </w:rPr>
              <w:t>2.基材：采用E1级优质环保实木板材，板材经防潮；</w:t>
            </w:r>
          </w:p>
          <w:p w14:paraId="7CA32D06">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6"/>
                <w:szCs w:val="16"/>
                <w:highlight w:val="none"/>
                <w:u w:val="none"/>
                <w:lang w:val="en-US" w:eastAsia="zh-CN" w:bidi="ar"/>
              </w:rPr>
            </w:pPr>
            <w:r>
              <w:rPr>
                <w:rFonts w:hint="eastAsia" w:ascii="宋体" w:hAnsi="宋体" w:eastAsia="宋体" w:cs="宋体"/>
                <w:i w:val="0"/>
                <w:iCs w:val="0"/>
                <w:color w:val="000000"/>
                <w:kern w:val="0"/>
                <w:sz w:val="16"/>
                <w:szCs w:val="16"/>
                <w:highlight w:val="none"/>
                <w:u w:val="none"/>
                <w:lang w:val="en-US" w:eastAsia="zh-CN" w:bidi="ar"/>
              </w:rPr>
              <w:t>3.油漆：均采用环保面漆，经三底二面工艺工序处理，表面纹理清晰无颗粒、无气泡、无渣点，颜色均匀，硬度高，漆膜厚度；</w:t>
            </w:r>
          </w:p>
          <w:p w14:paraId="7D841429">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4.成品采购安装；</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2C94F727">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套</w:t>
            </w:r>
          </w:p>
        </w:tc>
        <w:tc>
          <w:tcPr>
            <w:tcW w:w="642"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29CF3BED">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65</w:t>
            </w:r>
          </w:p>
        </w:tc>
        <w:tc>
          <w:tcPr>
            <w:tcW w:w="933"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135B55CF">
            <w:pPr>
              <w:keepNext/>
              <w:keepLines w:val="0"/>
              <w:widowControl/>
              <w:suppressLineNumbers w:val="0"/>
              <w:snapToGrid w:val="0"/>
              <w:spacing w:line="240" w:lineRule="auto"/>
              <w:ind w:left="0" w:leftChars="0" w:right="0" w:rightChars="0" w:firstLine="0" w:firstLineChars="0"/>
              <w:jc w:val="righ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 xml:space="preserve">242.78 </w:t>
            </w:r>
          </w:p>
        </w:tc>
        <w:tc>
          <w:tcPr>
            <w:tcW w:w="95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7500A22B">
            <w:pPr>
              <w:keepNext/>
              <w:keepLines w:val="0"/>
              <w:widowControl/>
              <w:suppressLineNumbers w:val="0"/>
              <w:snapToGrid w:val="0"/>
              <w:spacing w:line="240" w:lineRule="auto"/>
              <w:ind w:left="0" w:leftChars="0" w:right="0" w:rightChars="0" w:firstLine="0" w:firstLineChars="0"/>
              <w:jc w:val="righ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 xml:space="preserve">15780.44 </w:t>
            </w:r>
          </w:p>
        </w:tc>
      </w:tr>
      <w:tr w14:paraId="406263E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380"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C37F7F3">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20</w:t>
            </w:r>
          </w:p>
        </w:tc>
        <w:tc>
          <w:tcPr>
            <w:tcW w:w="66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01F5465B">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衣柜</w:t>
            </w:r>
          </w:p>
        </w:tc>
        <w:tc>
          <w:tcPr>
            <w:tcW w:w="4582"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21E78E81">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6"/>
                <w:szCs w:val="16"/>
                <w:highlight w:val="none"/>
                <w:u w:val="none"/>
                <w:lang w:val="en-US" w:eastAsia="zh-CN" w:bidi="ar"/>
              </w:rPr>
            </w:pPr>
            <w:r>
              <w:rPr>
                <w:rFonts w:hint="eastAsia" w:ascii="宋体" w:hAnsi="宋体" w:eastAsia="宋体" w:cs="宋体"/>
                <w:i w:val="0"/>
                <w:iCs w:val="0"/>
                <w:color w:val="000000"/>
                <w:kern w:val="0"/>
                <w:sz w:val="16"/>
                <w:szCs w:val="16"/>
                <w:highlight w:val="none"/>
                <w:u w:val="none"/>
                <w:lang w:val="en-US" w:eastAsia="zh-CN" w:bidi="ar"/>
              </w:rPr>
              <w:t>1.衣柜，15mm环保生态板；</w:t>
            </w:r>
          </w:p>
          <w:p w14:paraId="57A9AE60">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6"/>
                <w:szCs w:val="16"/>
                <w:highlight w:val="none"/>
                <w:u w:val="none"/>
                <w:lang w:val="en-US" w:eastAsia="zh-CN" w:bidi="ar"/>
              </w:rPr>
            </w:pPr>
            <w:r>
              <w:rPr>
                <w:rFonts w:hint="eastAsia" w:ascii="宋体" w:hAnsi="宋体" w:eastAsia="宋体" w:cs="宋体"/>
                <w:i w:val="0"/>
                <w:iCs w:val="0"/>
                <w:color w:val="000000"/>
                <w:kern w:val="0"/>
                <w:sz w:val="16"/>
                <w:szCs w:val="16"/>
                <w:highlight w:val="none"/>
                <w:u w:val="none"/>
                <w:lang w:val="en-US" w:eastAsia="zh-CN" w:bidi="ar"/>
              </w:rPr>
              <w:t>2.基材：采用E1级优质环保实木板材，板材经防潮；</w:t>
            </w:r>
          </w:p>
          <w:p w14:paraId="3F42A166">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3.成品采购安装；</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6E6DCDC9">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m2</w:t>
            </w:r>
          </w:p>
        </w:tc>
        <w:tc>
          <w:tcPr>
            <w:tcW w:w="642"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63CCA12F">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96.14</w:t>
            </w:r>
          </w:p>
        </w:tc>
        <w:tc>
          <w:tcPr>
            <w:tcW w:w="933"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6DF45F68">
            <w:pPr>
              <w:keepNext/>
              <w:keepLines w:val="0"/>
              <w:widowControl/>
              <w:suppressLineNumbers w:val="0"/>
              <w:snapToGrid w:val="0"/>
              <w:spacing w:line="240" w:lineRule="auto"/>
              <w:ind w:left="0" w:leftChars="0" w:right="0" w:rightChars="0" w:firstLine="0" w:firstLineChars="0"/>
              <w:jc w:val="righ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 xml:space="preserve">776.02 </w:t>
            </w:r>
          </w:p>
        </w:tc>
        <w:tc>
          <w:tcPr>
            <w:tcW w:w="95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F28CC65">
            <w:pPr>
              <w:keepNext/>
              <w:keepLines w:val="0"/>
              <w:widowControl/>
              <w:suppressLineNumbers w:val="0"/>
              <w:snapToGrid w:val="0"/>
              <w:spacing w:line="240" w:lineRule="auto"/>
              <w:ind w:left="0" w:leftChars="0" w:right="0" w:rightChars="0" w:firstLine="0" w:firstLineChars="0"/>
              <w:jc w:val="righ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 xml:space="preserve">74606.20 </w:t>
            </w:r>
          </w:p>
        </w:tc>
      </w:tr>
      <w:tr w14:paraId="1E75BDC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380"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3C271666">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21</w:t>
            </w:r>
          </w:p>
        </w:tc>
        <w:tc>
          <w:tcPr>
            <w:tcW w:w="66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288D60C2">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书桌+椅</w:t>
            </w:r>
          </w:p>
        </w:tc>
        <w:tc>
          <w:tcPr>
            <w:tcW w:w="4582"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567DF924">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6"/>
                <w:szCs w:val="16"/>
                <w:highlight w:val="none"/>
                <w:u w:val="none"/>
                <w:lang w:val="en-US" w:eastAsia="zh-CN" w:bidi="ar"/>
              </w:rPr>
            </w:pPr>
            <w:r>
              <w:rPr>
                <w:rFonts w:hint="eastAsia" w:ascii="宋体" w:hAnsi="宋体" w:eastAsia="宋体" w:cs="宋体"/>
                <w:i w:val="0"/>
                <w:iCs w:val="0"/>
                <w:color w:val="000000"/>
                <w:kern w:val="0"/>
                <w:sz w:val="16"/>
                <w:szCs w:val="16"/>
                <w:highlight w:val="none"/>
                <w:u w:val="none"/>
                <w:lang w:val="en-US" w:eastAsia="zh-CN" w:bidi="ar"/>
              </w:rPr>
              <w:t>1.书桌+椅，1.4*0.6*0.75m橡胶木材质+西皮；</w:t>
            </w:r>
          </w:p>
          <w:p w14:paraId="7841364D">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6"/>
                <w:szCs w:val="16"/>
                <w:highlight w:val="none"/>
                <w:u w:val="none"/>
                <w:lang w:val="en-US" w:eastAsia="zh-CN" w:bidi="ar"/>
              </w:rPr>
            </w:pPr>
            <w:r>
              <w:rPr>
                <w:rFonts w:hint="eastAsia" w:ascii="宋体" w:hAnsi="宋体" w:eastAsia="宋体" w:cs="宋体"/>
                <w:i w:val="0"/>
                <w:iCs w:val="0"/>
                <w:color w:val="000000"/>
                <w:kern w:val="0"/>
                <w:sz w:val="16"/>
                <w:szCs w:val="16"/>
                <w:highlight w:val="none"/>
                <w:u w:val="none"/>
                <w:lang w:val="en-US" w:eastAsia="zh-CN" w:bidi="ar"/>
              </w:rPr>
              <w:t>2.基材：采用E1级优质实木板，板材经防潮；</w:t>
            </w:r>
          </w:p>
          <w:p w14:paraId="29C72E36">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6"/>
                <w:szCs w:val="16"/>
                <w:highlight w:val="none"/>
                <w:u w:val="none"/>
                <w:lang w:val="en-US" w:eastAsia="zh-CN" w:bidi="ar"/>
              </w:rPr>
            </w:pPr>
            <w:r>
              <w:rPr>
                <w:rFonts w:hint="eastAsia" w:ascii="宋体" w:hAnsi="宋体" w:eastAsia="宋体" w:cs="宋体"/>
                <w:i w:val="0"/>
                <w:iCs w:val="0"/>
                <w:color w:val="000000"/>
                <w:kern w:val="0"/>
                <w:sz w:val="16"/>
                <w:szCs w:val="16"/>
                <w:highlight w:val="none"/>
                <w:u w:val="none"/>
                <w:lang w:val="en-US" w:eastAsia="zh-CN" w:bidi="ar"/>
              </w:rPr>
              <w:t>3.面材：优质皮革，外观色泽均匀、自然、皮纹细腻、手感柔软、透气性佳，厚度1.5㎜，撕裂强求度35N/㎜，断裂伸长率＜80%，颜色摩擦牢度＞4.5级，扪皮平整，倒角；</w:t>
            </w:r>
          </w:p>
          <w:p w14:paraId="1F1448C3">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6"/>
                <w:szCs w:val="16"/>
                <w:highlight w:val="none"/>
                <w:u w:val="none"/>
                <w:lang w:val="en-US" w:eastAsia="zh-CN" w:bidi="ar"/>
              </w:rPr>
            </w:pPr>
            <w:r>
              <w:rPr>
                <w:rFonts w:hint="eastAsia" w:ascii="宋体" w:hAnsi="宋体" w:eastAsia="宋体" w:cs="宋体"/>
                <w:i w:val="0"/>
                <w:iCs w:val="0"/>
                <w:color w:val="000000"/>
                <w:kern w:val="0"/>
                <w:sz w:val="16"/>
                <w:szCs w:val="16"/>
                <w:highlight w:val="none"/>
                <w:u w:val="none"/>
                <w:lang w:val="en-US" w:eastAsia="zh-CN" w:bidi="ar"/>
              </w:rPr>
              <w:t>4.油漆：均采用PU透明底漆作全封闭处理。“PU”5分消透明面漆饰面，经三底二面工艺工序处理，表面纹理清晰无颗粒、无气泡、无渣点，颜色均匀，硬度高，漆膜厚度；</w:t>
            </w:r>
          </w:p>
          <w:p w14:paraId="7BDCC434">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5.成品采购安装；</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01C3BED0">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套</w:t>
            </w:r>
          </w:p>
        </w:tc>
        <w:tc>
          <w:tcPr>
            <w:tcW w:w="642"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CA39775">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4</w:t>
            </w:r>
          </w:p>
        </w:tc>
        <w:tc>
          <w:tcPr>
            <w:tcW w:w="933"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4C38D37F">
            <w:pPr>
              <w:keepNext/>
              <w:keepLines w:val="0"/>
              <w:widowControl/>
              <w:suppressLineNumbers w:val="0"/>
              <w:snapToGrid w:val="0"/>
              <w:spacing w:line="240" w:lineRule="auto"/>
              <w:ind w:left="0" w:leftChars="0" w:right="0" w:rightChars="0" w:firstLine="0" w:firstLineChars="0"/>
              <w:jc w:val="righ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 xml:space="preserve">1300.59 </w:t>
            </w:r>
          </w:p>
        </w:tc>
        <w:tc>
          <w:tcPr>
            <w:tcW w:w="95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F067643">
            <w:pPr>
              <w:keepNext/>
              <w:keepLines w:val="0"/>
              <w:widowControl/>
              <w:suppressLineNumbers w:val="0"/>
              <w:snapToGrid w:val="0"/>
              <w:spacing w:line="240" w:lineRule="auto"/>
              <w:ind w:left="0" w:leftChars="0" w:right="0" w:rightChars="0" w:firstLine="0" w:firstLineChars="0"/>
              <w:jc w:val="righ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 xml:space="preserve">5202.34 </w:t>
            </w:r>
          </w:p>
        </w:tc>
      </w:tr>
      <w:tr w14:paraId="5BED50C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380"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A279C42">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22</w:t>
            </w:r>
          </w:p>
        </w:tc>
        <w:tc>
          <w:tcPr>
            <w:tcW w:w="66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606C6CFB">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1.5米床</w:t>
            </w:r>
          </w:p>
        </w:tc>
        <w:tc>
          <w:tcPr>
            <w:tcW w:w="4582"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67030C4E">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6"/>
                <w:szCs w:val="16"/>
                <w:highlight w:val="none"/>
                <w:u w:val="none"/>
                <w:lang w:val="en-US" w:eastAsia="zh-CN" w:bidi="ar"/>
              </w:rPr>
            </w:pPr>
            <w:r>
              <w:rPr>
                <w:rFonts w:hint="eastAsia" w:ascii="宋体" w:hAnsi="宋体" w:eastAsia="宋体" w:cs="宋体"/>
                <w:i w:val="0"/>
                <w:iCs w:val="0"/>
                <w:color w:val="000000"/>
                <w:kern w:val="0"/>
                <w:sz w:val="16"/>
                <w:szCs w:val="16"/>
                <w:highlight w:val="none"/>
                <w:u w:val="none"/>
                <w:lang w:val="en-US" w:eastAsia="zh-CN" w:bidi="ar"/>
              </w:rPr>
              <w:t>1.橡胶木床1.5*2m+松木床子床板；</w:t>
            </w:r>
          </w:p>
          <w:p w14:paraId="3DB6E550">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6"/>
                <w:szCs w:val="16"/>
                <w:highlight w:val="none"/>
                <w:u w:val="none"/>
                <w:lang w:val="en-US" w:eastAsia="zh-CN" w:bidi="ar"/>
              </w:rPr>
            </w:pPr>
            <w:r>
              <w:rPr>
                <w:rFonts w:hint="eastAsia" w:ascii="宋体" w:hAnsi="宋体" w:eastAsia="宋体" w:cs="宋体"/>
                <w:i w:val="0"/>
                <w:iCs w:val="0"/>
                <w:color w:val="000000"/>
                <w:kern w:val="0"/>
                <w:sz w:val="16"/>
                <w:szCs w:val="16"/>
                <w:highlight w:val="none"/>
                <w:u w:val="none"/>
                <w:lang w:val="en-US" w:eastAsia="zh-CN" w:bidi="ar"/>
              </w:rPr>
              <w:t>2.基材：采用E1级优质环保实木板材，板材经防潮；</w:t>
            </w:r>
          </w:p>
          <w:p w14:paraId="17BA08F6">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6"/>
                <w:szCs w:val="16"/>
                <w:highlight w:val="none"/>
                <w:u w:val="none"/>
                <w:lang w:val="en-US" w:eastAsia="zh-CN" w:bidi="ar"/>
              </w:rPr>
            </w:pPr>
            <w:r>
              <w:rPr>
                <w:rFonts w:hint="eastAsia" w:ascii="宋体" w:hAnsi="宋体" w:eastAsia="宋体" w:cs="宋体"/>
                <w:i w:val="0"/>
                <w:iCs w:val="0"/>
                <w:color w:val="000000"/>
                <w:kern w:val="0"/>
                <w:sz w:val="16"/>
                <w:szCs w:val="16"/>
                <w:highlight w:val="none"/>
                <w:u w:val="none"/>
                <w:lang w:val="en-US" w:eastAsia="zh-CN" w:bidi="ar"/>
              </w:rPr>
              <w:t>3.油漆：均采用环保面漆，经三底二面工艺工序处理，表面纹理清晰无颗粒、无气泡、无渣点，颜色均匀，硬度高，漆膜厚度；</w:t>
            </w:r>
          </w:p>
          <w:p w14:paraId="6D1B41D8">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4.成品采购安装；</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7853781C">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套</w:t>
            </w:r>
          </w:p>
        </w:tc>
        <w:tc>
          <w:tcPr>
            <w:tcW w:w="642"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43220080">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38</w:t>
            </w:r>
          </w:p>
        </w:tc>
        <w:tc>
          <w:tcPr>
            <w:tcW w:w="933"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072D3B6C">
            <w:pPr>
              <w:keepNext/>
              <w:keepLines w:val="0"/>
              <w:widowControl/>
              <w:suppressLineNumbers w:val="0"/>
              <w:snapToGrid w:val="0"/>
              <w:spacing w:line="240" w:lineRule="auto"/>
              <w:ind w:left="0" w:leftChars="0" w:right="0" w:rightChars="0" w:firstLine="0" w:firstLineChars="0"/>
              <w:jc w:val="righ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 xml:space="preserve">867.06 </w:t>
            </w:r>
          </w:p>
        </w:tc>
        <w:tc>
          <w:tcPr>
            <w:tcW w:w="95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1E7B20E6">
            <w:pPr>
              <w:keepNext/>
              <w:keepLines w:val="0"/>
              <w:widowControl/>
              <w:suppressLineNumbers w:val="0"/>
              <w:snapToGrid w:val="0"/>
              <w:spacing w:line="240" w:lineRule="auto"/>
              <w:ind w:left="0" w:leftChars="0" w:right="0" w:rightChars="0" w:firstLine="0" w:firstLineChars="0"/>
              <w:jc w:val="righ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 xml:space="preserve">32948.17 </w:t>
            </w:r>
          </w:p>
        </w:tc>
      </w:tr>
      <w:tr w14:paraId="46CEB93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380"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06FDF5B8">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23</w:t>
            </w:r>
          </w:p>
        </w:tc>
        <w:tc>
          <w:tcPr>
            <w:tcW w:w="66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56B567E4">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1.5m床垫</w:t>
            </w:r>
          </w:p>
        </w:tc>
        <w:tc>
          <w:tcPr>
            <w:tcW w:w="4582"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4131490D">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6"/>
                <w:szCs w:val="16"/>
                <w:highlight w:val="none"/>
                <w:u w:val="none"/>
                <w:lang w:val="en-US" w:eastAsia="zh-CN" w:bidi="ar"/>
              </w:rPr>
            </w:pPr>
            <w:r>
              <w:rPr>
                <w:rFonts w:hint="eastAsia" w:ascii="宋体" w:hAnsi="宋体" w:eastAsia="宋体" w:cs="宋体"/>
                <w:i w:val="0"/>
                <w:iCs w:val="0"/>
                <w:color w:val="000000"/>
                <w:kern w:val="0"/>
                <w:sz w:val="16"/>
                <w:szCs w:val="16"/>
                <w:highlight w:val="none"/>
                <w:u w:val="none"/>
                <w:lang w:val="en-US" w:eastAsia="zh-CN" w:bidi="ar"/>
              </w:rPr>
              <w:t>1.弹簧垫床垫，1.5*2米，22CM厚度</w:t>
            </w:r>
          </w:p>
          <w:p w14:paraId="58C49B37">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2.成品采购安装</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7F751823">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套</w:t>
            </w:r>
          </w:p>
        </w:tc>
        <w:tc>
          <w:tcPr>
            <w:tcW w:w="642"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2E720A23">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38</w:t>
            </w:r>
          </w:p>
        </w:tc>
        <w:tc>
          <w:tcPr>
            <w:tcW w:w="933"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0A70FDFD">
            <w:pPr>
              <w:keepNext/>
              <w:keepLines w:val="0"/>
              <w:widowControl/>
              <w:suppressLineNumbers w:val="0"/>
              <w:snapToGrid w:val="0"/>
              <w:spacing w:line="240" w:lineRule="auto"/>
              <w:ind w:left="0" w:leftChars="0" w:right="0" w:rightChars="0" w:firstLine="0" w:firstLineChars="0"/>
              <w:jc w:val="righ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 xml:space="preserve">867.06 </w:t>
            </w:r>
          </w:p>
        </w:tc>
        <w:tc>
          <w:tcPr>
            <w:tcW w:w="95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18BA5C86">
            <w:pPr>
              <w:keepNext/>
              <w:keepLines w:val="0"/>
              <w:widowControl/>
              <w:suppressLineNumbers w:val="0"/>
              <w:snapToGrid w:val="0"/>
              <w:spacing w:line="240" w:lineRule="auto"/>
              <w:ind w:left="0" w:leftChars="0" w:right="0" w:rightChars="0" w:firstLine="0" w:firstLineChars="0"/>
              <w:jc w:val="righ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 xml:space="preserve">32948.17 </w:t>
            </w:r>
          </w:p>
        </w:tc>
      </w:tr>
      <w:tr w14:paraId="62F1993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380"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438B64DC">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24</w:t>
            </w:r>
          </w:p>
        </w:tc>
        <w:tc>
          <w:tcPr>
            <w:tcW w:w="66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568D6DF8">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窗帘</w:t>
            </w:r>
          </w:p>
        </w:tc>
        <w:tc>
          <w:tcPr>
            <w:tcW w:w="4582"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7D7B0576">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6"/>
                <w:szCs w:val="16"/>
                <w:highlight w:val="none"/>
                <w:u w:val="none"/>
                <w:lang w:val="en-US" w:eastAsia="zh-CN" w:bidi="ar"/>
              </w:rPr>
            </w:pPr>
            <w:r>
              <w:rPr>
                <w:rFonts w:hint="eastAsia" w:ascii="宋体" w:hAnsi="宋体" w:eastAsia="宋体" w:cs="宋体"/>
                <w:i w:val="0"/>
                <w:iCs w:val="0"/>
                <w:color w:val="000000"/>
                <w:kern w:val="0"/>
                <w:sz w:val="16"/>
                <w:szCs w:val="16"/>
                <w:highlight w:val="none"/>
                <w:u w:val="none"/>
                <w:lang w:val="en-US" w:eastAsia="zh-CN" w:bidi="ar"/>
              </w:rPr>
              <w:t>窗帘安装含罗马杆、所有配件</w:t>
            </w:r>
          </w:p>
          <w:p w14:paraId="6255FBA3">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6"/>
                <w:szCs w:val="16"/>
                <w:highlight w:val="none"/>
                <w:u w:val="none"/>
                <w:lang w:val="en-US" w:eastAsia="zh-CN" w:bidi="ar"/>
              </w:rPr>
            </w:pPr>
            <w:r>
              <w:rPr>
                <w:rFonts w:hint="eastAsia" w:ascii="宋体" w:hAnsi="宋体" w:eastAsia="宋体" w:cs="宋体"/>
                <w:i w:val="0"/>
                <w:iCs w:val="0"/>
                <w:color w:val="000000"/>
                <w:kern w:val="0"/>
                <w:sz w:val="16"/>
                <w:szCs w:val="16"/>
                <w:highlight w:val="none"/>
                <w:u w:val="none"/>
                <w:lang w:val="en-US" w:eastAsia="zh-CN" w:bidi="ar"/>
              </w:rPr>
              <w:t>1.环保遮光麻质布帘，2倍折，同房间宽度，H约2650mm；2.灰色窗帘布（带遮光效果）；</w:t>
            </w:r>
          </w:p>
          <w:p w14:paraId="2DDD23EB">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6"/>
                <w:szCs w:val="16"/>
                <w:highlight w:val="none"/>
                <w:u w:val="none"/>
                <w:lang w:val="en-US" w:eastAsia="zh-CN" w:bidi="ar"/>
              </w:rPr>
            </w:pPr>
            <w:r>
              <w:rPr>
                <w:rFonts w:hint="eastAsia" w:ascii="宋体" w:hAnsi="宋体" w:eastAsia="宋体" w:cs="宋体"/>
                <w:i w:val="0"/>
                <w:iCs w:val="0"/>
                <w:color w:val="000000"/>
                <w:kern w:val="0"/>
                <w:sz w:val="16"/>
                <w:szCs w:val="16"/>
                <w:highlight w:val="none"/>
                <w:u w:val="none"/>
                <w:lang w:val="en-US" w:eastAsia="zh-CN" w:bidi="ar"/>
              </w:rPr>
              <w:t>3.褶皱倍数1:1.8倍，遮光率100%；</w:t>
            </w:r>
          </w:p>
          <w:p w14:paraId="699C6D38">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4.罗马杆含安装；</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3126CEB1">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m</w:t>
            </w:r>
          </w:p>
        </w:tc>
        <w:tc>
          <w:tcPr>
            <w:tcW w:w="642"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1FF0E2A6">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278.00</w:t>
            </w:r>
          </w:p>
        </w:tc>
        <w:tc>
          <w:tcPr>
            <w:tcW w:w="933"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50D91234">
            <w:pPr>
              <w:keepNext/>
              <w:keepLines w:val="0"/>
              <w:widowControl/>
              <w:suppressLineNumbers w:val="0"/>
              <w:snapToGrid w:val="0"/>
              <w:spacing w:line="240" w:lineRule="auto"/>
              <w:ind w:left="0" w:leftChars="0" w:right="0" w:rightChars="0" w:firstLine="0" w:firstLineChars="0"/>
              <w:jc w:val="righ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 xml:space="preserve">97.20 </w:t>
            </w:r>
          </w:p>
        </w:tc>
        <w:tc>
          <w:tcPr>
            <w:tcW w:w="95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647C6240">
            <w:pPr>
              <w:keepNext/>
              <w:keepLines w:val="0"/>
              <w:widowControl/>
              <w:suppressLineNumbers w:val="0"/>
              <w:snapToGrid w:val="0"/>
              <w:spacing w:line="240" w:lineRule="auto"/>
              <w:ind w:left="0" w:leftChars="0" w:right="0" w:rightChars="0" w:firstLine="0" w:firstLineChars="0"/>
              <w:jc w:val="righ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 xml:space="preserve">27020.80 </w:t>
            </w:r>
          </w:p>
        </w:tc>
      </w:tr>
      <w:tr w14:paraId="79AC974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380"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3C123B07">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25</w:t>
            </w:r>
          </w:p>
        </w:tc>
        <w:tc>
          <w:tcPr>
            <w:tcW w:w="66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2E63F5E7">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四件套+被子（大豆子母被+两套纯棉四件套+一对枕芯）</w:t>
            </w:r>
          </w:p>
        </w:tc>
        <w:tc>
          <w:tcPr>
            <w:tcW w:w="4582"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5069BEEA">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6"/>
                <w:szCs w:val="16"/>
                <w:highlight w:val="none"/>
                <w:u w:val="none"/>
                <w:lang w:val="en-US" w:eastAsia="zh-CN" w:bidi="ar"/>
              </w:rPr>
            </w:pPr>
            <w:r>
              <w:rPr>
                <w:rFonts w:hint="eastAsia" w:ascii="宋体" w:hAnsi="宋体" w:eastAsia="宋体" w:cs="宋体"/>
                <w:i w:val="0"/>
                <w:iCs w:val="0"/>
                <w:color w:val="000000"/>
                <w:kern w:val="0"/>
                <w:sz w:val="16"/>
                <w:szCs w:val="16"/>
                <w:highlight w:val="none"/>
                <w:u w:val="none"/>
                <w:lang w:val="en-US" w:eastAsia="zh-CN" w:bidi="ar"/>
              </w:rPr>
              <w:t>1.四件套：新疆棉纯臻四件套   面料新疆棉</w:t>
            </w:r>
          </w:p>
          <w:p w14:paraId="2DCE8BE9">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被芯，200*230，母被20%大豆纤维80%聚酯纤维             填充量2000g，  子被100%聚酗纤维 填充量1000g</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01D93C77">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套</w:t>
            </w:r>
          </w:p>
        </w:tc>
        <w:tc>
          <w:tcPr>
            <w:tcW w:w="642"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267991DE">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42</w:t>
            </w:r>
          </w:p>
        </w:tc>
        <w:tc>
          <w:tcPr>
            <w:tcW w:w="933"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0544033F">
            <w:pPr>
              <w:keepNext/>
              <w:keepLines w:val="0"/>
              <w:widowControl/>
              <w:suppressLineNumbers w:val="0"/>
              <w:snapToGrid w:val="0"/>
              <w:spacing w:line="240" w:lineRule="auto"/>
              <w:ind w:left="0" w:leftChars="0" w:right="0" w:rightChars="0" w:firstLine="0" w:firstLineChars="0"/>
              <w:jc w:val="righ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 xml:space="preserve">1387.29 </w:t>
            </w:r>
          </w:p>
        </w:tc>
        <w:tc>
          <w:tcPr>
            <w:tcW w:w="95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499FE759">
            <w:pPr>
              <w:keepNext/>
              <w:keepLines w:val="0"/>
              <w:widowControl/>
              <w:suppressLineNumbers w:val="0"/>
              <w:snapToGrid w:val="0"/>
              <w:spacing w:line="240" w:lineRule="auto"/>
              <w:ind w:left="0" w:leftChars="0" w:right="0" w:rightChars="0" w:firstLine="0" w:firstLineChars="0"/>
              <w:jc w:val="righ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 xml:space="preserve">58266.24 </w:t>
            </w:r>
          </w:p>
        </w:tc>
      </w:tr>
      <w:tr w14:paraId="3C7AA28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380"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4210924C">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26</w:t>
            </w:r>
          </w:p>
        </w:tc>
        <w:tc>
          <w:tcPr>
            <w:tcW w:w="66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373378C4">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茶水柜</w:t>
            </w:r>
          </w:p>
        </w:tc>
        <w:tc>
          <w:tcPr>
            <w:tcW w:w="4582"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7D353402">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6"/>
                <w:szCs w:val="16"/>
                <w:highlight w:val="none"/>
                <w:u w:val="none"/>
                <w:lang w:val="en-US" w:eastAsia="zh-CN" w:bidi="ar"/>
              </w:rPr>
            </w:pPr>
            <w:r>
              <w:rPr>
                <w:rFonts w:hint="eastAsia" w:ascii="宋体" w:hAnsi="宋体" w:eastAsia="宋体" w:cs="宋体"/>
                <w:i w:val="0"/>
                <w:iCs w:val="0"/>
                <w:color w:val="000000"/>
                <w:kern w:val="0"/>
                <w:sz w:val="16"/>
                <w:szCs w:val="16"/>
                <w:highlight w:val="none"/>
                <w:u w:val="none"/>
                <w:lang w:val="en-US" w:eastAsia="zh-CN" w:bidi="ar"/>
              </w:rPr>
              <w:t>1.茶水柜，1.2*0.4*0.8m；</w:t>
            </w:r>
          </w:p>
          <w:p w14:paraId="70F82B67">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6"/>
                <w:szCs w:val="16"/>
                <w:highlight w:val="none"/>
                <w:u w:val="none"/>
                <w:lang w:val="en-US" w:eastAsia="zh-CN" w:bidi="ar"/>
              </w:rPr>
            </w:pPr>
            <w:r>
              <w:rPr>
                <w:rFonts w:hint="eastAsia" w:ascii="宋体" w:hAnsi="宋体" w:eastAsia="宋体" w:cs="宋体"/>
                <w:i w:val="0"/>
                <w:iCs w:val="0"/>
                <w:color w:val="000000"/>
                <w:kern w:val="0"/>
                <w:sz w:val="16"/>
                <w:szCs w:val="16"/>
                <w:highlight w:val="none"/>
                <w:u w:val="none"/>
                <w:lang w:val="en-US" w:eastAsia="zh-CN" w:bidi="ar"/>
              </w:rPr>
              <w:t>2.基材：环保型中纤板，甲醛释放量符合E1级标准；</w:t>
            </w:r>
          </w:p>
          <w:p w14:paraId="097A369F">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6"/>
                <w:szCs w:val="16"/>
                <w:highlight w:val="none"/>
                <w:u w:val="none"/>
                <w:lang w:val="en-US" w:eastAsia="zh-CN" w:bidi="ar"/>
              </w:rPr>
            </w:pPr>
            <w:r>
              <w:rPr>
                <w:rFonts w:hint="eastAsia" w:ascii="宋体" w:hAnsi="宋体" w:eastAsia="宋体" w:cs="宋体"/>
                <w:i w:val="0"/>
                <w:iCs w:val="0"/>
                <w:color w:val="000000"/>
                <w:kern w:val="0"/>
                <w:sz w:val="16"/>
                <w:szCs w:val="16"/>
                <w:highlight w:val="none"/>
                <w:u w:val="none"/>
                <w:lang w:val="en-US" w:eastAsia="zh-CN" w:bidi="ar"/>
              </w:rPr>
              <w:t>3.贴面材料：贴实木皮，厚度0.6㎜；</w:t>
            </w:r>
          </w:p>
          <w:p w14:paraId="5C923F44">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6"/>
                <w:szCs w:val="16"/>
                <w:highlight w:val="none"/>
                <w:u w:val="none"/>
                <w:lang w:val="en-US" w:eastAsia="zh-CN" w:bidi="ar"/>
              </w:rPr>
            </w:pPr>
            <w:r>
              <w:rPr>
                <w:rFonts w:hint="eastAsia" w:ascii="宋体" w:hAnsi="宋体" w:eastAsia="宋体" w:cs="宋体"/>
                <w:i w:val="0"/>
                <w:iCs w:val="0"/>
                <w:color w:val="000000"/>
                <w:kern w:val="0"/>
                <w:sz w:val="16"/>
                <w:szCs w:val="16"/>
                <w:highlight w:val="none"/>
                <w:u w:val="none"/>
                <w:lang w:val="en-US" w:eastAsia="zh-CN" w:bidi="ar"/>
              </w:rPr>
              <w:t>4.油漆：品牌PU漆，采用五底三面亚光透明油漆工艺。经过十二道油漆工序。表面纹理清晰无颗粒、无气泡、无渣点，颜色均匀，外部油漆厚度≥1.2㎜，甲醛含量&lt;0.5mg/L；</w:t>
            </w:r>
          </w:p>
          <w:p w14:paraId="31315B45">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6"/>
                <w:szCs w:val="16"/>
                <w:highlight w:val="none"/>
                <w:u w:val="none"/>
                <w:lang w:val="en-US" w:eastAsia="zh-CN" w:bidi="ar"/>
              </w:rPr>
            </w:pPr>
            <w:r>
              <w:rPr>
                <w:rFonts w:hint="eastAsia" w:ascii="宋体" w:hAnsi="宋体" w:eastAsia="宋体" w:cs="宋体"/>
                <w:i w:val="0"/>
                <w:iCs w:val="0"/>
                <w:color w:val="000000"/>
                <w:kern w:val="0"/>
                <w:sz w:val="16"/>
                <w:szCs w:val="16"/>
                <w:highlight w:val="none"/>
                <w:u w:val="none"/>
                <w:lang w:val="en-US" w:eastAsia="zh-CN" w:bidi="ar"/>
              </w:rPr>
              <w:t>5.粘胶：均采用符合国家标准的品牌白乳胶，粘合强度大，粘合时间长符合标准要求；</w:t>
            </w:r>
          </w:p>
          <w:p w14:paraId="5C2DCA9A">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6"/>
                <w:szCs w:val="16"/>
                <w:highlight w:val="none"/>
                <w:u w:val="none"/>
                <w:lang w:val="en-US" w:eastAsia="zh-CN" w:bidi="ar"/>
              </w:rPr>
            </w:pPr>
            <w:r>
              <w:rPr>
                <w:rFonts w:hint="eastAsia" w:ascii="宋体" w:hAnsi="宋体" w:eastAsia="宋体" w:cs="宋体"/>
                <w:i w:val="0"/>
                <w:iCs w:val="0"/>
                <w:color w:val="000000"/>
                <w:kern w:val="0"/>
                <w:sz w:val="16"/>
                <w:szCs w:val="16"/>
                <w:highlight w:val="none"/>
                <w:u w:val="none"/>
                <w:lang w:val="en-US" w:eastAsia="zh-CN" w:bidi="ar"/>
              </w:rPr>
              <w:t>6.五金配件：采用品牌优质五金配件；</w:t>
            </w:r>
          </w:p>
          <w:p w14:paraId="56204491">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7.成品采购安装；</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3B4DAF05">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套</w:t>
            </w:r>
          </w:p>
        </w:tc>
        <w:tc>
          <w:tcPr>
            <w:tcW w:w="642"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42F0AAD2">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5</w:t>
            </w:r>
          </w:p>
        </w:tc>
        <w:tc>
          <w:tcPr>
            <w:tcW w:w="933"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0D6B66B4">
            <w:pPr>
              <w:keepNext/>
              <w:keepLines w:val="0"/>
              <w:widowControl/>
              <w:suppressLineNumbers w:val="0"/>
              <w:snapToGrid w:val="0"/>
              <w:spacing w:line="240" w:lineRule="auto"/>
              <w:ind w:left="0" w:leftChars="0" w:right="0" w:rightChars="0" w:firstLine="0" w:firstLineChars="0"/>
              <w:jc w:val="righ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 xml:space="preserve">346.82 </w:t>
            </w:r>
          </w:p>
        </w:tc>
        <w:tc>
          <w:tcPr>
            <w:tcW w:w="95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19B56773">
            <w:pPr>
              <w:keepNext/>
              <w:keepLines w:val="0"/>
              <w:widowControl/>
              <w:suppressLineNumbers w:val="0"/>
              <w:snapToGrid w:val="0"/>
              <w:spacing w:line="240" w:lineRule="auto"/>
              <w:ind w:left="0" w:leftChars="0" w:right="0" w:rightChars="0" w:firstLine="0" w:firstLineChars="0"/>
              <w:jc w:val="righ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 xml:space="preserve">1734.11 </w:t>
            </w:r>
          </w:p>
        </w:tc>
      </w:tr>
      <w:tr w14:paraId="2F01A1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380"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AC3C833">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27</w:t>
            </w:r>
          </w:p>
        </w:tc>
        <w:tc>
          <w:tcPr>
            <w:tcW w:w="66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6C44D7D5">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钱纸焚烧箱</w:t>
            </w:r>
          </w:p>
        </w:tc>
        <w:tc>
          <w:tcPr>
            <w:tcW w:w="4582"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050AF651">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6"/>
                <w:szCs w:val="16"/>
                <w:highlight w:val="none"/>
                <w:u w:val="none"/>
                <w:lang w:val="en-US" w:eastAsia="zh-CN" w:bidi="ar"/>
              </w:rPr>
            </w:pPr>
            <w:r>
              <w:rPr>
                <w:rFonts w:hint="eastAsia" w:ascii="宋体" w:hAnsi="宋体" w:eastAsia="宋体" w:cs="宋体"/>
                <w:i w:val="0"/>
                <w:iCs w:val="0"/>
                <w:color w:val="000000"/>
                <w:kern w:val="0"/>
                <w:sz w:val="16"/>
                <w:szCs w:val="16"/>
                <w:highlight w:val="none"/>
                <w:u w:val="none"/>
                <w:lang w:val="en-US" w:eastAsia="zh-CN" w:bidi="ar"/>
              </w:rPr>
              <w:t>1.304不锈钢材质 1*0.8*2米</w:t>
            </w:r>
          </w:p>
          <w:p w14:paraId="01258954">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2.成品采购安装</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512D08F3">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个</w:t>
            </w:r>
          </w:p>
        </w:tc>
        <w:tc>
          <w:tcPr>
            <w:tcW w:w="642"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2329FE65">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11</w:t>
            </w:r>
          </w:p>
        </w:tc>
        <w:tc>
          <w:tcPr>
            <w:tcW w:w="933"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99E142A">
            <w:pPr>
              <w:keepNext/>
              <w:keepLines w:val="0"/>
              <w:widowControl/>
              <w:suppressLineNumbers w:val="0"/>
              <w:snapToGrid w:val="0"/>
              <w:spacing w:line="240" w:lineRule="auto"/>
              <w:ind w:left="0" w:leftChars="0" w:right="0" w:rightChars="0" w:firstLine="0" w:firstLineChars="0"/>
              <w:jc w:val="righ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 xml:space="preserve">1503.92 </w:t>
            </w:r>
          </w:p>
        </w:tc>
        <w:tc>
          <w:tcPr>
            <w:tcW w:w="95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49D01A11">
            <w:pPr>
              <w:keepNext/>
              <w:keepLines w:val="0"/>
              <w:widowControl/>
              <w:suppressLineNumbers w:val="0"/>
              <w:snapToGrid w:val="0"/>
              <w:spacing w:line="240" w:lineRule="auto"/>
              <w:ind w:left="0" w:leftChars="0" w:right="0" w:rightChars="0" w:firstLine="0" w:firstLineChars="0"/>
              <w:jc w:val="righ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 xml:space="preserve">16543.11 </w:t>
            </w:r>
          </w:p>
        </w:tc>
      </w:tr>
      <w:tr w14:paraId="475F18F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380"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41F7E8A5">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28</w:t>
            </w:r>
          </w:p>
        </w:tc>
        <w:tc>
          <w:tcPr>
            <w:tcW w:w="66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3A7F6935">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棺材移动架</w:t>
            </w:r>
          </w:p>
        </w:tc>
        <w:tc>
          <w:tcPr>
            <w:tcW w:w="4582"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1228A9E9">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6"/>
                <w:szCs w:val="16"/>
                <w:highlight w:val="none"/>
                <w:u w:val="none"/>
                <w:lang w:val="en-US" w:eastAsia="zh-CN" w:bidi="ar"/>
              </w:rPr>
            </w:pPr>
            <w:r>
              <w:rPr>
                <w:rFonts w:hint="eastAsia" w:ascii="宋体" w:hAnsi="宋体" w:eastAsia="宋体" w:cs="宋体"/>
                <w:i w:val="0"/>
                <w:iCs w:val="0"/>
                <w:color w:val="000000"/>
                <w:kern w:val="0"/>
                <w:sz w:val="16"/>
                <w:szCs w:val="16"/>
                <w:highlight w:val="none"/>
                <w:u w:val="none"/>
                <w:lang w:val="en-US" w:eastAsia="zh-CN" w:bidi="ar"/>
              </w:rPr>
              <w:t>1.304不锈钢材质外尺寸1.2*0.8*0.5米，双层，带滑轮</w:t>
            </w:r>
          </w:p>
          <w:p w14:paraId="4670F088">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2.成品采购安装</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013A49C1">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个</w:t>
            </w:r>
          </w:p>
        </w:tc>
        <w:tc>
          <w:tcPr>
            <w:tcW w:w="642"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00A4BA9D">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11</w:t>
            </w:r>
          </w:p>
        </w:tc>
        <w:tc>
          <w:tcPr>
            <w:tcW w:w="933"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12A13834">
            <w:pPr>
              <w:keepNext/>
              <w:keepLines w:val="0"/>
              <w:widowControl/>
              <w:suppressLineNumbers w:val="0"/>
              <w:snapToGrid w:val="0"/>
              <w:spacing w:line="240" w:lineRule="auto"/>
              <w:ind w:left="0" w:leftChars="0" w:right="0" w:rightChars="0" w:firstLine="0" w:firstLineChars="0"/>
              <w:jc w:val="righ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 xml:space="preserve">458.50 </w:t>
            </w:r>
          </w:p>
        </w:tc>
        <w:tc>
          <w:tcPr>
            <w:tcW w:w="95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71B7A90">
            <w:pPr>
              <w:keepNext/>
              <w:keepLines w:val="0"/>
              <w:widowControl/>
              <w:suppressLineNumbers w:val="0"/>
              <w:snapToGrid w:val="0"/>
              <w:spacing w:line="240" w:lineRule="auto"/>
              <w:ind w:left="0" w:leftChars="0" w:right="0" w:rightChars="0" w:firstLine="0" w:firstLineChars="0"/>
              <w:jc w:val="righ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 xml:space="preserve">5043.50 </w:t>
            </w:r>
          </w:p>
        </w:tc>
      </w:tr>
      <w:tr w14:paraId="43CBCE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380"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454945B8">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29</w:t>
            </w:r>
          </w:p>
        </w:tc>
        <w:tc>
          <w:tcPr>
            <w:tcW w:w="66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51AAFB90">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茶吧机</w:t>
            </w:r>
          </w:p>
        </w:tc>
        <w:tc>
          <w:tcPr>
            <w:tcW w:w="4582"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1D3D3D6B">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6"/>
                <w:szCs w:val="16"/>
                <w:highlight w:val="none"/>
                <w:u w:val="none"/>
                <w:lang w:val="en-US" w:eastAsia="zh-CN" w:bidi="ar"/>
              </w:rPr>
            </w:pPr>
            <w:r>
              <w:rPr>
                <w:rFonts w:hint="eastAsia" w:ascii="宋体" w:hAnsi="宋体" w:eastAsia="宋体" w:cs="宋体"/>
                <w:i w:val="0"/>
                <w:iCs w:val="0"/>
                <w:color w:val="000000"/>
                <w:kern w:val="0"/>
                <w:sz w:val="16"/>
                <w:szCs w:val="16"/>
                <w:highlight w:val="none"/>
                <w:u w:val="none"/>
                <w:lang w:val="en-US" w:eastAsia="zh-CN" w:bidi="ar"/>
              </w:rPr>
              <w:t xml:space="preserve">1.茶吧机：防溢水壶，硬核加厚侧板，100℃真沸腾，多档调温，安全童锁，长0.37*宽0.34*高1.16下置式水桶          </w:t>
            </w:r>
          </w:p>
          <w:p w14:paraId="644AEA0D">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2.成品采购安装</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40E76FD8">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套</w:t>
            </w:r>
          </w:p>
        </w:tc>
        <w:tc>
          <w:tcPr>
            <w:tcW w:w="642"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4676AEE9">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2</w:t>
            </w:r>
          </w:p>
        </w:tc>
        <w:tc>
          <w:tcPr>
            <w:tcW w:w="933"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5FA8B219">
            <w:pPr>
              <w:keepNext/>
              <w:keepLines w:val="0"/>
              <w:widowControl/>
              <w:suppressLineNumbers w:val="0"/>
              <w:snapToGrid w:val="0"/>
              <w:spacing w:line="240" w:lineRule="auto"/>
              <w:ind w:left="0" w:leftChars="0" w:right="0" w:rightChars="0" w:firstLine="0" w:firstLineChars="0"/>
              <w:jc w:val="righ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 xml:space="preserve">445.03 </w:t>
            </w:r>
          </w:p>
        </w:tc>
        <w:tc>
          <w:tcPr>
            <w:tcW w:w="95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7EFDA051">
            <w:pPr>
              <w:keepNext/>
              <w:keepLines w:val="0"/>
              <w:widowControl/>
              <w:suppressLineNumbers w:val="0"/>
              <w:snapToGrid w:val="0"/>
              <w:spacing w:line="240" w:lineRule="auto"/>
              <w:ind w:left="0" w:leftChars="0" w:right="0" w:rightChars="0" w:firstLine="0" w:firstLineChars="0"/>
              <w:jc w:val="righ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 xml:space="preserve">890.07 </w:t>
            </w:r>
          </w:p>
        </w:tc>
      </w:tr>
      <w:tr w14:paraId="451678B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380"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7079C43">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30</w:t>
            </w:r>
          </w:p>
        </w:tc>
        <w:tc>
          <w:tcPr>
            <w:tcW w:w="66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0B5DD4F6">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热水器</w:t>
            </w:r>
          </w:p>
        </w:tc>
        <w:tc>
          <w:tcPr>
            <w:tcW w:w="4582"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778308B3">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6"/>
                <w:szCs w:val="16"/>
                <w:highlight w:val="none"/>
                <w:u w:val="none"/>
                <w:lang w:val="en-US" w:eastAsia="zh-CN" w:bidi="ar"/>
              </w:rPr>
            </w:pPr>
            <w:r>
              <w:rPr>
                <w:rFonts w:hint="eastAsia" w:ascii="宋体" w:hAnsi="宋体" w:eastAsia="宋体" w:cs="宋体"/>
                <w:i w:val="0"/>
                <w:iCs w:val="0"/>
                <w:color w:val="000000"/>
                <w:kern w:val="0"/>
                <w:sz w:val="16"/>
                <w:szCs w:val="16"/>
                <w:highlight w:val="none"/>
                <w:u w:val="none"/>
                <w:lang w:val="en-US" w:eastAsia="zh-CN" w:bidi="ar"/>
              </w:rPr>
              <w:t>1.60升电热水器，防漏电、防干烧、防冻、防触电、防冻，低耗一级能效</w:t>
            </w:r>
          </w:p>
          <w:p w14:paraId="75BD4651">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2.成品采购安装</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6CB51AB5">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台</w:t>
            </w:r>
          </w:p>
        </w:tc>
        <w:tc>
          <w:tcPr>
            <w:tcW w:w="642"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4E9320AC">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23</w:t>
            </w:r>
          </w:p>
        </w:tc>
        <w:tc>
          <w:tcPr>
            <w:tcW w:w="933"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2C8EB098">
            <w:pPr>
              <w:keepNext/>
              <w:keepLines w:val="0"/>
              <w:widowControl/>
              <w:suppressLineNumbers w:val="0"/>
              <w:snapToGrid w:val="0"/>
              <w:spacing w:line="240" w:lineRule="auto"/>
              <w:ind w:left="0" w:leftChars="0" w:right="0" w:rightChars="0" w:firstLine="0" w:firstLineChars="0"/>
              <w:jc w:val="righ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 xml:space="preserve">745.67 </w:t>
            </w:r>
          </w:p>
        </w:tc>
        <w:tc>
          <w:tcPr>
            <w:tcW w:w="95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5D6BC12A">
            <w:pPr>
              <w:keepNext/>
              <w:keepLines w:val="0"/>
              <w:widowControl/>
              <w:suppressLineNumbers w:val="0"/>
              <w:snapToGrid w:val="0"/>
              <w:spacing w:line="240" w:lineRule="auto"/>
              <w:ind w:left="0" w:leftChars="0" w:right="0" w:rightChars="0" w:firstLine="0" w:firstLineChars="0"/>
              <w:jc w:val="righ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 xml:space="preserve">17150.39 </w:t>
            </w:r>
          </w:p>
        </w:tc>
      </w:tr>
      <w:tr w14:paraId="5CB863A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380"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6117753">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31</w:t>
            </w:r>
          </w:p>
        </w:tc>
        <w:tc>
          <w:tcPr>
            <w:tcW w:w="66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0521EB17">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彩电</w:t>
            </w:r>
          </w:p>
        </w:tc>
        <w:tc>
          <w:tcPr>
            <w:tcW w:w="4582"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3F4A00D1">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6"/>
                <w:szCs w:val="16"/>
                <w:highlight w:val="none"/>
                <w:u w:val="none"/>
                <w:lang w:val="en-US" w:eastAsia="zh-CN" w:bidi="ar"/>
              </w:rPr>
            </w:pPr>
            <w:r>
              <w:rPr>
                <w:rFonts w:hint="eastAsia" w:ascii="宋体" w:hAnsi="宋体" w:eastAsia="宋体" w:cs="宋体"/>
                <w:i w:val="0"/>
                <w:iCs w:val="0"/>
                <w:color w:val="000000"/>
                <w:kern w:val="0"/>
                <w:sz w:val="16"/>
                <w:szCs w:val="16"/>
                <w:highlight w:val="none"/>
                <w:u w:val="none"/>
                <w:lang w:val="en-US" w:eastAsia="zh-CN" w:bidi="ar"/>
              </w:rPr>
              <w:t>(1)50寸液晶电视机</w:t>
            </w:r>
          </w:p>
          <w:p w14:paraId="7BA3BFF4">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6"/>
                <w:szCs w:val="16"/>
                <w:highlight w:val="none"/>
                <w:u w:val="none"/>
                <w:lang w:val="en-US" w:eastAsia="zh-CN" w:bidi="ar"/>
              </w:rPr>
            </w:pPr>
            <w:r>
              <w:rPr>
                <w:rFonts w:hint="eastAsia" w:ascii="宋体" w:hAnsi="宋体" w:eastAsia="宋体" w:cs="宋体"/>
                <w:i w:val="0"/>
                <w:iCs w:val="0"/>
                <w:color w:val="000000"/>
                <w:kern w:val="0"/>
                <w:sz w:val="16"/>
                <w:szCs w:val="16"/>
                <w:highlight w:val="none"/>
                <w:u w:val="none"/>
                <w:lang w:val="en-US" w:eastAsia="zh-CN" w:bidi="ar"/>
              </w:rPr>
              <w:t>1.铝合金外观，超薄ELED一体机，安卓5.1.1，内置wifi功能，双核，无线网络畅游，超窄边框，精美画质:液晶电视机</w:t>
            </w:r>
          </w:p>
          <w:p w14:paraId="6DB714AB">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6"/>
                <w:szCs w:val="16"/>
                <w:highlight w:val="none"/>
                <w:u w:val="none"/>
                <w:lang w:val="en-US" w:eastAsia="zh-CN" w:bidi="ar"/>
              </w:rPr>
            </w:pPr>
            <w:r>
              <w:rPr>
                <w:rFonts w:hint="eastAsia" w:ascii="宋体" w:hAnsi="宋体" w:eastAsia="宋体" w:cs="宋体"/>
                <w:i w:val="0"/>
                <w:iCs w:val="0"/>
                <w:color w:val="000000"/>
                <w:kern w:val="0"/>
                <w:sz w:val="16"/>
                <w:szCs w:val="16"/>
                <w:highlight w:val="none"/>
                <w:u w:val="none"/>
                <w:lang w:val="en-US" w:eastAsia="zh-CN" w:bidi="ar"/>
              </w:rPr>
              <w:t>2.质量保质及售后:承诺自产品出厂之日起壹年内免费保修(人为损坏、自行拆除易碎标签不计在免费保修内)，壹年后实行终身有偿维修服务，所换配件以成本价收取:</w:t>
            </w:r>
          </w:p>
          <w:p w14:paraId="37972D4C">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3.液晶监视器器整机包括:广告机:1台、遥控器:1个支架/底座:1套、电源线:1条、说明书:1本、整机</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75293E7B">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台</w:t>
            </w:r>
          </w:p>
        </w:tc>
        <w:tc>
          <w:tcPr>
            <w:tcW w:w="642"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E84917A">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23</w:t>
            </w:r>
          </w:p>
        </w:tc>
        <w:tc>
          <w:tcPr>
            <w:tcW w:w="933"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7DB6C212">
            <w:pPr>
              <w:keepNext/>
              <w:keepLines w:val="0"/>
              <w:widowControl/>
              <w:suppressLineNumbers w:val="0"/>
              <w:snapToGrid w:val="0"/>
              <w:spacing w:line="240" w:lineRule="auto"/>
              <w:ind w:left="0" w:leftChars="0" w:right="0" w:rightChars="0" w:firstLine="0" w:firstLineChars="0"/>
              <w:jc w:val="righ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 xml:space="preserve">2253.48 </w:t>
            </w:r>
          </w:p>
        </w:tc>
        <w:tc>
          <w:tcPr>
            <w:tcW w:w="95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24FEA97C">
            <w:pPr>
              <w:keepNext/>
              <w:keepLines w:val="0"/>
              <w:widowControl/>
              <w:suppressLineNumbers w:val="0"/>
              <w:snapToGrid w:val="0"/>
              <w:spacing w:line="240" w:lineRule="auto"/>
              <w:ind w:left="0" w:leftChars="0" w:right="0" w:rightChars="0" w:firstLine="0" w:firstLineChars="0"/>
              <w:jc w:val="righ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 xml:space="preserve">51830.08 </w:t>
            </w:r>
          </w:p>
        </w:tc>
      </w:tr>
      <w:tr w14:paraId="47A5EAA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380"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3A80F8D1">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32</w:t>
            </w:r>
          </w:p>
        </w:tc>
        <w:tc>
          <w:tcPr>
            <w:tcW w:w="66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54685E04">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服务中心一楼大厅背景墙制安+落地屏风采购</w:t>
            </w:r>
          </w:p>
        </w:tc>
        <w:tc>
          <w:tcPr>
            <w:tcW w:w="4582"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2546F548">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6"/>
                <w:szCs w:val="16"/>
                <w:highlight w:val="none"/>
                <w:u w:val="none"/>
                <w:lang w:val="en-US" w:eastAsia="zh-CN" w:bidi="ar"/>
              </w:rPr>
            </w:pPr>
            <w:r>
              <w:rPr>
                <w:rFonts w:hint="eastAsia" w:ascii="宋体" w:hAnsi="宋体" w:eastAsia="宋体" w:cs="宋体"/>
                <w:i w:val="0"/>
                <w:iCs w:val="0"/>
                <w:color w:val="000000"/>
                <w:kern w:val="0"/>
                <w:sz w:val="16"/>
                <w:szCs w:val="16"/>
                <w:highlight w:val="none"/>
                <w:u w:val="none"/>
                <w:lang w:val="en-US" w:eastAsia="zh-CN" w:bidi="ar"/>
              </w:rPr>
              <w:t>1.服务中心一楼大厅背景墙制安+落地屏风采购</w:t>
            </w:r>
          </w:p>
          <w:p w14:paraId="4767631F">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6"/>
                <w:szCs w:val="16"/>
                <w:highlight w:val="none"/>
                <w:u w:val="none"/>
                <w:lang w:val="en-US" w:eastAsia="zh-CN" w:bidi="ar"/>
              </w:rPr>
            </w:pPr>
            <w:r>
              <w:rPr>
                <w:rFonts w:hint="eastAsia" w:ascii="宋体" w:hAnsi="宋体" w:eastAsia="宋体" w:cs="宋体"/>
                <w:i w:val="0"/>
                <w:iCs w:val="0"/>
                <w:color w:val="000000"/>
                <w:kern w:val="0"/>
                <w:sz w:val="16"/>
                <w:szCs w:val="16"/>
                <w:highlight w:val="none"/>
                <w:u w:val="none"/>
                <w:lang w:val="en-US" w:eastAsia="zh-CN" w:bidi="ar"/>
              </w:rPr>
              <w:t>2.背景墙尺寸高约为3m，长约14m，可选用龙骨基层阻燃版打底贴钢化玻璃或不锈钢、亚克力等装饰材料，也可选择石材上墙工艺；</w:t>
            </w:r>
          </w:p>
          <w:p w14:paraId="70F63C9B">
            <w:pPr>
              <w:keepNext/>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3.屏风面料采用麻绒，基材E0级中纤板，甲醛释放量≤0.124mg/m3，钢架表面耐腐蚀中性盐雾测试100h后无锈蚀、剥落、起皱;表面附着力≥2级;零部件无断裂、曲、变形、磨损、变形。</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75A1C204">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项</w:t>
            </w:r>
          </w:p>
        </w:tc>
        <w:tc>
          <w:tcPr>
            <w:tcW w:w="642"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1B1E32AA">
            <w:pPr>
              <w:keepNext/>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1</w:t>
            </w:r>
          </w:p>
        </w:tc>
        <w:tc>
          <w:tcPr>
            <w:tcW w:w="933"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64C04B0D">
            <w:pPr>
              <w:keepNext/>
              <w:keepLines w:val="0"/>
              <w:widowControl/>
              <w:suppressLineNumbers w:val="0"/>
              <w:snapToGrid w:val="0"/>
              <w:spacing w:line="240" w:lineRule="auto"/>
              <w:ind w:left="0" w:leftChars="0" w:right="0" w:rightChars="0" w:firstLine="0" w:firstLineChars="0"/>
              <w:jc w:val="righ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100000</w:t>
            </w:r>
          </w:p>
        </w:tc>
        <w:tc>
          <w:tcPr>
            <w:tcW w:w="95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0F4381F1">
            <w:pPr>
              <w:keepNext/>
              <w:keepLines w:val="0"/>
              <w:widowControl/>
              <w:suppressLineNumbers w:val="0"/>
              <w:snapToGrid w:val="0"/>
              <w:spacing w:line="240" w:lineRule="auto"/>
              <w:ind w:left="0" w:leftChars="0" w:right="0" w:rightChars="0" w:firstLine="0" w:firstLineChars="0"/>
              <w:jc w:val="righ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bidi="ar"/>
              </w:rPr>
              <w:t xml:space="preserve">100000.00 </w:t>
            </w:r>
          </w:p>
        </w:tc>
      </w:tr>
    </w:tbl>
    <w:p w14:paraId="3CED6878">
      <w:pPr>
        <w:keepNext w:val="0"/>
        <w:keepLines w:val="0"/>
        <w:pageBreakBefore w:val="0"/>
        <w:widowControl/>
        <w:numPr>
          <w:ilvl w:val="0"/>
          <w:numId w:val="3"/>
        </w:numPr>
        <w:kinsoku/>
        <w:wordWrap/>
        <w:overflowPunct/>
        <w:topLinePunct w:val="0"/>
        <w:autoSpaceDE/>
        <w:autoSpaceDN/>
        <w:bidi w:val="0"/>
        <w:adjustRightInd/>
        <w:snapToGrid/>
        <w:spacing w:after="0" w:line="360" w:lineRule="auto"/>
        <w:ind w:firstLine="426" w:firstLineChars="200"/>
        <w:jc w:val="left"/>
        <w:textAlignment w:val="auto"/>
        <w:rPr>
          <w:rFonts w:hint="eastAsia" w:asciiTheme="minorEastAsia" w:hAnsiTheme="minorEastAsia" w:eastAsiaTheme="minorEastAsia"/>
          <w:szCs w:val="21"/>
          <w:highlight w:val="none"/>
          <w:lang w:val="en-US" w:eastAsia="zh-CN"/>
        </w:rPr>
      </w:pPr>
      <w:r>
        <w:rPr>
          <w:rFonts w:hint="eastAsia" w:asciiTheme="minorEastAsia" w:hAnsiTheme="minorEastAsia" w:eastAsiaTheme="minorEastAsia"/>
          <w:szCs w:val="21"/>
          <w:highlight w:val="none"/>
          <w:lang w:val="en-US" w:eastAsia="zh-CN"/>
        </w:rPr>
        <w:t>殡仪服务中心厨房设备物资采购</w:t>
      </w:r>
    </w:p>
    <w:tbl>
      <w:tblPr>
        <w:tblStyle w:val="27"/>
        <w:tblW w:w="8613"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506"/>
        <w:gridCol w:w="1097"/>
        <w:gridCol w:w="4023"/>
        <w:gridCol w:w="380"/>
        <w:gridCol w:w="655"/>
        <w:gridCol w:w="931"/>
        <w:gridCol w:w="1021"/>
      </w:tblGrid>
      <w:tr w14:paraId="20034C9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7" w:hRule="atLeast"/>
        </w:trPr>
        <w:tc>
          <w:tcPr>
            <w:tcW w:w="506" w:type="dxa"/>
            <w:vMerge w:val="restart"/>
            <w:tcBorders>
              <w:top w:val="single" w:color="000000" w:sz="4" w:space="0"/>
              <w:left w:val="single" w:color="000000" w:sz="4" w:space="0"/>
              <w:bottom w:val="single" w:color="000000" w:sz="4" w:space="0"/>
              <w:right w:val="single" w:color="000000" w:sz="4" w:space="0"/>
            </w:tcBorders>
            <w:shd w:val="clear" w:color="000000" w:fill="FFFFFF"/>
            <w:vAlign w:val="center"/>
          </w:tcPr>
          <w:p w14:paraId="21B1B7ED">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序号</w:t>
            </w:r>
          </w:p>
        </w:tc>
        <w:tc>
          <w:tcPr>
            <w:tcW w:w="1097" w:type="dxa"/>
            <w:vMerge w:val="restart"/>
            <w:tcBorders>
              <w:top w:val="single" w:color="000000" w:sz="4" w:space="0"/>
              <w:left w:val="single" w:color="000000" w:sz="4" w:space="0"/>
              <w:bottom w:val="single" w:color="000000" w:sz="4" w:space="0"/>
              <w:right w:val="single" w:color="000000" w:sz="4" w:space="0"/>
            </w:tcBorders>
            <w:shd w:val="clear" w:color="000000" w:fill="FFFFFF"/>
            <w:vAlign w:val="center"/>
          </w:tcPr>
          <w:p w14:paraId="7E2EB4D1">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项目名称</w:t>
            </w:r>
          </w:p>
        </w:tc>
        <w:tc>
          <w:tcPr>
            <w:tcW w:w="4023" w:type="dxa"/>
            <w:vMerge w:val="restart"/>
            <w:tcBorders>
              <w:top w:val="single" w:color="000000" w:sz="4" w:space="0"/>
              <w:left w:val="single" w:color="000000" w:sz="4" w:space="0"/>
              <w:bottom w:val="single" w:color="000000" w:sz="4" w:space="0"/>
              <w:right w:val="single" w:color="000000" w:sz="4" w:space="0"/>
            </w:tcBorders>
            <w:shd w:val="clear" w:color="000000" w:fill="FFFFFF"/>
            <w:vAlign w:val="center"/>
          </w:tcPr>
          <w:p w14:paraId="0795B75C">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规格型号材质</w:t>
            </w:r>
          </w:p>
        </w:tc>
        <w:tc>
          <w:tcPr>
            <w:tcW w:w="380" w:type="dxa"/>
            <w:vMerge w:val="restart"/>
            <w:tcBorders>
              <w:top w:val="single" w:color="000000" w:sz="4" w:space="0"/>
              <w:left w:val="single" w:color="000000" w:sz="4" w:space="0"/>
              <w:bottom w:val="single" w:color="000000" w:sz="4" w:space="0"/>
              <w:right w:val="single" w:color="000000" w:sz="4" w:space="0"/>
            </w:tcBorders>
            <w:shd w:val="clear" w:color="000000" w:fill="FFFFFF"/>
            <w:vAlign w:val="center"/>
          </w:tcPr>
          <w:p w14:paraId="0B4193FE">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计量单位</w:t>
            </w:r>
          </w:p>
        </w:tc>
        <w:tc>
          <w:tcPr>
            <w:tcW w:w="655" w:type="dxa"/>
            <w:vMerge w:val="restart"/>
            <w:tcBorders>
              <w:top w:val="single" w:color="000000" w:sz="4" w:space="0"/>
              <w:left w:val="single" w:color="000000" w:sz="4" w:space="0"/>
              <w:bottom w:val="single" w:color="000000" w:sz="4" w:space="0"/>
              <w:right w:val="single" w:color="000000" w:sz="4" w:space="0"/>
            </w:tcBorders>
            <w:shd w:val="clear" w:color="000000" w:fill="FFFFFF"/>
            <w:vAlign w:val="center"/>
          </w:tcPr>
          <w:p w14:paraId="6BAA95C3">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工程量</w:t>
            </w:r>
          </w:p>
        </w:tc>
        <w:tc>
          <w:tcPr>
            <w:tcW w:w="931" w:type="dxa"/>
            <w:vMerge w:val="restart"/>
            <w:tcBorders>
              <w:top w:val="single" w:color="000000" w:sz="4" w:space="0"/>
              <w:left w:val="single" w:color="000000" w:sz="4" w:space="0"/>
              <w:bottom w:val="single" w:color="000000" w:sz="4" w:space="0"/>
              <w:right w:val="single" w:color="000000" w:sz="4" w:space="0"/>
            </w:tcBorders>
            <w:shd w:val="clear" w:color="000000" w:fill="FFFFFF"/>
            <w:vAlign w:val="center"/>
          </w:tcPr>
          <w:p w14:paraId="6987E8F2">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b/>
                <w:bCs/>
                <w:i w:val="0"/>
                <w:iCs w:val="0"/>
                <w:color w:val="000000"/>
                <w:kern w:val="0"/>
                <w:sz w:val="22"/>
                <w:szCs w:val="22"/>
                <w:highlight w:val="none"/>
                <w:u w:val="none"/>
                <w:lang w:val="en-US" w:eastAsia="zh-CN" w:bidi="ar"/>
              </w:rPr>
            </w:pPr>
            <w:r>
              <w:rPr>
                <w:rFonts w:hint="eastAsia" w:ascii="宋体" w:hAnsi="宋体" w:eastAsia="宋体" w:cs="宋体"/>
                <w:b/>
                <w:bCs/>
                <w:i w:val="0"/>
                <w:iCs w:val="0"/>
                <w:color w:val="000000"/>
                <w:kern w:val="0"/>
                <w:sz w:val="22"/>
                <w:szCs w:val="22"/>
                <w:highlight w:val="none"/>
                <w:u w:val="none"/>
                <w:lang w:val="en-US" w:eastAsia="zh-CN" w:bidi="ar"/>
              </w:rPr>
              <w:t>最高限价（单价）</w:t>
            </w:r>
          </w:p>
          <w:p w14:paraId="128042EE">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（元）</w:t>
            </w:r>
          </w:p>
        </w:tc>
        <w:tc>
          <w:tcPr>
            <w:tcW w:w="1021" w:type="dxa"/>
            <w:vMerge w:val="restart"/>
            <w:tcBorders>
              <w:top w:val="single" w:color="000000" w:sz="4" w:space="0"/>
              <w:left w:val="single" w:color="000000" w:sz="4" w:space="0"/>
              <w:bottom w:val="single" w:color="000000" w:sz="4" w:space="0"/>
              <w:right w:val="single" w:color="000000" w:sz="4" w:space="0"/>
            </w:tcBorders>
            <w:shd w:val="clear" w:color="000000" w:fill="FFFFFF"/>
            <w:vAlign w:val="center"/>
          </w:tcPr>
          <w:p w14:paraId="453B3F04">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b/>
                <w:bCs/>
                <w:i w:val="0"/>
                <w:iCs w:val="0"/>
                <w:color w:val="000000"/>
                <w:kern w:val="0"/>
                <w:sz w:val="22"/>
                <w:szCs w:val="22"/>
                <w:highlight w:val="none"/>
                <w:u w:val="none"/>
                <w:lang w:val="en-US" w:eastAsia="zh-CN" w:bidi="ar"/>
              </w:rPr>
            </w:pPr>
            <w:r>
              <w:rPr>
                <w:rFonts w:hint="eastAsia" w:ascii="宋体" w:hAnsi="宋体" w:eastAsia="宋体" w:cs="宋体"/>
                <w:b/>
                <w:bCs/>
                <w:i w:val="0"/>
                <w:iCs w:val="0"/>
                <w:color w:val="000000"/>
                <w:kern w:val="0"/>
                <w:sz w:val="22"/>
                <w:szCs w:val="22"/>
                <w:highlight w:val="none"/>
                <w:u w:val="none"/>
                <w:lang w:val="en-US" w:eastAsia="zh-CN" w:bidi="ar"/>
              </w:rPr>
              <w:t>金额</w:t>
            </w:r>
          </w:p>
          <w:p w14:paraId="11F6CBE0">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（元）</w:t>
            </w:r>
          </w:p>
        </w:tc>
      </w:tr>
      <w:tr w14:paraId="2A425A7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7" w:hRule="atLeast"/>
        </w:trPr>
        <w:tc>
          <w:tcPr>
            <w:tcW w:w="506" w:type="dxa"/>
            <w:vMerge w:val="continue"/>
            <w:tcBorders>
              <w:top w:val="single" w:color="000000" w:sz="4" w:space="0"/>
              <w:left w:val="single" w:color="000000" w:sz="4" w:space="0"/>
              <w:bottom w:val="single" w:color="000000" w:sz="4" w:space="0"/>
              <w:right w:val="single" w:color="000000" w:sz="4" w:space="0"/>
            </w:tcBorders>
            <w:shd w:val="clear" w:color="000000" w:fill="FFFFFF"/>
            <w:vAlign w:val="center"/>
          </w:tcPr>
          <w:p w14:paraId="77765950">
            <w:pPr>
              <w:ind w:left="0" w:leftChars="0" w:right="0" w:rightChars="0" w:firstLine="0" w:firstLineChars="0"/>
              <w:jc w:val="center"/>
              <w:rPr>
                <w:rFonts w:hint="eastAsia" w:ascii="宋体" w:hAnsi="宋体" w:eastAsia="宋体" w:cs="宋体"/>
                <w:b/>
                <w:bCs/>
                <w:i w:val="0"/>
                <w:iCs w:val="0"/>
                <w:color w:val="000000"/>
                <w:sz w:val="22"/>
                <w:szCs w:val="22"/>
                <w:highlight w:val="none"/>
                <w:u w:val="none"/>
              </w:rPr>
            </w:pPr>
          </w:p>
        </w:tc>
        <w:tc>
          <w:tcPr>
            <w:tcW w:w="1097" w:type="dxa"/>
            <w:vMerge w:val="continue"/>
            <w:tcBorders>
              <w:top w:val="single" w:color="000000" w:sz="4" w:space="0"/>
              <w:left w:val="single" w:color="000000" w:sz="4" w:space="0"/>
              <w:bottom w:val="single" w:color="000000" w:sz="4" w:space="0"/>
              <w:right w:val="single" w:color="000000" w:sz="4" w:space="0"/>
            </w:tcBorders>
            <w:shd w:val="clear" w:color="000000" w:fill="FFFFFF"/>
            <w:vAlign w:val="center"/>
          </w:tcPr>
          <w:p w14:paraId="1E38CE04">
            <w:pPr>
              <w:ind w:left="0" w:leftChars="0" w:right="0" w:rightChars="0" w:firstLine="0" w:firstLineChars="0"/>
              <w:jc w:val="center"/>
              <w:rPr>
                <w:rFonts w:hint="eastAsia" w:ascii="宋体" w:hAnsi="宋体" w:eastAsia="宋体" w:cs="宋体"/>
                <w:b/>
                <w:bCs/>
                <w:i w:val="0"/>
                <w:iCs w:val="0"/>
                <w:color w:val="000000"/>
                <w:sz w:val="22"/>
                <w:szCs w:val="22"/>
                <w:highlight w:val="none"/>
                <w:u w:val="none"/>
              </w:rPr>
            </w:pPr>
          </w:p>
        </w:tc>
        <w:tc>
          <w:tcPr>
            <w:tcW w:w="4023" w:type="dxa"/>
            <w:vMerge w:val="continue"/>
            <w:tcBorders>
              <w:top w:val="single" w:color="000000" w:sz="4" w:space="0"/>
              <w:left w:val="single" w:color="000000" w:sz="4" w:space="0"/>
              <w:bottom w:val="single" w:color="000000" w:sz="4" w:space="0"/>
              <w:right w:val="single" w:color="000000" w:sz="4" w:space="0"/>
            </w:tcBorders>
            <w:shd w:val="clear" w:color="000000" w:fill="FFFFFF"/>
            <w:vAlign w:val="center"/>
          </w:tcPr>
          <w:p w14:paraId="48AEAF92">
            <w:pPr>
              <w:ind w:left="0" w:leftChars="0" w:right="0" w:rightChars="0" w:firstLine="0" w:firstLineChars="0"/>
              <w:jc w:val="center"/>
              <w:rPr>
                <w:rFonts w:hint="eastAsia" w:ascii="宋体" w:hAnsi="宋体" w:eastAsia="宋体" w:cs="宋体"/>
                <w:b/>
                <w:bCs/>
                <w:i w:val="0"/>
                <w:iCs w:val="0"/>
                <w:color w:val="000000"/>
                <w:sz w:val="22"/>
                <w:szCs w:val="22"/>
                <w:highlight w:val="none"/>
                <w:u w:val="none"/>
              </w:rPr>
            </w:pPr>
          </w:p>
        </w:tc>
        <w:tc>
          <w:tcPr>
            <w:tcW w:w="380" w:type="dxa"/>
            <w:vMerge w:val="continue"/>
            <w:tcBorders>
              <w:top w:val="single" w:color="000000" w:sz="4" w:space="0"/>
              <w:left w:val="single" w:color="000000" w:sz="4" w:space="0"/>
              <w:bottom w:val="single" w:color="000000" w:sz="4" w:space="0"/>
              <w:right w:val="single" w:color="000000" w:sz="4" w:space="0"/>
            </w:tcBorders>
            <w:shd w:val="clear" w:color="000000" w:fill="FFFFFF"/>
            <w:vAlign w:val="center"/>
          </w:tcPr>
          <w:p w14:paraId="26A4359F">
            <w:pPr>
              <w:ind w:left="0" w:leftChars="0" w:right="0" w:rightChars="0" w:firstLine="0" w:firstLineChars="0"/>
              <w:jc w:val="center"/>
              <w:rPr>
                <w:rFonts w:hint="eastAsia" w:ascii="宋体" w:hAnsi="宋体" w:eastAsia="宋体" w:cs="宋体"/>
                <w:b/>
                <w:bCs/>
                <w:i w:val="0"/>
                <w:iCs w:val="0"/>
                <w:color w:val="000000"/>
                <w:sz w:val="22"/>
                <w:szCs w:val="22"/>
                <w:highlight w:val="none"/>
                <w:u w:val="none"/>
              </w:rPr>
            </w:pPr>
          </w:p>
        </w:tc>
        <w:tc>
          <w:tcPr>
            <w:tcW w:w="655" w:type="dxa"/>
            <w:vMerge w:val="continue"/>
            <w:tcBorders>
              <w:top w:val="single" w:color="000000" w:sz="4" w:space="0"/>
              <w:left w:val="single" w:color="000000" w:sz="4" w:space="0"/>
              <w:bottom w:val="single" w:color="000000" w:sz="4" w:space="0"/>
              <w:right w:val="single" w:color="000000" w:sz="4" w:space="0"/>
            </w:tcBorders>
            <w:shd w:val="clear" w:color="000000" w:fill="FFFFFF"/>
            <w:vAlign w:val="center"/>
          </w:tcPr>
          <w:p w14:paraId="0838DAF6">
            <w:pPr>
              <w:ind w:left="0" w:leftChars="0" w:right="0" w:rightChars="0" w:firstLine="0" w:firstLineChars="0"/>
              <w:jc w:val="center"/>
              <w:rPr>
                <w:rFonts w:hint="eastAsia" w:ascii="宋体" w:hAnsi="宋体" w:eastAsia="宋体" w:cs="宋体"/>
                <w:b/>
                <w:bCs/>
                <w:i w:val="0"/>
                <w:iCs w:val="0"/>
                <w:color w:val="000000"/>
                <w:sz w:val="22"/>
                <w:szCs w:val="22"/>
                <w:highlight w:val="none"/>
                <w:u w:val="none"/>
              </w:rPr>
            </w:pPr>
          </w:p>
        </w:tc>
        <w:tc>
          <w:tcPr>
            <w:tcW w:w="931" w:type="dxa"/>
            <w:vMerge w:val="continue"/>
            <w:tcBorders>
              <w:top w:val="single" w:color="000000" w:sz="4" w:space="0"/>
              <w:left w:val="single" w:color="000000" w:sz="4" w:space="0"/>
              <w:bottom w:val="single" w:color="000000" w:sz="4" w:space="0"/>
              <w:right w:val="single" w:color="000000" w:sz="4" w:space="0"/>
            </w:tcBorders>
            <w:shd w:val="clear" w:color="000000" w:fill="FFFFFF"/>
            <w:vAlign w:val="center"/>
          </w:tcPr>
          <w:p w14:paraId="2E4C1CAE">
            <w:pPr>
              <w:ind w:left="0" w:leftChars="0" w:right="0" w:rightChars="0" w:firstLine="0" w:firstLineChars="0"/>
              <w:jc w:val="center"/>
              <w:rPr>
                <w:rFonts w:hint="eastAsia" w:ascii="宋体" w:hAnsi="宋体" w:eastAsia="宋体" w:cs="宋体"/>
                <w:b/>
                <w:bCs/>
                <w:i w:val="0"/>
                <w:iCs w:val="0"/>
                <w:color w:val="000000"/>
                <w:sz w:val="22"/>
                <w:szCs w:val="22"/>
                <w:highlight w:val="none"/>
                <w:u w:val="none"/>
              </w:rPr>
            </w:pPr>
          </w:p>
        </w:tc>
        <w:tc>
          <w:tcPr>
            <w:tcW w:w="1021" w:type="dxa"/>
            <w:vMerge w:val="continue"/>
            <w:tcBorders>
              <w:top w:val="single" w:color="000000" w:sz="4" w:space="0"/>
              <w:left w:val="single" w:color="000000" w:sz="4" w:space="0"/>
              <w:bottom w:val="single" w:color="000000" w:sz="4" w:space="0"/>
              <w:right w:val="single" w:color="000000" w:sz="4" w:space="0"/>
            </w:tcBorders>
            <w:shd w:val="clear" w:color="000000" w:fill="FFFFFF"/>
            <w:vAlign w:val="center"/>
          </w:tcPr>
          <w:p w14:paraId="419455EF">
            <w:pPr>
              <w:ind w:left="0" w:leftChars="0" w:right="0" w:rightChars="0" w:firstLine="0" w:firstLineChars="0"/>
              <w:jc w:val="center"/>
              <w:rPr>
                <w:rFonts w:hint="eastAsia" w:ascii="宋体" w:hAnsi="宋体" w:eastAsia="宋体" w:cs="宋体"/>
                <w:b/>
                <w:bCs/>
                <w:i w:val="0"/>
                <w:iCs w:val="0"/>
                <w:color w:val="000000"/>
                <w:sz w:val="22"/>
                <w:szCs w:val="22"/>
                <w:highlight w:val="none"/>
                <w:u w:val="none"/>
              </w:rPr>
            </w:pPr>
          </w:p>
        </w:tc>
      </w:tr>
      <w:tr w14:paraId="3447310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7"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2F20D98">
            <w:pPr>
              <w:ind w:left="0" w:leftChars="0" w:right="0" w:rightChars="0" w:firstLine="0" w:firstLineChars="0"/>
              <w:jc w:val="center"/>
              <w:rPr>
                <w:rFonts w:hint="eastAsia" w:ascii="宋体" w:hAnsi="宋体" w:eastAsia="宋体" w:cs="宋体"/>
                <w:b/>
                <w:bCs/>
                <w:i w:val="0"/>
                <w:iCs w:val="0"/>
                <w:color w:val="000000"/>
                <w:sz w:val="18"/>
                <w:szCs w:val="18"/>
                <w:highlight w:val="none"/>
                <w:u w:val="none"/>
              </w:rPr>
            </w:pP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783D36A7">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b/>
                <w:bCs/>
                <w:i w:val="0"/>
                <w:iCs w:val="0"/>
                <w:color w:val="000000"/>
                <w:sz w:val="18"/>
                <w:szCs w:val="18"/>
                <w:highlight w:val="none"/>
                <w:u w:val="none"/>
              </w:rPr>
            </w:pPr>
            <w:r>
              <w:rPr>
                <w:rFonts w:hint="eastAsia" w:ascii="宋体" w:hAnsi="宋体" w:eastAsia="宋体" w:cs="宋体"/>
                <w:b/>
                <w:bCs/>
                <w:i w:val="0"/>
                <w:iCs w:val="0"/>
                <w:color w:val="000000"/>
                <w:kern w:val="0"/>
                <w:sz w:val="18"/>
                <w:szCs w:val="18"/>
                <w:highlight w:val="none"/>
                <w:u w:val="none"/>
                <w:lang w:val="en-US" w:eastAsia="zh-CN" w:bidi="ar"/>
              </w:rPr>
              <w:t>厨房设备</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34942E30">
            <w:pPr>
              <w:ind w:left="0" w:leftChars="0" w:right="0" w:rightChars="0" w:firstLine="0" w:firstLineChars="0"/>
              <w:jc w:val="left"/>
              <w:rPr>
                <w:rFonts w:hint="eastAsia" w:ascii="宋体" w:hAnsi="宋体" w:eastAsia="宋体" w:cs="宋体"/>
                <w:b/>
                <w:bCs/>
                <w:i w:val="0"/>
                <w:iCs w:val="0"/>
                <w:color w:val="000000"/>
                <w:sz w:val="18"/>
                <w:szCs w:val="18"/>
                <w:highlight w:val="none"/>
                <w:u w:val="none"/>
              </w:rPr>
            </w:pP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22EE5275">
            <w:pPr>
              <w:ind w:left="0" w:leftChars="0" w:right="0" w:rightChars="0" w:firstLine="0" w:firstLineChars="0"/>
              <w:jc w:val="center"/>
              <w:rPr>
                <w:rFonts w:hint="eastAsia" w:ascii="宋体" w:hAnsi="宋体" w:eastAsia="宋体" w:cs="宋体"/>
                <w:b/>
                <w:bCs/>
                <w:i w:val="0"/>
                <w:iCs w:val="0"/>
                <w:color w:val="000000"/>
                <w:sz w:val="18"/>
                <w:szCs w:val="18"/>
                <w:highlight w:val="none"/>
                <w:u w:val="none"/>
              </w:rPr>
            </w:pPr>
          </w:p>
        </w:tc>
        <w:tc>
          <w:tcPr>
            <w:tcW w:w="65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4C1A09E5">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b/>
                <w:bCs/>
                <w:i w:val="0"/>
                <w:iCs w:val="0"/>
                <w:color w:val="000000"/>
                <w:sz w:val="18"/>
                <w:szCs w:val="18"/>
                <w:highlight w:val="none"/>
                <w:u w:val="none"/>
              </w:rPr>
            </w:pPr>
          </w:p>
        </w:tc>
        <w:tc>
          <w:tcPr>
            <w:tcW w:w="93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41D3A9DE">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b/>
                <w:bCs/>
                <w:i w:val="0"/>
                <w:iCs w:val="0"/>
                <w:color w:val="000000"/>
                <w:sz w:val="18"/>
                <w:szCs w:val="18"/>
                <w:highlight w:val="none"/>
                <w:u w:val="none"/>
              </w:rPr>
            </w:pPr>
          </w:p>
        </w:tc>
        <w:tc>
          <w:tcPr>
            <w:tcW w:w="102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6495C0EB">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b/>
                <w:bCs/>
                <w:i w:val="0"/>
                <w:iCs w:val="0"/>
                <w:color w:val="000000"/>
                <w:sz w:val="18"/>
                <w:szCs w:val="18"/>
                <w:highlight w:val="none"/>
                <w:u w:val="none"/>
              </w:rPr>
            </w:pPr>
          </w:p>
        </w:tc>
      </w:tr>
      <w:tr w14:paraId="2B7D43F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7"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4445E163">
            <w:pPr>
              <w:ind w:left="0" w:leftChars="0" w:right="0" w:rightChars="0" w:firstLine="0" w:firstLineChars="0"/>
              <w:jc w:val="center"/>
              <w:rPr>
                <w:rFonts w:hint="eastAsia" w:ascii="宋体" w:hAnsi="宋体" w:eastAsia="宋体" w:cs="宋体"/>
                <w:b/>
                <w:bCs/>
                <w:i w:val="0"/>
                <w:iCs w:val="0"/>
                <w:color w:val="000000"/>
                <w:sz w:val="18"/>
                <w:szCs w:val="18"/>
                <w:highlight w:val="none"/>
                <w:u w:val="none"/>
              </w:rPr>
            </w:pP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73E63EC3">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b/>
                <w:bCs/>
                <w:i w:val="0"/>
                <w:iCs w:val="0"/>
                <w:color w:val="000000"/>
                <w:sz w:val="18"/>
                <w:szCs w:val="18"/>
                <w:highlight w:val="none"/>
                <w:u w:val="none"/>
              </w:rPr>
            </w:pPr>
            <w:r>
              <w:rPr>
                <w:rFonts w:hint="eastAsia" w:ascii="宋体" w:hAnsi="宋体" w:eastAsia="宋体" w:cs="宋体"/>
                <w:b/>
                <w:bCs/>
                <w:i w:val="0"/>
                <w:iCs w:val="0"/>
                <w:color w:val="000000"/>
                <w:kern w:val="0"/>
                <w:sz w:val="18"/>
                <w:szCs w:val="18"/>
                <w:highlight w:val="none"/>
                <w:u w:val="none"/>
                <w:lang w:val="en-US" w:eastAsia="zh-CN" w:bidi="ar"/>
              </w:rPr>
              <w:t>主厨房</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4DEE82B7">
            <w:pPr>
              <w:ind w:left="0" w:leftChars="0" w:right="0" w:rightChars="0" w:firstLine="0" w:firstLineChars="0"/>
              <w:jc w:val="left"/>
              <w:rPr>
                <w:rFonts w:hint="eastAsia" w:ascii="宋体" w:hAnsi="宋体" w:eastAsia="宋体" w:cs="宋体"/>
                <w:b/>
                <w:bCs/>
                <w:i w:val="0"/>
                <w:iCs w:val="0"/>
                <w:color w:val="000000"/>
                <w:sz w:val="18"/>
                <w:szCs w:val="18"/>
                <w:highlight w:val="none"/>
                <w:u w:val="none"/>
              </w:rPr>
            </w:pP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238D5DD9">
            <w:pPr>
              <w:ind w:left="0" w:leftChars="0" w:right="0" w:rightChars="0" w:firstLine="0" w:firstLineChars="0"/>
              <w:jc w:val="center"/>
              <w:rPr>
                <w:rFonts w:hint="eastAsia" w:ascii="宋体" w:hAnsi="宋体" w:eastAsia="宋体" w:cs="宋体"/>
                <w:b/>
                <w:bCs/>
                <w:i w:val="0"/>
                <w:iCs w:val="0"/>
                <w:color w:val="000000"/>
                <w:sz w:val="18"/>
                <w:szCs w:val="18"/>
                <w:highlight w:val="none"/>
                <w:u w:val="none"/>
              </w:rPr>
            </w:pPr>
          </w:p>
        </w:tc>
        <w:tc>
          <w:tcPr>
            <w:tcW w:w="65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6D907C07">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b/>
                <w:bCs/>
                <w:i w:val="0"/>
                <w:iCs w:val="0"/>
                <w:color w:val="000000"/>
                <w:sz w:val="18"/>
                <w:szCs w:val="18"/>
                <w:highlight w:val="none"/>
                <w:u w:val="none"/>
              </w:rPr>
            </w:pPr>
          </w:p>
        </w:tc>
        <w:tc>
          <w:tcPr>
            <w:tcW w:w="93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EEAB37A">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b/>
                <w:bCs/>
                <w:i w:val="0"/>
                <w:iCs w:val="0"/>
                <w:color w:val="000000"/>
                <w:sz w:val="18"/>
                <w:szCs w:val="18"/>
                <w:highlight w:val="none"/>
                <w:u w:val="none"/>
              </w:rPr>
            </w:pPr>
          </w:p>
        </w:tc>
        <w:tc>
          <w:tcPr>
            <w:tcW w:w="102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80ED0CC">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b/>
                <w:bCs/>
                <w:i w:val="0"/>
                <w:iCs w:val="0"/>
                <w:color w:val="000000"/>
                <w:sz w:val="18"/>
                <w:szCs w:val="18"/>
                <w:highlight w:val="none"/>
                <w:u w:val="none"/>
              </w:rPr>
            </w:pPr>
          </w:p>
        </w:tc>
      </w:tr>
      <w:tr w14:paraId="05E1BB4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C4286F8">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46C7EBE7">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四层平板货架</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57F02804">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1.尺寸：1260*500*1550</w:t>
            </w:r>
          </w:p>
          <w:p w14:paraId="02B35B7C">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2.整体采用304不锈钢制作，平板厚度1.0mm；</w:t>
            </w:r>
          </w:p>
          <w:p w14:paraId="166522AC">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3.立柱采用38×38×1.0mm厚不锈钢方管；</w:t>
            </w:r>
          </w:p>
          <w:p w14:paraId="073A1362">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4.配不锈钢可调子弹脚。</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0C0EB3BE">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6991057">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5EF13B1E">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998.68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5F4E4662">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998.68 </w:t>
            </w:r>
          </w:p>
        </w:tc>
      </w:tr>
      <w:tr w14:paraId="19E48BF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80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8B63533">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7F09628E">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单星盆水池</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0F599DC7">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1.尺寸：700*800*800+150</w:t>
            </w:r>
          </w:p>
          <w:p w14:paraId="3E74F933">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2.整体采用304不锈钢制作，台面厚1.2mm；</w:t>
            </w:r>
          </w:p>
          <w:p w14:paraId="48293198">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3.星盆斗厚1.0mm；</w:t>
            </w:r>
          </w:p>
          <w:p w14:paraId="253651C0">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4.星盆斗尺寸：500*500*300mm，配置提篮式不锈钢下水器；</w:t>
            </w:r>
          </w:p>
          <w:p w14:paraId="7D5DF8DC">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5.立柱采用38×38×1.0mm厚不锈钢方管，配不锈钢可调子弹脚；</w:t>
            </w:r>
          </w:p>
          <w:p w14:paraId="5A12B1F9">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6.面板厚度1.2mm；</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4755CDFA">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2A771554">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0217454">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708.69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57D3ACC">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708.69 </w:t>
            </w:r>
          </w:p>
        </w:tc>
      </w:tr>
      <w:tr w14:paraId="1A73BC6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C6573BE">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3</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5B0030F3">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台式混水龙头</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5E2A4F1C">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1、不锈钢材质；</w:t>
            </w:r>
          </w:p>
          <w:p w14:paraId="1BE9C4A5">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摆动式水嘴 ;</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1544C238">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1355461">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6</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54ED1849">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291.81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433DFE41">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1750.87 </w:t>
            </w:r>
          </w:p>
        </w:tc>
      </w:tr>
      <w:tr w14:paraId="689DB89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575"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2DBA21E">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4</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294E7DDF">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绞切肉机</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2B4F33F4">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 xml:space="preserve">1.尺寸：1020*600*900  </w:t>
            </w:r>
          </w:p>
          <w:p w14:paraId="2DFD473F">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2.机身以及与肉类接触部件均为优质201不锈钢，输送带及压菜带为无毒橡塑材料，可切片、切丝、绞馅；</w:t>
            </w:r>
          </w:p>
          <w:p w14:paraId="6AED027C">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3.生产能力：切肉片400Kg/h,切肉丝200Kg/h,绞肉100Kg/h。</w:t>
            </w:r>
          </w:p>
          <w:p w14:paraId="5E2EA033">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4.防水等级不低于IPX1。</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5C640A58">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1CA20810">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2BB2982D">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6353.23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1019FB19">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6353.23 </w:t>
            </w:r>
          </w:p>
        </w:tc>
      </w:tr>
      <w:tr w14:paraId="14A6B26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D422D7B">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5</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416C6AAF">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四层冲孔货架</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131DA9FF">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1.尺寸：1200*500*1550</w:t>
            </w:r>
          </w:p>
          <w:p w14:paraId="41266B8C">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2.整体采用304不锈钢制作，平板厚度1.0mm；</w:t>
            </w:r>
          </w:p>
          <w:p w14:paraId="05A02E98">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3.立柱采用38×38×1.0mm厚不锈钢方管；</w:t>
            </w:r>
          </w:p>
          <w:p w14:paraId="3021A3D1">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4.配不锈钢可调子弹脚。</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2F3D1104">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603F45E4">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443450A0">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1375.70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05C56228">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2751.41 </w:t>
            </w:r>
          </w:p>
        </w:tc>
      </w:tr>
      <w:tr w14:paraId="6049A9D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80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5B23D3B">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6</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4448B7DA">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24盘燃气智能型蒸饭柜</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3E8AC4F0">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1.尺寸：1425*650*1740mm；</w:t>
            </w:r>
          </w:p>
          <w:p w14:paraId="7093D8AB">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2.蒸饭量：75kg；</w:t>
            </w:r>
          </w:p>
          <w:p w14:paraId="13A07831">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3.可供人数：400；</w:t>
            </w:r>
          </w:p>
          <w:p w14:paraId="3D074140">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4.蒸饭时间：55分钟；</w:t>
            </w:r>
          </w:p>
          <w:p w14:paraId="6F3426F5">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5.热负荷：32kw；</w:t>
            </w:r>
          </w:p>
          <w:p w14:paraId="546745F5">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6.燃气种类：液化气/天然气；</w:t>
            </w:r>
          </w:p>
          <w:p w14:paraId="6401205F">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7.耗气量（液化气/天然气）2.2kg/2.7m3；</w:t>
            </w:r>
          </w:p>
          <w:p w14:paraId="169C14E1">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9.材质：采用SUS201不锈钢磨砂板，厚度≥1.2mm； </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7CA7884D">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6CA86024">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05AD2298">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7004.63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4EB436BB">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7004.63 </w:t>
            </w:r>
          </w:p>
        </w:tc>
      </w:tr>
      <w:tr w14:paraId="7B96189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4112185">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7</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31F86854">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商用热风循环消毒柜</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765ECBE7">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尺寸：1440*670*1940</w:t>
            </w:r>
          </w:p>
          <w:p w14:paraId="384A3214">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·全不锈钢打造箱体，设计时尚大方;</w:t>
            </w:r>
          </w:p>
          <w:p w14:paraId="275B4B55">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 内外无磁不锈铜＋不锈钢加热管 ;</w:t>
            </w:r>
          </w:p>
          <w:p w14:paraId="50009AFD">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·整机整体发泡，门封条密闭工艺，隔热保温， ;</w:t>
            </w:r>
          </w:p>
          <w:p w14:paraId="2F61C8D7">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·采用高温热风循环消毒系统消毒，清除各种有害病菌 ;</w:t>
            </w:r>
          </w:p>
          <w:p w14:paraId="559933EE">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·全不锈钢层架、重力脚配置，承载力强，坚固耐用 ;</w:t>
            </w:r>
          </w:p>
          <w:p w14:paraId="2256790E">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·设有可调温控器和可调定时器功能，对所需温度时间随意调节 ;</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2AC3E7A3">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7A070EB3">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7B7EF927">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4852.47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6C5C0EC">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9704.94 </w:t>
            </w:r>
          </w:p>
        </w:tc>
      </w:tr>
      <w:tr w14:paraId="7F11A71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80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69F2309A">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8</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176472E6">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单通上掀门四碗柜</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75418824">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尺寸：1200*500*1800</w:t>
            </w:r>
          </w:p>
          <w:p w14:paraId="48D04958">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*整体采用SUS304不锈钢制作；</w:t>
            </w:r>
          </w:p>
          <w:p w14:paraId="148604F5">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*顶板、层板、底板、侧板均采用1.0mm厚不锈钢板制作；</w:t>
            </w:r>
          </w:p>
          <w:p w14:paraId="258544EB">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*面板厚度1.2mm，并用1.0mm厚不锈钢板折成加强筋加固；</w:t>
            </w:r>
          </w:p>
          <w:p w14:paraId="5F294FA6">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*拉门为双层结构；</w:t>
            </w:r>
          </w:p>
          <w:p w14:paraId="5ED47B76">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*配置不锈钢可调子弹脚。</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4B06E1DB">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10224B9E">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077E3125">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2417.90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76D04A60">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4835.79 </w:t>
            </w:r>
          </w:p>
        </w:tc>
      </w:tr>
      <w:tr w14:paraId="356546B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025"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6CB8D41A">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9</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107BB247">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冷冻四门高身柜</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1F22559E">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尺寸：1220*760*1980</w:t>
            </w:r>
          </w:p>
          <w:p w14:paraId="78F7B6AD">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1、采用201不锈钢，内箱圆弧设计</w:t>
            </w:r>
          </w:p>
          <w:p w14:paraId="0592C147">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2、机组独立模块化技术，外挂防尘网</w:t>
            </w:r>
          </w:p>
          <w:p w14:paraId="3A72AB5F">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3、360 ° 风冷无霜循环，冷冻门框加装发热丝</w:t>
            </w:r>
          </w:p>
          <w:p w14:paraId="3CF77FC7">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4、内箱尺寸(mm)：1100*590*1405</w:t>
            </w:r>
          </w:p>
          <w:p w14:paraId="0F71800E">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5、控温类型：电子数字温控</w:t>
            </w:r>
          </w:p>
          <w:p w14:paraId="15D62B97">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6、制冷剂：冷藏：R134a,冷冻：R404a</w:t>
            </w:r>
          </w:p>
          <w:p w14:paraId="3D38B66B">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7、压缩机：制冷稳定，效率高、噪音低、故障率低、使用寿命长。</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6CD49A32">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27053BC">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0279DC1D">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6020.32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94ADBA5">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12040.63 </w:t>
            </w:r>
          </w:p>
        </w:tc>
      </w:tr>
      <w:tr w14:paraId="78798D4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025"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085E14BB">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10</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62B7F63A">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冷藏四门高身柜</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745AE89B">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尺寸：1220*760*1980</w:t>
            </w:r>
          </w:p>
          <w:p w14:paraId="1C0ACDE8">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1、采用201不锈钢，内箱圆弧设计</w:t>
            </w:r>
          </w:p>
          <w:p w14:paraId="135C4F17">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2、机组独立模块化技术，外挂防尘网</w:t>
            </w:r>
          </w:p>
          <w:p w14:paraId="5BBF630E">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3、360 ° 风冷无霜循环，冷冻门框加装发热丝</w:t>
            </w:r>
          </w:p>
          <w:p w14:paraId="64ECA9DD">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4、内箱尺寸(mm)：1100*590*1405</w:t>
            </w:r>
          </w:p>
          <w:p w14:paraId="56523595">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5、控温类型：电子数字温控</w:t>
            </w:r>
          </w:p>
          <w:p w14:paraId="3B006519">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6、制冷剂：冷藏：R134a,冷冻：R404a</w:t>
            </w:r>
          </w:p>
          <w:p w14:paraId="47EF42B8">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7、压缩机：制冷稳定，效率高、噪音低、故障率低、使用寿命长。</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7B75B151">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26200152">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29C16F4D">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6020.32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EB35DDA">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12040.63 </w:t>
            </w:r>
          </w:p>
        </w:tc>
      </w:tr>
      <w:tr w14:paraId="12D1FBF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75"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341F811E">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11</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44645B54">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三门海鲜蒸柜</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1F26F1D0">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尺寸：1200*910*1850    完善参数</w:t>
            </w:r>
          </w:p>
          <w:p w14:paraId="68732997">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1、蒸盘托称，可任意调节和拆卸</w:t>
            </w:r>
          </w:p>
          <w:p w14:paraId="3C477687">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2、整体可拆装，便于维修维护</w:t>
            </w:r>
          </w:p>
          <w:p w14:paraId="18B96B23">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3、胶条按压式设计，便于更换</w:t>
            </w:r>
          </w:p>
          <w:p w14:paraId="189BA4BD">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4、特殊水胆结构设计，换热面积大，加热效率高</w:t>
            </w:r>
          </w:p>
          <w:p w14:paraId="218FFD32">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5、拥有一键式点火， 自动化提高</w:t>
            </w:r>
          </w:p>
          <w:p w14:paraId="7E267D4F">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6、设有防干线，水位保护，熄火保护，确保安全</w:t>
            </w:r>
          </w:p>
          <w:p w14:paraId="54742585">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7、设有三个炉头，可根据蒸汽需求量单独开启，节约能源</w:t>
            </w:r>
          </w:p>
          <w:p w14:paraId="7FEEA481">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8、不锈钢板材：全部采用304#2B不锈钢板，1.5mm厚不锈钢面板，1.0mm厚不锈钢围身、背板、前板。</w:t>
            </w:r>
          </w:p>
          <w:p w14:paraId="1167875F">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9、底架：全不锈钢蒸气水胆结构，蒸汽加热水胆，安全控制压力;设有蒸气安全排气口，保证蒸气利用率高，特殊门胶边设计，方便使用者自行更换。网格可活动调较，方便蒸煮不同食物。</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52BDF120">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29BA82C8">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5F55ED66">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8212.51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A722BD3">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8212.51 </w:t>
            </w:r>
          </w:p>
        </w:tc>
      </w:tr>
      <w:tr w14:paraId="141DBCF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25"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4750099">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12</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48336CAC">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双头矮汤炉</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5FA415E2">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尺寸：1400*850*600+650</w:t>
            </w:r>
          </w:p>
          <w:p w14:paraId="77551FA0">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1、采用优质SUS304-2B不锈钢板制造，面板1.2mm，其余0.8mm，</w:t>
            </w:r>
          </w:p>
          <w:p w14:paraId="18649A47">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 φ38*1.0mm不锈钢脚，采用节能炉头，比普通炉头节能55%</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26638B93">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7AE7551">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165E5A73">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5371.07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533A4BC6">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5371.07 </w:t>
            </w:r>
          </w:p>
        </w:tc>
      </w:tr>
      <w:tr w14:paraId="547F33D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25"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0ADF28C">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13</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144C0C40">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炉拼台</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54751A9B">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尺寸：400*1100*800+450</w:t>
            </w:r>
          </w:p>
          <w:p w14:paraId="3FB6F92D">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1、优质304#不锈钢磨砂板，面板1.5mm、侧板1.2mm；置高**mm不锈钢后挡炉背板</w:t>
            </w:r>
          </w:p>
          <w:p w14:paraId="1BE0A8BE">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2、横通采用￠ 25*1.2mm不锈钢管连接，立管采用￠38*1.2mm不锈钢管连可调节高度子弹脚</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3D02EA39">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5B1F813E">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52ADC3BC">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541.94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56BD4A6B">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1083.88 </w:t>
            </w:r>
          </w:p>
        </w:tc>
      </w:tr>
      <w:tr w14:paraId="21B2FFD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59544ED">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14</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4AA38E97">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单星盆水池</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1E94D388">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1.尺寸：600*700*800+150</w:t>
            </w:r>
          </w:p>
          <w:p w14:paraId="6548D809">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2.整体采用SUS304不锈钢制作，台面厚1.2mm；</w:t>
            </w:r>
          </w:p>
          <w:p w14:paraId="181818A5">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3.星盆斗厚1.0mm，星盆斗尺寸：</w:t>
            </w:r>
          </w:p>
          <w:p w14:paraId="07ABC8E2">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4.500*500*300mm，配置提篮式不锈钢下水器；</w:t>
            </w:r>
          </w:p>
          <w:p w14:paraId="786D0DF9">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5.立柱采用38×38×1.0mm厚不锈钢方管，配不锈钢可调子弹脚；</w:t>
            </w:r>
          </w:p>
          <w:p w14:paraId="32513062">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6.面板厚度1.2mm；</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2CF053C9">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2E7DA057">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21B95FA7">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708.69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7AC1F8C5">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708.69 </w:t>
            </w:r>
          </w:p>
        </w:tc>
      </w:tr>
      <w:tr w14:paraId="55EC429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475"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47693D8A">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15</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5CF7C519">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单头单尾小炒灶</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709DBC61">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尺寸：1100*1100*800+450</w:t>
            </w:r>
          </w:p>
          <w:p w14:paraId="641BEF95">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1、设备不锈钢部分采用材质为不锈钢；</w:t>
            </w:r>
          </w:p>
          <w:p w14:paraId="18A19BB3">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2、台面厚度为1.2mm，前面板，侧板厚度1.0mm，设有来水摇摆龙头；</w:t>
            </w:r>
          </w:p>
          <w:p w14:paraId="078F8DFF">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3、前部设有排水槽；</w:t>
            </w:r>
          </w:p>
          <w:p w14:paraId="3418CB9B">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4、炉架选用50*50*4.8mm国标角钢；</w:t>
            </w:r>
          </w:p>
          <w:p w14:paraId="54F4F9B1">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5、炉架面及炉胆选用2.0mm国标冷轧钢板制造，炉膛与炮台一体式设计；</w:t>
            </w:r>
          </w:p>
          <w:p w14:paraId="0B3A9DA8">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6、静音节能燃烧器热效率不低于40%；</w:t>
            </w:r>
          </w:p>
          <w:p w14:paraId="75987EFD">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7、燃烧噪音≤70分贝,配安全全自动点火系统,鼓风式风机功率不超过550w，双风机。</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0EE08053">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146155C0">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4747E6FC">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4443.93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7726812F">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4443.93 </w:t>
            </w:r>
          </w:p>
        </w:tc>
      </w:tr>
      <w:tr w14:paraId="32B3FA9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75"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6942C720">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16</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346EC93E">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吊天花双层架</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5A44C996">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尺寸：1600*400*1500</w:t>
            </w:r>
          </w:p>
          <w:p w14:paraId="7E26A97E">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*整体采用SUS304不锈钢制作，厚度1.0mm；</w:t>
            </w:r>
          </w:p>
          <w:p w14:paraId="57ABC0B7">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*吊杆采用Ф48*1.0mm厚不锈钢圆管制作。</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3FBC0800">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CD413F8">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40FB2423">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1000.51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69FDBADE">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1000.51 </w:t>
            </w:r>
          </w:p>
        </w:tc>
      </w:tr>
      <w:tr w14:paraId="285408D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75"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3172728B">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17</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0325AD10">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吊天花双层架</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6D66518E">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尺寸：1800*400*1500</w:t>
            </w:r>
          </w:p>
          <w:p w14:paraId="7A664174">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*整体采用SUS304不锈钢制作，厚度1.0mm；</w:t>
            </w:r>
          </w:p>
          <w:p w14:paraId="0AF72D9F">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*吊杆采用Ф48*1.0mm厚不锈钢圆管制作。</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1BC77F0B">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75C97023">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2C3F4BDC">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1083.88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7CDE35B">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2167.77 </w:t>
            </w:r>
          </w:p>
        </w:tc>
      </w:tr>
      <w:tr w14:paraId="0D483B4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6786AC66">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18</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625A04AD">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冷藏操作台</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533F3EDE">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尺寸：1800*700*800</w:t>
            </w:r>
          </w:p>
          <w:p w14:paraId="71AF2075">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-采用201不锈钢，内箱圆弧设计</w:t>
            </w:r>
          </w:p>
          <w:p w14:paraId="2D9B97A8">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-外嵌式蒸发器，外挂防尘网</w:t>
            </w:r>
          </w:p>
          <w:p w14:paraId="401CBF1F">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-28cm小机组设计，  3D立体回风系统</w:t>
            </w:r>
          </w:p>
          <w:p w14:paraId="71849B7A">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-顶部斜45 ° 出风设计，360 ° 风冷无霜循环</w:t>
            </w:r>
          </w:p>
          <w:p w14:paraId="74EFFB0F">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-冷冻门框加装发热丝</w:t>
            </w:r>
          </w:p>
          <w:p w14:paraId="4C0B352D">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-内箱尺寸(mm)：1080*570/410*590</w:t>
            </w:r>
          </w:p>
          <w:p w14:paraId="02844C44">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-控温类型：电子数字温控</w:t>
            </w:r>
          </w:p>
          <w:p w14:paraId="64CE9B73">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-制冷剂：冷藏：R134a,冷冻：R404a</w:t>
            </w:r>
          </w:p>
          <w:p w14:paraId="26873179">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-压缩机：制冷稳定，性价比高，效率高、噪音低、故障率低、使用寿命长</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74AE54EE">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49DD42A8">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4</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D8CCF35">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3001.53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538441F5">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12006.11 </w:t>
            </w:r>
          </w:p>
        </w:tc>
      </w:tr>
      <w:tr w14:paraId="7D7A496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025"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66D92292">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19</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70CE2409">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单通上掀门荷台柜</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035E0EAD">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尺寸：1500*700*800</w:t>
            </w:r>
          </w:p>
          <w:p w14:paraId="51433386">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*整体采用SUS304不锈钢制作；</w:t>
            </w:r>
          </w:p>
          <w:p w14:paraId="4A88C6F7">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*台面厚度1.2mm，内衬15mm防水机制板并用1.0mm厚不锈钢板折成加强筋加固；</w:t>
            </w:r>
          </w:p>
          <w:p w14:paraId="5B15B0F8">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*层板、底板、侧板及门面采用1.0mm厚不锈钢板制作；</w:t>
            </w:r>
          </w:p>
          <w:p w14:paraId="12EB5B03">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*加强筋厚度1.0mm；</w:t>
            </w:r>
          </w:p>
          <w:p w14:paraId="12C6BC5B">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*配置不锈钢可调子弹脚。</w:t>
            </w:r>
          </w:p>
          <w:p w14:paraId="50D3FD53">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*上掀门为双层架构。</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06831568">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77342DF0">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3</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52853187">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1625.82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740EABFE">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4877.47 </w:t>
            </w:r>
          </w:p>
        </w:tc>
      </w:tr>
      <w:tr w14:paraId="139E541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575"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38DFD8D9">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20</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4B17D40F">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无背板大单星盆水池</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1D1D3BA2">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尺寸：700*700*800</w:t>
            </w:r>
          </w:p>
          <w:p w14:paraId="487C80CB">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*整体采用SUS304不锈钢制作，台面厚1.2mm；</w:t>
            </w:r>
          </w:p>
          <w:p w14:paraId="2FBFFFA1">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*星盆斗厚1.0mm，星盆斗尺寸：500*500*300mm，配置提篮式不锈钢下水器；</w:t>
            </w:r>
          </w:p>
          <w:p w14:paraId="02A42CD3">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*立柱采用38×38×1.0mm厚不锈钢方管，配不锈钢可调子弹脚；</w:t>
            </w:r>
          </w:p>
          <w:p w14:paraId="7EC984F0">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*面板厚度1.2mm；</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5A242EEC">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42BBC694">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7EDD540E">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734.87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1D00B01D">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1469.75 </w:t>
            </w:r>
          </w:p>
        </w:tc>
      </w:tr>
      <w:tr w14:paraId="78EA56C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25"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B07AA36">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21</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673A87AB">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平台刀具消毒柜</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4E19DAD3">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尺寸：1500*700*800</w:t>
            </w:r>
          </w:p>
          <w:p w14:paraId="73E3F53D">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1、整体采用SUS304不锈钢制作；</w:t>
            </w:r>
          </w:p>
          <w:p w14:paraId="618897EE">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2、台面厚度1.2mm，内衬15mm防水机制板并用1.0mm厚不锈钢板折成加强筋加固；</w:t>
            </w:r>
          </w:p>
          <w:p w14:paraId="142E5703">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3、层板、底板、侧板及门面采用</w:t>
            </w:r>
          </w:p>
          <w:p w14:paraId="5D5B3AEE">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1.0mm厚不锈钢板制作；</w:t>
            </w:r>
          </w:p>
          <w:p w14:paraId="6B6E006D">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4、底板、侧板下加装优质隔热板，棉下封0.8mm不锈钢板；</w:t>
            </w:r>
          </w:p>
          <w:p w14:paraId="029F3003">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5、背板及门胆板不锈钢板厚1.0mm，中填充隔热棉；</w:t>
            </w:r>
          </w:p>
          <w:p w14:paraId="26BFD71E">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6、加强筋厚度1.0mm，门面采用隔热玻璃；</w:t>
            </w:r>
          </w:p>
          <w:p w14:paraId="4E162712">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7、配置不锈钢可调子弹脚。</w:t>
            </w:r>
          </w:p>
          <w:p w14:paraId="6BF4B4F7">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8、配优质干发热线，可调式温控制。</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2ACE357C">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1341882">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49DB0770">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4002.04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432806F9">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4002.04 </w:t>
            </w:r>
          </w:p>
        </w:tc>
      </w:tr>
      <w:tr w14:paraId="72D0976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575"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F2AFB34">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22</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713DC708">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双层工作台带靠背（方腿）</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45D37537">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尺寸：1800*800*900</w:t>
            </w:r>
          </w:p>
          <w:p w14:paraId="22754B0E">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*整体采用SUS304不锈钢制作；</w:t>
            </w:r>
          </w:p>
          <w:p w14:paraId="4D8007CA">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*台面厚度1.2mm，内衬15mm防水机制板并用1.0mm厚不锈钢板折成加强筋加固；</w:t>
            </w:r>
          </w:p>
          <w:p w14:paraId="7AC30094">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*下层板厚度1.0mm；</w:t>
            </w:r>
          </w:p>
          <w:p w14:paraId="1781E819">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*脚管采用38*38*1.0mm不锈钢方管；</w:t>
            </w:r>
          </w:p>
          <w:p w14:paraId="765BCFC0">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*配不锈钢可调子弹脚。</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2211D5D7">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1A29AD7F">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19351C18">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1542.45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A6DA8A6">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1542.45 </w:t>
            </w:r>
          </w:p>
        </w:tc>
      </w:tr>
      <w:tr w14:paraId="10FD50C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025"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E6D7B80">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23</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3A5DB2E1">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双通上掀门荷台柜</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11520C1D">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尺寸：1500*1000*800</w:t>
            </w:r>
          </w:p>
          <w:p w14:paraId="4A4C5EDA">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*整体采用SUS304不锈钢制作；</w:t>
            </w:r>
          </w:p>
          <w:p w14:paraId="10CCA5F8">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*台面厚度1.2mm，内衬15mm防水机制板并用1.0mm厚不锈钢板折成加强筋加固；</w:t>
            </w:r>
          </w:p>
          <w:p w14:paraId="76AD6E54">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*层板、底板、侧板及门面采用1.0mm厚不锈钢板制作；</w:t>
            </w:r>
          </w:p>
          <w:p w14:paraId="5D484404">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*加强筋厚度1.0mm；</w:t>
            </w:r>
          </w:p>
          <w:p w14:paraId="565D08A8">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*配置不锈钢可调子弹脚。</w:t>
            </w:r>
          </w:p>
          <w:p w14:paraId="2386FD85">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*移门为双层架构。</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19F3B524">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0BFDD1AF">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4564D5D0">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2132.76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2C5572BE">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4265.51 </w:t>
            </w:r>
          </w:p>
        </w:tc>
      </w:tr>
      <w:tr w14:paraId="1AE8BA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25"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130209A">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24</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2DDAC741">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双通上掀门荷台柜</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71057573">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尺寸：1800*1000*800</w:t>
            </w:r>
          </w:p>
          <w:p w14:paraId="216C625D">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*整体采用SUS304不锈钢制作；</w:t>
            </w:r>
          </w:p>
          <w:p w14:paraId="4443A03B">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*台面厚度1.2mm，内衬15mm防水机制板并用1.0mm厚不锈钢板折成加强筋加固；</w:t>
            </w:r>
          </w:p>
          <w:p w14:paraId="0E058E16">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*层板、底板、侧板及门面采用1.0mm厚不锈钢板制作；</w:t>
            </w:r>
          </w:p>
          <w:p w14:paraId="296DB1F1">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*加强筋厚度1.0mm；</w:t>
            </w:r>
          </w:p>
          <w:p w14:paraId="7E910E88">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*配置不锈钢可调子弹脚。</w:t>
            </w:r>
          </w:p>
          <w:p w14:paraId="7D5FCA2F">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*移门为双层架构。</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7157670B">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600999F0">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9A90A91">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2603.83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26E42F7E">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5207.66 </w:t>
            </w:r>
          </w:p>
        </w:tc>
      </w:tr>
      <w:tr w14:paraId="2F2898B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312B3F10">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25</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41D7D099">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双通上掀门荷台柜</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3A5BBE79">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尺寸：2000*1000*800</w:t>
            </w:r>
          </w:p>
          <w:p w14:paraId="01187AC5">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*整体采用SUS304不锈钢制作；</w:t>
            </w:r>
          </w:p>
          <w:p w14:paraId="1FBF8230">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*台面厚度1.2mm，内衬15mm防水机制板并用1.0mm厚不锈钢板折成加强筋加固；</w:t>
            </w:r>
          </w:p>
          <w:p w14:paraId="3EAD8776">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*层板、底板、侧板及门面采用1.0mm厚不锈钢板制作；</w:t>
            </w:r>
          </w:p>
          <w:p w14:paraId="672D28AB">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*加强筋厚度1.0mm；</w:t>
            </w:r>
          </w:p>
          <w:p w14:paraId="3DB0E82B">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*配置不锈钢可调子弹脚。</w:t>
            </w:r>
          </w:p>
          <w:p w14:paraId="4BBC151E">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*移门为双层架构。</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5DD0C9E7">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27A3D800">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466D89A2">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3084.91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7E352AA">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3084.91 </w:t>
            </w:r>
          </w:p>
        </w:tc>
      </w:tr>
      <w:tr w14:paraId="4EFD87E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25"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47B35D82">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26</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6949302A">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炉拼台</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65CC1DAA">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尺寸：300*1100*800+450</w:t>
            </w:r>
          </w:p>
          <w:p w14:paraId="2D8CAA3B">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1、优质304#不锈钢磨砂板，面板1.5mm、侧板1.2mm；置高**mm不锈钢后挡炉背板</w:t>
            </w:r>
          </w:p>
          <w:p w14:paraId="0D92A9BD">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2、横通采用￠ 25*1.2mm不锈钢管连接，立管采用￠38*1.2mm不锈钢管连可调节高度子弹脚</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7B02CD7F">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1FB9727D">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3</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7A7464E3">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541.94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0C0485B7">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1625.82 </w:t>
            </w:r>
          </w:p>
        </w:tc>
      </w:tr>
      <w:tr w14:paraId="62AED31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25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430B94B2">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27</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3D0E1D1E">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单头大锅灶</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5FCD39AC">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1.尺寸：1100*1100*1310</w:t>
            </w:r>
          </w:p>
          <w:p w14:paraId="0F88A5D4">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2.设备不锈钢部分采用材质为不锈钢；</w:t>
            </w:r>
          </w:p>
          <w:p w14:paraId="4571D450">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3.台面厚度为1.2mm，前面板，侧板厚度1.0mm，设有来水摇摆龙头；</w:t>
            </w:r>
          </w:p>
          <w:p w14:paraId="1D18914B">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4.前部设有排水槽；</w:t>
            </w:r>
          </w:p>
          <w:p w14:paraId="35040198">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5.炉架选用50*50*4.8mm国标角钢，炉架面及炉胆选用2.0mm国标冷轧钢板制造，炉膛与炮台一体式设计，静音节能燃烧器热效率不低于40%，燃烧噪音≤70分贝,配安全全自动点火系统,鼓风式风机功率不超过550w，双风机。</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71FF20CC">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52F1B5F">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3</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5E9E8777">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4735.75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6353F82">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14207.24 </w:t>
            </w:r>
          </w:p>
        </w:tc>
      </w:tr>
      <w:tr w14:paraId="03345F7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25"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DBF5E2F">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28</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7F6B765C">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炉拼台</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649CC900">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尺寸：200*947.5*800+450</w:t>
            </w:r>
          </w:p>
          <w:p w14:paraId="3CCC0685">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1、优质304#不锈钢磨砂板，面板1.5mm、侧板1.2mm；置高**mm不锈钢后挡炉背板</w:t>
            </w:r>
          </w:p>
          <w:p w14:paraId="5E8EB151">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2、横通采用￠ 25*1.2mm不锈钢管连接，立管采用￠38*1.2mm不锈钢管连可调节高度子弹脚</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60C92908">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07095FC6">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0DA2A6F2">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541.94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5F0B485A">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541.94 </w:t>
            </w:r>
          </w:p>
        </w:tc>
      </w:tr>
      <w:tr w14:paraId="5C251C5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35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3726BBD">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29</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4DFF4151">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灭蝇灯</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5CB56828">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尺寸：660*128*380</w:t>
            </w:r>
          </w:p>
          <w:p w14:paraId="46E79DB5">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-工作方式：粘捕式</w:t>
            </w:r>
          </w:p>
          <w:p w14:paraId="6B921A3C">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-额定功率：0.008KW</w:t>
            </w:r>
          </w:p>
          <w:p w14:paraId="66FCEAEE">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-覆盖面积：30-50</w:t>
            </w:r>
          </w:p>
          <w:p w14:paraId="5A36CC01">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-额定电压：220V-50HZ</w:t>
            </w:r>
          </w:p>
          <w:p w14:paraId="51289C17">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-材料等级：ABS阻燃材料</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11D095A2">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2833455E">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115445E5">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177.12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554DA921">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354.25 </w:t>
            </w:r>
          </w:p>
        </w:tc>
      </w:tr>
      <w:tr w14:paraId="01F8B90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35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B51629E">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30</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6C8C1CBD">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 xml:space="preserve">右单星带投递口垃圾台柜 </w:t>
            </w:r>
          </w:p>
          <w:p w14:paraId="1DE7FD52">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（无背板）</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421992D4">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尺寸：1400*700*800</w:t>
            </w:r>
          </w:p>
          <w:p w14:paraId="138CBDC5">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*整体采用SUS304不锈钢制作，台面厚1.0mm；</w:t>
            </w:r>
          </w:p>
          <w:p w14:paraId="34A1C522">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*星盆斗厚1.0mm，星盆斗尺寸：500*500*280mm，配置提篮式不锈钢下水器；</w:t>
            </w:r>
          </w:p>
          <w:p w14:paraId="501024E3">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*背板、侧板、底板及门板厚1.0mm，斜拉门柜；</w:t>
            </w:r>
          </w:p>
          <w:p w14:paraId="72AC4174">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*配不锈钢可调子弹脚；</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456A8F03">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21277942">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2789605">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3126.59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01D8A7D8">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3126.59 </w:t>
            </w:r>
          </w:p>
        </w:tc>
      </w:tr>
      <w:tr w14:paraId="6E30D96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35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140CE51">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31</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5422FF11">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 xml:space="preserve">左单星带投递口垃圾台柜 </w:t>
            </w:r>
          </w:p>
          <w:p w14:paraId="477A10F3">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（无背板）</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09479864">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尺寸：1400*700*800</w:t>
            </w:r>
          </w:p>
          <w:p w14:paraId="3F43E1D6">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*整体采用SUS304不锈钢制作，台面厚1.0mm；</w:t>
            </w:r>
          </w:p>
          <w:p w14:paraId="2BA21863">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*星盆斗厚1.0mm，星盆斗尺寸：500*500*280mm，配置提篮式不锈钢下水器；</w:t>
            </w:r>
          </w:p>
          <w:p w14:paraId="2F931139">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*背板、侧板、底板及门板厚1.0mm，斜拉门柜；</w:t>
            </w:r>
          </w:p>
          <w:p w14:paraId="22ECDB6E">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*配不锈钢可调子弹脚；</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1B920225">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7C643DA">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6FE22E56">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3126.59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584C2A51">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3126.59 </w:t>
            </w:r>
          </w:p>
        </w:tc>
      </w:tr>
      <w:tr w14:paraId="33253BA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75"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6BBA2231">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32</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780FD2A7">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吊天花双层架</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0AA91A07">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尺寸：1300*400*1500</w:t>
            </w:r>
          </w:p>
          <w:p w14:paraId="2C0EE72C">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*整体采用SUS304不锈钢制作，厚度1.0mm；</w:t>
            </w:r>
          </w:p>
          <w:p w14:paraId="0715C1F8">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*吊杆采用Ф48*1.0mm厚不锈钢圆管制作。</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544387E7">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0B99C119">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5F5F8252">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1076.05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720FCA26">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2152.11 </w:t>
            </w:r>
          </w:p>
        </w:tc>
      </w:tr>
      <w:tr w14:paraId="7458BB0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80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3EA8C31B">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33</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012F3A08">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洗地龙头</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045EBAD2">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尺寸：230*610*470</w:t>
            </w:r>
          </w:p>
          <w:p w14:paraId="04DE12E1">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1、优质软管，耐折复合材料，耐高压可输热水</w:t>
            </w:r>
          </w:p>
          <w:p w14:paraId="5CA872DC">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2、限位橡胶球，软管自动回卷到转盘，回卷到限位球停止，限位球可手动调整位置</w:t>
            </w:r>
          </w:p>
          <w:p w14:paraId="38629C96">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3、不锈钢保保护套，不锈钢软管保护套，保护软管不刮伤</w:t>
            </w:r>
          </w:p>
          <w:p w14:paraId="5D754049">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4、可持续喷水，钢圈套住把手，可持续喷水减轻手部负担</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0278D590">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18615D31">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20DC3D50">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1834.27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7733EC38">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1834.27 </w:t>
            </w:r>
          </w:p>
        </w:tc>
      </w:tr>
      <w:tr w14:paraId="13F9ECD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00B84F26">
            <w:pPr>
              <w:ind w:left="0" w:leftChars="0" w:right="0" w:rightChars="0" w:firstLine="0" w:firstLineChars="0"/>
              <w:jc w:val="center"/>
              <w:rPr>
                <w:rFonts w:hint="eastAsia" w:ascii="宋体" w:hAnsi="宋体" w:eastAsia="宋体" w:cs="宋体"/>
                <w:b/>
                <w:bCs/>
                <w:i w:val="0"/>
                <w:iCs w:val="0"/>
                <w:color w:val="000000"/>
                <w:sz w:val="18"/>
                <w:szCs w:val="18"/>
                <w:highlight w:val="none"/>
                <w:u w:val="none"/>
              </w:rPr>
            </w:pP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5220091D">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b/>
                <w:bCs/>
                <w:i w:val="0"/>
                <w:iCs w:val="0"/>
                <w:color w:val="000000"/>
                <w:sz w:val="18"/>
                <w:szCs w:val="18"/>
                <w:highlight w:val="none"/>
                <w:u w:val="none"/>
              </w:rPr>
            </w:pPr>
            <w:r>
              <w:rPr>
                <w:rFonts w:hint="eastAsia" w:ascii="宋体" w:hAnsi="宋体" w:eastAsia="宋体" w:cs="宋体"/>
                <w:b/>
                <w:bCs/>
                <w:i w:val="0"/>
                <w:iCs w:val="0"/>
                <w:color w:val="000000"/>
                <w:kern w:val="0"/>
                <w:sz w:val="18"/>
                <w:szCs w:val="18"/>
                <w:highlight w:val="none"/>
                <w:u w:val="none"/>
                <w:lang w:val="en-US" w:eastAsia="zh-CN" w:bidi="ar"/>
              </w:rPr>
              <w:t>调味品库</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682F6A56">
            <w:pPr>
              <w:ind w:left="0" w:leftChars="0" w:right="0" w:rightChars="0" w:firstLine="0" w:firstLineChars="0"/>
              <w:jc w:val="left"/>
              <w:rPr>
                <w:rFonts w:hint="eastAsia" w:ascii="宋体" w:hAnsi="宋体" w:eastAsia="宋体" w:cs="宋体"/>
                <w:b/>
                <w:bCs/>
                <w:i w:val="0"/>
                <w:iCs w:val="0"/>
                <w:color w:val="000000"/>
                <w:sz w:val="18"/>
                <w:szCs w:val="18"/>
                <w:highlight w:val="none"/>
                <w:u w:val="none"/>
              </w:rPr>
            </w:pP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0729A6BA">
            <w:pPr>
              <w:ind w:left="0" w:leftChars="0" w:right="0" w:rightChars="0" w:firstLine="0" w:firstLineChars="0"/>
              <w:jc w:val="center"/>
              <w:rPr>
                <w:rFonts w:hint="eastAsia" w:ascii="宋体" w:hAnsi="宋体" w:eastAsia="宋体" w:cs="宋体"/>
                <w:b/>
                <w:bCs/>
                <w:i w:val="0"/>
                <w:iCs w:val="0"/>
                <w:color w:val="000000"/>
                <w:sz w:val="18"/>
                <w:szCs w:val="18"/>
                <w:highlight w:val="none"/>
                <w:u w:val="none"/>
              </w:rPr>
            </w:pP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6B052E16">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b/>
                <w:bCs/>
                <w:i w:val="0"/>
                <w:iCs w:val="0"/>
                <w:color w:val="000000"/>
                <w:sz w:val="18"/>
                <w:szCs w:val="18"/>
                <w:highlight w:val="none"/>
                <w:u w:val="none"/>
              </w:rPr>
            </w:pP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A497997">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b/>
                <w:bCs/>
                <w:i w:val="0"/>
                <w:iCs w:val="0"/>
                <w:color w:val="000000"/>
                <w:sz w:val="18"/>
                <w:szCs w:val="18"/>
                <w:highlight w:val="none"/>
                <w:u w:val="none"/>
              </w:rPr>
            </w:pP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705E2903">
            <w:pPr>
              <w:ind w:left="0" w:leftChars="0" w:right="0" w:rightChars="0" w:firstLine="0" w:firstLineChars="0"/>
              <w:jc w:val="right"/>
              <w:rPr>
                <w:rFonts w:hint="eastAsia" w:ascii="宋体" w:hAnsi="宋体" w:eastAsia="宋体" w:cs="宋体"/>
                <w:i w:val="0"/>
                <w:iCs w:val="0"/>
                <w:color w:val="000000"/>
                <w:sz w:val="18"/>
                <w:szCs w:val="18"/>
                <w:highlight w:val="none"/>
                <w:u w:val="none"/>
              </w:rPr>
            </w:pPr>
          </w:p>
        </w:tc>
      </w:tr>
      <w:tr w14:paraId="524C1EE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4A9BA73D">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34</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79612A3C">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四层平板货架</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62C833FC">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1.尺寸：1200*500*1550</w:t>
            </w:r>
          </w:p>
          <w:p w14:paraId="6828F13E">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2.整体采用SUS304不锈钢制作，平板厚度1.0mm；</w:t>
            </w:r>
          </w:p>
          <w:p w14:paraId="5B48EA04">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3.立柱采用38×38×1.0mm厚不锈钢方管；</w:t>
            </w:r>
          </w:p>
          <w:p w14:paraId="2E554427">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4.配不锈钢可调子弹脚。</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35A4AE51">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220A97C3">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3</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239078D9">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998.68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056EACF9">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2996.03 </w:t>
            </w:r>
          </w:p>
        </w:tc>
      </w:tr>
      <w:tr w14:paraId="406866F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25"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62BDD6D2">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35</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6BFDA927">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米面架</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10CD385F">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尺寸：1000*500*200</w:t>
            </w:r>
          </w:p>
          <w:p w14:paraId="0BE59998">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*整体采用SUS304不锈钢制作，厚度1.0mm；</w:t>
            </w:r>
          </w:p>
          <w:p w14:paraId="54994FE4">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*横柱用38×25×0.8mm厚不锈钢；</w:t>
            </w:r>
          </w:p>
          <w:p w14:paraId="44B771D0">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*立柱采用38×38×1.0mm厚不锈钢；</w:t>
            </w:r>
          </w:p>
          <w:p w14:paraId="6149F0D5">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*配置塑胶脚垫</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0A368D52">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0FBC415D">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2E8A30DC">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471.07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5CD4C4FB">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471.07 </w:t>
            </w:r>
          </w:p>
        </w:tc>
      </w:tr>
      <w:tr w14:paraId="17E8FD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018015C7">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36</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7D97EB0F">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四层平板货架</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65D18BB9">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1.尺寸：1000*500*1550</w:t>
            </w:r>
          </w:p>
          <w:p w14:paraId="3F5EEF3D">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2.整体采用SUS304不锈钢制作，平板厚度1.0mm；</w:t>
            </w:r>
          </w:p>
          <w:p w14:paraId="50FE490D">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3.立柱采用38×38×1.0mm厚不锈钢方管；</w:t>
            </w:r>
          </w:p>
          <w:p w14:paraId="3C8DA888">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4.配不锈钢可调子弹脚。</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50E45330">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D57641B">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76858662">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904.46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5E16DAEE">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904.46 </w:t>
            </w:r>
          </w:p>
        </w:tc>
      </w:tr>
      <w:tr w14:paraId="7E2E297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4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ED39EC4">
            <w:pPr>
              <w:ind w:left="0" w:leftChars="0" w:right="0" w:rightChars="0" w:firstLine="0" w:firstLineChars="0"/>
              <w:jc w:val="center"/>
              <w:rPr>
                <w:rFonts w:hint="eastAsia" w:ascii="宋体" w:hAnsi="宋体" w:eastAsia="宋体" w:cs="宋体"/>
                <w:b/>
                <w:bCs/>
                <w:i w:val="0"/>
                <w:iCs w:val="0"/>
                <w:color w:val="000000"/>
                <w:sz w:val="18"/>
                <w:szCs w:val="18"/>
                <w:highlight w:val="none"/>
                <w:u w:val="none"/>
              </w:rPr>
            </w:pP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594498EE">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b/>
                <w:bCs/>
                <w:i w:val="0"/>
                <w:iCs w:val="0"/>
                <w:color w:val="000000"/>
                <w:sz w:val="18"/>
                <w:szCs w:val="18"/>
                <w:highlight w:val="none"/>
                <w:u w:val="none"/>
              </w:rPr>
            </w:pPr>
            <w:r>
              <w:rPr>
                <w:rFonts w:hint="eastAsia" w:ascii="宋体" w:hAnsi="宋体" w:eastAsia="宋体" w:cs="宋体"/>
                <w:b/>
                <w:bCs/>
                <w:i w:val="0"/>
                <w:iCs w:val="0"/>
                <w:color w:val="000000"/>
                <w:kern w:val="0"/>
                <w:sz w:val="18"/>
                <w:szCs w:val="18"/>
                <w:highlight w:val="none"/>
                <w:u w:val="none"/>
                <w:lang w:val="en-US" w:eastAsia="zh-CN" w:bidi="ar"/>
              </w:rPr>
              <w:t>粗加工</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48EBFD97">
            <w:pPr>
              <w:ind w:left="0" w:leftChars="0" w:right="0" w:rightChars="0" w:firstLine="0" w:firstLineChars="0"/>
              <w:jc w:val="left"/>
              <w:rPr>
                <w:rFonts w:hint="eastAsia" w:ascii="宋体" w:hAnsi="宋体" w:eastAsia="宋体" w:cs="宋体"/>
                <w:b/>
                <w:bCs/>
                <w:i w:val="0"/>
                <w:iCs w:val="0"/>
                <w:color w:val="000000"/>
                <w:sz w:val="18"/>
                <w:szCs w:val="18"/>
                <w:highlight w:val="none"/>
                <w:u w:val="none"/>
              </w:rPr>
            </w:pP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2E9E6BA5">
            <w:pPr>
              <w:ind w:left="0" w:leftChars="0" w:right="0" w:rightChars="0" w:firstLine="0" w:firstLineChars="0"/>
              <w:jc w:val="center"/>
              <w:rPr>
                <w:rFonts w:hint="eastAsia" w:ascii="宋体" w:hAnsi="宋体" w:eastAsia="宋体" w:cs="宋体"/>
                <w:b/>
                <w:bCs/>
                <w:i w:val="0"/>
                <w:iCs w:val="0"/>
                <w:color w:val="000000"/>
                <w:sz w:val="18"/>
                <w:szCs w:val="18"/>
                <w:highlight w:val="none"/>
                <w:u w:val="none"/>
              </w:rPr>
            </w:pPr>
          </w:p>
        </w:tc>
        <w:tc>
          <w:tcPr>
            <w:tcW w:w="65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69EF2BE0">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b/>
                <w:bCs/>
                <w:i w:val="0"/>
                <w:iCs w:val="0"/>
                <w:color w:val="000000"/>
                <w:sz w:val="18"/>
                <w:szCs w:val="18"/>
                <w:highlight w:val="none"/>
                <w:u w:val="none"/>
              </w:rPr>
            </w:pPr>
          </w:p>
        </w:tc>
        <w:tc>
          <w:tcPr>
            <w:tcW w:w="93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34A0797C">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b/>
                <w:bCs/>
                <w:i w:val="0"/>
                <w:iCs w:val="0"/>
                <w:color w:val="000000"/>
                <w:sz w:val="18"/>
                <w:szCs w:val="18"/>
                <w:highlight w:val="none"/>
                <w:u w:val="none"/>
              </w:rPr>
            </w:pPr>
          </w:p>
        </w:tc>
        <w:tc>
          <w:tcPr>
            <w:tcW w:w="102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48E6AF27">
            <w:pPr>
              <w:ind w:left="0" w:leftChars="0" w:right="0" w:rightChars="0" w:firstLine="0" w:firstLineChars="0"/>
              <w:jc w:val="right"/>
              <w:rPr>
                <w:rFonts w:hint="eastAsia" w:ascii="宋体" w:hAnsi="宋体" w:eastAsia="宋体" w:cs="宋体"/>
                <w:i w:val="0"/>
                <w:iCs w:val="0"/>
                <w:color w:val="000000"/>
                <w:sz w:val="18"/>
                <w:szCs w:val="18"/>
                <w:highlight w:val="none"/>
                <w:u w:val="none"/>
              </w:rPr>
            </w:pPr>
          </w:p>
        </w:tc>
      </w:tr>
      <w:tr w14:paraId="1EA1FE4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9A6A69C">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37</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2DAA32FF">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四层平板货架</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2DEFA25F">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1.尺寸：1200*500*1550</w:t>
            </w:r>
          </w:p>
          <w:p w14:paraId="1C3FF1E6">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2.整体采用SUS304不锈钢制作，平板厚度1.0mm；</w:t>
            </w:r>
          </w:p>
          <w:p w14:paraId="25FA8AC3">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3.立柱采用38×38×1.0mm厚不锈钢方管；</w:t>
            </w:r>
          </w:p>
          <w:p w14:paraId="69EFC4AF">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4.配不锈钢可调子弹脚。</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0B5BE424">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784B7DA0">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A66915F">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998.68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791CC0AE">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998.68 </w:t>
            </w:r>
          </w:p>
        </w:tc>
      </w:tr>
      <w:tr w14:paraId="6318E1E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575"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4ECBD6D">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38</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02722198">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双层工作台带靠背（方腿）</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40B7825C">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尺寸：1500*700*900</w:t>
            </w:r>
          </w:p>
          <w:p w14:paraId="2DFD615C">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*整体采用SUS304不锈钢制作；</w:t>
            </w:r>
          </w:p>
          <w:p w14:paraId="47551017">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*台面厚度1.2mm，内衬15mm防水机制板并用1.0mm厚不锈钢板折成加强筋加固；</w:t>
            </w:r>
          </w:p>
          <w:p w14:paraId="1E2D2007">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*下层板厚度1.0mm；</w:t>
            </w:r>
          </w:p>
          <w:p w14:paraId="3FFA82CA">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*脚管采用38*38*1.0mm不锈钢方管；</w:t>
            </w:r>
          </w:p>
          <w:p w14:paraId="5363B0C4">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*配不锈钢可调子弹脚。</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322FEA71">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05B6EB24">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6F1208F6">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1205.95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133BD715">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1205.95 </w:t>
            </w:r>
          </w:p>
        </w:tc>
      </w:tr>
      <w:tr w14:paraId="631FA01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575"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6AFA7E57">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39</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29BC6370">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双星盆水池</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2CC40BDA">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 xml:space="preserve">1.尺寸：1400*700*800+100 </w:t>
            </w:r>
          </w:p>
          <w:p w14:paraId="177B3079">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 xml:space="preserve">2.整体采用SUS304不锈钢制作，台面厚1.2mm； </w:t>
            </w:r>
          </w:p>
          <w:p w14:paraId="02E3DE49">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 xml:space="preserve">3.星盆斗厚1.0mm，星盆斗尺寸： </w:t>
            </w:r>
          </w:p>
          <w:p w14:paraId="277C30AB">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 xml:space="preserve">4.500*500*300mm，配置提篮式不锈钢下水器； </w:t>
            </w:r>
          </w:p>
          <w:p w14:paraId="754B1D55">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 xml:space="preserve">5.立柱采用38×38×1.0mm厚不锈钢方管，配不锈钢可调子弹脚； </w:t>
            </w:r>
          </w:p>
          <w:p w14:paraId="0BE60528">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6.面板厚度1.2mm；</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7AAFA8FB">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6CBC9F46">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666D13FA">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1250.63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5C01927">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1250.63 </w:t>
            </w:r>
          </w:p>
        </w:tc>
      </w:tr>
      <w:tr w14:paraId="2ECF177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0399D6BA">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40</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3BACD9DF">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台式混水龙头</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6F666DB7">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1、不锈钢材质；</w:t>
            </w:r>
          </w:p>
          <w:p w14:paraId="194B2825">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摆动式水嘴 ;</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7FCB224F">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EFCABE2">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3</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4C2B5FB5">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291.81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5D5703B0">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875.43 </w:t>
            </w:r>
          </w:p>
        </w:tc>
      </w:tr>
      <w:tr w14:paraId="2E91637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35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00C8FA05">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41</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09489947">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左单星杀鱼台</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35640537">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尺寸：1500*700*800+0</w:t>
            </w:r>
          </w:p>
          <w:p w14:paraId="2B60325A">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*整体采用SUS304不锈钢制作，台面厚1.0mm；</w:t>
            </w:r>
          </w:p>
          <w:p w14:paraId="1AED531A">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*星盆斗厚1.0mm，星盆斗尺寸：500*500*280mm，配置提篮式不锈钢下水器；</w:t>
            </w:r>
          </w:p>
          <w:p w14:paraId="511A147C">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*立柱采用φ48*1.0mm圆通，配不锈钢可调子弹脚；</w:t>
            </w:r>
          </w:p>
          <w:p w14:paraId="7150E952">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*横撑采用φ32*1.0mm圆通；</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1B497113">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B307B10">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8CA6753">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1050.53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937D57E">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1050.53 </w:t>
            </w:r>
          </w:p>
        </w:tc>
      </w:tr>
      <w:tr w14:paraId="274F92C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3A1A7384">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42</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7293FC0F">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预冲洗花洒装置</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2A2D9181">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台式单孔的水龙头底座 ;</w:t>
            </w:r>
          </w:p>
          <w:p w14:paraId="19B455D6">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12"进水口软管 ;6"墙架。</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01455B64">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6F5B9A33">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516322C2">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985.49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6EEAA150">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985.49 </w:t>
            </w:r>
          </w:p>
        </w:tc>
      </w:tr>
      <w:tr w14:paraId="677507A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327DD56A">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43</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36B528F3">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杀鱼台背板</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5BA45BAD">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1、整体采用SUS304不锈钢制作；</w:t>
            </w:r>
          </w:p>
          <w:p w14:paraId="220191F7">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2、厚度1.2mm，满焊作防水处理。</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007332B3">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70E21FA2">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5ACEF2B4">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676.13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36E49EB">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676.13 </w:t>
            </w:r>
          </w:p>
        </w:tc>
      </w:tr>
      <w:tr w14:paraId="76146E8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79"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C98B0AE">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44</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0EC6EA83">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双层工作台带靠背（方腿）</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0B98CCD4">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尺寸：1200*700*900</w:t>
            </w:r>
          </w:p>
          <w:p w14:paraId="48579130">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*整体采用SUS304不锈钢制作；</w:t>
            </w:r>
          </w:p>
          <w:p w14:paraId="3FA74E6D">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*台面厚度1.2mm，内衬15mm防水机制板并用1.0mm厚不锈钢板折成加强筋加固；</w:t>
            </w:r>
          </w:p>
          <w:p w14:paraId="32A31F10">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*下层板厚度1.0mm；</w:t>
            </w:r>
          </w:p>
          <w:p w14:paraId="06705610">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*脚管采用38*38*1.0mm不锈钢方管；</w:t>
            </w:r>
          </w:p>
          <w:p w14:paraId="355CF8C8">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*配不锈钢可调子弹脚。</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68313284">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436A3277">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9DCB753">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942.15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B4B36F2">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942.15 </w:t>
            </w:r>
          </w:p>
        </w:tc>
      </w:tr>
      <w:tr w14:paraId="2FC309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575"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F38CECD">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45</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6152032B">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单星工作台（右星）</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74477DD1">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尺寸：1500*700*800+150</w:t>
            </w:r>
          </w:p>
          <w:p w14:paraId="22BF8A3D">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*整体采用SUS304不锈钢制作，台面厚1.2mm；</w:t>
            </w:r>
          </w:p>
          <w:p w14:paraId="70BED86C">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*星盆斗厚1.0mm，星盆斗尺寸：500*500*300mm，配置提篮式不锈钢下水器；</w:t>
            </w:r>
          </w:p>
          <w:p w14:paraId="6B888599">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*立柱采用38×38×1.0mm厚不锈钢方管，配不锈钢可调子弹脚；</w:t>
            </w:r>
          </w:p>
          <w:p w14:paraId="186C691E">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*面板厚度1.2mm；</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7EACE59D">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5A2C1426">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277560DE">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917.13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1821BD2A">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917.13 </w:t>
            </w:r>
          </w:p>
        </w:tc>
      </w:tr>
      <w:tr w14:paraId="4324C47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75"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4473D2D">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46</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0F199628">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挂墙双层架</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5A779346">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(1)尺寸:1400*350*680</w:t>
            </w:r>
          </w:p>
          <w:p w14:paraId="7273B70F">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(2)*整体采用SUS304不锈钢制作，厚度1.0mm；</w:t>
            </w:r>
          </w:p>
          <w:p w14:paraId="7E501CDD">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(3)*吊杆采用Ф48*1.0mm厚不锈钢圆管制作。</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578BC1F4">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05611226">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87CC835">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734.87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5B7ACEC8">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1469.75 </w:t>
            </w:r>
          </w:p>
        </w:tc>
      </w:tr>
      <w:tr w14:paraId="68043D1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75"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16C5751">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47</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33732F8A">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挂墙双层架</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509F2645">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(1)尺寸:1800*350*680</w:t>
            </w:r>
          </w:p>
          <w:p w14:paraId="0A437526">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(2)*整体采用SUS304不锈钢制作，厚度1.0mm；</w:t>
            </w:r>
          </w:p>
          <w:p w14:paraId="313C8988">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(3)*吊杆采用Ф48*1.0mm厚不锈钢圆管制作。</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20E1D218">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2CF7E2F9">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5D1A12AB">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810.25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1FC3922B">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1620.49 </w:t>
            </w:r>
          </w:p>
        </w:tc>
      </w:tr>
      <w:tr w14:paraId="293E77C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75"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71D31F5">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48</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7605F014">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刀具消毒柜300</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359D104E">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尺寸：415*330*620</w:t>
            </w:r>
          </w:p>
          <w:p w14:paraId="34C42F02">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1．利用远红外线穿透能力较强的特点，在有限的容积内能使重叠的餐具均得以有效消毒，消除了臭氧、蒸汽、紫外线消毒等方式难免的消毒死角，即使对肝炎病毒、芽胞杆菌、金黄色葡萄球菌、大肠杆菌等多种较难杀灭的细菌病毒，杀灭率均能达到99.9%以上；</w:t>
            </w:r>
          </w:p>
          <w:p w14:paraId="484CF17C">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2．利用干式高温方法消毒，使经消毒的餐具没有臭氧、蒸汽、紫外线消毒等方式难免的残留水渍，集餐具消毒与烘干及无菌储存等功能于一身；</w:t>
            </w:r>
          </w:p>
          <w:p w14:paraId="406411D4">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3．由室温至 150 ℃ 温度自由调节，使该产品具有对多种材质餐具、餐巾消毒的功能；</w:t>
            </w:r>
          </w:p>
          <w:p w14:paraId="643CC6D1">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4．全不锈钢结构并采用低热负荷金属红外线发热管、环保矿物保温材料、毛条门密封材料等，使该产品具有耐用、安全、可靠、环保等特点。</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2F44B87E">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130529DC">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64B8B19F">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708.69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4EDF7BE5">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708.69 </w:t>
            </w:r>
          </w:p>
        </w:tc>
      </w:tr>
      <w:tr w14:paraId="0504882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4438D3E7">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49</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158075F9">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移动垃圾桶</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678BB58A">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尺寸：600*600*1150</w:t>
            </w:r>
          </w:p>
          <w:p w14:paraId="539C2BD2">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高密度聚乙烯全新料</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46E02DFD">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2E19C802">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FC1AD94">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154.25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5637C35C">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308.50 </w:t>
            </w:r>
          </w:p>
        </w:tc>
      </w:tr>
      <w:tr w14:paraId="4C09115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4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44571A07">
            <w:pPr>
              <w:ind w:left="0" w:leftChars="0" w:right="0" w:rightChars="0" w:firstLine="0" w:firstLineChars="0"/>
              <w:jc w:val="center"/>
              <w:rPr>
                <w:rFonts w:hint="eastAsia" w:ascii="宋体" w:hAnsi="宋体" w:eastAsia="宋体" w:cs="宋体"/>
                <w:b/>
                <w:bCs/>
                <w:i w:val="0"/>
                <w:iCs w:val="0"/>
                <w:color w:val="000000"/>
                <w:sz w:val="18"/>
                <w:szCs w:val="18"/>
                <w:highlight w:val="none"/>
                <w:u w:val="none"/>
              </w:rPr>
            </w:pP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0B03D890">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b/>
                <w:bCs/>
                <w:i w:val="0"/>
                <w:iCs w:val="0"/>
                <w:color w:val="000000"/>
                <w:sz w:val="18"/>
                <w:szCs w:val="18"/>
                <w:highlight w:val="none"/>
                <w:u w:val="none"/>
              </w:rPr>
            </w:pPr>
            <w:r>
              <w:rPr>
                <w:rFonts w:hint="eastAsia" w:ascii="宋体" w:hAnsi="宋体" w:eastAsia="宋体" w:cs="宋体"/>
                <w:b/>
                <w:bCs/>
                <w:i w:val="0"/>
                <w:iCs w:val="0"/>
                <w:color w:val="000000"/>
                <w:kern w:val="0"/>
                <w:sz w:val="18"/>
                <w:szCs w:val="18"/>
                <w:highlight w:val="none"/>
                <w:u w:val="none"/>
                <w:lang w:val="en-US" w:eastAsia="zh-CN" w:bidi="ar"/>
              </w:rPr>
              <w:t>洗碗区</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76B13D08">
            <w:pPr>
              <w:ind w:left="0" w:leftChars="0" w:right="0" w:rightChars="0" w:firstLine="0" w:firstLineChars="0"/>
              <w:jc w:val="left"/>
              <w:rPr>
                <w:rFonts w:hint="eastAsia" w:ascii="宋体" w:hAnsi="宋体" w:eastAsia="宋体" w:cs="宋体"/>
                <w:b/>
                <w:bCs/>
                <w:i w:val="0"/>
                <w:iCs w:val="0"/>
                <w:color w:val="000000"/>
                <w:sz w:val="18"/>
                <w:szCs w:val="18"/>
                <w:highlight w:val="none"/>
                <w:u w:val="none"/>
              </w:rPr>
            </w:pP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41E66C27">
            <w:pPr>
              <w:ind w:left="0" w:leftChars="0" w:right="0" w:rightChars="0" w:firstLine="0" w:firstLineChars="0"/>
              <w:jc w:val="center"/>
              <w:rPr>
                <w:rFonts w:hint="eastAsia" w:ascii="宋体" w:hAnsi="宋体" w:eastAsia="宋体" w:cs="宋体"/>
                <w:b/>
                <w:bCs/>
                <w:i w:val="0"/>
                <w:iCs w:val="0"/>
                <w:color w:val="000000"/>
                <w:sz w:val="18"/>
                <w:szCs w:val="18"/>
                <w:highlight w:val="none"/>
                <w:u w:val="none"/>
              </w:rPr>
            </w:pP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1FE30C1C">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b/>
                <w:bCs/>
                <w:i w:val="0"/>
                <w:iCs w:val="0"/>
                <w:color w:val="000000"/>
                <w:sz w:val="18"/>
                <w:szCs w:val="18"/>
                <w:highlight w:val="none"/>
                <w:u w:val="none"/>
              </w:rPr>
            </w:pP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4E7FB807">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b/>
                <w:bCs/>
                <w:i w:val="0"/>
                <w:iCs w:val="0"/>
                <w:color w:val="000000"/>
                <w:sz w:val="18"/>
                <w:szCs w:val="18"/>
                <w:highlight w:val="none"/>
                <w:u w:val="none"/>
              </w:rPr>
            </w:pP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2083E707">
            <w:pPr>
              <w:ind w:left="0" w:leftChars="0" w:right="0" w:rightChars="0" w:firstLine="0" w:firstLineChars="0"/>
              <w:jc w:val="right"/>
              <w:rPr>
                <w:rFonts w:hint="eastAsia" w:ascii="宋体" w:hAnsi="宋体" w:eastAsia="宋体" w:cs="宋体"/>
                <w:i w:val="0"/>
                <w:iCs w:val="0"/>
                <w:color w:val="000000"/>
                <w:sz w:val="18"/>
                <w:szCs w:val="18"/>
                <w:highlight w:val="none"/>
                <w:u w:val="none"/>
              </w:rPr>
            </w:pPr>
          </w:p>
        </w:tc>
      </w:tr>
      <w:tr w14:paraId="0980D72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575"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51C89F6">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50</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639DE1D5">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大单星盆水池</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674D3169">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*整体采用SUS304不锈钢制作，台面厚1.2mm；</w:t>
            </w:r>
          </w:p>
          <w:p w14:paraId="7D5DB41A">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*星盆斗厚1.0mm，星盆斗尺寸：500*500*300mm，配置提篮式不锈钢下水器；</w:t>
            </w:r>
          </w:p>
          <w:p w14:paraId="7A763665">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*立柱采用38×38×1.0mm厚不锈钢方管，配不锈钢可调子弹脚；</w:t>
            </w:r>
          </w:p>
          <w:p w14:paraId="3C995ED5">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*面板厚度1.2mm；</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21C08547">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781CAFE9">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24ED910C">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958.82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082A1F55">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1917.65 </w:t>
            </w:r>
          </w:p>
        </w:tc>
      </w:tr>
      <w:tr w14:paraId="725CBBF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37641C48">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51</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6E7BF841">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台式混水龙头</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28C794D1">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1、不锈钢材质；</w:t>
            </w:r>
          </w:p>
          <w:p w14:paraId="72090CEE">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摆动式水嘴 ;</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78D91303">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4CBBA94">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6D43289C">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291.81 </w:t>
            </w:r>
          </w:p>
        </w:tc>
        <w:tc>
          <w:tcPr>
            <w:tcW w:w="102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B5F1C74">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583.62 </w:t>
            </w:r>
          </w:p>
        </w:tc>
      </w:tr>
      <w:tr w14:paraId="0DE5F1E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575"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6894849A">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52</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6A9F8A79">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双层工作台带靠背（方腿）</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5E543F5C">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尺寸：1702.5*800*900</w:t>
            </w:r>
          </w:p>
          <w:p w14:paraId="705E834E">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*整体采用SUS304不锈钢制作；</w:t>
            </w:r>
          </w:p>
          <w:p w14:paraId="3E4824CB">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*台面厚度1.2mm，内衬15mm防水机制板并用1.0mm厚不锈钢板折成加强筋加固；</w:t>
            </w:r>
          </w:p>
          <w:p w14:paraId="63BE03E9">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*下层板厚度1.0mm；</w:t>
            </w:r>
          </w:p>
          <w:p w14:paraId="2C58901C">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*脚管采用38*38*1.0mm不锈钢方管；</w:t>
            </w:r>
          </w:p>
          <w:p w14:paraId="4B3D822D">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*配不锈钢可调子弹脚。</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2EF6BB27">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6C87D793">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6751E42E">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1542.45 </w:t>
            </w:r>
          </w:p>
        </w:tc>
        <w:tc>
          <w:tcPr>
            <w:tcW w:w="102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A73BC9B">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1542.45 </w:t>
            </w:r>
          </w:p>
        </w:tc>
      </w:tr>
      <w:tr w14:paraId="246DA0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75"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40E6E737">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53</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70A1E15F">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挂墙双层架</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48C72133">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(1)尺寸:1500*350*680</w:t>
            </w:r>
          </w:p>
          <w:p w14:paraId="17811AB1">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(2)*整体采用SUS304不锈钢制作，厚度1.0mm；</w:t>
            </w:r>
          </w:p>
          <w:p w14:paraId="3DF222D3">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(3)*吊杆采用Ф48*1.0mm厚不锈钢圆管制作。</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211E972C">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6E8A1963">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1F03E7AB">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734.87 </w:t>
            </w:r>
          </w:p>
        </w:tc>
        <w:tc>
          <w:tcPr>
            <w:tcW w:w="102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4ED01B95">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1469.75 </w:t>
            </w:r>
          </w:p>
        </w:tc>
      </w:tr>
      <w:tr w14:paraId="000AAB2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80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32E44C8E">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54</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67F6DB31">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洗地龙头</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083FD520">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尺寸：230*610*470</w:t>
            </w:r>
          </w:p>
          <w:p w14:paraId="386C275C">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1、优质软管，耐折复合材料，耐高压可输热水</w:t>
            </w:r>
          </w:p>
          <w:p w14:paraId="3907209C">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2、限位橡胶球，软管自动回卷到转盘，回卷到限位球停止，限位球可手动调整位置</w:t>
            </w:r>
          </w:p>
          <w:p w14:paraId="36216A2E">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3、不锈钢保保护套，不锈钢软管保护套，保护软管不刮伤</w:t>
            </w:r>
          </w:p>
          <w:p w14:paraId="6C026806">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4、可持续喷水，钢圈套住把手，可持续喷水减轻手部负担</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038177F8">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D2CEC0D">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626C2C5B">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1834.27 </w:t>
            </w:r>
          </w:p>
        </w:tc>
        <w:tc>
          <w:tcPr>
            <w:tcW w:w="102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66001EE0">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1834.27 </w:t>
            </w:r>
          </w:p>
        </w:tc>
      </w:tr>
      <w:tr w14:paraId="776BC29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575"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6410E518">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55</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0063E9FF">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灭蝇灯</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6EDE30C0">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尺寸：660*128*380</w:t>
            </w:r>
          </w:p>
          <w:p w14:paraId="587DC9D6">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-工作方式：粘捕式</w:t>
            </w:r>
          </w:p>
          <w:p w14:paraId="163748B7">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-额定功率：0.008KW</w:t>
            </w:r>
          </w:p>
          <w:p w14:paraId="4E58B9D8">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-覆盖面积：30-50</w:t>
            </w:r>
          </w:p>
          <w:p w14:paraId="0F962D1B">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-额定电压：220V-50HZ</w:t>
            </w:r>
          </w:p>
          <w:p w14:paraId="5538F589">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-灯管型号：BINMU/T5 8W BL</w:t>
            </w:r>
          </w:p>
          <w:p w14:paraId="688C5354">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-材料等级：ABS阻燃材料</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5AB04921">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F6630BA">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648B1126">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177.12 </w:t>
            </w:r>
          </w:p>
        </w:tc>
        <w:tc>
          <w:tcPr>
            <w:tcW w:w="102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6F698DB1">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354.25 </w:t>
            </w:r>
          </w:p>
        </w:tc>
      </w:tr>
      <w:tr w14:paraId="425AD88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4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A8A445B">
            <w:pPr>
              <w:ind w:left="0" w:leftChars="0" w:right="0" w:rightChars="0" w:firstLine="0" w:firstLineChars="0"/>
              <w:jc w:val="center"/>
              <w:rPr>
                <w:rFonts w:hint="eastAsia" w:ascii="宋体" w:hAnsi="宋体" w:eastAsia="宋体" w:cs="宋体"/>
                <w:b/>
                <w:bCs/>
                <w:i w:val="0"/>
                <w:iCs w:val="0"/>
                <w:color w:val="000000"/>
                <w:sz w:val="18"/>
                <w:szCs w:val="18"/>
                <w:highlight w:val="none"/>
                <w:u w:val="none"/>
              </w:rPr>
            </w:pP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335C12E9">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b/>
                <w:bCs/>
                <w:i w:val="0"/>
                <w:iCs w:val="0"/>
                <w:color w:val="000000"/>
                <w:sz w:val="18"/>
                <w:szCs w:val="18"/>
                <w:highlight w:val="none"/>
                <w:u w:val="none"/>
              </w:rPr>
            </w:pPr>
            <w:r>
              <w:rPr>
                <w:rFonts w:hint="eastAsia" w:ascii="宋体" w:hAnsi="宋体" w:eastAsia="宋体" w:cs="宋体"/>
                <w:b/>
                <w:bCs/>
                <w:i w:val="0"/>
                <w:iCs w:val="0"/>
                <w:color w:val="000000"/>
                <w:kern w:val="0"/>
                <w:sz w:val="18"/>
                <w:szCs w:val="18"/>
                <w:highlight w:val="none"/>
                <w:u w:val="none"/>
                <w:lang w:val="en-US" w:eastAsia="zh-CN" w:bidi="ar"/>
              </w:rPr>
              <w:t>男更衣</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45A932CB">
            <w:pPr>
              <w:ind w:left="0" w:leftChars="0" w:right="0" w:rightChars="0" w:firstLine="0" w:firstLineChars="0"/>
              <w:jc w:val="left"/>
              <w:rPr>
                <w:rFonts w:hint="eastAsia" w:ascii="宋体" w:hAnsi="宋体" w:eastAsia="宋体" w:cs="宋体"/>
                <w:b/>
                <w:bCs/>
                <w:i w:val="0"/>
                <w:iCs w:val="0"/>
                <w:color w:val="000000"/>
                <w:sz w:val="18"/>
                <w:szCs w:val="18"/>
                <w:highlight w:val="none"/>
                <w:u w:val="none"/>
              </w:rPr>
            </w:pP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2061C0B0">
            <w:pPr>
              <w:ind w:left="0" w:leftChars="0" w:right="0" w:rightChars="0" w:firstLine="0" w:firstLineChars="0"/>
              <w:jc w:val="center"/>
              <w:rPr>
                <w:rFonts w:hint="eastAsia" w:ascii="宋体" w:hAnsi="宋体" w:eastAsia="宋体" w:cs="宋体"/>
                <w:b/>
                <w:bCs/>
                <w:i w:val="0"/>
                <w:iCs w:val="0"/>
                <w:color w:val="000000"/>
                <w:sz w:val="18"/>
                <w:szCs w:val="18"/>
                <w:highlight w:val="none"/>
                <w:u w:val="none"/>
              </w:rPr>
            </w:pPr>
          </w:p>
        </w:tc>
        <w:tc>
          <w:tcPr>
            <w:tcW w:w="65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6CE24F1D">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b/>
                <w:bCs/>
                <w:i w:val="0"/>
                <w:iCs w:val="0"/>
                <w:color w:val="000000"/>
                <w:sz w:val="18"/>
                <w:szCs w:val="18"/>
                <w:highlight w:val="none"/>
                <w:u w:val="none"/>
              </w:rPr>
            </w:pP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48095825">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b/>
                <w:bCs/>
                <w:i w:val="0"/>
                <w:iCs w:val="0"/>
                <w:color w:val="000000"/>
                <w:sz w:val="18"/>
                <w:szCs w:val="18"/>
                <w:highlight w:val="none"/>
                <w:u w:val="none"/>
              </w:rPr>
            </w:pPr>
          </w:p>
        </w:tc>
        <w:tc>
          <w:tcPr>
            <w:tcW w:w="102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061A8FA4">
            <w:pPr>
              <w:ind w:left="0" w:leftChars="0" w:right="0" w:rightChars="0" w:firstLine="0" w:firstLineChars="0"/>
              <w:jc w:val="right"/>
              <w:rPr>
                <w:rFonts w:hint="eastAsia" w:ascii="宋体" w:hAnsi="宋体" w:eastAsia="宋体" w:cs="宋体"/>
                <w:i w:val="0"/>
                <w:iCs w:val="0"/>
                <w:color w:val="000000"/>
                <w:sz w:val="18"/>
                <w:szCs w:val="18"/>
                <w:highlight w:val="none"/>
                <w:u w:val="none"/>
              </w:rPr>
            </w:pPr>
          </w:p>
        </w:tc>
      </w:tr>
      <w:tr w14:paraId="51B7DE1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75"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6641F3F3">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56</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0703A9B6">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洗手星</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30B43BD0">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尺寸：500*450*600</w:t>
            </w:r>
          </w:p>
          <w:p w14:paraId="545AD5E6">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-整体采用SUS304不锈钢制作，台面厚1.0mm</w:t>
            </w:r>
          </w:p>
          <w:p w14:paraId="6A5415A6">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-星盆斗厚1.0mm，星盆斗尺寸：335*240*105mm</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56980AD5">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654ED3BD">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16180AEF">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458.57 </w:t>
            </w:r>
          </w:p>
        </w:tc>
        <w:tc>
          <w:tcPr>
            <w:tcW w:w="102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6E63D549">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458.57 </w:t>
            </w:r>
          </w:p>
        </w:tc>
      </w:tr>
      <w:tr w14:paraId="4094E57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6296C28D">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57</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75050937">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9门更衣柜</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2BF2EF26">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尺寸：900*390*1800</w:t>
            </w:r>
          </w:p>
          <w:p w14:paraId="66D93916">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1、整体采用SUS304不锈钢制作，材料厚度1.0mm。</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36062C11">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60FFF277">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4</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4DE1A455">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1042.19 </w:t>
            </w:r>
          </w:p>
        </w:tc>
        <w:tc>
          <w:tcPr>
            <w:tcW w:w="102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0F2A38A">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4168.77 </w:t>
            </w:r>
          </w:p>
        </w:tc>
      </w:tr>
      <w:tr w14:paraId="29766D8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4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66F849C6">
            <w:pPr>
              <w:ind w:left="0" w:leftChars="0" w:right="0" w:rightChars="0" w:firstLine="0" w:firstLineChars="0"/>
              <w:jc w:val="center"/>
              <w:rPr>
                <w:rFonts w:hint="eastAsia" w:ascii="宋体" w:hAnsi="宋体" w:eastAsia="宋体" w:cs="宋体"/>
                <w:i w:val="0"/>
                <w:iCs w:val="0"/>
                <w:color w:val="000000"/>
                <w:sz w:val="18"/>
                <w:szCs w:val="18"/>
                <w:highlight w:val="none"/>
                <w:u w:val="none"/>
              </w:rPr>
            </w:pP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6BF252C7">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女更衣</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656BCDA2">
            <w:pPr>
              <w:ind w:left="0" w:leftChars="0" w:right="0" w:rightChars="0" w:firstLine="0" w:firstLineChars="0"/>
              <w:jc w:val="left"/>
              <w:rPr>
                <w:rFonts w:hint="eastAsia" w:ascii="宋体" w:hAnsi="宋体" w:eastAsia="宋体" w:cs="宋体"/>
                <w:i w:val="0"/>
                <w:iCs w:val="0"/>
                <w:color w:val="000000"/>
                <w:sz w:val="18"/>
                <w:szCs w:val="18"/>
                <w:highlight w:val="none"/>
                <w:u w:val="none"/>
              </w:rPr>
            </w:pP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59EE5FD0">
            <w:pPr>
              <w:ind w:left="0" w:leftChars="0" w:right="0" w:rightChars="0" w:firstLine="0" w:firstLineChars="0"/>
              <w:jc w:val="center"/>
              <w:rPr>
                <w:rFonts w:hint="eastAsia" w:ascii="宋体" w:hAnsi="宋体" w:eastAsia="宋体" w:cs="宋体"/>
                <w:i w:val="0"/>
                <w:iCs w:val="0"/>
                <w:color w:val="000000"/>
                <w:sz w:val="18"/>
                <w:szCs w:val="18"/>
                <w:highlight w:val="none"/>
                <w:u w:val="none"/>
              </w:rPr>
            </w:pPr>
          </w:p>
        </w:tc>
        <w:tc>
          <w:tcPr>
            <w:tcW w:w="65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87D60D6">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1.000</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4CF9F475">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p>
        </w:tc>
        <w:tc>
          <w:tcPr>
            <w:tcW w:w="102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3695AAE">
            <w:pPr>
              <w:ind w:left="0" w:leftChars="0" w:right="0" w:rightChars="0" w:firstLine="0" w:firstLineChars="0"/>
              <w:jc w:val="right"/>
              <w:rPr>
                <w:rFonts w:hint="eastAsia" w:ascii="宋体" w:hAnsi="宋体" w:eastAsia="宋体" w:cs="宋体"/>
                <w:i w:val="0"/>
                <w:iCs w:val="0"/>
                <w:color w:val="000000"/>
                <w:sz w:val="18"/>
                <w:szCs w:val="18"/>
                <w:highlight w:val="none"/>
                <w:u w:val="none"/>
              </w:rPr>
            </w:pPr>
          </w:p>
        </w:tc>
      </w:tr>
      <w:tr w14:paraId="0E0FD2B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75"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E41764A">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58</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60ACCD88">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洗手星</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193AC98E">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尺寸：500*450*600</w:t>
            </w:r>
          </w:p>
          <w:p w14:paraId="19E95600">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-整体采用SUS304不锈钢制作，台面厚1.0mm</w:t>
            </w:r>
          </w:p>
          <w:p w14:paraId="22BD7DA4">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-星盆斗厚1.0mm，星盆斗尺寸：335*240*105mm</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34069278">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0FA4618">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5DD4490">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458.57 </w:t>
            </w:r>
          </w:p>
        </w:tc>
        <w:tc>
          <w:tcPr>
            <w:tcW w:w="102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842243E">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458.57 </w:t>
            </w:r>
          </w:p>
        </w:tc>
      </w:tr>
      <w:tr w14:paraId="49C4BB4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A2656DC">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59</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02A9CE1B">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9门更衣柜</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0B55B6C4">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尺寸：900*390*1800</w:t>
            </w:r>
          </w:p>
          <w:p w14:paraId="3560DE9C">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1、整体采用SUS304不锈钢制作，材料厚度1.0mm。</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758E20E0">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6BB9C0D">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4</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407E7A35">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1042.19 </w:t>
            </w:r>
          </w:p>
        </w:tc>
        <w:tc>
          <w:tcPr>
            <w:tcW w:w="102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36824EC4">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4168.77 </w:t>
            </w:r>
          </w:p>
        </w:tc>
      </w:tr>
      <w:tr w14:paraId="3C99E5C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4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6BEBE874">
            <w:pPr>
              <w:ind w:left="0" w:leftChars="0" w:right="0" w:rightChars="0" w:firstLine="0" w:firstLineChars="0"/>
              <w:jc w:val="center"/>
              <w:rPr>
                <w:rFonts w:hint="eastAsia" w:ascii="宋体" w:hAnsi="宋体" w:eastAsia="宋体" w:cs="宋体"/>
                <w:b/>
                <w:bCs/>
                <w:i w:val="0"/>
                <w:iCs w:val="0"/>
                <w:color w:val="000000"/>
                <w:sz w:val="18"/>
                <w:szCs w:val="18"/>
                <w:highlight w:val="none"/>
                <w:u w:val="none"/>
              </w:rPr>
            </w:pP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23B95570">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b/>
                <w:bCs/>
                <w:i w:val="0"/>
                <w:iCs w:val="0"/>
                <w:color w:val="000000"/>
                <w:sz w:val="18"/>
                <w:szCs w:val="18"/>
                <w:highlight w:val="none"/>
                <w:u w:val="none"/>
              </w:rPr>
            </w:pPr>
            <w:r>
              <w:rPr>
                <w:rFonts w:hint="eastAsia" w:ascii="宋体" w:hAnsi="宋体" w:eastAsia="宋体" w:cs="宋体"/>
                <w:b/>
                <w:bCs/>
                <w:i w:val="0"/>
                <w:iCs w:val="0"/>
                <w:color w:val="000000"/>
                <w:kern w:val="0"/>
                <w:sz w:val="18"/>
                <w:szCs w:val="18"/>
                <w:highlight w:val="none"/>
                <w:u w:val="none"/>
                <w:lang w:val="en-US" w:eastAsia="zh-CN" w:bidi="ar"/>
              </w:rPr>
              <w:t>冷库</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5B860375">
            <w:pPr>
              <w:ind w:left="0" w:leftChars="0" w:right="0" w:rightChars="0" w:firstLine="0" w:firstLineChars="0"/>
              <w:jc w:val="left"/>
              <w:rPr>
                <w:rFonts w:hint="eastAsia" w:ascii="宋体" w:hAnsi="宋体" w:eastAsia="宋体" w:cs="宋体"/>
                <w:b/>
                <w:bCs/>
                <w:i w:val="0"/>
                <w:iCs w:val="0"/>
                <w:color w:val="000000"/>
                <w:sz w:val="18"/>
                <w:szCs w:val="18"/>
                <w:highlight w:val="none"/>
                <w:u w:val="none"/>
              </w:rPr>
            </w:pP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3907F587">
            <w:pPr>
              <w:ind w:left="0" w:leftChars="0" w:right="0" w:rightChars="0" w:firstLine="0" w:firstLineChars="0"/>
              <w:jc w:val="center"/>
              <w:rPr>
                <w:rFonts w:hint="eastAsia" w:ascii="宋体" w:hAnsi="宋体" w:eastAsia="宋体" w:cs="宋体"/>
                <w:b/>
                <w:bCs/>
                <w:i w:val="0"/>
                <w:iCs w:val="0"/>
                <w:color w:val="000000"/>
                <w:sz w:val="18"/>
                <w:szCs w:val="18"/>
                <w:highlight w:val="none"/>
                <w:u w:val="none"/>
              </w:rPr>
            </w:pPr>
          </w:p>
        </w:tc>
        <w:tc>
          <w:tcPr>
            <w:tcW w:w="65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C50092F">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b/>
                <w:bCs/>
                <w:i w:val="0"/>
                <w:iCs w:val="0"/>
                <w:color w:val="000000"/>
                <w:sz w:val="18"/>
                <w:szCs w:val="18"/>
                <w:highlight w:val="none"/>
                <w:u w:val="none"/>
              </w:rPr>
            </w:pP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2F459144">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b/>
                <w:bCs/>
                <w:i w:val="0"/>
                <w:iCs w:val="0"/>
                <w:color w:val="000000"/>
                <w:sz w:val="18"/>
                <w:szCs w:val="18"/>
                <w:highlight w:val="none"/>
                <w:u w:val="none"/>
              </w:rPr>
            </w:pPr>
          </w:p>
        </w:tc>
        <w:tc>
          <w:tcPr>
            <w:tcW w:w="102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0392EA51">
            <w:pPr>
              <w:ind w:left="0" w:leftChars="0" w:right="0" w:rightChars="0" w:firstLine="0" w:firstLineChars="0"/>
              <w:jc w:val="right"/>
              <w:rPr>
                <w:rFonts w:hint="eastAsia" w:ascii="宋体" w:hAnsi="宋体" w:eastAsia="宋体" w:cs="宋体"/>
                <w:i w:val="0"/>
                <w:iCs w:val="0"/>
                <w:color w:val="000000"/>
                <w:sz w:val="18"/>
                <w:szCs w:val="18"/>
                <w:highlight w:val="none"/>
                <w:u w:val="none"/>
              </w:rPr>
            </w:pPr>
          </w:p>
        </w:tc>
      </w:tr>
      <w:tr w14:paraId="25B7B23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475"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EC206AB">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60</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6CF4AB64">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冷冻库</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01A8C8E9">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尺寸：3550*4400*2600</w:t>
            </w:r>
          </w:p>
          <w:p w14:paraId="0A29DF31">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1.压缩机：制冷稳定，性价比高，效率高、噪音低、故障率低、使用寿命长；</w:t>
            </w:r>
          </w:p>
          <w:p w14:paraId="1BF48DE4">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2、电控柜：全自动数显温控、化霜、电动机综合保护器,相序保护装置；</w:t>
            </w:r>
          </w:p>
          <w:p w14:paraId="0B3F8787">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3、制冷阀件：性价比高、故障率低、使用寿命长；</w:t>
            </w:r>
          </w:p>
          <w:p w14:paraId="3DC3D143">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4、冷库门： 自吸式塑框门及安全锁；</w:t>
            </w:r>
          </w:p>
          <w:p w14:paraId="0496E012">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5、库板：采用304不锈钢晶雪库板，非见光面采用0.8mm厚彩钢板；见光面SUS304#不锈钢0.8mm厚，四周圆角工艺，防火性能符合GB8624-2012《建筑材料及制品燃烧性能分级》B1或以上认证等级。</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1D234FF4">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4544F470">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2A9AE1F2">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11505.85 </w:t>
            </w:r>
          </w:p>
        </w:tc>
        <w:tc>
          <w:tcPr>
            <w:tcW w:w="102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36885E6">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11505.85 </w:t>
            </w:r>
          </w:p>
        </w:tc>
      </w:tr>
      <w:tr w14:paraId="422E92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0D57553">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61</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4266F742">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四层平板货架</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0F9F6C82">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1.尺寸：1000*500*1550</w:t>
            </w:r>
          </w:p>
          <w:p w14:paraId="7D3CAA1B">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2.整体采用SUS304不锈钢制作，平板厚度1.0mm；</w:t>
            </w:r>
          </w:p>
          <w:p w14:paraId="4A7951D9">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3.立柱采用38×38×1.0mm厚不锈钢方管；</w:t>
            </w:r>
          </w:p>
          <w:p w14:paraId="386CDA4E">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4.配不锈钢可调子弹脚。</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657DC459">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0398C250">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6417AE53">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904.46 </w:t>
            </w:r>
          </w:p>
        </w:tc>
        <w:tc>
          <w:tcPr>
            <w:tcW w:w="102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D9AAC9D">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1808.92 </w:t>
            </w:r>
          </w:p>
        </w:tc>
      </w:tr>
      <w:tr w14:paraId="6087A7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68663C25">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62</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03ABE9F4">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四层平板货架</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08AB8B29">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1.尺寸：1200*500*1550</w:t>
            </w:r>
          </w:p>
          <w:p w14:paraId="4253D4DD">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2.整体采用SUS304不锈钢制作，平板厚度1.0mm；</w:t>
            </w:r>
          </w:p>
          <w:p w14:paraId="23941DB9">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3.立柱采用38×38×1.0mm厚不锈钢方管；</w:t>
            </w:r>
          </w:p>
          <w:p w14:paraId="5B427AF6">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4.配不锈钢可调子弹脚。</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65D2DDE9">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2402557">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4</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5C26E418">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998.68 </w:t>
            </w:r>
          </w:p>
        </w:tc>
        <w:tc>
          <w:tcPr>
            <w:tcW w:w="102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3981C3B4">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3994.70 </w:t>
            </w:r>
          </w:p>
        </w:tc>
      </w:tr>
      <w:tr w14:paraId="4BECBA8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25"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3AB23EE3">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63</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4EE440BD">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米面架</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14B06A62">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尺寸：1500*500*200</w:t>
            </w:r>
          </w:p>
          <w:p w14:paraId="749CF048">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*整体采用SUS304不锈钢制作，厚度1.0mm；</w:t>
            </w:r>
          </w:p>
          <w:p w14:paraId="209129E3">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*横柱用38×25×0.8mm厚不锈钢；</w:t>
            </w:r>
          </w:p>
          <w:p w14:paraId="6FFE9416">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*立柱采用38×38×1.0mm厚不锈钢；</w:t>
            </w:r>
          </w:p>
          <w:p w14:paraId="4C5A0B9C">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*配置塑胶脚垫</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07DCA14C">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0D6A2363">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5CC6E58A">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659.50 </w:t>
            </w:r>
          </w:p>
        </w:tc>
        <w:tc>
          <w:tcPr>
            <w:tcW w:w="102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C1EFA15">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659.50 </w:t>
            </w:r>
          </w:p>
        </w:tc>
      </w:tr>
      <w:tr w14:paraId="13679B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DAFEA61">
            <w:pPr>
              <w:ind w:left="0" w:leftChars="0" w:right="0" w:rightChars="0" w:firstLine="0" w:firstLineChars="0"/>
              <w:jc w:val="center"/>
              <w:rPr>
                <w:rFonts w:hint="eastAsia" w:ascii="宋体" w:hAnsi="宋体" w:eastAsia="宋体" w:cs="宋体"/>
                <w:b/>
                <w:bCs/>
                <w:i w:val="0"/>
                <w:iCs w:val="0"/>
                <w:color w:val="000000"/>
                <w:sz w:val="18"/>
                <w:szCs w:val="18"/>
                <w:highlight w:val="none"/>
                <w:u w:val="none"/>
              </w:rPr>
            </w:pP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2583A760">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b/>
                <w:bCs/>
                <w:i w:val="0"/>
                <w:iCs w:val="0"/>
                <w:color w:val="000000"/>
                <w:sz w:val="18"/>
                <w:szCs w:val="18"/>
                <w:highlight w:val="none"/>
                <w:u w:val="none"/>
              </w:rPr>
            </w:pPr>
            <w:r>
              <w:rPr>
                <w:rFonts w:hint="eastAsia" w:ascii="宋体" w:hAnsi="宋体" w:eastAsia="宋体" w:cs="宋体"/>
                <w:b/>
                <w:bCs/>
                <w:i w:val="0"/>
                <w:iCs w:val="0"/>
                <w:color w:val="000000"/>
                <w:kern w:val="0"/>
                <w:sz w:val="18"/>
                <w:szCs w:val="18"/>
                <w:highlight w:val="none"/>
                <w:u w:val="none"/>
                <w:lang w:val="en-US" w:eastAsia="zh-CN" w:bidi="ar"/>
              </w:rPr>
              <w:t>一楼备餐间</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650B95BA">
            <w:pPr>
              <w:ind w:left="0" w:leftChars="0" w:right="0" w:rightChars="0" w:firstLine="0" w:firstLineChars="0"/>
              <w:jc w:val="left"/>
              <w:rPr>
                <w:rFonts w:hint="eastAsia" w:ascii="宋体" w:hAnsi="宋体" w:eastAsia="宋体" w:cs="宋体"/>
                <w:b/>
                <w:bCs/>
                <w:i w:val="0"/>
                <w:iCs w:val="0"/>
                <w:color w:val="000000"/>
                <w:sz w:val="18"/>
                <w:szCs w:val="18"/>
                <w:highlight w:val="none"/>
                <w:u w:val="none"/>
              </w:rPr>
            </w:pP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143DF986">
            <w:pPr>
              <w:ind w:left="0" w:leftChars="0" w:right="0" w:rightChars="0" w:firstLine="0" w:firstLineChars="0"/>
              <w:jc w:val="center"/>
              <w:rPr>
                <w:rFonts w:hint="eastAsia" w:ascii="宋体" w:hAnsi="宋体" w:eastAsia="宋体" w:cs="宋体"/>
                <w:b/>
                <w:bCs/>
                <w:i w:val="0"/>
                <w:iCs w:val="0"/>
                <w:color w:val="000000"/>
                <w:sz w:val="18"/>
                <w:szCs w:val="18"/>
                <w:highlight w:val="none"/>
                <w:u w:val="none"/>
              </w:rPr>
            </w:pPr>
          </w:p>
        </w:tc>
        <w:tc>
          <w:tcPr>
            <w:tcW w:w="65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6D8CE096">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b/>
                <w:bCs/>
                <w:i w:val="0"/>
                <w:iCs w:val="0"/>
                <w:color w:val="000000"/>
                <w:sz w:val="18"/>
                <w:szCs w:val="18"/>
                <w:highlight w:val="none"/>
                <w:u w:val="none"/>
              </w:rPr>
            </w:pPr>
          </w:p>
        </w:tc>
        <w:tc>
          <w:tcPr>
            <w:tcW w:w="93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40EBE44E">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b/>
                <w:bCs/>
                <w:i w:val="0"/>
                <w:iCs w:val="0"/>
                <w:color w:val="000000"/>
                <w:sz w:val="18"/>
                <w:szCs w:val="18"/>
                <w:highlight w:val="none"/>
                <w:u w:val="none"/>
              </w:rPr>
            </w:pPr>
          </w:p>
        </w:tc>
        <w:tc>
          <w:tcPr>
            <w:tcW w:w="102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7E7D2A2">
            <w:pPr>
              <w:ind w:left="0" w:leftChars="0" w:right="0" w:rightChars="0" w:firstLine="0" w:firstLineChars="0"/>
              <w:jc w:val="right"/>
              <w:rPr>
                <w:rFonts w:hint="eastAsia" w:ascii="宋体" w:hAnsi="宋体" w:eastAsia="宋体" w:cs="宋体"/>
                <w:i w:val="0"/>
                <w:iCs w:val="0"/>
                <w:color w:val="000000"/>
                <w:sz w:val="18"/>
                <w:szCs w:val="18"/>
                <w:highlight w:val="none"/>
                <w:u w:val="none"/>
              </w:rPr>
            </w:pPr>
          </w:p>
        </w:tc>
      </w:tr>
      <w:tr w14:paraId="7278DB5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025"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0DDC8A5F">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64</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702A26FA">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单通上掀门荷台柜</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7C058367">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(1)尺寸:1800*800*800</w:t>
            </w:r>
          </w:p>
          <w:p w14:paraId="1F5B8D73">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(2)*整体采用SUS304不锈钢制作；</w:t>
            </w:r>
          </w:p>
          <w:p w14:paraId="3FB80734">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(3)*台面厚度1.2mm，内衬15mm防水机制板并用1.0mm厚不锈钢板折成加强筋加固；</w:t>
            </w:r>
          </w:p>
          <w:p w14:paraId="370B9407">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(4)*层板、底板、侧板及门面采用1.0mm厚不锈钢板制作；</w:t>
            </w:r>
          </w:p>
          <w:p w14:paraId="01908B32">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(5)*加强筋厚度1.0mm；</w:t>
            </w:r>
          </w:p>
          <w:p w14:paraId="7075E9B5">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(6)*配置不锈钢可调子弹脚。</w:t>
            </w:r>
          </w:p>
          <w:p w14:paraId="2E83330C">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(7)*上掀门为双层架构。</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2447297A">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26C9E61F">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5</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2DC4ADC4">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2042.71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22EF0E88">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10213.53 </w:t>
            </w:r>
          </w:p>
        </w:tc>
      </w:tr>
      <w:tr w14:paraId="5B91757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25"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BDEB947">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65</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16E66D31">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单通暖碟柜带靠背</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5ACDDBE5">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(1)尺寸:1800*800*800+100</w:t>
            </w:r>
          </w:p>
          <w:p w14:paraId="7F06A67A">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(2)*整体采用SUS304不锈钢制作；</w:t>
            </w:r>
          </w:p>
          <w:p w14:paraId="50C6905C">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(3)*台面厚度1.2mm，内衬15mm防水机制板并用1.0mm厚不锈钢板折成加强筋加固；</w:t>
            </w:r>
          </w:p>
          <w:p w14:paraId="516A0041">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(4)*层板、底板、侧板及门面采用1.0mm厚不锈钢板制作；</w:t>
            </w:r>
          </w:p>
          <w:p w14:paraId="547D7E8D">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(5)*底板、侧板下加装优质隔热板，棉下封0.8mm不锈钢板；</w:t>
            </w:r>
          </w:p>
          <w:p w14:paraId="1818400B">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(6)*背板及门胆板不锈钢板厚1.0mm，中填充隔热棉；</w:t>
            </w:r>
          </w:p>
          <w:p w14:paraId="0C10F268">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(7)*加强筋厚度1.0mm；</w:t>
            </w:r>
          </w:p>
          <w:p w14:paraId="058C16E0">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(8)*配置不锈钢可调子弹脚。</w:t>
            </w:r>
          </w:p>
          <w:p w14:paraId="53A29259">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(9)*配优质干发热线，可调式温控制。</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3D3B8842">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4EB2960A">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5E3A613B">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2918.16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23B1FB74">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2918.16 </w:t>
            </w:r>
          </w:p>
        </w:tc>
      </w:tr>
      <w:tr w14:paraId="6FAA5F8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6726EDAA">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66</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48E946B0">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单通暖碟柜</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58913242">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(1)尺寸:1600*800*800</w:t>
            </w:r>
          </w:p>
          <w:p w14:paraId="4A96E800">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(2)*整体采用SUS304不锈钢制作；</w:t>
            </w:r>
          </w:p>
          <w:p w14:paraId="13C3751B">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(3)*台面厚度1.2mm，内衬15mm防水机制板并用1.0mm厚不锈钢板折成加强筋加固；</w:t>
            </w:r>
          </w:p>
          <w:p w14:paraId="57B2E4B7">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(4)*层板、底板、侧板及门面采用1.0mm厚不锈钢板制作；</w:t>
            </w:r>
          </w:p>
          <w:p w14:paraId="4C41A196">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(5)*底板、侧板下加装优质隔热板，棉下封0.8mm不锈钢板；</w:t>
            </w:r>
          </w:p>
          <w:p w14:paraId="1DAC3005">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(6)*背板及门胆板不锈钢板厚1.0mm，中填充隔热棉；</w:t>
            </w:r>
          </w:p>
          <w:p w14:paraId="2DC240F8">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(7)*加强筋厚度1.0mm；</w:t>
            </w:r>
          </w:p>
          <w:p w14:paraId="01FFECE2">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(8)*配置不锈钢可调子弹脚。</w:t>
            </w:r>
          </w:p>
          <w:p w14:paraId="75F29C94">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(9)*配优质干发热线，可调式温控制。</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26973464">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4398998">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7B330CCF">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2729.73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15469159">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2729.73 </w:t>
            </w:r>
          </w:p>
        </w:tc>
      </w:tr>
      <w:tr w14:paraId="21357B9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25"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0F423D13">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67</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68FBE4AE">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单通暖碟柜</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07218CB3">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(1)尺寸:1800*800*800</w:t>
            </w:r>
          </w:p>
          <w:p w14:paraId="28F95F66">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(2)*整体采用SUS304不锈钢制作；</w:t>
            </w:r>
          </w:p>
          <w:p w14:paraId="2714DE88">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(3)*台面厚度1.2mm，内衬15mm防水机制板并用1.0mm厚不锈钢板折成加强筋加固；</w:t>
            </w:r>
          </w:p>
          <w:p w14:paraId="1E3A09A8">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(4)*层板、底板、侧板及门面采用1.0mm厚不锈钢板制作；</w:t>
            </w:r>
          </w:p>
          <w:p w14:paraId="3F583162">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(5)*底板、侧板下加装优质隔热板，棉下封0.8mm不锈钢板；</w:t>
            </w:r>
          </w:p>
          <w:p w14:paraId="6EC15A1F">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(6)*背板及门胆板不锈钢板厚1.0mm，中填充隔热棉；</w:t>
            </w:r>
          </w:p>
          <w:p w14:paraId="009066CC">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(7)*加强筋厚度1.0mm；</w:t>
            </w:r>
          </w:p>
          <w:p w14:paraId="30D87604">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(8)*配置不锈钢可调子弹脚。</w:t>
            </w:r>
          </w:p>
          <w:p w14:paraId="0B160247">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(9)*配优质干发热线，可调式温控制。</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71F380BD">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633589EA">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6888538A">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2918.16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58ED86FD">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2918.16 </w:t>
            </w:r>
          </w:p>
        </w:tc>
      </w:tr>
      <w:tr w14:paraId="1AC453F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7DBC40F">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68</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71054F72">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台式混水龙头</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064CC5F6">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1、不锈钢材质；</w:t>
            </w:r>
          </w:p>
          <w:p w14:paraId="1B33C46B">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摆动式水嘴 ;</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353564E3">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109488DB">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66B54064">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291.81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56ED19DE">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583.62 </w:t>
            </w:r>
          </w:p>
        </w:tc>
      </w:tr>
      <w:tr w14:paraId="14003E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39"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952BD1D">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69</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31CE5C55">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单星盆水池</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736C99FC">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1.尺寸：700*800*800+150</w:t>
            </w:r>
          </w:p>
          <w:p w14:paraId="66B5DD91">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2.整体采用SUS304不锈钢制作，台面厚1.2mm；</w:t>
            </w:r>
          </w:p>
          <w:p w14:paraId="651A10AE">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3.星盆斗厚1.0mm，星盆斗尺寸：</w:t>
            </w:r>
          </w:p>
          <w:p w14:paraId="2D84F92F">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4.500*500*300mm，配置提篮式不锈钢下水器；</w:t>
            </w:r>
          </w:p>
          <w:p w14:paraId="171B259D">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5.立柱采用38×38×1.0mm厚不锈钢方管，配不锈钢可调子弹脚；</w:t>
            </w:r>
          </w:p>
          <w:p w14:paraId="32B6CB4D">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6.面板厚度1.2mm；</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57BDE55A">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1C4439A7">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4649BEC4">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708.69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5B591C8E">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708.69 </w:t>
            </w:r>
          </w:p>
        </w:tc>
      </w:tr>
      <w:tr w14:paraId="5DF835F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35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89C6138">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70</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246A49D6">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灭蝇灯</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652DF366">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尺寸：660*128*380</w:t>
            </w:r>
          </w:p>
          <w:p w14:paraId="39D7E109">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-工作方式：粘捕式</w:t>
            </w:r>
          </w:p>
          <w:p w14:paraId="1D9D6348">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-额定功率：0.008KW</w:t>
            </w:r>
          </w:p>
          <w:p w14:paraId="786A8867">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-覆盖面积：30-50</w:t>
            </w:r>
          </w:p>
          <w:p w14:paraId="0EAAE6E1">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-额定电压：220V-50HZ</w:t>
            </w:r>
          </w:p>
          <w:p w14:paraId="26840C76">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-材料等级：ABS阻燃材料</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2E19A24F">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0DA8C9DD">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4</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CDDC32A">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177.12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465E4B0C">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708.49 </w:t>
            </w:r>
          </w:p>
        </w:tc>
      </w:tr>
      <w:tr w14:paraId="0C2B240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80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411EAEF5">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71</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36C79D65">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洗地龙头</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4C130B90">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尺寸：230*610*470</w:t>
            </w:r>
          </w:p>
          <w:p w14:paraId="398C7BA4">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1、优质软管，耐折复合材料，耐高压可输热水</w:t>
            </w:r>
          </w:p>
          <w:p w14:paraId="240D9CB4">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2、限位橡胶球，软管自动回卷到转盘，回卷到限位球停止，限位球可手动调整位置</w:t>
            </w:r>
          </w:p>
          <w:p w14:paraId="04ED19F7">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3、不锈钢保保护套，不锈钢软管保护套，保护软管不刮伤</w:t>
            </w:r>
          </w:p>
          <w:p w14:paraId="6CF14387">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4、可持续喷水，钢圈套住把手，可持续喷水减轻手部负担</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1E374A9C">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032DF3F4">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01A6859E">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1834.27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5DAEA457">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1834.27 </w:t>
            </w:r>
          </w:p>
        </w:tc>
      </w:tr>
      <w:tr w14:paraId="077C7C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5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61113E8">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72</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15977216">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斜拉单星带垃圾柜</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44F7518D">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尺寸：700*700*800+150</w:t>
            </w:r>
          </w:p>
          <w:p w14:paraId="583A6A45">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*整体采用SUS304不锈钢制作，台面厚1.0mm；</w:t>
            </w:r>
          </w:p>
          <w:p w14:paraId="78EA21C5">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*星盆斗厚1.0mm，星盆斗尺寸：500*500*280mm，配置提篮式不锈钢下水器；</w:t>
            </w:r>
          </w:p>
          <w:p w14:paraId="1EFF155A">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*背板、侧板、底板及门板厚1.0mm，斜拉门柜；</w:t>
            </w:r>
          </w:p>
          <w:p w14:paraId="3361467A">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*配不锈钢可调子弹脚；</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47221A42">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691DBDA1">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6A332CF8">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1460.33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42679D44">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1460.33 </w:t>
            </w:r>
          </w:p>
        </w:tc>
      </w:tr>
      <w:tr w14:paraId="5AF0D2B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5"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07BAAC68">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73</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7435C2B2">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单通上掀门荷台柜带靠背</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56243F27">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尺寸：1800*700*800+100</w:t>
            </w:r>
          </w:p>
          <w:p w14:paraId="556396B4">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*整体采用SUS304不锈钢制作；</w:t>
            </w:r>
          </w:p>
          <w:p w14:paraId="40916718">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*台面厚度1.2mm，内衬15mm防水机制板并用1.0mm厚不锈钢板折成加强筋加固；</w:t>
            </w:r>
          </w:p>
          <w:p w14:paraId="4A5DC51F">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*层板、底板、侧板及门面采用1.0mm厚不锈钢板制作；</w:t>
            </w:r>
          </w:p>
          <w:p w14:paraId="31FEB6DA">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*加强筋厚度1.0mm；</w:t>
            </w:r>
          </w:p>
          <w:p w14:paraId="4D9F22D0">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*配置不锈钢可调子弹脚。</w:t>
            </w:r>
          </w:p>
          <w:p w14:paraId="40460BCA">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*上掀门为双层架构。</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0D8A3019">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61602B61">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3</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18B3AB68">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2042.71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3222519">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6128.12 </w:t>
            </w:r>
          </w:p>
        </w:tc>
      </w:tr>
      <w:tr w14:paraId="610F3D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6CC79CB">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74</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232BD6F8">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圆孔收残车</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74A6F4DA">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尺寸：900*470*860</w:t>
            </w:r>
          </w:p>
          <w:p w14:paraId="69AC0E7E">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采用优质304不锈钢板材制作</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2E04D720">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6CDD6FE2">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B7D1271">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1000.51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6E45E590">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1000.51 </w:t>
            </w:r>
          </w:p>
        </w:tc>
      </w:tr>
      <w:tr w14:paraId="776F3A7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C0FC603">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75</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6DBC0EEC">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三层餐车</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5A677049">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尺寸：850*450*900</w:t>
            </w:r>
          </w:p>
          <w:p w14:paraId="15883DC5">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采用优质304不锈钢板材制作</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64E444F9">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0691642D">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4</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736B0002">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817.09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136F34B9">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3268.34 </w:t>
            </w:r>
          </w:p>
        </w:tc>
      </w:tr>
      <w:tr w14:paraId="4456ECF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4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7A02D5F">
            <w:pPr>
              <w:ind w:left="0" w:leftChars="0" w:right="0" w:rightChars="0" w:firstLine="0" w:firstLineChars="0"/>
              <w:jc w:val="center"/>
              <w:rPr>
                <w:rFonts w:hint="eastAsia" w:ascii="宋体" w:hAnsi="宋体" w:eastAsia="宋体" w:cs="宋体"/>
                <w:b/>
                <w:bCs/>
                <w:i w:val="0"/>
                <w:iCs w:val="0"/>
                <w:color w:val="000000"/>
                <w:sz w:val="18"/>
                <w:szCs w:val="18"/>
                <w:highlight w:val="none"/>
                <w:u w:val="none"/>
              </w:rPr>
            </w:pP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2F20B9E4">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b/>
                <w:bCs/>
                <w:i w:val="0"/>
                <w:iCs w:val="0"/>
                <w:color w:val="000000"/>
                <w:sz w:val="18"/>
                <w:szCs w:val="18"/>
                <w:highlight w:val="none"/>
                <w:u w:val="none"/>
              </w:rPr>
            </w:pPr>
            <w:r>
              <w:rPr>
                <w:rFonts w:hint="eastAsia" w:ascii="宋体" w:hAnsi="宋体" w:eastAsia="宋体" w:cs="宋体"/>
                <w:b/>
                <w:bCs/>
                <w:i w:val="0"/>
                <w:iCs w:val="0"/>
                <w:color w:val="000000"/>
                <w:kern w:val="0"/>
                <w:sz w:val="18"/>
                <w:szCs w:val="18"/>
                <w:highlight w:val="none"/>
                <w:u w:val="none"/>
                <w:lang w:val="en-US" w:eastAsia="zh-CN" w:bidi="ar"/>
              </w:rPr>
              <w:t>预进间</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2B0C3CFE">
            <w:pPr>
              <w:ind w:left="0" w:leftChars="0" w:right="0" w:rightChars="0" w:firstLine="0" w:firstLineChars="0"/>
              <w:jc w:val="left"/>
              <w:rPr>
                <w:rFonts w:hint="eastAsia" w:ascii="宋体" w:hAnsi="宋体" w:eastAsia="宋体" w:cs="宋体"/>
                <w:b/>
                <w:bCs/>
                <w:i w:val="0"/>
                <w:iCs w:val="0"/>
                <w:color w:val="000000"/>
                <w:sz w:val="18"/>
                <w:szCs w:val="18"/>
                <w:highlight w:val="none"/>
                <w:u w:val="none"/>
              </w:rPr>
            </w:pP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55F70697">
            <w:pPr>
              <w:ind w:left="0" w:leftChars="0" w:right="0" w:rightChars="0" w:firstLine="0" w:firstLineChars="0"/>
              <w:jc w:val="center"/>
              <w:rPr>
                <w:rFonts w:hint="eastAsia" w:ascii="宋体" w:hAnsi="宋体" w:eastAsia="宋体" w:cs="宋体"/>
                <w:b/>
                <w:bCs/>
                <w:i w:val="0"/>
                <w:iCs w:val="0"/>
                <w:color w:val="000000"/>
                <w:sz w:val="18"/>
                <w:szCs w:val="18"/>
                <w:highlight w:val="none"/>
                <w:u w:val="none"/>
              </w:rPr>
            </w:pP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47298C58">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b/>
                <w:bCs/>
                <w:i w:val="0"/>
                <w:iCs w:val="0"/>
                <w:color w:val="000000"/>
                <w:sz w:val="18"/>
                <w:szCs w:val="18"/>
                <w:highlight w:val="none"/>
                <w:u w:val="none"/>
              </w:rPr>
            </w:pP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62A8E93C">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b/>
                <w:bCs/>
                <w:i w:val="0"/>
                <w:iCs w:val="0"/>
                <w:color w:val="000000"/>
                <w:sz w:val="18"/>
                <w:szCs w:val="18"/>
                <w:highlight w:val="none"/>
                <w:u w:val="none"/>
              </w:rPr>
            </w:pP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2D37AB74">
            <w:pPr>
              <w:ind w:left="0" w:leftChars="0" w:right="0" w:rightChars="0" w:firstLine="0" w:firstLineChars="0"/>
              <w:jc w:val="right"/>
              <w:rPr>
                <w:rFonts w:hint="eastAsia" w:ascii="宋体" w:hAnsi="宋体" w:eastAsia="宋体" w:cs="宋体"/>
                <w:i w:val="0"/>
                <w:iCs w:val="0"/>
                <w:color w:val="000000"/>
                <w:sz w:val="18"/>
                <w:szCs w:val="18"/>
                <w:highlight w:val="none"/>
                <w:u w:val="none"/>
              </w:rPr>
            </w:pPr>
          </w:p>
        </w:tc>
      </w:tr>
      <w:tr w14:paraId="7E5AED9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36C9134C">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76</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30AEF17F">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洗手星</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491D33D4">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尺寸：500*450*600</w:t>
            </w:r>
          </w:p>
          <w:p w14:paraId="2443A168">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-整体采用SUS304不锈钢制作，台面</w:t>
            </w:r>
          </w:p>
          <w:p w14:paraId="2529D789">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厚1.0mm</w:t>
            </w:r>
          </w:p>
          <w:p w14:paraId="6B6E0509">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-星盆斗尺寸：335*240*200</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270FA4C1">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FB0B85F">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51972B25">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458.57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07366594">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917.14 </w:t>
            </w:r>
          </w:p>
        </w:tc>
      </w:tr>
      <w:tr w14:paraId="0ABF73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3666985">
            <w:pPr>
              <w:ind w:left="0" w:leftChars="0" w:right="0" w:rightChars="0" w:firstLine="0" w:firstLineChars="0"/>
              <w:jc w:val="center"/>
              <w:rPr>
                <w:rFonts w:hint="eastAsia" w:ascii="宋体" w:hAnsi="宋体" w:eastAsia="宋体" w:cs="宋体"/>
                <w:b/>
                <w:bCs/>
                <w:i w:val="0"/>
                <w:iCs w:val="0"/>
                <w:color w:val="000000"/>
                <w:sz w:val="18"/>
                <w:szCs w:val="18"/>
                <w:highlight w:val="none"/>
                <w:u w:val="none"/>
              </w:rPr>
            </w:pP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0236F300">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b/>
                <w:bCs/>
                <w:i w:val="0"/>
                <w:iCs w:val="0"/>
                <w:color w:val="000000"/>
                <w:sz w:val="18"/>
                <w:szCs w:val="18"/>
                <w:highlight w:val="none"/>
                <w:u w:val="none"/>
              </w:rPr>
            </w:pPr>
            <w:r>
              <w:rPr>
                <w:rFonts w:hint="eastAsia" w:ascii="宋体" w:hAnsi="宋体" w:eastAsia="宋体" w:cs="宋体"/>
                <w:b/>
                <w:bCs/>
                <w:i w:val="0"/>
                <w:iCs w:val="0"/>
                <w:color w:val="000000"/>
                <w:kern w:val="0"/>
                <w:sz w:val="18"/>
                <w:szCs w:val="18"/>
                <w:highlight w:val="none"/>
                <w:u w:val="none"/>
                <w:lang w:val="en-US" w:eastAsia="zh-CN" w:bidi="ar"/>
              </w:rPr>
              <w:t>留样区</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07DA033F">
            <w:pPr>
              <w:ind w:left="0" w:leftChars="0" w:right="0" w:rightChars="0" w:firstLine="0" w:firstLineChars="0"/>
              <w:jc w:val="left"/>
              <w:rPr>
                <w:rFonts w:hint="eastAsia" w:ascii="宋体" w:hAnsi="宋体" w:eastAsia="宋体" w:cs="宋体"/>
                <w:b/>
                <w:bCs/>
                <w:i w:val="0"/>
                <w:iCs w:val="0"/>
                <w:color w:val="000000"/>
                <w:sz w:val="18"/>
                <w:szCs w:val="18"/>
                <w:highlight w:val="none"/>
                <w:u w:val="none"/>
              </w:rPr>
            </w:pP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0A9786AD">
            <w:pPr>
              <w:ind w:left="0" w:leftChars="0" w:right="0" w:rightChars="0" w:firstLine="0" w:firstLineChars="0"/>
              <w:jc w:val="center"/>
              <w:rPr>
                <w:rFonts w:hint="eastAsia" w:ascii="宋体" w:hAnsi="宋体" w:eastAsia="宋体" w:cs="宋体"/>
                <w:b/>
                <w:bCs/>
                <w:i w:val="0"/>
                <w:iCs w:val="0"/>
                <w:color w:val="000000"/>
                <w:sz w:val="18"/>
                <w:szCs w:val="18"/>
                <w:highlight w:val="none"/>
                <w:u w:val="none"/>
              </w:rPr>
            </w:pP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06AB200C">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b/>
                <w:bCs/>
                <w:i w:val="0"/>
                <w:iCs w:val="0"/>
                <w:color w:val="000000"/>
                <w:sz w:val="18"/>
                <w:szCs w:val="18"/>
                <w:highlight w:val="none"/>
                <w:u w:val="none"/>
              </w:rPr>
            </w:pP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25F7B847">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b/>
                <w:bCs/>
                <w:i w:val="0"/>
                <w:iCs w:val="0"/>
                <w:color w:val="000000"/>
                <w:sz w:val="18"/>
                <w:szCs w:val="18"/>
                <w:highlight w:val="none"/>
                <w:u w:val="none"/>
              </w:rPr>
            </w:pP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24E33805">
            <w:pPr>
              <w:ind w:left="0" w:leftChars="0" w:right="0" w:rightChars="0" w:firstLine="0" w:firstLineChars="0"/>
              <w:jc w:val="right"/>
              <w:rPr>
                <w:rFonts w:hint="eastAsia" w:ascii="宋体" w:hAnsi="宋体" w:eastAsia="宋体" w:cs="宋体"/>
                <w:i w:val="0"/>
                <w:iCs w:val="0"/>
                <w:color w:val="000000"/>
                <w:sz w:val="18"/>
                <w:szCs w:val="18"/>
                <w:highlight w:val="none"/>
                <w:u w:val="none"/>
              </w:rPr>
            </w:pPr>
          </w:p>
        </w:tc>
      </w:tr>
      <w:tr w14:paraId="02AF263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1A8DABF">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77</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47E83B51">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食品留样柜</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16422FCC">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尺寸：600*650*1800</w:t>
            </w:r>
          </w:p>
          <w:p w14:paraId="35FCDA4B">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有效容积128L,双层钢化玻璃门，压缩机，制冷方式：制冷，八档可调温控开关0-8度冷藏，制冷剂R134A或600A,功率64W,带锁，配四只移动万向轮</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58D45960">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00BEAACA">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4EB60D64">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2016.19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7FE5630B">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4032.39 </w:t>
            </w:r>
          </w:p>
        </w:tc>
      </w:tr>
      <w:tr w14:paraId="6F268EF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4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0C3F5D4">
            <w:pPr>
              <w:ind w:left="0" w:leftChars="0" w:right="0" w:rightChars="0" w:firstLine="0" w:firstLineChars="0"/>
              <w:jc w:val="center"/>
              <w:rPr>
                <w:rFonts w:hint="eastAsia" w:ascii="宋体" w:hAnsi="宋体" w:eastAsia="宋体" w:cs="宋体"/>
                <w:b/>
                <w:bCs/>
                <w:i w:val="0"/>
                <w:iCs w:val="0"/>
                <w:color w:val="000000"/>
                <w:sz w:val="18"/>
                <w:szCs w:val="18"/>
                <w:highlight w:val="none"/>
                <w:u w:val="none"/>
              </w:rPr>
            </w:pP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6383D290">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b/>
                <w:bCs/>
                <w:i w:val="0"/>
                <w:iCs w:val="0"/>
                <w:color w:val="000000"/>
                <w:sz w:val="18"/>
                <w:szCs w:val="18"/>
                <w:highlight w:val="none"/>
                <w:u w:val="none"/>
              </w:rPr>
            </w:pPr>
            <w:r>
              <w:rPr>
                <w:rFonts w:hint="eastAsia" w:ascii="宋体" w:hAnsi="宋体" w:eastAsia="宋体" w:cs="宋体"/>
                <w:b/>
                <w:bCs/>
                <w:i w:val="0"/>
                <w:iCs w:val="0"/>
                <w:color w:val="000000"/>
                <w:kern w:val="0"/>
                <w:sz w:val="18"/>
                <w:szCs w:val="18"/>
                <w:highlight w:val="none"/>
                <w:u w:val="none"/>
                <w:lang w:val="en-US" w:eastAsia="zh-CN" w:bidi="ar"/>
              </w:rPr>
              <w:t>凉菜间</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6C876DEC">
            <w:pPr>
              <w:ind w:left="0" w:leftChars="0" w:right="0" w:rightChars="0" w:firstLine="0" w:firstLineChars="0"/>
              <w:jc w:val="left"/>
              <w:rPr>
                <w:rFonts w:hint="eastAsia" w:ascii="宋体" w:hAnsi="宋体" w:eastAsia="宋体" w:cs="宋体"/>
                <w:b/>
                <w:bCs/>
                <w:i w:val="0"/>
                <w:iCs w:val="0"/>
                <w:color w:val="000000"/>
                <w:sz w:val="18"/>
                <w:szCs w:val="18"/>
                <w:highlight w:val="none"/>
                <w:u w:val="none"/>
              </w:rPr>
            </w:pP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7D018D0D">
            <w:pPr>
              <w:ind w:left="0" w:leftChars="0" w:right="0" w:rightChars="0" w:firstLine="0" w:firstLineChars="0"/>
              <w:jc w:val="center"/>
              <w:rPr>
                <w:rFonts w:hint="eastAsia" w:ascii="宋体" w:hAnsi="宋体" w:eastAsia="宋体" w:cs="宋体"/>
                <w:b/>
                <w:bCs/>
                <w:i w:val="0"/>
                <w:iCs w:val="0"/>
                <w:color w:val="000000"/>
                <w:sz w:val="18"/>
                <w:szCs w:val="18"/>
                <w:highlight w:val="none"/>
                <w:u w:val="none"/>
              </w:rPr>
            </w:pP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A8BC8EB">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b/>
                <w:bCs/>
                <w:i w:val="0"/>
                <w:iCs w:val="0"/>
                <w:color w:val="000000"/>
                <w:sz w:val="18"/>
                <w:szCs w:val="18"/>
                <w:highlight w:val="none"/>
                <w:u w:val="none"/>
              </w:rPr>
            </w:pP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BA4F968">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b/>
                <w:bCs/>
                <w:i w:val="0"/>
                <w:iCs w:val="0"/>
                <w:color w:val="000000"/>
                <w:sz w:val="18"/>
                <w:szCs w:val="18"/>
                <w:highlight w:val="none"/>
                <w:u w:val="none"/>
              </w:rPr>
            </w:pP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2FC20C40">
            <w:pPr>
              <w:ind w:left="0" w:leftChars="0" w:right="0" w:rightChars="0" w:firstLine="0" w:firstLineChars="0"/>
              <w:jc w:val="right"/>
              <w:rPr>
                <w:rFonts w:hint="eastAsia" w:ascii="宋体" w:hAnsi="宋体" w:eastAsia="宋体" w:cs="宋体"/>
                <w:i w:val="0"/>
                <w:iCs w:val="0"/>
                <w:color w:val="000000"/>
                <w:sz w:val="18"/>
                <w:szCs w:val="18"/>
                <w:highlight w:val="none"/>
                <w:u w:val="none"/>
              </w:rPr>
            </w:pPr>
          </w:p>
        </w:tc>
      </w:tr>
      <w:tr w14:paraId="6BED40F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35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6AF0E9D6">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78</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5595409F">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空调</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39090912">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尺寸：950*286*350</w:t>
            </w:r>
          </w:p>
          <w:p w14:paraId="2AB79ABF">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-功率：1100W</w:t>
            </w:r>
          </w:p>
          <w:p w14:paraId="458FC54B">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-电压/频率：220V/50HZ</w:t>
            </w:r>
          </w:p>
          <w:p w14:paraId="5F9AB9F7">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-净重：10KG</w:t>
            </w:r>
          </w:p>
          <w:p w14:paraId="284EEC4C">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-适用面积：11-20平方米</w:t>
            </w:r>
          </w:p>
          <w:p w14:paraId="2FBAF122">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-制热量：1106W</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2022B564">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0E0D1C51">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7114821D">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2659.68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523D557E">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2659.68 </w:t>
            </w:r>
          </w:p>
        </w:tc>
      </w:tr>
      <w:tr w14:paraId="53B3C68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399"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049BB22">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79</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1E8F8554">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斜拉单星带垃圾柜（无背板）</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1018BD76">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尺寸：800*700*800</w:t>
            </w:r>
          </w:p>
          <w:p w14:paraId="21A3B652">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*整体采用SUS304不锈钢制作，台面</w:t>
            </w:r>
          </w:p>
          <w:p w14:paraId="218B16C9">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厚1.0mm；</w:t>
            </w:r>
          </w:p>
          <w:p w14:paraId="30193399">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*星盆斗厚1.0mm，星盆斗尺寸：</w:t>
            </w:r>
          </w:p>
          <w:p w14:paraId="6B9F5602">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500*500*280mm，配置提篮式不锈钢</w:t>
            </w:r>
          </w:p>
          <w:p w14:paraId="2974989B">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下水器；</w:t>
            </w:r>
          </w:p>
          <w:p w14:paraId="06135486">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*背板、侧板、底板及门板厚1.0mm，</w:t>
            </w:r>
          </w:p>
          <w:p w14:paraId="01395530">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斜拉门柜；</w:t>
            </w:r>
          </w:p>
          <w:p w14:paraId="6FAADB58">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*配不锈钢可调子弹脚；</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6933D4E4">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69E73814">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016296BB">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1460.33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9C2D8E9">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1460.33 </w:t>
            </w:r>
          </w:p>
        </w:tc>
      </w:tr>
      <w:tr w14:paraId="157DB75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F9C5B88">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80</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7E34737A">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台式混水龙头</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161128D7">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1、不锈钢材质；</w:t>
            </w:r>
          </w:p>
          <w:p w14:paraId="144C26AE">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摆动式水嘴 ;</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7DAE1FE9">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616731C8">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6842B3E3">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291.81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571CD267">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583.62 </w:t>
            </w:r>
          </w:p>
        </w:tc>
      </w:tr>
      <w:tr w14:paraId="6FFAC7A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025"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2A6FE78">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81</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311FCA89">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冷冻四门高身柜</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3C5A7977">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尺寸：1220*760*1980</w:t>
            </w:r>
          </w:p>
          <w:p w14:paraId="4AB2A75A">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1、采用201不锈钢，内箱圆弧设计</w:t>
            </w:r>
          </w:p>
          <w:p w14:paraId="0D442315">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2、机组独立模块化技术，外挂防尘网</w:t>
            </w:r>
          </w:p>
          <w:p w14:paraId="23A09334">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3、360 ° 风冷无霜循环，冷冻门框加装发热丝</w:t>
            </w:r>
          </w:p>
          <w:p w14:paraId="3FD298C1">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4、内箱尺寸(mm)：1100*590*1405</w:t>
            </w:r>
          </w:p>
          <w:p w14:paraId="74FBD037">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5、控温类型：电子数字温控</w:t>
            </w:r>
          </w:p>
          <w:p w14:paraId="47B4D92F">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6、制冷剂：冷藏：R134a,冷冻：R404a</w:t>
            </w:r>
          </w:p>
          <w:p w14:paraId="0AF55B18">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7、压缩机：制冷稳定，效率高、噪音低、故障率低、使用寿命长。</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57B5C91E">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64F4BD72">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05BEE748">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6020.32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428F38BD">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6020.32 </w:t>
            </w:r>
          </w:p>
        </w:tc>
      </w:tr>
      <w:tr w14:paraId="4E2C5F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25"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4B76C332">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82</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0E016BBE">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冷藏四门高身柜</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6EA4ED5B">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尺寸：1220*760*1980</w:t>
            </w:r>
          </w:p>
          <w:p w14:paraId="338A0B8B">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1、采用201不锈钢，内箱圆弧设计</w:t>
            </w:r>
          </w:p>
          <w:p w14:paraId="4DA9423B">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2、机组独立模块化技术，外挂防尘网</w:t>
            </w:r>
          </w:p>
          <w:p w14:paraId="4C4A2027">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3、360 ° 风冷无霜循环，冷冻门框加装发热丝</w:t>
            </w:r>
          </w:p>
          <w:p w14:paraId="2B84ECC2">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4、内箱尺寸(mm)：1100*590*1405</w:t>
            </w:r>
          </w:p>
          <w:p w14:paraId="57205DEB">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5、控温类型：电子数字温控</w:t>
            </w:r>
          </w:p>
          <w:p w14:paraId="230DB95D">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6、制冷剂：冷藏：R134a,冷冻：R404a</w:t>
            </w:r>
          </w:p>
          <w:p w14:paraId="2E1478AC">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7、压缩机：制冷稳定，效率高、噪音低、故障率低、使用寿命长。</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7EB99E13">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7EA1E545">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79D4D049">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6020.32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B803B23">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6020.32 </w:t>
            </w:r>
          </w:p>
        </w:tc>
      </w:tr>
      <w:tr w14:paraId="1D3E53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25"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9740E23">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83</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62BC3BA6">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双通上掀门荷台柜</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720D5091">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(1)尺寸:1800*800*800</w:t>
            </w:r>
          </w:p>
          <w:p w14:paraId="4BAF90BE">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(2)*整体采用SUS304不锈钢制作；</w:t>
            </w:r>
          </w:p>
          <w:p w14:paraId="648ABDD3">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(3)*台面厚度1.2mm，内衬15mm防水机制板并用1.0mm厚不锈钢板折成加强筋加固；</w:t>
            </w:r>
          </w:p>
          <w:p w14:paraId="0B6E2200">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(4)*层板、底板、侧板及门面采用1.0mm厚不锈钢板制作；</w:t>
            </w:r>
          </w:p>
          <w:p w14:paraId="7BB1E3C5">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(5)*加强筋厚度1.0mm；</w:t>
            </w:r>
          </w:p>
          <w:p w14:paraId="63FADA7A">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(6)*配置不锈钢可调子弹脚。</w:t>
            </w:r>
          </w:p>
          <w:p w14:paraId="40634BF1">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(7)*移门为双层架构。</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11BDE8DB">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7AB406A4">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1E0FDF99">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2132.76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0F771EA3">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4265.51 </w:t>
            </w:r>
          </w:p>
        </w:tc>
      </w:tr>
      <w:tr w14:paraId="4C57FA9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35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9E3C491">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84</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0DFD61E1">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推拉门右星盆垃圾柜</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2627C579">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尺寸：1200*800*800+150</w:t>
            </w:r>
          </w:p>
          <w:p w14:paraId="6F78E534">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*整体采用SUS304不锈钢制作，台面厚1.0mm；</w:t>
            </w:r>
          </w:p>
          <w:p w14:paraId="69C2BFF5">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*星盆斗厚1.0mm，星盆斗尺寸：500*500*280mm，配置提篮式不锈钢下水器；</w:t>
            </w:r>
          </w:p>
          <w:p w14:paraId="78EE6E40">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*背板、侧板、底板及门板厚1.0mm，推拉门柜；</w:t>
            </w:r>
          </w:p>
          <w:p w14:paraId="6843F195">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*配不锈钢可调子弹脚；</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6219EAF9">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7988360B">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4B47B530">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1398.21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1E06443">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1398.21 </w:t>
            </w:r>
          </w:p>
        </w:tc>
      </w:tr>
      <w:tr w14:paraId="68CD27E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475"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6E2B840F">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85</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36F252B9">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冷藏操作台带靠背</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1609B31B">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尺寸：1800*800*800+100</w:t>
            </w:r>
          </w:p>
          <w:p w14:paraId="1C27822C">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-采用201不锈钢，内箱圆弧设计</w:t>
            </w:r>
          </w:p>
          <w:p w14:paraId="3AA740A4">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-外嵌式蒸发器，外挂防尘网</w:t>
            </w:r>
          </w:p>
          <w:p w14:paraId="19A6DADD">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-28cm小机组设计，  3D立体回风系统</w:t>
            </w:r>
          </w:p>
          <w:p w14:paraId="0DD68D0B">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-顶部斜45 ° 出风设计，360 ° 风冷无霜循环</w:t>
            </w:r>
          </w:p>
          <w:p w14:paraId="33BC5F84">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-冷冻门框加装发热丝</w:t>
            </w:r>
          </w:p>
          <w:p w14:paraId="394690EF">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-内箱尺寸(mm)：1080*570/410*590</w:t>
            </w:r>
          </w:p>
          <w:p w14:paraId="5B126691">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-控温类型：电子数字温控</w:t>
            </w:r>
          </w:p>
          <w:p w14:paraId="49E935F9">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-制冷剂：冷藏：R134a,冷冻：R404a</w:t>
            </w:r>
          </w:p>
          <w:p w14:paraId="409ED10D">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-压缩机：制冷稳定，性价比高，效率高、噪音低、故障率低、使用寿命长</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440A8201">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41C69B6E">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5C507C14">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4627.35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522A4F18">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9254.71 </w:t>
            </w:r>
          </w:p>
        </w:tc>
      </w:tr>
      <w:tr w14:paraId="491314A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25"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A99E0BC">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86</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39687056">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分体式制冰机</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6DD656C0">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尺寸：1350*1000*1700</w:t>
            </w:r>
          </w:p>
          <w:p w14:paraId="13C8332E">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采用全不锈钢及ABS工程塑料结合，抗腐蚀性强，易清洗，百分百高度镍铜冰盘，制冰速度快，微电脑控制，进水，制冰，脱冰全程自控，储冰室无氟聚氨酯整体发泡工艺保温性好, 最大制冰量80kg</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102F8CA6">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0C5D9CBA">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55C7D8A6">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291.81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1BECEC67">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291.81 </w:t>
            </w:r>
          </w:p>
        </w:tc>
      </w:tr>
      <w:tr w14:paraId="7BC7A00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76"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C8C0AD6">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87</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5215140C">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平台刀具消毒柜</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17ABB14C">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尺寸：1000*800*900</w:t>
            </w:r>
          </w:p>
          <w:p w14:paraId="43C8772B">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1、整体采用SUS304不锈钢制作；</w:t>
            </w:r>
          </w:p>
          <w:p w14:paraId="247442B1">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2、台面厚度1.2mm，内衬15mm防水机制板并用1.0mm厚不锈钢板折成加强筋加固；</w:t>
            </w:r>
          </w:p>
          <w:p w14:paraId="3A5AB716">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3、层板、底板、侧板及门面采用1.0mm厚不锈钢板制作；</w:t>
            </w:r>
          </w:p>
          <w:p w14:paraId="2BF84365">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4、底板、侧板下加装优质隔热板，棉下封0.8mm不锈钢板；</w:t>
            </w:r>
          </w:p>
          <w:p w14:paraId="607B690A">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5、背板及门胆板不锈钢板厚1.0mm，中填充隔热棉；</w:t>
            </w:r>
          </w:p>
          <w:p w14:paraId="05528551">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6、加强筋厚度1.0mm，门面采用隔热玻璃；</w:t>
            </w:r>
          </w:p>
          <w:p w14:paraId="698BDC68">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7、配置不锈钢可调子弹脚。</w:t>
            </w:r>
          </w:p>
          <w:p w14:paraId="43A12A1E">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8、配优质干发热线，可调式温控制。</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3B871EC2">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1C30ED4B">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2E2842BE">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3168.28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1ADC5C41">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3168.28 </w:t>
            </w:r>
          </w:p>
        </w:tc>
      </w:tr>
      <w:tr w14:paraId="1D5F980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35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3B1E215">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88</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7DF782FF">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斜拉单星带垃圾柜</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3BDDD981">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尺寸：700*800*800+100</w:t>
            </w:r>
          </w:p>
          <w:p w14:paraId="3FD5EF27">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*整体采用SUS304不锈钢制作，台面厚1.0mm；</w:t>
            </w:r>
          </w:p>
          <w:p w14:paraId="34FFCE53">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*星盆斗厚1.0mm，星盆斗尺寸：500*500*280mm，配置提篮式不锈钢下水器；</w:t>
            </w:r>
          </w:p>
          <w:p w14:paraId="40B56007">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*背板、侧板、底板及门板厚1.0mm，斜拉门柜；</w:t>
            </w:r>
          </w:p>
          <w:p w14:paraId="6044CFA4">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*配不锈钢可调子弹脚；</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2E716443">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1FC3B29C">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41704C70">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1460.33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D29A483">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1460.33 </w:t>
            </w:r>
          </w:p>
        </w:tc>
      </w:tr>
      <w:tr w14:paraId="49E94CA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35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00BA3B06">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89</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3DC672DD">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灭蝇灯</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6DBD280B">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尺寸：660*128*380</w:t>
            </w:r>
          </w:p>
          <w:p w14:paraId="151AE847">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-工作方式：粘捕式</w:t>
            </w:r>
          </w:p>
          <w:p w14:paraId="4B532CB5">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-额定功率：0.008KW</w:t>
            </w:r>
          </w:p>
          <w:p w14:paraId="1A28EE32">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-覆盖面积：30-50</w:t>
            </w:r>
          </w:p>
          <w:p w14:paraId="3B45B95D">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-额定电压：220V-50HZ</w:t>
            </w:r>
          </w:p>
          <w:p w14:paraId="7B28E651">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-材料等级：ABS阻燃材料</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4209BE17">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571D5E13">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6D8BBDB4">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177.12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493D384A">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177.12 </w:t>
            </w:r>
          </w:p>
        </w:tc>
      </w:tr>
      <w:tr w14:paraId="2628E5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57"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4F9816A">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90</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2EBE6A79">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洗地龙头</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6EC1895B">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尺寸：230*610*470</w:t>
            </w:r>
          </w:p>
          <w:p w14:paraId="1CCB165E">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1、优质软管，耐折复合材料，耐高压可输热水</w:t>
            </w:r>
          </w:p>
          <w:p w14:paraId="6A94B783">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2、限位橡胶球，软管自动回卷到转盘，回卷到限位球停止，限位球可手动调整位置</w:t>
            </w:r>
          </w:p>
          <w:p w14:paraId="7D43534D">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3、不锈钢保保护套，不锈钢软管保护套，保护软管不刮伤</w:t>
            </w:r>
          </w:p>
          <w:p w14:paraId="2341C723">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4、可持续喷水，钢圈套住把手，可持续喷水减轻手部负担</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2BBAC473">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14D41723">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5629721D">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1834.27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1BF52A36">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1834.27 </w:t>
            </w:r>
          </w:p>
        </w:tc>
      </w:tr>
      <w:tr w14:paraId="77C9A6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8CA533D">
            <w:pPr>
              <w:ind w:left="0" w:leftChars="0" w:right="0" w:rightChars="0" w:firstLine="0" w:firstLineChars="0"/>
              <w:jc w:val="center"/>
              <w:rPr>
                <w:rFonts w:hint="eastAsia" w:ascii="宋体" w:hAnsi="宋体" w:eastAsia="宋体" w:cs="宋体"/>
                <w:b/>
                <w:bCs/>
                <w:i w:val="0"/>
                <w:iCs w:val="0"/>
                <w:color w:val="000000"/>
                <w:sz w:val="18"/>
                <w:szCs w:val="18"/>
                <w:highlight w:val="none"/>
                <w:u w:val="none"/>
              </w:rPr>
            </w:pP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287F8B1C">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b/>
                <w:bCs/>
                <w:i w:val="0"/>
                <w:iCs w:val="0"/>
                <w:color w:val="000000"/>
                <w:sz w:val="18"/>
                <w:szCs w:val="18"/>
                <w:highlight w:val="none"/>
                <w:u w:val="none"/>
              </w:rPr>
            </w:pPr>
            <w:r>
              <w:rPr>
                <w:rFonts w:hint="eastAsia" w:ascii="宋体" w:hAnsi="宋体" w:eastAsia="宋体" w:cs="宋体"/>
                <w:b/>
                <w:bCs/>
                <w:i w:val="0"/>
                <w:iCs w:val="0"/>
                <w:color w:val="000000"/>
                <w:kern w:val="0"/>
                <w:sz w:val="18"/>
                <w:szCs w:val="18"/>
                <w:highlight w:val="none"/>
                <w:u w:val="none"/>
                <w:lang w:val="en-US" w:eastAsia="zh-CN" w:bidi="ar"/>
              </w:rPr>
              <w:t>二楼备餐间</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7A1467FC">
            <w:pPr>
              <w:ind w:left="0" w:leftChars="0" w:right="0" w:rightChars="0" w:firstLine="0" w:firstLineChars="0"/>
              <w:jc w:val="left"/>
              <w:rPr>
                <w:rFonts w:hint="eastAsia" w:ascii="宋体" w:hAnsi="宋体" w:eastAsia="宋体" w:cs="宋体"/>
                <w:b/>
                <w:bCs/>
                <w:i w:val="0"/>
                <w:iCs w:val="0"/>
                <w:color w:val="000000"/>
                <w:sz w:val="18"/>
                <w:szCs w:val="18"/>
                <w:highlight w:val="none"/>
                <w:u w:val="none"/>
              </w:rPr>
            </w:pP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12CDAB14">
            <w:pPr>
              <w:ind w:left="0" w:leftChars="0" w:right="0" w:rightChars="0" w:firstLine="0" w:firstLineChars="0"/>
              <w:jc w:val="center"/>
              <w:rPr>
                <w:rFonts w:hint="eastAsia" w:ascii="宋体" w:hAnsi="宋体" w:eastAsia="宋体" w:cs="宋体"/>
                <w:b/>
                <w:bCs/>
                <w:i w:val="0"/>
                <w:iCs w:val="0"/>
                <w:color w:val="000000"/>
                <w:sz w:val="18"/>
                <w:szCs w:val="18"/>
                <w:highlight w:val="none"/>
                <w:u w:val="none"/>
              </w:rPr>
            </w:pP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D9CFB43">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b/>
                <w:bCs/>
                <w:i w:val="0"/>
                <w:iCs w:val="0"/>
                <w:color w:val="000000"/>
                <w:sz w:val="18"/>
                <w:szCs w:val="18"/>
                <w:highlight w:val="none"/>
                <w:u w:val="none"/>
              </w:rPr>
            </w:pP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19482824">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b/>
                <w:bCs/>
                <w:i w:val="0"/>
                <w:iCs w:val="0"/>
                <w:color w:val="000000"/>
                <w:sz w:val="18"/>
                <w:szCs w:val="18"/>
                <w:highlight w:val="none"/>
                <w:u w:val="none"/>
              </w:rPr>
            </w:pP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5842F2ED">
            <w:pPr>
              <w:ind w:left="0" w:leftChars="0" w:right="0" w:rightChars="0" w:firstLine="0" w:firstLineChars="0"/>
              <w:jc w:val="right"/>
              <w:rPr>
                <w:rFonts w:hint="eastAsia" w:ascii="宋体" w:hAnsi="宋体" w:eastAsia="宋体" w:cs="宋体"/>
                <w:i w:val="0"/>
                <w:iCs w:val="0"/>
                <w:color w:val="000000"/>
                <w:sz w:val="18"/>
                <w:szCs w:val="18"/>
                <w:highlight w:val="none"/>
                <w:u w:val="none"/>
              </w:rPr>
            </w:pPr>
          </w:p>
        </w:tc>
      </w:tr>
      <w:tr w14:paraId="7711330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35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0A02646E">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91</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50ABF8C6">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灭蝇灯</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7719DCC3">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尺寸：660*128*380</w:t>
            </w:r>
          </w:p>
          <w:p w14:paraId="24E78B1B">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-工作方式：粘捕式</w:t>
            </w:r>
          </w:p>
          <w:p w14:paraId="189BEA1D">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-额定功率：0.008KW</w:t>
            </w:r>
          </w:p>
          <w:p w14:paraId="6C708E20">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-覆盖面积：30-50</w:t>
            </w:r>
          </w:p>
          <w:p w14:paraId="162F6003">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-额定电压：220V-50HZ</w:t>
            </w:r>
          </w:p>
          <w:p w14:paraId="149EF408">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-材料等级：ABS阻燃材料</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018F00FF">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248790B9">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468FD056">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177.12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4AE2A260">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354.25 </w:t>
            </w:r>
          </w:p>
        </w:tc>
      </w:tr>
      <w:tr w14:paraId="201F19E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0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6D3E5BCB">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92</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389CA5D3">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洗地龙头</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0E69191D">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尺寸：230*610*470</w:t>
            </w:r>
          </w:p>
          <w:p w14:paraId="301F5B53">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1、优质软管，耐折复合材料，耐高压可输热水</w:t>
            </w:r>
          </w:p>
          <w:p w14:paraId="64DC51F8">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2、限位橡胶球，软管自动回卷到转盘，回卷到限位球停止，限位球可手动调整位置</w:t>
            </w:r>
          </w:p>
          <w:p w14:paraId="36ED8022">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3、不锈钢保保护套，不锈钢软管保护套，保护软管不刮伤</w:t>
            </w:r>
          </w:p>
          <w:p w14:paraId="1A90042F">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4、可持续喷水，钢圈套住把手，可持续喷水减轻手部负担</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1854969F">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25FB7511">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55FC7ACA">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1834.27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7D5C5AF0">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1834.27 </w:t>
            </w:r>
          </w:p>
        </w:tc>
      </w:tr>
      <w:tr w14:paraId="4633BF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09C4071E">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93</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699FE21E">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四层平板货架</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4073036D">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1.尺寸：1200*500*1550</w:t>
            </w:r>
          </w:p>
          <w:p w14:paraId="43BE8225">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2.整体采用SUS304不锈钢制作，平板厚度1.0mm；</w:t>
            </w:r>
          </w:p>
          <w:p w14:paraId="25305D0C">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3.立柱采用38×38×1.0mm厚不锈钢方管；</w:t>
            </w:r>
          </w:p>
          <w:p w14:paraId="4124AF08">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4.配不锈钢可调子弹脚。</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0C75DBA3">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F58D26A">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6E24F53B">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998.68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2E210E3E">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1997.35 </w:t>
            </w:r>
          </w:p>
        </w:tc>
      </w:tr>
      <w:tr w14:paraId="50639BD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25"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84955D8">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94</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51ED2B46">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单孔收餐工作台</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7C957426">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尺寸：1000*800*800</w:t>
            </w:r>
          </w:p>
          <w:p w14:paraId="33D99E99">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采用优质304不锈钢板材制作；台面</w:t>
            </w:r>
          </w:p>
          <w:p w14:paraId="2EB935F1">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板1.2mm加强处理；立柱为Φ</w:t>
            </w:r>
          </w:p>
          <w:p w14:paraId="72290647">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38×1.0mm不锈钢管,加装优质不锈钢</w:t>
            </w:r>
          </w:p>
          <w:p w14:paraId="1A7D69F5">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可调子弹脚。</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0C008EE7">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7E6A9DD4">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1B3362E5">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800.82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6D81FE73">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1601.65 </w:t>
            </w:r>
          </w:p>
        </w:tc>
      </w:tr>
      <w:tr w14:paraId="4002F6C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575"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4D173ED0">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95</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5EFDA933">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双层工作台带靠背（方腿）</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44DA8193">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(1)尺寸:1500*800*900</w:t>
            </w:r>
          </w:p>
          <w:p w14:paraId="1E403AEB">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(2)*整体采用SUS304不锈钢制作；</w:t>
            </w:r>
          </w:p>
          <w:p w14:paraId="7659F78A">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(3)*台面厚度1.2mm，内衬15mm防水机制板并用1.0mm厚不锈钢板折成加强筋加固；</w:t>
            </w:r>
          </w:p>
          <w:p w14:paraId="28FBC6AF">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(4)*下层板厚度1.0mm；</w:t>
            </w:r>
          </w:p>
          <w:p w14:paraId="4409CAF6">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(5)*脚管采用38*38*1.0mm不锈钢方管；</w:t>
            </w:r>
          </w:p>
          <w:p w14:paraId="72108E14">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(6)*配不锈钢可调子弹脚。</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140CC4D3">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653CD53E">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14E77F7">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1205.95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1FDD3C25">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2411.90 </w:t>
            </w:r>
          </w:p>
        </w:tc>
      </w:tr>
      <w:tr w14:paraId="3A95297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6"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C3CF263">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96</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08EB008A">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活动双层平板工作台</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4E9DD93B">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尺寸：1800*1000*800</w:t>
            </w:r>
          </w:p>
          <w:p w14:paraId="1D16B18E">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*整体采用SUS304不锈钢制作；</w:t>
            </w:r>
          </w:p>
          <w:p w14:paraId="29DCE42F">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*台面厚度1.2mm，内衬15mm防水机制板并用1.0mm厚不锈钢板折成加强筋加固；</w:t>
            </w:r>
          </w:p>
          <w:p w14:paraId="6287F139">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*下层板厚度1.0mm；</w:t>
            </w:r>
          </w:p>
          <w:p w14:paraId="4012FAD5">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*脚管采用38*38*1.0mm不锈钢方管；</w:t>
            </w:r>
          </w:p>
          <w:p w14:paraId="3B422CE6">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*配置刹车静音万向轮</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5ADFC606">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6ED380FC">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156147CC">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1271.90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2781D0A7">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2543.80 </w:t>
            </w:r>
          </w:p>
        </w:tc>
      </w:tr>
      <w:tr w14:paraId="01973E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575"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55B17AB">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97</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1FB4BB5A">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单星盆水池</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5AC16DF1">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尺寸：1000*800*800+150</w:t>
            </w:r>
          </w:p>
          <w:p w14:paraId="3D204637">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*整体采用SUS304不锈钢制作，台面厚1.2mm；</w:t>
            </w:r>
          </w:p>
          <w:p w14:paraId="11C54B19">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*星盆斗厚1.0mm，星盆斗尺寸：500*500*300mm，配置提篮式不锈钢下水器；</w:t>
            </w:r>
          </w:p>
          <w:p w14:paraId="3F9A33DD">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*立柱采用38×38×1.0mm厚不锈钢方管，配不锈钢可调子弹脚；</w:t>
            </w:r>
          </w:p>
          <w:p w14:paraId="4D51316D">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*面板厚度1.2mm；</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167A4215">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2BD254AA">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3</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598148D4">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1460.33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71D1C537">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4380.98 </w:t>
            </w:r>
          </w:p>
        </w:tc>
      </w:tr>
      <w:tr w14:paraId="620862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60EBAF82">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98</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21E14807">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台式混水龙头</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157567F4">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1、不锈钢材质；</w:t>
            </w:r>
          </w:p>
          <w:p w14:paraId="1C3F3953">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摆动式水嘴 ;</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13715FE1">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5D27E3FB">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3</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468D52D3">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291.81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608C2694">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875.43 </w:t>
            </w:r>
          </w:p>
        </w:tc>
      </w:tr>
      <w:tr w14:paraId="562FD07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2CC7DEE">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99</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6C34AA75">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开水器带底座</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0F1517C1">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尺寸：520*530*1300</w:t>
            </w:r>
          </w:p>
          <w:p w14:paraId="682E294C">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产品采用耐用电器元件，外壳全不锈钢制造，水箱式结构，具有自动进、自动控温及水位和温度显示功能；容量： ≧60L。</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4E6EA078">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02E98D29">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1086C80C">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1575.81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5954BEC5">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1575.81 </w:t>
            </w:r>
          </w:p>
        </w:tc>
      </w:tr>
      <w:tr w14:paraId="22D0624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36"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230F4BF">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100</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195A1478">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单通上掀门荷台柜</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76A49F9C">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尺寸：1800*800*800</w:t>
            </w:r>
          </w:p>
          <w:p w14:paraId="4572485A">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*整体采用SUS304不锈钢制作；</w:t>
            </w:r>
          </w:p>
          <w:p w14:paraId="56D1D345">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*台面厚度1.2mm，内衬15mm防水机制板并用1.0mm厚不锈钢板折成加强筋加固；</w:t>
            </w:r>
          </w:p>
          <w:p w14:paraId="4C0D3B6D">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*层板、底板、侧板及门面采用1.0mm厚不锈钢板制作；</w:t>
            </w:r>
          </w:p>
          <w:p w14:paraId="75012F79">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*加强筋厚度1.0mm；</w:t>
            </w:r>
          </w:p>
          <w:p w14:paraId="3EFAA705">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*配置不锈钢可调子弹脚。</w:t>
            </w:r>
          </w:p>
          <w:p w14:paraId="307EB42C">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*上掀门为双层架构。</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1B7CAB03">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6F6C1BB5">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7FC40321">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2042.71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4E4DF91A">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4085.41 </w:t>
            </w:r>
          </w:p>
        </w:tc>
      </w:tr>
      <w:tr w14:paraId="40DB8D1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3498CC1E">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101</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63B634A2">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单通暖碟柜带靠背</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78F2885B">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尺寸：1500*800*800+100</w:t>
            </w:r>
          </w:p>
          <w:p w14:paraId="643C3AB5">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*整体采用SUS304不锈钢制作；</w:t>
            </w:r>
          </w:p>
          <w:p w14:paraId="09D92CF3">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*台面厚度1.2mm，内衬15mm防水机制板并用1.0mm厚不锈钢板折成加强筋加固；</w:t>
            </w:r>
          </w:p>
          <w:p w14:paraId="507D7110">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*层板、底板、侧板及门面采用1.0mm厚不锈钢板制作；</w:t>
            </w:r>
          </w:p>
          <w:p w14:paraId="22B97701">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*底板、侧板下加装优质隔热板，棉下封0.8mm不锈钢板；</w:t>
            </w:r>
          </w:p>
          <w:p w14:paraId="31F043B9">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*背板及门胆板不锈钢板厚1.0mm，中填充隔热棉；</w:t>
            </w:r>
          </w:p>
          <w:p w14:paraId="4F450ACF">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*加强筋厚度1.0mm；</w:t>
            </w:r>
          </w:p>
          <w:p w14:paraId="74DB271D">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*配置不锈钢可调子弹脚。</w:t>
            </w:r>
          </w:p>
          <w:p w14:paraId="53EA9384">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*配优质干发热线，可调式温控制。</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61503981">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733F0B7A">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68C8444C">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2918.16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4CCACC9E">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5836.32 </w:t>
            </w:r>
          </w:p>
        </w:tc>
      </w:tr>
      <w:tr w14:paraId="112EF9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0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7BA035F">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102</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2E461CDC">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单通上掀门四门碗柜</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46F522A8">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尺寸：1200*500*1800</w:t>
            </w:r>
          </w:p>
          <w:p w14:paraId="608E41F1">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*整体采用SUS304不锈钢制作；</w:t>
            </w:r>
          </w:p>
          <w:p w14:paraId="235A0D35">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*顶板、层板、底板、侧板均采用1.0mm厚不锈钢板制作；</w:t>
            </w:r>
          </w:p>
          <w:p w14:paraId="039B4B5A">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*面板厚度1.2mm，并用1.0mm厚不锈钢板折成加强筋加固；</w:t>
            </w:r>
          </w:p>
          <w:p w14:paraId="613511AA">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*拉门为双层结构；</w:t>
            </w:r>
          </w:p>
          <w:p w14:paraId="485C1026">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*配置不锈钢可调子弹脚。</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5AF4E8B9">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4944069D">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3</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05F55CEF">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2501.28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1C66079B">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7503.83 </w:t>
            </w:r>
          </w:p>
        </w:tc>
      </w:tr>
      <w:tr w14:paraId="2D079FF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25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8E56A4F">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103</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17CD50AE">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热风循环消毒柜</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48596CED">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尺寸：1350*670*1940</w:t>
            </w:r>
          </w:p>
          <w:p w14:paraId="5D73A79E">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·全不锈钢打造箱体，设计时尚大方;</w:t>
            </w:r>
          </w:p>
          <w:p w14:paraId="3CF7926A">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 内外无磁不锈铜＋不锈钢加热管 ;</w:t>
            </w:r>
          </w:p>
          <w:p w14:paraId="68B1110A">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·整机整体发泡，门封条密闭工艺，隔热保温 ;</w:t>
            </w:r>
          </w:p>
          <w:p w14:paraId="0A87FCB7">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·采用高温热风循环消毒系统消毒，清除各种有害病菌 ;</w:t>
            </w:r>
          </w:p>
          <w:p w14:paraId="71D4CFF3">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·全不锈钢层架、重力脚配置，承载力强，坚固耐用 ;</w:t>
            </w:r>
          </w:p>
          <w:p w14:paraId="0C803A4C">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·设有可调温控器和可调定时器功能，对所需温度时间随意调节 ;</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16A6902D">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4C72319B">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175C069E">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4852.47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648A9DFF">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4852.47 </w:t>
            </w:r>
          </w:p>
        </w:tc>
      </w:tr>
      <w:tr w14:paraId="50CFA07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A84D458">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104</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60B81DAE">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圆孔收残车</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55FA9C8B">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尺寸：900*470*860</w:t>
            </w:r>
          </w:p>
          <w:p w14:paraId="1CD5AB9E">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采用优质304不锈钢板材制作</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2DA6C101">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1DC068BF">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4</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029C513C">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1000.51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465411B3">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4002.05 </w:t>
            </w:r>
          </w:p>
        </w:tc>
      </w:tr>
      <w:tr w14:paraId="1F018B7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7E5FA0A">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105</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445EDF2B">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三层餐车</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374CD6C0">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尺寸：850*450*900</w:t>
            </w:r>
          </w:p>
          <w:p w14:paraId="43CD3327">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采用优质304不锈钢板材制作</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0E2FB1E9">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295DBBF1">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4</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7EEC8FAB">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817.09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2AF29459">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3268.34 </w:t>
            </w:r>
          </w:p>
        </w:tc>
      </w:tr>
      <w:tr w14:paraId="0A9C86B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4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358B22AD">
            <w:pPr>
              <w:ind w:left="0" w:leftChars="0" w:right="0" w:rightChars="0" w:firstLine="0" w:firstLineChars="0"/>
              <w:jc w:val="center"/>
              <w:rPr>
                <w:rFonts w:hint="eastAsia" w:ascii="宋体" w:hAnsi="宋体" w:eastAsia="宋体" w:cs="宋体"/>
                <w:b/>
                <w:bCs/>
                <w:i w:val="0"/>
                <w:iCs w:val="0"/>
                <w:color w:val="000000"/>
                <w:sz w:val="18"/>
                <w:szCs w:val="18"/>
                <w:highlight w:val="none"/>
                <w:u w:val="none"/>
              </w:rPr>
            </w:pP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4928233E">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b/>
                <w:bCs/>
                <w:i w:val="0"/>
                <w:iCs w:val="0"/>
                <w:color w:val="000000"/>
                <w:sz w:val="18"/>
                <w:szCs w:val="18"/>
                <w:highlight w:val="none"/>
                <w:u w:val="none"/>
              </w:rPr>
            </w:pPr>
            <w:r>
              <w:rPr>
                <w:rFonts w:hint="eastAsia" w:ascii="宋体" w:hAnsi="宋体" w:eastAsia="宋体" w:cs="宋体"/>
                <w:b/>
                <w:bCs/>
                <w:i w:val="0"/>
                <w:iCs w:val="0"/>
                <w:color w:val="000000"/>
                <w:kern w:val="0"/>
                <w:sz w:val="18"/>
                <w:szCs w:val="18"/>
                <w:highlight w:val="none"/>
                <w:u w:val="none"/>
                <w:lang w:val="en-US" w:eastAsia="zh-CN" w:bidi="ar"/>
              </w:rPr>
              <w:t>厨房杂件</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5AFD382A">
            <w:pPr>
              <w:ind w:left="0" w:leftChars="0" w:right="0" w:rightChars="0" w:firstLine="0" w:firstLineChars="0"/>
              <w:jc w:val="left"/>
              <w:rPr>
                <w:rFonts w:hint="eastAsia" w:ascii="宋体" w:hAnsi="宋体" w:eastAsia="宋体" w:cs="宋体"/>
                <w:b/>
                <w:bCs/>
                <w:i w:val="0"/>
                <w:iCs w:val="0"/>
                <w:color w:val="000000"/>
                <w:sz w:val="18"/>
                <w:szCs w:val="18"/>
                <w:highlight w:val="none"/>
                <w:u w:val="none"/>
              </w:rPr>
            </w:pP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5DBA0D05">
            <w:pPr>
              <w:ind w:left="0" w:leftChars="0" w:right="0" w:rightChars="0" w:firstLine="0" w:firstLineChars="0"/>
              <w:jc w:val="center"/>
              <w:rPr>
                <w:rFonts w:hint="eastAsia" w:ascii="宋体" w:hAnsi="宋体" w:eastAsia="宋体" w:cs="宋体"/>
                <w:b/>
                <w:bCs/>
                <w:i w:val="0"/>
                <w:iCs w:val="0"/>
                <w:color w:val="000000"/>
                <w:sz w:val="18"/>
                <w:szCs w:val="18"/>
                <w:highlight w:val="none"/>
                <w:u w:val="none"/>
              </w:rPr>
            </w:pP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0E4A0446">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b/>
                <w:bCs/>
                <w:i w:val="0"/>
                <w:iCs w:val="0"/>
                <w:color w:val="000000"/>
                <w:sz w:val="18"/>
                <w:szCs w:val="18"/>
                <w:highlight w:val="none"/>
                <w:u w:val="none"/>
              </w:rPr>
            </w:pP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6E5EA946">
            <w:pPr>
              <w:ind w:left="0" w:leftChars="0" w:right="0" w:rightChars="0" w:firstLine="0" w:firstLineChars="0"/>
              <w:jc w:val="center"/>
              <w:rPr>
                <w:rFonts w:hint="eastAsia" w:ascii="宋体" w:hAnsi="宋体" w:eastAsia="宋体" w:cs="宋体"/>
                <w:i w:val="0"/>
                <w:iCs w:val="0"/>
                <w:color w:val="000000"/>
                <w:sz w:val="20"/>
                <w:szCs w:val="20"/>
                <w:highlight w:val="none"/>
                <w:u w:val="none"/>
              </w:rPr>
            </w:pP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277CE7A6">
            <w:pPr>
              <w:ind w:left="0" w:leftChars="0" w:right="0" w:rightChars="0" w:firstLine="0" w:firstLineChars="0"/>
              <w:jc w:val="right"/>
              <w:rPr>
                <w:rFonts w:hint="eastAsia" w:ascii="宋体" w:hAnsi="宋体" w:eastAsia="宋体" w:cs="宋体"/>
                <w:i w:val="0"/>
                <w:iCs w:val="0"/>
                <w:color w:val="000000"/>
                <w:sz w:val="18"/>
                <w:szCs w:val="18"/>
                <w:highlight w:val="none"/>
                <w:u w:val="none"/>
              </w:rPr>
            </w:pPr>
          </w:p>
        </w:tc>
      </w:tr>
      <w:tr w14:paraId="5FEAFD0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3972E978">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106</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6F603755">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10寸糖瓷碗</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7D411DEE">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10寸糖瓷碗</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601811B2">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个</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67161E6E">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100</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02073B3A">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35.80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EB809E8">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3580.16 </w:t>
            </w:r>
          </w:p>
        </w:tc>
      </w:tr>
      <w:tr w14:paraId="655342A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04D3EABA">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107</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68C0E26B">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耐磨金线8.2寸高脚碗</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3F5410C5">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耐磨金线8.2寸高脚碗</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177742B7">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个</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27C192C">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100</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02716D9D">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30.15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6D99E9C9">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3014.87 </w:t>
            </w:r>
          </w:p>
        </w:tc>
      </w:tr>
      <w:tr w14:paraId="611821D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030B8057">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108</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686E6DC1">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耐磨金线7.5点瓷碗</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5E2A136A">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耐磨金线7.5点瓷碗</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183A9CD9">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个</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B7C61E9">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100</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1E335F35">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25.44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29A25141">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2543.80 </w:t>
            </w:r>
          </w:p>
        </w:tc>
      </w:tr>
      <w:tr w14:paraId="1F19785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7C9DC80">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109</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21DD795E">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江山如画金边14寸福</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409E448D">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江山如画金边14寸福</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6615A3A8">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个</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530F0934">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100</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1264D8C6">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51.82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65566046">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5181.81 </w:t>
            </w:r>
          </w:p>
        </w:tc>
      </w:tr>
      <w:tr w14:paraId="7454726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0CAFF9B5">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110</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004520F1">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8寸深土钵子</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799D8775">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8寸深土钵子</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50F5CA56">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个</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769F53F5">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100</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57650B60">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8.48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09064FE1">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847.93 </w:t>
            </w:r>
          </w:p>
        </w:tc>
      </w:tr>
      <w:tr w14:paraId="6C71653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07B58989">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111</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1E17BCA1">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9寸(23CM)白瓷果</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6038E5ED">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9寸(23CM)白瓷果</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35325B25">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个</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B5ED87B">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100</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7C8C649A">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22.61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0306C4F4">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2261.15 </w:t>
            </w:r>
          </w:p>
        </w:tc>
      </w:tr>
      <w:tr w14:paraId="2365E45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7D51C43">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112</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7A4B70F3">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10寸地中海碗</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640D9778">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10寸地中海碗</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176C2583">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个</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5579B74E">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100</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049036BF">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30.15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1BB1C991">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3014.87 </w:t>
            </w:r>
          </w:p>
        </w:tc>
      </w:tr>
      <w:tr w14:paraId="5FA7474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FEB1C69">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113</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15CFBF10">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8寸葫芦碗</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03BD9C06">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8寸葫芦碗</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6FBCA521">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个</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54698FA7">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100</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1FE8446A">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25.44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964C0DC">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2543.80 </w:t>
            </w:r>
          </w:p>
        </w:tc>
      </w:tr>
      <w:tr w14:paraId="7683D83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C6009F6">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114</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1F2DF674">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48CM油松木菜板</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751199F4">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48CM油松木菜板</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63360D11">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个</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43EEFFCD">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6</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1682F939">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146.03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4987800">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876.20 </w:t>
            </w:r>
          </w:p>
        </w:tc>
      </w:tr>
      <w:tr w14:paraId="317E3E7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05E87A89">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115</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14DB332C">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3.2*40不锈钢油桶</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0CE7162A">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3.2*40不锈钢油桶</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44D8CC3B">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个</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7A4F2995">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8</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5A46CAED">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152.63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6B7B1DF1">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1221.02 </w:t>
            </w:r>
          </w:p>
        </w:tc>
      </w:tr>
      <w:tr w14:paraId="7A18FD7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09AC5DE3">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116</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717E114B">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10升油钵</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142E88F7">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10升油钵</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380A7C82">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个</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7BB4A85B">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6</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212FF74E">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25.44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1FEE36B8">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152.63 </w:t>
            </w:r>
          </w:p>
        </w:tc>
      </w:tr>
      <w:tr w14:paraId="0F034B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0BDB515A">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117</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13F484AC">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10两木柄菜瓢</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7256FB89">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10两木柄菜瓢</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345D32EC">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个</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8DD33AF">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5</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16CF8FCC">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23.55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1FB12968">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117.77 </w:t>
            </w:r>
          </w:p>
        </w:tc>
      </w:tr>
      <w:tr w14:paraId="601AD1D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0B02E716">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118</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40EF6E61">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28cm无耳钢柄密漏</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6478F141">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28cm无耳钢柄密漏</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725D1C3E">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个</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50937467">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4</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797BF062">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25.44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19F974D2">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101.75 </w:t>
            </w:r>
          </w:p>
        </w:tc>
      </w:tr>
      <w:tr w14:paraId="5A35917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4F80BB71">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119</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3C467B86">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2.0*30CM圆眼漏</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7E5BEA87">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2.0*30CM圆眼漏</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27F3F53D">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个</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7F1B5200">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5</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2A0CE244">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44.75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5A5D388C">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223.76 </w:t>
            </w:r>
          </w:p>
        </w:tc>
      </w:tr>
      <w:tr w14:paraId="68341D6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54C94CB">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120</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73D67759">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28cm钢柄油鼓圆底瓢</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2D12A9DF">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28cm钢柄油鼓圆底瓢</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02ABAA50">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个</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18F6B7DF">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3</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2B058BC0">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42.40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7B25184D">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127.19 </w:t>
            </w:r>
          </w:p>
        </w:tc>
      </w:tr>
      <w:tr w14:paraId="6017E5B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8C3BC4E">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121</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7598B244">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17-18CM菜铲</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3897A334">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17-18CM菜铲</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533B33EB">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个</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50F25B9">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5EFAD756">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36.27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675DAD05">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72.55 </w:t>
            </w:r>
          </w:p>
        </w:tc>
      </w:tr>
      <w:tr w14:paraId="48AD45A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5E93002">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122</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2118DA2C">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70CM钢柄肉钩</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30A45053">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70CM钢柄肉钩</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29E948B8">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个</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14533507">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715FFAA0">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33.92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A2FF2C4">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67.83 </w:t>
            </w:r>
          </w:p>
        </w:tc>
      </w:tr>
      <w:tr w14:paraId="501DD89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E7B7912">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123</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272EFC45">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6Cm汤壳</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7F9D7F0A">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6Cm汤壳</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65DBEBFC">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个</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47E1DDBA">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100</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2A8CA752">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5.46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F053EA9">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546.45 </w:t>
            </w:r>
          </w:p>
        </w:tc>
      </w:tr>
      <w:tr w14:paraId="5A96433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1AA9DA7">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124</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32A8CA5C">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D02斩切刀</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3438599C">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D02斩切刀</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4B26F20B">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个</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2B14EB91">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4</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DC46FB6">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89.50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0DBD3741">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358.02 </w:t>
            </w:r>
          </w:p>
        </w:tc>
      </w:tr>
      <w:tr w14:paraId="3CB2A4A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4337C337">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125</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2C9CE138">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小砍骨刀</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38835B10">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小砍骨刀</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08A5D938">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个</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05F07ECE">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25C8611C">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70.66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4795CF5">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141.32 </w:t>
            </w:r>
          </w:p>
        </w:tc>
      </w:tr>
      <w:tr w14:paraId="30A76A7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453A9D4F">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126</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6050EFA7">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32高压锅</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70F1A364">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32高压锅</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47B767C7">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个</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72F33447">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236D3D47">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287.35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6DA97961">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574.71 </w:t>
            </w:r>
          </w:p>
        </w:tc>
      </w:tr>
      <w:tr w14:paraId="1B82AEA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DA82CC5">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127</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2AB8E817">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28高压锅</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2D3DA909">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28高压锅</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27E2CDAB">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个</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4B0DEBEF">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6A66746">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221.40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6947420F">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442.81 </w:t>
            </w:r>
          </w:p>
        </w:tc>
      </w:tr>
      <w:tr w14:paraId="4074565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3D39F3D7">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128</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0D3F2DA7">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26CM实心线条锅架</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5992E4C3">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26CM实心线条锅架</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56490FBF">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个</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27619FE">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5</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5D7C3C1B">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21.20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41B241B1">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105.99 </w:t>
            </w:r>
          </w:p>
        </w:tc>
      </w:tr>
      <w:tr w14:paraId="244E4BB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2A7BE0B">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129</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3AB87259">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2.0厚65cn不锈钢盆</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521D7693">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2.0厚65cn不锈钢盆</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452AF461">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个</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546971C4">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10</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083A2CBC">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100.34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6F7A589">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1003.39 </w:t>
            </w:r>
          </w:p>
        </w:tc>
      </w:tr>
      <w:tr w14:paraId="1707873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F60800D">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130</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583B1D1F">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50cm特厚不锈钢盆</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006196CA">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50cm特厚不锈钢盆</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1C35E05D">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个</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60DF3BB">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10</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4C03AB18">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63.12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7ADBD5B">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631.24 </w:t>
            </w:r>
          </w:p>
        </w:tc>
      </w:tr>
      <w:tr w14:paraId="406A7B8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60AE5AEB">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131</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2F2DC9FE">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38cm不锈钢盆</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3EA8630D">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38cm不锈钢盆</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27E84929">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个</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00C3598C">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10</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194888B2">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23.55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1A331AE0">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235.54 </w:t>
            </w:r>
          </w:p>
        </w:tc>
      </w:tr>
      <w:tr w14:paraId="0650AAD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39EAB480">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132</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7B90E048">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34cm不锈钢盆</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4448143C">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34cm不锈钢盆</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34A3B8F1">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个</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4DA32EDE">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10</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4FCF7E7F">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20.73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60C9E915">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207.27 </w:t>
            </w:r>
          </w:p>
        </w:tc>
      </w:tr>
      <w:tr w14:paraId="6434D45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42CFE66">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133</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43186531">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45cn双耳小孔多用桶</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55C38EF5">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45cn双耳小孔多用桶</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1B1AB8AB">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个</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1E715EBA">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1E78C835">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178.07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65A64D9F">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356.13 </w:t>
            </w:r>
          </w:p>
        </w:tc>
      </w:tr>
      <w:tr w14:paraId="164073F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30578AAE">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134</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3C0536E1">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8166带扣保鮮盒</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08838BA8">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8166带扣保鮮盒</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5909A9F3">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个</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498C264D">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20</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0DE789A5">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42.40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68E92A5D">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847.93 </w:t>
            </w:r>
          </w:p>
        </w:tc>
      </w:tr>
      <w:tr w14:paraId="77E2F3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22D1B47">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135</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3CEF4330">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8155带扣保鮮盒</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15DBA617">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8155带扣保鮮盒</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397DBAF7">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个</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73665796">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30</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199E1738">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35.80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6BB447D5">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1074.05 </w:t>
            </w:r>
          </w:p>
        </w:tc>
      </w:tr>
      <w:tr w14:paraId="2EA9357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5A250A4">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136</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02516209">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014小正方筛</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26F2C887">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014小正方筛</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29338C7E">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个</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55A5FB1B">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30</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7E28EFBB">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6.60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59DB2A1D">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197.85 </w:t>
            </w:r>
          </w:p>
        </w:tc>
      </w:tr>
      <w:tr w14:paraId="68A6B5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4ED2D551">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137</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25A4513F">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013小正方筛</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75300B90">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013小正方筛</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2B6F0CB2">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个</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BFC5227">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30</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688E1626">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4.71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0C771023">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141.32 </w:t>
            </w:r>
          </w:p>
        </w:tc>
      </w:tr>
      <w:tr w14:paraId="21AE507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718882C">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138</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0FE52339">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012小正方筛</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6833011D">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012小正方筛</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60860CCC">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个</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5C712895">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30</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281D75B7">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2.83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472311F6">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84.79 </w:t>
            </w:r>
          </w:p>
        </w:tc>
      </w:tr>
      <w:tr w14:paraId="75866B2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344AD567">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139</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646AA1FC">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618白方筛</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72FA837E">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618白方筛</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2C4F1F80">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个</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5B3AABA1">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10</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07B3FD9C">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23.55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0D1E00A6">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235.54 </w:t>
            </w:r>
          </w:p>
        </w:tc>
      </w:tr>
      <w:tr w14:paraId="4D72C83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919054F">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140</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71180B8C">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030加深长方筛</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1BDA6696">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030加深长方筛</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26744F62">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个</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2479A6EE">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5</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048B2C1B">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35.80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775945E0">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179.01 </w:t>
            </w:r>
          </w:p>
        </w:tc>
      </w:tr>
      <w:tr w14:paraId="6E7058F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8C5CC8C">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141</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14D074BB">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43双耳锅</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4EA713A3">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43双耳锅</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52C6996E">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个</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735B874B">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60A1B9A">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48.99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1FEE2090">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97.98 </w:t>
            </w:r>
          </w:p>
        </w:tc>
      </w:tr>
      <w:tr w14:paraId="372C41D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8A00145">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142</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74DCE617">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50双耳锅</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3BBE376B">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50双耳锅</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4FA5DDD2">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个</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28A771B7">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6BA04084">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54.64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5CAAFBD0">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109.29 </w:t>
            </w:r>
          </w:p>
        </w:tc>
      </w:tr>
      <w:tr w14:paraId="6C6EE84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0065AA4">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143</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5C7B6C20">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46双耳锅</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31BCA33A">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46双耳锅</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4FFE0F2D">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个</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1168D8EA">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49117D17">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52.76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12D43D43">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105.52 </w:t>
            </w:r>
          </w:p>
        </w:tc>
      </w:tr>
      <w:tr w14:paraId="7C74EA7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FD3C5DA">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144</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3343639D">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60双耳锅</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339AD114">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60双耳锅</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724183AA">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个</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1DA99A92">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6BB812CF">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77.26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AA3EB1F">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154.51 </w:t>
            </w:r>
          </w:p>
        </w:tc>
      </w:tr>
      <w:tr w14:paraId="7D65854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9D1CF9E">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145</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086AF507">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70双耳锅</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41A0A0C3">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70双耳锅</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58454438">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个</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126A261B">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6838CA81">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86.68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6D1178EC">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86.68 </w:t>
            </w:r>
          </w:p>
        </w:tc>
      </w:tr>
      <w:tr w14:paraId="55AAB1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34F94404">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146</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73F6DA92">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80双耳锅</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5E367457">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80双耳锅</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1417FC70">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个</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466F1C70">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09E9C3FD">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108.35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8F21210">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108.35 </w:t>
            </w:r>
          </w:p>
        </w:tc>
      </w:tr>
      <w:tr w14:paraId="1B23143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38B96A48">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147</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4D8327D0">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16CM味缸</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339FAD05">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16CM味缸</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51CC97DD">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个</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0721B708">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30</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19A2EC7F">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6.41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72C01F1F">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192.20 </w:t>
            </w:r>
          </w:p>
        </w:tc>
      </w:tr>
      <w:tr w14:paraId="1D197EC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A664CAE">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148</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3ECE511F">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8寸厚边圆碗</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35708674">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8寸厚边圆碗</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1FD7F67B">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个</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4AFA8408">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100</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65CF743D">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17.90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C5DB63A">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1790.08 </w:t>
            </w:r>
          </w:p>
        </w:tc>
      </w:tr>
      <w:tr w14:paraId="0DDD2F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0DF52889">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149</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5FCB8605">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9寸高脚英碗</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4CC2E0FD">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9寸高脚英碗</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7958B1C3">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个</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70D3CAAF">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100</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02512234">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42.40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7A25B68D">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4239.66 </w:t>
            </w:r>
          </w:p>
        </w:tc>
      </w:tr>
      <w:tr w14:paraId="489CE7A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46CFEE33">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150</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4452B911">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8273保鲜盒</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0C3B2036">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8273保鲜盒</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3FDA2704">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个</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428CF4BC">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20</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461F4C7D">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35.80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7FBF0264">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716.03 </w:t>
            </w:r>
          </w:p>
        </w:tc>
      </w:tr>
      <w:tr w14:paraId="23E1DF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1A50E2C">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151</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23FBBDE9">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B8蓝色收碗盆AC*CAto0</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6A48DF63">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B8蓝色收碗盆</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7CA12889">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个</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5B9DBB4D">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4</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7A32C228">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70.66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6464E0EC">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282.64 </w:t>
            </w:r>
          </w:p>
        </w:tc>
      </w:tr>
      <w:tr w14:paraId="0E40C7A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44F7CDE">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152</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328275D7">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檀木筷子</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62E2FA12">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檀木筷子</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66B5E539">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个</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7FDB60B2">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100</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4C56B31B">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14.13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5A1B569E">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1413.22 </w:t>
            </w:r>
          </w:p>
        </w:tc>
      </w:tr>
      <w:tr w14:paraId="23895F1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4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47608994">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153</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6FCAF0A5">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5厚*45CM不锈钢油桶</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7782F534">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5厚*45CM不锈钢油桶</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4A85D4DC">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个</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667413AA">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8</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783532F3">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155.45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EBDA618">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1243.63 </w:t>
            </w:r>
          </w:p>
        </w:tc>
      </w:tr>
      <w:tr w14:paraId="081F36D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0" w:hRule="atLeast"/>
        </w:trPr>
        <w:tc>
          <w:tcPr>
            <w:tcW w:w="50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391207D0">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154</w:t>
            </w:r>
          </w:p>
        </w:tc>
        <w:tc>
          <w:tcPr>
            <w:tcW w:w="1097"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1D2CB120">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80L欧式保温桶304材质</w:t>
            </w:r>
          </w:p>
        </w:tc>
        <w:tc>
          <w:tcPr>
            <w:tcW w:w="40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70871C08">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80L欧式保温桶304材质</w:t>
            </w:r>
          </w:p>
        </w:tc>
        <w:tc>
          <w:tcPr>
            <w:tcW w:w="380"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03808E16">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个</w:t>
            </w:r>
          </w:p>
        </w:tc>
        <w:tc>
          <w:tcPr>
            <w:tcW w:w="65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8E7EAE9">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w:t>
            </w:r>
          </w:p>
        </w:tc>
        <w:tc>
          <w:tcPr>
            <w:tcW w:w="93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4A4E06B5">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423.97 </w:t>
            </w:r>
          </w:p>
        </w:tc>
        <w:tc>
          <w:tcPr>
            <w:tcW w:w="102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7FE851EE">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847.93 </w:t>
            </w:r>
          </w:p>
        </w:tc>
      </w:tr>
    </w:tbl>
    <w:p w14:paraId="22538FBD">
      <w:pPr>
        <w:keepNext w:val="0"/>
        <w:keepLines w:val="0"/>
        <w:pageBreakBefore w:val="0"/>
        <w:widowControl/>
        <w:kinsoku/>
        <w:wordWrap/>
        <w:overflowPunct/>
        <w:topLinePunct w:val="0"/>
        <w:autoSpaceDE/>
        <w:autoSpaceDN/>
        <w:bidi w:val="0"/>
        <w:adjustRightInd/>
        <w:snapToGrid/>
        <w:spacing w:after="0" w:line="360" w:lineRule="auto"/>
        <w:ind w:firstLine="426" w:firstLineChars="200"/>
        <w:jc w:val="left"/>
        <w:textAlignment w:val="auto"/>
        <w:rPr>
          <w:rFonts w:hint="eastAsia" w:asciiTheme="minorEastAsia" w:hAnsiTheme="minorEastAsia" w:eastAsiaTheme="minorEastAsia"/>
          <w:szCs w:val="21"/>
          <w:highlight w:val="none"/>
          <w:lang w:val="en-US" w:eastAsia="zh-CN"/>
        </w:rPr>
      </w:pPr>
      <w:r>
        <w:rPr>
          <w:rFonts w:hint="eastAsia" w:asciiTheme="minorEastAsia" w:hAnsiTheme="minorEastAsia" w:eastAsiaTheme="minorEastAsia"/>
          <w:szCs w:val="21"/>
          <w:highlight w:val="none"/>
          <w:lang w:val="en-US" w:eastAsia="zh-CN"/>
        </w:rPr>
        <w:t>四、殡仪服务中心厨房、备餐间建筑工程</w:t>
      </w:r>
    </w:p>
    <w:tbl>
      <w:tblPr>
        <w:tblStyle w:val="27"/>
        <w:tblW w:w="8727" w:type="dxa"/>
        <w:tblInd w:w="6"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500"/>
        <w:gridCol w:w="1103"/>
        <w:gridCol w:w="3448"/>
        <w:gridCol w:w="776"/>
        <w:gridCol w:w="845"/>
        <w:gridCol w:w="931"/>
        <w:gridCol w:w="1124"/>
      </w:tblGrid>
      <w:tr w14:paraId="5A6A14B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7" w:hRule="atLeast"/>
        </w:trPr>
        <w:tc>
          <w:tcPr>
            <w:tcW w:w="500" w:type="dxa"/>
            <w:vMerge w:val="restart"/>
            <w:tcBorders>
              <w:top w:val="single" w:color="000000" w:sz="4" w:space="0"/>
              <w:left w:val="single" w:color="000000" w:sz="4" w:space="0"/>
              <w:bottom w:val="single" w:color="000000" w:sz="4" w:space="0"/>
              <w:right w:val="single" w:color="000000" w:sz="4" w:space="0"/>
            </w:tcBorders>
            <w:shd w:val="clear" w:color="000000" w:fill="FFFFFF"/>
            <w:vAlign w:val="center"/>
          </w:tcPr>
          <w:p w14:paraId="0E64AEA4">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序号</w:t>
            </w:r>
          </w:p>
        </w:tc>
        <w:tc>
          <w:tcPr>
            <w:tcW w:w="1103" w:type="dxa"/>
            <w:vMerge w:val="restart"/>
            <w:tcBorders>
              <w:top w:val="single" w:color="000000" w:sz="4" w:space="0"/>
              <w:left w:val="single" w:color="000000" w:sz="4" w:space="0"/>
              <w:bottom w:val="single" w:color="000000" w:sz="4" w:space="0"/>
              <w:right w:val="single" w:color="000000" w:sz="4" w:space="0"/>
            </w:tcBorders>
            <w:shd w:val="clear" w:color="000000" w:fill="FFFFFF"/>
            <w:vAlign w:val="center"/>
          </w:tcPr>
          <w:p w14:paraId="71A476BC">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项目名称</w:t>
            </w:r>
          </w:p>
        </w:tc>
        <w:tc>
          <w:tcPr>
            <w:tcW w:w="3448" w:type="dxa"/>
            <w:vMerge w:val="restart"/>
            <w:tcBorders>
              <w:top w:val="single" w:color="000000" w:sz="4" w:space="0"/>
              <w:left w:val="single" w:color="000000" w:sz="4" w:space="0"/>
              <w:bottom w:val="single" w:color="000000" w:sz="4" w:space="0"/>
              <w:right w:val="single" w:color="000000" w:sz="4" w:space="0"/>
            </w:tcBorders>
            <w:shd w:val="clear" w:color="000000" w:fill="FFFFFF"/>
            <w:vAlign w:val="center"/>
          </w:tcPr>
          <w:p w14:paraId="412F0A9D">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规格型号材质</w:t>
            </w:r>
          </w:p>
        </w:tc>
        <w:tc>
          <w:tcPr>
            <w:tcW w:w="776" w:type="dxa"/>
            <w:vMerge w:val="restart"/>
            <w:tcBorders>
              <w:top w:val="single" w:color="000000" w:sz="4" w:space="0"/>
              <w:left w:val="single" w:color="000000" w:sz="4" w:space="0"/>
              <w:bottom w:val="single" w:color="000000" w:sz="4" w:space="0"/>
              <w:right w:val="single" w:color="000000" w:sz="4" w:space="0"/>
            </w:tcBorders>
            <w:shd w:val="clear" w:color="000000" w:fill="FFFFFF"/>
            <w:vAlign w:val="center"/>
          </w:tcPr>
          <w:p w14:paraId="5E276A77">
            <w:pPr>
              <w:keepNext w:val="0"/>
              <w:keepLines w:val="0"/>
              <w:widowControl/>
              <w:suppressLineNumbers w:val="0"/>
              <w:jc w:val="center"/>
              <w:textAlignment w:val="center"/>
              <w:rPr>
                <w:rFonts w:hint="eastAsia" w:ascii="宋体" w:hAnsi="宋体" w:eastAsia="宋体" w:cs="宋体"/>
                <w:b/>
                <w:bCs/>
                <w:i w:val="0"/>
                <w:iCs w:val="0"/>
                <w:color w:val="000000"/>
                <w:kern w:val="0"/>
                <w:sz w:val="22"/>
                <w:szCs w:val="22"/>
                <w:highlight w:val="none"/>
                <w:u w:val="none"/>
                <w:lang w:val="en-US" w:eastAsia="zh-CN" w:bidi="ar"/>
              </w:rPr>
            </w:pPr>
            <w:r>
              <w:rPr>
                <w:rFonts w:hint="eastAsia" w:ascii="宋体" w:hAnsi="宋体" w:eastAsia="宋体" w:cs="宋体"/>
                <w:b/>
                <w:bCs/>
                <w:i w:val="0"/>
                <w:iCs w:val="0"/>
                <w:color w:val="000000"/>
                <w:kern w:val="0"/>
                <w:sz w:val="22"/>
                <w:szCs w:val="22"/>
                <w:highlight w:val="none"/>
                <w:u w:val="none"/>
                <w:lang w:val="en-US" w:eastAsia="zh-CN" w:bidi="ar"/>
              </w:rPr>
              <w:t>计量</w:t>
            </w:r>
          </w:p>
          <w:p w14:paraId="5CFB968E">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单位</w:t>
            </w:r>
          </w:p>
        </w:tc>
        <w:tc>
          <w:tcPr>
            <w:tcW w:w="845" w:type="dxa"/>
            <w:vMerge w:val="restart"/>
            <w:tcBorders>
              <w:top w:val="single" w:color="000000" w:sz="4" w:space="0"/>
              <w:left w:val="single" w:color="000000" w:sz="4" w:space="0"/>
              <w:bottom w:val="single" w:color="000000" w:sz="4" w:space="0"/>
              <w:right w:val="single" w:color="000000" w:sz="4" w:space="0"/>
            </w:tcBorders>
            <w:shd w:val="clear" w:color="000000" w:fill="FFFFFF"/>
            <w:vAlign w:val="center"/>
          </w:tcPr>
          <w:p w14:paraId="7F61A051">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工程量</w:t>
            </w:r>
          </w:p>
        </w:tc>
        <w:tc>
          <w:tcPr>
            <w:tcW w:w="931" w:type="dxa"/>
            <w:vMerge w:val="restart"/>
            <w:tcBorders>
              <w:top w:val="single" w:color="000000" w:sz="4" w:space="0"/>
              <w:left w:val="single" w:color="000000" w:sz="4" w:space="0"/>
              <w:bottom w:val="single" w:color="000000" w:sz="4" w:space="0"/>
              <w:right w:val="single" w:color="000000" w:sz="4" w:space="0"/>
            </w:tcBorders>
            <w:shd w:val="clear" w:color="000000" w:fill="FFFFFF"/>
            <w:vAlign w:val="center"/>
          </w:tcPr>
          <w:p w14:paraId="36D656E5">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最高限价（单价）（元）</w:t>
            </w:r>
          </w:p>
        </w:tc>
        <w:tc>
          <w:tcPr>
            <w:tcW w:w="1124" w:type="dxa"/>
            <w:vMerge w:val="restart"/>
            <w:tcBorders>
              <w:top w:val="single" w:color="000000" w:sz="4" w:space="0"/>
              <w:left w:val="single" w:color="000000" w:sz="4" w:space="0"/>
              <w:bottom w:val="single" w:color="000000" w:sz="4" w:space="0"/>
              <w:right w:val="single" w:color="000000" w:sz="4" w:space="0"/>
            </w:tcBorders>
            <w:shd w:val="clear" w:color="000000" w:fill="FFFFFF"/>
            <w:vAlign w:val="center"/>
          </w:tcPr>
          <w:p w14:paraId="7AE32334">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金额（元）</w:t>
            </w:r>
          </w:p>
        </w:tc>
      </w:tr>
      <w:tr w14:paraId="73CB4D7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7" w:hRule="atLeast"/>
        </w:trPr>
        <w:tc>
          <w:tcPr>
            <w:tcW w:w="500" w:type="dxa"/>
            <w:vMerge w:val="continue"/>
            <w:tcBorders>
              <w:top w:val="single" w:color="000000" w:sz="4" w:space="0"/>
              <w:left w:val="single" w:color="000000" w:sz="4" w:space="0"/>
              <w:bottom w:val="single" w:color="000000" w:sz="4" w:space="0"/>
              <w:right w:val="single" w:color="000000" w:sz="4" w:space="0"/>
            </w:tcBorders>
            <w:shd w:val="clear" w:color="000000" w:fill="FFFFFF"/>
            <w:vAlign w:val="center"/>
          </w:tcPr>
          <w:p w14:paraId="2093187B">
            <w:pPr>
              <w:jc w:val="center"/>
              <w:rPr>
                <w:rFonts w:hint="eastAsia" w:ascii="宋体" w:hAnsi="宋体" w:eastAsia="宋体" w:cs="宋体"/>
                <w:b/>
                <w:bCs/>
                <w:i w:val="0"/>
                <w:iCs w:val="0"/>
                <w:color w:val="000000"/>
                <w:sz w:val="22"/>
                <w:szCs w:val="22"/>
                <w:highlight w:val="none"/>
                <w:u w:val="none"/>
              </w:rPr>
            </w:pPr>
          </w:p>
        </w:tc>
        <w:tc>
          <w:tcPr>
            <w:tcW w:w="1103" w:type="dxa"/>
            <w:vMerge w:val="continue"/>
            <w:tcBorders>
              <w:top w:val="single" w:color="000000" w:sz="4" w:space="0"/>
              <w:left w:val="single" w:color="000000" w:sz="4" w:space="0"/>
              <w:bottom w:val="single" w:color="000000" w:sz="4" w:space="0"/>
              <w:right w:val="single" w:color="000000" w:sz="4" w:space="0"/>
            </w:tcBorders>
            <w:shd w:val="clear" w:color="000000" w:fill="FFFFFF"/>
            <w:vAlign w:val="center"/>
          </w:tcPr>
          <w:p w14:paraId="71DBEB26">
            <w:pPr>
              <w:jc w:val="center"/>
              <w:rPr>
                <w:rFonts w:hint="eastAsia" w:ascii="宋体" w:hAnsi="宋体" w:eastAsia="宋体" w:cs="宋体"/>
                <w:b/>
                <w:bCs/>
                <w:i w:val="0"/>
                <w:iCs w:val="0"/>
                <w:color w:val="000000"/>
                <w:sz w:val="22"/>
                <w:szCs w:val="22"/>
                <w:highlight w:val="none"/>
                <w:u w:val="none"/>
              </w:rPr>
            </w:pPr>
          </w:p>
        </w:tc>
        <w:tc>
          <w:tcPr>
            <w:tcW w:w="3448" w:type="dxa"/>
            <w:vMerge w:val="continue"/>
            <w:tcBorders>
              <w:top w:val="single" w:color="000000" w:sz="4" w:space="0"/>
              <w:left w:val="single" w:color="000000" w:sz="4" w:space="0"/>
              <w:bottom w:val="single" w:color="000000" w:sz="4" w:space="0"/>
              <w:right w:val="single" w:color="000000" w:sz="4" w:space="0"/>
            </w:tcBorders>
            <w:shd w:val="clear" w:color="000000" w:fill="FFFFFF"/>
            <w:vAlign w:val="center"/>
          </w:tcPr>
          <w:p w14:paraId="00C68F30">
            <w:pPr>
              <w:jc w:val="center"/>
              <w:rPr>
                <w:rFonts w:hint="eastAsia" w:ascii="宋体" w:hAnsi="宋体" w:eastAsia="宋体" w:cs="宋体"/>
                <w:b/>
                <w:bCs/>
                <w:i w:val="0"/>
                <w:iCs w:val="0"/>
                <w:color w:val="000000"/>
                <w:sz w:val="22"/>
                <w:szCs w:val="22"/>
                <w:highlight w:val="none"/>
                <w:u w:val="none"/>
              </w:rPr>
            </w:pPr>
          </w:p>
        </w:tc>
        <w:tc>
          <w:tcPr>
            <w:tcW w:w="776" w:type="dxa"/>
            <w:vMerge w:val="continue"/>
            <w:tcBorders>
              <w:top w:val="single" w:color="000000" w:sz="4" w:space="0"/>
              <w:left w:val="single" w:color="000000" w:sz="4" w:space="0"/>
              <w:bottom w:val="single" w:color="000000" w:sz="4" w:space="0"/>
              <w:right w:val="single" w:color="000000" w:sz="4" w:space="0"/>
            </w:tcBorders>
            <w:shd w:val="clear" w:color="000000" w:fill="FFFFFF"/>
            <w:vAlign w:val="center"/>
          </w:tcPr>
          <w:p w14:paraId="17C3CEED">
            <w:pPr>
              <w:jc w:val="center"/>
              <w:rPr>
                <w:rFonts w:hint="eastAsia" w:ascii="宋体" w:hAnsi="宋体" w:eastAsia="宋体" w:cs="宋体"/>
                <w:b/>
                <w:bCs/>
                <w:i w:val="0"/>
                <w:iCs w:val="0"/>
                <w:color w:val="000000"/>
                <w:sz w:val="22"/>
                <w:szCs w:val="22"/>
                <w:highlight w:val="none"/>
                <w:u w:val="none"/>
              </w:rPr>
            </w:pPr>
          </w:p>
        </w:tc>
        <w:tc>
          <w:tcPr>
            <w:tcW w:w="845" w:type="dxa"/>
            <w:vMerge w:val="continue"/>
            <w:tcBorders>
              <w:top w:val="single" w:color="000000" w:sz="4" w:space="0"/>
              <w:left w:val="single" w:color="000000" w:sz="4" w:space="0"/>
              <w:bottom w:val="single" w:color="000000" w:sz="4" w:space="0"/>
              <w:right w:val="single" w:color="000000" w:sz="4" w:space="0"/>
            </w:tcBorders>
            <w:shd w:val="clear" w:color="000000" w:fill="FFFFFF"/>
            <w:vAlign w:val="center"/>
          </w:tcPr>
          <w:p w14:paraId="272BAE9F">
            <w:pPr>
              <w:jc w:val="center"/>
              <w:rPr>
                <w:rFonts w:hint="eastAsia" w:ascii="宋体" w:hAnsi="宋体" w:eastAsia="宋体" w:cs="宋体"/>
                <w:b/>
                <w:bCs/>
                <w:i w:val="0"/>
                <w:iCs w:val="0"/>
                <w:color w:val="000000"/>
                <w:sz w:val="22"/>
                <w:szCs w:val="22"/>
                <w:highlight w:val="none"/>
                <w:u w:val="none"/>
              </w:rPr>
            </w:pPr>
          </w:p>
        </w:tc>
        <w:tc>
          <w:tcPr>
            <w:tcW w:w="931" w:type="dxa"/>
            <w:vMerge w:val="continue"/>
            <w:tcBorders>
              <w:top w:val="single" w:color="000000" w:sz="4" w:space="0"/>
              <w:left w:val="single" w:color="000000" w:sz="4" w:space="0"/>
              <w:bottom w:val="single" w:color="000000" w:sz="4" w:space="0"/>
              <w:right w:val="single" w:color="000000" w:sz="4" w:space="0"/>
            </w:tcBorders>
            <w:shd w:val="clear" w:color="000000" w:fill="FFFFFF"/>
            <w:vAlign w:val="center"/>
          </w:tcPr>
          <w:p w14:paraId="7233C9DC">
            <w:pPr>
              <w:jc w:val="center"/>
              <w:rPr>
                <w:rFonts w:hint="eastAsia" w:ascii="宋体" w:hAnsi="宋体" w:eastAsia="宋体" w:cs="宋体"/>
                <w:b/>
                <w:bCs/>
                <w:i w:val="0"/>
                <w:iCs w:val="0"/>
                <w:color w:val="000000"/>
                <w:sz w:val="22"/>
                <w:szCs w:val="22"/>
                <w:highlight w:val="none"/>
                <w:u w:val="none"/>
              </w:rPr>
            </w:pPr>
          </w:p>
        </w:tc>
        <w:tc>
          <w:tcPr>
            <w:tcW w:w="1124" w:type="dxa"/>
            <w:vMerge w:val="continue"/>
            <w:tcBorders>
              <w:top w:val="single" w:color="000000" w:sz="4" w:space="0"/>
              <w:left w:val="single" w:color="000000" w:sz="4" w:space="0"/>
              <w:bottom w:val="single" w:color="000000" w:sz="4" w:space="0"/>
              <w:right w:val="single" w:color="000000" w:sz="4" w:space="0"/>
            </w:tcBorders>
            <w:shd w:val="clear" w:color="000000" w:fill="FFFFFF"/>
            <w:vAlign w:val="center"/>
          </w:tcPr>
          <w:p w14:paraId="6B6248A1">
            <w:pPr>
              <w:jc w:val="center"/>
              <w:rPr>
                <w:rFonts w:hint="eastAsia" w:ascii="宋体" w:hAnsi="宋体" w:eastAsia="宋体" w:cs="宋体"/>
                <w:b/>
                <w:bCs/>
                <w:i w:val="0"/>
                <w:iCs w:val="0"/>
                <w:color w:val="000000"/>
                <w:sz w:val="22"/>
                <w:szCs w:val="22"/>
                <w:highlight w:val="none"/>
                <w:u w:val="none"/>
              </w:rPr>
            </w:pPr>
          </w:p>
        </w:tc>
      </w:tr>
      <w:tr w14:paraId="6691794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7" w:hRule="atLeast"/>
        </w:trPr>
        <w:tc>
          <w:tcPr>
            <w:tcW w:w="500"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199936C">
            <w:pPr>
              <w:jc w:val="center"/>
              <w:rPr>
                <w:rFonts w:hint="eastAsia" w:ascii="宋体" w:hAnsi="宋体" w:eastAsia="宋体" w:cs="宋体"/>
                <w:b/>
                <w:bCs/>
                <w:i w:val="0"/>
                <w:iCs w:val="0"/>
                <w:color w:val="000000"/>
                <w:sz w:val="18"/>
                <w:szCs w:val="18"/>
                <w:highlight w:val="none"/>
                <w:u w:val="none"/>
              </w:rPr>
            </w:pPr>
          </w:p>
        </w:tc>
        <w:tc>
          <w:tcPr>
            <w:tcW w:w="110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3123A261">
            <w:pPr>
              <w:keepNext w:val="0"/>
              <w:keepLines w:val="0"/>
              <w:widowControl/>
              <w:suppressLineNumbers w:val="0"/>
              <w:jc w:val="left"/>
              <w:textAlignment w:val="center"/>
              <w:rPr>
                <w:rFonts w:hint="eastAsia" w:ascii="宋体" w:hAnsi="宋体" w:eastAsia="宋体" w:cs="宋体"/>
                <w:b/>
                <w:bCs/>
                <w:i w:val="0"/>
                <w:iCs w:val="0"/>
                <w:color w:val="000000"/>
                <w:sz w:val="18"/>
                <w:szCs w:val="18"/>
                <w:highlight w:val="none"/>
                <w:u w:val="none"/>
              </w:rPr>
            </w:pPr>
            <w:r>
              <w:rPr>
                <w:rFonts w:hint="eastAsia" w:ascii="宋体" w:hAnsi="宋体" w:eastAsia="宋体" w:cs="宋体"/>
                <w:b/>
                <w:bCs/>
                <w:i w:val="0"/>
                <w:iCs w:val="0"/>
                <w:color w:val="000000"/>
                <w:kern w:val="0"/>
                <w:sz w:val="18"/>
                <w:szCs w:val="18"/>
                <w:highlight w:val="none"/>
                <w:u w:val="none"/>
                <w:lang w:val="en-US" w:eastAsia="zh-CN" w:bidi="ar"/>
              </w:rPr>
              <w:t>拆除工程</w:t>
            </w:r>
          </w:p>
        </w:tc>
        <w:tc>
          <w:tcPr>
            <w:tcW w:w="3448"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2D8C402B">
            <w:pPr>
              <w:jc w:val="left"/>
              <w:rPr>
                <w:rFonts w:hint="eastAsia" w:ascii="宋体" w:hAnsi="宋体" w:eastAsia="宋体" w:cs="宋体"/>
                <w:b/>
                <w:bCs/>
                <w:i w:val="0"/>
                <w:iCs w:val="0"/>
                <w:color w:val="000000"/>
                <w:sz w:val="18"/>
                <w:szCs w:val="18"/>
                <w:highlight w:val="none"/>
                <w:u w:val="none"/>
              </w:rPr>
            </w:pPr>
          </w:p>
        </w:tc>
        <w:tc>
          <w:tcPr>
            <w:tcW w:w="776"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2A10C378">
            <w:pPr>
              <w:jc w:val="center"/>
              <w:rPr>
                <w:rFonts w:hint="eastAsia" w:ascii="宋体" w:hAnsi="宋体" w:eastAsia="宋体" w:cs="宋体"/>
                <w:b/>
                <w:bCs/>
                <w:i w:val="0"/>
                <w:iCs w:val="0"/>
                <w:color w:val="000000"/>
                <w:sz w:val="18"/>
                <w:szCs w:val="18"/>
                <w:highlight w:val="none"/>
                <w:u w:val="none"/>
              </w:rPr>
            </w:pPr>
          </w:p>
        </w:tc>
        <w:tc>
          <w:tcPr>
            <w:tcW w:w="84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02A2303">
            <w:pPr>
              <w:keepNext w:val="0"/>
              <w:keepLines w:val="0"/>
              <w:widowControl/>
              <w:suppressLineNumbers w:val="0"/>
              <w:jc w:val="center"/>
              <w:textAlignment w:val="center"/>
              <w:rPr>
                <w:rFonts w:hint="eastAsia" w:ascii="宋体" w:hAnsi="宋体" w:eastAsia="宋体" w:cs="宋体"/>
                <w:b/>
                <w:bCs/>
                <w:i w:val="0"/>
                <w:iCs w:val="0"/>
                <w:color w:val="000000"/>
                <w:sz w:val="18"/>
                <w:szCs w:val="18"/>
                <w:highlight w:val="none"/>
                <w:u w:val="none"/>
              </w:rPr>
            </w:pPr>
          </w:p>
        </w:tc>
        <w:tc>
          <w:tcPr>
            <w:tcW w:w="93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2C0F395">
            <w:pPr>
              <w:keepNext w:val="0"/>
              <w:keepLines w:val="0"/>
              <w:widowControl/>
              <w:suppressLineNumbers w:val="0"/>
              <w:jc w:val="right"/>
              <w:textAlignment w:val="center"/>
              <w:rPr>
                <w:rFonts w:hint="eastAsia" w:ascii="宋体" w:hAnsi="宋体" w:eastAsia="宋体" w:cs="宋体"/>
                <w:b/>
                <w:bCs/>
                <w:i w:val="0"/>
                <w:iCs w:val="0"/>
                <w:color w:val="000000"/>
                <w:sz w:val="18"/>
                <w:szCs w:val="18"/>
                <w:highlight w:val="none"/>
                <w:u w:val="none"/>
              </w:rPr>
            </w:pPr>
            <w:r>
              <w:rPr>
                <w:rFonts w:hint="eastAsia" w:ascii="宋体" w:hAnsi="宋体" w:eastAsia="宋体" w:cs="宋体"/>
                <w:b/>
                <w:bCs/>
                <w:i w:val="0"/>
                <w:iCs w:val="0"/>
                <w:color w:val="000000"/>
                <w:kern w:val="0"/>
                <w:sz w:val="18"/>
                <w:szCs w:val="18"/>
                <w:highlight w:val="none"/>
                <w:u w:val="none"/>
                <w:lang w:val="en-US" w:eastAsia="zh-CN" w:bidi="ar"/>
              </w:rPr>
              <w:t xml:space="preserve"> </w:t>
            </w:r>
          </w:p>
        </w:tc>
        <w:tc>
          <w:tcPr>
            <w:tcW w:w="1124"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3D987E27">
            <w:pPr>
              <w:keepNext w:val="0"/>
              <w:keepLines w:val="0"/>
              <w:widowControl/>
              <w:suppressLineNumbers w:val="0"/>
              <w:jc w:val="right"/>
              <w:textAlignment w:val="center"/>
              <w:rPr>
                <w:rFonts w:hint="eastAsia" w:ascii="宋体" w:hAnsi="宋体" w:eastAsia="宋体" w:cs="宋体"/>
                <w:b/>
                <w:bCs/>
                <w:i w:val="0"/>
                <w:iCs w:val="0"/>
                <w:color w:val="000000"/>
                <w:sz w:val="18"/>
                <w:szCs w:val="18"/>
                <w:highlight w:val="none"/>
                <w:u w:val="none"/>
              </w:rPr>
            </w:pPr>
            <w:r>
              <w:rPr>
                <w:rFonts w:hint="eastAsia" w:ascii="宋体" w:hAnsi="宋体" w:eastAsia="宋体" w:cs="宋体"/>
                <w:b/>
                <w:bCs/>
                <w:i w:val="0"/>
                <w:iCs w:val="0"/>
                <w:color w:val="000000"/>
                <w:kern w:val="0"/>
                <w:sz w:val="18"/>
                <w:szCs w:val="18"/>
                <w:highlight w:val="none"/>
                <w:u w:val="none"/>
                <w:lang w:val="en-US" w:eastAsia="zh-CN" w:bidi="ar"/>
              </w:rPr>
              <w:t xml:space="preserve"> </w:t>
            </w:r>
          </w:p>
        </w:tc>
      </w:tr>
      <w:tr w14:paraId="44F527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39" w:hRule="atLeast"/>
        </w:trPr>
        <w:tc>
          <w:tcPr>
            <w:tcW w:w="500"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7AEB1FC">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110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6558F5B4">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拆除地面瓷砖</w:t>
            </w:r>
          </w:p>
        </w:tc>
        <w:tc>
          <w:tcPr>
            <w:tcW w:w="3448"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6020283D">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1.拆除地面瓷砖，拆除建渣外运5km</w:t>
            </w:r>
          </w:p>
        </w:tc>
        <w:tc>
          <w:tcPr>
            <w:tcW w:w="776"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6AB3B31D">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m2</w:t>
            </w:r>
          </w:p>
        </w:tc>
        <w:tc>
          <w:tcPr>
            <w:tcW w:w="84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DBEFBA8">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325.17</w:t>
            </w:r>
          </w:p>
        </w:tc>
        <w:tc>
          <w:tcPr>
            <w:tcW w:w="93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5A21EC1">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22.21</w:t>
            </w:r>
          </w:p>
        </w:tc>
        <w:tc>
          <w:tcPr>
            <w:tcW w:w="1124"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411318A8">
            <w:pPr>
              <w:keepNext w:val="0"/>
              <w:keepLines w:val="0"/>
              <w:widowControl/>
              <w:suppressLineNumbers w:val="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7220.85 </w:t>
            </w:r>
          </w:p>
        </w:tc>
      </w:tr>
      <w:tr w14:paraId="376C77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7" w:hRule="atLeast"/>
        </w:trPr>
        <w:tc>
          <w:tcPr>
            <w:tcW w:w="500"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3757248">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w:t>
            </w:r>
          </w:p>
        </w:tc>
        <w:tc>
          <w:tcPr>
            <w:tcW w:w="110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62DD2162">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保护拆除天棚铝扣板</w:t>
            </w:r>
          </w:p>
        </w:tc>
        <w:tc>
          <w:tcPr>
            <w:tcW w:w="3448"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4D4EC1EC">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1.保护拆除天棚铝扣板</w:t>
            </w:r>
          </w:p>
        </w:tc>
        <w:tc>
          <w:tcPr>
            <w:tcW w:w="776"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22A69613">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m2</w:t>
            </w:r>
          </w:p>
        </w:tc>
        <w:tc>
          <w:tcPr>
            <w:tcW w:w="84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05D90C95">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206.10</w:t>
            </w:r>
          </w:p>
        </w:tc>
        <w:tc>
          <w:tcPr>
            <w:tcW w:w="93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67914B1B">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24.24</w:t>
            </w:r>
          </w:p>
        </w:tc>
        <w:tc>
          <w:tcPr>
            <w:tcW w:w="1124"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1A8183C">
            <w:pPr>
              <w:keepNext w:val="0"/>
              <w:keepLines w:val="0"/>
              <w:widowControl/>
              <w:suppressLineNumbers w:val="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4996.16 </w:t>
            </w:r>
          </w:p>
        </w:tc>
      </w:tr>
      <w:tr w14:paraId="059AB1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87" w:hRule="atLeast"/>
        </w:trPr>
        <w:tc>
          <w:tcPr>
            <w:tcW w:w="500"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71C0EAF">
            <w:pPr>
              <w:jc w:val="center"/>
              <w:rPr>
                <w:rFonts w:hint="eastAsia" w:ascii="宋体" w:hAnsi="宋体" w:eastAsia="宋体" w:cs="宋体"/>
                <w:b/>
                <w:bCs/>
                <w:i w:val="0"/>
                <w:iCs w:val="0"/>
                <w:color w:val="000000"/>
                <w:sz w:val="18"/>
                <w:szCs w:val="18"/>
                <w:highlight w:val="none"/>
                <w:u w:val="none"/>
              </w:rPr>
            </w:pPr>
          </w:p>
        </w:tc>
        <w:tc>
          <w:tcPr>
            <w:tcW w:w="110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0D334AE2">
            <w:pPr>
              <w:keepNext w:val="0"/>
              <w:keepLines w:val="0"/>
              <w:widowControl/>
              <w:suppressLineNumbers w:val="0"/>
              <w:jc w:val="left"/>
              <w:textAlignment w:val="center"/>
              <w:rPr>
                <w:rFonts w:hint="eastAsia" w:ascii="宋体" w:hAnsi="宋体" w:eastAsia="宋体" w:cs="宋体"/>
                <w:b/>
                <w:bCs/>
                <w:i w:val="0"/>
                <w:iCs w:val="0"/>
                <w:color w:val="000000"/>
                <w:sz w:val="18"/>
                <w:szCs w:val="18"/>
                <w:highlight w:val="none"/>
                <w:u w:val="none"/>
              </w:rPr>
            </w:pPr>
            <w:r>
              <w:rPr>
                <w:rFonts w:hint="eastAsia" w:ascii="宋体" w:hAnsi="宋体" w:eastAsia="宋体" w:cs="宋体"/>
                <w:b/>
                <w:bCs/>
                <w:i w:val="0"/>
                <w:iCs w:val="0"/>
                <w:color w:val="000000"/>
                <w:kern w:val="0"/>
                <w:sz w:val="18"/>
                <w:szCs w:val="18"/>
                <w:highlight w:val="none"/>
                <w:u w:val="none"/>
                <w:lang w:val="en-US" w:eastAsia="zh-CN" w:bidi="ar"/>
              </w:rPr>
              <w:t>新建ALC隔墙</w:t>
            </w:r>
          </w:p>
        </w:tc>
        <w:tc>
          <w:tcPr>
            <w:tcW w:w="3448"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3CC57027">
            <w:pPr>
              <w:jc w:val="left"/>
              <w:rPr>
                <w:rFonts w:hint="eastAsia" w:ascii="宋体" w:hAnsi="宋体" w:eastAsia="宋体" w:cs="宋体"/>
                <w:b/>
                <w:bCs/>
                <w:i w:val="0"/>
                <w:iCs w:val="0"/>
                <w:color w:val="000000"/>
                <w:sz w:val="18"/>
                <w:szCs w:val="18"/>
                <w:highlight w:val="none"/>
                <w:u w:val="none"/>
              </w:rPr>
            </w:pPr>
          </w:p>
        </w:tc>
        <w:tc>
          <w:tcPr>
            <w:tcW w:w="776"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484BEB30">
            <w:pPr>
              <w:jc w:val="center"/>
              <w:rPr>
                <w:rFonts w:hint="eastAsia" w:ascii="宋体" w:hAnsi="宋体" w:eastAsia="宋体" w:cs="宋体"/>
                <w:b/>
                <w:bCs/>
                <w:i w:val="0"/>
                <w:iCs w:val="0"/>
                <w:color w:val="000000"/>
                <w:sz w:val="18"/>
                <w:szCs w:val="18"/>
                <w:highlight w:val="none"/>
                <w:u w:val="none"/>
              </w:rPr>
            </w:pPr>
          </w:p>
        </w:tc>
        <w:tc>
          <w:tcPr>
            <w:tcW w:w="84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3521542B">
            <w:pPr>
              <w:keepNext w:val="0"/>
              <w:keepLines w:val="0"/>
              <w:widowControl/>
              <w:suppressLineNumbers w:val="0"/>
              <w:jc w:val="center"/>
              <w:textAlignment w:val="center"/>
              <w:rPr>
                <w:rFonts w:hint="eastAsia" w:ascii="宋体" w:hAnsi="宋体" w:eastAsia="宋体" w:cs="宋体"/>
                <w:b/>
                <w:bCs/>
                <w:i w:val="0"/>
                <w:iCs w:val="0"/>
                <w:color w:val="000000"/>
                <w:sz w:val="18"/>
                <w:szCs w:val="18"/>
                <w:highlight w:val="none"/>
                <w:u w:val="none"/>
              </w:rPr>
            </w:pPr>
          </w:p>
        </w:tc>
        <w:tc>
          <w:tcPr>
            <w:tcW w:w="93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5BC342D">
            <w:pPr>
              <w:jc w:val="center"/>
              <w:rPr>
                <w:rFonts w:hint="eastAsia" w:ascii="宋体" w:hAnsi="宋体" w:eastAsia="宋体" w:cs="宋体"/>
                <w:i w:val="0"/>
                <w:iCs w:val="0"/>
                <w:color w:val="000000"/>
                <w:sz w:val="18"/>
                <w:szCs w:val="18"/>
                <w:highlight w:val="none"/>
                <w:u w:val="none"/>
              </w:rPr>
            </w:pPr>
          </w:p>
        </w:tc>
        <w:tc>
          <w:tcPr>
            <w:tcW w:w="1124"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08F0E6B5">
            <w:pPr>
              <w:keepNext w:val="0"/>
              <w:keepLines w:val="0"/>
              <w:widowControl/>
              <w:suppressLineNumbers w:val="0"/>
              <w:jc w:val="right"/>
              <w:textAlignment w:val="center"/>
              <w:rPr>
                <w:rFonts w:hint="eastAsia" w:ascii="宋体" w:hAnsi="宋体" w:eastAsia="宋体" w:cs="宋体"/>
                <w:b/>
                <w:bCs/>
                <w:i w:val="0"/>
                <w:iCs w:val="0"/>
                <w:color w:val="000000"/>
                <w:sz w:val="18"/>
                <w:szCs w:val="18"/>
                <w:highlight w:val="none"/>
                <w:u w:val="none"/>
              </w:rPr>
            </w:pPr>
            <w:r>
              <w:rPr>
                <w:rFonts w:hint="eastAsia" w:ascii="宋体" w:hAnsi="宋体" w:eastAsia="宋体" w:cs="宋体"/>
                <w:b/>
                <w:bCs/>
                <w:i w:val="0"/>
                <w:iCs w:val="0"/>
                <w:color w:val="000000"/>
                <w:kern w:val="0"/>
                <w:sz w:val="18"/>
                <w:szCs w:val="18"/>
                <w:highlight w:val="none"/>
                <w:u w:val="none"/>
                <w:lang w:val="en-US" w:eastAsia="zh-CN" w:bidi="ar"/>
              </w:rPr>
              <w:t xml:space="preserve"> </w:t>
            </w:r>
          </w:p>
        </w:tc>
      </w:tr>
      <w:tr w14:paraId="7BB7841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7" w:hRule="atLeast"/>
        </w:trPr>
        <w:tc>
          <w:tcPr>
            <w:tcW w:w="500"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B4A41E4">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3</w:t>
            </w:r>
          </w:p>
        </w:tc>
        <w:tc>
          <w:tcPr>
            <w:tcW w:w="110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42254EB6">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新建ALC隔墙</w:t>
            </w:r>
          </w:p>
        </w:tc>
        <w:tc>
          <w:tcPr>
            <w:tcW w:w="3448"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3EC8C9A9">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1.新建ALC隔墙，厚度200mm</w:t>
            </w:r>
          </w:p>
        </w:tc>
        <w:tc>
          <w:tcPr>
            <w:tcW w:w="776"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0E2D5634">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m3</w:t>
            </w:r>
          </w:p>
        </w:tc>
        <w:tc>
          <w:tcPr>
            <w:tcW w:w="84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03A4962">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19.25</w:t>
            </w:r>
          </w:p>
        </w:tc>
        <w:tc>
          <w:tcPr>
            <w:tcW w:w="93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368CF0F9">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717.24</w:t>
            </w:r>
          </w:p>
        </w:tc>
        <w:tc>
          <w:tcPr>
            <w:tcW w:w="1124"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64685E8E">
            <w:pPr>
              <w:keepNext w:val="0"/>
              <w:keepLines w:val="0"/>
              <w:widowControl/>
              <w:suppressLineNumbers w:val="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13806.82 </w:t>
            </w:r>
          </w:p>
        </w:tc>
      </w:tr>
    </w:tbl>
    <w:p w14:paraId="6EE07C9F">
      <w:pPr>
        <w:keepNext w:val="0"/>
        <w:keepLines w:val="0"/>
        <w:pageBreakBefore w:val="0"/>
        <w:widowControl/>
        <w:kinsoku/>
        <w:wordWrap/>
        <w:overflowPunct/>
        <w:topLinePunct w:val="0"/>
        <w:autoSpaceDE/>
        <w:autoSpaceDN/>
        <w:bidi w:val="0"/>
        <w:adjustRightInd/>
        <w:snapToGrid/>
        <w:spacing w:after="0" w:line="360" w:lineRule="auto"/>
        <w:jc w:val="left"/>
        <w:textAlignment w:val="auto"/>
        <w:rPr>
          <w:rFonts w:hint="eastAsia" w:asciiTheme="minorEastAsia" w:hAnsiTheme="minorEastAsia" w:eastAsiaTheme="minorEastAsia"/>
          <w:szCs w:val="21"/>
          <w:highlight w:val="none"/>
          <w:lang w:val="en-US" w:eastAsia="zh-CN"/>
        </w:rPr>
      </w:pPr>
    </w:p>
    <w:p w14:paraId="67A2475B">
      <w:pPr>
        <w:keepNext w:val="0"/>
        <w:keepLines w:val="0"/>
        <w:pageBreakBefore w:val="0"/>
        <w:widowControl/>
        <w:kinsoku/>
        <w:wordWrap/>
        <w:overflowPunct/>
        <w:topLinePunct w:val="0"/>
        <w:autoSpaceDE/>
        <w:autoSpaceDN/>
        <w:bidi w:val="0"/>
        <w:adjustRightInd/>
        <w:snapToGrid/>
        <w:spacing w:after="0" w:line="360" w:lineRule="auto"/>
        <w:ind w:firstLine="426" w:firstLineChars="200"/>
        <w:jc w:val="left"/>
        <w:textAlignment w:val="auto"/>
        <w:rPr>
          <w:rFonts w:hint="eastAsia" w:asciiTheme="minorEastAsia" w:hAnsiTheme="minorEastAsia" w:eastAsiaTheme="minorEastAsia"/>
          <w:szCs w:val="21"/>
          <w:highlight w:val="none"/>
          <w:lang w:val="en-US" w:eastAsia="zh-CN"/>
        </w:rPr>
      </w:pPr>
      <w:r>
        <w:rPr>
          <w:rFonts w:hint="eastAsia" w:asciiTheme="minorEastAsia" w:hAnsiTheme="minorEastAsia" w:eastAsiaTheme="minorEastAsia"/>
          <w:szCs w:val="21"/>
          <w:highlight w:val="none"/>
          <w:lang w:val="en-US" w:eastAsia="zh-CN"/>
        </w:rPr>
        <w:t>五、殡仪服务中心厨房、备餐间装饰工程</w:t>
      </w:r>
    </w:p>
    <w:tbl>
      <w:tblPr>
        <w:tblStyle w:val="27"/>
        <w:tblW w:w="8820" w:type="dxa"/>
        <w:tblInd w:w="-12"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518"/>
        <w:gridCol w:w="1362"/>
        <w:gridCol w:w="3022"/>
        <w:gridCol w:w="823"/>
        <w:gridCol w:w="948"/>
        <w:gridCol w:w="931"/>
        <w:gridCol w:w="1216"/>
      </w:tblGrid>
      <w:tr w14:paraId="18EB148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7" w:hRule="atLeast"/>
        </w:trPr>
        <w:tc>
          <w:tcPr>
            <w:tcW w:w="518" w:type="dxa"/>
            <w:vMerge w:val="restart"/>
            <w:tcBorders>
              <w:top w:val="single" w:color="000000" w:sz="4" w:space="0"/>
              <w:left w:val="single" w:color="000000" w:sz="4" w:space="0"/>
              <w:bottom w:val="single" w:color="000000" w:sz="4" w:space="0"/>
              <w:right w:val="single" w:color="000000" w:sz="4" w:space="0"/>
            </w:tcBorders>
            <w:shd w:val="clear" w:color="000000" w:fill="FFFFFF"/>
            <w:vAlign w:val="center"/>
          </w:tcPr>
          <w:p w14:paraId="1CBD01A3">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序号</w:t>
            </w:r>
          </w:p>
        </w:tc>
        <w:tc>
          <w:tcPr>
            <w:tcW w:w="1362" w:type="dxa"/>
            <w:vMerge w:val="restart"/>
            <w:tcBorders>
              <w:top w:val="single" w:color="000000" w:sz="4" w:space="0"/>
              <w:left w:val="single" w:color="000000" w:sz="4" w:space="0"/>
              <w:bottom w:val="single" w:color="000000" w:sz="4" w:space="0"/>
              <w:right w:val="single" w:color="000000" w:sz="4" w:space="0"/>
            </w:tcBorders>
            <w:shd w:val="clear" w:color="000000" w:fill="FFFFFF"/>
            <w:vAlign w:val="center"/>
          </w:tcPr>
          <w:p w14:paraId="1B218823">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项目名称</w:t>
            </w:r>
          </w:p>
        </w:tc>
        <w:tc>
          <w:tcPr>
            <w:tcW w:w="3022" w:type="dxa"/>
            <w:vMerge w:val="restart"/>
            <w:tcBorders>
              <w:top w:val="single" w:color="000000" w:sz="4" w:space="0"/>
              <w:left w:val="single" w:color="000000" w:sz="4" w:space="0"/>
              <w:bottom w:val="single" w:color="000000" w:sz="4" w:space="0"/>
              <w:right w:val="single" w:color="000000" w:sz="4" w:space="0"/>
            </w:tcBorders>
            <w:shd w:val="clear" w:color="000000" w:fill="FFFFFF"/>
            <w:vAlign w:val="center"/>
          </w:tcPr>
          <w:p w14:paraId="51918EAF">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规格型号材质</w:t>
            </w:r>
          </w:p>
        </w:tc>
        <w:tc>
          <w:tcPr>
            <w:tcW w:w="823" w:type="dxa"/>
            <w:vMerge w:val="restart"/>
            <w:tcBorders>
              <w:top w:val="single" w:color="000000" w:sz="4" w:space="0"/>
              <w:left w:val="single" w:color="000000" w:sz="4" w:space="0"/>
              <w:bottom w:val="single" w:color="000000" w:sz="4" w:space="0"/>
              <w:right w:val="single" w:color="000000" w:sz="4" w:space="0"/>
            </w:tcBorders>
            <w:shd w:val="clear" w:color="000000" w:fill="FFFFFF"/>
            <w:vAlign w:val="center"/>
          </w:tcPr>
          <w:p w14:paraId="490ED3CB">
            <w:pPr>
              <w:keepNext w:val="0"/>
              <w:keepLines w:val="0"/>
              <w:widowControl/>
              <w:suppressLineNumbers w:val="0"/>
              <w:jc w:val="center"/>
              <w:textAlignment w:val="center"/>
              <w:rPr>
                <w:rFonts w:hint="eastAsia" w:ascii="宋体" w:hAnsi="宋体" w:eastAsia="宋体" w:cs="宋体"/>
                <w:b/>
                <w:bCs/>
                <w:i w:val="0"/>
                <w:iCs w:val="0"/>
                <w:color w:val="000000"/>
                <w:kern w:val="0"/>
                <w:sz w:val="22"/>
                <w:szCs w:val="22"/>
                <w:highlight w:val="none"/>
                <w:u w:val="none"/>
                <w:lang w:val="en-US" w:eastAsia="zh-CN" w:bidi="ar"/>
              </w:rPr>
            </w:pPr>
            <w:r>
              <w:rPr>
                <w:rFonts w:hint="eastAsia" w:ascii="宋体" w:hAnsi="宋体" w:eastAsia="宋体" w:cs="宋体"/>
                <w:b/>
                <w:bCs/>
                <w:i w:val="0"/>
                <w:iCs w:val="0"/>
                <w:color w:val="000000"/>
                <w:kern w:val="0"/>
                <w:sz w:val="22"/>
                <w:szCs w:val="22"/>
                <w:highlight w:val="none"/>
                <w:u w:val="none"/>
                <w:lang w:val="en-US" w:eastAsia="zh-CN" w:bidi="ar"/>
              </w:rPr>
              <w:t>计量</w:t>
            </w:r>
          </w:p>
          <w:p w14:paraId="3798052B">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单位</w:t>
            </w:r>
          </w:p>
        </w:tc>
        <w:tc>
          <w:tcPr>
            <w:tcW w:w="948" w:type="dxa"/>
            <w:vMerge w:val="restart"/>
            <w:tcBorders>
              <w:top w:val="single" w:color="000000" w:sz="4" w:space="0"/>
              <w:left w:val="single" w:color="000000" w:sz="4" w:space="0"/>
              <w:bottom w:val="single" w:color="000000" w:sz="4" w:space="0"/>
              <w:right w:val="single" w:color="000000" w:sz="4" w:space="0"/>
            </w:tcBorders>
            <w:shd w:val="clear" w:color="000000" w:fill="FFFFFF"/>
            <w:vAlign w:val="center"/>
          </w:tcPr>
          <w:p w14:paraId="3BCE8F00">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工程量</w:t>
            </w:r>
          </w:p>
        </w:tc>
        <w:tc>
          <w:tcPr>
            <w:tcW w:w="931" w:type="dxa"/>
            <w:vMerge w:val="restart"/>
            <w:tcBorders>
              <w:top w:val="single" w:color="000000" w:sz="4" w:space="0"/>
              <w:left w:val="single" w:color="000000" w:sz="4" w:space="0"/>
              <w:bottom w:val="single" w:color="000000" w:sz="4" w:space="0"/>
              <w:right w:val="single" w:color="000000" w:sz="4" w:space="0"/>
            </w:tcBorders>
            <w:shd w:val="clear" w:color="000000" w:fill="FFFFFF"/>
            <w:vAlign w:val="center"/>
          </w:tcPr>
          <w:p w14:paraId="10FA9755">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最高限价（单价）（元）</w:t>
            </w:r>
          </w:p>
        </w:tc>
        <w:tc>
          <w:tcPr>
            <w:tcW w:w="1216" w:type="dxa"/>
            <w:vMerge w:val="restart"/>
            <w:tcBorders>
              <w:top w:val="single" w:color="000000" w:sz="4" w:space="0"/>
              <w:left w:val="single" w:color="000000" w:sz="4" w:space="0"/>
              <w:bottom w:val="single" w:color="000000" w:sz="4" w:space="0"/>
              <w:right w:val="single" w:color="000000" w:sz="4" w:space="0"/>
            </w:tcBorders>
            <w:shd w:val="clear" w:color="000000" w:fill="FFFFFF"/>
            <w:vAlign w:val="center"/>
          </w:tcPr>
          <w:p w14:paraId="3225469D">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金额（元）</w:t>
            </w:r>
          </w:p>
        </w:tc>
      </w:tr>
      <w:tr w14:paraId="5577D51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9" w:hRule="atLeast"/>
        </w:trPr>
        <w:tc>
          <w:tcPr>
            <w:tcW w:w="518" w:type="dxa"/>
            <w:vMerge w:val="continue"/>
            <w:tcBorders>
              <w:top w:val="single" w:color="000000" w:sz="4" w:space="0"/>
              <w:left w:val="single" w:color="000000" w:sz="4" w:space="0"/>
              <w:bottom w:val="single" w:color="000000" w:sz="4" w:space="0"/>
              <w:right w:val="single" w:color="000000" w:sz="4" w:space="0"/>
            </w:tcBorders>
            <w:shd w:val="clear" w:color="000000" w:fill="FFFFFF"/>
            <w:vAlign w:val="center"/>
          </w:tcPr>
          <w:p w14:paraId="5794E921">
            <w:pPr>
              <w:jc w:val="center"/>
              <w:rPr>
                <w:rFonts w:hint="eastAsia" w:ascii="宋体" w:hAnsi="宋体" w:eastAsia="宋体" w:cs="宋体"/>
                <w:b/>
                <w:bCs/>
                <w:i w:val="0"/>
                <w:iCs w:val="0"/>
                <w:color w:val="000000"/>
                <w:sz w:val="22"/>
                <w:szCs w:val="22"/>
                <w:highlight w:val="none"/>
                <w:u w:val="none"/>
              </w:rPr>
            </w:pPr>
          </w:p>
        </w:tc>
        <w:tc>
          <w:tcPr>
            <w:tcW w:w="1362" w:type="dxa"/>
            <w:vMerge w:val="continue"/>
            <w:tcBorders>
              <w:top w:val="single" w:color="000000" w:sz="4" w:space="0"/>
              <w:left w:val="single" w:color="000000" w:sz="4" w:space="0"/>
              <w:bottom w:val="single" w:color="000000" w:sz="4" w:space="0"/>
              <w:right w:val="single" w:color="000000" w:sz="4" w:space="0"/>
            </w:tcBorders>
            <w:shd w:val="clear" w:color="000000" w:fill="FFFFFF"/>
            <w:vAlign w:val="center"/>
          </w:tcPr>
          <w:p w14:paraId="4DD5C9D8">
            <w:pPr>
              <w:jc w:val="center"/>
              <w:rPr>
                <w:rFonts w:hint="eastAsia" w:ascii="宋体" w:hAnsi="宋体" w:eastAsia="宋体" w:cs="宋体"/>
                <w:b/>
                <w:bCs/>
                <w:i w:val="0"/>
                <w:iCs w:val="0"/>
                <w:color w:val="000000"/>
                <w:sz w:val="22"/>
                <w:szCs w:val="22"/>
                <w:highlight w:val="none"/>
                <w:u w:val="none"/>
              </w:rPr>
            </w:pPr>
          </w:p>
        </w:tc>
        <w:tc>
          <w:tcPr>
            <w:tcW w:w="3022" w:type="dxa"/>
            <w:vMerge w:val="continue"/>
            <w:tcBorders>
              <w:top w:val="single" w:color="000000" w:sz="4" w:space="0"/>
              <w:left w:val="single" w:color="000000" w:sz="4" w:space="0"/>
              <w:bottom w:val="single" w:color="000000" w:sz="4" w:space="0"/>
              <w:right w:val="single" w:color="000000" w:sz="4" w:space="0"/>
            </w:tcBorders>
            <w:shd w:val="clear" w:color="000000" w:fill="FFFFFF"/>
            <w:vAlign w:val="center"/>
          </w:tcPr>
          <w:p w14:paraId="1D0884CC">
            <w:pPr>
              <w:jc w:val="center"/>
              <w:rPr>
                <w:rFonts w:hint="eastAsia" w:ascii="宋体" w:hAnsi="宋体" w:eastAsia="宋体" w:cs="宋体"/>
                <w:b/>
                <w:bCs/>
                <w:i w:val="0"/>
                <w:iCs w:val="0"/>
                <w:color w:val="000000"/>
                <w:sz w:val="22"/>
                <w:szCs w:val="22"/>
                <w:highlight w:val="none"/>
                <w:u w:val="none"/>
              </w:rPr>
            </w:pPr>
          </w:p>
        </w:tc>
        <w:tc>
          <w:tcPr>
            <w:tcW w:w="823" w:type="dxa"/>
            <w:vMerge w:val="continue"/>
            <w:tcBorders>
              <w:top w:val="single" w:color="000000" w:sz="4" w:space="0"/>
              <w:left w:val="single" w:color="000000" w:sz="4" w:space="0"/>
              <w:bottom w:val="single" w:color="000000" w:sz="4" w:space="0"/>
              <w:right w:val="single" w:color="000000" w:sz="4" w:space="0"/>
            </w:tcBorders>
            <w:shd w:val="clear" w:color="000000" w:fill="FFFFFF"/>
            <w:vAlign w:val="center"/>
          </w:tcPr>
          <w:p w14:paraId="26E51A48">
            <w:pPr>
              <w:jc w:val="center"/>
              <w:rPr>
                <w:rFonts w:hint="eastAsia" w:ascii="宋体" w:hAnsi="宋体" w:eastAsia="宋体" w:cs="宋体"/>
                <w:b/>
                <w:bCs/>
                <w:i w:val="0"/>
                <w:iCs w:val="0"/>
                <w:color w:val="000000"/>
                <w:sz w:val="22"/>
                <w:szCs w:val="22"/>
                <w:highlight w:val="none"/>
                <w:u w:val="none"/>
              </w:rPr>
            </w:pPr>
          </w:p>
        </w:tc>
        <w:tc>
          <w:tcPr>
            <w:tcW w:w="948" w:type="dxa"/>
            <w:vMerge w:val="continue"/>
            <w:tcBorders>
              <w:top w:val="single" w:color="000000" w:sz="4" w:space="0"/>
              <w:left w:val="single" w:color="000000" w:sz="4" w:space="0"/>
              <w:bottom w:val="single" w:color="000000" w:sz="4" w:space="0"/>
              <w:right w:val="single" w:color="000000" w:sz="4" w:space="0"/>
            </w:tcBorders>
            <w:shd w:val="clear" w:color="000000" w:fill="FFFFFF"/>
            <w:vAlign w:val="center"/>
          </w:tcPr>
          <w:p w14:paraId="6B8CA5B0">
            <w:pPr>
              <w:jc w:val="center"/>
              <w:rPr>
                <w:rFonts w:hint="eastAsia" w:ascii="宋体" w:hAnsi="宋体" w:eastAsia="宋体" w:cs="宋体"/>
                <w:b/>
                <w:bCs/>
                <w:i w:val="0"/>
                <w:iCs w:val="0"/>
                <w:color w:val="000000"/>
                <w:sz w:val="22"/>
                <w:szCs w:val="22"/>
                <w:highlight w:val="none"/>
                <w:u w:val="none"/>
              </w:rPr>
            </w:pPr>
          </w:p>
        </w:tc>
        <w:tc>
          <w:tcPr>
            <w:tcW w:w="931" w:type="dxa"/>
            <w:vMerge w:val="continue"/>
            <w:tcBorders>
              <w:top w:val="single" w:color="000000" w:sz="4" w:space="0"/>
              <w:left w:val="single" w:color="000000" w:sz="4" w:space="0"/>
              <w:bottom w:val="single" w:color="000000" w:sz="4" w:space="0"/>
              <w:right w:val="single" w:color="000000" w:sz="4" w:space="0"/>
            </w:tcBorders>
            <w:shd w:val="clear" w:color="000000" w:fill="FFFFFF"/>
            <w:vAlign w:val="center"/>
          </w:tcPr>
          <w:p w14:paraId="712F9556">
            <w:pPr>
              <w:jc w:val="center"/>
              <w:rPr>
                <w:rFonts w:hint="eastAsia" w:ascii="宋体" w:hAnsi="宋体" w:eastAsia="宋体" w:cs="宋体"/>
                <w:b/>
                <w:bCs/>
                <w:i w:val="0"/>
                <w:iCs w:val="0"/>
                <w:color w:val="000000"/>
                <w:sz w:val="22"/>
                <w:szCs w:val="22"/>
                <w:highlight w:val="none"/>
                <w:u w:val="none"/>
              </w:rPr>
            </w:pPr>
          </w:p>
        </w:tc>
        <w:tc>
          <w:tcPr>
            <w:tcW w:w="1216" w:type="dxa"/>
            <w:vMerge w:val="continue"/>
            <w:tcBorders>
              <w:top w:val="single" w:color="000000" w:sz="4" w:space="0"/>
              <w:left w:val="single" w:color="000000" w:sz="4" w:space="0"/>
              <w:bottom w:val="single" w:color="000000" w:sz="4" w:space="0"/>
              <w:right w:val="single" w:color="000000" w:sz="4" w:space="0"/>
            </w:tcBorders>
            <w:shd w:val="clear" w:color="000000" w:fill="FFFFFF"/>
            <w:vAlign w:val="center"/>
          </w:tcPr>
          <w:p w14:paraId="527F18A1">
            <w:pPr>
              <w:jc w:val="center"/>
              <w:rPr>
                <w:rFonts w:hint="eastAsia" w:ascii="宋体" w:hAnsi="宋体" w:eastAsia="宋体" w:cs="宋体"/>
                <w:b/>
                <w:bCs/>
                <w:i w:val="0"/>
                <w:iCs w:val="0"/>
                <w:color w:val="000000"/>
                <w:sz w:val="22"/>
                <w:szCs w:val="22"/>
                <w:highlight w:val="none"/>
                <w:u w:val="none"/>
              </w:rPr>
            </w:pPr>
          </w:p>
        </w:tc>
      </w:tr>
      <w:tr w14:paraId="408BFD9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7" w:hRule="atLeast"/>
        </w:trPr>
        <w:tc>
          <w:tcPr>
            <w:tcW w:w="518"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3D0B7C3D">
            <w:pPr>
              <w:jc w:val="center"/>
              <w:rPr>
                <w:rFonts w:hint="eastAsia" w:ascii="宋体" w:hAnsi="宋体" w:eastAsia="宋体" w:cs="宋体"/>
                <w:b/>
                <w:bCs/>
                <w:i w:val="0"/>
                <w:iCs w:val="0"/>
                <w:color w:val="000000"/>
                <w:sz w:val="18"/>
                <w:szCs w:val="18"/>
                <w:highlight w:val="none"/>
                <w:u w:val="none"/>
              </w:rPr>
            </w:pPr>
          </w:p>
        </w:tc>
        <w:tc>
          <w:tcPr>
            <w:tcW w:w="1362"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2A0F7041">
            <w:pPr>
              <w:keepNext w:val="0"/>
              <w:keepLines w:val="0"/>
              <w:widowControl/>
              <w:suppressLineNumbers w:val="0"/>
              <w:jc w:val="left"/>
              <w:textAlignment w:val="center"/>
              <w:rPr>
                <w:rFonts w:hint="eastAsia" w:ascii="宋体" w:hAnsi="宋体" w:eastAsia="宋体" w:cs="宋体"/>
                <w:b/>
                <w:bCs/>
                <w:i w:val="0"/>
                <w:iCs w:val="0"/>
                <w:color w:val="000000"/>
                <w:sz w:val="18"/>
                <w:szCs w:val="18"/>
                <w:highlight w:val="none"/>
                <w:u w:val="none"/>
              </w:rPr>
            </w:pPr>
            <w:r>
              <w:rPr>
                <w:rFonts w:hint="eastAsia" w:ascii="宋体" w:hAnsi="宋体" w:eastAsia="宋体" w:cs="宋体"/>
                <w:b/>
                <w:bCs/>
                <w:i w:val="0"/>
                <w:iCs w:val="0"/>
                <w:color w:val="000000"/>
                <w:kern w:val="0"/>
                <w:sz w:val="18"/>
                <w:szCs w:val="18"/>
                <w:highlight w:val="none"/>
                <w:u w:val="none"/>
                <w:lang w:val="en-US" w:eastAsia="zh-CN" w:bidi="ar"/>
              </w:rPr>
              <w:t>装饰工程</w:t>
            </w:r>
          </w:p>
        </w:tc>
        <w:tc>
          <w:tcPr>
            <w:tcW w:w="3022"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7884B704">
            <w:pPr>
              <w:jc w:val="left"/>
              <w:rPr>
                <w:rFonts w:hint="eastAsia" w:ascii="宋体" w:hAnsi="宋体" w:eastAsia="宋体" w:cs="宋体"/>
                <w:b/>
                <w:bCs/>
                <w:i w:val="0"/>
                <w:iCs w:val="0"/>
                <w:color w:val="000000"/>
                <w:sz w:val="18"/>
                <w:szCs w:val="18"/>
                <w:highlight w:val="none"/>
                <w:u w:val="none"/>
              </w:rPr>
            </w:pPr>
          </w:p>
        </w:tc>
        <w:tc>
          <w:tcPr>
            <w:tcW w:w="8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39B9DA17">
            <w:pPr>
              <w:jc w:val="center"/>
              <w:rPr>
                <w:rFonts w:hint="eastAsia" w:ascii="宋体" w:hAnsi="宋体" w:eastAsia="宋体" w:cs="宋体"/>
                <w:b/>
                <w:bCs/>
                <w:i w:val="0"/>
                <w:iCs w:val="0"/>
                <w:color w:val="000000"/>
                <w:sz w:val="18"/>
                <w:szCs w:val="18"/>
                <w:highlight w:val="none"/>
                <w:u w:val="none"/>
              </w:rPr>
            </w:pPr>
          </w:p>
        </w:tc>
        <w:tc>
          <w:tcPr>
            <w:tcW w:w="948"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EAFE5FE">
            <w:pPr>
              <w:keepNext w:val="0"/>
              <w:keepLines w:val="0"/>
              <w:widowControl/>
              <w:suppressLineNumbers w:val="0"/>
              <w:jc w:val="center"/>
              <w:textAlignment w:val="center"/>
              <w:rPr>
                <w:rFonts w:hint="eastAsia" w:ascii="宋体" w:hAnsi="宋体" w:eastAsia="宋体" w:cs="宋体"/>
                <w:b/>
                <w:bCs/>
                <w:i w:val="0"/>
                <w:iCs w:val="0"/>
                <w:color w:val="000000"/>
                <w:sz w:val="18"/>
                <w:szCs w:val="18"/>
                <w:highlight w:val="none"/>
                <w:u w:val="none"/>
              </w:rPr>
            </w:pPr>
          </w:p>
        </w:tc>
        <w:tc>
          <w:tcPr>
            <w:tcW w:w="93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99977E2">
            <w:pPr>
              <w:keepNext w:val="0"/>
              <w:keepLines w:val="0"/>
              <w:widowControl/>
              <w:suppressLineNumbers w:val="0"/>
              <w:jc w:val="right"/>
              <w:textAlignment w:val="center"/>
              <w:rPr>
                <w:rFonts w:hint="eastAsia" w:ascii="宋体" w:hAnsi="宋体" w:eastAsia="宋体" w:cs="宋体"/>
                <w:b/>
                <w:bCs/>
                <w:i w:val="0"/>
                <w:iCs w:val="0"/>
                <w:color w:val="000000"/>
                <w:sz w:val="18"/>
                <w:szCs w:val="18"/>
                <w:highlight w:val="none"/>
                <w:u w:val="none"/>
              </w:rPr>
            </w:pPr>
            <w:r>
              <w:rPr>
                <w:rFonts w:hint="eastAsia" w:ascii="宋体" w:hAnsi="宋体" w:eastAsia="宋体" w:cs="宋体"/>
                <w:b/>
                <w:bCs/>
                <w:i w:val="0"/>
                <w:iCs w:val="0"/>
                <w:color w:val="000000"/>
                <w:kern w:val="0"/>
                <w:sz w:val="18"/>
                <w:szCs w:val="18"/>
                <w:highlight w:val="none"/>
                <w:u w:val="none"/>
                <w:lang w:val="en-US" w:eastAsia="zh-CN" w:bidi="ar"/>
              </w:rPr>
              <w:t xml:space="preserve"> </w:t>
            </w:r>
          </w:p>
        </w:tc>
        <w:tc>
          <w:tcPr>
            <w:tcW w:w="121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E6C0335">
            <w:pPr>
              <w:keepNext w:val="0"/>
              <w:keepLines w:val="0"/>
              <w:widowControl/>
              <w:suppressLineNumbers w:val="0"/>
              <w:jc w:val="right"/>
              <w:textAlignment w:val="center"/>
              <w:rPr>
                <w:rFonts w:hint="eastAsia" w:ascii="宋体" w:hAnsi="宋体" w:eastAsia="宋体" w:cs="宋体"/>
                <w:b/>
                <w:bCs/>
                <w:i w:val="0"/>
                <w:iCs w:val="0"/>
                <w:color w:val="000000"/>
                <w:sz w:val="18"/>
                <w:szCs w:val="18"/>
                <w:highlight w:val="none"/>
                <w:u w:val="none"/>
              </w:rPr>
            </w:pPr>
            <w:r>
              <w:rPr>
                <w:rFonts w:hint="eastAsia" w:ascii="宋体" w:hAnsi="宋体" w:eastAsia="宋体" w:cs="宋体"/>
                <w:b/>
                <w:bCs/>
                <w:i w:val="0"/>
                <w:iCs w:val="0"/>
                <w:color w:val="000000"/>
                <w:kern w:val="0"/>
                <w:sz w:val="18"/>
                <w:szCs w:val="18"/>
                <w:highlight w:val="none"/>
                <w:u w:val="none"/>
                <w:lang w:val="en-US" w:eastAsia="zh-CN" w:bidi="ar"/>
              </w:rPr>
              <w:t xml:space="preserve"> </w:t>
            </w:r>
          </w:p>
        </w:tc>
      </w:tr>
      <w:tr w14:paraId="3F185C5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20" w:hRule="atLeast"/>
        </w:trPr>
        <w:tc>
          <w:tcPr>
            <w:tcW w:w="518"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4DAB51DC">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1362"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77E88757">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块料楼地面</w:t>
            </w:r>
          </w:p>
        </w:tc>
        <w:tc>
          <w:tcPr>
            <w:tcW w:w="3022"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4C38A3BB">
            <w:pPr>
              <w:keepNext w:val="0"/>
              <w:keepLines w:val="0"/>
              <w:widowControl/>
              <w:suppressLineNumbers w:val="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1.找平层：1:3水泥砂浆贴地砖；</w:t>
            </w:r>
          </w:p>
          <w:p w14:paraId="7A1514FD">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2.面层：优质瓷砖地面</w:t>
            </w:r>
          </w:p>
        </w:tc>
        <w:tc>
          <w:tcPr>
            <w:tcW w:w="8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5B524F1C">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m2</w:t>
            </w:r>
          </w:p>
        </w:tc>
        <w:tc>
          <w:tcPr>
            <w:tcW w:w="948"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056FC77E">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310.92</w:t>
            </w:r>
          </w:p>
        </w:tc>
        <w:tc>
          <w:tcPr>
            <w:tcW w:w="93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06084B4">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174.74</w:t>
            </w:r>
          </w:p>
        </w:tc>
        <w:tc>
          <w:tcPr>
            <w:tcW w:w="121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601164F">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54330.14</w:t>
            </w:r>
          </w:p>
        </w:tc>
      </w:tr>
      <w:tr w14:paraId="36159AD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9" w:hRule="atLeast"/>
        </w:trPr>
        <w:tc>
          <w:tcPr>
            <w:tcW w:w="518"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4E201582">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w:t>
            </w:r>
          </w:p>
        </w:tc>
        <w:tc>
          <w:tcPr>
            <w:tcW w:w="1362"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0DF0E2DE">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楼(地)面砂浆防水(防潮)</w:t>
            </w:r>
          </w:p>
        </w:tc>
        <w:tc>
          <w:tcPr>
            <w:tcW w:w="3022"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68E79C68">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1.1.5mm厚JSⅡ型聚合物防水</w:t>
            </w:r>
          </w:p>
        </w:tc>
        <w:tc>
          <w:tcPr>
            <w:tcW w:w="8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75BFC9DD">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m2</w:t>
            </w:r>
          </w:p>
        </w:tc>
        <w:tc>
          <w:tcPr>
            <w:tcW w:w="948"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307693D9">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322.50</w:t>
            </w:r>
          </w:p>
        </w:tc>
        <w:tc>
          <w:tcPr>
            <w:tcW w:w="93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867C274">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57.09</w:t>
            </w:r>
          </w:p>
        </w:tc>
        <w:tc>
          <w:tcPr>
            <w:tcW w:w="121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9A84185">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18412.84</w:t>
            </w:r>
          </w:p>
        </w:tc>
      </w:tr>
      <w:tr w14:paraId="62B65C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39" w:hRule="atLeast"/>
        </w:trPr>
        <w:tc>
          <w:tcPr>
            <w:tcW w:w="518"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142933F">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3</w:t>
            </w:r>
          </w:p>
        </w:tc>
        <w:tc>
          <w:tcPr>
            <w:tcW w:w="1362"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187AB8C0">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天棚铝扣板恢复</w:t>
            </w:r>
          </w:p>
        </w:tc>
        <w:tc>
          <w:tcPr>
            <w:tcW w:w="3022"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07ACFCC3">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1.天棚铝扣板安装恢复，材料利旧60%</w:t>
            </w:r>
          </w:p>
        </w:tc>
        <w:tc>
          <w:tcPr>
            <w:tcW w:w="8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4F37924A">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m2</w:t>
            </w:r>
          </w:p>
        </w:tc>
        <w:tc>
          <w:tcPr>
            <w:tcW w:w="948"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685554CE">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206.10</w:t>
            </w:r>
          </w:p>
        </w:tc>
        <w:tc>
          <w:tcPr>
            <w:tcW w:w="93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6B35C521">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58.27</w:t>
            </w:r>
          </w:p>
        </w:tc>
        <w:tc>
          <w:tcPr>
            <w:tcW w:w="121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7272D25">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12009.81</w:t>
            </w:r>
          </w:p>
        </w:tc>
      </w:tr>
      <w:tr w14:paraId="326F1A4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0" w:hRule="atLeast"/>
        </w:trPr>
        <w:tc>
          <w:tcPr>
            <w:tcW w:w="518"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E624AC0">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4</w:t>
            </w:r>
          </w:p>
        </w:tc>
        <w:tc>
          <w:tcPr>
            <w:tcW w:w="1362"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12357094">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块料墙、柱面</w:t>
            </w:r>
          </w:p>
        </w:tc>
        <w:tc>
          <w:tcPr>
            <w:tcW w:w="3022"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327D5B4E">
            <w:pPr>
              <w:keepNext w:val="0"/>
              <w:keepLines w:val="0"/>
              <w:widowControl/>
              <w:suppressLineNumbers w:val="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1.基层：墙面1:2水泥砂浆</w:t>
            </w:r>
          </w:p>
          <w:p w14:paraId="50136181">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2.面层：优质墙砖</w:t>
            </w:r>
          </w:p>
        </w:tc>
        <w:tc>
          <w:tcPr>
            <w:tcW w:w="8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6FC24B21">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m2</w:t>
            </w:r>
          </w:p>
        </w:tc>
        <w:tc>
          <w:tcPr>
            <w:tcW w:w="948"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58C5623">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143.79</w:t>
            </w:r>
          </w:p>
        </w:tc>
        <w:tc>
          <w:tcPr>
            <w:tcW w:w="93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1F48670">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128.32</w:t>
            </w:r>
          </w:p>
        </w:tc>
        <w:tc>
          <w:tcPr>
            <w:tcW w:w="121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0971130">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18451.19</w:t>
            </w:r>
          </w:p>
        </w:tc>
      </w:tr>
      <w:tr w14:paraId="696297D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7" w:hRule="atLeast"/>
        </w:trPr>
        <w:tc>
          <w:tcPr>
            <w:tcW w:w="518"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1D80EEF">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5</w:t>
            </w:r>
          </w:p>
        </w:tc>
        <w:tc>
          <w:tcPr>
            <w:tcW w:w="1362"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319C5C95">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金属(塑钢)窗</w:t>
            </w:r>
          </w:p>
        </w:tc>
        <w:tc>
          <w:tcPr>
            <w:tcW w:w="3022"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2703A59A">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1.铝合金玻璃传菜窗</w:t>
            </w:r>
          </w:p>
        </w:tc>
        <w:tc>
          <w:tcPr>
            <w:tcW w:w="8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2A519BE9">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m2</w:t>
            </w:r>
          </w:p>
        </w:tc>
        <w:tc>
          <w:tcPr>
            <w:tcW w:w="948"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93D85FD">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3.00</w:t>
            </w:r>
          </w:p>
        </w:tc>
        <w:tc>
          <w:tcPr>
            <w:tcW w:w="93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0718B8B2">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524.78</w:t>
            </w:r>
          </w:p>
        </w:tc>
        <w:tc>
          <w:tcPr>
            <w:tcW w:w="121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7F5FE9D">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1574.33</w:t>
            </w:r>
          </w:p>
        </w:tc>
      </w:tr>
      <w:tr w14:paraId="477527E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7" w:hRule="atLeast"/>
        </w:trPr>
        <w:tc>
          <w:tcPr>
            <w:tcW w:w="518"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39174414">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6</w:t>
            </w:r>
          </w:p>
        </w:tc>
        <w:tc>
          <w:tcPr>
            <w:tcW w:w="1362"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64E1C08D">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金属(塑钢)门</w:t>
            </w:r>
          </w:p>
        </w:tc>
        <w:tc>
          <w:tcPr>
            <w:tcW w:w="3022"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5EEED620">
            <w:pPr>
              <w:keepNext w:val="0"/>
              <w:keepLines w:val="0"/>
              <w:widowControl/>
              <w:suppressLineNumbers w:val="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1.1*2m铝合金玻璃门</w:t>
            </w:r>
          </w:p>
        </w:tc>
        <w:tc>
          <w:tcPr>
            <w:tcW w:w="823"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1A8BC48A">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m2</w:t>
            </w:r>
          </w:p>
        </w:tc>
        <w:tc>
          <w:tcPr>
            <w:tcW w:w="948"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335EC9A">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2.00</w:t>
            </w:r>
          </w:p>
        </w:tc>
        <w:tc>
          <w:tcPr>
            <w:tcW w:w="93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060002B">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467.88</w:t>
            </w:r>
          </w:p>
        </w:tc>
        <w:tc>
          <w:tcPr>
            <w:tcW w:w="121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395E22B">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935.76</w:t>
            </w:r>
          </w:p>
        </w:tc>
      </w:tr>
    </w:tbl>
    <w:p w14:paraId="17964D67">
      <w:pPr>
        <w:keepNext w:val="0"/>
        <w:keepLines w:val="0"/>
        <w:pageBreakBefore w:val="0"/>
        <w:widowControl/>
        <w:numPr>
          <w:ilvl w:val="0"/>
          <w:numId w:val="4"/>
        </w:numPr>
        <w:kinsoku/>
        <w:wordWrap/>
        <w:overflowPunct/>
        <w:topLinePunct w:val="0"/>
        <w:autoSpaceDE/>
        <w:autoSpaceDN/>
        <w:bidi w:val="0"/>
        <w:adjustRightInd/>
        <w:snapToGrid/>
        <w:spacing w:after="0" w:line="360" w:lineRule="auto"/>
        <w:ind w:firstLine="426" w:firstLineChars="200"/>
        <w:jc w:val="left"/>
        <w:textAlignment w:val="auto"/>
        <w:rPr>
          <w:rFonts w:hint="eastAsia" w:asciiTheme="minorEastAsia" w:hAnsiTheme="minorEastAsia" w:eastAsiaTheme="minorEastAsia"/>
          <w:szCs w:val="21"/>
          <w:highlight w:val="none"/>
          <w:lang w:val="en-US" w:eastAsia="zh-CN"/>
        </w:rPr>
      </w:pPr>
      <w:r>
        <w:rPr>
          <w:rFonts w:hint="eastAsia" w:asciiTheme="minorEastAsia" w:hAnsiTheme="minorEastAsia" w:eastAsiaTheme="minorEastAsia"/>
          <w:szCs w:val="21"/>
          <w:highlight w:val="none"/>
          <w:lang w:val="en-US" w:eastAsia="zh-CN"/>
        </w:rPr>
        <w:t>殡仪服务中心厨房、备餐间安装工程</w:t>
      </w:r>
    </w:p>
    <w:tbl>
      <w:tblPr>
        <w:tblStyle w:val="27"/>
        <w:tblW w:w="8816"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540"/>
        <w:gridCol w:w="1328"/>
        <w:gridCol w:w="3051"/>
        <w:gridCol w:w="811"/>
        <w:gridCol w:w="914"/>
        <w:gridCol w:w="982"/>
        <w:gridCol w:w="1190"/>
      </w:tblGrid>
      <w:tr w14:paraId="121B13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7" w:hRule="atLeast"/>
        </w:trPr>
        <w:tc>
          <w:tcPr>
            <w:tcW w:w="540" w:type="dxa"/>
            <w:vMerge w:val="restart"/>
            <w:tcBorders>
              <w:top w:val="single" w:color="000000" w:sz="4" w:space="0"/>
              <w:left w:val="single" w:color="000000" w:sz="4" w:space="0"/>
              <w:bottom w:val="single" w:color="000000" w:sz="4" w:space="0"/>
              <w:right w:val="single" w:color="000000" w:sz="4" w:space="0"/>
            </w:tcBorders>
            <w:shd w:val="clear" w:color="000000" w:fill="FFFFFF"/>
            <w:vAlign w:val="center"/>
          </w:tcPr>
          <w:p w14:paraId="6072751E">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序号</w:t>
            </w:r>
          </w:p>
        </w:tc>
        <w:tc>
          <w:tcPr>
            <w:tcW w:w="1328" w:type="dxa"/>
            <w:vMerge w:val="restart"/>
            <w:tcBorders>
              <w:top w:val="single" w:color="000000" w:sz="4" w:space="0"/>
              <w:left w:val="single" w:color="000000" w:sz="4" w:space="0"/>
              <w:bottom w:val="single" w:color="000000" w:sz="4" w:space="0"/>
              <w:right w:val="single" w:color="000000" w:sz="4" w:space="0"/>
            </w:tcBorders>
            <w:shd w:val="clear" w:color="000000" w:fill="FFFFFF"/>
            <w:vAlign w:val="center"/>
          </w:tcPr>
          <w:p w14:paraId="2B9FCF3B">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项目名称</w:t>
            </w:r>
          </w:p>
        </w:tc>
        <w:tc>
          <w:tcPr>
            <w:tcW w:w="3051" w:type="dxa"/>
            <w:vMerge w:val="restart"/>
            <w:tcBorders>
              <w:top w:val="single" w:color="000000" w:sz="4" w:space="0"/>
              <w:left w:val="single" w:color="000000" w:sz="4" w:space="0"/>
              <w:bottom w:val="single" w:color="000000" w:sz="4" w:space="0"/>
              <w:right w:val="single" w:color="000000" w:sz="4" w:space="0"/>
            </w:tcBorders>
            <w:shd w:val="clear" w:color="000000" w:fill="FFFFFF"/>
            <w:vAlign w:val="center"/>
          </w:tcPr>
          <w:p w14:paraId="7FBEE19C">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规格型号材质</w:t>
            </w:r>
          </w:p>
        </w:tc>
        <w:tc>
          <w:tcPr>
            <w:tcW w:w="811" w:type="dxa"/>
            <w:vMerge w:val="restart"/>
            <w:tcBorders>
              <w:top w:val="single" w:color="000000" w:sz="4" w:space="0"/>
              <w:left w:val="single" w:color="000000" w:sz="4" w:space="0"/>
              <w:bottom w:val="single" w:color="000000" w:sz="4" w:space="0"/>
              <w:right w:val="single" w:color="000000" w:sz="4" w:space="0"/>
            </w:tcBorders>
            <w:shd w:val="clear" w:color="000000" w:fill="FFFFFF"/>
            <w:vAlign w:val="center"/>
          </w:tcPr>
          <w:p w14:paraId="20934F7B">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计量单位</w:t>
            </w:r>
          </w:p>
        </w:tc>
        <w:tc>
          <w:tcPr>
            <w:tcW w:w="914" w:type="dxa"/>
            <w:vMerge w:val="restart"/>
            <w:tcBorders>
              <w:top w:val="single" w:color="000000" w:sz="4" w:space="0"/>
              <w:left w:val="single" w:color="000000" w:sz="4" w:space="0"/>
              <w:bottom w:val="single" w:color="000000" w:sz="4" w:space="0"/>
              <w:right w:val="single" w:color="000000" w:sz="4" w:space="0"/>
            </w:tcBorders>
            <w:shd w:val="clear" w:color="000000" w:fill="FFFFFF"/>
            <w:vAlign w:val="center"/>
          </w:tcPr>
          <w:p w14:paraId="608A1EFC">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工程量</w:t>
            </w:r>
          </w:p>
        </w:tc>
        <w:tc>
          <w:tcPr>
            <w:tcW w:w="982" w:type="dxa"/>
            <w:vMerge w:val="restart"/>
            <w:tcBorders>
              <w:top w:val="single" w:color="000000" w:sz="4" w:space="0"/>
              <w:left w:val="single" w:color="000000" w:sz="4" w:space="0"/>
              <w:bottom w:val="single" w:color="000000" w:sz="4" w:space="0"/>
              <w:right w:val="single" w:color="000000" w:sz="4" w:space="0"/>
            </w:tcBorders>
            <w:shd w:val="clear" w:color="000000" w:fill="FFFFFF"/>
            <w:vAlign w:val="center"/>
          </w:tcPr>
          <w:p w14:paraId="7D407ADE">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b/>
                <w:bCs/>
                <w:i w:val="0"/>
                <w:iCs w:val="0"/>
                <w:color w:val="000000"/>
                <w:kern w:val="0"/>
                <w:sz w:val="22"/>
                <w:szCs w:val="22"/>
                <w:highlight w:val="none"/>
                <w:u w:val="none"/>
                <w:lang w:val="en-US" w:eastAsia="zh-CN" w:bidi="ar"/>
              </w:rPr>
            </w:pPr>
            <w:r>
              <w:rPr>
                <w:rFonts w:hint="eastAsia" w:ascii="宋体" w:hAnsi="宋体" w:cs="宋体"/>
                <w:b/>
                <w:bCs/>
                <w:i w:val="0"/>
                <w:iCs w:val="0"/>
                <w:color w:val="000000"/>
                <w:kern w:val="0"/>
                <w:sz w:val="22"/>
                <w:szCs w:val="22"/>
                <w:u w:val="none"/>
                <w:lang w:val="en-US" w:eastAsia="zh-CN" w:bidi="ar"/>
              </w:rPr>
              <w:t>最高限价（</w:t>
            </w:r>
            <w:r>
              <w:rPr>
                <w:rFonts w:hint="eastAsia" w:ascii="宋体" w:hAnsi="宋体" w:eastAsia="宋体" w:cs="宋体"/>
                <w:b/>
                <w:bCs/>
                <w:i w:val="0"/>
                <w:iCs w:val="0"/>
                <w:color w:val="000000"/>
                <w:kern w:val="0"/>
                <w:sz w:val="22"/>
                <w:szCs w:val="22"/>
                <w:u w:val="none"/>
                <w:lang w:val="en-US" w:eastAsia="zh-CN" w:bidi="ar"/>
              </w:rPr>
              <w:t>单价</w:t>
            </w:r>
            <w:r>
              <w:rPr>
                <w:rFonts w:hint="eastAsia" w:ascii="宋体" w:hAnsi="宋体" w:cs="宋体"/>
                <w:b/>
                <w:bCs/>
                <w:i w:val="0"/>
                <w:iCs w:val="0"/>
                <w:color w:val="000000"/>
                <w:kern w:val="0"/>
                <w:sz w:val="22"/>
                <w:szCs w:val="22"/>
                <w:u w:val="none"/>
                <w:lang w:val="en-US" w:eastAsia="zh-CN" w:bidi="ar"/>
              </w:rPr>
              <w:t>）</w:t>
            </w:r>
          </w:p>
          <w:p w14:paraId="7DB920F1">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（元）</w:t>
            </w:r>
          </w:p>
        </w:tc>
        <w:tc>
          <w:tcPr>
            <w:tcW w:w="1190" w:type="dxa"/>
            <w:vMerge w:val="restart"/>
            <w:tcBorders>
              <w:top w:val="single" w:color="000000" w:sz="4" w:space="0"/>
              <w:left w:val="single" w:color="000000" w:sz="4" w:space="0"/>
              <w:bottom w:val="single" w:color="000000" w:sz="4" w:space="0"/>
              <w:right w:val="single" w:color="000000" w:sz="4" w:space="0"/>
            </w:tcBorders>
            <w:shd w:val="clear" w:color="000000" w:fill="FFFFFF"/>
            <w:vAlign w:val="center"/>
          </w:tcPr>
          <w:p w14:paraId="4B243E9A">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b/>
                <w:bCs/>
                <w:i w:val="0"/>
                <w:iCs w:val="0"/>
                <w:color w:val="000000"/>
                <w:kern w:val="0"/>
                <w:sz w:val="22"/>
                <w:szCs w:val="22"/>
                <w:highlight w:val="none"/>
                <w:u w:val="none"/>
                <w:lang w:val="en-US" w:eastAsia="zh-CN" w:bidi="ar"/>
              </w:rPr>
            </w:pPr>
            <w:r>
              <w:rPr>
                <w:rFonts w:hint="eastAsia" w:ascii="宋体" w:hAnsi="宋体" w:eastAsia="宋体" w:cs="宋体"/>
                <w:b/>
                <w:bCs/>
                <w:i w:val="0"/>
                <w:iCs w:val="0"/>
                <w:color w:val="000000"/>
                <w:kern w:val="0"/>
                <w:sz w:val="22"/>
                <w:szCs w:val="22"/>
                <w:highlight w:val="none"/>
                <w:u w:val="none"/>
                <w:lang w:val="en-US" w:eastAsia="zh-CN" w:bidi="ar"/>
              </w:rPr>
              <w:t>金额</w:t>
            </w:r>
          </w:p>
          <w:p w14:paraId="687A35F2">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（元）</w:t>
            </w:r>
          </w:p>
        </w:tc>
      </w:tr>
      <w:tr w14:paraId="0498F3C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7" w:hRule="atLeast"/>
        </w:trPr>
        <w:tc>
          <w:tcPr>
            <w:tcW w:w="540" w:type="dxa"/>
            <w:vMerge w:val="continue"/>
            <w:tcBorders>
              <w:top w:val="single" w:color="000000" w:sz="4" w:space="0"/>
              <w:left w:val="single" w:color="000000" w:sz="4" w:space="0"/>
              <w:bottom w:val="single" w:color="000000" w:sz="4" w:space="0"/>
              <w:right w:val="single" w:color="000000" w:sz="4" w:space="0"/>
            </w:tcBorders>
            <w:shd w:val="clear" w:color="000000" w:fill="FFFFFF"/>
            <w:vAlign w:val="center"/>
          </w:tcPr>
          <w:p w14:paraId="4B3CF542">
            <w:pPr>
              <w:ind w:left="0" w:leftChars="0" w:right="0" w:rightChars="0" w:firstLine="0" w:firstLineChars="0"/>
              <w:jc w:val="center"/>
              <w:rPr>
                <w:rFonts w:hint="eastAsia" w:ascii="宋体" w:hAnsi="宋体" w:eastAsia="宋体" w:cs="宋体"/>
                <w:b/>
                <w:bCs/>
                <w:i w:val="0"/>
                <w:iCs w:val="0"/>
                <w:color w:val="000000"/>
                <w:sz w:val="22"/>
                <w:szCs w:val="22"/>
                <w:highlight w:val="none"/>
                <w:u w:val="none"/>
              </w:rPr>
            </w:pPr>
          </w:p>
        </w:tc>
        <w:tc>
          <w:tcPr>
            <w:tcW w:w="1328" w:type="dxa"/>
            <w:vMerge w:val="continue"/>
            <w:tcBorders>
              <w:top w:val="single" w:color="000000" w:sz="4" w:space="0"/>
              <w:left w:val="single" w:color="000000" w:sz="4" w:space="0"/>
              <w:bottom w:val="single" w:color="000000" w:sz="4" w:space="0"/>
              <w:right w:val="single" w:color="000000" w:sz="4" w:space="0"/>
            </w:tcBorders>
            <w:shd w:val="clear" w:color="000000" w:fill="FFFFFF"/>
            <w:vAlign w:val="center"/>
          </w:tcPr>
          <w:p w14:paraId="4CAE63E9">
            <w:pPr>
              <w:ind w:left="0" w:leftChars="0" w:right="0" w:rightChars="0" w:firstLine="0" w:firstLineChars="0"/>
              <w:jc w:val="center"/>
              <w:rPr>
                <w:rFonts w:hint="eastAsia" w:ascii="宋体" w:hAnsi="宋体" w:eastAsia="宋体" w:cs="宋体"/>
                <w:b/>
                <w:bCs/>
                <w:i w:val="0"/>
                <w:iCs w:val="0"/>
                <w:color w:val="000000"/>
                <w:sz w:val="22"/>
                <w:szCs w:val="22"/>
                <w:highlight w:val="none"/>
                <w:u w:val="none"/>
              </w:rPr>
            </w:pPr>
          </w:p>
        </w:tc>
        <w:tc>
          <w:tcPr>
            <w:tcW w:w="3051" w:type="dxa"/>
            <w:vMerge w:val="continue"/>
            <w:tcBorders>
              <w:top w:val="single" w:color="000000" w:sz="4" w:space="0"/>
              <w:left w:val="single" w:color="000000" w:sz="4" w:space="0"/>
              <w:bottom w:val="single" w:color="000000" w:sz="4" w:space="0"/>
              <w:right w:val="single" w:color="000000" w:sz="4" w:space="0"/>
            </w:tcBorders>
            <w:shd w:val="clear" w:color="000000" w:fill="FFFFFF"/>
            <w:vAlign w:val="center"/>
          </w:tcPr>
          <w:p w14:paraId="3711B4EE">
            <w:pPr>
              <w:ind w:left="0" w:leftChars="0" w:right="0" w:rightChars="0" w:firstLine="0" w:firstLineChars="0"/>
              <w:jc w:val="center"/>
              <w:rPr>
                <w:rFonts w:hint="eastAsia" w:ascii="宋体" w:hAnsi="宋体" w:eastAsia="宋体" w:cs="宋体"/>
                <w:b/>
                <w:bCs/>
                <w:i w:val="0"/>
                <w:iCs w:val="0"/>
                <w:color w:val="000000"/>
                <w:sz w:val="22"/>
                <w:szCs w:val="22"/>
                <w:highlight w:val="none"/>
                <w:u w:val="none"/>
              </w:rPr>
            </w:pPr>
          </w:p>
        </w:tc>
        <w:tc>
          <w:tcPr>
            <w:tcW w:w="811" w:type="dxa"/>
            <w:vMerge w:val="continue"/>
            <w:tcBorders>
              <w:top w:val="single" w:color="000000" w:sz="4" w:space="0"/>
              <w:left w:val="single" w:color="000000" w:sz="4" w:space="0"/>
              <w:bottom w:val="single" w:color="000000" w:sz="4" w:space="0"/>
              <w:right w:val="single" w:color="000000" w:sz="4" w:space="0"/>
            </w:tcBorders>
            <w:shd w:val="clear" w:color="000000" w:fill="FFFFFF"/>
            <w:vAlign w:val="center"/>
          </w:tcPr>
          <w:p w14:paraId="0D42E10A">
            <w:pPr>
              <w:ind w:left="0" w:leftChars="0" w:right="0" w:rightChars="0" w:firstLine="0" w:firstLineChars="0"/>
              <w:jc w:val="center"/>
              <w:rPr>
                <w:rFonts w:hint="eastAsia" w:ascii="宋体" w:hAnsi="宋体" w:eastAsia="宋体" w:cs="宋体"/>
                <w:b/>
                <w:bCs/>
                <w:i w:val="0"/>
                <w:iCs w:val="0"/>
                <w:color w:val="000000"/>
                <w:sz w:val="22"/>
                <w:szCs w:val="22"/>
                <w:highlight w:val="none"/>
                <w:u w:val="none"/>
              </w:rPr>
            </w:pPr>
          </w:p>
        </w:tc>
        <w:tc>
          <w:tcPr>
            <w:tcW w:w="914" w:type="dxa"/>
            <w:vMerge w:val="continue"/>
            <w:tcBorders>
              <w:top w:val="single" w:color="000000" w:sz="4" w:space="0"/>
              <w:left w:val="single" w:color="000000" w:sz="4" w:space="0"/>
              <w:bottom w:val="single" w:color="000000" w:sz="4" w:space="0"/>
              <w:right w:val="single" w:color="000000" w:sz="4" w:space="0"/>
            </w:tcBorders>
            <w:shd w:val="clear" w:color="000000" w:fill="FFFFFF"/>
            <w:vAlign w:val="center"/>
          </w:tcPr>
          <w:p w14:paraId="0DA2C003">
            <w:pPr>
              <w:ind w:left="0" w:leftChars="0" w:right="0" w:rightChars="0" w:firstLine="0" w:firstLineChars="0"/>
              <w:jc w:val="center"/>
              <w:rPr>
                <w:rFonts w:hint="eastAsia" w:ascii="宋体" w:hAnsi="宋体" w:eastAsia="宋体" w:cs="宋体"/>
                <w:b/>
                <w:bCs/>
                <w:i w:val="0"/>
                <w:iCs w:val="0"/>
                <w:color w:val="000000"/>
                <w:sz w:val="22"/>
                <w:szCs w:val="22"/>
                <w:highlight w:val="none"/>
                <w:u w:val="none"/>
              </w:rPr>
            </w:pPr>
          </w:p>
        </w:tc>
        <w:tc>
          <w:tcPr>
            <w:tcW w:w="982" w:type="dxa"/>
            <w:vMerge w:val="continue"/>
            <w:tcBorders>
              <w:top w:val="single" w:color="000000" w:sz="4" w:space="0"/>
              <w:left w:val="single" w:color="000000" w:sz="4" w:space="0"/>
              <w:bottom w:val="single" w:color="000000" w:sz="4" w:space="0"/>
              <w:right w:val="single" w:color="000000" w:sz="4" w:space="0"/>
            </w:tcBorders>
            <w:shd w:val="clear" w:color="000000" w:fill="FFFFFF"/>
            <w:vAlign w:val="center"/>
          </w:tcPr>
          <w:p w14:paraId="5AD9DB84">
            <w:pPr>
              <w:ind w:left="0" w:leftChars="0" w:right="0" w:rightChars="0" w:firstLine="0" w:firstLineChars="0"/>
              <w:jc w:val="center"/>
              <w:rPr>
                <w:rFonts w:hint="eastAsia" w:ascii="宋体" w:hAnsi="宋体" w:eastAsia="宋体" w:cs="宋体"/>
                <w:b/>
                <w:bCs/>
                <w:i w:val="0"/>
                <w:iCs w:val="0"/>
                <w:color w:val="000000"/>
                <w:sz w:val="22"/>
                <w:szCs w:val="22"/>
                <w:highlight w:val="none"/>
                <w:u w:val="none"/>
              </w:rPr>
            </w:pPr>
          </w:p>
        </w:tc>
        <w:tc>
          <w:tcPr>
            <w:tcW w:w="1190" w:type="dxa"/>
            <w:vMerge w:val="continue"/>
            <w:tcBorders>
              <w:top w:val="single" w:color="000000" w:sz="4" w:space="0"/>
              <w:left w:val="single" w:color="000000" w:sz="4" w:space="0"/>
              <w:bottom w:val="single" w:color="000000" w:sz="4" w:space="0"/>
              <w:right w:val="single" w:color="000000" w:sz="4" w:space="0"/>
            </w:tcBorders>
            <w:shd w:val="clear" w:color="000000" w:fill="FFFFFF"/>
            <w:vAlign w:val="center"/>
          </w:tcPr>
          <w:p w14:paraId="58B3AC6D">
            <w:pPr>
              <w:ind w:left="0" w:leftChars="0" w:right="0" w:rightChars="0" w:firstLine="0" w:firstLineChars="0"/>
              <w:jc w:val="center"/>
              <w:rPr>
                <w:rFonts w:hint="eastAsia" w:ascii="宋体" w:hAnsi="宋体" w:eastAsia="宋体" w:cs="宋体"/>
                <w:b/>
                <w:bCs/>
                <w:i w:val="0"/>
                <w:iCs w:val="0"/>
                <w:color w:val="000000"/>
                <w:sz w:val="22"/>
                <w:szCs w:val="22"/>
                <w:highlight w:val="none"/>
                <w:u w:val="none"/>
              </w:rPr>
            </w:pPr>
          </w:p>
        </w:tc>
      </w:tr>
      <w:tr w14:paraId="2027ED7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7" w:hRule="atLeast"/>
        </w:trPr>
        <w:tc>
          <w:tcPr>
            <w:tcW w:w="540"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623466F5">
            <w:pPr>
              <w:ind w:left="0" w:leftChars="0" w:right="0" w:rightChars="0" w:firstLine="0" w:firstLineChars="0"/>
              <w:jc w:val="center"/>
              <w:rPr>
                <w:rFonts w:hint="eastAsia" w:ascii="宋体" w:hAnsi="宋体" w:eastAsia="宋体" w:cs="宋体"/>
                <w:b/>
                <w:bCs/>
                <w:i w:val="0"/>
                <w:iCs w:val="0"/>
                <w:color w:val="000000"/>
                <w:sz w:val="18"/>
                <w:szCs w:val="18"/>
                <w:highlight w:val="none"/>
                <w:u w:val="none"/>
              </w:rPr>
            </w:pPr>
          </w:p>
        </w:tc>
        <w:tc>
          <w:tcPr>
            <w:tcW w:w="1328"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42B433AA">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b/>
                <w:bCs/>
                <w:i w:val="0"/>
                <w:iCs w:val="0"/>
                <w:color w:val="000000"/>
                <w:sz w:val="18"/>
                <w:szCs w:val="18"/>
                <w:highlight w:val="none"/>
                <w:u w:val="none"/>
              </w:rPr>
            </w:pPr>
            <w:r>
              <w:rPr>
                <w:rFonts w:hint="eastAsia" w:ascii="宋体" w:hAnsi="宋体" w:eastAsia="宋体" w:cs="宋体"/>
                <w:b/>
                <w:bCs/>
                <w:i w:val="0"/>
                <w:iCs w:val="0"/>
                <w:color w:val="000000"/>
                <w:kern w:val="0"/>
                <w:sz w:val="18"/>
                <w:szCs w:val="18"/>
                <w:highlight w:val="none"/>
                <w:u w:val="none"/>
                <w:lang w:val="en-US" w:eastAsia="zh-CN" w:bidi="ar"/>
              </w:rPr>
              <w:t>厨房排烟</w:t>
            </w:r>
          </w:p>
        </w:tc>
        <w:tc>
          <w:tcPr>
            <w:tcW w:w="3051"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7932D6A6">
            <w:pPr>
              <w:ind w:left="0" w:leftChars="0" w:right="0" w:rightChars="0" w:firstLine="0" w:firstLineChars="0"/>
              <w:jc w:val="left"/>
              <w:rPr>
                <w:rFonts w:hint="eastAsia" w:ascii="宋体" w:hAnsi="宋体" w:eastAsia="宋体" w:cs="宋体"/>
                <w:b/>
                <w:bCs/>
                <w:i w:val="0"/>
                <w:iCs w:val="0"/>
                <w:color w:val="000000"/>
                <w:sz w:val="18"/>
                <w:szCs w:val="18"/>
                <w:highlight w:val="none"/>
                <w:u w:val="none"/>
              </w:rPr>
            </w:pPr>
          </w:p>
        </w:tc>
        <w:tc>
          <w:tcPr>
            <w:tcW w:w="811"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58C287CB">
            <w:pPr>
              <w:ind w:left="0" w:leftChars="0" w:right="0" w:rightChars="0" w:firstLine="0" w:firstLineChars="0"/>
              <w:jc w:val="center"/>
              <w:rPr>
                <w:rFonts w:hint="eastAsia" w:ascii="宋体" w:hAnsi="宋体" w:eastAsia="宋体" w:cs="宋体"/>
                <w:b/>
                <w:bCs/>
                <w:i w:val="0"/>
                <w:iCs w:val="0"/>
                <w:color w:val="000000"/>
                <w:sz w:val="18"/>
                <w:szCs w:val="18"/>
                <w:highlight w:val="none"/>
                <w:u w:val="none"/>
              </w:rPr>
            </w:pPr>
          </w:p>
        </w:tc>
        <w:tc>
          <w:tcPr>
            <w:tcW w:w="914"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8B03558">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b/>
                <w:bCs/>
                <w:i w:val="0"/>
                <w:iCs w:val="0"/>
                <w:color w:val="000000"/>
                <w:sz w:val="18"/>
                <w:szCs w:val="18"/>
                <w:highlight w:val="none"/>
                <w:u w:val="none"/>
              </w:rPr>
            </w:pPr>
          </w:p>
        </w:tc>
        <w:tc>
          <w:tcPr>
            <w:tcW w:w="982"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C5CD840">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b/>
                <w:bCs/>
                <w:i w:val="0"/>
                <w:iCs w:val="0"/>
                <w:color w:val="000000"/>
                <w:sz w:val="18"/>
                <w:szCs w:val="18"/>
                <w:highlight w:val="none"/>
                <w:u w:val="none"/>
              </w:rPr>
            </w:pPr>
          </w:p>
        </w:tc>
        <w:tc>
          <w:tcPr>
            <w:tcW w:w="1190"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FA7A47C">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b/>
                <w:bCs/>
                <w:i w:val="0"/>
                <w:iCs w:val="0"/>
                <w:color w:val="000000"/>
                <w:sz w:val="18"/>
                <w:szCs w:val="18"/>
                <w:highlight w:val="none"/>
                <w:u w:val="none"/>
              </w:rPr>
            </w:pPr>
          </w:p>
        </w:tc>
      </w:tr>
      <w:tr w14:paraId="7613E27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0" w:hRule="atLeast"/>
        </w:trPr>
        <w:tc>
          <w:tcPr>
            <w:tcW w:w="540"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F005046">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1328"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0BAF61E4">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排烟风柜</w:t>
            </w:r>
          </w:p>
        </w:tc>
        <w:tc>
          <w:tcPr>
            <w:tcW w:w="3051"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440A1E7C">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 xml:space="preserve">(1)名称:排烟风柜，支架吊装 </w:t>
            </w:r>
          </w:p>
          <w:p w14:paraId="2B3E0F3E">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 xml:space="preserve">(2)规格:功率15KW/380v 风量:22473-37205m3/H </w:t>
            </w:r>
          </w:p>
          <w:p w14:paraId="4A7F7634">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(3)减振底座形式、数量:弹簧减震</w:t>
            </w:r>
          </w:p>
        </w:tc>
        <w:tc>
          <w:tcPr>
            <w:tcW w:w="811"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732628C7">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914"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0E05EF92">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982"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12B2E1CC">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69126.09 </w:t>
            </w:r>
          </w:p>
        </w:tc>
        <w:tc>
          <w:tcPr>
            <w:tcW w:w="1190"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5CC0CA72">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69126.09 </w:t>
            </w:r>
          </w:p>
        </w:tc>
      </w:tr>
      <w:tr w14:paraId="0D88FC5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0" w:hRule="atLeast"/>
        </w:trPr>
        <w:tc>
          <w:tcPr>
            <w:tcW w:w="540"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DCCB757">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w:t>
            </w:r>
          </w:p>
        </w:tc>
        <w:tc>
          <w:tcPr>
            <w:tcW w:w="1328"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373E05CD">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油烟净化器</w:t>
            </w:r>
          </w:p>
        </w:tc>
        <w:tc>
          <w:tcPr>
            <w:tcW w:w="3051"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2A3389DB">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 xml:space="preserve">(1)名称:油烟净化器，支架吊装 </w:t>
            </w:r>
          </w:p>
          <w:p w14:paraId="7D3C26BC">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 xml:space="preserve">(2)规格:功率1600W/220v 处理风量:36000m3/H </w:t>
            </w:r>
          </w:p>
          <w:p w14:paraId="15A2F5F0">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(3)减振底座形式、数量:弹簧减震</w:t>
            </w:r>
          </w:p>
        </w:tc>
        <w:tc>
          <w:tcPr>
            <w:tcW w:w="811"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7620304D">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914"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09E1A35">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982"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1EF1BECB">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48441.66 </w:t>
            </w:r>
          </w:p>
        </w:tc>
        <w:tc>
          <w:tcPr>
            <w:tcW w:w="1190"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51D0F99A">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48441.66 </w:t>
            </w:r>
          </w:p>
        </w:tc>
      </w:tr>
      <w:tr w14:paraId="54D529C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0" w:hRule="atLeast"/>
        </w:trPr>
        <w:tc>
          <w:tcPr>
            <w:tcW w:w="540"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902E46F">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3</w:t>
            </w:r>
          </w:p>
        </w:tc>
        <w:tc>
          <w:tcPr>
            <w:tcW w:w="1328"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1D854BD4">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碳钢阀门</w:t>
            </w:r>
          </w:p>
        </w:tc>
        <w:tc>
          <w:tcPr>
            <w:tcW w:w="3051"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3D42EA63">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1.280°防火阀</w:t>
            </w:r>
          </w:p>
          <w:p w14:paraId="018269DA">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2.尺寸：1000*800mm</w:t>
            </w:r>
          </w:p>
        </w:tc>
        <w:tc>
          <w:tcPr>
            <w:tcW w:w="811"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4466F884">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个</w:t>
            </w:r>
          </w:p>
        </w:tc>
        <w:tc>
          <w:tcPr>
            <w:tcW w:w="914"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406AFDB">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982"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6CB22811">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863.04 </w:t>
            </w:r>
          </w:p>
        </w:tc>
        <w:tc>
          <w:tcPr>
            <w:tcW w:w="1190"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6B4AF0EC">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863.04 </w:t>
            </w:r>
          </w:p>
        </w:tc>
      </w:tr>
      <w:tr w14:paraId="49D04F1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7" w:hRule="atLeast"/>
        </w:trPr>
        <w:tc>
          <w:tcPr>
            <w:tcW w:w="540"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30E76743">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4</w:t>
            </w:r>
          </w:p>
        </w:tc>
        <w:tc>
          <w:tcPr>
            <w:tcW w:w="1328"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19AB8ADC">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不锈钢板通风管道</w:t>
            </w:r>
          </w:p>
        </w:tc>
        <w:tc>
          <w:tcPr>
            <w:tcW w:w="3051"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6306C657">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1.1.0mm不锈钢排烟管道</w:t>
            </w:r>
          </w:p>
        </w:tc>
        <w:tc>
          <w:tcPr>
            <w:tcW w:w="811"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563A9CB1">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m2</w:t>
            </w:r>
          </w:p>
        </w:tc>
        <w:tc>
          <w:tcPr>
            <w:tcW w:w="914"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FBBD73A">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160.38</w:t>
            </w:r>
          </w:p>
        </w:tc>
        <w:tc>
          <w:tcPr>
            <w:tcW w:w="982"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76ADCC89">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366.73 </w:t>
            </w:r>
          </w:p>
        </w:tc>
        <w:tc>
          <w:tcPr>
            <w:tcW w:w="1190"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1C831C25">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58816.16 </w:t>
            </w:r>
          </w:p>
        </w:tc>
      </w:tr>
      <w:tr w14:paraId="0B6C7F0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9" w:hRule="atLeast"/>
        </w:trPr>
        <w:tc>
          <w:tcPr>
            <w:tcW w:w="540"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39E8DC42">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5</w:t>
            </w:r>
          </w:p>
        </w:tc>
        <w:tc>
          <w:tcPr>
            <w:tcW w:w="1328"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71E63DBA">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铝及铝合金风口、散流器</w:t>
            </w:r>
          </w:p>
        </w:tc>
        <w:tc>
          <w:tcPr>
            <w:tcW w:w="3051"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201F71F3">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1.1000*500铝合金排烟口</w:t>
            </w:r>
          </w:p>
        </w:tc>
        <w:tc>
          <w:tcPr>
            <w:tcW w:w="811"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336CA474">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个</w:t>
            </w:r>
          </w:p>
        </w:tc>
        <w:tc>
          <w:tcPr>
            <w:tcW w:w="914"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5AB9F56">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7</w:t>
            </w:r>
          </w:p>
        </w:tc>
        <w:tc>
          <w:tcPr>
            <w:tcW w:w="982"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06453164">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281.29 </w:t>
            </w:r>
          </w:p>
        </w:tc>
        <w:tc>
          <w:tcPr>
            <w:tcW w:w="1190"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599EA1C6">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1969.03 </w:t>
            </w:r>
          </w:p>
        </w:tc>
      </w:tr>
      <w:tr w14:paraId="0F92FFD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7" w:hRule="atLeast"/>
        </w:trPr>
        <w:tc>
          <w:tcPr>
            <w:tcW w:w="540"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DFCA9E7">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6</w:t>
            </w:r>
          </w:p>
        </w:tc>
        <w:tc>
          <w:tcPr>
            <w:tcW w:w="1328"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3E730589">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柔性接口</w:t>
            </w:r>
          </w:p>
        </w:tc>
        <w:tc>
          <w:tcPr>
            <w:tcW w:w="3051"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6FA09B2D">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1.帆布软管接口</w:t>
            </w:r>
          </w:p>
        </w:tc>
        <w:tc>
          <w:tcPr>
            <w:tcW w:w="811" w:type="dxa"/>
            <w:tcBorders>
              <w:top w:val="single" w:color="000000" w:sz="4" w:space="0"/>
              <w:left w:val="single" w:color="000000" w:sz="4" w:space="0"/>
              <w:bottom w:val="single" w:color="000000" w:sz="4" w:space="0"/>
              <w:right w:val="single" w:color="000000" w:sz="4" w:space="0"/>
            </w:tcBorders>
            <w:shd w:val="clear" w:color="000000" w:fill="FFFFFF"/>
            <w:vAlign w:val="center"/>
          </w:tcPr>
          <w:p w14:paraId="4CFA9B80">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m2</w:t>
            </w:r>
          </w:p>
        </w:tc>
        <w:tc>
          <w:tcPr>
            <w:tcW w:w="914"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6AA08C1C">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0.78</w:t>
            </w:r>
          </w:p>
        </w:tc>
        <w:tc>
          <w:tcPr>
            <w:tcW w:w="982"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C0EB747">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362.73</w:t>
            </w:r>
          </w:p>
        </w:tc>
        <w:tc>
          <w:tcPr>
            <w:tcW w:w="1190"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471AF5C">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282.93</w:t>
            </w:r>
          </w:p>
        </w:tc>
      </w:tr>
      <w:tr w14:paraId="40515C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7" w:hRule="atLeast"/>
        </w:trPr>
        <w:tc>
          <w:tcPr>
            <w:tcW w:w="540"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76313D65">
            <w:pPr>
              <w:ind w:left="0" w:leftChars="0" w:right="0" w:rightChars="0" w:firstLine="0" w:firstLineChars="0"/>
              <w:jc w:val="center"/>
              <w:rPr>
                <w:rFonts w:hint="eastAsia" w:ascii="宋体" w:hAnsi="宋体" w:eastAsia="宋体" w:cs="宋体"/>
                <w:b/>
                <w:bCs/>
                <w:i w:val="0"/>
                <w:iCs w:val="0"/>
                <w:color w:val="000000"/>
                <w:sz w:val="18"/>
                <w:szCs w:val="18"/>
                <w:highlight w:val="none"/>
                <w:u w:val="none"/>
              </w:rPr>
            </w:pPr>
          </w:p>
        </w:tc>
        <w:tc>
          <w:tcPr>
            <w:tcW w:w="1328" w:type="dxa"/>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1C53B291">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b/>
                <w:bCs/>
                <w:i w:val="0"/>
                <w:iCs w:val="0"/>
                <w:color w:val="000000"/>
                <w:sz w:val="18"/>
                <w:szCs w:val="18"/>
                <w:highlight w:val="none"/>
                <w:u w:val="none"/>
              </w:rPr>
            </w:pPr>
            <w:r>
              <w:rPr>
                <w:rFonts w:hint="eastAsia" w:ascii="宋体" w:hAnsi="宋体" w:eastAsia="宋体" w:cs="宋体"/>
                <w:b/>
                <w:bCs/>
                <w:i w:val="0"/>
                <w:iCs w:val="0"/>
                <w:color w:val="000000"/>
                <w:kern w:val="0"/>
                <w:sz w:val="18"/>
                <w:szCs w:val="18"/>
                <w:highlight w:val="none"/>
                <w:u w:val="none"/>
                <w:lang w:val="en-US" w:eastAsia="zh-CN" w:bidi="ar"/>
              </w:rPr>
              <w:t>厨房新风</w:t>
            </w:r>
          </w:p>
        </w:tc>
        <w:tc>
          <w:tcPr>
            <w:tcW w:w="3051" w:type="dxa"/>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15565098">
            <w:pPr>
              <w:ind w:left="0" w:leftChars="0" w:right="0" w:rightChars="0" w:firstLine="0" w:firstLineChars="0"/>
              <w:jc w:val="left"/>
              <w:rPr>
                <w:rFonts w:hint="eastAsia" w:ascii="宋体" w:hAnsi="宋体" w:eastAsia="宋体" w:cs="宋体"/>
                <w:b/>
                <w:bCs/>
                <w:i w:val="0"/>
                <w:iCs w:val="0"/>
                <w:color w:val="000000"/>
                <w:sz w:val="18"/>
                <w:szCs w:val="18"/>
                <w:highlight w:val="none"/>
                <w:u w:val="none"/>
              </w:rPr>
            </w:pPr>
          </w:p>
        </w:tc>
        <w:tc>
          <w:tcPr>
            <w:tcW w:w="811" w:type="dxa"/>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037C00D5">
            <w:pPr>
              <w:ind w:left="0" w:leftChars="0" w:right="0" w:rightChars="0" w:firstLine="0" w:firstLineChars="0"/>
              <w:jc w:val="center"/>
              <w:rPr>
                <w:rFonts w:hint="eastAsia" w:ascii="宋体" w:hAnsi="宋体" w:eastAsia="宋体" w:cs="宋体"/>
                <w:b/>
                <w:bCs/>
                <w:i w:val="0"/>
                <w:iCs w:val="0"/>
                <w:color w:val="000000"/>
                <w:sz w:val="18"/>
                <w:szCs w:val="18"/>
                <w:highlight w:val="none"/>
                <w:u w:val="none"/>
              </w:rPr>
            </w:pPr>
          </w:p>
        </w:tc>
        <w:tc>
          <w:tcPr>
            <w:tcW w:w="914"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058D9300">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b/>
                <w:bCs/>
                <w:i w:val="0"/>
                <w:iCs w:val="0"/>
                <w:color w:val="000000"/>
                <w:sz w:val="18"/>
                <w:szCs w:val="18"/>
                <w:highlight w:val="none"/>
                <w:u w:val="none"/>
              </w:rPr>
            </w:pPr>
            <w:r>
              <w:rPr>
                <w:rFonts w:hint="eastAsia" w:ascii="宋体" w:hAnsi="宋体" w:eastAsia="宋体" w:cs="宋体"/>
                <w:b/>
                <w:bCs/>
                <w:i w:val="0"/>
                <w:iCs w:val="0"/>
                <w:color w:val="000000"/>
                <w:kern w:val="0"/>
                <w:sz w:val="18"/>
                <w:szCs w:val="18"/>
                <w:highlight w:val="none"/>
                <w:u w:val="none"/>
                <w:lang w:val="en-US" w:eastAsia="zh-CN" w:bidi="ar"/>
              </w:rPr>
              <w:t>1.000</w:t>
            </w:r>
          </w:p>
        </w:tc>
        <w:tc>
          <w:tcPr>
            <w:tcW w:w="982"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553AE249">
            <w:pPr>
              <w:ind w:left="0" w:leftChars="0" w:right="0" w:rightChars="0" w:firstLine="0" w:firstLineChars="0"/>
              <w:jc w:val="right"/>
              <w:rPr>
                <w:rFonts w:hint="eastAsia" w:ascii="宋体" w:hAnsi="宋体" w:eastAsia="宋体" w:cs="宋体"/>
                <w:b/>
                <w:bCs/>
                <w:i w:val="0"/>
                <w:iCs w:val="0"/>
                <w:color w:val="000000"/>
                <w:sz w:val="18"/>
                <w:szCs w:val="18"/>
                <w:highlight w:val="none"/>
                <w:u w:val="none"/>
              </w:rPr>
            </w:pPr>
          </w:p>
        </w:tc>
        <w:tc>
          <w:tcPr>
            <w:tcW w:w="1190"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3D74C27">
            <w:pPr>
              <w:ind w:left="0" w:leftChars="0" w:right="0" w:rightChars="0" w:firstLine="0" w:firstLineChars="0"/>
              <w:rPr>
                <w:rFonts w:hint="eastAsia" w:ascii="宋体" w:hAnsi="宋体" w:eastAsia="宋体" w:cs="宋体"/>
                <w:i w:val="0"/>
                <w:iCs w:val="0"/>
                <w:color w:val="000000"/>
                <w:sz w:val="20"/>
                <w:szCs w:val="20"/>
                <w:highlight w:val="none"/>
                <w:u w:val="none"/>
              </w:rPr>
            </w:pPr>
          </w:p>
        </w:tc>
      </w:tr>
      <w:tr w14:paraId="3D96013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0" w:hRule="atLeast"/>
        </w:trPr>
        <w:tc>
          <w:tcPr>
            <w:tcW w:w="540"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477C4F95">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7</w:t>
            </w:r>
          </w:p>
        </w:tc>
        <w:tc>
          <w:tcPr>
            <w:tcW w:w="1328" w:type="dxa"/>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BA6E388">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新风风机</w:t>
            </w:r>
          </w:p>
        </w:tc>
        <w:tc>
          <w:tcPr>
            <w:tcW w:w="3051" w:type="dxa"/>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D6C1EF4">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 xml:space="preserve">(1)名称:新风风机，支架吊装 </w:t>
            </w:r>
          </w:p>
          <w:p w14:paraId="5901053A">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 xml:space="preserve">(2)规格:功率5.5KW/380v 风量:10355-17056m3/H </w:t>
            </w:r>
          </w:p>
          <w:p w14:paraId="6E360A23">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(3)减振底座形式、数量:弹簧减震</w:t>
            </w:r>
          </w:p>
        </w:tc>
        <w:tc>
          <w:tcPr>
            <w:tcW w:w="811" w:type="dxa"/>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6C8AB8A1">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台</w:t>
            </w:r>
          </w:p>
        </w:tc>
        <w:tc>
          <w:tcPr>
            <w:tcW w:w="914"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43B022DA">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w:t>
            </w:r>
          </w:p>
        </w:tc>
        <w:tc>
          <w:tcPr>
            <w:tcW w:w="982"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594CE5BA">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12725.69 </w:t>
            </w:r>
          </w:p>
        </w:tc>
        <w:tc>
          <w:tcPr>
            <w:tcW w:w="1190"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01CF7B32">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12725.69 </w:t>
            </w:r>
          </w:p>
        </w:tc>
      </w:tr>
      <w:tr w14:paraId="0E8529C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0" w:hRule="atLeast"/>
        </w:trPr>
        <w:tc>
          <w:tcPr>
            <w:tcW w:w="540"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0A343817">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8</w:t>
            </w:r>
          </w:p>
        </w:tc>
        <w:tc>
          <w:tcPr>
            <w:tcW w:w="1328" w:type="dxa"/>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B949113">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不锈钢板通风管道</w:t>
            </w:r>
          </w:p>
        </w:tc>
        <w:tc>
          <w:tcPr>
            <w:tcW w:w="3051" w:type="dxa"/>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191963C">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1.1.0mm不锈钢新风管道</w:t>
            </w:r>
          </w:p>
          <w:p w14:paraId="1FED2961">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2.钢板矩形风管长边长(mm) ≤2000</w:t>
            </w:r>
          </w:p>
        </w:tc>
        <w:tc>
          <w:tcPr>
            <w:tcW w:w="811" w:type="dxa"/>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694C659B">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m2</w:t>
            </w:r>
          </w:p>
        </w:tc>
        <w:tc>
          <w:tcPr>
            <w:tcW w:w="914"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19A36970">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119.42</w:t>
            </w:r>
          </w:p>
        </w:tc>
        <w:tc>
          <w:tcPr>
            <w:tcW w:w="982"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4E3BC09">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382.60 </w:t>
            </w:r>
          </w:p>
        </w:tc>
        <w:tc>
          <w:tcPr>
            <w:tcW w:w="1190"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EFABCAC">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45690.09 </w:t>
            </w:r>
          </w:p>
        </w:tc>
      </w:tr>
      <w:tr w14:paraId="5AA0642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9" w:hRule="atLeast"/>
        </w:trPr>
        <w:tc>
          <w:tcPr>
            <w:tcW w:w="540"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6212A20C">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9</w:t>
            </w:r>
          </w:p>
        </w:tc>
        <w:tc>
          <w:tcPr>
            <w:tcW w:w="1328" w:type="dxa"/>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4263F90D">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铝及铝合金风口、散流器</w:t>
            </w:r>
          </w:p>
        </w:tc>
        <w:tc>
          <w:tcPr>
            <w:tcW w:w="3051" w:type="dxa"/>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755275A5">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1.400*400铝合金出风口</w:t>
            </w:r>
          </w:p>
        </w:tc>
        <w:tc>
          <w:tcPr>
            <w:tcW w:w="811" w:type="dxa"/>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4428BE0A">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个</w:t>
            </w:r>
          </w:p>
        </w:tc>
        <w:tc>
          <w:tcPr>
            <w:tcW w:w="914"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2DAF97A">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25</w:t>
            </w:r>
          </w:p>
        </w:tc>
        <w:tc>
          <w:tcPr>
            <w:tcW w:w="982"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B5D5CB5">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104.29 </w:t>
            </w:r>
          </w:p>
        </w:tc>
        <w:tc>
          <w:tcPr>
            <w:tcW w:w="1190"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A1DEA7D">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2607.25 </w:t>
            </w:r>
          </w:p>
        </w:tc>
      </w:tr>
      <w:tr w14:paraId="4FBBBC8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1" w:hRule="atLeast"/>
        </w:trPr>
        <w:tc>
          <w:tcPr>
            <w:tcW w:w="540"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1F377D37">
            <w:pPr>
              <w:ind w:left="0" w:leftChars="0" w:right="0" w:rightChars="0" w:firstLine="0" w:firstLineChars="0"/>
              <w:rPr>
                <w:rFonts w:hint="eastAsia" w:ascii="宋体" w:hAnsi="宋体" w:eastAsia="宋体" w:cs="宋体"/>
                <w:b/>
                <w:bCs/>
                <w:i w:val="0"/>
                <w:iCs w:val="0"/>
                <w:color w:val="000000"/>
                <w:sz w:val="20"/>
                <w:szCs w:val="20"/>
                <w:highlight w:val="none"/>
                <w:u w:val="none"/>
              </w:rPr>
            </w:pPr>
          </w:p>
        </w:tc>
        <w:tc>
          <w:tcPr>
            <w:tcW w:w="1328"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1F49117">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b/>
                <w:bCs/>
                <w:i w:val="0"/>
                <w:iCs w:val="0"/>
                <w:color w:val="000000"/>
                <w:sz w:val="20"/>
                <w:szCs w:val="20"/>
                <w:highlight w:val="none"/>
                <w:u w:val="none"/>
              </w:rPr>
            </w:pPr>
            <w:r>
              <w:rPr>
                <w:rFonts w:hint="eastAsia" w:ascii="宋体" w:hAnsi="宋体" w:eastAsia="宋体" w:cs="宋体"/>
                <w:b/>
                <w:bCs/>
                <w:i w:val="0"/>
                <w:iCs w:val="0"/>
                <w:color w:val="000000"/>
                <w:kern w:val="0"/>
                <w:sz w:val="20"/>
                <w:szCs w:val="20"/>
                <w:highlight w:val="none"/>
                <w:u w:val="none"/>
                <w:lang w:val="en-US" w:eastAsia="zh-CN" w:bidi="ar"/>
              </w:rPr>
              <w:t>厨房水电改造</w:t>
            </w:r>
          </w:p>
        </w:tc>
        <w:tc>
          <w:tcPr>
            <w:tcW w:w="305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4C654840">
            <w:pPr>
              <w:ind w:left="0" w:leftChars="0" w:right="0" w:rightChars="0" w:firstLine="0" w:firstLineChars="0"/>
              <w:rPr>
                <w:rFonts w:hint="eastAsia" w:ascii="宋体" w:hAnsi="宋体" w:eastAsia="宋体" w:cs="宋体"/>
                <w:b/>
                <w:bCs/>
                <w:i w:val="0"/>
                <w:iCs w:val="0"/>
                <w:color w:val="000000"/>
                <w:sz w:val="20"/>
                <w:szCs w:val="20"/>
                <w:highlight w:val="none"/>
                <w:u w:val="none"/>
              </w:rPr>
            </w:pPr>
          </w:p>
        </w:tc>
        <w:tc>
          <w:tcPr>
            <w:tcW w:w="81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3AB0A40A">
            <w:pPr>
              <w:ind w:left="0" w:leftChars="0" w:right="0" w:rightChars="0" w:firstLine="0" w:firstLineChars="0"/>
              <w:rPr>
                <w:rFonts w:hint="eastAsia" w:ascii="宋体" w:hAnsi="宋体" w:eastAsia="宋体" w:cs="宋体"/>
                <w:b/>
                <w:bCs/>
                <w:i w:val="0"/>
                <w:iCs w:val="0"/>
                <w:color w:val="000000"/>
                <w:sz w:val="20"/>
                <w:szCs w:val="20"/>
                <w:highlight w:val="none"/>
                <w:u w:val="none"/>
              </w:rPr>
            </w:pPr>
          </w:p>
        </w:tc>
        <w:tc>
          <w:tcPr>
            <w:tcW w:w="914"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75BB6682">
            <w:pPr>
              <w:ind w:left="0" w:leftChars="0" w:right="0" w:rightChars="0" w:firstLine="0" w:firstLineChars="0"/>
              <w:jc w:val="center"/>
              <w:rPr>
                <w:rFonts w:hint="eastAsia" w:ascii="宋体" w:hAnsi="宋体" w:eastAsia="宋体" w:cs="宋体"/>
                <w:b/>
                <w:bCs/>
                <w:i w:val="0"/>
                <w:iCs w:val="0"/>
                <w:color w:val="000000"/>
                <w:sz w:val="20"/>
                <w:szCs w:val="20"/>
                <w:highlight w:val="none"/>
                <w:u w:val="none"/>
              </w:rPr>
            </w:pPr>
          </w:p>
        </w:tc>
        <w:tc>
          <w:tcPr>
            <w:tcW w:w="982"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012015B7">
            <w:pPr>
              <w:ind w:left="0" w:leftChars="0" w:right="0" w:rightChars="0" w:firstLine="0" w:firstLineChars="0"/>
              <w:rPr>
                <w:rFonts w:hint="eastAsia" w:ascii="宋体" w:hAnsi="宋体" w:eastAsia="宋体" w:cs="宋体"/>
                <w:b/>
                <w:bCs/>
                <w:i w:val="0"/>
                <w:iCs w:val="0"/>
                <w:color w:val="000000"/>
                <w:sz w:val="20"/>
                <w:szCs w:val="20"/>
                <w:highlight w:val="none"/>
                <w:u w:val="none"/>
              </w:rPr>
            </w:pPr>
          </w:p>
        </w:tc>
        <w:tc>
          <w:tcPr>
            <w:tcW w:w="1190"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05B99497">
            <w:pPr>
              <w:ind w:left="0" w:leftChars="0" w:right="0" w:rightChars="0" w:firstLine="0" w:firstLineChars="0"/>
              <w:rPr>
                <w:rFonts w:hint="eastAsia" w:ascii="宋体" w:hAnsi="宋体" w:eastAsia="宋体" w:cs="宋体"/>
                <w:b/>
                <w:bCs/>
                <w:i w:val="0"/>
                <w:iCs w:val="0"/>
                <w:color w:val="000000"/>
                <w:sz w:val="20"/>
                <w:szCs w:val="20"/>
                <w:highlight w:val="none"/>
                <w:u w:val="none"/>
              </w:rPr>
            </w:pPr>
          </w:p>
        </w:tc>
      </w:tr>
      <w:tr w14:paraId="5E00645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792" w:hRule="atLeast"/>
        </w:trPr>
        <w:tc>
          <w:tcPr>
            <w:tcW w:w="540"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0C956C33">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10</w:t>
            </w:r>
          </w:p>
        </w:tc>
        <w:tc>
          <w:tcPr>
            <w:tcW w:w="1328" w:type="dxa"/>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975A49C">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厨房水电改造（含人工、材料）</w:t>
            </w:r>
          </w:p>
        </w:tc>
        <w:tc>
          <w:tcPr>
            <w:tcW w:w="3051" w:type="dxa"/>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6786DB13">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20"/>
                <w:szCs w:val="20"/>
                <w:highlight w:val="none"/>
                <w:u w:val="none"/>
                <w:lang w:val="en-US" w:eastAsia="zh-CN" w:bidi="ar"/>
              </w:rPr>
            </w:pPr>
            <w:r>
              <w:rPr>
                <w:rFonts w:hint="eastAsia" w:ascii="宋体" w:hAnsi="宋体" w:eastAsia="宋体" w:cs="宋体"/>
                <w:i w:val="0"/>
                <w:iCs w:val="0"/>
                <w:color w:val="000000"/>
                <w:kern w:val="0"/>
                <w:sz w:val="20"/>
                <w:szCs w:val="20"/>
                <w:highlight w:val="none"/>
                <w:u w:val="none"/>
                <w:lang w:val="en-US" w:eastAsia="zh-CN" w:bidi="ar"/>
              </w:rPr>
              <w:t>1.原有水电点位改造移位或新增点位回路改造；</w:t>
            </w:r>
          </w:p>
          <w:p w14:paraId="63901654">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20"/>
                <w:szCs w:val="20"/>
                <w:highlight w:val="none"/>
                <w:u w:val="none"/>
                <w:lang w:val="en-US" w:eastAsia="zh-CN" w:bidi="ar"/>
              </w:rPr>
            </w:pPr>
            <w:r>
              <w:rPr>
                <w:rFonts w:hint="eastAsia" w:ascii="宋体" w:hAnsi="宋体" w:eastAsia="宋体" w:cs="宋体"/>
                <w:i w:val="0"/>
                <w:iCs w:val="0"/>
                <w:color w:val="000000"/>
                <w:kern w:val="0"/>
                <w:sz w:val="20"/>
                <w:szCs w:val="20"/>
                <w:highlight w:val="none"/>
                <w:u w:val="none"/>
                <w:lang w:val="en-US" w:eastAsia="zh-CN" w:bidi="ar"/>
              </w:rPr>
              <w:t>2.含墙面开槽修复及开槽处涂刷防水等；</w:t>
            </w:r>
          </w:p>
          <w:p w14:paraId="3FE87B17">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kern w:val="0"/>
                <w:sz w:val="20"/>
                <w:szCs w:val="20"/>
                <w:highlight w:val="none"/>
                <w:u w:val="none"/>
                <w:lang w:val="en-US" w:eastAsia="zh-CN" w:bidi="ar"/>
              </w:rPr>
            </w:pPr>
            <w:r>
              <w:rPr>
                <w:rFonts w:hint="eastAsia" w:ascii="宋体" w:hAnsi="宋体" w:eastAsia="宋体" w:cs="宋体"/>
                <w:i w:val="0"/>
                <w:iCs w:val="0"/>
                <w:color w:val="000000"/>
                <w:kern w:val="0"/>
                <w:sz w:val="20"/>
                <w:szCs w:val="20"/>
                <w:highlight w:val="none"/>
                <w:u w:val="none"/>
                <w:lang w:val="en-US" w:eastAsia="zh-CN" w:bidi="ar"/>
              </w:rPr>
              <w:t>3.含灭火系统采购安装一套等；</w:t>
            </w:r>
          </w:p>
          <w:p w14:paraId="634EF6CD">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灭火系统：1、双瓶组保护范围6--10米烟罩、保护八个灶眼；2、具有控制外部设备的接线端子及将装置启动信号传送给消防中心室；3、感温器触点温度183℃，适用温度4-55℃，喷嘴数量根据烟置长度进行布置，对厨房灶台烟置全覆盖保护，仅需3-8秒钟完成灭火；4、具有水冷却功能的装置，在设备启动时100%打开自来水进行降温处理，在灭火剂完全喷射后，水流联动调能立即启动开启，同时具有关闭燃气或燃油供应功能；5、设有应急启动装置，当手动，自动启动不成功时，用手一拉，便能扑灭火情；3、产品质保期为壹年，药剂质保期六年。</w:t>
            </w:r>
          </w:p>
        </w:tc>
        <w:tc>
          <w:tcPr>
            <w:tcW w:w="811"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09ECA24D">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项</w:t>
            </w:r>
          </w:p>
        </w:tc>
        <w:tc>
          <w:tcPr>
            <w:tcW w:w="914"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278CDB9A">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982"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6D907FCC">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 xml:space="preserve">36000.00 </w:t>
            </w:r>
          </w:p>
        </w:tc>
        <w:tc>
          <w:tcPr>
            <w:tcW w:w="1190"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14:paraId="2D0B269E">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36000.00 </w:t>
            </w:r>
          </w:p>
        </w:tc>
      </w:tr>
    </w:tbl>
    <w:p w14:paraId="5BB0C38A">
      <w:pPr>
        <w:keepNext w:val="0"/>
        <w:keepLines w:val="0"/>
        <w:pageBreakBefore w:val="0"/>
        <w:widowControl/>
        <w:kinsoku/>
        <w:wordWrap/>
        <w:overflowPunct/>
        <w:topLinePunct w:val="0"/>
        <w:autoSpaceDE/>
        <w:autoSpaceDN/>
        <w:bidi w:val="0"/>
        <w:adjustRightInd/>
        <w:snapToGrid/>
        <w:spacing w:after="0" w:line="360" w:lineRule="auto"/>
        <w:jc w:val="left"/>
        <w:textAlignment w:val="auto"/>
        <w:rPr>
          <w:rFonts w:ascii="宋体" w:hAnsi="宋体" w:cs="宋体"/>
          <w:b/>
          <w:bCs/>
          <w:szCs w:val="21"/>
          <w:highlight w:val="none"/>
        </w:rPr>
      </w:pPr>
      <w:r>
        <w:rPr>
          <w:rFonts w:asciiTheme="minorEastAsia" w:hAnsiTheme="minorEastAsia" w:eastAsiaTheme="minorEastAsia"/>
          <w:szCs w:val="21"/>
          <w:highlight w:val="none"/>
        </w:rPr>
        <w:t>注：</w:t>
      </w:r>
      <w:r>
        <w:rPr>
          <w:rFonts w:hint="eastAsia" w:asciiTheme="minorEastAsia" w:hAnsiTheme="minorEastAsia" w:eastAsiaTheme="minorEastAsia"/>
          <w:szCs w:val="21"/>
          <w:highlight w:val="none"/>
        </w:rPr>
        <w:t>以上产品如涉及到品牌或型号，仅起参数说明作用，不指定品牌，但供应商所投产品的参数必须等于或优于上述参数要求</w:t>
      </w:r>
      <w:r>
        <w:rPr>
          <w:rFonts w:hint="eastAsia" w:ascii="宋体" w:hAnsi="宋体" w:cs="宋体"/>
          <w:szCs w:val="21"/>
          <w:highlight w:val="none"/>
        </w:rPr>
        <w:t>。</w:t>
      </w:r>
    </w:p>
    <w:p w14:paraId="1659EAE6">
      <w:pPr>
        <w:rPr>
          <w:highlight w:val="none"/>
        </w:rPr>
        <w:sectPr>
          <w:footerReference r:id="rId17" w:type="default"/>
          <w:pgSz w:w="11906" w:h="16838"/>
          <w:pgMar w:top="1440" w:right="1797" w:bottom="1440" w:left="1797" w:header="851" w:footer="992" w:gutter="0"/>
          <w:pgBorders>
            <w:top w:val="none" w:sz="0" w:space="0"/>
            <w:left w:val="none" w:sz="0" w:space="0"/>
            <w:bottom w:val="none" w:sz="0" w:space="0"/>
            <w:right w:val="none" w:sz="0" w:space="0"/>
          </w:pgBorders>
          <w:cols w:space="0" w:num="1"/>
          <w:titlePg/>
          <w:docGrid w:type="linesAndChars" w:linePitch="312" w:charSpace="640"/>
        </w:sectPr>
      </w:pPr>
    </w:p>
    <w:p w14:paraId="388060DC">
      <w:pPr>
        <w:pStyle w:val="2"/>
        <w:jc w:val="center"/>
        <w:rPr>
          <w:rFonts w:ascii="黑体" w:hAnsi="黑体" w:eastAsia="黑体"/>
          <w:sz w:val="28"/>
          <w:szCs w:val="28"/>
          <w:highlight w:val="none"/>
        </w:rPr>
      </w:pPr>
      <w:bookmarkStart w:id="138" w:name="_Toc192949742"/>
      <w:bookmarkStart w:id="139" w:name="_Toc192951253"/>
      <w:bookmarkStart w:id="140" w:name="_Toc112704984"/>
      <w:bookmarkStart w:id="141" w:name="_Toc17069"/>
      <w:bookmarkStart w:id="142" w:name="_Toc20962"/>
      <w:bookmarkStart w:id="143" w:name="_Toc200569680"/>
      <w:bookmarkStart w:id="144" w:name="_Toc23063"/>
      <w:bookmarkStart w:id="145" w:name="_Toc32524"/>
      <w:r>
        <w:rPr>
          <w:rFonts w:hint="eastAsia" w:ascii="黑体" w:hAnsi="黑体" w:eastAsia="黑体"/>
          <w:sz w:val="28"/>
          <w:szCs w:val="28"/>
          <w:highlight w:val="none"/>
        </w:rPr>
        <w:t>第三节 商务</w:t>
      </w:r>
      <w:r>
        <w:rPr>
          <w:rFonts w:ascii="黑体" w:hAnsi="黑体" w:eastAsia="黑体"/>
          <w:sz w:val="28"/>
          <w:szCs w:val="28"/>
          <w:highlight w:val="none"/>
        </w:rPr>
        <w:t>要求</w:t>
      </w:r>
      <w:bookmarkEnd w:id="138"/>
      <w:bookmarkEnd w:id="139"/>
      <w:bookmarkEnd w:id="140"/>
      <w:bookmarkEnd w:id="141"/>
      <w:bookmarkEnd w:id="142"/>
      <w:bookmarkEnd w:id="143"/>
      <w:bookmarkEnd w:id="144"/>
      <w:bookmarkEnd w:id="145"/>
    </w:p>
    <w:p w14:paraId="4A16EDC7">
      <w:pPr>
        <w:keepNext w:val="0"/>
        <w:keepLines w:val="0"/>
        <w:pageBreakBefore w:val="0"/>
        <w:kinsoku/>
        <w:wordWrap/>
        <w:overflowPunct/>
        <w:topLinePunct w:val="0"/>
        <w:autoSpaceDE/>
        <w:autoSpaceDN/>
        <w:bidi w:val="0"/>
        <w:adjustRightInd w:val="0"/>
        <w:snapToGrid w:val="0"/>
        <w:spacing w:after="0" w:line="360" w:lineRule="auto"/>
        <w:ind w:firstLine="422" w:firstLineChars="200"/>
        <w:textAlignment w:val="auto"/>
        <w:rPr>
          <w:rFonts w:ascii="宋体" w:hAnsi="宋体"/>
          <w:b/>
          <w:szCs w:val="21"/>
          <w:highlight w:val="none"/>
        </w:rPr>
      </w:pPr>
      <w:r>
        <w:rPr>
          <w:rFonts w:hint="eastAsia" w:ascii="宋体" w:hAnsi="宋体"/>
          <w:b/>
          <w:szCs w:val="21"/>
          <w:highlight w:val="none"/>
        </w:rPr>
        <w:t>一、采购要求：</w:t>
      </w:r>
    </w:p>
    <w:p w14:paraId="7B3E412F">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ascii="宋体" w:hAnsi="宋体"/>
          <w:szCs w:val="21"/>
          <w:highlight w:val="none"/>
        </w:rPr>
      </w:pPr>
      <w:r>
        <w:rPr>
          <w:rFonts w:hint="eastAsia" w:ascii="宋体" w:hAnsi="宋体"/>
          <w:szCs w:val="21"/>
          <w:highlight w:val="none"/>
        </w:rPr>
        <w:t>1、交货期：合同签订后60天内交货，并安装调试验收合格交付使用。</w:t>
      </w:r>
    </w:p>
    <w:p w14:paraId="768B20E5">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ascii="宋体" w:hAnsi="宋体"/>
          <w:szCs w:val="21"/>
          <w:highlight w:val="none"/>
        </w:rPr>
      </w:pPr>
      <w:r>
        <w:rPr>
          <w:rFonts w:hint="eastAsia" w:ascii="宋体" w:hAnsi="宋体"/>
          <w:szCs w:val="21"/>
          <w:highlight w:val="none"/>
        </w:rPr>
        <w:t>2、项目现场：采购人指定地点</w:t>
      </w:r>
    </w:p>
    <w:p w14:paraId="099E9488">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ascii="宋体" w:hAnsi="宋体"/>
          <w:szCs w:val="21"/>
          <w:highlight w:val="none"/>
        </w:rPr>
      </w:pPr>
      <w:r>
        <w:rPr>
          <w:rFonts w:hint="eastAsia" w:ascii="宋体" w:hAnsi="宋体"/>
          <w:szCs w:val="21"/>
          <w:highlight w:val="none"/>
        </w:rPr>
        <w:t>3、交货方式：供应商负责运输，装卸、保管等；</w:t>
      </w:r>
    </w:p>
    <w:p w14:paraId="3258A389">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cs="宋体"/>
          <w:color w:val="C00000"/>
          <w:szCs w:val="21"/>
          <w:highlight w:val="none"/>
        </w:rPr>
      </w:pPr>
      <w:r>
        <w:rPr>
          <w:rFonts w:hint="eastAsia" w:ascii="宋体" w:hAnsi="宋体"/>
          <w:szCs w:val="21"/>
          <w:highlight w:val="none"/>
        </w:rPr>
        <w:t>4、付款方式</w:t>
      </w:r>
      <w:r>
        <w:rPr>
          <w:rFonts w:hint="eastAsia" w:ascii="宋体" w:hAnsi="宋体" w:cs="Times New Roman"/>
          <w:szCs w:val="21"/>
          <w:highlight w:val="none"/>
        </w:rPr>
        <w:t>：货物全部到达采购人指定地点并经采购人验收合格后，支付合同金额的50%；货物安装完毕，调试运行良好并交付给采购人后支付剩余款项。履约保证金待质保期满后无质量问题一次性退回。</w:t>
      </w:r>
    </w:p>
    <w:p w14:paraId="6221B802">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ascii="宋体" w:hAnsi="宋体"/>
          <w:szCs w:val="21"/>
          <w:highlight w:val="none"/>
        </w:rPr>
      </w:pPr>
      <w:r>
        <w:rPr>
          <w:rFonts w:hint="eastAsia" w:ascii="宋体" w:hAnsi="宋体"/>
          <w:szCs w:val="21"/>
          <w:highlight w:val="none"/>
        </w:rPr>
        <w:t>5、</w:t>
      </w:r>
      <w:r>
        <w:rPr>
          <w:rFonts w:hint="eastAsia" w:ascii="宋体" w:hAnsi="宋体" w:cs="宋体"/>
          <w:szCs w:val="21"/>
          <w:highlight w:val="none"/>
        </w:rPr>
        <w:t>本项目采用费用包干方式，供应商应根据项目要求及实际需求，详细列明项目所需的设备及材料购置，以及产品运输保险保管、产品安装、验收、质保期免费保修维护、运费、税金等所有人工、管理、财务等费用，如一旦中标，在项目实施中出现任何遗漏，均由中标人免费提供，采购人不再支付任何费用</w:t>
      </w:r>
      <w:r>
        <w:rPr>
          <w:rFonts w:hint="eastAsia" w:ascii="宋体" w:hAnsi="宋体"/>
          <w:szCs w:val="21"/>
          <w:highlight w:val="none"/>
        </w:rPr>
        <w:t>。</w:t>
      </w:r>
    </w:p>
    <w:p w14:paraId="090F4400">
      <w:pPr>
        <w:keepNext w:val="0"/>
        <w:keepLines w:val="0"/>
        <w:pageBreakBefore w:val="0"/>
        <w:kinsoku/>
        <w:wordWrap/>
        <w:overflowPunct/>
        <w:topLinePunct w:val="0"/>
        <w:autoSpaceDE/>
        <w:autoSpaceDN/>
        <w:bidi w:val="0"/>
        <w:spacing w:after="0" w:line="360" w:lineRule="auto"/>
        <w:ind w:firstLine="422" w:firstLineChars="200"/>
        <w:textAlignment w:val="auto"/>
        <w:rPr>
          <w:rFonts w:ascii="宋体" w:hAnsi="宋体"/>
          <w:b/>
          <w:szCs w:val="21"/>
          <w:highlight w:val="none"/>
        </w:rPr>
      </w:pPr>
      <w:r>
        <w:rPr>
          <w:rFonts w:hint="eastAsia" w:ascii="宋体" w:hAnsi="宋体"/>
          <w:b/>
          <w:szCs w:val="21"/>
          <w:highlight w:val="none"/>
        </w:rPr>
        <w:t>二、其他要求：</w:t>
      </w:r>
    </w:p>
    <w:p w14:paraId="44CA7BC1">
      <w:pPr>
        <w:keepNext w:val="0"/>
        <w:keepLines w:val="0"/>
        <w:pageBreakBefore w:val="0"/>
        <w:kinsoku/>
        <w:wordWrap/>
        <w:overflowPunct/>
        <w:topLinePunct w:val="0"/>
        <w:autoSpaceDE/>
        <w:autoSpaceDN/>
        <w:bidi w:val="0"/>
        <w:spacing w:after="0" w:line="360" w:lineRule="auto"/>
        <w:ind w:firstLine="422" w:firstLineChars="200"/>
        <w:textAlignment w:val="auto"/>
        <w:rPr>
          <w:rFonts w:ascii="宋体"/>
          <w:b/>
          <w:bCs/>
          <w:szCs w:val="21"/>
          <w:highlight w:val="none"/>
        </w:rPr>
      </w:pPr>
      <w:r>
        <w:rPr>
          <w:rFonts w:hint="eastAsia" w:ascii="宋体"/>
          <w:b/>
          <w:bCs/>
          <w:szCs w:val="21"/>
          <w:highlight w:val="none"/>
        </w:rPr>
        <w:t>1．产品运输、保险及保管</w:t>
      </w:r>
    </w:p>
    <w:p w14:paraId="01F243BC">
      <w:pPr>
        <w:keepNext w:val="0"/>
        <w:keepLines w:val="0"/>
        <w:pageBreakBefore w:val="0"/>
        <w:kinsoku/>
        <w:wordWrap/>
        <w:overflowPunct/>
        <w:topLinePunct w:val="0"/>
        <w:autoSpaceDE/>
        <w:autoSpaceDN/>
        <w:bidi w:val="0"/>
        <w:spacing w:after="0" w:line="360" w:lineRule="auto"/>
        <w:ind w:firstLine="420" w:firstLineChars="200"/>
        <w:textAlignment w:val="auto"/>
        <w:rPr>
          <w:rFonts w:ascii="宋体"/>
          <w:bCs/>
          <w:szCs w:val="21"/>
          <w:highlight w:val="none"/>
        </w:rPr>
      </w:pPr>
      <w:r>
        <w:rPr>
          <w:rFonts w:hint="eastAsia" w:ascii="宋体"/>
          <w:bCs/>
          <w:szCs w:val="21"/>
          <w:highlight w:val="none"/>
        </w:rPr>
        <w:t>1.1中标人负责产品到实施地点的全部运输，包括装卸及现场搬运等。</w:t>
      </w:r>
    </w:p>
    <w:p w14:paraId="07CBE449">
      <w:pPr>
        <w:keepNext w:val="0"/>
        <w:keepLines w:val="0"/>
        <w:pageBreakBefore w:val="0"/>
        <w:kinsoku/>
        <w:wordWrap/>
        <w:overflowPunct/>
        <w:topLinePunct w:val="0"/>
        <w:autoSpaceDE/>
        <w:autoSpaceDN/>
        <w:bidi w:val="0"/>
        <w:spacing w:after="0" w:line="360" w:lineRule="auto"/>
        <w:ind w:firstLine="420" w:firstLineChars="200"/>
        <w:textAlignment w:val="auto"/>
        <w:rPr>
          <w:rFonts w:ascii="宋体"/>
          <w:bCs/>
          <w:szCs w:val="21"/>
          <w:highlight w:val="none"/>
        </w:rPr>
      </w:pPr>
      <w:r>
        <w:rPr>
          <w:rFonts w:hint="eastAsia" w:ascii="宋体"/>
          <w:bCs/>
          <w:szCs w:val="21"/>
          <w:highlight w:val="none"/>
        </w:rPr>
        <w:t>1.2中标人负责产品在实施地点的保管，直至项目验收合格。</w:t>
      </w:r>
    </w:p>
    <w:p w14:paraId="2BF19008">
      <w:pPr>
        <w:keepNext w:val="0"/>
        <w:keepLines w:val="0"/>
        <w:pageBreakBefore w:val="0"/>
        <w:kinsoku/>
        <w:wordWrap/>
        <w:overflowPunct/>
        <w:topLinePunct w:val="0"/>
        <w:autoSpaceDE/>
        <w:autoSpaceDN/>
        <w:bidi w:val="0"/>
        <w:spacing w:after="0" w:line="360" w:lineRule="auto"/>
        <w:ind w:firstLine="420" w:firstLineChars="200"/>
        <w:textAlignment w:val="auto"/>
        <w:rPr>
          <w:rFonts w:ascii="宋体"/>
          <w:bCs/>
          <w:szCs w:val="21"/>
          <w:highlight w:val="none"/>
        </w:rPr>
      </w:pPr>
      <w:r>
        <w:rPr>
          <w:rFonts w:hint="eastAsia" w:ascii="宋体"/>
          <w:bCs/>
          <w:szCs w:val="21"/>
          <w:highlight w:val="none"/>
        </w:rPr>
        <w:t>1.3中标人负责其派出的项目实施人员的人身意外保险。</w:t>
      </w:r>
    </w:p>
    <w:p w14:paraId="7A9EA1A7">
      <w:pPr>
        <w:keepNext w:val="0"/>
        <w:keepLines w:val="0"/>
        <w:pageBreakBefore w:val="0"/>
        <w:kinsoku/>
        <w:wordWrap/>
        <w:overflowPunct/>
        <w:topLinePunct w:val="0"/>
        <w:autoSpaceDE/>
        <w:autoSpaceDN/>
        <w:bidi w:val="0"/>
        <w:spacing w:after="0" w:line="360" w:lineRule="auto"/>
        <w:ind w:firstLine="422" w:firstLineChars="200"/>
        <w:textAlignment w:val="auto"/>
        <w:rPr>
          <w:rFonts w:ascii="宋体"/>
          <w:b/>
          <w:bCs/>
          <w:color w:val="000000"/>
          <w:szCs w:val="21"/>
          <w:highlight w:val="none"/>
        </w:rPr>
      </w:pPr>
      <w:r>
        <w:rPr>
          <w:rFonts w:hint="eastAsia" w:ascii="宋体"/>
          <w:b/>
          <w:bCs/>
          <w:color w:val="000000"/>
          <w:szCs w:val="21"/>
          <w:highlight w:val="none"/>
        </w:rPr>
        <w:t>2.安装调试</w:t>
      </w:r>
    </w:p>
    <w:p w14:paraId="7060E771">
      <w:pPr>
        <w:keepNext w:val="0"/>
        <w:keepLines w:val="0"/>
        <w:pageBreakBefore w:val="0"/>
        <w:kinsoku/>
        <w:wordWrap/>
        <w:overflowPunct/>
        <w:topLinePunct w:val="0"/>
        <w:autoSpaceDE/>
        <w:autoSpaceDN/>
        <w:bidi w:val="0"/>
        <w:spacing w:after="0" w:line="360" w:lineRule="auto"/>
        <w:ind w:firstLine="420" w:firstLineChars="200"/>
        <w:textAlignment w:val="auto"/>
        <w:rPr>
          <w:rFonts w:ascii="宋体"/>
          <w:bCs/>
          <w:color w:val="000000"/>
          <w:szCs w:val="21"/>
          <w:highlight w:val="none"/>
        </w:rPr>
      </w:pPr>
      <w:r>
        <w:rPr>
          <w:rFonts w:hint="eastAsia" w:ascii="宋体"/>
          <w:bCs/>
          <w:color w:val="000000"/>
          <w:szCs w:val="21"/>
          <w:highlight w:val="none"/>
        </w:rPr>
        <w:t>2.1中标人须负责所有设备的安装调试，在项目实施过程中须加强项目实施的组织管理，所有人员应遵守有关规章制度。</w:t>
      </w:r>
      <w:r>
        <w:rPr>
          <w:rFonts w:hint="eastAsia" w:ascii="宋体" w:hAnsi="宋体" w:cs="宋体"/>
          <w:snapToGrid w:val="0"/>
          <w:color w:val="auto"/>
          <w:spacing w:val="-4"/>
          <w:kern w:val="0"/>
          <w:szCs w:val="21"/>
          <w:highlight w:val="none"/>
        </w:rPr>
        <w:t>中标人应自行采取一切有效的措施做好安全防护、警戒、照明、告示、安全保卫等措施，凡在施工中因中标人原因造成的一切安全事故的责任和损失概由中标人负责，采购人概不承担任何责任。</w:t>
      </w:r>
    </w:p>
    <w:p w14:paraId="4E0541DC">
      <w:pPr>
        <w:keepNext w:val="0"/>
        <w:keepLines w:val="0"/>
        <w:pageBreakBefore w:val="0"/>
        <w:kinsoku/>
        <w:wordWrap/>
        <w:overflowPunct/>
        <w:topLinePunct w:val="0"/>
        <w:autoSpaceDE/>
        <w:autoSpaceDN/>
        <w:bidi w:val="0"/>
        <w:spacing w:after="0" w:line="360" w:lineRule="auto"/>
        <w:ind w:firstLine="420" w:firstLineChars="200"/>
        <w:textAlignment w:val="auto"/>
        <w:rPr>
          <w:rFonts w:ascii="宋体"/>
          <w:bCs/>
          <w:color w:val="000000"/>
          <w:szCs w:val="21"/>
          <w:highlight w:val="none"/>
        </w:rPr>
      </w:pPr>
      <w:r>
        <w:rPr>
          <w:rFonts w:hint="eastAsia" w:ascii="宋体"/>
          <w:bCs/>
          <w:color w:val="000000"/>
          <w:szCs w:val="21"/>
          <w:highlight w:val="none"/>
        </w:rPr>
        <w:t>2.2项目完成后，中标人应将项目有关的全部资料，包括产品资料、技术文档等移交采购人。</w:t>
      </w:r>
    </w:p>
    <w:p w14:paraId="55E955C2">
      <w:pPr>
        <w:keepNext w:val="0"/>
        <w:keepLines w:val="0"/>
        <w:pageBreakBefore w:val="0"/>
        <w:kinsoku/>
        <w:wordWrap/>
        <w:overflowPunct/>
        <w:topLinePunct w:val="0"/>
        <w:autoSpaceDE/>
        <w:autoSpaceDN/>
        <w:bidi w:val="0"/>
        <w:spacing w:after="0" w:line="360" w:lineRule="auto"/>
        <w:ind w:firstLine="420" w:firstLineChars="200"/>
        <w:textAlignment w:val="auto"/>
        <w:rPr>
          <w:rFonts w:ascii="宋体"/>
          <w:bCs/>
          <w:color w:val="000000"/>
          <w:szCs w:val="21"/>
          <w:highlight w:val="none"/>
        </w:rPr>
      </w:pPr>
      <w:r>
        <w:rPr>
          <w:rFonts w:hint="eastAsia" w:ascii="宋体"/>
          <w:bCs/>
          <w:color w:val="000000"/>
          <w:szCs w:val="21"/>
          <w:highlight w:val="none"/>
        </w:rPr>
        <w:t>2</w:t>
      </w:r>
      <w:r>
        <w:rPr>
          <w:rFonts w:ascii="宋体"/>
          <w:bCs/>
          <w:color w:val="000000"/>
          <w:szCs w:val="21"/>
          <w:highlight w:val="none"/>
        </w:rPr>
        <w:t>.</w:t>
      </w:r>
      <w:r>
        <w:rPr>
          <w:rFonts w:hint="eastAsia" w:ascii="宋体"/>
          <w:bCs/>
          <w:color w:val="000000"/>
          <w:szCs w:val="21"/>
          <w:highlight w:val="none"/>
        </w:rPr>
        <w:t>3</w:t>
      </w:r>
      <w:r>
        <w:rPr>
          <w:rFonts w:ascii="宋体"/>
          <w:bCs/>
          <w:color w:val="000000"/>
          <w:szCs w:val="21"/>
          <w:highlight w:val="none"/>
        </w:rPr>
        <w:t>本项目为交钥匙工程，如招标文件中遗漏了必须具备的设备、配件或服务，请投标人在投标文件中指出，并提出解决方案供采购人参考；中标人有义务保证采购</w:t>
      </w:r>
      <w:r>
        <w:rPr>
          <w:rFonts w:hint="eastAsia" w:ascii="宋体"/>
          <w:bCs/>
          <w:color w:val="000000"/>
          <w:szCs w:val="21"/>
          <w:highlight w:val="none"/>
        </w:rPr>
        <w:t>项目</w:t>
      </w:r>
      <w:r>
        <w:rPr>
          <w:rFonts w:ascii="宋体"/>
          <w:bCs/>
          <w:color w:val="000000"/>
          <w:szCs w:val="21"/>
          <w:highlight w:val="none"/>
        </w:rPr>
        <w:t>的完整性，如项目实施过程中因缺少设备、配件或服务导致采购人无法正常</w:t>
      </w:r>
      <w:r>
        <w:rPr>
          <w:rFonts w:hint="eastAsia" w:ascii="宋体"/>
          <w:bCs/>
          <w:color w:val="000000"/>
          <w:szCs w:val="21"/>
          <w:highlight w:val="none"/>
        </w:rPr>
        <w:t>使用</w:t>
      </w:r>
      <w:r>
        <w:rPr>
          <w:rFonts w:ascii="宋体"/>
          <w:bCs/>
          <w:color w:val="000000"/>
          <w:szCs w:val="21"/>
          <w:highlight w:val="none"/>
        </w:rPr>
        <w:t>，中标人须承诺免费提供。</w:t>
      </w:r>
    </w:p>
    <w:p w14:paraId="285BF492">
      <w:pPr>
        <w:keepNext w:val="0"/>
        <w:keepLines w:val="0"/>
        <w:pageBreakBefore w:val="0"/>
        <w:kinsoku/>
        <w:wordWrap/>
        <w:overflowPunct/>
        <w:topLinePunct w:val="0"/>
        <w:autoSpaceDE/>
        <w:autoSpaceDN/>
        <w:bidi w:val="0"/>
        <w:spacing w:after="0" w:line="360" w:lineRule="auto"/>
        <w:ind w:firstLine="422" w:firstLineChars="200"/>
        <w:textAlignment w:val="auto"/>
        <w:rPr>
          <w:rFonts w:ascii="宋体"/>
          <w:b/>
          <w:bCs/>
          <w:color w:val="000000"/>
          <w:szCs w:val="21"/>
          <w:highlight w:val="none"/>
        </w:rPr>
      </w:pPr>
      <w:r>
        <w:rPr>
          <w:rFonts w:hint="eastAsia" w:ascii="宋体"/>
          <w:b/>
          <w:bCs/>
          <w:color w:val="000000"/>
          <w:szCs w:val="21"/>
          <w:highlight w:val="none"/>
        </w:rPr>
        <w:t>3.测试验收</w:t>
      </w:r>
    </w:p>
    <w:p w14:paraId="27298D79">
      <w:pPr>
        <w:keepNext w:val="0"/>
        <w:keepLines w:val="0"/>
        <w:pageBreakBefore w:val="0"/>
        <w:kinsoku/>
        <w:wordWrap/>
        <w:overflowPunct/>
        <w:topLinePunct w:val="0"/>
        <w:autoSpaceDE/>
        <w:autoSpaceDN/>
        <w:bidi w:val="0"/>
        <w:spacing w:after="0" w:line="360" w:lineRule="auto"/>
        <w:ind w:firstLine="420" w:firstLineChars="200"/>
        <w:textAlignment w:val="auto"/>
        <w:rPr>
          <w:rFonts w:ascii="宋体"/>
          <w:color w:val="000000"/>
          <w:szCs w:val="21"/>
          <w:highlight w:val="none"/>
        </w:rPr>
      </w:pPr>
      <w:r>
        <w:rPr>
          <w:rFonts w:hint="eastAsia" w:ascii="宋体"/>
          <w:bCs/>
          <w:color w:val="000000"/>
          <w:szCs w:val="21"/>
          <w:highlight w:val="none"/>
        </w:rPr>
        <w:t>3.1项目验收</w:t>
      </w:r>
      <w:r>
        <w:rPr>
          <w:rFonts w:hint="eastAsia" w:ascii="宋体"/>
          <w:color w:val="000000"/>
          <w:szCs w:val="21"/>
          <w:highlight w:val="none"/>
        </w:rPr>
        <w:t>国家有强制性规定的，按国家规定执行，验收费用由中标人承担。</w:t>
      </w:r>
    </w:p>
    <w:p w14:paraId="7FA0EFC0">
      <w:pPr>
        <w:keepNext w:val="0"/>
        <w:keepLines w:val="0"/>
        <w:pageBreakBefore w:val="0"/>
        <w:kinsoku/>
        <w:wordWrap/>
        <w:overflowPunct/>
        <w:topLinePunct w:val="0"/>
        <w:autoSpaceDE/>
        <w:autoSpaceDN/>
        <w:bidi w:val="0"/>
        <w:spacing w:after="0" w:line="360" w:lineRule="auto"/>
        <w:ind w:firstLine="420" w:firstLineChars="200"/>
        <w:textAlignment w:val="auto"/>
        <w:rPr>
          <w:rFonts w:ascii="宋体"/>
          <w:color w:val="000000"/>
          <w:szCs w:val="21"/>
          <w:highlight w:val="none"/>
        </w:rPr>
      </w:pPr>
      <w:r>
        <w:rPr>
          <w:rFonts w:hint="eastAsia" w:ascii="宋体"/>
          <w:color w:val="000000"/>
          <w:szCs w:val="21"/>
          <w:highlight w:val="none"/>
        </w:rPr>
        <w:t>3.2验收过程中产生纠纷的，由质量技术监督部门认定的检测机构检测，如为中标人原因造成的，由中标人承担检测费用；否则，由采购人承担。</w:t>
      </w:r>
    </w:p>
    <w:p w14:paraId="6E2C3706">
      <w:pPr>
        <w:keepNext w:val="0"/>
        <w:keepLines w:val="0"/>
        <w:pageBreakBefore w:val="0"/>
        <w:kinsoku/>
        <w:wordWrap/>
        <w:overflowPunct/>
        <w:topLinePunct w:val="0"/>
        <w:autoSpaceDE/>
        <w:autoSpaceDN/>
        <w:bidi w:val="0"/>
        <w:spacing w:after="0" w:line="360" w:lineRule="auto"/>
        <w:ind w:firstLine="420" w:firstLineChars="200"/>
        <w:textAlignment w:val="auto"/>
        <w:rPr>
          <w:rFonts w:ascii="宋体"/>
          <w:color w:val="000000"/>
          <w:szCs w:val="21"/>
          <w:highlight w:val="none"/>
        </w:rPr>
      </w:pPr>
      <w:r>
        <w:rPr>
          <w:rFonts w:hint="eastAsia" w:ascii="宋体"/>
          <w:color w:val="000000"/>
          <w:szCs w:val="21"/>
          <w:highlight w:val="none"/>
        </w:rPr>
        <w:t>3.3项目验收不合格，由中标人返工直至合格，有关返工、再行验收，以及给采购人造成的损失等费用由中标人承担。连续两次项目验收不合格的，采购人可终止合同，另行按规定选择其他供应商采购，由此带来的一切损失由中标人承担。</w:t>
      </w:r>
    </w:p>
    <w:p w14:paraId="1BEC0C4D">
      <w:pPr>
        <w:keepNext w:val="0"/>
        <w:keepLines w:val="0"/>
        <w:pageBreakBefore w:val="0"/>
        <w:kinsoku/>
        <w:wordWrap/>
        <w:overflowPunct/>
        <w:topLinePunct w:val="0"/>
        <w:autoSpaceDE/>
        <w:autoSpaceDN/>
        <w:bidi w:val="0"/>
        <w:spacing w:after="0" w:line="360" w:lineRule="auto"/>
        <w:ind w:firstLine="422" w:firstLineChars="200"/>
        <w:textAlignment w:val="auto"/>
        <w:rPr>
          <w:rFonts w:ascii="宋体"/>
          <w:b/>
          <w:bCs/>
          <w:szCs w:val="21"/>
          <w:highlight w:val="none"/>
        </w:rPr>
      </w:pPr>
      <w:r>
        <w:rPr>
          <w:rFonts w:hint="eastAsia" w:ascii="宋体"/>
          <w:b/>
          <w:bCs/>
          <w:szCs w:val="21"/>
          <w:highlight w:val="none"/>
        </w:rPr>
        <w:t>4.质量保证</w:t>
      </w:r>
    </w:p>
    <w:p w14:paraId="64DC050E">
      <w:pPr>
        <w:keepNext w:val="0"/>
        <w:keepLines w:val="0"/>
        <w:pageBreakBefore w:val="0"/>
        <w:kinsoku/>
        <w:wordWrap/>
        <w:overflowPunct/>
        <w:topLinePunct w:val="0"/>
        <w:autoSpaceDE/>
        <w:autoSpaceDN/>
        <w:bidi w:val="0"/>
        <w:spacing w:after="0" w:line="360" w:lineRule="auto"/>
        <w:ind w:firstLine="420" w:firstLineChars="200"/>
        <w:textAlignment w:val="auto"/>
        <w:rPr>
          <w:rFonts w:ascii="宋体"/>
          <w:bCs/>
          <w:color w:val="000000"/>
          <w:szCs w:val="21"/>
          <w:highlight w:val="none"/>
        </w:rPr>
      </w:pPr>
      <w:r>
        <w:rPr>
          <w:rFonts w:hint="eastAsia" w:ascii="宋体"/>
          <w:bCs/>
          <w:szCs w:val="21"/>
          <w:highlight w:val="none"/>
        </w:rPr>
        <w:t>4.1中标人提供的产品应是原装正品，符合国家质量检测标准，具有出厂合格证或</w:t>
      </w:r>
      <w:r>
        <w:rPr>
          <w:rFonts w:hint="eastAsia" w:ascii="宋体"/>
          <w:bCs/>
          <w:color w:val="000000"/>
          <w:szCs w:val="21"/>
          <w:highlight w:val="none"/>
        </w:rPr>
        <w:t>国家鉴定合格证。</w:t>
      </w:r>
    </w:p>
    <w:p w14:paraId="67C42985">
      <w:pPr>
        <w:keepNext w:val="0"/>
        <w:keepLines w:val="0"/>
        <w:pageBreakBefore w:val="0"/>
        <w:kinsoku/>
        <w:wordWrap/>
        <w:overflowPunct/>
        <w:topLinePunct w:val="0"/>
        <w:autoSpaceDE/>
        <w:autoSpaceDN/>
        <w:bidi w:val="0"/>
        <w:spacing w:after="0" w:line="360" w:lineRule="auto"/>
        <w:ind w:firstLine="420" w:firstLineChars="200"/>
        <w:textAlignment w:val="auto"/>
        <w:rPr>
          <w:rFonts w:ascii="宋体"/>
          <w:b/>
          <w:bCs/>
          <w:szCs w:val="21"/>
          <w:highlight w:val="none"/>
        </w:rPr>
      </w:pPr>
      <w:r>
        <w:rPr>
          <w:rFonts w:hint="eastAsia" w:ascii="宋体"/>
          <w:bCs/>
          <w:color w:val="000000"/>
          <w:szCs w:val="21"/>
          <w:highlight w:val="none"/>
        </w:rPr>
        <w:t>4.2整体项目质</w:t>
      </w:r>
      <w:r>
        <w:rPr>
          <w:rFonts w:hint="eastAsia" w:ascii="宋体"/>
          <w:bCs/>
          <w:szCs w:val="21"/>
          <w:highlight w:val="none"/>
        </w:rPr>
        <w:t>保期要求不少于</w:t>
      </w:r>
      <w:r>
        <w:rPr>
          <w:rFonts w:hint="eastAsia" w:ascii="宋体"/>
          <w:bCs/>
          <w:szCs w:val="21"/>
          <w:highlight w:val="none"/>
          <w:lang w:eastAsia="zh-CN"/>
        </w:rPr>
        <w:t>壹年</w:t>
      </w:r>
      <w:r>
        <w:rPr>
          <w:rFonts w:hint="eastAsia" w:ascii="宋体"/>
          <w:bCs/>
          <w:szCs w:val="21"/>
          <w:highlight w:val="none"/>
        </w:rPr>
        <w:t>，货物清单及技术参数中另有规定的，按其规定。超出生产厂家正常保修范围的，中标人需向生产厂家购买；未在投标报价表中单列其费用的，视为免费提供。</w:t>
      </w:r>
    </w:p>
    <w:p w14:paraId="295AE065">
      <w:pPr>
        <w:keepNext w:val="0"/>
        <w:keepLines w:val="0"/>
        <w:pageBreakBefore w:val="0"/>
        <w:kinsoku/>
        <w:wordWrap/>
        <w:overflowPunct/>
        <w:topLinePunct w:val="0"/>
        <w:autoSpaceDE/>
        <w:autoSpaceDN/>
        <w:bidi w:val="0"/>
        <w:spacing w:after="0" w:line="360" w:lineRule="auto"/>
        <w:ind w:firstLine="420" w:firstLineChars="200"/>
        <w:textAlignment w:val="auto"/>
        <w:rPr>
          <w:rFonts w:ascii="宋体"/>
          <w:b/>
          <w:bCs/>
          <w:szCs w:val="21"/>
          <w:highlight w:val="none"/>
        </w:rPr>
      </w:pPr>
      <w:r>
        <w:rPr>
          <w:rFonts w:hint="eastAsia" w:ascii="宋体"/>
          <w:bCs/>
          <w:szCs w:val="21"/>
          <w:highlight w:val="none"/>
        </w:rPr>
        <w:t>4.3质保期从验收合格之日起开始计算。质保期内所有设备维护维修等要求免费上门服务。</w:t>
      </w:r>
    </w:p>
    <w:p w14:paraId="7AB6C9A7">
      <w:pPr>
        <w:keepNext w:val="0"/>
        <w:keepLines w:val="0"/>
        <w:pageBreakBefore w:val="0"/>
        <w:kinsoku/>
        <w:wordWrap/>
        <w:overflowPunct/>
        <w:topLinePunct w:val="0"/>
        <w:autoSpaceDE/>
        <w:autoSpaceDN/>
        <w:bidi w:val="0"/>
        <w:spacing w:after="0" w:line="360" w:lineRule="auto"/>
        <w:ind w:firstLine="422" w:firstLineChars="200"/>
        <w:textAlignment w:val="auto"/>
        <w:rPr>
          <w:rFonts w:ascii="宋体"/>
          <w:b/>
          <w:bCs/>
          <w:szCs w:val="21"/>
          <w:highlight w:val="none"/>
        </w:rPr>
      </w:pPr>
      <w:r>
        <w:rPr>
          <w:rFonts w:hint="eastAsia" w:ascii="宋体"/>
          <w:b/>
          <w:bCs/>
          <w:szCs w:val="21"/>
          <w:highlight w:val="none"/>
        </w:rPr>
        <w:t>5.售后服务</w:t>
      </w:r>
    </w:p>
    <w:p w14:paraId="71A5C133">
      <w:pPr>
        <w:keepNext w:val="0"/>
        <w:keepLines w:val="0"/>
        <w:pageBreakBefore w:val="0"/>
        <w:kinsoku/>
        <w:wordWrap/>
        <w:overflowPunct/>
        <w:topLinePunct w:val="0"/>
        <w:autoSpaceDE/>
        <w:autoSpaceDN/>
        <w:bidi w:val="0"/>
        <w:spacing w:after="0" w:line="360" w:lineRule="auto"/>
        <w:ind w:firstLine="420" w:firstLineChars="200"/>
        <w:textAlignment w:val="auto"/>
        <w:rPr>
          <w:rFonts w:ascii="宋体"/>
          <w:bCs/>
          <w:szCs w:val="21"/>
          <w:highlight w:val="none"/>
        </w:rPr>
      </w:pPr>
      <w:r>
        <w:rPr>
          <w:rFonts w:hint="eastAsia" w:ascii="宋体"/>
          <w:bCs/>
          <w:szCs w:val="21"/>
          <w:highlight w:val="none"/>
        </w:rPr>
        <w:t>5.1系统维护。要求提交以下内容。</w:t>
      </w:r>
    </w:p>
    <w:p w14:paraId="12859182">
      <w:pPr>
        <w:keepNext w:val="0"/>
        <w:keepLines w:val="0"/>
        <w:pageBreakBefore w:val="0"/>
        <w:kinsoku/>
        <w:wordWrap/>
        <w:overflowPunct/>
        <w:topLinePunct w:val="0"/>
        <w:autoSpaceDE/>
        <w:autoSpaceDN/>
        <w:bidi w:val="0"/>
        <w:spacing w:after="0" w:line="360" w:lineRule="auto"/>
        <w:ind w:firstLine="420" w:firstLineChars="200"/>
        <w:textAlignment w:val="auto"/>
        <w:rPr>
          <w:rFonts w:ascii="宋体"/>
          <w:bCs/>
          <w:szCs w:val="21"/>
          <w:highlight w:val="none"/>
        </w:rPr>
      </w:pPr>
      <w:r>
        <w:rPr>
          <w:rFonts w:hint="eastAsia" w:ascii="宋体"/>
          <w:bCs/>
          <w:szCs w:val="21"/>
          <w:highlight w:val="none"/>
        </w:rPr>
        <w:t xml:space="preserve">    1）定期维护计划。</w:t>
      </w:r>
    </w:p>
    <w:p w14:paraId="5C396DED">
      <w:pPr>
        <w:keepNext w:val="0"/>
        <w:keepLines w:val="0"/>
        <w:pageBreakBefore w:val="0"/>
        <w:kinsoku/>
        <w:wordWrap/>
        <w:overflowPunct/>
        <w:topLinePunct w:val="0"/>
        <w:autoSpaceDE/>
        <w:autoSpaceDN/>
        <w:bidi w:val="0"/>
        <w:spacing w:after="0" w:line="360" w:lineRule="auto"/>
        <w:ind w:firstLine="420" w:firstLineChars="200"/>
        <w:textAlignment w:val="auto"/>
        <w:rPr>
          <w:rFonts w:ascii="宋体"/>
          <w:bCs/>
          <w:szCs w:val="21"/>
          <w:highlight w:val="none"/>
        </w:rPr>
      </w:pPr>
      <w:r>
        <w:rPr>
          <w:rFonts w:hint="eastAsia" w:ascii="宋体"/>
          <w:bCs/>
          <w:szCs w:val="21"/>
          <w:highlight w:val="none"/>
        </w:rPr>
        <w:t xml:space="preserve">    2）对采购人不定期维护要求的响应措施。</w:t>
      </w:r>
    </w:p>
    <w:p w14:paraId="5C4A2B91">
      <w:pPr>
        <w:keepNext w:val="0"/>
        <w:keepLines w:val="0"/>
        <w:pageBreakBefore w:val="0"/>
        <w:kinsoku/>
        <w:wordWrap/>
        <w:overflowPunct/>
        <w:topLinePunct w:val="0"/>
        <w:autoSpaceDE/>
        <w:autoSpaceDN/>
        <w:bidi w:val="0"/>
        <w:spacing w:after="0" w:line="360" w:lineRule="auto"/>
        <w:ind w:firstLine="420" w:firstLineChars="200"/>
        <w:textAlignment w:val="auto"/>
        <w:rPr>
          <w:rFonts w:ascii="宋体"/>
          <w:bCs/>
          <w:szCs w:val="21"/>
          <w:highlight w:val="none"/>
        </w:rPr>
      </w:pPr>
      <w:r>
        <w:rPr>
          <w:rFonts w:hint="eastAsia" w:ascii="宋体"/>
          <w:bCs/>
          <w:szCs w:val="21"/>
          <w:highlight w:val="none"/>
        </w:rPr>
        <w:t xml:space="preserve">    3）对用户修改设计要求的响应措施。</w:t>
      </w:r>
    </w:p>
    <w:p w14:paraId="150DE139">
      <w:pPr>
        <w:keepNext w:val="0"/>
        <w:keepLines w:val="0"/>
        <w:pageBreakBefore w:val="0"/>
        <w:kinsoku/>
        <w:wordWrap/>
        <w:overflowPunct/>
        <w:topLinePunct w:val="0"/>
        <w:autoSpaceDE/>
        <w:autoSpaceDN/>
        <w:bidi w:val="0"/>
        <w:spacing w:after="0" w:line="360" w:lineRule="auto"/>
        <w:ind w:firstLine="420" w:firstLineChars="200"/>
        <w:textAlignment w:val="auto"/>
        <w:rPr>
          <w:rFonts w:ascii="宋体"/>
          <w:bCs/>
          <w:szCs w:val="21"/>
          <w:highlight w:val="none"/>
        </w:rPr>
      </w:pPr>
      <w:r>
        <w:rPr>
          <w:rFonts w:hint="eastAsia" w:ascii="宋体"/>
          <w:bCs/>
          <w:szCs w:val="21"/>
          <w:highlight w:val="none"/>
        </w:rPr>
        <w:t>5.2技术支持</w:t>
      </w:r>
    </w:p>
    <w:p w14:paraId="0602F476">
      <w:pPr>
        <w:keepNext w:val="0"/>
        <w:keepLines w:val="0"/>
        <w:pageBreakBefore w:val="0"/>
        <w:kinsoku/>
        <w:wordWrap/>
        <w:overflowPunct/>
        <w:topLinePunct w:val="0"/>
        <w:autoSpaceDE/>
        <w:autoSpaceDN/>
        <w:bidi w:val="0"/>
        <w:spacing w:after="0" w:line="360" w:lineRule="auto"/>
        <w:ind w:firstLine="420" w:firstLineChars="200"/>
        <w:textAlignment w:val="auto"/>
        <w:rPr>
          <w:rFonts w:ascii="宋体"/>
          <w:bCs/>
          <w:szCs w:val="21"/>
          <w:highlight w:val="none"/>
        </w:rPr>
      </w:pPr>
      <w:r>
        <w:rPr>
          <w:rFonts w:hint="eastAsia" w:ascii="宋体"/>
          <w:bCs/>
          <w:szCs w:val="21"/>
          <w:highlight w:val="none"/>
        </w:rPr>
        <w:t xml:space="preserve">    1）提供7×24小时的技术咨询服务。</w:t>
      </w:r>
    </w:p>
    <w:p w14:paraId="52FA5DF8">
      <w:pPr>
        <w:keepNext w:val="0"/>
        <w:keepLines w:val="0"/>
        <w:pageBreakBefore w:val="0"/>
        <w:kinsoku/>
        <w:wordWrap/>
        <w:overflowPunct/>
        <w:topLinePunct w:val="0"/>
        <w:autoSpaceDE/>
        <w:autoSpaceDN/>
        <w:bidi w:val="0"/>
        <w:spacing w:after="0" w:line="360" w:lineRule="auto"/>
        <w:ind w:firstLine="420" w:firstLineChars="200"/>
        <w:textAlignment w:val="auto"/>
        <w:rPr>
          <w:rFonts w:ascii="宋体"/>
          <w:bCs/>
          <w:szCs w:val="21"/>
          <w:highlight w:val="none"/>
        </w:rPr>
      </w:pPr>
      <w:r>
        <w:rPr>
          <w:rFonts w:hint="eastAsia" w:ascii="宋体"/>
          <w:bCs/>
          <w:szCs w:val="21"/>
          <w:highlight w:val="none"/>
        </w:rPr>
        <w:t xml:space="preserve">    2）敏感时期、重大节假日提供技术人员值守服务。</w:t>
      </w:r>
    </w:p>
    <w:p w14:paraId="2C746609">
      <w:pPr>
        <w:keepNext w:val="0"/>
        <w:keepLines w:val="0"/>
        <w:pageBreakBefore w:val="0"/>
        <w:kinsoku/>
        <w:wordWrap/>
        <w:overflowPunct/>
        <w:topLinePunct w:val="0"/>
        <w:autoSpaceDE/>
        <w:autoSpaceDN/>
        <w:bidi w:val="0"/>
        <w:spacing w:after="0" w:line="360" w:lineRule="auto"/>
        <w:ind w:firstLine="420" w:firstLineChars="200"/>
        <w:textAlignment w:val="auto"/>
        <w:rPr>
          <w:rFonts w:ascii="宋体"/>
          <w:bCs/>
          <w:szCs w:val="21"/>
          <w:highlight w:val="none"/>
        </w:rPr>
      </w:pPr>
      <w:r>
        <w:rPr>
          <w:rFonts w:hint="eastAsia" w:ascii="宋体"/>
          <w:bCs/>
          <w:szCs w:val="21"/>
          <w:highlight w:val="none"/>
        </w:rPr>
        <w:t>5.3故障响应</w:t>
      </w:r>
    </w:p>
    <w:p w14:paraId="45BBBF19">
      <w:pPr>
        <w:keepNext w:val="0"/>
        <w:keepLines w:val="0"/>
        <w:pageBreakBefore w:val="0"/>
        <w:kinsoku/>
        <w:wordWrap/>
        <w:overflowPunct/>
        <w:topLinePunct w:val="0"/>
        <w:autoSpaceDE/>
        <w:autoSpaceDN/>
        <w:bidi w:val="0"/>
        <w:spacing w:after="0" w:line="360" w:lineRule="auto"/>
        <w:ind w:firstLine="420" w:firstLineChars="200"/>
        <w:textAlignment w:val="auto"/>
        <w:rPr>
          <w:szCs w:val="21"/>
          <w:highlight w:val="none"/>
        </w:rPr>
      </w:pPr>
      <w:r>
        <w:rPr>
          <w:rFonts w:hint="eastAsia" w:ascii="宋体"/>
          <w:bCs/>
          <w:szCs w:val="21"/>
          <w:highlight w:val="none"/>
        </w:rPr>
        <w:t xml:space="preserve">    1）提供7×24小时的故障服务受理。</w:t>
      </w:r>
    </w:p>
    <w:p w14:paraId="0022C135">
      <w:pPr>
        <w:keepNext w:val="0"/>
        <w:keepLines w:val="0"/>
        <w:pageBreakBefore w:val="0"/>
        <w:kinsoku/>
        <w:wordWrap/>
        <w:overflowPunct/>
        <w:topLinePunct w:val="0"/>
        <w:autoSpaceDE/>
        <w:autoSpaceDN/>
        <w:bidi w:val="0"/>
        <w:spacing w:after="0" w:line="360" w:lineRule="auto"/>
        <w:ind w:firstLine="420" w:firstLineChars="200"/>
        <w:textAlignment w:val="auto"/>
        <w:rPr>
          <w:rFonts w:ascii="宋体"/>
          <w:bCs/>
          <w:szCs w:val="21"/>
          <w:highlight w:val="none"/>
        </w:rPr>
      </w:pPr>
      <w:r>
        <w:rPr>
          <w:rFonts w:hint="eastAsia" w:ascii="宋体"/>
          <w:bCs/>
          <w:szCs w:val="21"/>
          <w:highlight w:val="none"/>
        </w:rPr>
        <w:t xml:space="preserve">    2）对重大故障提供7×24小时的现场支援，一般故障提供2小时内现场支援。</w:t>
      </w:r>
    </w:p>
    <w:p w14:paraId="1B87E60E">
      <w:pPr>
        <w:keepNext w:val="0"/>
        <w:keepLines w:val="0"/>
        <w:pageBreakBefore w:val="0"/>
        <w:kinsoku/>
        <w:wordWrap/>
        <w:overflowPunct/>
        <w:topLinePunct w:val="0"/>
        <w:autoSpaceDE/>
        <w:autoSpaceDN/>
        <w:bidi w:val="0"/>
        <w:spacing w:after="0" w:line="360" w:lineRule="auto"/>
        <w:ind w:firstLine="420" w:firstLineChars="200"/>
        <w:textAlignment w:val="auto"/>
        <w:rPr>
          <w:rFonts w:ascii="宋体"/>
          <w:bCs/>
          <w:szCs w:val="21"/>
          <w:highlight w:val="none"/>
        </w:rPr>
      </w:pPr>
      <w:r>
        <w:rPr>
          <w:rFonts w:hint="eastAsia" w:ascii="宋体"/>
          <w:bCs/>
          <w:szCs w:val="21"/>
          <w:highlight w:val="none"/>
        </w:rPr>
        <w:t xml:space="preserve">    3）备件服务：遇到重大故障，提供系统所需更换的任何备件。</w:t>
      </w:r>
    </w:p>
    <w:p w14:paraId="15516DBD">
      <w:pPr>
        <w:keepNext w:val="0"/>
        <w:keepLines w:val="0"/>
        <w:pageBreakBefore w:val="0"/>
        <w:kinsoku/>
        <w:wordWrap/>
        <w:overflowPunct/>
        <w:topLinePunct w:val="0"/>
        <w:autoSpaceDE/>
        <w:autoSpaceDN/>
        <w:bidi w:val="0"/>
        <w:spacing w:after="0" w:line="360" w:lineRule="auto"/>
        <w:ind w:firstLine="420" w:firstLineChars="200"/>
        <w:textAlignment w:val="auto"/>
        <w:rPr>
          <w:rFonts w:ascii="宋体"/>
          <w:bCs/>
          <w:szCs w:val="21"/>
          <w:highlight w:val="none"/>
        </w:rPr>
      </w:pPr>
      <w:r>
        <w:rPr>
          <w:rFonts w:hint="eastAsia" w:ascii="宋体"/>
          <w:bCs/>
          <w:szCs w:val="21"/>
          <w:highlight w:val="none"/>
        </w:rPr>
        <w:t>5.4质保期内出现任何质量问题（人为破坏或自然灾害等不可抗力除外），由中标人负责全免费（免全部工时费、材料费、管理费、财务费等）更换或维修。质保期满后，无论采购人是否另行选择维保供应商，中标人应及时优惠提供所需的备品备件。</w:t>
      </w:r>
    </w:p>
    <w:p w14:paraId="01AAF386">
      <w:pPr>
        <w:keepNext w:val="0"/>
        <w:keepLines w:val="0"/>
        <w:pageBreakBefore w:val="0"/>
        <w:kinsoku/>
        <w:wordWrap/>
        <w:overflowPunct/>
        <w:topLinePunct w:val="0"/>
        <w:autoSpaceDE/>
        <w:autoSpaceDN/>
        <w:bidi w:val="0"/>
        <w:spacing w:after="0" w:line="360" w:lineRule="auto"/>
        <w:ind w:firstLine="422" w:firstLineChars="200"/>
        <w:textAlignment w:val="auto"/>
        <w:rPr>
          <w:rFonts w:ascii="宋体"/>
          <w:b/>
          <w:bCs/>
          <w:szCs w:val="21"/>
          <w:highlight w:val="none"/>
        </w:rPr>
      </w:pPr>
      <w:r>
        <w:rPr>
          <w:rFonts w:hint="eastAsia" w:ascii="宋体"/>
          <w:b/>
          <w:bCs/>
          <w:szCs w:val="21"/>
          <w:highlight w:val="none"/>
        </w:rPr>
        <w:t>6.培训</w:t>
      </w:r>
    </w:p>
    <w:p w14:paraId="5E2A8D30">
      <w:pPr>
        <w:keepNext w:val="0"/>
        <w:keepLines w:val="0"/>
        <w:pageBreakBefore w:val="0"/>
        <w:kinsoku/>
        <w:wordWrap/>
        <w:overflowPunct/>
        <w:topLinePunct w:val="0"/>
        <w:autoSpaceDE/>
        <w:autoSpaceDN/>
        <w:bidi w:val="0"/>
        <w:adjustRightInd w:val="0"/>
        <w:snapToGrid w:val="0"/>
        <w:spacing w:after="0" w:line="360" w:lineRule="auto"/>
        <w:ind w:firstLine="420" w:firstLineChars="200"/>
        <w:textAlignment w:val="auto"/>
        <w:rPr>
          <w:rFonts w:ascii="宋体" w:hAnsi="宋体"/>
          <w:szCs w:val="21"/>
          <w:highlight w:val="none"/>
        </w:rPr>
      </w:pPr>
      <w:r>
        <w:rPr>
          <w:rFonts w:hint="eastAsia" w:ascii="宋体"/>
          <w:bCs/>
          <w:color w:val="000000"/>
          <w:szCs w:val="21"/>
          <w:highlight w:val="none"/>
        </w:rPr>
        <w:t>中标人应按招标文件要求负责进行必要的人员培训，达到熟练掌握产品性能、操作技能及排除一般故障的程度。</w:t>
      </w:r>
    </w:p>
    <w:p w14:paraId="1C1287B7">
      <w:pPr>
        <w:keepNext w:val="0"/>
        <w:keepLines w:val="0"/>
        <w:pageBreakBefore w:val="0"/>
        <w:kinsoku/>
        <w:wordWrap/>
        <w:overflowPunct/>
        <w:topLinePunct w:val="0"/>
        <w:autoSpaceDE/>
        <w:autoSpaceDN/>
        <w:bidi w:val="0"/>
        <w:adjustRightInd w:val="0"/>
        <w:snapToGrid w:val="0"/>
        <w:spacing w:after="0" w:line="360" w:lineRule="auto"/>
        <w:ind w:firstLine="422" w:firstLineChars="200"/>
        <w:textAlignment w:val="auto"/>
        <w:rPr>
          <w:rFonts w:ascii="宋体" w:hAnsi="宋体" w:cs="宋体"/>
          <w:szCs w:val="21"/>
          <w:highlight w:val="none"/>
        </w:rPr>
      </w:pPr>
      <w:r>
        <w:rPr>
          <w:rFonts w:hint="eastAsia"/>
          <w:b/>
          <w:szCs w:val="21"/>
          <w:highlight w:val="none"/>
        </w:rPr>
        <w:t>三、其他未尽事宜双方签订合同时约定。</w:t>
      </w:r>
    </w:p>
    <w:p w14:paraId="07A5F9F7">
      <w:pPr>
        <w:spacing w:line="360" w:lineRule="auto"/>
        <w:ind w:firstLine="420" w:firstLineChars="200"/>
        <w:rPr>
          <w:rFonts w:hint="eastAsia" w:asciiTheme="minorEastAsia" w:hAnsiTheme="minorEastAsia" w:cstheme="minorEastAsia"/>
          <w:szCs w:val="21"/>
        </w:rPr>
      </w:pPr>
    </w:p>
    <w:p w14:paraId="6A18CC3F">
      <w:pPr>
        <w:pStyle w:val="3"/>
        <w:ind w:firstLine="2570" w:firstLineChars="800"/>
        <w:jc w:val="both"/>
        <w:rPr>
          <w:rFonts w:hint="eastAsia" w:ascii="黑体" w:hAnsi="华文中宋" w:eastAsia="黑体"/>
          <w:color w:val="000000"/>
          <w:sz w:val="32"/>
          <w:szCs w:val="32"/>
        </w:rPr>
      </w:pPr>
      <w:bookmarkStart w:id="146" w:name="_Toc17725"/>
      <w:r>
        <w:rPr>
          <w:rFonts w:hint="eastAsia" w:ascii="黑体" w:hAnsi="华文中宋" w:eastAsia="黑体"/>
          <w:color w:val="000000"/>
          <w:sz w:val="32"/>
          <w:szCs w:val="32"/>
        </w:rPr>
        <w:t>第六章 政府采购合同</w:t>
      </w:r>
      <w:bookmarkEnd w:id="146"/>
    </w:p>
    <w:p w14:paraId="03410C98">
      <w:pPr>
        <w:pStyle w:val="2"/>
        <w:adjustRightInd w:val="0"/>
        <w:snapToGrid w:val="0"/>
        <w:jc w:val="center"/>
        <w:rPr>
          <w:rFonts w:hint="eastAsia" w:ascii="黑体" w:hAnsi="华文中宋" w:eastAsia="黑体"/>
          <w:sz w:val="28"/>
          <w:szCs w:val="28"/>
        </w:rPr>
      </w:pPr>
      <w:bookmarkStart w:id="147" w:name="_Toc25191"/>
      <w:r>
        <w:rPr>
          <w:rFonts w:hint="eastAsia" w:ascii="黑体" w:hAnsi="华文中宋" w:eastAsia="黑体"/>
          <w:sz w:val="28"/>
          <w:szCs w:val="28"/>
        </w:rPr>
        <w:t>第一节 政府采购合同协议书</w:t>
      </w:r>
      <w:bookmarkEnd w:id="147"/>
    </w:p>
    <w:p w14:paraId="7B295623">
      <w:pPr>
        <w:adjustRightInd w:val="0"/>
        <w:snapToGrid w:val="0"/>
        <w:spacing w:before="157" w:beforeLines="50" w:line="360" w:lineRule="auto"/>
        <w:ind w:firstLine="5460" w:firstLineChars="2600"/>
        <w:rPr>
          <w:rFonts w:hint="eastAsia" w:ascii="宋体" w:hAnsi="宋体"/>
          <w:b/>
          <w:szCs w:val="21"/>
        </w:rPr>
      </w:pPr>
      <w:r>
        <w:rPr>
          <w:rFonts w:hint="eastAsia" w:ascii="宋体" w:hAnsi="宋体"/>
          <w:szCs w:val="21"/>
        </w:rPr>
        <w:t>采购合同编号：</w:t>
      </w:r>
      <w:r>
        <w:rPr>
          <w:rFonts w:ascii="宋体" w:hAnsi="宋体"/>
          <w:szCs w:val="21"/>
          <w:u w:val="single"/>
        </w:rPr>
        <w:t xml:space="preserve">                 </w:t>
      </w:r>
    </w:p>
    <w:p w14:paraId="7C34702F">
      <w:pPr>
        <w:adjustRightInd w:val="0"/>
        <w:snapToGrid w:val="0"/>
        <w:spacing w:before="157" w:beforeLines="50" w:line="360" w:lineRule="auto"/>
        <w:jc w:val="center"/>
        <w:rPr>
          <w:rFonts w:hint="eastAsia" w:ascii="宋体" w:hAnsi="宋体"/>
          <w:b/>
          <w:szCs w:val="21"/>
        </w:rPr>
      </w:pPr>
    </w:p>
    <w:p w14:paraId="2776BA03">
      <w:pPr>
        <w:adjustRightInd w:val="0"/>
        <w:snapToGrid w:val="0"/>
        <w:spacing w:before="157" w:beforeLines="50" w:line="360" w:lineRule="auto"/>
        <w:rPr>
          <w:rFonts w:hint="eastAsia" w:ascii="宋体" w:hAnsi="宋体"/>
          <w:szCs w:val="21"/>
        </w:rPr>
      </w:pPr>
      <w:r>
        <w:rPr>
          <w:rFonts w:hint="eastAsia" w:ascii="宋体" w:hAnsi="宋体"/>
          <w:szCs w:val="21"/>
        </w:rPr>
        <w:t>采购人（全称）：</w:t>
      </w:r>
      <w:r>
        <w:rPr>
          <w:rFonts w:hint="eastAsia" w:ascii="宋体" w:hAnsi="宋体"/>
          <w:szCs w:val="21"/>
          <w:u w:val="single"/>
        </w:rPr>
        <w:t xml:space="preserve"> 新化县民政局  </w:t>
      </w:r>
      <w:r>
        <w:rPr>
          <w:rFonts w:hint="eastAsia" w:ascii="宋体" w:hAnsi="宋体"/>
          <w:szCs w:val="21"/>
        </w:rPr>
        <w:t>（甲方）</w:t>
      </w:r>
    </w:p>
    <w:p w14:paraId="3581528D">
      <w:pPr>
        <w:adjustRightInd w:val="0"/>
        <w:snapToGrid w:val="0"/>
        <w:spacing w:before="157" w:beforeLines="50" w:line="360" w:lineRule="auto"/>
        <w:rPr>
          <w:rFonts w:hint="eastAsia" w:ascii="宋体" w:hAnsi="宋体"/>
          <w:szCs w:val="21"/>
        </w:rPr>
      </w:pPr>
      <w:r>
        <w:rPr>
          <w:rFonts w:hint="eastAsia" w:ascii="宋体" w:hAnsi="宋体"/>
          <w:szCs w:val="21"/>
        </w:rPr>
        <w:t>供应商（全称）：</w:t>
      </w:r>
      <w:r>
        <w:rPr>
          <w:rFonts w:hint="eastAsia" w:ascii="宋体" w:hAnsi="宋体"/>
          <w:szCs w:val="21"/>
          <w:u w:val="single"/>
        </w:rPr>
        <w:t xml:space="preserve">                             </w:t>
      </w:r>
      <w:r>
        <w:rPr>
          <w:rFonts w:hint="eastAsia" w:ascii="宋体" w:hAnsi="宋体"/>
          <w:szCs w:val="21"/>
        </w:rPr>
        <w:t>（乙方）</w:t>
      </w:r>
    </w:p>
    <w:p w14:paraId="36D0C5B2">
      <w:pPr>
        <w:pStyle w:val="11"/>
        <w:adjustRightInd w:val="0"/>
        <w:snapToGrid w:val="0"/>
        <w:spacing w:before="157" w:beforeLines="50" w:after="0" w:line="360" w:lineRule="auto"/>
        <w:rPr>
          <w:rFonts w:hint="eastAsia" w:ascii="宋体" w:hAnsi="宋体"/>
          <w:szCs w:val="21"/>
        </w:rPr>
      </w:pPr>
    </w:p>
    <w:p w14:paraId="260533FC">
      <w:pPr>
        <w:pStyle w:val="11"/>
        <w:adjustRightInd w:val="0"/>
        <w:snapToGrid w:val="0"/>
        <w:spacing w:before="157" w:beforeLines="50" w:after="0" w:line="360" w:lineRule="auto"/>
        <w:ind w:left="0" w:leftChars="0" w:firstLine="420" w:firstLineChars="200"/>
        <w:rPr>
          <w:rFonts w:hint="eastAsia" w:ascii="宋体" w:hAnsi="宋体"/>
          <w:szCs w:val="21"/>
        </w:rPr>
      </w:pPr>
      <w:r>
        <w:rPr>
          <w:rFonts w:hint="eastAsia" w:ascii="宋体" w:hAnsi="宋体"/>
          <w:szCs w:val="21"/>
        </w:rPr>
        <w:t>为了保护甲、乙双方合法权益，根据《中华人民共和国民法典》、《中华人民共和国政府采购法》及其他有关法律、法规、规章，双方签订本合同协议书。</w:t>
      </w:r>
    </w:p>
    <w:p w14:paraId="4E7B5F71">
      <w:pPr>
        <w:adjustRightInd w:val="0"/>
        <w:snapToGrid w:val="0"/>
        <w:spacing w:before="157" w:beforeLines="50" w:line="360" w:lineRule="auto"/>
        <w:ind w:firstLine="422" w:firstLineChars="200"/>
        <w:rPr>
          <w:rFonts w:hint="eastAsia" w:ascii="宋体" w:hAnsi="宋体"/>
          <w:b/>
          <w:szCs w:val="21"/>
        </w:rPr>
      </w:pPr>
      <w:r>
        <w:rPr>
          <w:rFonts w:hint="eastAsia" w:ascii="宋体" w:hAnsi="宋体"/>
          <w:b/>
          <w:szCs w:val="21"/>
        </w:rPr>
        <w:t>1.项目信息</w:t>
      </w:r>
    </w:p>
    <w:p w14:paraId="2382AF0D">
      <w:pPr>
        <w:pStyle w:val="11"/>
        <w:adjustRightInd w:val="0"/>
        <w:snapToGrid w:val="0"/>
        <w:spacing w:before="157" w:beforeLines="50" w:after="0" w:line="360" w:lineRule="auto"/>
        <w:rPr>
          <w:rFonts w:hint="eastAsia" w:ascii="宋体" w:hAnsi="宋体"/>
          <w:szCs w:val="21"/>
        </w:rPr>
      </w:pPr>
      <w:r>
        <w:rPr>
          <w:rFonts w:hint="eastAsia" w:ascii="宋体" w:hAnsi="宋体"/>
          <w:szCs w:val="21"/>
        </w:rPr>
        <w:t>（1）采购项目名称：</w:t>
      </w:r>
      <w:r>
        <w:rPr>
          <w:rFonts w:ascii="宋体" w:hAnsi="宋体"/>
          <w:szCs w:val="21"/>
          <w:u w:val="single"/>
        </w:rPr>
        <w:t xml:space="preserve">                                          </w:t>
      </w:r>
    </w:p>
    <w:p w14:paraId="4CF84649">
      <w:pPr>
        <w:pStyle w:val="11"/>
        <w:adjustRightInd w:val="0"/>
        <w:snapToGrid w:val="0"/>
        <w:spacing w:before="157" w:beforeLines="50" w:after="0" w:line="360" w:lineRule="auto"/>
        <w:rPr>
          <w:rFonts w:hint="eastAsia" w:ascii="宋体" w:hAnsi="宋体"/>
          <w:szCs w:val="21"/>
        </w:rPr>
      </w:pPr>
      <w:r>
        <w:rPr>
          <w:rFonts w:hint="eastAsia" w:ascii="宋体" w:hAnsi="宋体"/>
          <w:szCs w:val="21"/>
        </w:rPr>
        <w:t>（2）采购计划编号：</w:t>
      </w:r>
      <w:r>
        <w:rPr>
          <w:rFonts w:ascii="宋体" w:hAnsi="宋体"/>
          <w:szCs w:val="21"/>
          <w:u w:val="single"/>
        </w:rPr>
        <w:t xml:space="preserve">                          </w:t>
      </w:r>
      <w:r>
        <w:rPr>
          <w:rFonts w:ascii="宋体" w:hAnsi="宋体"/>
          <w:szCs w:val="21"/>
        </w:rPr>
        <w:t xml:space="preserve"> </w:t>
      </w:r>
    </w:p>
    <w:p w14:paraId="735BB64F">
      <w:pPr>
        <w:adjustRightInd w:val="0"/>
        <w:snapToGrid w:val="0"/>
        <w:spacing w:before="157" w:beforeLines="50" w:line="360" w:lineRule="auto"/>
        <w:ind w:firstLine="420" w:firstLineChars="200"/>
        <w:rPr>
          <w:rFonts w:hint="eastAsia" w:ascii="宋体" w:hAnsi="宋体"/>
          <w:szCs w:val="21"/>
        </w:rPr>
      </w:pPr>
      <w:r>
        <w:rPr>
          <w:rFonts w:hint="eastAsia" w:ascii="宋体" w:hAnsi="宋体"/>
          <w:szCs w:val="21"/>
        </w:rPr>
        <w:t>（3）项目内容：</w:t>
      </w:r>
      <w:r>
        <w:rPr>
          <w:rFonts w:hint="eastAsia" w:ascii="宋体" w:hAnsi="宋体"/>
          <w:szCs w:val="21"/>
          <w:u w:val="single"/>
        </w:rPr>
        <w:t xml:space="preserve">                             </w:t>
      </w:r>
    </w:p>
    <w:p w14:paraId="135AB737">
      <w:pPr>
        <w:adjustRightInd w:val="0"/>
        <w:snapToGrid w:val="0"/>
        <w:spacing w:before="157" w:beforeLines="50" w:line="360" w:lineRule="auto"/>
        <w:ind w:firstLine="420" w:firstLineChars="200"/>
        <w:rPr>
          <w:rFonts w:hint="eastAsia" w:ascii="宋体" w:hAnsi="宋体"/>
          <w:szCs w:val="21"/>
        </w:rPr>
      </w:pPr>
      <w:r>
        <w:rPr>
          <w:rFonts w:hint="eastAsia" w:ascii="宋体" w:hAnsi="宋体"/>
          <w:szCs w:val="21"/>
        </w:rPr>
        <w:t>（4）是否分包：</w:t>
      </w:r>
      <w:r>
        <w:rPr>
          <w:rFonts w:hint="eastAsia" w:ascii="宋体" w:hAnsi="宋体"/>
          <w:szCs w:val="21"/>
          <w:u w:val="single"/>
        </w:rPr>
        <w:t xml:space="preserve">               </w:t>
      </w:r>
      <w:r>
        <w:rPr>
          <w:rFonts w:hint="eastAsia" w:ascii="宋体" w:hAnsi="宋体"/>
          <w:szCs w:val="21"/>
        </w:rPr>
        <w:t>。</w:t>
      </w:r>
    </w:p>
    <w:p w14:paraId="7C3D1E36">
      <w:pPr>
        <w:adjustRightInd w:val="0"/>
        <w:snapToGrid w:val="0"/>
        <w:spacing w:before="157" w:beforeLines="50" w:line="360" w:lineRule="auto"/>
        <w:ind w:firstLine="420" w:firstLineChars="200"/>
        <w:rPr>
          <w:rFonts w:hint="eastAsia" w:ascii="宋体" w:hAnsi="宋体"/>
          <w:szCs w:val="21"/>
        </w:rPr>
      </w:pPr>
      <w:r>
        <w:rPr>
          <w:rFonts w:hint="eastAsia" w:ascii="宋体" w:hAnsi="宋体"/>
          <w:szCs w:val="21"/>
        </w:rPr>
        <w:t>（5）项目负责人：</w:t>
      </w:r>
      <w:r>
        <w:rPr>
          <w:rFonts w:hint="eastAsia" w:ascii="宋体" w:hAnsi="宋体"/>
          <w:szCs w:val="21"/>
          <w:u w:val="single"/>
        </w:rPr>
        <w:t xml:space="preserve">               </w:t>
      </w:r>
      <w:r>
        <w:rPr>
          <w:rFonts w:hint="eastAsia" w:ascii="宋体" w:hAnsi="宋体"/>
          <w:szCs w:val="21"/>
        </w:rPr>
        <w:t>。</w:t>
      </w:r>
    </w:p>
    <w:p w14:paraId="6184BD6C">
      <w:pPr>
        <w:adjustRightInd w:val="0"/>
        <w:snapToGrid w:val="0"/>
        <w:spacing w:before="157" w:beforeLines="50" w:line="360" w:lineRule="auto"/>
        <w:ind w:firstLine="420" w:firstLineChars="200"/>
        <w:rPr>
          <w:rFonts w:hint="eastAsia" w:ascii="宋体" w:hAnsi="宋体"/>
          <w:szCs w:val="21"/>
        </w:rPr>
      </w:pPr>
      <w:r>
        <w:rPr>
          <w:rFonts w:hint="eastAsia" w:ascii="宋体" w:hAnsi="宋体"/>
          <w:szCs w:val="21"/>
        </w:rPr>
        <w:t>（6）联系电话：</w:t>
      </w:r>
      <w:r>
        <w:rPr>
          <w:rFonts w:hint="eastAsia" w:ascii="宋体" w:hAnsi="宋体"/>
          <w:szCs w:val="21"/>
          <w:u w:val="single"/>
        </w:rPr>
        <w:t xml:space="preserve">               </w:t>
      </w:r>
      <w:r>
        <w:rPr>
          <w:rFonts w:hint="eastAsia" w:ascii="宋体" w:hAnsi="宋体"/>
          <w:szCs w:val="21"/>
        </w:rPr>
        <w:t>。</w:t>
      </w:r>
    </w:p>
    <w:p w14:paraId="1B84B95D">
      <w:pPr>
        <w:adjustRightInd w:val="0"/>
        <w:snapToGrid w:val="0"/>
        <w:spacing w:before="157" w:beforeLines="50" w:line="360" w:lineRule="auto"/>
        <w:ind w:firstLine="413" w:firstLineChars="196"/>
        <w:rPr>
          <w:rFonts w:hint="eastAsia" w:ascii="宋体" w:hAnsi="宋体"/>
          <w:b/>
          <w:szCs w:val="21"/>
        </w:rPr>
      </w:pPr>
      <w:r>
        <w:rPr>
          <w:rFonts w:hint="eastAsia" w:ascii="宋体" w:hAnsi="宋体"/>
          <w:b/>
          <w:szCs w:val="21"/>
        </w:rPr>
        <w:t>2.合同金额</w:t>
      </w:r>
    </w:p>
    <w:p w14:paraId="155893A6">
      <w:pPr>
        <w:adjustRightInd w:val="0"/>
        <w:snapToGrid w:val="0"/>
        <w:spacing w:before="157" w:beforeLines="50" w:line="360" w:lineRule="auto"/>
        <w:ind w:firstLine="420" w:firstLineChars="200"/>
        <w:rPr>
          <w:rFonts w:hint="eastAsia" w:ascii="宋体" w:hAnsi="宋体"/>
          <w:szCs w:val="21"/>
        </w:rPr>
      </w:pPr>
      <w:r>
        <w:rPr>
          <w:rFonts w:hint="eastAsia" w:ascii="宋体" w:hAnsi="宋体"/>
          <w:szCs w:val="21"/>
        </w:rPr>
        <w:t>（1）合同金额小写：</w:t>
      </w:r>
      <w:r>
        <w:rPr>
          <w:rFonts w:hint="eastAsia" w:ascii="宋体" w:hAnsi="宋体"/>
          <w:szCs w:val="21"/>
          <w:u w:val="single"/>
        </w:rPr>
        <w:t xml:space="preserve">                      </w:t>
      </w:r>
    </w:p>
    <w:p w14:paraId="011CB92F">
      <w:pPr>
        <w:adjustRightInd w:val="0"/>
        <w:snapToGrid w:val="0"/>
        <w:spacing w:before="157" w:beforeLines="50" w:line="360" w:lineRule="auto"/>
        <w:ind w:firstLine="1260" w:firstLineChars="600"/>
        <w:rPr>
          <w:rFonts w:hint="eastAsia" w:ascii="宋体" w:hAnsi="宋体"/>
          <w:b/>
          <w:szCs w:val="21"/>
        </w:rPr>
      </w:pPr>
      <w:r>
        <w:rPr>
          <w:rFonts w:hint="eastAsia" w:ascii="宋体" w:hAnsi="宋体"/>
          <w:szCs w:val="21"/>
        </w:rPr>
        <w:t>大写：</w:t>
      </w:r>
      <w:r>
        <w:rPr>
          <w:rFonts w:hint="eastAsia" w:ascii="宋体" w:hAnsi="宋体"/>
          <w:szCs w:val="21"/>
          <w:u w:val="single"/>
        </w:rPr>
        <w:t xml:space="preserve">                      </w:t>
      </w:r>
    </w:p>
    <w:p w14:paraId="5C8E76C0">
      <w:pPr>
        <w:adjustRightInd w:val="0"/>
        <w:snapToGrid w:val="0"/>
        <w:spacing w:before="157" w:beforeLines="50" w:line="360" w:lineRule="auto"/>
        <w:ind w:firstLine="420" w:firstLineChars="200"/>
        <w:rPr>
          <w:rFonts w:hint="eastAsia" w:ascii="宋体" w:hAnsi="宋体"/>
          <w:szCs w:val="21"/>
        </w:rPr>
      </w:pPr>
      <w:r>
        <w:rPr>
          <w:rFonts w:hint="eastAsia" w:ascii="宋体" w:hAnsi="宋体"/>
          <w:szCs w:val="21"/>
        </w:rPr>
        <w:t>（2）具体标的见附件。</w:t>
      </w:r>
    </w:p>
    <w:p w14:paraId="23A50EBE">
      <w:pPr>
        <w:adjustRightInd w:val="0"/>
        <w:snapToGrid w:val="0"/>
        <w:spacing w:before="157" w:beforeLines="50" w:line="360" w:lineRule="auto"/>
        <w:ind w:firstLine="420" w:firstLineChars="200"/>
        <w:rPr>
          <w:rFonts w:hint="eastAsia" w:ascii="宋体" w:hAnsi="宋体"/>
          <w:szCs w:val="21"/>
        </w:rPr>
      </w:pPr>
      <w:r>
        <w:rPr>
          <w:rFonts w:hint="eastAsia" w:ascii="宋体" w:hAnsi="宋体"/>
          <w:szCs w:val="21"/>
        </w:rPr>
        <w:t>（3）合同定价方式：</w:t>
      </w:r>
      <w:r>
        <w:rPr>
          <w:rFonts w:hint="eastAsia" w:ascii="宋体" w:hAnsi="宋体"/>
          <w:iCs/>
          <w:szCs w:val="21"/>
        </w:rPr>
        <w:sym w:font="Wingdings" w:char="00FE"/>
      </w:r>
      <w:r>
        <w:rPr>
          <w:rFonts w:hint="eastAsia" w:ascii="宋体" w:hAnsi="宋体"/>
          <w:iCs/>
          <w:szCs w:val="21"/>
        </w:rPr>
        <w:t>固定总价</w:t>
      </w:r>
      <w:r>
        <w:rPr>
          <w:rFonts w:hint="eastAsia" w:ascii="宋体" w:hAnsi="宋体"/>
          <w:iCs/>
          <w:color w:val="0000FF"/>
          <w:szCs w:val="21"/>
        </w:rPr>
        <w:t xml:space="preserve"> </w:t>
      </w:r>
      <w:r>
        <w:rPr>
          <w:rFonts w:hint="eastAsia" w:ascii="宋体" w:hAnsi="宋体"/>
          <w:iCs/>
          <w:color w:val="0000FF"/>
          <w:szCs w:val="21"/>
        </w:rPr>
        <w:sym w:font="Wingdings" w:char="00FE"/>
      </w:r>
      <w:r>
        <w:rPr>
          <w:rFonts w:hint="eastAsia" w:ascii="宋体" w:hAnsi="宋体"/>
          <w:iCs/>
          <w:szCs w:val="21"/>
        </w:rPr>
        <w:t xml:space="preserve">固定单价 </w:t>
      </w:r>
      <w:r>
        <w:rPr>
          <w:rFonts w:hint="eastAsia" w:ascii="宋体" w:hAnsi="宋体"/>
          <w:iCs/>
          <w:szCs w:val="21"/>
        </w:rPr>
        <w:sym w:font="Wingdings" w:char="00A8"/>
      </w:r>
      <w:r>
        <w:rPr>
          <w:rFonts w:hint="eastAsia" w:ascii="宋体" w:hAnsi="宋体"/>
          <w:iCs/>
          <w:szCs w:val="21"/>
        </w:rPr>
        <w:t xml:space="preserve">成本补偿 </w:t>
      </w:r>
      <w:r>
        <w:rPr>
          <w:rFonts w:hint="eastAsia" w:ascii="宋体" w:hAnsi="宋体"/>
          <w:iCs/>
          <w:szCs w:val="21"/>
        </w:rPr>
        <w:sym w:font="Wingdings" w:char="00A8"/>
      </w:r>
      <w:r>
        <w:rPr>
          <w:rFonts w:hint="eastAsia" w:ascii="宋体" w:hAnsi="宋体"/>
          <w:iCs/>
          <w:szCs w:val="21"/>
        </w:rPr>
        <w:t>绩效激励</w:t>
      </w:r>
    </w:p>
    <w:p w14:paraId="34CA51DC">
      <w:pPr>
        <w:adjustRightInd w:val="0"/>
        <w:snapToGrid w:val="0"/>
        <w:spacing w:before="157" w:beforeLines="50" w:line="360" w:lineRule="auto"/>
        <w:ind w:firstLine="420" w:firstLineChars="200"/>
        <w:rPr>
          <w:rFonts w:hint="eastAsia" w:ascii="宋体" w:hAnsi="宋体" w:cs="宋体"/>
          <w:szCs w:val="21"/>
        </w:rPr>
      </w:pPr>
      <w:r>
        <w:rPr>
          <w:rFonts w:hint="eastAsia" w:ascii="宋体" w:hAnsi="宋体"/>
        </w:rPr>
        <w:t>（4）付款方式：</w:t>
      </w:r>
      <w:r>
        <w:rPr>
          <w:rFonts w:hint="eastAsia" w:ascii="宋体" w:hAnsi="宋体" w:cs="宋体"/>
          <w:color w:val="000000"/>
          <w:kern w:val="0"/>
          <w:sz w:val="22"/>
          <w:szCs w:val="22"/>
          <w:lang w:bidi="ar"/>
        </w:rPr>
        <w:t xml:space="preserve"> </w:t>
      </w:r>
    </w:p>
    <w:p w14:paraId="5D67944F">
      <w:pPr>
        <w:adjustRightInd w:val="0"/>
        <w:snapToGrid w:val="0"/>
        <w:spacing w:before="157" w:beforeLines="50" w:line="360" w:lineRule="auto"/>
        <w:ind w:firstLine="630" w:firstLineChars="300"/>
        <w:rPr>
          <w:rFonts w:hint="eastAsia" w:ascii="宋体" w:hAnsi="宋体"/>
          <w:szCs w:val="21"/>
        </w:rPr>
      </w:pPr>
      <w:r>
        <w:rPr>
          <w:rFonts w:hint="eastAsia" w:ascii="宋体" w:hAnsi="宋体"/>
          <w:szCs w:val="21"/>
        </w:rPr>
        <w:sym w:font="Wingdings" w:char="00A8"/>
      </w:r>
      <w:r>
        <w:rPr>
          <w:rFonts w:hint="eastAsia" w:ascii="宋体" w:hAnsi="宋体"/>
          <w:szCs w:val="21"/>
        </w:rPr>
        <w:t>分期付款：</w:t>
      </w:r>
      <w:r>
        <w:rPr>
          <w:rFonts w:hint="eastAsia" w:ascii="宋体" w:hAnsi="宋体"/>
          <w:szCs w:val="21"/>
          <w:u w:val="single"/>
        </w:rPr>
        <w:t xml:space="preserve">           </w:t>
      </w:r>
    </w:p>
    <w:p w14:paraId="132DFC4B">
      <w:pPr>
        <w:adjustRightInd w:val="0"/>
        <w:snapToGrid w:val="0"/>
        <w:spacing w:before="157" w:beforeLines="50" w:line="360" w:lineRule="auto"/>
        <w:ind w:firstLine="630" w:firstLineChars="300"/>
        <w:rPr>
          <w:rFonts w:hint="default" w:ascii="宋体" w:hAnsi="宋体" w:eastAsia="宋体"/>
          <w:szCs w:val="21"/>
          <w:lang w:val="en-US" w:eastAsia="zh-CN"/>
        </w:rPr>
      </w:pPr>
      <w:r>
        <w:rPr>
          <w:rFonts w:hint="eastAsia" w:ascii="宋体" w:hAnsi="宋体"/>
          <w:szCs w:val="21"/>
        </w:rPr>
        <w:sym w:font="Wingdings" w:char="00A8"/>
      </w:r>
      <w:r>
        <w:rPr>
          <w:rFonts w:hint="eastAsia" w:ascii="宋体" w:hAnsi="宋体"/>
          <w:szCs w:val="21"/>
        </w:rPr>
        <w:t>成本补偿：</w:t>
      </w:r>
      <w:r>
        <w:rPr>
          <w:rFonts w:hint="eastAsia" w:ascii="宋体" w:hAnsi="宋体"/>
          <w:szCs w:val="21"/>
          <w:u w:val="single"/>
        </w:rPr>
        <w:t xml:space="preserve">     </w:t>
      </w:r>
      <w:r>
        <w:rPr>
          <w:rFonts w:hint="eastAsia" w:ascii="宋体" w:hAnsi="宋体"/>
          <w:szCs w:val="21"/>
          <w:u w:val="single"/>
          <w:lang w:val="en-US" w:eastAsia="zh-CN"/>
        </w:rPr>
        <w:t xml:space="preserve">      </w:t>
      </w:r>
    </w:p>
    <w:p w14:paraId="115802B0">
      <w:pPr>
        <w:adjustRightInd w:val="0"/>
        <w:snapToGrid w:val="0"/>
        <w:spacing w:before="157" w:beforeLines="50" w:line="360" w:lineRule="auto"/>
        <w:ind w:firstLine="630" w:firstLineChars="300"/>
        <w:rPr>
          <w:rFonts w:hint="eastAsia" w:ascii="宋体" w:hAnsi="宋体"/>
          <w:szCs w:val="21"/>
        </w:rPr>
      </w:pPr>
      <w:r>
        <w:rPr>
          <w:rFonts w:hint="eastAsia" w:ascii="宋体" w:hAnsi="宋体"/>
          <w:szCs w:val="21"/>
        </w:rPr>
        <w:sym w:font="Wingdings" w:char="00A8"/>
      </w:r>
      <w:r>
        <w:rPr>
          <w:rFonts w:hint="eastAsia" w:ascii="宋体" w:hAnsi="宋体"/>
          <w:szCs w:val="21"/>
        </w:rPr>
        <w:t>绩效激励：</w:t>
      </w:r>
      <w:r>
        <w:rPr>
          <w:rFonts w:hint="eastAsia" w:ascii="宋体" w:hAnsi="宋体"/>
          <w:szCs w:val="21"/>
          <w:u w:val="single"/>
        </w:rPr>
        <w:t xml:space="preserve">         </w:t>
      </w:r>
    </w:p>
    <w:p w14:paraId="2684E5E1">
      <w:pPr>
        <w:adjustRightInd w:val="0"/>
        <w:snapToGrid w:val="0"/>
        <w:spacing w:before="157" w:beforeLines="50" w:line="360" w:lineRule="auto"/>
        <w:ind w:firstLine="422" w:firstLineChars="200"/>
        <w:rPr>
          <w:rFonts w:hint="eastAsia" w:ascii="宋体" w:hAnsi="宋体"/>
          <w:szCs w:val="21"/>
          <w:u w:val="single"/>
        </w:rPr>
      </w:pPr>
      <w:r>
        <w:rPr>
          <w:rFonts w:hint="eastAsia" w:ascii="宋体" w:hAnsi="宋体"/>
          <w:b/>
          <w:szCs w:val="21"/>
        </w:rPr>
        <w:t>3.合同履行</w:t>
      </w:r>
    </w:p>
    <w:p w14:paraId="21E95C0B">
      <w:pPr>
        <w:adjustRightInd w:val="0"/>
        <w:snapToGrid w:val="0"/>
        <w:spacing w:before="157" w:beforeLines="50" w:line="360" w:lineRule="auto"/>
        <w:ind w:firstLine="420" w:firstLineChars="200"/>
        <w:rPr>
          <w:rFonts w:hint="eastAsia" w:ascii="宋体" w:hAnsi="宋体"/>
          <w:szCs w:val="21"/>
        </w:rPr>
      </w:pPr>
      <w:r>
        <w:rPr>
          <w:rFonts w:hint="eastAsia" w:ascii="宋体" w:hAnsi="宋体"/>
          <w:szCs w:val="21"/>
        </w:rPr>
        <w:t>（1）起始日期：</w:t>
      </w:r>
      <w:r>
        <w:rPr>
          <w:rFonts w:hint="eastAsia" w:ascii="宋体" w:hAnsi="宋体"/>
          <w:szCs w:val="21"/>
          <w:u w:val="single"/>
        </w:rPr>
        <w:t xml:space="preserve">    </w:t>
      </w:r>
      <w:r>
        <w:rPr>
          <w:rFonts w:hint="eastAsia" w:ascii="宋体" w:hAnsi="宋体"/>
          <w:szCs w:val="21"/>
        </w:rPr>
        <w:t>年</w:t>
      </w:r>
      <w:r>
        <w:rPr>
          <w:rFonts w:hint="eastAsia" w:ascii="宋体" w:hAnsi="宋体"/>
          <w:szCs w:val="21"/>
          <w:u w:val="single"/>
        </w:rPr>
        <w:t xml:space="preserve">   </w:t>
      </w:r>
      <w:r>
        <w:rPr>
          <w:rFonts w:hint="eastAsia" w:ascii="宋体" w:hAnsi="宋体"/>
          <w:szCs w:val="21"/>
        </w:rPr>
        <w:t>月</w:t>
      </w:r>
      <w:r>
        <w:rPr>
          <w:rFonts w:hint="eastAsia" w:ascii="宋体" w:hAnsi="宋体"/>
          <w:szCs w:val="21"/>
          <w:u w:val="single"/>
        </w:rPr>
        <w:t xml:space="preserve">   </w:t>
      </w:r>
      <w:r>
        <w:rPr>
          <w:rFonts w:hint="eastAsia" w:ascii="宋体" w:hAnsi="宋体"/>
          <w:szCs w:val="21"/>
        </w:rPr>
        <w:t>日，完成日期：</w:t>
      </w:r>
      <w:r>
        <w:rPr>
          <w:rFonts w:hint="eastAsia" w:ascii="宋体" w:hAnsi="宋体"/>
          <w:szCs w:val="21"/>
          <w:u w:val="single"/>
        </w:rPr>
        <w:t xml:space="preserve">    </w:t>
      </w:r>
      <w:r>
        <w:rPr>
          <w:rFonts w:hint="eastAsia" w:ascii="宋体" w:hAnsi="宋体"/>
          <w:szCs w:val="21"/>
        </w:rPr>
        <w:t>年</w:t>
      </w:r>
      <w:r>
        <w:rPr>
          <w:rFonts w:hint="eastAsia" w:ascii="宋体" w:hAnsi="宋体"/>
          <w:szCs w:val="21"/>
          <w:u w:val="single"/>
        </w:rPr>
        <w:t xml:space="preserve">   </w:t>
      </w:r>
      <w:r>
        <w:rPr>
          <w:rFonts w:hint="eastAsia" w:ascii="宋体" w:hAnsi="宋体"/>
          <w:szCs w:val="21"/>
        </w:rPr>
        <w:t>月</w:t>
      </w:r>
      <w:r>
        <w:rPr>
          <w:rFonts w:hint="eastAsia" w:ascii="宋体" w:hAnsi="宋体"/>
          <w:szCs w:val="21"/>
          <w:u w:val="single"/>
        </w:rPr>
        <w:t xml:space="preserve">   </w:t>
      </w:r>
      <w:r>
        <w:rPr>
          <w:rFonts w:hint="eastAsia" w:ascii="宋体" w:hAnsi="宋体"/>
          <w:szCs w:val="21"/>
        </w:rPr>
        <w:t>日。总日历天数：</w:t>
      </w:r>
      <w:r>
        <w:rPr>
          <w:rFonts w:hint="eastAsia" w:ascii="宋体" w:hAnsi="宋体"/>
          <w:szCs w:val="21"/>
          <w:u w:val="single"/>
        </w:rPr>
        <w:t xml:space="preserve">     </w:t>
      </w:r>
      <w:r>
        <w:rPr>
          <w:rFonts w:hint="eastAsia" w:ascii="宋体" w:hAnsi="宋体"/>
          <w:szCs w:val="21"/>
        </w:rPr>
        <w:t>天。</w:t>
      </w:r>
    </w:p>
    <w:p w14:paraId="7753A07B">
      <w:pPr>
        <w:adjustRightInd w:val="0"/>
        <w:snapToGrid w:val="0"/>
        <w:spacing w:before="157" w:beforeLines="50" w:line="360" w:lineRule="auto"/>
        <w:ind w:firstLine="420" w:firstLineChars="200"/>
        <w:rPr>
          <w:rFonts w:hint="eastAsia" w:ascii="宋体" w:hAnsi="宋体"/>
          <w:szCs w:val="21"/>
          <w:u w:val="single"/>
        </w:rPr>
      </w:pPr>
      <w:r>
        <w:rPr>
          <w:rFonts w:hint="eastAsia" w:ascii="宋体" w:hAnsi="宋体"/>
          <w:szCs w:val="21"/>
        </w:rPr>
        <w:t>（2）地点</w:t>
      </w:r>
      <w:r>
        <w:rPr>
          <w:rFonts w:hint="eastAsia" w:ascii="宋体" w:hAnsi="宋体"/>
          <w:b/>
          <w:szCs w:val="21"/>
        </w:rPr>
        <w:t>：</w:t>
      </w:r>
      <w:r>
        <w:rPr>
          <w:rFonts w:hint="eastAsia" w:ascii="宋体" w:hAnsi="宋体"/>
          <w:szCs w:val="21"/>
          <w:u w:val="single"/>
        </w:rPr>
        <w:t xml:space="preserve">                             </w:t>
      </w:r>
    </w:p>
    <w:p w14:paraId="58BF9CA4">
      <w:pPr>
        <w:adjustRightInd w:val="0"/>
        <w:snapToGrid w:val="0"/>
        <w:spacing w:before="157" w:beforeLines="50" w:line="360" w:lineRule="auto"/>
        <w:ind w:firstLine="420" w:firstLineChars="200"/>
        <w:rPr>
          <w:rFonts w:hint="eastAsia" w:ascii="宋体" w:hAnsi="宋体"/>
          <w:szCs w:val="21"/>
          <w:u w:val="single"/>
        </w:rPr>
      </w:pPr>
      <w:r>
        <w:rPr>
          <w:rFonts w:hint="eastAsia" w:ascii="宋体" w:hAnsi="宋体"/>
          <w:szCs w:val="21"/>
        </w:rPr>
        <w:t>（3）方式：</w:t>
      </w:r>
      <w:r>
        <w:rPr>
          <w:rFonts w:hint="eastAsia" w:ascii="宋体" w:hAnsi="宋体"/>
          <w:szCs w:val="21"/>
          <w:u w:val="single"/>
        </w:rPr>
        <w:t xml:space="preserve">                             </w:t>
      </w:r>
    </w:p>
    <w:p w14:paraId="692BAD6F">
      <w:pPr>
        <w:adjustRightInd w:val="0"/>
        <w:snapToGrid w:val="0"/>
        <w:spacing w:before="157" w:beforeLines="50" w:line="360" w:lineRule="auto"/>
        <w:ind w:firstLine="420" w:firstLineChars="200"/>
        <w:rPr>
          <w:rFonts w:hint="eastAsia" w:ascii="宋体" w:hAnsi="宋体"/>
          <w:szCs w:val="21"/>
          <w:u w:val="single"/>
        </w:rPr>
      </w:pPr>
      <w:r>
        <w:rPr>
          <w:rFonts w:hint="eastAsia" w:ascii="宋体" w:hAnsi="宋体"/>
          <w:bCs/>
          <w:szCs w:val="21"/>
        </w:rPr>
        <w:t>（4）履约担保：</w:t>
      </w:r>
      <w:r>
        <w:rPr>
          <w:rFonts w:hint="eastAsia" w:ascii="宋体" w:hAnsi="宋体"/>
          <w:szCs w:val="21"/>
          <w:u w:val="single"/>
        </w:rPr>
        <w:t xml:space="preserve">                             </w:t>
      </w:r>
    </w:p>
    <w:p w14:paraId="3760C56C">
      <w:pPr>
        <w:widowControl/>
        <w:spacing w:line="360" w:lineRule="auto"/>
        <w:ind w:firstLine="440" w:firstLineChars="200"/>
        <w:jc w:val="left"/>
        <w:rPr>
          <w:rFonts w:hint="eastAsia" w:ascii="宋体" w:hAnsi="宋体" w:cs="宋体"/>
          <w:color w:val="000000"/>
          <w:kern w:val="0"/>
          <w:sz w:val="22"/>
          <w:szCs w:val="22"/>
          <w:u w:val="single"/>
          <w:lang w:bidi="ar"/>
        </w:rPr>
      </w:pPr>
    </w:p>
    <w:p w14:paraId="1490F738">
      <w:pPr>
        <w:adjustRightInd w:val="0"/>
        <w:snapToGrid w:val="0"/>
        <w:spacing w:before="157" w:beforeLines="50" w:line="360" w:lineRule="auto"/>
        <w:rPr>
          <w:rFonts w:hint="eastAsia" w:ascii="宋体" w:hAnsi="宋体"/>
          <w:bCs/>
          <w:szCs w:val="21"/>
        </w:rPr>
      </w:pPr>
      <w:r>
        <w:rPr>
          <w:rFonts w:hint="eastAsia" w:ascii="宋体" w:hAnsi="宋体"/>
          <w:bCs/>
          <w:szCs w:val="21"/>
        </w:rPr>
        <w:t>（5）质量保证金：</w:t>
      </w:r>
      <w:r>
        <w:rPr>
          <w:rFonts w:hint="eastAsia" w:ascii="宋体" w:hAnsi="宋体"/>
          <w:bCs/>
          <w:szCs w:val="21"/>
          <w:u w:val="single"/>
        </w:rPr>
        <w:t>/</w:t>
      </w:r>
      <w:r>
        <w:rPr>
          <w:rFonts w:hint="eastAsia" w:ascii="宋体" w:hAnsi="宋体"/>
          <w:bCs/>
          <w:szCs w:val="21"/>
        </w:rPr>
        <w:t>。</w:t>
      </w:r>
    </w:p>
    <w:p w14:paraId="3C5ECECD">
      <w:pPr>
        <w:adjustRightInd w:val="0"/>
        <w:snapToGrid w:val="0"/>
        <w:spacing w:before="157" w:beforeLines="50" w:line="360" w:lineRule="auto"/>
        <w:ind w:firstLine="422" w:firstLineChars="200"/>
        <w:rPr>
          <w:rFonts w:hint="eastAsia" w:ascii="宋体" w:hAnsi="宋体"/>
          <w:b/>
          <w:szCs w:val="21"/>
        </w:rPr>
      </w:pPr>
      <w:r>
        <w:rPr>
          <w:rFonts w:hint="eastAsia" w:ascii="宋体" w:hAnsi="宋体"/>
          <w:b/>
          <w:szCs w:val="21"/>
        </w:rPr>
        <w:t>4.合同验收</w:t>
      </w:r>
    </w:p>
    <w:p w14:paraId="71D931CC">
      <w:pPr>
        <w:adjustRightInd w:val="0"/>
        <w:snapToGrid w:val="0"/>
        <w:spacing w:before="157" w:beforeLines="50" w:line="360" w:lineRule="auto"/>
        <w:ind w:firstLine="420" w:firstLineChars="200"/>
        <w:rPr>
          <w:rFonts w:hint="eastAsia" w:ascii="宋体" w:hAnsi="宋体"/>
          <w:bCs/>
          <w:szCs w:val="21"/>
        </w:rPr>
      </w:pPr>
      <w:r>
        <w:rPr>
          <w:rFonts w:hint="eastAsia" w:ascii="宋体" w:hAnsi="宋体"/>
          <w:bCs/>
          <w:szCs w:val="21"/>
        </w:rPr>
        <w:t>（1）验收主体：</w:t>
      </w:r>
      <w:r>
        <w:rPr>
          <w:rFonts w:hint="eastAsia" w:ascii="宋体" w:hAnsi="宋体"/>
          <w:bCs/>
          <w:szCs w:val="21"/>
          <w:u w:val="single"/>
          <w:lang w:eastAsia="zh-CN"/>
        </w:rPr>
        <w:t>新化县民政局</w:t>
      </w:r>
      <w:r>
        <w:rPr>
          <w:rFonts w:hint="eastAsia" w:ascii="宋体" w:hAnsi="宋体"/>
          <w:bCs/>
          <w:szCs w:val="21"/>
          <w:u w:val="single"/>
        </w:rPr>
        <w:t>。</w:t>
      </w:r>
    </w:p>
    <w:p w14:paraId="0AC8358B">
      <w:pPr>
        <w:adjustRightInd w:val="0"/>
        <w:snapToGrid w:val="0"/>
        <w:spacing w:before="157" w:beforeLines="50" w:line="360" w:lineRule="auto"/>
        <w:ind w:firstLine="420" w:firstLineChars="200"/>
        <w:rPr>
          <w:rFonts w:hint="eastAsia" w:ascii="宋体" w:hAnsi="宋体"/>
          <w:bCs/>
          <w:szCs w:val="21"/>
        </w:rPr>
      </w:pPr>
      <w:r>
        <w:rPr>
          <w:rFonts w:hint="eastAsia" w:ascii="宋体" w:hAnsi="宋体"/>
          <w:bCs/>
          <w:szCs w:val="21"/>
        </w:rPr>
        <w:t>（2）验收方式：</w:t>
      </w:r>
      <w:r>
        <w:rPr>
          <w:rFonts w:hint="eastAsia" w:ascii="宋体" w:hAnsi="宋体"/>
          <w:bCs/>
          <w:szCs w:val="21"/>
          <w:u w:val="single"/>
        </w:rPr>
        <w:t xml:space="preserve">                             </w:t>
      </w:r>
      <w:r>
        <w:rPr>
          <w:rFonts w:hint="eastAsia" w:ascii="宋体" w:hAnsi="宋体"/>
          <w:bCs/>
          <w:szCs w:val="21"/>
        </w:rPr>
        <w:t>。</w:t>
      </w:r>
    </w:p>
    <w:p w14:paraId="6B57852C">
      <w:pPr>
        <w:adjustRightInd w:val="0"/>
        <w:snapToGrid w:val="0"/>
        <w:spacing w:before="157" w:beforeLines="50" w:line="360" w:lineRule="auto"/>
        <w:ind w:firstLine="420" w:firstLineChars="200"/>
        <w:rPr>
          <w:rFonts w:hint="eastAsia" w:ascii="宋体" w:hAnsi="宋体"/>
          <w:bCs/>
          <w:szCs w:val="21"/>
        </w:rPr>
      </w:pPr>
      <w:r>
        <w:rPr>
          <w:rFonts w:hint="eastAsia" w:ascii="宋体" w:hAnsi="宋体"/>
          <w:bCs/>
          <w:szCs w:val="21"/>
        </w:rPr>
        <w:t>（3）验收标准：</w:t>
      </w:r>
      <w:r>
        <w:rPr>
          <w:rFonts w:hint="eastAsia" w:ascii="宋体" w:hAnsi="宋体"/>
          <w:bCs/>
          <w:szCs w:val="21"/>
          <w:u w:val="single"/>
        </w:rPr>
        <w:t xml:space="preserve">                             </w:t>
      </w:r>
      <w:r>
        <w:rPr>
          <w:rFonts w:hint="eastAsia" w:ascii="宋体" w:hAnsi="宋体"/>
          <w:bCs/>
          <w:szCs w:val="21"/>
        </w:rPr>
        <w:t>。</w:t>
      </w:r>
    </w:p>
    <w:p w14:paraId="65F2A87D">
      <w:pPr>
        <w:adjustRightInd w:val="0"/>
        <w:snapToGrid w:val="0"/>
        <w:spacing w:before="157" w:beforeLines="50" w:line="360" w:lineRule="auto"/>
        <w:ind w:firstLine="422" w:firstLineChars="200"/>
        <w:rPr>
          <w:rFonts w:hint="eastAsia" w:ascii="宋体" w:hAnsi="宋体"/>
          <w:b/>
          <w:szCs w:val="21"/>
        </w:rPr>
      </w:pPr>
      <w:r>
        <w:rPr>
          <w:rFonts w:hint="eastAsia" w:ascii="宋体" w:hAnsi="宋体"/>
          <w:b/>
          <w:szCs w:val="21"/>
        </w:rPr>
        <w:t>5.组成合同的文件</w:t>
      </w:r>
    </w:p>
    <w:p w14:paraId="3C501892">
      <w:pPr>
        <w:adjustRightInd w:val="0"/>
        <w:snapToGrid w:val="0"/>
        <w:spacing w:before="157" w:beforeLines="50" w:line="360" w:lineRule="auto"/>
        <w:ind w:firstLine="420" w:firstLineChars="200"/>
        <w:rPr>
          <w:rFonts w:hint="eastAsia" w:ascii="宋体" w:hAnsi="宋体"/>
          <w:szCs w:val="21"/>
        </w:rPr>
      </w:pPr>
      <w:r>
        <w:rPr>
          <w:rFonts w:hint="eastAsia" w:ascii="宋体" w:hAnsi="宋体"/>
          <w:szCs w:val="21"/>
        </w:rPr>
        <w:t>本协议书与下列文件一起构成合同文件，如下述文件之间有任何抵触、矛盾或歧义，应按以下顺序解释：</w:t>
      </w:r>
    </w:p>
    <w:p w14:paraId="7A2FE5A8">
      <w:pPr>
        <w:adjustRightInd w:val="0"/>
        <w:snapToGrid w:val="0"/>
        <w:spacing w:before="157" w:beforeLines="50" w:line="360" w:lineRule="auto"/>
        <w:ind w:firstLine="420" w:firstLineChars="200"/>
        <w:rPr>
          <w:rFonts w:hint="eastAsia" w:ascii="宋体" w:hAnsi="宋体"/>
          <w:szCs w:val="21"/>
        </w:rPr>
      </w:pPr>
      <w:r>
        <w:rPr>
          <w:rFonts w:hint="eastAsia" w:ascii="宋体" w:hAnsi="宋体"/>
          <w:szCs w:val="21"/>
        </w:rPr>
        <w:t>（1）在采购或合同履行过程中乙方作出的承诺以及双方协商达成的变更或补充协议</w:t>
      </w:r>
    </w:p>
    <w:p w14:paraId="49531836">
      <w:pPr>
        <w:adjustRightInd w:val="0"/>
        <w:snapToGrid w:val="0"/>
        <w:spacing w:before="157" w:beforeLines="50" w:line="360" w:lineRule="auto"/>
        <w:ind w:firstLine="420" w:firstLineChars="200"/>
        <w:rPr>
          <w:rFonts w:hint="eastAsia" w:ascii="宋体" w:hAnsi="宋体"/>
          <w:szCs w:val="21"/>
        </w:rPr>
      </w:pPr>
      <w:r>
        <w:rPr>
          <w:rFonts w:hint="eastAsia" w:ascii="宋体" w:hAnsi="宋体"/>
          <w:szCs w:val="21"/>
        </w:rPr>
        <w:t>（2）本合同协议书</w:t>
      </w:r>
    </w:p>
    <w:p w14:paraId="74E8028C">
      <w:pPr>
        <w:adjustRightInd w:val="0"/>
        <w:snapToGrid w:val="0"/>
        <w:spacing w:before="157" w:beforeLines="50" w:line="360" w:lineRule="auto"/>
        <w:ind w:firstLine="420" w:firstLineChars="200"/>
        <w:rPr>
          <w:rFonts w:hint="eastAsia" w:ascii="宋体" w:hAnsi="宋体"/>
          <w:szCs w:val="21"/>
        </w:rPr>
      </w:pPr>
      <w:r>
        <w:rPr>
          <w:rFonts w:hint="eastAsia" w:ascii="宋体" w:hAnsi="宋体"/>
          <w:szCs w:val="21"/>
        </w:rPr>
        <w:t>（3）中标通知书</w:t>
      </w:r>
    </w:p>
    <w:p w14:paraId="79E6C3D8">
      <w:pPr>
        <w:adjustRightInd w:val="0"/>
        <w:snapToGrid w:val="0"/>
        <w:spacing w:before="157" w:beforeLines="50" w:line="360" w:lineRule="auto"/>
        <w:ind w:firstLine="420" w:firstLineChars="200"/>
        <w:rPr>
          <w:rFonts w:hint="eastAsia" w:ascii="宋体" w:hAnsi="宋体"/>
          <w:szCs w:val="21"/>
        </w:rPr>
      </w:pPr>
      <w:r>
        <w:rPr>
          <w:rFonts w:hint="eastAsia" w:ascii="宋体" w:hAnsi="宋体"/>
          <w:szCs w:val="21"/>
        </w:rPr>
        <w:t>（4）投标文件</w:t>
      </w:r>
    </w:p>
    <w:p w14:paraId="5FBC16B6">
      <w:pPr>
        <w:adjustRightInd w:val="0"/>
        <w:snapToGrid w:val="0"/>
        <w:spacing w:before="157" w:beforeLines="50" w:line="360" w:lineRule="auto"/>
        <w:ind w:firstLine="420" w:firstLineChars="200"/>
        <w:rPr>
          <w:rFonts w:hint="eastAsia" w:ascii="宋体" w:hAnsi="宋体"/>
          <w:szCs w:val="21"/>
        </w:rPr>
      </w:pPr>
      <w:r>
        <w:rPr>
          <w:rFonts w:hint="eastAsia" w:ascii="宋体" w:hAnsi="宋体"/>
          <w:szCs w:val="21"/>
        </w:rPr>
        <w:t>（5）政府采购合同专用条款</w:t>
      </w:r>
    </w:p>
    <w:p w14:paraId="378F335C">
      <w:pPr>
        <w:adjustRightInd w:val="0"/>
        <w:snapToGrid w:val="0"/>
        <w:spacing w:before="157" w:beforeLines="50" w:line="360" w:lineRule="auto"/>
        <w:ind w:firstLine="420" w:firstLineChars="200"/>
        <w:rPr>
          <w:rFonts w:hint="eastAsia" w:ascii="宋体" w:hAnsi="宋体"/>
          <w:szCs w:val="21"/>
        </w:rPr>
      </w:pPr>
      <w:r>
        <w:rPr>
          <w:rFonts w:hint="eastAsia" w:ascii="宋体" w:hAnsi="宋体"/>
          <w:szCs w:val="21"/>
        </w:rPr>
        <w:t>（6）政府采购合同通用条款</w:t>
      </w:r>
    </w:p>
    <w:p w14:paraId="4A54B2DA">
      <w:pPr>
        <w:adjustRightInd w:val="0"/>
        <w:snapToGrid w:val="0"/>
        <w:spacing w:before="157" w:beforeLines="50" w:line="360" w:lineRule="auto"/>
        <w:ind w:firstLine="420" w:firstLineChars="200"/>
        <w:rPr>
          <w:rFonts w:hint="eastAsia" w:ascii="宋体" w:hAnsi="宋体"/>
          <w:szCs w:val="21"/>
        </w:rPr>
      </w:pPr>
      <w:r>
        <w:rPr>
          <w:rFonts w:hint="eastAsia" w:ascii="宋体" w:hAnsi="宋体"/>
          <w:szCs w:val="21"/>
        </w:rPr>
        <w:t>（7）标准、规范及有关技术文件，图纸。</w:t>
      </w:r>
    </w:p>
    <w:p w14:paraId="2A5F5BF1">
      <w:pPr>
        <w:adjustRightInd w:val="0"/>
        <w:snapToGrid w:val="0"/>
        <w:spacing w:before="157" w:beforeLines="50" w:line="360" w:lineRule="auto"/>
        <w:ind w:firstLine="420" w:firstLineChars="200"/>
        <w:rPr>
          <w:rFonts w:hint="eastAsia" w:ascii="宋体" w:hAnsi="宋体"/>
          <w:szCs w:val="21"/>
        </w:rPr>
      </w:pPr>
      <w:r>
        <w:rPr>
          <w:rFonts w:hint="eastAsia" w:ascii="宋体" w:hAnsi="宋体"/>
          <w:szCs w:val="21"/>
        </w:rPr>
        <w:t>（8）其他合同文件。</w:t>
      </w:r>
    </w:p>
    <w:p w14:paraId="22312196">
      <w:pPr>
        <w:adjustRightInd w:val="0"/>
        <w:snapToGrid w:val="0"/>
        <w:spacing w:before="157" w:beforeLines="50" w:line="360" w:lineRule="auto"/>
        <w:ind w:firstLine="310" w:firstLineChars="147"/>
        <w:rPr>
          <w:rFonts w:hint="eastAsia" w:ascii="宋体" w:hAnsi="宋体"/>
          <w:b/>
          <w:szCs w:val="21"/>
        </w:rPr>
      </w:pPr>
      <w:r>
        <w:rPr>
          <w:rFonts w:hint="eastAsia" w:ascii="宋体" w:hAnsi="宋体"/>
          <w:b/>
          <w:szCs w:val="21"/>
        </w:rPr>
        <w:t>6.合同生效</w:t>
      </w:r>
    </w:p>
    <w:p w14:paraId="5E200EA6">
      <w:pPr>
        <w:adjustRightInd w:val="0"/>
        <w:snapToGrid w:val="0"/>
        <w:spacing w:before="157" w:beforeLines="50" w:line="360" w:lineRule="auto"/>
        <w:ind w:firstLine="420" w:firstLineChars="200"/>
        <w:rPr>
          <w:rFonts w:hint="eastAsia" w:ascii="宋体" w:hAnsi="宋体"/>
          <w:szCs w:val="21"/>
        </w:rPr>
      </w:pPr>
      <w:r>
        <w:rPr>
          <w:rFonts w:hint="eastAsia" w:ascii="宋体" w:hAnsi="宋体"/>
          <w:szCs w:val="21"/>
        </w:rPr>
        <w:t>本合同自合同签订之日生效。</w:t>
      </w:r>
    </w:p>
    <w:p w14:paraId="3BEC1E54">
      <w:pPr>
        <w:adjustRightInd w:val="0"/>
        <w:snapToGrid w:val="0"/>
        <w:spacing w:before="157" w:beforeLines="50" w:line="360" w:lineRule="auto"/>
        <w:ind w:firstLine="310" w:firstLineChars="147"/>
        <w:rPr>
          <w:rFonts w:hint="eastAsia" w:ascii="宋体" w:hAnsi="宋体"/>
          <w:b/>
          <w:szCs w:val="21"/>
        </w:rPr>
      </w:pPr>
      <w:r>
        <w:rPr>
          <w:rFonts w:hint="eastAsia" w:ascii="宋体" w:hAnsi="宋体"/>
          <w:b/>
          <w:szCs w:val="21"/>
        </w:rPr>
        <w:t>7.合同份数</w:t>
      </w:r>
    </w:p>
    <w:p w14:paraId="2F626ADC">
      <w:pPr>
        <w:adjustRightInd w:val="0"/>
        <w:snapToGrid w:val="0"/>
        <w:spacing w:before="157" w:beforeLines="50" w:line="360" w:lineRule="auto"/>
        <w:ind w:firstLine="420" w:firstLineChars="200"/>
        <w:rPr>
          <w:rFonts w:hint="eastAsia" w:ascii="宋体" w:hAnsi="宋体"/>
          <w:szCs w:val="21"/>
        </w:rPr>
      </w:pPr>
      <w:r>
        <w:rPr>
          <w:rFonts w:hint="eastAsia" w:ascii="宋体" w:hAnsi="宋体"/>
          <w:szCs w:val="21"/>
        </w:rPr>
        <w:t>本合同一式</w:t>
      </w:r>
      <w:r>
        <w:rPr>
          <w:rFonts w:hint="eastAsia" w:ascii="宋体" w:hAnsi="宋体"/>
          <w:szCs w:val="21"/>
          <w:u w:val="single"/>
        </w:rPr>
        <w:t>肆</w:t>
      </w:r>
      <w:r>
        <w:rPr>
          <w:rFonts w:hint="eastAsia" w:ascii="宋体" w:hAnsi="宋体"/>
          <w:szCs w:val="21"/>
        </w:rPr>
        <w:t>份，采购人执</w:t>
      </w:r>
      <w:r>
        <w:rPr>
          <w:rFonts w:hint="eastAsia" w:ascii="宋体" w:hAnsi="宋体"/>
          <w:szCs w:val="21"/>
          <w:u w:val="single"/>
        </w:rPr>
        <w:t xml:space="preserve"> 贰 </w:t>
      </w:r>
      <w:r>
        <w:rPr>
          <w:rFonts w:hint="eastAsia" w:ascii="宋体" w:hAnsi="宋体"/>
          <w:szCs w:val="21"/>
        </w:rPr>
        <w:t>份，供应商执</w:t>
      </w:r>
      <w:r>
        <w:rPr>
          <w:rFonts w:hint="eastAsia" w:ascii="宋体" w:hAnsi="宋体"/>
          <w:szCs w:val="21"/>
          <w:u w:val="single"/>
        </w:rPr>
        <w:t xml:space="preserve"> 贰 </w:t>
      </w:r>
      <w:r>
        <w:rPr>
          <w:rFonts w:hint="eastAsia" w:ascii="宋体" w:hAnsi="宋体"/>
          <w:szCs w:val="21"/>
        </w:rPr>
        <w:t>份，均具有同等法律效力。</w:t>
      </w:r>
    </w:p>
    <w:p w14:paraId="1D15CE71">
      <w:pPr>
        <w:adjustRightInd w:val="0"/>
        <w:snapToGrid w:val="0"/>
        <w:spacing w:before="157" w:beforeLines="50" w:line="360" w:lineRule="auto"/>
        <w:rPr>
          <w:rFonts w:hint="eastAsia" w:ascii="宋体" w:hAnsi="宋体"/>
          <w:szCs w:val="21"/>
        </w:rPr>
      </w:pPr>
    </w:p>
    <w:p w14:paraId="71320E01">
      <w:pPr>
        <w:adjustRightInd w:val="0"/>
        <w:snapToGrid w:val="0"/>
        <w:spacing w:before="157" w:beforeLines="50" w:line="360" w:lineRule="auto"/>
        <w:ind w:firstLine="420" w:firstLineChars="200"/>
        <w:rPr>
          <w:rFonts w:hint="eastAsia" w:ascii="宋体" w:hAnsi="宋体"/>
          <w:szCs w:val="21"/>
        </w:rPr>
      </w:pPr>
      <w:r>
        <w:rPr>
          <w:rFonts w:hint="eastAsia" w:ascii="宋体" w:hAnsi="宋体"/>
          <w:szCs w:val="21"/>
        </w:rPr>
        <w:t>合同订立时间：</w:t>
      </w:r>
      <w:r>
        <w:rPr>
          <w:rFonts w:hint="eastAsia" w:ascii="宋体" w:hAnsi="宋体"/>
          <w:szCs w:val="21"/>
          <w:u w:val="single"/>
        </w:rPr>
        <w:t xml:space="preserve">         </w:t>
      </w:r>
      <w:r>
        <w:rPr>
          <w:rFonts w:hint="eastAsia" w:ascii="宋体" w:hAnsi="宋体"/>
          <w:szCs w:val="21"/>
        </w:rPr>
        <w:t>年</w:t>
      </w:r>
      <w:r>
        <w:rPr>
          <w:rFonts w:hint="eastAsia" w:ascii="宋体" w:hAnsi="宋体"/>
          <w:szCs w:val="21"/>
          <w:u w:val="single"/>
        </w:rPr>
        <w:t xml:space="preserve">      </w:t>
      </w:r>
      <w:r>
        <w:rPr>
          <w:rFonts w:hint="eastAsia" w:ascii="宋体" w:hAnsi="宋体"/>
          <w:szCs w:val="21"/>
        </w:rPr>
        <w:t>月</w:t>
      </w:r>
      <w:r>
        <w:rPr>
          <w:rFonts w:hint="eastAsia" w:ascii="宋体" w:hAnsi="宋体"/>
          <w:szCs w:val="21"/>
          <w:u w:val="single"/>
        </w:rPr>
        <w:t xml:space="preserve">      </w:t>
      </w:r>
      <w:r>
        <w:rPr>
          <w:rFonts w:hint="eastAsia" w:ascii="宋体" w:hAnsi="宋体"/>
          <w:szCs w:val="21"/>
        </w:rPr>
        <w:t>日</w:t>
      </w:r>
    </w:p>
    <w:p w14:paraId="2034C824">
      <w:pPr>
        <w:adjustRightInd w:val="0"/>
        <w:snapToGrid w:val="0"/>
        <w:spacing w:before="157" w:beforeLines="50" w:line="360" w:lineRule="auto"/>
        <w:ind w:firstLine="420" w:firstLineChars="200"/>
        <w:rPr>
          <w:rFonts w:hint="eastAsia" w:ascii="宋体" w:hAnsi="宋体"/>
          <w:szCs w:val="21"/>
        </w:rPr>
      </w:pPr>
      <w:r>
        <w:rPr>
          <w:rFonts w:hint="eastAsia" w:ascii="宋体" w:hAnsi="宋体"/>
          <w:szCs w:val="21"/>
        </w:rPr>
        <w:t>合同订立地点：</w:t>
      </w:r>
      <w:r>
        <w:rPr>
          <w:rFonts w:hint="eastAsia" w:ascii="宋体" w:hAnsi="宋体"/>
          <w:szCs w:val="21"/>
          <w:u w:val="single"/>
        </w:rPr>
        <w:t xml:space="preserve">                           </w:t>
      </w:r>
    </w:p>
    <w:p w14:paraId="47E0E06E">
      <w:pPr>
        <w:adjustRightInd w:val="0"/>
        <w:snapToGrid w:val="0"/>
        <w:spacing w:before="157" w:beforeLines="50" w:line="360" w:lineRule="auto"/>
        <w:ind w:firstLine="420" w:firstLineChars="200"/>
        <w:rPr>
          <w:rFonts w:hint="eastAsia" w:ascii="宋体" w:hAnsi="宋体"/>
          <w:szCs w:val="21"/>
        </w:rPr>
      </w:pPr>
      <w:r>
        <w:rPr>
          <w:rFonts w:hint="eastAsia" w:ascii="宋体" w:hAnsi="宋体"/>
          <w:szCs w:val="21"/>
        </w:rPr>
        <w:t xml:space="preserve">附件：具体标的明细、分包合同等。    </w:t>
      </w:r>
    </w:p>
    <w:p w14:paraId="4314E39D">
      <w:pPr>
        <w:pStyle w:val="64"/>
        <w:rPr>
          <w:rFonts w:hint="eastAsia" w:ascii="宋体" w:hAnsi="宋体"/>
        </w:rPr>
      </w:pPr>
    </w:p>
    <w:p w14:paraId="131458EF">
      <w:pPr>
        <w:pStyle w:val="64"/>
        <w:rPr>
          <w:rFonts w:hint="eastAsia" w:ascii="宋体" w:hAnsi="宋体"/>
        </w:rPr>
      </w:pPr>
    </w:p>
    <w:p w14:paraId="619215F7">
      <w:pPr>
        <w:adjustRightInd w:val="0"/>
        <w:snapToGrid w:val="0"/>
        <w:spacing w:before="157" w:beforeLines="50" w:line="360" w:lineRule="auto"/>
        <w:rPr>
          <w:rFonts w:hint="eastAsia" w:ascii="宋体" w:hAnsi="宋体"/>
          <w:szCs w:val="21"/>
        </w:rPr>
      </w:pPr>
      <w:r>
        <w:rPr>
          <w:rFonts w:hint="eastAsia" w:ascii="宋体" w:hAnsi="宋体"/>
          <w:szCs w:val="21"/>
        </w:rPr>
        <w:t>甲      方：（公章）                     乙      方：（公章）</w:t>
      </w:r>
    </w:p>
    <w:p w14:paraId="5F3E283D">
      <w:pPr>
        <w:adjustRightInd w:val="0"/>
        <w:snapToGrid w:val="0"/>
        <w:spacing w:before="157" w:beforeLines="50" w:line="360" w:lineRule="auto"/>
        <w:rPr>
          <w:rFonts w:hint="eastAsia" w:ascii="宋体" w:hAnsi="宋体"/>
          <w:szCs w:val="21"/>
        </w:rPr>
      </w:pPr>
      <w:r>
        <w:rPr>
          <w:rFonts w:hint="eastAsia" w:ascii="宋体" w:hAnsi="宋体"/>
          <w:szCs w:val="21"/>
        </w:rPr>
        <w:t>法定代表人：</w:t>
      </w:r>
      <w:r>
        <w:rPr>
          <w:rFonts w:hint="eastAsia" w:ascii="宋体" w:hAnsi="宋体"/>
          <w:szCs w:val="21"/>
          <w:u w:val="single"/>
        </w:rPr>
        <w:t xml:space="preserve">                   </w:t>
      </w:r>
      <w:r>
        <w:rPr>
          <w:rFonts w:hint="eastAsia" w:ascii="宋体" w:hAnsi="宋体"/>
          <w:szCs w:val="21"/>
        </w:rPr>
        <w:t xml:space="preserve">         法定代表人：</w:t>
      </w:r>
      <w:r>
        <w:rPr>
          <w:rFonts w:hint="eastAsia" w:ascii="宋体" w:hAnsi="宋体"/>
          <w:szCs w:val="21"/>
          <w:u w:val="single"/>
        </w:rPr>
        <w:t xml:space="preserve">                   </w:t>
      </w:r>
    </w:p>
    <w:p w14:paraId="5067DD1E">
      <w:pPr>
        <w:adjustRightInd w:val="0"/>
        <w:snapToGrid w:val="0"/>
        <w:spacing w:before="157" w:beforeLines="50" w:line="360" w:lineRule="auto"/>
        <w:rPr>
          <w:rFonts w:hint="eastAsia" w:ascii="宋体" w:hAnsi="宋体"/>
          <w:szCs w:val="21"/>
        </w:rPr>
      </w:pPr>
      <w:r>
        <w:rPr>
          <w:rFonts w:hint="eastAsia" w:ascii="宋体" w:hAnsi="宋体"/>
          <w:szCs w:val="21"/>
        </w:rPr>
        <w:t>委托代理人：</w:t>
      </w:r>
      <w:r>
        <w:rPr>
          <w:rFonts w:hint="eastAsia" w:ascii="宋体" w:hAnsi="宋体"/>
          <w:szCs w:val="21"/>
          <w:u w:val="single"/>
        </w:rPr>
        <w:t xml:space="preserve">                   </w:t>
      </w:r>
      <w:r>
        <w:rPr>
          <w:rFonts w:hint="eastAsia" w:ascii="宋体" w:hAnsi="宋体"/>
          <w:szCs w:val="21"/>
        </w:rPr>
        <w:t xml:space="preserve">         委托代理人：</w:t>
      </w:r>
      <w:r>
        <w:rPr>
          <w:rFonts w:hint="eastAsia" w:ascii="宋体" w:hAnsi="宋体"/>
          <w:szCs w:val="21"/>
          <w:u w:val="single"/>
        </w:rPr>
        <w:t xml:space="preserve">                   </w:t>
      </w:r>
    </w:p>
    <w:p w14:paraId="18265A0A">
      <w:pPr>
        <w:adjustRightInd w:val="0"/>
        <w:snapToGrid w:val="0"/>
        <w:spacing w:before="157" w:beforeLines="50" w:line="360" w:lineRule="auto"/>
        <w:rPr>
          <w:rFonts w:hint="eastAsia" w:ascii="宋体" w:hAnsi="宋体"/>
          <w:szCs w:val="21"/>
        </w:rPr>
      </w:pPr>
      <w:r>
        <w:rPr>
          <w:rFonts w:hint="eastAsia" w:ascii="宋体" w:hAnsi="宋体"/>
          <w:szCs w:val="21"/>
        </w:rPr>
        <w:t>电      话：</w:t>
      </w:r>
      <w:r>
        <w:rPr>
          <w:rFonts w:hint="eastAsia" w:ascii="宋体" w:hAnsi="宋体"/>
          <w:szCs w:val="21"/>
          <w:u w:val="single"/>
        </w:rPr>
        <w:t xml:space="preserve">                   </w:t>
      </w:r>
      <w:r>
        <w:rPr>
          <w:rFonts w:hint="eastAsia" w:ascii="宋体" w:hAnsi="宋体"/>
          <w:szCs w:val="21"/>
        </w:rPr>
        <w:t xml:space="preserve">         电      话：</w:t>
      </w:r>
      <w:r>
        <w:rPr>
          <w:rFonts w:hint="eastAsia" w:ascii="宋体" w:hAnsi="宋体"/>
          <w:szCs w:val="21"/>
          <w:u w:val="single"/>
        </w:rPr>
        <w:t xml:space="preserve">                   </w:t>
      </w:r>
    </w:p>
    <w:p w14:paraId="0C32D2D3">
      <w:pPr>
        <w:adjustRightInd w:val="0"/>
        <w:snapToGrid w:val="0"/>
        <w:spacing w:before="157" w:beforeLines="50" w:line="360" w:lineRule="auto"/>
        <w:rPr>
          <w:rFonts w:hint="eastAsia" w:ascii="宋体" w:hAnsi="宋体"/>
          <w:szCs w:val="21"/>
        </w:rPr>
      </w:pPr>
      <w:r>
        <w:rPr>
          <w:rFonts w:hint="eastAsia" w:ascii="宋体" w:hAnsi="宋体"/>
          <w:szCs w:val="21"/>
        </w:rPr>
        <w:t>传      真：</w:t>
      </w:r>
      <w:r>
        <w:rPr>
          <w:rFonts w:hint="eastAsia" w:ascii="宋体" w:hAnsi="宋体"/>
          <w:szCs w:val="21"/>
          <w:u w:val="single"/>
        </w:rPr>
        <w:t xml:space="preserve">                   </w:t>
      </w:r>
      <w:r>
        <w:rPr>
          <w:rFonts w:hint="eastAsia" w:ascii="宋体" w:hAnsi="宋体"/>
          <w:szCs w:val="21"/>
        </w:rPr>
        <w:t xml:space="preserve">         传      真：</w:t>
      </w:r>
      <w:r>
        <w:rPr>
          <w:rFonts w:hint="eastAsia" w:ascii="宋体" w:hAnsi="宋体"/>
          <w:szCs w:val="21"/>
          <w:u w:val="single"/>
        </w:rPr>
        <w:t xml:space="preserve">                   </w:t>
      </w:r>
    </w:p>
    <w:p w14:paraId="7EB943FA">
      <w:pPr>
        <w:adjustRightInd w:val="0"/>
        <w:snapToGrid w:val="0"/>
        <w:spacing w:before="157" w:beforeLines="50" w:line="360" w:lineRule="auto"/>
        <w:ind w:firstLine="420" w:firstLineChars="200"/>
        <w:rPr>
          <w:rFonts w:hint="eastAsia" w:ascii="宋体" w:hAnsi="宋体"/>
          <w:szCs w:val="21"/>
        </w:rPr>
      </w:pPr>
      <w:r>
        <w:rPr>
          <w:rFonts w:hint="eastAsia" w:ascii="宋体" w:hAnsi="宋体"/>
          <w:szCs w:val="21"/>
        </w:rPr>
        <w:t xml:space="preserve">                                    开 户 银 行：</w:t>
      </w:r>
      <w:r>
        <w:rPr>
          <w:rFonts w:hint="eastAsia" w:ascii="宋体" w:hAnsi="宋体"/>
          <w:szCs w:val="21"/>
          <w:u w:val="single"/>
        </w:rPr>
        <w:t xml:space="preserve">                   </w:t>
      </w:r>
    </w:p>
    <w:p w14:paraId="3681FEB8">
      <w:pPr>
        <w:adjustRightInd w:val="0"/>
        <w:snapToGrid w:val="0"/>
        <w:spacing w:before="157" w:beforeLines="50" w:line="360" w:lineRule="auto"/>
        <w:jc w:val="center"/>
        <w:rPr>
          <w:rFonts w:hint="eastAsia" w:ascii="宋体" w:hAnsi="宋体"/>
          <w:b/>
          <w:szCs w:val="21"/>
        </w:rPr>
      </w:pPr>
      <w:r>
        <w:rPr>
          <w:rFonts w:hint="eastAsia" w:ascii="宋体" w:hAnsi="宋体"/>
          <w:szCs w:val="21"/>
        </w:rPr>
        <w:t xml:space="preserve">         账       号：</w:t>
      </w:r>
      <w:r>
        <w:rPr>
          <w:rFonts w:hint="eastAsia" w:ascii="宋体" w:hAnsi="宋体"/>
          <w:szCs w:val="21"/>
          <w:u w:val="single"/>
        </w:rPr>
        <w:t xml:space="preserve">                   </w:t>
      </w:r>
    </w:p>
    <w:p w14:paraId="38391ADA">
      <w:pPr>
        <w:pStyle w:val="2"/>
        <w:adjustRightInd w:val="0"/>
        <w:snapToGrid w:val="0"/>
        <w:spacing w:before="157" w:beforeLines="50"/>
        <w:jc w:val="center"/>
        <w:rPr>
          <w:rFonts w:hint="eastAsia" w:ascii="黑体" w:hAnsi="黑体" w:eastAsia="黑体"/>
          <w:sz w:val="28"/>
          <w:szCs w:val="28"/>
        </w:rPr>
      </w:pPr>
      <w:r>
        <w:rPr>
          <w:rFonts w:ascii="宋体" w:hAnsi="宋体"/>
          <w:sz w:val="21"/>
          <w:szCs w:val="21"/>
          <w:u w:val="single"/>
        </w:rPr>
        <w:br w:type="page"/>
      </w:r>
      <w:bookmarkStart w:id="148" w:name="_Toc98"/>
      <w:r>
        <w:rPr>
          <w:rFonts w:hint="eastAsia" w:ascii="黑体" w:hAnsi="黑体" w:eastAsia="黑体"/>
          <w:sz w:val="28"/>
          <w:szCs w:val="28"/>
        </w:rPr>
        <w:t>第二节 政府采购合同通用条款</w:t>
      </w:r>
      <w:bookmarkEnd w:id="148"/>
    </w:p>
    <w:p w14:paraId="06A1495E">
      <w:pPr>
        <w:tabs>
          <w:tab w:val="left" w:pos="8820"/>
          <w:tab w:val="left" w:pos="9345"/>
          <w:tab w:val="left" w:pos="9765"/>
        </w:tabs>
        <w:adjustRightInd w:val="0"/>
        <w:snapToGrid w:val="0"/>
        <w:spacing w:before="50" w:line="360" w:lineRule="auto"/>
        <w:jc w:val="left"/>
        <w:rPr>
          <w:rFonts w:hint="eastAsia" w:ascii="宋体" w:hAnsi="宋体"/>
          <w:b/>
          <w:bCs/>
          <w:sz w:val="24"/>
        </w:rPr>
      </w:pPr>
      <w:r>
        <w:rPr>
          <w:rFonts w:hint="eastAsia" w:ascii="宋体" w:hAnsi="宋体"/>
          <w:b/>
          <w:sz w:val="24"/>
        </w:rPr>
        <w:t>1.</w:t>
      </w:r>
      <w:r>
        <w:rPr>
          <w:rFonts w:hint="eastAsia" w:ascii="宋体" w:hAnsi="宋体"/>
          <w:b/>
          <w:bCs/>
          <w:sz w:val="24"/>
        </w:rPr>
        <w:t>定义</w:t>
      </w:r>
    </w:p>
    <w:p w14:paraId="2AB0DB14">
      <w:pPr>
        <w:autoSpaceDE w:val="0"/>
        <w:autoSpaceDN w:val="0"/>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rPr>
        <w:t>1.1合同当事人</w:t>
      </w:r>
    </w:p>
    <w:p w14:paraId="28BEC055">
      <w:pPr>
        <w:autoSpaceDE w:val="0"/>
        <w:autoSpaceDN w:val="0"/>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rPr>
        <w:t>（1）采购人（以下称甲方）是指使用财政性资金，通过政府采购方式向供应商购买货物、服务的国家机关、事业单位、团体组织。本次采购的甲方名称、地址见</w:t>
      </w:r>
      <w:r>
        <w:rPr>
          <w:rFonts w:hint="eastAsia" w:ascii="宋体" w:hAnsi="宋体"/>
          <w:b/>
          <w:szCs w:val="21"/>
        </w:rPr>
        <w:t>【政府采购合同专用条款】。</w:t>
      </w:r>
    </w:p>
    <w:p w14:paraId="05EB23FD">
      <w:pPr>
        <w:autoSpaceDE w:val="0"/>
        <w:autoSpaceDN w:val="0"/>
        <w:adjustRightInd w:val="0"/>
        <w:snapToGrid w:val="0"/>
        <w:spacing w:before="50" w:line="360" w:lineRule="auto"/>
        <w:ind w:firstLine="420" w:firstLineChars="200"/>
        <w:jc w:val="left"/>
        <w:rPr>
          <w:rFonts w:hint="eastAsia" w:ascii="宋体" w:hAnsi="宋体"/>
          <w:b/>
          <w:szCs w:val="21"/>
        </w:rPr>
      </w:pPr>
      <w:r>
        <w:rPr>
          <w:rFonts w:hint="eastAsia" w:ascii="宋体" w:hAnsi="宋体"/>
          <w:szCs w:val="21"/>
        </w:rPr>
        <w:t>（2）供应商（以下称乙方）是指参加政府采购活动而取得中标结果，并向采购人提供货物、服务的法人、其他组织或者自然人。</w:t>
      </w:r>
    </w:p>
    <w:p w14:paraId="7F732324">
      <w:pPr>
        <w:tabs>
          <w:tab w:val="left" w:pos="570"/>
          <w:tab w:val="left" w:pos="9240"/>
          <w:tab w:val="left" w:pos="9555"/>
        </w:tabs>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rPr>
        <w:t>1.2本合同下列术语应解释为：</w:t>
      </w:r>
    </w:p>
    <w:p w14:paraId="4CF958FB">
      <w:pPr>
        <w:tabs>
          <w:tab w:val="left" w:pos="570"/>
          <w:tab w:val="left" w:pos="9240"/>
          <w:tab w:val="left" w:pos="9555"/>
        </w:tabs>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rPr>
        <w:t>（1）“合同”系指甲乙双方签署的、政府采购合同协议书中载明的甲乙双方所达成的协议，包括所有的附件、附录和上述文件所提到的构成合同的所有文件。</w:t>
      </w:r>
    </w:p>
    <w:p w14:paraId="071FDE2F">
      <w:pPr>
        <w:tabs>
          <w:tab w:val="left" w:pos="570"/>
          <w:tab w:val="left" w:pos="9240"/>
          <w:tab w:val="left" w:pos="9555"/>
        </w:tabs>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rPr>
        <w:t>（2）“合同价”系指根据本合同规定乙方在正确地完全履行合同义务后甲方应支付给乙方的价款。</w:t>
      </w:r>
    </w:p>
    <w:p w14:paraId="42FFC0DA">
      <w:pPr>
        <w:tabs>
          <w:tab w:val="left" w:pos="570"/>
          <w:tab w:val="left" w:pos="9240"/>
          <w:tab w:val="left" w:pos="9555"/>
        </w:tabs>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rPr>
        <w:t>（3）“货物”系指乙方根据本合同规定须向甲方提供的各种形态和种类的物品，包括原材料、设备、产品（包括软件）及相关的其备品备件、工具、手册及其它技术资料和材料。</w:t>
      </w:r>
    </w:p>
    <w:p w14:paraId="77BB4EE8">
      <w:pPr>
        <w:tabs>
          <w:tab w:val="left" w:pos="570"/>
          <w:tab w:val="left" w:pos="8880"/>
          <w:tab w:val="left" w:pos="9555"/>
        </w:tabs>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rPr>
        <w:t>（4）“服务”系指根据合同规定，乙方应提供的技术、管理和其它服务，包括但不限于：管理和质量保证、运输、保险、检验、现场准备、安装、集成、调试、培训、维修、技术支持等以及合同中规定乙方应承担的其它义务。</w:t>
      </w:r>
    </w:p>
    <w:p w14:paraId="2F4027BB">
      <w:pPr>
        <w:tabs>
          <w:tab w:val="left" w:pos="570"/>
          <w:tab w:val="left" w:pos="9240"/>
          <w:tab w:val="left" w:pos="9555"/>
        </w:tabs>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rPr>
        <w:t>（5）“合同条款”系指本合同及其附件、补充文件约定的全部条款。</w:t>
      </w:r>
    </w:p>
    <w:p w14:paraId="3282F017">
      <w:pPr>
        <w:tabs>
          <w:tab w:val="left" w:pos="570"/>
          <w:tab w:val="left" w:pos="9240"/>
          <w:tab w:val="left" w:pos="9555"/>
        </w:tabs>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rPr>
        <w:t>（6）“项目现场”系指本合同项下货物安装、运行的现场，其名称见</w:t>
      </w:r>
      <w:r>
        <w:rPr>
          <w:rFonts w:hint="eastAsia" w:ascii="宋体" w:hAnsi="宋体"/>
          <w:b/>
          <w:szCs w:val="21"/>
        </w:rPr>
        <w:t>【政府采购合同专用条款】</w:t>
      </w:r>
      <w:r>
        <w:rPr>
          <w:rFonts w:hint="eastAsia" w:ascii="宋体" w:hAnsi="宋体"/>
          <w:szCs w:val="21"/>
        </w:rPr>
        <w:t>。</w:t>
      </w:r>
    </w:p>
    <w:p w14:paraId="10734993">
      <w:pPr>
        <w:autoSpaceDE w:val="0"/>
        <w:autoSpaceDN w:val="0"/>
        <w:adjustRightInd w:val="0"/>
        <w:snapToGrid w:val="0"/>
        <w:spacing w:before="50" w:line="360" w:lineRule="auto"/>
        <w:jc w:val="left"/>
        <w:rPr>
          <w:rFonts w:hint="eastAsia" w:ascii="宋体" w:hAnsi="宋体"/>
          <w:b/>
          <w:sz w:val="24"/>
        </w:rPr>
      </w:pPr>
      <w:r>
        <w:rPr>
          <w:rFonts w:hint="eastAsia" w:ascii="宋体" w:hAnsi="宋体"/>
          <w:b/>
          <w:sz w:val="24"/>
        </w:rPr>
        <w:t>2.合同的适用范围</w:t>
      </w:r>
    </w:p>
    <w:p w14:paraId="53C5CB94">
      <w:pPr>
        <w:autoSpaceDE w:val="0"/>
        <w:autoSpaceDN w:val="0"/>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rPr>
        <w:t>2.1 本合同条款适用于没有被本合同其他部分的条款所取代的范围。</w:t>
      </w:r>
    </w:p>
    <w:p w14:paraId="2C5194F5">
      <w:pPr>
        <w:autoSpaceDE w:val="0"/>
        <w:autoSpaceDN w:val="0"/>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rPr>
        <w:t>2.2 合同内容根据招标文件、投标文件而确定。</w:t>
      </w:r>
    </w:p>
    <w:p w14:paraId="24D41DC7">
      <w:pPr>
        <w:autoSpaceDE w:val="0"/>
        <w:autoSpaceDN w:val="0"/>
        <w:adjustRightInd w:val="0"/>
        <w:snapToGrid w:val="0"/>
        <w:spacing w:before="50" w:line="360" w:lineRule="auto"/>
        <w:jc w:val="left"/>
        <w:rPr>
          <w:rFonts w:hint="eastAsia" w:ascii="宋体" w:hAnsi="宋体"/>
          <w:b/>
          <w:bCs/>
          <w:sz w:val="24"/>
        </w:rPr>
      </w:pPr>
      <w:r>
        <w:rPr>
          <w:rFonts w:hint="eastAsia" w:ascii="宋体" w:hAnsi="宋体"/>
          <w:b/>
          <w:bCs/>
          <w:sz w:val="24"/>
        </w:rPr>
        <w:t>3.</w:t>
      </w:r>
      <w:r>
        <w:rPr>
          <w:rFonts w:hint="eastAsia" w:ascii="宋体" w:hAnsi="宋体"/>
          <w:b/>
          <w:sz w:val="24"/>
        </w:rPr>
        <w:t>合同标的及金额</w:t>
      </w:r>
    </w:p>
    <w:p w14:paraId="504BD721">
      <w:pPr>
        <w:autoSpaceDE w:val="0"/>
        <w:autoSpaceDN w:val="0"/>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rPr>
        <w:t>3.1 合同标的及金额应与中标结果一致。</w:t>
      </w:r>
    </w:p>
    <w:p w14:paraId="4DF0B6BC">
      <w:pPr>
        <w:autoSpaceDE w:val="0"/>
        <w:autoSpaceDN w:val="0"/>
        <w:adjustRightInd w:val="0"/>
        <w:snapToGrid w:val="0"/>
        <w:spacing w:before="50" w:line="360" w:lineRule="auto"/>
        <w:jc w:val="left"/>
        <w:rPr>
          <w:rFonts w:hint="eastAsia" w:ascii="宋体" w:hAnsi="宋体"/>
          <w:b/>
          <w:bCs/>
          <w:sz w:val="24"/>
        </w:rPr>
      </w:pPr>
      <w:r>
        <w:rPr>
          <w:rFonts w:hint="eastAsia" w:ascii="宋体" w:hAnsi="宋体"/>
          <w:b/>
          <w:bCs/>
          <w:sz w:val="24"/>
        </w:rPr>
        <w:t>4.</w:t>
      </w:r>
      <w:r>
        <w:rPr>
          <w:rFonts w:hint="eastAsia" w:ascii="宋体" w:hAnsi="宋体"/>
          <w:b/>
          <w:sz w:val="24"/>
        </w:rPr>
        <w:t>合同价款</w:t>
      </w:r>
    </w:p>
    <w:p w14:paraId="284C8258">
      <w:pPr>
        <w:adjustRightInd w:val="0"/>
        <w:snapToGrid w:val="0"/>
        <w:spacing w:before="50" w:line="360" w:lineRule="auto"/>
        <w:ind w:firstLine="420" w:firstLineChars="200"/>
        <w:jc w:val="left"/>
        <w:rPr>
          <w:rFonts w:hint="eastAsia" w:ascii="宋体" w:hAnsi="宋体"/>
          <w:b/>
          <w:bCs/>
          <w:i/>
          <w:iCs/>
          <w:szCs w:val="21"/>
        </w:rPr>
      </w:pPr>
      <w:r>
        <w:rPr>
          <w:rFonts w:hint="eastAsia" w:ascii="宋体" w:hAnsi="宋体"/>
          <w:szCs w:val="21"/>
        </w:rPr>
        <w:t>4.1具体合同价款见本合同第3.1条。乙方为履行本合同而发生的所有费用均应包含在合同价款中，甲方不再另行支付其它任何费用。</w:t>
      </w:r>
    </w:p>
    <w:p w14:paraId="1605E15B">
      <w:pPr>
        <w:adjustRightInd w:val="0"/>
        <w:snapToGrid w:val="0"/>
        <w:spacing w:before="50" w:line="360" w:lineRule="auto"/>
        <w:jc w:val="left"/>
        <w:rPr>
          <w:rFonts w:hint="eastAsia" w:ascii="宋体" w:hAnsi="宋体"/>
          <w:b/>
          <w:sz w:val="24"/>
        </w:rPr>
      </w:pPr>
      <w:r>
        <w:rPr>
          <w:rFonts w:hint="eastAsia" w:ascii="宋体" w:hAnsi="宋体"/>
          <w:b/>
          <w:sz w:val="24"/>
        </w:rPr>
        <w:t>5.履行合同的时间、地点和方式</w:t>
      </w:r>
    </w:p>
    <w:p w14:paraId="6CB7E534">
      <w:pPr>
        <w:autoSpaceDE w:val="0"/>
        <w:autoSpaceDN w:val="0"/>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rPr>
        <w:t>5.1 乙方应当在甲方确定的时间、指定的地点履行合同，具体的交货时间、地点和方式见</w:t>
      </w:r>
      <w:r>
        <w:rPr>
          <w:rFonts w:hint="eastAsia" w:ascii="宋体" w:hAnsi="宋体"/>
          <w:b/>
          <w:szCs w:val="21"/>
        </w:rPr>
        <w:t>【政府采购合同专用条款】</w:t>
      </w:r>
      <w:r>
        <w:rPr>
          <w:rFonts w:hint="eastAsia" w:ascii="宋体" w:hAnsi="宋体"/>
          <w:szCs w:val="21"/>
        </w:rPr>
        <w:t>。</w:t>
      </w:r>
    </w:p>
    <w:p w14:paraId="6290556D">
      <w:pPr>
        <w:autoSpaceDE w:val="0"/>
        <w:autoSpaceDN w:val="0"/>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rPr>
        <w:t>5.2 乙方提供服务的应当在甲方指定的时间和地点完成服务项目。</w:t>
      </w:r>
    </w:p>
    <w:p w14:paraId="1C202217">
      <w:pPr>
        <w:adjustRightInd w:val="0"/>
        <w:snapToGrid w:val="0"/>
        <w:spacing w:before="50" w:line="360" w:lineRule="auto"/>
        <w:jc w:val="left"/>
        <w:rPr>
          <w:rFonts w:hint="eastAsia" w:ascii="宋体" w:hAnsi="宋体"/>
          <w:b/>
          <w:bCs/>
          <w:sz w:val="24"/>
        </w:rPr>
      </w:pPr>
      <w:r>
        <w:rPr>
          <w:rFonts w:hint="eastAsia" w:ascii="宋体" w:hAnsi="宋体"/>
          <w:b/>
          <w:bCs/>
          <w:sz w:val="24"/>
        </w:rPr>
        <w:t>6.</w:t>
      </w:r>
      <w:r>
        <w:rPr>
          <w:rFonts w:hint="eastAsia" w:ascii="宋体" w:hAnsi="宋体"/>
          <w:b/>
          <w:sz w:val="24"/>
        </w:rPr>
        <w:t>货物的验收</w:t>
      </w:r>
    </w:p>
    <w:p w14:paraId="0B86A9F4">
      <w:pPr>
        <w:autoSpaceDE w:val="0"/>
        <w:autoSpaceDN w:val="0"/>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rPr>
        <w:t>6.1 甲方在收到乙方交付的货物后应当及时组织验收。</w:t>
      </w:r>
    </w:p>
    <w:p w14:paraId="5CD67B5B">
      <w:pPr>
        <w:autoSpaceDE w:val="0"/>
        <w:autoSpaceDN w:val="0"/>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rPr>
        <w:t>6.2 货物的表面瑕疵，甲方应在验收时当面提出；对质量问题有异议的应在安装调试后十个工作日内提出。</w:t>
      </w:r>
    </w:p>
    <w:p w14:paraId="16C154B7">
      <w:pPr>
        <w:autoSpaceDE w:val="0"/>
        <w:autoSpaceDN w:val="0"/>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rPr>
        <w:t>6.3 在验收过程中发现数量不足或有质量、技术等问题，乙方应负责按照甲方的要求采取补足、更换或退货等处理措施，并承担由此发生的一切费用和损失。</w:t>
      </w:r>
    </w:p>
    <w:p w14:paraId="485E8D7A">
      <w:pPr>
        <w:autoSpaceDE w:val="0"/>
        <w:autoSpaceDN w:val="0"/>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rPr>
        <w:t>6.4 甲方在乙方按合同规定交货或安装、调试后，无正当理由而拖延接收、验收或拒绝接收、验收的，应承担因此给乙方造成的直接损失。</w:t>
      </w:r>
    </w:p>
    <w:p w14:paraId="0BA5018B">
      <w:pPr>
        <w:autoSpaceDE w:val="0"/>
        <w:autoSpaceDN w:val="0"/>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rPr>
        <w:t>6.5 甲方对货物进行检查验收合格后，应当收取发票并在《交货验收单》上签署验收意见及加盖单位印章。</w:t>
      </w:r>
    </w:p>
    <w:p w14:paraId="14B0506C">
      <w:pPr>
        <w:autoSpaceDE w:val="0"/>
        <w:autoSpaceDN w:val="0"/>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rPr>
        <w:t>6.6 大型或者复杂的货物采购项目，甲方可以邀请国家认可的质量检测机构参加验收工作，并由其出具验收报告单。</w:t>
      </w:r>
    </w:p>
    <w:p w14:paraId="74A0F5AE">
      <w:pPr>
        <w:autoSpaceDE w:val="0"/>
        <w:autoSpaceDN w:val="0"/>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rPr>
        <w:t>6.7 乙方提供的进口产品，乙方应出示中华人民共和国进出口商品检验部门出具的检验证书（招标文件第五章采购需求另有约定的除外）。</w:t>
      </w:r>
    </w:p>
    <w:p w14:paraId="4B1F1337">
      <w:pPr>
        <w:adjustRightInd w:val="0"/>
        <w:snapToGrid w:val="0"/>
        <w:spacing w:before="50" w:line="360" w:lineRule="auto"/>
        <w:jc w:val="left"/>
        <w:rPr>
          <w:rFonts w:hint="eastAsia" w:ascii="宋体" w:hAnsi="宋体"/>
          <w:b/>
          <w:bCs/>
          <w:sz w:val="24"/>
        </w:rPr>
      </w:pPr>
      <w:r>
        <w:rPr>
          <w:rFonts w:hint="eastAsia" w:ascii="宋体" w:hAnsi="宋体"/>
          <w:b/>
          <w:bCs/>
          <w:sz w:val="24"/>
        </w:rPr>
        <w:t>7.货物包装要求</w:t>
      </w:r>
    </w:p>
    <w:p w14:paraId="3EEF3D86">
      <w:pPr>
        <w:autoSpaceDE w:val="0"/>
        <w:autoSpaceDN w:val="0"/>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rPr>
        <w:t>7.1 乙方所出售的全部货物均应按标准保护措施进行包装，包装应适应于远距离运输、防潮、防震、防锈和防野蛮装卸等要求，以确保货物安全无损地运抵指定现场。由于包装防护措施不妥而引起的损坏、丢失由乙方负责。</w:t>
      </w:r>
    </w:p>
    <w:p w14:paraId="0BE9D162">
      <w:pPr>
        <w:autoSpaceDE w:val="0"/>
        <w:autoSpaceDN w:val="0"/>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rPr>
        <w:t>7.2 每一个包装箱内应附一份详细装箱单、质量</w:t>
      </w:r>
    </w:p>
    <w:p w14:paraId="6C430754">
      <w:pPr>
        <w:autoSpaceDE w:val="0"/>
        <w:autoSpaceDN w:val="0"/>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rPr>
        <w:t>证书和保修保养证书。</w:t>
      </w:r>
    </w:p>
    <w:p w14:paraId="19DE2462">
      <w:pPr>
        <w:adjustRightInd w:val="0"/>
        <w:snapToGrid w:val="0"/>
        <w:spacing w:before="50" w:line="360" w:lineRule="auto"/>
        <w:jc w:val="left"/>
        <w:rPr>
          <w:rFonts w:hint="eastAsia" w:ascii="宋体" w:hAnsi="宋体"/>
          <w:b/>
          <w:sz w:val="24"/>
        </w:rPr>
      </w:pPr>
      <w:r>
        <w:rPr>
          <w:rFonts w:hint="eastAsia" w:ascii="宋体" w:hAnsi="宋体"/>
          <w:b/>
          <w:sz w:val="24"/>
        </w:rPr>
        <w:t>8.运输和保险</w:t>
      </w:r>
    </w:p>
    <w:p w14:paraId="769B4156">
      <w:pPr>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rPr>
        <w:t>8.1乙方负责办理将货物运抵本合同第5.1条规定的交货地点的一切运输事项，相关费用应包括在合同总价中。</w:t>
      </w:r>
    </w:p>
    <w:p w14:paraId="79FA42EC">
      <w:pPr>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rPr>
        <w:t>8.2乙方应向保险公司投保以甲方为受益人的发运合同货物发票金额的110％运输一切险。</w:t>
      </w:r>
    </w:p>
    <w:p w14:paraId="755139AB">
      <w:pPr>
        <w:adjustRightInd w:val="0"/>
        <w:snapToGrid w:val="0"/>
        <w:spacing w:before="50" w:line="360" w:lineRule="auto"/>
        <w:jc w:val="left"/>
        <w:rPr>
          <w:rFonts w:hint="eastAsia" w:ascii="宋体" w:hAnsi="宋体"/>
          <w:b/>
          <w:sz w:val="24"/>
        </w:rPr>
      </w:pPr>
      <w:r>
        <w:rPr>
          <w:rFonts w:hint="eastAsia" w:ascii="宋体" w:hAnsi="宋体"/>
          <w:b/>
          <w:sz w:val="24"/>
        </w:rPr>
        <w:t>9.质量标准和保证</w:t>
      </w:r>
    </w:p>
    <w:p w14:paraId="025E5DC9">
      <w:pPr>
        <w:pStyle w:val="14"/>
        <w:adjustRightInd w:val="0"/>
        <w:snapToGrid w:val="0"/>
        <w:spacing w:before="50" w:line="360" w:lineRule="auto"/>
        <w:ind w:firstLine="420" w:firstLineChars="200"/>
        <w:jc w:val="left"/>
        <w:rPr>
          <w:rFonts w:hint="eastAsia" w:hAnsi="宋体"/>
          <w:b/>
        </w:rPr>
      </w:pPr>
      <w:r>
        <w:rPr>
          <w:rFonts w:hint="eastAsia" w:hAnsi="宋体"/>
        </w:rPr>
        <w:t>9.1 质量标准</w:t>
      </w:r>
    </w:p>
    <w:p w14:paraId="3A859FD8">
      <w:pPr>
        <w:autoSpaceDE w:val="0"/>
        <w:autoSpaceDN w:val="0"/>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rPr>
        <w:t>（1）本合同下交付的货物应符合招标文件第四章“技术规格、参数与要求”所述的标准。如果没有提及适用标准，则应符合中华人民共和国有关机构发布的最新版本的标准。</w:t>
      </w:r>
    </w:p>
    <w:p w14:paraId="2BFDAFFC">
      <w:pPr>
        <w:pStyle w:val="14"/>
        <w:adjustRightInd w:val="0"/>
        <w:snapToGrid w:val="0"/>
        <w:spacing w:before="50" w:line="360" w:lineRule="auto"/>
        <w:ind w:firstLine="420" w:firstLineChars="200"/>
        <w:jc w:val="left"/>
        <w:rPr>
          <w:rFonts w:hint="eastAsia" w:hAnsi="宋体"/>
        </w:rPr>
      </w:pPr>
      <w:r>
        <w:rPr>
          <w:rFonts w:hint="eastAsia" w:hAnsi="宋体"/>
        </w:rPr>
        <w:t>（2）采用中华人民共和国法定计量单位。</w:t>
      </w:r>
    </w:p>
    <w:p w14:paraId="64508469">
      <w:pPr>
        <w:autoSpaceDE w:val="0"/>
        <w:autoSpaceDN w:val="0"/>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rPr>
        <w:t>（3）乙方所出售的货物还应符合国家有关安全、环保、卫生之规定。</w:t>
      </w:r>
    </w:p>
    <w:p w14:paraId="607B9FAB">
      <w:pPr>
        <w:autoSpaceDE w:val="0"/>
        <w:autoSpaceDN w:val="0"/>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rPr>
        <w:t>9.2 保证</w:t>
      </w:r>
    </w:p>
    <w:p w14:paraId="57657D5A">
      <w:pPr>
        <w:autoSpaceDE w:val="0"/>
        <w:autoSpaceDN w:val="0"/>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rPr>
        <w:t>（1）乙方应保证所供货物是全新的、未使用过的，并完全符合合同规定的质量、规格和性能的要求。乙方应保证其货物在正确安装、正常使用和保养条件下，在其使用寿命期内应具有满意的性能，或者没有因乙方的行为或疏忽而产生的缺陷。在货物最终交付验收后不少于</w:t>
      </w:r>
      <w:r>
        <w:rPr>
          <w:rFonts w:hint="eastAsia" w:ascii="宋体" w:hAnsi="宋体"/>
          <w:b/>
          <w:szCs w:val="21"/>
        </w:rPr>
        <w:t>【政府采购合同专用条款】</w:t>
      </w:r>
      <w:r>
        <w:rPr>
          <w:rFonts w:hint="eastAsia" w:ascii="宋体" w:hAnsi="宋体"/>
          <w:szCs w:val="21"/>
        </w:rPr>
        <w:t>规定或乙方承诺（两者以较长的为准）的质量保证期内，本保证保持有效。</w:t>
      </w:r>
    </w:p>
    <w:p w14:paraId="26C3B63E">
      <w:pPr>
        <w:autoSpaceDE w:val="0"/>
        <w:autoSpaceDN w:val="0"/>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rPr>
        <w:t>（2）在质量保证期内所发现的缺陷，甲方应尽快以书面形式通知乙方。</w:t>
      </w:r>
    </w:p>
    <w:p w14:paraId="7BB315B2">
      <w:pPr>
        <w:autoSpaceDE w:val="0"/>
        <w:autoSpaceDN w:val="0"/>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rPr>
        <w:t>（3）乙方收到通知后应在</w:t>
      </w:r>
      <w:r>
        <w:rPr>
          <w:rFonts w:hint="eastAsia" w:ascii="宋体" w:hAnsi="宋体"/>
          <w:b/>
          <w:szCs w:val="21"/>
        </w:rPr>
        <w:t>【政府采购合同专用条款】</w:t>
      </w:r>
      <w:r>
        <w:rPr>
          <w:rFonts w:hint="eastAsia" w:ascii="宋体" w:hAnsi="宋体"/>
          <w:szCs w:val="21"/>
        </w:rPr>
        <w:t>规定的响应时间内以合理的速度免费维修或更换有缺陷的货物或部件。</w:t>
      </w:r>
    </w:p>
    <w:p w14:paraId="641CA13E">
      <w:pPr>
        <w:autoSpaceDE w:val="0"/>
        <w:autoSpaceDN w:val="0"/>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rPr>
        <w:t>（4）在质量保证期内，如果货物的质量或规格与合同不符，或证实货物是有缺陷的，包括潜在的缺陷或使用不符合要求的材料等，甲方可以根据本合同第15.1条规定以书面形式向乙方提出补救措施或索赔。</w:t>
      </w:r>
    </w:p>
    <w:p w14:paraId="27E9AEE7">
      <w:pPr>
        <w:adjustRightInd w:val="0"/>
        <w:snapToGrid w:val="0"/>
        <w:spacing w:before="50" w:line="360" w:lineRule="auto"/>
        <w:ind w:firstLine="420" w:firstLineChars="200"/>
        <w:jc w:val="left"/>
        <w:rPr>
          <w:rFonts w:hint="eastAsia" w:ascii="宋体" w:hAnsi="宋体"/>
          <w:b/>
          <w:szCs w:val="21"/>
        </w:rPr>
      </w:pPr>
      <w:r>
        <w:rPr>
          <w:rFonts w:hint="eastAsia" w:ascii="宋体" w:hAnsi="宋体"/>
          <w:szCs w:val="21"/>
        </w:rPr>
        <w:t>（5）乙方在约定的时间内未能弥补缺陷，甲方可采取必要的补救措施，但其风险和费用将由乙方承担，甲方根据合同规定对乙方行使的其他权利不受影响。</w:t>
      </w:r>
    </w:p>
    <w:p w14:paraId="44B80936">
      <w:pPr>
        <w:adjustRightInd w:val="0"/>
        <w:snapToGrid w:val="0"/>
        <w:spacing w:before="50" w:line="360" w:lineRule="auto"/>
        <w:jc w:val="left"/>
        <w:rPr>
          <w:rFonts w:hint="eastAsia" w:ascii="宋体" w:hAnsi="宋体"/>
          <w:b/>
          <w:bCs/>
          <w:sz w:val="24"/>
        </w:rPr>
      </w:pPr>
      <w:r>
        <w:rPr>
          <w:rFonts w:hint="eastAsia" w:ascii="宋体" w:hAnsi="宋体"/>
          <w:b/>
          <w:bCs/>
          <w:sz w:val="24"/>
        </w:rPr>
        <w:t>10.权利瑕疵担保</w:t>
      </w:r>
    </w:p>
    <w:p w14:paraId="05C8608B">
      <w:pPr>
        <w:autoSpaceDE w:val="0"/>
        <w:autoSpaceDN w:val="0"/>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rPr>
        <w:t>10.1 乙方保证对其出售的货物享有合法的权利。</w:t>
      </w:r>
    </w:p>
    <w:p w14:paraId="35A92B6C">
      <w:pPr>
        <w:autoSpaceDE w:val="0"/>
        <w:autoSpaceDN w:val="0"/>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rPr>
        <w:t>10.2 乙方保证在其出售的货物上不存在任何未曾向甲方透露的担保物权，如抵押权、质押权、留置权等。</w:t>
      </w:r>
    </w:p>
    <w:p w14:paraId="34F5B09E">
      <w:pPr>
        <w:autoSpaceDE w:val="0"/>
        <w:autoSpaceDN w:val="0"/>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rPr>
        <w:t>10.3 如甲方使用该货物构成上述侵权的，则由乙方承担全部责任。</w:t>
      </w:r>
    </w:p>
    <w:p w14:paraId="55C2EF91">
      <w:pPr>
        <w:autoSpaceDE w:val="0"/>
        <w:autoSpaceDN w:val="0"/>
        <w:adjustRightInd w:val="0"/>
        <w:snapToGrid w:val="0"/>
        <w:spacing w:before="50" w:line="360" w:lineRule="auto"/>
        <w:jc w:val="left"/>
        <w:rPr>
          <w:rFonts w:hint="eastAsia" w:ascii="宋体" w:hAnsi="宋体"/>
          <w:b/>
          <w:bCs/>
          <w:sz w:val="24"/>
        </w:rPr>
      </w:pPr>
      <w:r>
        <w:rPr>
          <w:rFonts w:hint="eastAsia" w:ascii="宋体" w:hAnsi="宋体"/>
          <w:b/>
          <w:bCs/>
          <w:sz w:val="24"/>
        </w:rPr>
        <w:t>11.知识产权保护</w:t>
      </w:r>
    </w:p>
    <w:p w14:paraId="1F6FF254">
      <w:pPr>
        <w:autoSpaceDE w:val="0"/>
        <w:autoSpaceDN w:val="0"/>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rPr>
        <w:t>11.1 乙方对其所销售的货物应当享有知识产权或经权利人合法授权，保证没有侵犯任何第三人的知识产权和商业秘密等权利。</w:t>
      </w:r>
    </w:p>
    <w:p w14:paraId="6B369F01">
      <w:pPr>
        <w:autoSpaceDE w:val="0"/>
        <w:autoSpaceDN w:val="0"/>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rPr>
        <w:t>11.2 甲方使用乙方提供的货物对第三人构成侵权的，应当由乙方承担全部法律责任，给甲方造成损害的，乙方应当承担赔偿责任。</w:t>
      </w:r>
    </w:p>
    <w:p w14:paraId="500F8B6A">
      <w:pPr>
        <w:autoSpaceDE w:val="0"/>
        <w:autoSpaceDN w:val="0"/>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rPr>
        <w:t>11.3 甲方委托乙方开发的产品，甲方享有知识产权，未经甲方许可不得转让任何第三人。</w:t>
      </w:r>
    </w:p>
    <w:p w14:paraId="25E4D259">
      <w:pPr>
        <w:autoSpaceDE w:val="0"/>
        <w:autoSpaceDN w:val="0"/>
        <w:adjustRightInd w:val="0"/>
        <w:snapToGrid w:val="0"/>
        <w:spacing w:before="50" w:line="360" w:lineRule="auto"/>
        <w:jc w:val="left"/>
        <w:rPr>
          <w:rFonts w:hint="eastAsia" w:ascii="宋体" w:hAnsi="宋体"/>
          <w:b/>
          <w:bCs/>
          <w:sz w:val="24"/>
        </w:rPr>
      </w:pPr>
      <w:r>
        <w:rPr>
          <w:rFonts w:hint="eastAsia" w:ascii="宋体" w:hAnsi="宋体"/>
          <w:b/>
          <w:bCs/>
          <w:sz w:val="24"/>
        </w:rPr>
        <w:t>12.保密义务</w:t>
      </w:r>
    </w:p>
    <w:p w14:paraId="6491782C">
      <w:pPr>
        <w:autoSpaceDE w:val="0"/>
        <w:autoSpaceDN w:val="0"/>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rPr>
        <w:t>12.1 甲、乙双方在采购和履行合同过程中所获悉的对方属于保密的内容，双方均有保密义务。</w:t>
      </w:r>
    </w:p>
    <w:p w14:paraId="187931CC">
      <w:pPr>
        <w:autoSpaceDE w:val="0"/>
        <w:autoSpaceDN w:val="0"/>
        <w:adjustRightInd w:val="0"/>
        <w:snapToGrid w:val="0"/>
        <w:spacing w:before="50" w:line="360" w:lineRule="auto"/>
        <w:jc w:val="left"/>
        <w:rPr>
          <w:rFonts w:hint="eastAsia" w:ascii="宋体" w:hAnsi="宋体"/>
          <w:b/>
          <w:bCs/>
          <w:sz w:val="24"/>
        </w:rPr>
      </w:pPr>
      <w:r>
        <w:rPr>
          <w:rFonts w:hint="eastAsia" w:ascii="宋体" w:hAnsi="宋体"/>
          <w:b/>
          <w:bCs/>
          <w:sz w:val="24"/>
        </w:rPr>
        <w:t>13.合同价款支付</w:t>
      </w:r>
    </w:p>
    <w:p w14:paraId="4120A95A">
      <w:pPr>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rPr>
        <w:t>13.1验收合格后，乙方出具正规发票给甲方，凭甲方开具的《政府采购合同验收报告单》办理合同价</w:t>
      </w:r>
      <w:r>
        <w:rPr>
          <w:rFonts w:hint="eastAsia" w:ascii="宋体" w:hAnsi="宋体"/>
          <w:bCs/>
          <w:szCs w:val="21"/>
        </w:rPr>
        <w:t>款</w:t>
      </w:r>
      <w:r>
        <w:rPr>
          <w:rFonts w:hint="eastAsia" w:ascii="宋体" w:hAnsi="宋体"/>
          <w:szCs w:val="21"/>
        </w:rPr>
        <w:t>结算手续。</w:t>
      </w:r>
    </w:p>
    <w:p w14:paraId="570901BD">
      <w:pPr>
        <w:autoSpaceDE w:val="0"/>
        <w:autoSpaceDN w:val="0"/>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rPr>
        <w:t>13.2 合同价款构成中应当由财政支付的部分，甲方应当在货物验收合格后的十五个工作日内向国库管理部门申请支付，经国库管理部门审核后直接支付给乙方。</w:t>
      </w:r>
    </w:p>
    <w:p w14:paraId="09DAD99A">
      <w:pPr>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rPr>
        <w:t>13.3 合同价款构成中应当由甲方自行支付的部分，甲方应当在货物验收合格后十五个工作日内支付。</w:t>
      </w:r>
    </w:p>
    <w:p w14:paraId="2BB3AD63">
      <w:pPr>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rPr>
        <w:t>13.4支付合同价</w:t>
      </w:r>
      <w:r>
        <w:rPr>
          <w:rFonts w:hint="eastAsia" w:ascii="宋体" w:hAnsi="宋体"/>
          <w:bCs/>
          <w:szCs w:val="21"/>
        </w:rPr>
        <w:t>款</w:t>
      </w:r>
      <w:r>
        <w:rPr>
          <w:rFonts w:hint="eastAsia" w:ascii="宋体" w:hAnsi="宋体"/>
          <w:szCs w:val="21"/>
        </w:rPr>
        <w:t>时，一律不向乙方以外的任何第三方办理付款手续。开户行和账号以签订的政府采购合同为准，如果乙方要求变更，则乙方必须提供加盖了财务专用章、法定代表人签字的证明文件，报经甲方审查同意。</w:t>
      </w:r>
    </w:p>
    <w:p w14:paraId="0D145652">
      <w:pPr>
        <w:autoSpaceDE w:val="0"/>
        <w:autoSpaceDN w:val="0"/>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rPr>
        <w:t>13.5 合同价款支付方式</w:t>
      </w:r>
      <w:r>
        <w:rPr>
          <w:rFonts w:hint="eastAsia" w:ascii="宋体" w:hAnsi="宋体"/>
          <w:bCs/>
          <w:szCs w:val="21"/>
        </w:rPr>
        <w:t>和条件在</w:t>
      </w:r>
      <w:r>
        <w:rPr>
          <w:rFonts w:hint="eastAsia" w:ascii="宋体" w:hAnsi="宋体"/>
          <w:b/>
          <w:szCs w:val="21"/>
        </w:rPr>
        <w:t>【政府采购合同专用条款】</w:t>
      </w:r>
      <w:r>
        <w:rPr>
          <w:rFonts w:hint="eastAsia" w:ascii="宋体" w:hAnsi="宋体"/>
          <w:szCs w:val="21"/>
        </w:rPr>
        <w:t>中另有规定。</w:t>
      </w:r>
    </w:p>
    <w:p w14:paraId="71E1C505">
      <w:pPr>
        <w:autoSpaceDE w:val="0"/>
        <w:autoSpaceDN w:val="0"/>
        <w:adjustRightInd w:val="0"/>
        <w:snapToGrid w:val="0"/>
        <w:spacing w:before="50" w:line="360" w:lineRule="auto"/>
        <w:jc w:val="left"/>
        <w:rPr>
          <w:rFonts w:hint="eastAsia" w:ascii="宋体" w:hAnsi="宋体"/>
          <w:b/>
          <w:sz w:val="24"/>
        </w:rPr>
      </w:pPr>
      <w:r>
        <w:rPr>
          <w:rFonts w:hint="eastAsia" w:ascii="宋体" w:hAnsi="宋体"/>
          <w:b/>
          <w:bCs/>
          <w:sz w:val="24"/>
        </w:rPr>
        <w:t>14.</w:t>
      </w:r>
      <w:r>
        <w:rPr>
          <w:rFonts w:hint="eastAsia"/>
          <w:b/>
          <w:sz w:val="24"/>
        </w:rPr>
        <w:t>乙方应提供的</w:t>
      </w:r>
      <w:r>
        <w:rPr>
          <w:rFonts w:hint="eastAsia" w:ascii="宋体" w:hAnsi="宋体"/>
          <w:b/>
          <w:sz w:val="24"/>
        </w:rPr>
        <w:t>服务</w:t>
      </w:r>
    </w:p>
    <w:p w14:paraId="6D40001F">
      <w:pPr>
        <w:autoSpaceDE w:val="0"/>
        <w:autoSpaceDN w:val="0"/>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rPr>
        <w:t>14.1 乙方应向甲方提交所提供货物的技术文件，包括相应的中文技术文件，如：产品目录、图纸、操作手册、使用说明、维护手册或服务指南。这些文件应包装好随同货物一起发运。</w:t>
      </w:r>
    </w:p>
    <w:p w14:paraId="5AA6BE9E">
      <w:pPr>
        <w:autoSpaceDE w:val="0"/>
        <w:autoSpaceDN w:val="0"/>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rPr>
        <w:t>14.2 乙方还应提供下列服务：</w:t>
      </w:r>
    </w:p>
    <w:p w14:paraId="4D61620D">
      <w:pPr>
        <w:autoSpaceDE w:val="0"/>
        <w:autoSpaceDN w:val="0"/>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rPr>
        <w:t>（1）货物的现场移动、安装、调试、启动监督及技术支持；</w:t>
      </w:r>
    </w:p>
    <w:p w14:paraId="15551D0C">
      <w:pPr>
        <w:autoSpaceDE w:val="0"/>
        <w:autoSpaceDN w:val="0"/>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rPr>
        <w:t>（2）提供货物组装和维修所需的专用工具和辅助材料；</w:t>
      </w:r>
    </w:p>
    <w:p w14:paraId="67E4DA0A">
      <w:pPr>
        <w:autoSpaceDE w:val="0"/>
        <w:autoSpaceDN w:val="0"/>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rPr>
        <w:t>（3）在合同各方商定的一定期限内对所有的货物实施运行监督、维修，但前提条件是该服务并不能免除乙方在质量保证期内所承担的义务；</w:t>
      </w:r>
    </w:p>
    <w:p w14:paraId="7C0D5B1F">
      <w:pPr>
        <w:autoSpaceDE w:val="0"/>
        <w:autoSpaceDN w:val="0"/>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rPr>
        <w:t>（4）在制造商或项目现场就货物的安装、启动、运营、维护对甲方操作人员进行培训；</w:t>
      </w:r>
    </w:p>
    <w:p w14:paraId="1ECE917E">
      <w:pPr>
        <w:autoSpaceDE w:val="0"/>
        <w:autoSpaceDN w:val="0"/>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rPr>
        <w:t>（5）</w:t>
      </w:r>
      <w:r>
        <w:rPr>
          <w:rFonts w:hint="eastAsia" w:ascii="宋体" w:hAnsi="宋体"/>
          <w:b/>
          <w:szCs w:val="21"/>
        </w:rPr>
        <w:t>【政府采购合同专用条款】</w:t>
      </w:r>
      <w:r>
        <w:rPr>
          <w:rFonts w:hint="eastAsia" w:ascii="宋体" w:hAnsi="宋体"/>
          <w:szCs w:val="21"/>
        </w:rPr>
        <w:t>规定由乙方提供的其他服务。</w:t>
      </w:r>
    </w:p>
    <w:p w14:paraId="1E303EE9">
      <w:pPr>
        <w:autoSpaceDE w:val="0"/>
        <w:autoSpaceDN w:val="0"/>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rPr>
        <w:t>14.3 乙方提供的服务的费用应包含在合同价款中，甲方不再另行支付。</w:t>
      </w:r>
    </w:p>
    <w:p w14:paraId="781779D3">
      <w:pPr>
        <w:adjustRightInd w:val="0"/>
        <w:snapToGrid w:val="0"/>
        <w:spacing w:before="50" w:line="360" w:lineRule="auto"/>
        <w:jc w:val="left"/>
        <w:rPr>
          <w:rFonts w:hint="eastAsia" w:ascii="宋体" w:hAnsi="宋体"/>
          <w:b/>
          <w:bCs/>
          <w:sz w:val="24"/>
        </w:rPr>
      </w:pPr>
      <w:r>
        <w:rPr>
          <w:rFonts w:hint="eastAsia" w:ascii="宋体" w:hAnsi="宋体"/>
          <w:b/>
          <w:bCs/>
          <w:sz w:val="24"/>
        </w:rPr>
        <w:t>15.违约责任</w:t>
      </w:r>
    </w:p>
    <w:p w14:paraId="0F223B57">
      <w:pPr>
        <w:adjustRightInd w:val="0"/>
        <w:snapToGrid w:val="0"/>
        <w:spacing w:before="50" w:line="360" w:lineRule="auto"/>
        <w:ind w:firstLine="420" w:firstLineChars="200"/>
        <w:jc w:val="left"/>
        <w:rPr>
          <w:rFonts w:hint="eastAsia" w:ascii="宋体" w:hAnsi="宋体"/>
          <w:bCs/>
          <w:szCs w:val="21"/>
        </w:rPr>
      </w:pPr>
      <w:r>
        <w:rPr>
          <w:rFonts w:hint="eastAsia" w:ascii="宋体" w:hAnsi="宋体"/>
          <w:bCs/>
          <w:szCs w:val="21"/>
        </w:rPr>
        <w:t>15.1质量瑕疵的补救措施和索赔</w:t>
      </w:r>
    </w:p>
    <w:p w14:paraId="08833AF2">
      <w:pPr>
        <w:autoSpaceDE w:val="0"/>
        <w:autoSpaceDN w:val="0"/>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rPr>
        <w:t>（1）如果乙方提供的产品不符合质量标准或存在产品质量缺陷，而甲方在合同条款第9条或合同的其他条款规定的检验、安装、调试、验收和质量保证期内，根据法定质量检测部门出具的检验证书向乙方提出了索赔，乙方应按照甲方同意的下列一种或几种方式结合起来解决索赔事宜：</w:t>
      </w:r>
    </w:p>
    <w:p w14:paraId="641CE1C7">
      <w:pPr>
        <w:autoSpaceDE w:val="0"/>
        <w:autoSpaceDN w:val="0"/>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rPr>
        <w:t>①乙方同意退货并将货款退还给甲方，由此发生的一切费用和损失由乙方承担。</w:t>
      </w:r>
    </w:p>
    <w:p w14:paraId="365B47DD">
      <w:pPr>
        <w:autoSpaceDE w:val="0"/>
        <w:autoSpaceDN w:val="0"/>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rPr>
        <w:t>②根据货物的质量状况以及甲方所遭受的损失，经过甲乙双方商定降低货物的价格。</w:t>
      </w:r>
    </w:p>
    <w:p w14:paraId="6CD8A17D">
      <w:pPr>
        <w:autoSpaceDE w:val="0"/>
        <w:autoSpaceDN w:val="0"/>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rPr>
        <w:t>③乙方应在接到甲方通知后七日内负责采用符合合同规定的规格、质量和性能要求的新零件、部件和设备来更换有缺陷的部分或修补缺陷部分，其费用由乙方负担。同时，乙方应在约定的质量保证期基础上相应延长修补和更换件的质量保证期。</w:t>
      </w:r>
    </w:p>
    <w:p w14:paraId="798DB595">
      <w:pPr>
        <w:autoSpaceDE w:val="0"/>
        <w:autoSpaceDN w:val="0"/>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rPr>
        <w:t>（2）如果在甲方发出索赔通知后十日内乙方未作答复，上述索赔应视为已被乙方接受。如果乙方未能在甲方发出索赔通知后十日内或甲方同意延长的期限内，按照上述规定的任何一种方法采取补救措施，甲方有权从应付货款中扣除索赔金额或者没收质量保证金，如不足以弥补甲方损失的，甲方有权进一步要求乙方赔偿。</w:t>
      </w:r>
    </w:p>
    <w:p w14:paraId="3E763B0E">
      <w:pPr>
        <w:autoSpaceDE w:val="0"/>
        <w:autoSpaceDN w:val="0"/>
        <w:adjustRightInd w:val="0"/>
        <w:snapToGrid w:val="0"/>
        <w:spacing w:before="50" w:line="360" w:lineRule="auto"/>
        <w:ind w:firstLine="420" w:firstLineChars="200"/>
        <w:jc w:val="left"/>
        <w:rPr>
          <w:rFonts w:hint="eastAsia" w:ascii="宋体" w:hAnsi="宋体"/>
          <w:bCs/>
          <w:szCs w:val="21"/>
        </w:rPr>
      </w:pPr>
      <w:r>
        <w:rPr>
          <w:rFonts w:hint="eastAsia" w:ascii="宋体" w:hAnsi="宋体"/>
          <w:bCs/>
          <w:szCs w:val="21"/>
        </w:rPr>
        <w:t>15.2 迟延交货的违约责任</w:t>
      </w:r>
    </w:p>
    <w:p w14:paraId="25ABEE62">
      <w:pPr>
        <w:autoSpaceDE w:val="0"/>
        <w:autoSpaceDN w:val="0"/>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rPr>
        <w:t>（1）乙方应按照本合同规定的时间、地点交货和提供服务。在履行合同过程中，如果乙方遇到可能妨碍按时交货和提供服务的情形时，应及时以书面形式将迟延的事实、可能迟延的期限和理由通知甲方。甲方在收到乙方通知后，应尽快对情况进行评价，并确定是否同意迟延交货时间或延期提供服务。</w:t>
      </w:r>
    </w:p>
    <w:p w14:paraId="0C983D2E">
      <w:pPr>
        <w:autoSpaceDE w:val="0"/>
        <w:autoSpaceDN w:val="0"/>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rPr>
        <w:t>（2）除本合同</w:t>
      </w:r>
      <w:r>
        <w:rPr>
          <w:rFonts w:hint="eastAsia" w:ascii="宋体" w:hAnsi="宋体"/>
          <w:bCs/>
          <w:szCs w:val="21"/>
        </w:rPr>
        <w:t>第20条</w:t>
      </w:r>
      <w:r>
        <w:rPr>
          <w:rFonts w:hint="eastAsia" w:ascii="宋体" w:hAnsi="宋体"/>
          <w:szCs w:val="21"/>
        </w:rPr>
        <w:t>规定情况外，如果乙方没有按照合同规定的时间交货和提供服务，甲方有权从货款中扣除误期赔偿费而不影响合同项下的其他补救方法，赔偿费按每周（一周按七天计算，不足七日按一周计算）赔偿迟交货物的交货价或延期服务的服务费用的百分之零点五（0.5%）计收，直至交货或提供服务为止。但误期赔偿费的最高限额不超过合同价的百分之五（5%）。一旦达到误期赔偿的最高限额，甲方可以终止合同。</w:t>
      </w:r>
    </w:p>
    <w:p w14:paraId="79272F45">
      <w:pPr>
        <w:autoSpaceDE w:val="0"/>
        <w:autoSpaceDN w:val="0"/>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rPr>
        <w:t>（3）如果乙方迟延交货，甲方有权终止全部或部分合同，并依其认为适当的条件和方法购买与未交货物类似的货物，乙方应对购买类似货物所超出的那部分费用负责。但是，乙方应继续执行合同中未终止的部分。</w:t>
      </w:r>
    </w:p>
    <w:p w14:paraId="318BEC7B">
      <w:pPr>
        <w:autoSpaceDE w:val="0"/>
        <w:autoSpaceDN w:val="0"/>
        <w:adjustRightInd w:val="0"/>
        <w:snapToGrid w:val="0"/>
        <w:spacing w:before="50" w:line="360" w:lineRule="auto"/>
        <w:jc w:val="left"/>
        <w:rPr>
          <w:rFonts w:hint="eastAsia" w:ascii="宋体" w:hAnsi="宋体"/>
          <w:b/>
          <w:sz w:val="24"/>
        </w:rPr>
      </w:pPr>
      <w:r>
        <w:rPr>
          <w:rFonts w:hint="eastAsia" w:ascii="宋体" w:hAnsi="宋体"/>
          <w:b/>
          <w:sz w:val="24"/>
        </w:rPr>
        <w:t>16.合同的变更</w:t>
      </w:r>
    </w:p>
    <w:p w14:paraId="06D4E6C4">
      <w:pPr>
        <w:autoSpaceDE w:val="0"/>
        <w:autoSpaceDN w:val="0"/>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rPr>
        <w:t>16.1 在合同履行过程中，甲、乙双方可就合同履行的时间、地点和方式等协商进行变更。协商一致后，双方应签订书面的补充协议。</w:t>
      </w:r>
    </w:p>
    <w:p w14:paraId="7A754F54">
      <w:pPr>
        <w:autoSpaceDE w:val="0"/>
        <w:autoSpaceDN w:val="0"/>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rPr>
        <w:t>16.2 在不改变合同其他条款的前提下，甲方有权在合同价款百分之十的范围内追加与合同标的相同的货物或服务，并就此与乙方签订补充合同，乙方不得拒绝。</w:t>
      </w:r>
    </w:p>
    <w:p w14:paraId="2B1605E0">
      <w:pPr>
        <w:autoSpaceDE w:val="0"/>
        <w:autoSpaceDN w:val="0"/>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rPr>
        <w:t>16.3 除双方签署书面协议，并成为合同不可分割的一部分外，本合同条件不得有任何变更。</w:t>
      </w:r>
    </w:p>
    <w:p w14:paraId="41AD560E">
      <w:pPr>
        <w:autoSpaceDE w:val="0"/>
        <w:autoSpaceDN w:val="0"/>
        <w:adjustRightInd w:val="0"/>
        <w:snapToGrid w:val="0"/>
        <w:spacing w:before="50" w:line="360" w:lineRule="auto"/>
        <w:jc w:val="left"/>
        <w:rPr>
          <w:rFonts w:hint="eastAsia" w:ascii="宋体" w:hAnsi="宋体"/>
          <w:b/>
          <w:sz w:val="24"/>
        </w:rPr>
      </w:pPr>
      <w:r>
        <w:rPr>
          <w:rFonts w:hint="eastAsia" w:ascii="宋体" w:hAnsi="宋体"/>
          <w:b/>
          <w:sz w:val="24"/>
        </w:rPr>
        <w:t>17.合同中止与终止</w:t>
      </w:r>
    </w:p>
    <w:p w14:paraId="39CB2E4D">
      <w:pPr>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rPr>
        <w:t>17.1合同的中止</w:t>
      </w:r>
    </w:p>
    <w:p w14:paraId="1796F395">
      <w:pPr>
        <w:autoSpaceDE w:val="0"/>
        <w:autoSpaceDN w:val="0"/>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rPr>
        <w:t>（1）合同在履行过程中，因采购计划调整，甲方可以要求中止履行，待计划确定后继续履行；</w:t>
      </w:r>
    </w:p>
    <w:p w14:paraId="074C1E55">
      <w:pPr>
        <w:autoSpaceDE w:val="0"/>
        <w:autoSpaceDN w:val="0"/>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rPr>
        <w:t>（2）合同履行过程中因供应商就采购过程或结果提起投诉的，甲方认为有必要或财政部门责令中止的，应当中止合同的履行。</w:t>
      </w:r>
    </w:p>
    <w:p w14:paraId="075CFFCC">
      <w:pPr>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rPr>
        <w:t>17.2合同的终止</w:t>
      </w:r>
    </w:p>
    <w:p w14:paraId="0FDF4C56">
      <w:pPr>
        <w:autoSpaceDE w:val="0"/>
        <w:autoSpaceDN w:val="0"/>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rPr>
        <w:t>（1）合同因有效期限届满而终止；</w:t>
      </w:r>
    </w:p>
    <w:p w14:paraId="0E3559A5">
      <w:pPr>
        <w:autoSpaceDE w:val="0"/>
        <w:autoSpaceDN w:val="0"/>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rPr>
        <w:t>（2）乙方未能依照本合同约定条件履行合同，已构成根本性违约的，甲方有权终止本合同，并追究乙方的违约责任。</w:t>
      </w:r>
    </w:p>
    <w:p w14:paraId="58850E9D">
      <w:pPr>
        <w:autoSpaceDE w:val="0"/>
        <w:autoSpaceDN w:val="0"/>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rPr>
        <w:t>（3）如果乙方丧失履约能力或被宣告破产，甲方可在任何时候以书面形式通知乙方终止合同而不给乙方补偿。</w:t>
      </w:r>
    </w:p>
    <w:p w14:paraId="341D7297">
      <w:pPr>
        <w:autoSpaceDE w:val="0"/>
        <w:autoSpaceDN w:val="0"/>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rPr>
        <w:t>（4）如果乙方在履行合同过程中有不正当竞争行为，甲方有权解除合同，并按《中华人民共和国反不正当竞争法》规定由有关部门追究其法律责任。</w:t>
      </w:r>
    </w:p>
    <w:p w14:paraId="42FA1D55">
      <w:pPr>
        <w:autoSpaceDE w:val="0"/>
        <w:autoSpaceDN w:val="0"/>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rPr>
        <w:t>（5）如果合同的履行将损害国家利益或社会公共利益，甲方有权终止合同的履行，给乙方造成损失的予以相应补偿。</w:t>
      </w:r>
    </w:p>
    <w:p w14:paraId="09B6462B">
      <w:pPr>
        <w:autoSpaceDE w:val="0"/>
        <w:autoSpaceDN w:val="0"/>
        <w:adjustRightInd w:val="0"/>
        <w:snapToGrid w:val="0"/>
        <w:spacing w:before="50" w:line="360" w:lineRule="auto"/>
        <w:jc w:val="left"/>
        <w:rPr>
          <w:rFonts w:hint="eastAsia" w:ascii="宋体" w:hAnsi="宋体"/>
          <w:b/>
          <w:bCs/>
          <w:sz w:val="24"/>
        </w:rPr>
      </w:pPr>
      <w:r>
        <w:rPr>
          <w:rFonts w:hint="eastAsia" w:ascii="宋体" w:hAnsi="宋体"/>
          <w:b/>
          <w:bCs/>
          <w:sz w:val="24"/>
        </w:rPr>
        <w:t>18.合同转让和分包</w:t>
      </w:r>
    </w:p>
    <w:p w14:paraId="14F5D099">
      <w:pPr>
        <w:autoSpaceDE w:val="0"/>
        <w:autoSpaceDN w:val="0"/>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rPr>
        <w:t>18.1 乙方不得以任何形式将合同转包。</w:t>
      </w:r>
    </w:p>
    <w:p w14:paraId="11BE7E15">
      <w:pPr>
        <w:autoSpaceDE w:val="0"/>
        <w:autoSpaceDN w:val="0"/>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rPr>
        <w:t>18.2 乙方未在投标文件中说明，不得将</w:t>
      </w:r>
      <w:r>
        <w:rPr>
          <w:rFonts w:hint="eastAsia" w:ascii="宋体" w:hAnsi="宋体"/>
          <w:bCs/>
          <w:szCs w:val="21"/>
        </w:rPr>
        <w:t>合同</w:t>
      </w:r>
      <w:r>
        <w:rPr>
          <w:rFonts w:hint="eastAsia" w:ascii="宋体" w:hAnsi="宋体"/>
          <w:szCs w:val="21"/>
        </w:rPr>
        <w:t>的非主体、非关键性工作分包给他人。</w:t>
      </w:r>
    </w:p>
    <w:p w14:paraId="22366CBE">
      <w:pPr>
        <w:autoSpaceDE w:val="0"/>
        <w:autoSpaceDN w:val="0"/>
        <w:adjustRightInd w:val="0"/>
        <w:snapToGrid w:val="0"/>
        <w:spacing w:before="50" w:line="360" w:lineRule="auto"/>
        <w:jc w:val="left"/>
        <w:rPr>
          <w:rFonts w:hint="eastAsia" w:ascii="宋体" w:hAnsi="宋体"/>
          <w:b/>
          <w:bCs/>
          <w:sz w:val="24"/>
        </w:rPr>
      </w:pPr>
      <w:r>
        <w:rPr>
          <w:rFonts w:hint="eastAsia" w:ascii="宋体" w:hAnsi="宋体"/>
          <w:b/>
          <w:bCs/>
          <w:sz w:val="24"/>
        </w:rPr>
        <w:t>19.不可抗力</w:t>
      </w:r>
    </w:p>
    <w:p w14:paraId="7F3C5303">
      <w:pPr>
        <w:autoSpaceDE w:val="0"/>
        <w:autoSpaceDN w:val="0"/>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rPr>
        <w:t>19.1 不可抗力是指合同双方不可预见、不可避免、不可克服的自然灾害和社会事件。</w:t>
      </w:r>
    </w:p>
    <w:p w14:paraId="6BD7D270">
      <w:pPr>
        <w:autoSpaceDE w:val="0"/>
        <w:autoSpaceDN w:val="0"/>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rPr>
        <w:t>19.2 任何一方对由于不可抗力造成的部分或全部不能履行合同不承担违约责任。但迟延履行后发生不可抗力的，不能免除责任。</w:t>
      </w:r>
    </w:p>
    <w:p w14:paraId="52A9C50B">
      <w:pPr>
        <w:autoSpaceDE w:val="0"/>
        <w:autoSpaceDN w:val="0"/>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rPr>
        <w:t>19.3 遇有不可抗力的一方，应在三日内将事件的情况以书面形式通知另一方，并在事件发生后十日内，向另一方提交合同不能履行或部分不能履行或需要延期履行理由的报告。</w:t>
      </w:r>
    </w:p>
    <w:p w14:paraId="269CD2BA">
      <w:pPr>
        <w:autoSpaceDE w:val="0"/>
        <w:autoSpaceDN w:val="0"/>
        <w:adjustRightInd w:val="0"/>
        <w:snapToGrid w:val="0"/>
        <w:spacing w:before="50" w:line="360" w:lineRule="auto"/>
        <w:jc w:val="left"/>
        <w:rPr>
          <w:rFonts w:hint="eastAsia" w:ascii="宋体" w:hAnsi="宋体"/>
          <w:b/>
          <w:bCs/>
          <w:sz w:val="24"/>
        </w:rPr>
      </w:pPr>
      <w:r>
        <w:rPr>
          <w:rFonts w:hint="eastAsia" w:ascii="宋体" w:hAnsi="宋体"/>
          <w:b/>
          <w:bCs/>
          <w:sz w:val="24"/>
        </w:rPr>
        <w:t>20.解决争议的方法</w:t>
      </w:r>
    </w:p>
    <w:p w14:paraId="768BE0C0">
      <w:pPr>
        <w:autoSpaceDE w:val="0"/>
        <w:autoSpaceDN w:val="0"/>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rPr>
        <w:t>20.1 合同各方应通过友好协商，解决在执行合同过程中所发生的或与合同有关的一切争端。如从协商开始后十日内仍不能解决，可以向财政部门提请调解。</w:t>
      </w:r>
    </w:p>
    <w:p w14:paraId="2D0BD79D">
      <w:pPr>
        <w:autoSpaceDE w:val="0"/>
        <w:autoSpaceDN w:val="0"/>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rPr>
        <w:t>20.2 调解不成可以向甲方所在地人民法院提起诉讼。</w:t>
      </w:r>
    </w:p>
    <w:p w14:paraId="2F0BA2BA">
      <w:pPr>
        <w:autoSpaceDE w:val="0"/>
        <w:autoSpaceDN w:val="0"/>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rPr>
        <w:t>20.3 如仲裁或诉讼事项不影响合同其它部分的履行，则在仲裁或诉讼期间，除正在进行仲裁或诉讼的部分外，合同的其它部分应继续执行。</w:t>
      </w:r>
    </w:p>
    <w:p w14:paraId="3680463F">
      <w:pPr>
        <w:autoSpaceDE w:val="0"/>
        <w:autoSpaceDN w:val="0"/>
        <w:adjustRightInd w:val="0"/>
        <w:snapToGrid w:val="0"/>
        <w:spacing w:before="50" w:line="360" w:lineRule="auto"/>
        <w:jc w:val="left"/>
        <w:rPr>
          <w:rFonts w:hint="eastAsia" w:ascii="宋体" w:hAnsi="宋体"/>
          <w:b/>
          <w:sz w:val="24"/>
        </w:rPr>
      </w:pPr>
      <w:r>
        <w:rPr>
          <w:rFonts w:hint="eastAsia" w:ascii="宋体" w:hAnsi="宋体"/>
          <w:b/>
          <w:sz w:val="24"/>
        </w:rPr>
        <w:t>21.法律适用</w:t>
      </w:r>
    </w:p>
    <w:p w14:paraId="0681AADA">
      <w:pPr>
        <w:autoSpaceDE w:val="0"/>
        <w:autoSpaceDN w:val="0"/>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rPr>
        <w:t>21.1 本合同适用中华人民共和国现行法律、行政法规和规章，如合同条款与法律、行政法规和规章不一致的，按照法律、行政法规和规章修改本合同。</w:t>
      </w:r>
    </w:p>
    <w:p w14:paraId="0BDC7FF0">
      <w:pPr>
        <w:autoSpaceDE w:val="0"/>
        <w:autoSpaceDN w:val="0"/>
        <w:adjustRightInd w:val="0"/>
        <w:snapToGrid w:val="0"/>
        <w:spacing w:before="50" w:line="360" w:lineRule="auto"/>
        <w:jc w:val="left"/>
        <w:rPr>
          <w:rFonts w:hint="eastAsia" w:ascii="宋体" w:hAnsi="宋体"/>
          <w:b/>
          <w:sz w:val="24"/>
        </w:rPr>
      </w:pPr>
      <w:r>
        <w:rPr>
          <w:rFonts w:hint="eastAsia" w:ascii="宋体" w:hAnsi="宋体"/>
          <w:b/>
          <w:bCs/>
          <w:sz w:val="24"/>
        </w:rPr>
        <w:t>22.</w:t>
      </w:r>
      <w:r>
        <w:rPr>
          <w:rFonts w:hint="eastAsia" w:ascii="宋体" w:hAnsi="宋体"/>
          <w:b/>
          <w:sz w:val="24"/>
        </w:rPr>
        <w:t>通知</w:t>
      </w:r>
    </w:p>
    <w:p w14:paraId="13B0236F">
      <w:pPr>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rPr>
        <w:t>22.1本合同一方给另一方的通知均应采用书面形式，传真或快递送到本合同中规定的对方的地址和办理签收手续，</w:t>
      </w:r>
    </w:p>
    <w:p w14:paraId="118CDDF7">
      <w:pPr>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rPr>
        <w:t>22.2通知以送到之日或通知书中规定的生效之日起生效，两者中以较迟之日为准。</w:t>
      </w:r>
    </w:p>
    <w:p w14:paraId="3371F749">
      <w:pPr>
        <w:adjustRightInd w:val="0"/>
        <w:snapToGrid w:val="0"/>
        <w:spacing w:before="50" w:line="360" w:lineRule="auto"/>
        <w:jc w:val="left"/>
        <w:rPr>
          <w:rFonts w:hint="eastAsia" w:ascii="宋体" w:hAnsi="宋体"/>
          <w:b/>
          <w:bCs/>
          <w:sz w:val="24"/>
        </w:rPr>
      </w:pPr>
      <w:r>
        <w:rPr>
          <w:rFonts w:hint="eastAsia" w:ascii="宋体" w:hAnsi="宋体"/>
          <w:b/>
          <w:bCs/>
          <w:sz w:val="24"/>
        </w:rPr>
        <w:t>23. 合同未尽事项</w:t>
      </w:r>
    </w:p>
    <w:p w14:paraId="4C19212F">
      <w:pPr>
        <w:adjustRightInd w:val="0"/>
        <w:snapToGrid w:val="0"/>
        <w:spacing w:before="50" w:line="360" w:lineRule="auto"/>
        <w:ind w:firstLine="420" w:firstLineChars="200"/>
        <w:jc w:val="left"/>
        <w:rPr>
          <w:rFonts w:hint="eastAsia" w:ascii="宋体" w:hAnsi="宋体"/>
          <w:bCs/>
          <w:szCs w:val="21"/>
        </w:rPr>
      </w:pPr>
      <w:r>
        <w:rPr>
          <w:rFonts w:hint="eastAsia" w:ascii="宋体" w:hAnsi="宋体"/>
          <w:bCs/>
          <w:szCs w:val="21"/>
        </w:rPr>
        <w:t>23.1合同未尽事项见</w:t>
      </w:r>
      <w:r>
        <w:rPr>
          <w:rFonts w:hint="eastAsia" w:ascii="宋体" w:hAnsi="宋体"/>
          <w:b/>
          <w:szCs w:val="21"/>
        </w:rPr>
        <w:t>【政府采购合同专用条款】。</w:t>
      </w:r>
    </w:p>
    <w:p w14:paraId="37C876D8">
      <w:pPr>
        <w:adjustRightInd w:val="0"/>
        <w:snapToGrid w:val="0"/>
        <w:spacing w:before="50" w:line="360" w:lineRule="auto"/>
        <w:jc w:val="left"/>
        <w:rPr>
          <w:rFonts w:hint="eastAsia" w:ascii="宋体" w:hAnsi="宋体"/>
          <w:b/>
          <w:bCs/>
          <w:sz w:val="24"/>
        </w:rPr>
      </w:pPr>
      <w:r>
        <w:rPr>
          <w:rFonts w:hint="eastAsia" w:ascii="宋体" w:hAnsi="宋体"/>
          <w:b/>
          <w:bCs/>
          <w:sz w:val="24"/>
        </w:rPr>
        <w:t>24.合同生效</w:t>
      </w:r>
    </w:p>
    <w:p w14:paraId="6105E80D">
      <w:pPr>
        <w:autoSpaceDE w:val="0"/>
        <w:autoSpaceDN w:val="0"/>
        <w:adjustRightInd w:val="0"/>
        <w:snapToGrid w:val="0"/>
        <w:spacing w:before="50" w:line="360" w:lineRule="auto"/>
        <w:ind w:firstLine="420" w:firstLineChars="200"/>
        <w:jc w:val="left"/>
        <w:rPr>
          <w:rFonts w:hint="eastAsia" w:ascii="黑体" w:hAnsi="黑体" w:eastAsia="黑体"/>
          <w:b/>
          <w:bCs/>
          <w:sz w:val="10"/>
          <w:szCs w:val="10"/>
        </w:rPr>
      </w:pPr>
      <w:r>
        <w:rPr>
          <w:rFonts w:hint="eastAsia" w:ascii="宋体" w:hAnsi="宋体"/>
          <w:szCs w:val="21"/>
        </w:rPr>
        <w:t>24.1 本合同在合同双方签字盖章后生效。</w:t>
      </w:r>
      <w:r>
        <w:rPr>
          <w:rFonts w:ascii="黑体" w:hAnsi="黑体" w:eastAsia="黑体"/>
          <w:b/>
          <w:bCs/>
          <w:sz w:val="32"/>
        </w:rPr>
        <w:br w:type="page"/>
      </w:r>
    </w:p>
    <w:p w14:paraId="6DE957CD">
      <w:pPr>
        <w:pStyle w:val="2"/>
        <w:adjustRightInd w:val="0"/>
        <w:snapToGrid w:val="0"/>
        <w:jc w:val="center"/>
        <w:rPr>
          <w:rFonts w:hint="eastAsia" w:ascii="黑体" w:hAnsi="华文中宋" w:eastAsia="黑体"/>
          <w:sz w:val="28"/>
          <w:szCs w:val="28"/>
        </w:rPr>
      </w:pPr>
      <w:bookmarkStart w:id="149" w:name="_Toc29815"/>
      <w:r>
        <w:rPr>
          <w:rFonts w:hint="eastAsia" w:ascii="黑体" w:hAnsi="华文中宋" w:eastAsia="黑体"/>
          <w:sz w:val="28"/>
          <w:szCs w:val="28"/>
        </w:rPr>
        <w:t>第三节 政府采购合同专用条款</w:t>
      </w:r>
      <w:bookmarkEnd w:id="149"/>
    </w:p>
    <w:p w14:paraId="34BBAF8B">
      <w:pPr>
        <w:adjustRightInd w:val="0"/>
        <w:snapToGrid w:val="0"/>
        <w:spacing w:line="360" w:lineRule="auto"/>
        <w:jc w:val="center"/>
        <w:rPr>
          <w:rFonts w:hint="eastAsia" w:ascii="宋体" w:hAnsi="宋体"/>
          <w:sz w:val="24"/>
        </w:rPr>
      </w:pPr>
    </w:p>
    <w:tbl>
      <w:tblPr>
        <w:tblStyle w:val="27"/>
        <w:tblW w:w="9008" w:type="dxa"/>
        <w:tblInd w:w="108" w:type="dxa"/>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1701"/>
        <w:gridCol w:w="1843"/>
        <w:gridCol w:w="5464"/>
      </w:tblGrid>
      <w:tr w14:paraId="63C9FF3C">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1701" w:type="dxa"/>
            <w:vAlign w:val="center"/>
          </w:tcPr>
          <w:p w14:paraId="13B863F1">
            <w:pPr>
              <w:autoSpaceDE w:val="0"/>
              <w:autoSpaceDN w:val="0"/>
              <w:adjustRightInd w:val="0"/>
              <w:snapToGrid w:val="0"/>
              <w:spacing w:before="50" w:line="360" w:lineRule="auto"/>
              <w:jc w:val="left"/>
              <w:rPr>
                <w:rFonts w:hint="eastAsia" w:ascii="宋体" w:hAnsi="宋体"/>
                <w:szCs w:val="21"/>
              </w:rPr>
            </w:pPr>
            <w:r>
              <w:rPr>
                <w:rFonts w:hint="eastAsia" w:ascii="宋体" w:hAnsi="宋体"/>
                <w:szCs w:val="21"/>
              </w:rPr>
              <w:t>本章第二节</w:t>
            </w:r>
          </w:p>
          <w:p w14:paraId="047BC955">
            <w:pPr>
              <w:autoSpaceDE w:val="0"/>
              <w:autoSpaceDN w:val="0"/>
              <w:adjustRightInd w:val="0"/>
              <w:snapToGrid w:val="0"/>
              <w:spacing w:before="50" w:line="360" w:lineRule="auto"/>
              <w:jc w:val="left"/>
              <w:rPr>
                <w:rFonts w:hint="eastAsia" w:ascii="宋体" w:hAnsi="宋体"/>
                <w:szCs w:val="21"/>
              </w:rPr>
            </w:pPr>
            <w:r>
              <w:rPr>
                <w:rFonts w:hint="eastAsia" w:ascii="宋体" w:hAnsi="宋体"/>
                <w:szCs w:val="21"/>
              </w:rPr>
              <w:t>第1.1款</w:t>
            </w:r>
          </w:p>
        </w:tc>
        <w:tc>
          <w:tcPr>
            <w:tcW w:w="1843" w:type="dxa"/>
            <w:vAlign w:val="center"/>
          </w:tcPr>
          <w:p w14:paraId="5C0B2658">
            <w:pPr>
              <w:autoSpaceDE w:val="0"/>
              <w:autoSpaceDN w:val="0"/>
              <w:adjustRightInd w:val="0"/>
              <w:snapToGrid w:val="0"/>
              <w:spacing w:before="50" w:line="360" w:lineRule="auto"/>
              <w:jc w:val="left"/>
              <w:rPr>
                <w:rFonts w:hint="eastAsia" w:ascii="宋体" w:hAnsi="宋体"/>
                <w:szCs w:val="21"/>
              </w:rPr>
            </w:pPr>
            <w:r>
              <w:rPr>
                <w:rFonts w:hint="eastAsia" w:ascii="宋体" w:hAnsi="宋体"/>
                <w:szCs w:val="21"/>
              </w:rPr>
              <w:t xml:space="preserve">甲方名称、地址 </w:t>
            </w:r>
          </w:p>
        </w:tc>
        <w:tc>
          <w:tcPr>
            <w:tcW w:w="5464" w:type="dxa"/>
            <w:vAlign w:val="center"/>
          </w:tcPr>
          <w:p w14:paraId="12067D9D">
            <w:pPr>
              <w:autoSpaceDE w:val="0"/>
              <w:autoSpaceDN w:val="0"/>
              <w:adjustRightInd w:val="0"/>
              <w:snapToGrid w:val="0"/>
              <w:spacing w:before="50" w:line="360" w:lineRule="auto"/>
              <w:jc w:val="left"/>
              <w:rPr>
                <w:rFonts w:hint="eastAsia" w:ascii="宋体" w:hAnsi="宋体" w:eastAsia="宋体"/>
                <w:szCs w:val="21"/>
                <w:lang w:eastAsia="zh-CN"/>
              </w:rPr>
            </w:pPr>
            <w:r>
              <w:rPr>
                <w:rFonts w:hint="eastAsia" w:ascii="宋体" w:hAnsi="宋体"/>
                <w:szCs w:val="21"/>
                <w:lang w:eastAsia="zh-CN"/>
              </w:rPr>
              <w:t>新化县民政局</w:t>
            </w:r>
          </w:p>
        </w:tc>
      </w:tr>
      <w:tr w14:paraId="2327C081">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967" w:hRule="atLeast"/>
        </w:trPr>
        <w:tc>
          <w:tcPr>
            <w:tcW w:w="1701" w:type="dxa"/>
            <w:vAlign w:val="center"/>
          </w:tcPr>
          <w:p w14:paraId="06304FF9">
            <w:pPr>
              <w:autoSpaceDE w:val="0"/>
              <w:autoSpaceDN w:val="0"/>
              <w:adjustRightInd w:val="0"/>
              <w:snapToGrid w:val="0"/>
              <w:spacing w:before="50" w:line="360" w:lineRule="auto"/>
              <w:jc w:val="left"/>
              <w:rPr>
                <w:rFonts w:hint="eastAsia" w:ascii="宋体" w:hAnsi="宋体"/>
                <w:szCs w:val="21"/>
              </w:rPr>
            </w:pPr>
            <w:r>
              <w:rPr>
                <w:rFonts w:hint="eastAsia" w:ascii="宋体" w:hAnsi="宋体"/>
                <w:szCs w:val="21"/>
              </w:rPr>
              <w:t>本章第二节</w:t>
            </w:r>
          </w:p>
          <w:p w14:paraId="6CB2DF0B">
            <w:pPr>
              <w:autoSpaceDE w:val="0"/>
              <w:autoSpaceDN w:val="0"/>
              <w:adjustRightInd w:val="0"/>
              <w:snapToGrid w:val="0"/>
              <w:spacing w:before="50" w:line="360" w:lineRule="auto"/>
              <w:jc w:val="left"/>
              <w:rPr>
                <w:rFonts w:hint="eastAsia" w:ascii="宋体" w:hAnsi="宋体"/>
                <w:szCs w:val="21"/>
              </w:rPr>
            </w:pPr>
            <w:r>
              <w:rPr>
                <w:rFonts w:hint="eastAsia" w:ascii="宋体" w:hAnsi="宋体"/>
                <w:szCs w:val="21"/>
              </w:rPr>
              <w:t>第1.2（6）项</w:t>
            </w:r>
          </w:p>
        </w:tc>
        <w:tc>
          <w:tcPr>
            <w:tcW w:w="1843" w:type="dxa"/>
            <w:vAlign w:val="center"/>
          </w:tcPr>
          <w:p w14:paraId="5C9D5B61">
            <w:pPr>
              <w:autoSpaceDE w:val="0"/>
              <w:autoSpaceDN w:val="0"/>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rPr>
              <w:t>项目现场</w:t>
            </w:r>
          </w:p>
        </w:tc>
        <w:tc>
          <w:tcPr>
            <w:tcW w:w="5464" w:type="dxa"/>
            <w:vAlign w:val="center"/>
          </w:tcPr>
          <w:p w14:paraId="4E717BCB">
            <w:pPr>
              <w:autoSpaceDE w:val="0"/>
              <w:autoSpaceDN w:val="0"/>
              <w:adjustRightInd w:val="0"/>
              <w:snapToGrid w:val="0"/>
              <w:spacing w:before="50" w:line="360" w:lineRule="auto"/>
              <w:jc w:val="left"/>
              <w:rPr>
                <w:rFonts w:hint="eastAsia" w:ascii="宋体" w:hAnsi="宋体"/>
                <w:szCs w:val="21"/>
              </w:rPr>
            </w:pPr>
            <w:r>
              <w:rPr>
                <w:rFonts w:hint="eastAsia" w:ascii="宋体" w:hAnsi="宋体"/>
                <w:szCs w:val="21"/>
              </w:rPr>
              <w:t>具体由采购人指定</w:t>
            </w:r>
          </w:p>
        </w:tc>
      </w:tr>
      <w:tr w14:paraId="53829854">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1701" w:type="dxa"/>
            <w:vAlign w:val="center"/>
          </w:tcPr>
          <w:p w14:paraId="0CF20703">
            <w:pPr>
              <w:autoSpaceDE w:val="0"/>
              <w:autoSpaceDN w:val="0"/>
              <w:adjustRightInd w:val="0"/>
              <w:snapToGrid w:val="0"/>
              <w:spacing w:before="50" w:line="360" w:lineRule="auto"/>
              <w:jc w:val="left"/>
              <w:rPr>
                <w:rFonts w:hint="eastAsia" w:ascii="宋体" w:hAnsi="宋体"/>
                <w:szCs w:val="21"/>
              </w:rPr>
            </w:pPr>
            <w:r>
              <w:rPr>
                <w:rFonts w:hint="eastAsia" w:ascii="宋体" w:hAnsi="宋体"/>
                <w:szCs w:val="21"/>
              </w:rPr>
              <w:t>本章第二节</w:t>
            </w:r>
          </w:p>
          <w:p w14:paraId="1BB142C9">
            <w:pPr>
              <w:autoSpaceDE w:val="0"/>
              <w:autoSpaceDN w:val="0"/>
              <w:adjustRightInd w:val="0"/>
              <w:snapToGrid w:val="0"/>
              <w:spacing w:before="50" w:line="360" w:lineRule="auto"/>
              <w:jc w:val="left"/>
              <w:rPr>
                <w:rFonts w:hint="eastAsia" w:ascii="宋体" w:hAnsi="宋体"/>
                <w:szCs w:val="21"/>
              </w:rPr>
            </w:pPr>
            <w:r>
              <w:rPr>
                <w:rFonts w:hint="eastAsia" w:ascii="宋体" w:hAnsi="宋体"/>
                <w:szCs w:val="21"/>
              </w:rPr>
              <w:t>第5.1款</w:t>
            </w:r>
          </w:p>
        </w:tc>
        <w:tc>
          <w:tcPr>
            <w:tcW w:w="1843" w:type="dxa"/>
            <w:vAlign w:val="center"/>
          </w:tcPr>
          <w:p w14:paraId="374DABF9">
            <w:pPr>
              <w:autoSpaceDE w:val="0"/>
              <w:autoSpaceDN w:val="0"/>
              <w:adjustRightInd w:val="0"/>
              <w:snapToGrid w:val="0"/>
              <w:spacing w:before="50" w:line="360" w:lineRule="auto"/>
              <w:jc w:val="left"/>
              <w:rPr>
                <w:rFonts w:hint="eastAsia" w:ascii="宋体" w:hAnsi="宋体"/>
                <w:szCs w:val="21"/>
              </w:rPr>
            </w:pPr>
            <w:r>
              <w:rPr>
                <w:rFonts w:hint="eastAsia" w:ascii="宋体" w:hAnsi="宋体"/>
                <w:szCs w:val="21"/>
              </w:rPr>
              <w:t>履行合同的时间、地点及方式</w:t>
            </w:r>
          </w:p>
        </w:tc>
        <w:tc>
          <w:tcPr>
            <w:tcW w:w="5464" w:type="dxa"/>
            <w:vAlign w:val="center"/>
          </w:tcPr>
          <w:p w14:paraId="6F03CA4E">
            <w:pPr>
              <w:adjustRightInd w:val="0"/>
              <w:snapToGrid w:val="0"/>
              <w:spacing w:line="360" w:lineRule="exact"/>
              <w:rPr>
                <w:rFonts w:ascii="宋体" w:hAnsi="宋体"/>
              </w:rPr>
            </w:pPr>
            <w:r>
              <w:rPr>
                <w:rFonts w:hint="eastAsia" w:ascii="宋体" w:hAnsi="宋体"/>
              </w:rPr>
              <w:t>交货时间：</w:t>
            </w:r>
            <w:r>
              <w:rPr>
                <w:rFonts w:hint="eastAsia" w:ascii="宋体" w:hAnsi="宋体"/>
                <w:szCs w:val="21"/>
              </w:rPr>
              <w:t>合同签订后60天内交货，并安装调试验收合格交付使用</w:t>
            </w:r>
            <w:r>
              <w:rPr>
                <w:rFonts w:hint="eastAsia" w:ascii="宋体" w:hAnsi="宋体"/>
              </w:rPr>
              <w:t>；</w:t>
            </w:r>
          </w:p>
          <w:p w14:paraId="254EC681">
            <w:pPr>
              <w:adjustRightInd w:val="0"/>
              <w:snapToGrid w:val="0"/>
              <w:spacing w:line="360" w:lineRule="exact"/>
              <w:rPr>
                <w:rFonts w:ascii="宋体" w:hAnsi="宋体"/>
              </w:rPr>
            </w:pPr>
            <w:r>
              <w:rPr>
                <w:rFonts w:hint="eastAsia" w:ascii="宋体" w:hAnsi="宋体"/>
              </w:rPr>
              <w:t>交货地点：采购人指定地点</w:t>
            </w:r>
          </w:p>
          <w:p w14:paraId="11FF52B5">
            <w:pPr>
              <w:autoSpaceDE w:val="0"/>
              <w:autoSpaceDN w:val="0"/>
              <w:adjustRightInd w:val="0"/>
              <w:snapToGrid w:val="0"/>
              <w:spacing w:before="50" w:line="360" w:lineRule="auto"/>
              <w:jc w:val="left"/>
              <w:rPr>
                <w:rFonts w:hint="eastAsia" w:ascii="宋体" w:hAnsi="宋体"/>
                <w:szCs w:val="21"/>
              </w:rPr>
            </w:pPr>
            <w:r>
              <w:rPr>
                <w:rFonts w:hint="eastAsia" w:ascii="宋体" w:hAnsi="宋体"/>
                <w:szCs w:val="21"/>
              </w:rPr>
              <w:t>方式：</w:t>
            </w:r>
            <w:r>
              <w:rPr>
                <w:rFonts w:hint="eastAsia" w:ascii="宋体" w:hAnsi="宋体" w:cs="宋体"/>
                <w:kern w:val="0"/>
                <w:szCs w:val="21"/>
              </w:rPr>
              <w:t>现场</w:t>
            </w:r>
          </w:p>
        </w:tc>
      </w:tr>
      <w:tr w14:paraId="2998DDA8">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1701" w:type="dxa"/>
            <w:vAlign w:val="center"/>
          </w:tcPr>
          <w:p w14:paraId="5179E4D5">
            <w:pPr>
              <w:autoSpaceDE w:val="0"/>
              <w:autoSpaceDN w:val="0"/>
              <w:adjustRightInd w:val="0"/>
              <w:snapToGrid w:val="0"/>
              <w:spacing w:before="50" w:line="360" w:lineRule="auto"/>
              <w:jc w:val="left"/>
              <w:rPr>
                <w:rFonts w:hint="eastAsia" w:ascii="宋体" w:hAnsi="宋体"/>
                <w:szCs w:val="21"/>
              </w:rPr>
            </w:pPr>
            <w:r>
              <w:rPr>
                <w:rFonts w:hint="eastAsia" w:ascii="宋体" w:hAnsi="宋体"/>
                <w:szCs w:val="21"/>
              </w:rPr>
              <w:t>本章第二节</w:t>
            </w:r>
          </w:p>
          <w:p w14:paraId="7B928502">
            <w:pPr>
              <w:autoSpaceDE w:val="0"/>
              <w:autoSpaceDN w:val="0"/>
              <w:adjustRightInd w:val="0"/>
              <w:snapToGrid w:val="0"/>
              <w:spacing w:before="50" w:line="360" w:lineRule="auto"/>
              <w:jc w:val="left"/>
              <w:rPr>
                <w:rFonts w:hint="eastAsia" w:ascii="宋体" w:hAnsi="宋体"/>
                <w:szCs w:val="21"/>
              </w:rPr>
            </w:pPr>
            <w:r>
              <w:rPr>
                <w:rFonts w:hint="eastAsia" w:ascii="宋体" w:hAnsi="宋体"/>
                <w:szCs w:val="21"/>
              </w:rPr>
              <w:t>第9.2（1）项</w:t>
            </w:r>
          </w:p>
        </w:tc>
        <w:tc>
          <w:tcPr>
            <w:tcW w:w="1843" w:type="dxa"/>
            <w:vAlign w:val="center"/>
          </w:tcPr>
          <w:p w14:paraId="7A298F60">
            <w:pPr>
              <w:autoSpaceDE w:val="0"/>
              <w:autoSpaceDN w:val="0"/>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rPr>
              <w:t>质量保证期</w:t>
            </w:r>
          </w:p>
        </w:tc>
        <w:tc>
          <w:tcPr>
            <w:tcW w:w="5464" w:type="dxa"/>
            <w:vAlign w:val="center"/>
          </w:tcPr>
          <w:p w14:paraId="3D7ADBFD">
            <w:pPr>
              <w:autoSpaceDE w:val="0"/>
              <w:autoSpaceDN w:val="0"/>
              <w:adjustRightInd w:val="0"/>
              <w:snapToGrid w:val="0"/>
              <w:spacing w:before="50" w:line="360" w:lineRule="auto"/>
              <w:jc w:val="left"/>
              <w:rPr>
                <w:rFonts w:hint="eastAsia" w:ascii="宋体" w:hAnsi="宋体"/>
                <w:szCs w:val="21"/>
              </w:rPr>
            </w:pPr>
            <w:r>
              <w:rPr>
                <w:rFonts w:hint="eastAsia" w:ascii="宋体" w:hAnsi="宋体"/>
                <w:szCs w:val="21"/>
              </w:rPr>
              <w:t>第五章采购需求</w:t>
            </w:r>
          </w:p>
        </w:tc>
      </w:tr>
      <w:tr w14:paraId="1E9EB2C5">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1701" w:type="dxa"/>
            <w:vAlign w:val="center"/>
          </w:tcPr>
          <w:p w14:paraId="0489D53E">
            <w:pPr>
              <w:autoSpaceDE w:val="0"/>
              <w:autoSpaceDN w:val="0"/>
              <w:adjustRightInd w:val="0"/>
              <w:snapToGrid w:val="0"/>
              <w:spacing w:before="50" w:line="360" w:lineRule="auto"/>
              <w:jc w:val="left"/>
              <w:rPr>
                <w:rFonts w:hint="eastAsia" w:ascii="宋体" w:hAnsi="宋体"/>
                <w:szCs w:val="21"/>
              </w:rPr>
            </w:pPr>
            <w:r>
              <w:rPr>
                <w:rFonts w:hint="eastAsia" w:ascii="宋体" w:hAnsi="宋体"/>
                <w:szCs w:val="21"/>
              </w:rPr>
              <w:t>本章第二节</w:t>
            </w:r>
          </w:p>
          <w:p w14:paraId="6901ADE4">
            <w:pPr>
              <w:autoSpaceDE w:val="0"/>
              <w:autoSpaceDN w:val="0"/>
              <w:adjustRightInd w:val="0"/>
              <w:snapToGrid w:val="0"/>
              <w:spacing w:before="50" w:line="360" w:lineRule="auto"/>
              <w:jc w:val="left"/>
              <w:rPr>
                <w:rFonts w:hint="eastAsia" w:ascii="宋体" w:hAnsi="宋体"/>
                <w:szCs w:val="21"/>
              </w:rPr>
            </w:pPr>
            <w:r>
              <w:rPr>
                <w:rFonts w:hint="eastAsia" w:ascii="宋体" w:hAnsi="宋体"/>
                <w:szCs w:val="21"/>
              </w:rPr>
              <w:t>第9.2（3）项</w:t>
            </w:r>
          </w:p>
        </w:tc>
        <w:tc>
          <w:tcPr>
            <w:tcW w:w="1843" w:type="dxa"/>
            <w:vAlign w:val="center"/>
          </w:tcPr>
          <w:p w14:paraId="44C6943C">
            <w:pPr>
              <w:autoSpaceDE w:val="0"/>
              <w:autoSpaceDN w:val="0"/>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rPr>
              <w:t>响应时间</w:t>
            </w:r>
          </w:p>
        </w:tc>
        <w:tc>
          <w:tcPr>
            <w:tcW w:w="5464" w:type="dxa"/>
            <w:vAlign w:val="center"/>
          </w:tcPr>
          <w:p w14:paraId="71251468">
            <w:pPr>
              <w:autoSpaceDE w:val="0"/>
              <w:autoSpaceDN w:val="0"/>
              <w:adjustRightInd w:val="0"/>
              <w:snapToGrid w:val="0"/>
              <w:spacing w:before="50" w:line="360" w:lineRule="auto"/>
              <w:jc w:val="left"/>
              <w:rPr>
                <w:rFonts w:hint="eastAsia" w:ascii="宋体" w:hAnsi="宋体"/>
                <w:szCs w:val="21"/>
              </w:rPr>
            </w:pPr>
            <w:r>
              <w:rPr>
                <w:rFonts w:hint="eastAsia" w:ascii="宋体" w:hAnsi="宋体"/>
                <w:szCs w:val="21"/>
              </w:rPr>
              <w:t>第五章采购需求（如有）</w:t>
            </w:r>
          </w:p>
        </w:tc>
      </w:tr>
      <w:tr w14:paraId="53608239">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1619" w:hRule="atLeast"/>
        </w:trPr>
        <w:tc>
          <w:tcPr>
            <w:tcW w:w="1701" w:type="dxa"/>
            <w:vAlign w:val="center"/>
          </w:tcPr>
          <w:p w14:paraId="4B77C445">
            <w:pPr>
              <w:autoSpaceDE w:val="0"/>
              <w:autoSpaceDN w:val="0"/>
              <w:adjustRightInd w:val="0"/>
              <w:snapToGrid w:val="0"/>
              <w:spacing w:before="50" w:line="360" w:lineRule="auto"/>
              <w:jc w:val="left"/>
              <w:rPr>
                <w:rFonts w:hint="eastAsia" w:ascii="宋体" w:hAnsi="宋体"/>
                <w:szCs w:val="21"/>
              </w:rPr>
            </w:pPr>
            <w:r>
              <w:rPr>
                <w:rFonts w:hint="eastAsia" w:ascii="宋体" w:hAnsi="宋体"/>
                <w:szCs w:val="21"/>
              </w:rPr>
              <w:t>本章第二节</w:t>
            </w:r>
          </w:p>
          <w:p w14:paraId="020A7F58">
            <w:pPr>
              <w:autoSpaceDE w:val="0"/>
              <w:autoSpaceDN w:val="0"/>
              <w:adjustRightInd w:val="0"/>
              <w:snapToGrid w:val="0"/>
              <w:spacing w:before="50" w:line="360" w:lineRule="auto"/>
              <w:jc w:val="left"/>
              <w:rPr>
                <w:rFonts w:hint="eastAsia" w:ascii="宋体" w:hAnsi="宋体"/>
                <w:szCs w:val="21"/>
              </w:rPr>
            </w:pPr>
            <w:r>
              <w:rPr>
                <w:rFonts w:hint="eastAsia" w:ascii="宋体" w:hAnsi="宋体"/>
                <w:szCs w:val="21"/>
              </w:rPr>
              <w:t>第13.5款</w:t>
            </w:r>
          </w:p>
        </w:tc>
        <w:tc>
          <w:tcPr>
            <w:tcW w:w="1843" w:type="dxa"/>
            <w:vAlign w:val="center"/>
          </w:tcPr>
          <w:p w14:paraId="35EF4672">
            <w:pPr>
              <w:autoSpaceDE w:val="0"/>
              <w:autoSpaceDN w:val="0"/>
              <w:adjustRightInd w:val="0"/>
              <w:snapToGrid w:val="0"/>
              <w:spacing w:before="50" w:line="360" w:lineRule="auto"/>
              <w:jc w:val="left"/>
              <w:rPr>
                <w:rFonts w:hint="eastAsia" w:ascii="宋体" w:hAnsi="宋体"/>
                <w:szCs w:val="21"/>
              </w:rPr>
            </w:pPr>
            <w:r>
              <w:rPr>
                <w:rFonts w:hint="eastAsia" w:ascii="宋体" w:hAnsi="宋体"/>
                <w:szCs w:val="21"/>
              </w:rPr>
              <w:t>合同价款支付方式和条件</w:t>
            </w:r>
          </w:p>
        </w:tc>
        <w:tc>
          <w:tcPr>
            <w:tcW w:w="5464" w:type="dxa"/>
            <w:vAlign w:val="center"/>
          </w:tcPr>
          <w:p w14:paraId="4C983A77">
            <w:pPr>
              <w:adjustRightInd w:val="0"/>
              <w:snapToGrid w:val="0"/>
              <w:spacing w:line="360" w:lineRule="exact"/>
              <w:rPr>
                <w:rFonts w:hint="eastAsia" w:ascii="宋体" w:hAnsi="宋体" w:cs="Times New Roman"/>
              </w:rPr>
            </w:pPr>
            <w:r>
              <w:rPr>
                <w:rFonts w:hint="eastAsia" w:ascii="宋体" w:hAnsi="宋体" w:cs="Times New Roman"/>
              </w:rPr>
              <w:t>付款方式：货物全部到达采购人指定地点并经采购人验收合格后，支付合同金额的50%；货物安装完毕，调试运行良好并交付给采购人后支付剩余款项。履约保证金待质保期满后无质量问题一次性退回。</w:t>
            </w:r>
          </w:p>
        </w:tc>
      </w:tr>
      <w:tr w14:paraId="6A98BCA2">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1701" w:type="dxa"/>
            <w:vAlign w:val="center"/>
          </w:tcPr>
          <w:p w14:paraId="49506E7B">
            <w:pPr>
              <w:autoSpaceDE w:val="0"/>
              <w:autoSpaceDN w:val="0"/>
              <w:adjustRightInd w:val="0"/>
              <w:snapToGrid w:val="0"/>
              <w:spacing w:before="50" w:line="360" w:lineRule="auto"/>
              <w:jc w:val="left"/>
              <w:rPr>
                <w:rFonts w:hint="eastAsia" w:ascii="宋体" w:hAnsi="宋体"/>
                <w:szCs w:val="21"/>
              </w:rPr>
            </w:pPr>
            <w:r>
              <w:rPr>
                <w:rFonts w:hint="eastAsia" w:ascii="宋体" w:hAnsi="宋体"/>
                <w:szCs w:val="21"/>
              </w:rPr>
              <w:t>本章第二节</w:t>
            </w:r>
          </w:p>
          <w:p w14:paraId="1EF23F9F">
            <w:pPr>
              <w:autoSpaceDE w:val="0"/>
              <w:autoSpaceDN w:val="0"/>
              <w:adjustRightInd w:val="0"/>
              <w:snapToGrid w:val="0"/>
              <w:spacing w:before="50" w:line="360" w:lineRule="auto"/>
              <w:jc w:val="left"/>
              <w:rPr>
                <w:rFonts w:hint="eastAsia" w:ascii="宋体" w:hAnsi="宋体"/>
                <w:szCs w:val="21"/>
              </w:rPr>
            </w:pPr>
            <w:r>
              <w:rPr>
                <w:rFonts w:hint="eastAsia" w:ascii="宋体" w:hAnsi="宋体"/>
                <w:szCs w:val="21"/>
              </w:rPr>
              <w:t>第14.2（6）项</w:t>
            </w:r>
          </w:p>
        </w:tc>
        <w:tc>
          <w:tcPr>
            <w:tcW w:w="1843" w:type="dxa"/>
            <w:vAlign w:val="center"/>
          </w:tcPr>
          <w:p w14:paraId="7FF95675">
            <w:pPr>
              <w:autoSpaceDE w:val="0"/>
              <w:autoSpaceDN w:val="0"/>
              <w:adjustRightInd w:val="0"/>
              <w:snapToGrid w:val="0"/>
              <w:spacing w:before="50" w:line="360" w:lineRule="auto"/>
              <w:jc w:val="left"/>
              <w:rPr>
                <w:rFonts w:hint="eastAsia" w:ascii="宋体" w:hAnsi="宋体"/>
                <w:szCs w:val="21"/>
              </w:rPr>
            </w:pPr>
            <w:r>
              <w:rPr>
                <w:rFonts w:hint="eastAsia" w:ascii="宋体" w:hAnsi="宋体"/>
                <w:szCs w:val="21"/>
              </w:rPr>
              <w:t>乙方提供的其他服务</w:t>
            </w:r>
          </w:p>
        </w:tc>
        <w:tc>
          <w:tcPr>
            <w:tcW w:w="5464" w:type="dxa"/>
            <w:vAlign w:val="center"/>
          </w:tcPr>
          <w:p w14:paraId="77DAA40A">
            <w:pPr>
              <w:autoSpaceDE w:val="0"/>
              <w:autoSpaceDN w:val="0"/>
              <w:adjustRightInd w:val="0"/>
              <w:snapToGrid w:val="0"/>
              <w:spacing w:before="50" w:line="360" w:lineRule="auto"/>
              <w:jc w:val="left"/>
              <w:rPr>
                <w:rFonts w:hint="eastAsia" w:ascii="宋体" w:hAnsi="宋体"/>
                <w:szCs w:val="21"/>
              </w:rPr>
            </w:pPr>
            <w:r>
              <w:rPr>
                <w:rFonts w:hint="eastAsia" w:ascii="宋体" w:hAnsi="宋体"/>
                <w:szCs w:val="21"/>
              </w:rPr>
              <w:t>第五章采购需求。</w:t>
            </w:r>
          </w:p>
        </w:tc>
      </w:tr>
      <w:tr w14:paraId="1C939A12">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1701" w:type="dxa"/>
            <w:vAlign w:val="center"/>
          </w:tcPr>
          <w:p w14:paraId="24A4B5B3">
            <w:pPr>
              <w:adjustRightInd w:val="0"/>
              <w:snapToGrid w:val="0"/>
              <w:spacing w:line="360" w:lineRule="exact"/>
              <w:rPr>
                <w:rFonts w:hint="eastAsia" w:ascii="宋体" w:hAnsi="宋体"/>
                <w:szCs w:val="21"/>
              </w:rPr>
            </w:pPr>
            <w:r>
              <w:rPr>
                <w:rFonts w:hint="eastAsia" w:ascii="宋体" w:hAnsi="宋体"/>
                <w:szCs w:val="21"/>
              </w:rPr>
              <w:t>第六章第二节</w:t>
            </w:r>
          </w:p>
          <w:p w14:paraId="5DB3A809">
            <w:pPr>
              <w:adjustRightInd w:val="0"/>
              <w:snapToGrid w:val="0"/>
              <w:spacing w:line="360" w:lineRule="exact"/>
              <w:rPr>
                <w:rFonts w:hint="eastAsia" w:ascii="宋体" w:hAnsi="宋体"/>
                <w:szCs w:val="21"/>
              </w:rPr>
            </w:pPr>
            <w:r>
              <w:rPr>
                <w:rFonts w:hint="eastAsia" w:ascii="宋体" w:hAnsi="宋体"/>
                <w:szCs w:val="21"/>
              </w:rPr>
              <w:t>第20.2款</w:t>
            </w:r>
          </w:p>
        </w:tc>
        <w:tc>
          <w:tcPr>
            <w:tcW w:w="1843" w:type="dxa"/>
            <w:vAlign w:val="center"/>
          </w:tcPr>
          <w:p w14:paraId="56C6332F">
            <w:pPr>
              <w:adjustRightInd w:val="0"/>
              <w:snapToGrid w:val="0"/>
              <w:spacing w:line="360" w:lineRule="exact"/>
              <w:jc w:val="center"/>
              <w:rPr>
                <w:rFonts w:hint="eastAsia" w:ascii="宋体" w:hAnsi="宋体"/>
                <w:szCs w:val="21"/>
              </w:rPr>
            </w:pPr>
            <w:r>
              <w:rPr>
                <w:rFonts w:hint="eastAsia" w:ascii="宋体" w:hAnsi="宋体"/>
                <w:szCs w:val="21"/>
              </w:rPr>
              <w:t>解决争议的方式</w:t>
            </w:r>
          </w:p>
        </w:tc>
        <w:tc>
          <w:tcPr>
            <w:tcW w:w="5464" w:type="dxa"/>
            <w:vAlign w:val="center"/>
          </w:tcPr>
          <w:p w14:paraId="1B2B77B1">
            <w:pPr>
              <w:adjustRightInd w:val="0"/>
              <w:snapToGrid w:val="0"/>
              <w:spacing w:line="360" w:lineRule="exact"/>
              <w:rPr>
                <w:rFonts w:hint="eastAsia" w:ascii="宋体" w:hAnsi="宋体"/>
                <w:szCs w:val="21"/>
              </w:rPr>
            </w:pPr>
            <w:r>
              <w:rPr>
                <w:rFonts w:hint="eastAsia" w:ascii="宋体" w:hAnsi="宋体"/>
                <w:szCs w:val="21"/>
              </w:rPr>
              <w:t>仲裁</w:t>
            </w:r>
          </w:p>
        </w:tc>
      </w:tr>
      <w:tr w14:paraId="4B2D27FD">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1701" w:type="dxa"/>
            <w:vAlign w:val="center"/>
          </w:tcPr>
          <w:p w14:paraId="47779335">
            <w:pPr>
              <w:autoSpaceDE w:val="0"/>
              <w:autoSpaceDN w:val="0"/>
              <w:adjustRightInd w:val="0"/>
              <w:snapToGrid w:val="0"/>
              <w:spacing w:before="50" w:line="360" w:lineRule="auto"/>
              <w:jc w:val="left"/>
              <w:rPr>
                <w:rFonts w:hint="eastAsia" w:ascii="宋体" w:hAnsi="宋体"/>
                <w:szCs w:val="21"/>
              </w:rPr>
            </w:pPr>
            <w:r>
              <w:rPr>
                <w:rFonts w:hint="eastAsia" w:ascii="宋体" w:hAnsi="宋体"/>
                <w:szCs w:val="21"/>
              </w:rPr>
              <w:t>本章第二节</w:t>
            </w:r>
          </w:p>
          <w:p w14:paraId="4EEA45DC">
            <w:pPr>
              <w:autoSpaceDE w:val="0"/>
              <w:autoSpaceDN w:val="0"/>
              <w:adjustRightInd w:val="0"/>
              <w:snapToGrid w:val="0"/>
              <w:spacing w:before="50" w:line="360" w:lineRule="auto"/>
              <w:jc w:val="left"/>
              <w:rPr>
                <w:rFonts w:hint="eastAsia" w:ascii="宋体" w:hAnsi="宋体"/>
                <w:szCs w:val="21"/>
              </w:rPr>
            </w:pPr>
            <w:r>
              <w:rPr>
                <w:rFonts w:hint="eastAsia" w:ascii="宋体" w:hAnsi="宋体"/>
                <w:szCs w:val="21"/>
              </w:rPr>
              <w:t>第23.1款</w:t>
            </w:r>
          </w:p>
        </w:tc>
        <w:tc>
          <w:tcPr>
            <w:tcW w:w="1843" w:type="dxa"/>
            <w:vAlign w:val="center"/>
          </w:tcPr>
          <w:p w14:paraId="76AF86C5">
            <w:pPr>
              <w:autoSpaceDE w:val="0"/>
              <w:autoSpaceDN w:val="0"/>
              <w:adjustRightInd w:val="0"/>
              <w:snapToGrid w:val="0"/>
              <w:spacing w:before="50" w:line="360" w:lineRule="auto"/>
              <w:jc w:val="left"/>
              <w:rPr>
                <w:rFonts w:hint="eastAsia" w:ascii="宋体" w:hAnsi="宋体"/>
                <w:szCs w:val="21"/>
              </w:rPr>
            </w:pPr>
            <w:r>
              <w:rPr>
                <w:rFonts w:hint="eastAsia" w:ascii="宋体" w:hAnsi="宋体"/>
                <w:szCs w:val="21"/>
              </w:rPr>
              <w:t>合同未尽事项</w:t>
            </w:r>
          </w:p>
        </w:tc>
        <w:tc>
          <w:tcPr>
            <w:tcW w:w="5464" w:type="dxa"/>
            <w:vAlign w:val="center"/>
          </w:tcPr>
          <w:p w14:paraId="66B03142">
            <w:pPr>
              <w:autoSpaceDE w:val="0"/>
              <w:autoSpaceDN w:val="0"/>
              <w:adjustRightInd w:val="0"/>
              <w:snapToGrid w:val="0"/>
              <w:spacing w:before="50" w:line="360" w:lineRule="auto"/>
              <w:jc w:val="left"/>
              <w:rPr>
                <w:rFonts w:hint="eastAsia" w:ascii="宋体" w:hAnsi="宋体"/>
                <w:szCs w:val="21"/>
              </w:rPr>
            </w:pPr>
            <w:r>
              <w:rPr>
                <w:rFonts w:hint="eastAsia" w:ascii="宋体" w:hAnsi="宋体"/>
                <w:szCs w:val="21"/>
              </w:rPr>
              <w:t>协商解决</w:t>
            </w:r>
          </w:p>
        </w:tc>
      </w:tr>
    </w:tbl>
    <w:p w14:paraId="41987C2A">
      <w:pPr>
        <w:pStyle w:val="14"/>
        <w:adjustRightInd w:val="0"/>
        <w:snapToGrid w:val="0"/>
        <w:spacing w:line="360" w:lineRule="auto"/>
        <w:jc w:val="center"/>
        <w:outlineLvl w:val="0"/>
        <w:rPr>
          <w:rFonts w:hint="eastAsia" w:ascii="黑体" w:hAnsi="华文中宋" w:eastAsia="黑体"/>
          <w:b/>
          <w:sz w:val="32"/>
          <w:szCs w:val="32"/>
        </w:rPr>
      </w:pPr>
      <w:r>
        <w:rPr>
          <w:rFonts w:hAnsi="宋体"/>
          <w:b/>
          <w:bCs/>
          <w:sz w:val="52"/>
          <w:szCs w:val="30"/>
        </w:rPr>
        <w:br w:type="page"/>
      </w:r>
      <w:bookmarkStart w:id="150" w:name="_Toc25306"/>
      <w:r>
        <w:rPr>
          <w:rFonts w:hint="eastAsia" w:ascii="黑体" w:hAnsi="华文中宋" w:eastAsia="黑体"/>
          <w:b/>
          <w:sz w:val="32"/>
          <w:szCs w:val="32"/>
        </w:rPr>
        <w:t>第七章 投标文件的组成</w:t>
      </w:r>
      <w:bookmarkEnd w:id="150"/>
    </w:p>
    <w:p w14:paraId="133BE2D0">
      <w:pPr>
        <w:adjustRightInd w:val="0"/>
        <w:snapToGrid w:val="0"/>
        <w:spacing w:line="360" w:lineRule="auto"/>
        <w:ind w:left="-88" w:leftChars="-42"/>
        <w:jc w:val="center"/>
        <w:rPr>
          <w:b/>
          <w:bCs/>
          <w:sz w:val="32"/>
        </w:rPr>
      </w:pPr>
    </w:p>
    <w:p w14:paraId="09E2275F">
      <w:pPr>
        <w:adjustRightInd w:val="0"/>
        <w:snapToGrid w:val="0"/>
        <w:spacing w:before="157" w:beforeLines="50" w:line="360" w:lineRule="auto"/>
        <w:jc w:val="left"/>
        <w:rPr>
          <w:rFonts w:hint="eastAsia" w:ascii="宋体" w:hAnsi="宋体"/>
          <w:b/>
          <w:szCs w:val="21"/>
        </w:rPr>
      </w:pPr>
      <w:r>
        <w:rPr>
          <w:rFonts w:hint="eastAsia" w:ascii="宋体" w:hAnsi="宋体"/>
          <w:b/>
          <w:szCs w:val="21"/>
        </w:rPr>
        <w:t>第一部分 资格证明文件</w:t>
      </w:r>
    </w:p>
    <w:p w14:paraId="568B3197">
      <w:pPr>
        <w:adjustRightInd w:val="0"/>
        <w:snapToGrid w:val="0"/>
        <w:spacing w:before="157" w:beforeLines="50" w:line="360" w:lineRule="auto"/>
        <w:ind w:firstLine="420" w:firstLineChars="200"/>
        <w:jc w:val="left"/>
        <w:rPr>
          <w:rFonts w:hint="eastAsia" w:ascii="宋体" w:hAnsi="宋体"/>
          <w:szCs w:val="21"/>
        </w:rPr>
      </w:pPr>
      <w:r>
        <w:rPr>
          <w:rFonts w:hint="eastAsia" w:ascii="宋体" w:hAnsi="宋体"/>
          <w:szCs w:val="21"/>
        </w:rPr>
        <w:t>一、开标一览表</w:t>
      </w:r>
    </w:p>
    <w:p w14:paraId="0B01C946">
      <w:pPr>
        <w:adjustRightInd w:val="0"/>
        <w:snapToGrid w:val="0"/>
        <w:spacing w:before="157" w:beforeLines="50" w:line="360" w:lineRule="auto"/>
        <w:ind w:firstLine="420" w:firstLineChars="200"/>
        <w:jc w:val="left"/>
        <w:rPr>
          <w:rFonts w:hint="eastAsia" w:ascii="宋体" w:hAnsi="宋体"/>
          <w:szCs w:val="21"/>
        </w:rPr>
      </w:pPr>
      <w:r>
        <w:rPr>
          <w:rFonts w:hint="eastAsia" w:ascii="宋体" w:hAnsi="宋体"/>
          <w:szCs w:val="21"/>
        </w:rPr>
        <w:t>二、投标保</w:t>
      </w:r>
      <w:r>
        <w:rPr>
          <w:rFonts w:hint="eastAsia" w:ascii="宋体" w:hAnsi="宋体"/>
          <w:bCs/>
          <w:szCs w:val="21"/>
        </w:rPr>
        <w:t>证金</w:t>
      </w:r>
    </w:p>
    <w:p w14:paraId="2B9819FD">
      <w:pPr>
        <w:adjustRightInd w:val="0"/>
        <w:snapToGrid w:val="0"/>
        <w:spacing w:before="157" w:beforeLines="50" w:line="360" w:lineRule="auto"/>
        <w:ind w:firstLine="420" w:firstLineChars="200"/>
        <w:jc w:val="left"/>
        <w:rPr>
          <w:rFonts w:hint="eastAsia" w:ascii="宋体" w:hAnsi="宋体"/>
          <w:szCs w:val="21"/>
        </w:rPr>
      </w:pPr>
      <w:r>
        <w:rPr>
          <w:rFonts w:hint="eastAsia" w:ascii="宋体" w:hAnsi="宋体"/>
          <w:szCs w:val="21"/>
        </w:rPr>
        <w:t>三、授权委托书</w:t>
      </w:r>
    </w:p>
    <w:p w14:paraId="72C50959">
      <w:pPr>
        <w:adjustRightInd w:val="0"/>
        <w:snapToGrid w:val="0"/>
        <w:spacing w:before="157" w:beforeLines="50" w:line="360" w:lineRule="auto"/>
        <w:ind w:firstLine="420" w:firstLineChars="200"/>
        <w:jc w:val="left"/>
        <w:rPr>
          <w:rFonts w:hint="eastAsia" w:ascii="宋体" w:hAnsi="宋体"/>
          <w:szCs w:val="21"/>
        </w:rPr>
      </w:pPr>
      <w:r>
        <w:rPr>
          <w:rFonts w:hint="eastAsia" w:ascii="宋体" w:hAnsi="宋体"/>
          <w:szCs w:val="21"/>
        </w:rPr>
        <w:t>四、投标人提供的资格证明文件</w:t>
      </w:r>
    </w:p>
    <w:p w14:paraId="01679A14">
      <w:pPr>
        <w:adjustRightInd w:val="0"/>
        <w:snapToGrid w:val="0"/>
        <w:spacing w:before="157" w:beforeLines="50" w:line="360" w:lineRule="auto"/>
        <w:jc w:val="left"/>
        <w:rPr>
          <w:rFonts w:hint="eastAsia" w:ascii="宋体" w:hAnsi="宋体"/>
          <w:b/>
          <w:szCs w:val="21"/>
        </w:rPr>
      </w:pPr>
      <w:r>
        <w:rPr>
          <w:rFonts w:hint="eastAsia" w:ascii="宋体" w:hAnsi="宋体"/>
          <w:b/>
          <w:szCs w:val="21"/>
        </w:rPr>
        <w:t>第二部分 商务技术文件</w:t>
      </w:r>
    </w:p>
    <w:p w14:paraId="476DABC0">
      <w:pPr>
        <w:adjustRightInd w:val="0"/>
        <w:snapToGrid w:val="0"/>
        <w:spacing w:before="157" w:beforeLines="50" w:line="360" w:lineRule="auto"/>
        <w:ind w:firstLine="420" w:firstLineChars="200"/>
        <w:jc w:val="left"/>
        <w:rPr>
          <w:rFonts w:hint="eastAsia" w:ascii="宋体" w:hAnsi="宋体"/>
          <w:szCs w:val="21"/>
        </w:rPr>
      </w:pPr>
      <w:r>
        <w:rPr>
          <w:rFonts w:hint="eastAsia" w:ascii="宋体" w:hAnsi="宋体"/>
          <w:szCs w:val="21"/>
        </w:rPr>
        <w:t>五、投标函</w:t>
      </w:r>
    </w:p>
    <w:p w14:paraId="2CA3C945">
      <w:pPr>
        <w:adjustRightInd w:val="0"/>
        <w:snapToGrid w:val="0"/>
        <w:spacing w:before="157" w:beforeLines="50" w:line="360" w:lineRule="auto"/>
        <w:ind w:firstLine="420" w:firstLineChars="200"/>
        <w:jc w:val="left"/>
        <w:rPr>
          <w:rFonts w:hint="eastAsia" w:ascii="宋体" w:hAnsi="宋体"/>
          <w:szCs w:val="21"/>
        </w:rPr>
      </w:pPr>
      <w:r>
        <w:rPr>
          <w:rFonts w:hint="eastAsia" w:ascii="宋体" w:hAnsi="宋体"/>
          <w:szCs w:val="21"/>
        </w:rPr>
        <w:t>六、分项报价</w:t>
      </w:r>
    </w:p>
    <w:p w14:paraId="5233F043">
      <w:pPr>
        <w:adjustRightInd w:val="0"/>
        <w:snapToGrid w:val="0"/>
        <w:spacing w:before="157" w:beforeLines="50" w:line="360" w:lineRule="auto"/>
        <w:ind w:firstLine="420" w:firstLineChars="200"/>
        <w:jc w:val="left"/>
        <w:rPr>
          <w:rFonts w:hint="eastAsia" w:ascii="宋体" w:hAnsi="宋体"/>
          <w:szCs w:val="21"/>
        </w:rPr>
      </w:pPr>
      <w:r>
        <w:rPr>
          <w:rFonts w:hint="eastAsia" w:ascii="宋体" w:hAnsi="宋体"/>
          <w:szCs w:val="21"/>
        </w:rPr>
        <w:t>七、采购需求响应</w:t>
      </w:r>
    </w:p>
    <w:p w14:paraId="3DE149A9">
      <w:pPr>
        <w:adjustRightInd w:val="0"/>
        <w:snapToGrid w:val="0"/>
        <w:spacing w:before="157" w:beforeLines="50" w:line="360" w:lineRule="auto"/>
        <w:ind w:firstLine="420" w:firstLineChars="200"/>
        <w:jc w:val="left"/>
        <w:rPr>
          <w:rFonts w:hint="eastAsia" w:ascii="宋体" w:hAnsi="宋体"/>
          <w:szCs w:val="21"/>
        </w:rPr>
      </w:pPr>
      <w:r>
        <w:rPr>
          <w:rFonts w:hint="eastAsia" w:ascii="宋体" w:hAnsi="宋体"/>
          <w:szCs w:val="21"/>
        </w:rPr>
        <w:t>八、合同条款偏离表</w:t>
      </w:r>
    </w:p>
    <w:p w14:paraId="3C4777DA">
      <w:pPr>
        <w:adjustRightInd w:val="0"/>
        <w:snapToGrid w:val="0"/>
        <w:spacing w:before="157" w:beforeLines="50" w:line="360" w:lineRule="auto"/>
        <w:ind w:firstLine="420" w:firstLineChars="200"/>
        <w:jc w:val="left"/>
        <w:rPr>
          <w:rFonts w:hint="eastAsia" w:ascii="宋体" w:hAnsi="宋体"/>
          <w:szCs w:val="21"/>
        </w:rPr>
      </w:pPr>
      <w:r>
        <w:rPr>
          <w:rFonts w:hint="eastAsia" w:ascii="宋体" w:hAnsi="宋体"/>
          <w:szCs w:val="21"/>
        </w:rPr>
        <w:t>九、采购需求偏离表</w:t>
      </w:r>
    </w:p>
    <w:p w14:paraId="4600253C">
      <w:pPr>
        <w:adjustRightInd w:val="0"/>
        <w:snapToGrid w:val="0"/>
        <w:spacing w:before="157" w:beforeLines="50" w:line="360" w:lineRule="auto"/>
        <w:ind w:firstLine="420" w:firstLineChars="200"/>
        <w:jc w:val="left"/>
        <w:rPr>
          <w:rFonts w:hint="eastAsia" w:ascii="宋体" w:hAnsi="宋体"/>
          <w:szCs w:val="21"/>
        </w:rPr>
      </w:pPr>
      <w:r>
        <w:rPr>
          <w:rFonts w:hint="eastAsia" w:ascii="宋体" w:hAnsi="宋体"/>
          <w:szCs w:val="21"/>
        </w:rPr>
        <w:t>十、享受政府采购政策优惠的证明资料</w:t>
      </w:r>
    </w:p>
    <w:p w14:paraId="56569967">
      <w:pPr>
        <w:adjustRightInd w:val="0"/>
        <w:snapToGrid w:val="0"/>
        <w:spacing w:before="157" w:beforeLines="50" w:line="360" w:lineRule="auto"/>
        <w:ind w:firstLine="420" w:firstLineChars="200"/>
        <w:jc w:val="left"/>
        <w:rPr>
          <w:rFonts w:hint="eastAsia" w:ascii="宋体" w:hAnsi="宋体"/>
          <w:szCs w:val="21"/>
        </w:rPr>
      </w:pPr>
      <w:r>
        <w:rPr>
          <w:rFonts w:hint="eastAsia" w:ascii="宋体" w:hAnsi="宋体"/>
          <w:szCs w:val="21"/>
        </w:rPr>
        <w:t>十一、投标货物符合招标文件规定的证明文件</w:t>
      </w:r>
    </w:p>
    <w:p w14:paraId="4F4B6297">
      <w:pPr>
        <w:adjustRightInd w:val="0"/>
        <w:snapToGrid w:val="0"/>
        <w:spacing w:before="157" w:beforeLines="50" w:line="360" w:lineRule="auto"/>
        <w:ind w:firstLine="420" w:firstLineChars="200"/>
        <w:jc w:val="left"/>
        <w:rPr>
          <w:rFonts w:hint="eastAsia" w:ascii="宋体" w:hAnsi="宋体"/>
          <w:szCs w:val="21"/>
        </w:rPr>
      </w:pPr>
      <w:r>
        <w:rPr>
          <w:rFonts w:hint="eastAsia" w:ascii="宋体" w:hAnsi="宋体"/>
          <w:szCs w:val="21"/>
        </w:rPr>
        <w:t>十二、投标人认为需提供的其他资料</w:t>
      </w:r>
    </w:p>
    <w:p w14:paraId="7F0D6941">
      <w:pPr>
        <w:adjustRightInd w:val="0"/>
        <w:snapToGrid w:val="0"/>
        <w:spacing w:before="157" w:beforeLines="50" w:line="360" w:lineRule="auto"/>
        <w:ind w:firstLine="420" w:firstLineChars="200"/>
        <w:jc w:val="left"/>
        <w:rPr>
          <w:rFonts w:hint="eastAsia" w:ascii="宋体" w:hAnsi="宋体"/>
          <w:szCs w:val="21"/>
        </w:rPr>
      </w:pPr>
      <w:r>
        <w:rPr>
          <w:rFonts w:hint="eastAsia" w:ascii="宋体" w:hAnsi="宋体"/>
          <w:szCs w:val="21"/>
        </w:rPr>
        <w:t>注：投标人可编制资格审查索引表、符合性审查索引表、评审索引表，以便采购人及采购代理机构资格审查和评标委员会评审。</w:t>
      </w:r>
    </w:p>
    <w:p w14:paraId="7EACD8EF">
      <w:pPr>
        <w:adjustRightInd w:val="0"/>
        <w:snapToGrid w:val="0"/>
        <w:spacing w:before="157" w:beforeLines="50" w:line="360" w:lineRule="auto"/>
        <w:ind w:firstLine="420" w:firstLineChars="200"/>
        <w:jc w:val="left"/>
        <w:rPr>
          <w:rFonts w:hint="eastAsia" w:ascii="宋体" w:hAnsi="宋体"/>
          <w:szCs w:val="21"/>
        </w:rPr>
      </w:pPr>
    </w:p>
    <w:p w14:paraId="440AFF00">
      <w:pPr>
        <w:adjustRightInd w:val="0"/>
        <w:snapToGrid w:val="0"/>
        <w:spacing w:line="360" w:lineRule="auto"/>
        <w:jc w:val="center"/>
        <w:rPr>
          <w:rFonts w:hint="eastAsia" w:ascii="仿宋_GB2312" w:hAnsi="宋体" w:eastAsia="仿宋_GB2312"/>
          <w:szCs w:val="21"/>
        </w:rPr>
      </w:pPr>
    </w:p>
    <w:p w14:paraId="293DB69C">
      <w:pPr>
        <w:adjustRightInd w:val="0"/>
        <w:snapToGrid w:val="0"/>
        <w:spacing w:line="360" w:lineRule="auto"/>
        <w:jc w:val="center"/>
        <w:rPr>
          <w:rFonts w:ascii="黑体" w:eastAsia="黑体"/>
          <w:sz w:val="32"/>
          <w:szCs w:val="32"/>
        </w:rPr>
      </w:pPr>
      <w:r>
        <w:rPr>
          <w:rFonts w:ascii="仿宋_GB2312" w:hAnsi="宋体" w:eastAsia="仿宋_GB2312"/>
          <w:szCs w:val="21"/>
        </w:rPr>
        <w:br w:type="page"/>
      </w:r>
    </w:p>
    <w:p w14:paraId="7D1E5C9F">
      <w:pPr>
        <w:adjustRightInd w:val="0"/>
        <w:snapToGrid w:val="0"/>
        <w:spacing w:line="360" w:lineRule="auto"/>
        <w:jc w:val="center"/>
        <w:rPr>
          <w:rFonts w:ascii="黑体" w:eastAsia="黑体"/>
          <w:sz w:val="32"/>
          <w:szCs w:val="32"/>
        </w:rPr>
      </w:pPr>
    </w:p>
    <w:p w14:paraId="303C2B83">
      <w:pPr>
        <w:pStyle w:val="14"/>
        <w:adjustRightInd w:val="0"/>
        <w:snapToGrid w:val="0"/>
        <w:spacing w:line="360" w:lineRule="auto"/>
        <w:jc w:val="center"/>
        <w:rPr>
          <w:rFonts w:hint="eastAsia" w:hAnsi="宋体"/>
          <w:b/>
          <w:bCs/>
          <w:sz w:val="72"/>
          <w:szCs w:val="72"/>
        </w:rPr>
      </w:pPr>
      <w:r>
        <w:rPr>
          <w:rFonts w:hint="eastAsia" w:hAnsi="宋体"/>
          <w:b/>
          <w:bCs/>
          <w:sz w:val="72"/>
          <w:szCs w:val="72"/>
        </w:rPr>
        <w:t>政府采购</w:t>
      </w:r>
    </w:p>
    <w:p w14:paraId="166724FB">
      <w:pPr>
        <w:adjustRightInd w:val="0"/>
        <w:snapToGrid w:val="0"/>
        <w:spacing w:line="360" w:lineRule="auto"/>
        <w:jc w:val="center"/>
        <w:rPr>
          <w:rFonts w:hint="eastAsia" w:ascii="宋体" w:hAnsi="宋体"/>
          <w:b/>
          <w:bCs/>
          <w:sz w:val="84"/>
          <w:szCs w:val="84"/>
        </w:rPr>
      </w:pPr>
      <w:r>
        <w:rPr>
          <w:rFonts w:hint="eastAsia" w:ascii="宋体" w:hAnsi="宋体"/>
          <w:b/>
          <w:bCs/>
          <w:sz w:val="84"/>
          <w:szCs w:val="84"/>
        </w:rPr>
        <w:t>投 标 文 件</w:t>
      </w:r>
    </w:p>
    <w:p w14:paraId="28CADDA0">
      <w:pPr>
        <w:pStyle w:val="2"/>
        <w:adjustRightInd w:val="0"/>
        <w:snapToGrid w:val="0"/>
        <w:jc w:val="center"/>
        <w:rPr>
          <w:rFonts w:hint="eastAsia" w:ascii="黑体" w:hAnsi="黑体" w:eastAsia="黑体"/>
          <w:sz w:val="44"/>
          <w:szCs w:val="44"/>
        </w:rPr>
      </w:pPr>
      <w:bookmarkStart w:id="151" w:name="_Toc22978"/>
      <w:r>
        <w:rPr>
          <w:rFonts w:hint="eastAsia" w:ascii="黑体" w:hAnsi="黑体" w:eastAsia="黑体"/>
          <w:sz w:val="44"/>
          <w:szCs w:val="44"/>
        </w:rPr>
        <w:t>第一部分 资格证明文件</w:t>
      </w:r>
      <w:bookmarkEnd w:id="151"/>
    </w:p>
    <w:p w14:paraId="56783269">
      <w:pPr>
        <w:adjustRightInd w:val="0"/>
        <w:snapToGrid w:val="0"/>
        <w:spacing w:line="360" w:lineRule="auto"/>
        <w:rPr>
          <w:rFonts w:hint="eastAsia" w:ascii="黑体" w:hAnsi="黑体" w:eastAsia="黑体"/>
          <w:b/>
          <w:sz w:val="32"/>
          <w:szCs w:val="32"/>
        </w:rPr>
      </w:pPr>
    </w:p>
    <w:p w14:paraId="79347B43">
      <w:pPr>
        <w:adjustRightInd w:val="0"/>
        <w:snapToGrid w:val="0"/>
        <w:spacing w:line="360" w:lineRule="auto"/>
        <w:rPr>
          <w:rFonts w:hint="eastAsia" w:hAnsi="宋体"/>
          <w:b/>
          <w:bCs/>
          <w:sz w:val="30"/>
          <w:szCs w:val="30"/>
          <w:u w:val="single"/>
        </w:rPr>
      </w:pPr>
      <w:r>
        <w:rPr>
          <w:rFonts w:hint="eastAsia" w:ascii="宋体" w:hAnsi="宋体"/>
          <w:b/>
          <w:sz w:val="32"/>
          <w:szCs w:val="32"/>
        </w:rPr>
        <w:t xml:space="preserve">            </w:t>
      </w:r>
      <w:r>
        <w:rPr>
          <w:rFonts w:hint="eastAsia" w:hAnsi="宋体"/>
          <w:b/>
          <w:bCs/>
          <w:sz w:val="30"/>
          <w:szCs w:val="30"/>
        </w:rPr>
        <w:t>采购项目名称:</w:t>
      </w:r>
      <w:r>
        <w:rPr>
          <w:rFonts w:hint="eastAsia" w:hAnsi="宋体"/>
          <w:b/>
          <w:bCs/>
          <w:sz w:val="30"/>
          <w:szCs w:val="30"/>
          <w:u w:val="single"/>
        </w:rPr>
        <w:t xml:space="preserve">                       </w:t>
      </w:r>
    </w:p>
    <w:p w14:paraId="1FD49BF7">
      <w:pPr>
        <w:pStyle w:val="14"/>
        <w:adjustRightInd w:val="0"/>
        <w:snapToGrid w:val="0"/>
        <w:spacing w:line="360" w:lineRule="auto"/>
        <w:ind w:firstLine="1988" w:firstLineChars="660"/>
        <w:rPr>
          <w:rFonts w:hint="eastAsia" w:hAnsi="宋体"/>
          <w:b/>
          <w:bCs/>
          <w:sz w:val="30"/>
          <w:szCs w:val="30"/>
        </w:rPr>
      </w:pPr>
      <w:r>
        <w:rPr>
          <w:rFonts w:hint="eastAsia" w:hAnsi="宋体"/>
          <w:b/>
          <w:bCs/>
          <w:sz w:val="30"/>
          <w:szCs w:val="30"/>
        </w:rPr>
        <w:t>采   购   人：</w:t>
      </w:r>
      <w:r>
        <w:rPr>
          <w:rFonts w:hint="eastAsia" w:hAnsi="宋体"/>
          <w:b/>
          <w:bCs/>
          <w:sz w:val="30"/>
          <w:szCs w:val="30"/>
          <w:u w:val="single"/>
        </w:rPr>
        <w:t xml:space="preserve">                      </w:t>
      </w:r>
    </w:p>
    <w:p w14:paraId="13313EF9">
      <w:pPr>
        <w:pStyle w:val="14"/>
        <w:adjustRightInd w:val="0"/>
        <w:snapToGrid w:val="0"/>
        <w:spacing w:line="360" w:lineRule="auto"/>
        <w:ind w:firstLine="1988" w:firstLineChars="660"/>
        <w:rPr>
          <w:rFonts w:hint="eastAsia" w:hAnsi="宋体"/>
          <w:b/>
          <w:bCs/>
          <w:sz w:val="30"/>
          <w:szCs w:val="30"/>
          <w:u w:val="single"/>
        </w:rPr>
      </w:pPr>
      <w:r>
        <w:rPr>
          <w:rFonts w:hint="eastAsia" w:hAnsi="宋体"/>
          <w:b/>
          <w:bCs/>
          <w:sz w:val="30"/>
          <w:szCs w:val="30"/>
        </w:rPr>
        <w:t>政府采购计划编号:</w:t>
      </w:r>
      <w:r>
        <w:rPr>
          <w:rFonts w:hint="eastAsia" w:hAnsi="宋体"/>
          <w:b/>
          <w:bCs/>
          <w:sz w:val="30"/>
          <w:szCs w:val="30"/>
          <w:u w:val="single"/>
        </w:rPr>
        <w:t xml:space="preserve">                   </w:t>
      </w:r>
    </w:p>
    <w:p w14:paraId="731658AB">
      <w:pPr>
        <w:pStyle w:val="14"/>
        <w:adjustRightInd w:val="0"/>
        <w:snapToGrid w:val="0"/>
        <w:spacing w:line="360" w:lineRule="auto"/>
        <w:ind w:firstLine="1988" w:firstLineChars="660"/>
        <w:rPr>
          <w:rFonts w:hint="eastAsia" w:hAnsi="宋体"/>
          <w:b/>
          <w:bCs/>
          <w:sz w:val="30"/>
          <w:szCs w:val="30"/>
          <w:u w:val="single"/>
        </w:rPr>
      </w:pPr>
      <w:r>
        <w:rPr>
          <w:rFonts w:hint="eastAsia" w:hAnsi="宋体"/>
          <w:b/>
          <w:bCs/>
          <w:sz w:val="30"/>
          <w:szCs w:val="30"/>
        </w:rPr>
        <w:t>委托代理编号:</w:t>
      </w:r>
      <w:r>
        <w:rPr>
          <w:rFonts w:hint="eastAsia" w:hAnsi="宋体"/>
          <w:b/>
          <w:bCs/>
          <w:sz w:val="30"/>
          <w:szCs w:val="30"/>
          <w:u w:val="single"/>
        </w:rPr>
        <w:t xml:space="preserve">                       </w:t>
      </w:r>
    </w:p>
    <w:p w14:paraId="3A69B462">
      <w:pPr>
        <w:pStyle w:val="14"/>
        <w:adjustRightInd w:val="0"/>
        <w:snapToGrid w:val="0"/>
        <w:spacing w:line="360" w:lineRule="auto"/>
        <w:ind w:firstLine="1988" w:firstLineChars="660"/>
        <w:rPr>
          <w:rFonts w:hint="eastAsia" w:hAnsi="宋体"/>
          <w:b/>
          <w:bCs/>
          <w:sz w:val="30"/>
          <w:szCs w:val="30"/>
          <w:u w:val="single"/>
        </w:rPr>
      </w:pPr>
      <w:r>
        <w:rPr>
          <w:rFonts w:hint="eastAsia" w:hAnsi="宋体"/>
          <w:b/>
          <w:bCs/>
          <w:sz w:val="30"/>
          <w:szCs w:val="30"/>
        </w:rPr>
        <w:t>采购代理机构：</w:t>
      </w:r>
      <w:r>
        <w:rPr>
          <w:rFonts w:hint="eastAsia" w:hAnsi="宋体"/>
          <w:b/>
          <w:bCs/>
          <w:sz w:val="30"/>
          <w:szCs w:val="30"/>
          <w:u w:val="single"/>
        </w:rPr>
        <w:t xml:space="preserve">                      </w:t>
      </w:r>
    </w:p>
    <w:p w14:paraId="75D9EA1B">
      <w:pPr>
        <w:adjustRightInd w:val="0"/>
        <w:snapToGrid w:val="0"/>
        <w:spacing w:line="360" w:lineRule="auto"/>
        <w:rPr>
          <w:rFonts w:hint="eastAsia" w:ascii="黑体" w:hAnsi="黑体" w:eastAsia="黑体"/>
          <w:sz w:val="30"/>
          <w:szCs w:val="30"/>
        </w:rPr>
      </w:pPr>
    </w:p>
    <w:p w14:paraId="28AAC2FC">
      <w:pPr>
        <w:adjustRightInd w:val="0"/>
        <w:snapToGrid w:val="0"/>
        <w:rPr>
          <w:rFonts w:hint="eastAsia" w:ascii="黑体" w:hAnsi="宋体" w:eastAsia="黑体"/>
          <w:sz w:val="30"/>
          <w:szCs w:val="30"/>
        </w:rPr>
      </w:pPr>
    </w:p>
    <w:p w14:paraId="0F390ADF">
      <w:pPr>
        <w:adjustRightInd w:val="0"/>
        <w:snapToGrid w:val="0"/>
        <w:spacing w:line="360" w:lineRule="auto"/>
        <w:rPr>
          <w:rFonts w:hint="eastAsia" w:ascii="黑体" w:hAnsi="宋体" w:eastAsia="黑体"/>
          <w:sz w:val="30"/>
          <w:szCs w:val="30"/>
        </w:rPr>
      </w:pPr>
    </w:p>
    <w:p w14:paraId="57B49E34">
      <w:pPr>
        <w:adjustRightInd w:val="0"/>
        <w:snapToGrid w:val="0"/>
        <w:spacing w:line="360" w:lineRule="auto"/>
        <w:rPr>
          <w:rFonts w:hint="eastAsia" w:ascii="黑体" w:hAnsi="宋体" w:eastAsia="黑体"/>
          <w:sz w:val="30"/>
          <w:szCs w:val="30"/>
        </w:rPr>
      </w:pPr>
    </w:p>
    <w:p w14:paraId="7F3E8071">
      <w:pPr>
        <w:adjustRightInd w:val="0"/>
        <w:snapToGrid w:val="0"/>
        <w:spacing w:line="360" w:lineRule="auto"/>
        <w:ind w:firstLine="2240" w:firstLineChars="700"/>
        <w:rPr>
          <w:rFonts w:hint="eastAsia" w:ascii="黑体" w:hAnsi="宋体" w:eastAsia="黑体"/>
          <w:sz w:val="32"/>
          <w:szCs w:val="32"/>
          <w:u w:val="single"/>
        </w:rPr>
      </w:pPr>
      <w:r>
        <w:rPr>
          <w:rFonts w:hint="eastAsia" w:ascii="黑体" w:hAnsi="宋体" w:eastAsia="黑体"/>
          <w:sz w:val="32"/>
          <w:szCs w:val="32"/>
        </w:rPr>
        <w:t>投标人</w:t>
      </w:r>
      <w:r>
        <w:rPr>
          <w:rFonts w:hint="eastAsia" w:ascii="黑体" w:hAnsi="宋体" w:eastAsia="黑体"/>
          <w:sz w:val="32"/>
          <w:szCs w:val="32"/>
          <w:u w:val="single"/>
        </w:rPr>
        <w:t xml:space="preserve">                         </w:t>
      </w:r>
    </w:p>
    <w:p w14:paraId="5A41EA7D">
      <w:pPr>
        <w:adjustRightInd w:val="0"/>
        <w:snapToGrid w:val="0"/>
        <w:spacing w:line="360" w:lineRule="auto"/>
        <w:jc w:val="center"/>
        <w:rPr>
          <w:rFonts w:ascii="黑体" w:eastAsia="黑体"/>
          <w:sz w:val="10"/>
          <w:szCs w:val="10"/>
        </w:rPr>
      </w:pPr>
      <w:r>
        <w:rPr>
          <w:rFonts w:hint="eastAsia" w:ascii="黑体" w:hAnsi="宋体" w:eastAsia="黑体"/>
          <w:sz w:val="32"/>
          <w:szCs w:val="32"/>
        </w:rPr>
        <w:t>年  月  日</w:t>
      </w:r>
      <w:r>
        <w:rPr>
          <w:rFonts w:ascii="黑体" w:eastAsia="黑体"/>
          <w:sz w:val="28"/>
          <w:szCs w:val="28"/>
        </w:rPr>
        <w:br w:type="page"/>
      </w:r>
    </w:p>
    <w:p w14:paraId="20E01677">
      <w:pPr>
        <w:pStyle w:val="4"/>
        <w:adjustRightInd w:val="0"/>
        <w:snapToGrid w:val="0"/>
        <w:spacing w:before="0" w:after="0" w:line="360" w:lineRule="auto"/>
        <w:jc w:val="center"/>
        <w:rPr>
          <w:rFonts w:hint="eastAsia" w:ascii="黑体" w:hAnsi="宋体" w:eastAsia="黑体"/>
          <w:sz w:val="28"/>
          <w:szCs w:val="28"/>
        </w:rPr>
      </w:pPr>
      <w:bookmarkStart w:id="152" w:name="_Toc2311"/>
      <w:r>
        <w:rPr>
          <w:rFonts w:hint="eastAsia" w:ascii="黑体" w:hAnsi="宋体" w:eastAsia="黑体"/>
          <w:sz w:val="28"/>
          <w:szCs w:val="28"/>
        </w:rPr>
        <w:t>一、开标一览表</w:t>
      </w:r>
      <w:bookmarkEnd w:id="152"/>
    </w:p>
    <w:p w14:paraId="1FE6E257">
      <w:pPr>
        <w:adjustRightInd w:val="0"/>
        <w:snapToGrid w:val="0"/>
        <w:spacing w:line="360" w:lineRule="auto"/>
        <w:ind w:left="-88" w:leftChars="-42"/>
        <w:jc w:val="center"/>
        <w:rPr>
          <w:rFonts w:hint="eastAsia" w:ascii="仿宋_GB2312" w:hAnsi="宋体" w:eastAsia="仿宋_GB2312"/>
          <w:sz w:val="24"/>
        </w:rPr>
      </w:pPr>
    </w:p>
    <w:p w14:paraId="4DCA6010">
      <w:pPr>
        <w:adjustRightInd w:val="0"/>
        <w:snapToGrid w:val="0"/>
        <w:spacing w:line="360" w:lineRule="auto"/>
        <w:rPr>
          <w:rFonts w:hint="eastAsia" w:ascii="宋体" w:hAnsi="宋体"/>
          <w:szCs w:val="21"/>
        </w:rPr>
      </w:pPr>
      <w:r>
        <w:rPr>
          <w:rFonts w:hint="eastAsia" w:ascii="宋体" w:hAnsi="宋体"/>
          <w:szCs w:val="21"/>
        </w:rPr>
        <w:t>政府采购计划编号：</w:t>
      </w:r>
      <w:r>
        <w:rPr>
          <w:rFonts w:hint="eastAsia" w:ascii="宋体" w:hAnsi="宋体"/>
          <w:szCs w:val="21"/>
          <w:u w:val="single"/>
        </w:rPr>
        <w:t xml:space="preserve">               </w:t>
      </w:r>
      <w:r>
        <w:rPr>
          <w:rFonts w:hint="eastAsia" w:ascii="宋体" w:hAnsi="宋体"/>
          <w:szCs w:val="21"/>
        </w:rPr>
        <w:t xml:space="preserve">                   项目名称：</w:t>
      </w:r>
      <w:r>
        <w:rPr>
          <w:rFonts w:hint="eastAsia" w:ascii="宋体" w:hAnsi="宋体"/>
          <w:szCs w:val="21"/>
          <w:u w:val="single"/>
        </w:rPr>
        <w:t xml:space="preserve">                </w:t>
      </w:r>
      <w:r>
        <w:rPr>
          <w:rFonts w:hint="eastAsia" w:ascii="宋体" w:hAnsi="宋体"/>
          <w:szCs w:val="21"/>
        </w:rPr>
        <w:t xml:space="preserve"> </w:t>
      </w:r>
    </w:p>
    <w:p w14:paraId="7A2C1552">
      <w:pPr>
        <w:adjustRightInd w:val="0"/>
        <w:snapToGrid w:val="0"/>
        <w:spacing w:line="360" w:lineRule="auto"/>
        <w:rPr>
          <w:rFonts w:hint="eastAsia" w:ascii="宋体" w:hAnsi="宋体"/>
          <w:b/>
          <w:szCs w:val="21"/>
        </w:rPr>
      </w:pPr>
      <w:r>
        <w:rPr>
          <w:rFonts w:hint="eastAsia" w:ascii="宋体" w:hAnsi="宋体"/>
          <w:szCs w:val="21"/>
        </w:rPr>
        <w:t>包号：</w:t>
      </w:r>
      <w:r>
        <w:rPr>
          <w:rFonts w:hint="eastAsia" w:ascii="宋体" w:hAnsi="宋体"/>
          <w:szCs w:val="21"/>
          <w:u w:val="single"/>
        </w:rPr>
        <w:t xml:space="preserve">               </w:t>
      </w:r>
      <w:r>
        <w:rPr>
          <w:rFonts w:hint="eastAsia" w:ascii="宋体" w:hAnsi="宋体"/>
          <w:szCs w:val="21"/>
        </w:rPr>
        <w:t xml:space="preserve">                               包名称：</w:t>
      </w:r>
      <w:r>
        <w:rPr>
          <w:rFonts w:hint="eastAsia" w:ascii="宋体" w:hAnsi="宋体"/>
          <w:szCs w:val="21"/>
          <w:u w:val="single"/>
        </w:rPr>
        <w:t xml:space="preserve">                  </w:t>
      </w:r>
    </w:p>
    <w:tbl>
      <w:tblPr>
        <w:tblStyle w:val="27"/>
        <w:tblW w:w="8789" w:type="dxa"/>
        <w:tblInd w:w="108" w:type="dxa"/>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5670"/>
        <w:gridCol w:w="3119"/>
      </w:tblGrid>
      <w:tr w14:paraId="2150FBAC">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723" w:hRule="atLeast"/>
        </w:trPr>
        <w:tc>
          <w:tcPr>
            <w:tcW w:w="5670" w:type="dxa"/>
            <w:vAlign w:val="center"/>
          </w:tcPr>
          <w:p w14:paraId="5A6EA8B9">
            <w:pPr>
              <w:adjustRightInd w:val="0"/>
              <w:snapToGrid w:val="0"/>
              <w:spacing w:line="360" w:lineRule="auto"/>
              <w:jc w:val="center"/>
              <w:rPr>
                <w:rFonts w:hint="eastAsia" w:ascii="宋体" w:hAnsi="宋体"/>
                <w:b/>
                <w:kern w:val="0"/>
                <w:sz w:val="20"/>
                <w:szCs w:val="21"/>
              </w:rPr>
            </w:pPr>
            <w:r>
              <w:rPr>
                <w:rFonts w:hint="eastAsia" w:ascii="宋体" w:hAnsi="宋体"/>
                <w:b/>
                <w:kern w:val="0"/>
                <w:szCs w:val="21"/>
              </w:rPr>
              <w:t>投标报价</w:t>
            </w:r>
          </w:p>
        </w:tc>
        <w:tc>
          <w:tcPr>
            <w:tcW w:w="3119" w:type="dxa"/>
            <w:vAlign w:val="center"/>
          </w:tcPr>
          <w:p w14:paraId="43CCE8BB">
            <w:pPr>
              <w:adjustRightInd w:val="0"/>
              <w:snapToGrid w:val="0"/>
              <w:spacing w:line="360" w:lineRule="auto"/>
              <w:jc w:val="center"/>
              <w:rPr>
                <w:rFonts w:hint="eastAsia" w:ascii="宋体" w:hAnsi="宋体"/>
                <w:b/>
                <w:kern w:val="0"/>
                <w:szCs w:val="21"/>
              </w:rPr>
            </w:pPr>
            <w:r>
              <w:rPr>
                <w:rFonts w:hint="eastAsia" w:ascii="宋体" w:hAnsi="宋体"/>
                <w:b/>
                <w:kern w:val="0"/>
                <w:szCs w:val="21"/>
              </w:rPr>
              <w:t>其他内容</w:t>
            </w:r>
          </w:p>
        </w:tc>
      </w:tr>
      <w:tr w14:paraId="2A9A748A">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723" w:hRule="atLeast"/>
        </w:trPr>
        <w:tc>
          <w:tcPr>
            <w:tcW w:w="5670" w:type="dxa"/>
            <w:vAlign w:val="center"/>
          </w:tcPr>
          <w:p w14:paraId="7A414180">
            <w:pPr>
              <w:adjustRightInd w:val="0"/>
              <w:snapToGrid w:val="0"/>
              <w:spacing w:line="360" w:lineRule="auto"/>
              <w:jc w:val="center"/>
              <w:rPr>
                <w:rFonts w:hint="eastAsia" w:ascii="宋体" w:hAnsi="宋体"/>
                <w:kern w:val="0"/>
                <w:szCs w:val="21"/>
              </w:rPr>
            </w:pPr>
            <w:r>
              <w:rPr>
                <w:rFonts w:hint="eastAsia" w:ascii="宋体" w:hAnsi="宋体"/>
                <w:kern w:val="0"/>
                <w:szCs w:val="21"/>
              </w:rPr>
              <w:t>小写金额：</w:t>
            </w:r>
            <w:r>
              <w:rPr>
                <w:rFonts w:hint="eastAsia" w:ascii="宋体" w:hAnsi="宋体"/>
                <w:kern w:val="0"/>
                <w:szCs w:val="21"/>
                <w:u w:val="single"/>
              </w:rPr>
              <w:t xml:space="preserve">               </w:t>
            </w:r>
            <w:r>
              <w:rPr>
                <w:rFonts w:hint="eastAsia" w:ascii="宋体" w:hAnsi="宋体"/>
                <w:kern w:val="0"/>
                <w:szCs w:val="21"/>
              </w:rPr>
              <w:t>（</w:t>
            </w:r>
            <w:r>
              <w:rPr>
                <w:rFonts w:hint="eastAsia" w:ascii="宋体" w:hAnsi="宋体"/>
                <w:kern w:val="0"/>
                <w:sz w:val="20"/>
                <w:szCs w:val="21"/>
              </w:rPr>
              <w:t>人民币元</w:t>
            </w:r>
            <w:r>
              <w:rPr>
                <w:rFonts w:hint="eastAsia" w:ascii="宋体" w:hAnsi="宋体"/>
                <w:kern w:val="0"/>
                <w:szCs w:val="21"/>
              </w:rPr>
              <w:t>）</w:t>
            </w:r>
          </w:p>
          <w:p w14:paraId="053E4817">
            <w:pPr>
              <w:adjustRightInd w:val="0"/>
              <w:snapToGrid w:val="0"/>
              <w:spacing w:line="360" w:lineRule="auto"/>
              <w:jc w:val="center"/>
              <w:rPr>
                <w:rFonts w:hint="eastAsia" w:ascii="宋体" w:hAnsi="宋体"/>
                <w:kern w:val="0"/>
                <w:szCs w:val="21"/>
                <w:u w:val="single"/>
              </w:rPr>
            </w:pPr>
            <w:r>
              <w:rPr>
                <w:rFonts w:hint="eastAsia" w:ascii="宋体" w:hAnsi="宋体"/>
                <w:kern w:val="0"/>
                <w:szCs w:val="21"/>
              </w:rPr>
              <w:t>大写金额：</w:t>
            </w:r>
            <w:r>
              <w:rPr>
                <w:rFonts w:hint="eastAsia" w:ascii="宋体" w:hAnsi="宋体"/>
                <w:kern w:val="0"/>
                <w:szCs w:val="21"/>
                <w:u w:val="single"/>
              </w:rPr>
              <w:t xml:space="preserve">                </w:t>
            </w:r>
            <w:r>
              <w:rPr>
                <w:rFonts w:hint="eastAsia" w:ascii="宋体" w:hAnsi="宋体"/>
                <w:kern w:val="0"/>
                <w:szCs w:val="21"/>
              </w:rPr>
              <w:t>（</w:t>
            </w:r>
            <w:r>
              <w:rPr>
                <w:rFonts w:hint="eastAsia" w:ascii="宋体" w:hAnsi="宋体"/>
                <w:kern w:val="0"/>
                <w:sz w:val="20"/>
                <w:szCs w:val="21"/>
              </w:rPr>
              <w:t>人民币元</w:t>
            </w:r>
            <w:r>
              <w:rPr>
                <w:rFonts w:hint="eastAsia" w:ascii="宋体" w:hAnsi="宋体"/>
                <w:kern w:val="0"/>
                <w:szCs w:val="21"/>
              </w:rPr>
              <w:t>）</w:t>
            </w:r>
          </w:p>
          <w:p w14:paraId="53F9DD45">
            <w:pPr>
              <w:adjustRightInd w:val="0"/>
              <w:snapToGrid w:val="0"/>
              <w:spacing w:line="360" w:lineRule="auto"/>
              <w:jc w:val="center"/>
              <w:rPr>
                <w:rFonts w:hint="eastAsia" w:ascii="宋体" w:hAnsi="宋体"/>
                <w:kern w:val="0"/>
                <w:sz w:val="20"/>
                <w:szCs w:val="21"/>
              </w:rPr>
            </w:pPr>
            <w:r>
              <w:rPr>
                <w:rFonts w:hint="eastAsia" w:ascii="宋体" w:hAnsi="宋体"/>
                <w:kern w:val="0"/>
                <w:szCs w:val="21"/>
              </w:rPr>
              <w:t>（</w:t>
            </w:r>
            <w:r>
              <w:rPr>
                <w:rFonts w:hint="eastAsia" w:ascii="黑体" w:hAnsi="黑体" w:eastAsia="黑体"/>
                <w:kern w:val="0"/>
                <w:sz w:val="24"/>
              </w:rPr>
              <w:t>大写金额与小写金额不一致时，以大写金额为准</w:t>
            </w:r>
            <w:r>
              <w:rPr>
                <w:rFonts w:hint="eastAsia" w:ascii="宋体" w:hAnsi="宋体"/>
                <w:kern w:val="0"/>
                <w:szCs w:val="21"/>
              </w:rPr>
              <w:t>）</w:t>
            </w:r>
          </w:p>
        </w:tc>
        <w:tc>
          <w:tcPr>
            <w:tcW w:w="3119" w:type="dxa"/>
            <w:vAlign w:val="center"/>
          </w:tcPr>
          <w:p w14:paraId="49BD2B83">
            <w:pPr>
              <w:adjustRightInd w:val="0"/>
              <w:snapToGrid w:val="0"/>
              <w:spacing w:line="360" w:lineRule="auto"/>
              <w:jc w:val="center"/>
              <w:rPr>
                <w:rFonts w:hint="eastAsia" w:ascii="宋体" w:hAnsi="宋体"/>
                <w:kern w:val="0"/>
                <w:szCs w:val="21"/>
              </w:rPr>
            </w:pPr>
          </w:p>
        </w:tc>
      </w:tr>
    </w:tbl>
    <w:p w14:paraId="2C7AE813">
      <w:pPr>
        <w:adjustRightInd w:val="0"/>
        <w:snapToGrid w:val="0"/>
        <w:spacing w:line="360" w:lineRule="auto"/>
        <w:rPr>
          <w:rFonts w:hint="eastAsia" w:ascii="宋体" w:hAnsi="宋体"/>
          <w:szCs w:val="21"/>
        </w:rPr>
      </w:pPr>
      <w:r>
        <w:rPr>
          <w:rFonts w:hint="eastAsia" w:ascii="宋体" w:hAnsi="宋体"/>
          <w:bCs/>
          <w:szCs w:val="21"/>
        </w:rPr>
        <w:t>注：</w:t>
      </w:r>
      <w:r>
        <w:rPr>
          <w:rFonts w:hint="eastAsia" w:ascii="宋体" w:hAnsi="宋体"/>
          <w:szCs w:val="21"/>
        </w:rPr>
        <w:t>1.本表须按包填写，一个“包号”一份。</w:t>
      </w:r>
    </w:p>
    <w:p w14:paraId="3B7A0604">
      <w:pPr>
        <w:adjustRightInd w:val="0"/>
        <w:snapToGrid w:val="0"/>
        <w:spacing w:line="360" w:lineRule="auto"/>
        <w:ind w:firstLine="420" w:firstLineChars="200"/>
        <w:rPr>
          <w:rFonts w:hint="eastAsia" w:ascii="宋体" w:hAnsi="宋体"/>
          <w:szCs w:val="21"/>
        </w:rPr>
      </w:pPr>
      <w:r>
        <w:rPr>
          <w:rFonts w:hint="eastAsia" w:ascii="宋体" w:hAnsi="宋体"/>
          <w:szCs w:val="21"/>
        </w:rPr>
        <w:t>2.</w:t>
      </w:r>
      <w:r>
        <w:rPr>
          <w:rFonts w:hint="eastAsia" w:ascii="宋体" w:hAnsi="宋体"/>
        </w:rPr>
        <w:t>投标人对采购项目内容只允许有一个投标报价，否则其</w:t>
      </w:r>
      <w:r>
        <w:rPr>
          <w:rFonts w:hint="eastAsia" w:ascii="宋体" w:hAnsi="宋体"/>
          <w:b/>
        </w:rPr>
        <w:t>投标无效</w:t>
      </w:r>
      <w:r>
        <w:rPr>
          <w:rFonts w:hint="eastAsia" w:ascii="宋体" w:hAnsi="宋体"/>
          <w:szCs w:val="21"/>
        </w:rPr>
        <w:t>。</w:t>
      </w:r>
    </w:p>
    <w:p w14:paraId="018FAEEA">
      <w:pPr>
        <w:adjustRightInd w:val="0"/>
        <w:snapToGrid w:val="0"/>
        <w:spacing w:line="360" w:lineRule="auto"/>
        <w:ind w:firstLine="420" w:firstLineChars="200"/>
        <w:jc w:val="left"/>
        <w:rPr>
          <w:rFonts w:hint="eastAsia" w:ascii="宋体" w:hAnsi="宋体"/>
        </w:rPr>
      </w:pPr>
      <w:r>
        <w:rPr>
          <w:rFonts w:hint="eastAsia" w:ascii="宋体" w:hAnsi="宋体"/>
          <w:szCs w:val="21"/>
        </w:rPr>
        <w:t>3.</w:t>
      </w:r>
      <w:r>
        <w:rPr>
          <w:rFonts w:hint="eastAsia" w:ascii="宋体" w:hAnsi="宋体"/>
        </w:rPr>
        <w:t>投标人在投标截止时间前修改“开标一览表”中的投标报价的，应同时修改投标文件“分项报价明细表”“享受政府采购政策优惠的证明资料”以及“联合体协议书”（如果影响）等相关内容。</w:t>
      </w:r>
    </w:p>
    <w:p w14:paraId="1C41166D">
      <w:pPr>
        <w:adjustRightInd w:val="0"/>
        <w:snapToGrid w:val="0"/>
        <w:spacing w:line="360" w:lineRule="auto"/>
        <w:ind w:firstLine="420" w:firstLineChars="200"/>
        <w:rPr>
          <w:rFonts w:hint="eastAsia" w:ascii="宋体" w:hAnsi="宋体"/>
          <w:szCs w:val="21"/>
        </w:rPr>
      </w:pPr>
    </w:p>
    <w:p w14:paraId="34F40A9D">
      <w:pPr>
        <w:adjustRightInd w:val="0"/>
        <w:snapToGrid w:val="0"/>
        <w:spacing w:line="360" w:lineRule="auto"/>
        <w:ind w:firstLine="420" w:firstLineChars="200"/>
        <w:rPr>
          <w:rFonts w:hint="eastAsia" w:ascii="宋体" w:hAnsi="宋体"/>
          <w:szCs w:val="21"/>
        </w:rPr>
      </w:pPr>
    </w:p>
    <w:p w14:paraId="6C3C551D">
      <w:pPr>
        <w:adjustRightInd w:val="0"/>
        <w:snapToGrid w:val="0"/>
        <w:spacing w:line="360" w:lineRule="auto"/>
        <w:rPr>
          <w:rFonts w:hint="eastAsia" w:ascii="宋体" w:hAnsi="宋体"/>
          <w:szCs w:val="21"/>
        </w:rPr>
      </w:pPr>
    </w:p>
    <w:p w14:paraId="36DF70F5">
      <w:pPr>
        <w:adjustRightInd w:val="0"/>
        <w:snapToGrid w:val="0"/>
        <w:spacing w:line="360" w:lineRule="auto"/>
        <w:rPr>
          <w:rFonts w:hint="eastAsia" w:ascii="宋体" w:hAnsi="宋体"/>
          <w:szCs w:val="21"/>
        </w:rPr>
      </w:pPr>
      <w:r>
        <w:rPr>
          <w:rFonts w:hint="eastAsia" w:ascii="宋体" w:hAnsi="宋体"/>
          <w:szCs w:val="21"/>
        </w:rPr>
        <w:t>投标人名称（盖单位章）：</w:t>
      </w:r>
    </w:p>
    <w:p w14:paraId="32C90D47">
      <w:pPr>
        <w:adjustRightInd w:val="0"/>
        <w:snapToGrid w:val="0"/>
        <w:spacing w:line="360" w:lineRule="auto"/>
        <w:rPr>
          <w:rFonts w:hint="eastAsia" w:ascii="宋体" w:hAnsi="宋体"/>
          <w:szCs w:val="21"/>
        </w:rPr>
      </w:pPr>
      <w:r>
        <w:rPr>
          <w:rFonts w:hint="eastAsia" w:ascii="宋体" w:hAnsi="宋体" w:cs="微软雅黑"/>
          <w:spacing w:val="-2"/>
          <w:kern w:val="0"/>
          <w:szCs w:val="21"/>
        </w:rPr>
        <w:t>法</w:t>
      </w:r>
      <w:r>
        <w:rPr>
          <w:rFonts w:hint="eastAsia" w:ascii="宋体" w:hAnsi="宋体" w:cs="微软雅黑"/>
          <w:kern w:val="0"/>
          <w:szCs w:val="21"/>
        </w:rPr>
        <w:t>定</w:t>
      </w:r>
      <w:r>
        <w:rPr>
          <w:rFonts w:hint="eastAsia" w:ascii="宋体" w:hAnsi="宋体" w:cs="微软雅黑"/>
          <w:spacing w:val="-2"/>
          <w:kern w:val="0"/>
          <w:szCs w:val="21"/>
        </w:rPr>
        <w:t>代</w:t>
      </w:r>
      <w:r>
        <w:rPr>
          <w:rFonts w:hint="eastAsia" w:ascii="宋体" w:hAnsi="宋体" w:cs="微软雅黑"/>
          <w:kern w:val="0"/>
          <w:szCs w:val="21"/>
        </w:rPr>
        <w:t>表</w:t>
      </w:r>
      <w:r>
        <w:rPr>
          <w:rFonts w:hint="eastAsia" w:ascii="宋体" w:hAnsi="宋体" w:cs="微软雅黑"/>
          <w:spacing w:val="-2"/>
          <w:kern w:val="0"/>
          <w:szCs w:val="21"/>
        </w:rPr>
        <w:t>人</w:t>
      </w:r>
      <w:r>
        <w:rPr>
          <w:rFonts w:hint="eastAsia" w:ascii="宋体" w:hAnsi="宋体" w:cs="微软雅黑"/>
          <w:kern w:val="0"/>
          <w:szCs w:val="21"/>
        </w:rPr>
        <w:t>（</w:t>
      </w:r>
      <w:r>
        <w:rPr>
          <w:rFonts w:hint="eastAsia" w:ascii="宋体" w:hAnsi="宋体" w:cs="微软雅黑"/>
          <w:spacing w:val="-2"/>
          <w:kern w:val="0"/>
          <w:szCs w:val="21"/>
        </w:rPr>
        <w:t>单</w:t>
      </w:r>
      <w:r>
        <w:rPr>
          <w:rFonts w:hint="eastAsia" w:ascii="宋体" w:hAnsi="宋体" w:cs="微软雅黑"/>
          <w:kern w:val="0"/>
          <w:szCs w:val="21"/>
        </w:rPr>
        <w:t>位</w:t>
      </w:r>
      <w:r>
        <w:rPr>
          <w:rFonts w:hint="eastAsia" w:ascii="宋体" w:hAnsi="宋体" w:cs="微软雅黑"/>
          <w:spacing w:val="-2"/>
          <w:kern w:val="0"/>
          <w:szCs w:val="21"/>
        </w:rPr>
        <w:t>负</w:t>
      </w:r>
      <w:r>
        <w:rPr>
          <w:rFonts w:hint="eastAsia" w:ascii="宋体" w:hAnsi="宋体" w:cs="微软雅黑"/>
          <w:kern w:val="0"/>
          <w:szCs w:val="21"/>
        </w:rPr>
        <w:t>责人</w:t>
      </w:r>
      <w:r>
        <w:rPr>
          <w:rFonts w:hint="eastAsia" w:ascii="宋体" w:hAnsi="宋体" w:cs="微软雅黑"/>
          <w:spacing w:val="-2"/>
          <w:kern w:val="0"/>
          <w:szCs w:val="21"/>
        </w:rPr>
        <w:t>）</w:t>
      </w:r>
      <w:r>
        <w:rPr>
          <w:rFonts w:hint="eastAsia" w:ascii="宋体" w:hAnsi="宋体"/>
          <w:szCs w:val="21"/>
        </w:rPr>
        <w:t>或其授权的代理人（签字或印章）：</w:t>
      </w:r>
      <w:r>
        <w:rPr>
          <w:rFonts w:hint="eastAsia" w:ascii="宋体" w:hAnsi="宋体"/>
          <w:szCs w:val="21"/>
          <w:u w:val="single"/>
        </w:rPr>
        <w:t xml:space="preserve">                </w:t>
      </w:r>
      <w:r>
        <w:rPr>
          <w:rFonts w:hint="eastAsia" w:ascii="宋体" w:hAnsi="宋体"/>
          <w:szCs w:val="21"/>
        </w:rPr>
        <w:t>_</w:t>
      </w:r>
    </w:p>
    <w:p w14:paraId="6765495C">
      <w:pPr>
        <w:adjustRightInd w:val="0"/>
        <w:snapToGrid w:val="0"/>
        <w:spacing w:line="360" w:lineRule="auto"/>
        <w:rPr>
          <w:rFonts w:hint="eastAsia" w:ascii="宋体" w:hAnsi="宋体"/>
          <w:szCs w:val="21"/>
        </w:rPr>
      </w:pPr>
      <w:r>
        <w:rPr>
          <w:rFonts w:hint="eastAsia" w:ascii="宋体" w:hAnsi="宋体"/>
          <w:szCs w:val="21"/>
        </w:rPr>
        <w:t>日期：</w:t>
      </w:r>
      <w:r>
        <w:rPr>
          <w:rFonts w:hint="eastAsia" w:ascii="宋体" w:hAnsi="宋体"/>
          <w:szCs w:val="21"/>
          <w:u w:val="single"/>
        </w:rPr>
        <w:t xml:space="preserve">          </w:t>
      </w:r>
      <w:r>
        <w:rPr>
          <w:rFonts w:hint="eastAsia" w:ascii="宋体" w:hAnsi="宋体"/>
          <w:szCs w:val="21"/>
        </w:rPr>
        <w:t>年</w:t>
      </w:r>
      <w:r>
        <w:rPr>
          <w:rFonts w:hint="eastAsia" w:ascii="宋体" w:hAnsi="宋体"/>
          <w:szCs w:val="21"/>
          <w:u w:val="single"/>
        </w:rPr>
        <w:t xml:space="preserve">        </w:t>
      </w:r>
      <w:r>
        <w:rPr>
          <w:rFonts w:hint="eastAsia" w:ascii="宋体" w:hAnsi="宋体"/>
          <w:szCs w:val="21"/>
        </w:rPr>
        <w:t>月</w:t>
      </w:r>
      <w:r>
        <w:rPr>
          <w:rFonts w:hint="eastAsia" w:ascii="宋体" w:hAnsi="宋体"/>
          <w:szCs w:val="21"/>
          <w:u w:val="single"/>
        </w:rPr>
        <w:t xml:space="preserve">     </w:t>
      </w:r>
      <w:r>
        <w:rPr>
          <w:rFonts w:hint="eastAsia" w:ascii="宋体" w:hAnsi="宋体"/>
          <w:szCs w:val="21"/>
        </w:rPr>
        <w:t>日</w:t>
      </w:r>
    </w:p>
    <w:p w14:paraId="7F2476F5">
      <w:pPr>
        <w:widowControl/>
        <w:jc w:val="left"/>
        <w:rPr>
          <w:rFonts w:hint="eastAsia" w:ascii="宋体" w:hAnsi="宋体"/>
          <w:sz w:val="10"/>
          <w:szCs w:val="10"/>
        </w:rPr>
      </w:pPr>
      <w:r>
        <w:rPr>
          <w:rFonts w:ascii="宋体" w:hAnsi="宋体"/>
          <w:szCs w:val="21"/>
        </w:rPr>
        <w:br w:type="page"/>
      </w:r>
    </w:p>
    <w:p w14:paraId="61D8D100">
      <w:pPr>
        <w:pStyle w:val="4"/>
        <w:adjustRightInd w:val="0"/>
        <w:snapToGrid w:val="0"/>
        <w:spacing w:before="0" w:after="0" w:line="360" w:lineRule="auto"/>
        <w:jc w:val="center"/>
        <w:rPr>
          <w:rFonts w:hint="eastAsia" w:ascii="黑体" w:hAnsi="宋体" w:eastAsia="黑体"/>
          <w:sz w:val="28"/>
          <w:szCs w:val="28"/>
        </w:rPr>
      </w:pPr>
      <w:bookmarkStart w:id="153" w:name="_Toc28848"/>
      <w:r>
        <w:rPr>
          <w:rFonts w:hint="eastAsia" w:ascii="黑体" w:hAnsi="宋体" w:eastAsia="黑体"/>
          <w:sz w:val="28"/>
          <w:szCs w:val="28"/>
        </w:rPr>
        <w:t>二、投标保证金</w:t>
      </w:r>
      <w:bookmarkEnd w:id="153"/>
    </w:p>
    <w:p w14:paraId="0171F09E">
      <w:pPr>
        <w:adjustRightInd w:val="0"/>
        <w:snapToGrid w:val="0"/>
        <w:spacing w:before="157" w:beforeLines="50" w:line="360" w:lineRule="auto"/>
        <w:ind w:firstLine="420" w:firstLineChars="200"/>
        <w:jc w:val="left"/>
        <w:rPr>
          <w:rFonts w:hint="eastAsia" w:ascii="宋体" w:hAnsi="宋体"/>
          <w:szCs w:val="21"/>
        </w:rPr>
      </w:pPr>
    </w:p>
    <w:p w14:paraId="65133019">
      <w:pPr>
        <w:widowControl/>
        <w:jc w:val="left"/>
        <w:rPr>
          <w:rFonts w:ascii="黑体" w:eastAsia="黑体"/>
          <w:sz w:val="10"/>
          <w:szCs w:val="10"/>
        </w:rPr>
      </w:pPr>
      <w:r>
        <w:rPr>
          <w:rFonts w:hint="eastAsia" w:ascii="宋体" w:hAnsi="宋体"/>
          <w:bCs/>
          <w:szCs w:val="21"/>
        </w:rPr>
        <w:t>本项目不设保证金</w:t>
      </w:r>
      <w:r>
        <w:rPr>
          <w:rFonts w:ascii="黑体" w:eastAsia="黑体"/>
          <w:sz w:val="32"/>
          <w:szCs w:val="32"/>
        </w:rPr>
        <w:br w:type="page"/>
      </w:r>
    </w:p>
    <w:p w14:paraId="338DF317">
      <w:pPr>
        <w:pStyle w:val="4"/>
        <w:adjustRightInd w:val="0"/>
        <w:snapToGrid w:val="0"/>
        <w:spacing w:before="0" w:after="0" w:line="360" w:lineRule="auto"/>
        <w:jc w:val="center"/>
        <w:rPr>
          <w:rFonts w:ascii="黑体" w:hAnsi="黑体" w:eastAsia="黑体"/>
          <w:sz w:val="28"/>
          <w:szCs w:val="28"/>
        </w:rPr>
      </w:pPr>
      <w:bookmarkStart w:id="154" w:name="_Toc17525"/>
      <w:bookmarkStart w:id="155" w:name="_Toc20651246"/>
      <w:bookmarkStart w:id="156" w:name="_Toc1279"/>
      <w:r>
        <w:rPr>
          <w:rFonts w:hint="eastAsia" w:ascii="黑体" w:hAnsi="黑体" w:eastAsia="黑体"/>
          <w:sz w:val="28"/>
          <w:szCs w:val="28"/>
        </w:rPr>
        <w:t>三、法定代表人（单位负责人）身份证明</w:t>
      </w:r>
      <w:bookmarkEnd w:id="154"/>
      <w:bookmarkEnd w:id="155"/>
    </w:p>
    <w:p w14:paraId="387907AC">
      <w:pPr>
        <w:tabs>
          <w:tab w:val="left" w:pos="3880"/>
        </w:tabs>
        <w:autoSpaceDE w:val="0"/>
        <w:autoSpaceDN w:val="0"/>
        <w:adjustRightInd w:val="0"/>
        <w:snapToGrid w:val="0"/>
        <w:spacing w:line="360" w:lineRule="auto"/>
        <w:ind w:left="100" w:right="-20"/>
        <w:jc w:val="left"/>
        <w:rPr>
          <w:rFonts w:ascii="宋体" w:hAnsi="宋体" w:cs="微软雅黑"/>
          <w:kern w:val="0"/>
          <w:position w:val="-4"/>
          <w:szCs w:val="21"/>
        </w:rPr>
      </w:pPr>
    </w:p>
    <w:p w14:paraId="00AAEFB7">
      <w:pPr>
        <w:tabs>
          <w:tab w:val="left" w:pos="3880"/>
        </w:tabs>
        <w:autoSpaceDE w:val="0"/>
        <w:autoSpaceDN w:val="0"/>
        <w:adjustRightInd w:val="0"/>
        <w:snapToGrid w:val="0"/>
        <w:spacing w:line="360" w:lineRule="auto"/>
        <w:ind w:left="100" w:right="-20"/>
        <w:jc w:val="left"/>
        <w:rPr>
          <w:rFonts w:ascii="宋体" w:hAnsi="宋体" w:cs="微软雅黑"/>
          <w:kern w:val="0"/>
          <w:szCs w:val="21"/>
        </w:rPr>
      </w:pPr>
      <w:r>
        <w:rPr>
          <w:rFonts w:hint="eastAsia" w:ascii="宋体" w:hAnsi="宋体" w:cs="微软雅黑"/>
          <w:kern w:val="0"/>
          <w:position w:val="-4"/>
          <w:szCs w:val="21"/>
        </w:rPr>
        <w:t>投标</w:t>
      </w:r>
      <w:r>
        <w:rPr>
          <w:rFonts w:hint="eastAsia" w:ascii="宋体" w:hAnsi="宋体" w:cs="微软雅黑"/>
          <w:spacing w:val="-2"/>
          <w:kern w:val="0"/>
          <w:position w:val="-4"/>
          <w:szCs w:val="21"/>
        </w:rPr>
        <w:t>人</w:t>
      </w:r>
      <w:r>
        <w:rPr>
          <w:rFonts w:hint="eastAsia" w:ascii="宋体" w:hAnsi="宋体" w:cs="微软雅黑"/>
          <w:kern w:val="0"/>
          <w:position w:val="-4"/>
          <w:szCs w:val="21"/>
        </w:rPr>
        <w:t>名</w:t>
      </w:r>
      <w:r>
        <w:rPr>
          <w:rFonts w:hint="eastAsia" w:ascii="宋体" w:hAnsi="宋体" w:cs="微软雅黑"/>
          <w:spacing w:val="-2"/>
          <w:kern w:val="0"/>
          <w:position w:val="-4"/>
          <w:szCs w:val="21"/>
        </w:rPr>
        <w:t>称</w:t>
      </w:r>
      <w:r>
        <w:rPr>
          <w:rFonts w:hint="eastAsia" w:ascii="宋体" w:hAnsi="宋体" w:cs="微软雅黑"/>
          <w:kern w:val="0"/>
          <w:position w:val="-4"/>
          <w:szCs w:val="21"/>
        </w:rPr>
        <w:t>：</w:t>
      </w:r>
      <w:r>
        <w:rPr>
          <w:rFonts w:hint="eastAsia" w:ascii="宋体" w:hAnsi="宋体"/>
          <w:szCs w:val="21"/>
          <w:u w:val="single"/>
        </w:rPr>
        <w:t xml:space="preserve">                 </w:t>
      </w:r>
    </w:p>
    <w:p w14:paraId="3AF41BC8">
      <w:pPr>
        <w:tabs>
          <w:tab w:val="left" w:pos="2400"/>
          <w:tab w:val="left" w:pos="3880"/>
          <w:tab w:val="left" w:pos="5340"/>
          <w:tab w:val="left" w:pos="6820"/>
        </w:tabs>
        <w:autoSpaceDE w:val="0"/>
        <w:autoSpaceDN w:val="0"/>
        <w:adjustRightInd w:val="0"/>
        <w:snapToGrid w:val="0"/>
        <w:spacing w:line="360" w:lineRule="auto"/>
        <w:ind w:left="100" w:right="-20"/>
        <w:jc w:val="left"/>
        <w:rPr>
          <w:rFonts w:ascii="宋体" w:hAnsi="宋体" w:cs="微软雅黑"/>
          <w:kern w:val="0"/>
          <w:position w:val="-2"/>
          <w:szCs w:val="21"/>
        </w:rPr>
      </w:pPr>
      <w:r>
        <w:rPr>
          <w:rFonts w:hint="eastAsia" w:ascii="宋体" w:hAnsi="宋体" w:cs="微软雅黑"/>
          <w:kern w:val="0"/>
          <w:position w:val="-2"/>
          <w:szCs w:val="21"/>
        </w:rPr>
        <w:t>统一社会信用代码：</w:t>
      </w:r>
      <w:r>
        <w:rPr>
          <w:rFonts w:hint="eastAsia" w:ascii="宋体" w:hAnsi="宋体"/>
          <w:szCs w:val="21"/>
          <w:u w:val="single"/>
        </w:rPr>
        <w:t xml:space="preserve">                 </w:t>
      </w:r>
    </w:p>
    <w:p w14:paraId="01DC5965">
      <w:pPr>
        <w:tabs>
          <w:tab w:val="left" w:pos="2400"/>
          <w:tab w:val="left" w:pos="3880"/>
          <w:tab w:val="left" w:pos="5340"/>
          <w:tab w:val="left" w:pos="6820"/>
        </w:tabs>
        <w:autoSpaceDE w:val="0"/>
        <w:autoSpaceDN w:val="0"/>
        <w:adjustRightInd w:val="0"/>
        <w:snapToGrid w:val="0"/>
        <w:spacing w:line="360" w:lineRule="auto"/>
        <w:ind w:left="100" w:right="-20"/>
        <w:jc w:val="left"/>
        <w:rPr>
          <w:rFonts w:ascii="宋体" w:hAnsi="宋体" w:cs="微软雅黑"/>
          <w:kern w:val="0"/>
          <w:position w:val="-2"/>
          <w:szCs w:val="21"/>
        </w:rPr>
      </w:pPr>
      <w:r>
        <w:rPr>
          <w:rFonts w:hint="eastAsia" w:ascii="宋体" w:hAnsi="宋体" w:cs="微软雅黑"/>
          <w:kern w:val="0"/>
          <w:position w:val="-2"/>
          <w:szCs w:val="21"/>
        </w:rPr>
        <w:t>注册地址：</w:t>
      </w:r>
      <w:r>
        <w:rPr>
          <w:rFonts w:hint="eastAsia" w:ascii="宋体" w:hAnsi="宋体"/>
          <w:szCs w:val="21"/>
          <w:u w:val="single"/>
        </w:rPr>
        <w:t xml:space="preserve">                 </w:t>
      </w:r>
    </w:p>
    <w:p w14:paraId="4BF2F9E3">
      <w:pPr>
        <w:tabs>
          <w:tab w:val="left" w:pos="2400"/>
          <w:tab w:val="left" w:pos="3880"/>
          <w:tab w:val="left" w:pos="5340"/>
          <w:tab w:val="left" w:pos="6820"/>
        </w:tabs>
        <w:autoSpaceDE w:val="0"/>
        <w:autoSpaceDN w:val="0"/>
        <w:adjustRightInd w:val="0"/>
        <w:snapToGrid w:val="0"/>
        <w:spacing w:line="360" w:lineRule="auto"/>
        <w:ind w:left="102" w:right="-23" w:firstLine="420" w:firstLineChars="200"/>
        <w:jc w:val="left"/>
        <w:rPr>
          <w:rFonts w:ascii="宋体" w:hAnsi="宋体" w:cs="微软雅黑"/>
          <w:kern w:val="0"/>
          <w:szCs w:val="21"/>
        </w:rPr>
      </w:pPr>
      <w:r>
        <w:rPr>
          <w:rFonts w:hint="eastAsia" w:ascii="宋体" w:hAnsi="宋体" w:cs="微软雅黑"/>
          <w:kern w:val="0"/>
          <w:position w:val="-2"/>
          <w:szCs w:val="21"/>
        </w:rPr>
        <w:t>姓名</w:t>
      </w:r>
      <w:r>
        <w:rPr>
          <w:rFonts w:hint="eastAsia" w:ascii="宋体" w:hAnsi="宋体" w:cs="微软雅黑"/>
          <w:spacing w:val="-2"/>
          <w:kern w:val="0"/>
          <w:position w:val="-2"/>
          <w:szCs w:val="21"/>
        </w:rPr>
        <w:t>：</w:t>
      </w:r>
      <w:r>
        <w:rPr>
          <w:rFonts w:hint="eastAsia" w:ascii="宋体" w:hAnsi="宋体"/>
          <w:szCs w:val="21"/>
          <w:u w:val="single"/>
        </w:rPr>
        <w:t xml:space="preserve">         </w:t>
      </w:r>
      <w:r>
        <w:rPr>
          <w:rFonts w:hint="eastAsia" w:ascii="宋体" w:hAnsi="宋体" w:cs="微软雅黑"/>
          <w:kern w:val="0"/>
          <w:position w:val="-2"/>
          <w:szCs w:val="21"/>
        </w:rPr>
        <w:t>性别</w:t>
      </w:r>
      <w:r>
        <w:rPr>
          <w:rFonts w:hint="eastAsia" w:ascii="宋体" w:hAnsi="宋体" w:cs="微软雅黑"/>
          <w:spacing w:val="-2"/>
          <w:kern w:val="0"/>
          <w:position w:val="-2"/>
          <w:szCs w:val="21"/>
        </w:rPr>
        <w:t>：</w:t>
      </w:r>
      <w:r>
        <w:rPr>
          <w:rFonts w:hint="eastAsia" w:ascii="宋体" w:hAnsi="宋体"/>
          <w:szCs w:val="21"/>
          <w:u w:val="single"/>
        </w:rPr>
        <w:t xml:space="preserve">         </w:t>
      </w:r>
      <w:r>
        <w:rPr>
          <w:rFonts w:hint="eastAsia" w:ascii="宋体" w:hAnsi="宋体" w:cs="微软雅黑"/>
          <w:kern w:val="0"/>
          <w:position w:val="-2"/>
          <w:szCs w:val="21"/>
        </w:rPr>
        <w:t>年</w:t>
      </w:r>
      <w:r>
        <w:rPr>
          <w:rFonts w:hint="eastAsia" w:ascii="宋体" w:hAnsi="宋体" w:cs="微软雅黑"/>
          <w:spacing w:val="-2"/>
          <w:kern w:val="0"/>
          <w:position w:val="-2"/>
          <w:szCs w:val="21"/>
        </w:rPr>
        <w:t>龄</w:t>
      </w:r>
      <w:r>
        <w:rPr>
          <w:rFonts w:hint="eastAsia" w:ascii="宋体" w:hAnsi="宋体" w:cs="微软雅黑"/>
          <w:kern w:val="0"/>
          <w:position w:val="-2"/>
          <w:szCs w:val="21"/>
        </w:rPr>
        <w:t>：</w:t>
      </w:r>
      <w:r>
        <w:rPr>
          <w:rFonts w:hint="eastAsia" w:ascii="宋体" w:hAnsi="宋体"/>
          <w:szCs w:val="21"/>
          <w:u w:val="single"/>
        </w:rPr>
        <w:t xml:space="preserve">         </w:t>
      </w:r>
      <w:r>
        <w:rPr>
          <w:rFonts w:hint="eastAsia" w:ascii="宋体" w:hAnsi="宋体" w:cs="微软雅黑"/>
          <w:kern w:val="0"/>
          <w:position w:val="-2"/>
          <w:szCs w:val="21"/>
        </w:rPr>
        <w:t>职</w:t>
      </w:r>
      <w:r>
        <w:rPr>
          <w:rFonts w:hint="eastAsia" w:ascii="宋体" w:hAnsi="宋体" w:cs="微软雅黑"/>
          <w:spacing w:val="-2"/>
          <w:kern w:val="0"/>
          <w:position w:val="-2"/>
          <w:szCs w:val="21"/>
        </w:rPr>
        <w:t>务</w:t>
      </w:r>
      <w:r>
        <w:rPr>
          <w:rFonts w:hint="eastAsia" w:ascii="宋体" w:hAnsi="宋体" w:cs="微软雅黑"/>
          <w:kern w:val="0"/>
          <w:position w:val="-2"/>
          <w:szCs w:val="21"/>
        </w:rPr>
        <w:t>：</w:t>
      </w:r>
      <w:r>
        <w:rPr>
          <w:rFonts w:hint="eastAsia" w:ascii="宋体" w:hAnsi="宋体"/>
          <w:szCs w:val="21"/>
          <w:u w:val="single"/>
        </w:rPr>
        <w:t xml:space="preserve">         </w:t>
      </w:r>
      <w:r>
        <w:rPr>
          <w:rFonts w:hint="eastAsia" w:ascii="宋体" w:hAnsi="宋体" w:cs="微软雅黑"/>
          <w:kern w:val="0"/>
          <w:position w:val="-2"/>
          <w:szCs w:val="21"/>
        </w:rPr>
        <w:t>系</w:t>
      </w:r>
      <w:r>
        <w:rPr>
          <w:rFonts w:hint="eastAsia" w:ascii="宋体" w:hAnsi="宋体"/>
          <w:szCs w:val="21"/>
          <w:u w:val="single"/>
        </w:rPr>
        <w:t xml:space="preserve">         </w:t>
      </w:r>
      <w:r>
        <w:rPr>
          <w:rFonts w:hint="eastAsia" w:ascii="宋体" w:hAnsi="宋体" w:cs="微软雅黑"/>
          <w:spacing w:val="-2"/>
          <w:kern w:val="0"/>
          <w:position w:val="-2"/>
          <w:szCs w:val="21"/>
        </w:rPr>
        <w:t>（</w:t>
      </w:r>
      <w:r>
        <w:rPr>
          <w:rFonts w:hint="eastAsia" w:ascii="宋体" w:hAnsi="宋体" w:cs="微软雅黑"/>
          <w:kern w:val="0"/>
          <w:position w:val="-2"/>
          <w:szCs w:val="21"/>
        </w:rPr>
        <w:t>投</w:t>
      </w:r>
      <w:r>
        <w:rPr>
          <w:rFonts w:hint="eastAsia" w:ascii="宋体" w:hAnsi="宋体" w:cs="微软雅黑"/>
          <w:spacing w:val="-2"/>
          <w:kern w:val="0"/>
          <w:position w:val="-2"/>
          <w:szCs w:val="21"/>
        </w:rPr>
        <w:t>标</w:t>
      </w:r>
      <w:r>
        <w:rPr>
          <w:rFonts w:hint="eastAsia" w:ascii="宋体" w:hAnsi="宋体" w:cs="微软雅黑"/>
          <w:kern w:val="0"/>
          <w:position w:val="-2"/>
          <w:szCs w:val="21"/>
        </w:rPr>
        <w:t>人</w:t>
      </w:r>
      <w:r>
        <w:rPr>
          <w:rFonts w:hint="eastAsia" w:ascii="宋体" w:hAnsi="宋体" w:cs="微软雅黑"/>
          <w:spacing w:val="-2"/>
          <w:kern w:val="0"/>
          <w:position w:val="-2"/>
          <w:szCs w:val="21"/>
        </w:rPr>
        <w:t>名</w:t>
      </w:r>
      <w:r>
        <w:rPr>
          <w:rFonts w:hint="eastAsia" w:ascii="宋体" w:hAnsi="宋体" w:cs="微软雅黑"/>
          <w:kern w:val="0"/>
          <w:position w:val="-2"/>
          <w:szCs w:val="21"/>
        </w:rPr>
        <w:t>称</w:t>
      </w:r>
      <w:r>
        <w:rPr>
          <w:rFonts w:hint="eastAsia" w:ascii="宋体" w:hAnsi="宋体" w:cs="微软雅黑"/>
          <w:spacing w:val="-2"/>
          <w:kern w:val="0"/>
          <w:position w:val="-2"/>
          <w:szCs w:val="21"/>
        </w:rPr>
        <w:t>）</w:t>
      </w:r>
      <w:r>
        <w:rPr>
          <w:rFonts w:hint="eastAsia" w:ascii="宋体" w:hAnsi="宋体" w:cs="微软雅黑"/>
          <w:kern w:val="0"/>
          <w:position w:val="-2"/>
          <w:szCs w:val="21"/>
        </w:rPr>
        <w:t>的</w:t>
      </w:r>
      <w:r>
        <w:rPr>
          <w:rFonts w:hint="eastAsia" w:ascii="宋体" w:hAnsi="宋体" w:cs="微软雅黑"/>
          <w:spacing w:val="-2"/>
          <w:kern w:val="0"/>
          <w:position w:val="-2"/>
          <w:szCs w:val="21"/>
        </w:rPr>
        <w:t>法定</w:t>
      </w:r>
      <w:r>
        <w:rPr>
          <w:rFonts w:hint="eastAsia" w:ascii="宋体" w:hAnsi="宋体" w:cs="微软雅黑"/>
          <w:kern w:val="0"/>
          <w:position w:val="-2"/>
          <w:szCs w:val="21"/>
        </w:rPr>
        <w:t>代表</w:t>
      </w:r>
      <w:r>
        <w:rPr>
          <w:rFonts w:hint="eastAsia" w:ascii="宋体" w:hAnsi="宋体" w:cs="微软雅黑"/>
          <w:spacing w:val="-2"/>
          <w:kern w:val="0"/>
          <w:position w:val="-2"/>
          <w:szCs w:val="21"/>
        </w:rPr>
        <w:t>人</w:t>
      </w:r>
      <w:r>
        <w:rPr>
          <w:rFonts w:hint="eastAsia" w:ascii="宋体" w:hAnsi="宋体" w:cs="微软雅黑"/>
          <w:kern w:val="0"/>
          <w:position w:val="-2"/>
          <w:szCs w:val="21"/>
        </w:rPr>
        <w:t>（</w:t>
      </w:r>
      <w:r>
        <w:rPr>
          <w:rFonts w:hint="eastAsia" w:ascii="宋体" w:hAnsi="宋体" w:cs="微软雅黑"/>
          <w:spacing w:val="-2"/>
          <w:kern w:val="0"/>
          <w:position w:val="-2"/>
          <w:szCs w:val="21"/>
        </w:rPr>
        <w:t>单</w:t>
      </w:r>
      <w:r>
        <w:rPr>
          <w:rFonts w:hint="eastAsia" w:ascii="宋体" w:hAnsi="宋体" w:cs="微软雅黑"/>
          <w:kern w:val="0"/>
          <w:position w:val="-2"/>
          <w:szCs w:val="21"/>
        </w:rPr>
        <w:t>位</w:t>
      </w:r>
      <w:r>
        <w:rPr>
          <w:rFonts w:hint="eastAsia" w:ascii="宋体" w:hAnsi="宋体" w:cs="微软雅黑"/>
          <w:spacing w:val="-2"/>
          <w:kern w:val="0"/>
          <w:position w:val="-2"/>
          <w:szCs w:val="21"/>
        </w:rPr>
        <w:t>负</w:t>
      </w:r>
      <w:r>
        <w:rPr>
          <w:rFonts w:hint="eastAsia" w:ascii="宋体" w:hAnsi="宋体" w:cs="微软雅黑"/>
          <w:kern w:val="0"/>
          <w:position w:val="-2"/>
          <w:szCs w:val="21"/>
        </w:rPr>
        <w:t>责</w:t>
      </w:r>
      <w:r>
        <w:rPr>
          <w:rFonts w:hint="eastAsia" w:ascii="宋体" w:hAnsi="宋体" w:cs="微软雅黑"/>
          <w:spacing w:val="-2"/>
          <w:kern w:val="0"/>
          <w:position w:val="-2"/>
          <w:szCs w:val="21"/>
        </w:rPr>
        <w:t>人</w:t>
      </w:r>
      <w:r>
        <w:rPr>
          <w:rFonts w:hint="eastAsia" w:ascii="宋体" w:hAnsi="宋体" w:cs="微软雅黑"/>
          <w:spacing w:val="-106"/>
          <w:kern w:val="0"/>
          <w:position w:val="-2"/>
          <w:szCs w:val="21"/>
        </w:rPr>
        <w:t>）</w:t>
      </w:r>
      <w:r>
        <w:rPr>
          <w:rFonts w:hint="eastAsia" w:ascii="宋体" w:hAnsi="宋体" w:cs="微软雅黑"/>
          <w:kern w:val="0"/>
          <w:position w:val="-2"/>
          <w:szCs w:val="21"/>
        </w:rPr>
        <w:t>。</w:t>
      </w:r>
    </w:p>
    <w:p w14:paraId="53BC41BF">
      <w:pPr>
        <w:autoSpaceDE w:val="0"/>
        <w:autoSpaceDN w:val="0"/>
        <w:adjustRightInd w:val="0"/>
        <w:snapToGrid w:val="0"/>
        <w:spacing w:line="360" w:lineRule="auto"/>
        <w:ind w:left="520" w:right="-20"/>
        <w:jc w:val="left"/>
        <w:rPr>
          <w:rFonts w:ascii="宋体" w:hAnsi="宋体" w:cs="微软雅黑"/>
          <w:kern w:val="0"/>
          <w:szCs w:val="21"/>
        </w:rPr>
      </w:pPr>
      <w:r>
        <w:rPr>
          <w:rFonts w:hint="eastAsia" w:ascii="宋体" w:hAnsi="宋体" w:cs="微软雅黑"/>
          <w:kern w:val="0"/>
          <w:szCs w:val="21"/>
        </w:rPr>
        <w:t>特此</w:t>
      </w:r>
      <w:r>
        <w:rPr>
          <w:rFonts w:hint="eastAsia" w:ascii="宋体" w:hAnsi="宋体" w:cs="微软雅黑"/>
          <w:spacing w:val="-2"/>
          <w:kern w:val="0"/>
          <w:szCs w:val="21"/>
        </w:rPr>
        <w:t>证</w:t>
      </w:r>
      <w:r>
        <w:rPr>
          <w:rFonts w:hint="eastAsia" w:ascii="宋体" w:hAnsi="宋体" w:cs="微软雅黑"/>
          <w:kern w:val="0"/>
          <w:szCs w:val="21"/>
        </w:rPr>
        <w:t>明。</w:t>
      </w:r>
    </w:p>
    <w:p w14:paraId="54BFC299">
      <w:pPr>
        <w:autoSpaceDE w:val="0"/>
        <w:autoSpaceDN w:val="0"/>
        <w:adjustRightInd w:val="0"/>
        <w:snapToGrid w:val="0"/>
        <w:spacing w:line="360" w:lineRule="auto"/>
        <w:ind w:left="100" w:right="4231"/>
        <w:jc w:val="left"/>
        <w:rPr>
          <w:rFonts w:ascii="宋体" w:hAnsi="宋体" w:cs="微软雅黑"/>
          <w:kern w:val="0"/>
          <w:szCs w:val="21"/>
        </w:rPr>
      </w:pPr>
      <w:r>
        <w:rPr>
          <w:rFonts w:hint="eastAsia" w:ascii="宋体" w:hAnsi="宋体" w:cs="微软雅黑"/>
          <w:kern w:val="0"/>
          <w:szCs w:val="21"/>
        </w:rPr>
        <w:t>附：</w:t>
      </w:r>
      <w:r>
        <w:rPr>
          <w:rFonts w:hint="eastAsia" w:ascii="宋体" w:hAnsi="宋体" w:cs="微软雅黑"/>
          <w:spacing w:val="-2"/>
          <w:kern w:val="0"/>
          <w:szCs w:val="21"/>
        </w:rPr>
        <w:t>法</w:t>
      </w:r>
      <w:r>
        <w:rPr>
          <w:rFonts w:hint="eastAsia" w:ascii="宋体" w:hAnsi="宋体" w:cs="微软雅黑"/>
          <w:kern w:val="0"/>
          <w:szCs w:val="21"/>
        </w:rPr>
        <w:t>定</w:t>
      </w:r>
      <w:r>
        <w:rPr>
          <w:rFonts w:hint="eastAsia" w:ascii="宋体" w:hAnsi="宋体" w:cs="微软雅黑"/>
          <w:spacing w:val="-2"/>
          <w:kern w:val="0"/>
          <w:szCs w:val="21"/>
        </w:rPr>
        <w:t>代</w:t>
      </w:r>
      <w:r>
        <w:rPr>
          <w:rFonts w:hint="eastAsia" w:ascii="宋体" w:hAnsi="宋体" w:cs="微软雅黑"/>
          <w:kern w:val="0"/>
          <w:szCs w:val="21"/>
        </w:rPr>
        <w:t>表</w:t>
      </w:r>
      <w:r>
        <w:rPr>
          <w:rFonts w:hint="eastAsia" w:ascii="宋体" w:hAnsi="宋体" w:cs="微软雅黑"/>
          <w:spacing w:val="-2"/>
          <w:kern w:val="0"/>
          <w:szCs w:val="21"/>
        </w:rPr>
        <w:t>人</w:t>
      </w:r>
      <w:r>
        <w:rPr>
          <w:rFonts w:hint="eastAsia" w:ascii="宋体" w:hAnsi="宋体" w:cs="微软雅黑"/>
          <w:kern w:val="0"/>
          <w:szCs w:val="21"/>
        </w:rPr>
        <w:t>（</w:t>
      </w:r>
      <w:r>
        <w:rPr>
          <w:rFonts w:hint="eastAsia" w:ascii="宋体" w:hAnsi="宋体" w:cs="微软雅黑"/>
          <w:spacing w:val="-2"/>
          <w:kern w:val="0"/>
          <w:szCs w:val="21"/>
        </w:rPr>
        <w:t>单</w:t>
      </w:r>
      <w:r>
        <w:rPr>
          <w:rFonts w:hint="eastAsia" w:ascii="宋体" w:hAnsi="宋体" w:cs="微软雅黑"/>
          <w:kern w:val="0"/>
          <w:szCs w:val="21"/>
        </w:rPr>
        <w:t>位</w:t>
      </w:r>
      <w:r>
        <w:rPr>
          <w:rFonts w:hint="eastAsia" w:ascii="宋体" w:hAnsi="宋体" w:cs="微软雅黑"/>
          <w:spacing w:val="-2"/>
          <w:kern w:val="0"/>
          <w:szCs w:val="21"/>
        </w:rPr>
        <w:t>负</w:t>
      </w:r>
      <w:r>
        <w:rPr>
          <w:rFonts w:hint="eastAsia" w:ascii="宋体" w:hAnsi="宋体" w:cs="微软雅黑"/>
          <w:kern w:val="0"/>
          <w:szCs w:val="21"/>
        </w:rPr>
        <w:t>责人</w:t>
      </w:r>
      <w:r>
        <w:rPr>
          <w:rFonts w:hint="eastAsia" w:ascii="宋体" w:hAnsi="宋体" w:cs="微软雅黑"/>
          <w:spacing w:val="-2"/>
          <w:kern w:val="0"/>
          <w:szCs w:val="21"/>
        </w:rPr>
        <w:t>）</w:t>
      </w:r>
      <w:r>
        <w:rPr>
          <w:rFonts w:hint="eastAsia" w:ascii="宋体" w:hAnsi="宋体" w:cs="微软雅黑"/>
          <w:kern w:val="0"/>
          <w:szCs w:val="21"/>
        </w:rPr>
        <w:t>身</w:t>
      </w:r>
      <w:r>
        <w:rPr>
          <w:rFonts w:hint="eastAsia" w:ascii="宋体" w:hAnsi="宋体" w:cs="微软雅黑"/>
          <w:spacing w:val="-2"/>
          <w:kern w:val="0"/>
          <w:szCs w:val="21"/>
        </w:rPr>
        <w:t>份</w:t>
      </w:r>
      <w:r>
        <w:rPr>
          <w:rFonts w:hint="eastAsia" w:ascii="宋体" w:hAnsi="宋体" w:cs="微软雅黑"/>
          <w:kern w:val="0"/>
          <w:szCs w:val="21"/>
        </w:rPr>
        <w:t>证</w:t>
      </w:r>
      <w:r>
        <w:rPr>
          <w:rFonts w:hint="eastAsia" w:ascii="宋体" w:hAnsi="宋体" w:cs="微软雅黑"/>
          <w:spacing w:val="-2"/>
          <w:kern w:val="0"/>
          <w:szCs w:val="21"/>
        </w:rPr>
        <w:t>复</w:t>
      </w:r>
      <w:r>
        <w:rPr>
          <w:rFonts w:hint="eastAsia" w:ascii="宋体" w:hAnsi="宋体" w:cs="微软雅黑"/>
          <w:kern w:val="0"/>
          <w:szCs w:val="21"/>
        </w:rPr>
        <w:t>印</w:t>
      </w:r>
      <w:r>
        <w:rPr>
          <w:rFonts w:hint="eastAsia" w:ascii="宋体" w:hAnsi="宋体" w:cs="微软雅黑"/>
          <w:spacing w:val="-2"/>
          <w:kern w:val="0"/>
          <w:szCs w:val="21"/>
        </w:rPr>
        <w:t>件</w:t>
      </w:r>
      <w:r>
        <w:rPr>
          <w:rFonts w:hint="eastAsia" w:ascii="宋体" w:hAnsi="宋体" w:cs="微软雅黑"/>
          <w:kern w:val="0"/>
          <w:szCs w:val="21"/>
        </w:rPr>
        <w:t>。</w:t>
      </w:r>
    </w:p>
    <w:tbl>
      <w:tblPr>
        <w:tblStyle w:val="77"/>
        <w:tblW w:w="0" w:type="auto"/>
        <w:tblInd w:w="67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898"/>
        <w:gridCol w:w="3899"/>
      </w:tblGrid>
      <w:tr w14:paraId="6AB1E1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5" w:hRule="atLeast"/>
        </w:trPr>
        <w:tc>
          <w:tcPr>
            <w:tcW w:w="3898" w:type="dxa"/>
            <w:noWrap w:val="0"/>
            <w:vAlign w:val="center"/>
          </w:tcPr>
          <w:p w14:paraId="20AE1011">
            <w:pPr>
              <w:adjustRightInd w:val="0"/>
              <w:snapToGrid w:val="0"/>
              <w:spacing w:line="360" w:lineRule="auto"/>
              <w:rPr>
                <w:rFonts w:ascii="宋体" w:hAnsi="宋体"/>
                <w:szCs w:val="21"/>
              </w:rPr>
            </w:pPr>
            <w:r>
              <w:rPr>
                <w:rFonts w:hint="eastAsia" w:ascii="宋体" w:hAnsi="宋体"/>
                <w:szCs w:val="21"/>
              </w:rPr>
              <w:t>身份证（正面）</w:t>
            </w:r>
            <w:r>
              <w:rPr>
                <w:rFonts w:hint="eastAsia" w:ascii="宋体" w:hAnsi="宋体" w:cs="微软雅黑"/>
                <w:spacing w:val="-2"/>
                <w:kern w:val="0"/>
                <w:szCs w:val="21"/>
              </w:rPr>
              <w:t>复</w:t>
            </w:r>
            <w:r>
              <w:rPr>
                <w:rFonts w:hint="eastAsia" w:ascii="宋体" w:hAnsi="宋体" w:cs="微软雅黑"/>
                <w:kern w:val="0"/>
                <w:szCs w:val="21"/>
              </w:rPr>
              <w:t>印</w:t>
            </w:r>
            <w:r>
              <w:rPr>
                <w:rFonts w:hint="eastAsia" w:ascii="宋体" w:hAnsi="宋体" w:cs="微软雅黑"/>
                <w:spacing w:val="-2"/>
                <w:kern w:val="0"/>
                <w:szCs w:val="21"/>
              </w:rPr>
              <w:t>件</w:t>
            </w:r>
          </w:p>
        </w:tc>
        <w:tc>
          <w:tcPr>
            <w:tcW w:w="3899" w:type="dxa"/>
            <w:noWrap w:val="0"/>
            <w:vAlign w:val="center"/>
          </w:tcPr>
          <w:p w14:paraId="0A964947">
            <w:pPr>
              <w:adjustRightInd w:val="0"/>
              <w:snapToGrid w:val="0"/>
              <w:spacing w:line="360" w:lineRule="auto"/>
              <w:rPr>
                <w:rFonts w:ascii="宋体" w:hAnsi="宋体"/>
                <w:szCs w:val="21"/>
              </w:rPr>
            </w:pPr>
            <w:r>
              <w:rPr>
                <w:rFonts w:hint="eastAsia" w:ascii="宋体" w:hAnsi="宋体"/>
                <w:szCs w:val="21"/>
              </w:rPr>
              <w:t>身份证（反面）</w:t>
            </w:r>
            <w:r>
              <w:rPr>
                <w:rFonts w:hint="eastAsia" w:ascii="宋体" w:hAnsi="宋体" w:cs="微软雅黑"/>
                <w:spacing w:val="-2"/>
                <w:kern w:val="0"/>
                <w:szCs w:val="21"/>
              </w:rPr>
              <w:t>复</w:t>
            </w:r>
            <w:r>
              <w:rPr>
                <w:rFonts w:hint="eastAsia" w:ascii="宋体" w:hAnsi="宋体" w:cs="微软雅黑"/>
                <w:kern w:val="0"/>
                <w:szCs w:val="21"/>
              </w:rPr>
              <w:t>印</w:t>
            </w:r>
            <w:r>
              <w:rPr>
                <w:rFonts w:hint="eastAsia" w:ascii="宋体" w:hAnsi="宋体" w:cs="微软雅黑"/>
                <w:spacing w:val="-2"/>
                <w:kern w:val="0"/>
                <w:szCs w:val="21"/>
              </w:rPr>
              <w:t>件</w:t>
            </w:r>
          </w:p>
        </w:tc>
      </w:tr>
    </w:tbl>
    <w:p w14:paraId="483BF387">
      <w:pPr>
        <w:adjustRightInd w:val="0"/>
        <w:snapToGrid w:val="0"/>
        <w:spacing w:line="360" w:lineRule="auto"/>
        <w:rPr>
          <w:rFonts w:ascii="宋体" w:hAnsi="宋体"/>
          <w:szCs w:val="21"/>
        </w:rPr>
      </w:pPr>
    </w:p>
    <w:p w14:paraId="46CBEDCD">
      <w:pPr>
        <w:adjustRightInd w:val="0"/>
        <w:snapToGrid w:val="0"/>
        <w:spacing w:line="360" w:lineRule="auto"/>
        <w:rPr>
          <w:rFonts w:ascii="宋体" w:hAnsi="宋体"/>
          <w:szCs w:val="21"/>
        </w:rPr>
      </w:pPr>
      <w:r>
        <w:rPr>
          <w:rFonts w:hint="eastAsia" w:ascii="宋体" w:hAnsi="宋体"/>
          <w:szCs w:val="21"/>
        </w:rPr>
        <w:t>注：投标人代表为法定代表人（单位负责人）的提供。自然人投标的无需提供。</w:t>
      </w:r>
    </w:p>
    <w:p w14:paraId="250BAD6B">
      <w:pPr>
        <w:adjustRightInd w:val="0"/>
        <w:snapToGrid w:val="0"/>
        <w:spacing w:line="360" w:lineRule="auto"/>
        <w:rPr>
          <w:rFonts w:ascii="宋体" w:hAnsi="宋体"/>
          <w:szCs w:val="21"/>
        </w:rPr>
      </w:pPr>
    </w:p>
    <w:p w14:paraId="0A1D2F7D">
      <w:pPr>
        <w:adjustRightInd w:val="0"/>
        <w:snapToGrid w:val="0"/>
        <w:spacing w:line="360" w:lineRule="auto"/>
        <w:rPr>
          <w:rFonts w:ascii="宋体" w:hAnsi="宋体"/>
          <w:szCs w:val="21"/>
        </w:rPr>
      </w:pPr>
      <w:r>
        <w:rPr>
          <w:rFonts w:hint="eastAsia" w:ascii="宋体" w:hAnsi="宋体"/>
          <w:szCs w:val="21"/>
        </w:rPr>
        <w:t>投标人名称（盖单位章）：</w:t>
      </w:r>
      <w:r>
        <w:rPr>
          <w:rFonts w:hint="eastAsia" w:ascii="宋体" w:hAnsi="宋体"/>
          <w:szCs w:val="21"/>
          <w:u w:val="single"/>
        </w:rPr>
        <w:t xml:space="preserve">         </w:t>
      </w:r>
    </w:p>
    <w:p w14:paraId="123436BF">
      <w:pPr>
        <w:adjustRightInd w:val="0"/>
        <w:snapToGrid w:val="0"/>
        <w:spacing w:line="360" w:lineRule="auto"/>
        <w:ind w:right="420"/>
        <w:rPr>
          <w:rFonts w:ascii="宋体" w:hAnsi="宋体"/>
          <w:szCs w:val="21"/>
        </w:rPr>
      </w:pPr>
      <w:r>
        <w:rPr>
          <w:rFonts w:hint="eastAsia" w:ascii="宋体" w:hAnsi="宋体" w:cs="宋体"/>
          <w:szCs w:val="21"/>
        </w:rPr>
        <w:t>日期：</w:t>
      </w:r>
      <w:r>
        <w:rPr>
          <w:rFonts w:hint="eastAsia" w:ascii="宋体" w:hAnsi="宋体"/>
          <w:szCs w:val="21"/>
          <w:u w:val="single"/>
        </w:rPr>
        <w:t xml:space="preserve">         </w:t>
      </w:r>
      <w:r>
        <w:rPr>
          <w:rFonts w:hint="eastAsia" w:ascii="宋体" w:hAnsi="宋体"/>
          <w:szCs w:val="21"/>
        </w:rPr>
        <w:t>年</w:t>
      </w:r>
      <w:r>
        <w:rPr>
          <w:rFonts w:hint="eastAsia" w:ascii="宋体" w:hAnsi="宋体"/>
          <w:szCs w:val="21"/>
          <w:u w:val="single"/>
        </w:rPr>
        <w:t xml:space="preserve">    </w:t>
      </w:r>
      <w:r>
        <w:rPr>
          <w:rFonts w:hint="eastAsia" w:ascii="宋体" w:hAnsi="宋体"/>
          <w:szCs w:val="21"/>
        </w:rPr>
        <w:t>月</w:t>
      </w:r>
      <w:r>
        <w:rPr>
          <w:rFonts w:hint="eastAsia" w:ascii="宋体" w:hAnsi="宋体"/>
          <w:szCs w:val="21"/>
          <w:u w:val="single"/>
        </w:rPr>
        <w:t xml:space="preserve">   </w:t>
      </w:r>
      <w:r>
        <w:rPr>
          <w:rFonts w:hint="eastAsia" w:ascii="宋体" w:hAnsi="宋体"/>
          <w:szCs w:val="21"/>
        </w:rPr>
        <w:t>日</w:t>
      </w:r>
    </w:p>
    <w:p w14:paraId="2BFBCE0C">
      <w:pPr>
        <w:pStyle w:val="4"/>
        <w:adjustRightInd w:val="0"/>
        <w:snapToGrid w:val="0"/>
        <w:spacing w:before="0" w:after="0" w:line="360" w:lineRule="auto"/>
        <w:jc w:val="center"/>
        <w:rPr>
          <w:rFonts w:hint="eastAsia" w:ascii="黑体" w:hAnsi="宋体" w:eastAsia="黑体"/>
          <w:sz w:val="28"/>
          <w:szCs w:val="28"/>
        </w:rPr>
      </w:pPr>
      <w:r>
        <w:rPr>
          <w:rFonts w:ascii="黑体" w:hAnsi="宋体" w:eastAsia="黑体"/>
          <w:b/>
          <w:bCs/>
          <w:sz w:val="28"/>
          <w:szCs w:val="28"/>
        </w:rPr>
        <w:br w:type="page"/>
      </w:r>
    </w:p>
    <w:p w14:paraId="0EF61D61">
      <w:pPr>
        <w:pStyle w:val="4"/>
        <w:adjustRightInd w:val="0"/>
        <w:snapToGrid w:val="0"/>
        <w:spacing w:before="0" w:after="0" w:line="360" w:lineRule="auto"/>
        <w:jc w:val="center"/>
        <w:rPr>
          <w:rFonts w:hint="eastAsia" w:ascii="黑体" w:hAnsi="宋体" w:eastAsia="黑体"/>
          <w:sz w:val="28"/>
          <w:szCs w:val="28"/>
        </w:rPr>
      </w:pPr>
      <w:r>
        <w:rPr>
          <w:rFonts w:hint="eastAsia" w:ascii="黑体" w:hAnsi="宋体" w:eastAsia="黑体"/>
          <w:sz w:val="28"/>
          <w:szCs w:val="28"/>
        </w:rPr>
        <w:t>三、授权委托书</w:t>
      </w:r>
      <w:bookmarkEnd w:id="156"/>
    </w:p>
    <w:p w14:paraId="10963051">
      <w:pPr>
        <w:autoSpaceDE w:val="0"/>
        <w:autoSpaceDN w:val="0"/>
        <w:adjustRightInd w:val="0"/>
        <w:snapToGrid w:val="0"/>
        <w:spacing w:line="360" w:lineRule="auto"/>
        <w:ind w:firstLine="446" w:firstLineChars="200"/>
        <w:jc w:val="left"/>
        <w:rPr>
          <w:rFonts w:hint="eastAsia" w:ascii="宋体" w:hAnsi="宋体"/>
          <w:b/>
          <w:spacing w:val="6"/>
          <w:szCs w:val="21"/>
        </w:rPr>
      </w:pPr>
    </w:p>
    <w:p w14:paraId="6234D2E0">
      <w:pPr>
        <w:autoSpaceDE w:val="0"/>
        <w:autoSpaceDN w:val="0"/>
        <w:adjustRightInd w:val="0"/>
        <w:snapToGrid w:val="0"/>
        <w:spacing w:line="360" w:lineRule="auto"/>
        <w:ind w:firstLine="420" w:firstLineChars="200"/>
        <w:jc w:val="left"/>
        <w:rPr>
          <w:rFonts w:hint="eastAsia" w:ascii="宋体" w:hAnsi="宋体" w:cs="宋体"/>
          <w:kern w:val="0"/>
          <w:szCs w:val="21"/>
        </w:rPr>
      </w:pPr>
    </w:p>
    <w:p w14:paraId="24604C00">
      <w:pPr>
        <w:autoSpaceDE w:val="0"/>
        <w:autoSpaceDN w:val="0"/>
        <w:adjustRightInd w:val="0"/>
        <w:snapToGrid w:val="0"/>
        <w:spacing w:line="360" w:lineRule="auto"/>
        <w:ind w:firstLine="420" w:firstLineChars="200"/>
        <w:jc w:val="left"/>
        <w:rPr>
          <w:rFonts w:hint="eastAsia" w:ascii="宋体" w:hAnsi="宋体" w:cs="宋体"/>
          <w:kern w:val="0"/>
          <w:szCs w:val="21"/>
        </w:rPr>
      </w:pPr>
      <w:r>
        <w:rPr>
          <w:rFonts w:hint="eastAsia" w:ascii="宋体" w:hAnsi="宋体" w:cs="宋体"/>
          <w:kern w:val="0"/>
          <w:szCs w:val="21"/>
        </w:rPr>
        <w:t>本人</w:t>
      </w:r>
      <w:r>
        <w:rPr>
          <w:rFonts w:hint="eastAsia" w:ascii="宋体" w:hAnsi="宋体" w:cs="宋体"/>
          <w:kern w:val="0"/>
          <w:szCs w:val="21"/>
          <w:u w:val="single"/>
        </w:rPr>
        <w:t xml:space="preserve">          </w:t>
      </w:r>
      <w:r>
        <w:rPr>
          <w:rFonts w:hint="eastAsia" w:ascii="宋体" w:hAnsi="宋体" w:cs="宋体"/>
          <w:kern w:val="0"/>
          <w:szCs w:val="21"/>
        </w:rPr>
        <w:t>（姓名、职务）系</w:t>
      </w:r>
      <w:r>
        <w:rPr>
          <w:rFonts w:hint="eastAsia" w:ascii="宋体" w:hAnsi="宋体" w:cs="宋体"/>
          <w:kern w:val="0"/>
          <w:szCs w:val="21"/>
          <w:u w:val="single"/>
        </w:rPr>
        <w:t xml:space="preserve">                        </w:t>
      </w:r>
      <w:r>
        <w:rPr>
          <w:rFonts w:hint="eastAsia" w:ascii="宋体" w:hAnsi="宋体" w:cs="宋体"/>
          <w:kern w:val="0"/>
          <w:szCs w:val="21"/>
        </w:rPr>
        <w:t xml:space="preserve"> （</w:t>
      </w:r>
      <w:r>
        <w:rPr>
          <w:rFonts w:hint="eastAsia" w:ascii="宋体" w:hAnsi="宋体"/>
          <w:szCs w:val="21"/>
        </w:rPr>
        <w:t>投标人</w:t>
      </w:r>
      <w:r>
        <w:rPr>
          <w:rFonts w:hint="eastAsia" w:ascii="宋体" w:hAnsi="宋体" w:cs="宋体"/>
          <w:kern w:val="0"/>
          <w:szCs w:val="21"/>
        </w:rPr>
        <w:t>名称）的法定代表人</w:t>
      </w:r>
      <w:r>
        <w:rPr>
          <w:rFonts w:hint="eastAsia" w:ascii="宋体" w:hAnsi="宋体" w:cs="微软雅黑"/>
          <w:kern w:val="0"/>
          <w:szCs w:val="21"/>
        </w:rPr>
        <w:t>（</w:t>
      </w:r>
      <w:r>
        <w:rPr>
          <w:rFonts w:hint="eastAsia" w:ascii="宋体" w:hAnsi="宋体" w:cs="微软雅黑"/>
          <w:spacing w:val="-2"/>
          <w:kern w:val="0"/>
          <w:szCs w:val="21"/>
        </w:rPr>
        <w:t>单</w:t>
      </w:r>
      <w:r>
        <w:rPr>
          <w:rFonts w:hint="eastAsia" w:ascii="宋体" w:hAnsi="宋体" w:cs="微软雅黑"/>
          <w:kern w:val="0"/>
          <w:szCs w:val="21"/>
        </w:rPr>
        <w:t>位</w:t>
      </w:r>
      <w:r>
        <w:rPr>
          <w:rFonts w:hint="eastAsia" w:ascii="宋体" w:hAnsi="宋体" w:cs="微软雅黑"/>
          <w:spacing w:val="-2"/>
          <w:kern w:val="0"/>
          <w:szCs w:val="21"/>
        </w:rPr>
        <w:t>负</w:t>
      </w:r>
      <w:r>
        <w:rPr>
          <w:rFonts w:hint="eastAsia" w:ascii="宋体" w:hAnsi="宋体" w:cs="微软雅黑"/>
          <w:kern w:val="0"/>
          <w:szCs w:val="21"/>
        </w:rPr>
        <w:t>责人</w:t>
      </w:r>
      <w:r>
        <w:rPr>
          <w:rFonts w:hint="eastAsia" w:ascii="宋体" w:hAnsi="宋体" w:cs="微软雅黑"/>
          <w:spacing w:val="-2"/>
          <w:kern w:val="0"/>
          <w:szCs w:val="21"/>
        </w:rPr>
        <w:t>）</w:t>
      </w:r>
      <w:r>
        <w:rPr>
          <w:rFonts w:hint="eastAsia" w:ascii="宋体" w:hAnsi="宋体" w:cs="宋体"/>
          <w:kern w:val="0"/>
          <w:szCs w:val="21"/>
        </w:rPr>
        <w:t>，现授权</w:t>
      </w:r>
      <w:r>
        <w:rPr>
          <w:rFonts w:hint="eastAsia" w:ascii="宋体" w:hAnsi="宋体" w:cs="宋体"/>
          <w:kern w:val="0"/>
          <w:szCs w:val="21"/>
          <w:u w:val="single"/>
        </w:rPr>
        <w:t xml:space="preserve">          </w:t>
      </w:r>
      <w:r>
        <w:rPr>
          <w:rFonts w:hint="eastAsia" w:ascii="宋体" w:hAnsi="宋体" w:cs="宋体"/>
          <w:kern w:val="0"/>
          <w:szCs w:val="21"/>
        </w:rPr>
        <w:t>（姓名、职务）为我方代理人。代理人根据授权，以我方名义签署、澄清、说明、补正、递交、撤回、修改</w:t>
      </w:r>
      <w:r>
        <w:rPr>
          <w:rFonts w:hint="eastAsia" w:ascii="宋体" w:hAnsi="宋体" w:cs="宋体"/>
          <w:kern w:val="0"/>
          <w:szCs w:val="21"/>
          <w:u w:val="single"/>
        </w:rPr>
        <w:t xml:space="preserve">              </w:t>
      </w:r>
      <w:r>
        <w:rPr>
          <w:rFonts w:hint="eastAsia" w:ascii="宋体" w:hAnsi="宋体" w:cs="宋体"/>
          <w:kern w:val="0"/>
          <w:szCs w:val="21"/>
        </w:rPr>
        <w:t>（项目名称</w:t>
      </w:r>
      <w:r>
        <w:rPr>
          <w:rFonts w:ascii="宋体" w:hAnsi="宋体" w:cs="宋体"/>
          <w:kern w:val="0"/>
          <w:szCs w:val="21"/>
        </w:rPr>
        <w:t>）</w:t>
      </w:r>
      <w:r>
        <w:rPr>
          <w:rFonts w:hint="eastAsia" w:ascii="宋体" w:hAnsi="宋体" w:cs="宋体"/>
          <w:kern w:val="0"/>
          <w:szCs w:val="21"/>
        </w:rPr>
        <w:t>（</w:t>
      </w:r>
      <w:r>
        <w:rPr>
          <w:rFonts w:hint="eastAsia" w:ascii="宋体" w:hAnsi="宋体"/>
        </w:rPr>
        <w:t>政府采购计划编号</w:t>
      </w:r>
      <w:r>
        <w:rPr>
          <w:rFonts w:hint="eastAsia" w:ascii="宋体" w:hAnsi="宋体"/>
          <w:iCs/>
        </w:rPr>
        <w:t>：</w:t>
      </w:r>
      <w:r>
        <w:rPr>
          <w:rFonts w:hint="eastAsia" w:ascii="宋体" w:hAnsi="宋体"/>
          <w:iCs/>
          <w:u w:val="single"/>
        </w:rPr>
        <w:t xml:space="preserve">      </w:t>
      </w:r>
      <w:r>
        <w:rPr>
          <w:rFonts w:hint="eastAsia" w:ascii="宋体" w:hAnsi="宋体"/>
          <w:iCs/>
        </w:rPr>
        <w:t xml:space="preserve"> ，</w:t>
      </w:r>
      <w:r>
        <w:rPr>
          <w:rFonts w:hint="eastAsia" w:ascii="宋体" w:hAnsi="宋体" w:cs="宋体"/>
          <w:kern w:val="0"/>
          <w:szCs w:val="21"/>
        </w:rPr>
        <w:t>委托代理编号：</w:t>
      </w:r>
      <w:r>
        <w:rPr>
          <w:rFonts w:hint="eastAsia" w:ascii="宋体" w:hAnsi="宋体" w:cs="宋体"/>
          <w:kern w:val="0"/>
          <w:szCs w:val="21"/>
          <w:u w:val="single"/>
        </w:rPr>
        <w:t xml:space="preserve">       </w:t>
      </w:r>
      <w:r>
        <w:rPr>
          <w:rFonts w:hint="eastAsia" w:ascii="宋体" w:hAnsi="宋体" w:cs="宋体"/>
          <w:kern w:val="0"/>
          <w:szCs w:val="21"/>
        </w:rPr>
        <w:t>）投标文件、签订合同和处理有关事宜，其法律后果由我方承担。</w:t>
      </w:r>
    </w:p>
    <w:p w14:paraId="2D5CD68E">
      <w:pPr>
        <w:autoSpaceDE w:val="0"/>
        <w:autoSpaceDN w:val="0"/>
        <w:adjustRightInd w:val="0"/>
        <w:snapToGrid w:val="0"/>
        <w:spacing w:line="360" w:lineRule="auto"/>
        <w:ind w:firstLine="420" w:firstLineChars="200"/>
        <w:jc w:val="left"/>
        <w:rPr>
          <w:rFonts w:hint="eastAsia" w:ascii="宋体" w:hAnsi="宋体" w:cs="宋体"/>
          <w:kern w:val="0"/>
          <w:szCs w:val="21"/>
        </w:rPr>
      </w:pPr>
      <w:r>
        <w:rPr>
          <w:rFonts w:hint="eastAsia" w:ascii="宋体" w:hAnsi="宋体" w:cs="宋体"/>
          <w:kern w:val="0"/>
          <w:szCs w:val="21"/>
        </w:rPr>
        <w:t>委托期限：</w:t>
      </w:r>
      <w:r>
        <w:rPr>
          <w:rFonts w:hint="eastAsia" w:ascii="宋体" w:hAnsi="宋体" w:cs="宋体"/>
          <w:kern w:val="0"/>
          <w:szCs w:val="21"/>
          <w:u w:val="single"/>
        </w:rPr>
        <w:t xml:space="preserve">                                     </w:t>
      </w:r>
      <w:r>
        <w:rPr>
          <w:rFonts w:hint="eastAsia" w:ascii="宋体" w:hAnsi="宋体" w:cs="宋体"/>
          <w:kern w:val="0"/>
          <w:szCs w:val="21"/>
        </w:rPr>
        <w:t xml:space="preserve"> 。</w:t>
      </w:r>
    </w:p>
    <w:p w14:paraId="1847A5A4">
      <w:pPr>
        <w:adjustRightInd w:val="0"/>
        <w:snapToGrid w:val="0"/>
        <w:spacing w:line="360" w:lineRule="auto"/>
        <w:ind w:firstLine="435"/>
        <w:rPr>
          <w:rFonts w:hint="eastAsia" w:ascii="宋体" w:hAnsi="宋体" w:cs="宋体"/>
          <w:kern w:val="0"/>
          <w:szCs w:val="21"/>
        </w:rPr>
      </w:pPr>
      <w:r>
        <w:rPr>
          <w:rFonts w:hint="eastAsia" w:ascii="宋体" w:hAnsi="宋体" w:cs="宋体"/>
          <w:kern w:val="0"/>
          <w:szCs w:val="21"/>
        </w:rPr>
        <w:t>代理人无转委托权。</w:t>
      </w:r>
    </w:p>
    <w:p w14:paraId="578F1311">
      <w:pPr>
        <w:adjustRightInd w:val="0"/>
        <w:snapToGrid w:val="0"/>
        <w:spacing w:line="360" w:lineRule="auto"/>
        <w:ind w:firstLine="435"/>
        <w:rPr>
          <w:rFonts w:hint="eastAsia" w:ascii="宋体" w:hAnsi="宋体" w:cs="微软雅黑"/>
          <w:kern w:val="0"/>
          <w:szCs w:val="21"/>
        </w:rPr>
      </w:pPr>
      <w:r>
        <w:rPr>
          <w:rFonts w:hint="eastAsia" w:ascii="宋体" w:hAnsi="宋体"/>
          <w:szCs w:val="21"/>
        </w:rPr>
        <w:t>本授权书于</w:t>
      </w:r>
      <w:r>
        <w:rPr>
          <w:rFonts w:hint="eastAsia" w:ascii="宋体" w:hAnsi="宋体"/>
          <w:szCs w:val="21"/>
          <w:u w:val="single"/>
        </w:rPr>
        <w:t xml:space="preserve">      </w:t>
      </w:r>
      <w:r>
        <w:rPr>
          <w:rFonts w:hint="eastAsia" w:ascii="宋体" w:hAnsi="宋体"/>
          <w:szCs w:val="21"/>
        </w:rPr>
        <w:t>年</w:t>
      </w:r>
      <w:r>
        <w:rPr>
          <w:rFonts w:hint="eastAsia" w:ascii="宋体" w:hAnsi="宋体"/>
          <w:szCs w:val="21"/>
          <w:u w:val="single"/>
        </w:rPr>
        <w:t xml:space="preserve">    </w:t>
      </w:r>
      <w:r>
        <w:rPr>
          <w:rFonts w:hint="eastAsia" w:ascii="宋体" w:hAnsi="宋体"/>
          <w:szCs w:val="21"/>
        </w:rPr>
        <w:t>月</w:t>
      </w:r>
      <w:r>
        <w:rPr>
          <w:rFonts w:hint="eastAsia" w:ascii="宋体" w:hAnsi="宋体"/>
          <w:szCs w:val="21"/>
          <w:u w:val="single"/>
        </w:rPr>
        <w:t xml:space="preserve">    </w:t>
      </w:r>
      <w:r>
        <w:rPr>
          <w:rFonts w:hint="eastAsia" w:ascii="宋体" w:hAnsi="宋体"/>
          <w:szCs w:val="21"/>
        </w:rPr>
        <w:t>日签字生效，特此声明。</w:t>
      </w:r>
    </w:p>
    <w:tbl>
      <w:tblPr>
        <w:tblStyle w:val="27"/>
        <w:tblW w:w="7797" w:type="dxa"/>
        <w:tblInd w:w="67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898"/>
        <w:gridCol w:w="3899"/>
      </w:tblGrid>
      <w:tr w14:paraId="245AF5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5" w:hRule="atLeast"/>
        </w:trPr>
        <w:tc>
          <w:tcPr>
            <w:tcW w:w="3898" w:type="dxa"/>
            <w:vAlign w:val="center"/>
          </w:tcPr>
          <w:p w14:paraId="20FEFBFA">
            <w:pPr>
              <w:adjustRightInd w:val="0"/>
              <w:snapToGrid w:val="0"/>
              <w:spacing w:line="360" w:lineRule="auto"/>
              <w:jc w:val="center"/>
              <w:rPr>
                <w:rFonts w:hint="eastAsia" w:ascii="宋体" w:hAnsi="宋体"/>
                <w:szCs w:val="21"/>
              </w:rPr>
            </w:pPr>
            <w:r>
              <w:rPr>
                <w:rFonts w:hint="eastAsia" w:ascii="宋体" w:hAnsi="宋体"/>
                <w:szCs w:val="21"/>
              </w:rPr>
              <w:t>委托代理人身份证（正面）</w:t>
            </w:r>
            <w:r>
              <w:rPr>
                <w:rFonts w:hint="eastAsia" w:ascii="宋体" w:hAnsi="宋体" w:cs="微软雅黑"/>
                <w:spacing w:val="-2"/>
                <w:kern w:val="0"/>
                <w:szCs w:val="21"/>
              </w:rPr>
              <w:t>复</w:t>
            </w:r>
            <w:r>
              <w:rPr>
                <w:rFonts w:hint="eastAsia" w:ascii="宋体" w:hAnsi="宋体" w:cs="微软雅黑"/>
                <w:kern w:val="0"/>
                <w:szCs w:val="21"/>
              </w:rPr>
              <w:t>印</w:t>
            </w:r>
            <w:r>
              <w:rPr>
                <w:rFonts w:hint="eastAsia" w:ascii="宋体" w:hAnsi="宋体" w:cs="微软雅黑"/>
                <w:spacing w:val="-2"/>
                <w:kern w:val="0"/>
                <w:szCs w:val="21"/>
              </w:rPr>
              <w:t>件</w:t>
            </w:r>
          </w:p>
        </w:tc>
        <w:tc>
          <w:tcPr>
            <w:tcW w:w="3899" w:type="dxa"/>
            <w:vAlign w:val="center"/>
          </w:tcPr>
          <w:p w14:paraId="38B7B4D7">
            <w:pPr>
              <w:adjustRightInd w:val="0"/>
              <w:snapToGrid w:val="0"/>
              <w:spacing w:line="360" w:lineRule="auto"/>
              <w:jc w:val="center"/>
              <w:rPr>
                <w:rFonts w:hint="eastAsia" w:ascii="宋体" w:hAnsi="宋体"/>
                <w:szCs w:val="21"/>
              </w:rPr>
            </w:pPr>
            <w:r>
              <w:rPr>
                <w:rFonts w:hint="eastAsia" w:ascii="宋体" w:hAnsi="宋体"/>
                <w:szCs w:val="21"/>
              </w:rPr>
              <w:t>委托代理人身份证（反面）</w:t>
            </w:r>
            <w:r>
              <w:rPr>
                <w:rFonts w:hint="eastAsia" w:ascii="宋体" w:hAnsi="宋体" w:cs="微软雅黑"/>
                <w:spacing w:val="-2"/>
                <w:kern w:val="0"/>
                <w:szCs w:val="21"/>
              </w:rPr>
              <w:t>复</w:t>
            </w:r>
            <w:r>
              <w:rPr>
                <w:rFonts w:hint="eastAsia" w:ascii="宋体" w:hAnsi="宋体" w:cs="微软雅黑"/>
                <w:kern w:val="0"/>
                <w:szCs w:val="21"/>
              </w:rPr>
              <w:t>印</w:t>
            </w:r>
            <w:r>
              <w:rPr>
                <w:rFonts w:hint="eastAsia" w:ascii="宋体" w:hAnsi="宋体" w:cs="微软雅黑"/>
                <w:spacing w:val="-2"/>
                <w:kern w:val="0"/>
                <w:szCs w:val="21"/>
              </w:rPr>
              <w:t>件</w:t>
            </w:r>
          </w:p>
        </w:tc>
      </w:tr>
      <w:tr w14:paraId="6BCE6B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5" w:hRule="atLeast"/>
        </w:trPr>
        <w:tc>
          <w:tcPr>
            <w:tcW w:w="3898" w:type="dxa"/>
            <w:vAlign w:val="center"/>
          </w:tcPr>
          <w:p w14:paraId="5FB09979">
            <w:pPr>
              <w:adjustRightInd w:val="0"/>
              <w:snapToGrid w:val="0"/>
              <w:spacing w:line="360" w:lineRule="auto"/>
              <w:jc w:val="center"/>
              <w:rPr>
                <w:rFonts w:hint="eastAsia" w:ascii="宋体" w:hAnsi="宋体"/>
                <w:szCs w:val="21"/>
              </w:rPr>
            </w:pPr>
            <w:r>
              <w:rPr>
                <w:rFonts w:hint="eastAsia" w:ascii="宋体" w:hAnsi="宋体"/>
                <w:szCs w:val="21"/>
              </w:rPr>
              <w:t>法定代表人身份证（正面）</w:t>
            </w:r>
            <w:r>
              <w:rPr>
                <w:rFonts w:hint="eastAsia" w:ascii="宋体" w:hAnsi="宋体" w:cs="微软雅黑"/>
                <w:spacing w:val="-2"/>
                <w:kern w:val="0"/>
                <w:szCs w:val="21"/>
              </w:rPr>
              <w:t>复</w:t>
            </w:r>
            <w:r>
              <w:rPr>
                <w:rFonts w:hint="eastAsia" w:ascii="宋体" w:hAnsi="宋体" w:cs="微软雅黑"/>
                <w:kern w:val="0"/>
                <w:szCs w:val="21"/>
              </w:rPr>
              <w:t>印</w:t>
            </w:r>
            <w:r>
              <w:rPr>
                <w:rFonts w:hint="eastAsia" w:ascii="宋体" w:hAnsi="宋体" w:cs="微软雅黑"/>
                <w:spacing w:val="-2"/>
                <w:kern w:val="0"/>
                <w:szCs w:val="21"/>
              </w:rPr>
              <w:t>件</w:t>
            </w:r>
          </w:p>
        </w:tc>
        <w:tc>
          <w:tcPr>
            <w:tcW w:w="3899" w:type="dxa"/>
            <w:vAlign w:val="center"/>
          </w:tcPr>
          <w:p w14:paraId="666389E0">
            <w:pPr>
              <w:adjustRightInd w:val="0"/>
              <w:snapToGrid w:val="0"/>
              <w:spacing w:line="360" w:lineRule="auto"/>
              <w:jc w:val="center"/>
              <w:rPr>
                <w:rFonts w:hint="eastAsia" w:ascii="宋体" w:hAnsi="宋体"/>
                <w:szCs w:val="21"/>
              </w:rPr>
            </w:pPr>
            <w:r>
              <w:rPr>
                <w:rFonts w:hint="eastAsia" w:ascii="宋体" w:hAnsi="宋体"/>
                <w:szCs w:val="21"/>
              </w:rPr>
              <w:t>法定代表人身份证（反面）</w:t>
            </w:r>
            <w:r>
              <w:rPr>
                <w:rFonts w:hint="eastAsia" w:ascii="宋体" w:hAnsi="宋体" w:cs="微软雅黑"/>
                <w:spacing w:val="-2"/>
                <w:kern w:val="0"/>
                <w:szCs w:val="21"/>
              </w:rPr>
              <w:t>复</w:t>
            </w:r>
            <w:r>
              <w:rPr>
                <w:rFonts w:hint="eastAsia" w:ascii="宋体" w:hAnsi="宋体" w:cs="微软雅黑"/>
                <w:kern w:val="0"/>
                <w:szCs w:val="21"/>
              </w:rPr>
              <w:t>印</w:t>
            </w:r>
            <w:r>
              <w:rPr>
                <w:rFonts w:hint="eastAsia" w:ascii="宋体" w:hAnsi="宋体" w:cs="微软雅黑"/>
                <w:spacing w:val="-2"/>
                <w:kern w:val="0"/>
                <w:szCs w:val="21"/>
              </w:rPr>
              <w:t>件</w:t>
            </w:r>
          </w:p>
        </w:tc>
      </w:tr>
    </w:tbl>
    <w:p w14:paraId="5ECDFD96">
      <w:pPr>
        <w:adjustRightInd w:val="0"/>
        <w:snapToGrid w:val="0"/>
        <w:spacing w:line="360" w:lineRule="auto"/>
        <w:ind w:firstLine="420" w:firstLineChars="200"/>
        <w:rPr>
          <w:rFonts w:hint="eastAsia" w:ascii="宋体" w:hAnsi="宋体"/>
          <w:szCs w:val="21"/>
        </w:rPr>
      </w:pPr>
    </w:p>
    <w:p w14:paraId="3CD6D86A">
      <w:pPr>
        <w:adjustRightInd w:val="0"/>
        <w:snapToGrid w:val="0"/>
        <w:spacing w:line="360" w:lineRule="auto"/>
        <w:ind w:firstLine="420" w:firstLineChars="200"/>
        <w:rPr>
          <w:rFonts w:hint="eastAsia" w:ascii="宋体" w:hAnsi="宋体"/>
          <w:szCs w:val="21"/>
        </w:rPr>
      </w:pPr>
    </w:p>
    <w:p w14:paraId="220FED81">
      <w:pPr>
        <w:adjustRightInd w:val="0"/>
        <w:snapToGrid w:val="0"/>
        <w:spacing w:line="360" w:lineRule="auto"/>
        <w:rPr>
          <w:rFonts w:hint="eastAsia" w:ascii="宋体" w:hAnsi="宋体"/>
          <w:szCs w:val="21"/>
        </w:rPr>
      </w:pPr>
      <w:r>
        <w:rPr>
          <w:rFonts w:hint="eastAsia" w:ascii="宋体" w:hAnsi="宋体"/>
          <w:szCs w:val="21"/>
        </w:rPr>
        <w:t>注：投标人代表不是投标人的法定代表人（单位负责人）的提供。</w:t>
      </w:r>
    </w:p>
    <w:p w14:paraId="0F310D44">
      <w:pPr>
        <w:adjustRightInd w:val="0"/>
        <w:snapToGrid w:val="0"/>
        <w:spacing w:line="360" w:lineRule="auto"/>
        <w:ind w:firstLine="420" w:firstLineChars="200"/>
        <w:rPr>
          <w:rFonts w:hint="eastAsia" w:ascii="宋体" w:hAnsi="宋体"/>
          <w:szCs w:val="21"/>
        </w:rPr>
      </w:pPr>
    </w:p>
    <w:p w14:paraId="444FAE0C">
      <w:pPr>
        <w:adjustRightInd w:val="0"/>
        <w:snapToGrid w:val="0"/>
        <w:spacing w:line="360" w:lineRule="auto"/>
        <w:ind w:firstLine="420" w:firstLineChars="200"/>
        <w:rPr>
          <w:rFonts w:hint="eastAsia" w:ascii="宋体" w:hAnsi="宋体"/>
          <w:szCs w:val="21"/>
        </w:rPr>
      </w:pPr>
    </w:p>
    <w:p w14:paraId="0BD85D7C">
      <w:pPr>
        <w:adjustRightInd w:val="0"/>
        <w:snapToGrid w:val="0"/>
        <w:spacing w:line="360" w:lineRule="auto"/>
        <w:rPr>
          <w:rFonts w:hint="eastAsia" w:ascii="宋体" w:hAnsi="宋体"/>
          <w:szCs w:val="21"/>
        </w:rPr>
      </w:pPr>
      <w:r>
        <w:rPr>
          <w:rFonts w:hint="eastAsia" w:ascii="宋体" w:hAnsi="宋体"/>
          <w:szCs w:val="21"/>
        </w:rPr>
        <w:t>投标人名称（盖单位章）：</w:t>
      </w:r>
    </w:p>
    <w:p w14:paraId="40A353B3">
      <w:pPr>
        <w:adjustRightInd w:val="0"/>
        <w:snapToGrid w:val="0"/>
        <w:spacing w:line="360" w:lineRule="auto"/>
        <w:ind w:right="420"/>
        <w:rPr>
          <w:rFonts w:hint="eastAsia" w:ascii="宋体" w:hAnsi="宋体"/>
          <w:szCs w:val="21"/>
        </w:rPr>
      </w:pPr>
      <w:r>
        <w:rPr>
          <w:rFonts w:hint="eastAsia" w:ascii="宋体" w:hAnsi="宋体" w:cs="微软雅黑"/>
          <w:spacing w:val="-2"/>
          <w:kern w:val="0"/>
          <w:szCs w:val="21"/>
        </w:rPr>
        <w:t>法</w:t>
      </w:r>
      <w:r>
        <w:rPr>
          <w:rFonts w:hint="eastAsia" w:ascii="宋体" w:hAnsi="宋体" w:cs="微软雅黑"/>
          <w:kern w:val="0"/>
          <w:szCs w:val="21"/>
        </w:rPr>
        <w:t>定</w:t>
      </w:r>
      <w:r>
        <w:rPr>
          <w:rFonts w:hint="eastAsia" w:ascii="宋体" w:hAnsi="宋体" w:cs="微软雅黑"/>
          <w:spacing w:val="-2"/>
          <w:kern w:val="0"/>
          <w:szCs w:val="21"/>
        </w:rPr>
        <w:t>代</w:t>
      </w:r>
      <w:r>
        <w:rPr>
          <w:rFonts w:hint="eastAsia" w:ascii="宋体" w:hAnsi="宋体" w:cs="微软雅黑"/>
          <w:kern w:val="0"/>
          <w:szCs w:val="21"/>
        </w:rPr>
        <w:t>表</w:t>
      </w:r>
      <w:r>
        <w:rPr>
          <w:rFonts w:hint="eastAsia" w:ascii="宋体" w:hAnsi="宋体" w:cs="微软雅黑"/>
          <w:spacing w:val="-2"/>
          <w:kern w:val="0"/>
          <w:szCs w:val="21"/>
        </w:rPr>
        <w:t>人</w:t>
      </w:r>
      <w:r>
        <w:rPr>
          <w:rFonts w:hint="eastAsia" w:ascii="宋体" w:hAnsi="宋体" w:cs="微软雅黑"/>
          <w:kern w:val="0"/>
          <w:szCs w:val="21"/>
        </w:rPr>
        <w:t>（</w:t>
      </w:r>
      <w:r>
        <w:rPr>
          <w:rFonts w:hint="eastAsia" w:ascii="宋体" w:hAnsi="宋体" w:cs="微软雅黑"/>
          <w:spacing w:val="-2"/>
          <w:kern w:val="0"/>
          <w:szCs w:val="21"/>
        </w:rPr>
        <w:t>单</w:t>
      </w:r>
      <w:r>
        <w:rPr>
          <w:rFonts w:hint="eastAsia" w:ascii="宋体" w:hAnsi="宋体" w:cs="微软雅黑"/>
          <w:kern w:val="0"/>
          <w:szCs w:val="21"/>
        </w:rPr>
        <w:t>位</w:t>
      </w:r>
      <w:r>
        <w:rPr>
          <w:rFonts w:hint="eastAsia" w:ascii="宋体" w:hAnsi="宋体" w:cs="微软雅黑"/>
          <w:spacing w:val="-2"/>
          <w:kern w:val="0"/>
          <w:szCs w:val="21"/>
        </w:rPr>
        <w:t>负</w:t>
      </w:r>
      <w:r>
        <w:rPr>
          <w:rFonts w:hint="eastAsia" w:ascii="宋体" w:hAnsi="宋体" w:cs="微软雅黑"/>
          <w:kern w:val="0"/>
          <w:szCs w:val="21"/>
        </w:rPr>
        <w:t>责人</w:t>
      </w:r>
      <w:r>
        <w:rPr>
          <w:rFonts w:hint="eastAsia" w:ascii="宋体" w:hAnsi="宋体" w:cs="微软雅黑"/>
          <w:spacing w:val="-2"/>
          <w:kern w:val="0"/>
          <w:szCs w:val="21"/>
        </w:rPr>
        <w:t>）</w:t>
      </w:r>
      <w:r>
        <w:rPr>
          <w:rFonts w:hint="eastAsia" w:ascii="宋体" w:hAnsi="宋体"/>
          <w:szCs w:val="21"/>
        </w:rPr>
        <w:t>（签字或印章）：</w:t>
      </w:r>
      <w:r>
        <w:rPr>
          <w:rFonts w:hint="eastAsia" w:ascii="宋体" w:hAnsi="宋体"/>
          <w:szCs w:val="21"/>
          <w:u w:val="single"/>
        </w:rPr>
        <w:t xml:space="preserve">                     </w:t>
      </w:r>
    </w:p>
    <w:p w14:paraId="5EEA9E97">
      <w:pPr>
        <w:adjustRightInd w:val="0"/>
        <w:snapToGrid w:val="0"/>
        <w:spacing w:line="360" w:lineRule="auto"/>
        <w:ind w:right="420"/>
        <w:rPr>
          <w:rFonts w:hint="eastAsia" w:ascii="宋体" w:hAnsi="宋体"/>
          <w:szCs w:val="21"/>
        </w:rPr>
      </w:pPr>
      <w:r>
        <w:rPr>
          <w:rFonts w:hint="eastAsia" w:ascii="宋体" w:hAnsi="宋体"/>
          <w:szCs w:val="21"/>
        </w:rPr>
        <w:t>委托代理人（签字或印章）：</w:t>
      </w:r>
      <w:r>
        <w:rPr>
          <w:rFonts w:hint="eastAsia" w:ascii="宋体" w:hAnsi="宋体"/>
          <w:szCs w:val="21"/>
          <w:u w:val="single"/>
        </w:rPr>
        <w:t xml:space="preserve">                     </w:t>
      </w:r>
    </w:p>
    <w:p w14:paraId="6D1A1708">
      <w:pPr>
        <w:adjustRightInd w:val="0"/>
        <w:snapToGrid w:val="0"/>
        <w:spacing w:line="360" w:lineRule="auto"/>
        <w:ind w:right="420"/>
        <w:rPr>
          <w:rFonts w:hint="eastAsia" w:ascii="宋体" w:hAnsi="宋体"/>
          <w:szCs w:val="21"/>
        </w:rPr>
      </w:pPr>
      <w:r>
        <w:rPr>
          <w:rFonts w:hint="eastAsia" w:ascii="宋体" w:hAnsi="宋体" w:cs="宋体"/>
          <w:szCs w:val="21"/>
        </w:rPr>
        <w:t>日期：</w:t>
      </w:r>
      <w:r>
        <w:rPr>
          <w:rFonts w:hint="eastAsia" w:ascii="宋体" w:hAnsi="宋体"/>
          <w:szCs w:val="21"/>
          <w:u w:val="single"/>
        </w:rPr>
        <w:t xml:space="preserve">         </w:t>
      </w:r>
      <w:r>
        <w:rPr>
          <w:rFonts w:hint="eastAsia" w:ascii="宋体" w:hAnsi="宋体"/>
          <w:szCs w:val="21"/>
        </w:rPr>
        <w:t>年</w:t>
      </w:r>
      <w:r>
        <w:rPr>
          <w:rFonts w:hint="eastAsia" w:ascii="宋体" w:hAnsi="宋体"/>
          <w:szCs w:val="21"/>
          <w:u w:val="single"/>
        </w:rPr>
        <w:t xml:space="preserve">    </w:t>
      </w:r>
      <w:r>
        <w:rPr>
          <w:rFonts w:hint="eastAsia" w:ascii="宋体" w:hAnsi="宋体"/>
          <w:szCs w:val="21"/>
        </w:rPr>
        <w:t>月</w:t>
      </w:r>
      <w:r>
        <w:rPr>
          <w:rFonts w:hint="eastAsia" w:ascii="宋体" w:hAnsi="宋体"/>
          <w:szCs w:val="21"/>
          <w:u w:val="single"/>
        </w:rPr>
        <w:t xml:space="preserve">   </w:t>
      </w:r>
      <w:r>
        <w:rPr>
          <w:rFonts w:hint="eastAsia" w:ascii="宋体" w:hAnsi="宋体"/>
          <w:szCs w:val="21"/>
        </w:rPr>
        <w:t>日</w:t>
      </w:r>
    </w:p>
    <w:p w14:paraId="6463DC4F">
      <w:pPr>
        <w:adjustRightInd w:val="0"/>
        <w:snapToGrid w:val="0"/>
        <w:spacing w:line="360" w:lineRule="auto"/>
        <w:jc w:val="left"/>
        <w:rPr>
          <w:rFonts w:hint="eastAsia" w:ascii="黑体" w:hAnsi="黑体" w:eastAsia="黑体"/>
          <w:bCs/>
          <w:sz w:val="28"/>
          <w:szCs w:val="28"/>
        </w:rPr>
      </w:pPr>
      <w:r>
        <w:rPr>
          <w:rFonts w:ascii="黑体" w:hAnsi="黑体" w:eastAsia="黑体"/>
          <w:bCs/>
          <w:sz w:val="28"/>
          <w:szCs w:val="28"/>
        </w:rPr>
        <w:br w:type="page"/>
      </w:r>
    </w:p>
    <w:p w14:paraId="2A534582">
      <w:pPr>
        <w:pStyle w:val="4"/>
        <w:adjustRightInd w:val="0"/>
        <w:snapToGrid w:val="0"/>
        <w:spacing w:before="0" w:after="0" w:line="360" w:lineRule="auto"/>
        <w:jc w:val="center"/>
        <w:rPr>
          <w:rFonts w:hint="eastAsia" w:ascii="黑体" w:hAnsi="宋体" w:eastAsia="黑体"/>
          <w:sz w:val="28"/>
          <w:szCs w:val="28"/>
        </w:rPr>
      </w:pPr>
      <w:bookmarkStart w:id="157" w:name="_Toc8993"/>
      <w:r>
        <w:rPr>
          <w:rFonts w:hint="eastAsia" w:ascii="黑体" w:hAnsi="宋体" w:eastAsia="黑体"/>
          <w:sz w:val="28"/>
          <w:szCs w:val="28"/>
        </w:rPr>
        <w:t>四、投标人提供的资格证明文件</w:t>
      </w:r>
      <w:bookmarkEnd w:id="157"/>
      <w:bookmarkStart w:id="158" w:name="_Toc294186060"/>
      <w:bookmarkStart w:id="159" w:name="_Toc294206743"/>
    </w:p>
    <w:p w14:paraId="2C8A8B12">
      <w:pPr>
        <w:pStyle w:val="14"/>
        <w:adjustRightInd w:val="0"/>
        <w:snapToGrid w:val="0"/>
        <w:spacing w:line="360" w:lineRule="auto"/>
        <w:jc w:val="center"/>
        <w:rPr>
          <w:rFonts w:hint="eastAsia" w:hAnsi="宋体" w:cs="Times New Roman"/>
          <w:b/>
          <w:bCs/>
          <w:sz w:val="24"/>
          <w:szCs w:val="24"/>
        </w:rPr>
      </w:pPr>
    </w:p>
    <w:bookmarkEnd w:id="158"/>
    <w:bookmarkEnd w:id="159"/>
    <w:p w14:paraId="48451D6E">
      <w:pPr>
        <w:pStyle w:val="14"/>
        <w:adjustRightInd w:val="0"/>
        <w:snapToGrid w:val="0"/>
        <w:spacing w:line="360" w:lineRule="auto"/>
        <w:jc w:val="center"/>
        <w:rPr>
          <w:rFonts w:ascii="黑体" w:hAnsi="黑体" w:eastAsia="黑体" w:cs="Times New Roman"/>
          <w:b/>
          <w:bCs/>
          <w:sz w:val="28"/>
          <w:szCs w:val="28"/>
        </w:rPr>
      </w:pPr>
      <w:r>
        <w:rPr>
          <w:rFonts w:hint="eastAsia" w:ascii="黑体" w:hAnsi="黑体" w:eastAsia="黑体" w:cs="Times New Roman"/>
          <w:b/>
          <w:bCs/>
          <w:sz w:val="28"/>
          <w:szCs w:val="28"/>
        </w:rPr>
        <w:t>须  知</w:t>
      </w:r>
    </w:p>
    <w:p w14:paraId="1F6ECB3C">
      <w:pPr>
        <w:tabs>
          <w:tab w:val="left" w:pos="4725"/>
        </w:tabs>
        <w:adjustRightInd w:val="0"/>
        <w:snapToGrid w:val="0"/>
        <w:spacing w:before="156" w:beforeLines="50" w:line="360" w:lineRule="auto"/>
        <w:ind w:firstLine="422" w:firstLineChars="200"/>
        <w:rPr>
          <w:rFonts w:ascii="宋体" w:hAnsi="宋体"/>
          <w:b/>
          <w:bCs/>
          <w:szCs w:val="21"/>
        </w:rPr>
      </w:pPr>
      <w:r>
        <w:rPr>
          <w:rFonts w:hint="eastAsia" w:ascii="宋体" w:hAnsi="宋体"/>
          <w:b/>
          <w:szCs w:val="21"/>
        </w:rPr>
        <w:t>1、投标人</w:t>
      </w:r>
      <w:r>
        <w:rPr>
          <w:rFonts w:hint="eastAsia" w:ascii="宋体" w:hAnsi="宋体"/>
          <w:b/>
          <w:bCs/>
          <w:szCs w:val="21"/>
        </w:rPr>
        <w:t>应按第二章第1</w:t>
      </w:r>
      <w:r>
        <w:rPr>
          <w:rFonts w:ascii="宋体" w:hAnsi="宋体"/>
          <w:b/>
          <w:bCs/>
          <w:szCs w:val="21"/>
        </w:rPr>
        <w:t>4.1</w:t>
      </w:r>
      <w:r>
        <w:rPr>
          <w:rFonts w:hint="eastAsia" w:ascii="宋体" w:hAnsi="宋体"/>
          <w:b/>
          <w:bCs/>
          <w:szCs w:val="21"/>
        </w:rPr>
        <w:t>款要求提供下列的证明材料</w:t>
      </w:r>
    </w:p>
    <w:p w14:paraId="2B486422">
      <w:pPr>
        <w:tabs>
          <w:tab w:val="left" w:pos="4725"/>
        </w:tabs>
        <w:adjustRightInd w:val="0"/>
        <w:snapToGrid w:val="0"/>
        <w:spacing w:before="156" w:beforeLines="50" w:line="360" w:lineRule="auto"/>
        <w:ind w:firstLine="735" w:firstLineChars="350"/>
        <w:rPr>
          <w:rFonts w:ascii="宋体" w:hAnsi="宋体"/>
          <w:szCs w:val="21"/>
        </w:rPr>
      </w:pPr>
      <w:r>
        <w:rPr>
          <w:rFonts w:hint="eastAsia" w:ascii="宋体" w:hAnsi="宋体"/>
          <w:szCs w:val="21"/>
        </w:rPr>
        <w:t>附件</w:t>
      </w:r>
      <w:r>
        <w:rPr>
          <w:rFonts w:ascii="宋体" w:hAnsi="宋体"/>
          <w:szCs w:val="21"/>
        </w:rPr>
        <w:t>4</w:t>
      </w:r>
      <w:r>
        <w:rPr>
          <w:rFonts w:hint="eastAsia" w:ascii="宋体" w:hAnsi="宋体"/>
          <w:szCs w:val="21"/>
        </w:rPr>
        <w:t>-1 法人或者其他组织的营业执照等主体资格证明文件，自然人的身份证明</w:t>
      </w:r>
    </w:p>
    <w:p w14:paraId="7146FC3F">
      <w:pPr>
        <w:tabs>
          <w:tab w:val="left" w:pos="4725"/>
        </w:tabs>
        <w:adjustRightInd w:val="0"/>
        <w:snapToGrid w:val="0"/>
        <w:spacing w:before="156" w:beforeLines="50" w:line="360" w:lineRule="auto"/>
        <w:ind w:firstLine="735" w:firstLineChars="350"/>
        <w:rPr>
          <w:rFonts w:ascii="宋体" w:hAnsi="宋体"/>
          <w:szCs w:val="21"/>
        </w:rPr>
      </w:pPr>
      <w:r>
        <w:rPr>
          <w:rFonts w:hint="eastAsia" w:ascii="宋体" w:hAnsi="宋体"/>
          <w:szCs w:val="21"/>
        </w:rPr>
        <w:t>附件</w:t>
      </w:r>
      <w:r>
        <w:rPr>
          <w:rFonts w:ascii="宋体" w:hAnsi="宋体"/>
          <w:szCs w:val="21"/>
        </w:rPr>
        <w:t>4</w:t>
      </w:r>
      <w:r>
        <w:rPr>
          <w:rFonts w:hint="eastAsia" w:ascii="宋体" w:hAnsi="宋体"/>
          <w:szCs w:val="21"/>
        </w:rPr>
        <w:t>-2 湖南省政府采购供应商资格承诺函(格式)</w:t>
      </w:r>
    </w:p>
    <w:p w14:paraId="52C74536">
      <w:pPr>
        <w:tabs>
          <w:tab w:val="left" w:pos="4725"/>
        </w:tabs>
        <w:adjustRightInd w:val="0"/>
        <w:snapToGrid w:val="0"/>
        <w:spacing w:before="156" w:beforeLines="50" w:line="360" w:lineRule="auto"/>
        <w:ind w:firstLine="735" w:firstLineChars="350"/>
        <w:rPr>
          <w:rFonts w:ascii="宋体" w:hAnsi="宋体"/>
          <w:szCs w:val="21"/>
        </w:rPr>
      </w:pPr>
      <w:r>
        <w:rPr>
          <w:rFonts w:hint="eastAsia" w:ascii="宋体" w:hAnsi="宋体"/>
          <w:szCs w:val="21"/>
        </w:rPr>
        <w:t>附件</w:t>
      </w:r>
      <w:r>
        <w:rPr>
          <w:rFonts w:ascii="宋体" w:hAnsi="宋体"/>
          <w:szCs w:val="21"/>
        </w:rPr>
        <w:t>4</w:t>
      </w:r>
      <w:r>
        <w:rPr>
          <w:rFonts w:hint="eastAsia" w:ascii="宋体" w:hAnsi="宋体"/>
          <w:szCs w:val="21"/>
        </w:rPr>
        <w:t>-3 符合特定资格条件证明材料复印件或者情况说明</w:t>
      </w:r>
    </w:p>
    <w:p w14:paraId="6C608B39">
      <w:pPr>
        <w:tabs>
          <w:tab w:val="left" w:pos="4725"/>
        </w:tabs>
        <w:adjustRightInd w:val="0"/>
        <w:snapToGrid w:val="0"/>
        <w:spacing w:before="156" w:beforeLines="50" w:line="360" w:lineRule="auto"/>
        <w:ind w:firstLine="735" w:firstLineChars="350"/>
        <w:rPr>
          <w:rFonts w:hint="eastAsia" w:ascii="宋体" w:hAnsi="宋体" w:eastAsia="宋体" w:cs="Times New Roman"/>
          <w:szCs w:val="21"/>
        </w:rPr>
      </w:pPr>
      <w:r>
        <w:rPr>
          <w:rFonts w:hint="eastAsia" w:ascii="宋体" w:hAnsi="宋体"/>
          <w:szCs w:val="21"/>
        </w:rPr>
        <w:t>附件</w:t>
      </w:r>
      <w:r>
        <w:rPr>
          <w:rFonts w:ascii="宋体" w:hAnsi="宋体"/>
          <w:szCs w:val="21"/>
        </w:rPr>
        <w:t>4</w:t>
      </w:r>
      <w:r>
        <w:rPr>
          <w:rFonts w:hint="eastAsia" w:ascii="宋体" w:hAnsi="宋体"/>
          <w:szCs w:val="21"/>
        </w:rPr>
        <w:t>-4 联合体协议书（格式）（</w:t>
      </w:r>
      <w:r>
        <w:rPr>
          <w:rFonts w:hint="eastAsia" w:ascii="宋体" w:hAnsi="宋体" w:eastAsia="宋体" w:cs="Times New Roman"/>
          <w:szCs w:val="21"/>
        </w:rPr>
        <w:t>联合体形式投标的提供）</w:t>
      </w:r>
    </w:p>
    <w:p w14:paraId="01A7DED4">
      <w:pPr>
        <w:tabs>
          <w:tab w:val="left" w:pos="4725"/>
        </w:tabs>
        <w:adjustRightInd w:val="0"/>
        <w:snapToGrid w:val="0"/>
        <w:spacing w:before="156" w:beforeLines="50" w:line="360" w:lineRule="auto"/>
        <w:ind w:firstLine="735" w:firstLineChars="350"/>
        <w:rPr>
          <w:rFonts w:hint="eastAsia" w:ascii="宋体" w:hAnsi="宋体" w:eastAsia="宋体" w:cs="Times New Roman"/>
          <w:szCs w:val="21"/>
        </w:rPr>
      </w:pPr>
      <w:r>
        <w:rPr>
          <w:rFonts w:hint="eastAsia" w:ascii="宋体" w:hAnsi="宋体" w:eastAsia="宋体" w:cs="Times New Roman"/>
          <w:szCs w:val="21"/>
        </w:rPr>
        <w:t>附件4-5投标人资格声明(格式)</w:t>
      </w:r>
    </w:p>
    <w:p w14:paraId="7EBB1737">
      <w:pPr>
        <w:tabs>
          <w:tab w:val="left" w:pos="4725"/>
        </w:tabs>
        <w:adjustRightInd w:val="0"/>
        <w:snapToGrid w:val="0"/>
        <w:spacing w:before="156" w:beforeLines="50" w:line="360" w:lineRule="auto"/>
        <w:ind w:firstLine="735" w:firstLineChars="350"/>
        <w:rPr>
          <w:rFonts w:hint="eastAsia" w:ascii="宋体" w:hAnsi="宋体" w:eastAsia="宋体" w:cs="Times New Roman"/>
          <w:szCs w:val="21"/>
        </w:rPr>
      </w:pPr>
      <w:r>
        <w:rPr>
          <w:rFonts w:hint="eastAsia" w:ascii="宋体" w:hAnsi="宋体" w:eastAsia="宋体" w:cs="Times New Roman"/>
          <w:szCs w:val="21"/>
        </w:rPr>
        <w:t>附件4-6 投标人信用查询</w:t>
      </w:r>
    </w:p>
    <w:p w14:paraId="6BF4212B">
      <w:pPr>
        <w:tabs>
          <w:tab w:val="left" w:pos="4725"/>
        </w:tabs>
        <w:adjustRightInd w:val="0"/>
        <w:snapToGrid w:val="0"/>
        <w:spacing w:before="156" w:beforeLines="50" w:line="360" w:lineRule="auto"/>
        <w:ind w:firstLine="735" w:firstLineChars="350"/>
        <w:rPr>
          <w:rFonts w:hint="eastAsia" w:ascii="宋体" w:hAnsi="宋体"/>
        </w:rPr>
      </w:pPr>
      <w:r>
        <w:rPr>
          <w:rFonts w:hint="eastAsia" w:ascii="宋体" w:hAnsi="宋体" w:eastAsia="宋体" w:cs="Times New Roman"/>
          <w:szCs w:val="21"/>
        </w:rPr>
        <w:t>附件4-</w:t>
      </w:r>
      <w:r>
        <w:rPr>
          <w:rFonts w:hint="eastAsia" w:ascii="宋体" w:hAnsi="宋体" w:eastAsia="宋体" w:cs="Times New Roman"/>
          <w:szCs w:val="21"/>
          <w:lang w:val="en-US" w:eastAsia="zh-CN"/>
        </w:rPr>
        <w:t>7</w:t>
      </w:r>
      <w:r>
        <w:rPr>
          <w:rFonts w:hint="eastAsia" w:ascii="宋体" w:hAnsi="宋体" w:eastAsia="宋体" w:cs="Times New Roman"/>
          <w:szCs w:val="21"/>
        </w:rPr>
        <w:t xml:space="preserve"> 资格条件更新材料（已进行资格预审的）</w:t>
      </w:r>
    </w:p>
    <w:p w14:paraId="64FF58BD">
      <w:pPr>
        <w:tabs>
          <w:tab w:val="left" w:pos="4725"/>
        </w:tabs>
        <w:adjustRightInd w:val="0"/>
        <w:snapToGrid w:val="0"/>
        <w:spacing w:before="156" w:beforeLines="50" w:line="360" w:lineRule="auto"/>
        <w:ind w:firstLine="420" w:firstLineChars="200"/>
        <w:rPr>
          <w:rFonts w:ascii="宋体" w:hAnsi="宋体" w:cs="宋体"/>
          <w:szCs w:val="21"/>
        </w:rPr>
      </w:pPr>
      <w:r>
        <w:rPr>
          <w:rFonts w:hint="eastAsia" w:ascii="宋体" w:hAnsi="宋体"/>
          <w:szCs w:val="21"/>
        </w:rPr>
        <w:t>2、</w:t>
      </w:r>
      <w:r>
        <w:rPr>
          <w:rFonts w:hint="eastAsia" w:ascii="宋体" w:hAnsi="宋体" w:cs="宋体"/>
          <w:szCs w:val="21"/>
        </w:rPr>
        <w:t>投标人以联合体形式投标的，除应提交联合协议书(本节附4-4)外，参加联合体的各方均应提交上款资格证明材料。</w:t>
      </w:r>
    </w:p>
    <w:p w14:paraId="3E5EE3B6">
      <w:pPr>
        <w:pStyle w:val="64"/>
      </w:pPr>
    </w:p>
    <w:p w14:paraId="0D67460F">
      <w:pPr>
        <w:tabs>
          <w:tab w:val="left" w:pos="4725"/>
        </w:tabs>
        <w:adjustRightInd w:val="0"/>
        <w:snapToGrid w:val="0"/>
        <w:spacing w:line="360" w:lineRule="auto"/>
        <w:rPr>
          <w:rFonts w:ascii="宋体" w:hAnsi="宋体" w:cs="宋体"/>
          <w:szCs w:val="21"/>
        </w:rPr>
      </w:pPr>
    </w:p>
    <w:p w14:paraId="4AE33499">
      <w:pPr>
        <w:pStyle w:val="4"/>
        <w:rPr>
          <w:rFonts w:ascii="黑体" w:hAnsi="仿宋" w:eastAsia="黑体" w:cs="宋体"/>
          <w:sz w:val="10"/>
          <w:szCs w:val="10"/>
        </w:rPr>
      </w:pPr>
      <w:r>
        <w:rPr>
          <w:rFonts w:ascii="黑体" w:hAnsi="仿宋" w:eastAsia="黑体" w:cs="宋体"/>
          <w:szCs w:val="21"/>
        </w:rPr>
        <w:br w:type="page"/>
      </w:r>
      <w:bookmarkStart w:id="160" w:name="_Toc227246849"/>
      <w:r>
        <w:rPr>
          <w:rFonts w:hint="eastAsia" w:ascii="宋体" w:hAnsi="宋体"/>
          <w:sz w:val="21"/>
          <w:szCs w:val="24"/>
        </w:rPr>
        <w:t>附件</w:t>
      </w:r>
      <w:r>
        <w:rPr>
          <w:rFonts w:ascii="宋体" w:hAnsi="宋体"/>
          <w:sz w:val="21"/>
          <w:szCs w:val="24"/>
        </w:rPr>
        <w:t>4</w:t>
      </w:r>
      <w:r>
        <w:rPr>
          <w:rFonts w:hint="eastAsia" w:ascii="宋体" w:hAnsi="宋体"/>
          <w:sz w:val="21"/>
          <w:szCs w:val="24"/>
        </w:rPr>
        <w:t>-1 法人或者其他组织的营业执照等主体资格证明文件，自然人的身份证明</w:t>
      </w:r>
      <w:bookmarkEnd w:id="160"/>
    </w:p>
    <w:p w14:paraId="36A56C02">
      <w:pPr>
        <w:widowControl/>
        <w:adjustRightInd w:val="0"/>
        <w:snapToGrid w:val="0"/>
        <w:spacing w:line="360" w:lineRule="auto"/>
        <w:jc w:val="center"/>
        <w:rPr>
          <w:rFonts w:ascii="黑体" w:hAnsi="仿宋" w:eastAsia="黑体" w:cs="宋体"/>
          <w:b/>
          <w:sz w:val="28"/>
          <w:szCs w:val="28"/>
        </w:rPr>
      </w:pPr>
    </w:p>
    <w:p w14:paraId="65C0B832">
      <w:pPr>
        <w:widowControl/>
        <w:adjustRightInd w:val="0"/>
        <w:snapToGrid w:val="0"/>
        <w:spacing w:line="360" w:lineRule="auto"/>
        <w:jc w:val="center"/>
        <w:rPr>
          <w:rFonts w:ascii="黑体" w:hAnsi="仿宋" w:eastAsia="黑体" w:cs="宋体"/>
          <w:b/>
          <w:sz w:val="28"/>
          <w:szCs w:val="28"/>
        </w:rPr>
      </w:pPr>
      <w:r>
        <w:rPr>
          <w:rFonts w:hint="eastAsia" w:ascii="黑体" w:hAnsi="仿宋" w:eastAsia="黑体" w:cs="宋体"/>
          <w:b/>
          <w:sz w:val="28"/>
          <w:szCs w:val="28"/>
        </w:rPr>
        <w:t>法人或者其他组织的营业执照等主体资格证明文件，自然人的身份证明</w:t>
      </w:r>
    </w:p>
    <w:p w14:paraId="336B9F65">
      <w:pPr>
        <w:widowControl/>
        <w:adjustRightInd w:val="0"/>
        <w:snapToGrid w:val="0"/>
        <w:spacing w:before="156" w:beforeLines="50" w:line="360" w:lineRule="auto"/>
        <w:ind w:firstLine="420" w:firstLineChars="200"/>
        <w:jc w:val="left"/>
        <w:rPr>
          <w:rFonts w:ascii="宋体" w:hAnsi="宋体" w:cs="宋体"/>
          <w:szCs w:val="21"/>
        </w:rPr>
      </w:pPr>
    </w:p>
    <w:p w14:paraId="22655591">
      <w:pPr>
        <w:adjustRightInd w:val="0"/>
        <w:snapToGrid w:val="0"/>
        <w:spacing w:before="156" w:beforeLines="50" w:line="360" w:lineRule="auto"/>
        <w:ind w:firstLine="420" w:firstLineChars="200"/>
        <w:rPr>
          <w:rFonts w:ascii="宋体" w:hAnsi="宋体" w:cs="宋体"/>
          <w:szCs w:val="21"/>
        </w:rPr>
      </w:pPr>
      <w:r>
        <w:rPr>
          <w:rFonts w:hint="eastAsia" w:ascii="宋体" w:hAnsi="宋体" w:cs="宋体"/>
          <w:szCs w:val="21"/>
        </w:rPr>
        <w:t>注：按第二章第</w:t>
      </w:r>
      <w:r>
        <w:rPr>
          <w:rFonts w:ascii="宋体" w:hAnsi="宋体" w:cs="宋体"/>
          <w:szCs w:val="21"/>
        </w:rPr>
        <w:t>1</w:t>
      </w:r>
      <w:r>
        <w:rPr>
          <w:rFonts w:hint="eastAsia" w:ascii="宋体" w:hAnsi="宋体" w:cs="宋体"/>
          <w:szCs w:val="21"/>
        </w:rPr>
        <w:t>4</w:t>
      </w:r>
      <w:r>
        <w:rPr>
          <w:rFonts w:ascii="宋体" w:hAnsi="宋体" w:cs="宋体"/>
          <w:szCs w:val="21"/>
        </w:rPr>
        <w:t>.1</w:t>
      </w:r>
      <w:r>
        <w:rPr>
          <w:rFonts w:hint="eastAsia" w:ascii="宋体" w:hAnsi="宋体" w:cs="宋体"/>
          <w:szCs w:val="21"/>
        </w:rPr>
        <w:t>（1）项要求提供。</w:t>
      </w:r>
    </w:p>
    <w:p w14:paraId="1D25A6B6">
      <w:pPr>
        <w:adjustRightInd w:val="0"/>
        <w:snapToGrid w:val="0"/>
        <w:spacing w:before="156" w:beforeLines="50" w:line="360" w:lineRule="auto"/>
        <w:ind w:firstLine="420" w:firstLineChars="200"/>
        <w:rPr>
          <w:rFonts w:ascii="宋体" w:hAnsi="宋体"/>
        </w:rPr>
      </w:pPr>
      <w:r>
        <w:rPr>
          <w:rFonts w:hint="eastAsia" w:ascii="宋体" w:hAnsi="宋体" w:cs="宋体"/>
          <w:szCs w:val="21"/>
        </w:rPr>
        <w:t>（1）</w:t>
      </w:r>
      <w:r>
        <w:rPr>
          <w:rFonts w:hint="eastAsia" w:ascii="宋体" w:hAnsi="宋体"/>
        </w:rPr>
        <w:t>投标人为法人的，应提交营业执照或法人登记证书的复印件；</w:t>
      </w:r>
    </w:p>
    <w:p w14:paraId="3B688D80">
      <w:pPr>
        <w:adjustRightInd w:val="0"/>
        <w:snapToGrid w:val="0"/>
        <w:spacing w:before="156" w:beforeLines="50" w:line="360" w:lineRule="auto"/>
        <w:ind w:firstLine="420" w:firstLineChars="200"/>
        <w:rPr>
          <w:rFonts w:ascii="宋体" w:hAnsi="宋体"/>
        </w:rPr>
      </w:pPr>
      <w:r>
        <w:rPr>
          <w:rFonts w:hint="eastAsia" w:ascii="宋体" w:hAnsi="宋体" w:cs="宋体"/>
          <w:szCs w:val="21"/>
        </w:rPr>
        <w:t>（2）</w:t>
      </w:r>
      <w:r>
        <w:rPr>
          <w:rFonts w:hint="eastAsia" w:ascii="宋体" w:hAnsi="宋体"/>
        </w:rPr>
        <w:t>投标人为非法人组织的，应提交依法登记证书复印件；</w:t>
      </w:r>
    </w:p>
    <w:p w14:paraId="787BCEF7">
      <w:pPr>
        <w:adjustRightInd w:val="0"/>
        <w:snapToGrid w:val="0"/>
        <w:spacing w:before="156" w:beforeLines="50" w:line="360" w:lineRule="auto"/>
        <w:ind w:firstLine="420" w:firstLineChars="200"/>
        <w:rPr>
          <w:rFonts w:ascii="宋体" w:hAnsi="宋体"/>
        </w:rPr>
      </w:pPr>
      <w:r>
        <w:rPr>
          <w:rFonts w:hint="eastAsia" w:ascii="宋体" w:hAnsi="宋体" w:cs="宋体"/>
          <w:szCs w:val="21"/>
        </w:rPr>
        <w:t>（3）</w:t>
      </w:r>
      <w:r>
        <w:rPr>
          <w:rFonts w:hint="eastAsia" w:ascii="宋体" w:hAnsi="宋体"/>
        </w:rPr>
        <w:t>投标人为个体工商户的，应提交个体工商户营业执照复印件；</w:t>
      </w:r>
    </w:p>
    <w:p w14:paraId="60E3F4E9">
      <w:pPr>
        <w:adjustRightInd w:val="0"/>
        <w:snapToGrid w:val="0"/>
        <w:spacing w:before="156" w:beforeLines="50" w:line="360" w:lineRule="auto"/>
        <w:ind w:firstLine="420" w:firstLineChars="200"/>
        <w:rPr>
          <w:rFonts w:ascii="宋体" w:hAnsi="宋体"/>
        </w:rPr>
      </w:pPr>
      <w:r>
        <w:rPr>
          <w:rFonts w:hint="eastAsia" w:ascii="宋体" w:hAnsi="宋体" w:cs="宋体"/>
          <w:szCs w:val="21"/>
        </w:rPr>
        <w:t>（4）</w:t>
      </w:r>
      <w:r>
        <w:rPr>
          <w:rFonts w:hint="eastAsia" w:ascii="宋体" w:hAnsi="宋体"/>
        </w:rPr>
        <w:t>投标人为自然人的，应提交自然人的身份证明复印件。</w:t>
      </w:r>
    </w:p>
    <w:p w14:paraId="1EFBDAB3">
      <w:pPr>
        <w:adjustRightInd w:val="0"/>
        <w:snapToGrid w:val="0"/>
        <w:spacing w:before="156" w:beforeLines="50" w:line="360" w:lineRule="auto"/>
        <w:ind w:firstLine="420" w:firstLineChars="200"/>
        <w:rPr>
          <w:rFonts w:ascii="宋体" w:hAnsi="宋体"/>
        </w:rPr>
      </w:pPr>
    </w:p>
    <w:p w14:paraId="203A7837">
      <w:pPr>
        <w:pStyle w:val="4"/>
        <w:rPr>
          <w:rFonts w:ascii="黑体" w:hAnsi="仿宋" w:eastAsia="黑体" w:cs="宋体"/>
          <w:bCs w:val="0"/>
          <w:sz w:val="10"/>
          <w:szCs w:val="10"/>
        </w:rPr>
      </w:pPr>
      <w:r>
        <w:rPr>
          <w:rFonts w:ascii="黑体" w:hAnsi="仿宋" w:cs="宋体"/>
          <w:b w:val="0"/>
          <w:szCs w:val="21"/>
        </w:rPr>
        <w:br w:type="page"/>
      </w:r>
      <w:bookmarkStart w:id="161" w:name="_Toc227246850"/>
      <w:r>
        <w:rPr>
          <w:rFonts w:hint="eastAsia" w:ascii="宋体" w:hAnsi="宋体"/>
          <w:sz w:val="21"/>
          <w:szCs w:val="24"/>
        </w:rPr>
        <w:t>附件</w:t>
      </w:r>
      <w:r>
        <w:rPr>
          <w:rFonts w:ascii="宋体" w:hAnsi="宋体"/>
          <w:sz w:val="21"/>
          <w:szCs w:val="24"/>
        </w:rPr>
        <w:t>4</w:t>
      </w:r>
      <w:r>
        <w:rPr>
          <w:rFonts w:hint="eastAsia" w:ascii="宋体" w:hAnsi="宋体"/>
          <w:sz w:val="21"/>
          <w:szCs w:val="24"/>
        </w:rPr>
        <w:t>-2 湖南省政府采购供应商资格承诺函(格式)</w:t>
      </w:r>
      <w:bookmarkEnd w:id="161"/>
    </w:p>
    <w:p w14:paraId="3BED7D0A">
      <w:pPr>
        <w:widowControl/>
        <w:adjustRightInd w:val="0"/>
        <w:snapToGrid w:val="0"/>
        <w:spacing w:before="468" w:beforeLines="150" w:line="360" w:lineRule="auto"/>
        <w:jc w:val="center"/>
        <w:rPr>
          <w:rFonts w:ascii="宋体" w:hAnsi="宋体" w:cs="宋体"/>
          <w:szCs w:val="21"/>
        </w:rPr>
      </w:pPr>
      <w:r>
        <w:rPr>
          <w:rFonts w:hint="eastAsia" w:ascii="黑体" w:hAnsi="仿宋" w:eastAsia="黑体" w:cs="宋体"/>
          <w:b/>
          <w:sz w:val="28"/>
          <w:szCs w:val="28"/>
        </w:rPr>
        <w:t>湖南省政府采购供应商资格承诺函(格式)</w:t>
      </w:r>
    </w:p>
    <w:p w14:paraId="2BCDC50F">
      <w:pPr>
        <w:widowControl/>
        <w:spacing w:before="156" w:beforeLines="50" w:line="360" w:lineRule="auto"/>
        <w:ind w:firstLine="420" w:firstLineChars="200"/>
        <w:jc w:val="left"/>
        <w:rPr>
          <w:rFonts w:ascii="宋体" w:hAnsi="宋体" w:cs="宋体"/>
          <w:szCs w:val="21"/>
        </w:rPr>
      </w:pPr>
      <w:r>
        <w:rPr>
          <w:rFonts w:hint="eastAsia" w:ascii="宋体" w:hAnsi="宋体" w:cs="宋体"/>
          <w:szCs w:val="21"/>
        </w:rPr>
        <w:t>本公司独立承担民事责任、具有良好的商业信誉和健全的财务会计制度、依法缴纳税收和社会保障资金,在前三年的经营活动中无重大违法记录,未列入严重失信行为名单,符合政府采购供应商的基本资格要求。</w:t>
      </w:r>
    </w:p>
    <w:p w14:paraId="796E79D0">
      <w:pPr>
        <w:widowControl/>
        <w:spacing w:before="156" w:beforeLines="50" w:line="360" w:lineRule="auto"/>
        <w:ind w:firstLine="630" w:firstLineChars="300"/>
        <w:jc w:val="left"/>
        <w:rPr>
          <w:rFonts w:ascii="宋体" w:hAnsi="宋体" w:cs="宋体"/>
          <w:szCs w:val="21"/>
        </w:rPr>
      </w:pPr>
      <w:r>
        <w:rPr>
          <w:rFonts w:hint="eastAsia" w:ascii="宋体" w:hAnsi="宋体" w:cs="宋体"/>
          <w:szCs w:val="21"/>
        </w:rPr>
        <w:t>按照《政府采购促进中小企业发展管理办法》(财库〔2020〕46号),本公司企业规模为:</w:t>
      </w:r>
    </w:p>
    <w:p w14:paraId="79C38C44">
      <w:pPr>
        <w:widowControl/>
        <w:spacing w:before="156" w:beforeLines="50" w:line="360" w:lineRule="auto"/>
        <w:ind w:firstLine="420" w:firstLineChars="200"/>
        <w:jc w:val="left"/>
        <w:rPr>
          <w:rFonts w:hint="eastAsia" w:ascii="宋体" w:hAnsi="宋体" w:cs="宋体"/>
          <w:szCs w:val="21"/>
        </w:rPr>
      </w:pPr>
      <w:r>
        <w:rPr>
          <w:rFonts w:hint="eastAsia" w:ascii="宋体" w:hAnsi="宋体" w:cs="宋体"/>
          <w:szCs w:val="21"/>
        </w:rPr>
        <w:t>口大型、 口中型 、  □小型  、 □微型。（用在</w:t>
      </w:r>
      <w:r>
        <w:rPr>
          <w:rFonts w:ascii="宋体" w:hAnsi="宋体" w:cs="宋体"/>
          <w:szCs w:val="21"/>
        </w:rPr>
        <w:t>“</w:t>
      </w:r>
      <w:r>
        <w:rPr>
          <w:rFonts w:hint="eastAsia" w:ascii="宋体" w:hAnsi="宋体" w:cs="宋体"/>
          <w:szCs w:val="21"/>
        </w:rPr>
        <w:t>□</w:t>
      </w:r>
      <w:r>
        <w:rPr>
          <w:rFonts w:ascii="宋体" w:hAnsi="宋体" w:cs="宋体"/>
          <w:szCs w:val="21"/>
        </w:rPr>
        <w:t>”内打</w:t>
      </w:r>
      <w:r>
        <w:rPr>
          <w:rFonts w:ascii="宋体" w:hAnsi="宋体" w:cs="宋体"/>
          <w:b/>
          <w:szCs w:val="21"/>
          <w:bdr w:val="single" w:color="auto" w:sz="4" w:space="0"/>
        </w:rPr>
        <w:t>√</w:t>
      </w:r>
      <w:r>
        <w:rPr>
          <w:rFonts w:hint="eastAsia" w:ascii="宋体" w:hAnsi="宋体" w:cs="宋体"/>
          <w:szCs w:val="21"/>
        </w:rPr>
        <w:t>标识</w:t>
      </w:r>
      <w:r>
        <w:rPr>
          <w:rFonts w:ascii="宋体" w:hAnsi="宋体" w:cs="宋体"/>
          <w:szCs w:val="21"/>
        </w:rPr>
        <w:t>为选择启用）</w:t>
      </w:r>
    </w:p>
    <w:p w14:paraId="644C7D39">
      <w:pPr>
        <w:widowControl/>
        <w:spacing w:before="156" w:beforeLines="50" w:line="360" w:lineRule="auto"/>
        <w:ind w:firstLine="420" w:firstLineChars="200"/>
        <w:jc w:val="left"/>
        <w:rPr>
          <w:rFonts w:ascii="宋体" w:hAnsi="宋体"/>
          <w:szCs w:val="21"/>
          <w:u w:val="single"/>
        </w:rPr>
      </w:pPr>
      <w:r>
        <w:rPr>
          <w:rFonts w:hint="eastAsia" w:ascii="宋体" w:hAnsi="宋体" w:cs="宋体"/>
          <w:szCs w:val="21"/>
        </w:rPr>
        <w:t>机构代码、</w:t>
      </w:r>
      <w:r>
        <w:rPr>
          <w:rFonts w:hint="eastAsia" w:ascii="宋体" w:hAnsi="宋体"/>
          <w:szCs w:val="21"/>
          <w:u w:val="single"/>
        </w:rPr>
        <w:t xml:space="preserve">                 </w:t>
      </w:r>
      <w:r>
        <w:rPr>
          <w:rFonts w:hint="eastAsia" w:ascii="宋体" w:hAnsi="宋体" w:cs="宋体"/>
          <w:szCs w:val="21"/>
        </w:rPr>
        <w:t>注册登记机构、</w:t>
      </w:r>
      <w:r>
        <w:rPr>
          <w:rFonts w:hint="eastAsia" w:ascii="宋体" w:hAnsi="宋体"/>
          <w:szCs w:val="21"/>
          <w:u w:val="single"/>
        </w:rPr>
        <w:t xml:space="preserve">                 </w:t>
      </w:r>
    </w:p>
    <w:p w14:paraId="0D4017E9">
      <w:pPr>
        <w:widowControl/>
        <w:spacing w:before="156" w:beforeLines="50" w:line="360" w:lineRule="auto"/>
        <w:ind w:firstLine="420" w:firstLineChars="200"/>
        <w:jc w:val="left"/>
        <w:rPr>
          <w:rFonts w:ascii="宋体" w:hAnsi="宋体"/>
          <w:szCs w:val="21"/>
          <w:u w:val="single"/>
        </w:rPr>
      </w:pPr>
      <w:r>
        <w:rPr>
          <w:rFonts w:hint="eastAsia" w:ascii="宋体" w:hAnsi="宋体" w:cs="宋体"/>
          <w:szCs w:val="21"/>
        </w:rPr>
        <w:t>日期</w:t>
      </w:r>
      <w:r>
        <w:rPr>
          <w:rFonts w:hint="eastAsia" w:ascii="宋体" w:hAnsi="宋体"/>
          <w:szCs w:val="21"/>
          <w:u w:val="single"/>
        </w:rPr>
        <w:t xml:space="preserve">                 </w:t>
      </w:r>
      <w:r>
        <w:rPr>
          <w:rFonts w:hint="eastAsia" w:ascii="宋体" w:hAnsi="宋体"/>
          <w:szCs w:val="21"/>
        </w:rPr>
        <w:t>、</w:t>
      </w:r>
      <w:r>
        <w:rPr>
          <w:rFonts w:hint="eastAsia" w:ascii="宋体" w:hAnsi="宋体" w:cs="宋体"/>
          <w:szCs w:val="21"/>
        </w:rPr>
        <w:t>有效期</w:t>
      </w:r>
      <w:r>
        <w:rPr>
          <w:rFonts w:hint="eastAsia" w:ascii="宋体" w:hAnsi="宋体"/>
          <w:szCs w:val="21"/>
          <w:u w:val="single"/>
        </w:rPr>
        <w:t xml:space="preserve">                 </w:t>
      </w:r>
      <w:r>
        <w:rPr>
          <w:rFonts w:hint="eastAsia" w:ascii="宋体" w:hAnsi="宋体"/>
          <w:szCs w:val="21"/>
        </w:rPr>
        <w:t>、</w:t>
      </w:r>
      <w:r>
        <w:rPr>
          <w:rFonts w:hint="eastAsia" w:ascii="宋体" w:hAnsi="宋体" w:cs="宋体"/>
          <w:szCs w:val="21"/>
        </w:rPr>
        <w:t>注册资本</w:t>
      </w:r>
      <w:r>
        <w:rPr>
          <w:rFonts w:hint="eastAsia" w:ascii="宋体" w:hAnsi="宋体"/>
          <w:szCs w:val="21"/>
          <w:u w:val="single"/>
        </w:rPr>
        <w:t xml:space="preserve">                 </w:t>
      </w:r>
      <w:r>
        <w:rPr>
          <w:rFonts w:hint="eastAsia" w:ascii="宋体" w:hAnsi="宋体"/>
          <w:szCs w:val="21"/>
        </w:rPr>
        <w:t>、</w:t>
      </w:r>
    </w:p>
    <w:p w14:paraId="45A49EC0">
      <w:pPr>
        <w:widowControl/>
        <w:spacing w:before="156" w:beforeLines="50" w:line="360" w:lineRule="auto"/>
        <w:ind w:firstLine="420" w:firstLineChars="200"/>
        <w:jc w:val="left"/>
        <w:rPr>
          <w:rFonts w:ascii="宋体" w:hAnsi="宋体" w:cs="宋体"/>
          <w:szCs w:val="21"/>
        </w:rPr>
      </w:pPr>
      <w:r>
        <w:rPr>
          <w:rFonts w:hint="eastAsia" w:ascii="宋体" w:hAnsi="宋体" w:cs="宋体"/>
          <w:szCs w:val="21"/>
        </w:rPr>
        <w:t>地 址</w:t>
      </w:r>
      <w:r>
        <w:rPr>
          <w:rFonts w:hint="eastAsia" w:ascii="宋体" w:hAnsi="宋体"/>
          <w:szCs w:val="21"/>
          <w:u w:val="single"/>
        </w:rPr>
        <w:t xml:space="preserve">                 </w:t>
      </w:r>
      <w:r>
        <w:rPr>
          <w:rFonts w:hint="eastAsia" w:ascii="宋体" w:hAnsi="宋体" w:cs="宋体"/>
          <w:szCs w:val="21"/>
        </w:rPr>
        <w:t>、经济行业</w:t>
      </w:r>
      <w:r>
        <w:rPr>
          <w:rFonts w:hint="eastAsia" w:ascii="宋体" w:hAnsi="宋体"/>
          <w:szCs w:val="21"/>
          <w:u w:val="single"/>
        </w:rPr>
        <w:t xml:space="preserve">                 </w:t>
      </w:r>
      <w:r>
        <w:rPr>
          <w:rFonts w:hint="eastAsia" w:ascii="宋体" w:hAnsi="宋体" w:cs="宋体"/>
          <w:szCs w:val="21"/>
        </w:rPr>
        <w:t>、经济性质</w:t>
      </w:r>
      <w:r>
        <w:rPr>
          <w:rFonts w:hint="eastAsia" w:ascii="宋体" w:hAnsi="宋体"/>
          <w:szCs w:val="21"/>
          <w:u w:val="single"/>
        </w:rPr>
        <w:t xml:space="preserve">                 </w:t>
      </w:r>
    </w:p>
    <w:p w14:paraId="1513CDD8">
      <w:pPr>
        <w:widowControl/>
        <w:spacing w:before="156" w:beforeLines="50" w:line="360" w:lineRule="auto"/>
        <w:ind w:firstLine="3990" w:firstLineChars="1900"/>
        <w:jc w:val="left"/>
        <w:rPr>
          <w:rFonts w:ascii="宋体" w:hAnsi="宋体" w:cs="宋体"/>
          <w:color w:val="FF0000"/>
          <w:szCs w:val="21"/>
        </w:rPr>
      </w:pPr>
    </w:p>
    <w:p w14:paraId="05ACEE93">
      <w:pPr>
        <w:widowControl/>
        <w:spacing w:before="156" w:beforeLines="50" w:line="360" w:lineRule="auto"/>
        <w:ind w:firstLine="3990" w:firstLineChars="1900"/>
        <w:jc w:val="left"/>
        <w:rPr>
          <w:rFonts w:ascii="宋体" w:hAnsi="宋体" w:cs="宋体"/>
          <w:color w:val="FF0000"/>
          <w:szCs w:val="21"/>
        </w:rPr>
      </w:pPr>
      <w:r>
        <w:rPr>
          <w:rFonts w:hint="eastAsia" w:ascii="宋体" w:hAnsi="宋体" w:cs="宋体"/>
          <w:color w:val="FF0000"/>
          <w:szCs w:val="21"/>
        </w:rPr>
        <w:t>公司(单位)名称(盖章)：</w:t>
      </w:r>
      <w:r>
        <w:rPr>
          <w:rFonts w:hint="eastAsia" w:ascii="宋体" w:hAnsi="宋体"/>
          <w:color w:val="FF0000"/>
          <w:szCs w:val="21"/>
          <w:u w:val="single"/>
        </w:rPr>
        <w:t xml:space="preserve">                 </w:t>
      </w:r>
    </w:p>
    <w:p w14:paraId="576DC9BF">
      <w:pPr>
        <w:widowControl/>
        <w:spacing w:before="156" w:beforeLines="50" w:line="360" w:lineRule="auto"/>
        <w:ind w:firstLine="420" w:firstLineChars="200"/>
        <w:jc w:val="left"/>
        <w:rPr>
          <w:rFonts w:ascii="宋体" w:hAnsi="宋体" w:cs="宋体"/>
          <w:color w:val="FF0000"/>
          <w:szCs w:val="21"/>
        </w:rPr>
      </w:pPr>
    </w:p>
    <w:p w14:paraId="0834A34F">
      <w:pPr>
        <w:widowControl/>
        <w:spacing w:before="156" w:beforeLines="50" w:line="360" w:lineRule="auto"/>
        <w:ind w:firstLine="420" w:firstLineChars="200"/>
        <w:jc w:val="left"/>
        <w:rPr>
          <w:rFonts w:ascii="宋体" w:hAnsi="宋体" w:cs="宋体"/>
          <w:color w:val="FF0000"/>
          <w:szCs w:val="21"/>
        </w:rPr>
      </w:pPr>
      <w:r>
        <w:rPr>
          <w:rFonts w:hint="eastAsia" w:ascii="宋体" w:hAnsi="宋体" w:cs="宋体"/>
          <w:color w:val="FF0000"/>
          <w:szCs w:val="21"/>
        </w:rPr>
        <w:t>法定代表人(负责人)姓名(签字)</w:t>
      </w:r>
      <w:r>
        <w:rPr>
          <w:rFonts w:hint="eastAsia" w:ascii="宋体" w:hAnsi="宋体"/>
          <w:color w:val="FF0000"/>
          <w:szCs w:val="21"/>
          <w:u w:val="single"/>
        </w:rPr>
        <w:t xml:space="preserve">                 </w:t>
      </w:r>
      <w:r>
        <w:rPr>
          <w:rFonts w:hint="eastAsia" w:ascii="宋体" w:hAnsi="宋体" w:cs="宋体"/>
          <w:color w:val="FF0000"/>
          <w:szCs w:val="21"/>
        </w:rPr>
        <w:t>、</w:t>
      </w:r>
    </w:p>
    <w:p w14:paraId="5500E52C">
      <w:pPr>
        <w:widowControl/>
        <w:spacing w:before="156" w:beforeLines="50" w:line="360" w:lineRule="auto"/>
        <w:ind w:firstLine="420" w:firstLineChars="200"/>
        <w:jc w:val="left"/>
        <w:rPr>
          <w:rFonts w:ascii="宋体" w:hAnsi="宋体" w:cs="宋体"/>
          <w:szCs w:val="21"/>
        </w:rPr>
      </w:pPr>
      <w:r>
        <w:rPr>
          <w:rFonts w:hint="eastAsia" w:ascii="宋体" w:hAnsi="宋体" w:cs="宋体"/>
          <w:szCs w:val="21"/>
        </w:rPr>
        <w:t>身份证号</w:t>
      </w:r>
      <w:r>
        <w:rPr>
          <w:rFonts w:hint="eastAsia" w:ascii="宋体" w:hAnsi="宋体"/>
          <w:szCs w:val="21"/>
          <w:u w:val="single"/>
        </w:rPr>
        <w:t xml:space="preserve">                 </w:t>
      </w:r>
      <w:r>
        <w:rPr>
          <w:rFonts w:hint="eastAsia" w:ascii="宋体" w:hAnsi="宋体" w:cs="宋体"/>
          <w:szCs w:val="21"/>
        </w:rPr>
        <w:t>、手机号:</w:t>
      </w:r>
      <w:r>
        <w:rPr>
          <w:rFonts w:hint="eastAsia" w:ascii="宋体" w:hAnsi="宋体"/>
          <w:szCs w:val="21"/>
          <w:u w:val="single"/>
        </w:rPr>
        <w:t xml:space="preserve">                 </w:t>
      </w:r>
    </w:p>
    <w:p w14:paraId="60C0C10F">
      <w:pPr>
        <w:widowControl/>
        <w:spacing w:before="156" w:beforeLines="50" w:line="360" w:lineRule="auto"/>
        <w:ind w:firstLine="420" w:firstLineChars="200"/>
        <w:jc w:val="left"/>
        <w:rPr>
          <w:rFonts w:ascii="宋体" w:hAnsi="宋体" w:cs="宋体"/>
          <w:color w:val="FF0000"/>
          <w:szCs w:val="21"/>
        </w:rPr>
      </w:pPr>
      <w:r>
        <w:rPr>
          <w:rFonts w:hint="eastAsia" w:ascii="宋体" w:hAnsi="宋体" w:cs="宋体"/>
          <w:color w:val="FF0000"/>
          <w:szCs w:val="21"/>
        </w:rPr>
        <w:t>授权代表人姓名(签字)</w:t>
      </w:r>
      <w:r>
        <w:rPr>
          <w:rFonts w:hint="eastAsia" w:ascii="宋体" w:hAnsi="宋体"/>
          <w:color w:val="FF0000"/>
          <w:szCs w:val="21"/>
          <w:u w:val="single"/>
        </w:rPr>
        <w:t xml:space="preserve">                 </w:t>
      </w:r>
      <w:r>
        <w:rPr>
          <w:rFonts w:hint="eastAsia" w:ascii="宋体" w:hAnsi="宋体" w:cs="宋体"/>
          <w:color w:val="FF0000"/>
          <w:szCs w:val="21"/>
        </w:rPr>
        <w:t>、</w:t>
      </w:r>
    </w:p>
    <w:p w14:paraId="277824FA">
      <w:pPr>
        <w:widowControl/>
        <w:spacing w:before="156" w:beforeLines="50" w:line="360" w:lineRule="auto"/>
        <w:ind w:firstLine="420" w:firstLineChars="200"/>
        <w:jc w:val="left"/>
        <w:rPr>
          <w:rFonts w:ascii="宋体" w:hAnsi="宋体" w:cs="宋体"/>
          <w:szCs w:val="21"/>
        </w:rPr>
      </w:pPr>
      <w:r>
        <w:rPr>
          <w:rFonts w:hint="eastAsia" w:ascii="宋体" w:hAnsi="宋体" w:cs="宋体"/>
          <w:szCs w:val="21"/>
        </w:rPr>
        <w:t>身份证号</w:t>
      </w:r>
      <w:r>
        <w:rPr>
          <w:rFonts w:hint="eastAsia" w:ascii="宋体" w:hAnsi="宋体"/>
          <w:szCs w:val="21"/>
          <w:u w:val="single"/>
        </w:rPr>
        <w:t xml:space="preserve">                 </w:t>
      </w:r>
      <w:r>
        <w:rPr>
          <w:rFonts w:hint="eastAsia" w:ascii="宋体" w:hAnsi="宋体" w:cs="宋体"/>
          <w:szCs w:val="21"/>
        </w:rPr>
        <w:t>、手机号:</w:t>
      </w:r>
      <w:r>
        <w:rPr>
          <w:rFonts w:hint="eastAsia" w:ascii="宋体" w:hAnsi="宋体"/>
          <w:szCs w:val="21"/>
          <w:u w:val="single"/>
        </w:rPr>
        <w:t xml:space="preserve">                 </w:t>
      </w:r>
    </w:p>
    <w:p w14:paraId="0E15002B">
      <w:pPr>
        <w:widowControl/>
        <w:spacing w:before="156" w:beforeLines="50" w:line="360" w:lineRule="auto"/>
        <w:ind w:firstLine="420" w:firstLineChars="200"/>
        <w:jc w:val="left"/>
        <w:rPr>
          <w:rFonts w:ascii="宋体" w:hAnsi="宋体" w:cs="宋体"/>
          <w:szCs w:val="21"/>
        </w:rPr>
      </w:pPr>
    </w:p>
    <w:p w14:paraId="6C00C6BD">
      <w:pPr>
        <w:pStyle w:val="4"/>
        <w:rPr>
          <w:rFonts w:ascii="黑体" w:hAnsi="仿宋" w:eastAsia="黑体" w:cs="宋体"/>
          <w:bCs w:val="0"/>
          <w:sz w:val="10"/>
          <w:szCs w:val="10"/>
        </w:rPr>
      </w:pPr>
      <w:r>
        <w:rPr>
          <w:rFonts w:ascii="黑体" w:hAnsi="仿宋" w:cs="宋体"/>
          <w:b w:val="0"/>
          <w:szCs w:val="21"/>
        </w:rPr>
        <w:br w:type="page"/>
      </w:r>
      <w:bookmarkStart w:id="162" w:name="_Toc227246851"/>
      <w:r>
        <w:rPr>
          <w:rFonts w:hint="eastAsia" w:ascii="宋体" w:hAnsi="宋体"/>
          <w:sz w:val="21"/>
          <w:szCs w:val="24"/>
        </w:rPr>
        <w:t>附件</w:t>
      </w:r>
      <w:r>
        <w:rPr>
          <w:rFonts w:ascii="宋体" w:hAnsi="宋体"/>
          <w:sz w:val="21"/>
          <w:szCs w:val="24"/>
        </w:rPr>
        <w:t>4</w:t>
      </w:r>
      <w:r>
        <w:rPr>
          <w:rFonts w:hint="eastAsia" w:ascii="宋体" w:hAnsi="宋体"/>
          <w:sz w:val="21"/>
          <w:szCs w:val="24"/>
        </w:rPr>
        <w:t>-3 符合特定资格条件证明材料复印件或者情况说明</w:t>
      </w:r>
      <w:bookmarkEnd w:id="162"/>
    </w:p>
    <w:p w14:paraId="1A06C16D">
      <w:pPr>
        <w:widowControl/>
        <w:adjustRightInd w:val="0"/>
        <w:snapToGrid w:val="0"/>
        <w:spacing w:line="360" w:lineRule="auto"/>
        <w:jc w:val="center"/>
        <w:rPr>
          <w:rFonts w:ascii="黑体" w:hAnsi="仿宋" w:eastAsia="黑体" w:cs="宋体"/>
          <w:b/>
          <w:sz w:val="28"/>
          <w:szCs w:val="28"/>
        </w:rPr>
      </w:pPr>
      <w:r>
        <w:rPr>
          <w:rFonts w:hint="eastAsia" w:ascii="黑体" w:hAnsi="仿宋" w:eastAsia="黑体" w:cs="宋体"/>
          <w:b/>
          <w:sz w:val="28"/>
          <w:szCs w:val="28"/>
        </w:rPr>
        <w:t>符合特定资格条件证明材料复印件或者情况说明</w:t>
      </w:r>
    </w:p>
    <w:p w14:paraId="6CB58DF3">
      <w:pPr>
        <w:widowControl/>
        <w:adjustRightInd w:val="0"/>
        <w:snapToGrid w:val="0"/>
        <w:spacing w:line="360" w:lineRule="auto"/>
        <w:ind w:firstLine="560" w:firstLineChars="200"/>
        <w:jc w:val="left"/>
        <w:rPr>
          <w:rFonts w:ascii="黑体" w:hAnsi="仿宋" w:eastAsia="黑体" w:cs="宋体"/>
          <w:sz w:val="28"/>
          <w:szCs w:val="28"/>
        </w:rPr>
      </w:pPr>
    </w:p>
    <w:p w14:paraId="21BB8898">
      <w:pPr>
        <w:widowControl/>
        <w:adjustRightInd w:val="0"/>
        <w:snapToGrid w:val="0"/>
        <w:spacing w:line="360" w:lineRule="auto"/>
        <w:ind w:firstLine="420" w:firstLineChars="200"/>
        <w:jc w:val="left"/>
        <w:rPr>
          <w:rFonts w:ascii="宋体" w:hAnsi="宋体" w:cs="宋体"/>
          <w:szCs w:val="21"/>
        </w:rPr>
      </w:pPr>
      <w:r>
        <w:rPr>
          <w:rFonts w:hint="eastAsia" w:ascii="宋体" w:hAnsi="宋体" w:cs="宋体"/>
          <w:szCs w:val="21"/>
        </w:rPr>
        <w:t>注：按第二章第</w:t>
      </w:r>
      <w:r>
        <w:rPr>
          <w:rFonts w:ascii="宋体" w:hAnsi="宋体" w:cs="宋体"/>
          <w:szCs w:val="21"/>
        </w:rPr>
        <w:t>1</w:t>
      </w:r>
      <w:r>
        <w:rPr>
          <w:rFonts w:hint="eastAsia" w:ascii="宋体" w:hAnsi="宋体" w:cs="宋体"/>
          <w:szCs w:val="21"/>
        </w:rPr>
        <w:t>4</w:t>
      </w:r>
      <w:r>
        <w:rPr>
          <w:rFonts w:ascii="宋体" w:hAnsi="宋体" w:cs="宋体"/>
          <w:szCs w:val="21"/>
        </w:rPr>
        <w:t>.1</w:t>
      </w:r>
      <w:r>
        <w:rPr>
          <w:rFonts w:hint="eastAsia" w:ascii="宋体" w:hAnsi="宋体" w:cs="宋体"/>
          <w:szCs w:val="21"/>
        </w:rPr>
        <w:t>（3）项要求提供。</w:t>
      </w:r>
    </w:p>
    <w:p w14:paraId="272C5751">
      <w:pPr>
        <w:pStyle w:val="4"/>
        <w:rPr>
          <w:rFonts w:ascii="黑体" w:hAnsi="仿宋" w:eastAsia="黑体" w:cs="宋体"/>
          <w:sz w:val="10"/>
          <w:szCs w:val="10"/>
        </w:rPr>
      </w:pPr>
      <w:r>
        <w:rPr>
          <w:rFonts w:ascii="黑体" w:hAnsi="仿宋" w:eastAsia="黑体" w:cs="宋体"/>
          <w:szCs w:val="21"/>
        </w:rPr>
        <w:br w:type="page"/>
      </w:r>
      <w:bookmarkStart w:id="163" w:name="_Toc227246852"/>
      <w:r>
        <w:rPr>
          <w:rFonts w:hint="eastAsia" w:ascii="宋体" w:hAnsi="宋体"/>
          <w:sz w:val="21"/>
          <w:szCs w:val="24"/>
        </w:rPr>
        <w:t>附件</w:t>
      </w:r>
      <w:r>
        <w:rPr>
          <w:rFonts w:ascii="宋体" w:hAnsi="宋体"/>
          <w:sz w:val="21"/>
          <w:szCs w:val="24"/>
        </w:rPr>
        <w:t>4</w:t>
      </w:r>
      <w:r>
        <w:rPr>
          <w:rFonts w:hint="eastAsia" w:ascii="宋体" w:hAnsi="宋体"/>
          <w:sz w:val="21"/>
          <w:szCs w:val="24"/>
        </w:rPr>
        <w:t>-4 联合体协议书（格式）</w:t>
      </w:r>
      <w:bookmarkEnd w:id="163"/>
    </w:p>
    <w:p w14:paraId="60FF13B5">
      <w:pPr>
        <w:adjustRightInd w:val="0"/>
        <w:snapToGrid w:val="0"/>
        <w:spacing w:line="360" w:lineRule="auto"/>
        <w:jc w:val="center"/>
        <w:rPr>
          <w:rFonts w:hint="eastAsia" w:ascii="宋体" w:hAnsi="宋体"/>
          <w:b/>
          <w:szCs w:val="21"/>
        </w:rPr>
      </w:pPr>
      <w:r>
        <w:rPr>
          <w:rFonts w:hint="eastAsia" w:ascii="黑体" w:hAnsi="仿宋" w:eastAsia="黑体" w:cs="宋体"/>
          <w:b/>
          <w:sz w:val="28"/>
          <w:szCs w:val="28"/>
        </w:rPr>
        <w:t>联合体协议书（格式）</w:t>
      </w:r>
      <w:r>
        <w:rPr>
          <w:rFonts w:hint="eastAsia" w:ascii="黑体" w:hAnsi="仿宋" w:eastAsia="黑体" w:cs="宋体"/>
          <w:b/>
          <w:color w:val="FF0000"/>
          <w:sz w:val="28"/>
          <w:szCs w:val="28"/>
        </w:rPr>
        <w:t>（本</w:t>
      </w:r>
      <w:r>
        <w:rPr>
          <w:rFonts w:ascii="黑体" w:hAnsi="仿宋" w:eastAsia="黑体" w:cs="宋体"/>
          <w:b/>
          <w:color w:val="FF0000"/>
          <w:sz w:val="28"/>
          <w:szCs w:val="28"/>
        </w:rPr>
        <w:t>项目不适用</w:t>
      </w:r>
      <w:r>
        <w:rPr>
          <w:rFonts w:hint="eastAsia" w:ascii="黑体" w:hAnsi="仿宋" w:eastAsia="黑体" w:cs="宋体"/>
          <w:b/>
          <w:color w:val="FF0000"/>
          <w:sz w:val="28"/>
          <w:szCs w:val="28"/>
        </w:rPr>
        <w:t>）</w:t>
      </w:r>
    </w:p>
    <w:p w14:paraId="1B750AA3">
      <w:pPr>
        <w:adjustRightInd w:val="0"/>
        <w:snapToGrid w:val="0"/>
        <w:spacing w:line="360" w:lineRule="auto"/>
        <w:rPr>
          <w:rFonts w:ascii="宋体" w:hAnsi="宋体"/>
          <w:szCs w:val="21"/>
        </w:rPr>
      </w:pPr>
    </w:p>
    <w:p w14:paraId="06AA0EBA">
      <w:pPr>
        <w:adjustRightInd w:val="0"/>
        <w:snapToGrid w:val="0"/>
        <w:spacing w:line="360" w:lineRule="auto"/>
        <w:rPr>
          <w:rFonts w:ascii="宋体" w:hAnsi="宋体"/>
          <w:szCs w:val="21"/>
        </w:rPr>
      </w:pPr>
      <w:r>
        <w:rPr>
          <w:rFonts w:hint="eastAsia" w:ascii="宋体" w:hAnsi="宋体"/>
          <w:szCs w:val="21"/>
        </w:rPr>
        <w:t>致</w:t>
      </w:r>
      <w:r>
        <w:rPr>
          <w:rFonts w:hint="eastAsia" w:ascii="宋体" w:hAnsi="宋体"/>
          <w:szCs w:val="21"/>
          <w:u w:val="single"/>
        </w:rPr>
        <w:t xml:space="preserve">                   </w:t>
      </w:r>
      <w:r>
        <w:rPr>
          <w:rFonts w:hint="eastAsia" w:ascii="宋体" w:hAnsi="宋体"/>
          <w:szCs w:val="21"/>
        </w:rPr>
        <w:t>（采购人、采购代理机构）：</w:t>
      </w:r>
    </w:p>
    <w:p w14:paraId="0CEC1B71">
      <w:pPr>
        <w:adjustRightInd w:val="0"/>
        <w:snapToGrid w:val="0"/>
        <w:spacing w:line="360" w:lineRule="auto"/>
        <w:ind w:firstLine="420" w:firstLineChars="200"/>
        <w:rPr>
          <w:rFonts w:ascii="宋体" w:hAnsi="宋体"/>
          <w:szCs w:val="21"/>
        </w:rPr>
      </w:pPr>
      <w:r>
        <w:rPr>
          <w:rFonts w:hint="eastAsia" w:ascii="宋体" w:hAnsi="宋体"/>
          <w:szCs w:val="21"/>
        </w:rPr>
        <w:t>经研究，我们决定自愿组成联合体共同参加</w:t>
      </w:r>
      <w:r>
        <w:rPr>
          <w:rFonts w:hint="eastAsia" w:ascii="宋体" w:hAnsi="宋体"/>
          <w:szCs w:val="21"/>
          <w:u w:val="single"/>
        </w:rPr>
        <w:t xml:space="preserve">                    </w:t>
      </w:r>
      <w:r>
        <w:rPr>
          <w:rFonts w:hint="eastAsia" w:ascii="宋体" w:hAnsi="宋体"/>
          <w:szCs w:val="21"/>
        </w:rPr>
        <w:t>（项目名称</w:t>
      </w:r>
      <w:r>
        <w:rPr>
          <w:rFonts w:ascii="宋体" w:hAnsi="宋体"/>
          <w:szCs w:val="21"/>
        </w:rPr>
        <w:t>）</w:t>
      </w:r>
      <w:r>
        <w:rPr>
          <w:rFonts w:hint="eastAsia" w:ascii="宋体" w:hAnsi="宋体"/>
          <w:szCs w:val="21"/>
        </w:rPr>
        <w:t>（政府采购计划编号：</w:t>
      </w:r>
      <w:r>
        <w:rPr>
          <w:rFonts w:hint="eastAsia" w:ascii="宋体" w:hAnsi="宋体"/>
          <w:szCs w:val="21"/>
          <w:u w:val="single"/>
        </w:rPr>
        <w:t xml:space="preserve">               </w:t>
      </w:r>
      <w:r>
        <w:rPr>
          <w:rFonts w:hint="eastAsia" w:ascii="宋体" w:hAnsi="宋体"/>
          <w:szCs w:val="21"/>
        </w:rPr>
        <w:t xml:space="preserve"> ）项目的投标。现就联合体投标事宜订立如下协议：</w:t>
      </w:r>
    </w:p>
    <w:p w14:paraId="6DABA6D1">
      <w:pPr>
        <w:adjustRightInd w:val="0"/>
        <w:snapToGrid w:val="0"/>
        <w:spacing w:line="360" w:lineRule="auto"/>
        <w:ind w:firstLine="420" w:firstLineChars="200"/>
        <w:rPr>
          <w:rFonts w:ascii="宋体" w:hAnsi="宋体"/>
          <w:szCs w:val="21"/>
          <w:u w:val="single"/>
        </w:rPr>
      </w:pPr>
      <w:r>
        <w:rPr>
          <w:rFonts w:hint="eastAsia" w:ascii="宋体" w:hAnsi="宋体"/>
          <w:szCs w:val="21"/>
        </w:rPr>
        <w:t>一、联合体基本信息：</w:t>
      </w:r>
      <w:r>
        <w:rPr>
          <w:rFonts w:hint="eastAsia" w:ascii="宋体" w:hAnsi="宋体"/>
          <w:szCs w:val="21"/>
          <w:u w:val="single"/>
        </w:rPr>
        <w:t xml:space="preserve">                </w:t>
      </w:r>
      <w:r>
        <w:rPr>
          <w:rFonts w:hint="eastAsia" w:ascii="宋体" w:hAnsi="宋体"/>
          <w:szCs w:val="21"/>
        </w:rPr>
        <w:t>（各方公司名称、地址、注册资金、营业执照、</w:t>
      </w:r>
      <w:r>
        <w:rPr>
          <w:rFonts w:hint="eastAsia" w:ascii="宋体" w:hAnsi="宋体" w:cs="微软雅黑"/>
          <w:spacing w:val="-2"/>
          <w:kern w:val="0"/>
          <w:szCs w:val="21"/>
        </w:rPr>
        <w:t>法</w:t>
      </w:r>
      <w:r>
        <w:rPr>
          <w:rFonts w:hint="eastAsia" w:ascii="宋体" w:hAnsi="宋体" w:cs="微软雅黑"/>
          <w:kern w:val="0"/>
          <w:szCs w:val="21"/>
        </w:rPr>
        <w:t>定</w:t>
      </w:r>
      <w:r>
        <w:rPr>
          <w:rFonts w:hint="eastAsia" w:ascii="宋体" w:hAnsi="宋体" w:cs="微软雅黑"/>
          <w:spacing w:val="-2"/>
          <w:kern w:val="0"/>
          <w:szCs w:val="21"/>
        </w:rPr>
        <w:t>代</w:t>
      </w:r>
      <w:r>
        <w:rPr>
          <w:rFonts w:hint="eastAsia" w:ascii="宋体" w:hAnsi="宋体" w:cs="微软雅黑"/>
          <w:kern w:val="0"/>
          <w:szCs w:val="21"/>
        </w:rPr>
        <w:t>表</w:t>
      </w:r>
      <w:r>
        <w:rPr>
          <w:rFonts w:hint="eastAsia" w:ascii="宋体" w:hAnsi="宋体" w:cs="微软雅黑"/>
          <w:spacing w:val="-2"/>
          <w:kern w:val="0"/>
          <w:szCs w:val="21"/>
        </w:rPr>
        <w:t>人</w:t>
      </w:r>
      <w:r>
        <w:rPr>
          <w:rFonts w:hint="eastAsia" w:ascii="宋体" w:hAnsi="宋体" w:cs="微软雅黑"/>
          <w:kern w:val="0"/>
          <w:szCs w:val="21"/>
        </w:rPr>
        <w:t>（</w:t>
      </w:r>
      <w:r>
        <w:rPr>
          <w:rFonts w:hint="eastAsia" w:ascii="宋体" w:hAnsi="宋体" w:cs="微软雅黑"/>
          <w:spacing w:val="-2"/>
          <w:kern w:val="0"/>
          <w:szCs w:val="21"/>
        </w:rPr>
        <w:t>单</w:t>
      </w:r>
      <w:r>
        <w:rPr>
          <w:rFonts w:hint="eastAsia" w:ascii="宋体" w:hAnsi="宋体" w:cs="微软雅黑"/>
          <w:kern w:val="0"/>
          <w:szCs w:val="21"/>
        </w:rPr>
        <w:t>位</w:t>
      </w:r>
      <w:r>
        <w:rPr>
          <w:rFonts w:hint="eastAsia" w:ascii="宋体" w:hAnsi="宋体" w:cs="微软雅黑"/>
          <w:spacing w:val="-2"/>
          <w:kern w:val="0"/>
          <w:szCs w:val="21"/>
        </w:rPr>
        <w:t>负</w:t>
      </w:r>
      <w:r>
        <w:rPr>
          <w:rFonts w:hint="eastAsia" w:ascii="宋体" w:hAnsi="宋体" w:cs="微软雅黑"/>
          <w:kern w:val="0"/>
          <w:szCs w:val="21"/>
        </w:rPr>
        <w:t>责人</w:t>
      </w:r>
      <w:r>
        <w:rPr>
          <w:rFonts w:hint="eastAsia" w:ascii="宋体" w:hAnsi="宋体" w:cs="微软雅黑"/>
          <w:spacing w:val="-2"/>
          <w:kern w:val="0"/>
          <w:szCs w:val="21"/>
        </w:rPr>
        <w:t>）</w:t>
      </w:r>
      <w:r>
        <w:rPr>
          <w:rFonts w:hint="eastAsia" w:ascii="宋体" w:hAnsi="宋体"/>
          <w:szCs w:val="21"/>
        </w:rPr>
        <w:t>姓名）</w:t>
      </w:r>
    </w:p>
    <w:p w14:paraId="5C768A07">
      <w:pPr>
        <w:adjustRightInd w:val="0"/>
        <w:snapToGrid w:val="0"/>
        <w:spacing w:line="360" w:lineRule="auto"/>
        <w:ind w:firstLine="420" w:firstLineChars="200"/>
        <w:rPr>
          <w:rFonts w:ascii="宋体" w:hAnsi="宋体"/>
          <w:szCs w:val="21"/>
        </w:rPr>
      </w:pPr>
      <w:r>
        <w:rPr>
          <w:rFonts w:hint="eastAsia" w:ascii="宋体" w:hAnsi="宋体"/>
          <w:szCs w:val="21"/>
        </w:rPr>
        <w:t>二、</w:t>
      </w:r>
      <w:r>
        <w:rPr>
          <w:rFonts w:hint="eastAsia" w:ascii="宋体" w:hAnsi="宋体"/>
          <w:szCs w:val="21"/>
          <w:u w:val="single"/>
        </w:rPr>
        <w:t xml:space="preserve">       </w:t>
      </w:r>
      <w:r>
        <w:rPr>
          <w:rFonts w:hint="eastAsia" w:ascii="宋体" w:hAnsi="宋体"/>
          <w:szCs w:val="21"/>
        </w:rPr>
        <w:t>（某成员单位名称）为</w:t>
      </w:r>
      <w:r>
        <w:rPr>
          <w:rFonts w:hint="eastAsia" w:ascii="宋体" w:hAnsi="宋体"/>
          <w:szCs w:val="21"/>
          <w:u w:val="single"/>
        </w:rPr>
        <w:t xml:space="preserve">        </w:t>
      </w:r>
      <w:r>
        <w:rPr>
          <w:rFonts w:hint="eastAsia" w:ascii="宋体" w:hAnsi="宋体"/>
          <w:szCs w:val="21"/>
        </w:rPr>
        <w:t>（联合体名称）牵头人。</w:t>
      </w:r>
    </w:p>
    <w:p w14:paraId="779B548A">
      <w:pPr>
        <w:adjustRightInd w:val="0"/>
        <w:snapToGrid w:val="0"/>
        <w:spacing w:line="360" w:lineRule="auto"/>
        <w:ind w:firstLine="420" w:firstLineChars="200"/>
        <w:rPr>
          <w:rFonts w:ascii="宋体" w:hAnsi="宋体"/>
          <w:szCs w:val="21"/>
        </w:rPr>
      </w:pPr>
      <w:r>
        <w:rPr>
          <w:rFonts w:hint="eastAsia" w:ascii="宋体" w:hAnsi="宋体"/>
          <w:szCs w:val="21"/>
        </w:rPr>
        <w:t>三、联合体牵头人合法代表联合体各成员负责本项目投标文件编制活动，代表联合体提交和接收相关的资料、信息及指示，并处理与投标有关的一切事务；联合体中标后，联合体牵头人负责合同订立和合同实施阶段的主办、组织和协调工作。</w:t>
      </w:r>
    </w:p>
    <w:p w14:paraId="098323A6">
      <w:pPr>
        <w:adjustRightInd w:val="0"/>
        <w:snapToGrid w:val="0"/>
        <w:spacing w:line="360" w:lineRule="auto"/>
        <w:ind w:firstLine="420" w:firstLineChars="200"/>
        <w:rPr>
          <w:rFonts w:ascii="宋体" w:hAnsi="宋体"/>
          <w:szCs w:val="21"/>
        </w:rPr>
      </w:pPr>
      <w:r>
        <w:rPr>
          <w:rFonts w:hint="eastAsia" w:ascii="宋体" w:hAnsi="宋体"/>
          <w:szCs w:val="21"/>
        </w:rPr>
        <w:t>四．联合体将严格按照招标文件的各项要求，递交投标文件，参加投标，履行中标义务和中标后的合同，并向采购人承担连带责任。</w:t>
      </w:r>
    </w:p>
    <w:p w14:paraId="31CA81B4">
      <w:pPr>
        <w:adjustRightInd w:val="0"/>
        <w:snapToGrid w:val="0"/>
        <w:spacing w:line="360" w:lineRule="auto"/>
        <w:ind w:firstLine="420" w:firstLineChars="200"/>
        <w:rPr>
          <w:rFonts w:ascii="宋体" w:hAnsi="宋体"/>
          <w:szCs w:val="21"/>
          <w:u w:val="single"/>
        </w:rPr>
      </w:pPr>
      <w:r>
        <w:rPr>
          <w:rFonts w:hint="eastAsia" w:ascii="宋体" w:hAnsi="宋体"/>
          <w:szCs w:val="21"/>
        </w:rPr>
        <w:t>五、联合体各成员单位内部的职责分工如下：</w:t>
      </w:r>
      <w:r>
        <w:rPr>
          <w:rFonts w:hint="eastAsia" w:ascii="宋体" w:hAnsi="宋体"/>
          <w:szCs w:val="21"/>
          <w:u w:val="single"/>
        </w:rPr>
        <w:t xml:space="preserve">             </w:t>
      </w:r>
      <w:r>
        <w:rPr>
          <w:rFonts w:hint="eastAsia" w:ascii="宋体" w:hAnsi="宋体"/>
          <w:szCs w:val="21"/>
        </w:rPr>
        <w:t>。按照本条上述分工，联合体各成员的协议合同金额占联合体协议合同总金额比例如下：</w:t>
      </w:r>
      <w:r>
        <w:rPr>
          <w:rFonts w:hint="eastAsia" w:ascii="宋体" w:hAnsi="宋体"/>
          <w:szCs w:val="21"/>
          <w:u w:val="single"/>
        </w:rPr>
        <w:t xml:space="preserve">               </w:t>
      </w:r>
      <w:r>
        <w:rPr>
          <w:rFonts w:hint="eastAsia" w:ascii="宋体" w:hAnsi="宋体"/>
          <w:szCs w:val="21"/>
        </w:rPr>
        <w:t>。</w:t>
      </w:r>
    </w:p>
    <w:p w14:paraId="75A9FE50">
      <w:pPr>
        <w:adjustRightInd w:val="0"/>
        <w:snapToGrid w:val="0"/>
        <w:spacing w:line="360" w:lineRule="auto"/>
        <w:ind w:firstLine="420" w:firstLineChars="200"/>
        <w:rPr>
          <w:rFonts w:ascii="宋体" w:hAnsi="宋体"/>
          <w:szCs w:val="21"/>
        </w:rPr>
      </w:pPr>
      <w:r>
        <w:rPr>
          <w:rFonts w:hint="eastAsia" w:ascii="宋体" w:hAnsi="宋体"/>
          <w:szCs w:val="21"/>
        </w:rPr>
        <w:t>六、本协议书自签署之日起生效，合同履行完毕后自动失效。</w:t>
      </w:r>
    </w:p>
    <w:p w14:paraId="134A1BC9">
      <w:pPr>
        <w:adjustRightInd w:val="0"/>
        <w:snapToGrid w:val="0"/>
        <w:spacing w:line="360" w:lineRule="auto"/>
        <w:ind w:firstLine="420" w:firstLineChars="200"/>
        <w:rPr>
          <w:rFonts w:ascii="宋体" w:hAnsi="宋体"/>
          <w:szCs w:val="21"/>
        </w:rPr>
      </w:pPr>
      <w:r>
        <w:rPr>
          <w:rFonts w:hint="eastAsia" w:ascii="宋体" w:hAnsi="宋体"/>
          <w:szCs w:val="21"/>
        </w:rPr>
        <w:t>七、本协议书一式</w:t>
      </w:r>
      <w:r>
        <w:rPr>
          <w:rFonts w:hint="eastAsia" w:ascii="宋体" w:hAnsi="宋体"/>
          <w:szCs w:val="21"/>
          <w:u w:val="single"/>
        </w:rPr>
        <w:t xml:space="preserve">    </w:t>
      </w:r>
      <w:r>
        <w:rPr>
          <w:rFonts w:hint="eastAsia" w:ascii="宋体" w:hAnsi="宋体"/>
          <w:szCs w:val="21"/>
        </w:rPr>
        <w:t>份，联合体成员和采购人各执一份。</w:t>
      </w:r>
    </w:p>
    <w:p w14:paraId="20B6817D">
      <w:pPr>
        <w:adjustRightInd w:val="0"/>
        <w:snapToGrid w:val="0"/>
        <w:spacing w:line="360" w:lineRule="auto"/>
        <w:rPr>
          <w:rFonts w:ascii="宋体" w:hAnsi="宋体"/>
          <w:szCs w:val="21"/>
        </w:rPr>
      </w:pPr>
    </w:p>
    <w:p w14:paraId="602ABED4">
      <w:pPr>
        <w:adjustRightInd w:val="0"/>
        <w:snapToGrid w:val="0"/>
        <w:spacing w:line="360" w:lineRule="auto"/>
        <w:rPr>
          <w:rFonts w:ascii="宋体" w:hAnsi="宋体"/>
          <w:szCs w:val="21"/>
        </w:rPr>
      </w:pPr>
      <w:r>
        <w:rPr>
          <w:rFonts w:hint="eastAsia" w:ascii="宋体" w:hAnsi="宋体"/>
          <w:szCs w:val="21"/>
        </w:rPr>
        <w:t>牵头人名称（盖单位章）：</w:t>
      </w:r>
    </w:p>
    <w:p w14:paraId="35C589DA">
      <w:pPr>
        <w:adjustRightInd w:val="0"/>
        <w:snapToGrid w:val="0"/>
        <w:spacing w:line="360" w:lineRule="auto"/>
        <w:rPr>
          <w:rFonts w:ascii="宋体" w:hAnsi="宋体"/>
          <w:szCs w:val="21"/>
        </w:rPr>
      </w:pPr>
      <w:r>
        <w:rPr>
          <w:rFonts w:hint="eastAsia" w:ascii="宋体" w:hAnsi="宋体" w:cs="微软雅黑"/>
          <w:spacing w:val="-2"/>
          <w:kern w:val="0"/>
          <w:szCs w:val="21"/>
        </w:rPr>
        <w:t>法</w:t>
      </w:r>
      <w:r>
        <w:rPr>
          <w:rFonts w:hint="eastAsia" w:ascii="宋体" w:hAnsi="宋体" w:cs="微软雅黑"/>
          <w:kern w:val="0"/>
          <w:szCs w:val="21"/>
        </w:rPr>
        <w:t>定</w:t>
      </w:r>
      <w:r>
        <w:rPr>
          <w:rFonts w:hint="eastAsia" w:ascii="宋体" w:hAnsi="宋体" w:cs="微软雅黑"/>
          <w:spacing w:val="-2"/>
          <w:kern w:val="0"/>
          <w:szCs w:val="21"/>
        </w:rPr>
        <w:t>代</w:t>
      </w:r>
      <w:r>
        <w:rPr>
          <w:rFonts w:hint="eastAsia" w:ascii="宋体" w:hAnsi="宋体" w:cs="微软雅黑"/>
          <w:kern w:val="0"/>
          <w:szCs w:val="21"/>
        </w:rPr>
        <w:t>表</w:t>
      </w:r>
      <w:r>
        <w:rPr>
          <w:rFonts w:hint="eastAsia" w:ascii="宋体" w:hAnsi="宋体" w:cs="微软雅黑"/>
          <w:spacing w:val="-2"/>
          <w:kern w:val="0"/>
          <w:szCs w:val="21"/>
        </w:rPr>
        <w:t>人</w:t>
      </w:r>
      <w:r>
        <w:rPr>
          <w:rFonts w:hint="eastAsia" w:ascii="宋体" w:hAnsi="宋体" w:cs="微软雅黑"/>
          <w:kern w:val="0"/>
          <w:szCs w:val="21"/>
        </w:rPr>
        <w:t>（</w:t>
      </w:r>
      <w:r>
        <w:rPr>
          <w:rFonts w:hint="eastAsia" w:ascii="宋体" w:hAnsi="宋体" w:cs="微软雅黑"/>
          <w:spacing w:val="-2"/>
          <w:kern w:val="0"/>
          <w:szCs w:val="21"/>
        </w:rPr>
        <w:t>单</w:t>
      </w:r>
      <w:r>
        <w:rPr>
          <w:rFonts w:hint="eastAsia" w:ascii="宋体" w:hAnsi="宋体" w:cs="微软雅黑"/>
          <w:kern w:val="0"/>
          <w:szCs w:val="21"/>
        </w:rPr>
        <w:t>位</w:t>
      </w:r>
      <w:r>
        <w:rPr>
          <w:rFonts w:hint="eastAsia" w:ascii="宋体" w:hAnsi="宋体" w:cs="微软雅黑"/>
          <w:spacing w:val="-2"/>
          <w:kern w:val="0"/>
          <w:szCs w:val="21"/>
        </w:rPr>
        <w:t>负</w:t>
      </w:r>
      <w:r>
        <w:rPr>
          <w:rFonts w:hint="eastAsia" w:ascii="宋体" w:hAnsi="宋体" w:cs="微软雅黑"/>
          <w:kern w:val="0"/>
          <w:szCs w:val="21"/>
        </w:rPr>
        <w:t>责人</w:t>
      </w:r>
      <w:r>
        <w:rPr>
          <w:rFonts w:hint="eastAsia" w:ascii="宋体" w:hAnsi="宋体" w:cs="微软雅黑"/>
          <w:spacing w:val="-2"/>
          <w:kern w:val="0"/>
          <w:szCs w:val="21"/>
        </w:rPr>
        <w:t>）</w:t>
      </w:r>
      <w:r>
        <w:rPr>
          <w:rFonts w:hint="eastAsia" w:ascii="宋体" w:hAnsi="宋体"/>
          <w:szCs w:val="21"/>
        </w:rPr>
        <w:t>或其委托代理人（签字或印章）：</w:t>
      </w:r>
      <w:r>
        <w:rPr>
          <w:rFonts w:hint="eastAsia" w:ascii="宋体" w:hAnsi="宋体"/>
          <w:szCs w:val="21"/>
          <w:u w:val="single"/>
        </w:rPr>
        <w:t xml:space="preserve">                          </w:t>
      </w:r>
    </w:p>
    <w:p w14:paraId="264ECA07">
      <w:pPr>
        <w:adjustRightInd w:val="0"/>
        <w:snapToGrid w:val="0"/>
        <w:spacing w:line="360" w:lineRule="auto"/>
        <w:rPr>
          <w:rFonts w:ascii="宋体" w:hAnsi="宋体"/>
          <w:szCs w:val="21"/>
        </w:rPr>
      </w:pPr>
    </w:p>
    <w:p w14:paraId="60EC8A49">
      <w:pPr>
        <w:adjustRightInd w:val="0"/>
        <w:snapToGrid w:val="0"/>
        <w:spacing w:line="360" w:lineRule="auto"/>
        <w:rPr>
          <w:rFonts w:ascii="宋体" w:hAnsi="宋体"/>
          <w:szCs w:val="21"/>
        </w:rPr>
      </w:pPr>
      <w:r>
        <w:rPr>
          <w:rFonts w:hint="eastAsia" w:ascii="宋体" w:hAnsi="宋体"/>
          <w:szCs w:val="21"/>
        </w:rPr>
        <w:t>成员1名称（盖单位章）：</w:t>
      </w:r>
    </w:p>
    <w:p w14:paraId="31B42495">
      <w:pPr>
        <w:adjustRightInd w:val="0"/>
        <w:snapToGrid w:val="0"/>
        <w:spacing w:line="360" w:lineRule="auto"/>
        <w:rPr>
          <w:rFonts w:ascii="宋体" w:hAnsi="宋体"/>
          <w:szCs w:val="21"/>
        </w:rPr>
      </w:pPr>
      <w:r>
        <w:rPr>
          <w:rFonts w:hint="eastAsia" w:ascii="宋体" w:hAnsi="宋体" w:cs="微软雅黑"/>
          <w:spacing w:val="-2"/>
          <w:kern w:val="0"/>
          <w:szCs w:val="21"/>
        </w:rPr>
        <w:t>法</w:t>
      </w:r>
      <w:r>
        <w:rPr>
          <w:rFonts w:hint="eastAsia" w:ascii="宋体" w:hAnsi="宋体" w:cs="微软雅黑"/>
          <w:kern w:val="0"/>
          <w:szCs w:val="21"/>
        </w:rPr>
        <w:t>定</w:t>
      </w:r>
      <w:r>
        <w:rPr>
          <w:rFonts w:hint="eastAsia" w:ascii="宋体" w:hAnsi="宋体" w:cs="微软雅黑"/>
          <w:spacing w:val="-2"/>
          <w:kern w:val="0"/>
          <w:szCs w:val="21"/>
        </w:rPr>
        <w:t>代</w:t>
      </w:r>
      <w:r>
        <w:rPr>
          <w:rFonts w:hint="eastAsia" w:ascii="宋体" w:hAnsi="宋体" w:cs="微软雅黑"/>
          <w:kern w:val="0"/>
          <w:szCs w:val="21"/>
        </w:rPr>
        <w:t>表</w:t>
      </w:r>
      <w:r>
        <w:rPr>
          <w:rFonts w:hint="eastAsia" w:ascii="宋体" w:hAnsi="宋体" w:cs="微软雅黑"/>
          <w:spacing w:val="-2"/>
          <w:kern w:val="0"/>
          <w:szCs w:val="21"/>
        </w:rPr>
        <w:t>人</w:t>
      </w:r>
      <w:r>
        <w:rPr>
          <w:rFonts w:hint="eastAsia" w:ascii="宋体" w:hAnsi="宋体" w:cs="微软雅黑"/>
          <w:kern w:val="0"/>
          <w:szCs w:val="21"/>
        </w:rPr>
        <w:t>（</w:t>
      </w:r>
      <w:r>
        <w:rPr>
          <w:rFonts w:hint="eastAsia" w:ascii="宋体" w:hAnsi="宋体" w:cs="微软雅黑"/>
          <w:spacing w:val="-2"/>
          <w:kern w:val="0"/>
          <w:szCs w:val="21"/>
        </w:rPr>
        <w:t>单</w:t>
      </w:r>
      <w:r>
        <w:rPr>
          <w:rFonts w:hint="eastAsia" w:ascii="宋体" w:hAnsi="宋体" w:cs="微软雅黑"/>
          <w:kern w:val="0"/>
          <w:szCs w:val="21"/>
        </w:rPr>
        <w:t>位</w:t>
      </w:r>
      <w:r>
        <w:rPr>
          <w:rFonts w:hint="eastAsia" w:ascii="宋体" w:hAnsi="宋体" w:cs="微软雅黑"/>
          <w:spacing w:val="-2"/>
          <w:kern w:val="0"/>
          <w:szCs w:val="21"/>
        </w:rPr>
        <w:t>负</w:t>
      </w:r>
      <w:r>
        <w:rPr>
          <w:rFonts w:hint="eastAsia" w:ascii="宋体" w:hAnsi="宋体" w:cs="微软雅黑"/>
          <w:kern w:val="0"/>
          <w:szCs w:val="21"/>
        </w:rPr>
        <w:t>责人</w:t>
      </w:r>
      <w:r>
        <w:rPr>
          <w:rFonts w:hint="eastAsia" w:ascii="宋体" w:hAnsi="宋体" w:cs="微软雅黑"/>
          <w:spacing w:val="-2"/>
          <w:kern w:val="0"/>
          <w:szCs w:val="21"/>
        </w:rPr>
        <w:t>）</w:t>
      </w:r>
      <w:r>
        <w:rPr>
          <w:rFonts w:hint="eastAsia" w:ascii="宋体" w:hAnsi="宋体"/>
          <w:szCs w:val="21"/>
        </w:rPr>
        <w:t>或其委托代理人（签字或印章）：</w:t>
      </w:r>
      <w:r>
        <w:rPr>
          <w:rFonts w:hint="eastAsia" w:ascii="宋体" w:hAnsi="宋体"/>
          <w:szCs w:val="21"/>
          <w:u w:val="single"/>
        </w:rPr>
        <w:t xml:space="preserve">                          </w:t>
      </w:r>
    </w:p>
    <w:p w14:paraId="69AE3804">
      <w:pPr>
        <w:adjustRightInd w:val="0"/>
        <w:snapToGrid w:val="0"/>
        <w:spacing w:line="360" w:lineRule="auto"/>
        <w:rPr>
          <w:rFonts w:ascii="宋体" w:hAnsi="宋体"/>
          <w:szCs w:val="21"/>
        </w:rPr>
      </w:pPr>
      <w:r>
        <w:rPr>
          <w:rFonts w:hint="eastAsia" w:ascii="宋体" w:hAnsi="宋体"/>
          <w:szCs w:val="21"/>
        </w:rPr>
        <w:t>成员2名称（盖单位章）：</w:t>
      </w:r>
    </w:p>
    <w:p w14:paraId="737E1F35">
      <w:pPr>
        <w:adjustRightInd w:val="0"/>
        <w:snapToGrid w:val="0"/>
        <w:spacing w:line="360" w:lineRule="auto"/>
        <w:rPr>
          <w:rFonts w:ascii="宋体" w:hAnsi="宋体"/>
          <w:szCs w:val="21"/>
        </w:rPr>
      </w:pPr>
      <w:r>
        <w:rPr>
          <w:rFonts w:hint="eastAsia" w:ascii="宋体" w:hAnsi="宋体" w:cs="微软雅黑"/>
          <w:spacing w:val="-2"/>
          <w:kern w:val="0"/>
          <w:szCs w:val="21"/>
        </w:rPr>
        <w:t>法</w:t>
      </w:r>
      <w:r>
        <w:rPr>
          <w:rFonts w:hint="eastAsia" w:ascii="宋体" w:hAnsi="宋体" w:cs="微软雅黑"/>
          <w:kern w:val="0"/>
          <w:szCs w:val="21"/>
        </w:rPr>
        <w:t>定</w:t>
      </w:r>
      <w:r>
        <w:rPr>
          <w:rFonts w:hint="eastAsia" w:ascii="宋体" w:hAnsi="宋体" w:cs="微软雅黑"/>
          <w:spacing w:val="-2"/>
          <w:kern w:val="0"/>
          <w:szCs w:val="21"/>
        </w:rPr>
        <w:t>代</w:t>
      </w:r>
      <w:r>
        <w:rPr>
          <w:rFonts w:hint="eastAsia" w:ascii="宋体" w:hAnsi="宋体" w:cs="微软雅黑"/>
          <w:kern w:val="0"/>
          <w:szCs w:val="21"/>
        </w:rPr>
        <w:t>表</w:t>
      </w:r>
      <w:r>
        <w:rPr>
          <w:rFonts w:hint="eastAsia" w:ascii="宋体" w:hAnsi="宋体" w:cs="微软雅黑"/>
          <w:spacing w:val="-2"/>
          <w:kern w:val="0"/>
          <w:szCs w:val="21"/>
        </w:rPr>
        <w:t>人</w:t>
      </w:r>
      <w:r>
        <w:rPr>
          <w:rFonts w:hint="eastAsia" w:ascii="宋体" w:hAnsi="宋体" w:cs="微软雅黑"/>
          <w:kern w:val="0"/>
          <w:szCs w:val="21"/>
        </w:rPr>
        <w:t>（</w:t>
      </w:r>
      <w:r>
        <w:rPr>
          <w:rFonts w:hint="eastAsia" w:ascii="宋体" w:hAnsi="宋体" w:cs="微软雅黑"/>
          <w:spacing w:val="-2"/>
          <w:kern w:val="0"/>
          <w:szCs w:val="21"/>
        </w:rPr>
        <w:t>单</w:t>
      </w:r>
      <w:r>
        <w:rPr>
          <w:rFonts w:hint="eastAsia" w:ascii="宋体" w:hAnsi="宋体" w:cs="微软雅黑"/>
          <w:kern w:val="0"/>
          <w:szCs w:val="21"/>
        </w:rPr>
        <w:t>位</w:t>
      </w:r>
      <w:r>
        <w:rPr>
          <w:rFonts w:hint="eastAsia" w:ascii="宋体" w:hAnsi="宋体" w:cs="微软雅黑"/>
          <w:spacing w:val="-2"/>
          <w:kern w:val="0"/>
          <w:szCs w:val="21"/>
        </w:rPr>
        <w:t>负</w:t>
      </w:r>
      <w:r>
        <w:rPr>
          <w:rFonts w:hint="eastAsia" w:ascii="宋体" w:hAnsi="宋体" w:cs="微软雅黑"/>
          <w:kern w:val="0"/>
          <w:szCs w:val="21"/>
        </w:rPr>
        <w:t>责人</w:t>
      </w:r>
      <w:r>
        <w:rPr>
          <w:rFonts w:hint="eastAsia" w:ascii="宋体" w:hAnsi="宋体" w:cs="微软雅黑"/>
          <w:spacing w:val="-2"/>
          <w:kern w:val="0"/>
          <w:szCs w:val="21"/>
        </w:rPr>
        <w:t>）</w:t>
      </w:r>
      <w:r>
        <w:rPr>
          <w:rFonts w:hint="eastAsia" w:ascii="宋体" w:hAnsi="宋体"/>
          <w:szCs w:val="21"/>
        </w:rPr>
        <w:t>或其委托代理人（签字或印章）：</w:t>
      </w:r>
      <w:r>
        <w:rPr>
          <w:rFonts w:hint="eastAsia" w:ascii="宋体" w:hAnsi="宋体"/>
          <w:szCs w:val="21"/>
          <w:u w:val="single"/>
        </w:rPr>
        <w:t xml:space="preserve">                          </w:t>
      </w:r>
    </w:p>
    <w:p w14:paraId="038ADB24">
      <w:pPr>
        <w:adjustRightInd w:val="0"/>
        <w:snapToGrid w:val="0"/>
        <w:spacing w:line="360" w:lineRule="auto"/>
        <w:rPr>
          <w:rFonts w:ascii="宋体" w:hAnsi="宋体"/>
          <w:szCs w:val="21"/>
        </w:rPr>
      </w:pPr>
      <w:r>
        <w:rPr>
          <w:rFonts w:ascii="宋体" w:hAnsi="宋体"/>
          <w:szCs w:val="21"/>
        </w:rPr>
        <w:t>…</w:t>
      </w:r>
    </w:p>
    <w:p w14:paraId="7A925E3D">
      <w:pPr>
        <w:adjustRightInd w:val="0"/>
        <w:snapToGrid w:val="0"/>
        <w:spacing w:line="360" w:lineRule="auto"/>
        <w:rPr>
          <w:rFonts w:ascii="宋体" w:hAnsi="宋体"/>
          <w:szCs w:val="21"/>
        </w:rPr>
      </w:pPr>
      <w:r>
        <w:rPr>
          <w:rFonts w:hint="eastAsia" w:ascii="宋体" w:hAnsi="宋体"/>
          <w:szCs w:val="21"/>
        </w:rPr>
        <w:t>日期：</w:t>
      </w:r>
      <w:r>
        <w:rPr>
          <w:rFonts w:hint="eastAsia" w:ascii="宋体" w:hAnsi="宋体"/>
          <w:szCs w:val="21"/>
          <w:u w:val="single"/>
        </w:rPr>
        <w:t xml:space="preserve">        </w:t>
      </w:r>
      <w:r>
        <w:rPr>
          <w:rFonts w:hint="eastAsia" w:ascii="宋体" w:hAnsi="宋体"/>
          <w:szCs w:val="21"/>
        </w:rPr>
        <w:t>年</w:t>
      </w:r>
      <w:r>
        <w:rPr>
          <w:rFonts w:hint="eastAsia" w:ascii="宋体" w:hAnsi="宋体"/>
          <w:szCs w:val="21"/>
          <w:u w:val="single"/>
        </w:rPr>
        <w:t xml:space="preserve">        </w:t>
      </w:r>
      <w:r>
        <w:rPr>
          <w:rFonts w:hint="eastAsia" w:ascii="宋体" w:hAnsi="宋体"/>
          <w:szCs w:val="21"/>
        </w:rPr>
        <w:t>月</w:t>
      </w:r>
      <w:r>
        <w:rPr>
          <w:rFonts w:hint="eastAsia" w:ascii="宋体" w:hAnsi="宋体"/>
          <w:szCs w:val="21"/>
          <w:u w:val="single"/>
        </w:rPr>
        <w:t xml:space="preserve">        </w:t>
      </w:r>
      <w:r>
        <w:rPr>
          <w:rFonts w:hint="eastAsia" w:ascii="宋体" w:hAnsi="宋体"/>
          <w:szCs w:val="21"/>
        </w:rPr>
        <w:t xml:space="preserve">日  </w:t>
      </w:r>
    </w:p>
    <w:p w14:paraId="0F227699">
      <w:pPr>
        <w:widowControl/>
        <w:adjustRightInd w:val="0"/>
        <w:snapToGrid w:val="0"/>
        <w:spacing w:line="360" w:lineRule="auto"/>
        <w:ind w:firstLine="420" w:firstLineChars="200"/>
        <w:jc w:val="left"/>
        <w:rPr>
          <w:rFonts w:ascii="宋体" w:hAnsi="宋体"/>
          <w:szCs w:val="21"/>
        </w:rPr>
      </w:pPr>
      <w:r>
        <w:rPr>
          <w:rFonts w:hint="eastAsia" w:ascii="宋体" w:hAnsi="宋体"/>
          <w:bCs/>
          <w:szCs w:val="21"/>
        </w:rPr>
        <w:t>注：1.</w:t>
      </w:r>
      <w:r>
        <w:rPr>
          <w:rFonts w:hint="eastAsia" w:ascii="宋体" w:hAnsi="宋体"/>
          <w:szCs w:val="21"/>
        </w:rPr>
        <w:t>本协议书由委托代理人签字的，应附授权委托书。</w:t>
      </w:r>
    </w:p>
    <w:p w14:paraId="0527E619">
      <w:pPr>
        <w:widowControl/>
        <w:adjustRightInd w:val="0"/>
        <w:snapToGrid w:val="0"/>
        <w:spacing w:line="360" w:lineRule="auto"/>
        <w:ind w:firstLine="420" w:firstLineChars="200"/>
        <w:jc w:val="left"/>
        <w:rPr>
          <w:rFonts w:ascii="宋体" w:hAnsi="宋体"/>
          <w:szCs w:val="21"/>
        </w:rPr>
      </w:pPr>
      <w:r>
        <w:rPr>
          <w:rFonts w:hint="eastAsia" w:ascii="宋体" w:hAnsi="宋体"/>
          <w:szCs w:val="21"/>
        </w:rPr>
        <w:t>2.投标人在提交投标文件的截止时间前修改“开标一览表”中的投标报价，影响本协议书第五条的，应同时修改本协议书第五条。否则，评审时价格评审优惠不予以考虑。</w:t>
      </w:r>
    </w:p>
    <w:p w14:paraId="5BE1C7E7">
      <w:pPr>
        <w:pStyle w:val="64"/>
        <w:ind w:firstLine="0" w:firstLineChars="0"/>
        <w:rPr>
          <w:rFonts w:hint="eastAsia"/>
        </w:rPr>
      </w:pPr>
    </w:p>
    <w:p w14:paraId="3676F4DB">
      <w:pPr>
        <w:pStyle w:val="4"/>
        <w:rPr>
          <w:rFonts w:hint="eastAsia" w:ascii="宋体" w:hAnsi="宋体"/>
          <w:sz w:val="21"/>
          <w:szCs w:val="24"/>
        </w:rPr>
      </w:pPr>
      <w:bookmarkStart w:id="164" w:name="_Toc227246853"/>
    </w:p>
    <w:p w14:paraId="1FCEE9AD">
      <w:pPr>
        <w:rPr>
          <w:rFonts w:hint="eastAsia" w:ascii="宋体" w:hAnsi="宋体"/>
          <w:sz w:val="21"/>
          <w:szCs w:val="24"/>
        </w:rPr>
      </w:pPr>
    </w:p>
    <w:p w14:paraId="7D2A29A7">
      <w:pPr>
        <w:rPr>
          <w:rFonts w:hint="eastAsia" w:ascii="宋体" w:hAnsi="宋体"/>
          <w:sz w:val="21"/>
          <w:szCs w:val="24"/>
        </w:rPr>
      </w:pPr>
    </w:p>
    <w:p w14:paraId="2BBC6DAF">
      <w:pPr>
        <w:rPr>
          <w:rFonts w:hint="eastAsia" w:ascii="宋体" w:hAnsi="宋体"/>
          <w:sz w:val="21"/>
          <w:szCs w:val="24"/>
        </w:rPr>
      </w:pPr>
    </w:p>
    <w:p w14:paraId="75CE8EEA">
      <w:pPr>
        <w:rPr>
          <w:rFonts w:hint="eastAsia" w:ascii="宋体" w:hAnsi="宋体"/>
          <w:sz w:val="21"/>
          <w:szCs w:val="24"/>
        </w:rPr>
      </w:pPr>
    </w:p>
    <w:p w14:paraId="59CF176A">
      <w:pPr>
        <w:rPr>
          <w:rFonts w:hint="eastAsia" w:ascii="宋体" w:hAnsi="宋体"/>
          <w:sz w:val="21"/>
          <w:szCs w:val="24"/>
        </w:rPr>
      </w:pPr>
    </w:p>
    <w:p w14:paraId="7D8C7C16">
      <w:pPr>
        <w:rPr>
          <w:rFonts w:hint="eastAsia" w:ascii="宋体" w:hAnsi="宋体"/>
          <w:sz w:val="21"/>
          <w:szCs w:val="24"/>
        </w:rPr>
      </w:pPr>
    </w:p>
    <w:p w14:paraId="045C64EA">
      <w:pPr>
        <w:rPr>
          <w:rFonts w:hint="eastAsia" w:ascii="宋体" w:hAnsi="宋体"/>
          <w:sz w:val="21"/>
          <w:szCs w:val="24"/>
        </w:rPr>
      </w:pPr>
    </w:p>
    <w:p w14:paraId="6CB0DC8A">
      <w:pPr>
        <w:rPr>
          <w:rFonts w:hint="eastAsia" w:ascii="宋体" w:hAnsi="宋体"/>
          <w:sz w:val="21"/>
          <w:szCs w:val="24"/>
        </w:rPr>
      </w:pPr>
    </w:p>
    <w:p w14:paraId="553267C2">
      <w:pPr>
        <w:rPr>
          <w:rFonts w:hint="eastAsia" w:ascii="宋体" w:hAnsi="宋体"/>
          <w:sz w:val="21"/>
          <w:szCs w:val="24"/>
        </w:rPr>
      </w:pPr>
    </w:p>
    <w:p w14:paraId="012492AD">
      <w:pPr>
        <w:rPr>
          <w:rFonts w:hint="eastAsia" w:ascii="宋体" w:hAnsi="宋体"/>
          <w:sz w:val="21"/>
          <w:szCs w:val="24"/>
        </w:rPr>
      </w:pPr>
    </w:p>
    <w:p w14:paraId="4E8AA072">
      <w:pPr>
        <w:rPr>
          <w:rFonts w:hint="eastAsia" w:ascii="宋体" w:hAnsi="宋体"/>
          <w:sz w:val="21"/>
          <w:szCs w:val="24"/>
        </w:rPr>
      </w:pPr>
    </w:p>
    <w:p w14:paraId="0B0F93EF">
      <w:pPr>
        <w:rPr>
          <w:rFonts w:hint="eastAsia" w:ascii="宋体" w:hAnsi="宋体"/>
          <w:sz w:val="21"/>
          <w:szCs w:val="24"/>
        </w:rPr>
      </w:pPr>
    </w:p>
    <w:p w14:paraId="7E91A652">
      <w:pPr>
        <w:rPr>
          <w:rFonts w:hint="eastAsia" w:ascii="宋体" w:hAnsi="宋体"/>
          <w:sz w:val="21"/>
          <w:szCs w:val="24"/>
        </w:rPr>
      </w:pPr>
    </w:p>
    <w:p w14:paraId="5819E7C0">
      <w:pPr>
        <w:rPr>
          <w:rFonts w:hint="eastAsia" w:ascii="宋体" w:hAnsi="宋体"/>
          <w:sz w:val="21"/>
          <w:szCs w:val="24"/>
        </w:rPr>
      </w:pPr>
    </w:p>
    <w:p w14:paraId="2CAB4DF5">
      <w:pPr>
        <w:rPr>
          <w:rFonts w:hint="eastAsia" w:ascii="宋体" w:hAnsi="宋体"/>
          <w:sz w:val="21"/>
          <w:szCs w:val="24"/>
        </w:rPr>
      </w:pPr>
    </w:p>
    <w:p w14:paraId="1F2F99E9">
      <w:pPr>
        <w:rPr>
          <w:rFonts w:hint="eastAsia" w:ascii="宋体" w:hAnsi="宋体"/>
          <w:sz w:val="21"/>
          <w:szCs w:val="24"/>
        </w:rPr>
      </w:pPr>
    </w:p>
    <w:p w14:paraId="1A019EFA">
      <w:pPr>
        <w:rPr>
          <w:rFonts w:hint="eastAsia" w:ascii="宋体" w:hAnsi="宋体"/>
          <w:sz w:val="21"/>
          <w:szCs w:val="24"/>
        </w:rPr>
      </w:pPr>
    </w:p>
    <w:p w14:paraId="4087BC9F">
      <w:pPr>
        <w:pStyle w:val="4"/>
        <w:rPr>
          <w:rFonts w:ascii="宋体" w:hAnsi="宋体"/>
          <w:sz w:val="21"/>
          <w:szCs w:val="24"/>
        </w:rPr>
      </w:pPr>
      <w:r>
        <w:rPr>
          <w:rFonts w:hint="eastAsia" w:ascii="宋体" w:hAnsi="宋体"/>
          <w:sz w:val="21"/>
          <w:szCs w:val="24"/>
        </w:rPr>
        <w:t>附件</w:t>
      </w:r>
      <w:r>
        <w:rPr>
          <w:rFonts w:ascii="宋体" w:hAnsi="宋体"/>
          <w:sz w:val="21"/>
          <w:szCs w:val="24"/>
        </w:rPr>
        <w:t xml:space="preserve">4-5   </w:t>
      </w:r>
      <w:r>
        <w:rPr>
          <w:rFonts w:hint="eastAsia" w:ascii="宋体" w:hAnsi="宋体"/>
          <w:sz w:val="21"/>
          <w:szCs w:val="24"/>
        </w:rPr>
        <w:t>投标人资格声明(格式)</w:t>
      </w:r>
      <w:bookmarkEnd w:id="164"/>
    </w:p>
    <w:p w14:paraId="1FF56833">
      <w:pPr>
        <w:widowControl/>
        <w:snapToGrid w:val="0"/>
        <w:spacing w:before="156" w:line="360" w:lineRule="auto"/>
        <w:jc w:val="center"/>
        <w:textAlignment w:val="baseline"/>
        <w:rPr>
          <w:rFonts w:hint="eastAsia" w:ascii="宋体" w:hAnsi="宋体" w:cs="宋体"/>
          <w:sz w:val="20"/>
          <w:szCs w:val="21"/>
        </w:rPr>
      </w:pPr>
      <w:r>
        <w:rPr>
          <w:rFonts w:hint="eastAsia" w:ascii="宋体" w:hAnsi="宋体" w:cs="宋体"/>
          <w:b/>
          <w:sz w:val="28"/>
          <w:szCs w:val="28"/>
        </w:rPr>
        <w:t>投标人资格声明(格式)</w:t>
      </w:r>
    </w:p>
    <w:p w14:paraId="278A54E9">
      <w:pPr>
        <w:widowControl/>
        <w:snapToGrid w:val="0"/>
        <w:spacing w:before="156" w:line="360" w:lineRule="auto"/>
        <w:jc w:val="left"/>
        <w:textAlignment w:val="baseline"/>
        <w:rPr>
          <w:rFonts w:ascii="宋体" w:hAnsi="宋体" w:cs="宋体"/>
          <w:kern w:val="0"/>
          <w:sz w:val="20"/>
          <w:szCs w:val="21"/>
        </w:rPr>
      </w:pPr>
      <w:r>
        <w:rPr>
          <w:rFonts w:hint="eastAsia" w:ascii="宋体" w:hAnsi="宋体" w:cs="宋体"/>
          <w:szCs w:val="21"/>
        </w:rPr>
        <w:t>致</w:t>
      </w:r>
      <w:r>
        <w:rPr>
          <w:rFonts w:hint="eastAsia" w:ascii="宋体" w:hAnsi="宋体" w:cs="宋体"/>
          <w:szCs w:val="21"/>
          <w:u w:val="single" w:color="000000"/>
        </w:rPr>
        <w:t xml:space="preserve">            </w:t>
      </w:r>
      <w:r>
        <w:rPr>
          <w:rFonts w:hint="eastAsia" w:ascii="宋体" w:hAnsi="宋体" w:cs="宋体"/>
          <w:szCs w:val="21"/>
        </w:rPr>
        <w:t>(采购人、采购代理机构)：</w:t>
      </w:r>
    </w:p>
    <w:p w14:paraId="1DCD0EAD">
      <w:pPr>
        <w:widowControl/>
        <w:snapToGrid w:val="0"/>
        <w:spacing w:before="156" w:line="360" w:lineRule="auto"/>
        <w:ind w:firstLine="420" w:firstLineChars="200"/>
        <w:jc w:val="left"/>
        <w:textAlignment w:val="baseline"/>
        <w:rPr>
          <w:rFonts w:ascii="宋体" w:hAnsi="宋体" w:cs="宋体"/>
          <w:kern w:val="0"/>
          <w:sz w:val="20"/>
          <w:szCs w:val="21"/>
        </w:rPr>
      </w:pPr>
      <w:r>
        <w:rPr>
          <w:rFonts w:hint="eastAsia" w:ascii="宋体" w:hAnsi="宋体" w:cs="宋体"/>
          <w:szCs w:val="21"/>
        </w:rPr>
        <w:t>按照《中华人民共和国政府采购法》第二十二条和招标文件的规定，我单位郑重声明如下：</w:t>
      </w:r>
    </w:p>
    <w:p w14:paraId="0F1B6420">
      <w:pPr>
        <w:widowControl/>
        <w:snapToGrid w:val="0"/>
        <w:spacing w:before="156" w:line="360" w:lineRule="auto"/>
        <w:ind w:firstLine="420" w:firstLineChars="200"/>
        <w:jc w:val="left"/>
        <w:textAlignment w:val="baseline"/>
        <w:rPr>
          <w:rFonts w:ascii="宋体" w:hAnsi="宋体" w:cs="宋体"/>
          <w:kern w:val="0"/>
          <w:sz w:val="20"/>
          <w:szCs w:val="21"/>
        </w:rPr>
      </w:pPr>
      <w:r>
        <w:rPr>
          <w:rFonts w:hint="eastAsia" w:ascii="宋体" w:hAnsi="宋体" w:cs="宋体"/>
          <w:szCs w:val="21"/>
        </w:rPr>
        <w:t>一、我单位是按照中华人民共和国法律规定登记注册的，注册地点为</w:t>
      </w:r>
      <w:r>
        <w:rPr>
          <w:rFonts w:hint="eastAsia" w:ascii="宋体" w:hAnsi="宋体" w:cs="宋体"/>
          <w:szCs w:val="21"/>
          <w:u w:val="single" w:color="000000"/>
        </w:rPr>
        <w:t xml:space="preserve">         </w:t>
      </w:r>
      <w:r>
        <w:rPr>
          <w:rFonts w:hint="eastAsia" w:ascii="宋体" w:hAnsi="宋体" w:cs="宋体"/>
          <w:szCs w:val="21"/>
        </w:rPr>
        <w:t>，全称为</w:t>
      </w:r>
      <w:r>
        <w:rPr>
          <w:rFonts w:hint="eastAsia" w:ascii="宋体" w:hAnsi="宋体" w:cs="宋体"/>
          <w:szCs w:val="21"/>
          <w:u w:val="single" w:color="000000"/>
        </w:rPr>
        <w:t xml:space="preserve">        </w:t>
      </w:r>
      <w:r>
        <w:rPr>
          <w:rFonts w:hint="eastAsia" w:ascii="宋体" w:hAnsi="宋体" w:cs="宋体"/>
          <w:szCs w:val="21"/>
        </w:rPr>
        <w:t>，统一社会信用代码为</w:t>
      </w:r>
      <w:r>
        <w:rPr>
          <w:rFonts w:hint="eastAsia" w:ascii="宋体" w:hAnsi="宋体" w:cs="宋体"/>
          <w:szCs w:val="21"/>
          <w:u w:val="single" w:color="000000"/>
        </w:rPr>
        <w:t xml:space="preserve">            </w:t>
      </w:r>
      <w:r>
        <w:rPr>
          <w:rFonts w:hint="eastAsia" w:ascii="宋体" w:hAnsi="宋体" w:cs="宋体"/>
          <w:szCs w:val="21"/>
        </w:rPr>
        <w:t>，法定代表人</w:t>
      </w:r>
      <w:r>
        <w:rPr>
          <w:rFonts w:hint="eastAsia" w:ascii="宋体" w:hAnsi="宋体" w:cs="微软雅黑"/>
          <w:kern w:val="0"/>
          <w:szCs w:val="21"/>
        </w:rPr>
        <w:t>（</w:t>
      </w:r>
      <w:r>
        <w:rPr>
          <w:rFonts w:hint="eastAsia" w:ascii="宋体" w:hAnsi="宋体" w:cs="微软雅黑"/>
          <w:spacing w:val="-2"/>
          <w:kern w:val="0"/>
          <w:szCs w:val="21"/>
        </w:rPr>
        <w:t>单</w:t>
      </w:r>
      <w:r>
        <w:rPr>
          <w:rFonts w:hint="eastAsia" w:ascii="宋体" w:hAnsi="宋体" w:cs="微软雅黑"/>
          <w:kern w:val="0"/>
          <w:szCs w:val="21"/>
        </w:rPr>
        <w:t>位</w:t>
      </w:r>
      <w:r>
        <w:rPr>
          <w:rFonts w:hint="eastAsia" w:ascii="宋体" w:hAnsi="宋体" w:cs="微软雅黑"/>
          <w:spacing w:val="-2"/>
          <w:kern w:val="0"/>
          <w:szCs w:val="21"/>
        </w:rPr>
        <w:t>负</w:t>
      </w:r>
      <w:r>
        <w:rPr>
          <w:rFonts w:hint="eastAsia" w:ascii="宋体" w:hAnsi="宋体" w:cs="微软雅黑"/>
          <w:kern w:val="0"/>
          <w:szCs w:val="21"/>
        </w:rPr>
        <w:t>责人</w:t>
      </w:r>
      <w:r>
        <w:rPr>
          <w:rFonts w:hint="eastAsia" w:ascii="宋体" w:hAnsi="宋体" w:cs="微软雅黑"/>
          <w:spacing w:val="-2"/>
          <w:kern w:val="0"/>
          <w:szCs w:val="21"/>
        </w:rPr>
        <w:t>）</w:t>
      </w:r>
      <w:r>
        <w:rPr>
          <w:rFonts w:hint="eastAsia" w:ascii="宋体" w:hAnsi="宋体" w:cs="宋体"/>
          <w:szCs w:val="21"/>
        </w:rPr>
        <w:t>为</w:t>
      </w:r>
      <w:r>
        <w:rPr>
          <w:rFonts w:hint="eastAsia" w:ascii="宋体" w:hAnsi="宋体" w:cs="宋体"/>
          <w:szCs w:val="21"/>
          <w:u w:val="single" w:color="000000"/>
        </w:rPr>
        <w:t xml:space="preserve">         </w:t>
      </w:r>
      <w:r>
        <w:rPr>
          <w:rFonts w:hint="eastAsia" w:ascii="宋体" w:hAnsi="宋体" w:cs="宋体"/>
          <w:szCs w:val="21"/>
        </w:rPr>
        <w:t>，具有独立承担民事责任的能力。</w:t>
      </w:r>
    </w:p>
    <w:p w14:paraId="5986D0B7">
      <w:pPr>
        <w:widowControl/>
        <w:snapToGrid w:val="0"/>
        <w:spacing w:before="156" w:line="360" w:lineRule="auto"/>
        <w:ind w:firstLine="420" w:firstLineChars="200"/>
        <w:jc w:val="left"/>
        <w:textAlignment w:val="baseline"/>
        <w:rPr>
          <w:rFonts w:ascii="宋体" w:hAnsi="宋体" w:cs="宋体"/>
          <w:sz w:val="20"/>
          <w:szCs w:val="21"/>
        </w:rPr>
      </w:pPr>
      <w:r>
        <w:rPr>
          <w:rFonts w:hint="eastAsia" w:ascii="宋体" w:hAnsi="宋体" w:cs="宋体"/>
          <w:szCs w:val="21"/>
        </w:rPr>
        <w:t>二、我单位未被“国家企业信用信息系统”列入经营异常名录或者严重违法企业名单。</w:t>
      </w:r>
    </w:p>
    <w:p w14:paraId="5336DE76">
      <w:pPr>
        <w:widowControl/>
        <w:snapToGrid w:val="0"/>
        <w:spacing w:before="156" w:line="360" w:lineRule="auto"/>
        <w:ind w:firstLine="420" w:firstLineChars="200"/>
        <w:jc w:val="left"/>
        <w:textAlignment w:val="baseline"/>
        <w:rPr>
          <w:rFonts w:ascii="宋体" w:hAnsi="宋体" w:cs="宋体"/>
          <w:sz w:val="20"/>
          <w:szCs w:val="21"/>
        </w:rPr>
      </w:pPr>
      <w:r>
        <w:rPr>
          <w:rFonts w:hint="eastAsia" w:ascii="宋体" w:hAnsi="宋体" w:cs="宋体"/>
          <w:kern w:val="0"/>
          <w:szCs w:val="21"/>
        </w:rPr>
        <w:t>三、</w:t>
      </w:r>
      <w:r>
        <w:rPr>
          <w:rFonts w:hint="eastAsia" w:ascii="宋体" w:hAnsi="宋体" w:cs="宋体"/>
          <w:szCs w:val="21"/>
        </w:rPr>
        <w:t>我单位具有良好的商业信誉和健全的财务会计制度。</w:t>
      </w:r>
    </w:p>
    <w:p w14:paraId="4250FC64">
      <w:pPr>
        <w:widowControl/>
        <w:snapToGrid w:val="0"/>
        <w:spacing w:before="156" w:line="360" w:lineRule="auto"/>
        <w:ind w:firstLine="420" w:firstLineChars="200"/>
        <w:jc w:val="left"/>
        <w:textAlignment w:val="baseline"/>
        <w:rPr>
          <w:rFonts w:ascii="宋体" w:hAnsi="宋体" w:cs="宋体"/>
          <w:kern w:val="0"/>
          <w:sz w:val="20"/>
          <w:szCs w:val="21"/>
        </w:rPr>
      </w:pPr>
      <w:r>
        <w:rPr>
          <w:rFonts w:hint="eastAsia" w:ascii="宋体" w:hAnsi="宋体" w:cs="宋体"/>
          <w:kern w:val="0"/>
          <w:szCs w:val="21"/>
        </w:rPr>
        <w:t>四、我</w:t>
      </w:r>
      <w:r>
        <w:rPr>
          <w:rFonts w:hint="eastAsia" w:ascii="宋体" w:hAnsi="宋体" w:cs="宋体"/>
          <w:szCs w:val="21"/>
        </w:rPr>
        <w:t>单位</w:t>
      </w:r>
      <w:r>
        <w:rPr>
          <w:rFonts w:hint="eastAsia" w:ascii="宋体" w:hAnsi="宋体" w:cs="宋体"/>
          <w:kern w:val="0"/>
          <w:szCs w:val="21"/>
        </w:rPr>
        <w:t>依法进行纳税和社会保险申报并实际履行了义务。</w:t>
      </w:r>
    </w:p>
    <w:p w14:paraId="35DEC67C">
      <w:pPr>
        <w:widowControl/>
        <w:snapToGrid w:val="0"/>
        <w:spacing w:before="156" w:line="360" w:lineRule="auto"/>
        <w:ind w:firstLine="420" w:firstLineChars="200"/>
        <w:jc w:val="left"/>
        <w:textAlignment w:val="baseline"/>
        <w:rPr>
          <w:rFonts w:ascii="宋体" w:hAnsi="宋体" w:cs="宋体"/>
          <w:kern w:val="0"/>
          <w:sz w:val="20"/>
          <w:szCs w:val="21"/>
        </w:rPr>
      </w:pPr>
      <w:r>
        <w:rPr>
          <w:rFonts w:hint="eastAsia" w:ascii="宋体" w:hAnsi="宋体" w:cs="宋体"/>
          <w:szCs w:val="21"/>
        </w:rPr>
        <w:t>五、我单位具有履行本项目采购合同所必需的设备和专业技术能力，并具有履行合同的良好</w:t>
      </w:r>
      <w:r>
        <w:rPr>
          <w:rFonts w:ascii="宋体" w:hAnsi="宋体"/>
          <w:szCs w:val="21"/>
        </w:rPr>
        <w:t>记录</w:t>
      </w:r>
      <w:r>
        <w:rPr>
          <w:rFonts w:hint="eastAsia" w:ascii="宋体" w:hAnsi="宋体" w:cs="宋体"/>
          <w:szCs w:val="21"/>
        </w:rPr>
        <w:t>。</w:t>
      </w:r>
    </w:p>
    <w:p w14:paraId="49C228E4">
      <w:pPr>
        <w:widowControl/>
        <w:snapToGrid w:val="0"/>
        <w:spacing w:before="156" w:line="360" w:lineRule="auto"/>
        <w:ind w:firstLine="420" w:firstLineChars="200"/>
        <w:jc w:val="left"/>
        <w:textAlignment w:val="baseline"/>
        <w:rPr>
          <w:rFonts w:ascii="宋体" w:hAnsi="宋体" w:cs="宋体"/>
          <w:sz w:val="20"/>
          <w:szCs w:val="21"/>
        </w:rPr>
      </w:pPr>
      <w:r>
        <w:rPr>
          <w:rFonts w:hint="eastAsia" w:ascii="宋体" w:hAnsi="宋体" w:cs="宋体"/>
          <w:szCs w:val="21"/>
        </w:rPr>
        <w:t>六、我单位在参加采购项目政府采购活动前三年内，在经营活动中，未因违法经营受到刑事处罚或者责令停产停业、吊销许可证或者执照、较大数额罚款等行政处罚。其中较大数额罚款是指：达到处罚地行政处罚听证范围中“较大数额罚款”标准的；法律、法规、规章、国务院有关行政主管部门对“较大数额罚款”标准另有规定的，从其规定。</w:t>
      </w:r>
    </w:p>
    <w:p w14:paraId="3DCE1ACD">
      <w:pPr>
        <w:widowControl/>
        <w:snapToGrid w:val="0"/>
        <w:spacing w:before="156" w:line="360" w:lineRule="auto"/>
        <w:ind w:firstLine="420" w:firstLineChars="200"/>
        <w:jc w:val="left"/>
        <w:textAlignment w:val="baseline"/>
        <w:rPr>
          <w:rFonts w:ascii="宋体" w:hAnsi="宋体" w:cs="宋体"/>
          <w:sz w:val="20"/>
          <w:szCs w:val="21"/>
        </w:rPr>
      </w:pPr>
      <w:r>
        <w:rPr>
          <w:rFonts w:hint="eastAsia" w:ascii="宋体" w:hAnsi="宋体" w:cs="宋体"/>
          <w:szCs w:val="21"/>
        </w:rPr>
        <w:t>供应商在参加政府采购活动前3年内因违法经营被禁止在一定期限内参加政府采购活动，期限届满的，可以参加政府采购活动。</w:t>
      </w:r>
    </w:p>
    <w:p w14:paraId="535DD5D9">
      <w:pPr>
        <w:widowControl/>
        <w:snapToGrid w:val="0"/>
        <w:spacing w:before="156" w:line="360" w:lineRule="auto"/>
        <w:ind w:firstLine="420" w:firstLineChars="200"/>
        <w:jc w:val="left"/>
        <w:textAlignment w:val="baseline"/>
        <w:rPr>
          <w:rFonts w:ascii="宋体" w:hAnsi="宋体" w:cs="宋体"/>
          <w:sz w:val="20"/>
          <w:szCs w:val="21"/>
        </w:rPr>
      </w:pPr>
      <w:r>
        <w:rPr>
          <w:rFonts w:hint="eastAsia" w:ascii="宋体" w:hAnsi="宋体" w:cs="宋体"/>
          <w:szCs w:val="21"/>
        </w:rPr>
        <w:t>七、我单位具备法律、行政法规规定的其他条件。</w:t>
      </w:r>
    </w:p>
    <w:p w14:paraId="4EE8490A">
      <w:pPr>
        <w:widowControl/>
        <w:snapToGrid w:val="0"/>
        <w:spacing w:before="156" w:line="360" w:lineRule="auto"/>
        <w:ind w:firstLine="420" w:firstLineChars="200"/>
        <w:jc w:val="left"/>
        <w:textAlignment w:val="baseline"/>
        <w:rPr>
          <w:rFonts w:ascii="宋体" w:hAnsi="宋体"/>
          <w:sz w:val="20"/>
          <w:szCs w:val="21"/>
        </w:rPr>
      </w:pPr>
      <w:r>
        <w:rPr>
          <w:rFonts w:hint="eastAsia" w:ascii="宋体" w:hAnsi="宋体" w:cs="宋体"/>
          <w:kern w:val="0"/>
          <w:szCs w:val="21"/>
        </w:rPr>
        <w:t>八、</w:t>
      </w:r>
      <w:r>
        <w:rPr>
          <w:rFonts w:hint="eastAsia" w:ascii="宋体" w:hAnsi="宋体"/>
          <w:szCs w:val="21"/>
        </w:rPr>
        <w:t>与我单位存在“单位负责人为同一人或者存在直接控股、管理关系”的其他单位信息如下（如无，填写“无”）：</w:t>
      </w:r>
    </w:p>
    <w:p w14:paraId="5D7D1344">
      <w:pPr>
        <w:snapToGrid w:val="0"/>
        <w:spacing w:before="156" w:line="360" w:lineRule="auto"/>
        <w:ind w:firstLine="420" w:firstLineChars="200"/>
        <w:textAlignment w:val="baseline"/>
        <w:rPr>
          <w:rFonts w:ascii="宋体" w:hAnsi="宋体"/>
          <w:sz w:val="20"/>
          <w:szCs w:val="21"/>
        </w:rPr>
      </w:pPr>
      <w:r>
        <w:rPr>
          <w:rFonts w:hint="eastAsia" w:ascii="宋体" w:hAnsi="宋体"/>
          <w:szCs w:val="21"/>
        </w:rPr>
        <w:t>1、与我单位的法定代表人（单位负责人）为同一人的其他单位如下：</w:t>
      </w:r>
      <w:r>
        <w:rPr>
          <w:rFonts w:hint="eastAsia" w:ascii="宋体" w:hAnsi="宋体"/>
          <w:szCs w:val="21"/>
          <w:u w:val="single" w:color="000000"/>
        </w:rPr>
        <w:t xml:space="preserve">               </w:t>
      </w:r>
    </w:p>
    <w:p w14:paraId="63EA17E1">
      <w:pPr>
        <w:snapToGrid w:val="0"/>
        <w:spacing w:before="156" w:line="360" w:lineRule="auto"/>
        <w:ind w:firstLine="420" w:firstLineChars="200"/>
        <w:textAlignment w:val="baseline"/>
        <w:rPr>
          <w:rFonts w:ascii="宋体" w:hAnsi="宋体"/>
          <w:sz w:val="20"/>
          <w:szCs w:val="21"/>
        </w:rPr>
      </w:pPr>
      <w:r>
        <w:rPr>
          <w:rFonts w:hint="eastAsia" w:ascii="宋体" w:hAnsi="宋体"/>
          <w:szCs w:val="21"/>
        </w:rPr>
        <w:t>2、我单位直接控股的其他单位如下：</w:t>
      </w:r>
      <w:r>
        <w:rPr>
          <w:rFonts w:hint="eastAsia" w:ascii="宋体" w:hAnsi="宋体"/>
          <w:szCs w:val="21"/>
          <w:u w:val="single" w:color="000000"/>
        </w:rPr>
        <w:t xml:space="preserve">               </w:t>
      </w:r>
    </w:p>
    <w:p w14:paraId="77A90A3B">
      <w:pPr>
        <w:snapToGrid w:val="0"/>
        <w:spacing w:before="156" w:line="360" w:lineRule="auto"/>
        <w:ind w:firstLine="420" w:firstLineChars="200"/>
        <w:textAlignment w:val="baseline"/>
        <w:rPr>
          <w:rFonts w:ascii="宋体" w:hAnsi="宋体"/>
          <w:sz w:val="20"/>
          <w:szCs w:val="21"/>
        </w:rPr>
      </w:pPr>
      <w:r>
        <w:rPr>
          <w:rFonts w:hint="eastAsia" w:ascii="宋体" w:hAnsi="宋体"/>
          <w:szCs w:val="21"/>
        </w:rPr>
        <w:t>3、与我单位存在管理关系的其他单位如下：</w:t>
      </w:r>
      <w:r>
        <w:rPr>
          <w:rFonts w:hint="eastAsia" w:ascii="宋体" w:hAnsi="宋体"/>
          <w:szCs w:val="21"/>
          <w:u w:val="single" w:color="000000"/>
        </w:rPr>
        <w:t xml:space="preserve">               </w:t>
      </w:r>
    </w:p>
    <w:p w14:paraId="6DE7D02F">
      <w:pPr>
        <w:widowControl/>
        <w:snapToGrid w:val="0"/>
        <w:spacing w:before="156" w:line="360" w:lineRule="auto"/>
        <w:ind w:firstLine="420" w:firstLineChars="200"/>
        <w:jc w:val="left"/>
        <w:textAlignment w:val="baseline"/>
        <w:rPr>
          <w:rFonts w:ascii="宋体" w:hAnsi="宋体"/>
          <w:sz w:val="20"/>
          <w:szCs w:val="21"/>
        </w:rPr>
      </w:pPr>
      <w:r>
        <w:rPr>
          <w:rFonts w:hint="eastAsia" w:ascii="宋体" w:hAnsi="宋体"/>
          <w:szCs w:val="21"/>
        </w:rPr>
        <w:t>九、</w:t>
      </w:r>
      <w:r>
        <w:rPr>
          <w:rFonts w:ascii="宋体" w:hAnsi="宋体"/>
          <w:szCs w:val="21"/>
        </w:rPr>
        <w:t>我</w:t>
      </w:r>
      <w:r>
        <w:rPr>
          <w:rFonts w:hint="eastAsia" w:ascii="宋体" w:hAnsi="宋体"/>
          <w:szCs w:val="21"/>
        </w:rPr>
        <w:t>单位</w:t>
      </w:r>
      <w:r>
        <w:rPr>
          <w:rFonts w:ascii="宋体" w:hAnsi="宋体"/>
          <w:szCs w:val="21"/>
        </w:rPr>
        <w:t>不属于为本项目提供整体设计、规范编制或者项目管理、监理、检测等服务的投标人。</w:t>
      </w:r>
    </w:p>
    <w:p w14:paraId="65C9CB95">
      <w:pPr>
        <w:widowControl/>
        <w:snapToGrid w:val="0"/>
        <w:spacing w:before="156" w:line="360" w:lineRule="auto"/>
        <w:ind w:firstLine="420" w:firstLineChars="200"/>
        <w:jc w:val="left"/>
        <w:textAlignment w:val="baseline"/>
        <w:rPr>
          <w:rFonts w:ascii="宋体" w:hAnsi="宋体"/>
          <w:sz w:val="20"/>
          <w:szCs w:val="21"/>
        </w:rPr>
      </w:pPr>
      <w:r>
        <w:rPr>
          <w:rFonts w:hint="eastAsia" w:ascii="宋体" w:hAnsi="宋体"/>
          <w:szCs w:val="21"/>
        </w:rPr>
        <w:t>十、</w:t>
      </w:r>
      <w:r>
        <w:rPr>
          <w:rFonts w:ascii="宋体" w:hAnsi="宋体"/>
          <w:szCs w:val="21"/>
        </w:rPr>
        <w:t>我单位无以下不良信用记录情形：</w:t>
      </w:r>
    </w:p>
    <w:p w14:paraId="6252B73A">
      <w:pPr>
        <w:widowControl/>
        <w:snapToGrid w:val="0"/>
        <w:spacing w:before="156" w:line="360" w:lineRule="auto"/>
        <w:ind w:firstLine="420" w:firstLineChars="200"/>
        <w:jc w:val="left"/>
        <w:textAlignment w:val="baseline"/>
        <w:rPr>
          <w:rFonts w:ascii="宋体" w:hAnsi="宋体"/>
          <w:sz w:val="20"/>
          <w:szCs w:val="21"/>
        </w:rPr>
      </w:pPr>
      <w:r>
        <w:rPr>
          <w:rFonts w:ascii="宋体" w:hAnsi="宋体"/>
          <w:szCs w:val="21"/>
        </w:rPr>
        <w:t>1</w:t>
      </w:r>
      <w:r>
        <w:rPr>
          <w:rFonts w:hint="eastAsia" w:ascii="宋体" w:hAnsi="宋体"/>
          <w:szCs w:val="21"/>
        </w:rPr>
        <w:t>、在</w:t>
      </w:r>
      <w:r>
        <w:rPr>
          <w:rFonts w:hint="eastAsia" w:ascii="宋体" w:hAnsi="宋体" w:cs="宋体"/>
          <w:szCs w:val="21"/>
        </w:rPr>
        <w:t>“信用中国”网站被列入失信被执行人和重大税收违法案件当事人名单；</w:t>
      </w:r>
    </w:p>
    <w:p w14:paraId="26413163">
      <w:pPr>
        <w:widowControl/>
        <w:snapToGrid w:val="0"/>
        <w:spacing w:before="156" w:line="360" w:lineRule="auto"/>
        <w:ind w:firstLine="420" w:firstLineChars="200"/>
        <w:jc w:val="left"/>
        <w:textAlignment w:val="baseline"/>
        <w:rPr>
          <w:rFonts w:ascii="宋体" w:hAnsi="宋体"/>
          <w:sz w:val="20"/>
          <w:szCs w:val="21"/>
        </w:rPr>
      </w:pPr>
      <w:r>
        <w:rPr>
          <w:rFonts w:ascii="宋体" w:hAnsi="宋体"/>
          <w:szCs w:val="21"/>
        </w:rPr>
        <w:t>2</w:t>
      </w:r>
      <w:r>
        <w:rPr>
          <w:rFonts w:hint="eastAsia" w:ascii="宋体" w:hAnsi="宋体"/>
          <w:szCs w:val="21"/>
        </w:rPr>
        <w:t>、在</w:t>
      </w:r>
      <w:r>
        <w:rPr>
          <w:rFonts w:hint="eastAsia" w:ascii="宋体" w:hAnsi="宋体" w:cs="宋体"/>
          <w:szCs w:val="21"/>
        </w:rPr>
        <w:t>“中国政府采购网”网站被列入政府采购严重违法失信行为记录名单；</w:t>
      </w:r>
    </w:p>
    <w:p w14:paraId="11C915F4">
      <w:pPr>
        <w:widowControl/>
        <w:snapToGrid w:val="0"/>
        <w:spacing w:before="156" w:line="360" w:lineRule="auto"/>
        <w:ind w:firstLine="420" w:firstLineChars="200"/>
        <w:jc w:val="left"/>
        <w:textAlignment w:val="baseline"/>
        <w:rPr>
          <w:rFonts w:ascii="宋体" w:hAnsi="宋体"/>
          <w:sz w:val="20"/>
          <w:szCs w:val="21"/>
        </w:rPr>
      </w:pPr>
      <w:r>
        <w:rPr>
          <w:rFonts w:ascii="宋体" w:hAnsi="宋体"/>
          <w:szCs w:val="21"/>
        </w:rPr>
        <w:t>3</w:t>
      </w:r>
      <w:r>
        <w:rPr>
          <w:rFonts w:hint="eastAsia" w:ascii="宋体" w:hAnsi="宋体"/>
          <w:szCs w:val="21"/>
        </w:rPr>
        <w:t>、</w:t>
      </w:r>
      <w:r>
        <w:rPr>
          <w:rFonts w:ascii="宋体" w:hAnsi="宋体"/>
          <w:szCs w:val="21"/>
        </w:rPr>
        <w:t>不符合《政府采购法》第二十二条规定的条件。</w:t>
      </w:r>
    </w:p>
    <w:p w14:paraId="06D93A89">
      <w:pPr>
        <w:widowControl/>
        <w:snapToGrid w:val="0"/>
        <w:spacing w:before="156" w:line="360" w:lineRule="auto"/>
        <w:ind w:firstLine="420" w:firstLineChars="200"/>
        <w:jc w:val="left"/>
        <w:textAlignment w:val="baseline"/>
        <w:rPr>
          <w:rFonts w:ascii="宋体" w:hAnsi="宋体" w:cs="宋体"/>
          <w:kern w:val="0"/>
          <w:sz w:val="20"/>
          <w:szCs w:val="21"/>
        </w:rPr>
      </w:pPr>
      <w:r>
        <w:rPr>
          <w:rFonts w:hint="eastAsia" w:ascii="宋体" w:hAnsi="宋体" w:cs="宋体"/>
          <w:szCs w:val="21"/>
        </w:rPr>
        <w:t>我单位保证上述声明的事项都是真实的，如有虚假，我单位愿意承担相应的法律责任，并承担因此所造成的一切损失。</w:t>
      </w:r>
    </w:p>
    <w:p w14:paraId="7526A602">
      <w:pPr>
        <w:widowControl/>
        <w:snapToGrid w:val="0"/>
        <w:spacing w:before="156" w:line="360" w:lineRule="auto"/>
        <w:jc w:val="left"/>
        <w:textAlignment w:val="baseline"/>
        <w:rPr>
          <w:rFonts w:ascii="宋体" w:hAnsi="宋体" w:cs="宋体"/>
          <w:sz w:val="20"/>
          <w:szCs w:val="21"/>
        </w:rPr>
      </w:pPr>
    </w:p>
    <w:p w14:paraId="4FE936D6">
      <w:pPr>
        <w:widowControl/>
        <w:snapToGrid w:val="0"/>
        <w:spacing w:before="156" w:line="360" w:lineRule="auto"/>
        <w:jc w:val="left"/>
        <w:textAlignment w:val="baseline"/>
        <w:rPr>
          <w:rFonts w:ascii="宋体" w:hAnsi="宋体" w:cs="宋体"/>
          <w:sz w:val="20"/>
          <w:szCs w:val="21"/>
        </w:rPr>
      </w:pPr>
      <w:r>
        <w:rPr>
          <w:rFonts w:hint="eastAsia" w:ascii="宋体" w:hAnsi="宋体" w:cs="宋体"/>
          <w:szCs w:val="21"/>
        </w:rPr>
        <w:t>注：第三条“良好的商业信誉”是指投标人经营状况良好，无本资格声明第十条情形。</w:t>
      </w:r>
    </w:p>
    <w:p w14:paraId="21499488">
      <w:pPr>
        <w:widowControl/>
        <w:snapToGrid w:val="0"/>
        <w:spacing w:before="156" w:line="360" w:lineRule="auto"/>
        <w:jc w:val="left"/>
        <w:textAlignment w:val="baseline"/>
        <w:rPr>
          <w:rFonts w:ascii="宋体" w:hAnsi="宋体" w:cs="宋体"/>
          <w:color w:val="FF0000"/>
          <w:sz w:val="20"/>
          <w:szCs w:val="21"/>
        </w:rPr>
      </w:pPr>
    </w:p>
    <w:p w14:paraId="1F6D7BA0">
      <w:pPr>
        <w:widowControl/>
        <w:snapToGrid w:val="0"/>
        <w:spacing w:line="480" w:lineRule="auto"/>
        <w:jc w:val="left"/>
        <w:textAlignment w:val="baseline"/>
        <w:rPr>
          <w:rFonts w:ascii="宋体" w:hAnsi="宋体" w:cs="宋体"/>
          <w:kern w:val="0"/>
          <w:sz w:val="20"/>
          <w:szCs w:val="21"/>
        </w:rPr>
      </w:pPr>
      <w:r>
        <w:rPr>
          <w:rFonts w:hint="eastAsia" w:ascii="宋体" w:hAnsi="宋体" w:cs="宋体"/>
          <w:szCs w:val="21"/>
        </w:rPr>
        <w:t>投标人名称（盖单位公章）：</w:t>
      </w:r>
      <w:r>
        <w:rPr>
          <w:rFonts w:hint="eastAsia" w:ascii="宋体" w:hAnsi="宋体"/>
          <w:u w:val="single" w:color="000000"/>
        </w:rPr>
        <w:t xml:space="preserve">              </w:t>
      </w:r>
    </w:p>
    <w:p w14:paraId="0D412E3C">
      <w:pPr>
        <w:widowControl/>
        <w:snapToGrid w:val="0"/>
        <w:spacing w:line="480" w:lineRule="auto"/>
        <w:jc w:val="left"/>
        <w:textAlignment w:val="baseline"/>
        <w:rPr>
          <w:rFonts w:ascii="宋体" w:hAnsi="宋体" w:cs="宋体"/>
          <w:b/>
          <w:bCs/>
          <w:kern w:val="0"/>
          <w:sz w:val="44"/>
          <w:szCs w:val="44"/>
        </w:rPr>
      </w:pPr>
      <w:r>
        <w:rPr>
          <w:rFonts w:hint="eastAsia" w:ascii="宋体" w:hAnsi="宋体" w:cs="微软雅黑"/>
          <w:spacing w:val="-2"/>
          <w:kern w:val="0"/>
          <w:szCs w:val="21"/>
        </w:rPr>
        <w:t>法</w:t>
      </w:r>
      <w:r>
        <w:rPr>
          <w:rFonts w:hint="eastAsia" w:ascii="宋体" w:hAnsi="宋体" w:cs="微软雅黑"/>
          <w:kern w:val="0"/>
          <w:szCs w:val="21"/>
        </w:rPr>
        <w:t>定</w:t>
      </w:r>
      <w:r>
        <w:rPr>
          <w:rFonts w:hint="eastAsia" w:ascii="宋体" w:hAnsi="宋体" w:cs="微软雅黑"/>
          <w:spacing w:val="-2"/>
          <w:kern w:val="0"/>
          <w:szCs w:val="21"/>
        </w:rPr>
        <w:t>代</w:t>
      </w:r>
      <w:r>
        <w:rPr>
          <w:rFonts w:hint="eastAsia" w:ascii="宋体" w:hAnsi="宋体" w:cs="微软雅黑"/>
          <w:kern w:val="0"/>
          <w:szCs w:val="21"/>
        </w:rPr>
        <w:t>表</w:t>
      </w:r>
      <w:r>
        <w:rPr>
          <w:rFonts w:hint="eastAsia" w:ascii="宋体" w:hAnsi="宋体" w:cs="微软雅黑"/>
          <w:spacing w:val="-2"/>
          <w:kern w:val="0"/>
          <w:szCs w:val="21"/>
        </w:rPr>
        <w:t>人</w:t>
      </w:r>
      <w:r>
        <w:rPr>
          <w:rFonts w:hint="eastAsia" w:ascii="宋体" w:hAnsi="宋体" w:cs="微软雅黑"/>
          <w:kern w:val="0"/>
          <w:szCs w:val="21"/>
        </w:rPr>
        <w:t>（</w:t>
      </w:r>
      <w:r>
        <w:rPr>
          <w:rFonts w:hint="eastAsia" w:ascii="宋体" w:hAnsi="宋体" w:cs="微软雅黑"/>
          <w:spacing w:val="-2"/>
          <w:kern w:val="0"/>
          <w:szCs w:val="21"/>
        </w:rPr>
        <w:t>单</w:t>
      </w:r>
      <w:r>
        <w:rPr>
          <w:rFonts w:hint="eastAsia" w:ascii="宋体" w:hAnsi="宋体" w:cs="微软雅黑"/>
          <w:kern w:val="0"/>
          <w:szCs w:val="21"/>
        </w:rPr>
        <w:t>位</w:t>
      </w:r>
      <w:r>
        <w:rPr>
          <w:rFonts w:hint="eastAsia" w:ascii="宋体" w:hAnsi="宋体" w:cs="微软雅黑"/>
          <w:spacing w:val="-2"/>
          <w:kern w:val="0"/>
          <w:szCs w:val="21"/>
        </w:rPr>
        <w:t>负</w:t>
      </w:r>
      <w:r>
        <w:rPr>
          <w:rFonts w:hint="eastAsia" w:ascii="宋体" w:hAnsi="宋体" w:cs="微软雅黑"/>
          <w:kern w:val="0"/>
          <w:szCs w:val="21"/>
        </w:rPr>
        <w:t>责人</w:t>
      </w:r>
      <w:r>
        <w:rPr>
          <w:rFonts w:hint="eastAsia" w:ascii="宋体" w:hAnsi="宋体" w:cs="微软雅黑"/>
          <w:spacing w:val="-2"/>
          <w:kern w:val="0"/>
          <w:szCs w:val="21"/>
        </w:rPr>
        <w:t>）</w:t>
      </w:r>
      <w:r>
        <w:rPr>
          <w:rFonts w:hint="eastAsia" w:ascii="宋体" w:hAnsi="宋体"/>
        </w:rPr>
        <w:t>或委托代理人：</w:t>
      </w:r>
      <w:r>
        <w:rPr>
          <w:rFonts w:hint="eastAsia" w:ascii="宋体" w:hAnsi="宋体"/>
          <w:u w:val="single" w:color="000000"/>
        </w:rPr>
        <w:t xml:space="preserve">       </w:t>
      </w:r>
      <w:r>
        <w:rPr>
          <w:rFonts w:hint="eastAsia" w:ascii="宋体" w:hAnsi="宋体"/>
        </w:rPr>
        <w:t>（签字或印章）</w:t>
      </w:r>
    </w:p>
    <w:p w14:paraId="49A7E3F7">
      <w:pPr>
        <w:widowControl/>
        <w:snapToGrid w:val="0"/>
        <w:spacing w:line="480" w:lineRule="auto"/>
        <w:jc w:val="left"/>
        <w:textAlignment w:val="baseline"/>
        <w:rPr>
          <w:rFonts w:ascii="宋体" w:hAnsi="宋体" w:cs="宋体"/>
          <w:szCs w:val="21"/>
        </w:rPr>
      </w:pPr>
      <w:r>
        <w:rPr>
          <w:rFonts w:hint="eastAsia" w:ascii="宋体" w:hAnsi="宋体" w:cs="宋体"/>
          <w:szCs w:val="21"/>
        </w:rPr>
        <w:t>日期：</w:t>
      </w:r>
      <w:r>
        <w:rPr>
          <w:rFonts w:hint="eastAsia" w:ascii="宋体" w:hAnsi="宋体" w:cs="宋体"/>
          <w:szCs w:val="21"/>
          <w:u w:val="single" w:color="000000"/>
        </w:rPr>
        <w:t xml:space="preserve">       </w:t>
      </w:r>
      <w:r>
        <w:rPr>
          <w:rFonts w:hint="eastAsia" w:ascii="宋体" w:hAnsi="宋体" w:cs="宋体"/>
          <w:szCs w:val="21"/>
        </w:rPr>
        <w:t>年</w:t>
      </w:r>
      <w:r>
        <w:rPr>
          <w:rFonts w:hint="eastAsia" w:ascii="宋体" w:hAnsi="宋体" w:cs="宋体"/>
          <w:szCs w:val="21"/>
          <w:u w:val="single" w:color="000000"/>
        </w:rPr>
        <w:t xml:space="preserve">  </w:t>
      </w:r>
      <w:r>
        <w:rPr>
          <w:rFonts w:hint="eastAsia" w:ascii="宋体" w:hAnsi="宋体" w:cs="宋体"/>
          <w:szCs w:val="21"/>
        </w:rPr>
        <w:t>月</w:t>
      </w:r>
      <w:r>
        <w:rPr>
          <w:rFonts w:hint="eastAsia" w:ascii="宋体" w:hAnsi="宋体" w:cs="宋体"/>
          <w:szCs w:val="21"/>
          <w:u w:val="single" w:color="000000"/>
        </w:rPr>
        <w:t xml:space="preserve">  </w:t>
      </w:r>
      <w:r>
        <w:rPr>
          <w:rFonts w:hint="eastAsia" w:ascii="宋体" w:hAnsi="宋体" w:cs="宋体"/>
          <w:szCs w:val="21"/>
        </w:rPr>
        <w:t>日</w:t>
      </w:r>
    </w:p>
    <w:p w14:paraId="1E74A628">
      <w:pPr>
        <w:pStyle w:val="64"/>
        <w:ind w:left="0" w:leftChars="0" w:firstLine="0" w:firstLineChars="0"/>
        <w:rPr>
          <w:rFonts w:hint="eastAsia"/>
        </w:rPr>
      </w:pPr>
    </w:p>
    <w:p w14:paraId="3A1A65A1"/>
    <w:p w14:paraId="5F20FCF6">
      <w:pPr>
        <w:pStyle w:val="64"/>
      </w:pPr>
    </w:p>
    <w:p w14:paraId="1966FA44">
      <w:pPr>
        <w:pStyle w:val="64"/>
      </w:pPr>
    </w:p>
    <w:p w14:paraId="3F03EE10">
      <w:pPr>
        <w:pStyle w:val="4"/>
        <w:rPr>
          <w:rFonts w:ascii="宋体" w:hAnsi="宋体"/>
          <w:sz w:val="21"/>
          <w:szCs w:val="24"/>
        </w:rPr>
      </w:pPr>
      <w:bookmarkStart w:id="165" w:name="_Toc227246854"/>
      <w:bookmarkStart w:id="166" w:name="_Toc124271215"/>
    </w:p>
    <w:p w14:paraId="46BBA278">
      <w:pPr>
        <w:rPr>
          <w:rFonts w:ascii="宋体" w:hAnsi="宋体"/>
          <w:sz w:val="21"/>
          <w:szCs w:val="24"/>
        </w:rPr>
      </w:pPr>
    </w:p>
    <w:p w14:paraId="71B2A31C">
      <w:pPr>
        <w:rPr>
          <w:rFonts w:ascii="宋体" w:hAnsi="宋体"/>
          <w:sz w:val="21"/>
          <w:szCs w:val="24"/>
        </w:rPr>
      </w:pPr>
    </w:p>
    <w:p w14:paraId="4A7591A9">
      <w:pPr>
        <w:rPr>
          <w:rFonts w:ascii="宋体" w:hAnsi="宋体"/>
          <w:sz w:val="21"/>
          <w:szCs w:val="24"/>
        </w:rPr>
      </w:pPr>
    </w:p>
    <w:p w14:paraId="32B8844F">
      <w:pPr>
        <w:pStyle w:val="4"/>
        <w:rPr>
          <w:rFonts w:ascii="宋体" w:hAnsi="宋体"/>
          <w:sz w:val="21"/>
          <w:szCs w:val="24"/>
        </w:rPr>
      </w:pPr>
    </w:p>
    <w:p w14:paraId="35D7F955"/>
    <w:p w14:paraId="77B17193">
      <w:pPr>
        <w:pStyle w:val="4"/>
        <w:rPr>
          <w:rFonts w:ascii="宋体" w:hAnsi="宋体"/>
          <w:sz w:val="21"/>
          <w:szCs w:val="24"/>
        </w:rPr>
      </w:pPr>
      <w:r>
        <w:rPr>
          <w:rFonts w:ascii="宋体" w:hAnsi="宋体"/>
          <w:sz w:val="21"/>
          <w:szCs w:val="24"/>
        </w:rPr>
        <w:t>附件</w:t>
      </w:r>
      <w:r>
        <w:rPr>
          <w:rFonts w:hint="eastAsia" w:ascii="宋体" w:hAnsi="宋体"/>
          <w:sz w:val="21"/>
          <w:szCs w:val="24"/>
        </w:rPr>
        <w:t>4</w:t>
      </w:r>
      <w:r>
        <w:rPr>
          <w:rFonts w:ascii="宋体" w:hAnsi="宋体"/>
          <w:sz w:val="21"/>
          <w:szCs w:val="24"/>
        </w:rPr>
        <w:t>-6 信用查询记录</w:t>
      </w:r>
      <w:bookmarkEnd w:id="165"/>
      <w:bookmarkEnd w:id="166"/>
    </w:p>
    <w:p w14:paraId="09CB4054">
      <w:pPr>
        <w:pStyle w:val="64"/>
        <w:rPr>
          <w:rFonts w:hint="eastAsia"/>
        </w:rPr>
      </w:pPr>
      <w:r>
        <w:rPr>
          <w:rFonts w:hint="eastAsia"/>
        </w:rPr>
        <w:t>查询</w:t>
      </w:r>
      <w:r>
        <w:t>方式：</w:t>
      </w:r>
    </w:p>
    <w:p w14:paraId="1361DEA0">
      <w:pPr>
        <w:pStyle w:val="64"/>
        <w:rPr>
          <w:rFonts w:hint="eastAsia" w:ascii="宋体" w:hAnsi="宋体"/>
        </w:rPr>
      </w:pPr>
      <w:r>
        <w:rPr>
          <w:rFonts w:hint="eastAsia"/>
        </w:rPr>
        <w:t>1、登陆</w:t>
      </w:r>
      <w:r>
        <w:rPr>
          <w:rFonts w:hint="eastAsia" w:ascii="宋体" w:hAnsi="宋体"/>
        </w:rPr>
        <w:t>“信用中国</w:t>
      </w:r>
      <w:r>
        <w:rPr>
          <w:rFonts w:ascii="宋体" w:hAnsi="宋体"/>
        </w:rPr>
        <w:t xml:space="preserve">” </w:t>
      </w:r>
      <w:r>
        <w:rPr>
          <w:rFonts w:hint="eastAsia" w:ascii="宋体" w:hAnsi="宋体"/>
        </w:rPr>
        <w:t xml:space="preserve">（ </w:t>
      </w:r>
      <w:r>
        <w:rPr>
          <w:rFonts w:ascii="宋体" w:hAnsi="宋体"/>
        </w:rPr>
        <w:t xml:space="preserve">https://www.creditchina.gov.cn/ </w:t>
      </w:r>
      <w:r>
        <w:rPr>
          <w:rFonts w:hint="eastAsia" w:ascii="宋体" w:hAnsi="宋体"/>
        </w:rPr>
        <w:t>）后点击首页</w:t>
      </w:r>
      <w:r>
        <w:rPr>
          <w:rFonts w:ascii="宋体" w:hAnsi="宋体"/>
        </w:rPr>
        <w:t>上的</w:t>
      </w:r>
      <w:r>
        <w:rPr>
          <w:rFonts w:hint="eastAsia" w:ascii="宋体" w:hAnsi="宋体"/>
        </w:rPr>
        <w:t>“信用</w:t>
      </w:r>
      <w:r>
        <w:rPr>
          <w:rFonts w:ascii="宋体" w:hAnsi="宋体"/>
        </w:rPr>
        <w:t>服务”</w:t>
      </w:r>
      <w:r>
        <w:rPr>
          <w:rFonts w:hint="eastAsia" w:ascii="宋体" w:hAnsi="宋体"/>
        </w:rPr>
        <w:t>进去分别就 “严重</w:t>
      </w:r>
      <w:r>
        <w:rPr>
          <w:rFonts w:ascii="宋体" w:hAnsi="宋体"/>
        </w:rPr>
        <w:t>失信主体名单查询”“</w:t>
      </w:r>
      <w:r>
        <w:rPr>
          <w:rFonts w:hint="eastAsia" w:ascii="宋体" w:hAnsi="宋体"/>
        </w:rPr>
        <w:t>失信</w:t>
      </w:r>
      <w:r>
        <w:rPr>
          <w:rFonts w:ascii="宋体" w:hAnsi="宋体"/>
        </w:rPr>
        <w:t>被执行人”</w:t>
      </w:r>
      <w:r>
        <w:rPr>
          <w:rFonts w:hint="eastAsia" w:ascii="宋体" w:hAnsi="宋体"/>
        </w:rPr>
        <w:t>和</w:t>
      </w:r>
      <w:r>
        <w:rPr>
          <w:rFonts w:ascii="宋体" w:hAnsi="宋体"/>
        </w:rPr>
        <w:t>“</w:t>
      </w:r>
      <w:r>
        <w:rPr>
          <w:rFonts w:hint="eastAsia" w:ascii="宋体" w:hAnsi="宋体"/>
        </w:rPr>
        <w:t>重大税收违法失信主体名单</w:t>
      </w:r>
      <w:r>
        <w:rPr>
          <w:rFonts w:ascii="宋体" w:hAnsi="宋体"/>
        </w:rPr>
        <w:t>”</w:t>
      </w:r>
      <w:r>
        <w:rPr>
          <w:rFonts w:hint="eastAsia" w:ascii="宋体" w:hAnsi="宋体"/>
        </w:rPr>
        <w:t>进行</w:t>
      </w:r>
      <w:r>
        <w:rPr>
          <w:rFonts w:ascii="宋体" w:hAnsi="宋体"/>
        </w:rPr>
        <w:t>查询</w:t>
      </w:r>
      <w:r>
        <w:rPr>
          <w:rFonts w:hint="eastAsia" w:ascii="宋体" w:hAnsi="宋体"/>
        </w:rPr>
        <w:t>（</w:t>
      </w:r>
      <w:r>
        <w:rPr>
          <w:rFonts w:ascii="宋体" w:hAnsi="宋体"/>
        </w:rPr>
        <w:t>投标人），并</w:t>
      </w:r>
      <w:r>
        <w:rPr>
          <w:rFonts w:hint="eastAsia" w:ascii="宋体" w:hAnsi="宋体"/>
        </w:rPr>
        <w:t>将</w:t>
      </w:r>
      <w:r>
        <w:rPr>
          <w:rFonts w:ascii="宋体" w:hAnsi="宋体"/>
        </w:rPr>
        <w:t>查询结果截图。</w:t>
      </w:r>
    </w:p>
    <w:p w14:paraId="53826335">
      <w:pPr>
        <w:widowControl/>
        <w:jc w:val="left"/>
        <w:rPr>
          <w:rFonts w:ascii="宋体" w:hAnsi="宋体" w:cs="宋体"/>
          <w:kern w:val="0"/>
          <w:sz w:val="24"/>
        </w:rPr>
      </w:pPr>
      <w:r>
        <w:rPr>
          <w:rFonts w:ascii="宋体" w:hAnsi="宋体" w:cs="宋体"/>
          <w:kern w:val="0"/>
          <w:sz w:val="24"/>
        </w:rPr>
        <w:fldChar w:fldCharType="begin"/>
      </w:r>
      <w:r>
        <w:rPr>
          <w:rFonts w:ascii="宋体" w:hAnsi="宋体" w:cs="宋体"/>
          <w:kern w:val="0"/>
          <w:sz w:val="24"/>
        </w:rPr>
        <w:instrText xml:space="preserve"> INCLUDEPICTURE "C:\\Users\\Administrator\\AppData\\Roaming\\Tencent\\Users\\19738120\\QQ\\WinTemp\\RichOle\\{6_]WCI`6(YG)76_T4BH)[1.png" \* MERGEFORMATINET </w:instrText>
      </w:r>
      <w:r>
        <w:rPr>
          <w:rFonts w:ascii="宋体" w:hAnsi="宋体" w:cs="宋体"/>
          <w:kern w:val="0"/>
          <w:sz w:val="24"/>
        </w:rPr>
        <w:fldChar w:fldCharType="separate"/>
      </w:r>
      <w:r>
        <w:rPr>
          <w:rFonts w:ascii="宋体" w:hAnsi="宋体" w:cs="宋体"/>
          <w:kern w:val="0"/>
          <w:sz w:val="24"/>
        </w:rPr>
        <w:drawing>
          <wp:inline distT="0" distB="0" distL="114300" distR="114300">
            <wp:extent cx="5714365" cy="3714115"/>
            <wp:effectExtent l="0" t="0" r="635" b="635"/>
            <wp:docPr id="4" name="图片 1" descr="{6_]WCI`6(YG)76_T4BH)[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descr="{6_]WCI`6(YG)76_T4BH)[1"/>
                    <pic:cNvPicPr>
                      <a:picLocks noChangeAspect="1"/>
                    </pic:cNvPicPr>
                  </pic:nvPicPr>
                  <pic:blipFill>
                    <a:blip r:embed="rId25"/>
                    <a:stretch>
                      <a:fillRect/>
                    </a:stretch>
                  </pic:blipFill>
                  <pic:spPr>
                    <a:xfrm>
                      <a:off x="0" y="0"/>
                      <a:ext cx="5714365" cy="3714115"/>
                    </a:xfrm>
                    <a:prstGeom prst="rect">
                      <a:avLst/>
                    </a:prstGeom>
                    <a:noFill/>
                    <a:ln>
                      <a:noFill/>
                    </a:ln>
                  </pic:spPr>
                </pic:pic>
              </a:graphicData>
            </a:graphic>
          </wp:inline>
        </w:drawing>
      </w:r>
      <w:r>
        <w:rPr>
          <w:rFonts w:ascii="宋体" w:hAnsi="宋体" w:cs="宋体"/>
          <w:kern w:val="0"/>
          <w:sz w:val="24"/>
        </w:rPr>
        <w:fldChar w:fldCharType="end"/>
      </w:r>
    </w:p>
    <w:p w14:paraId="34B8A785">
      <w:pPr>
        <w:rPr>
          <w:rFonts w:hint="eastAsia" w:ascii="宋体" w:hAnsi="宋体"/>
        </w:rPr>
      </w:pPr>
    </w:p>
    <w:p w14:paraId="32A88095">
      <w:pPr>
        <w:rPr>
          <w:rFonts w:hint="eastAsia" w:ascii="宋体" w:hAnsi="宋体"/>
          <w:szCs w:val="21"/>
        </w:rPr>
      </w:pPr>
      <w:r>
        <w:rPr>
          <w:rFonts w:hint="eastAsia" w:ascii="宋体" w:hAnsi="宋体"/>
        </w:rPr>
        <w:t>2、</w:t>
      </w:r>
      <w:r>
        <w:rPr>
          <w:rFonts w:ascii="宋体" w:hAnsi="宋体"/>
        </w:rPr>
        <w:t>登陆</w:t>
      </w:r>
      <w:r>
        <w:rPr>
          <w:rFonts w:hint="eastAsia" w:ascii="宋体" w:hAnsi="宋体"/>
        </w:rPr>
        <w:t xml:space="preserve"> </w:t>
      </w:r>
      <w:r>
        <w:rPr>
          <w:rFonts w:hint="eastAsia" w:ascii="宋体" w:hAnsi="宋体"/>
          <w:szCs w:val="21"/>
        </w:rPr>
        <w:t>中国政府采购网（www.ccgp.gov.cn）；首</w:t>
      </w:r>
      <w:r>
        <w:rPr>
          <w:rFonts w:ascii="宋体" w:hAnsi="宋体"/>
          <w:szCs w:val="21"/>
        </w:rPr>
        <w:t>页</w:t>
      </w:r>
      <w:r>
        <w:rPr>
          <w:rFonts w:hint="eastAsia" w:ascii="宋体" w:hAnsi="宋体"/>
          <w:szCs w:val="21"/>
        </w:rPr>
        <w:t>左边点击</w:t>
      </w:r>
      <w:r>
        <w:rPr>
          <w:rFonts w:ascii="宋体" w:hAnsi="宋体"/>
          <w:szCs w:val="21"/>
        </w:rPr>
        <w:t>“</w:t>
      </w:r>
      <w:r>
        <w:rPr>
          <w:rFonts w:hint="eastAsia" w:ascii="宋体" w:hAnsi="宋体"/>
        </w:rPr>
        <w:t>政府</w:t>
      </w:r>
      <w:r>
        <w:rPr>
          <w:rFonts w:ascii="宋体" w:hAnsi="宋体"/>
        </w:rPr>
        <w:t>采购严重</w:t>
      </w:r>
      <w:r>
        <w:rPr>
          <w:rFonts w:hint="eastAsia" w:ascii="宋体" w:hAnsi="宋体"/>
        </w:rPr>
        <w:t>违法失信</w:t>
      </w:r>
      <w:r>
        <w:rPr>
          <w:rFonts w:ascii="宋体" w:hAnsi="宋体"/>
        </w:rPr>
        <w:t>行为</w:t>
      </w:r>
      <w:r>
        <w:rPr>
          <w:rFonts w:hint="eastAsia" w:ascii="宋体" w:hAnsi="宋体"/>
        </w:rPr>
        <w:t>记录</w:t>
      </w:r>
      <w:r>
        <w:rPr>
          <w:rFonts w:ascii="宋体" w:hAnsi="宋体"/>
        </w:rPr>
        <w:t>名单</w:t>
      </w:r>
      <w:r>
        <w:rPr>
          <w:rFonts w:ascii="宋体" w:hAnsi="宋体"/>
          <w:szCs w:val="21"/>
        </w:rPr>
        <w:t>”</w:t>
      </w:r>
      <w:r>
        <w:rPr>
          <w:rFonts w:hint="eastAsia" w:ascii="宋体" w:hAnsi="宋体"/>
          <w:szCs w:val="21"/>
        </w:rPr>
        <w:t>进</w:t>
      </w:r>
      <w:r>
        <w:rPr>
          <w:rFonts w:ascii="宋体" w:hAnsi="宋体"/>
          <w:szCs w:val="21"/>
        </w:rPr>
        <w:t>去后按下面图例</w:t>
      </w:r>
      <w:r>
        <w:rPr>
          <w:rFonts w:hint="eastAsia" w:ascii="宋体" w:hAnsi="宋体"/>
          <w:szCs w:val="21"/>
        </w:rPr>
        <w:t>进行</w:t>
      </w:r>
      <w:r>
        <w:rPr>
          <w:rFonts w:ascii="宋体" w:hAnsi="宋体"/>
          <w:szCs w:val="21"/>
        </w:rPr>
        <w:t>查询</w:t>
      </w:r>
      <w:r>
        <w:rPr>
          <w:rFonts w:hint="eastAsia" w:ascii="宋体" w:hAnsi="宋体"/>
          <w:szCs w:val="21"/>
        </w:rPr>
        <w:t>（</w:t>
      </w:r>
      <w:r>
        <w:rPr>
          <w:rFonts w:ascii="宋体" w:hAnsi="宋体"/>
          <w:szCs w:val="21"/>
        </w:rPr>
        <w:t>投标人）</w:t>
      </w:r>
      <w:r>
        <w:rPr>
          <w:rFonts w:hint="eastAsia" w:ascii="宋体" w:hAnsi="宋体"/>
          <w:szCs w:val="21"/>
        </w:rPr>
        <w:t>，</w:t>
      </w:r>
      <w:r>
        <w:rPr>
          <w:rFonts w:ascii="宋体" w:hAnsi="宋体"/>
        </w:rPr>
        <w:t>并</w:t>
      </w:r>
      <w:r>
        <w:rPr>
          <w:rFonts w:hint="eastAsia" w:ascii="宋体" w:hAnsi="宋体"/>
        </w:rPr>
        <w:t>将</w:t>
      </w:r>
      <w:r>
        <w:rPr>
          <w:rFonts w:ascii="宋体" w:hAnsi="宋体"/>
        </w:rPr>
        <w:t>查询结果截图。</w:t>
      </w:r>
    </w:p>
    <w:p w14:paraId="48A1263F">
      <w:pPr>
        <w:widowControl/>
        <w:jc w:val="left"/>
        <w:rPr>
          <w:rFonts w:hint="eastAsia" w:ascii="宋体" w:hAnsi="宋体" w:cs="宋体"/>
          <w:kern w:val="0"/>
          <w:sz w:val="24"/>
        </w:rPr>
      </w:pPr>
      <w:r>
        <w:rPr>
          <w:rFonts w:ascii="宋体" w:hAnsi="宋体" w:cs="宋体"/>
          <w:kern w:val="0"/>
          <w:sz w:val="24"/>
        </w:rPr>
        <w:fldChar w:fldCharType="begin"/>
      </w:r>
      <w:r>
        <w:rPr>
          <w:rFonts w:ascii="宋体" w:hAnsi="宋体" w:cs="宋体"/>
          <w:kern w:val="0"/>
          <w:sz w:val="24"/>
        </w:rPr>
        <w:instrText xml:space="preserve"> INCLUDEPICTURE "C:\\Users\\Administrator\\AppData\\Roaming\\Tencent\\Users\\19738120\\QQ\\WinTemp\\RichOle\\924[EHTW(I7}[2]PUQW3ZNA.png" \* MERGEFORMATINET </w:instrText>
      </w:r>
      <w:r>
        <w:rPr>
          <w:rFonts w:ascii="宋体" w:hAnsi="宋体" w:cs="宋体"/>
          <w:kern w:val="0"/>
          <w:sz w:val="24"/>
        </w:rPr>
        <w:fldChar w:fldCharType="separate"/>
      </w:r>
      <w:r>
        <w:rPr>
          <w:rFonts w:ascii="宋体" w:hAnsi="宋体" w:cs="宋体"/>
          <w:kern w:val="0"/>
          <w:sz w:val="24"/>
        </w:rPr>
        <w:drawing>
          <wp:inline distT="0" distB="0" distL="114300" distR="114300">
            <wp:extent cx="5571490" cy="2696845"/>
            <wp:effectExtent l="0" t="0" r="10160" b="8255"/>
            <wp:docPr id="9" name="图片 2" descr="924[EHTW(I7}[2]PUQW3Z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 descr="924[EHTW(I7}[2]PUQW3ZNA"/>
                    <pic:cNvPicPr>
                      <a:picLocks noChangeAspect="1"/>
                    </pic:cNvPicPr>
                  </pic:nvPicPr>
                  <pic:blipFill>
                    <a:blip r:embed="rId26"/>
                    <a:stretch>
                      <a:fillRect/>
                    </a:stretch>
                  </pic:blipFill>
                  <pic:spPr>
                    <a:xfrm>
                      <a:off x="0" y="0"/>
                      <a:ext cx="5571490" cy="2696845"/>
                    </a:xfrm>
                    <a:prstGeom prst="rect">
                      <a:avLst/>
                    </a:prstGeom>
                    <a:noFill/>
                    <a:ln>
                      <a:noFill/>
                    </a:ln>
                  </pic:spPr>
                </pic:pic>
              </a:graphicData>
            </a:graphic>
          </wp:inline>
        </w:drawing>
      </w:r>
      <w:r>
        <w:rPr>
          <w:rFonts w:ascii="宋体" w:hAnsi="宋体" w:cs="宋体"/>
          <w:kern w:val="0"/>
          <w:sz w:val="24"/>
        </w:rPr>
        <w:fldChar w:fldCharType="end"/>
      </w:r>
    </w:p>
    <w:p w14:paraId="30F9C732">
      <w:pPr>
        <w:spacing w:line="360" w:lineRule="auto"/>
        <w:ind w:firstLine="420" w:firstLineChars="200"/>
      </w:pPr>
    </w:p>
    <w:p w14:paraId="010919CF"/>
    <w:p w14:paraId="1E45F9A2">
      <w:pPr>
        <w:pStyle w:val="64"/>
      </w:pPr>
    </w:p>
    <w:p w14:paraId="20CC1F56">
      <w:pPr>
        <w:pStyle w:val="64"/>
      </w:pPr>
    </w:p>
    <w:p w14:paraId="7ADA3307">
      <w:pPr>
        <w:pStyle w:val="64"/>
      </w:pPr>
    </w:p>
    <w:p w14:paraId="482D4284">
      <w:pPr>
        <w:pStyle w:val="64"/>
      </w:pPr>
    </w:p>
    <w:p w14:paraId="454EF148">
      <w:pPr>
        <w:pStyle w:val="64"/>
      </w:pPr>
    </w:p>
    <w:p w14:paraId="3C91086B">
      <w:pPr>
        <w:pStyle w:val="64"/>
      </w:pPr>
    </w:p>
    <w:p w14:paraId="67D51C62">
      <w:pPr>
        <w:pStyle w:val="64"/>
      </w:pPr>
    </w:p>
    <w:p w14:paraId="4FCF4734">
      <w:pPr>
        <w:pStyle w:val="64"/>
      </w:pPr>
    </w:p>
    <w:p w14:paraId="59A1A3EF">
      <w:pPr>
        <w:pStyle w:val="64"/>
      </w:pPr>
    </w:p>
    <w:p w14:paraId="3965C7F0">
      <w:pPr>
        <w:pStyle w:val="64"/>
      </w:pPr>
    </w:p>
    <w:p w14:paraId="0F9BC1F3">
      <w:pPr>
        <w:pStyle w:val="64"/>
      </w:pPr>
    </w:p>
    <w:p w14:paraId="04F395D1">
      <w:pPr>
        <w:pStyle w:val="64"/>
      </w:pPr>
    </w:p>
    <w:p w14:paraId="3FEA97C1">
      <w:pPr>
        <w:pStyle w:val="64"/>
      </w:pPr>
    </w:p>
    <w:p w14:paraId="03D09509">
      <w:pPr>
        <w:pStyle w:val="64"/>
      </w:pPr>
    </w:p>
    <w:p w14:paraId="448DE214">
      <w:pPr>
        <w:pStyle w:val="64"/>
      </w:pPr>
    </w:p>
    <w:p w14:paraId="2B4024B2">
      <w:pPr>
        <w:pStyle w:val="5"/>
        <w:spacing w:before="0"/>
        <w:rPr>
          <w:rFonts w:hint="eastAsia" w:ascii="黑体" w:hAnsi="宋体" w:cs="宋体"/>
          <w:b/>
          <w:bCs w:val="0"/>
          <w:kern w:val="0"/>
          <w:sz w:val="21"/>
          <w:szCs w:val="21"/>
        </w:rPr>
      </w:pPr>
      <w:bookmarkStart w:id="167" w:name="_Toc21540"/>
      <w:r>
        <w:rPr>
          <w:rFonts w:hint="eastAsia" w:ascii="黑体" w:hAnsi="仿宋" w:cs="宋体"/>
          <w:b/>
          <w:bCs w:val="0"/>
          <w:sz w:val="21"/>
          <w:szCs w:val="21"/>
        </w:rPr>
        <w:t>附件4-</w:t>
      </w:r>
      <w:r>
        <w:rPr>
          <w:rFonts w:hint="eastAsia" w:ascii="黑体" w:hAnsi="仿宋" w:cs="宋体"/>
          <w:b/>
          <w:bCs w:val="0"/>
          <w:sz w:val="21"/>
          <w:szCs w:val="21"/>
          <w:lang w:val="en-US" w:eastAsia="zh-CN"/>
        </w:rPr>
        <w:t>7</w:t>
      </w:r>
      <w:r>
        <w:rPr>
          <w:rFonts w:hint="eastAsia" w:ascii="黑体" w:hAnsi="仿宋" w:cs="宋体"/>
          <w:b/>
          <w:bCs w:val="0"/>
          <w:sz w:val="21"/>
          <w:szCs w:val="21"/>
        </w:rPr>
        <w:t xml:space="preserve"> 资格条件更新材料（已进行资格预审的）</w:t>
      </w:r>
      <w:bookmarkEnd w:id="167"/>
    </w:p>
    <w:p w14:paraId="4C7C7034">
      <w:pPr>
        <w:adjustRightInd w:val="0"/>
        <w:snapToGrid w:val="0"/>
        <w:spacing w:before="157" w:beforeLines="50" w:line="360" w:lineRule="auto"/>
        <w:jc w:val="center"/>
        <w:rPr>
          <w:rFonts w:hint="eastAsia" w:ascii="仿宋_GB2312" w:hAnsi="宋体" w:eastAsia="仿宋_GB2312"/>
          <w:b/>
          <w:sz w:val="28"/>
          <w:szCs w:val="28"/>
        </w:rPr>
      </w:pPr>
      <w:r>
        <w:rPr>
          <w:rFonts w:hint="eastAsia" w:ascii="黑体" w:hAnsi="宋体" w:eastAsia="黑体"/>
          <w:b/>
          <w:sz w:val="28"/>
          <w:szCs w:val="28"/>
        </w:rPr>
        <w:t>供应商的资格条件更新材料</w:t>
      </w:r>
    </w:p>
    <w:p w14:paraId="5FD20BDD">
      <w:pPr>
        <w:widowControl/>
        <w:adjustRightInd w:val="0"/>
        <w:snapToGrid w:val="0"/>
        <w:spacing w:line="360" w:lineRule="auto"/>
        <w:ind w:firstLine="420" w:firstLineChars="200"/>
        <w:jc w:val="left"/>
        <w:rPr>
          <w:rFonts w:hint="eastAsia" w:ascii="宋体" w:hAnsi="宋体"/>
          <w:szCs w:val="21"/>
        </w:rPr>
      </w:pPr>
      <w:r>
        <w:rPr>
          <w:rFonts w:hint="eastAsia" w:ascii="宋体" w:hAnsi="宋体"/>
          <w:bCs/>
          <w:szCs w:val="21"/>
        </w:rPr>
        <w:t>注</w:t>
      </w:r>
      <w:r>
        <w:rPr>
          <w:rFonts w:hint="eastAsia" w:ascii="宋体" w:hAnsi="宋体"/>
        </w:rPr>
        <w:t>：</w:t>
      </w:r>
      <w:r>
        <w:rPr>
          <w:rFonts w:hint="eastAsia" w:ascii="宋体" w:hAnsi="宋体" w:cs="宋体"/>
          <w:kern w:val="0"/>
          <w:szCs w:val="21"/>
          <w:lang w:val="zh-CN"/>
        </w:rPr>
        <w:t>根据招标文件第二章第14.1款规定，</w:t>
      </w:r>
      <w:r>
        <w:rPr>
          <w:rFonts w:hint="eastAsia" w:ascii="宋体" w:hAnsi="宋体"/>
          <w:szCs w:val="21"/>
        </w:rPr>
        <w:t>投标人在提交资格证明材料</w:t>
      </w:r>
      <w:r>
        <w:rPr>
          <w:rFonts w:hint="eastAsia" w:ascii="宋体" w:hAnsi="宋体"/>
          <w:bCs/>
          <w:szCs w:val="21"/>
        </w:rPr>
        <w:t>起</w:t>
      </w:r>
      <w:r>
        <w:rPr>
          <w:rFonts w:hint="eastAsia" w:ascii="宋体" w:hAnsi="宋体"/>
          <w:szCs w:val="21"/>
        </w:rPr>
        <w:t>至</w:t>
      </w:r>
      <w:r>
        <w:rPr>
          <w:rFonts w:hint="eastAsia" w:ascii="宋体" w:hAnsi="宋体" w:cs="宋体"/>
          <w:kern w:val="0"/>
          <w:szCs w:val="21"/>
        </w:rPr>
        <w:t>提交投标文件</w:t>
      </w:r>
      <w:r>
        <w:rPr>
          <w:rFonts w:hint="eastAsia" w:ascii="宋体" w:hAnsi="宋体"/>
          <w:szCs w:val="21"/>
        </w:rPr>
        <w:t>止，其资格条件发生变化，影响或者可能影响资格条件的，应随本投标文件提供更新或者补充的资格证明材料。</w:t>
      </w:r>
    </w:p>
    <w:p w14:paraId="4F2F81C2">
      <w:pPr>
        <w:widowControl/>
        <w:adjustRightInd w:val="0"/>
        <w:snapToGrid w:val="0"/>
        <w:spacing w:line="360" w:lineRule="auto"/>
        <w:ind w:firstLine="420" w:firstLineChars="200"/>
        <w:jc w:val="left"/>
        <w:rPr>
          <w:rFonts w:ascii="黑体" w:eastAsia="黑体"/>
          <w:sz w:val="32"/>
          <w:szCs w:val="32"/>
        </w:rPr>
      </w:pPr>
      <w:r>
        <w:rPr>
          <w:rFonts w:ascii="宋体" w:hAnsi="宋体"/>
          <w:szCs w:val="21"/>
        </w:rPr>
        <w:br w:type="page"/>
      </w:r>
    </w:p>
    <w:p w14:paraId="2FE54EBF">
      <w:pPr>
        <w:pStyle w:val="14"/>
        <w:adjustRightInd w:val="0"/>
        <w:snapToGrid w:val="0"/>
        <w:spacing w:line="360" w:lineRule="auto"/>
        <w:jc w:val="center"/>
        <w:rPr>
          <w:rFonts w:hint="eastAsia" w:ascii="华文中宋" w:hAnsi="华文中宋" w:eastAsia="华文中宋"/>
          <w:bCs/>
          <w:sz w:val="72"/>
          <w:szCs w:val="72"/>
        </w:rPr>
      </w:pPr>
      <w:r>
        <w:rPr>
          <w:rFonts w:hint="eastAsia" w:ascii="华文中宋" w:hAnsi="华文中宋" w:eastAsia="华文中宋"/>
          <w:bCs/>
          <w:sz w:val="72"/>
          <w:szCs w:val="72"/>
        </w:rPr>
        <w:t>政府采购</w:t>
      </w:r>
    </w:p>
    <w:p w14:paraId="237997EE">
      <w:pPr>
        <w:adjustRightInd w:val="0"/>
        <w:snapToGrid w:val="0"/>
        <w:spacing w:line="360" w:lineRule="auto"/>
        <w:jc w:val="center"/>
        <w:rPr>
          <w:rFonts w:hint="eastAsia" w:ascii="宋体" w:hAnsi="宋体"/>
          <w:b/>
          <w:bCs/>
          <w:sz w:val="84"/>
          <w:szCs w:val="84"/>
        </w:rPr>
      </w:pPr>
      <w:r>
        <w:rPr>
          <w:rFonts w:hint="eastAsia" w:ascii="宋体" w:hAnsi="宋体"/>
          <w:b/>
          <w:bCs/>
          <w:sz w:val="84"/>
          <w:szCs w:val="84"/>
        </w:rPr>
        <w:t>投 标 文 件</w:t>
      </w:r>
    </w:p>
    <w:p w14:paraId="31339811">
      <w:pPr>
        <w:pStyle w:val="2"/>
        <w:adjustRightInd w:val="0"/>
        <w:snapToGrid w:val="0"/>
        <w:jc w:val="center"/>
        <w:rPr>
          <w:rFonts w:hint="eastAsia" w:ascii="黑体" w:hAnsi="黑体" w:eastAsia="黑体"/>
          <w:sz w:val="44"/>
          <w:szCs w:val="44"/>
        </w:rPr>
      </w:pPr>
      <w:bookmarkStart w:id="168" w:name="_Toc15330"/>
      <w:r>
        <w:rPr>
          <w:rFonts w:hint="eastAsia" w:ascii="黑体" w:hAnsi="黑体" w:eastAsia="黑体"/>
          <w:sz w:val="44"/>
          <w:szCs w:val="44"/>
        </w:rPr>
        <w:t>第二部分 商务技术文件</w:t>
      </w:r>
      <w:bookmarkEnd w:id="168"/>
    </w:p>
    <w:p w14:paraId="1511B28A">
      <w:pPr>
        <w:adjustRightInd w:val="0"/>
        <w:snapToGrid w:val="0"/>
        <w:spacing w:line="360" w:lineRule="auto"/>
        <w:rPr>
          <w:rFonts w:hint="eastAsia" w:ascii="宋体" w:hAnsi="宋体"/>
          <w:sz w:val="32"/>
          <w:szCs w:val="32"/>
        </w:rPr>
      </w:pPr>
    </w:p>
    <w:p w14:paraId="4B64A709">
      <w:pPr>
        <w:pStyle w:val="14"/>
        <w:adjustRightInd w:val="0"/>
        <w:snapToGrid w:val="0"/>
        <w:spacing w:line="360" w:lineRule="auto"/>
        <w:ind w:firstLine="1988" w:firstLineChars="660"/>
        <w:rPr>
          <w:rFonts w:hint="eastAsia" w:hAnsi="宋体"/>
          <w:b/>
          <w:bCs/>
          <w:sz w:val="30"/>
          <w:szCs w:val="30"/>
        </w:rPr>
      </w:pPr>
    </w:p>
    <w:p w14:paraId="0611206F">
      <w:pPr>
        <w:pStyle w:val="14"/>
        <w:adjustRightInd w:val="0"/>
        <w:snapToGrid w:val="0"/>
        <w:spacing w:line="360" w:lineRule="auto"/>
        <w:ind w:firstLine="1988" w:firstLineChars="660"/>
        <w:rPr>
          <w:rFonts w:hint="eastAsia" w:hAnsi="宋体"/>
          <w:b/>
          <w:bCs/>
          <w:sz w:val="30"/>
          <w:szCs w:val="30"/>
          <w:u w:val="single"/>
        </w:rPr>
      </w:pPr>
      <w:r>
        <w:rPr>
          <w:rFonts w:hint="eastAsia" w:hAnsi="宋体"/>
          <w:b/>
          <w:bCs/>
          <w:sz w:val="30"/>
          <w:szCs w:val="30"/>
        </w:rPr>
        <w:t>采购项目名称:</w:t>
      </w:r>
      <w:r>
        <w:rPr>
          <w:rFonts w:hint="eastAsia" w:hAnsi="宋体"/>
          <w:b/>
          <w:bCs/>
          <w:sz w:val="30"/>
          <w:szCs w:val="30"/>
          <w:u w:val="single"/>
        </w:rPr>
        <w:t xml:space="preserve">                        </w:t>
      </w:r>
    </w:p>
    <w:p w14:paraId="65BABAE9">
      <w:pPr>
        <w:pStyle w:val="14"/>
        <w:adjustRightInd w:val="0"/>
        <w:snapToGrid w:val="0"/>
        <w:spacing w:line="360" w:lineRule="auto"/>
        <w:ind w:firstLine="1988" w:firstLineChars="660"/>
        <w:rPr>
          <w:rFonts w:hint="eastAsia" w:hAnsi="宋体"/>
          <w:b/>
          <w:bCs/>
          <w:sz w:val="30"/>
          <w:szCs w:val="30"/>
        </w:rPr>
      </w:pPr>
      <w:r>
        <w:rPr>
          <w:rFonts w:hint="eastAsia" w:hAnsi="宋体"/>
          <w:b/>
          <w:bCs/>
          <w:sz w:val="30"/>
          <w:szCs w:val="30"/>
        </w:rPr>
        <w:t>采   购   人：</w:t>
      </w:r>
      <w:r>
        <w:rPr>
          <w:rFonts w:hint="eastAsia" w:hAnsi="宋体"/>
          <w:b/>
          <w:bCs/>
          <w:sz w:val="30"/>
          <w:szCs w:val="30"/>
          <w:u w:val="single"/>
        </w:rPr>
        <w:t xml:space="preserve">                       </w:t>
      </w:r>
    </w:p>
    <w:p w14:paraId="714A70ED">
      <w:pPr>
        <w:pStyle w:val="14"/>
        <w:adjustRightInd w:val="0"/>
        <w:snapToGrid w:val="0"/>
        <w:spacing w:line="360" w:lineRule="auto"/>
        <w:ind w:firstLine="1988" w:firstLineChars="660"/>
        <w:rPr>
          <w:rFonts w:hint="eastAsia" w:hAnsi="宋体"/>
          <w:b/>
          <w:bCs/>
          <w:sz w:val="30"/>
          <w:szCs w:val="30"/>
          <w:u w:val="single"/>
        </w:rPr>
      </w:pPr>
      <w:r>
        <w:rPr>
          <w:rFonts w:hint="eastAsia" w:hAnsi="宋体"/>
          <w:b/>
          <w:bCs/>
          <w:sz w:val="30"/>
          <w:szCs w:val="30"/>
        </w:rPr>
        <w:t>政府采购计划编号:</w:t>
      </w:r>
      <w:r>
        <w:rPr>
          <w:rFonts w:hint="eastAsia" w:hAnsi="宋体"/>
          <w:b/>
          <w:bCs/>
          <w:sz w:val="30"/>
          <w:szCs w:val="30"/>
          <w:u w:val="single"/>
        </w:rPr>
        <w:t xml:space="preserve">                    </w:t>
      </w:r>
    </w:p>
    <w:p w14:paraId="00868DCD">
      <w:pPr>
        <w:pStyle w:val="14"/>
        <w:adjustRightInd w:val="0"/>
        <w:snapToGrid w:val="0"/>
        <w:spacing w:line="360" w:lineRule="auto"/>
        <w:ind w:firstLine="1988" w:firstLineChars="660"/>
        <w:rPr>
          <w:rFonts w:hint="eastAsia" w:hAnsi="宋体"/>
          <w:b/>
          <w:bCs/>
          <w:sz w:val="30"/>
          <w:szCs w:val="30"/>
          <w:u w:val="single"/>
        </w:rPr>
      </w:pPr>
      <w:r>
        <w:rPr>
          <w:rFonts w:hint="eastAsia" w:hAnsi="宋体"/>
          <w:b/>
          <w:bCs/>
          <w:sz w:val="30"/>
          <w:szCs w:val="30"/>
        </w:rPr>
        <w:t>委托代理编号:</w:t>
      </w:r>
      <w:r>
        <w:rPr>
          <w:rFonts w:hint="eastAsia" w:hAnsi="宋体"/>
          <w:b/>
          <w:bCs/>
          <w:sz w:val="30"/>
          <w:szCs w:val="30"/>
          <w:u w:val="single"/>
        </w:rPr>
        <w:t xml:space="preserve">                        </w:t>
      </w:r>
    </w:p>
    <w:p w14:paraId="156A4268">
      <w:pPr>
        <w:pStyle w:val="14"/>
        <w:adjustRightInd w:val="0"/>
        <w:snapToGrid w:val="0"/>
        <w:spacing w:line="360" w:lineRule="auto"/>
        <w:ind w:firstLine="1988" w:firstLineChars="660"/>
        <w:rPr>
          <w:rFonts w:hint="eastAsia" w:hAnsi="宋体"/>
          <w:b/>
          <w:bCs/>
          <w:sz w:val="30"/>
          <w:szCs w:val="30"/>
          <w:u w:val="single"/>
        </w:rPr>
      </w:pPr>
      <w:r>
        <w:rPr>
          <w:rFonts w:hint="eastAsia" w:hAnsi="宋体"/>
          <w:b/>
          <w:bCs/>
          <w:sz w:val="30"/>
          <w:szCs w:val="30"/>
        </w:rPr>
        <w:t>采购代理机构：</w:t>
      </w:r>
      <w:r>
        <w:rPr>
          <w:rFonts w:hint="eastAsia" w:hAnsi="宋体"/>
          <w:b/>
          <w:bCs/>
          <w:sz w:val="30"/>
          <w:szCs w:val="30"/>
          <w:u w:val="single"/>
        </w:rPr>
        <w:t xml:space="preserve">                       </w:t>
      </w:r>
    </w:p>
    <w:p w14:paraId="39AEA206">
      <w:pPr>
        <w:adjustRightInd w:val="0"/>
        <w:snapToGrid w:val="0"/>
        <w:spacing w:line="360" w:lineRule="auto"/>
        <w:rPr>
          <w:rFonts w:hint="eastAsia" w:ascii="宋体" w:hAnsi="宋体"/>
          <w:sz w:val="30"/>
          <w:szCs w:val="30"/>
        </w:rPr>
      </w:pPr>
    </w:p>
    <w:p w14:paraId="15A1C11A">
      <w:pPr>
        <w:adjustRightInd w:val="0"/>
        <w:snapToGrid w:val="0"/>
        <w:spacing w:line="360" w:lineRule="auto"/>
        <w:rPr>
          <w:rFonts w:hint="eastAsia" w:ascii="宋体" w:hAnsi="宋体"/>
          <w:sz w:val="30"/>
          <w:szCs w:val="30"/>
        </w:rPr>
      </w:pPr>
    </w:p>
    <w:p w14:paraId="0562CC7C">
      <w:pPr>
        <w:adjustRightInd w:val="0"/>
        <w:snapToGrid w:val="0"/>
        <w:spacing w:line="360" w:lineRule="auto"/>
        <w:rPr>
          <w:rFonts w:hint="eastAsia" w:ascii="黑体" w:hAnsi="黑体" w:eastAsia="黑体" w:cs="黑体"/>
          <w:sz w:val="30"/>
          <w:szCs w:val="30"/>
        </w:rPr>
      </w:pPr>
    </w:p>
    <w:p w14:paraId="23081D36">
      <w:pPr>
        <w:adjustRightInd w:val="0"/>
        <w:snapToGrid w:val="0"/>
        <w:spacing w:line="360" w:lineRule="auto"/>
        <w:ind w:left="1273" w:leftChars="606" w:firstLine="640" w:firstLineChars="200"/>
        <w:rPr>
          <w:rFonts w:hint="eastAsia" w:ascii="黑体" w:hAnsi="黑体" w:eastAsia="黑体" w:cs="黑体"/>
          <w:sz w:val="32"/>
          <w:szCs w:val="32"/>
          <w:u w:val="single"/>
        </w:rPr>
      </w:pPr>
      <w:r>
        <w:rPr>
          <w:rFonts w:hint="eastAsia" w:ascii="黑体" w:hAnsi="黑体" w:eastAsia="黑体" w:cs="黑体"/>
          <w:sz w:val="32"/>
          <w:szCs w:val="32"/>
        </w:rPr>
        <w:t>投标人</w:t>
      </w:r>
      <w:r>
        <w:rPr>
          <w:rFonts w:hint="eastAsia" w:ascii="黑体" w:hAnsi="黑体" w:eastAsia="黑体" w:cs="黑体"/>
          <w:sz w:val="32"/>
          <w:szCs w:val="32"/>
          <w:u w:val="single"/>
        </w:rPr>
        <w:t xml:space="preserve">                         </w:t>
      </w:r>
    </w:p>
    <w:p w14:paraId="4C268C8F">
      <w:pPr>
        <w:adjustRightInd w:val="0"/>
        <w:snapToGrid w:val="0"/>
        <w:spacing w:line="360" w:lineRule="auto"/>
        <w:jc w:val="center"/>
        <w:rPr>
          <w:rFonts w:hint="eastAsia" w:ascii="黑体" w:hAnsi="黑体" w:eastAsia="黑体" w:cs="黑体"/>
          <w:sz w:val="32"/>
          <w:szCs w:val="32"/>
        </w:rPr>
      </w:pPr>
      <w:r>
        <w:rPr>
          <w:rFonts w:hint="eastAsia" w:ascii="黑体" w:hAnsi="黑体" w:eastAsia="黑体" w:cs="黑体"/>
          <w:sz w:val="32"/>
          <w:szCs w:val="32"/>
        </w:rPr>
        <w:t>年  月  日</w:t>
      </w:r>
    </w:p>
    <w:p w14:paraId="2616785A">
      <w:pPr>
        <w:widowControl/>
        <w:jc w:val="left"/>
        <w:rPr>
          <w:rFonts w:hint="eastAsia" w:ascii="黑体" w:hAnsi="宋体" w:eastAsia="黑体"/>
          <w:b/>
          <w:bCs/>
          <w:sz w:val="28"/>
          <w:szCs w:val="28"/>
        </w:rPr>
      </w:pPr>
      <w:r>
        <w:rPr>
          <w:rFonts w:ascii="宋体" w:hAnsi="宋体"/>
          <w:u w:val="single"/>
        </w:rPr>
        <w:br w:type="page"/>
      </w:r>
    </w:p>
    <w:p w14:paraId="3E86FC21">
      <w:pPr>
        <w:pStyle w:val="4"/>
        <w:adjustRightInd w:val="0"/>
        <w:snapToGrid w:val="0"/>
        <w:spacing w:before="0" w:after="0" w:line="360" w:lineRule="auto"/>
        <w:jc w:val="center"/>
        <w:rPr>
          <w:rFonts w:hint="eastAsia" w:ascii="黑体" w:hAnsi="宋体" w:eastAsia="黑体"/>
          <w:sz w:val="28"/>
          <w:szCs w:val="28"/>
        </w:rPr>
      </w:pPr>
      <w:bookmarkStart w:id="169" w:name="_Toc32570"/>
      <w:r>
        <w:rPr>
          <w:rFonts w:hint="eastAsia" w:ascii="黑体" w:hAnsi="宋体" w:eastAsia="黑体"/>
          <w:sz w:val="28"/>
          <w:szCs w:val="28"/>
        </w:rPr>
        <w:t>五</w:t>
      </w:r>
      <w:r>
        <w:rPr>
          <w:rFonts w:ascii="黑体" w:hAnsi="宋体" w:eastAsia="黑体"/>
          <w:sz w:val="28"/>
          <w:szCs w:val="28"/>
        </w:rPr>
        <w:t>、</w:t>
      </w:r>
      <w:r>
        <w:rPr>
          <w:rFonts w:hint="eastAsia" w:ascii="黑体" w:hAnsi="宋体" w:eastAsia="黑体"/>
          <w:sz w:val="28"/>
          <w:szCs w:val="28"/>
        </w:rPr>
        <w:t>投标函</w:t>
      </w:r>
      <w:bookmarkEnd w:id="169"/>
    </w:p>
    <w:p w14:paraId="227F6223">
      <w:pPr>
        <w:adjustRightInd w:val="0"/>
        <w:snapToGrid w:val="0"/>
        <w:spacing w:before="157" w:beforeLines="50" w:line="360" w:lineRule="auto"/>
        <w:rPr>
          <w:rFonts w:hint="eastAsia" w:ascii="宋体" w:hAnsi="宋体"/>
          <w:szCs w:val="21"/>
        </w:rPr>
      </w:pPr>
      <w:r>
        <w:rPr>
          <w:rFonts w:hint="eastAsia" w:ascii="宋体" w:hAnsi="宋体"/>
          <w:szCs w:val="21"/>
        </w:rPr>
        <w:t>致：</w:t>
      </w:r>
      <w:r>
        <w:rPr>
          <w:rFonts w:hint="eastAsia" w:ascii="宋体" w:hAnsi="宋体"/>
          <w:szCs w:val="21"/>
          <w:u w:val="single"/>
        </w:rPr>
        <w:t xml:space="preserve">           </w:t>
      </w:r>
      <w:r>
        <w:rPr>
          <w:rFonts w:hint="eastAsia" w:ascii="宋体" w:hAnsi="宋体"/>
          <w:szCs w:val="21"/>
        </w:rPr>
        <w:t>（采购人、采购代理机构）：</w:t>
      </w:r>
    </w:p>
    <w:p w14:paraId="30F7E51F">
      <w:pPr>
        <w:adjustRightInd w:val="0"/>
        <w:snapToGrid w:val="0"/>
        <w:spacing w:before="157" w:beforeLines="50" w:line="360" w:lineRule="auto"/>
        <w:ind w:firstLine="435"/>
        <w:rPr>
          <w:rFonts w:hint="eastAsia" w:ascii="宋体" w:hAnsi="宋体"/>
          <w:szCs w:val="21"/>
        </w:rPr>
      </w:pPr>
      <w:r>
        <w:rPr>
          <w:rFonts w:hint="eastAsia" w:ascii="宋体" w:hAnsi="宋体"/>
          <w:szCs w:val="21"/>
        </w:rPr>
        <w:t>根据贵方为</w:t>
      </w:r>
      <w:r>
        <w:rPr>
          <w:rFonts w:hint="eastAsia" w:ascii="宋体" w:hAnsi="宋体"/>
          <w:szCs w:val="21"/>
          <w:u w:val="single"/>
        </w:rPr>
        <w:t xml:space="preserve">           </w:t>
      </w:r>
      <w:r>
        <w:rPr>
          <w:rFonts w:hint="eastAsia" w:ascii="宋体" w:hAnsi="宋体"/>
          <w:szCs w:val="21"/>
        </w:rPr>
        <w:t>（项目名称）的投标邀请（</w:t>
      </w:r>
      <w:r>
        <w:rPr>
          <w:rFonts w:hint="eastAsia" w:ascii="宋体" w:hAnsi="宋体"/>
        </w:rPr>
        <w:t>政府采购计划编号</w:t>
      </w:r>
      <w:r>
        <w:rPr>
          <w:rFonts w:hint="eastAsia" w:ascii="宋体" w:hAnsi="宋体"/>
          <w:iCs/>
        </w:rPr>
        <w:t>：</w:t>
      </w:r>
      <w:r>
        <w:rPr>
          <w:rFonts w:hint="eastAsia" w:ascii="宋体" w:hAnsi="宋体"/>
          <w:iCs/>
          <w:u w:val="single"/>
        </w:rPr>
        <w:t xml:space="preserve">      </w:t>
      </w:r>
      <w:r>
        <w:rPr>
          <w:rFonts w:hint="eastAsia" w:ascii="宋体" w:hAnsi="宋体"/>
          <w:iCs/>
        </w:rPr>
        <w:t xml:space="preserve"> ，</w:t>
      </w:r>
      <w:r>
        <w:rPr>
          <w:rFonts w:hint="eastAsia" w:ascii="宋体" w:hAnsi="宋体"/>
          <w:szCs w:val="21"/>
        </w:rPr>
        <w:t>委托代理编号：</w:t>
      </w:r>
      <w:r>
        <w:rPr>
          <w:rFonts w:hint="eastAsia" w:ascii="宋体" w:hAnsi="宋体"/>
          <w:szCs w:val="21"/>
          <w:u w:val="single"/>
        </w:rPr>
        <w:t xml:space="preserve">         </w:t>
      </w:r>
      <w:r>
        <w:rPr>
          <w:rFonts w:hint="eastAsia" w:ascii="宋体" w:hAnsi="宋体"/>
          <w:szCs w:val="21"/>
        </w:rPr>
        <w:t xml:space="preserve">），签字代表 </w:t>
      </w:r>
      <w:r>
        <w:rPr>
          <w:rFonts w:hint="eastAsia" w:ascii="宋体" w:hAnsi="宋体"/>
          <w:szCs w:val="21"/>
          <w:u w:val="single"/>
        </w:rPr>
        <w:t xml:space="preserve">      </w:t>
      </w:r>
      <w:r>
        <w:rPr>
          <w:rFonts w:hint="eastAsia" w:ascii="宋体" w:hAnsi="宋体"/>
          <w:szCs w:val="21"/>
        </w:rPr>
        <w:t>（姓名、职务）经正式授权并代表投标人</w:t>
      </w:r>
      <w:r>
        <w:rPr>
          <w:rFonts w:hint="eastAsia" w:ascii="宋体" w:hAnsi="宋体"/>
          <w:szCs w:val="21"/>
          <w:u w:val="single"/>
        </w:rPr>
        <w:t xml:space="preserve">       </w:t>
      </w:r>
      <w:r>
        <w:rPr>
          <w:rFonts w:hint="eastAsia" w:ascii="宋体" w:hAnsi="宋体"/>
          <w:szCs w:val="21"/>
        </w:rPr>
        <w:t xml:space="preserve"> （投标人名称）提交下述投标文件：投标文件电子文档一份，参加采购项目第</w:t>
      </w:r>
      <w:r>
        <w:rPr>
          <w:rFonts w:hint="eastAsia" w:ascii="宋体" w:hAnsi="宋体"/>
          <w:szCs w:val="21"/>
          <w:u w:val="single"/>
        </w:rPr>
        <w:t xml:space="preserve">   </w:t>
      </w:r>
      <w:r>
        <w:rPr>
          <w:rFonts w:hint="eastAsia" w:ascii="宋体" w:hAnsi="宋体"/>
          <w:szCs w:val="21"/>
        </w:rPr>
        <w:t>包投标，并在此声明，所递交的投标文件内容完整、真实。</w:t>
      </w:r>
    </w:p>
    <w:p w14:paraId="724BADF3">
      <w:pPr>
        <w:adjustRightInd w:val="0"/>
        <w:snapToGrid w:val="0"/>
        <w:spacing w:before="157" w:beforeLines="50" w:line="360" w:lineRule="auto"/>
        <w:ind w:firstLine="422" w:firstLineChars="200"/>
        <w:rPr>
          <w:rFonts w:hint="eastAsia" w:ascii="宋体" w:hAnsi="宋体"/>
          <w:b/>
          <w:szCs w:val="21"/>
        </w:rPr>
      </w:pPr>
      <w:r>
        <w:rPr>
          <w:rFonts w:hint="eastAsia" w:ascii="宋体" w:hAnsi="宋体"/>
          <w:b/>
          <w:szCs w:val="21"/>
        </w:rPr>
        <w:t>第一部分 资格证明文件</w:t>
      </w:r>
    </w:p>
    <w:p w14:paraId="75D04022">
      <w:pPr>
        <w:adjustRightInd w:val="0"/>
        <w:snapToGrid w:val="0"/>
        <w:spacing w:before="157" w:beforeLines="50" w:line="360" w:lineRule="auto"/>
        <w:ind w:firstLine="630" w:firstLineChars="300"/>
        <w:rPr>
          <w:rFonts w:hint="eastAsia" w:ascii="宋体" w:hAnsi="宋体"/>
          <w:szCs w:val="21"/>
        </w:rPr>
      </w:pPr>
      <w:r>
        <w:rPr>
          <w:rFonts w:hint="eastAsia" w:ascii="宋体" w:hAnsi="宋体"/>
          <w:szCs w:val="21"/>
        </w:rPr>
        <w:t>一、开标一览表</w:t>
      </w:r>
    </w:p>
    <w:p w14:paraId="1C4A9D9A">
      <w:pPr>
        <w:adjustRightInd w:val="0"/>
        <w:snapToGrid w:val="0"/>
        <w:spacing w:before="157" w:beforeLines="50" w:line="360" w:lineRule="auto"/>
        <w:ind w:firstLine="630" w:firstLineChars="300"/>
        <w:rPr>
          <w:rFonts w:hint="eastAsia" w:ascii="宋体" w:hAnsi="宋体"/>
          <w:szCs w:val="21"/>
        </w:rPr>
      </w:pPr>
      <w:r>
        <w:rPr>
          <w:rFonts w:hint="eastAsia" w:ascii="宋体" w:hAnsi="宋体"/>
          <w:szCs w:val="21"/>
        </w:rPr>
        <w:t>二、投标保证金</w:t>
      </w:r>
    </w:p>
    <w:p w14:paraId="151F6D6F">
      <w:pPr>
        <w:adjustRightInd w:val="0"/>
        <w:snapToGrid w:val="0"/>
        <w:spacing w:before="157" w:beforeLines="50" w:line="360" w:lineRule="auto"/>
        <w:ind w:firstLine="630" w:firstLineChars="300"/>
        <w:rPr>
          <w:rFonts w:hint="eastAsia" w:ascii="宋体" w:hAnsi="宋体"/>
          <w:szCs w:val="21"/>
        </w:rPr>
      </w:pPr>
      <w:r>
        <w:rPr>
          <w:rFonts w:hint="eastAsia" w:ascii="宋体" w:hAnsi="宋体"/>
          <w:szCs w:val="21"/>
        </w:rPr>
        <w:t>三、授权委托书</w:t>
      </w:r>
    </w:p>
    <w:p w14:paraId="6040BD6C">
      <w:pPr>
        <w:adjustRightInd w:val="0"/>
        <w:snapToGrid w:val="0"/>
        <w:spacing w:before="157" w:beforeLines="50" w:line="360" w:lineRule="auto"/>
        <w:ind w:firstLine="630" w:firstLineChars="300"/>
        <w:rPr>
          <w:rFonts w:hint="eastAsia" w:ascii="宋体" w:hAnsi="宋体"/>
          <w:szCs w:val="21"/>
        </w:rPr>
      </w:pPr>
      <w:r>
        <w:rPr>
          <w:rFonts w:hint="eastAsia" w:ascii="宋体" w:hAnsi="宋体"/>
          <w:szCs w:val="21"/>
        </w:rPr>
        <w:t>四、投标人提供的资格证明文件</w:t>
      </w:r>
    </w:p>
    <w:p w14:paraId="4D61224D">
      <w:pPr>
        <w:adjustRightInd w:val="0"/>
        <w:snapToGrid w:val="0"/>
        <w:spacing w:before="157" w:beforeLines="50" w:line="360" w:lineRule="auto"/>
        <w:ind w:firstLine="422" w:firstLineChars="200"/>
        <w:rPr>
          <w:rFonts w:hint="eastAsia" w:ascii="宋体" w:hAnsi="宋体"/>
          <w:b/>
          <w:szCs w:val="21"/>
        </w:rPr>
      </w:pPr>
      <w:r>
        <w:rPr>
          <w:rFonts w:hint="eastAsia" w:ascii="宋体" w:hAnsi="宋体"/>
          <w:b/>
          <w:szCs w:val="21"/>
        </w:rPr>
        <w:t>第二部分 商务技术文件</w:t>
      </w:r>
    </w:p>
    <w:p w14:paraId="50BD582E">
      <w:pPr>
        <w:adjustRightInd w:val="0"/>
        <w:snapToGrid w:val="0"/>
        <w:spacing w:before="157" w:beforeLines="50" w:line="360" w:lineRule="auto"/>
        <w:ind w:firstLine="630" w:firstLineChars="300"/>
        <w:rPr>
          <w:rFonts w:hint="eastAsia" w:ascii="宋体" w:hAnsi="宋体"/>
          <w:szCs w:val="21"/>
        </w:rPr>
      </w:pPr>
      <w:r>
        <w:rPr>
          <w:rFonts w:hint="eastAsia" w:ascii="宋体" w:hAnsi="宋体"/>
          <w:szCs w:val="21"/>
        </w:rPr>
        <w:t>五、投标函</w:t>
      </w:r>
    </w:p>
    <w:p w14:paraId="3F20A067">
      <w:pPr>
        <w:adjustRightInd w:val="0"/>
        <w:snapToGrid w:val="0"/>
        <w:spacing w:before="157" w:beforeLines="50" w:line="360" w:lineRule="auto"/>
        <w:ind w:firstLine="630" w:firstLineChars="300"/>
        <w:rPr>
          <w:rFonts w:hint="eastAsia" w:ascii="宋体" w:hAnsi="宋体"/>
          <w:szCs w:val="21"/>
        </w:rPr>
      </w:pPr>
      <w:r>
        <w:rPr>
          <w:rFonts w:hint="eastAsia" w:ascii="宋体" w:hAnsi="宋体"/>
          <w:szCs w:val="21"/>
        </w:rPr>
        <w:t>六、分项报价</w:t>
      </w:r>
    </w:p>
    <w:p w14:paraId="3FD90ED4">
      <w:pPr>
        <w:adjustRightInd w:val="0"/>
        <w:snapToGrid w:val="0"/>
        <w:spacing w:before="157" w:beforeLines="50" w:line="360" w:lineRule="auto"/>
        <w:ind w:firstLine="630" w:firstLineChars="300"/>
        <w:rPr>
          <w:rFonts w:hint="eastAsia" w:ascii="宋体" w:hAnsi="宋体"/>
          <w:szCs w:val="21"/>
        </w:rPr>
      </w:pPr>
      <w:r>
        <w:rPr>
          <w:rFonts w:hint="eastAsia" w:ascii="宋体" w:hAnsi="宋体"/>
          <w:szCs w:val="21"/>
        </w:rPr>
        <w:t>七、采购需求响应</w:t>
      </w:r>
    </w:p>
    <w:p w14:paraId="275A6010">
      <w:pPr>
        <w:adjustRightInd w:val="0"/>
        <w:snapToGrid w:val="0"/>
        <w:spacing w:before="157" w:beforeLines="50" w:line="360" w:lineRule="auto"/>
        <w:ind w:firstLine="630" w:firstLineChars="300"/>
        <w:rPr>
          <w:rFonts w:hint="eastAsia" w:ascii="宋体" w:hAnsi="宋体"/>
          <w:szCs w:val="21"/>
        </w:rPr>
      </w:pPr>
      <w:r>
        <w:rPr>
          <w:rFonts w:hint="eastAsia" w:ascii="宋体" w:hAnsi="宋体"/>
          <w:szCs w:val="21"/>
        </w:rPr>
        <w:t>八、合同条款偏离表</w:t>
      </w:r>
    </w:p>
    <w:p w14:paraId="47341525">
      <w:pPr>
        <w:adjustRightInd w:val="0"/>
        <w:snapToGrid w:val="0"/>
        <w:spacing w:before="157" w:beforeLines="50" w:line="360" w:lineRule="auto"/>
        <w:ind w:firstLine="630" w:firstLineChars="300"/>
        <w:rPr>
          <w:rFonts w:hint="eastAsia" w:ascii="宋体" w:hAnsi="宋体"/>
          <w:szCs w:val="21"/>
        </w:rPr>
      </w:pPr>
      <w:r>
        <w:rPr>
          <w:rFonts w:hint="eastAsia" w:ascii="宋体" w:hAnsi="宋体"/>
          <w:szCs w:val="21"/>
        </w:rPr>
        <w:t>九、采购需求偏离表</w:t>
      </w:r>
    </w:p>
    <w:p w14:paraId="197480D4">
      <w:pPr>
        <w:adjustRightInd w:val="0"/>
        <w:snapToGrid w:val="0"/>
        <w:spacing w:before="157" w:beforeLines="50" w:line="360" w:lineRule="auto"/>
        <w:ind w:firstLine="630" w:firstLineChars="300"/>
        <w:rPr>
          <w:rFonts w:hint="eastAsia" w:ascii="宋体" w:hAnsi="宋体"/>
          <w:szCs w:val="21"/>
        </w:rPr>
      </w:pPr>
      <w:r>
        <w:rPr>
          <w:rFonts w:hint="eastAsia" w:ascii="宋体" w:hAnsi="宋体"/>
          <w:szCs w:val="21"/>
        </w:rPr>
        <w:t>十、享受政府采购政策优惠的证明资料</w:t>
      </w:r>
    </w:p>
    <w:p w14:paraId="546FE837">
      <w:pPr>
        <w:adjustRightInd w:val="0"/>
        <w:snapToGrid w:val="0"/>
        <w:spacing w:before="157" w:beforeLines="50" w:line="360" w:lineRule="auto"/>
        <w:ind w:firstLine="630" w:firstLineChars="300"/>
        <w:rPr>
          <w:rFonts w:hint="eastAsia" w:ascii="宋体" w:hAnsi="宋体"/>
          <w:szCs w:val="21"/>
        </w:rPr>
      </w:pPr>
      <w:r>
        <w:rPr>
          <w:rFonts w:hint="eastAsia" w:ascii="宋体" w:hAnsi="宋体"/>
          <w:szCs w:val="21"/>
        </w:rPr>
        <w:t>十一、投标货物符合招标文件规定的证明文件</w:t>
      </w:r>
    </w:p>
    <w:p w14:paraId="49ECBDA8">
      <w:pPr>
        <w:adjustRightInd w:val="0"/>
        <w:snapToGrid w:val="0"/>
        <w:spacing w:before="157" w:beforeLines="50" w:line="360" w:lineRule="auto"/>
        <w:ind w:firstLine="630" w:firstLineChars="300"/>
        <w:rPr>
          <w:rFonts w:hint="eastAsia" w:ascii="宋体" w:hAnsi="宋体"/>
          <w:szCs w:val="21"/>
        </w:rPr>
      </w:pPr>
      <w:r>
        <w:rPr>
          <w:rFonts w:hint="eastAsia" w:ascii="宋体" w:hAnsi="宋体"/>
          <w:szCs w:val="21"/>
        </w:rPr>
        <w:t>十二、投标人认为需提供的其他资料</w:t>
      </w:r>
    </w:p>
    <w:p w14:paraId="1144BB85">
      <w:pPr>
        <w:adjustRightInd w:val="0"/>
        <w:snapToGrid w:val="0"/>
        <w:spacing w:before="157" w:beforeLines="50" w:line="360" w:lineRule="auto"/>
        <w:ind w:firstLine="420" w:firstLineChars="200"/>
        <w:rPr>
          <w:rFonts w:hint="eastAsia" w:ascii="宋体" w:hAnsi="宋体"/>
          <w:szCs w:val="21"/>
        </w:rPr>
      </w:pPr>
      <w:r>
        <w:rPr>
          <w:rFonts w:hint="eastAsia" w:ascii="宋体" w:hAnsi="宋体"/>
          <w:szCs w:val="21"/>
        </w:rPr>
        <w:t>在此，签字代表宣布同意如下：</w:t>
      </w:r>
    </w:p>
    <w:p w14:paraId="52A6B863">
      <w:pPr>
        <w:adjustRightInd w:val="0"/>
        <w:snapToGrid w:val="0"/>
        <w:spacing w:before="157" w:beforeLines="50" w:line="360" w:lineRule="auto"/>
        <w:ind w:firstLine="420" w:firstLineChars="200"/>
        <w:rPr>
          <w:rFonts w:hint="eastAsia" w:ascii="宋体" w:hAnsi="宋体"/>
          <w:szCs w:val="21"/>
        </w:rPr>
      </w:pPr>
      <w:r>
        <w:rPr>
          <w:rFonts w:hint="eastAsia" w:ascii="宋体" w:hAnsi="宋体"/>
          <w:szCs w:val="21"/>
        </w:rPr>
        <w:t>1、投标人严格按照招标文件的规定报价，见《开标一览表》。</w:t>
      </w:r>
    </w:p>
    <w:p w14:paraId="6CCC8FBA">
      <w:pPr>
        <w:adjustRightInd w:val="0"/>
        <w:snapToGrid w:val="0"/>
        <w:spacing w:before="157" w:beforeLines="50" w:line="360" w:lineRule="auto"/>
        <w:ind w:firstLine="420" w:firstLineChars="200"/>
        <w:rPr>
          <w:rFonts w:hint="eastAsia" w:ascii="宋体" w:hAnsi="宋体"/>
          <w:szCs w:val="21"/>
        </w:rPr>
      </w:pPr>
      <w:r>
        <w:rPr>
          <w:rFonts w:hint="eastAsia" w:ascii="宋体" w:hAnsi="宋体"/>
          <w:szCs w:val="21"/>
        </w:rPr>
        <w:t>2、投标人将按招标文件的规定履行合同责任和义务。</w:t>
      </w:r>
    </w:p>
    <w:p w14:paraId="4C8D877E">
      <w:pPr>
        <w:adjustRightInd w:val="0"/>
        <w:snapToGrid w:val="0"/>
        <w:spacing w:before="157" w:beforeLines="50" w:line="360" w:lineRule="auto"/>
        <w:ind w:firstLine="420" w:firstLineChars="200"/>
        <w:rPr>
          <w:rFonts w:hint="eastAsia" w:ascii="宋体" w:hAnsi="宋体"/>
          <w:szCs w:val="21"/>
        </w:rPr>
      </w:pPr>
      <w:r>
        <w:rPr>
          <w:rFonts w:hint="eastAsia" w:ascii="宋体" w:hAnsi="宋体"/>
          <w:szCs w:val="21"/>
        </w:rPr>
        <w:t>3、投标人已详细审查招标文件。我们完全理解并同意放弃对这方面有不明及误解的权力。</w:t>
      </w:r>
    </w:p>
    <w:p w14:paraId="388B55F0">
      <w:pPr>
        <w:adjustRightInd w:val="0"/>
        <w:snapToGrid w:val="0"/>
        <w:spacing w:before="157" w:beforeLines="50" w:line="360" w:lineRule="auto"/>
        <w:ind w:firstLine="420" w:firstLineChars="200"/>
        <w:rPr>
          <w:rFonts w:hint="eastAsia" w:ascii="宋体" w:hAnsi="宋体"/>
        </w:rPr>
      </w:pPr>
      <w:r>
        <w:rPr>
          <w:rFonts w:hint="eastAsia" w:ascii="宋体" w:hAnsi="宋体"/>
          <w:szCs w:val="21"/>
        </w:rPr>
        <w:t>4、本投标有效期为自招标文件规定的提交投标文件截止之日起</w:t>
      </w:r>
      <w:r>
        <w:rPr>
          <w:rFonts w:hint="eastAsia" w:ascii="宋体" w:hAnsi="宋体"/>
          <w:szCs w:val="21"/>
          <w:u w:val="single"/>
        </w:rPr>
        <w:t xml:space="preserve"> </w:t>
      </w:r>
      <w:r>
        <w:rPr>
          <w:rFonts w:hint="eastAsia" w:ascii="宋体" w:hAnsi="宋体"/>
          <w:szCs w:val="21"/>
          <w:u w:val="single"/>
          <w:lang w:val="en-US" w:eastAsia="zh-CN"/>
        </w:rPr>
        <w:t>90</w:t>
      </w:r>
      <w:r>
        <w:rPr>
          <w:rFonts w:hint="eastAsia" w:ascii="宋体" w:hAnsi="宋体"/>
          <w:szCs w:val="21"/>
          <w:u w:val="single"/>
        </w:rPr>
        <w:t xml:space="preserve"> </w:t>
      </w:r>
      <w:r>
        <w:rPr>
          <w:rFonts w:hint="eastAsia" w:ascii="宋体" w:hAnsi="宋体"/>
          <w:szCs w:val="21"/>
        </w:rPr>
        <w:t>个日历日。在投标有效期内，</w:t>
      </w:r>
      <w:r>
        <w:rPr>
          <w:rFonts w:hint="eastAsia" w:ascii="宋体" w:hAnsi="宋体"/>
        </w:rPr>
        <w:t>投标人同意遵守本</w:t>
      </w:r>
      <w:r>
        <w:rPr>
          <w:rFonts w:hint="eastAsia" w:ascii="宋体" w:hAnsi="宋体"/>
          <w:szCs w:val="21"/>
        </w:rPr>
        <w:t>投标</w:t>
      </w:r>
      <w:r>
        <w:rPr>
          <w:rFonts w:hint="eastAsia" w:ascii="宋体" w:hAnsi="宋体"/>
        </w:rPr>
        <w:t>文件中的承诺且在此期限期满之前</w:t>
      </w:r>
      <w:r>
        <w:rPr>
          <w:rFonts w:hint="eastAsia" w:ascii="宋体" w:hAnsi="宋体"/>
          <w:szCs w:val="21"/>
        </w:rPr>
        <w:t>投标</w:t>
      </w:r>
      <w:r>
        <w:rPr>
          <w:rFonts w:hint="eastAsia" w:ascii="宋体" w:hAnsi="宋体"/>
        </w:rPr>
        <w:t>文件</w:t>
      </w:r>
      <w:r>
        <w:rPr>
          <w:rFonts w:hint="eastAsia" w:ascii="宋体" w:hAnsi="宋体"/>
          <w:szCs w:val="21"/>
        </w:rPr>
        <w:t>对我方具有法律约束力</w:t>
      </w:r>
      <w:r>
        <w:rPr>
          <w:rFonts w:hint="eastAsia" w:ascii="宋体" w:hAnsi="宋体"/>
        </w:rPr>
        <w:t>。</w:t>
      </w:r>
    </w:p>
    <w:p w14:paraId="27208288">
      <w:pPr>
        <w:adjustRightInd w:val="0"/>
        <w:snapToGrid w:val="0"/>
        <w:spacing w:before="157" w:beforeLines="50" w:line="360" w:lineRule="auto"/>
        <w:ind w:firstLine="420" w:firstLineChars="200"/>
        <w:rPr>
          <w:rFonts w:hint="eastAsia" w:ascii="宋体" w:hAnsi="宋体"/>
        </w:rPr>
      </w:pPr>
      <w:r>
        <w:rPr>
          <w:rFonts w:hint="eastAsia" w:ascii="宋体" w:hAnsi="宋体"/>
        </w:rPr>
        <w:t>5、</w:t>
      </w:r>
      <w:r>
        <w:rPr>
          <w:rFonts w:hint="eastAsia" w:ascii="宋体" w:hAnsi="宋体"/>
          <w:szCs w:val="21"/>
        </w:rPr>
        <w:t>同意提供贵方可能要求的与其投标有关的一切数据或资料。</w:t>
      </w:r>
    </w:p>
    <w:p w14:paraId="55962BB9">
      <w:pPr>
        <w:adjustRightInd w:val="0"/>
        <w:snapToGrid w:val="0"/>
        <w:spacing w:before="157" w:beforeLines="50" w:line="360" w:lineRule="auto"/>
        <w:ind w:firstLine="420" w:firstLineChars="200"/>
        <w:rPr>
          <w:rFonts w:hint="eastAsia" w:ascii="宋体" w:hAnsi="宋体"/>
          <w:szCs w:val="21"/>
        </w:rPr>
      </w:pPr>
      <w:r>
        <w:rPr>
          <w:rFonts w:hint="eastAsia" w:ascii="宋体" w:hAnsi="宋体"/>
          <w:szCs w:val="21"/>
        </w:rPr>
        <w:t>6、与本投标有关的一切正式往来信函请寄：</w:t>
      </w:r>
    </w:p>
    <w:p w14:paraId="7AE37A80">
      <w:pPr>
        <w:adjustRightInd w:val="0"/>
        <w:snapToGrid w:val="0"/>
        <w:spacing w:before="157" w:beforeLines="50" w:line="360" w:lineRule="auto"/>
        <w:ind w:firstLine="420" w:firstLineChars="200"/>
        <w:rPr>
          <w:rFonts w:hint="eastAsia" w:ascii="宋体" w:hAnsi="宋体"/>
          <w:szCs w:val="21"/>
        </w:rPr>
      </w:pPr>
      <w:r>
        <w:rPr>
          <w:rFonts w:hint="eastAsia" w:ascii="宋体" w:hAnsi="宋体"/>
          <w:szCs w:val="21"/>
        </w:rPr>
        <w:t>地址：</w:t>
      </w:r>
      <w:r>
        <w:rPr>
          <w:rFonts w:hint="eastAsia" w:ascii="宋体" w:hAnsi="宋体"/>
          <w:szCs w:val="21"/>
          <w:u w:val="single"/>
        </w:rPr>
        <w:t xml:space="preserve">    </w:t>
      </w:r>
      <w:r>
        <w:rPr>
          <w:rFonts w:hint="eastAsia" w:ascii="宋体" w:hAnsi="宋体"/>
          <w:szCs w:val="21"/>
        </w:rPr>
        <w:t>；邮编：</w:t>
      </w:r>
      <w:r>
        <w:rPr>
          <w:rFonts w:hint="eastAsia" w:ascii="宋体" w:hAnsi="宋体"/>
          <w:szCs w:val="21"/>
          <w:u w:val="single"/>
        </w:rPr>
        <w:t xml:space="preserve">     </w:t>
      </w:r>
      <w:r>
        <w:rPr>
          <w:rFonts w:hint="eastAsia" w:ascii="宋体" w:hAnsi="宋体"/>
          <w:szCs w:val="21"/>
        </w:rPr>
        <w:t xml:space="preserve"> ；电话：</w:t>
      </w:r>
      <w:r>
        <w:rPr>
          <w:rFonts w:hint="eastAsia" w:ascii="宋体" w:hAnsi="宋体"/>
          <w:szCs w:val="21"/>
          <w:u w:val="single"/>
        </w:rPr>
        <w:t xml:space="preserve">      </w:t>
      </w:r>
      <w:r>
        <w:rPr>
          <w:rFonts w:hint="eastAsia" w:ascii="宋体" w:hAnsi="宋体"/>
          <w:szCs w:val="21"/>
        </w:rPr>
        <w:t>；电子邮箱：</w:t>
      </w:r>
      <w:r>
        <w:rPr>
          <w:rFonts w:hint="eastAsia" w:ascii="宋体" w:hAnsi="宋体"/>
          <w:szCs w:val="21"/>
          <w:u w:val="single"/>
        </w:rPr>
        <w:t xml:space="preserve">        </w:t>
      </w:r>
      <w:r>
        <w:rPr>
          <w:rFonts w:hint="eastAsia" w:ascii="宋体" w:hAnsi="宋体"/>
          <w:szCs w:val="21"/>
        </w:rPr>
        <w:t xml:space="preserve"> 。</w:t>
      </w:r>
    </w:p>
    <w:p w14:paraId="09F5B6FE">
      <w:pPr>
        <w:adjustRightInd w:val="0"/>
        <w:snapToGrid w:val="0"/>
        <w:spacing w:before="157" w:beforeLines="50" w:line="360" w:lineRule="auto"/>
        <w:ind w:firstLine="420" w:firstLineChars="200"/>
        <w:rPr>
          <w:rFonts w:hint="eastAsia" w:ascii="宋体" w:hAnsi="宋体"/>
          <w:szCs w:val="21"/>
        </w:rPr>
      </w:pPr>
    </w:p>
    <w:p w14:paraId="2E61C147">
      <w:pPr>
        <w:pStyle w:val="14"/>
        <w:adjustRightInd w:val="0"/>
        <w:snapToGrid w:val="0"/>
        <w:spacing w:before="157" w:beforeLines="50" w:line="360" w:lineRule="auto"/>
        <w:rPr>
          <w:rFonts w:hint="eastAsia" w:hAnsi="宋体"/>
        </w:rPr>
      </w:pPr>
    </w:p>
    <w:p w14:paraId="041D9CC7">
      <w:pPr>
        <w:pStyle w:val="14"/>
        <w:adjustRightInd w:val="0"/>
        <w:snapToGrid w:val="0"/>
        <w:spacing w:before="157" w:beforeLines="50" w:line="360" w:lineRule="auto"/>
        <w:rPr>
          <w:rFonts w:hint="eastAsia" w:hAnsi="宋体"/>
        </w:rPr>
      </w:pPr>
      <w:r>
        <w:rPr>
          <w:rFonts w:hint="eastAsia" w:hAnsi="宋体"/>
        </w:rPr>
        <w:t xml:space="preserve">投标人名称（盖单位章）：                       </w:t>
      </w:r>
    </w:p>
    <w:p w14:paraId="5FEC21F5">
      <w:pPr>
        <w:adjustRightInd w:val="0"/>
        <w:snapToGrid w:val="0"/>
        <w:spacing w:before="157" w:beforeLines="50" w:line="360" w:lineRule="auto"/>
        <w:rPr>
          <w:rFonts w:hint="eastAsia" w:ascii="宋体" w:hAnsi="宋体"/>
          <w:szCs w:val="21"/>
          <w:u w:val="single"/>
        </w:rPr>
      </w:pPr>
      <w:r>
        <w:rPr>
          <w:rFonts w:hint="eastAsia" w:ascii="宋体" w:hAnsi="宋体" w:cs="微软雅黑"/>
          <w:spacing w:val="-2"/>
          <w:kern w:val="0"/>
          <w:szCs w:val="21"/>
        </w:rPr>
        <w:t>法</w:t>
      </w:r>
      <w:r>
        <w:rPr>
          <w:rFonts w:hint="eastAsia" w:ascii="宋体" w:hAnsi="宋体" w:cs="微软雅黑"/>
          <w:kern w:val="0"/>
          <w:szCs w:val="21"/>
        </w:rPr>
        <w:t>定</w:t>
      </w:r>
      <w:r>
        <w:rPr>
          <w:rFonts w:hint="eastAsia" w:ascii="宋体" w:hAnsi="宋体" w:cs="微软雅黑"/>
          <w:spacing w:val="-2"/>
          <w:kern w:val="0"/>
          <w:szCs w:val="21"/>
        </w:rPr>
        <w:t>代</w:t>
      </w:r>
      <w:r>
        <w:rPr>
          <w:rFonts w:hint="eastAsia" w:ascii="宋体" w:hAnsi="宋体" w:cs="微软雅黑"/>
          <w:kern w:val="0"/>
          <w:szCs w:val="21"/>
        </w:rPr>
        <w:t>表</w:t>
      </w:r>
      <w:r>
        <w:rPr>
          <w:rFonts w:hint="eastAsia" w:ascii="宋体" w:hAnsi="宋体" w:cs="微软雅黑"/>
          <w:spacing w:val="-2"/>
          <w:kern w:val="0"/>
          <w:szCs w:val="21"/>
        </w:rPr>
        <w:t>人</w:t>
      </w:r>
      <w:r>
        <w:rPr>
          <w:rFonts w:hint="eastAsia" w:ascii="宋体" w:hAnsi="宋体" w:cs="微软雅黑"/>
          <w:kern w:val="0"/>
          <w:szCs w:val="21"/>
        </w:rPr>
        <w:t>（</w:t>
      </w:r>
      <w:r>
        <w:rPr>
          <w:rFonts w:hint="eastAsia" w:ascii="宋体" w:hAnsi="宋体" w:cs="微软雅黑"/>
          <w:spacing w:val="-2"/>
          <w:kern w:val="0"/>
          <w:szCs w:val="21"/>
        </w:rPr>
        <w:t>单</w:t>
      </w:r>
      <w:r>
        <w:rPr>
          <w:rFonts w:hint="eastAsia" w:ascii="宋体" w:hAnsi="宋体" w:cs="微软雅黑"/>
          <w:kern w:val="0"/>
          <w:szCs w:val="21"/>
        </w:rPr>
        <w:t>位</w:t>
      </w:r>
      <w:r>
        <w:rPr>
          <w:rFonts w:hint="eastAsia" w:ascii="宋体" w:hAnsi="宋体" w:cs="微软雅黑"/>
          <w:spacing w:val="-2"/>
          <w:kern w:val="0"/>
          <w:szCs w:val="21"/>
        </w:rPr>
        <w:t>负</w:t>
      </w:r>
      <w:r>
        <w:rPr>
          <w:rFonts w:hint="eastAsia" w:ascii="宋体" w:hAnsi="宋体" w:cs="微软雅黑"/>
          <w:kern w:val="0"/>
          <w:szCs w:val="21"/>
        </w:rPr>
        <w:t>责人</w:t>
      </w:r>
      <w:r>
        <w:rPr>
          <w:rFonts w:hint="eastAsia" w:ascii="宋体" w:hAnsi="宋体" w:cs="微软雅黑"/>
          <w:spacing w:val="-2"/>
          <w:kern w:val="0"/>
          <w:szCs w:val="21"/>
        </w:rPr>
        <w:t>）</w:t>
      </w:r>
      <w:r>
        <w:rPr>
          <w:rFonts w:hint="eastAsia" w:ascii="宋体" w:hAnsi="宋体"/>
          <w:szCs w:val="21"/>
        </w:rPr>
        <w:t>或其授权的代理人（签字或印章）：</w:t>
      </w:r>
      <w:r>
        <w:rPr>
          <w:rFonts w:hint="eastAsia" w:ascii="宋体" w:hAnsi="宋体"/>
          <w:szCs w:val="21"/>
          <w:u w:val="single"/>
        </w:rPr>
        <w:t xml:space="preserve">               </w:t>
      </w:r>
    </w:p>
    <w:p w14:paraId="37DA7998">
      <w:pPr>
        <w:adjustRightInd w:val="0"/>
        <w:snapToGrid w:val="0"/>
        <w:spacing w:before="157" w:beforeLines="50" w:line="120" w:lineRule="auto"/>
        <w:rPr>
          <w:rFonts w:hint="eastAsia" w:ascii="黑体" w:hAnsi="宋体" w:eastAsia="黑体"/>
          <w:b/>
          <w:bCs/>
          <w:sz w:val="28"/>
          <w:szCs w:val="28"/>
        </w:rPr>
      </w:pPr>
      <w:r>
        <w:rPr>
          <w:rFonts w:hint="eastAsia" w:ascii="宋体" w:hAnsi="宋体"/>
          <w:szCs w:val="21"/>
        </w:rPr>
        <w:t>日期：</w:t>
      </w:r>
      <w:r>
        <w:rPr>
          <w:rFonts w:hint="eastAsia" w:ascii="宋体" w:hAnsi="宋体"/>
          <w:szCs w:val="21"/>
          <w:u w:val="single"/>
        </w:rPr>
        <w:t xml:space="preserve">               </w:t>
      </w:r>
      <w:r>
        <w:rPr>
          <w:rFonts w:hint="eastAsia" w:ascii="宋体" w:hAnsi="宋体"/>
          <w:szCs w:val="21"/>
        </w:rPr>
        <w:t>年</w:t>
      </w:r>
      <w:r>
        <w:rPr>
          <w:rFonts w:hint="eastAsia" w:ascii="宋体" w:hAnsi="宋体"/>
          <w:szCs w:val="21"/>
          <w:u w:val="single"/>
        </w:rPr>
        <w:t xml:space="preserve">      </w:t>
      </w:r>
      <w:r>
        <w:rPr>
          <w:rFonts w:hint="eastAsia" w:ascii="宋体" w:hAnsi="宋体"/>
          <w:szCs w:val="21"/>
        </w:rPr>
        <w:t>月</w:t>
      </w:r>
      <w:r>
        <w:rPr>
          <w:rFonts w:hint="eastAsia" w:ascii="宋体" w:hAnsi="宋体"/>
          <w:szCs w:val="21"/>
          <w:u w:val="single"/>
        </w:rPr>
        <w:t xml:space="preserve">     </w:t>
      </w:r>
      <w:r>
        <w:rPr>
          <w:rFonts w:hint="eastAsia" w:ascii="宋体" w:hAnsi="宋体"/>
          <w:szCs w:val="21"/>
        </w:rPr>
        <w:t>日</w:t>
      </w:r>
      <w:r>
        <w:rPr>
          <w:rFonts w:ascii="黑体" w:hAnsi="宋体" w:eastAsia="黑体"/>
          <w:b/>
          <w:bCs/>
          <w:sz w:val="28"/>
          <w:szCs w:val="28"/>
        </w:rPr>
        <w:br w:type="page"/>
      </w:r>
    </w:p>
    <w:p w14:paraId="1FF29FE2">
      <w:pPr>
        <w:pStyle w:val="4"/>
        <w:adjustRightInd w:val="0"/>
        <w:snapToGrid w:val="0"/>
        <w:spacing w:before="0" w:after="0" w:line="360" w:lineRule="auto"/>
        <w:jc w:val="center"/>
        <w:rPr>
          <w:rFonts w:hint="eastAsia" w:ascii="黑体" w:hAnsi="宋体" w:eastAsia="黑体"/>
          <w:sz w:val="28"/>
          <w:szCs w:val="28"/>
        </w:rPr>
      </w:pPr>
      <w:bookmarkStart w:id="170" w:name="_Toc15526"/>
      <w:r>
        <w:rPr>
          <w:rFonts w:hint="eastAsia" w:ascii="黑体" w:hAnsi="宋体" w:eastAsia="黑体"/>
          <w:sz w:val="28"/>
          <w:szCs w:val="28"/>
        </w:rPr>
        <w:t>六、分项报价</w:t>
      </w:r>
      <w:bookmarkEnd w:id="170"/>
    </w:p>
    <w:p w14:paraId="4DA6CF1E">
      <w:pPr>
        <w:pStyle w:val="5"/>
        <w:jc w:val="left"/>
        <w:rPr>
          <w:rFonts w:hint="eastAsia" w:ascii="黑体" w:hAnsi="宋体" w:cs="微软雅黑"/>
          <w:b w:val="0"/>
          <w:kern w:val="0"/>
          <w:sz w:val="21"/>
          <w:szCs w:val="21"/>
        </w:rPr>
      </w:pPr>
      <w:bookmarkStart w:id="171" w:name="_Toc18552"/>
      <w:r>
        <w:rPr>
          <w:rFonts w:hint="eastAsia" w:ascii="黑体" w:hAnsi="华文中宋" w:cs="宋体"/>
          <w:b w:val="0"/>
          <w:bCs w:val="0"/>
          <w:spacing w:val="6"/>
          <w:kern w:val="0"/>
          <w:sz w:val="21"/>
          <w:szCs w:val="21"/>
        </w:rPr>
        <w:t xml:space="preserve">附件6-1 </w:t>
      </w:r>
      <w:r>
        <w:rPr>
          <w:rFonts w:hint="eastAsia" w:ascii="黑体" w:hAnsi="宋体" w:cs="微软雅黑"/>
          <w:b w:val="0"/>
          <w:spacing w:val="-2"/>
          <w:kern w:val="0"/>
          <w:sz w:val="21"/>
          <w:szCs w:val="21"/>
        </w:rPr>
        <w:t>分</w:t>
      </w:r>
      <w:r>
        <w:rPr>
          <w:rFonts w:hint="eastAsia" w:ascii="黑体" w:hAnsi="宋体" w:cs="微软雅黑"/>
          <w:b w:val="0"/>
          <w:kern w:val="0"/>
          <w:sz w:val="21"/>
          <w:szCs w:val="21"/>
        </w:rPr>
        <w:t>项</w:t>
      </w:r>
      <w:r>
        <w:rPr>
          <w:rFonts w:hint="eastAsia" w:ascii="黑体" w:hAnsi="宋体" w:cs="微软雅黑"/>
          <w:b w:val="0"/>
          <w:spacing w:val="-2"/>
          <w:kern w:val="0"/>
          <w:sz w:val="21"/>
          <w:szCs w:val="21"/>
        </w:rPr>
        <w:t>报</w:t>
      </w:r>
      <w:r>
        <w:rPr>
          <w:rFonts w:hint="eastAsia" w:ascii="黑体" w:hAnsi="宋体" w:cs="微软雅黑"/>
          <w:b w:val="0"/>
          <w:kern w:val="0"/>
          <w:sz w:val="21"/>
          <w:szCs w:val="21"/>
        </w:rPr>
        <w:t>价说明</w:t>
      </w:r>
      <w:bookmarkEnd w:id="171"/>
      <w:r>
        <w:rPr>
          <w:rFonts w:hint="eastAsia" w:ascii="黑体" w:hAnsi="宋体" w:cs="微软雅黑"/>
          <w:b w:val="0"/>
          <w:kern w:val="0"/>
          <w:sz w:val="21"/>
          <w:szCs w:val="21"/>
        </w:rPr>
        <w:t xml:space="preserve">  </w:t>
      </w:r>
    </w:p>
    <w:p w14:paraId="63A22122">
      <w:pPr>
        <w:autoSpaceDE w:val="0"/>
        <w:autoSpaceDN w:val="0"/>
        <w:adjustRightInd w:val="0"/>
        <w:snapToGrid w:val="0"/>
        <w:spacing w:line="360" w:lineRule="auto"/>
        <w:jc w:val="center"/>
        <w:rPr>
          <w:rFonts w:hint="eastAsia" w:ascii="黑体" w:hAnsi="宋体" w:eastAsia="黑体" w:cs="微软雅黑"/>
          <w:b/>
          <w:kern w:val="0"/>
          <w:sz w:val="28"/>
          <w:szCs w:val="28"/>
        </w:rPr>
      </w:pPr>
      <w:r>
        <w:rPr>
          <w:rFonts w:hint="eastAsia" w:ascii="黑体" w:hAnsi="宋体" w:eastAsia="黑体" w:cs="微软雅黑"/>
          <w:b/>
          <w:spacing w:val="-2"/>
          <w:kern w:val="0"/>
          <w:sz w:val="28"/>
          <w:szCs w:val="28"/>
        </w:rPr>
        <w:t>分</w:t>
      </w:r>
      <w:r>
        <w:rPr>
          <w:rFonts w:hint="eastAsia" w:ascii="黑体" w:hAnsi="宋体" w:eastAsia="黑体" w:cs="微软雅黑"/>
          <w:b/>
          <w:kern w:val="0"/>
          <w:sz w:val="28"/>
          <w:szCs w:val="28"/>
        </w:rPr>
        <w:t>项</w:t>
      </w:r>
      <w:r>
        <w:rPr>
          <w:rFonts w:hint="eastAsia" w:ascii="黑体" w:hAnsi="宋体" w:eastAsia="黑体" w:cs="微软雅黑"/>
          <w:b/>
          <w:spacing w:val="-2"/>
          <w:kern w:val="0"/>
          <w:sz w:val="28"/>
          <w:szCs w:val="28"/>
        </w:rPr>
        <w:t>报</w:t>
      </w:r>
      <w:r>
        <w:rPr>
          <w:rFonts w:hint="eastAsia" w:ascii="黑体" w:hAnsi="宋体" w:eastAsia="黑体" w:cs="微软雅黑"/>
          <w:b/>
          <w:kern w:val="0"/>
          <w:sz w:val="28"/>
          <w:szCs w:val="28"/>
        </w:rPr>
        <w:t>价说明</w:t>
      </w:r>
    </w:p>
    <w:p w14:paraId="12AC2396">
      <w:pPr>
        <w:autoSpaceDE w:val="0"/>
        <w:autoSpaceDN w:val="0"/>
        <w:adjustRightInd w:val="0"/>
        <w:snapToGrid w:val="0"/>
        <w:spacing w:line="360" w:lineRule="auto"/>
        <w:jc w:val="left"/>
        <w:rPr>
          <w:rFonts w:hint="eastAsia" w:ascii="宋体" w:hAnsi="宋体" w:cs="微软雅黑"/>
          <w:kern w:val="0"/>
          <w:szCs w:val="21"/>
        </w:rPr>
      </w:pPr>
      <w:r>
        <w:rPr>
          <w:rFonts w:hint="eastAsia" w:ascii="宋体" w:hAnsi="宋体" w:cs="微软雅黑"/>
          <w:kern w:val="0"/>
          <w:szCs w:val="21"/>
        </w:rPr>
        <w:t>备注：投标人应按招标文件第二章相关要求，对本节</w:t>
      </w:r>
      <w:r>
        <w:rPr>
          <w:rFonts w:hint="eastAsia" w:ascii="宋体" w:hAnsi="宋体"/>
          <w:bCs/>
          <w:szCs w:val="21"/>
        </w:rPr>
        <w:t>“</w:t>
      </w:r>
      <w:r>
        <w:rPr>
          <w:rFonts w:hint="eastAsia" w:ascii="宋体" w:hAnsi="宋体" w:cs="微软雅黑"/>
          <w:kern w:val="0"/>
          <w:szCs w:val="21"/>
        </w:rPr>
        <w:t>分项报价明细表</w:t>
      </w:r>
      <w:r>
        <w:rPr>
          <w:rFonts w:hint="eastAsia" w:ascii="宋体" w:hAnsi="宋体"/>
          <w:bCs/>
          <w:szCs w:val="21"/>
        </w:rPr>
        <w:t>”进行</w:t>
      </w:r>
      <w:r>
        <w:rPr>
          <w:rFonts w:hint="eastAsia" w:ascii="宋体" w:hAnsi="宋体" w:cs="微软雅黑"/>
          <w:kern w:val="0"/>
          <w:szCs w:val="21"/>
        </w:rPr>
        <w:t>编制，并说明。</w:t>
      </w:r>
    </w:p>
    <w:p w14:paraId="6396BB5F">
      <w:pPr>
        <w:pStyle w:val="5"/>
        <w:jc w:val="left"/>
        <w:rPr>
          <w:rFonts w:hint="eastAsia" w:ascii="黑体" w:hAnsi="宋体" w:cs="微软雅黑"/>
          <w:b w:val="0"/>
          <w:kern w:val="0"/>
          <w:sz w:val="21"/>
          <w:szCs w:val="21"/>
        </w:rPr>
      </w:pPr>
      <w:bookmarkStart w:id="172" w:name="_Toc2419"/>
      <w:r>
        <w:rPr>
          <w:rFonts w:hint="eastAsia" w:ascii="黑体" w:hAnsi="华文中宋" w:cs="宋体"/>
          <w:b w:val="0"/>
          <w:bCs w:val="0"/>
          <w:spacing w:val="6"/>
          <w:kern w:val="0"/>
          <w:sz w:val="21"/>
          <w:szCs w:val="21"/>
        </w:rPr>
        <w:t xml:space="preserve">附件6-2 </w:t>
      </w:r>
      <w:r>
        <w:rPr>
          <w:rFonts w:hint="eastAsia" w:ascii="黑体" w:hAnsi="宋体" w:cs="微软雅黑"/>
          <w:b w:val="0"/>
          <w:spacing w:val="-2"/>
          <w:kern w:val="0"/>
          <w:position w:val="-3"/>
          <w:sz w:val="21"/>
          <w:szCs w:val="21"/>
        </w:rPr>
        <w:t>分</w:t>
      </w:r>
      <w:r>
        <w:rPr>
          <w:rFonts w:hint="eastAsia" w:ascii="黑体" w:hAnsi="宋体" w:cs="微软雅黑"/>
          <w:b w:val="0"/>
          <w:kern w:val="0"/>
          <w:position w:val="-3"/>
          <w:sz w:val="21"/>
          <w:szCs w:val="21"/>
        </w:rPr>
        <w:t>项</w:t>
      </w:r>
      <w:r>
        <w:rPr>
          <w:rFonts w:hint="eastAsia" w:ascii="黑体" w:hAnsi="宋体" w:cs="微软雅黑"/>
          <w:b w:val="0"/>
          <w:spacing w:val="-2"/>
          <w:kern w:val="0"/>
          <w:position w:val="-3"/>
          <w:sz w:val="21"/>
          <w:szCs w:val="21"/>
        </w:rPr>
        <w:t>报</w:t>
      </w:r>
      <w:r>
        <w:rPr>
          <w:rFonts w:hint="eastAsia" w:ascii="黑体" w:hAnsi="宋体" w:cs="微软雅黑"/>
          <w:b w:val="0"/>
          <w:kern w:val="0"/>
          <w:position w:val="-3"/>
          <w:sz w:val="21"/>
          <w:szCs w:val="21"/>
        </w:rPr>
        <w:t>价明细表</w:t>
      </w:r>
      <w:bookmarkEnd w:id="172"/>
    </w:p>
    <w:p w14:paraId="2FA959D8">
      <w:pPr>
        <w:adjustRightInd w:val="0"/>
        <w:snapToGrid w:val="0"/>
        <w:spacing w:line="360" w:lineRule="auto"/>
        <w:jc w:val="center"/>
        <w:rPr>
          <w:rFonts w:hint="eastAsia" w:ascii="黑体" w:hAnsi="宋体" w:eastAsia="黑体" w:cs="微软雅黑"/>
          <w:b/>
          <w:kern w:val="0"/>
          <w:position w:val="-3"/>
          <w:sz w:val="28"/>
          <w:szCs w:val="28"/>
        </w:rPr>
      </w:pPr>
      <w:r>
        <w:rPr>
          <w:rFonts w:hint="eastAsia" w:ascii="黑体" w:hAnsi="宋体" w:eastAsia="黑体" w:cs="微软雅黑"/>
          <w:b/>
          <w:spacing w:val="-2"/>
          <w:kern w:val="0"/>
          <w:position w:val="-3"/>
          <w:sz w:val="28"/>
          <w:szCs w:val="28"/>
        </w:rPr>
        <w:t>分</w:t>
      </w:r>
      <w:r>
        <w:rPr>
          <w:rFonts w:hint="eastAsia" w:ascii="黑体" w:hAnsi="宋体" w:eastAsia="黑体" w:cs="微软雅黑"/>
          <w:b/>
          <w:kern w:val="0"/>
          <w:position w:val="-3"/>
          <w:sz w:val="28"/>
          <w:szCs w:val="28"/>
        </w:rPr>
        <w:t>项</w:t>
      </w:r>
      <w:r>
        <w:rPr>
          <w:rFonts w:hint="eastAsia" w:ascii="黑体" w:hAnsi="宋体" w:eastAsia="黑体" w:cs="微软雅黑"/>
          <w:b/>
          <w:spacing w:val="-2"/>
          <w:kern w:val="0"/>
          <w:position w:val="-3"/>
          <w:sz w:val="28"/>
          <w:szCs w:val="28"/>
        </w:rPr>
        <w:t>报</w:t>
      </w:r>
      <w:r>
        <w:rPr>
          <w:rFonts w:hint="eastAsia" w:ascii="黑体" w:hAnsi="宋体" w:eastAsia="黑体" w:cs="微软雅黑"/>
          <w:b/>
          <w:kern w:val="0"/>
          <w:position w:val="-3"/>
          <w:sz w:val="28"/>
          <w:szCs w:val="28"/>
        </w:rPr>
        <w:t>价明细表</w:t>
      </w:r>
    </w:p>
    <w:p w14:paraId="66EEDD62">
      <w:pPr>
        <w:adjustRightInd w:val="0"/>
        <w:snapToGrid w:val="0"/>
        <w:spacing w:line="360" w:lineRule="auto"/>
        <w:rPr>
          <w:rFonts w:hint="eastAsia" w:ascii="宋体" w:hAnsi="宋体"/>
          <w:szCs w:val="21"/>
        </w:rPr>
      </w:pPr>
      <w:r>
        <w:rPr>
          <w:rFonts w:hint="eastAsia" w:ascii="宋体" w:hAnsi="宋体"/>
          <w:szCs w:val="21"/>
        </w:rPr>
        <w:t>政府采购计划编号：</w:t>
      </w:r>
      <w:r>
        <w:rPr>
          <w:rFonts w:hint="eastAsia" w:ascii="宋体" w:hAnsi="宋体"/>
          <w:szCs w:val="21"/>
          <w:u w:val="single"/>
        </w:rPr>
        <w:t xml:space="preserve">               </w:t>
      </w:r>
      <w:r>
        <w:rPr>
          <w:rFonts w:hint="eastAsia" w:ascii="宋体" w:hAnsi="宋体"/>
          <w:szCs w:val="21"/>
        </w:rPr>
        <w:t xml:space="preserve">                   项目名称：</w:t>
      </w:r>
      <w:r>
        <w:rPr>
          <w:rFonts w:hint="eastAsia" w:ascii="宋体" w:hAnsi="宋体"/>
          <w:szCs w:val="21"/>
          <w:u w:val="single"/>
        </w:rPr>
        <w:t xml:space="preserve">                   </w:t>
      </w:r>
      <w:r>
        <w:rPr>
          <w:rFonts w:hint="eastAsia" w:ascii="宋体" w:hAnsi="宋体"/>
          <w:szCs w:val="21"/>
        </w:rPr>
        <w:t xml:space="preserve"> </w:t>
      </w:r>
    </w:p>
    <w:p w14:paraId="451FC326">
      <w:pPr>
        <w:adjustRightInd w:val="0"/>
        <w:snapToGrid w:val="0"/>
        <w:spacing w:line="360" w:lineRule="auto"/>
        <w:rPr>
          <w:rFonts w:hint="eastAsia" w:ascii="宋体" w:hAnsi="宋体"/>
          <w:szCs w:val="21"/>
        </w:rPr>
      </w:pPr>
      <w:r>
        <w:rPr>
          <w:rFonts w:hint="eastAsia" w:ascii="宋体" w:hAnsi="宋体"/>
          <w:szCs w:val="21"/>
        </w:rPr>
        <w:t>包号：</w:t>
      </w:r>
      <w:r>
        <w:rPr>
          <w:rFonts w:hint="eastAsia" w:ascii="宋体" w:hAnsi="宋体"/>
          <w:szCs w:val="21"/>
          <w:u w:val="single"/>
        </w:rPr>
        <w:t xml:space="preserve">                        </w:t>
      </w:r>
      <w:r>
        <w:rPr>
          <w:rFonts w:hint="eastAsia" w:ascii="宋体" w:hAnsi="宋体"/>
          <w:szCs w:val="21"/>
        </w:rPr>
        <w:t xml:space="preserve">                      包名称：</w:t>
      </w:r>
      <w:r>
        <w:rPr>
          <w:rFonts w:hint="eastAsia" w:ascii="宋体" w:hAnsi="宋体"/>
          <w:szCs w:val="21"/>
          <w:u w:val="single"/>
        </w:rPr>
        <w:t xml:space="preserve">                 </w:t>
      </w:r>
      <w:r>
        <w:rPr>
          <w:rFonts w:hint="eastAsia" w:ascii="宋体" w:hAnsi="宋体"/>
          <w:szCs w:val="21"/>
        </w:rPr>
        <w:t xml:space="preserve"> </w:t>
      </w:r>
    </w:p>
    <w:tbl>
      <w:tblPr>
        <w:tblStyle w:val="27"/>
        <w:tblW w:w="8874" w:type="dxa"/>
        <w:tblInd w:w="0" w:type="dxa"/>
        <w:tblLayout w:type="fixed"/>
        <w:tblCellMar>
          <w:top w:w="0" w:type="dxa"/>
          <w:left w:w="0" w:type="dxa"/>
          <w:bottom w:w="0" w:type="dxa"/>
          <w:right w:w="0" w:type="dxa"/>
        </w:tblCellMar>
      </w:tblPr>
      <w:tblGrid>
        <w:gridCol w:w="333"/>
        <w:gridCol w:w="1383"/>
        <w:gridCol w:w="2126"/>
        <w:gridCol w:w="1200"/>
        <w:gridCol w:w="1092"/>
        <w:gridCol w:w="910"/>
        <w:gridCol w:w="916"/>
        <w:gridCol w:w="914"/>
      </w:tblGrid>
      <w:tr w14:paraId="10424362">
        <w:tblPrEx>
          <w:tblCellMar>
            <w:top w:w="0" w:type="dxa"/>
            <w:left w:w="0" w:type="dxa"/>
            <w:bottom w:w="0" w:type="dxa"/>
            <w:right w:w="0" w:type="dxa"/>
          </w:tblCellMar>
        </w:tblPrEx>
        <w:trPr>
          <w:trHeight w:val="415" w:hRule="exact"/>
        </w:trPr>
        <w:tc>
          <w:tcPr>
            <w:tcW w:w="1716" w:type="dxa"/>
            <w:gridSpan w:val="2"/>
            <w:vMerge w:val="restart"/>
            <w:tcBorders>
              <w:top w:val="double" w:color="auto" w:sz="4" w:space="0"/>
              <w:left w:val="double" w:color="auto" w:sz="4" w:space="0"/>
              <w:right w:val="single" w:color="auto" w:sz="6" w:space="0"/>
            </w:tcBorders>
            <w:vAlign w:val="center"/>
          </w:tcPr>
          <w:p w14:paraId="33CE8FDD">
            <w:pPr>
              <w:autoSpaceDE w:val="0"/>
              <w:autoSpaceDN w:val="0"/>
              <w:adjustRightInd w:val="0"/>
              <w:snapToGrid w:val="0"/>
              <w:spacing w:line="360" w:lineRule="auto"/>
              <w:ind w:right="-20"/>
              <w:jc w:val="center"/>
              <w:rPr>
                <w:rFonts w:hint="eastAsia" w:ascii="宋体" w:hAnsi="宋体" w:cs="微软雅黑"/>
                <w:kern w:val="0"/>
                <w:position w:val="-1"/>
                <w:szCs w:val="21"/>
              </w:rPr>
            </w:pPr>
            <w:r>
              <w:rPr>
                <w:rFonts w:hint="eastAsia" w:ascii="宋体" w:hAnsi="宋体" w:cs="微软雅黑"/>
                <w:kern w:val="0"/>
                <w:position w:val="-1"/>
                <w:szCs w:val="21"/>
              </w:rPr>
              <w:t>标的名称</w:t>
            </w:r>
          </w:p>
        </w:tc>
        <w:tc>
          <w:tcPr>
            <w:tcW w:w="2126" w:type="dxa"/>
            <w:vMerge w:val="restart"/>
            <w:tcBorders>
              <w:top w:val="double" w:color="auto" w:sz="4" w:space="0"/>
              <w:left w:val="single" w:color="auto" w:sz="6" w:space="0"/>
              <w:bottom w:val="single" w:color="auto" w:sz="6" w:space="0"/>
              <w:right w:val="single" w:color="auto" w:sz="4" w:space="0"/>
            </w:tcBorders>
            <w:vAlign w:val="center"/>
          </w:tcPr>
          <w:p w14:paraId="3091FD03">
            <w:pPr>
              <w:autoSpaceDE w:val="0"/>
              <w:autoSpaceDN w:val="0"/>
              <w:adjustRightInd w:val="0"/>
              <w:snapToGrid w:val="0"/>
              <w:spacing w:line="360" w:lineRule="auto"/>
              <w:ind w:right="-20"/>
              <w:jc w:val="center"/>
              <w:rPr>
                <w:rFonts w:hint="eastAsia" w:ascii="宋体" w:hAnsi="宋体"/>
                <w:szCs w:val="21"/>
              </w:rPr>
            </w:pPr>
            <w:r>
              <w:rPr>
                <w:rFonts w:hint="eastAsia" w:ascii="宋体" w:hAnsi="宋体"/>
                <w:szCs w:val="21"/>
              </w:rPr>
              <w:t>规格型号</w:t>
            </w:r>
          </w:p>
          <w:p w14:paraId="30C0741D">
            <w:pPr>
              <w:autoSpaceDE w:val="0"/>
              <w:autoSpaceDN w:val="0"/>
              <w:adjustRightInd w:val="0"/>
              <w:snapToGrid w:val="0"/>
              <w:spacing w:line="360" w:lineRule="auto"/>
              <w:ind w:right="-20"/>
              <w:jc w:val="center"/>
              <w:rPr>
                <w:rFonts w:hint="eastAsia" w:ascii="宋体" w:hAnsi="宋体"/>
                <w:szCs w:val="21"/>
              </w:rPr>
            </w:pPr>
            <w:r>
              <w:rPr>
                <w:rFonts w:hint="eastAsia" w:ascii="宋体" w:hAnsi="宋体"/>
                <w:szCs w:val="21"/>
              </w:rPr>
              <w:t>（或项目特征描述</w:t>
            </w:r>
            <w:r>
              <w:rPr>
                <w:rFonts w:ascii="宋体" w:hAnsi="宋体"/>
                <w:szCs w:val="21"/>
              </w:rPr>
              <w:t>）</w:t>
            </w:r>
          </w:p>
        </w:tc>
        <w:tc>
          <w:tcPr>
            <w:tcW w:w="1200" w:type="dxa"/>
            <w:vMerge w:val="restart"/>
            <w:tcBorders>
              <w:top w:val="double" w:color="auto" w:sz="4" w:space="0"/>
              <w:left w:val="single" w:color="auto" w:sz="4" w:space="0"/>
              <w:bottom w:val="single" w:color="auto" w:sz="6" w:space="0"/>
              <w:right w:val="single" w:color="auto" w:sz="6" w:space="0"/>
            </w:tcBorders>
            <w:vAlign w:val="center"/>
          </w:tcPr>
          <w:p w14:paraId="6071EA45">
            <w:pPr>
              <w:autoSpaceDE w:val="0"/>
              <w:autoSpaceDN w:val="0"/>
              <w:adjustRightInd w:val="0"/>
              <w:snapToGrid w:val="0"/>
              <w:spacing w:line="360" w:lineRule="auto"/>
              <w:ind w:right="-20"/>
              <w:jc w:val="center"/>
              <w:rPr>
                <w:rFonts w:hint="eastAsia" w:ascii="宋体" w:hAnsi="宋体"/>
                <w:szCs w:val="21"/>
              </w:rPr>
            </w:pPr>
            <w:r>
              <w:rPr>
                <w:rFonts w:hint="eastAsia" w:ascii="宋体" w:hAnsi="宋体"/>
                <w:szCs w:val="21"/>
              </w:rPr>
              <w:t>品牌/产地</w:t>
            </w:r>
          </w:p>
        </w:tc>
        <w:tc>
          <w:tcPr>
            <w:tcW w:w="1092" w:type="dxa"/>
            <w:vMerge w:val="restart"/>
            <w:tcBorders>
              <w:top w:val="double" w:color="auto" w:sz="4" w:space="0"/>
              <w:left w:val="single" w:color="auto" w:sz="6" w:space="0"/>
              <w:right w:val="single" w:color="auto" w:sz="4" w:space="0"/>
            </w:tcBorders>
            <w:vAlign w:val="center"/>
          </w:tcPr>
          <w:p w14:paraId="1D4941FF">
            <w:pPr>
              <w:autoSpaceDE w:val="0"/>
              <w:autoSpaceDN w:val="0"/>
              <w:adjustRightInd w:val="0"/>
              <w:snapToGrid w:val="0"/>
              <w:spacing w:line="360" w:lineRule="auto"/>
              <w:ind w:right="-20"/>
              <w:jc w:val="center"/>
              <w:rPr>
                <w:rFonts w:hint="eastAsia" w:ascii="宋体" w:hAnsi="宋体" w:cs="微软雅黑"/>
                <w:kern w:val="0"/>
                <w:position w:val="-1"/>
                <w:szCs w:val="21"/>
              </w:rPr>
            </w:pPr>
            <w:r>
              <w:rPr>
                <w:rFonts w:hint="eastAsia" w:ascii="宋体" w:hAnsi="宋体"/>
                <w:kern w:val="0"/>
                <w:szCs w:val="21"/>
              </w:rPr>
              <w:t>数量/单位</w:t>
            </w:r>
          </w:p>
        </w:tc>
        <w:tc>
          <w:tcPr>
            <w:tcW w:w="1826" w:type="dxa"/>
            <w:gridSpan w:val="2"/>
            <w:tcBorders>
              <w:top w:val="double" w:color="auto" w:sz="4" w:space="0"/>
              <w:left w:val="single" w:color="auto" w:sz="4" w:space="0"/>
              <w:bottom w:val="single" w:color="auto" w:sz="6" w:space="0"/>
              <w:right w:val="single" w:color="auto" w:sz="6" w:space="0"/>
            </w:tcBorders>
            <w:vAlign w:val="center"/>
          </w:tcPr>
          <w:p w14:paraId="6946A177">
            <w:pPr>
              <w:autoSpaceDE w:val="0"/>
              <w:autoSpaceDN w:val="0"/>
              <w:adjustRightInd w:val="0"/>
              <w:snapToGrid w:val="0"/>
              <w:spacing w:line="360" w:lineRule="auto"/>
              <w:ind w:right="-20"/>
              <w:jc w:val="center"/>
              <w:rPr>
                <w:rFonts w:hint="eastAsia" w:ascii="宋体" w:hAnsi="宋体" w:cs="微软雅黑"/>
                <w:kern w:val="0"/>
                <w:position w:val="-1"/>
                <w:szCs w:val="21"/>
              </w:rPr>
            </w:pPr>
            <w:r>
              <w:rPr>
                <w:rFonts w:hint="eastAsia" w:ascii="宋体" w:hAnsi="宋体" w:cs="微软雅黑"/>
                <w:kern w:val="0"/>
                <w:position w:val="-1"/>
                <w:szCs w:val="21"/>
              </w:rPr>
              <w:t>金额（元）</w:t>
            </w:r>
          </w:p>
        </w:tc>
        <w:tc>
          <w:tcPr>
            <w:tcW w:w="914" w:type="dxa"/>
            <w:vMerge w:val="restart"/>
            <w:tcBorders>
              <w:top w:val="double" w:color="auto" w:sz="4" w:space="0"/>
              <w:left w:val="single" w:color="auto" w:sz="6" w:space="0"/>
              <w:bottom w:val="single" w:color="auto" w:sz="6" w:space="0"/>
              <w:right w:val="double" w:color="auto" w:sz="4" w:space="0"/>
            </w:tcBorders>
            <w:vAlign w:val="center"/>
          </w:tcPr>
          <w:p w14:paraId="01C66188">
            <w:pPr>
              <w:autoSpaceDE w:val="0"/>
              <w:autoSpaceDN w:val="0"/>
              <w:adjustRightInd w:val="0"/>
              <w:snapToGrid w:val="0"/>
              <w:spacing w:line="360" w:lineRule="auto"/>
              <w:ind w:right="-20"/>
              <w:jc w:val="center"/>
              <w:rPr>
                <w:rFonts w:hint="eastAsia" w:ascii="宋体" w:hAnsi="宋体" w:cs="微软雅黑"/>
                <w:kern w:val="0"/>
                <w:position w:val="-1"/>
                <w:szCs w:val="21"/>
              </w:rPr>
            </w:pPr>
            <w:r>
              <w:rPr>
                <w:rFonts w:hint="eastAsia" w:ascii="宋体" w:hAnsi="宋体" w:cs="微软雅黑"/>
                <w:kern w:val="0"/>
                <w:position w:val="-1"/>
                <w:szCs w:val="21"/>
              </w:rPr>
              <w:t>备注</w:t>
            </w:r>
          </w:p>
        </w:tc>
      </w:tr>
      <w:tr w14:paraId="1EF5719D">
        <w:tblPrEx>
          <w:tblCellMar>
            <w:top w:w="0" w:type="dxa"/>
            <w:left w:w="0" w:type="dxa"/>
            <w:bottom w:w="0" w:type="dxa"/>
            <w:right w:w="0" w:type="dxa"/>
          </w:tblCellMar>
        </w:tblPrEx>
        <w:trPr>
          <w:trHeight w:val="415" w:hRule="exact"/>
        </w:trPr>
        <w:tc>
          <w:tcPr>
            <w:tcW w:w="1716" w:type="dxa"/>
            <w:gridSpan w:val="2"/>
            <w:vMerge w:val="continue"/>
            <w:tcBorders>
              <w:left w:val="double" w:color="auto" w:sz="4" w:space="0"/>
              <w:bottom w:val="single" w:color="auto" w:sz="6" w:space="0"/>
              <w:right w:val="single" w:color="auto" w:sz="6" w:space="0"/>
            </w:tcBorders>
          </w:tcPr>
          <w:p w14:paraId="466C07C8">
            <w:pPr>
              <w:autoSpaceDE w:val="0"/>
              <w:autoSpaceDN w:val="0"/>
              <w:adjustRightInd w:val="0"/>
              <w:snapToGrid w:val="0"/>
              <w:spacing w:line="360" w:lineRule="auto"/>
              <w:ind w:left="352" w:right="-20"/>
              <w:jc w:val="left"/>
              <w:rPr>
                <w:rFonts w:hint="eastAsia" w:ascii="宋体" w:hAnsi="宋体"/>
                <w:kern w:val="0"/>
                <w:szCs w:val="21"/>
              </w:rPr>
            </w:pPr>
          </w:p>
        </w:tc>
        <w:tc>
          <w:tcPr>
            <w:tcW w:w="2126" w:type="dxa"/>
            <w:vMerge w:val="continue"/>
            <w:tcBorders>
              <w:top w:val="single" w:color="auto" w:sz="6" w:space="0"/>
              <w:left w:val="single" w:color="auto" w:sz="6" w:space="0"/>
              <w:bottom w:val="single" w:color="auto" w:sz="6" w:space="0"/>
              <w:right w:val="single" w:color="auto" w:sz="4" w:space="0"/>
            </w:tcBorders>
            <w:vAlign w:val="center"/>
          </w:tcPr>
          <w:p w14:paraId="0DDF7079">
            <w:pPr>
              <w:autoSpaceDE w:val="0"/>
              <w:autoSpaceDN w:val="0"/>
              <w:adjustRightInd w:val="0"/>
              <w:snapToGrid w:val="0"/>
              <w:spacing w:line="360" w:lineRule="auto"/>
              <w:ind w:right="-20"/>
              <w:jc w:val="center"/>
              <w:rPr>
                <w:rFonts w:hint="eastAsia" w:ascii="宋体" w:hAnsi="宋体"/>
                <w:kern w:val="0"/>
                <w:szCs w:val="21"/>
              </w:rPr>
            </w:pPr>
          </w:p>
        </w:tc>
        <w:tc>
          <w:tcPr>
            <w:tcW w:w="1200" w:type="dxa"/>
            <w:vMerge w:val="continue"/>
            <w:tcBorders>
              <w:top w:val="single" w:color="auto" w:sz="6" w:space="0"/>
              <w:left w:val="single" w:color="auto" w:sz="4" w:space="0"/>
              <w:bottom w:val="single" w:color="auto" w:sz="6" w:space="0"/>
              <w:right w:val="single" w:color="auto" w:sz="6" w:space="0"/>
            </w:tcBorders>
            <w:vAlign w:val="center"/>
          </w:tcPr>
          <w:p w14:paraId="7C0E701B">
            <w:pPr>
              <w:autoSpaceDE w:val="0"/>
              <w:autoSpaceDN w:val="0"/>
              <w:adjustRightInd w:val="0"/>
              <w:snapToGrid w:val="0"/>
              <w:spacing w:line="360" w:lineRule="auto"/>
              <w:ind w:right="-20"/>
              <w:jc w:val="center"/>
              <w:rPr>
                <w:rFonts w:hint="eastAsia" w:ascii="宋体" w:hAnsi="宋体"/>
                <w:kern w:val="0"/>
                <w:szCs w:val="21"/>
              </w:rPr>
            </w:pPr>
          </w:p>
        </w:tc>
        <w:tc>
          <w:tcPr>
            <w:tcW w:w="1092" w:type="dxa"/>
            <w:vMerge w:val="continue"/>
            <w:tcBorders>
              <w:left w:val="single" w:color="auto" w:sz="6" w:space="0"/>
              <w:bottom w:val="single" w:color="auto" w:sz="6" w:space="0"/>
              <w:right w:val="single" w:color="auto" w:sz="4" w:space="0"/>
            </w:tcBorders>
            <w:vAlign w:val="center"/>
          </w:tcPr>
          <w:p w14:paraId="10E3E568">
            <w:pPr>
              <w:autoSpaceDE w:val="0"/>
              <w:autoSpaceDN w:val="0"/>
              <w:adjustRightInd w:val="0"/>
              <w:snapToGrid w:val="0"/>
              <w:spacing w:line="360" w:lineRule="auto"/>
              <w:ind w:right="-20"/>
              <w:jc w:val="center"/>
              <w:rPr>
                <w:rFonts w:hint="eastAsia" w:ascii="宋体" w:hAnsi="宋体"/>
                <w:kern w:val="0"/>
                <w:szCs w:val="21"/>
              </w:rPr>
            </w:pPr>
          </w:p>
        </w:tc>
        <w:tc>
          <w:tcPr>
            <w:tcW w:w="910" w:type="dxa"/>
            <w:tcBorders>
              <w:top w:val="single" w:color="auto" w:sz="6" w:space="0"/>
              <w:left w:val="single" w:color="auto" w:sz="4" w:space="0"/>
              <w:bottom w:val="single" w:color="auto" w:sz="6" w:space="0"/>
              <w:right w:val="single" w:color="auto" w:sz="4" w:space="0"/>
            </w:tcBorders>
            <w:vAlign w:val="center"/>
          </w:tcPr>
          <w:p w14:paraId="0F5CA606">
            <w:pPr>
              <w:autoSpaceDE w:val="0"/>
              <w:autoSpaceDN w:val="0"/>
              <w:adjustRightInd w:val="0"/>
              <w:snapToGrid w:val="0"/>
              <w:spacing w:line="360" w:lineRule="auto"/>
              <w:ind w:right="-20"/>
              <w:jc w:val="center"/>
              <w:rPr>
                <w:rFonts w:hint="eastAsia" w:ascii="宋体" w:hAnsi="宋体"/>
                <w:kern w:val="0"/>
                <w:szCs w:val="21"/>
              </w:rPr>
            </w:pPr>
            <w:r>
              <w:rPr>
                <w:rFonts w:hint="eastAsia" w:ascii="宋体" w:hAnsi="宋体" w:cs="微软雅黑"/>
                <w:kern w:val="0"/>
                <w:position w:val="-1"/>
                <w:szCs w:val="21"/>
              </w:rPr>
              <w:t>单价</w:t>
            </w:r>
          </w:p>
        </w:tc>
        <w:tc>
          <w:tcPr>
            <w:tcW w:w="916" w:type="dxa"/>
            <w:tcBorders>
              <w:top w:val="single" w:color="auto" w:sz="6" w:space="0"/>
              <w:left w:val="single" w:color="auto" w:sz="4" w:space="0"/>
              <w:bottom w:val="single" w:color="auto" w:sz="6" w:space="0"/>
              <w:right w:val="single" w:color="auto" w:sz="6" w:space="0"/>
            </w:tcBorders>
            <w:vAlign w:val="center"/>
          </w:tcPr>
          <w:p w14:paraId="11693485">
            <w:pPr>
              <w:autoSpaceDE w:val="0"/>
              <w:autoSpaceDN w:val="0"/>
              <w:adjustRightInd w:val="0"/>
              <w:snapToGrid w:val="0"/>
              <w:spacing w:line="360" w:lineRule="auto"/>
              <w:ind w:left="70" w:right="-20"/>
              <w:jc w:val="center"/>
              <w:rPr>
                <w:rFonts w:hint="eastAsia" w:ascii="宋体" w:hAnsi="宋体"/>
                <w:kern w:val="0"/>
                <w:szCs w:val="21"/>
              </w:rPr>
            </w:pPr>
            <w:r>
              <w:rPr>
                <w:rFonts w:hint="eastAsia" w:ascii="宋体" w:hAnsi="宋体"/>
                <w:kern w:val="0"/>
                <w:szCs w:val="21"/>
              </w:rPr>
              <w:t>小计</w:t>
            </w:r>
          </w:p>
        </w:tc>
        <w:tc>
          <w:tcPr>
            <w:tcW w:w="914" w:type="dxa"/>
            <w:vMerge w:val="continue"/>
            <w:tcBorders>
              <w:top w:val="single" w:color="auto" w:sz="6" w:space="0"/>
              <w:left w:val="single" w:color="auto" w:sz="6" w:space="0"/>
              <w:bottom w:val="single" w:color="auto" w:sz="6" w:space="0"/>
              <w:right w:val="double" w:color="auto" w:sz="4" w:space="0"/>
            </w:tcBorders>
          </w:tcPr>
          <w:p w14:paraId="7E2AEFA8">
            <w:pPr>
              <w:autoSpaceDE w:val="0"/>
              <w:autoSpaceDN w:val="0"/>
              <w:adjustRightInd w:val="0"/>
              <w:snapToGrid w:val="0"/>
              <w:spacing w:line="360" w:lineRule="auto"/>
              <w:ind w:left="422" w:right="-20"/>
              <w:jc w:val="left"/>
              <w:rPr>
                <w:rFonts w:hint="eastAsia" w:ascii="宋体" w:hAnsi="宋体"/>
                <w:kern w:val="0"/>
                <w:szCs w:val="21"/>
              </w:rPr>
            </w:pPr>
          </w:p>
        </w:tc>
      </w:tr>
      <w:tr w14:paraId="7DC7CD17">
        <w:tblPrEx>
          <w:tblCellMar>
            <w:top w:w="0" w:type="dxa"/>
            <w:left w:w="0" w:type="dxa"/>
            <w:bottom w:w="0" w:type="dxa"/>
            <w:right w:w="0" w:type="dxa"/>
          </w:tblCellMar>
        </w:tblPrEx>
        <w:trPr>
          <w:trHeight w:val="378" w:hRule="exact"/>
        </w:trPr>
        <w:tc>
          <w:tcPr>
            <w:tcW w:w="333" w:type="dxa"/>
            <w:tcBorders>
              <w:top w:val="single" w:color="auto" w:sz="6" w:space="0"/>
              <w:left w:val="double" w:color="auto" w:sz="4" w:space="0"/>
              <w:bottom w:val="single" w:color="auto" w:sz="6" w:space="0"/>
              <w:right w:val="single" w:color="auto" w:sz="6" w:space="0"/>
            </w:tcBorders>
            <w:vAlign w:val="center"/>
          </w:tcPr>
          <w:p w14:paraId="4DE53F6E">
            <w:pPr>
              <w:jc w:val="center"/>
              <w:rPr>
                <w:rFonts w:hint="eastAsia" w:ascii="宋体" w:hAnsi="宋体" w:cs="宋体"/>
              </w:rPr>
            </w:pPr>
            <w:r>
              <w:rPr>
                <w:rFonts w:hint="eastAsia" w:ascii="宋体" w:hAnsi="宋体" w:cs="宋体"/>
              </w:rPr>
              <w:t>1</w:t>
            </w:r>
          </w:p>
        </w:tc>
        <w:tc>
          <w:tcPr>
            <w:tcW w:w="1383" w:type="dxa"/>
            <w:tcBorders>
              <w:top w:val="single" w:color="auto" w:sz="6" w:space="0"/>
              <w:left w:val="single" w:color="auto" w:sz="6" w:space="0"/>
              <w:bottom w:val="single" w:color="auto" w:sz="6" w:space="0"/>
              <w:right w:val="single" w:color="auto" w:sz="6" w:space="0"/>
            </w:tcBorders>
            <w:vAlign w:val="center"/>
          </w:tcPr>
          <w:p w14:paraId="63682905">
            <w:pPr>
              <w:autoSpaceDE w:val="0"/>
              <w:autoSpaceDN w:val="0"/>
              <w:adjustRightInd w:val="0"/>
              <w:snapToGrid w:val="0"/>
              <w:spacing w:line="360" w:lineRule="auto"/>
              <w:jc w:val="center"/>
              <w:rPr>
                <w:rFonts w:hint="eastAsia" w:ascii="宋体" w:hAnsi="宋体"/>
                <w:kern w:val="0"/>
                <w:szCs w:val="21"/>
              </w:rPr>
            </w:pPr>
          </w:p>
        </w:tc>
        <w:tc>
          <w:tcPr>
            <w:tcW w:w="2126" w:type="dxa"/>
            <w:tcBorders>
              <w:top w:val="single" w:color="auto" w:sz="6" w:space="0"/>
              <w:left w:val="single" w:color="auto" w:sz="6" w:space="0"/>
              <w:bottom w:val="single" w:color="auto" w:sz="6" w:space="0"/>
              <w:right w:val="single" w:color="auto" w:sz="4" w:space="0"/>
            </w:tcBorders>
          </w:tcPr>
          <w:p w14:paraId="2BA751E1">
            <w:pPr>
              <w:autoSpaceDE w:val="0"/>
              <w:autoSpaceDN w:val="0"/>
              <w:adjustRightInd w:val="0"/>
              <w:snapToGrid w:val="0"/>
              <w:spacing w:line="360" w:lineRule="auto"/>
              <w:jc w:val="left"/>
              <w:rPr>
                <w:rFonts w:hint="eastAsia" w:ascii="宋体" w:hAnsi="宋体"/>
                <w:kern w:val="0"/>
                <w:szCs w:val="21"/>
              </w:rPr>
            </w:pPr>
          </w:p>
        </w:tc>
        <w:tc>
          <w:tcPr>
            <w:tcW w:w="1200" w:type="dxa"/>
            <w:tcBorders>
              <w:top w:val="single" w:color="auto" w:sz="6" w:space="0"/>
              <w:left w:val="single" w:color="auto" w:sz="4" w:space="0"/>
              <w:bottom w:val="single" w:color="auto" w:sz="6" w:space="0"/>
              <w:right w:val="single" w:color="auto" w:sz="6" w:space="0"/>
            </w:tcBorders>
          </w:tcPr>
          <w:p w14:paraId="065E4B02">
            <w:pPr>
              <w:autoSpaceDE w:val="0"/>
              <w:autoSpaceDN w:val="0"/>
              <w:adjustRightInd w:val="0"/>
              <w:snapToGrid w:val="0"/>
              <w:spacing w:line="360" w:lineRule="auto"/>
              <w:jc w:val="left"/>
              <w:rPr>
                <w:rFonts w:hint="eastAsia" w:ascii="宋体" w:hAnsi="宋体"/>
                <w:kern w:val="0"/>
                <w:szCs w:val="21"/>
              </w:rPr>
            </w:pPr>
          </w:p>
        </w:tc>
        <w:tc>
          <w:tcPr>
            <w:tcW w:w="1092" w:type="dxa"/>
            <w:tcBorders>
              <w:top w:val="single" w:color="auto" w:sz="6" w:space="0"/>
              <w:left w:val="single" w:color="auto" w:sz="6" w:space="0"/>
              <w:bottom w:val="single" w:color="auto" w:sz="6" w:space="0"/>
              <w:right w:val="single" w:color="auto" w:sz="4" w:space="0"/>
            </w:tcBorders>
          </w:tcPr>
          <w:p w14:paraId="333281ED">
            <w:pPr>
              <w:autoSpaceDE w:val="0"/>
              <w:autoSpaceDN w:val="0"/>
              <w:adjustRightInd w:val="0"/>
              <w:snapToGrid w:val="0"/>
              <w:spacing w:line="360" w:lineRule="auto"/>
              <w:jc w:val="left"/>
              <w:rPr>
                <w:rFonts w:hint="eastAsia" w:ascii="宋体" w:hAnsi="宋体"/>
                <w:kern w:val="0"/>
                <w:szCs w:val="21"/>
              </w:rPr>
            </w:pPr>
          </w:p>
        </w:tc>
        <w:tc>
          <w:tcPr>
            <w:tcW w:w="910" w:type="dxa"/>
            <w:tcBorders>
              <w:top w:val="single" w:color="auto" w:sz="6" w:space="0"/>
              <w:left w:val="single" w:color="auto" w:sz="6" w:space="0"/>
              <w:bottom w:val="single" w:color="auto" w:sz="6" w:space="0"/>
              <w:right w:val="single" w:color="auto" w:sz="6" w:space="0"/>
            </w:tcBorders>
          </w:tcPr>
          <w:p w14:paraId="25EED5FE">
            <w:pPr>
              <w:autoSpaceDE w:val="0"/>
              <w:autoSpaceDN w:val="0"/>
              <w:adjustRightInd w:val="0"/>
              <w:snapToGrid w:val="0"/>
              <w:spacing w:line="360" w:lineRule="auto"/>
              <w:jc w:val="left"/>
              <w:rPr>
                <w:rFonts w:hint="eastAsia" w:ascii="宋体" w:hAnsi="宋体"/>
                <w:kern w:val="0"/>
                <w:szCs w:val="21"/>
              </w:rPr>
            </w:pPr>
          </w:p>
        </w:tc>
        <w:tc>
          <w:tcPr>
            <w:tcW w:w="916" w:type="dxa"/>
            <w:tcBorders>
              <w:top w:val="single" w:color="auto" w:sz="6" w:space="0"/>
              <w:left w:val="single" w:color="auto" w:sz="6" w:space="0"/>
              <w:bottom w:val="single" w:color="auto" w:sz="6" w:space="0"/>
              <w:right w:val="single" w:color="auto" w:sz="6" w:space="0"/>
            </w:tcBorders>
          </w:tcPr>
          <w:p w14:paraId="70132CD2">
            <w:pPr>
              <w:autoSpaceDE w:val="0"/>
              <w:autoSpaceDN w:val="0"/>
              <w:adjustRightInd w:val="0"/>
              <w:snapToGrid w:val="0"/>
              <w:spacing w:line="360" w:lineRule="auto"/>
              <w:jc w:val="left"/>
              <w:rPr>
                <w:rFonts w:hint="eastAsia" w:ascii="宋体" w:hAnsi="宋体"/>
                <w:kern w:val="0"/>
                <w:szCs w:val="21"/>
              </w:rPr>
            </w:pPr>
          </w:p>
        </w:tc>
        <w:tc>
          <w:tcPr>
            <w:tcW w:w="914" w:type="dxa"/>
            <w:tcBorders>
              <w:top w:val="single" w:color="auto" w:sz="6" w:space="0"/>
              <w:left w:val="single" w:color="auto" w:sz="6" w:space="0"/>
              <w:bottom w:val="single" w:color="auto" w:sz="6" w:space="0"/>
              <w:right w:val="double" w:color="auto" w:sz="4" w:space="0"/>
            </w:tcBorders>
          </w:tcPr>
          <w:p w14:paraId="567E3D28">
            <w:pPr>
              <w:autoSpaceDE w:val="0"/>
              <w:autoSpaceDN w:val="0"/>
              <w:adjustRightInd w:val="0"/>
              <w:snapToGrid w:val="0"/>
              <w:spacing w:line="360" w:lineRule="auto"/>
              <w:jc w:val="left"/>
              <w:rPr>
                <w:rFonts w:hint="eastAsia" w:ascii="宋体" w:hAnsi="宋体"/>
                <w:kern w:val="0"/>
                <w:szCs w:val="21"/>
              </w:rPr>
            </w:pPr>
          </w:p>
        </w:tc>
      </w:tr>
      <w:tr w14:paraId="071D5836">
        <w:tblPrEx>
          <w:tblCellMar>
            <w:top w:w="0" w:type="dxa"/>
            <w:left w:w="0" w:type="dxa"/>
            <w:bottom w:w="0" w:type="dxa"/>
            <w:right w:w="0" w:type="dxa"/>
          </w:tblCellMar>
        </w:tblPrEx>
        <w:trPr>
          <w:trHeight w:val="415" w:hRule="exact"/>
        </w:trPr>
        <w:tc>
          <w:tcPr>
            <w:tcW w:w="333" w:type="dxa"/>
            <w:tcBorders>
              <w:top w:val="single" w:color="auto" w:sz="6" w:space="0"/>
              <w:left w:val="double" w:color="auto" w:sz="4" w:space="0"/>
              <w:bottom w:val="single" w:color="auto" w:sz="6" w:space="0"/>
              <w:right w:val="single" w:color="auto" w:sz="6" w:space="0"/>
            </w:tcBorders>
            <w:vAlign w:val="center"/>
          </w:tcPr>
          <w:p w14:paraId="25115B9D">
            <w:pPr>
              <w:jc w:val="center"/>
              <w:rPr>
                <w:rFonts w:hint="eastAsia" w:ascii="宋体" w:hAnsi="宋体" w:cs="宋体"/>
              </w:rPr>
            </w:pPr>
            <w:r>
              <w:rPr>
                <w:rFonts w:hint="eastAsia" w:ascii="宋体" w:hAnsi="宋体" w:cs="宋体"/>
              </w:rPr>
              <w:t>2</w:t>
            </w:r>
          </w:p>
        </w:tc>
        <w:tc>
          <w:tcPr>
            <w:tcW w:w="1383" w:type="dxa"/>
            <w:tcBorders>
              <w:top w:val="single" w:color="auto" w:sz="6" w:space="0"/>
              <w:left w:val="single" w:color="auto" w:sz="6" w:space="0"/>
              <w:bottom w:val="single" w:color="auto" w:sz="6" w:space="0"/>
              <w:right w:val="single" w:color="auto" w:sz="6" w:space="0"/>
            </w:tcBorders>
            <w:vAlign w:val="center"/>
          </w:tcPr>
          <w:p w14:paraId="3C699DFB">
            <w:pPr>
              <w:autoSpaceDE w:val="0"/>
              <w:autoSpaceDN w:val="0"/>
              <w:adjustRightInd w:val="0"/>
              <w:snapToGrid w:val="0"/>
              <w:spacing w:line="360" w:lineRule="auto"/>
              <w:jc w:val="center"/>
              <w:rPr>
                <w:rFonts w:hint="eastAsia" w:ascii="宋体" w:hAnsi="宋体"/>
                <w:kern w:val="0"/>
                <w:szCs w:val="21"/>
              </w:rPr>
            </w:pPr>
          </w:p>
        </w:tc>
        <w:tc>
          <w:tcPr>
            <w:tcW w:w="2126" w:type="dxa"/>
            <w:tcBorders>
              <w:top w:val="single" w:color="auto" w:sz="6" w:space="0"/>
              <w:left w:val="single" w:color="auto" w:sz="6" w:space="0"/>
              <w:bottom w:val="single" w:color="auto" w:sz="6" w:space="0"/>
              <w:right w:val="single" w:color="auto" w:sz="4" w:space="0"/>
            </w:tcBorders>
          </w:tcPr>
          <w:p w14:paraId="5BBDC5AA">
            <w:pPr>
              <w:autoSpaceDE w:val="0"/>
              <w:autoSpaceDN w:val="0"/>
              <w:adjustRightInd w:val="0"/>
              <w:snapToGrid w:val="0"/>
              <w:spacing w:line="360" w:lineRule="auto"/>
              <w:jc w:val="left"/>
              <w:rPr>
                <w:rFonts w:hint="eastAsia" w:ascii="宋体" w:hAnsi="宋体"/>
                <w:kern w:val="0"/>
                <w:szCs w:val="21"/>
              </w:rPr>
            </w:pPr>
          </w:p>
        </w:tc>
        <w:tc>
          <w:tcPr>
            <w:tcW w:w="1200" w:type="dxa"/>
            <w:tcBorders>
              <w:top w:val="single" w:color="auto" w:sz="6" w:space="0"/>
              <w:left w:val="single" w:color="auto" w:sz="4" w:space="0"/>
              <w:bottom w:val="single" w:color="auto" w:sz="6" w:space="0"/>
              <w:right w:val="single" w:color="auto" w:sz="6" w:space="0"/>
            </w:tcBorders>
          </w:tcPr>
          <w:p w14:paraId="5329FF81">
            <w:pPr>
              <w:autoSpaceDE w:val="0"/>
              <w:autoSpaceDN w:val="0"/>
              <w:adjustRightInd w:val="0"/>
              <w:snapToGrid w:val="0"/>
              <w:spacing w:line="360" w:lineRule="auto"/>
              <w:jc w:val="left"/>
              <w:rPr>
                <w:rFonts w:hint="eastAsia" w:ascii="宋体" w:hAnsi="宋体"/>
                <w:kern w:val="0"/>
                <w:szCs w:val="21"/>
              </w:rPr>
            </w:pPr>
          </w:p>
        </w:tc>
        <w:tc>
          <w:tcPr>
            <w:tcW w:w="1092" w:type="dxa"/>
            <w:tcBorders>
              <w:top w:val="single" w:color="auto" w:sz="6" w:space="0"/>
              <w:left w:val="single" w:color="auto" w:sz="6" w:space="0"/>
              <w:bottom w:val="single" w:color="auto" w:sz="6" w:space="0"/>
              <w:right w:val="single" w:color="auto" w:sz="4" w:space="0"/>
            </w:tcBorders>
          </w:tcPr>
          <w:p w14:paraId="3D8BD6AF">
            <w:pPr>
              <w:autoSpaceDE w:val="0"/>
              <w:autoSpaceDN w:val="0"/>
              <w:adjustRightInd w:val="0"/>
              <w:snapToGrid w:val="0"/>
              <w:spacing w:line="360" w:lineRule="auto"/>
              <w:jc w:val="left"/>
              <w:rPr>
                <w:rFonts w:hint="eastAsia" w:ascii="宋体" w:hAnsi="宋体"/>
                <w:kern w:val="0"/>
                <w:szCs w:val="21"/>
              </w:rPr>
            </w:pPr>
          </w:p>
        </w:tc>
        <w:tc>
          <w:tcPr>
            <w:tcW w:w="910" w:type="dxa"/>
            <w:tcBorders>
              <w:top w:val="single" w:color="auto" w:sz="6" w:space="0"/>
              <w:left w:val="single" w:color="auto" w:sz="6" w:space="0"/>
              <w:bottom w:val="single" w:color="auto" w:sz="6" w:space="0"/>
              <w:right w:val="single" w:color="auto" w:sz="6" w:space="0"/>
            </w:tcBorders>
          </w:tcPr>
          <w:p w14:paraId="1BF7394D">
            <w:pPr>
              <w:autoSpaceDE w:val="0"/>
              <w:autoSpaceDN w:val="0"/>
              <w:adjustRightInd w:val="0"/>
              <w:snapToGrid w:val="0"/>
              <w:spacing w:line="360" w:lineRule="auto"/>
              <w:jc w:val="left"/>
              <w:rPr>
                <w:rFonts w:hint="eastAsia" w:ascii="宋体" w:hAnsi="宋体"/>
                <w:kern w:val="0"/>
                <w:szCs w:val="21"/>
              </w:rPr>
            </w:pPr>
          </w:p>
        </w:tc>
        <w:tc>
          <w:tcPr>
            <w:tcW w:w="916" w:type="dxa"/>
            <w:tcBorders>
              <w:top w:val="single" w:color="auto" w:sz="6" w:space="0"/>
              <w:left w:val="single" w:color="auto" w:sz="6" w:space="0"/>
              <w:bottom w:val="single" w:color="auto" w:sz="6" w:space="0"/>
              <w:right w:val="single" w:color="auto" w:sz="6" w:space="0"/>
            </w:tcBorders>
          </w:tcPr>
          <w:p w14:paraId="05498A24">
            <w:pPr>
              <w:autoSpaceDE w:val="0"/>
              <w:autoSpaceDN w:val="0"/>
              <w:adjustRightInd w:val="0"/>
              <w:snapToGrid w:val="0"/>
              <w:spacing w:line="360" w:lineRule="auto"/>
              <w:jc w:val="left"/>
              <w:rPr>
                <w:rFonts w:hint="eastAsia" w:ascii="宋体" w:hAnsi="宋体"/>
                <w:kern w:val="0"/>
                <w:szCs w:val="21"/>
              </w:rPr>
            </w:pPr>
          </w:p>
        </w:tc>
        <w:tc>
          <w:tcPr>
            <w:tcW w:w="914" w:type="dxa"/>
            <w:tcBorders>
              <w:top w:val="single" w:color="auto" w:sz="6" w:space="0"/>
              <w:left w:val="single" w:color="auto" w:sz="6" w:space="0"/>
              <w:bottom w:val="single" w:color="auto" w:sz="6" w:space="0"/>
              <w:right w:val="double" w:color="auto" w:sz="4" w:space="0"/>
            </w:tcBorders>
          </w:tcPr>
          <w:p w14:paraId="4643E7AE">
            <w:pPr>
              <w:autoSpaceDE w:val="0"/>
              <w:autoSpaceDN w:val="0"/>
              <w:adjustRightInd w:val="0"/>
              <w:snapToGrid w:val="0"/>
              <w:spacing w:line="360" w:lineRule="auto"/>
              <w:jc w:val="left"/>
              <w:rPr>
                <w:rFonts w:hint="eastAsia" w:ascii="宋体" w:hAnsi="宋体"/>
                <w:kern w:val="0"/>
                <w:szCs w:val="21"/>
              </w:rPr>
            </w:pPr>
          </w:p>
        </w:tc>
      </w:tr>
      <w:tr w14:paraId="31A19C71">
        <w:tblPrEx>
          <w:tblCellMar>
            <w:top w:w="0" w:type="dxa"/>
            <w:left w:w="0" w:type="dxa"/>
            <w:bottom w:w="0" w:type="dxa"/>
            <w:right w:w="0" w:type="dxa"/>
          </w:tblCellMar>
        </w:tblPrEx>
        <w:trPr>
          <w:trHeight w:val="415" w:hRule="exact"/>
        </w:trPr>
        <w:tc>
          <w:tcPr>
            <w:tcW w:w="333" w:type="dxa"/>
            <w:tcBorders>
              <w:top w:val="single" w:color="auto" w:sz="6" w:space="0"/>
              <w:left w:val="double" w:color="auto" w:sz="4" w:space="0"/>
              <w:bottom w:val="single" w:color="auto" w:sz="6" w:space="0"/>
              <w:right w:val="single" w:color="auto" w:sz="6" w:space="0"/>
            </w:tcBorders>
            <w:vAlign w:val="center"/>
          </w:tcPr>
          <w:p w14:paraId="60D742F0">
            <w:pPr>
              <w:jc w:val="center"/>
              <w:rPr>
                <w:rFonts w:hint="eastAsia" w:ascii="宋体" w:hAnsi="宋体" w:cs="宋体"/>
              </w:rPr>
            </w:pPr>
            <w:r>
              <w:rPr>
                <w:rFonts w:hint="eastAsia" w:ascii="宋体" w:hAnsi="宋体" w:cs="宋体"/>
              </w:rPr>
              <w:t>3</w:t>
            </w:r>
          </w:p>
        </w:tc>
        <w:tc>
          <w:tcPr>
            <w:tcW w:w="1383" w:type="dxa"/>
            <w:tcBorders>
              <w:top w:val="single" w:color="auto" w:sz="6" w:space="0"/>
              <w:left w:val="single" w:color="auto" w:sz="6" w:space="0"/>
              <w:bottom w:val="single" w:color="auto" w:sz="6" w:space="0"/>
              <w:right w:val="single" w:color="auto" w:sz="6" w:space="0"/>
            </w:tcBorders>
            <w:vAlign w:val="center"/>
          </w:tcPr>
          <w:p w14:paraId="391D5CF0">
            <w:pPr>
              <w:autoSpaceDE w:val="0"/>
              <w:autoSpaceDN w:val="0"/>
              <w:adjustRightInd w:val="0"/>
              <w:snapToGrid w:val="0"/>
              <w:spacing w:line="360" w:lineRule="auto"/>
              <w:jc w:val="center"/>
              <w:rPr>
                <w:rFonts w:hint="eastAsia" w:ascii="宋体" w:hAnsi="宋体"/>
                <w:kern w:val="0"/>
                <w:szCs w:val="21"/>
              </w:rPr>
            </w:pPr>
          </w:p>
        </w:tc>
        <w:tc>
          <w:tcPr>
            <w:tcW w:w="2126" w:type="dxa"/>
            <w:tcBorders>
              <w:top w:val="single" w:color="auto" w:sz="6" w:space="0"/>
              <w:left w:val="single" w:color="auto" w:sz="6" w:space="0"/>
              <w:bottom w:val="single" w:color="auto" w:sz="6" w:space="0"/>
              <w:right w:val="single" w:color="auto" w:sz="4" w:space="0"/>
            </w:tcBorders>
          </w:tcPr>
          <w:p w14:paraId="71760EA6">
            <w:pPr>
              <w:autoSpaceDE w:val="0"/>
              <w:autoSpaceDN w:val="0"/>
              <w:adjustRightInd w:val="0"/>
              <w:snapToGrid w:val="0"/>
              <w:spacing w:line="360" w:lineRule="auto"/>
              <w:jc w:val="left"/>
              <w:rPr>
                <w:rFonts w:hint="eastAsia" w:ascii="宋体" w:hAnsi="宋体"/>
                <w:kern w:val="0"/>
                <w:szCs w:val="21"/>
              </w:rPr>
            </w:pPr>
          </w:p>
        </w:tc>
        <w:tc>
          <w:tcPr>
            <w:tcW w:w="1200" w:type="dxa"/>
            <w:tcBorders>
              <w:top w:val="single" w:color="auto" w:sz="6" w:space="0"/>
              <w:left w:val="single" w:color="auto" w:sz="4" w:space="0"/>
              <w:bottom w:val="single" w:color="auto" w:sz="6" w:space="0"/>
              <w:right w:val="single" w:color="auto" w:sz="6" w:space="0"/>
            </w:tcBorders>
          </w:tcPr>
          <w:p w14:paraId="0A5881FE">
            <w:pPr>
              <w:autoSpaceDE w:val="0"/>
              <w:autoSpaceDN w:val="0"/>
              <w:adjustRightInd w:val="0"/>
              <w:snapToGrid w:val="0"/>
              <w:spacing w:line="360" w:lineRule="auto"/>
              <w:jc w:val="left"/>
              <w:rPr>
                <w:rFonts w:hint="eastAsia" w:ascii="宋体" w:hAnsi="宋体"/>
                <w:kern w:val="0"/>
                <w:szCs w:val="21"/>
              </w:rPr>
            </w:pPr>
          </w:p>
        </w:tc>
        <w:tc>
          <w:tcPr>
            <w:tcW w:w="1092" w:type="dxa"/>
            <w:tcBorders>
              <w:top w:val="single" w:color="auto" w:sz="6" w:space="0"/>
              <w:left w:val="single" w:color="auto" w:sz="6" w:space="0"/>
              <w:bottom w:val="single" w:color="auto" w:sz="6" w:space="0"/>
              <w:right w:val="single" w:color="auto" w:sz="4" w:space="0"/>
            </w:tcBorders>
          </w:tcPr>
          <w:p w14:paraId="5DECD996">
            <w:pPr>
              <w:autoSpaceDE w:val="0"/>
              <w:autoSpaceDN w:val="0"/>
              <w:adjustRightInd w:val="0"/>
              <w:snapToGrid w:val="0"/>
              <w:spacing w:line="360" w:lineRule="auto"/>
              <w:jc w:val="left"/>
              <w:rPr>
                <w:rFonts w:hint="eastAsia" w:ascii="宋体" w:hAnsi="宋体"/>
                <w:kern w:val="0"/>
                <w:szCs w:val="21"/>
              </w:rPr>
            </w:pPr>
          </w:p>
        </w:tc>
        <w:tc>
          <w:tcPr>
            <w:tcW w:w="910" w:type="dxa"/>
            <w:tcBorders>
              <w:top w:val="single" w:color="auto" w:sz="6" w:space="0"/>
              <w:left w:val="single" w:color="auto" w:sz="6" w:space="0"/>
              <w:bottom w:val="single" w:color="auto" w:sz="6" w:space="0"/>
              <w:right w:val="single" w:color="auto" w:sz="6" w:space="0"/>
            </w:tcBorders>
          </w:tcPr>
          <w:p w14:paraId="15B304D7">
            <w:pPr>
              <w:autoSpaceDE w:val="0"/>
              <w:autoSpaceDN w:val="0"/>
              <w:adjustRightInd w:val="0"/>
              <w:snapToGrid w:val="0"/>
              <w:spacing w:line="360" w:lineRule="auto"/>
              <w:jc w:val="left"/>
              <w:rPr>
                <w:rFonts w:hint="eastAsia" w:ascii="宋体" w:hAnsi="宋体"/>
                <w:kern w:val="0"/>
                <w:szCs w:val="21"/>
              </w:rPr>
            </w:pPr>
          </w:p>
        </w:tc>
        <w:tc>
          <w:tcPr>
            <w:tcW w:w="916" w:type="dxa"/>
            <w:tcBorders>
              <w:top w:val="single" w:color="auto" w:sz="6" w:space="0"/>
              <w:left w:val="single" w:color="auto" w:sz="6" w:space="0"/>
              <w:bottom w:val="single" w:color="auto" w:sz="6" w:space="0"/>
              <w:right w:val="single" w:color="auto" w:sz="6" w:space="0"/>
            </w:tcBorders>
          </w:tcPr>
          <w:p w14:paraId="54A5E096">
            <w:pPr>
              <w:autoSpaceDE w:val="0"/>
              <w:autoSpaceDN w:val="0"/>
              <w:adjustRightInd w:val="0"/>
              <w:snapToGrid w:val="0"/>
              <w:spacing w:line="360" w:lineRule="auto"/>
              <w:jc w:val="left"/>
              <w:rPr>
                <w:rFonts w:hint="eastAsia" w:ascii="宋体" w:hAnsi="宋体"/>
                <w:kern w:val="0"/>
                <w:szCs w:val="21"/>
              </w:rPr>
            </w:pPr>
          </w:p>
        </w:tc>
        <w:tc>
          <w:tcPr>
            <w:tcW w:w="914" w:type="dxa"/>
            <w:tcBorders>
              <w:top w:val="single" w:color="auto" w:sz="6" w:space="0"/>
              <w:left w:val="single" w:color="auto" w:sz="6" w:space="0"/>
              <w:bottom w:val="single" w:color="auto" w:sz="6" w:space="0"/>
              <w:right w:val="double" w:color="auto" w:sz="4" w:space="0"/>
            </w:tcBorders>
          </w:tcPr>
          <w:p w14:paraId="7E8377C8">
            <w:pPr>
              <w:autoSpaceDE w:val="0"/>
              <w:autoSpaceDN w:val="0"/>
              <w:adjustRightInd w:val="0"/>
              <w:snapToGrid w:val="0"/>
              <w:spacing w:line="360" w:lineRule="auto"/>
              <w:jc w:val="left"/>
              <w:rPr>
                <w:rFonts w:hint="eastAsia" w:ascii="宋体" w:hAnsi="宋体"/>
                <w:kern w:val="0"/>
                <w:szCs w:val="21"/>
              </w:rPr>
            </w:pPr>
          </w:p>
        </w:tc>
      </w:tr>
      <w:tr w14:paraId="7F3781AB">
        <w:tblPrEx>
          <w:tblCellMar>
            <w:top w:w="0" w:type="dxa"/>
            <w:left w:w="0" w:type="dxa"/>
            <w:bottom w:w="0" w:type="dxa"/>
            <w:right w:w="0" w:type="dxa"/>
          </w:tblCellMar>
        </w:tblPrEx>
        <w:trPr>
          <w:trHeight w:val="415" w:hRule="exact"/>
        </w:trPr>
        <w:tc>
          <w:tcPr>
            <w:tcW w:w="333" w:type="dxa"/>
            <w:tcBorders>
              <w:top w:val="single" w:color="auto" w:sz="6" w:space="0"/>
              <w:left w:val="double" w:color="auto" w:sz="4" w:space="0"/>
              <w:bottom w:val="single" w:color="auto" w:sz="6" w:space="0"/>
              <w:right w:val="single" w:color="auto" w:sz="6" w:space="0"/>
            </w:tcBorders>
            <w:vAlign w:val="center"/>
          </w:tcPr>
          <w:p w14:paraId="1F379501">
            <w:pPr>
              <w:jc w:val="center"/>
              <w:rPr>
                <w:rFonts w:hint="eastAsia" w:ascii="宋体" w:hAnsi="宋体" w:cs="宋体"/>
              </w:rPr>
            </w:pPr>
            <w:r>
              <w:rPr>
                <w:rFonts w:hint="eastAsia" w:ascii="宋体" w:hAnsi="宋体" w:cs="宋体"/>
              </w:rPr>
              <w:t>4</w:t>
            </w:r>
          </w:p>
        </w:tc>
        <w:tc>
          <w:tcPr>
            <w:tcW w:w="1383" w:type="dxa"/>
            <w:tcBorders>
              <w:top w:val="single" w:color="auto" w:sz="6" w:space="0"/>
              <w:left w:val="single" w:color="auto" w:sz="6" w:space="0"/>
              <w:bottom w:val="single" w:color="auto" w:sz="6" w:space="0"/>
              <w:right w:val="single" w:color="auto" w:sz="6" w:space="0"/>
            </w:tcBorders>
            <w:vAlign w:val="center"/>
          </w:tcPr>
          <w:p w14:paraId="04EB9DB8">
            <w:pPr>
              <w:autoSpaceDE w:val="0"/>
              <w:autoSpaceDN w:val="0"/>
              <w:adjustRightInd w:val="0"/>
              <w:snapToGrid w:val="0"/>
              <w:spacing w:line="360" w:lineRule="auto"/>
              <w:jc w:val="center"/>
              <w:rPr>
                <w:rFonts w:hint="eastAsia" w:ascii="宋体" w:hAnsi="宋体"/>
                <w:kern w:val="0"/>
                <w:szCs w:val="21"/>
              </w:rPr>
            </w:pPr>
          </w:p>
        </w:tc>
        <w:tc>
          <w:tcPr>
            <w:tcW w:w="2126" w:type="dxa"/>
            <w:tcBorders>
              <w:top w:val="single" w:color="auto" w:sz="6" w:space="0"/>
              <w:left w:val="single" w:color="auto" w:sz="6" w:space="0"/>
              <w:bottom w:val="single" w:color="auto" w:sz="6" w:space="0"/>
              <w:right w:val="single" w:color="auto" w:sz="4" w:space="0"/>
            </w:tcBorders>
          </w:tcPr>
          <w:p w14:paraId="235C2391">
            <w:pPr>
              <w:autoSpaceDE w:val="0"/>
              <w:autoSpaceDN w:val="0"/>
              <w:adjustRightInd w:val="0"/>
              <w:snapToGrid w:val="0"/>
              <w:spacing w:line="360" w:lineRule="auto"/>
              <w:jc w:val="left"/>
              <w:rPr>
                <w:rFonts w:hint="eastAsia" w:ascii="宋体" w:hAnsi="宋体"/>
                <w:kern w:val="0"/>
                <w:szCs w:val="21"/>
              </w:rPr>
            </w:pPr>
          </w:p>
        </w:tc>
        <w:tc>
          <w:tcPr>
            <w:tcW w:w="1200" w:type="dxa"/>
            <w:tcBorders>
              <w:top w:val="single" w:color="auto" w:sz="6" w:space="0"/>
              <w:left w:val="single" w:color="auto" w:sz="4" w:space="0"/>
              <w:bottom w:val="single" w:color="auto" w:sz="6" w:space="0"/>
              <w:right w:val="single" w:color="auto" w:sz="6" w:space="0"/>
            </w:tcBorders>
          </w:tcPr>
          <w:p w14:paraId="6A21054B">
            <w:pPr>
              <w:autoSpaceDE w:val="0"/>
              <w:autoSpaceDN w:val="0"/>
              <w:adjustRightInd w:val="0"/>
              <w:snapToGrid w:val="0"/>
              <w:spacing w:line="360" w:lineRule="auto"/>
              <w:jc w:val="left"/>
              <w:rPr>
                <w:rFonts w:hint="eastAsia" w:ascii="宋体" w:hAnsi="宋体"/>
                <w:kern w:val="0"/>
                <w:szCs w:val="21"/>
              </w:rPr>
            </w:pPr>
          </w:p>
        </w:tc>
        <w:tc>
          <w:tcPr>
            <w:tcW w:w="1092" w:type="dxa"/>
            <w:tcBorders>
              <w:top w:val="single" w:color="auto" w:sz="6" w:space="0"/>
              <w:left w:val="single" w:color="auto" w:sz="6" w:space="0"/>
              <w:bottom w:val="single" w:color="auto" w:sz="6" w:space="0"/>
              <w:right w:val="single" w:color="auto" w:sz="4" w:space="0"/>
            </w:tcBorders>
          </w:tcPr>
          <w:p w14:paraId="14150FB4">
            <w:pPr>
              <w:autoSpaceDE w:val="0"/>
              <w:autoSpaceDN w:val="0"/>
              <w:adjustRightInd w:val="0"/>
              <w:snapToGrid w:val="0"/>
              <w:spacing w:line="360" w:lineRule="auto"/>
              <w:jc w:val="left"/>
              <w:rPr>
                <w:rFonts w:hint="eastAsia" w:ascii="宋体" w:hAnsi="宋体"/>
                <w:kern w:val="0"/>
                <w:szCs w:val="21"/>
              </w:rPr>
            </w:pPr>
          </w:p>
        </w:tc>
        <w:tc>
          <w:tcPr>
            <w:tcW w:w="910" w:type="dxa"/>
            <w:tcBorders>
              <w:top w:val="single" w:color="auto" w:sz="6" w:space="0"/>
              <w:left w:val="single" w:color="auto" w:sz="4" w:space="0"/>
              <w:bottom w:val="single" w:color="auto" w:sz="6" w:space="0"/>
              <w:right w:val="single" w:color="auto" w:sz="6" w:space="0"/>
            </w:tcBorders>
          </w:tcPr>
          <w:p w14:paraId="2D1DC3BD">
            <w:pPr>
              <w:autoSpaceDE w:val="0"/>
              <w:autoSpaceDN w:val="0"/>
              <w:adjustRightInd w:val="0"/>
              <w:snapToGrid w:val="0"/>
              <w:spacing w:line="360" w:lineRule="auto"/>
              <w:jc w:val="left"/>
              <w:rPr>
                <w:rFonts w:hint="eastAsia" w:ascii="宋体" w:hAnsi="宋体"/>
                <w:kern w:val="0"/>
                <w:szCs w:val="21"/>
              </w:rPr>
            </w:pPr>
          </w:p>
        </w:tc>
        <w:tc>
          <w:tcPr>
            <w:tcW w:w="916" w:type="dxa"/>
            <w:tcBorders>
              <w:top w:val="single" w:color="auto" w:sz="6" w:space="0"/>
              <w:left w:val="single" w:color="auto" w:sz="6" w:space="0"/>
              <w:bottom w:val="single" w:color="auto" w:sz="6" w:space="0"/>
              <w:right w:val="single" w:color="auto" w:sz="6" w:space="0"/>
            </w:tcBorders>
          </w:tcPr>
          <w:p w14:paraId="4D555DFE">
            <w:pPr>
              <w:autoSpaceDE w:val="0"/>
              <w:autoSpaceDN w:val="0"/>
              <w:adjustRightInd w:val="0"/>
              <w:snapToGrid w:val="0"/>
              <w:spacing w:line="360" w:lineRule="auto"/>
              <w:jc w:val="left"/>
              <w:rPr>
                <w:rFonts w:hint="eastAsia" w:ascii="宋体" w:hAnsi="宋体"/>
                <w:kern w:val="0"/>
                <w:szCs w:val="21"/>
              </w:rPr>
            </w:pPr>
          </w:p>
        </w:tc>
        <w:tc>
          <w:tcPr>
            <w:tcW w:w="914" w:type="dxa"/>
            <w:tcBorders>
              <w:top w:val="single" w:color="auto" w:sz="6" w:space="0"/>
              <w:left w:val="single" w:color="auto" w:sz="6" w:space="0"/>
              <w:bottom w:val="single" w:color="auto" w:sz="6" w:space="0"/>
              <w:right w:val="double" w:color="auto" w:sz="4" w:space="0"/>
            </w:tcBorders>
          </w:tcPr>
          <w:p w14:paraId="15466971">
            <w:pPr>
              <w:autoSpaceDE w:val="0"/>
              <w:autoSpaceDN w:val="0"/>
              <w:adjustRightInd w:val="0"/>
              <w:snapToGrid w:val="0"/>
              <w:spacing w:line="360" w:lineRule="auto"/>
              <w:jc w:val="left"/>
              <w:rPr>
                <w:rFonts w:hint="eastAsia" w:ascii="宋体" w:hAnsi="宋体"/>
                <w:kern w:val="0"/>
                <w:szCs w:val="21"/>
              </w:rPr>
            </w:pPr>
          </w:p>
        </w:tc>
      </w:tr>
      <w:tr w14:paraId="61810245">
        <w:tblPrEx>
          <w:tblCellMar>
            <w:top w:w="0" w:type="dxa"/>
            <w:left w:w="0" w:type="dxa"/>
            <w:bottom w:w="0" w:type="dxa"/>
            <w:right w:w="0" w:type="dxa"/>
          </w:tblCellMar>
        </w:tblPrEx>
        <w:trPr>
          <w:trHeight w:val="415" w:hRule="exact"/>
        </w:trPr>
        <w:tc>
          <w:tcPr>
            <w:tcW w:w="333" w:type="dxa"/>
            <w:tcBorders>
              <w:top w:val="single" w:color="auto" w:sz="6" w:space="0"/>
              <w:left w:val="double" w:color="auto" w:sz="4" w:space="0"/>
              <w:bottom w:val="single" w:color="auto" w:sz="6" w:space="0"/>
              <w:right w:val="single" w:color="auto" w:sz="6" w:space="0"/>
            </w:tcBorders>
            <w:vAlign w:val="center"/>
          </w:tcPr>
          <w:p w14:paraId="2D06A4D7">
            <w:pPr>
              <w:jc w:val="center"/>
              <w:rPr>
                <w:rFonts w:hint="eastAsia" w:ascii="宋体" w:hAnsi="宋体" w:cs="宋体"/>
              </w:rPr>
            </w:pPr>
            <w:r>
              <w:rPr>
                <w:rFonts w:hint="eastAsia" w:ascii="宋体" w:hAnsi="宋体" w:cs="宋体"/>
              </w:rPr>
              <w:t>5</w:t>
            </w:r>
          </w:p>
        </w:tc>
        <w:tc>
          <w:tcPr>
            <w:tcW w:w="1383" w:type="dxa"/>
            <w:tcBorders>
              <w:top w:val="single" w:color="auto" w:sz="6" w:space="0"/>
              <w:left w:val="single" w:color="auto" w:sz="6" w:space="0"/>
              <w:bottom w:val="single" w:color="auto" w:sz="6" w:space="0"/>
              <w:right w:val="single" w:color="auto" w:sz="6" w:space="0"/>
            </w:tcBorders>
            <w:vAlign w:val="center"/>
          </w:tcPr>
          <w:p w14:paraId="6BA9951B">
            <w:pPr>
              <w:autoSpaceDE w:val="0"/>
              <w:autoSpaceDN w:val="0"/>
              <w:adjustRightInd w:val="0"/>
              <w:snapToGrid w:val="0"/>
              <w:spacing w:line="360" w:lineRule="auto"/>
              <w:jc w:val="center"/>
              <w:rPr>
                <w:rFonts w:hint="eastAsia" w:ascii="宋体" w:hAnsi="宋体"/>
                <w:kern w:val="0"/>
                <w:szCs w:val="21"/>
              </w:rPr>
            </w:pPr>
          </w:p>
        </w:tc>
        <w:tc>
          <w:tcPr>
            <w:tcW w:w="2126" w:type="dxa"/>
            <w:tcBorders>
              <w:top w:val="single" w:color="auto" w:sz="6" w:space="0"/>
              <w:left w:val="single" w:color="auto" w:sz="6" w:space="0"/>
              <w:bottom w:val="single" w:color="auto" w:sz="6" w:space="0"/>
              <w:right w:val="single" w:color="auto" w:sz="4" w:space="0"/>
            </w:tcBorders>
          </w:tcPr>
          <w:p w14:paraId="05A2CA93">
            <w:pPr>
              <w:autoSpaceDE w:val="0"/>
              <w:autoSpaceDN w:val="0"/>
              <w:adjustRightInd w:val="0"/>
              <w:snapToGrid w:val="0"/>
              <w:spacing w:line="360" w:lineRule="auto"/>
              <w:jc w:val="left"/>
              <w:rPr>
                <w:rFonts w:hint="eastAsia" w:ascii="宋体" w:hAnsi="宋体"/>
                <w:kern w:val="0"/>
                <w:szCs w:val="21"/>
              </w:rPr>
            </w:pPr>
          </w:p>
        </w:tc>
        <w:tc>
          <w:tcPr>
            <w:tcW w:w="1200" w:type="dxa"/>
            <w:tcBorders>
              <w:top w:val="single" w:color="auto" w:sz="6" w:space="0"/>
              <w:left w:val="single" w:color="auto" w:sz="4" w:space="0"/>
              <w:bottom w:val="single" w:color="auto" w:sz="6" w:space="0"/>
              <w:right w:val="single" w:color="auto" w:sz="6" w:space="0"/>
            </w:tcBorders>
          </w:tcPr>
          <w:p w14:paraId="00BBEECE">
            <w:pPr>
              <w:autoSpaceDE w:val="0"/>
              <w:autoSpaceDN w:val="0"/>
              <w:adjustRightInd w:val="0"/>
              <w:snapToGrid w:val="0"/>
              <w:spacing w:line="360" w:lineRule="auto"/>
              <w:jc w:val="left"/>
              <w:rPr>
                <w:rFonts w:hint="eastAsia" w:ascii="宋体" w:hAnsi="宋体"/>
                <w:kern w:val="0"/>
                <w:szCs w:val="21"/>
              </w:rPr>
            </w:pPr>
          </w:p>
        </w:tc>
        <w:tc>
          <w:tcPr>
            <w:tcW w:w="1092" w:type="dxa"/>
            <w:tcBorders>
              <w:top w:val="single" w:color="auto" w:sz="6" w:space="0"/>
              <w:left w:val="single" w:color="auto" w:sz="6" w:space="0"/>
              <w:bottom w:val="single" w:color="auto" w:sz="6" w:space="0"/>
              <w:right w:val="single" w:color="auto" w:sz="4" w:space="0"/>
            </w:tcBorders>
          </w:tcPr>
          <w:p w14:paraId="0130EF24">
            <w:pPr>
              <w:autoSpaceDE w:val="0"/>
              <w:autoSpaceDN w:val="0"/>
              <w:adjustRightInd w:val="0"/>
              <w:snapToGrid w:val="0"/>
              <w:spacing w:line="360" w:lineRule="auto"/>
              <w:jc w:val="left"/>
              <w:rPr>
                <w:rFonts w:hint="eastAsia" w:ascii="宋体" w:hAnsi="宋体"/>
                <w:kern w:val="0"/>
                <w:szCs w:val="21"/>
              </w:rPr>
            </w:pPr>
          </w:p>
        </w:tc>
        <w:tc>
          <w:tcPr>
            <w:tcW w:w="910" w:type="dxa"/>
            <w:tcBorders>
              <w:top w:val="single" w:color="auto" w:sz="6" w:space="0"/>
              <w:left w:val="single" w:color="auto" w:sz="4" w:space="0"/>
              <w:bottom w:val="single" w:color="auto" w:sz="6" w:space="0"/>
              <w:right w:val="single" w:color="auto" w:sz="6" w:space="0"/>
            </w:tcBorders>
          </w:tcPr>
          <w:p w14:paraId="3F172A8D">
            <w:pPr>
              <w:autoSpaceDE w:val="0"/>
              <w:autoSpaceDN w:val="0"/>
              <w:adjustRightInd w:val="0"/>
              <w:snapToGrid w:val="0"/>
              <w:spacing w:line="360" w:lineRule="auto"/>
              <w:jc w:val="left"/>
              <w:rPr>
                <w:rFonts w:hint="eastAsia" w:ascii="宋体" w:hAnsi="宋体"/>
                <w:kern w:val="0"/>
                <w:szCs w:val="21"/>
              </w:rPr>
            </w:pPr>
          </w:p>
        </w:tc>
        <w:tc>
          <w:tcPr>
            <w:tcW w:w="916" w:type="dxa"/>
            <w:tcBorders>
              <w:top w:val="single" w:color="auto" w:sz="6" w:space="0"/>
              <w:left w:val="single" w:color="auto" w:sz="6" w:space="0"/>
              <w:bottom w:val="single" w:color="auto" w:sz="6" w:space="0"/>
              <w:right w:val="single" w:color="auto" w:sz="6" w:space="0"/>
            </w:tcBorders>
          </w:tcPr>
          <w:p w14:paraId="4BB415CF">
            <w:pPr>
              <w:autoSpaceDE w:val="0"/>
              <w:autoSpaceDN w:val="0"/>
              <w:adjustRightInd w:val="0"/>
              <w:snapToGrid w:val="0"/>
              <w:spacing w:line="360" w:lineRule="auto"/>
              <w:jc w:val="left"/>
              <w:rPr>
                <w:rFonts w:hint="eastAsia" w:ascii="宋体" w:hAnsi="宋体"/>
                <w:kern w:val="0"/>
                <w:szCs w:val="21"/>
              </w:rPr>
            </w:pPr>
          </w:p>
        </w:tc>
        <w:tc>
          <w:tcPr>
            <w:tcW w:w="914" w:type="dxa"/>
            <w:tcBorders>
              <w:top w:val="single" w:color="auto" w:sz="6" w:space="0"/>
              <w:left w:val="single" w:color="auto" w:sz="6" w:space="0"/>
              <w:bottom w:val="single" w:color="auto" w:sz="6" w:space="0"/>
              <w:right w:val="double" w:color="auto" w:sz="4" w:space="0"/>
            </w:tcBorders>
          </w:tcPr>
          <w:p w14:paraId="2DA32C2D">
            <w:pPr>
              <w:autoSpaceDE w:val="0"/>
              <w:autoSpaceDN w:val="0"/>
              <w:adjustRightInd w:val="0"/>
              <w:snapToGrid w:val="0"/>
              <w:spacing w:line="360" w:lineRule="auto"/>
              <w:jc w:val="left"/>
              <w:rPr>
                <w:rFonts w:hint="eastAsia" w:ascii="宋体" w:hAnsi="宋体"/>
                <w:kern w:val="0"/>
                <w:szCs w:val="21"/>
              </w:rPr>
            </w:pPr>
          </w:p>
        </w:tc>
      </w:tr>
      <w:tr w14:paraId="35A469D4">
        <w:tblPrEx>
          <w:tblCellMar>
            <w:top w:w="0" w:type="dxa"/>
            <w:left w:w="0" w:type="dxa"/>
            <w:bottom w:w="0" w:type="dxa"/>
            <w:right w:w="0" w:type="dxa"/>
          </w:tblCellMar>
        </w:tblPrEx>
        <w:trPr>
          <w:trHeight w:val="415" w:hRule="exact"/>
        </w:trPr>
        <w:tc>
          <w:tcPr>
            <w:tcW w:w="333" w:type="dxa"/>
            <w:tcBorders>
              <w:top w:val="single" w:color="auto" w:sz="6" w:space="0"/>
              <w:left w:val="double" w:color="auto" w:sz="4" w:space="0"/>
              <w:bottom w:val="single" w:color="auto" w:sz="6" w:space="0"/>
              <w:right w:val="single" w:color="auto" w:sz="6" w:space="0"/>
            </w:tcBorders>
            <w:vAlign w:val="center"/>
          </w:tcPr>
          <w:p w14:paraId="3FC97B14">
            <w:pPr>
              <w:jc w:val="center"/>
            </w:pPr>
            <w:r>
              <w:t>…</w:t>
            </w:r>
          </w:p>
        </w:tc>
        <w:tc>
          <w:tcPr>
            <w:tcW w:w="1383" w:type="dxa"/>
            <w:tcBorders>
              <w:top w:val="single" w:color="auto" w:sz="6" w:space="0"/>
              <w:left w:val="single" w:color="auto" w:sz="6" w:space="0"/>
              <w:bottom w:val="single" w:color="auto" w:sz="6" w:space="0"/>
              <w:right w:val="single" w:color="auto" w:sz="6" w:space="0"/>
            </w:tcBorders>
          </w:tcPr>
          <w:p w14:paraId="2E8A749F">
            <w:pPr>
              <w:autoSpaceDE w:val="0"/>
              <w:autoSpaceDN w:val="0"/>
              <w:adjustRightInd w:val="0"/>
              <w:snapToGrid w:val="0"/>
              <w:spacing w:line="360" w:lineRule="auto"/>
              <w:ind w:left="527" w:right="507"/>
              <w:jc w:val="center"/>
              <w:rPr>
                <w:rFonts w:hint="eastAsia" w:ascii="宋体" w:hAnsi="宋体"/>
                <w:kern w:val="0"/>
                <w:szCs w:val="21"/>
              </w:rPr>
            </w:pPr>
          </w:p>
        </w:tc>
        <w:tc>
          <w:tcPr>
            <w:tcW w:w="2126" w:type="dxa"/>
            <w:tcBorders>
              <w:top w:val="single" w:color="auto" w:sz="6" w:space="0"/>
              <w:left w:val="single" w:color="auto" w:sz="6" w:space="0"/>
              <w:bottom w:val="single" w:color="auto" w:sz="6" w:space="0"/>
              <w:right w:val="single" w:color="auto" w:sz="4" w:space="0"/>
            </w:tcBorders>
          </w:tcPr>
          <w:p w14:paraId="72BAB88F">
            <w:pPr>
              <w:autoSpaceDE w:val="0"/>
              <w:autoSpaceDN w:val="0"/>
              <w:adjustRightInd w:val="0"/>
              <w:snapToGrid w:val="0"/>
              <w:spacing w:line="360" w:lineRule="auto"/>
              <w:jc w:val="left"/>
              <w:rPr>
                <w:rFonts w:hint="eastAsia" w:ascii="宋体" w:hAnsi="宋体"/>
                <w:kern w:val="0"/>
                <w:szCs w:val="21"/>
              </w:rPr>
            </w:pPr>
          </w:p>
        </w:tc>
        <w:tc>
          <w:tcPr>
            <w:tcW w:w="1200" w:type="dxa"/>
            <w:tcBorders>
              <w:top w:val="single" w:color="auto" w:sz="6" w:space="0"/>
              <w:left w:val="single" w:color="auto" w:sz="4" w:space="0"/>
              <w:bottom w:val="single" w:color="auto" w:sz="6" w:space="0"/>
              <w:right w:val="single" w:color="auto" w:sz="6" w:space="0"/>
            </w:tcBorders>
          </w:tcPr>
          <w:p w14:paraId="31C98EDA">
            <w:pPr>
              <w:autoSpaceDE w:val="0"/>
              <w:autoSpaceDN w:val="0"/>
              <w:adjustRightInd w:val="0"/>
              <w:snapToGrid w:val="0"/>
              <w:spacing w:line="360" w:lineRule="auto"/>
              <w:jc w:val="left"/>
              <w:rPr>
                <w:rFonts w:hint="eastAsia" w:ascii="宋体" w:hAnsi="宋体"/>
                <w:kern w:val="0"/>
                <w:szCs w:val="21"/>
              </w:rPr>
            </w:pPr>
          </w:p>
        </w:tc>
        <w:tc>
          <w:tcPr>
            <w:tcW w:w="1092" w:type="dxa"/>
            <w:tcBorders>
              <w:top w:val="single" w:color="auto" w:sz="6" w:space="0"/>
              <w:left w:val="single" w:color="auto" w:sz="6" w:space="0"/>
              <w:bottom w:val="single" w:color="auto" w:sz="6" w:space="0"/>
              <w:right w:val="single" w:color="auto" w:sz="4" w:space="0"/>
            </w:tcBorders>
          </w:tcPr>
          <w:p w14:paraId="71C69D4E">
            <w:pPr>
              <w:autoSpaceDE w:val="0"/>
              <w:autoSpaceDN w:val="0"/>
              <w:adjustRightInd w:val="0"/>
              <w:snapToGrid w:val="0"/>
              <w:spacing w:line="360" w:lineRule="auto"/>
              <w:jc w:val="left"/>
              <w:rPr>
                <w:rFonts w:hint="eastAsia" w:ascii="宋体" w:hAnsi="宋体"/>
                <w:kern w:val="0"/>
                <w:szCs w:val="21"/>
              </w:rPr>
            </w:pPr>
          </w:p>
        </w:tc>
        <w:tc>
          <w:tcPr>
            <w:tcW w:w="910" w:type="dxa"/>
            <w:tcBorders>
              <w:top w:val="single" w:color="auto" w:sz="6" w:space="0"/>
              <w:left w:val="single" w:color="auto" w:sz="4" w:space="0"/>
              <w:bottom w:val="single" w:color="auto" w:sz="6" w:space="0"/>
              <w:right w:val="single" w:color="auto" w:sz="6" w:space="0"/>
            </w:tcBorders>
          </w:tcPr>
          <w:p w14:paraId="04D27470">
            <w:pPr>
              <w:autoSpaceDE w:val="0"/>
              <w:autoSpaceDN w:val="0"/>
              <w:adjustRightInd w:val="0"/>
              <w:snapToGrid w:val="0"/>
              <w:spacing w:line="360" w:lineRule="auto"/>
              <w:jc w:val="left"/>
              <w:rPr>
                <w:rFonts w:hint="eastAsia" w:ascii="宋体" w:hAnsi="宋体"/>
                <w:kern w:val="0"/>
                <w:szCs w:val="21"/>
              </w:rPr>
            </w:pPr>
          </w:p>
        </w:tc>
        <w:tc>
          <w:tcPr>
            <w:tcW w:w="916" w:type="dxa"/>
            <w:tcBorders>
              <w:top w:val="single" w:color="auto" w:sz="6" w:space="0"/>
              <w:left w:val="single" w:color="auto" w:sz="6" w:space="0"/>
              <w:bottom w:val="single" w:color="auto" w:sz="6" w:space="0"/>
              <w:right w:val="single" w:color="auto" w:sz="6" w:space="0"/>
            </w:tcBorders>
          </w:tcPr>
          <w:p w14:paraId="0E213401">
            <w:pPr>
              <w:autoSpaceDE w:val="0"/>
              <w:autoSpaceDN w:val="0"/>
              <w:adjustRightInd w:val="0"/>
              <w:snapToGrid w:val="0"/>
              <w:spacing w:line="360" w:lineRule="auto"/>
              <w:jc w:val="left"/>
              <w:rPr>
                <w:rFonts w:hint="eastAsia" w:ascii="宋体" w:hAnsi="宋体"/>
                <w:kern w:val="0"/>
                <w:szCs w:val="21"/>
              </w:rPr>
            </w:pPr>
          </w:p>
        </w:tc>
        <w:tc>
          <w:tcPr>
            <w:tcW w:w="914" w:type="dxa"/>
            <w:tcBorders>
              <w:top w:val="single" w:color="auto" w:sz="6" w:space="0"/>
              <w:left w:val="single" w:color="auto" w:sz="6" w:space="0"/>
              <w:bottom w:val="single" w:color="auto" w:sz="6" w:space="0"/>
              <w:right w:val="double" w:color="auto" w:sz="4" w:space="0"/>
            </w:tcBorders>
          </w:tcPr>
          <w:p w14:paraId="37C880EC">
            <w:pPr>
              <w:autoSpaceDE w:val="0"/>
              <w:autoSpaceDN w:val="0"/>
              <w:adjustRightInd w:val="0"/>
              <w:snapToGrid w:val="0"/>
              <w:spacing w:line="360" w:lineRule="auto"/>
              <w:jc w:val="left"/>
              <w:rPr>
                <w:rFonts w:hint="eastAsia" w:ascii="宋体" w:hAnsi="宋体"/>
                <w:kern w:val="0"/>
                <w:szCs w:val="21"/>
              </w:rPr>
            </w:pPr>
          </w:p>
        </w:tc>
      </w:tr>
      <w:tr w14:paraId="1B7F8ADA">
        <w:tblPrEx>
          <w:tblCellMar>
            <w:top w:w="0" w:type="dxa"/>
            <w:left w:w="0" w:type="dxa"/>
            <w:bottom w:w="0" w:type="dxa"/>
            <w:right w:w="0" w:type="dxa"/>
          </w:tblCellMar>
        </w:tblPrEx>
        <w:trPr>
          <w:trHeight w:val="415" w:hRule="exact"/>
        </w:trPr>
        <w:tc>
          <w:tcPr>
            <w:tcW w:w="7044" w:type="dxa"/>
            <w:gridSpan w:val="6"/>
            <w:tcBorders>
              <w:top w:val="single" w:color="auto" w:sz="6" w:space="0"/>
              <w:left w:val="double" w:color="auto" w:sz="4" w:space="0"/>
              <w:bottom w:val="double" w:color="auto" w:sz="4" w:space="0"/>
              <w:right w:val="single" w:color="auto" w:sz="6" w:space="0"/>
            </w:tcBorders>
            <w:vAlign w:val="center"/>
          </w:tcPr>
          <w:p w14:paraId="345B37FA">
            <w:pPr>
              <w:autoSpaceDE w:val="0"/>
              <w:autoSpaceDN w:val="0"/>
              <w:adjustRightInd w:val="0"/>
              <w:snapToGrid w:val="0"/>
              <w:spacing w:line="360" w:lineRule="auto"/>
              <w:jc w:val="center"/>
              <w:rPr>
                <w:rFonts w:hint="eastAsia" w:ascii="宋体" w:hAnsi="宋体"/>
                <w:kern w:val="0"/>
                <w:szCs w:val="21"/>
              </w:rPr>
            </w:pPr>
            <w:r>
              <w:rPr>
                <w:rFonts w:hint="eastAsia" w:ascii="宋体" w:hAnsi="宋体" w:cs="微软雅黑"/>
                <w:kern w:val="0"/>
                <w:position w:val="-1"/>
                <w:szCs w:val="21"/>
              </w:rPr>
              <w:t>投标报价（元）：</w:t>
            </w:r>
          </w:p>
        </w:tc>
        <w:tc>
          <w:tcPr>
            <w:tcW w:w="916" w:type="dxa"/>
            <w:tcBorders>
              <w:top w:val="single" w:color="auto" w:sz="6" w:space="0"/>
              <w:left w:val="single" w:color="auto" w:sz="6" w:space="0"/>
              <w:bottom w:val="double" w:color="auto" w:sz="4" w:space="0"/>
              <w:right w:val="single" w:color="auto" w:sz="6" w:space="0"/>
            </w:tcBorders>
          </w:tcPr>
          <w:p w14:paraId="5702AF7F">
            <w:pPr>
              <w:autoSpaceDE w:val="0"/>
              <w:autoSpaceDN w:val="0"/>
              <w:adjustRightInd w:val="0"/>
              <w:snapToGrid w:val="0"/>
              <w:spacing w:line="360" w:lineRule="auto"/>
              <w:jc w:val="left"/>
              <w:rPr>
                <w:rFonts w:hint="eastAsia" w:ascii="宋体" w:hAnsi="宋体"/>
                <w:kern w:val="0"/>
                <w:szCs w:val="21"/>
              </w:rPr>
            </w:pPr>
          </w:p>
        </w:tc>
        <w:tc>
          <w:tcPr>
            <w:tcW w:w="914" w:type="dxa"/>
            <w:tcBorders>
              <w:top w:val="single" w:color="auto" w:sz="6" w:space="0"/>
              <w:left w:val="single" w:color="auto" w:sz="6" w:space="0"/>
              <w:bottom w:val="double" w:color="auto" w:sz="4" w:space="0"/>
              <w:right w:val="double" w:color="auto" w:sz="4" w:space="0"/>
            </w:tcBorders>
          </w:tcPr>
          <w:p w14:paraId="522D9DF8">
            <w:pPr>
              <w:autoSpaceDE w:val="0"/>
              <w:autoSpaceDN w:val="0"/>
              <w:adjustRightInd w:val="0"/>
              <w:snapToGrid w:val="0"/>
              <w:spacing w:line="360" w:lineRule="auto"/>
              <w:jc w:val="left"/>
              <w:rPr>
                <w:rFonts w:hint="eastAsia" w:ascii="宋体" w:hAnsi="宋体"/>
                <w:kern w:val="0"/>
                <w:szCs w:val="21"/>
              </w:rPr>
            </w:pPr>
          </w:p>
        </w:tc>
      </w:tr>
    </w:tbl>
    <w:p w14:paraId="034EE560">
      <w:pPr>
        <w:adjustRightInd w:val="0"/>
        <w:snapToGrid w:val="0"/>
        <w:spacing w:line="360" w:lineRule="auto"/>
        <w:rPr>
          <w:rFonts w:hint="eastAsia" w:ascii="宋体" w:hAnsi="宋体"/>
          <w:szCs w:val="21"/>
        </w:rPr>
      </w:pPr>
      <w:r>
        <w:rPr>
          <w:rFonts w:hint="eastAsia" w:ascii="宋体" w:hAnsi="宋体"/>
          <w:szCs w:val="21"/>
        </w:rPr>
        <w:t>注：1.</w:t>
      </w:r>
      <w:r>
        <w:rPr>
          <w:rFonts w:hint="eastAsia" w:ascii="宋体" w:hAnsi="宋体"/>
          <w:b/>
          <w:szCs w:val="21"/>
        </w:rPr>
        <w:t>本表应对应</w:t>
      </w:r>
      <w:r>
        <w:rPr>
          <w:rFonts w:hint="eastAsia" w:ascii="宋体" w:hAnsi="宋体"/>
          <w:szCs w:val="21"/>
        </w:rPr>
        <w:t>“</w:t>
      </w:r>
      <w:r>
        <w:rPr>
          <w:rFonts w:hint="eastAsia" w:ascii="宋体" w:hAnsi="宋体"/>
          <w:b/>
          <w:szCs w:val="21"/>
        </w:rPr>
        <w:t>开标一览表</w:t>
      </w:r>
      <w:r>
        <w:rPr>
          <w:rFonts w:hint="eastAsia" w:ascii="宋体" w:hAnsi="宋体"/>
          <w:szCs w:val="21"/>
        </w:rPr>
        <w:t>”</w:t>
      </w:r>
      <w:r>
        <w:rPr>
          <w:rFonts w:hint="eastAsia" w:ascii="宋体" w:hAnsi="宋体"/>
          <w:b/>
          <w:szCs w:val="21"/>
        </w:rPr>
        <w:t>，按包填写</w:t>
      </w:r>
      <w:r>
        <w:rPr>
          <w:rFonts w:hint="eastAsia" w:ascii="宋体" w:hAnsi="宋体"/>
          <w:szCs w:val="21"/>
        </w:rPr>
        <w:t>。投标人如果不提供分项报价明细表，其</w:t>
      </w:r>
      <w:r>
        <w:rPr>
          <w:rFonts w:hint="eastAsia" w:ascii="宋体" w:hAnsi="宋体"/>
          <w:b/>
          <w:szCs w:val="21"/>
        </w:rPr>
        <w:t>投标无效</w:t>
      </w:r>
      <w:r>
        <w:rPr>
          <w:rFonts w:hint="eastAsia" w:ascii="宋体" w:hAnsi="宋体"/>
          <w:szCs w:val="21"/>
        </w:rPr>
        <w:t>。</w:t>
      </w:r>
    </w:p>
    <w:p w14:paraId="406F76D5">
      <w:pPr>
        <w:adjustRightInd w:val="0"/>
        <w:snapToGrid w:val="0"/>
        <w:spacing w:line="360" w:lineRule="auto"/>
        <w:ind w:firstLine="420" w:firstLineChars="200"/>
        <w:rPr>
          <w:rFonts w:hint="eastAsia" w:ascii="宋体" w:hAnsi="宋体"/>
          <w:szCs w:val="21"/>
        </w:rPr>
      </w:pPr>
      <w:r>
        <w:rPr>
          <w:rFonts w:hint="eastAsia" w:ascii="宋体" w:hAnsi="宋体"/>
          <w:szCs w:val="21"/>
        </w:rPr>
        <w:t>2.不得填写“免费”或“赠与”否则</w:t>
      </w:r>
      <w:r>
        <w:rPr>
          <w:rFonts w:hint="eastAsia" w:ascii="宋体" w:hAnsi="宋体"/>
          <w:b/>
          <w:szCs w:val="21"/>
        </w:rPr>
        <w:t>投标无效</w:t>
      </w:r>
      <w:r>
        <w:rPr>
          <w:rFonts w:hint="eastAsia" w:ascii="宋体" w:hAnsi="宋体"/>
          <w:szCs w:val="21"/>
        </w:rPr>
        <w:t>。</w:t>
      </w:r>
    </w:p>
    <w:p w14:paraId="04FBF8E3">
      <w:pPr>
        <w:adjustRightInd w:val="0"/>
        <w:snapToGrid w:val="0"/>
        <w:spacing w:line="360" w:lineRule="auto"/>
        <w:ind w:firstLine="420" w:firstLineChars="200"/>
        <w:rPr>
          <w:rFonts w:hint="eastAsia" w:ascii="宋体" w:hAnsi="宋体"/>
          <w:szCs w:val="21"/>
        </w:rPr>
      </w:pPr>
      <w:r>
        <w:rPr>
          <w:rFonts w:hint="eastAsia" w:ascii="宋体" w:hAnsi="宋体"/>
          <w:szCs w:val="21"/>
        </w:rPr>
        <w:t>3.如果开标一览表内容与本表内容不一致的，以开标一览表内容为准。</w:t>
      </w:r>
    </w:p>
    <w:p w14:paraId="43E4262C">
      <w:pPr>
        <w:adjustRightInd w:val="0"/>
        <w:snapToGrid w:val="0"/>
        <w:spacing w:line="360" w:lineRule="auto"/>
        <w:ind w:firstLine="420" w:firstLineChars="200"/>
        <w:rPr>
          <w:rFonts w:hint="eastAsia" w:ascii="宋体" w:hAnsi="宋体"/>
          <w:szCs w:val="21"/>
        </w:rPr>
      </w:pPr>
      <w:r>
        <w:rPr>
          <w:rFonts w:hint="eastAsia" w:ascii="宋体" w:hAnsi="宋体"/>
          <w:szCs w:val="21"/>
        </w:rPr>
        <w:t>4.</w:t>
      </w:r>
      <w:r>
        <w:rPr>
          <w:rFonts w:hint="eastAsia" w:ascii="宋体" w:hAnsi="宋体"/>
          <w:bCs/>
          <w:szCs w:val="21"/>
        </w:rPr>
        <w:t>投标人在投标截止时间前修改“开标一览表”中的投标报价的，应按第二章第13.7款规定修改本表相应内容。否则，</w:t>
      </w:r>
      <w:r>
        <w:rPr>
          <w:rFonts w:hint="eastAsia" w:ascii="宋体" w:hAnsi="宋体"/>
          <w:szCs w:val="21"/>
        </w:rPr>
        <w:t>本表相应内容按投标报价修改的相同比例进行调整。</w:t>
      </w:r>
    </w:p>
    <w:p w14:paraId="66EED850">
      <w:pPr>
        <w:adjustRightInd w:val="0"/>
        <w:snapToGrid w:val="0"/>
        <w:spacing w:line="360" w:lineRule="auto"/>
        <w:rPr>
          <w:rFonts w:hint="eastAsia" w:ascii="宋体" w:hAnsi="宋体"/>
          <w:szCs w:val="21"/>
        </w:rPr>
      </w:pPr>
      <w:r>
        <w:rPr>
          <w:rFonts w:hint="eastAsia" w:ascii="宋体" w:hAnsi="宋体"/>
          <w:szCs w:val="21"/>
        </w:rPr>
        <w:t>投标人名称（盖单位章）：</w:t>
      </w:r>
    </w:p>
    <w:p w14:paraId="7A139D42">
      <w:pPr>
        <w:adjustRightInd w:val="0"/>
        <w:snapToGrid w:val="0"/>
        <w:spacing w:line="360" w:lineRule="auto"/>
        <w:rPr>
          <w:rFonts w:hint="eastAsia" w:ascii="宋体" w:hAnsi="宋体"/>
          <w:szCs w:val="21"/>
        </w:rPr>
      </w:pPr>
      <w:r>
        <w:rPr>
          <w:rFonts w:hint="eastAsia" w:ascii="宋体" w:hAnsi="宋体" w:cs="微软雅黑"/>
          <w:spacing w:val="-2"/>
          <w:kern w:val="0"/>
          <w:szCs w:val="21"/>
        </w:rPr>
        <w:t>法</w:t>
      </w:r>
      <w:r>
        <w:rPr>
          <w:rFonts w:hint="eastAsia" w:ascii="宋体" w:hAnsi="宋体" w:cs="微软雅黑"/>
          <w:kern w:val="0"/>
          <w:szCs w:val="21"/>
        </w:rPr>
        <w:t>定</w:t>
      </w:r>
      <w:r>
        <w:rPr>
          <w:rFonts w:hint="eastAsia" w:ascii="宋体" w:hAnsi="宋体" w:cs="微软雅黑"/>
          <w:spacing w:val="-2"/>
          <w:kern w:val="0"/>
          <w:szCs w:val="21"/>
        </w:rPr>
        <w:t>代</w:t>
      </w:r>
      <w:r>
        <w:rPr>
          <w:rFonts w:hint="eastAsia" w:ascii="宋体" w:hAnsi="宋体" w:cs="微软雅黑"/>
          <w:kern w:val="0"/>
          <w:szCs w:val="21"/>
        </w:rPr>
        <w:t>表</w:t>
      </w:r>
      <w:r>
        <w:rPr>
          <w:rFonts w:hint="eastAsia" w:ascii="宋体" w:hAnsi="宋体" w:cs="微软雅黑"/>
          <w:spacing w:val="-2"/>
          <w:kern w:val="0"/>
          <w:szCs w:val="21"/>
        </w:rPr>
        <w:t>人</w:t>
      </w:r>
      <w:r>
        <w:rPr>
          <w:rFonts w:hint="eastAsia" w:ascii="宋体" w:hAnsi="宋体" w:cs="微软雅黑"/>
          <w:kern w:val="0"/>
          <w:szCs w:val="21"/>
        </w:rPr>
        <w:t>（</w:t>
      </w:r>
      <w:r>
        <w:rPr>
          <w:rFonts w:hint="eastAsia" w:ascii="宋体" w:hAnsi="宋体" w:cs="微软雅黑"/>
          <w:spacing w:val="-2"/>
          <w:kern w:val="0"/>
          <w:szCs w:val="21"/>
        </w:rPr>
        <w:t>单</w:t>
      </w:r>
      <w:r>
        <w:rPr>
          <w:rFonts w:hint="eastAsia" w:ascii="宋体" w:hAnsi="宋体" w:cs="微软雅黑"/>
          <w:kern w:val="0"/>
          <w:szCs w:val="21"/>
        </w:rPr>
        <w:t>位</w:t>
      </w:r>
      <w:r>
        <w:rPr>
          <w:rFonts w:hint="eastAsia" w:ascii="宋体" w:hAnsi="宋体" w:cs="微软雅黑"/>
          <w:spacing w:val="-2"/>
          <w:kern w:val="0"/>
          <w:szCs w:val="21"/>
        </w:rPr>
        <w:t>负</w:t>
      </w:r>
      <w:r>
        <w:rPr>
          <w:rFonts w:hint="eastAsia" w:ascii="宋体" w:hAnsi="宋体" w:cs="微软雅黑"/>
          <w:kern w:val="0"/>
          <w:szCs w:val="21"/>
        </w:rPr>
        <w:t>责人</w:t>
      </w:r>
      <w:r>
        <w:rPr>
          <w:rFonts w:hint="eastAsia" w:ascii="宋体" w:hAnsi="宋体" w:cs="微软雅黑"/>
          <w:spacing w:val="-2"/>
          <w:kern w:val="0"/>
          <w:szCs w:val="21"/>
        </w:rPr>
        <w:t>）</w:t>
      </w:r>
      <w:r>
        <w:rPr>
          <w:rFonts w:hint="eastAsia" w:ascii="宋体" w:hAnsi="宋体"/>
          <w:szCs w:val="21"/>
        </w:rPr>
        <w:t>或其授权的代理人（签字或印章）：</w:t>
      </w:r>
      <w:r>
        <w:rPr>
          <w:rFonts w:hint="eastAsia" w:ascii="宋体" w:hAnsi="宋体"/>
          <w:szCs w:val="21"/>
          <w:u w:val="single"/>
        </w:rPr>
        <w:t xml:space="preserve">       </w:t>
      </w:r>
    </w:p>
    <w:p w14:paraId="367FC0AF">
      <w:pPr>
        <w:adjustRightInd w:val="0"/>
        <w:snapToGrid w:val="0"/>
        <w:spacing w:line="360" w:lineRule="auto"/>
        <w:rPr>
          <w:rFonts w:hint="eastAsia" w:ascii="宋体" w:hAnsi="宋体"/>
          <w:szCs w:val="21"/>
        </w:rPr>
      </w:pPr>
      <w:r>
        <w:rPr>
          <w:rFonts w:hint="eastAsia" w:ascii="宋体" w:hAnsi="宋体"/>
          <w:szCs w:val="21"/>
        </w:rPr>
        <w:t>日期：</w:t>
      </w:r>
      <w:r>
        <w:rPr>
          <w:rFonts w:hint="eastAsia" w:ascii="宋体" w:hAnsi="宋体"/>
          <w:szCs w:val="21"/>
          <w:u w:val="single"/>
        </w:rPr>
        <w:t xml:space="preserve">        </w:t>
      </w:r>
      <w:r>
        <w:rPr>
          <w:rFonts w:hint="eastAsia" w:ascii="宋体" w:hAnsi="宋体"/>
          <w:szCs w:val="21"/>
        </w:rPr>
        <w:t>年</w:t>
      </w:r>
      <w:r>
        <w:rPr>
          <w:rFonts w:hint="eastAsia" w:ascii="宋体" w:hAnsi="宋体"/>
          <w:szCs w:val="21"/>
          <w:u w:val="single"/>
        </w:rPr>
        <w:t xml:space="preserve">    </w:t>
      </w:r>
      <w:r>
        <w:rPr>
          <w:rFonts w:hint="eastAsia" w:ascii="宋体" w:hAnsi="宋体"/>
          <w:szCs w:val="21"/>
        </w:rPr>
        <w:t>月</w:t>
      </w:r>
      <w:r>
        <w:rPr>
          <w:rFonts w:hint="eastAsia" w:ascii="宋体" w:hAnsi="宋体"/>
          <w:szCs w:val="21"/>
          <w:u w:val="single"/>
        </w:rPr>
        <w:t xml:space="preserve">   </w:t>
      </w:r>
      <w:r>
        <w:rPr>
          <w:rFonts w:hint="eastAsia" w:ascii="宋体" w:hAnsi="宋体"/>
          <w:szCs w:val="21"/>
        </w:rPr>
        <w:t>日</w:t>
      </w:r>
    </w:p>
    <w:p w14:paraId="642C777D">
      <w:pPr>
        <w:adjustRightInd w:val="0"/>
        <w:snapToGrid w:val="0"/>
        <w:spacing w:line="360" w:lineRule="auto"/>
        <w:rPr>
          <w:rFonts w:hint="eastAsia" w:ascii="宋体" w:hAnsi="宋体"/>
          <w:szCs w:val="21"/>
        </w:rPr>
        <w:sectPr>
          <w:headerReference r:id="rId18" w:type="default"/>
          <w:footerReference r:id="rId19" w:type="default"/>
          <w:pgSz w:w="11906" w:h="16838"/>
          <w:pgMar w:top="1474" w:right="1474" w:bottom="1474" w:left="1587" w:header="851" w:footer="992" w:gutter="0"/>
          <w:pgBorders>
            <w:top w:val="none" w:sz="0" w:space="0"/>
            <w:left w:val="none" w:sz="0" w:space="0"/>
            <w:bottom w:val="none" w:sz="0" w:space="0"/>
            <w:right w:val="none" w:sz="0" w:space="0"/>
          </w:pgBorders>
          <w:cols w:space="0" w:num="1"/>
          <w:docGrid w:type="lines" w:linePitch="315" w:charSpace="0"/>
        </w:sectPr>
      </w:pPr>
    </w:p>
    <w:p w14:paraId="059B886F">
      <w:pPr>
        <w:pStyle w:val="4"/>
        <w:adjustRightInd w:val="0"/>
        <w:snapToGrid w:val="0"/>
        <w:spacing w:before="0" w:after="0" w:line="360" w:lineRule="auto"/>
        <w:jc w:val="center"/>
        <w:rPr>
          <w:rFonts w:hint="eastAsia" w:ascii="黑体" w:hAnsi="宋体" w:eastAsia="黑体"/>
          <w:sz w:val="28"/>
          <w:szCs w:val="28"/>
        </w:rPr>
      </w:pPr>
      <w:bookmarkStart w:id="173" w:name="_Toc18202"/>
      <w:r>
        <w:rPr>
          <w:rFonts w:hint="eastAsia" w:ascii="黑体" w:hAnsi="宋体" w:eastAsia="黑体"/>
          <w:sz w:val="28"/>
          <w:szCs w:val="28"/>
        </w:rPr>
        <w:t>七、采购需求响应</w:t>
      </w:r>
      <w:bookmarkEnd w:id="173"/>
    </w:p>
    <w:p w14:paraId="6DB0E35B">
      <w:pPr>
        <w:adjustRightInd w:val="0"/>
        <w:snapToGrid w:val="0"/>
        <w:spacing w:line="360" w:lineRule="auto"/>
        <w:rPr>
          <w:rFonts w:hint="eastAsia" w:ascii="宋体" w:hAnsi="宋体"/>
          <w:b/>
          <w:szCs w:val="21"/>
        </w:rPr>
      </w:pPr>
    </w:p>
    <w:p w14:paraId="7BF2F0CF">
      <w:pPr>
        <w:adjustRightInd w:val="0"/>
        <w:snapToGrid w:val="0"/>
        <w:spacing w:line="360" w:lineRule="auto"/>
        <w:rPr>
          <w:b/>
        </w:rPr>
      </w:pPr>
      <w:r>
        <w:rPr>
          <w:rFonts w:hint="eastAsia" w:ascii="宋体" w:hAnsi="宋体"/>
          <w:b/>
          <w:szCs w:val="21"/>
        </w:rPr>
        <w:t>编制说明</w:t>
      </w:r>
      <w:r>
        <w:rPr>
          <w:rFonts w:hint="eastAsia" w:ascii="宋体" w:hAnsi="宋体"/>
          <w:bCs/>
          <w:szCs w:val="21"/>
        </w:rPr>
        <w:t>：</w:t>
      </w:r>
      <w:r>
        <w:rPr>
          <w:rFonts w:hint="eastAsia"/>
          <w:b/>
        </w:rPr>
        <w:t>投标人应按招标文件第五章采购需求自行编写采购需求响应文件（格式自拟）。</w:t>
      </w:r>
    </w:p>
    <w:p w14:paraId="568B23AA">
      <w:pPr>
        <w:pStyle w:val="15"/>
        <w:adjustRightInd w:val="0"/>
        <w:snapToGrid w:val="0"/>
        <w:spacing w:line="360" w:lineRule="auto"/>
        <w:ind w:left="-88" w:leftChars="-42"/>
        <w:rPr>
          <w:rFonts w:hint="eastAsia" w:ascii="宋体" w:hAnsi="宋体"/>
          <w:bCs/>
          <w:sz w:val="21"/>
          <w:szCs w:val="21"/>
        </w:rPr>
      </w:pPr>
    </w:p>
    <w:p w14:paraId="57D1BC57"/>
    <w:p w14:paraId="674FC1E0"/>
    <w:p w14:paraId="0D568004">
      <w:pPr>
        <w:pStyle w:val="15"/>
        <w:tabs>
          <w:tab w:val="left" w:pos="6208"/>
        </w:tabs>
        <w:adjustRightInd w:val="0"/>
        <w:snapToGrid w:val="0"/>
        <w:spacing w:line="360" w:lineRule="auto"/>
        <w:ind w:left="-88" w:leftChars="-42"/>
        <w:rPr>
          <w:rFonts w:hint="eastAsia" w:ascii="宋体" w:hAnsi="宋体"/>
          <w:bCs/>
          <w:sz w:val="21"/>
          <w:szCs w:val="21"/>
        </w:rPr>
      </w:pPr>
    </w:p>
    <w:p w14:paraId="501F07F9">
      <w:pPr>
        <w:adjustRightInd w:val="0"/>
        <w:snapToGrid w:val="0"/>
        <w:spacing w:line="360" w:lineRule="auto"/>
        <w:rPr>
          <w:rFonts w:hint="eastAsia" w:ascii="宋体" w:hAnsi="宋体"/>
          <w:szCs w:val="21"/>
        </w:rPr>
      </w:pPr>
    </w:p>
    <w:p w14:paraId="2A5EAB13">
      <w:pPr>
        <w:adjustRightInd w:val="0"/>
        <w:snapToGrid w:val="0"/>
        <w:spacing w:line="360" w:lineRule="auto"/>
        <w:rPr>
          <w:rFonts w:hint="eastAsia" w:ascii="宋体" w:hAnsi="宋体"/>
          <w:szCs w:val="21"/>
        </w:rPr>
      </w:pPr>
      <w:r>
        <w:rPr>
          <w:rFonts w:hint="eastAsia" w:ascii="宋体" w:hAnsi="宋体"/>
          <w:szCs w:val="21"/>
        </w:rPr>
        <w:t>投标人名称（盖单位章）：</w:t>
      </w:r>
    </w:p>
    <w:p w14:paraId="607E5E74">
      <w:pPr>
        <w:adjustRightInd w:val="0"/>
        <w:snapToGrid w:val="0"/>
        <w:spacing w:line="360" w:lineRule="auto"/>
        <w:rPr>
          <w:rFonts w:hint="eastAsia" w:ascii="宋体" w:hAnsi="宋体"/>
          <w:szCs w:val="21"/>
          <w:u w:val="single"/>
        </w:rPr>
      </w:pPr>
      <w:r>
        <w:rPr>
          <w:rFonts w:hint="eastAsia" w:ascii="宋体" w:hAnsi="宋体" w:cs="微软雅黑"/>
          <w:spacing w:val="-2"/>
          <w:kern w:val="0"/>
          <w:szCs w:val="21"/>
        </w:rPr>
        <w:t>法</w:t>
      </w:r>
      <w:r>
        <w:rPr>
          <w:rFonts w:hint="eastAsia" w:ascii="宋体" w:hAnsi="宋体" w:cs="微软雅黑"/>
          <w:kern w:val="0"/>
          <w:szCs w:val="21"/>
        </w:rPr>
        <w:t>定</w:t>
      </w:r>
      <w:r>
        <w:rPr>
          <w:rFonts w:hint="eastAsia" w:ascii="宋体" w:hAnsi="宋体" w:cs="微软雅黑"/>
          <w:spacing w:val="-2"/>
          <w:kern w:val="0"/>
          <w:szCs w:val="21"/>
        </w:rPr>
        <w:t>代</w:t>
      </w:r>
      <w:r>
        <w:rPr>
          <w:rFonts w:hint="eastAsia" w:ascii="宋体" w:hAnsi="宋体" w:cs="微软雅黑"/>
          <w:kern w:val="0"/>
          <w:szCs w:val="21"/>
        </w:rPr>
        <w:t>表</w:t>
      </w:r>
      <w:r>
        <w:rPr>
          <w:rFonts w:hint="eastAsia" w:ascii="宋体" w:hAnsi="宋体" w:cs="微软雅黑"/>
          <w:spacing w:val="-2"/>
          <w:kern w:val="0"/>
          <w:szCs w:val="21"/>
        </w:rPr>
        <w:t>人</w:t>
      </w:r>
      <w:r>
        <w:rPr>
          <w:rFonts w:hint="eastAsia" w:ascii="宋体" w:hAnsi="宋体" w:cs="微软雅黑"/>
          <w:kern w:val="0"/>
          <w:szCs w:val="21"/>
        </w:rPr>
        <w:t>（</w:t>
      </w:r>
      <w:r>
        <w:rPr>
          <w:rFonts w:hint="eastAsia" w:ascii="宋体" w:hAnsi="宋体" w:cs="微软雅黑"/>
          <w:spacing w:val="-2"/>
          <w:kern w:val="0"/>
          <w:szCs w:val="21"/>
        </w:rPr>
        <w:t>单</w:t>
      </w:r>
      <w:r>
        <w:rPr>
          <w:rFonts w:hint="eastAsia" w:ascii="宋体" w:hAnsi="宋体" w:cs="微软雅黑"/>
          <w:kern w:val="0"/>
          <w:szCs w:val="21"/>
        </w:rPr>
        <w:t>位</w:t>
      </w:r>
      <w:r>
        <w:rPr>
          <w:rFonts w:hint="eastAsia" w:ascii="宋体" w:hAnsi="宋体" w:cs="微软雅黑"/>
          <w:spacing w:val="-2"/>
          <w:kern w:val="0"/>
          <w:szCs w:val="21"/>
        </w:rPr>
        <w:t>负</w:t>
      </w:r>
      <w:r>
        <w:rPr>
          <w:rFonts w:hint="eastAsia" w:ascii="宋体" w:hAnsi="宋体" w:cs="微软雅黑"/>
          <w:kern w:val="0"/>
          <w:szCs w:val="21"/>
        </w:rPr>
        <w:t>责人</w:t>
      </w:r>
      <w:r>
        <w:rPr>
          <w:rFonts w:hint="eastAsia" w:ascii="宋体" w:hAnsi="宋体" w:cs="微软雅黑"/>
          <w:spacing w:val="-2"/>
          <w:kern w:val="0"/>
          <w:szCs w:val="21"/>
        </w:rPr>
        <w:t>）</w:t>
      </w:r>
      <w:r>
        <w:rPr>
          <w:rFonts w:hint="eastAsia" w:ascii="宋体" w:hAnsi="宋体"/>
          <w:szCs w:val="21"/>
        </w:rPr>
        <w:t>或其授权的代理人（签字或印章）：</w:t>
      </w:r>
      <w:r>
        <w:rPr>
          <w:rFonts w:hint="eastAsia" w:ascii="宋体" w:hAnsi="宋体"/>
          <w:szCs w:val="21"/>
          <w:u w:val="single"/>
        </w:rPr>
        <w:t xml:space="preserve">             </w:t>
      </w:r>
    </w:p>
    <w:p w14:paraId="71AC6DD1">
      <w:pPr>
        <w:adjustRightInd w:val="0"/>
        <w:snapToGrid w:val="0"/>
        <w:spacing w:line="360" w:lineRule="auto"/>
        <w:rPr>
          <w:rFonts w:hint="eastAsia" w:ascii="宋体" w:hAnsi="宋体"/>
          <w:szCs w:val="21"/>
        </w:rPr>
      </w:pPr>
      <w:r>
        <w:rPr>
          <w:rFonts w:hint="eastAsia" w:ascii="宋体" w:hAnsi="宋体"/>
          <w:szCs w:val="21"/>
        </w:rPr>
        <w:t>日期：</w:t>
      </w:r>
      <w:r>
        <w:rPr>
          <w:rFonts w:hint="eastAsia" w:ascii="宋体" w:hAnsi="宋体"/>
          <w:szCs w:val="21"/>
          <w:u w:val="single"/>
        </w:rPr>
        <w:t xml:space="preserve">         </w:t>
      </w:r>
      <w:r>
        <w:rPr>
          <w:rFonts w:hint="eastAsia" w:ascii="宋体" w:hAnsi="宋体"/>
          <w:szCs w:val="21"/>
        </w:rPr>
        <w:t>年</w:t>
      </w:r>
      <w:r>
        <w:rPr>
          <w:rFonts w:hint="eastAsia" w:ascii="宋体" w:hAnsi="宋体"/>
          <w:szCs w:val="21"/>
          <w:u w:val="single"/>
        </w:rPr>
        <w:t xml:space="preserve">     </w:t>
      </w:r>
      <w:r>
        <w:rPr>
          <w:rFonts w:hint="eastAsia" w:ascii="宋体" w:hAnsi="宋体"/>
          <w:szCs w:val="21"/>
        </w:rPr>
        <w:t>月</w:t>
      </w:r>
      <w:r>
        <w:rPr>
          <w:rFonts w:hint="eastAsia" w:ascii="宋体" w:hAnsi="宋体"/>
          <w:szCs w:val="21"/>
          <w:u w:val="single"/>
        </w:rPr>
        <w:t xml:space="preserve">      </w:t>
      </w:r>
      <w:r>
        <w:rPr>
          <w:rFonts w:hint="eastAsia" w:ascii="宋体" w:hAnsi="宋体"/>
          <w:szCs w:val="21"/>
        </w:rPr>
        <w:t>日</w:t>
      </w:r>
    </w:p>
    <w:p w14:paraId="736C5C7C"/>
    <w:p w14:paraId="34F1ACD9"/>
    <w:p w14:paraId="2A4C77E2">
      <w:pPr>
        <w:pStyle w:val="5"/>
        <w:adjustRightInd w:val="0"/>
        <w:snapToGrid w:val="0"/>
        <w:spacing w:before="157" w:beforeLines="50" w:after="0" w:line="360" w:lineRule="auto"/>
        <w:rPr>
          <w:rFonts w:hint="eastAsia" w:ascii="黑体" w:hAnsi="黑体"/>
          <w:b w:val="0"/>
          <w:sz w:val="21"/>
          <w:szCs w:val="21"/>
        </w:rPr>
      </w:pPr>
      <w:bookmarkStart w:id="174" w:name="_Toc17037"/>
      <w:r>
        <w:rPr>
          <w:rFonts w:hint="eastAsia" w:ascii="黑体" w:hAnsi="黑体" w:cs="宋体"/>
          <w:b w:val="0"/>
          <w:spacing w:val="6"/>
          <w:kern w:val="0"/>
          <w:sz w:val="21"/>
          <w:szCs w:val="21"/>
        </w:rPr>
        <w:t>附件7-1 响应</w:t>
      </w:r>
      <w:r>
        <w:rPr>
          <w:rFonts w:hint="eastAsia" w:ascii="黑体" w:hAnsi="黑体"/>
          <w:b w:val="0"/>
          <w:sz w:val="21"/>
          <w:szCs w:val="21"/>
        </w:rPr>
        <w:t>一览表</w:t>
      </w:r>
      <w:bookmarkEnd w:id="174"/>
    </w:p>
    <w:p w14:paraId="4C5A2D96">
      <w:pPr>
        <w:adjustRightInd w:val="0"/>
        <w:snapToGrid w:val="0"/>
        <w:spacing w:before="157" w:beforeLines="50" w:line="360" w:lineRule="auto"/>
        <w:jc w:val="center"/>
        <w:rPr>
          <w:rFonts w:hint="eastAsia" w:ascii="黑体" w:hAnsi="黑体" w:eastAsia="黑体"/>
          <w:b/>
          <w:bCs/>
          <w:sz w:val="28"/>
          <w:szCs w:val="28"/>
        </w:rPr>
      </w:pPr>
      <w:r>
        <w:rPr>
          <w:rFonts w:hint="eastAsia" w:ascii="黑体" w:hAnsi="黑体" w:eastAsia="黑体"/>
          <w:b/>
          <w:bCs/>
          <w:sz w:val="28"/>
          <w:szCs w:val="28"/>
        </w:rPr>
        <w:t>响应一览表</w:t>
      </w:r>
    </w:p>
    <w:p w14:paraId="7AD336DD">
      <w:pPr>
        <w:jc w:val="center"/>
        <w:rPr>
          <w:rFonts w:hint="eastAsia" w:ascii="宋体" w:hAnsi="宋体"/>
          <w:szCs w:val="21"/>
        </w:rPr>
      </w:pPr>
    </w:p>
    <w:tbl>
      <w:tblPr>
        <w:tblStyle w:val="27"/>
        <w:tblW w:w="8965" w:type="dxa"/>
        <w:tblInd w:w="0" w:type="dxa"/>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429"/>
        <w:gridCol w:w="957"/>
        <w:gridCol w:w="2124"/>
        <w:gridCol w:w="2127"/>
        <w:gridCol w:w="992"/>
        <w:gridCol w:w="1136"/>
        <w:gridCol w:w="1200"/>
      </w:tblGrid>
      <w:tr w14:paraId="1B82AC02">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cantSplit/>
          <w:trHeight w:val="880" w:hRule="atLeast"/>
        </w:trPr>
        <w:tc>
          <w:tcPr>
            <w:tcW w:w="429" w:type="dxa"/>
            <w:vAlign w:val="center"/>
          </w:tcPr>
          <w:p w14:paraId="42A22D88">
            <w:pPr>
              <w:jc w:val="center"/>
              <w:rPr>
                <w:szCs w:val="21"/>
              </w:rPr>
            </w:pPr>
            <w:r>
              <w:rPr>
                <w:rFonts w:hint="eastAsia"/>
                <w:szCs w:val="21"/>
              </w:rPr>
              <w:t xml:space="preserve">包号 </w:t>
            </w:r>
          </w:p>
        </w:tc>
        <w:tc>
          <w:tcPr>
            <w:tcW w:w="957" w:type="dxa"/>
            <w:tcBorders>
              <w:right w:val="single" w:color="auto" w:sz="4" w:space="0"/>
            </w:tcBorders>
            <w:vAlign w:val="center"/>
          </w:tcPr>
          <w:p w14:paraId="01B7A410">
            <w:pPr>
              <w:jc w:val="center"/>
              <w:rPr>
                <w:szCs w:val="21"/>
              </w:rPr>
            </w:pPr>
            <w:r>
              <w:rPr>
                <w:rFonts w:hint="eastAsia"/>
                <w:szCs w:val="21"/>
              </w:rPr>
              <w:t>包名称</w:t>
            </w:r>
          </w:p>
        </w:tc>
        <w:tc>
          <w:tcPr>
            <w:tcW w:w="2124" w:type="dxa"/>
            <w:tcBorders>
              <w:left w:val="single" w:color="auto" w:sz="4" w:space="0"/>
            </w:tcBorders>
            <w:vAlign w:val="center"/>
          </w:tcPr>
          <w:p w14:paraId="2E640DC5">
            <w:pPr>
              <w:jc w:val="center"/>
              <w:rPr>
                <w:szCs w:val="21"/>
              </w:rPr>
            </w:pPr>
            <w:r>
              <w:rPr>
                <w:rFonts w:hint="eastAsia"/>
                <w:szCs w:val="21"/>
              </w:rPr>
              <w:t>标的名称</w:t>
            </w:r>
          </w:p>
        </w:tc>
        <w:tc>
          <w:tcPr>
            <w:tcW w:w="2127" w:type="dxa"/>
            <w:vAlign w:val="center"/>
          </w:tcPr>
          <w:p w14:paraId="5FBFFAA9">
            <w:pPr>
              <w:jc w:val="center"/>
              <w:rPr>
                <w:szCs w:val="21"/>
              </w:rPr>
            </w:pPr>
            <w:r>
              <w:rPr>
                <w:rFonts w:hint="eastAsia"/>
                <w:szCs w:val="21"/>
              </w:rPr>
              <w:t>主要技术参数或规格</w:t>
            </w:r>
          </w:p>
        </w:tc>
        <w:tc>
          <w:tcPr>
            <w:tcW w:w="992" w:type="dxa"/>
            <w:vAlign w:val="center"/>
          </w:tcPr>
          <w:p w14:paraId="4C7895C0">
            <w:pPr>
              <w:jc w:val="center"/>
              <w:rPr>
                <w:szCs w:val="21"/>
              </w:rPr>
            </w:pPr>
            <w:r>
              <w:rPr>
                <w:rFonts w:hint="eastAsia"/>
                <w:szCs w:val="21"/>
              </w:rPr>
              <w:t>数量</w:t>
            </w:r>
          </w:p>
        </w:tc>
        <w:tc>
          <w:tcPr>
            <w:tcW w:w="1136" w:type="dxa"/>
            <w:vAlign w:val="center"/>
          </w:tcPr>
          <w:p w14:paraId="0FB811E6">
            <w:pPr>
              <w:adjustRightInd w:val="0"/>
              <w:snapToGrid w:val="0"/>
              <w:jc w:val="center"/>
              <w:rPr>
                <w:szCs w:val="21"/>
              </w:rPr>
            </w:pPr>
            <w:r>
              <w:rPr>
                <w:rFonts w:hint="eastAsia"/>
                <w:szCs w:val="21"/>
              </w:rPr>
              <w:t>节能产品</w:t>
            </w:r>
          </w:p>
        </w:tc>
        <w:tc>
          <w:tcPr>
            <w:tcW w:w="1200" w:type="dxa"/>
            <w:vAlign w:val="center"/>
          </w:tcPr>
          <w:p w14:paraId="35AECFAA">
            <w:pPr>
              <w:adjustRightInd w:val="0"/>
              <w:snapToGrid w:val="0"/>
              <w:jc w:val="center"/>
              <w:rPr>
                <w:szCs w:val="21"/>
              </w:rPr>
            </w:pPr>
            <w:r>
              <w:rPr>
                <w:rFonts w:hint="eastAsia"/>
                <w:szCs w:val="21"/>
              </w:rPr>
              <w:t>进口产品</w:t>
            </w:r>
          </w:p>
        </w:tc>
      </w:tr>
      <w:tr w14:paraId="2332A558">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cantSplit/>
          <w:trHeight w:val="520" w:hRule="atLeast"/>
        </w:trPr>
        <w:tc>
          <w:tcPr>
            <w:tcW w:w="429" w:type="dxa"/>
            <w:vMerge w:val="restart"/>
          </w:tcPr>
          <w:p w14:paraId="5D8B8237">
            <w:pPr>
              <w:rPr>
                <w:szCs w:val="21"/>
              </w:rPr>
            </w:pPr>
          </w:p>
        </w:tc>
        <w:tc>
          <w:tcPr>
            <w:tcW w:w="957" w:type="dxa"/>
            <w:vMerge w:val="restart"/>
            <w:tcBorders>
              <w:right w:val="single" w:color="auto" w:sz="4" w:space="0"/>
            </w:tcBorders>
          </w:tcPr>
          <w:p w14:paraId="3C2B3BC8">
            <w:pPr>
              <w:rPr>
                <w:szCs w:val="21"/>
              </w:rPr>
            </w:pPr>
          </w:p>
        </w:tc>
        <w:tc>
          <w:tcPr>
            <w:tcW w:w="2124" w:type="dxa"/>
            <w:tcBorders>
              <w:left w:val="single" w:color="auto" w:sz="4" w:space="0"/>
            </w:tcBorders>
          </w:tcPr>
          <w:p w14:paraId="5BEAD4DB">
            <w:pPr>
              <w:rPr>
                <w:szCs w:val="21"/>
              </w:rPr>
            </w:pPr>
          </w:p>
        </w:tc>
        <w:tc>
          <w:tcPr>
            <w:tcW w:w="2127" w:type="dxa"/>
          </w:tcPr>
          <w:p w14:paraId="7B78A43F">
            <w:pPr>
              <w:rPr>
                <w:szCs w:val="21"/>
              </w:rPr>
            </w:pPr>
          </w:p>
        </w:tc>
        <w:tc>
          <w:tcPr>
            <w:tcW w:w="992" w:type="dxa"/>
          </w:tcPr>
          <w:p w14:paraId="2F93F22D">
            <w:pPr>
              <w:rPr>
                <w:szCs w:val="21"/>
              </w:rPr>
            </w:pPr>
          </w:p>
        </w:tc>
        <w:tc>
          <w:tcPr>
            <w:tcW w:w="1136" w:type="dxa"/>
          </w:tcPr>
          <w:p w14:paraId="504B415A">
            <w:pPr>
              <w:adjustRightInd w:val="0"/>
              <w:snapToGrid w:val="0"/>
              <w:spacing w:before="157" w:beforeLines="50" w:line="360" w:lineRule="auto"/>
              <w:rPr>
                <w:szCs w:val="21"/>
              </w:rPr>
            </w:pPr>
            <w:r>
              <w:rPr>
                <w:rFonts w:hint="eastAsia" w:ascii="宋体" w:hAnsi="宋体"/>
                <w:iCs/>
                <w:szCs w:val="21"/>
              </w:rPr>
              <w:sym w:font="Wingdings" w:char="00A8"/>
            </w:r>
          </w:p>
        </w:tc>
        <w:tc>
          <w:tcPr>
            <w:tcW w:w="1200" w:type="dxa"/>
          </w:tcPr>
          <w:p w14:paraId="499C07E3">
            <w:pPr>
              <w:adjustRightInd w:val="0"/>
              <w:snapToGrid w:val="0"/>
              <w:spacing w:before="157" w:beforeLines="50" w:line="360" w:lineRule="auto"/>
              <w:rPr>
                <w:szCs w:val="21"/>
              </w:rPr>
            </w:pPr>
          </w:p>
        </w:tc>
      </w:tr>
      <w:tr w14:paraId="2B0B6283">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cantSplit/>
          <w:trHeight w:val="520" w:hRule="atLeast"/>
        </w:trPr>
        <w:tc>
          <w:tcPr>
            <w:tcW w:w="429" w:type="dxa"/>
            <w:vMerge w:val="continue"/>
          </w:tcPr>
          <w:p w14:paraId="20A92D3D">
            <w:pPr>
              <w:rPr>
                <w:szCs w:val="21"/>
              </w:rPr>
            </w:pPr>
          </w:p>
        </w:tc>
        <w:tc>
          <w:tcPr>
            <w:tcW w:w="957" w:type="dxa"/>
            <w:vMerge w:val="continue"/>
            <w:tcBorders>
              <w:right w:val="single" w:color="auto" w:sz="4" w:space="0"/>
            </w:tcBorders>
          </w:tcPr>
          <w:p w14:paraId="7604EC58">
            <w:pPr>
              <w:rPr>
                <w:szCs w:val="21"/>
              </w:rPr>
            </w:pPr>
          </w:p>
        </w:tc>
        <w:tc>
          <w:tcPr>
            <w:tcW w:w="2124" w:type="dxa"/>
            <w:tcBorders>
              <w:left w:val="single" w:color="auto" w:sz="4" w:space="0"/>
            </w:tcBorders>
          </w:tcPr>
          <w:p w14:paraId="69A0B19E">
            <w:pPr>
              <w:rPr>
                <w:szCs w:val="21"/>
              </w:rPr>
            </w:pPr>
          </w:p>
        </w:tc>
        <w:tc>
          <w:tcPr>
            <w:tcW w:w="2127" w:type="dxa"/>
          </w:tcPr>
          <w:p w14:paraId="19668A61">
            <w:pPr>
              <w:rPr>
                <w:szCs w:val="21"/>
              </w:rPr>
            </w:pPr>
          </w:p>
        </w:tc>
        <w:tc>
          <w:tcPr>
            <w:tcW w:w="992" w:type="dxa"/>
          </w:tcPr>
          <w:p w14:paraId="77CE1C8A">
            <w:pPr>
              <w:rPr>
                <w:szCs w:val="21"/>
              </w:rPr>
            </w:pPr>
          </w:p>
        </w:tc>
        <w:tc>
          <w:tcPr>
            <w:tcW w:w="1136" w:type="dxa"/>
          </w:tcPr>
          <w:p w14:paraId="6EE865D2">
            <w:pPr>
              <w:adjustRightInd w:val="0"/>
              <w:snapToGrid w:val="0"/>
              <w:spacing w:before="157" w:beforeLines="50" w:line="360" w:lineRule="auto"/>
              <w:rPr>
                <w:szCs w:val="21"/>
              </w:rPr>
            </w:pPr>
          </w:p>
        </w:tc>
        <w:tc>
          <w:tcPr>
            <w:tcW w:w="1200" w:type="dxa"/>
          </w:tcPr>
          <w:p w14:paraId="6A99DBDA">
            <w:pPr>
              <w:adjustRightInd w:val="0"/>
              <w:snapToGrid w:val="0"/>
              <w:spacing w:before="157" w:beforeLines="50" w:line="360" w:lineRule="auto"/>
              <w:rPr>
                <w:szCs w:val="21"/>
              </w:rPr>
            </w:pPr>
            <w:r>
              <w:rPr>
                <w:rFonts w:hint="eastAsia" w:ascii="宋体" w:hAnsi="宋体"/>
                <w:iCs/>
                <w:szCs w:val="21"/>
              </w:rPr>
              <w:sym w:font="Wingdings" w:char="00A8"/>
            </w:r>
          </w:p>
        </w:tc>
      </w:tr>
      <w:tr w14:paraId="14E403D2">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cantSplit/>
          <w:trHeight w:val="520" w:hRule="atLeast"/>
        </w:trPr>
        <w:tc>
          <w:tcPr>
            <w:tcW w:w="429" w:type="dxa"/>
            <w:vMerge w:val="restart"/>
          </w:tcPr>
          <w:p w14:paraId="0CE95F59">
            <w:pPr>
              <w:rPr>
                <w:szCs w:val="21"/>
              </w:rPr>
            </w:pPr>
          </w:p>
        </w:tc>
        <w:tc>
          <w:tcPr>
            <w:tcW w:w="957" w:type="dxa"/>
            <w:vMerge w:val="restart"/>
            <w:tcBorders>
              <w:right w:val="single" w:color="auto" w:sz="4" w:space="0"/>
            </w:tcBorders>
          </w:tcPr>
          <w:p w14:paraId="7D80367B">
            <w:pPr>
              <w:rPr>
                <w:szCs w:val="21"/>
              </w:rPr>
            </w:pPr>
          </w:p>
        </w:tc>
        <w:tc>
          <w:tcPr>
            <w:tcW w:w="2124" w:type="dxa"/>
            <w:tcBorders>
              <w:left w:val="single" w:color="auto" w:sz="4" w:space="0"/>
            </w:tcBorders>
          </w:tcPr>
          <w:p w14:paraId="2F232C31">
            <w:pPr>
              <w:rPr>
                <w:szCs w:val="21"/>
              </w:rPr>
            </w:pPr>
          </w:p>
        </w:tc>
        <w:tc>
          <w:tcPr>
            <w:tcW w:w="2127" w:type="dxa"/>
          </w:tcPr>
          <w:p w14:paraId="73618F32">
            <w:pPr>
              <w:rPr>
                <w:szCs w:val="21"/>
              </w:rPr>
            </w:pPr>
          </w:p>
        </w:tc>
        <w:tc>
          <w:tcPr>
            <w:tcW w:w="992" w:type="dxa"/>
          </w:tcPr>
          <w:p w14:paraId="644A939C">
            <w:pPr>
              <w:rPr>
                <w:szCs w:val="21"/>
              </w:rPr>
            </w:pPr>
          </w:p>
        </w:tc>
        <w:tc>
          <w:tcPr>
            <w:tcW w:w="1136" w:type="dxa"/>
          </w:tcPr>
          <w:p w14:paraId="2E595CFF">
            <w:pPr>
              <w:rPr>
                <w:szCs w:val="21"/>
              </w:rPr>
            </w:pPr>
          </w:p>
        </w:tc>
        <w:tc>
          <w:tcPr>
            <w:tcW w:w="1200" w:type="dxa"/>
          </w:tcPr>
          <w:p w14:paraId="5DCFF7EB">
            <w:pPr>
              <w:rPr>
                <w:szCs w:val="21"/>
              </w:rPr>
            </w:pPr>
          </w:p>
        </w:tc>
      </w:tr>
      <w:tr w14:paraId="7ACCE10C">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cantSplit/>
          <w:trHeight w:val="520" w:hRule="atLeast"/>
        </w:trPr>
        <w:tc>
          <w:tcPr>
            <w:tcW w:w="429" w:type="dxa"/>
            <w:vMerge w:val="continue"/>
          </w:tcPr>
          <w:p w14:paraId="2F8749B2">
            <w:pPr>
              <w:rPr>
                <w:szCs w:val="21"/>
              </w:rPr>
            </w:pPr>
          </w:p>
        </w:tc>
        <w:tc>
          <w:tcPr>
            <w:tcW w:w="957" w:type="dxa"/>
            <w:vMerge w:val="continue"/>
            <w:tcBorders>
              <w:right w:val="single" w:color="auto" w:sz="4" w:space="0"/>
            </w:tcBorders>
          </w:tcPr>
          <w:p w14:paraId="7A9CC6EE">
            <w:pPr>
              <w:rPr>
                <w:szCs w:val="21"/>
              </w:rPr>
            </w:pPr>
          </w:p>
        </w:tc>
        <w:tc>
          <w:tcPr>
            <w:tcW w:w="2124" w:type="dxa"/>
            <w:tcBorders>
              <w:left w:val="single" w:color="auto" w:sz="4" w:space="0"/>
            </w:tcBorders>
          </w:tcPr>
          <w:p w14:paraId="5C386D7D">
            <w:pPr>
              <w:rPr>
                <w:szCs w:val="21"/>
              </w:rPr>
            </w:pPr>
          </w:p>
        </w:tc>
        <w:tc>
          <w:tcPr>
            <w:tcW w:w="2127" w:type="dxa"/>
          </w:tcPr>
          <w:p w14:paraId="0B472411">
            <w:pPr>
              <w:rPr>
                <w:szCs w:val="21"/>
              </w:rPr>
            </w:pPr>
          </w:p>
        </w:tc>
        <w:tc>
          <w:tcPr>
            <w:tcW w:w="992" w:type="dxa"/>
          </w:tcPr>
          <w:p w14:paraId="02090BE0">
            <w:pPr>
              <w:rPr>
                <w:szCs w:val="21"/>
              </w:rPr>
            </w:pPr>
          </w:p>
        </w:tc>
        <w:tc>
          <w:tcPr>
            <w:tcW w:w="1136" w:type="dxa"/>
          </w:tcPr>
          <w:p w14:paraId="71C91F5B">
            <w:pPr>
              <w:rPr>
                <w:szCs w:val="21"/>
              </w:rPr>
            </w:pPr>
          </w:p>
        </w:tc>
        <w:tc>
          <w:tcPr>
            <w:tcW w:w="1200" w:type="dxa"/>
          </w:tcPr>
          <w:p w14:paraId="0FE3CC56">
            <w:pPr>
              <w:rPr>
                <w:szCs w:val="21"/>
              </w:rPr>
            </w:pPr>
          </w:p>
        </w:tc>
      </w:tr>
      <w:tr w14:paraId="16ADB580">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cantSplit/>
          <w:trHeight w:val="520" w:hRule="atLeast"/>
        </w:trPr>
        <w:tc>
          <w:tcPr>
            <w:tcW w:w="429" w:type="dxa"/>
            <w:vMerge w:val="continue"/>
          </w:tcPr>
          <w:p w14:paraId="53AB10E5">
            <w:pPr>
              <w:rPr>
                <w:szCs w:val="21"/>
              </w:rPr>
            </w:pPr>
          </w:p>
        </w:tc>
        <w:tc>
          <w:tcPr>
            <w:tcW w:w="957" w:type="dxa"/>
            <w:vMerge w:val="continue"/>
            <w:tcBorders>
              <w:right w:val="single" w:color="auto" w:sz="4" w:space="0"/>
            </w:tcBorders>
          </w:tcPr>
          <w:p w14:paraId="01472668">
            <w:pPr>
              <w:rPr>
                <w:szCs w:val="21"/>
              </w:rPr>
            </w:pPr>
          </w:p>
        </w:tc>
        <w:tc>
          <w:tcPr>
            <w:tcW w:w="2124" w:type="dxa"/>
            <w:tcBorders>
              <w:left w:val="single" w:color="auto" w:sz="4" w:space="0"/>
            </w:tcBorders>
          </w:tcPr>
          <w:p w14:paraId="1E280F86">
            <w:pPr>
              <w:rPr>
                <w:szCs w:val="21"/>
              </w:rPr>
            </w:pPr>
          </w:p>
        </w:tc>
        <w:tc>
          <w:tcPr>
            <w:tcW w:w="2127" w:type="dxa"/>
          </w:tcPr>
          <w:p w14:paraId="58E92171">
            <w:pPr>
              <w:rPr>
                <w:szCs w:val="21"/>
              </w:rPr>
            </w:pPr>
          </w:p>
        </w:tc>
        <w:tc>
          <w:tcPr>
            <w:tcW w:w="992" w:type="dxa"/>
          </w:tcPr>
          <w:p w14:paraId="43C0011A">
            <w:pPr>
              <w:rPr>
                <w:szCs w:val="21"/>
              </w:rPr>
            </w:pPr>
          </w:p>
        </w:tc>
        <w:tc>
          <w:tcPr>
            <w:tcW w:w="1136" w:type="dxa"/>
          </w:tcPr>
          <w:p w14:paraId="46B57757">
            <w:pPr>
              <w:rPr>
                <w:szCs w:val="21"/>
              </w:rPr>
            </w:pPr>
          </w:p>
        </w:tc>
        <w:tc>
          <w:tcPr>
            <w:tcW w:w="1200" w:type="dxa"/>
          </w:tcPr>
          <w:p w14:paraId="09E75ED1">
            <w:pPr>
              <w:rPr>
                <w:szCs w:val="21"/>
              </w:rPr>
            </w:pPr>
          </w:p>
        </w:tc>
      </w:tr>
    </w:tbl>
    <w:p w14:paraId="13987FEC">
      <w:pPr>
        <w:adjustRightInd w:val="0"/>
        <w:snapToGrid w:val="0"/>
        <w:spacing w:line="360" w:lineRule="auto"/>
      </w:pPr>
    </w:p>
    <w:p w14:paraId="078CA534">
      <w:pPr>
        <w:adjustRightInd w:val="0"/>
        <w:snapToGrid w:val="0"/>
        <w:spacing w:line="360" w:lineRule="auto"/>
        <w:rPr>
          <w:rFonts w:hint="eastAsia" w:ascii="黑体" w:hAnsi="宋体" w:eastAsia="黑体"/>
          <w:sz w:val="28"/>
          <w:szCs w:val="28"/>
        </w:rPr>
        <w:sectPr>
          <w:headerReference r:id="rId22" w:type="first"/>
          <w:headerReference r:id="rId20" w:type="default"/>
          <w:footerReference r:id="rId23" w:type="default"/>
          <w:headerReference r:id="rId21" w:type="even"/>
          <w:pgSz w:w="11906" w:h="16838"/>
          <w:pgMar w:top="1474" w:right="1474" w:bottom="1474" w:left="1587" w:header="851" w:footer="992" w:gutter="0"/>
          <w:pgBorders>
            <w:top w:val="none" w:sz="0" w:space="0"/>
            <w:left w:val="none" w:sz="0" w:space="0"/>
            <w:bottom w:val="none" w:sz="0" w:space="0"/>
            <w:right w:val="none" w:sz="0" w:space="0"/>
          </w:pgBorders>
          <w:cols w:space="0" w:num="1"/>
          <w:docGrid w:type="lines" w:linePitch="315" w:charSpace="0"/>
        </w:sectPr>
      </w:pPr>
    </w:p>
    <w:p w14:paraId="6B59A35B">
      <w:pPr>
        <w:pStyle w:val="4"/>
        <w:adjustRightInd w:val="0"/>
        <w:snapToGrid w:val="0"/>
        <w:spacing w:before="157" w:beforeLines="50" w:after="0" w:line="360" w:lineRule="auto"/>
        <w:ind w:firstLine="2530" w:firstLineChars="900"/>
        <w:jc w:val="both"/>
        <w:rPr>
          <w:rFonts w:hint="eastAsia" w:ascii="黑体" w:hAnsi="黑体" w:eastAsia="黑体"/>
          <w:sz w:val="28"/>
          <w:szCs w:val="28"/>
        </w:rPr>
      </w:pPr>
      <w:bookmarkStart w:id="175" w:name="_Toc20588"/>
      <w:r>
        <w:rPr>
          <w:rFonts w:hint="eastAsia" w:ascii="黑体" w:hAnsi="黑体" w:eastAsia="黑体"/>
          <w:sz w:val="28"/>
          <w:szCs w:val="28"/>
        </w:rPr>
        <w:t>八、合同条款偏离表</w:t>
      </w:r>
      <w:bookmarkEnd w:id="175"/>
    </w:p>
    <w:p w14:paraId="58A31767">
      <w:pPr>
        <w:adjustRightInd w:val="0"/>
        <w:snapToGrid w:val="0"/>
        <w:spacing w:before="157" w:beforeLines="50" w:line="360" w:lineRule="auto"/>
        <w:rPr>
          <w:rFonts w:hint="eastAsia" w:ascii="宋体" w:hAnsi="宋体"/>
          <w:szCs w:val="21"/>
          <w:u w:val="single"/>
        </w:rPr>
      </w:pPr>
      <w:r>
        <w:rPr>
          <w:rFonts w:hint="eastAsia" w:ascii="宋体" w:hAnsi="宋体"/>
          <w:spacing w:val="28"/>
          <w:szCs w:val="21"/>
        </w:rPr>
        <w:t>政府采购计划编号</w:t>
      </w:r>
      <w:r>
        <w:rPr>
          <w:rFonts w:hint="eastAsia" w:ascii="宋体" w:hAnsi="宋体"/>
          <w:szCs w:val="21"/>
        </w:rPr>
        <w:t xml:space="preserve">: </w:t>
      </w:r>
      <w:r>
        <w:rPr>
          <w:rFonts w:hint="eastAsia" w:ascii="宋体" w:hAnsi="宋体"/>
          <w:szCs w:val="21"/>
          <w:u w:val="single"/>
        </w:rPr>
        <w:t xml:space="preserve">                        </w:t>
      </w:r>
      <w:r>
        <w:rPr>
          <w:rFonts w:hint="eastAsia" w:ascii="宋体" w:hAnsi="宋体"/>
          <w:szCs w:val="21"/>
        </w:rPr>
        <w:t xml:space="preserve">      项目名称：</w:t>
      </w:r>
      <w:r>
        <w:rPr>
          <w:rFonts w:hint="eastAsia" w:ascii="宋体" w:hAnsi="宋体"/>
          <w:szCs w:val="21"/>
          <w:u w:val="single"/>
        </w:rPr>
        <w:t xml:space="preserve">                    </w:t>
      </w:r>
    </w:p>
    <w:p w14:paraId="784AD334">
      <w:pPr>
        <w:adjustRightInd w:val="0"/>
        <w:snapToGrid w:val="0"/>
        <w:spacing w:before="50" w:line="360" w:lineRule="auto"/>
        <w:rPr>
          <w:rFonts w:hint="eastAsia" w:ascii="宋体" w:hAnsi="宋体"/>
          <w:szCs w:val="21"/>
          <w:u w:val="single"/>
        </w:rPr>
      </w:pPr>
      <w:r>
        <w:rPr>
          <w:rFonts w:hint="eastAsia" w:ascii="宋体" w:hAnsi="宋体"/>
          <w:szCs w:val="21"/>
        </w:rPr>
        <w:t>包           号：</w:t>
      </w:r>
      <w:r>
        <w:rPr>
          <w:rFonts w:hint="eastAsia" w:ascii="宋体" w:hAnsi="宋体"/>
          <w:szCs w:val="21"/>
          <w:u w:val="single"/>
        </w:rPr>
        <w:t xml:space="preserve">                        </w:t>
      </w:r>
      <w:r>
        <w:rPr>
          <w:rFonts w:hint="eastAsia" w:ascii="宋体" w:hAnsi="宋体"/>
          <w:szCs w:val="21"/>
        </w:rPr>
        <w:t xml:space="preserve">           包名称：</w:t>
      </w:r>
      <w:r>
        <w:rPr>
          <w:rFonts w:hint="eastAsia" w:ascii="宋体" w:hAnsi="宋体"/>
          <w:szCs w:val="21"/>
          <w:u w:val="single"/>
        </w:rPr>
        <w:t xml:space="preserve">                      </w:t>
      </w:r>
    </w:p>
    <w:tbl>
      <w:tblPr>
        <w:tblStyle w:val="27"/>
        <w:tblW w:w="9014" w:type="dxa"/>
        <w:jc w:val="center"/>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28" w:type="dxa"/>
          <w:bottom w:w="0" w:type="dxa"/>
          <w:right w:w="28" w:type="dxa"/>
        </w:tblCellMar>
      </w:tblPr>
      <w:tblGrid>
        <w:gridCol w:w="595"/>
        <w:gridCol w:w="2410"/>
        <w:gridCol w:w="1985"/>
        <w:gridCol w:w="2082"/>
        <w:gridCol w:w="1942"/>
      </w:tblGrid>
      <w:tr w14:paraId="6B240958">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28" w:type="dxa"/>
            <w:bottom w:w="0" w:type="dxa"/>
            <w:right w:w="28" w:type="dxa"/>
          </w:tblCellMar>
        </w:tblPrEx>
        <w:trPr>
          <w:trHeight w:val="504" w:hRule="atLeast"/>
          <w:jc w:val="center"/>
        </w:trPr>
        <w:tc>
          <w:tcPr>
            <w:tcW w:w="595" w:type="dxa"/>
            <w:vAlign w:val="center"/>
          </w:tcPr>
          <w:p w14:paraId="0BA5D570">
            <w:pPr>
              <w:adjustRightInd w:val="0"/>
              <w:snapToGrid w:val="0"/>
              <w:spacing w:before="50" w:line="360" w:lineRule="auto"/>
              <w:ind w:left="-88" w:leftChars="-42"/>
              <w:jc w:val="center"/>
              <w:rPr>
                <w:rFonts w:hint="eastAsia" w:ascii="宋体" w:hAnsi="宋体"/>
                <w:szCs w:val="21"/>
              </w:rPr>
            </w:pPr>
            <w:r>
              <w:rPr>
                <w:rFonts w:hint="eastAsia" w:ascii="宋体" w:hAnsi="宋体"/>
                <w:bCs/>
                <w:szCs w:val="21"/>
              </w:rPr>
              <w:t>序</w:t>
            </w:r>
            <w:r>
              <w:rPr>
                <w:rFonts w:hint="eastAsia" w:ascii="宋体" w:hAnsi="宋体"/>
                <w:szCs w:val="21"/>
              </w:rPr>
              <w:t>号</w:t>
            </w:r>
          </w:p>
        </w:tc>
        <w:tc>
          <w:tcPr>
            <w:tcW w:w="2410" w:type="dxa"/>
            <w:vAlign w:val="center"/>
          </w:tcPr>
          <w:p w14:paraId="6013956B">
            <w:pPr>
              <w:adjustRightInd w:val="0"/>
              <w:snapToGrid w:val="0"/>
              <w:spacing w:before="50" w:line="360" w:lineRule="auto"/>
              <w:ind w:left="-88" w:leftChars="-42"/>
              <w:jc w:val="center"/>
              <w:rPr>
                <w:rFonts w:hint="eastAsia" w:ascii="宋体" w:hAnsi="宋体"/>
                <w:szCs w:val="21"/>
              </w:rPr>
            </w:pPr>
            <w:r>
              <w:rPr>
                <w:rFonts w:hint="eastAsia" w:ascii="宋体" w:hAnsi="宋体"/>
                <w:szCs w:val="21"/>
              </w:rPr>
              <w:t>招标文件章节</w:t>
            </w:r>
            <w:r>
              <w:rPr>
                <w:rFonts w:hint="eastAsia" w:ascii="宋体" w:hAnsi="宋体"/>
                <w:bCs/>
                <w:szCs w:val="21"/>
              </w:rPr>
              <w:t>条</w:t>
            </w:r>
            <w:r>
              <w:rPr>
                <w:rFonts w:hint="eastAsia" w:ascii="宋体" w:hAnsi="宋体"/>
                <w:szCs w:val="21"/>
              </w:rPr>
              <w:t>款号</w:t>
            </w:r>
          </w:p>
        </w:tc>
        <w:tc>
          <w:tcPr>
            <w:tcW w:w="1985" w:type="dxa"/>
            <w:vAlign w:val="center"/>
          </w:tcPr>
          <w:p w14:paraId="0C3C6DBF">
            <w:pPr>
              <w:adjustRightInd w:val="0"/>
              <w:snapToGrid w:val="0"/>
              <w:spacing w:before="50" w:line="360" w:lineRule="auto"/>
              <w:ind w:left="-88" w:leftChars="-42"/>
              <w:jc w:val="center"/>
              <w:rPr>
                <w:rFonts w:hint="eastAsia" w:ascii="宋体" w:hAnsi="宋体"/>
                <w:szCs w:val="21"/>
              </w:rPr>
            </w:pPr>
            <w:r>
              <w:rPr>
                <w:rFonts w:hint="eastAsia"/>
              </w:rPr>
              <w:t>招标文件要求</w:t>
            </w:r>
          </w:p>
        </w:tc>
        <w:tc>
          <w:tcPr>
            <w:tcW w:w="2082" w:type="dxa"/>
            <w:tcBorders>
              <w:right w:val="single" w:color="auto" w:sz="4" w:space="0"/>
            </w:tcBorders>
            <w:vAlign w:val="center"/>
          </w:tcPr>
          <w:p w14:paraId="4BE7662D">
            <w:pPr>
              <w:adjustRightInd w:val="0"/>
              <w:snapToGrid w:val="0"/>
              <w:spacing w:before="50" w:line="360" w:lineRule="auto"/>
              <w:jc w:val="center"/>
              <w:rPr>
                <w:rFonts w:hint="eastAsia" w:ascii="宋体" w:hAnsi="宋体"/>
                <w:szCs w:val="21"/>
              </w:rPr>
            </w:pPr>
            <w:r>
              <w:rPr>
                <w:rFonts w:hint="eastAsia"/>
              </w:rPr>
              <w:t>投标文件的应答</w:t>
            </w:r>
          </w:p>
        </w:tc>
        <w:tc>
          <w:tcPr>
            <w:tcW w:w="1942" w:type="dxa"/>
            <w:tcBorders>
              <w:left w:val="single" w:color="auto" w:sz="4" w:space="0"/>
            </w:tcBorders>
            <w:vAlign w:val="center"/>
          </w:tcPr>
          <w:p w14:paraId="6567F4A0">
            <w:pPr>
              <w:adjustRightInd w:val="0"/>
              <w:snapToGrid w:val="0"/>
              <w:spacing w:before="50" w:line="360" w:lineRule="auto"/>
              <w:ind w:left="-88" w:leftChars="-42"/>
              <w:jc w:val="center"/>
              <w:rPr>
                <w:rFonts w:hint="eastAsia" w:ascii="宋体" w:hAnsi="宋体"/>
                <w:szCs w:val="21"/>
              </w:rPr>
            </w:pPr>
            <w:r>
              <w:rPr>
                <w:rFonts w:hint="eastAsia" w:ascii="宋体" w:hAnsi="宋体"/>
                <w:szCs w:val="21"/>
              </w:rPr>
              <w:t>偏离说明</w:t>
            </w:r>
          </w:p>
        </w:tc>
      </w:tr>
      <w:tr w14:paraId="1231AA9A">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28" w:type="dxa"/>
            <w:bottom w:w="0" w:type="dxa"/>
            <w:right w:w="28" w:type="dxa"/>
          </w:tblCellMar>
        </w:tblPrEx>
        <w:trPr>
          <w:trHeight w:val="505" w:hRule="atLeast"/>
          <w:jc w:val="center"/>
        </w:trPr>
        <w:tc>
          <w:tcPr>
            <w:tcW w:w="595" w:type="dxa"/>
            <w:vAlign w:val="center"/>
          </w:tcPr>
          <w:p w14:paraId="4BED93F2">
            <w:pPr>
              <w:adjustRightInd w:val="0"/>
              <w:snapToGrid w:val="0"/>
              <w:spacing w:before="50" w:line="360" w:lineRule="auto"/>
              <w:ind w:left="-88" w:leftChars="-42"/>
              <w:jc w:val="center"/>
              <w:rPr>
                <w:rFonts w:hint="eastAsia" w:ascii="宋体" w:hAnsi="宋体"/>
                <w:szCs w:val="21"/>
              </w:rPr>
            </w:pPr>
          </w:p>
        </w:tc>
        <w:tc>
          <w:tcPr>
            <w:tcW w:w="2410" w:type="dxa"/>
            <w:vAlign w:val="center"/>
          </w:tcPr>
          <w:p w14:paraId="4819CF47">
            <w:pPr>
              <w:adjustRightInd w:val="0"/>
              <w:snapToGrid w:val="0"/>
              <w:spacing w:before="50" w:line="360" w:lineRule="auto"/>
              <w:ind w:left="-88" w:leftChars="-42"/>
              <w:jc w:val="center"/>
              <w:rPr>
                <w:rFonts w:hint="eastAsia" w:ascii="宋体" w:hAnsi="宋体"/>
                <w:szCs w:val="21"/>
              </w:rPr>
            </w:pPr>
          </w:p>
        </w:tc>
        <w:tc>
          <w:tcPr>
            <w:tcW w:w="1985" w:type="dxa"/>
          </w:tcPr>
          <w:p w14:paraId="707344F3">
            <w:pPr>
              <w:adjustRightInd w:val="0"/>
              <w:snapToGrid w:val="0"/>
              <w:spacing w:before="50" w:line="360" w:lineRule="auto"/>
            </w:pPr>
          </w:p>
        </w:tc>
        <w:tc>
          <w:tcPr>
            <w:tcW w:w="2082" w:type="dxa"/>
            <w:tcBorders>
              <w:right w:val="single" w:color="auto" w:sz="4" w:space="0"/>
            </w:tcBorders>
          </w:tcPr>
          <w:p w14:paraId="2992CEC2">
            <w:pPr>
              <w:adjustRightInd w:val="0"/>
              <w:snapToGrid w:val="0"/>
              <w:spacing w:before="50" w:line="360" w:lineRule="auto"/>
            </w:pPr>
          </w:p>
        </w:tc>
        <w:tc>
          <w:tcPr>
            <w:tcW w:w="1942" w:type="dxa"/>
            <w:tcBorders>
              <w:left w:val="single" w:color="auto" w:sz="4" w:space="0"/>
            </w:tcBorders>
          </w:tcPr>
          <w:p w14:paraId="6D4858D1">
            <w:pPr>
              <w:adjustRightInd w:val="0"/>
              <w:snapToGrid w:val="0"/>
              <w:spacing w:before="50" w:line="360" w:lineRule="auto"/>
              <w:ind w:left="-88" w:leftChars="-42"/>
              <w:jc w:val="center"/>
              <w:rPr>
                <w:rFonts w:hint="eastAsia" w:ascii="宋体" w:hAnsi="宋体"/>
                <w:szCs w:val="21"/>
              </w:rPr>
            </w:pPr>
          </w:p>
        </w:tc>
      </w:tr>
      <w:tr w14:paraId="7DEF95D1">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28" w:type="dxa"/>
            <w:bottom w:w="0" w:type="dxa"/>
            <w:right w:w="28" w:type="dxa"/>
          </w:tblCellMar>
        </w:tblPrEx>
        <w:trPr>
          <w:trHeight w:val="505" w:hRule="atLeast"/>
          <w:jc w:val="center"/>
        </w:trPr>
        <w:tc>
          <w:tcPr>
            <w:tcW w:w="595" w:type="dxa"/>
            <w:vAlign w:val="center"/>
          </w:tcPr>
          <w:p w14:paraId="1A4A2EE8">
            <w:pPr>
              <w:adjustRightInd w:val="0"/>
              <w:snapToGrid w:val="0"/>
              <w:spacing w:before="50" w:line="360" w:lineRule="auto"/>
              <w:ind w:left="-88" w:leftChars="-42"/>
              <w:jc w:val="center"/>
              <w:rPr>
                <w:rFonts w:hint="eastAsia" w:ascii="宋体" w:hAnsi="宋体"/>
                <w:szCs w:val="21"/>
              </w:rPr>
            </w:pPr>
          </w:p>
        </w:tc>
        <w:tc>
          <w:tcPr>
            <w:tcW w:w="2410" w:type="dxa"/>
            <w:vAlign w:val="center"/>
          </w:tcPr>
          <w:p w14:paraId="24416D55">
            <w:pPr>
              <w:adjustRightInd w:val="0"/>
              <w:snapToGrid w:val="0"/>
              <w:spacing w:before="50" w:line="360" w:lineRule="auto"/>
              <w:ind w:left="-88" w:leftChars="-42"/>
              <w:jc w:val="center"/>
              <w:rPr>
                <w:rFonts w:hint="eastAsia" w:ascii="宋体" w:hAnsi="宋体"/>
                <w:szCs w:val="21"/>
              </w:rPr>
            </w:pPr>
          </w:p>
        </w:tc>
        <w:tc>
          <w:tcPr>
            <w:tcW w:w="1985" w:type="dxa"/>
            <w:vAlign w:val="center"/>
          </w:tcPr>
          <w:p w14:paraId="018ADDFC">
            <w:pPr>
              <w:adjustRightInd w:val="0"/>
              <w:snapToGrid w:val="0"/>
              <w:spacing w:before="50" w:line="360" w:lineRule="auto"/>
              <w:ind w:left="-88" w:leftChars="-42"/>
              <w:jc w:val="center"/>
              <w:rPr>
                <w:rFonts w:hint="eastAsia" w:ascii="宋体" w:hAnsi="宋体"/>
                <w:szCs w:val="21"/>
              </w:rPr>
            </w:pPr>
          </w:p>
        </w:tc>
        <w:tc>
          <w:tcPr>
            <w:tcW w:w="2082" w:type="dxa"/>
            <w:tcBorders>
              <w:right w:val="single" w:color="auto" w:sz="4" w:space="0"/>
            </w:tcBorders>
            <w:vAlign w:val="center"/>
          </w:tcPr>
          <w:p w14:paraId="003E7B4C">
            <w:pPr>
              <w:adjustRightInd w:val="0"/>
              <w:snapToGrid w:val="0"/>
              <w:spacing w:before="50" w:line="360" w:lineRule="auto"/>
              <w:ind w:left="-88" w:leftChars="-42"/>
              <w:jc w:val="center"/>
              <w:rPr>
                <w:rFonts w:hint="eastAsia" w:ascii="宋体" w:hAnsi="宋体"/>
                <w:szCs w:val="21"/>
              </w:rPr>
            </w:pPr>
          </w:p>
        </w:tc>
        <w:tc>
          <w:tcPr>
            <w:tcW w:w="1942" w:type="dxa"/>
            <w:tcBorders>
              <w:left w:val="single" w:color="auto" w:sz="4" w:space="0"/>
            </w:tcBorders>
            <w:vAlign w:val="center"/>
          </w:tcPr>
          <w:p w14:paraId="55963458">
            <w:pPr>
              <w:adjustRightInd w:val="0"/>
              <w:snapToGrid w:val="0"/>
              <w:spacing w:before="50" w:line="360" w:lineRule="auto"/>
              <w:ind w:left="-88" w:leftChars="-42"/>
              <w:jc w:val="center"/>
              <w:rPr>
                <w:rFonts w:hint="eastAsia" w:ascii="宋体" w:hAnsi="宋体"/>
                <w:szCs w:val="21"/>
              </w:rPr>
            </w:pPr>
          </w:p>
        </w:tc>
      </w:tr>
      <w:tr w14:paraId="2C218EF0">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28" w:type="dxa"/>
            <w:bottom w:w="0" w:type="dxa"/>
            <w:right w:w="28" w:type="dxa"/>
          </w:tblCellMar>
        </w:tblPrEx>
        <w:trPr>
          <w:trHeight w:val="505" w:hRule="atLeast"/>
          <w:jc w:val="center"/>
        </w:trPr>
        <w:tc>
          <w:tcPr>
            <w:tcW w:w="595" w:type="dxa"/>
            <w:vAlign w:val="center"/>
          </w:tcPr>
          <w:p w14:paraId="1D9BFB52">
            <w:pPr>
              <w:adjustRightInd w:val="0"/>
              <w:snapToGrid w:val="0"/>
              <w:spacing w:before="50" w:line="360" w:lineRule="auto"/>
              <w:ind w:left="-88" w:leftChars="-42"/>
              <w:jc w:val="center"/>
              <w:rPr>
                <w:rFonts w:hint="eastAsia" w:ascii="宋体" w:hAnsi="宋体"/>
                <w:szCs w:val="21"/>
              </w:rPr>
            </w:pPr>
          </w:p>
        </w:tc>
        <w:tc>
          <w:tcPr>
            <w:tcW w:w="2410" w:type="dxa"/>
            <w:vAlign w:val="center"/>
          </w:tcPr>
          <w:p w14:paraId="0B3CE081">
            <w:pPr>
              <w:adjustRightInd w:val="0"/>
              <w:snapToGrid w:val="0"/>
              <w:spacing w:before="50" w:line="360" w:lineRule="auto"/>
              <w:ind w:left="-88" w:leftChars="-42"/>
              <w:jc w:val="center"/>
              <w:rPr>
                <w:rFonts w:hint="eastAsia" w:ascii="宋体" w:hAnsi="宋体"/>
                <w:szCs w:val="21"/>
              </w:rPr>
            </w:pPr>
          </w:p>
        </w:tc>
        <w:tc>
          <w:tcPr>
            <w:tcW w:w="1985" w:type="dxa"/>
            <w:vAlign w:val="center"/>
          </w:tcPr>
          <w:p w14:paraId="52547670">
            <w:pPr>
              <w:adjustRightInd w:val="0"/>
              <w:snapToGrid w:val="0"/>
              <w:spacing w:before="50" w:line="360" w:lineRule="auto"/>
              <w:ind w:left="-88" w:leftChars="-42"/>
              <w:jc w:val="center"/>
              <w:rPr>
                <w:rFonts w:hint="eastAsia" w:ascii="宋体" w:hAnsi="宋体"/>
                <w:szCs w:val="21"/>
              </w:rPr>
            </w:pPr>
          </w:p>
        </w:tc>
        <w:tc>
          <w:tcPr>
            <w:tcW w:w="2082" w:type="dxa"/>
            <w:tcBorders>
              <w:right w:val="single" w:color="auto" w:sz="4" w:space="0"/>
            </w:tcBorders>
            <w:vAlign w:val="center"/>
          </w:tcPr>
          <w:p w14:paraId="0CA0EA55">
            <w:pPr>
              <w:adjustRightInd w:val="0"/>
              <w:snapToGrid w:val="0"/>
              <w:spacing w:before="50" w:line="360" w:lineRule="auto"/>
              <w:ind w:left="-88" w:leftChars="-42"/>
              <w:jc w:val="center"/>
              <w:rPr>
                <w:rFonts w:hint="eastAsia" w:ascii="宋体" w:hAnsi="宋体"/>
                <w:szCs w:val="21"/>
              </w:rPr>
            </w:pPr>
          </w:p>
        </w:tc>
        <w:tc>
          <w:tcPr>
            <w:tcW w:w="1942" w:type="dxa"/>
            <w:tcBorders>
              <w:left w:val="single" w:color="auto" w:sz="4" w:space="0"/>
            </w:tcBorders>
            <w:vAlign w:val="center"/>
          </w:tcPr>
          <w:p w14:paraId="1ABF91F1">
            <w:pPr>
              <w:adjustRightInd w:val="0"/>
              <w:snapToGrid w:val="0"/>
              <w:spacing w:before="50" w:line="360" w:lineRule="auto"/>
              <w:ind w:left="-88" w:leftChars="-42"/>
              <w:jc w:val="center"/>
              <w:rPr>
                <w:rFonts w:hint="eastAsia" w:ascii="宋体" w:hAnsi="宋体"/>
                <w:szCs w:val="21"/>
              </w:rPr>
            </w:pPr>
          </w:p>
        </w:tc>
      </w:tr>
      <w:tr w14:paraId="195D861F">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28" w:type="dxa"/>
            <w:bottom w:w="0" w:type="dxa"/>
            <w:right w:w="28" w:type="dxa"/>
          </w:tblCellMar>
        </w:tblPrEx>
        <w:trPr>
          <w:trHeight w:val="505" w:hRule="atLeast"/>
          <w:jc w:val="center"/>
        </w:trPr>
        <w:tc>
          <w:tcPr>
            <w:tcW w:w="595" w:type="dxa"/>
            <w:vAlign w:val="center"/>
          </w:tcPr>
          <w:p w14:paraId="10ACAAAC">
            <w:pPr>
              <w:adjustRightInd w:val="0"/>
              <w:snapToGrid w:val="0"/>
              <w:spacing w:before="50" w:line="360" w:lineRule="auto"/>
              <w:ind w:left="-88" w:leftChars="-42"/>
              <w:jc w:val="center"/>
              <w:rPr>
                <w:rFonts w:hint="eastAsia" w:ascii="宋体" w:hAnsi="宋体"/>
                <w:szCs w:val="21"/>
              </w:rPr>
            </w:pPr>
          </w:p>
        </w:tc>
        <w:tc>
          <w:tcPr>
            <w:tcW w:w="2410" w:type="dxa"/>
            <w:vAlign w:val="center"/>
          </w:tcPr>
          <w:p w14:paraId="6F2F42BE">
            <w:pPr>
              <w:adjustRightInd w:val="0"/>
              <w:snapToGrid w:val="0"/>
              <w:spacing w:before="50" w:line="360" w:lineRule="auto"/>
              <w:ind w:left="-88" w:leftChars="-42"/>
              <w:jc w:val="center"/>
              <w:rPr>
                <w:rFonts w:hint="eastAsia" w:ascii="宋体" w:hAnsi="宋体"/>
                <w:szCs w:val="21"/>
              </w:rPr>
            </w:pPr>
          </w:p>
        </w:tc>
        <w:tc>
          <w:tcPr>
            <w:tcW w:w="1985" w:type="dxa"/>
            <w:vAlign w:val="center"/>
          </w:tcPr>
          <w:p w14:paraId="46B4095D">
            <w:pPr>
              <w:adjustRightInd w:val="0"/>
              <w:snapToGrid w:val="0"/>
              <w:spacing w:before="50" w:line="360" w:lineRule="auto"/>
              <w:ind w:left="-88" w:leftChars="-42"/>
              <w:jc w:val="center"/>
              <w:rPr>
                <w:rFonts w:hint="eastAsia" w:ascii="宋体" w:hAnsi="宋体"/>
                <w:szCs w:val="21"/>
              </w:rPr>
            </w:pPr>
          </w:p>
        </w:tc>
        <w:tc>
          <w:tcPr>
            <w:tcW w:w="2082" w:type="dxa"/>
            <w:tcBorders>
              <w:right w:val="single" w:color="auto" w:sz="4" w:space="0"/>
            </w:tcBorders>
            <w:vAlign w:val="center"/>
          </w:tcPr>
          <w:p w14:paraId="00FF6114">
            <w:pPr>
              <w:adjustRightInd w:val="0"/>
              <w:snapToGrid w:val="0"/>
              <w:spacing w:before="50" w:line="360" w:lineRule="auto"/>
              <w:ind w:left="-88" w:leftChars="-42"/>
              <w:jc w:val="center"/>
              <w:rPr>
                <w:rFonts w:hint="eastAsia" w:ascii="宋体" w:hAnsi="宋体"/>
                <w:szCs w:val="21"/>
              </w:rPr>
            </w:pPr>
          </w:p>
        </w:tc>
        <w:tc>
          <w:tcPr>
            <w:tcW w:w="1942" w:type="dxa"/>
            <w:tcBorders>
              <w:left w:val="single" w:color="auto" w:sz="4" w:space="0"/>
            </w:tcBorders>
            <w:vAlign w:val="center"/>
          </w:tcPr>
          <w:p w14:paraId="2E21C2F1">
            <w:pPr>
              <w:adjustRightInd w:val="0"/>
              <w:snapToGrid w:val="0"/>
              <w:spacing w:before="50" w:line="360" w:lineRule="auto"/>
              <w:ind w:left="-88" w:leftChars="-42"/>
              <w:jc w:val="center"/>
              <w:rPr>
                <w:rFonts w:hint="eastAsia" w:ascii="宋体" w:hAnsi="宋体"/>
                <w:szCs w:val="21"/>
              </w:rPr>
            </w:pPr>
          </w:p>
        </w:tc>
      </w:tr>
      <w:tr w14:paraId="13B0260C">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28" w:type="dxa"/>
            <w:bottom w:w="0" w:type="dxa"/>
            <w:right w:w="28" w:type="dxa"/>
          </w:tblCellMar>
        </w:tblPrEx>
        <w:trPr>
          <w:trHeight w:val="505" w:hRule="atLeast"/>
          <w:jc w:val="center"/>
        </w:trPr>
        <w:tc>
          <w:tcPr>
            <w:tcW w:w="595" w:type="dxa"/>
            <w:vAlign w:val="center"/>
          </w:tcPr>
          <w:p w14:paraId="7C853D7E">
            <w:pPr>
              <w:adjustRightInd w:val="0"/>
              <w:snapToGrid w:val="0"/>
              <w:spacing w:before="50" w:line="360" w:lineRule="auto"/>
              <w:ind w:left="-88" w:leftChars="-42"/>
              <w:jc w:val="center"/>
              <w:rPr>
                <w:rFonts w:hint="eastAsia" w:ascii="宋体" w:hAnsi="宋体"/>
                <w:szCs w:val="21"/>
              </w:rPr>
            </w:pPr>
          </w:p>
        </w:tc>
        <w:tc>
          <w:tcPr>
            <w:tcW w:w="2410" w:type="dxa"/>
            <w:vAlign w:val="center"/>
          </w:tcPr>
          <w:p w14:paraId="23004EFB">
            <w:pPr>
              <w:adjustRightInd w:val="0"/>
              <w:snapToGrid w:val="0"/>
              <w:spacing w:before="50" w:line="360" w:lineRule="auto"/>
              <w:ind w:left="-88" w:leftChars="-42"/>
              <w:jc w:val="center"/>
              <w:rPr>
                <w:rFonts w:hint="eastAsia" w:ascii="宋体" w:hAnsi="宋体"/>
                <w:szCs w:val="21"/>
              </w:rPr>
            </w:pPr>
          </w:p>
        </w:tc>
        <w:tc>
          <w:tcPr>
            <w:tcW w:w="1985" w:type="dxa"/>
            <w:vAlign w:val="center"/>
          </w:tcPr>
          <w:p w14:paraId="4BC5599B">
            <w:pPr>
              <w:adjustRightInd w:val="0"/>
              <w:snapToGrid w:val="0"/>
              <w:spacing w:before="50" w:line="360" w:lineRule="auto"/>
              <w:ind w:left="-88" w:leftChars="-42"/>
              <w:jc w:val="center"/>
              <w:rPr>
                <w:rFonts w:hint="eastAsia" w:ascii="宋体" w:hAnsi="宋体"/>
                <w:szCs w:val="21"/>
              </w:rPr>
            </w:pPr>
          </w:p>
        </w:tc>
        <w:tc>
          <w:tcPr>
            <w:tcW w:w="2082" w:type="dxa"/>
            <w:tcBorders>
              <w:right w:val="single" w:color="auto" w:sz="4" w:space="0"/>
            </w:tcBorders>
            <w:vAlign w:val="center"/>
          </w:tcPr>
          <w:p w14:paraId="427536D5">
            <w:pPr>
              <w:adjustRightInd w:val="0"/>
              <w:snapToGrid w:val="0"/>
              <w:spacing w:before="50" w:line="360" w:lineRule="auto"/>
              <w:ind w:left="-88" w:leftChars="-42"/>
              <w:jc w:val="center"/>
              <w:rPr>
                <w:rFonts w:hint="eastAsia" w:ascii="宋体" w:hAnsi="宋体"/>
                <w:szCs w:val="21"/>
              </w:rPr>
            </w:pPr>
          </w:p>
        </w:tc>
        <w:tc>
          <w:tcPr>
            <w:tcW w:w="1942" w:type="dxa"/>
            <w:tcBorders>
              <w:left w:val="single" w:color="auto" w:sz="4" w:space="0"/>
            </w:tcBorders>
            <w:vAlign w:val="center"/>
          </w:tcPr>
          <w:p w14:paraId="2449CF4A">
            <w:pPr>
              <w:adjustRightInd w:val="0"/>
              <w:snapToGrid w:val="0"/>
              <w:spacing w:before="50" w:line="360" w:lineRule="auto"/>
              <w:ind w:left="-88" w:leftChars="-42"/>
              <w:jc w:val="center"/>
              <w:rPr>
                <w:rFonts w:hint="eastAsia" w:ascii="宋体" w:hAnsi="宋体"/>
                <w:szCs w:val="21"/>
              </w:rPr>
            </w:pPr>
          </w:p>
        </w:tc>
      </w:tr>
      <w:tr w14:paraId="287C9555">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28" w:type="dxa"/>
            <w:bottom w:w="0" w:type="dxa"/>
            <w:right w:w="28" w:type="dxa"/>
          </w:tblCellMar>
        </w:tblPrEx>
        <w:trPr>
          <w:trHeight w:val="505" w:hRule="atLeast"/>
          <w:jc w:val="center"/>
        </w:trPr>
        <w:tc>
          <w:tcPr>
            <w:tcW w:w="595" w:type="dxa"/>
            <w:vAlign w:val="center"/>
          </w:tcPr>
          <w:p w14:paraId="537C4FCD">
            <w:pPr>
              <w:adjustRightInd w:val="0"/>
              <w:snapToGrid w:val="0"/>
              <w:spacing w:before="50" w:line="360" w:lineRule="auto"/>
              <w:ind w:left="-88" w:leftChars="-42"/>
              <w:jc w:val="center"/>
              <w:rPr>
                <w:rFonts w:hint="eastAsia" w:ascii="宋体" w:hAnsi="宋体"/>
                <w:szCs w:val="21"/>
              </w:rPr>
            </w:pPr>
          </w:p>
        </w:tc>
        <w:tc>
          <w:tcPr>
            <w:tcW w:w="2410" w:type="dxa"/>
            <w:vAlign w:val="center"/>
          </w:tcPr>
          <w:p w14:paraId="3DAD3606">
            <w:pPr>
              <w:adjustRightInd w:val="0"/>
              <w:snapToGrid w:val="0"/>
              <w:spacing w:before="50" w:line="360" w:lineRule="auto"/>
              <w:ind w:left="-88" w:leftChars="-42"/>
              <w:jc w:val="center"/>
              <w:rPr>
                <w:rFonts w:hint="eastAsia" w:ascii="宋体" w:hAnsi="宋体"/>
                <w:szCs w:val="21"/>
              </w:rPr>
            </w:pPr>
          </w:p>
        </w:tc>
        <w:tc>
          <w:tcPr>
            <w:tcW w:w="1985" w:type="dxa"/>
            <w:vAlign w:val="center"/>
          </w:tcPr>
          <w:p w14:paraId="36381450">
            <w:pPr>
              <w:adjustRightInd w:val="0"/>
              <w:snapToGrid w:val="0"/>
              <w:spacing w:before="50" w:line="360" w:lineRule="auto"/>
              <w:ind w:left="-88" w:leftChars="-42"/>
              <w:jc w:val="center"/>
              <w:rPr>
                <w:rFonts w:hint="eastAsia" w:ascii="宋体" w:hAnsi="宋体"/>
                <w:szCs w:val="21"/>
              </w:rPr>
            </w:pPr>
          </w:p>
        </w:tc>
        <w:tc>
          <w:tcPr>
            <w:tcW w:w="2082" w:type="dxa"/>
            <w:tcBorders>
              <w:right w:val="single" w:color="auto" w:sz="4" w:space="0"/>
            </w:tcBorders>
            <w:vAlign w:val="center"/>
          </w:tcPr>
          <w:p w14:paraId="4E7C82CC">
            <w:pPr>
              <w:adjustRightInd w:val="0"/>
              <w:snapToGrid w:val="0"/>
              <w:spacing w:before="50" w:line="360" w:lineRule="auto"/>
              <w:ind w:left="-88" w:leftChars="-42"/>
              <w:jc w:val="center"/>
              <w:rPr>
                <w:rFonts w:hint="eastAsia" w:ascii="宋体" w:hAnsi="宋体"/>
                <w:szCs w:val="21"/>
              </w:rPr>
            </w:pPr>
          </w:p>
        </w:tc>
        <w:tc>
          <w:tcPr>
            <w:tcW w:w="1942" w:type="dxa"/>
            <w:tcBorders>
              <w:left w:val="single" w:color="auto" w:sz="4" w:space="0"/>
            </w:tcBorders>
            <w:vAlign w:val="center"/>
          </w:tcPr>
          <w:p w14:paraId="2AAD6434">
            <w:pPr>
              <w:adjustRightInd w:val="0"/>
              <w:snapToGrid w:val="0"/>
              <w:spacing w:before="50" w:line="360" w:lineRule="auto"/>
              <w:ind w:left="-88" w:leftChars="-42"/>
              <w:jc w:val="center"/>
              <w:rPr>
                <w:rFonts w:hint="eastAsia" w:ascii="宋体" w:hAnsi="宋体"/>
                <w:szCs w:val="21"/>
              </w:rPr>
            </w:pPr>
          </w:p>
        </w:tc>
      </w:tr>
      <w:tr w14:paraId="1F9135B5">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28" w:type="dxa"/>
            <w:bottom w:w="0" w:type="dxa"/>
            <w:right w:w="28" w:type="dxa"/>
          </w:tblCellMar>
        </w:tblPrEx>
        <w:trPr>
          <w:trHeight w:val="505" w:hRule="atLeast"/>
          <w:jc w:val="center"/>
        </w:trPr>
        <w:tc>
          <w:tcPr>
            <w:tcW w:w="595" w:type="dxa"/>
            <w:vAlign w:val="center"/>
          </w:tcPr>
          <w:p w14:paraId="1E71CB7A">
            <w:pPr>
              <w:adjustRightInd w:val="0"/>
              <w:snapToGrid w:val="0"/>
              <w:spacing w:before="50" w:line="360" w:lineRule="auto"/>
              <w:ind w:left="-88" w:leftChars="-42"/>
              <w:jc w:val="center"/>
              <w:rPr>
                <w:rFonts w:hint="eastAsia" w:ascii="宋体" w:hAnsi="宋体"/>
                <w:szCs w:val="21"/>
              </w:rPr>
            </w:pPr>
          </w:p>
        </w:tc>
        <w:tc>
          <w:tcPr>
            <w:tcW w:w="2410" w:type="dxa"/>
            <w:vAlign w:val="center"/>
          </w:tcPr>
          <w:p w14:paraId="151EE8F6">
            <w:pPr>
              <w:adjustRightInd w:val="0"/>
              <w:snapToGrid w:val="0"/>
              <w:spacing w:before="50" w:line="360" w:lineRule="auto"/>
              <w:ind w:left="-88" w:leftChars="-42"/>
              <w:jc w:val="center"/>
              <w:rPr>
                <w:rFonts w:hint="eastAsia" w:ascii="宋体" w:hAnsi="宋体"/>
                <w:szCs w:val="21"/>
              </w:rPr>
            </w:pPr>
          </w:p>
        </w:tc>
        <w:tc>
          <w:tcPr>
            <w:tcW w:w="1985" w:type="dxa"/>
            <w:vAlign w:val="center"/>
          </w:tcPr>
          <w:p w14:paraId="3259BF80">
            <w:pPr>
              <w:adjustRightInd w:val="0"/>
              <w:snapToGrid w:val="0"/>
              <w:spacing w:before="50" w:line="360" w:lineRule="auto"/>
              <w:ind w:left="-88" w:leftChars="-42"/>
              <w:jc w:val="center"/>
              <w:rPr>
                <w:rFonts w:hint="eastAsia" w:ascii="宋体" w:hAnsi="宋体"/>
                <w:szCs w:val="21"/>
              </w:rPr>
            </w:pPr>
          </w:p>
        </w:tc>
        <w:tc>
          <w:tcPr>
            <w:tcW w:w="4024" w:type="dxa"/>
            <w:gridSpan w:val="2"/>
            <w:vAlign w:val="center"/>
          </w:tcPr>
          <w:p w14:paraId="584EA68D">
            <w:pPr>
              <w:adjustRightInd w:val="0"/>
              <w:snapToGrid w:val="0"/>
              <w:spacing w:before="50" w:line="360" w:lineRule="auto"/>
              <w:ind w:firstLine="422" w:firstLineChars="200"/>
              <w:jc w:val="left"/>
              <w:rPr>
                <w:rFonts w:hint="eastAsia" w:ascii="宋体" w:hAnsi="宋体"/>
                <w:b/>
                <w:szCs w:val="21"/>
              </w:rPr>
            </w:pPr>
            <w:r>
              <w:rPr>
                <w:rFonts w:hint="eastAsia" w:ascii="宋体" w:hAnsi="宋体"/>
                <w:b/>
                <w:szCs w:val="21"/>
              </w:rPr>
              <w:t>投标人保证：除本合同条款偏离表列出的偏离外，我单位对招标文件的其他商务、合同条款完全响应，无偏离。</w:t>
            </w:r>
          </w:p>
        </w:tc>
      </w:tr>
    </w:tbl>
    <w:p w14:paraId="5AAB20F4">
      <w:pPr>
        <w:adjustRightInd w:val="0"/>
        <w:snapToGrid w:val="0"/>
        <w:spacing w:before="50" w:line="360" w:lineRule="auto"/>
        <w:ind w:left="-88" w:leftChars="-42"/>
        <w:rPr>
          <w:rFonts w:hint="eastAsia" w:ascii="宋体" w:hAnsi="宋体"/>
          <w:szCs w:val="21"/>
        </w:rPr>
      </w:pPr>
      <w:r>
        <w:rPr>
          <w:rFonts w:hint="eastAsia" w:ascii="宋体" w:hAnsi="宋体"/>
          <w:bCs/>
          <w:szCs w:val="21"/>
        </w:rPr>
        <w:t>注：</w:t>
      </w:r>
      <w:r>
        <w:rPr>
          <w:rFonts w:hint="eastAsia" w:ascii="宋体" w:hAnsi="宋体"/>
          <w:szCs w:val="21"/>
        </w:rPr>
        <w:t>1.投标人应根据招标文件第六章</w:t>
      </w:r>
      <w:r>
        <w:rPr>
          <w:rFonts w:hint="eastAsia" w:ascii="华文宋体" w:hAnsi="华文宋体" w:eastAsia="华文宋体"/>
          <w:szCs w:val="21"/>
        </w:rPr>
        <w:t>“</w:t>
      </w:r>
      <w:r>
        <w:rPr>
          <w:rFonts w:hint="eastAsia" w:ascii="宋体" w:hAnsi="宋体"/>
          <w:szCs w:val="21"/>
        </w:rPr>
        <w:t>政府采购合同</w:t>
      </w:r>
      <w:r>
        <w:rPr>
          <w:rFonts w:hint="eastAsia" w:ascii="华文宋体" w:hAnsi="华文宋体" w:eastAsia="华文宋体"/>
          <w:szCs w:val="21"/>
        </w:rPr>
        <w:t>”</w:t>
      </w:r>
      <w:r>
        <w:rPr>
          <w:rFonts w:hint="eastAsia" w:ascii="宋体" w:hAnsi="宋体"/>
          <w:szCs w:val="21"/>
        </w:rPr>
        <w:t>填写本表；</w:t>
      </w:r>
    </w:p>
    <w:p w14:paraId="731AC166">
      <w:pPr>
        <w:adjustRightInd w:val="0"/>
        <w:snapToGrid w:val="0"/>
        <w:spacing w:before="50" w:line="360" w:lineRule="auto"/>
        <w:ind w:left="-88" w:leftChars="-42" w:firstLine="420" w:firstLineChars="200"/>
        <w:rPr>
          <w:rFonts w:hint="eastAsia" w:ascii="宋体" w:hAnsi="宋体"/>
          <w:b/>
          <w:szCs w:val="21"/>
        </w:rPr>
      </w:pPr>
      <w:r>
        <w:rPr>
          <w:rFonts w:hint="eastAsia" w:ascii="宋体" w:hAnsi="宋体"/>
          <w:szCs w:val="21"/>
        </w:rPr>
        <w:t>2.</w:t>
      </w:r>
      <w:r>
        <w:rPr>
          <w:rFonts w:hint="eastAsia" w:ascii="宋体" w:hAnsi="宋体"/>
          <w:b/>
          <w:szCs w:val="21"/>
        </w:rPr>
        <w:t>投标人如果对招标文件第六章“政府采购合同”的响应有偏离，应将偏离条款逐条如实应答，并作出说明；</w:t>
      </w:r>
    </w:p>
    <w:p w14:paraId="619DE077">
      <w:pPr>
        <w:adjustRightInd w:val="0"/>
        <w:snapToGrid w:val="0"/>
        <w:spacing w:before="50" w:line="360" w:lineRule="auto"/>
        <w:ind w:left="-88" w:leftChars="-42" w:firstLine="420" w:firstLineChars="200"/>
        <w:rPr>
          <w:rFonts w:hint="eastAsia" w:ascii="宋体" w:hAnsi="宋体"/>
          <w:szCs w:val="21"/>
        </w:rPr>
      </w:pPr>
      <w:r>
        <w:rPr>
          <w:rFonts w:hint="eastAsia" w:ascii="宋体" w:hAnsi="宋体"/>
          <w:szCs w:val="21"/>
        </w:rPr>
        <w:t>3.如不提供此表，则视为投标人不满足招标文件第六章的所有条款要求，其</w:t>
      </w:r>
      <w:r>
        <w:rPr>
          <w:rFonts w:hint="eastAsia" w:ascii="宋体" w:hAnsi="宋体"/>
          <w:b/>
          <w:szCs w:val="21"/>
        </w:rPr>
        <w:t>投标无效</w:t>
      </w:r>
      <w:r>
        <w:rPr>
          <w:rFonts w:hint="eastAsia" w:ascii="宋体" w:hAnsi="宋体"/>
          <w:szCs w:val="21"/>
        </w:rPr>
        <w:t>。</w:t>
      </w:r>
    </w:p>
    <w:p w14:paraId="48F559E4">
      <w:pPr>
        <w:adjustRightInd w:val="0"/>
        <w:snapToGrid w:val="0"/>
        <w:spacing w:before="50" w:line="360" w:lineRule="auto"/>
        <w:ind w:left="-88" w:leftChars="-42" w:firstLine="420" w:firstLineChars="200"/>
        <w:rPr>
          <w:rFonts w:hint="eastAsia" w:ascii="宋体" w:hAnsi="宋体"/>
          <w:szCs w:val="21"/>
        </w:rPr>
      </w:pPr>
      <w:r>
        <w:rPr>
          <w:rFonts w:hint="eastAsia" w:ascii="宋体" w:hAnsi="宋体"/>
          <w:szCs w:val="21"/>
        </w:rPr>
        <w:t>4.在采购人与中标人签订合同时，如中标人未在投标文件“合同条款偏离表”中列出偏离说明，无论已发生或即将发生任何情形，均视为完全符合招标文件要求，并写入合同。若中标人在合同签订前，以上述事项为借口而不履行合同签订手续及执行合同，则视作拒绝与采购人签订合同。</w:t>
      </w:r>
    </w:p>
    <w:p w14:paraId="423F34A4">
      <w:pPr>
        <w:adjustRightInd w:val="0"/>
        <w:snapToGrid w:val="0"/>
        <w:spacing w:before="50" w:line="360" w:lineRule="auto"/>
        <w:rPr>
          <w:rFonts w:hint="eastAsia" w:ascii="宋体" w:hAnsi="宋体"/>
          <w:szCs w:val="21"/>
        </w:rPr>
      </w:pPr>
    </w:p>
    <w:p w14:paraId="1F334708">
      <w:pPr>
        <w:adjustRightInd w:val="0"/>
        <w:snapToGrid w:val="0"/>
        <w:spacing w:before="50" w:line="360" w:lineRule="auto"/>
        <w:rPr>
          <w:rFonts w:hint="eastAsia" w:ascii="宋体" w:hAnsi="宋体"/>
          <w:szCs w:val="21"/>
        </w:rPr>
      </w:pPr>
    </w:p>
    <w:p w14:paraId="4C70F335">
      <w:pPr>
        <w:adjustRightInd w:val="0"/>
        <w:snapToGrid w:val="0"/>
        <w:spacing w:before="50" w:line="360" w:lineRule="auto"/>
        <w:rPr>
          <w:rFonts w:hint="eastAsia" w:ascii="宋体" w:hAnsi="宋体"/>
          <w:szCs w:val="21"/>
        </w:rPr>
      </w:pPr>
      <w:r>
        <w:rPr>
          <w:rFonts w:hint="eastAsia" w:ascii="宋体" w:hAnsi="宋体"/>
          <w:szCs w:val="21"/>
        </w:rPr>
        <w:t>投标人名称（盖单位章）：</w:t>
      </w:r>
    </w:p>
    <w:p w14:paraId="4F2365C6">
      <w:pPr>
        <w:adjustRightInd w:val="0"/>
        <w:snapToGrid w:val="0"/>
        <w:spacing w:before="50" w:line="360" w:lineRule="auto"/>
        <w:rPr>
          <w:rFonts w:hint="eastAsia" w:ascii="宋体" w:hAnsi="宋体"/>
          <w:szCs w:val="21"/>
        </w:rPr>
      </w:pPr>
      <w:r>
        <w:rPr>
          <w:rFonts w:hint="eastAsia" w:ascii="宋体" w:hAnsi="宋体" w:cs="微软雅黑"/>
          <w:spacing w:val="-2"/>
          <w:kern w:val="0"/>
          <w:szCs w:val="21"/>
        </w:rPr>
        <w:t>法</w:t>
      </w:r>
      <w:r>
        <w:rPr>
          <w:rFonts w:hint="eastAsia" w:ascii="宋体" w:hAnsi="宋体" w:cs="微软雅黑"/>
          <w:kern w:val="0"/>
          <w:szCs w:val="21"/>
        </w:rPr>
        <w:t>定</w:t>
      </w:r>
      <w:r>
        <w:rPr>
          <w:rFonts w:hint="eastAsia" w:ascii="宋体" w:hAnsi="宋体" w:cs="微软雅黑"/>
          <w:spacing w:val="-2"/>
          <w:kern w:val="0"/>
          <w:szCs w:val="21"/>
        </w:rPr>
        <w:t>代</w:t>
      </w:r>
      <w:r>
        <w:rPr>
          <w:rFonts w:hint="eastAsia" w:ascii="宋体" w:hAnsi="宋体" w:cs="微软雅黑"/>
          <w:kern w:val="0"/>
          <w:szCs w:val="21"/>
        </w:rPr>
        <w:t>表</w:t>
      </w:r>
      <w:r>
        <w:rPr>
          <w:rFonts w:hint="eastAsia" w:ascii="宋体" w:hAnsi="宋体" w:cs="微软雅黑"/>
          <w:spacing w:val="-2"/>
          <w:kern w:val="0"/>
          <w:szCs w:val="21"/>
        </w:rPr>
        <w:t>人</w:t>
      </w:r>
      <w:r>
        <w:rPr>
          <w:rFonts w:hint="eastAsia" w:ascii="宋体" w:hAnsi="宋体" w:cs="微软雅黑"/>
          <w:kern w:val="0"/>
          <w:szCs w:val="21"/>
        </w:rPr>
        <w:t>（</w:t>
      </w:r>
      <w:r>
        <w:rPr>
          <w:rFonts w:hint="eastAsia" w:ascii="宋体" w:hAnsi="宋体" w:cs="微软雅黑"/>
          <w:spacing w:val="-2"/>
          <w:kern w:val="0"/>
          <w:szCs w:val="21"/>
        </w:rPr>
        <w:t>单</w:t>
      </w:r>
      <w:r>
        <w:rPr>
          <w:rFonts w:hint="eastAsia" w:ascii="宋体" w:hAnsi="宋体" w:cs="微软雅黑"/>
          <w:kern w:val="0"/>
          <w:szCs w:val="21"/>
        </w:rPr>
        <w:t>位</w:t>
      </w:r>
      <w:r>
        <w:rPr>
          <w:rFonts w:hint="eastAsia" w:ascii="宋体" w:hAnsi="宋体" w:cs="微软雅黑"/>
          <w:spacing w:val="-2"/>
          <w:kern w:val="0"/>
          <w:szCs w:val="21"/>
        </w:rPr>
        <w:t>负</w:t>
      </w:r>
      <w:r>
        <w:rPr>
          <w:rFonts w:hint="eastAsia" w:ascii="宋体" w:hAnsi="宋体" w:cs="微软雅黑"/>
          <w:kern w:val="0"/>
          <w:szCs w:val="21"/>
        </w:rPr>
        <w:t>责人</w:t>
      </w:r>
      <w:r>
        <w:rPr>
          <w:rFonts w:hint="eastAsia" w:ascii="宋体" w:hAnsi="宋体" w:cs="微软雅黑"/>
          <w:spacing w:val="-2"/>
          <w:kern w:val="0"/>
          <w:szCs w:val="21"/>
        </w:rPr>
        <w:t>）</w:t>
      </w:r>
      <w:r>
        <w:rPr>
          <w:rFonts w:hint="eastAsia" w:ascii="宋体" w:hAnsi="宋体"/>
          <w:szCs w:val="21"/>
        </w:rPr>
        <w:t>或其授权的代理人（签字或印章）：</w:t>
      </w:r>
      <w:r>
        <w:rPr>
          <w:rFonts w:hint="eastAsia" w:ascii="宋体" w:hAnsi="宋体"/>
          <w:szCs w:val="21"/>
          <w:u w:val="single"/>
        </w:rPr>
        <w:t xml:space="preserve">                     </w:t>
      </w:r>
    </w:p>
    <w:p w14:paraId="189C3370">
      <w:pPr>
        <w:adjustRightInd w:val="0"/>
        <w:snapToGrid w:val="0"/>
        <w:spacing w:before="50" w:line="168" w:lineRule="auto"/>
        <w:rPr>
          <w:rFonts w:hint="eastAsia" w:ascii="黑体" w:hAnsi="宋体" w:eastAsia="黑体"/>
          <w:b/>
          <w:bCs/>
          <w:sz w:val="28"/>
          <w:szCs w:val="28"/>
        </w:rPr>
      </w:pPr>
      <w:r>
        <w:rPr>
          <w:rFonts w:hint="eastAsia" w:ascii="宋体" w:hAnsi="宋体"/>
          <w:szCs w:val="21"/>
        </w:rPr>
        <w:t>日       期：</w:t>
      </w:r>
      <w:r>
        <w:rPr>
          <w:rFonts w:hint="eastAsia" w:ascii="宋体" w:hAnsi="宋体"/>
          <w:szCs w:val="21"/>
          <w:u w:val="single"/>
        </w:rPr>
        <w:t xml:space="preserve">          </w:t>
      </w:r>
      <w:r>
        <w:rPr>
          <w:rFonts w:hint="eastAsia" w:ascii="宋体" w:hAnsi="宋体"/>
          <w:szCs w:val="21"/>
        </w:rPr>
        <w:t>年</w:t>
      </w:r>
      <w:r>
        <w:rPr>
          <w:rFonts w:hint="eastAsia" w:ascii="宋体" w:hAnsi="宋体"/>
          <w:szCs w:val="21"/>
          <w:u w:val="single"/>
        </w:rPr>
        <w:t xml:space="preserve">        </w:t>
      </w:r>
      <w:r>
        <w:rPr>
          <w:rFonts w:hint="eastAsia" w:ascii="宋体" w:hAnsi="宋体"/>
          <w:szCs w:val="21"/>
        </w:rPr>
        <w:t>月</w:t>
      </w:r>
      <w:r>
        <w:rPr>
          <w:rFonts w:hint="eastAsia" w:ascii="宋体" w:hAnsi="宋体"/>
          <w:szCs w:val="21"/>
          <w:u w:val="single"/>
        </w:rPr>
        <w:t xml:space="preserve">      </w:t>
      </w:r>
      <w:r>
        <w:rPr>
          <w:rFonts w:hint="eastAsia" w:ascii="宋体" w:hAnsi="宋体"/>
          <w:szCs w:val="21"/>
        </w:rPr>
        <w:t>_日</w:t>
      </w:r>
      <w:r>
        <w:rPr>
          <w:rFonts w:ascii="黑体" w:hAnsi="宋体" w:eastAsia="黑体"/>
          <w:sz w:val="28"/>
          <w:szCs w:val="28"/>
        </w:rPr>
        <w:br w:type="page"/>
      </w:r>
    </w:p>
    <w:p w14:paraId="61D079FD">
      <w:pPr>
        <w:pStyle w:val="4"/>
        <w:adjustRightInd w:val="0"/>
        <w:snapToGrid w:val="0"/>
        <w:spacing w:before="157" w:beforeLines="50" w:after="0" w:line="360" w:lineRule="auto"/>
        <w:jc w:val="center"/>
        <w:rPr>
          <w:rFonts w:hint="eastAsia" w:ascii="黑体" w:hAnsi="宋体" w:eastAsia="黑体"/>
          <w:sz w:val="28"/>
          <w:szCs w:val="28"/>
        </w:rPr>
      </w:pPr>
      <w:bookmarkStart w:id="176" w:name="_Toc3548"/>
      <w:r>
        <w:rPr>
          <w:rFonts w:hint="eastAsia" w:ascii="黑体" w:hAnsi="宋体" w:eastAsia="黑体"/>
          <w:sz w:val="28"/>
          <w:szCs w:val="28"/>
        </w:rPr>
        <w:t>九、采购需求偏离表</w:t>
      </w:r>
      <w:bookmarkEnd w:id="176"/>
    </w:p>
    <w:p w14:paraId="52927939">
      <w:pPr>
        <w:adjustRightInd w:val="0"/>
        <w:snapToGrid w:val="0"/>
        <w:spacing w:before="157" w:beforeLines="50" w:line="360" w:lineRule="auto"/>
        <w:rPr>
          <w:rFonts w:hint="eastAsia" w:ascii="宋体" w:hAnsi="宋体"/>
          <w:szCs w:val="21"/>
          <w:u w:val="single"/>
        </w:rPr>
      </w:pPr>
      <w:r>
        <w:rPr>
          <w:rFonts w:hint="eastAsia" w:ascii="宋体" w:hAnsi="宋体"/>
          <w:spacing w:val="28"/>
          <w:szCs w:val="21"/>
        </w:rPr>
        <w:t>政府采购计划编号</w:t>
      </w:r>
      <w:r>
        <w:rPr>
          <w:rFonts w:hint="eastAsia" w:ascii="宋体" w:hAnsi="宋体"/>
          <w:szCs w:val="21"/>
        </w:rPr>
        <w:t>:</w:t>
      </w:r>
      <w:r>
        <w:rPr>
          <w:rFonts w:hint="eastAsia" w:ascii="宋体" w:hAnsi="宋体"/>
          <w:szCs w:val="21"/>
          <w:u w:val="single"/>
        </w:rPr>
        <w:t xml:space="preserve">                         </w:t>
      </w:r>
      <w:r>
        <w:rPr>
          <w:rFonts w:hint="eastAsia" w:ascii="宋体" w:hAnsi="宋体"/>
          <w:szCs w:val="21"/>
        </w:rPr>
        <w:t xml:space="preserve">      项目名称：</w:t>
      </w:r>
      <w:r>
        <w:rPr>
          <w:rFonts w:hint="eastAsia" w:ascii="宋体" w:hAnsi="宋体"/>
          <w:szCs w:val="21"/>
          <w:u w:val="single"/>
        </w:rPr>
        <w:t xml:space="preserve">                   </w:t>
      </w:r>
    </w:p>
    <w:p w14:paraId="404DD335">
      <w:pPr>
        <w:adjustRightInd w:val="0"/>
        <w:snapToGrid w:val="0"/>
        <w:spacing w:before="157" w:beforeLines="50" w:line="360" w:lineRule="auto"/>
        <w:rPr>
          <w:rFonts w:hint="eastAsia" w:ascii="宋体" w:hAnsi="宋体"/>
          <w:szCs w:val="21"/>
          <w:u w:val="single"/>
        </w:rPr>
      </w:pPr>
      <w:r>
        <w:rPr>
          <w:rFonts w:hint="eastAsia" w:ascii="宋体" w:hAnsi="宋体"/>
          <w:szCs w:val="21"/>
        </w:rPr>
        <w:t>包           号：</w:t>
      </w:r>
      <w:r>
        <w:rPr>
          <w:rFonts w:hint="eastAsia" w:ascii="宋体" w:hAnsi="宋体"/>
          <w:szCs w:val="21"/>
          <w:u w:val="single"/>
        </w:rPr>
        <w:t xml:space="preserve">                        </w:t>
      </w:r>
      <w:r>
        <w:rPr>
          <w:rFonts w:hint="eastAsia" w:ascii="宋体" w:hAnsi="宋体"/>
          <w:szCs w:val="21"/>
        </w:rPr>
        <w:t xml:space="preserve">           包名称：</w:t>
      </w:r>
      <w:r>
        <w:rPr>
          <w:rFonts w:hint="eastAsia" w:ascii="宋体" w:hAnsi="宋体"/>
          <w:szCs w:val="21"/>
          <w:u w:val="single"/>
        </w:rPr>
        <w:t xml:space="preserve">                    </w:t>
      </w:r>
    </w:p>
    <w:tbl>
      <w:tblPr>
        <w:tblStyle w:val="27"/>
        <w:tblW w:w="9014" w:type="dxa"/>
        <w:jc w:val="center"/>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28" w:type="dxa"/>
          <w:bottom w:w="0" w:type="dxa"/>
          <w:right w:w="28" w:type="dxa"/>
        </w:tblCellMar>
      </w:tblPr>
      <w:tblGrid>
        <w:gridCol w:w="737"/>
        <w:gridCol w:w="2410"/>
        <w:gridCol w:w="1985"/>
        <w:gridCol w:w="2126"/>
        <w:gridCol w:w="1756"/>
      </w:tblGrid>
      <w:tr w14:paraId="1B120C1D">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28" w:type="dxa"/>
            <w:bottom w:w="0" w:type="dxa"/>
            <w:right w:w="28" w:type="dxa"/>
          </w:tblCellMar>
        </w:tblPrEx>
        <w:trPr>
          <w:trHeight w:val="504" w:hRule="atLeast"/>
          <w:jc w:val="center"/>
        </w:trPr>
        <w:tc>
          <w:tcPr>
            <w:tcW w:w="737" w:type="dxa"/>
            <w:vAlign w:val="center"/>
          </w:tcPr>
          <w:p w14:paraId="4D2226AE">
            <w:pPr>
              <w:adjustRightInd w:val="0"/>
              <w:snapToGrid w:val="0"/>
              <w:spacing w:before="50" w:line="360" w:lineRule="auto"/>
              <w:ind w:left="-88" w:leftChars="-42"/>
              <w:jc w:val="center"/>
              <w:rPr>
                <w:rFonts w:hint="eastAsia" w:ascii="宋体" w:hAnsi="宋体"/>
                <w:szCs w:val="21"/>
              </w:rPr>
            </w:pPr>
            <w:r>
              <w:rPr>
                <w:rFonts w:hint="eastAsia" w:ascii="宋体" w:hAnsi="宋体"/>
                <w:bCs/>
                <w:szCs w:val="21"/>
              </w:rPr>
              <w:t>序</w:t>
            </w:r>
            <w:r>
              <w:rPr>
                <w:rFonts w:hint="eastAsia" w:ascii="宋体" w:hAnsi="宋体"/>
                <w:szCs w:val="21"/>
              </w:rPr>
              <w:t>号</w:t>
            </w:r>
          </w:p>
        </w:tc>
        <w:tc>
          <w:tcPr>
            <w:tcW w:w="2410" w:type="dxa"/>
            <w:vAlign w:val="center"/>
          </w:tcPr>
          <w:p w14:paraId="32FB639E">
            <w:pPr>
              <w:adjustRightInd w:val="0"/>
              <w:snapToGrid w:val="0"/>
              <w:spacing w:before="50" w:line="360" w:lineRule="auto"/>
              <w:ind w:left="-88" w:leftChars="-42"/>
              <w:jc w:val="center"/>
              <w:rPr>
                <w:rFonts w:hint="eastAsia" w:ascii="宋体" w:hAnsi="宋体"/>
                <w:szCs w:val="21"/>
              </w:rPr>
            </w:pPr>
            <w:r>
              <w:rPr>
                <w:rFonts w:hint="eastAsia" w:ascii="宋体" w:hAnsi="宋体"/>
                <w:szCs w:val="21"/>
              </w:rPr>
              <w:t>招标文件章节</w:t>
            </w:r>
            <w:r>
              <w:rPr>
                <w:rFonts w:hint="eastAsia" w:ascii="宋体" w:hAnsi="宋体"/>
                <w:bCs/>
                <w:szCs w:val="21"/>
              </w:rPr>
              <w:t>条</w:t>
            </w:r>
            <w:r>
              <w:rPr>
                <w:rFonts w:hint="eastAsia" w:ascii="宋体" w:hAnsi="宋体"/>
                <w:szCs w:val="21"/>
              </w:rPr>
              <w:t>款号</w:t>
            </w:r>
          </w:p>
        </w:tc>
        <w:tc>
          <w:tcPr>
            <w:tcW w:w="1985" w:type="dxa"/>
            <w:tcBorders>
              <w:right w:val="single" w:color="auto" w:sz="4" w:space="0"/>
            </w:tcBorders>
          </w:tcPr>
          <w:p w14:paraId="49F87301">
            <w:pPr>
              <w:adjustRightInd w:val="0"/>
              <w:snapToGrid w:val="0"/>
              <w:spacing w:before="50" w:line="360" w:lineRule="auto"/>
              <w:jc w:val="center"/>
            </w:pPr>
            <w:r>
              <w:rPr>
                <w:rFonts w:hint="eastAsia"/>
              </w:rPr>
              <w:t>招标文件要求</w:t>
            </w:r>
          </w:p>
        </w:tc>
        <w:tc>
          <w:tcPr>
            <w:tcW w:w="2126" w:type="dxa"/>
            <w:tcBorders>
              <w:left w:val="single" w:color="auto" w:sz="4" w:space="0"/>
            </w:tcBorders>
          </w:tcPr>
          <w:p w14:paraId="2A27E06E">
            <w:pPr>
              <w:adjustRightInd w:val="0"/>
              <w:snapToGrid w:val="0"/>
              <w:spacing w:before="50" w:line="360" w:lineRule="auto"/>
              <w:jc w:val="center"/>
            </w:pPr>
            <w:r>
              <w:rPr>
                <w:rFonts w:hint="eastAsia"/>
              </w:rPr>
              <w:t>投标文件应答</w:t>
            </w:r>
          </w:p>
        </w:tc>
        <w:tc>
          <w:tcPr>
            <w:tcW w:w="1756" w:type="dxa"/>
            <w:vAlign w:val="center"/>
          </w:tcPr>
          <w:p w14:paraId="7604C2B7">
            <w:pPr>
              <w:adjustRightInd w:val="0"/>
              <w:snapToGrid w:val="0"/>
              <w:spacing w:before="50" w:line="360" w:lineRule="auto"/>
              <w:ind w:left="-88" w:leftChars="-42"/>
              <w:jc w:val="center"/>
              <w:rPr>
                <w:rFonts w:hint="eastAsia" w:ascii="宋体" w:hAnsi="宋体"/>
                <w:szCs w:val="21"/>
              </w:rPr>
            </w:pPr>
            <w:r>
              <w:rPr>
                <w:rFonts w:hint="eastAsia" w:ascii="宋体" w:hAnsi="宋体"/>
                <w:szCs w:val="21"/>
              </w:rPr>
              <w:t>偏离说明</w:t>
            </w:r>
          </w:p>
        </w:tc>
      </w:tr>
      <w:tr w14:paraId="42D08B9C">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28" w:type="dxa"/>
            <w:bottom w:w="0" w:type="dxa"/>
            <w:right w:w="28" w:type="dxa"/>
          </w:tblCellMar>
        </w:tblPrEx>
        <w:trPr>
          <w:trHeight w:val="505" w:hRule="atLeast"/>
          <w:jc w:val="center"/>
        </w:trPr>
        <w:tc>
          <w:tcPr>
            <w:tcW w:w="737" w:type="dxa"/>
            <w:vAlign w:val="center"/>
          </w:tcPr>
          <w:p w14:paraId="546D96EE">
            <w:pPr>
              <w:adjustRightInd w:val="0"/>
              <w:snapToGrid w:val="0"/>
              <w:spacing w:before="50" w:line="360" w:lineRule="auto"/>
              <w:ind w:left="-88" w:leftChars="-42"/>
              <w:jc w:val="center"/>
              <w:rPr>
                <w:rFonts w:hint="eastAsia" w:ascii="宋体" w:hAnsi="宋体"/>
                <w:szCs w:val="21"/>
              </w:rPr>
            </w:pPr>
          </w:p>
        </w:tc>
        <w:tc>
          <w:tcPr>
            <w:tcW w:w="2410" w:type="dxa"/>
            <w:vAlign w:val="center"/>
          </w:tcPr>
          <w:p w14:paraId="7ED6140C">
            <w:pPr>
              <w:adjustRightInd w:val="0"/>
              <w:snapToGrid w:val="0"/>
              <w:spacing w:before="50" w:line="360" w:lineRule="auto"/>
              <w:ind w:left="-88" w:leftChars="-42"/>
              <w:jc w:val="center"/>
              <w:rPr>
                <w:rFonts w:hint="eastAsia" w:ascii="宋体" w:hAnsi="宋体"/>
                <w:szCs w:val="21"/>
              </w:rPr>
            </w:pPr>
          </w:p>
        </w:tc>
        <w:tc>
          <w:tcPr>
            <w:tcW w:w="1985" w:type="dxa"/>
            <w:tcBorders>
              <w:right w:val="single" w:color="auto" w:sz="4" w:space="0"/>
            </w:tcBorders>
            <w:vAlign w:val="center"/>
          </w:tcPr>
          <w:p w14:paraId="69B6467C">
            <w:pPr>
              <w:adjustRightInd w:val="0"/>
              <w:snapToGrid w:val="0"/>
              <w:spacing w:before="50" w:line="360" w:lineRule="auto"/>
              <w:ind w:left="-88" w:leftChars="-42"/>
              <w:jc w:val="center"/>
              <w:rPr>
                <w:rFonts w:hint="eastAsia" w:ascii="宋体" w:hAnsi="宋体"/>
                <w:szCs w:val="21"/>
              </w:rPr>
            </w:pPr>
          </w:p>
        </w:tc>
        <w:tc>
          <w:tcPr>
            <w:tcW w:w="2126" w:type="dxa"/>
            <w:tcBorders>
              <w:left w:val="single" w:color="auto" w:sz="4" w:space="0"/>
            </w:tcBorders>
            <w:vAlign w:val="center"/>
          </w:tcPr>
          <w:p w14:paraId="20B572F7">
            <w:pPr>
              <w:adjustRightInd w:val="0"/>
              <w:snapToGrid w:val="0"/>
              <w:spacing w:before="50" w:line="360" w:lineRule="auto"/>
              <w:ind w:left="-88" w:leftChars="-42"/>
              <w:jc w:val="center"/>
              <w:rPr>
                <w:rFonts w:hint="eastAsia" w:ascii="宋体" w:hAnsi="宋体"/>
                <w:szCs w:val="21"/>
              </w:rPr>
            </w:pPr>
          </w:p>
        </w:tc>
        <w:tc>
          <w:tcPr>
            <w:tcW w:w="1756" w:type="dxa"/>
            <w:vAlign w:val="center"/>
          </w:tcPr>
          <w:p w14:paraId="75CCA33E">
            <w:pPr>
              <w:adjustRightInd w:val="0"/>
              <w:snapToGrid w:val="0"/>
              <w:spacing w:before="50" w:line="360" w:lineRule="auto"/>
              <w:ind w:left="-88" w:leftChars="-42"/>
              <w:jc w:val="center"/>
              <w:rPr>
                <w:rFonts w:hint="eastAsia" w:ascii="宋体" w:hAnsi="宋体"/>
                <w:szCs w:val="21"/>
              </w:rPr>
            </w:pPr>
          </w:p>
        </w:tc>
      </w:tr>
      <w:tr w14:paraId="0589A48F">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28" w:type="dxa"/>
            <w:bottom w:w="0" w:type="dxa"/>
            <w:right w:w="28" w:type="dxa"/>
          </w:tblCellMar>
        </w:tblPrEx>
        <w:trPr>
          <w:trHeight w:val="505" w:hRule="atLeast"/>
          <w:jc w:val="center"/>
        </w:trPr>
        <w:tc>
          <w:tcPr>
            <w:tcW w:w="737" w:type="dxa"/>
            <w:vAlign w:val="center"/>
          </w:tcPr>
          <w:p w14:paraId="46D80298">
            <w:pPr>
              <w:adjustRightInd w:val="0"/>
              <w:snapToGrid w:val="0"/>
              <w:spacing w:before="50" w:line="360" w:lineRule="auto"/>
              <w:ind w:left="-88" w:leftChars="-42"/>
              <w:jc w:val="center"/>
              <w:rPr>
                <w:rFonts w:hint="eastAsia" w:ascii="宋体" w:hAnsi="宋体"/>
                <w:szCs w:val="21"/>
              </w:rPr>
            </w:pPr>
          </w:p>
        </w:tc>
        <w:tc>
          <w:tcPr>
            <w:tcW w:w="2410" w:type="dxa"/>
            <w:vAlign w:val="center"/>
          </w:tcPr>
          <w:p w14:paraId="5F996E45">
            <w:pPr>
              <w:adjustRightInd w:val="0"/>
              <w:snapToGrid w:val="0"/>
              <w:spacing w:before="50" w:line="360" w:lineRule="auto"/>
              <w:ind w:left="-88" w:leftChars="-42"/>
              <w:jc w:val="center"/>
              <w:rPr>
                <w:rFonts w:hint="eastAsia" w:ascii="宋体" w:hAnsi="宋体"/>
                <w:szCs w:val="21"/>
              </w:rPr>
            </w:pPr>
          </w:p>
        </w:tc>
        <w:tc>
          <w:tcPr>
            <w:tcW w:w="1985" w:type="dxa"/>
            <w:tcBorders>
              <w:right w:val="single" w:color="auto" w:sz="4" w:space="0"/>
            </w:tcBorders>
            <w:vAlign w:val="center"/>
          </w:tcPr>
          <w:p w14:paraId="513D93E6">
            <w:pPr>
              <w:adjustRightInd w:val="0"/>
              <w:snapToGrid w:val="0"/>
              <w:spacing w:before="50" w:line="360" w:lineRule="auto"/>
              <w:ind w:left="-88" w:leftChars="-42"/>
              <w:jc w:val="center"/>
              <w:rPr>
                <w:rFonts w:hint="eastAsia" w:ascii="宋体" w:hAnsi="宋体"/>
                <w:szCs w:val="21"/>
              </w:rPr>
            </w:pPr>
          </w:p>
        </w:tc>
        <w:tc>
          <w:tcPr>
            <w:tcW w:w="2126" w:type="dxa"/>
            <w:tcBorders>
              <w:left w:val="single" w:color="auto" w:sz="4" w:space="0"/>
            </w:tcBorders>
            <w:vAlign w:val="center"/>
          </w:tcPr>
          <w:p w14:paraId="7480BEB2">
            <w:pPr>
              <w:adjustRightInd w:val="0"/>
              <w:snapToGrid w:val="0"/>
              <w:spacing w:before="50" w:line="360" w:lineRule="auto"/>
              <w:ind w:left="-88" w:leftChars="-42"/>
              <w:jc w:val="center"/>
              <w:rPr>
                <w:rFonts w:hint="eastAsia" w:ascii="宋体" w:hAnsi="宋体"/>
                <w:szCs w:val="21"/>
              </w:rPr>
            </w:pPr>
          </w:p>
        </w:tc>
        <w:tc>
          <w:tcPr>
            <w:tcW w:w="1756" w:type="dxa"/>
            <w:vAlign w:val="center"/>
          </w:tcPr>
          <w:p w14:paraId="5CA3E059">
            <w:pPr>
              <w:adjustRightInd w:val="0"/>
              <w:snapToGrid w:val="0"/>
              <w:spacing w:before="50" w:line="360" w:lineRule="auto"/>
              <w:ind w:left="-88" w:leftChars="-42"/>
              <w:jc w:val="center"/>
              <w:rPr>
                <w:rFonts w:hint="eastAsia" w:ascii="宋体" w:hAnsi="宋体"/>
                <w:szCs w:val="21"/>
              </w:rPr>
            </w:pPr>
          </w:p>
        </w:tc>
      </w:tr>
      <w:tr w14:paraId="3B2AB2AA">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28" w:type="dxa"/>
            <w:bottom w:w="0" w:type="dxa"/>
            <w:right w:w="28" w:type="dxa"/>
          </w:tblCellMar>
        </w:tblPrEx>
        <w:trPr>
          <w:trHeight w:val="505" w:hRule="atLeast"/>
          <w:jc w:val="center"/>
        </w:trPr>
        <w:tc>
          <w:tcPr>
            <w:tcW w:w="737" w:type="dxa"/>
            <w:vAlign w:val="center"/>
          </w:tcPr>
          <w:p w14:paraId="7CC24A2F">
            <w:pPr>
              <w:adjustRightInd w:val="0"/>
              <w:snapToGrid w:val="0"/>
              <w:spacing w:before="50" w:line="360" w:lineRule="auto"/>
              <w:ind w:left="-88" w:leftChars="-42"/>
              <w:jc w:val="center"/>
              <w:rPr>
                <w:rFonts w:hint="eastAsia" w:ascii="宋体" w:hAnsi="宋体"/>
                <w:szCs w:val="21"/>
              </w:rPr>
            </w:pPr>
          </w:p>
        </w:tc>
        <w:tc>
          <w:tcPr>
            <w:tcW w:w="2410" w:type="dxa"/>
            <w:vAlign w:val="center"/>
          </w:tcPr>
          <w:p w14:paraId="5ABA425B">
            <w:pPr>
              <w:adjustRightInd w:val="0"/>
              <w:snapToGrid w:val="0"/>
              <w:spacing w:before="50" w:line="360" w:lineRule="auto"/>
              <w:ind w:left="-88" w:leftChars="-42"/>
              <w:jc w:val="center"/>
              <w:rPr>
                <w:rFonts w:hint="eastAsia" w:ascii="宋体" w:hAnsi="宋体"/>
                <w:szCs w:val="21"/>
              </w:rPr>
            </w:pPr>
          </w:p>
        </w:tc>
        <w:tc>
          <w:tcPr>
            <w:tcW w:w="1985" w:type="dxa"/>
            <w:tcBorders>
              <w:right w:val="single" w:color="auto" w:sz="4" w:space="0"/>
            </w:tcBorders>
            <w:vAlign w:val="center"/>
          </w:tcPr>
          <w:p w14:paraId="634CD9D3">
            <w:pPr>
              <w:adjustRightInd w:val="0"/>
              <w:snapToGrid w:val="0"/>
              <w:spacing w:before="50" w:line="360" w:lineRule="auto"/>
              <w:ind w:left="-88" w:leftChars="-42"/>
              <w:jc w:val="center"/>
              <w:rPr>
                <w:rFonts w:hint="eastAsia" w:ascii="宋体" w:hAnsi="宋体"/>
                <w:szCs w:val="21"/>
              </w:rPr>
            </w:pPr>
          </w:p>
        </w:tc>
        <w:tc>
          <w:tcPr>
            <w:tcW w:w="2126" w:type="dxa"/>
            <w:tcBorders>
              <w:left w:val="single" w:color="auto" w:sz="4" w:space="0"/>
            </w:tcBorders>
            <w:vAlign w:val="center"/>
          </w:tcPr>
          <w:p w14:paraId="21054112">
            <w:pPr>
              <w:adjustRightInd w:val="0"/>
              <w:snapToGrid w:val="0"/>
              <w:spacing w:before="50" w:line="360" w:lineRule="auto"/>
              <w:ind w:left="-88" w:leftChars="-42"/>
              <w:jc w:val="center"/>
              <w:rPr>
                <w:rFonts w:hint="eastAsia" w:ascii="宋体" w:hAnsi="宋体"/>
                <w:szCs w:val="21"/>
              </w:rPr>
            </w:pPr>
          </w:p>
        </w:tc>
        <w:tc>
          <w:tcPr>
            <w:tcW w:w="1756" w:type="dxa"/>
            <w:vAlign w:val="center"/>
          </w:tcPr>
          <w:p w14:paraId="6C261926">
            <w:pPr>
              <w:adjustRightInd w:val="0"/>
              <w:snapToGrid w:val="0"/>
              <w:spacing w:before="50" w:line="360" w:lineRule="auto"/>
              <w:ind w:left="-88" w:leftChars="-42"/>
              <w:jc w:val="center"/>
              <w:rPr>
                <w:rFonts w:hint="eastAsia" w:ascii="宋体" w:hAnsi="宋体"/>
                <w:szCs w:val="21"/>
              </w:rPr>
            </w:pPr>
          </w:p>
        </w:tc>
      </w:tr>
      <w:tr w14:paraId="770CAB9F">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28" w:type="dxa"/>
            <w:bottom w:w="0" w:type="dxa"/>
            <w:right w:w="28" w:type="dxa"/>
          </w:tblCellMar>
        </w:tblPrEx>
        <w:trPr>
          <w:trHeight w:val="505" w:hRule="atLeast"/>
          <w:jc w:val="center"/>
        </w:trPr>
        <w:tc>
          <w:tcPr>
            <w:tcW w:w="737" w:type="dxa"/>
            <w:vAlign w:val="center"/>
          </w:tcPr>
          <w:p w14:paraId="16EE0062">
            <w:pPr>
              <w:adjustRightInd w:val="0"/>
              <w:snapToGrid w:val="0"/>
              <w:spacing w:before="50" w:line="360" w:lineRule="auto"/>
              <w:ind w:left="-88" w:leftChars="-42"/>
              <w:jc w:val="center"/>
              <w:rPr>
                <w:rFonts w:hint="eastAsia" w:ascii="宋体" w:hAnsi="宋体"/>
                <w:szCs w:val="21"/>
              </w:rPr>
            </w:pPr>
          </w:p>
        </w:tc>
        <w:tc>
          <w:tcPr>
            <w:tcW w:w="2410" w:type="dxa"/>
            <w:vAlign w:val="center"/>
          </w:tcPr>
          <w:p w14:paraId="227C5163">
            <w:pPr>
              <w:adjustRightInd w:val="0"/>
              <w:snapToGrid w:val="0"/>
              <w:spacing w:before="50" w:line="360" w:lineRule="auto"/>
              <w:ind w:left="-88" w:leftChars="-42"/>
              <w:jc w:val="center"/>
              <w:rPr>
                <w:rFonts w:hint="eastAsia" w:ascii="宋体" w:hAnsi="宋体"/>
                <w:szCs w:val="21"/>
              </w:rPr>
            </w:pPr>
          </w:p>
        </w:tc>
        <w:tc>
          <w:tcPr>
            <w:tcW w:w="1985" w:type="dxa"/>
            <w:tcBorders>
              <w:right w:val="single" w:color="auto" w:sz="4" w:space="0"/>
            </w:tcBorders>
            <w:vAlign w:val="center"/>
          </w:tcPr>
          <w:p w14:paraId="4B71DA09">
            <w:pPr>
              <w:adjustRightInd w:val="0"/>
              <w:snapToGrid w:val="0"/>
              <w:spacing w:before="50" w:line="360" w:lineRule="auto"/>
              <w:ind w:left="-88" w:leftChars="-42"/>
              <w:jc w:val="center"/>
              <w:rPr>
                <w:rFonts w:hint="eastAsia" w:ascii="宋体" w:hAnsi="宋体"/>
                <w:szCs w:val="21"/>
              </w:rPr>
            </w:pPr>
          </w:p>
        </w:tc>
        <w:tc>
          <w:tcPr>
            <w:tcW w:w="2126" w:type="dxa"/>
            <w:tcBorders>
              <w:left w:val="single" w:color="auto" w:sz="4" w:space="0"/>
            </w:tcBorders>
            <w:vAlign w:val="center"/>
          </w:tcPr>
          <w:p w14:paraId="30A49A0B">
            <w:pPr>
              <w:adjustRightInd w:val="0"/>
              <w:snapToGrid w:val="0"/>
              <w:spacing w:before="50" w:line="360" w:lineRule="auto"/>
              <w:ind w:left="-88" w:leftChars="-42"/>
              <w:jc w:val="center"/>
              <w:rPr>
                <w:rFonts w:hint="eastAsia" w:ascii="宋体" w:hAnsi="宋体"/>
                <w:szCs w:val="21"/>
              </w:rPr>
            </w:pPr>
          </w:p>
        </w:tc>
        <w:tc>
          <w:tcPr>
            <w:tcW w:w="1756" w:type="dxa"/>
            <w:vAlign w:val="center"/>
          </w:tcPr>
          <w:p w14:paraId="48EA7C17">
            <w:pPr>
              <w:adjustRightInd w:val="0"/>
              <w:snapToGrid w:val="0"/>
              <w:spacing w:before="50" w:line="360" w:lineRule="auto"/>
              <w:ind w:left="-88" w:leftChars="-42"/>
              <w:jc w:val="center"/>
              <w:rPr>
                <w:rFonts w:hint="eastAsia" w:ascii="宋体" w:hAnsi="宋体"/>
                <w:szCs w:val="21"/>
              </w:rPr>
            </w:pPr>
          </w:p>
        </w:tc>
      </w:tr>
      <w:tr w14:paraId="1978D69E">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28" w:type="dxa"/>
            <w:bottom w:w="0" w:type="dxa"/>
            <w:right w:w="28" w:type="dxa"/>
          </w:tblCellMar>
        </w:tblPrEx>
        <w:trPr>
          <w:trHeight w:val="505" w:hRule="atLeast"/>
          <w:jc w:val="center"/>
        </w:trPr>
        <w:tc>
          <w:tcPr>
            <w:tcW w:w="737" w:type="dxa"/>
            <w:vAlign w:val="center"/>
          </w:tcPr>
          <w:p w14:paraId="3CCDB464">
            <w:pPr>
              <w:adjustRightInd w:val="0"/>
              <w:snapToGrid w:val="0"/>
              <w:spacing w:before="50" w:line="360" w:lineRule="auto"/>
              <w:ind w:left="-88" w:leftChars="-42"/>
              <w:jc w:val="center"/>
              <w:rPr>
                <w:rFonts w:hint="eastAsia" w:ascii="宋体" w:hAnsi="宋体"/>
                <w:szCs w:val="21"/>
              </w:rPr>
            </w:pPr>
          </w:p>
        </w:tc>
        <w:tc>
          <w:tcPr>
            <w:tcW w:w="2410" w:type="dxa"/>
            <w:vAlign w:val="center"/>
          </w:tcPr>
          <w:p w14:paraId="1F1AF622">
            <w:pPr>
              <w:adjustRightInd w:val="0"/>
              <w:snapToGrid w:val="0"/>
              <w:spacing w:before="50" w:line="360" w:lineRule="auto"/>
              <w:ind w:left="-88" w:leftChars="-42"/>
              <w:jc w:val="center"/>
              <w:rPr>
                <w:rFonts w:hint="eastAsia" w:ascii="宋体" w:hAnsi="宋体"/>
                <w:szCs w:val="21"/>
              </w:rPr>
            </w:pPr>
          </w:p>
        </w:tc>
        <w:tc>
          <w:tcPr>
            <w:tcW w:w="1985" w:type="dxa"/>
            <w:tcBorders>
              <w:right w:val="single" w:color="auto" w:sz="4" w:space="0"/>
            </w:tcBorders>
            <w:vAlign w:val="center"/>
          </w:tcPr>
          <w:p w14:paraId="4D93C6B0">
            <w:pPr>
              <w:adjustRightInd w:val="0"/>
              <w:snapToGrid w:val="0"/>
              <w:spacing w:before="50" w:line="360" w:lineRule="auto"/>
              <w:ind w:left="-88" w:leftChars="-42"/>
              <w:jc w:val="center"/>
              <w:rPr>
                <w:rFonts w:hint="eastAsia" w:ascii="宋体" w:hAnsi="宋体"/>
                <w:szCs w:val="21"/>
              </w:rPr>
            </w:pPr>
          </w:p>
        </w:tc>
        <w:tc>
          <w:tcPr>
            <w:tcW w:w="2126" w:type="dxa"/>
            <w:tcBorders>
              <w:left w:val="single" w:color="auto" w:sz="4" w:space="0"/>
            </w:tcBorders>
            <w:vAlign w:val="center"/>
          </w:tcPr>
          <w:p w14:paraId="33BC7688">
            <w:pPr>
              <w:adjustRightInd w:val="0"/>
              <w:snapToGrid w:val="0"/>
              <w:spacing w:before="50" w:line="360" w:lineRule="auto"/>
              <w:ind w:left="-88" w:leftChars="-42"/>
              <w:jc w:val="center"/>
              <w:rPr>
                <w:rFonts w:hint="eastAsia" w:ascii="宋体" w:hAnsi="宋体"/>
                <w:szCs w:val="21"/>
              </w:rPr>
            </w:pPr>
          </w:p>
        </w:tc>
        <w:tc>
          <w:tcPr>
            <w:tcW w:w="1756" w:type="dxa"/>
            <w:vAlign w:val="center"/>
          </w:tcPr>
          <w:p w14:paraId="45CA2AC0">
            <w:pPr>
              <w:adjustRightInd w:val="0"/>
              <w:snapToGrid w:val="0"/>
              <w:spacing w:before="50" w:line="360" w:lineRule="auto"/>
              <w:ind w:left="-88" w:leftChars="-42"/>
              <w:jc w:val="center"/>
              <w:rPr>
                <w:rFonts w:hint="eastAsia" w:ascii="宋体" w:hAnsi="宋体"/>
                <w:szCs w:val="21"/>
              </w:rPr>
            </w:pPr>
          </w:p>
        </w:tc>
      </w:tr>
      <w:tr w14:paraId="7E73670A">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28" w:type="dxa"/>
            <w:bottom w:w="0" w:type="dxa"/>
            <w:right w:w="28" w:type="dxa"/>
          </w:tblCellMar>
        </w:tblPrEx>
        <w:trPr>
          <w:trHeight w:val="505" w:hRule="atLeast"/>
          <w:jc w:val="center"/>
        </w:trPr>
        <w:tc>
          <w:tcPr>
            <w:tcW w:w="737" w:type="dxa"/>
            <w:vAlign w:val="center"/>
          </w:tcPr>
          <w:p w14:paraId="4CC303C2">
            <w:pPr>
              <w:adjustRightInd w:val="0"/>
              <w:snapToGrid w:val="0"/>
              <w:spacing w:before="50" w:line="360" w:lineRule="auto"/>
              <w:ind w:left="-88" w:leftChars="-42"/>
              <w:jc w:val="center"/>
              <w:rPr>
                <w:rFonts w:hint="eastAsia" w:ascii="宋体" w:hAnsi="宋体"/>
                <w:szCs w:val="21"/>
              </w:rPr>
            </w:pPr>
          </w:p>
        </w:tc>
        <w:tc>
          <w:tcPr>
            <w:tcW w:w="2410" w:type="dxa"/>
            <w:vAlign w:val="center"/>
          </w:tcPr>
          <w:p w14:paraId="3D604229">
            <w:pPr>
              <w:adjustRightInd w:val="0"/>
              <w:snapToGrid w:val="0"/>
              <w:spacing w:before="50" w:line="360" w:lineRule="auto"/>
              <w:ind w:left="-88" w:leftChars="-42"/>
              <w:jc w:val="center"/>
              <w:rPr>
                <w:rFonts w:hint="eastAsia" w:ascii="宋体" w:hAnsi="宋体"/>
                <w:szCs w:val="21"/>
              </w:rPr>
            </w:pPr>
          </w:p>
        </w:tc>
        <w:tc>
          <w:tcPr>
            <w:tcW w:w="1985" w:type="dxa"/>
            <w:tcBorders>
              <w:right w:val="single" w:color="auto" w:sz="4" w:space="0"/>
            </w:tcBorders>
            <w:vAlign w:val="center"/>
          </w:tcPr>
          <w:p w14:paraId="330D6903">
            <w:pPr>
              <w:adjustRightInd w:val="0"/>
              <w:snapToGrid w:val="0"/>
              <w:spacing w:before="50" w:line="360" w:lineRule="auto"/>
              <w:ind w:left="-88" w:leftChars="-42"/>
              <w:jc w:val="center"/>
              <w:rPr>
                <w:rFonts w:hint="eastAsia" w:ascii="宋体" w:hAnsi="宋体"/>
                <w:szCs w:val="21"/>
              </w:rPr>
            </w:pPr>
          </w:p>
        </w:tc>
        <w:tc>
          <w:tcPr>
            <w:tcW w:w="3882" w:type="dxa"/>
            <w:gridSpan w:val="2"/>
            <w:tcBorders>
              <w:left w:val="single" w:color="auto" w:sz="4" w:space="0"/>
            </w:tcBorders>
            <w:vAlign w:val="center"/>
          </w:tcPr>
          <w:p w14:paraId="7F92D61A">
            <w:pPr>
              <w:adjustRightInd w:val="0"/>
              <w:snapToGrid w:val="0"/>
              <w:spacing w:before="50" w:line="360" w:lineRule="auto"/>
              <w:ind w:firstLine="422" w:firstLineChars="200"/>
              <w:rPr>
                <w:rFonts w:hint="eastAsia" w:ascii="宋体" w:hAnsi="宋体"/>
                <w:szCs w:val="21"/>
              </w:rPr>
            </w:pPr>
            <w:r>
              <w:rPr>
                <w:rFonts w:hint="eastAsia" w:ascii="宋体" w:hAnsi="宋体"/>
                <w:b/>
                <w:szCs w:val="21"/>
              </w:rPr>
              <w:t>投标人保证：除本采购需求偏离表列出的偏离外，我单位对招标文件的其他采购需求条款完全响应，无偏离。</w:t>
            </w:r>
          </w:p>
        </w:tc>
      </w:tr>
    </w:tbl>
    <w:p w14:paraId="5CC1B4C6">
      <w:pPr>
        <w:adjustRightInd w:val="0"/>
        <w:snapToGrid w:val="0"/>
        <w:spacing w:before="50" w:line="360" w:lineRule="auto"/>
        <w:ind w:left="-88" w:leftChars="-42"/>
        <w:rPr>
          <w:rFonts w:hint="eastAsia" w:ascii="宋体" w:hAnsi="宋体"/>
          <w:szCs w:val="21"/>
        </w:rPr>
      </w:pPr>
      <w:r>
        <w:rPr>
          <w:rFonts w:hint="eastAsia" w:ascii="宋体" w:hAnsi="宋体"/>
          <w:bCs/>
          <w:szCs w:val="21"/>
        </w:rPr>
        <w:t>注：</w:t>
      </w:r>
      <w:r>
        <w:rPr>
          <w:rFonts w:hint="eastAsia" w:ascii="宋体" w:hAnsi="宋体"/>
          <w:szCs w:val="21"/>
        </w:rPr>
        <w:t>1.投标人应根据招标文件第五章“采购需求”填写本表；</w:t>
      </w:r>
    </w:p>
    <w:p w14:paraId="17DBACAA">
      <w:pPr>
        <w:adjustRightInd w:val="0"/>
        <w:snapToGrid w:val="0"/>
        <w:spacing w:before="50" w:line="360" w:lineRule="auto"/>
        <w:ind w:left="-88" w:leftChars="-42" w:firstLine="420" w:firstLineChars="200"/>
        <w:rPr>
          <w:rFonts w:hint="eastAsia" w:ascii="宋体" w:hAnsi="宋体"/>
          <w:b/>
          <w:szCs w:val="21"/>
        </w:rPr>
      </w:pPr>
      <w:r>
        <w:rPr>
          <w:rFonts w:hint="eastAsia" w:ascii="宋体" w:hAnsi="宋体"/>
          <w:szCs w:val="21"/>
        </w:rPr>
        <w:t>2.</w:t>
      </w:r>
      <w:r>
        <w:rPr>
          <w:rFonts w:hint="eastAsia" w:ascii="宋体" w:hAnsi="宋体"/>
          <w:b/>
          <w:szCs w:val="21"/>
        </w:rPr>
        <w:t>投标人如果对招标文件第五章“采购需求”的响应有偏离，应将偏离条款逐条如实应答，并作出说明；</w:t>
      </w:r>
    </w:p>
    <w:p w14:paraId="37E15577">
      <w:pPr>
        <w:adjustRightInd w:val="0"/>
        <w:snapToGrid w:val="0"/>
        <w:spacing w:before="50" w:line="360" w:lineRule="auto"/>
        <w:ind w:left="-88" w:leftChars="-42" w:firstLine="420" w:firstLineChars="200"/>
        <w:rPr>
          <w:rFonts w:hint="eastAsia" w:ascii="宋体" w:hAnsi="宋体"/>
          <w:szCs w:val="21"/>
        </w:rPr>
      </w:pPr>
      <w:r>
        <w:rPr>
          <w:rFonts w:hint="eastAsia" w:ascii="宋体" w:hAnsi="宋体"/>
          <w:szCs w:val="21"/>
        </w:rPr>
        <w:t>3.如不提供此表，则视为投标人不满足招标文件第五章的所有条款要求，其</w:t>
      </w:r>
      <w:r>
        <w:rPr>
          <w:rFonts w:hint="eastAsia" w:ascii="宋体" w:hAnsi="宋体"/>
          <w:b/>
          <w:szCs w:val="21"/>
        </w:rPr>
        <w:t>投标无效</w:t>
      </w:r>
      <w:r>
        <w:rPr>
          <w:rFonts w:hint="eastAsia" w:ascii="宋体" w:hAnsi="宋体"/>
          <w:szCs w:val="21"/>
        </w:rPr>
        <w:t>。</w:t>
      </w:r>
    </w:p>
    <w:p w14:paraId="7C76AAF9">
      <w:pPr>
        <w:adjustRightInd w:val="0"/>
        <w:snapToGrid w:val="0"/>
        <w:spacing w:before="50" w:line="360" w:lineRule="auto"/>
        <w:ind w:left="-88" w:leftChars="-42" w:firstLine="420" w:firstLineChars="200"/>
        <w:rPr>
          <w:rFonts w:hint="eastAsia" w:ascii="宋体" w:hAnsi="宋体"/>
          <w:szCs w:val="21"/>
        </w:rPr>
      </w:pPr>
      <w:r>
        <w:rPr>
          <w:rFonts w:hint="eastAsia" w:ascii="宋体" w:hAnsi="宋体"/>
          <w:szCs w:val="21"/>
        </w:rPr>
        <w:t>4.在采购人与中标人签订合同时，如中标人未在投标文件“采购需求偏离表”中列出偏离说明，无论已发生或即将发生任何情形，均视为完全符合招标文件要求，并写入合同。若中标人在合同签订前，以上述事项为借口而不履行合同签订手续及执行合同，则视作拒绝与采购人签订合同。</w:t>
      </w:r>
    </w:p>
    <w:p w14:paraId="0E461618">
      <w:pPr>
        <w:adjustRightInd w:val="0"/>
        <w:snapToGrid w:val="0"/>
        <w:spacing w:before="50" w:line="360" w:lineRule="auto"/>
        <w:ind w:left="-88" w:leftChars="-42" w:firstLine="420" w:firstLineChars="200"/>
        <w:rPr>
          <w:rFonts w:hint="eastAsia" w:ascii="宋体" w:hAnsi="宋体"/>
          <w:szCs w:val="21"/>
        </w:rPr>
      </w:pPr>
      <w:r>
        <w:rPr>
          <w:rFonts w:hint="eastAsia" w:ascii="宋体" w:hAnsi="宋体"/>
          <w:szCs w:val="21"/>
        </w:rPr>
        <w:t>5.本表偏离表与本章第七节“采购需求响应”不一致时，以“采购需求响应”为准。</w:t>
      </w:r>
    </w:p>
    <w:p w14:paraId="2D9A41D6">
      <w:pPr>
        <w:adjustRightInd w:val="0"/>
        <w:snapToGrid w:val="0"/>
        <w:spacing w:before="50" w:line="360" w:lineRule="auto"/>
        <w:rPr>
          <w:rFonts w:hint="eastAsia" w:ascii="宋体" w:hAnsi="宋体"/>
          <w:szCs w:val="21"/>
        </w:rPr>
      </w:pPr>
    </w:p>
    <w:p w14:paraId="709DC59A">
      <w:pPr>
        <w:adjustRightInd w:val="0"/>
        <w:snapToGrid w:val="0"/>
        <w:spacing w:before="50" w:line="360" w:lineRule="auto"/>
        <w:rPr>
          <w:rFonts w:hint="eastAsia" w:ascii="宋体" w:hAnsi="宋体"/>
          <w:szCs w:val="21"/>
        </w:rPr>
      </w:pPr>
    </w:p>
    <w:p w14:paraId="4BC52AAE">
      <w:pPr>
        <w:adjustRightInd w:val="0"/>
        <w:snapToGrid w:val="0"/>
        <w:spacing w:before="50" w:line="360" w:lineRule="auto"/>
        <w:rPr>
          <w:rFonts w:hint="eastAsia" w:ascii="宋体" w:hAnsi="宋体"/>
          <w:szCs w:val="21"/>
        </w:rPr>
      </w:pPr>
      <w:r>
        <w:rPr>
          <w:rFonts w:hint="eastAsia" w:ascii="宋体" w:hAnsi="宋体"/>
          <w:szCs w:val="21"/>
        </w:rPr>
        <w:t>投标人名称（盖单位章）：</w:t>
      </w:r>
    </w:p>
    <w:p w14:paraId="1D3F5F00">
      <w:pPr>
        <w:adjustRightInd w:val="0"/>
        <w:snapToGrid w:val="0"/>
        <w:spacing w:before="50" w:line="360" w:lineRule="auto"/>
        <w:rPr>
          <w:rFonts w:hint="eastAsia" w:ascii="宋体" w:hAnsi="宋体"/>
          <w:szCs w:val="21"/>
        </w:rPr>
      </w:pPr>
      <w:r>
        <w:rPr>
          <w:rFonts w:hint="eastAsia" w:ascii="宋体" w:hAnsi="宋体" w:cs="微软雅黑"/>
          <w:spacing w:val="-2"/>
          <w:kern w:val="0"/>
          <w:szCs w:val="21"/>
        </w:rPr>
        <w:t>法</w:t>
      </w:r>
      <w:r>
        <w:rPr>
          <w:rFonts w:hint="eastAsia" w:ascii="宋体" w:hAnsi="宋体" w:cs="微软雅黑"/>
          <w:kern w:val="0"/>
          <w:szCs w:val="21"/>
        </w:rPr>
        <w:t>定</w:t>
      </w:r>
      <w:r>
        <w:rPr>
          <w:rFonts w:hint="eastAsia" w:ascii="宋体" w:hAnsi="宋体" w:cs="微软雅黑"/>
          <w:spacing w:val="-2"/>
          <w:kern w:val="0"/>
          <w:szCs w:val="21"/>
        </w:rPr>
        <w:t>代</w:t>
      </w:r>
      <w:r>
        <w:rPr>
          <w:rFonts w:hint="eastAsia" w:ascii="宋体" w:hAnsi="宋体" w:cs="微软雅黑"/>
          <w:kern w:val="0"/>
          <w:szCs w:val="21"/>
        </w:rPr>
        <w:t>表</w:t>
      </w:r>
      <w:r>
        <w:rPr>
          <w:rFonts w:hint="eastAsia" w:ascii="宋体" w:hAnsi="宋体" w:cs="微软雅黑"/>
          <w:spacing w:val="-2"/>
          <w:kern w:val="0"/>
          <w:szCs w:val="21"/>
        </w:rPr>
        <w:t>人</w:t>
      </w:r>
      <w:r>
        <w:rPr>
          <w:rFonts w:hint="eastAsia" w:ascii="宋体" w:hAnsi="宋体" w:cs="微软雅黑"/>
          <w:kern w:val="0"/>
          <w:szCs w:val="21"/>
        </w:rPr>
        <w:t>（</w:t>
      </w:r>
      <w:r>
        <w:rPr>
          <w:rFonts w:hint="eastAsia" w:ascii="宋体" w:hAnsi="宋体" w:cs="微软雅黑"/>
          <w:spacing w:val="-2"/>
          <w:kern w:val="0"/>
          <w:szCs w:val="21"/>
        </w:rPr>
        <w:t>单</w:t>
      </w:r>
      <w:r>
        <w:rPr>
          <w:rFonts w:hint="eastAsia" w:ascii="宋体" w:hAnsi="宋体" w:cs="微软雅黑"/>
          <w:kern w:val="0"/>
          <w:szCs w:val="21"/>
        </w:rPr>
        <w:t>位</w:t>
      </w:r>
      <w:r>
        <w:rPr>
          <w:rFonts w:hint="eastAsia" w:ascii="宋体" w:hAnsi="宋体" w:cs="微软雅黑"/>
          <w:spacing w:val="-2"/>
          <w:kern w:val="0"/>
          <w:szCs w:val="21"/>
        </w:rPr>
        <w:t>负</w:t>
      </w:r>
      <w:r>
        <w:rPr>
          <w:rFonts w:hint="eastAsia" w:ascii="宋体" w:hAnsi="宋体" w:cs="微软雅黑"/>
          <w:kern w:val="0"/>
          <w:szCs w:val="21"/>
        </w:rPr>
        <w:t>责人</w:t>
      </w:r>
      <w:r>
        <w:rPr>
          <w:rFonts w:hint="eastAsia" w:ascii="宋体" w:hAnsi="宋体" w:cs="微软雅黑"/>
          <w:spacing w:val="-2"/>
          <w:kern w:val="0"/>
          <w:szCs w:val="21"/>
        </w:rPr>
        <w:t>）</w:t>
      </w:r>
      <w:r>
        <w:rPr>
          <w:rFonts w:hint="eastAsia" w:ascii="宋体" w:hAnsi="宋体"/>
          <w:szCs w:val="21"/>
        </w:rPr>
        <w:t>或其授权的代理人（签字或印章）：</w:t>
      </w:r>
      <w:r>
        <w:rPr>
          <w:rFonts w:hint="eastAsia" w:ascii="宋体" w:hAnsi="宋体"/>
          <w:szCs w:val="21"/>
          <w:u w:val="single"/>
        </w:rPr>
        <w:t xml:space="preserve">                     </w:t>
      </w:r>
    </w:p>
    <w:p w14:paraId="64D54419">
      <w:pPr>
        <w:adjustRightInd w:val="0"/>
        <w:snapToGrid w:val="0"/>
        <w:spacing w:before="50" w:line="360" w:lineRule="auto"/>
        <w:rPr>
          <w:rFonts w:hint="eastAsia" w:ascii="宋体" w:hAnsi="宋体"/>
          <w:szCs w:val="21"/>
        </w:rPr>
      </w:pPr>
      <w:r>
        <w:rPr>
          <w:rFonts w:hint="eastAsia" w:ascii="宋体" w:hAnsi="宋体"/>
          <w:szCs w:val="21"/>
        </w:rPr>
        <w:t>日      期：</w:t>
      </w:r>
      <w:r>
        <w:rPr>
          <w:rFonts w:hint="eastAsia" w:ascii="宋体" w:hAnsi="宋体"/>
          <w:szCs w:val="21"/>
          <w:u w:val="single"/>
        </w:rPr>
        <w:t xml:space="preserve">          </w:t>
      </w:r>
      <w:r>
        <w:rPr>
          <w:rFonts w:hint="eastAsia" w:ascii="宋体" w:hAnsi="宋体"/>
          <w:szCs w:val="21"/>
        </w:rPr>
        <w:t>年</w:t>
      </w:r>
      <w:r>
        <w:rPr>
          <w:rFonts w:hint="eastAsia" w:ascii="宋体" w:hAnsi="宋体"/>
          <w:szCs w:val="21"/>
          <w:u w:val="single"/>
        </w:rPr>
        <w:t xml:space="preserve">        </w:t>
      </w:r>
      <w:r>
        <w:rPr>
          <w:rFonts w:hint="eastAsia" w:ascii="宋体" w:hAnsi="宋体"/>
          <w:szCs w:val="21"/>
        </w:rPr>
        <w:t>月</w:t>
      </w:r>
      <w:r>
        <w:rPr>
          <w:rFonts w:hint="eastAsia" w:ascii="宋体" w:hAnsi="宋体"/>
          <w:szCs w:val="21"/>
          <w:u w:val="single"/>
        </w:rPr>
        <w:t xml:space="preserve">      </w:t>
      </w:r>
      <w:r>
        <w:rPr>
          <w:rFonts w:hint="eastAsia" w:ascii="宋体" w:hAnsi="宋体"/>
          <w:szCs w:val="21"/>
        </w:rPr>
        <w:t>日</w:t>
      </w:r>
    </w:p>
    <w:p w14:paraId="573C19A5">
      <w:pPr>
        <w:pStyle w:val="4"/>
        <w:adjustRightInd w:val="0"/>
        <w:snapToGrid w:val="0"/>
        <w:spacing w:before="0" w:after="0" w:line="360" w:lineRule="auto"/>
        <w:rPr>
          <w:rFonts w:hint="eastAsia" w:ascii="宋体" w:hAnsi="宋体"/>
          <w:szCs w:val="21"/>
        </w:rPr>
        <w:sectPr>
          <w:pgSz w:w="11906" w:h="16838"/>
          <w:pgMar w:top="1474" w:right="1474" w:bottom="1474" w:left="1587" w:header="851" w:footer="992" w:gutter="0"/>
          <w:pgBorders>
            <w:top w:val="none" w:sz="0" w:space="0"/>
            <w:left w:val="none" w:sz="0" w:space="0"/>
            <w:bottom w:val="none" w:sz="0" w:space="0"/>
            <w:right w:val="none" w:sz="0" w:space="0"/>
          </w:pgBorders>
          <w:cols w:space="0" w:num="1"/>
          <w:docGrid w:type="lines" w:linePitch="315" w:charSpace="0"/>
        </w:sectPr>
      </w:pPr>
    </w:p>
    <w:p w14:paraId="1FCD1F3A">
      <w:pPr>
        <w:pStyle w:val="4"/>
        <w:adjustRightInd w:val="0"/>
        <w:snapToGrid w:val="0"/>
        <w:spacing w:before="0" w:after="0" w:line="360" w:lineRule="auto"/>
        <w:jc w:val="center"/>
        <w:rPr>
          <w:rFonts w:hint="eastAsia" w:ascii="黑体" w:hAnsi="宋体" w:eastAsia="黑体"/>
          <w:sz w:val="28"/>
          <w:szCs w:val="28"/>
        </w:rPr>
      </w:pPr>
      <w:bookmarkStart w:id="177" w:name="_Toc10579"/>
      <w:r>
        <w:rPr>
          <w:rFonts w:hint="eastAsia" w:ascii="宋体" w:hAnsi="宋体"/>
          <w:szCs w:val="21"/>
        </w:rPr>
        <w:t>十</w:t>
      </w:r>
      <w:r>
        <w:rPr>
          <w:rFonts w:hint="eastAsia" w:ascii="黑体" w:hAnsi="宋体" w:eastAsia="黑体"/>
          <w:sz w:val="28"/>
          <w:szCs w:val="28"/>
        </w:rPr>
        <w:t>、享受政府采购政策优惠的证明资料</w:t>
      </w:r>
      <w:bookmarkEnd w:id="177"/>
    </w:p>
    <w:p w14:paraId="2C10C62B">
      <w:pPr>
        <w:adjustRightInd w:val="0"/>
        <w:snapToGrid w:val="0"/>
        <w:spacing w:line="360" w:lineRule="auto"/>
        <w:rPr>
          <w:rFonts w:hint="eastAsia" w:ascii="黑体" w:hAnsi="华文中宋" w:eastAsia="黑体" w:cs="宋体"/>
          <w:bCs/>
          <w:spacing w:val="6"/>
          <w:kern w:val="0"/>
          <w:szCs w:val="21"/>
        </w:rPr>
      </w:pPr>
    </w:p>
    <w:p w14:paraId="51A20CB0">
      <w:pPr>
        <w:adjustRightInd w:val="0"/>
        <w:snapToGrid w:val="0"/>
        <w:spacing w:line="360" w:lineRule="auto"/>
        <w:ind w:firstLine="444" w:firstLineChars="200"/>
        <w:rPr>
          <w:rFonts w:hint="eastAsia" w:ascii="宋体" w:hAnsi="宋体" w:cs="宋体"/>
          <w:bCs/>
          <w:spacing w:val="6"/>
          <w:kern w:val="0"/>
          <w:szCs w:val="21"/>
        </w:rPr>
      </w:pPr>
      <w:r>
        <w:rPr>
          <w:rFonts w:hint="eastAsia" w:ascii="宋体" w:hAnsi="宋体" w:cs="宋体"/>
          <w:bCs/>
          <w:spacing w:val="6"/>
          <w:kern w:val="0"/>
          <w:szCs w:val="21"/>
        </w:rPr>
        <w:t>投标人符合第二章第33.6款要求的，应提供下列证明资料，并填写相关数据。否则，评审时不予以考虑。</w:t>
      </w:r>
    </w:p>
    <w:p w14:paraId="72FE1A04">
      <w:pPr>
        <w:pStyle w:val="5"/>
        <w:rPr>
          <w:rFonts w:hint="eastAsia" w:ascii="黑体" w:hAnsi="宋体"/>
          <w:b w:val="0"/>
          <w:bCs w:val="0"/>
          <w:sz w:val="21"/>
          <w:szCs w:val="21"/>
        </w:rPr>
      </w:pPr>
      <w:bookmarkStart w:id="178" w:name="_Toc200"/>
      <w:r>
        <w:rPr>
          <w:rFonts w:hint="eastAsia" w:ascii="黑体" w:hAnsi="华文中宋" w:cs="宋体"/>
          <w:b w:val="0"/>
          <w:bCs w:val="0"/>
          <w:spacing w:val="6"/>
          <w:kern w:val="0"/>
          <w:sz w:val="21"/>
          <w:szCs w:val="21"/>
        </w:rPr>
        <w:t xml:space="preserve">附件10-1 </w:t>
      </w:r>
      <w:r>
        <w:rPr>
          <w:rFonts w:hint="eastAsia" w:ascii="黑体" w:hAnsi="宋体"/>
          <w:b w:val="0"/>
          <w:bCs w:val="0"/>
          <w:sz w:val="21"/>
          <w:szCs w:val="21"/>
        </w:rPr>
        <w:t>中小企业声明函</w:t>
      </w:r>
      <w:bookmarkEnd w:id="178"/>
    </w:p>
    <w:p w14:paraId="11742F9A">
      <w:pPr>
        <w:widowControl/>
        <w:adjustRightInd w:val="0"/>
        <w:snapToGrid w:val="0"/>
        <w:spacing w:line="360" w:lineRule="auto"/>
        <w:jc w:val="center"/>
        <w:rPr>
          <w:rFonts w:hint="eastAsia" w:ascii="黑体" w:hAnsi="黑体" w:eastAsia="黑体" w:cs="宋体"/>
          <w:b/>
          <w:bCs/>
          <w:spacing w:val="6"/>
          <w:kern w:val="0"/>
          <w:sz w:val="28"/>
          <w:szCs w:val="28"/>
        </w:rPr>
      </w:pPr>
      <w:r>
        <w:rPr>
          <w:rFonts w:hint="eastAsia" w:ascii="黑体" w:hAnsi="黑体" w:eastAsia="黑体" w:cs="黑体"/>
          <w:b/>
          <w:bCs/>
          <w:spacing w:val="6"/>
          <w:kern w:val="0"/>
          <w:sz w:val="28"/>
          <w:szCs w:val="28"/>
        </w:rPr>
        <w:t>中小企业声明函（货物类）</w:t>
      </w:r>
    </w:p>
    <w:p w14:paraId="09836CA0">
      <w:pPr>
        <w:widowControl/>
        <w:adjustRightInd w:val="0"/>
        <w:snapToGrid w:val="0"/>
        <w:spacing w:line="360" w:lineRule="auto"/>
        <w:jc w:val="center"/>
        <w:rPr>
          <w:rFonts w:hint="eastAsia" w:ascii="宋体" w:hAnsi="宋体" w:cs="宋体"/>
          <w:kern w:val="0"/>
          <w:szCs w:val="21"/>
          <w:lang w:bidi="ar"/>
        </w:rPr>
      </w:pPr>
      <w:r>
        <w:rPr>
          <w:rFonts w:hint="eastAsia" w:ascii="宋体" w:hAnsi="宋体" w:cs="宋体"/>
          <w:b/>
          <w:spacing w:val="6"/>
          <w:kern w:val="0"/>
          <w:szCs w:val="21"/>
        </w:rPr>
        <w:t>(不满足以下条件的无需填写)</w:t>
      </w:r>
    </w:p>
    <w:p w14:paraId="440A7380">
      <w:pPr>
        <w:widowControl/>
        <w:spacing w:line="360" w:lineRule="auto"/>
        <w:ind w:firstLine="420" w:firstLineChars="200"/>
        <w:jc w:val="left"/>
        <w:rPr>
          <w:rFonts w:hint="eastAsia" w:ascii="宋体" w:hAnsi="宋体" w:cs="宋体"/>
          <w:szCs w:val="21"/>
        </w:rPr>
      </w:pPr>
      <w:r>
        <w:rPr>
          <w:rFonts w:hint="eastAsia" w:ascii="宋体" w:hAnsi="宋体" w:cs="宋体"/>
          <w:kern w:val="0"/>
          <w:szCs w:val="21"/>
          <w:lang w:bidi="ar"/>
        </w:rPr>
        <w:t>本公司（联合体）郑重声明，根据《政府采购促进中小企业发展管理办法》（财库﹝2020﹞46 号）的规定，本公司（联合体）参加</w:t>
      </w:r>
      <w:r>
        <w:rPr>
          <w:rFonts w:hint="eastAsia" w:ascii="宋体" w:hAnsi="宋体" w:cs="宋体"/>
          <w:kern w:val="0"/>
          <w:szCs w:val="21"/>
          <w:u w:val="single"/>
          <w:lang w:bidi="ar"/>
        </w:rPr>
        <w:t>（单位名称）</w:t>
      </w:r>
      <w:r>
        <w:rPr>
          <w:rFonts w:hint="eastAsia" w:ascii="宋体" w:hAnsi="宋体" w:cs="宋体"/>
          <w:kern w:val="0"/>
          <w:szCs w:val="21"/>
          <w:lang w:bidi="ar"/>
        </w:rPr>
        <w:t>的</w:t>
      </w:r>
      <w:r>
        <w:rPr>
          <w:rFonts w:hint="eastAsia" w:ascii="宋体" w:hAnsi="宋体" w:cs="宋体"/>
          <w:kern w:val="0"/>
          <w:szCs w:val="21"/>
          <w:u w:val="single"/>
          <w:lang w:bidi="ar"/>
        </w:rPr>
        <w:t>（项目名称）</w:t>
      </w:r>
      <w:r>
        <w:rPr>
          <w:rFonts w:hint="eastAsia" w:ascii="宋体" w:hAnsi="宋体" w:cs="宋体"/>
          <w:kern w:val="0"/>
          <w:szCs w:val="21"/>
          <w:lang w:bidi="ar"/>
        </w:rPr>
        <w:t xml:space="preserve">采购活动，提供的货物全部由符合政策要求的中小企业制造。相关企业（含联合体中的中小企业、签订分包意向协议的中小企业）的具体情况如下： </w:t>
      </w:r>
    </w:p>
    <w:p w14:paraId="598EEF9C">
      <w:pPr>
        <w:widowControl/>
        <w:spacing w:line="360" w:lineRule="auto"/>
        <w:ind w:firstLine="420" w:firstLineChars="200"/>
        <w:jc w:val="left"/>
        <w:rPr>
          <w:rFonts w:hint="eastAsia" w:ascii="宋体" w:hAnsi="宋体" w:cs="宋体"/>
          <w:szCs w:val="21"/>
        </w:rPr>
      </w:pPr>
      <w:r>
        <w:rPr>
          <w:rFonts w:hint="eastAsia" w:ascii="宋体" w:hAnsi="宋体" w:cs="宋体"/>
          <w:kern w:val="0"/>
          <w:szCs w:val="21"/>
          <w:lang w:bidi="ar"/>
        </w:rPr>
        <w:t xml:space="preserve">1. </w:t>
      </w:r>
      <w:r>
        <w:rPr>
          <w:rFonts w:hint="eastAsia" w:ascii="宋体" w:hAnsi="宋体" w:cs="宋体"/>
          <w:kern w:val="0"/>
          <w:szCs w:val="21"/>
          <w:u w:val="single"/>
          <w:lang w:bidi="ar"/>
        </w:rPr>
        <w:t xml:space="preserve">（标的名称） </w:t>
      </w:r>
      <w:r>
        <w:rPr>
          <w:rFonts w:hint="eastAsia" w:ascii="宋体" w:hAnsi="宋体" w:cs="宋体"/>
          <w:kern w:val="0"/>
          <w:szCs w:val="21"/>
          <w:lang w:bidi="ar"/>
        </w:rPr>
        <w:t>，属于</w:t>
      </w:r>
      <w:r>
        <w:rPr>
          <w:rFonts w:hint="eastAsia" w:ascii="宋体" w:hAnsi="宋体" w:cs="宋体"/>
          <w:kern w:val="0"/>
          <w:szCs w:val="21"/>
          <w:u w:val="single"/>
          <w:lang w:bidi="ar"/>
        </w:rPr>
        <w:t>（采购文件中明确的所属行业）</w:t>
      </w:r>
      <w:r>
        <w:rPr>
          <w:rFonts w:hint="eastAsia" w:ascii="宋体" w:hAnsi="宋体" w:cs="宋体"/>
          <w:kern w:val="0"/>
          <w:szCs w:val="21"/>
          <w:lang w:bidi="ar"/>
        </w:rPr>
        <w:t>行业；制造商为</w:t>
      </w:r>
      <w:r>
        <w:rPr>
          <w:rFonts w:hint="eastAsia" w:ascii="宋体" w:hAnsi="宋体" w:cs="宋体"/>
          <w:kern w:val="0"/>
          <w:szCs w:val="21"/>
          <w:u w:val="single"/>
          <w:lang w:bidi="ar"/>
        </w:rPr>
        <w:t>（企业名称）</w:t>
      </w:r>
      <w:r>
        <w:rPr>
          <w:rFonts w:hint="eastAsia" w:ascii="宋体" w:hAnsi="宋体" w:cs="宋体"/>
          <w:kern w:val="0"/>
          <w:szCs w:val="21"/>
          <w:lang w:bidi="ar"/>
        </w:rPr>
        <w:t>，从业人员</w:t>
      </w:r>
      <w:r>
        <w:rPr>
          <w:rFonts w:hint="eastAsia" w:ascii="宋体" w:hAnsi="宋体" w:cs="宋体"/>
          <w:kern w:val="0"/>
          <w:szCs w:val="21"/>
          <w:u w:val="single"/>
          <w:lang w:bidi="ar"/>
        </w:rPr>
        <w:t xml:space="preserve">      </w:t>
      </w:r>
      <w:r>
        <w:rPr>
          <w:rFonts w:hint="eastAsia" w:ascii="宋体" w:hAnsi="宋体" w:cs="宋体"/>
          <w:kern w:val="0"/>
          <w:szCs w:val="21"/>
          <w:lang w:bidi="ar"/>
        </w:rPr>
        <w:t>人，营业收入为</w:t>
      </w:r>
      <w:r>
        <w:rPr>
          <w:rFonts w:hint="eastAsia" w:ascii="宋体" w:hAnsi="宋体" w:cs="宋体"/>
          <w:kern w:val="0"/>
          <w:szCs w:val="21"/>
          <w:u w:val="single"/>
          <w:lang w:bidi="ar"/>
        </w:rPr>
        <w:t xml:space="preserve">       </w:t>
      </w:r>
      <w:r>
        <w:rPr>
          <w:rFonts w:hint="eastAsia" w:ascii="宋体" w:hAnsi="宋体" w:cs="宋体"/>
          <w:kern w:val="0"/>
          <w:szCs w:val="21"/>
          <w:lang w:bidi="ar"/>
        </w:rPr>
        <w:t>万元，资产总额为</w:t>
      </w:r>
      <w:r>
        <w:rPr>
          <w:rFonts w:hint="eastAsia" w:ascii="宋体" w:hAnsi="宋体" w:cs="宋体"/>
          <w:kern w:val="0"/>
          <w:szCs w:val="21"/>
          <w:u w:val="single"/>
          <w:lang w:bidi="ar"/>
        </w:rPr>
        <w:t xml:space="preserve">       </w:t>
      </w:r>
      <w:r>
        <w:rPr>
          <w:rFonts w:hint="eastAsia" w:ascii="宋体" w:hAnsi="宋体" w:cs="宋体"/>
          <w:kern w:val="0"/>
          <w:szCs w:val="21"/>
          <w:lang w:bidi="ar"/>
        </w:rPr>
        <w:t>万元，属于</w:t>
      </w:r>
      <w:r>
        <w:rPr>
          <w:rFonts w:hint="eastAsia" w:ascii="宋体" w:hAnsi="宋体" w:cs="宋体"/>
          <w:kern w:val="0"/>
          <w:szCs w:val="21"/>
          <w:u w:val="single"/>
          <w:lang w:bidi="ar"/>
        </w:rPr>
        <w:t>（中型企业、小型企业、微型企业）</w:t>
      </w:r>
      <w:r>
        <w:rPr>
          <w:rFonts w:hint="eastAsia" w:ascii="宋体" w:hAnsi="宋体" w:cs="宋体"/>
          <w:kern w:val="0"/>
          <w:szCs w:val="21"/>
          <w:lang w:bidi="ar"/>
        </w:rPr>
        <w:t xml:space="preserve">； </w:t>
      </w:r>
    </w:p>
    <w:p w14:paraId="595848F4">
      <w:pPr>
        <w:widowControl/>
        <w:spacing w:line="360" w:lineRule="auto"/>
        <w:ind w:firstLine="420" w:firstLineChars="200"/>
        <w:jc w:val="left"/>
        <w:rPr>
          <w:rFonts w:hint="eastAsia" w:ascii="宋体" w:hAnsi="宋体" w:cs="宋体"/>
          <w:szCs w:val="21"/>
        </w:rPr>
      </w:pPr>
      <w:r>
        <w:rPr>
          <w:rFonts w:hint="eastAsia" w:ascii="宋体" w:hAnsi="宋体" w:cs="宋体"/>
          <w:kern w:val="0"/>
          <w:szCs w:val="21"/>
          <w:lang w:bidi="ar"/>
        </w:rPr>
        <w:t xml:space="preserve">2. </w:t>
      </w:r>
      <w:r>
        <w:rPr>
          <w:rFonts w:hint="eastAsia" w:ascii="宋体" w:hAnsi="宋体" w:cs="宋体"/>
          <w:kern w:val="0"/>
          <w:szCs w:val="21"/>
          <w:u w:val="single"/>
          <w:lang w:bidi="ar"/>
        </w:rPr>
        <w:t xml:space="preserve">（标的名称） </w:t>
      </w:r>
      <w:r>
        <w:rPr>
          <w:rFonts w:hint="eastAsia" w:ascii="宋体" w:hAnsi="宋体" w:cs="宋体"/>
          <w:kern w:val="0"/>
          <w:szCs w:val="21"/>
          <w:lang w:bidi="ar"/>
        </w:rPr>
        <w:t>，属于</w:t>
      </w:r>
      <w:r>
        <w:rPr>
          <w:rFonts w:hint="eastAsia" w:ascii="宋体" w:hAnsi="宋体" w:cs="宋体"/>
          <w:kern w:val="0"/>
          <w:szCs w:val="21"/>
          <w:u w:val="single"/>
          <w:lang w:bidi="ar"/>
        </w:rPr>
        <w:t>（采购文件中明确的所属行业）</w:t>
      </w:r>
      <w:r>
        <w:rPr>
          <w:rFonts w:hint="eastAsia" w:ascii="宋体" w:hAnsi="宋体" w:cs="宋体"/>
          <w:kern w:val="0"/>
          <w:szCs w:val="21"/>
          <w:lang w:bidi="ar"/>
        </w:rPr>
        <w:t>行业；制造商为</w:t>
      </w:r>
      <w:r>
        <w:rPr>
          <w:rFonts w:hint="eastAsia" w:ascii="宋体" w:hAnsi="宋体" w:cs="宋体"/>
          <w:kern w:val="0"/>
          <w:szCs w:val="21"/>
          <w:u w:val="single"/>
          <w:lang w:bidi="ar"/>
        </w:rPr>
        <w:t>（企业名称）</w:t>
      </w:r>
      <w:r>
        <w:rPr>
          <w:rFonts w:hint="eastAsia" w:ascii="宋体" w:hAnsi="宋体" w:cs="宋体"/>
          <w:kern w:val="0"/>
          <w:szCs w:val="21"/>
          <w:lang w:bidi="ar"/>
        </w:rPr>
        <w:t>，从业人员</w:t>
      </w:r>
      <w:r>
        <w:rPr>
          <w:rFonts w:hint="eastAsia" w:ascii="宋体" w:hAnsi="宋体" w:cs="宋体"/>
          <w:kern w:val="0"/>
          <w:szCs w:val="21"/>
          <w:u w:val="single"/>
          <w:lang w:bidi="ar"/>
        </w:rPr>
        <w:t xml:space="preserve">      </w:t>
      </w:r>
      <w:r>
        <w:rPr>
          <w:rFonts w:hint="eastAsia" w:ascii="宋体" w:hAnsi="宋体" w:cs="宋体"/>
          <w:kern w:val="0"/>
          <w:szCs w:val="21"/>
          <w:lang w:bidi="ar"/>
        </w:rPr>
        <w:t>人，营业收入为</w:t>
      </w:r>
      <w:r>
        <w:rPr>
          <w:rFonts w:hint="eastAsia" w:ascii="宋体" w:hAnsi="宋体" w:cs="宋体"/>
          <w:kern w:val="0"/>
          <w:szCs w:val="21"/>
          <w:u w:val="single"/>
          <w:lang w:bidi="ar"/>
        </w:rPr>
        <w:t xml:space="preserve">       </w:t>
      </w:r>
      <w:r>
        <w:rPr>
          <w:rFonts w:hint="eastAsia" w:ascii="宋体" w:hAnsi="宋体" w:cs="宋体"/>
          <w:kern w:val="0"/>
          <w:szCs w:val="21"/>
          <w:lang w:bidi="ar"/>
        </w:rPr>
        <w:t>万元，资产总额为</w:t>
      </w:r>
      <w:r>
        <w:rPr>
          <w:rFonts w:hint="eastAsia" w:ascii="宋体" w:hAnsi="宋体" w:cs="宋体"/>
          <w:kern w:val="0"/>
          <w:szCs w:val="21"/>
          <w:u w:val="single"/>
          <w:lang w:bidi="ar"/>
        </w:rPr>
        <w:t xml:space="preserve">       </w:t>
      </w:r>
      <w:r>
        <w:rPr>
          <w:rFonts w:hint="eastAsia" w:ascii="宋体" w:hAnsi="宋体" w:cs="宋体"/>
          <w:kern w:val="0"/>
          <w:szCs w:val="21"/>
          <w:lang w:bidi="ar"/>
        </w:rPr>
        <w:t>万元，属于</w:t>
      </w:r>
      <w:r>
        <w:rPr>
          <w:rFonts w:hint="eastAsia" w:ascii="宋体" w:hAnsi="宋体" w:cs="宋体"/>
          <w:kern w:val="0"/>
          <w:szCs w:val="21"/>
          <w:u w:val="single"/>
          <w:lang w:bidi="ar"/>
        </w:rPr>
        <w:t>（中型企业、小型企业、微型企业）</w:t>
      </w:r>
      <w:r>
        <w:rPr>
          <w:rFonts w:hint="eastAsia" w:ascii="宋体" w:hAnsi="宋体" w:cs="宋体"/>
          <w:kern w:val="0"/>
          <w:szCs w:val="21"/>
          <w:lang w:bidi="ar"/>
        </w:rPr>
        <w:t xml:space="preserve">；  </w:t>
      </w:r>
    </w:p>
    <w:p w14:paraId="593E8141">
      <w:pPr>
        <w:widowControl/>
        <w:spacing w:line="360" w:lineRule="auto"/>
        <w:ind w:firstLine="420" w:firstLineChars="200"/>
        <w:jc w:val="left"/>
        <w:rPr>
          <w:rFonts w:hint="eastAsia" w:ascii="宋体" w:hAnsi="宋体" w:cs="宋体"/>
          <w:szCs w:val="21"/>
        </w:rPr>
      </w:pPr>
      <w:r>
        <w:rPr>
          <w:rFonts w:hint="eastAsia" w:ascii="宋体" w:hAnsi="宋体" w:cs="宋体"/>
          <w:kern w:val="0"/>
          <w:szCs w:val="21"/>
          <w:lang w:bidi="ar"/>
        </w:rPr>
        <w:t>……</w:t>
      </w:r>
    </w:p>
    <w:p w14:paraId="573310D4">
      <w:pPr>
        <w:widowControl/>
        <w:spacing w:line="360" w:lineRule="auto"/>
        <w:ind w:firstLine="420" w:firstLineChars="200"/>
        <w:jc w:val="left"/>
        <w:rPr>
          <w:rFonts w:hint="eastAsia" w:ascii="宋体" w:hAnsi="宋体" w:cs="宋体"/>
          <w:szCs w:val="21"/>
        </w:rPr>
      </w:pPr>
      <w:r>
        <w:rPr>
          <w:rFonts w:hint="eastAsia" w:ascii="宋体" w:hAnsi="宋体" w:cs="宋体"/>
          <w:kern w:val="0"/>
          <w:szCs w:val="21"/>
          <w:lang w:bidi="ar"/>
        </w:rPr>
        <w:t xml:space="preserve">以上企业，不属于大企业的分支机构，不存在控股股东为大企业的情形，也不存在与大企业的负责人为同一人的情形。本企业对上述声明内容的真实性负责。如有虚假，将依法承担相应责任。 </w:t>
      </w:r>
    </w:p>
    <w:p w14:paraId="066575A3">
      <w:pPr>
        <w:widowControl/>
        <w:spacing w:line="360" w:lineRule="auto"/>
        <w:ind w:firstLine="420" w:firstLineChars="200"/>
        <w:jc w:val="left"/>
        <w:rPr>
          <w:rFonts w:hint="eastAsia" w:ascii="宋体" w:hAnsi="宋体" w:cs="宋体"/>
          <w:szCs w:val="21"/>
        </w:rPr>
      </w:pPr>
      <w:r>
        <w:rPr>
          <w:rFonts w:hint="eastAsia" w:ascii="宋体" w:hAnsi="宋体" w:cs="宋体"/>
          <w:kern w:val="0"/>
          <w:szCs w:val="21"/>
          <w:lang w:bidi="ar"/>
        </w:rPr>
        <w:t xml:space="preserve">企业名称（盖章）： </w:t>
      </w:r>
    </w:p>
    <w:p w14:paraId="5E44D2B3">
      <w:pPr>
        <w:widowControl/>
        <w:spacing w:line="360" w:lineRule="auto"/>
        <w:ind w:firstLine="420" w:firstLineChars="200"/>
        <w:jc w:val="left"/>
        <w:rPr>
          <w:rFonts w:hint="eastAsia" w:ascii="宋体" w:hAnsi="宋体" w:cs="宋体"/>
          <w:szCs w:val="21"/>
        </w:rPr>
      </w:pPr>
      <w:r>
        <w:rPr>
          <w:rFonts w:hint="eastAsia" w:ascii="宋体" w:hAnsi="宋体" w:cs="宋体"/>
          <w:kern w:val="0"/>
          <w:szCs w:val="21"/>
          <w:lang w:bidi="ar"/>
        </w:rPr>
        <w:t xml:space="preserve">日 期： </w:t>
      </w:r>
    </w:p>
    <w:p w14:paraId="6865ECF7">
      <w:pPr>
        <w:widowControl/>
        <w:ind w:firstLine="360" w:firstLineChars="200"/>
        <w:jc w:val="left"/>
        <w:rPr>
          <w:rFonts w:hint="eastAsia" w:ascii="宋体" w:hAnsi="宋体" w:cs="宋体"/>
          <w:kern w:val="0"/>
          <w:sz w:val="18"/>
          <w:szCs w:val="18"/>
          <w:lang w:bidi="ar"/>
        </w:rPr>
      </w:pPr>
    </w:p>
    <w:p w14:paraId="7BFF47A0">
      <w:pPr>
        <w:widowControl/>
        <w:ind w:firstLine="420" w:firstLineChars="200"/>
        <w:jc w:val="left"/>
        <w:rPr>
          <w:rFonts w:hint="eastAsia" w:ascii="宋体" w:hAnsi="宋体" w:cs="宋体"/>
          <w:kern w:val="0"/>
          <w:szCs w:val="21"/>
          <w:lang w:bidi="ar"/>
        </w:rPr>
      </w:pPr>
      <w:r>
        <w:rPr>
          <w:rFonts w:hint="eastAsia" w:ascii="宋体" w:hAnsi="宋体" w:cs="宋体"/>
          <w:kern w:val="0"/>
          <w:szCs w:val="21"/>
          <w:lang w:bidi="ar"/>
        </w:rPr>
        <w:t>注：1.属于专门面向中小企业采购的政府采购货物类项目，投标人应按本声明函内容和格式如实声明采购标的制造商的企业规模，未提供本声明函或不符合《政府采购促进中小企业发展管理办法》（财库﹝2020﹞46 号）规定的，其</w:t>
      </w:r>
      <w:r>
        <w:rPr>
          <w:rFonts w:hint="eastAsia" w:ascii="宋体" w:hAnsi="宋体" w:cs="宋体"/>
          <w:b/>
          <w:bCs/>
          <w:kern w:val="0"/>
          <w:szCs w:val="21"/>
          <w:lang w:bidi="ar"/>
        </w:rPr>
        <w:t>投标无效。</w:t>
      </w:r>
    </w:p>
    <w:p w14:paraId="2C9D2EB7">
      <w:pPr>
        <w:widowControl/>
        <w:ind w:firstLine="420" w:firstLineChars="200"/>
        <w:jc w:val="left"/>
        <w:rPr>
          <w:rFonts w:hint="eastAsia" w:ascii="黑体" w:hAnsi="华文中宋" w:eastAsia="黑体" w:cs="宋体"/>
          <w:bCs/>
          <w:spacing w:val="6"/>
          <w:kern w:val="0"/>
          <w:szCs w:val="21"/>
        </w:rPr>
      </w:pPr>
      <w:r>
        <w:rPr>
          <w:rFonts w:hint="eastAsia" w:ascii="宋体" w:hAnsi="宋体" w:cs="宋体"/>
          <w:kern w:val="0"/>
          <w:szCs w:val="21"/>
          <w:lang w:bidi="ar"/>
        </w:rPr>
        <w:t>2.从业人员、营业收入、资产总额填报上一年度数据，无上一年度数据的新成立企业可不填报。</w:t>
      </w:r>
    </w:p>
    <w:p w14:paraId="26A51426">
      <w:pPr>
        <w:pStyle w:val="5"/>
        <w:rPr>
          <w:rFonts w:hint="eastAsia" w:ascii="黑体" w:hAnsi="黑体"/>
          <w:b w:val="0"/>
          <w:bCs w:val="0"/>
          <w:sz w:val="21"/>
          <w:szCs w:val="21"/>
        </w:rPr>
      </w:pPr>
      <w:bookmarkStart w:id="179" w:name="_Toc19787"/>
      <w:bookmarkStart w:id="180" w:name="_Toc22201164"/>
      <w:bookmarkStart w:id="181" w:name="_Toc62206227"/>
      <w:bookmarkStart w:id="182" w:name="_Toc82155492"/>
      <w:r>
        <w:rPr>
          <w:rFonts w:hint="eastAsia" w:ascii="黑体" w:hAnsi="黑体" w:cs="宋体"/>
          <w:b w:val="0"/>
          <w:bCs w:val="0"/>
          <w:kern w:val="0"/>
          <w:sz w:val="21"/>
          <w:szCs w:val="21"/>
        </w:rPr>
        <w:t xml:space="preserve">附件10-2 </w:t>
      </w:r>
      <w:r>
        <w:rPr>
          <w:rFonts w:hint="eastAsia" w:ascii="黑体" w:hAnsi="黑体"/>
          <w:b w:val="0"/>
          <w:bCs w:val="0"/>
          <w:sz w:val="21"/>
          <w:szCs w:val="21"/>
        </w:rPr>
        <w:t>残疾人福利性单位声明函</w:t>
      </w:r>
      <w:bookmarkEnd w:id="179"/>
      <w:bookmarkEnd w:id="180"/>
      <w:bookmarkEnd w:id="181"/>
      <w:bookmarkEnd w:id="182"/>
    </w:p>
    <w:p w14:paraId="0D96F3FA">
      <w:pPr>
        <w:adjustRightInd w:val="0"/>
        <w:snapToGrid w:val="0"/>
        <w:spacing w:line="360" w:lineRule="auto"/>
        <w:jc w:val="center"/>
        <w:rPr>
          <w:rFonts w:hint="eastAsia" w:ascii="黑体" w:hAnsi="黑体" w:eastAsia="黑体"/>
          <w:b/>
          <w:spacing w:val="6"/>
          <w:sz w:val="28"/>
          <w:szCs w:val="28"/>
        </w:rPr>
      </w:pPr>
      <w:r>
        <w:rPr>
          <w:rFonts w:hint="eastAsia" w:ascii="黑体" w:hAnsi="黑体" w:eastAsia="黑体"/>
          <w:b/>
          <w:spacing w:val="6"/>
          <w:sz w:val="28"/>
          <w:szCs w:val="28"/>
        </w:rPr>
        <w:t>残疾人福利性单位声明函</w:t>
      </w:r>
    </w:p>
    <w:p w14:paraId="6AD5C79E">
      <w:pPr>
        <w:widowControl/>
        <w:adjustRightInd w:val="0"/>
        <w:snapToGrid w:val="0"/>
        <w:spacing w:line="360" w:lineRule="auto"/>
        <w:jc w:val="center"/>
        <w:rPr>
          <w:rFonts w:hint="eastAsia" w:ascii="宋体" w:hAnsi="宋体" w:cs="宋体"/>
          <w:kern w:val="0"/>
          <w:szCs w:val="21"/>
          <w:lang w:bidi="ar"/>
        </w:rPr>
      </w:pPr>
      <w:r>
        <w:rPr>
          <w:rFonts w:hint="eastAsia" w:ascii="宋体" w:hAnsi="宋体" w:cs="宋体"/>
          <w:b/>
          <w:spacing w:val="6"/>
          <w:kern w:val="0"/>
          <w:szCs w:val="21"/>
        </w:rPr>
        <w:t>(不满足以下条件的无需填写)</w:t>
      </w:r>
    </w:p>
    <w:p w14:paraId="4B281187">
      <w:pPr>
        <w:pStyle w:val="26"/>
      </w:pPr>
    </w:p>
    <w:p w14:paraId="56E0929A">
      <w:pPr>
        <w:adjustRightInd w:val="0"/>
        <w:snapToGrid w:val="0"/>
        <w:spacing w:line="360" w:lineRule="auto"/>
        <w:ind w:firstLine="446" w:firstLineChars="200"/>
        <w:rPr>
          <w:rFonts w:hint="eastAsia" w:ascii="宋体" w:hAnsi="宋体"/>
          <w:b/>
          <w:spacing w:val="6"/>
          <w:szCs w:val="21"/>
        </w:rPr>
      </w:pPr>
    </w:p>
    <w:p w14:paraId="0E1E4505">
      <w:pPr>
        <w:adjustRightInd w:val="0"/>
        <w:snapToGrid w:val="0"/>
        <w:spacing w:line="360" w:lineRule="auto"/>
        <w:ind w:firstLine="444" w:firstLineChars="200"/>
        <w:rPr>
          <w:rFonts w:hint="eastAsia" w:ascii="宋体" w:hAnsi="宋体"/>
          <w:spacing w:val="6"/>
          <w:szCs w:val="21"/>
        </w:rPr>
      </w:pPr>
      <w:r>
        <w:rPr>
          <w:rFonts w:hint="eastAsia" w:ascii="宋体" w:hAnsi="宋体"/>
          <w:spacing w:val="6"/>
          <w:szCs w:val="21"/>
        </w:rPr>
        <w:t>本单位郑重声明，根据《财政部民政部中国残疾人联合会关于促进残疾人就业政府采购政策的通知》（财库</w:t>
      </w:r>
      <w:r>
        <w:rPr>
          <w:rFonts w:hint="eastAsia" w:ascii="宋体" w:hAnsi="宋体"/>
          <w:szCs w:val="21"/>
        </w:rPr>
        <w:t>〔2017〕141</w:t>
      </w:r>
      <w:r>
        <w:rPr>
          <w:rFonts w:hint="eastAsia" w:ascii="宋体" w:hAnsi="宋体"/>
          <w:spacing w:val="6"/>
          <w:szCs w:val="21"/>
        </w:rPr>
        <w:t>号）的规定，本单位为符合条件的残疾人福利性单位，且本单位参加</w:t>
      </w:r>
      <w:r>
        <w:rPr>
          <w:rFonts w:hint="eastAsia" w:ascii="宋体" w:hAnsi="宋体"/>
          <w:spacing w:val="6"/>
          <w:szCs w:val="21"/>
          <w:u w:val="single"/>
        </w:rPr>
        <w:t xml:space="preserve">           </w:t>
      </w:r>
      <w:r>
        <w:rPr>
          <w:rFonts w:hint="eastAsia" w:ascii="宋体" w:hAnsi="宋体"/>
          <w:spacing w:val="6"/>
          <w:szCs w:val="21"/>
        </w:rPr>
        <w:t>单位的</w:t>
      </w:r>
      <w:r>
        <w:rPr>
          <w:rFonts w:hint="eastAsia" w:ascii="宋体" w:hAnsi="宋体"/>
          <w:spacing w:val="6"/>
          <w:szCs w:val="21"/>
          <w:u w:val="single"/>
        </w:rPr>
        <w:t xml:space="preserve">           </w:t>
      </w:r>
      <w:r>
        <w:rPr>
          <w:rFonts w:hint="eastAsia" w:ascii="宋体" w:hAnsi="宋体"/>
          <w:spacing w:val="6"/>
          <w:szCs w:val="21"/>
        </w:rPr>
        <w:t>项目采购活动提供本单位制造的货物（由本单位承担工程/提供服务），或者提供其他残疾人福利性单位制造的货物（不包括使用非残疾人福利性单位注册商标的货物）。</w:t>
      </w:r>
    </w:p>
    <w:p w14:paraId="46EE90A0">
      <w:pPr>
        <w:adjustRightInd w:val="0"/>
        <w:snapToGrid w:val="0"/>
        <w:spacing w:line="360" w:lineRule="auto"/>
        <w:ind w:firstLine="444" w:firstLineChars="200"/>
        <w:rPr>
          <w:rFonts w:hint="eastAsia" w:ascii="宋体" w:hAnsi="宋体"/>
          <w:spacing w:val="6"/>
          <w:szCs w:val="21"/>
        </w:rPr>
      </w:pPr>
      <w:r>
        <w:rPr>
          <w:rFonts w:hint="eastAsia" w:ascii="宋体" w:hAnsi="宋体"/>
          <w:spacing w:val="6"/>
          <w:szCs w:val="21"/>
        </w:rPr>
        <w:t>本单位对上述声明的真实性负责。如有虚假，将依法承担相应责任。</w:t>
      </w:r>
    </w:p>
    <w:p w14:paraId="1A7723F8">
      <w:pPr>
        <w:adjustRightInd w:val="0"/>
        <w:snapToGrid w:val="0"/>
        <w:spacing w:line="360" w:lineRule="auto"/>
        <w:ind w:firstLine="444" w:firstLineChars="200"/>
        <w:rPr>
          <w:rFonts w:hint="eastAsia" w:ascii="宋体" w:hAnsi="宋体"/>
          <w:spacing w:val="6"/>
          <w:szCs w:val="21"/>
        </w:rPr>
      </w:pPr>
    </w:p>
    <w:p w14:paraId="543ADFBF">
      <w:pPr>
        <w:adjustRightInd w:val="0"/>
        <w:snapToGrid w:val="0"/>
        <w:spacing w:line="360" w:lineRule="auto"/>
        <w:ind w:firstLine="444" w:firstLineChars="200"/>
        <w:rPr>
          <w:rFonts w:hint="eastAsia" w:ascii="宋体" w:hAnsi="宋体"/>
          <w:spacing w:val="6"/>
          <w:szCs w:val="21"/>
        </w:rPr>
      </w:pPr>
    </w:p>
    <w:p w14:paraId="56B79D8C">
      <w:pPr>
        <w:tabs>
          <w:tab w:val="left" w:pos="4860"/>
        </w:tabs>
        <w:adjustRightInd w:val="0"/>
        <w:snapToGrid w:val="0"/>
        <w:spacing w:line="360" w:lineRule="auto"/>
        <w:ind w:right="1560" w:firstLine="444" w:firstLineChars="200"/>
        <w:jc w:val="center"/>
        <w:rPr>
          <w:rFonts w:hint="eastAsia" w:ascii="宋体" w:hAnsi="宋体"/>
          <w:spacing w:val="6"/>
          <w:szCs w:val="21"/>
        </w:rPr>
      </w:pPr>
      <w:r>
        <w:rPr>
          <w:rFonts w:hint="eastAsia" w:ascii="宋体" w:hAnsi="宋体"/>
          <w:spacing w:val="6"/>
          <w:szCs w:val="21"/>
        </w:rPr>
        <w:t xml:space="preserve">               单位名称（盖章）：</w:t>
      </w:r>
    </w:p>
    <w:p w14:paraId="086DBF3C">
      <w:pPr>
        <w:tabs>
          <w:tab w:val="left" w:pos="4860"/>
        </w:tabs>
        <w:adjustRightInd w:val="0"/>
        <w:snapToGrid w:val="0"/>
        <w:spacing w:line="360" w:lineRule="auto"/>
        <w:ind w:right="1560" w:firstLine="444" w:firstLineChars="200"/>
        <w:jc w:val="center"/>
        <w:rPr>
          <w:rFonts w:hint="eastAsia" w:ascii="宋体" w:hAnsi="宋体"/>
          <w:spacing w:val="6"/>
          <w:szCs w:val="21"/>
        </w:rPr>
      </w:pPr>
      <w:r>
        <w:rPr>
          <w:rFonts w:hint="eastAsia" w:ascii="宋体" w:hAnsi="宋体"/>
          <w:spacing w:val="6"/>
          <w:szCs w:val="21"/>
        </w:rPr>
        <w:t xml:space="preserve">       日  期：</w:t>
      </w:r>
    </w:p>
    <w:p w14:paraId="200653A9">
      <w:pPr>
        <w:widowControl/>
        <w:adjustRightInd w:val="0"/>
        <w:snapToGrid w:val="0"/>
        <w:spacing w:line="360" w:lineRule="auto"/>
        <w:jc w:val="left"/>
        <w:rPr>
          <w:rFonts w:hint="eastAsia" w:ascii="宋体" w:hAnsi="宋体" w:cs="宋体"/>
          <w:kern w:val="0"/>
          <w:szCs w:val="21"/>
        </w:rPr>
      </w:pPr>
    </w:p>
    <w:p w14:paraId="2CC13324">
      <w:pPr>
        <w:pStyle w:val="5"/>
        <w:rPr>
          <w:rFonts w:hint="eastAsia" w:ascii="黑体" w:hAnsi="黑体"/>
          <w:sz w:val="21"/>
          <w:szCs w:val="21"/>
        </w:rPr>
      </w:pPr>
      <w:r>
        <w:rPr>
          <w:rFonts w:ascii="黑体" w:hAnsi="华文中宋" w:cs="宋体"/>
          <w:spacing w:val="6"/>
          <w:kern w:val="0"/>
        </w:rPr>
        <w:br w:type="page"/>
      </w:r>
      <w:bookmarkStart w:id="183" w:name="_Toc62206228"/>
      <w:bookmarkStart w:id="184" w:name="_Toc22201165"/>
      <w:bookmarkStart w:id="185" w:name="_Toc15815"/>
      <w:bookmarkStart w:id="186" w:name="_Toc82155493"/>
      <w:r>
        <w:rPr>
          <w:rFonts w:hint="eastAsia" w:ascii="黑体" w:hAnsi="黑体" w:cs="宋体"/>
          <w:b w:val="0"/>
          <w:bCs w:val="0"/>
          <w:kern w:val="0"/>
          <w:sz w:val="21"/>
          <w:szCs w:val="21"/>
        </w:rPr>
        <w:t xml:space="preserve">附件10-3 </w:t>
      </w:r>
      <w:r>
        <w:rPr>
          <w:rFonts w:hint="eastAsia" w:ascii="黑体" w:hAnsi="黑体"/>
          <w:b w:val="0"/>
          <w:bCs w:val="0"/>
          <w:sz w:val="21"/>
          <w:szCs w:val="21"/>
        </w:rPr>
        <w:t>监狱企业证明资料</w:t>
      </w:r>
      <w:bookmarkEnd w:id="183"/>
      <w:bookmarkEnd w:id="184"/>
      <w:bookmarkEnd w:id="185"/>
      <w:bookmarkEnd w:id="186"/>
    </w:p>
    <w:p w14:paraId="3ADEA6F1">
      <w:pPr>
        <w:adjustRightInd w:val="0"/>
        <w:snapToGrid w:val="0"/>
        <w:spacing w:line="360" w:lineRule="auto"/>
        <w:jc w:val="center"/>
        <w:rPr>
          <w:rFonts w:hint="eastAsia" w:ascii="黑体" w:hAnsi="宋体"/>
          <w:b/>
          <w:sz w:val="28"/>
          <w:szCs w:val="28"/>
        </w:rPr>
      </w:pPr>
      <w:r>
        <w:rPr>
          <w:rFonts w:hint="eastAsia" w:ascii="黑体" w:hAnsi="宋体"/>
          <w:b/>
          <w:sz w:val="28"/>
          <w:szCs w:val="28"/>
        </w:rPr>
        <w:t>监狱企业证明资料</w:t>
      </w:r>
    </w:p>
    <w:p w14:paraId="0A181717">
      <w:pPr>
        <w:widowControl/>
        <w:adjustRightInd w:val="0"/>
        <w:snapToGrid w:val="0"/>
        <w:spacing w:line="360" w:lineRule="auto"/>
        <w:jc w:val="center"/>
        <w:rPr>
          <w:rFonts w:hint="eastAsia" w:ascii="宋体" w:hAnsi="宋体" w:cs="宋体"/>
          <w:kern w:val="0"/>
          <w:szCs w:val="21"/>
          <w:lang w:bidi="ar"/>
        </w:rPr>
      </w:pPr>
      <w:r>
        <w:rPr>
          <w:rFonts w:hint="eastAsia" w:ascii="宋体" w:hAnsi="宋体" w:cs="宋体"/>
          <w:b/>
          <w:spacing w:val="6"/>
          <w:kern w:val="0"/>
          <w:szCs w:val="21"/>
        </w:rPr>
        <w:t>(不属于监狱企业的无需填写)</w:t>
      </w:r>
    </w:p>
    <w:p w14:paraId="299EC2BC">
      <w:pPr>
        <w:pStyle w:val="26"/>
      </w:pPr>
    </w:p>
    <w:p w14:paraId="54581596">
      <w:pPr>
        <w:adjustRightInd w:val="0"/>
        <w:snapToGrid w:val="0"/>
        <w:spacing w:line="360" w:lineRule="auto"/>
        <w:rPr>
          <w:rFonts w:hint="eastAsia" w:ascii="宋体" w:hAnsi="宋体"/>
          <w:b/>
          <w:spacing w:val="6"/>
          <w:szCs w:val="21"/>
        </w:rPr>
      </w:pPr>
    </w:p>
    <w:p w14:paraId="09391FBF">
      <w:pPr>
        <w:adjustRightInd w:val="0"/>
        <w:snapToGrid w:val="0"/>
        <w:spacing w:line="360" w:lineRule="auto"/>
        <w:ind w:firstLine="420" w:firstLineChars="200"/>
        <w:rPr>
          <w:rFonts w:hint="eastAsia" w:ascii="宋体" w:hAnsi="宋体"/>
          <w:szCs w:val="21"/>
        </w:rPr>
      </w:pPr>
      <w:r>
        <w:rPr>
          <w:rFonts w:hint="eastAsia" w:ascii="宋体" w:hAnsi="宋体"/>
          <w:bCs/>
          <w:szCs w:val="21"/>
        </w:rPr>
        <w:t>注</w:t>
      </w:r>
      <w:r>
        <w:rPr>
          <w:rFonts w:hint="eastAsia" w:ascii="宋体" w:hAnsi="宋体" w:cs="宋体"/>
          <w:bCs/>
          <w:spacing w:val="6"/>
          <w:kern w:val="0"/>
          <w:szCs w:val="21"/>
        </w:rPr>
        <w:t>：</w:t>
      </w:r>
      <w:r>
        <w:rPr>
          <w:rFonts w:hint="eastAsia" w:ascii="宋体" w:hAnsi="宋体"/>
          <w:szCs w:val="21"/>
        </w:rPr>
        <w:t>按</w:t>
      </w:r>
      <w:r>
        <w:rPr>
          <w:rFonts w:hint="eastAsia" w:ascii="宋体" w:hAnsi="宋体"/>
          <w:spacing w:val="6"/>
          <w:szCs w:val="21"/>
        </w:rPr>
        <w:t>《</w:t>
      </w:r>
      <w:r>
        <w:rPr>
          <w:rFonts w:hint="eastAsia" w:ascii="宋体" w:hAnsi="宋体"/>
          <w:szCs w:val="21"/>
        </w:rPr>
        <w:t>财政部司法部关于政府采购支持监狱企业发展有关问题的通知</w:t>
      </w:r>
      <w:r>
        <w:rPr>
          <w:rFonts w:hint="eastAsia" w:ascii="宋体" w:hAnsi="宋体"/>
          <w:spacing w:val="6"/>
          <w:szCs w:val="21"/>
        </w:rPr>
        <w:t>》</w:t>
      </w:r>
      <w:r>
        <w:rPr>
          <w:rFonts w:hint="eastAsia" w:ascii="宋体" w:hAnsi="宋体"/>
          <w:szCs w:val="21"/>
        </w:rPr>
        <w:t>(财库〔2014〕68号)文件规定提供证明文件。</w:t>
      </w:r>
    </w:p>
    <w:p w14:paraId="620923B1">
      <w:pPr>
        <w:adjustRightInd w:val="0"/>
        <w:snapToGrid w:val="0"/>
        <w:spacing w:line="360" w:lineRule="auto"/>
        <w:rPr>
          <w:rFonts w:hint="eastAsia" w:ascii="黑体" w:hAnsi="华文中宋" w:eastAsia="黑体" w:cs="宋体"/>
          <w:bCs/>
          <w:spacing w:val="6"/>
          <w:kern w:val="0"/>
          <w:szCs w:val="21"/>
        </w:rPr>
      </w:pPr>
    </w:p>
    <w:p w14:paraId="12606C03">
      <w:pPr>
        <w:adjustRightInd w:val="0"/>
        <w:snapToGrid w:val="0"/>
        <w:spacing w:line="192" w:lineRule="auto"/>
        <w:rPr>
          <w:rFonts w:hint="eastAsia" w:ascii="黑体" w:hAnsi="华文中宋" w:eastAsia="黑体" w:cs="宋体"/>
          <w:bCs/>
          <w:spacing w:val="6"/>
          <w:kern w:val="0"/>
          <w:szCs w:val="21"/>
        </w:rPr>
      </w:pPr>
      <w:r>
        <w:rPr>
          <w:rFonts w:ascii="黑体" w:hAnsi="华文中宋" w:eastAsia="黑体" w:cs="宋体"/>
          <w:bCs/>
          <w:spacing w:val="6"/>
          <w:kern w:val="0"/>
          <w:szCs w:val="21"/>
        </w:rPr>
        <w:br w:type="page"/>
      </w:r>
    </w:p>
    <w:p w14:paraId="05F4DA65">
      <w:pPr>
        <w:pStyle w:val="5"/>
        <w:rPr>
          <w:rFonts w:hint="eastAsia" w:ascii="黑体" w:hAnsi="宋体"/>
          <w:b w:val="0"/>
          <w:bCs w:val="0"/>
          <w:sz w:val="21"/>
          <w:szCs w:val="21"/>
        </w:rPr>
      </w:pPr>
      <w:bookmarkStart w:id="187" w:name="_Toc15927"/>
      <w:r>
        <w:rPr>
          <w:rFonts w:hint="eastAsia" w:ascii="黑体" w:hAnsi="华文中宋" w:cs="宋体"/>
          <w:b w:val="0"/>
          <w:bCs w:val="0"/>
          <w:spacing w:val="6"/>
          <w:kern w:val="0"/>
          <w:sz w:val="21"/>
          <w:szCs w:val="21"/>
        </w:rPr>
        <w:t xml:space="preserve">附件10-4 </w:t>
      </w:r>
      <w:r>
        <w:rPr>
          <w:rFonts w:hint="eastAsia" w:ascii="黑体" w:hAnsi="宋体"/>
          <w:b w:val="0"/>
          <w:bCs w:val="0"/>
          <w:sz w:val="21"/>
          <w:szCs w:val="21"/>
        </w:rPr>
        <w:t>强制采购或者优先采购产品的证明材料</w:t>
      </w:r>
      <w:bookmarkEnd w:id="187"/>
    </w:p>
    <w:p w14:paraId="2D982BD5">
      <w:pPr>
        <w:adjustRightInd w:val="0"/>
        <w:snapToGrid w:val="0"/>
        <w:spacing w:line="360" w:lineRule="auto"/>
        <w:jc w:val="center"/>
        <w:rPr>
          <w:rFonts w:hint="eastAsia" w:ascii="黑体" w:hAnsi="黑体" w:eastAsia="黑体"/>
          <w:b/>
          <w:sz w:val="28"/>
          <w:szCs w:val="28"/>
        </w:rPr>
      </w:pPr>
      <w:r>
        <w:rPr>
          <w:rFonts w:hint="eastAsia" w:ascii="黑体" w:hAnsi="黑体" w:eastAsia="黑体"/>
          <w:b/>
          <w:sz w:val="28"/>
          <w:szCs w:val="28"/>
        </w:rPr>
        <w:t>强制采购或者优先采购产品</w:t>
      </w:r>
      <w:r>
        <w:rPr>
          <w:rFonts w:hint="eastAsia" w:ascii="黑体" w:hAnsi="黑体" w:eastAsia="黑体"/>
          <w:b/>
          <w:bCs/>
          <w:sz w:val="28"/>
          <w:szCs w:val="28"/>
        </w:rPr>
        <w:t>的</w:t>
      </w:r>
      <w:r>
        <w:rPr>
          <w:rFonts w:hint="eastAsia" w:ascii="黑体" w:hAnsi="黑体" w:eastAsia="黑体"/>
          <w:b/>
          <w:sz w:val="28"/>
          <w:szCs w:val="28"/>
        </w:rPr>
        <w:t>证明材料</w:t>
      </w:r>
    </w:p>
    <w:p w14:paraId="054AE968">
      <w:pPr>
        <w:adjustRightInd w:val="0"/>
        <w:snapToGrid w:val="0"/>
        <w:spacing w:line="360" w:lineRule="auto"/>
        <w:jc w:val="center"/>
        <w:rPr>
          <w:rFonts w:hint="eastAsia" w:ascii="宋体" w:hAnsi="宋体"/>
          <w:b/>
          <w:spacing w:val="6"/>
          <w:szCs w:val="21"/>
        </w:rPr>
      </w:pPr>
      <w:r>
        <w:rPr>
          <w:rFonts w:hint="eastAsia" w:ascii="宋体" w:hAnsi="宋体"/>
          <w:b/>
          <w:spacing w:val="6"/>
          <w:szCs w:val="21"/>
        </w:rPr>
        <w:t>(不属于强制采购或者优先采购产品的无需提供)</w:t>
      </w:r>
    </w:p>
    <w:p w14:paraId="6E6A412C">
      <w:pPr>
        <w:adjustRightInd w:val="0"/>
        <w:snapToGrid w:val="0"/>
        <w:spacing w:line="360" w:lineRule="auto"/>
        <w:ind w:firstLine="420" w:firstLineChars="200"/>
        <w:jc w:val="left"/>
        <w:rPr>
          <w:rFonts w:hint="eastAsia" w:ascii="宋体" w:hAnsi="宋体"/>
          <w:szCs w:val="21"/>
        </w:rPr>
      </w:pPr>
    </w:p>
    <w:p w14:paraId="4F6DBD03">
      <w:pPr>
        <w:adjustRightInd w:val="0"/>
        <w:snapToGrid w:val="0"/>
        <w:spacing w:line="360" w:lineRule="auto"/>
        <w:ind w:firstLine="420" w:firstLineChars="200"/>
        <w:jc w:val="left"/>
        <w:rPr>
          <w:rFonts w:hint="eastAsia" w:ascii="宋体" w:hAnsi="宋体"/>
          <w:szCs w:val="21"/>
        </w:rPr>
      </w:pPr>
      <w:r>
        <w:rPr>
          <w:rFonts w:hint="eastAsia" w:ascii="宋体" w:hAnsi="宋体"/>
          <w:szCs w:val="21"/>
        </w:rPr>
        <w:t>注：投标人提供的产品</w:t>
      </w:r>
      <w:r>
        <w:rPr>
          <w:rFonts w:hint="eastAsia" w:ascii="宋体" w:hAnsi="宋体"/>
          <w:bCs/>
          <w:szCs w:val="21"/>
        </w:rPr>
        <w:t>属于强制采购或者优先采购的</w:t>
      </w:r>
      <w:r>
        <w:rPr>
          <w:rFonts w:hint="eastAsia" w:ascii="宋体" w:hAnsi="宋体"/>
          <w:szCs w:val="21"/>
        </w:rPr>
        <w:t>，应按第二章第33.6款规定提供证明材料和本章本节附页2“优先采购产品清单”，并加盖投标人单位章。</w:t>
      </w:r>
    </w:p>
    <w:p w14:paraId="2AE21A63">
      <w:pPr>
        <w:adjustRightInd w:val="0"/>
        <w:snapToGrid w:val="0"/>
        <w:spacing w:line="360" w:lineRule="auto"/>
        <w:ind w:firstLine="420" w:firstLineChars="200"/>
        <w:jc w:val="left"/>
        <w:rPr>
          <w:rFonts w:hint="eastAsia" w:ascii="宋体" w:hAnsi="宋体"/>
          <w:szCs w:val="21"/>
        </w:rPr>
      </w:pPr>
    </w:p>
    <w:p w14:paraId="1F9C5CF5">
      <w:pPr>
        <w:adjustRightInd w:val="0"/>
        <w:snapToGrid w:val="0"/>
        <w:spacing w:after="157" w:afterLines="50" w:line="192" w:lineRule="auto"/>
        <w:rPr>
          <w:rFonts w:hint="eastAsia" w:ascii="黑体" w:hAnsi="宋体" w:eastAsia="黑体"/>
          <w:szCs w:val="21"/>
        </w:rPr>
      </w:pPr>
      <w:r>
        <w:rPr>
          <w:rFonts w:ascii="黑体" w:hAnsi="宋体" w:eastAsia="黑体"/>
          <w:b/>
          <w:sz w:val="28"/>
          <w:szCs w:val="28"/>
        </w:rPr>
        <w:br w:type="page"/>
      </w:r>
    </w:p>
    <w:p w14:paraId="2C865EDA">
      <w:pPr>
        <w:pStyle w:val="5"/>
        <w:spacing w:before="0"/>
        <w:jc w:val="left"/>
        <w:rPr>
          <w:rFonts w:hint="eastAsia" w:ascii="黑体" w:hAnsi="宋体"/>
          <w:b w:val="0"/>
          <w:sz w:val="21"/>
          <w:szCs w:val="21"/>
        </w:rPr>
      </w:pPr>
      <w:bookmarkStart w:id="188" w:name="_Toc2924"/>
      <w:r>
        <w:rPr>
          <w:rFonts w:hint="eastAsia" w:ascii="黑体" w:hAnsi="华文中宋" w:cs="宋体"/>
          <w:b w:val="0"/>
          <w:bCs w:val="0"/>
          <w:spacing w:val="6"/>
          <w:kern w:val="0"/>
          <w:sz w:val="21"/>
          <w:szCs w:val="21"/>
        </w:rPr>
        <w:t xml:space="preserve">附页 1 </w:t>
      </w:r>
      <w:r>
        <w:rPr>
          <w:rFonts w:hint="eastAsia" w:ascii="黑体" w:hAnsi="宋体"/>
          <w:b w:val="0"/>
          <w:sz w:val="21"/>
          <w:szCs w:val="21"/>
        </w:rPr>
        <w:t>优先采购产品清单</w:t>
      </w:r>
      <w:bookmarkEnd w:id="188"/>
    </w:p>
    <w:p w14:paraId="2AC9794F">
      <w:pPr>
        <w:adjustRightInd w:val="0"/>
        <w:snapToGrid w:val="0"/>
        <w:spacing w:line="360" w:lineRule="auto"/>
        <w:jc w:val="center"/>
        <w:rPr>
          <w:rFonts w:hint="eastAsia" w:ascii="宋体" w:hAnsi="宋体"/>
          <w:b/>
          <w:spacing w:val="6"/>
          <w:szCs w:val="21"/>
        </w:rPr>
      </w:pPr>
      <w:r>
        <w:rPr>
          <w:rFonts w:hint="eastAsia" w:ascii="黑体" w:hAnsi="宋体" w:eastAsia="黑体"/>
          <w:b/>
          <w:sz w:val="28"/>
          <w:szCs w:val="28"/>
        </w:rPr>
        <w:t>优先采购产品清单</w:t>
      </w:r>
    </w:p>
    <w:p w14:paraId="3136D3E1">
      <w:pPr>
        <w:adjustRightInd w:val="0"/>
        <w:snapToGrid w:val="0"/>
        <w:spacing w:line="360" w:lineRule="auto"/>
        <w:rPr>
          <w:rFonts w:hint="eastAsia" w:ascii="宋体" w:hAnsi="宋体"/>
          <w:szCs w:val="21"/>
        </w:rPr>
      </w:pPr>
      <w:r>
        <w:rPr>
          <w:rFonts w:hint="eastAsia" w:ascii="宋体" w:hAnsi="宋体"/>
          <w:szCs w:val="21"/>
        </w:rPr>
        <w:t>政府采购计划编号：</w:t>
      </w:r>
      <w:r>
        <w:rPr>
          <w:rFonts w:hint="eastAsia" w:ascii="宋体" w:hAnsi="宋体"/>
          <w:szCs w:val="21"/>
          <w:u w:val="single"/>
        </w:rPr>
        <w:t xml:space="preserve">              </w:t>
      </w:r>
      <w:r>
        <w:rPr>
          <w:rFonts w:hint="eastAsia" w:ascii="宋体" w:hAnsi="宋体"/>
          <w:szCs w:val="21"/>
        </w:rPr>
        <w:t xml:space="preserve">                     项目名称：</w:t>
      </w:r>
      <w:r>
        <w:rPr>
          <w:rFonts w:hint="eastAsia" w:ascii="宋体" w:hAnsi="宋体"/>
          <w:szCs w:val="21"/>
          <w:u w:val="single"/>
        </w:rPr>
        <w:t xml:space="preserve">                     </w:t>
      </w:r>
      <w:r>
        <w:rPr>
          <w:rFonts w:hint="eastAsia" w:ascii="宋体" w:hAnsi="宋体"/>
          <w:szCs w:val="21"/>
        </w:rPr>
        <w:t xml:space="preserve"> </w:t>
      </w:r>
    </w:p>
    <w:p w14:paraId="5157D72D">
      <w:pPr>
        <w:adjustRightInd w:val="0"/>
        <w:snapToGrid w:val="0"/>
        <w:spacing w:line="360" w:lineRule="auto"/>
        <w:rPr>
          <w:rFonts w:hint="eastAsia" w:ascii="宋体" w:hAnsi="宋体"/>
          <w:szCs w:val="21"/>
        </w:rPr>
      </w:pPr>
      <w:r>
        <w:rPr>
          <w:rFonts w:hint="eastAsia" w:ascii="宋体" w:hAnsi="宋体"/>
          <w:szCs w:val="21"/>
        </w:rPr>
        <w:t>包       号：</w:t>
      </w:r>
      <w:r>
        <w:rPr>
          <w:rFonts w:hint="eastAsia" w:ascii="宋体" w:hAnsi="宋体"/>
          <w:szCs w:val="21"/>
          <w:u w:val="single"/>
        </w:rPr>
        <w:t xml:space="preserve">              </w:t>
      </w:r>
      <w:r>
        <w:rPr>
          <w:rFonts w:hint="eastAsia" w:ascii="宋体" w:hAnsi="宋体"/>
          <w:szCs w:val="21"/>
        </w:rPr>
        <w:t xml:space="preserve">                      包名称：</w:t>
      </w:r>
      <w:r>
        <w:rPr>
          <w:rFonts w:hint="eastAsia" w:ascii="宋体" w:hAnsi="宋体"/>
          <w:szCs w:val="21"/>
          <w:u w:val="single"/>
        </w:rPr>
        <w:t xml:space="preserve">                      </w:t>
      </w:r>
      <w:r>
        <w:rPr>
          <w:rFonts w:hint="eastAsia" w:ascii="宋体" w:hAnsi="宋体"/>
          <w:szCs w:val="21"/>
        </w:rPr>
        <w:t xml:space="preserve">  </w:t>
      </w:r>
    </w:p>
    <w:tbl>
      <w:tblPr>
        <w:tblStyle w:val="27"/>
        <w:tblW w:w="8740" w:type="dxa"/>
        <w:tblInd w:w="108" w:type="dxa"/>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667"/>
        <w:gridCol w:w="1729"/>
        <w:gridCol w:w="1127"/>
        <w:gridCol w:w="1410"/>
        <w:gridCol w:w="1972"/>
        <w:gridCol w:w="1835"/>
      </w:tblGrid>
      <w:tr w14:paraId="72980F05">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770" w:hRule="atLeast"/>
        </w:trPr>
        <w:tc>
          <w:tcPr>
            <w:tcW w:w="8740" w:type="dxa"/>
            <w:gridSpan w:val="6"/>
            <w:vAlign w:val="center"/>
          </w:tcPr>
          <w:p w14:paraId="5096264E">
            <w:pPr>
              <w:widowControl/>
              <w:adjustRightInd w:val="0"/>
              <w:snapToGrid w:val="0"/>
              <w:spacing w:line="360" w:lineRule="auto"/>
              <w:ind w:firstLine="480" w:firstLineChars="200"/>
              <w:jc w:val="left"/>
              <w:rPr>
                <w:rFonts w:hint="eastAsia" w:ascii="黑体" w:hAnsi="黑体" w:eastAsia="黑体"/>
                <w:kern w:val="0"/>
                <w:sz w:val="24"/>
              </w:rPr>
            </w:pPr>
            <w:r>
              <w:rPr>
                <w:rFonts w:hint="eastAsia" w:ascii="黑体" w:hAnsi="宋体" w:eastAsia="黑体"/>
                <w:kern w:val="0"/>
                <w:sz w:val="24"/>
              </w:rPr>
              <w:t>以下为投标人提供的政府采购优先采购产品，投标人对本表的真实性负责。如有虚假，将依法承担相应责任。</w:t>
            </w:r>
          </w:p>
        </w:tc>
      </w:tr>
      <w:tr w14:paraId="7A80509B">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27" w:hRule="atLeast"/>
        </w:trPr>
        <w:tc>
          <w:tcPr>
            <w:tcW w:w="667" w:type="dxa"/>
            <w:vAlign w:val="center"/>
          </w:tcPr>
          <w:p w14:paraId="63D7FF8F">
            <w:pPr>
              <w:widowControl/>
              <w:adjustRightInd w:val="0"/>
              <w:snapToGrid w:val="0"/>
              <w:spacing w:line="360" w:lineRule="auto"/>
              <w:jc w:val="center"/>
              <w:rPr>
                <w:rFonts w:hint="eastAsia" w:ascii="宋体" w:hAnsi="宋体"/>
                <w:kern w:val="0"/>
                <w:szCs w:val="21"/>
              </w:rPr>
            </w:pPr>
            <w:r>
              <w:rPr>
                <w:rFonts w:hint="eastAsia" w:ascii="宋体" w:hAnsi="宋体"/>
                <w:kern w:val="0"/>
                <w:szCs w:val="21"/>
              </w:rPr>
              <w:t>1</w:t>
            </w:r>
          </w:p>
        </w:tc>
        <w:tc>
          <w:tcPr>
            <w:tcW w:w="1729" w:type="dxa"/>
            <w:vAlign w:val="center"/>
          </w:tcPr>
          <w:p w14:paraId="5AA0C65A">
            <w:pPr>
              <w:widowControl/>
              <w:adjustRightInd w:val="0"/>
              <w:snapToGrid w:val="0"/>
              <w:spacing w:line="360" w:lineRule="auto"/>
              <w:jc w:val="center"/>
              <w:rPr>
                <w:rFonts w:hint="eastAsia" w:ascii="宋体" w:hAnsi="宋体"/>
                <w:kern w:val="0"/>
                <w:szCs w:val="21"/>
              </w:rPr>
            </w:pPr>
            <w:r>
              <w:rPr>
                <w:rFonts w:hint="eastAsia" w:ascii="宋体" w:hAnsi="宋体"/>
                <w:kern w:val="0"/>
                <w:szCs w:val="21"/>
              </w:rPr>
              <w:t>2</w:t>
            </w:r>
          </w:p>
        </w:tc>
        <w:tc>
          <w:tcPr>
            <w:tcW w:w="1127" w:type="dxa"/>
            <w:tcBorders>
              <w:right w:val="single" w:color="auto" w:sz="4" w:space="0"/>
            </w:tcBorders>
            <w:vAlign w:val="center"/>
          </w:tcPr>
          <w:p w14:paraId="37B50C53">
            <w:pPr>
              <w:adjustRightInd w:val="0"/>
              <w:snapToGrid w:val="0"/>
              <w:spacing w:line="360" w:lineRule="auto"/>
              <w:jc w:val="center"/>
              <w:rPr>
                <w:rFonts w:hint="eastAsia" w:ascii="宋体" w:hAnsi="宋体"/>
                <w:kern w:val="0"/>
                <w:szCs w:val="21"/>
              </w:rPr>
            </w:pPr>
            <w:r>
              <w:rPr>
                <w:rFonts w:hint="eastAsia" w:ascii="宋体" w:hAnsi="宋体"/>
                <w:kern w:val="0"/>
                <w:szCs w:val="21"/>
              </w:rPr>
              <w:t>3</w:t>
            </w:r>
          </w:p>
        </w:tc>
        <w:tc>
          <w:tcPr>
            <w:tcW w:w="1410" w:type="dxa"/>
            <w:tcBorders>
              <w:left w:val="single" w:color="auto" w:sz="4" w:space="0"/>
            </w:tcBorders>
            <w:vAlign w:val="center"/>
          </w:tcPr>
          <w:p w14:paraId="1FE403BC">
            <w:pPr>
              <w:widowControl/>
              <w:adjustRightInd w:val="0"/>
              <w:snapToGrid w:val="0"/>
              <w:spacing w:line="360" w:lineRule="auto"/>
              <w:jc w:val="center"/>
              <w:rPr>
                <w:rFonts w:hint="eastAsia" w:ascii="宋体" w:hAnsi="宋体"/>
                <w:kern w:val="0"/>
                <w:szCs w:val="21"/>
              </w:rPr>
            </w:pPr>
            <w:r>
              <w:rPr>
                <w:rFonts w:hint="eastAsia" w:ascii="宋体" w:hAnsi="宋体"/>
                <w:kern w:val="0"/>
                <w:szCs w:val="21"/>
              </w:rPr>
              <w:t>4</w:t>
            </w:r>
          </w:p>
        </w:tc>
        <w:tc>
          <w:tcPr>
            <w:tcW w:w="1972" w:type="dxa"/>
            <w:vAlign w:val="center"/>
          </w:tcPr>
          <w:p w14:paraId="5E5B96DD">
            <w:pPr>
              <w:widowControl/>
              <w:adjustRightInd w:val="0"/>
              <w:snapToGrid w:val="0"/>
              <w:spacing w:line="360" w:lineRule="auto"/>
              <w:jc w:val="center"/>
              <w:rPr>
                <w:rFonts w:hint="eastAsia" w:ascii="宋体" w:hAnsi="宋体"/>
                <w:kern w:val="0"/>
                <w:szCs w:val="21"/>
              </w:rPr>
            </w:pPr>
            <w:r>
              <w:rPr>
                <w:rFonts w:hint="eastAsia" w:ascii="宋体" w:hAnsi="宋体"/>
                <w:kern w:val="0"/>
                <w:szCs w:val="21"/>
              </w:rPr>
              <w:t>5</w:t>
            </w:r>
          </w:p>
        </w:tc>
        <w:tc>
          <w:tcPr>
            <w:tcW w:w="1835" w:type="dxa"/>
            <w:vAlign w:val="center"/>
          </w:tcPr>
          <w:p w14:paraId="793B7C2A">
            <w:pPr>
              <w:widowControl/>
              <w:adjustRightInd w:val="0"/>
              <w:snapToGrid w:val="0"/>
              <w:spacing w:line="360" w:lineRule="auto"/>
              <w:jc w:val="center"/>
              <w:rPr>
                <w:rFonts w:hint="eastAsia" w:ascii="宋体" w:hAnsi="宋体"/>
                <w:kern w:val="0"/>
                <w:szCs w:val="21"/>
              </w:rPr>
            </w:pPr>
            <w:r>
              <w:rPr>
                <w:rFonts w:hint="eastAsia" w:ascii="宋体" w:hAnsi="宋体"/>
                <w:kern w:val="0"/>
                <w:szCs w:val="21"/>
              </w:rPr>
              <w:t>6</w:t>
            </w:r>
          </w:p>
        </w:tc>
      </w:tr>
      <w:tr w14:paraId="31B8E275">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52" w:hRule="atLeast"/>
        </w:trPr>
        <w:tc>
          <w:tcPr>
            <w:tcW w:w="667" w:type="dxa"/>
            <w:vAlign w:val="center"/>
          </w:tcPr>
          <w:p w14:paraId="220DD563">
            <w:pPr>
              <w:widowControl/>
              <w:adjustRightInd w:val="0"/>
              <w:snapToGrid w:val="0"/>
              <w:spacing w:line="360" w:lineRule="auto"/>
              <w:jc w:val="center"/>
              <w:rPr>
                <w:rFonts w:hint="eastAsia" w:ascii="宋体" w:hAnsi="宋体"/>
                <w:kern w:val="0"/>
                <w:szCs w:val="21"/>
              </w:rPr>
            </w:pPr>
            <w:r>
              <w:rPr>
                <w:rFonts w:hint="eastAsia" w:ascii="宋体" w:hAnsi="宋体"/>
                <w:kern w:val="0"/>
                <w:szCs w:val="21"/>
              </w:rPr>
              <w:t>序号</w:t>
            </w:r>
          </w:p>
        </w:tc>
        <w:tc>
          <w:tcPr>
            <w:tcW w:w="1729" w:type="dxa"/>
            <w:vAlign w:val="center"/>
          </w:tcPr>
          <w:p w14:paraId="4943443C">
            <w:pPr>
              <w:widowControl/>
              <w:adjustRightInd w:val="0"/>
              <w:snapToGrid w:val="0"/>
              <w:spacing w:line="360" w:lineRule="auto"/>
              <w:jc w:val="center"/>
              <w:rPr>
                <w:rFonts w:hint="eastAsia" w:ascii="宋体" w:hAnsi="宋体"/>
                <w:kern w:val="0"/>
                <w:szCs w:val="21"/>
              </w:rPr>
            </w:pPr>
            <w:r>
              <w:rPr>
                <w:rFonts w:hint="eastAsia" w:ascii="宋体" w:hAnsi="宋体"/>
                <w:kern w:val="0"/>
                <w:szCs w:val="21"/>
              </w:rPr>
              <w:t>货物名称</w:t>
            </w:r>
          </w:p>
        </w:tc>
        <w:tc>
          <w:tcPr>
            <w:tcW w:w="1127" w:type="dxa"/>
            <w:tcBorders>
              <w:right w:val="single" w:color="auto" w:sz="4" w:space="0"/>
            </w:tcBorders>
            <w:vAlign w:val="center"/>
          </w:tcPr>
          <w:p w14:paraId="24113B4B">
            <w:pPr>
              <w:widowControl/>
              <w:adjustRightInd w:val="0"/>
              <w:snapToGrid w:val="0"/>
              <w:spacing w:line="360" w:lineRule="auto"/>
              <w:jc w:val="center"/>
              <w:rPr>
                <w:rFonts w:hint="eastAsia" w:ascii="宋体" w:hAnsi="宋体"/>
                <w:kern w:val="0"/>
                <w:szCs w:val="21"/>
              </w:rPr>
            </w:pPr>
            <w:r>
              <w:rPr>
                <w:rFonts w:hint="eastAsia" w:ascii="宋体" w:hAnsi="宋体"/>
                <w:kern w:val="0"/>
                <w:szCs w:val="21"/>
              </w:rPr>
              <w:t>规格型号</w:t>
            </w:r>
          </w:p>
        </w:tc>
        <w:tc>
          <w:tcPr>
            <w:tcW w:w="1410" w:type="dxa"/>
            <w:tcBorders>
              <w:left w:val="single" w:color="auto" w:sz="4" w:space="0"/>
            </w:tcBorders>
            <w:vAlign w:val="center"/>
          </w:tcPr>
          <w:p w14:paraId="5C52B296">
            <w:pPr>
              <w:adjustRightInd w:val="0"/>
              <w:snapToGrid w:val="0"/>
              <w:spacing w:line="360" w:lineRule="auto"/>
              <w:jc w:val="center"/>
              <w:rPr>
                <w:rFonts w:hint="eastAsia" w:ascii="宋体" w:hAnsi="宋体"/>
                <w:kern w:val="0"/>
                <w:szCs w:val="21"/>
              </w:rPr>
            </w:pPr>
            <w:r>
              <w:rPr>
                <w:rFonts w:hint="eastAsia" w:ascii="宋体" w:hAnsi="宋体"/>
                <w:kern w:val="0"/>
                <w:szCs w:val="21"/>
              </w:rPr>
              <w:t>价格（元）</w:t>
            </w:r>
          </w:p>
        </w:tc>
        <w:tc>
          <w:tcPr>
            <w:tcW w:w="1972" w:type="dxa"/>
            <w:vAlign w:val="center"/>
          </w:tcPr>
          <w:p w14:paraId="76E37701">
            <w:pPr>
              <w:widowControl/>
              <w:adjustRightInd w:val="0"/>
              <w:snapToGrid w:val="0"/>
              <w:spacing w:line="360" w:lineRule="auto"/>
              <w:jc w:val="center"/>
              <w:rPr>
                <w:rFonts w:hint="eastAsia" w:ascii="宋体" w:hAnsi="宋体"/>
                <w:kern w:val="0"/>
                <w:szCs w:val="21"/>
              </w:rPr>
            </w:pPr>
            <w:r>
              <w:rPr>
                <w:rFonts w:hint="eastAsia" w:ascii="宋体" w:hAnsi="宋体"/>
                <w:kern w:val="0"/>
                <w:szCs w:val="21"/>
              </w:rPr>
              <w:t>货物制造商名称</w:t>
            </w:r>
          </w:p>
        </w:tc>
        <w:tc>
          <w:tcPr>
            <w:tcW w:w="1835" w:type="dxa"/>
            <w:vAlign w:val="center"/>
          </w:tcPr>
          <w:p w14:paraId="44B2D129">
            <w:pPr>
              <w:widowControl/>
              <w:adjustRightInd w:val="0"/>
              <w:snapToGrid w:val="0"/>
              <w:spacing w:line="360" w:lineRule="auto"/>
              <w:jc w:val="center"/>
              <w:rPr>
                <w:rFonts w:hint="eastAsia" w:ascii="宋体" w:hAnsi="宋体"/>
                <w:kern w:val="0"/>
                <w:szCs w:val="21"/>
              </w:rPr>
            </w:pPr>
            <w:r>
              <w:rPr>
                <w:rFonts w:hint="eastAsia" w:ascii="宋体" w:hAnsi="宋体"/>
                <w:kern w:val="0"/>
                <w:szCs w:val="21"/>
              </w:rPr>
              <w:t>政策功能编码</w:t>
            </w:r>
          </w:p>
        </w:tc>
      </w:tr>
      <w:tr w14:paraId="3B7A922D">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366" w:hRule="atLeast"/>
        </w:trPr>
        <w:tc>
          <w:tcPr>
            <w:tcW w:w="8740" w:type="dxa"/>
            <w:gridSpan w:val="6"/>
            <w:vAlign w:val="center"/>
          </w:tcPr>
          <w:p w14:paraId="7B839E9A">
            <w:pPr>
              <w:adjustRightInd w:val="0"/>
              <w:snapToGrid w:val="0"/>
              <w:spacing w:line="360" w:lineRule="auto"/>
              <w:jc w:val="left"/>
              <w:rPr>
                <w:rFonts w:hint="eastAsia" w:ascii="宋体" w:hAnsi="宋体"/>
                <w:b/>
                <w:szCs w:val="21"/>
              </w:rPr>
            </w:pPr>
            <w:r>
              <w:rPr>
                <w:rFonts w:hint="eastAsia" w:ascii="宋体" w:hAnsi="宋体"/>
                <w:b/>
                <w:szCs w:val="21"/>
              </w:rPr>
              <w:t>节能产品</w:t>
            </w:r>
          </w:p>
        </w:tc>
      </w:tr>
      <w:tr w14:paraId="02411E88">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366" w:hRule="atLeast"/>
        </w:trPr>
        <w:tc>
          <w:tcPr>
            <w:tcW w:w="667" w:type="dxa"/>
            <w:vAlign w:val="center"/>
          </w:tcPr>
          <w:p w14:paraId="7FAB0BC3">
            <w:pPr>
              <w:adjustRightInd w:val="0"/>
              <w:snapToGrid w:val="0"/>
              <w:spacing w:line="360" w:lineRule="auto"/>
              <w:jc w:val="center"/>
              <w:rPr>
                <w:rFonts w:hint="eastAsia" w:ascii="宋体" w:hAnsi="宋体"/>
                <w:b/>
                <w:szCs w:val="21"/>
              </w:rPr>
            </w:pPr>
          </w:p>
        </w:tc>
        <w:tc>
          <w:tcPr>
            <w:tcW w:w="1729" w:type="dxa"/>
            <w:vAlign w:val="center"/>
          </w:tcPr>
          <w:p w14:paraId="4DC749BA">
            <w:pPr>
              <w:adjustRightInd w:val="0"/>
              <w:snapToGrid w:val="0"/>
              <w:spacing w:line="360" w:lineRule="auto"/>
              <w:jc w:val="center"/>
              <w:rPr>
                <w:rFonts w:hint="eastAsia" w:ascii="宋体" w:hAnsi="宋体"/>
                <w:b/>
                <w:szCs w:val="21"/>
              </w:rPr>
            </w:pPr>
          </w:p>
        </w:tc>
        <w:tc>
          <w:tcPr>
            <w:tcW w:w="1127" w:type="dxa"/>
            <w:tcBorders>
              <w:right w:val="single" w:color="auto" w:sz="4" w:space="0"/>
            </w:tcBorders>
            <w:vAlign w:val="center"/>
          </w:tcPr>
          <w:p w14:paraId="0AD1355B">
            <w:pPr>
              <w:adjustRightInd w:val="0"/>
              <w:snapToGrid w:val="0"/>
              <w:spacing w:line="360" w:lineRule="auto"/>
              <w:jc w:val="left"/>
              <w:rPr>
                <w:rFonts w:hint="eastAsia" w:ascii="宋体" w:hAnsi="宋体"/>
                <w:b/>
                <w:szCs w:val="21"/>
              </w:rPr>
            </w:pPr>
          </w:p>
        </w:tc>
        <w:tc>
          <w:tcPr>
            <w:tcW w:w="1410" w:type="dxa"/>
            <w:tcBorders>
              <w:left w:val="single" w:color="auto" w:sz="4" w:space="0"/>
            </w:tcBorders>
            <w:vAlign w:val="center"/>
          </w:tcPr>
          <w:p w14:paraId="0AE93E4D">
            <w:pPr>
              <w:adjustRightInd w:val="0"/>
              <w:snapToGrid w:val="0"/>
              <w:spacing w:line="360" w:lineRule="auto"/>
              <w:jc w:val="left"/>
              <w:rPr>
                <w:rFonts w:hint="eastAsia" w:ascii="宋体" w:hAnsi="宋体"/>
                <w:b/>
                <w:szCs w:val="21"/>
              </w:rPr>
            </w:pPr>
          </w:p>
        </w:tc>
        <w:tc>
          <w:tcPr>
            <w:tcW w:w="1972" w:type="dxa"/>
            <w:vAlign w:val="center"/>
          </w:tcPr>
          <w:p w14:paraId="70622F5F">
            <w:pPr>
              <w:adjustRightInd w:val="0"/>
              <w:snapToGrid w:val="0"/>
              <w:spacing w:line="360" w:lineRule="auto"/>
              <w:jc w:val="center"/>
              <w:rPr>
                <w:rFonts w:hint="eastAsia" w:ascii="宋体" w:hAnsi="宋体"/>
                <w:b/>
                <w:szCs w:val="21"/>
              </w:rPr>
            </w:pPr>
          </w:p>
        </w:tc>
        <w:tc>
          <w:tcPr>
            <w:tcW w:w="1835" w:type="dxa"/>
          </w:tcPr>
          <w:p w14:paraId="15F1D9ED">
            <w:pPr>
              <w:adjustRightInd w:val="0"/>
              <w:snapToGrid w:val="0"/>
              <w:spacing w:line="360" w:lineRule="auto"/>
              <w:jc w:val="center"/>
              <w:rPr>
                <w:rFonts w:hint="eastAsia" w:ascii="宋体" w:hAnsi="宋体"/>
                <w:b/>
                <w:szCs w:val="21"/>
              </w:rPr>
            </w:pPr>
          </w:p>
        </w:tc>
      </w:tr>
      <w:tr w14:paraId="15E44069">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366" w:hRule="atLeast"/>
        </w:trPr>
        <w:tc>
          <w:tcPr>
            <w:tcW w:w="667" w:type="dxa"/>
            <w:vAlign w:val="center"/>
          </w:tcPr>
          <w:p w14:paraId="7657F28C">
            <w:pPr>
              <w:adjustRightInd w:val="0"/>
              <w:snapToGrid w:val="0"/>
              <w:spacing w:line="360" w:lineRule="auto"/>
              <w:jc w:val="center"/>
              <w:rPr>
                <w:rFonts w:hint="eastAsia" w:ascii="宋体" w:hAnsi="宋体"/>
                <w:szCs w:val="21"/>
              </w:rPr>
            </w:pPr>
            <w:r>
              <w:rPr>
                <w:rFonts w:hint="eastAsia" w:ascii="宋体" w:hAnsi="宋体"/>
                <w:szCs w:val="21"/>
              </w:rPr>
              <w:t>小计</w:t>
            </w:r>
          </w:p>
        </w:tc>
        <w:tc>
          <w:tcPr>
            <w:tcW w:w="1729" w:type="dxa"/>
            <w:vAlign w:val="center"/>
          </w:tcPr>
          <w:p w14:paraId="711130C5">
            <w:pPr>
              <w:adjustRightInd w:val="0"/>
              <w:snapToGrid w:val="0"/>
              <w:spacing w:line="360" w:lineRule="auto"/>
              <w:jc w:val="center"/>
              <w:rPr>
                <w:rFonts w:hint="eastAsia" w:ascii="宋体" w:hAnsi="宋体"/>
                <w:b/>
                <w:szCs w:val="21"/>
              </w:rPr>
            </w:pPr>
          </w:p>
        </w:tc>
        <w:tc>
          <w:tcPr>
            <w:tcW w:w="1127" w:type="dxa"/>
            <w:tcBorders>
              <w:right w:val="single" w:color="auto" w:sz="4" w:space="0"/>
            </w:tcBorders>
            <w:vAlign w:val="center"/>
          </w:tcPr>
          <w:p w14:paraId="071FC008">
            <w:pPr>
              <w:adjustRightInd w:val="0"/>
              <w:snapToGrid w:val="0"/>
              <w:spacing w:line="360" w:lineRule="auto"/>
              <w:jc w:val="left"/>
              <w:rPr>
                <w:rFonts w:hint="eastAsia" w:ascii="宋体" w:hAnsi="宋体"/>
                <w:b/>
                <w:szCs w:val="21"/>
              </w:rPr>
            </w:pPr>
          </w:p>
        </w:tc>
        <w:tc>
          <w:tcPr>
            <w:tcW w:w="1410" w:type="dxa"/>
            <w:tcBorders>
              <w:left w:val="single" w:color="auto" w:sz="4" w:space="0"/>
            </w:tcBorders>
            <w:vAlign w:val="center"/>
          </w:tcPr>
          <w:p w14:paraId="63A20824">
            <w:pPr>
              <w:adjustRightInd w:val="0"/>
              <w:snapToGrid w:val="0"/>
              <w:spacing w:line="360" w:lineRule="auto"/>
              <w:jc w:val="left"/>
              <w:rPr>
                <w:rFonts w:hint="eastAsia" w:ascii="宋体" w:hAnsi="宋体"/>
                <w:b/>
                <w:szCs w:val="21"/>
              </w:rPr>
            </w:pPr>
          </w:p>
        </w:tc>
        <w:tc>
          <w:tcPr>
            <w:tcW w:w="1972" w:type="dxa"/>
            <w:vAlign w:val="center"/>
          </w:tcPr>
          <w:p w14:paraId="70089C17">
            <w:pPr>
              <w:adjustRightInd w:val="0"/>
              <w:snapToGrid w:val="0"/>
              <w:spacing w:line="360" w:lineRule="auto"/>
              <w:jc w:val="center"/>
              <w:rPr>
                <w:rFonts w:hint="eastAsia" w:ascii="宋体" w:hAnsi="宋体"/>
                <w:b/>
                <w:szCs w:val="21"/>
              </w:rPr>
            </w:pPr>
          </w:p>
        </w:tc>
        <w:tc>
          <w:tcPr>
            <w:tcW w:w="1835" w:type="dxa"/>
          </w:tcPr>
          <w:p w14:paraId="0A5838AB">
            <w:pPr>
              <w:adjustRightInd w:val="0"/>
              <w:snapToGrid w:val="0"/>
              <w:spacing w:line="360" w:lineRule="auto"/>
              <w:jc w:val="center"/>
              <w:rPr>
                <w:rFonts w:hint="eastAsia" w:ascii="宋体" w:hAnsi="宋体"/>
                <w:b/>
                <w:szCs w:val="21"/>
              </w:rPr>
            </w:pPr>
          </w:p>
        </w:tc>
      </w:tr>
      <w:tr w14:paraId="2FF2F2DD">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366" w:hRule="atLeast"/>
        </w:trPr>
        <w:tc>
          <w:tcPr>
            <w:tcW w:w="8740" w:type="dxa"/>
            <w:gridSpan w:val="6"/>
            <w:vAlign w:val="center"/>
          </w:tcPr>
          <w:p w14:paraId="435828C5">
            <w:pPr>
              <w:adjustRightInd w:val="0"/>
              <w:snapToGrid w:val="0"/>
              <w:spacing w:line="360" w:lineRule="auto"/>
              <w:jc w:val="left"/>
              <w:rPr>
                <w:rFonts w:hint="eastAsia" w:ascii="宋体" w:hAnsi="宋体"/>
                <w:b/>
                <w:szCs w:val="21"/>
              </w:rPr>
            </w:pPr>
            <w:r>
              <w:rPr>
                <w:rFonts w:hint="eastAsia" w:ascii="宋体" w:hAnsi="宋体"/>
                <w:b/>
                <w:szCs w:val="21"/>
              </w:rPr>
              <w:t>环境标志产品</w:t>
            </w:r>
          </w:p>
        </w:tc>
      </w:tr>
      <w:tr w14:paraId="508FB352">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366" w:hRule="atLeast"/>
        </w:trPr>
        <w:tc>
          <w:tcPr>
            <w:tcW w:w="667" w:type="dxa"/>
            <w:vAlign w:val="center"/>
          </w:tcPr>
          <w:p w14:paraId="3B6B7EBA">
            <w:pPr>
              <w:adjustRightInd w:val="0"/>
              <w:snapToGrid w:val="0"/>
              <w:spacing w:line="360" w:lineRule="auto"/>
              <w:jc w:val="center"/>
              <w:rPr>
                <w:rFonts w:hint="eastAsia" w:ascii="宋体" w:hAnsi="宋体"/>
                <w:b/>
                <w:szCs w:val="21"/>
              </w:rPr>
            </w:pPr>
          </w:p>
        </w:tc>
        <w:tc>
          <w:tcPr>
            <w:tcW w:w="1729" w:type="dxa"/>
            <w:vAlign w:val="center"/>
          </w:tcPr>
          <w:p w14:paraId="0AF691D0">
            <w:pPr>
              <w:adjustRightInd w:val="0"/>
              <w:snapToGrid w:val="0"/>
              <w:spacing w:line="360" w:lineRule="auto"/>
              <w:jc w:val="center"/>
              <w:rPr>
                <w:rFonts w:hint="eastAsia" w:ascii="宋体" w:hAnsi="宋体"/>
                <w:b/>
                <w:szCs w:val="21"/>
              </w:rPr>
            </w:pPr>
          </w:p>
        </w:tc>
        <w:tc>
          <w:tcPr>
            <w:tcW w:w="1127" w:type="dxa"/>
            <w:tcBorders>
              <w:right w:val="single" w:color="auto" w:sz="4" w:space="0"/>
            </w:tcBorders>
            <w:vAlign w:val="center"/>
          </w:tcPr>
          <w:p w14:paraId="2DB76EBD">
            <w:pPr>
              <w:adjustRightInd w:val="0"/>
              <w:snapToGrid w:val="0"/>
              <w:spacing w:line="360" w:lineRule="auto"/>
              <w:jc w:val="left"/>
              <w:rPr>
                <w:rFonts w:hint="eastAsia" w:ascii="宋体" w:hAnsi="宋体"/>
                <w:b/>
                <w:szCs w:val="21"/>
              </w:rPr>
            </w:pPr>
          </w:p>
        </w:tc>
        <w:tc>
          <w:tcPr>
            <w:tcW w:w="1410" w:type="dxa"/>
            <w:tcBorders>
              <w:left w:val="single" w:color="auto" w:sz="4" w:space="0"/>
            </w:tcBorders>
            <w:vAlign w:val="center"/>
          </w:tcPr>
          <w:p w14:paraId="616B6D1C">
            <w:pPr>
              <w:adjustRightInd w:val="0"/>
              <w:snapToGrid w:val="0"/>
              <w:spacing w:line="360" w:lineRule="auto"/>
              <w:jc w:val="left"/>
              <w:rPr>
                <w:rFonts w:hint="eastAsia" w:ascii="宋体" w:hAnsi="宋体"/>
                <w:b/>
                <w:szCs w:val="21"/>
              </w:rPr>
            </w:pPr>
          </w:p>
        </w:tc>
        <w:tc>
          <w:tcPr>
            <w:tcW w:w="1972" w:type="dxa"/>
            <w:vAlign w:val="center"/>
          </w:tcPr>
          <w:p w14:paraId="363A1D66">
            <w:pPr>
              <w:adjustRightInd w:val="0"/>
              <w:snapToGrid w:val="0"/>
              <w:spacing w:line="360" w:lineRule="auto"/>
              <w:jc w:val="center"/>
              <w:rPr>
                <w:rFonts w:hint="eastAsia" w:ascii="宋体" w:hAnsi="宋体"/>
                <w:b/>
                <w:szCs w:val="21"/>
              </w:rPr>
            </w:pPr>
          </w:p>
        </w:tc>
        <w:tc>
          <w:tcPr>
            <w:tcW w:w="1835" w:type="dxa"/>
          </w:tcPr>
          <w:p w14:paraId="40FDA310">
            <w:pPr>
              <w:adjustRightInd w:val="0"/>
              <w:snapToGrid w:val="0"/>
              <w:spacing w:line="360" w:lineRule="auto"/>
              <w:jc w:val="center"/>
              <w:rPr>
                <w:rFonts w:hint="eastAsia" w:ascii="宋体" w:hAnsi="宋体"/>
                <w:b/>
                <w:szCs w:val="21"/>
              </w:rPr>
            </w:pPr>
          </w:p>
        </w:tc>
      </w:tr>
      <w:tr w14:paraId="7260AE04">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366" w:hRule="atLeast"/>
        </w:trPr>
        <w:tc>
          <w:tcPr>
            <w:tcW w:w="667" w:type="dxa"/>
            <w:vAlign w:val="center"/>
          </w:tcPr>
          <w:p w14:paraId="08B89089">
            <w:pPr>
              <w:adjustRightInd w:val="0"/>
              <w:snapToGrid w:val="0"/>
              <w:spacing w:line="360" w:lineRule="auto"/>
              <w:jc w:val="center"/>
              <w:rPr>
                <w:rFonts w:hint="eastAsia" w:ascii="宋体" w:hAnsi="宋体"/>
                <w:szCs w:val="21"/>
              </w:rPr>
            </w:pPr>
            <w:r>
              <w:rPr>
                <w:rFonts w:hint="eastAsia" w:ascii="宋体" w:hAnsi="宋体"/>
                <w:szCs w:val="21"/>
              </w:rPr>
              <w:t>小计</w:t>
            </w:r>
          </w:p>
        </w:tc>
        <w:tc>
          <w:tcPr>
            <w:tcW w:w="1729" w:type="dxa"/>
            <w:vAlign w:val="center"/>
          </w:tcPr>
          <w:p w14:paraId="44364287">
            <w:pPr>
              <w:adjustRightInd w:val="0"/>
              <w:snapToGrid w:val="0"/>
              <w:spacing w:line="360" w:lineRule="auto"/>
              <w:jc w:val="center"/>
              <w:rPr>
                <w:rFonts w:hint="eastAsia" w:ascii="宋体" w:hAnsi="宋体"/>
                <w:b/>
                <w:szCs w:val="21"/>
              </w:rPr>
            </w:pPr>
          </w:p>
        </w:tc>
        <w:tc>
          <w:tcPr>
            <w:tcW w:w="1127" w:type="dxa"/>
            <w:tcBorders>
              <w:right w:val="single" w:color="auto" w:sz="4" w:space="0"/>
            </w:tcBorders>
            <w:vAlign w:val="center"/>
          </w:tcPr>
          <w:p w14:paraId="2C2C966B">
            <w:pPr>
              <w:adjustRightInd w:val="0"/>
              <w:snapToGrid w:val="0"/>
              <w:spacing w:line="360" w:lineRule="auto"/>
              <w:jc w:val="left"/>
              <w:rPr>
                <w:rFonts w:hint="eastAsia" w:ascii="宋体" w:hAnsi="宋体"/>
                <w:b/>
                <w:szCs w:val="21"/>
              </w:rPr>
            </w:pPr>
          </w:p>
        </w:tc>
        <w:tc>
          <w:tcPr>
            <w:tcW w:w="1410" w:type="dxa"/>
            <w:tcBorders>
              <w:left w:val="single" w:color="auto" w:sz="4" w:space="0"/>
            </w:tcBorders>
            <w:vAlign w:val="center"/>
          </w:tcPr>
          <w:p w14:paraId="53C71DEB">
            <w:pPr>
              <w:adjustRightInd w:val="0"/>
              <w:snapToGrid w:val="0"/>
              <w:spacing w:line="360" w:lineRule="auto"/>
              <w:jc w:val="left"/>
              <w:rPr>
                <w:rFonts w:hint="eastAsia" w:ascii="宋体" w:hAnsi="宋体"/>
                <w:b/>
                <w:szCs w:val="21"/>
              </w:rPr>
            </w:pPr>
          </w:p>
        </w:tc>
        <w:tc>
          <w:tcPr>
            <w:tcW w:w="1972" w:type="dxa"/>
            <w:vAlign w:val="center"/>
          </w:tcPr>
          <w:p w14:paraId="116CECE4">
            <w:pPr>
              <w:adjustRightInd w:val="0"/>
              <w:snapToGrid w:val="0"/>
              <w:spacing w:line="360" w:lineRule="auto"/>
              <w:jc w:val="center"/>
              <w:rPr>
                <w:rFonts w:hint="eastAsia" w:ascii="宋体" w:hAnsi="宋体"/>
                <w:b/>
                <w:szCs w:val="21"/>
              </w:rPr>
            </w:pPr>
          </w:p>
        </w:tc>
        <w:tc>
          <w:tcPr>
            <w:tcW w:w="1835" w:type="dxa"/>
          </w:tcPr>
          <w:p w14:paraId="5706784D">
            <w:pPr>
              <w:adjustRightInd w:val="0"/>
              <w:snapToGrid w:val="0"/>
              <w:spacing w:line="360" w:lineRule="auto"/>
              <w:jc w:val="center"/>
              <w:rPr>
                <w:rFonts w:hint="eastAsia" w:ascii="宋体" w:hAnsi="宋体"/>
                <w:b/>
                <w:szCs w:val="21"/>
              </w:rPr>
            </w:pPr>
          </w:p>
        </w:tc>
      </w:tr>
      <w:tr w14:paraId="7B1C716E">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366" w:hRule="atLeast"/>
        </w:trPr>
        <w:tc>
          <w:tcPr>
            <w:tcW w:w="8740" w:type="dxa"/>
            <w:gridSpan w:val="6"/>
            <w:vAlign w:val="center"/>
          </w:tcPr>
          <w:p w14:paraId="73EC0B1D">
            <w:pPr>
              <w:adjustRightInd w:val="0"/>
              <w:snapToGrid w:val="0"/>
              <w:spacing w:line="360" w:lineRule="auto"/>
              <w:jc w:val="left"/>
              <w:rPr>
                <w:rFonts w:hint="eastAsia" w:ascii="宋体" w:hAnsi="宋体"/>
                <w:b/>
                <w:szCs w:val="21"/>
              </w:rPr>
            </w:pPr>
            <w:r>
              <w:rPr>
                <w:rFonts w:hint="eastAsia" w:ascii="宋体" w:hAnsi="宋体"/>
                <w:b/>
                <w:szCs w:val="21"/>
              </w:rPr>
              <w:t>两型产品</w:t>
            </w:r>
          </w:p>
        </w:tc>
      </w:tr>
      <w:tr w14:paraId="53DC6DE4">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366" w:hRule="atLeast"/>
        </w:trPr>
        <w:tc>
          <w:tcPr>
            <w:tcW w:w="667" w:type="dxa"/>
            <w:vAlign w:val="center"/>
          </w:tcPr>
          <w:p w14:paraId="782ED295">
            <w:pPr>
              <w:adjustRightInd w:val="0"/>
              <w:snapToGrid w:val="0"/>
              <w:spacing w:line="360" w:lineRule="auto"/>
              <w:jc w:val="center"/>
              <w:rPr>
                <w:rFonts w:hint="eastAsia" w:ascii="宋体" w:hAnsi="宋体"/>
                <w:szCs w:val="21"/>
              </w:rPr>
            </w:pPr>
          </w:p>
        </w:tc>
        <w:tc>
          <w:tcPr>
            <w:tcW w:w="1729" w:type="dxa"/>
            <w:vAlign w:val="center"/>
          </w:tcPr>
          <w:p w14:paraId="370D8E2F">
            <w:pPr>
              <w:adjustRightInd w:val="0"/>
              <w:snapToGrid w:val="0"/>
              <w:spacing w:line="360" w:lineRule="auto"/>
              <w:jc w:val="center"/>
              <w:rPr>
                <w:rFonts w:hint="eastAsia" w:ascii="宋体" w:hAnsi="宋体"/>
                <w:szCs w:val="21"/>
              </w:rPr>
            </w:pPr>
          </w:p>
        </w:tc>
        <w:tc>
          <w:tcPr>
            <w:tcW w:w="1127" w:type="dxa"/>
            <w:tcBorders>
              <w:right w:val="single" w:color="auto" w:sz="4" w:space="0"/>
            </w:tcBorders>
            <w:vAlign w:val="center"/>
          </w:tcPr>
          <w:p w14:paraId="50914506">
            <w:pPr>
              <w:adjustRightInd w:val="0"/>
              <w:snapToGrid w:val="0"/>
              <w:spacing w:line="360" w:lineRule="auto"/>
              <w:jc w:val="center"/>
              <w:rPr>
                <w:rFonts w:hint="eastAsia" w:ascii="宋体" w:hAnsi="宋体"/>
                <w:szCs w:val="21"/>
              </w:rPr>
            </w:pPr>
          </w:p>
        </w:tc>
        <w:tc>
          <w:tcPr>
            <w:tcW w:w="1410" w:type="dxa"/>
            <w:tcBorders>
              <w:left w:val="single" w:color="auto" w:sz="4" w:space="0"/>
            </w:tcBorders>
            <w:vAlign w:val="center"/>
          </w:tcPr>
          <w:p w14:paraId="2FCD2920">
            <w:pPr>
              <w:adjustRightInd w:val="0"/>
              <w:snapToGrid w:val="0"/>
              <w:spacing w:line="360" w:lineRule="auto"/>
              <w:jc w:val="center"/>
              <w:rPr>
                <w:rFonts w:hint="eastAsia" w:ascii="宋体" w:hAnsi="宋体"/>
                <w:szCs w:val="21"/>
              </w:rPr>
            </w:pPr>
          </w:p>
        </w:tc>
        <w:tc>
          <w:tcPr>
            <w:tcW w:w="1972" w:type="dxa"/>
            <w:vAlign w:val="center"/>
          </w:tcPr>
          <w:p w14:paraId="2DDC8CF9">
            <w:pPr>
              <w:adjustRightInd w:val="0"/>
              <w:snapToGrid w:val="0"/>
              <w:spacing w:line="360" w:lineRule="auto"/>
              <w:jc w:val="center"/>
              <w:rPr>
                <w:rFonts w:hint="eastAsia" w:ascii="宋体" w:hAnsi="宋体"/>
                <w:szCs w:val="21"/>
              </w:rPr>
            </w:pPr>
          </w:p>
        </w:tc>
        <w:tc>
          <w:tcPr>
            <w:tcW w:w="1835" w:type="dxa"/>
          </w:tcPr>
          <w:p w14:paraId="6B82E401">
            <w:pPr>
              <w:adjustRightInd w:val="0"/>
              <w:snapToGrid w:val="0"/>
              <w:spacing w:line="360" w:lineRule="auto"/>
              <w:jc w:val="center"/>
              <w:rPr>
                <w:rFonts w:hint="eastAsia" w:ascii="宋体" w:hAnsi="宋体"/>
                <w:szCs w:val="21"/>
              </w:rPr>
            </w:pPr>
          </w:p>
        </w:tc>
      </w:tr>
      <w:tr w14:paraId="19B68E64">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390" w:hRule="atLeast"/>
        </w:trPr>
        <w:tc>
          <w:tcPr>
            <w:tcW w:w="667" w:type="dxa"/>
            <w:vAlign w:val="center"/>
          </w:tcPr>
          <w:p w14:paraId="0F8F0EFE">
            <w:pPr>
              <w:adjustRightInd w:val="0"/>
              <w:snapToGrid w:val="0"/>
              <w:spacing w:line="360" w:lineRule="auto"/>
              <w:jc w:val="center"/>
              <w:rPr>
                <w:rFonts w:hint="eastAsia" w:ascii="宋体" w:hAnsi="宋体"/>
                <w:szCs w:val="21"/>
              </w:rPr>
            </w:pPr>
            <w:r>
              <w:rPr>
                <w:rFonts w:hint="eastAsia" w:ascii="宋体" w:hAnsi="宋体"/>
                <w:szCs w:val="21"/>
              </w:rPr>
              <w:t>小计</w:t>
            </w:r>
          </w:p>
        </w:tc>
        <w:tc>
          <w:tcPr>
            <w:tcW w:w="1729" w:type="dxa"/>
            <w:vAlign w:val="center"/>
          </w:tcPr>
          <w:p w14:paraId="10EF6C40">
            <w:pPr>
              <w:adjustRightInd w:val="0"/>
              <w:snapToGrid w:val="0"/>
              <w:spacing w:line="360" w:lineRule="auto"/>
              <w:jc w:val="center"/>
              <w:rPr>
                <w:rFonts w:hint="eastAsia" w:ascii="宋体" w:hAnsi="宋体"/>
                <w:szCs w:val="21"/>
              </w:rPr>
            </w:pPr>
          </w:p>
        </w:tc>
        <w:tc>
          <w:tcPr>
            <w:tcW w:w="1127" w:type="dxa"/>
            <w:tcBorders>
              <w:right w:val="single" w:color="auto" w:sz="4" w:space="0"/>
            </w:tcBorders>
            <w:vAlign w:val="center"/>
          </w:tcPr>
          <w:p w14:paraId="04F0A49D">
            <w:pPr>
              <w:adjustRightInd w:val="0"/>
              <w:snapToGrid w:val="0"/>
              <w:spacing w:line="360" w:lineRule="auto"/>
              <w:jc w:val="center"/>
              <w:rPr>
                <w:rFonts w:hint="eastAsia" w:ascii="宋体" w:hAnsi="宋体"/>
                <w:szCs w:val="21"/>
              </w:rPr>
            </w:pPr>
          </w:p>
        </w:tc>
        <w:tc>
          <w:tcPr>
            <w:tcW w:w="1410" w:type="dxa"/>
            <w:tcBorders>
              <w:left w:val="single" w:color="auto" w:sz="4" w:space="0"/>
            </w:tcBorders>
            <w:vAlign w:val="center"/>
          </w:tcPr>
          <w:p w14:paraId="3ECB6A63">
            <w:pPr>
              <w:adjustRightInd w:val="0"/>
              <w:snapToGrid w:val="0"/>
              <w:spacing w:line="360" w:lineRule="auto"/>
              <w:jc w:val="center"/>
              <w:rPr>
                <w:rFonts w:hint="eastAsia" w:ascii="宋体" w:hAnsi="宋体"/>
                <w:szCs w:val="21"/>
              </w:rPr>
            </w:pPr>
          </w:p>
        </w:tc>
        <w:tc>
          <w:tcPr>
            <w:tcW w:w="1972" w:type="dxa"/>
            <w:vAlign w:val="center"/>
          </w:tcPr>
          <w:p w14:paraId="2E1AC4ED">
            <w:pPr>
              <w:adjustRightInd w:val="0"/>
              <w:snapToGrid w:val="0"/>
              <w:spacing w:line="360" w:lineRule="auto"/>
              <w:jc w:val="center"/>
              <w:rPr>
                <w:rFonts w:hint="eastAsia" w:ascii="宋体" w:hAnsi="宋体"/>
                <w:szCs w:val="21"/>
              </w:rPr>
            </w:pPr>
          </w:p>
        </w:tc>
        <w:tc>
          <w:tcPr>
            <w:tcW w:w="1835" w:type="dxa"/>
          </w:tcPr>
          <w:p w14:paraId="34A7A927">
            <w:pPr>
              <w:adjustRightInd w:val="0"/>
              <w:snapToGrid w:val="0"/>
              <w:spacing w:line="360" w:lineRule="auto"/>
              <w:jc w:val="center"/>
              <w:rPr>
                <w:rFonts w:hint="eastAsia" w:ascii="宋体" w:hAnsi="宋体"/>
                <w:szCs w:val="21"/>
              </w:rPr>
            </w:pPr>
          </w:p>
        </w:tc>
      </w:tr>
    </w:tbl>
    <w:p w14:paraId="01633A0B">
      <w:pPr>
        <w:adjustRightInd w:val="0"/>
        <w:snapToGrid w:val="0"/>
        <w:spacing w:line="360" w:lineRule="auto"/>
        <w:jc w:val="left"/>
        <w:rPr>
          <w:rFonts w:hint="eastAsia" w:ascii="宋体" w:hAnsi="宋体"/>
          <w:szCs w:val="21"/>
        </w:rPr>
      </w:pPr>
      <w:r>
        <w:rPr>
          <w:rFonts w:hint="eastAsia" w:ascii="宋体" w:hAnsi="宋体"/>
          <w:szCs w:val="21"/>
        </w:rPr>
        <w:t>说明：</w:t>
      </w:r>
      <w:r>
        <w:rPr>
          <w:rFonts w:hint="eastAsia" w:ascii="宋体" w:hAnsi="宋体"/>
          <w:bCs/>
          <w:szCs w:val="21"/>
        </w:rPr>
        <w:t>1.</w:t>
      </w:r>
      <w:r>
        <w:rPr>
          <w:rFonts w:hint="eastAsia" w:ascii="宋体" w:hAnsi="宋体"/>
          <w:szCs w:val="21"/>
        </w:rPr>
        <w:t>本表用于计算政府采购优先采购产品（节能产品或环境标志产品或两型产品）的政府采购政策加分或者价格扣除。</w:t>
      </w:r>
    </w:p>
    <w:p w14:paraId="485BDB63">
      <w:pPr>
        <w:adjustRightInd w:val="0"/>
        <w:snapToGrid w:val="0"/>
        <w:spacing w:line="360" w:lineRule="auto"/>
        <w:ind w:firstLine="630" w:firstLineChars="300"/>
        <w:jc w:val="left"/>
        <w:rPr>
          <w:rFonts w:hint="eastAsia" w:ascii="宋体" w:hAnsi="宋体"/>
          <w:szCs w:val="21"/>
        </w:rPr>
      </w:pPr>
      <w:r>
        <w:rPr>
          <w:rFonts w:hint="eastAsia" w:ascii="宋体" w:hAnsi="宋体"/>
          <w:szCs w:val="21"/>
        </w:rPr>
        <w:t>2.栏目4“价格”为综合单价，包含货物所有隐含的内容，如运输费、保险费、管理费和利润等。</w:t>
      </w:r>
    </w:p>
    <w:p w14:paraId="77C1C0AA">
      <w:pPr>
        <w:adjustRightInd w:val="0"/>
        <w:snapToGrid w:val="0"/>
        <w:spacing w:line="360" w:lineRule="auto"/>
        <w:ind w:firstLine="630" w:firstLineChars="300"/>
        <w:jc w:val="left"/>
        <w:rPr>
          <w:rFonts w:hint="eastAsia" w:ascii="宋体" w:hAnsi="宋体"/>
          <w:szCs w:val="21"/>
        </w:rPr>
      </w:pPr>
      <w:r>
        <w:rPr>
          <w:rFonts w:hint="eastAsia" w:ascii="宋体" w:hAnsi="宋体"/>
          <w:szCs w:val="21"/>
        </w:rPr>
        <w:t>3.栏目6“政策功能编码”是指货物的中国环境标志认证证书编号、中国节能标志认证证书号、湖南两型产品编号（货物同时属于节能产品、环境标志产品、两型产品的，只须填写一种）。</w:t>
      </w:r>
    </w:p>
    <w:p w14:paraId="71366DDC">
      <w:pPr>
        <w:adjustRightInd w:val="0"/>
        <w:snapToGrid w:val="0"/>
        <w:spacing w:line="360" w:lineRule="auto"/>
        <w:ind w:firstLine="630" w:firstLineChars="300"/>
        <w:rPr>
          <w:rFonts w:hint="eastAsia" w:ascii="宋体" w:hAnsi="宋体"/>
          <w:bCs/>
          <w:szCs w:val="21"/>
        </w:rPr>
      </w:pPr>
      <w:r>
        <w:rPr>
          <w:rFonts w:hint="eastAsia" w:ascii="宋体" w:hAnsi="宋体"/>
          <w:bCs/>
          <w:szCs w:val="21"/>
        </w:rPr>
        <w:t>4.投标人在投标截止时间前修改“开标一览表”中的投标报价的，应按第二章第13.7款规定修改本表相应内容。否则，评审时涉及本表所有优惠不予以考虑。</w:t>
      </w:r>
    </w:p>
    <w:p w14:paraId="7C8FC337">
      <w:pPr>
        <w:adjustRightInd w:val="0"/>
        <w:snapToGrid w:val="0"/>
        <w:spacing w:line="360" w:lineRule="auto"/>
        <w:rPr>
          <w:rFonts w:hint="eastAsia" w:ascii="宋体" w:hAnsi="宋体"/>
          <w:szCs w:val="21"/>
        </w:rPr>
      </w:pPr>
    </w:p>
    <w:p w14:paraId="23C8CA82">
      <w:pPr>
        <w:adjustRightInd w:val="0"/>
        <w:snapToGrid w:val="0"/>
        <w:spacing w:line="360" w:lineRule="auto"/>
        <w:rPr>
          <w:rFonts w:hint="eastAsia" w:ascii="宋体" w:hAnsi="宋体"/>
          <w:szCs w:val="21"/>
        </w:rPr>
      </w:pPr>
      <w:r>
        <w:rPr>
          <w:rFonts w:hint="eastAsia" w:ascii="宋体" w:hAnsi="宋体"/>
          <w:szCs w:val="21"/>
        </w:rPr>
        <w:t>投标人名称（盖单位章）：</w:t>
      </w:r>
    </w:p>
    <w:p w14:paraId="12566933">
      <w:pPr>
        <w:adjustRightInd w:val="0"/>
        <w:snapToGrid w:val="0"/>
        <w:spacing w:line="360" w:lineRule="auto"/>
        <w:rPr>
          <w:rFonts w:hint="eastAsia" w:ascii="宋体" w:hAnsi="宋体"/>
          <w:szCs w:val="21"/>
        </w:rPr>
      </w:pPr>
      <w:r>
        <w:rPr>
          <w:rFonts w:hint="eastAsia" w:ascii="宋体" w:hAnsi="宋体" w:cs="微软雅黑"/>
          <w:spacing w:val="-2"/>
          <w:kern w:val="0"/>
          <w:szCs w:val="21"/>
        </w:rPr>
        <w:t>法</w:t>
      </w:r>
      <w:r>
        <w:rPr>
          <w:rFonts w:hint="eastAsia" w:ascii="宋体" w:hAnsi="宋体" w:cs="微软雅黑"/>
          <w:kern w:val="0"/>
          <w:szCs w:val="21"/>
        </w:rPr>
        <w:t>定</w:t>
      </w:r>
      <w:r>
        <w:rPr>
          <w:rFonts w:hint="eastAsia" w:ascii="宋体" w:hAnsi="宋体" w:cs="微软雅黑"/>
          <w:spacing w:val="-2"/>
          <w:kern w:val="0"/>
          <w:szCs w:val="21"/>
        </w:rPr>
        <w:t>代</w:t>
      </w:r>
      <w:r>
        <w:rPr>
          <w:rFonts w:hint="eastAsia" w:ascii="宋体" w:hAnsi="宋体" w:cs="微软雅黑"/>
          <w:kern w:val="0"/>
          <w:szCs w:val="21"/>
        </w:rPr>
        <w:t>表</w:t>
      </w:r>
      <w:r>
        <w:rPr>
          <w:rFonts w:hint="eastAsia" w:ascii="宋体" w:hAnsi="宋体" w:cs="微软雅黑"/>
          <w:spacing w:val="-2"/>
          <w:kern w:val="0"/>
          <w:szCs w:val="21"/>
        </w:rPr>
        <w:t>人</w:t>
      </w:r>
      <w:r>
        <w:rPr>
          <w:rFonts w:hint="eastAsia" w:ascii="宋体" w:hAnsi="宋体" w:cs="微软雅黑"/>
          <w:kern w:val="0"/>
          <w:szCs w:val="21"/>
        </w:rPr>
        <w:t>（</w:t>
      </w:r>
      <w:r>
        <w:rPr>
          <w:rFonts w:hint="eastAsia" w:ascii="宋体" w:hAnsi="宋体" w:cs="微软雅黑"/>
          <w:spacing w:val="-2"/>
          <w:kern w:val="0"/>
          <w:szCs w:val="21"/>
        </w:rPr>
        <w:t>单</w:t>
      </w:r>
      <w:r>
        <w:rPr>
          <w:rFonts w:hint="eastAsia" w:ascii="宋体" w:hAnsi="宋体" w:cs="微软雅黑"/>
          <w:kern w:val="0"/>
          <w:szCs w:val="21"/>
        </w:rPr>
        <w:t>位</w:t>
      </w:r>
      <w:r>
        <w:rPr>
          <w:rFonts w:hint="eastAsia" w:ascii="宋体" w:hAnsi="宋体" w:cs="微软雅黑"/>
          <w:spacing w:val="-2"/>
          <w:kern w:val="0"/>
          <w:szCs w:val="21"/>
        </w:rPr>
        <w:t>负</w:t>
      </w:r>
      <w:r>
        <w:rPr>
          <w:rFonts w:hint="eastAsia" w:ascii="宋体" w:hAnsi="宋体" w:cs="微软雅黑"/>
          <w:kern w:val="0"/>
          <w:szCs w:val="21"/>
        </w:rPr>
        <w:t>责人</w:t>
      </w:r>
      <w:r>
        <w:rPr>
          <w:rFonts w:hint="eastAsia" w:ascii="宋体" w:hAnsi="宋体" w:cs="微软雅黑"/>
          <w:spacing w:val="-2"/>
          <w:kern w:val="0"/>
          <w:szCs w:val="21"/>
        </w:rPr>
        <w:t>）</w:t>
      </w:r>
      <w:r>
        <w:rPr>
          <w:rFonts w:hint="eastAsia" w:ascii="宋体" w:hAnsi="宋体"/>
          <w:szCs w:val="21"/>
        </w:rPr>
        <w:t>或其委托代理人（签字或印章）：</w:t>
      </w:r>
      <w:r>
        <w:rPr>
          <w:rFonts w:hint="eastAsia" w:ascii="宋体" w:hAnsi="宋体"/>
          <w:szCs w:val="21"/>
          <w:u w:val="single"/>
        </w:rPr>
        <w:t xml:space="preserve">       </w:t>
      </w:r>
    </w:p>
    <w:p w14:paraId="47778F29">
      <w:pPr>
        <w:rPr>
          <w:rFonts w:hint="eastAsia" w:ascii="宋体" w:hAnsi="宋体"/>
          <w:b/>
          <w:bCs/>
          <w:sz w:val="10"/>
          <w:szCs w:val="10"/>
        </w:rPr>
      </w:pPr>
      <w:r>
        <w:rPr>
          <w:rFonts w:hint="eastAsia"/>
        </w:rPr>
        <w:t>日期：        年    月   日</w:t>
      </w:r>
      <w:r>
        <w:rPr>
          <w:rFonts w:ascii="宋体" w:hAnsi="宋体"/>
          <w:szCs w:val="21"/>
        </w:rPr>
        <w:br w:type="page"/>
      </w:r>
    </w:p>
    <w:p w14:paraId="76101608">
      <w:pPr>
        <w:pStyle w:val="4"/>
        <w:adjustRightInd w:val="0"/>
        <w:snapToGrid w:val="0"/>
        <w:spacing w:before="0" w:after="0" w:line="360" w:lineRule="auto"/>
        <w:jc w:val="center"/>
        <w:rPr>
          <w:rFonts w:hint="eastAsia" w:ascii="黑体" w:hAnsi="宋体" w:eastAsia="黑体"/>
          <w:sz w:val="28"/>
          <w:szCs w:val="28"/>
        </w:rPr>
      </w:pPr>
      <w:bookmarkStart w:id="189" w:name="_Toc11179"/>
      <w:r>
        <w:rPr>
          <w:rFonts w:hint="eastAsia" w:ascii="黑体" w:hAnsi="宋体" w:eastAsia="黑体"/>
          <w:sz w:val="28"/>
          <w:szCs w:val="28"/>
        </w:rPr>
        <w:t>十一、投标货物符合招标文件规定的证明文件</w:t>
      </w:r>
      <w:bookmarkEnd w:id="189"/>
    </w:p>
    <w:p w14:paraId="524017D3">
      <w:pPr>
        <w:adjustRightInd w:val="0"/>
        <w:snapToGrid w:val="0"/>
        <w:spacing w:line="360" w:lineRule="auto"/>
        <w:rPr>
          <w:rFonts w:hint="eastAsia" w:ascii="宋体" w:hAnsi="宋体"/>
          <w:szCs w:val="21"/>
        </w:rPr>
      </w:pPr>
    </w:p>
    <w:p w14:paraId="1F6CD345">
      <w:pPr>
        <w:adjustRightInd w:val="0"/>
        <w:snapToGrid w:val="0"/>
        <w:spacing w:line="360" w:lineRule="auto"/>
        <w:rPr>
          <w:rFonts w:hint="eastAsia" w:ascii="宋体" w:hAnsi="宋体"/>
        </w:rPr>
      </w:pPr>
      <w:r>
        <w:rPr>
          <w:rFonts w:hint="eastAsia" w:ascii="宋体" w:hAnsi="宋体"/>
          <w:szCs w:val="21"/>
        </w:rPr>
        <w:t>注：提供第五章规定的证明材料复印件。</w:t>
      </w:r>
    </w:p>
    <w:p w14:paraId="65EF03AE">
      <w:pPr>
        <w:widowControl/>
        <w:jc w:val="left"/>
        <w:rPr>
          <w:rFonts w:ascii="黑体" w:eastAsia="黑体"/>
          <w:sz w:val="10"/>
          <w:szCs w:val="10"/>
        </w:rPr>
      </w:pPr>
      <w:r>
        <w:rPr>
          <w:rFonts w:ascii="黑体" w:eastAsia="黑体"/>
          <w:b/>
          <w:bCs/>
          <w:sz w:val="28"/>
          <w:szCs w:val="28"/>
        </w:rPr>
        <w:br w:type="page"/>
      </w:r>
    </w:p>
    <w:p w14:paraId="7DE7C34C">
      <w:pPr>
        <w:pStyle w:val="4"/>
        <w:adjustRightInd w:val="0"/>
        <w:snapToGrid w:val="0"/>
        <w:spacing w:before="0" w:after="0" w:line="360" w:lineRule="auto"/>
        <w:jc w:val="center"/>
        <w:rPr>
          <w:rFonts w:hint="eastAsia" w:ascii="黑体" w:hAnsi="宋体" w:eastAsia="黑体"/>
          <w:sz w:val="28"/>
          <w:szCs w:val="28"/>
        </w:rPr>
      </w:pPr>
      <w:bookmarkStart w:id="190" w:name="_Toc20609"/>
      <w:bookmarkStart w:id="191" w:name="_Toc6407"/>
      <w:r>
        <w:rPr>
          <w:rFonts w:hint="eastAsia" w:ascii="黑体" w:hAnsi="宋体" w:eastAsia="黑体"/>
          <w:sz w:val="28"/>
          <w:szCs w:val="28"/>
        </w:rPr>
        <w:t>十二、投标人认为需提供的其他资料</w:t>
      </w:r>
      <w:bookmarkEnd w:id="190"/>
      <w:bookmarkEnd w:id="191"/>
    </w:p>
    <w:p w14:paraId="7189ED2E">
      <w:pPr>
        <w:adjustRightInd w:val="0"/>
        <w:snapToGrid w:val="0"/>
        <w:spacing w:before="157" w:beforeLines="50" w:line="360" w:lineRule="auto"/>
        <w:rPr>
          <w:rFonts w:hint="eastAsia" w:ascii="宋体" w:hAnsi="宋体"/>
        </w:rPr>
      </w:pPr>
    </w:p>
    <w:p w14:paraId="01DB8226">
      <w:pPr>
        <w:adjustRightInd w:val="0"/>
        <w:snapToGrid w:val="0"/>
        <w:spacing w:before="157" w:beforeLines="50" w:line="360" w:lineRule="auto"/>
        <w:rPr>
          <w:rFonts w:hint="eastAsia" w:ascii="宋体" w:hAnsi="宋体"/>
        </w:rPr>
      </w:pPr>
      <w:r>
        <w:rPr>
          <w:rFonts w:hint="eastAsia" w:ascii="宋体" w:hAnsi="宋体"/>
        </w:rPr>
        <w:t>注：投标人认为需提供的其他资料包括：</w:t>
      </w:r>
    </w:p>
    <w:p w14:paraId="1CA4390A">
      <w:pPr>
        <w:adjustRightInd w:val="0"/>
        <w:snapToGrid w:val="0"/>
        <w:spacing w:before="157" w:beforeLines="50" w:line="360" w:lineRule="auto"/>
        <w:ind w:firstLine="420" w:firstLineChars="200"/>
        <w:rPr>
          <w:rFonts w:hint="eastAsia" w:ascii="宋体" w:hAnsi="宋体"/>
        </w:rPr>
      </w:pPr>
      <w:r>
        <w:rPr>
          <w:rFonts w:hint="eastAsia" w:ascii="宋体" w:hAnsi="宋体"/>
        </w:rPr>
        <w:t>1.招标文件第四章评标方法及标准要求的其他相关资料；</w:t>
      </w:r>
    </w:p>
    <w:p w14:paraId="75E49ECB">
      <w:pPr>
        <w:adjustRightInd w:val="0"/>
        <w:snapToGrid w:val="0"/>
        <w:spacing w:before="157" w:beforeLines="50" w:line="360" w:lineRule="auto"/>
        <w:ind w:firstLine="420" w:firstLineChars="200"/>
        <w:rPr>
          <w:rFonts w:hint="eastAsia" w:ascii="宋体" w:hAnsi="宋体"/>
        </w:rPr>
      </w:pPr>
      <w:r>
        <w:rPr>
          <w:rFonts w:hint="eastAsia" w:ascii="宋体" w:hAnsi="宋体"/>
        </w:rPr>
        <w:t>2.招标文件第五章采购需求要求的其他资料。</w:t>
      </w:r>
    </w:p>
    <w:p w14:paraId="3CA9FFB5">
      <w:pPr>
        <w:adjustRightInd w:val="0"/>
        <w:snapToGrid w:val="0"/>
        <w:spacing w:before="157" w:beforeLines="50" w:line="360" w:lineRule="auto"/>
        <w:rPr>
          <w:rFonts w:hint="eastAsia" w:ascii="宋体" w:hAnsi="宋体"/>
        </w:rPr>
      </w:pPr>
    </w:p>
    <w:p w14:paraId="3E7C724B"/>
    <w:p w14:paraId="16C7AEDB">
      <w:pPr>
        <w:widowControl/>
        <w:jc w:val="left"/>
      </w:pPr>
    </w:p>
    <w:sectPr>
      <w:pgSz w:w="11906" w:h="16838"/>
      <w:pgMar w:top="1474" w:right="1474" w:bottom="1474" w:left="1587" w:header="851" w:footer="992" w:gutter="0"/>
      <w:pgBorders>
        <w:top w:val="none" w:sz="0" w:space="0"/>
        <w:left w:val="none" w:sz="0" w:space="0"/>
        <w:bottom w:val="none" w:sz="0" w:space="0"/>
        <w:right w:val="none" w:sz="0" w:space="0"/>
      </w:pgBorders>
      <w:cols w:space="0" w:num="1"/>
      <w:docGrid w:type="lines" w:linePitch="315"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roman"/>
    <w:pitch w:val="default"/>
    <w:sig w:usb0="E0002EFF" w:usb1="C000785B" w:usb2="00000009" w:usb3="00000000" w:csb0="400001FF" w:csb1="FFFF0000"/>
  </w:font>
  <w:font w:name="宋体">
    <w:panose1 w:val="02010600030101010101"/>
    <w:charset w:val="34"/>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178DF3FB-194D-43D2-9667-181B525466C0}"/>
  </w:font>
  <w:font w:name="Arial">
    <w:panose1 w:val="020B0604020202020204"/>
    <w:charset w:val="01"/>
    <w:family w:val="swiss"/>
    <w:pitch w:val="default"/>
    <w:sig w:usb0="E0002EFF" w:usb1="C000785B" w:usb2="00000009" w:usb3="00000000" w:csb0="400001FF" w:csb1="FFFF0000"/>
    <w:embedRegular r:id="rId2" w:fontKey="{FE8F05F0-6335-491B-A502-3354EAD1E465}"/>
  </w:font>
  <w:font w:name="黑体">
    <w:panose1 w:val="02010609060101010101"/>
    <w:charset w:val="86"/>
    <w:family w:val="auto"/>
    <w:pitch w:val="default"/>
    <w:sig w:usb0="800002BF" w:usb1="38CF7CFA" w:usb2="00000016" w:usb3="00000000" w:csb0="00040001" w:csb1="00000000"/>
    <w:embedRegular r:id="rId3" w:fontKey="{37DA6757-FAA8-4414-AD72-9873A6FFAFC9}"/>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华文细黑">
    <w:panose1 w:val="02010600040101010101"/>
    <w:charset w:val="86"/>
    <w:family w:val="auto"/>
    <w:pitch w:val="default"/>
    <w:sig w:usb0="00000287" w:usb1="080F0000" w:usb2="00000000" w:usb3="00000000" w:csb0="0004009F" w:csb1="DFD70000"/>
  </w:font>
  <w:font w:name="Consolas">
    <w:panose1 w:val="020B0609020204030204"/>
    <w:charset w:val="00"/>
    <w:family w:val="modern"/>
    <w:pitch w:val="default"/>
    <w:sig w:usb0="E00006FF" w:usb1="0000FCFF" w:usb2="00000001" w:usb3="00000000" w:csb0="6000019F" w:csb1="DFD70000"/>
  </w:font>
  <w:font w:name="微软雅黑">
    <w:panose1 w:val="020B0503020204020204"/>
    <w:charset w:val="86"/>
    <w:family w:val="auto"/>
    <w:pitch w:val="default"/>
    <w:sig w:usb0="80000287" w:usb1="2ACF3C50" w:usb2="00000016" w:usb3="00000000" w:csb0="0004001F" w:csb1="00000000"/>
    <w:embedRegular r:id="rId4" w:fontKey="{A2887A1F-2AAF-469A-A460-D9D913D12D80}"/>
  </w:font>
  <w:font w:name="仿宋">
    <w:panose1 w:val="02010609060101010101"/>
    <w:charset w:val="86"/>
    <w:family w:val="auto"/>
    <w:pitch w:val="default"/>
    <w:sig w:usb0="800002BF" w:usb1="38CF7CFA" w:usb2="00000016" w:usb3="00000000" w:csb0="00040001" w:csb1="00000000"/>
    <w:embedRegular r:id="rId5" w:fontKey="{E7A85A19-969C-4BE0-A39A-A13681F411D0}"/>
  </w:font>
  <w:font w:name="华文中宋">
    <w:panose1 w:val="02010600040101010101"/>
    <w:charset w:val="86"/>
    <w:family w:val="auto"/>
    <w:pitch w:val="default"/>
    <w:sig w:usb0="00000287" w:usb1="080F0000" w:usb2="00000000" w:usb3="00000000" w:csb0="0004009F" w:csb1="DFD70000"/>
    <w:embedRegular r:id="rId6" w:fontKey="{3CF7C14F-DA5B-47D1-938C-7BBC137625E3}"/>
  </w:font>
  <w:font w:name="楷体_GB2312">
    <w:panose1 w:val="02010609030101010101"/>
    <w:charset w:val="86"/>
    <w:family w:val="modern"/>
    <w:pitch w:val="default"/>
    <w:sig w:usb0="00000001" w:usb1="080E0000" w:usb2="00000000" w:usb3="00000000" w:csb0="00040000" w:csb1="00000000"/>
    <w:embedRegular r:id="rId7" w:fontKey="{BB1EB6B2-7940-4056-8DEE-C646C557F19E}"/>
  </w:font>
  <w:font w:name="MS Gothic">
    <w:panose1 w:val="020B0609070205080204"/>
    <w:charset w:val="80"/>
    <w:family w:val="modern"/>
    <w:pitch w:val="default"/>
    <w:sig w:usb0="E00002FF" w:usb1="6AC7FDFB" w:usb2="08000012" w:usb3="00000000" w:csb0="4002009F" w:csb1="DFD70000"/>
    <w:embedRegular r:id="rId8" w:fontKey="{9B3DDDBD-741C-49DA-A990-AB7DCAAF3155}"/>
  </w:font>
  <w:font w:name="仿宋_GB2312">
    <w:panose1 w:val="02010609030101010101"/>
    <w:charset w:val="86"/>
    <w:family w:val="modern"/>
    <w:pitch w:val="default"/>
    <w:sig w:usb0="00000001" w:usb1="080E0000" w:usb2="00000000" w:usb3="00000000" w:csb0="00040000" w:csb1="00000000"/>
    <w:embedRegular r:id="rId9" w:fontKey="{B540635F-C787-4221-954F-32510C7FCCCB}"/>
  </w:font>
  <w:font w:name="华文宋体">
    <w:panose1 w:val="02010600040101010101"/>
    <w:charset w:val="86"/>
    <w:family w:val="auto"/>
    <w:pitch w:val="default"/>
    <w:sig w:usb0="00000287" w:usb1="080F0000" w:usb2="00000000" w:usb3="00000000" w:csb0="0004009F" w:csb1="DFD70000"/>
    <w:embedRegular r:id="rId10" w:fontKey="{C817CCF0-18EF-4E68-BFE2-4AEE1C7AF697}"/>
  </w:font>
  <w:font w:name="WPSEMBED86">
    <w:panose1 w:val="02010609030101010101"/>
    <w:charset w:val="86"/>
    <w:family w:val="auto"/>
    <w:pitch w:val="default"/>
    <w:sig w:usb0="00000001" w:usb1="080E0000" w:usb2="00000000" w:usb3="00000000" w:csb0="00040000" w:csb1="00000000"/>
  </w:font>
  <w:font w:name="WPSEMBED87">
    <w:panose1 w:val="02010609030101010101"/>
    <w:charset w:val="86"/>
    <w:family w:val="auto"/>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07B60A">
    <w:pPr>
      <w:pStyle w:val="16"/>
      <w:ind w:left="180" w:right="359" w:rightChars="171" w:hanging="180" w:hangingChars="100"/>
      <w:rPr>
        <w:rFonts w:eastAsia="楷体_GB2312"/>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8C5788">
    <w:pPr>
      <w:pStyle w:val="16"/>
      <w:jc w:val="center"/>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64637D66">
                          <w:pPr>
                            <w:pStyle w:val="16"/>
                          </w:pPr>
                          <w:r>
                            <w:fldChar w:fldCharType="begin"/>
                          </w:r>
                          <w:r>
                            <w:instrText xml:space="preserve"> PAGE  \* MERGEFORMAT </w:instrText>
                          </w:r>
                          <w:r>
                            <w:fldChar w:fldCharType="separate"/>
                          </w:r>
                          <w:r>
                            <w:t>1</w:t>
                          </w:r>
                          <w:r>
                            <w:fldChar w:fldCharType="end"/>
                          </w:r>
                        </w:p>
                      </w:txbxContent>
                    </wps:txbx>
                    <wps:bodyPr vert="horz" wrap="none" lIns="0" tIns="0" rIns="0" bIns="0" anchor="t" anchorCtr="0">
                      <a:spAutoFit/>
                    </wps:bodyPr>
                  </wps:wsp>
                </a:graphicData>
              </a:graphic>
            </wp:anchor>
          </w:drawing>
        </mc:Choice>
        <mc:Fallback>
          <w:pict>
            <v:shape id="文本框 10"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">
              <v:fill on="f" focussize="0,0"/>
              <v:stroke on="f"/>
              <v:imagedata o:title=""/>
              <o:lock v:ext="edit" aspectratio="f"/>
              <v:textbox inset="0mm,0mm,0mm,0mm" style="mso-fit-shape-to-text:t;">
                <w:txbxContent>
                  <w:p w14:paraId="64637D66">
                    <w:pPr>
                      <w:pStyle w:val="16"/>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CF152C">
    <w:pPr>
      <w:pStyle w:val="16"/>
      <w:framePr w:wrap="around" w:vAnchor="text" w:hAnchor="margin" w:xAlign="right" w:y="1"/>
      <w:rPr>
        <w:rStyle w:val="31"/>
      </w:rPr>
    </w:pPr>
    <w:r>
      <w:fldChar w:fldCharType="begin"/>
    </w:r>
    <w:r>
      <w:rPr>
        <w:rStyle w:val="31"/>
      </w:rPr>
      <w:instrText xml:space="preserve">PAGE  </w:instrText>
    </w:r>
    <w:r>
      <w:fldChar w:fldCharType="end"/>
    </w:r>
  </w:p>
  <w:p w14:paraId="167A9B7F">
    <w:pPr>
      <w:pStyle w:val="16"/>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2020EA">
    <w:pPr>
      <w:pStyle w:val="16"/>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726651">
    <w:pPr>
      <w:pStyle w:val="16"/>
      <w:jc w:val="center"/>
    </w:pPr>
    <w: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10" name="文本框 1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14:paraId="24958EF7">
                          <w:pPr>
                            <w:pStyle w:val="16"/>
                          </w:pPr>
                          <w:r>
                            <w:fldChar w:fldCharType="begin"/>
                          </w:r>
                          <w:r>
                            <w:instrText xml:space="preserve"> PAGE  \* MERGEFORMAT </w:instrText>
                          </w:r>
                          <w:r>
                            <w:fldChar w:fldCharType="separate"/>
                          </w:r>
                          <w:r>
                            <w:t>42</w:t>
                          </w:r>
                          <w:r>
                            <w:fldChar w:fldCharType="end"/>
                          </w:r>
                        </w:p>
                      </w:txbxContent>
                    </wps:txbx>
                    <wps:bodyPr wrap="none" lIns="0" tIns="0" rIns="0" bIns="0" upright="1">
                      <a:spAutoFit/>
                    </wps:bodyPr>
                  </wps:wsp>
                </a:graphicData>
              </a:graphic>
            </wp:anchor>
          </w:drawing>
        </mc:Choice>
        <mc:Fallback>
          <w:pict>
            <v:shape id="文本框 15"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zql5uc8AAAAFAQAADwAAAAAAAAABACAAAAAiAAAAZHJzL2Rvd25y&#10;ZXYueG1sUEsBAhQAFAAAAAgAh07iQIxS/9zOAQAAqQMAAA4AAAAAAAAAAQAgAAAAHgEAAGRycy9l&#10;Mm9Eb2MueG1sUEsFBgAAAAAGAAYAWQEAAF4FAAAAAA==&#10;">
              <v:fill on="f" focussize="0,0"/>
              <v:stroke on="f"/>
              <v:imagedata o:title=""/>
              <o:lock v:ext="edit" aspectratio="f"/>
              <v:textbox inset="0mm,0mm,0mm,0mm" style="mso-fit-shape-to-text:t;">
                <w:txbxContent>
                  <w:p w14:paraId="24958EF7">
                    <w:pPr>
                      <w:pStyle w:val="16"/>
                    </w:pPr>
                    <w:r>
                      <w:fldChar w:fldCharType="begin"/>
                    </w:r>
                    <w:r>
                      <w:instrText xml:space="preserve"> PAGE  \* MERGEFORMAT </w:instrText>
                    </w:r>
                    <w:r>
                      <w:fldChar w:fldCharType="separate"/>
                    </w:r>
                    <w:r>
                      <w:t>42</w:t>
                    </w:r>
                    <w:r>
                      <w:fldChar w:fldCharType="end"/>
                    </w:r>
                  </w:p>
                </w:txbxContent>
              </v:textbox>
            </v:shape>
          </w:pict>
        </mc:Fallback>
      </mc:AlternateContent>
    </w:r>
  </w:p>
  <w:p w14:paraId="044D45DA">
    <w:pPr>
      <w:pStyle w:val="16"/>
      <w:pBdr>
        <w:top w:val="single" w:color="auto" w:sz="4" w:space="1"/>
      </w:pBdr>
      <w:jc w:val="center"/>
      <w:rPr>
        <w:rFonts w:hint="eastAsia" w:ascii="宋体" w:hAnsi="宋体"/>
        <w:sz w:val="21"/>
        <w:szCs w:val="21"/>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048F1B">
    <w:pPr>
      <w:pStyle w:val="16"/>
      <w:jc w:val="right"/>
    </w:pPr>
    <w: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7" name="文本框 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14:paraId="19F0B8F1">
                          <w:pPr>
                            <w:pStyle w:val="16"/>
                          </w:pPr>
                          <w:r>
                            <w:fldChar w:fldCharType="begin"/>
                          </w:r>
                          <w:r>
                            <w:instrText xml:space="preserve"> PAGE  \* MERGEFORMAT </w:instrText>
                          </w:r>
                          <w:r>
                            <w:fldChar w:fldCharType="separate"/>
                          </w:r>
                          <w:r>
                            <w:t>100</w:t>
                          </w:r>
                          <w:r>
                            <w:fldChar w:fldCharType="end"/>
                          </w:r>
                        </w:p>
                      </w:txbxContent>
                    </wps:txbx>
                    <wps:bodyPr wrap="none" lIns="0" tIns="0" rIns="0" bIns="0" upright="1">
                      <a:spAutoFit/>
                    </wps:bodyPr>
                  </wps:wsp>
                </a:graphicData>
              </a:graphic>
            </wp:anchor>
          </w:drawing>
        </mc:Choice>
        <mc:Fallback>
          <w:pict>
            <v:shape id="文本框 1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zql5uc8AAAAFAQAADwAAAAAAAAABACAAAAAiAAAAZHJzL2Rvd25y&#10;ZXYueG1sUEsBAhQAFAAAAAgAh07iQEwopYzOAQAAqAMAAA4AAAAAAAAAAQAgAAAAHgEAAGRycy9l&#10;Mm9Eb2MueG1sUEsFBgAAAAAGAAYAWQEAAF4FAAAAAA==&#10;">
              <v:fill on="f" focussize="0,0"/>
              <v:stroke on="f"/>
              <v:imagedata o:title=""/>
              <o:lock v:ext="edit" aspectratio="f"/>
              <v:textbox inset="0mm,0mm,0mm,0mm" style="mso-fit-shape-to-text:t;">
                <w:txbxContent>
                  <w:p w14:paraId="19F0B8F1">
                    <w:pPr>
                      <w:pStyle w:val="16"/>
                    </w:pPr>
                    <w:r>
                      <w:fldChar w:fldCharType="begin"/>
                    </w:r>
                    <w:r>
                      <w:instrText xml:space="preserve"> PAGE  \* MERGEFORMAT </w:instrText>
                    </w:r>
                    <w:r>
                      <w:fldChar w:fldCharType="separate"/>
                    </w:r>
                    <w:r>
                      <w:t>100</w:t>
                    </w:r>
                    <w:r>
                      <w:fldChar w:fldCharType="end"/>
                    </w:r>
                  </w:p>
                </w:txbxContent>
              </v:textbox>
            </v:shape>
          </w:pict>
        </mc:Fallback>
      </mc:AlternateContent>
    </w:r>
    <w: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14935" cy="131445"/>
              <wp:effectExtent l="0" t="0" r="0" b="0"/>
              <wp:wrapNone/>
              <wp:docPr id="8" name="文本框 103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15875">
                        <a:noFill/>
                      </a:ln>
                      <a:effectLst/>
                    </wps:spPr>
                    <wps:txbx>
                      <w:txbxContent>
                        <w:p w14:paraId="047C2241">
                          <w:pPr>
                            <w:pStyle w:val="16"/>
                          </w:pPr>
                        </w:p>
                      </w:txbxContent>
                    </wps:txbx>
                    <wps:bodyPr wrap="none" lIns="0" tIns="0" rIns="0" bIns="0" upright="1">
                      <a:spAutoFit/>
                    </wps:bodyPr>
                  </wps:wsp>
                </a:graphicData>
              </a:graphic>
            </wp:anchor>
          </w:drawing>
        </mc:Choice>
        <mc:Fallback>
          <w:pict>
            <v:shape id="文本框 1037" o:spid="_x0000_s1026" o:spt="202" type="#_x0000_t202" style="position:absolute;left:0pt;margin-top:0pt;height:10.35pt;width:9.05pt;mso-position-horizontal:center;mso-position-horizontal-relative:margin;mso-wrap-style:none;z-index:251663360;mso-width-relative:page;mso-height-relative:page;" filled="f" stroked="f" coordsize="21600,21600" o:gfxdata="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BADMeA1AAAAAMBAAAPAAAAAAAAAAEA&#10;IAAAACIAAABkcnMvZG93bnJldi54bWxQSwECFAAUAAAACACHTuJAyACg4NoBAAC0AwAADgAAAAAA&#10;AAABACAAAAAjAQAAZHJzL2Uyb0RvYy54bWxQSwUGAAAAAAYABgBZAQAAbwUAAAAA&#10;">
              <v:fill on="f" focussize="0,0"/>
              <v:stroke on="f" weight="1.25pt"/>
              <v:imagedata o:title=""/>
              <o:lock v:ext="edit" aspectratio="f"/>
              <v:textbox inset="0mm,0mm,0mm,0mm" style="mso-fit-shape-to-text:t;">
                <w:txbxContent>
                  <w:p w14:paraId="047C2241">
                    <w:pPr>
                      <w:pStyle w:val="16"/>
                    </w:pPr>
                  </w:p>
                </w:txbxContent>
              </v:textbox>
            </v:shape>
          </w:pict>
        </mc:Fallback>
      </mc:AlternateContent>
    </w:r>
  </w:p>
  <w:p w14:paraId="1F6B9C31">
    <w:pPr>
      <w:pStyle w:val="16"/>
      <w:pBdr>
        <w:top w:val="single" w:color="auto" w:sz="4" w:space="1"/>
      </w:pBdr>
      <w:rPr>
        <w:rFonts w:hint="eastAsia" w:ascii="宋体" w:hAnsi="宋体"/>
        <w:sz w:val="21"/>
        <w:szCs w:val="21"/>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F5340E">
    <w:pPr>
      <w:spacing w:line="176" w:lineRule="auto"/>
      <w:ind w:left="4446"/>
      <w:rPr>
        <w:rFonts w:eastAsia="Times New Roman"/>
        <w:sz w:val="18"/>
        <w:szCs w:val="18"/>
      </w:rPr>
    </w:pPr>
    <w:r>
      <w:rPr>
        <w:sz w:val="18"/>
      </w:rP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14:paraId="31415082">
                          <w:pPr>
                            <w:pStyle w:val="16"/>
                          </w:pPr>
                          <w:r>
                            <w:fldChar w:fldCharType="begin"/>
                          </w:r>
                          <w:r>
                            <w:instrText xml:space="preserve"> PAGE  \* MERGEFORMAT </w:instrText>
                          </w:r>
                          <w:r>
                            <w:fldChar w:fldCharType="separate"/>
                          </w:r>
                          <w:r>
                            <w:t>71</w:t>
                          </w:r>
                          <w:r>
                            <w:fldChar w:fldCharType="end"/>
                          </w:r>
                        </w:p>
                      </w:txbxContent>
                    </wps:txbx>
                    <wps:bodyPr wrap="none" lIns="0" tIns="0" rIns="0" bIns="0" upright="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zql5uc8AAAAFAQAADwAAAAAAAAABACAAAAAiAAAAZHJzL2Rvd25y&#10;ZXYueG1sUEsBAhQAFAAAAAgAh07iQAj0wbTOAQAApwMAAA4AAAAAAAAAAQAgAAAAHgEAAGRycy9l&#10;Mm9Eb2MueG1sUEsFBgAAAAAGAAYAWQEAAF4FAAAAAA==&#10;">
              <v:fill on="f" focussize="0,0"/>
              <v:stroke on="f"/>
              <v:imagedata o:title=""/>
              <o:lock v:ext="edit" aspectratio="f"/>
              <v:textbox inset="0mm,0mm,0mm,0mm" style="mso-fit-shape-to-text:t;">
                <w:txbxContent>
                  <w:p w14:paraId="31415082">
                    <w:pPr>
                      <w:pStyle w:val="16"/>
                    </w:pPr>
                    <w:r>
                      <w:fldChar w:fldCharType="begin"/>
                    </w:r>
                    <w:r>
                      <w:instrText xml:space="preserve"> PAGE  \* MERGEFORMAT </w:instrText>
                    </w:r>
                    <w:r>
                      <w:fldChar w:fldCharType="separate"/>
                    </w:r>
                    <w:r>
                      <w:t>71</w:t>
                    </w:r>
                    <w:r>
                      <w:fldChar w:fldCharType="end"/>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E03C60">
    <w:pPr>
      <w:pStyle w:val="16"/>
      <w:ind w:right="360"/>
    </w:pPr>
    <w: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1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4E7BD425">
                          <w:pPr>
                            <w:pStyle w:val="16"/>
                          </w:pPr>
                          <w:r>
                            <w:fldChar w:fldCharType="begin"/>
                          </w:r>
                          <w:r>
                            <w:instrText xml:space="preserve"> PAGE  \* MERGEFORMAT </w:instrText>
                          </w:r>
                          <w:r>
                            <w:fldChar w:fldCharType="separate"/>
                          </w:r>
                          <w:r>
                            <w:t>52</w:t>
                          </w:r>
                          <w:r>
                            <w:fldChar w:fldCharType="end"/>
                          </w:r>
                        </w:p>
                      </w:txbxContent>
                    </wps:txbx>
                    <wps:bodyPr vert="horz" wrap="none" lIns="0" tIns="0" rIns="0" bIns="0" anchor="t" anchorCtr="0">
                      <a:spAutoFit/>
                    </wps:bodyPr>
                  </wps:wsp>
                </a:graphicData>
              </a:graphic>
            </wp:anchor>
          </w:drawing>
        </mc:Choice>
        <mc:Fallback>
          <w:pict>
            <v:shape id="文本框 13"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">
              <v:fill on="f" focussize="0,0"/>
              <v:stroke on="f"/>
              <v:imagedata o:title=""/>
              <o:lock v:ext="edit" aspectratio="f"/>
              <v:textbox inset="0mm,0mm,0mm,0mm" style="mso-fit-shape-to-text:t;">
                <w:txbxContent>
                  <w:p w14:paraId="4E7BD425">
                    <w:pPr>
                      <w:pStyle w:val="16"/>
                    </w:pPr>
                    <w:r>
                      <w:fldChar w:fldCharType="begin"/>
                    </w:r>
                    <w:r>
                      <w:instrText xml:space="preserve"> PAGE  \* MERGEFORMAT </w:instrText>
                    </w:r>
                    <w:r>
                      <w:fldChar w:fldCharType="separate"/>
                    </w:r>
                    <w:r>
                      <w:t>52</w:t>
                    </w:r>
                    <w: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25BEF2">
    <w:pPr>
      <w:pStyle w:val="16"/>
      <w:ind w:left="180" w:right="359" w:rightChars="171" w:hanging="180" w:hangingChars="100"/>
      <w:rPr>
        <w:rFonts w:eastAsia="楷体_GB2312"/>
      </w:rPr>
    </w:pPr>
    <w: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6" name="文本框 1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46510800">
                          <w:pPr>
                            <w:pStyle w:val="16"/>
                          </w:pPr>
                          <w:r>
                            <w:fldChar w:fldCharType="begin"/>
                          </w:r>
                          <w:r>
                            <w:instrText xml:space="preserve"> PAGE  \* MERGEFORMAT </w:instrText>
                          </w:r>
                          <w:r>
                            <w:fldChar w:fldCharType="separate"/>
                          </w:r>
                          <w:r>
                            <w:t>78</w:t>
                          </w:r>
                          <w:r>
                            <w:fldChar w:fldCharType="end"/>
                          </w:r>
                        </w:p>
                      </w:txbxContent>
                    </wps:txbx>
                    <wps:bodyPr vert="horz" wrap="none" lIns="0" tIns="0" rIns="0" bIns="0" anchor="t" anchorCtr="0">
                      <a:spAutoFit/>
                    </wps:bodyPr>
                  </wps:wsp>
                </a:graphicData>
              </a:graphic>
            </wp:anchor>
          </w:drawing>
        </mc:Choice>
        <mc:Fallback>
          <w:pict>
            <v:shape id="文本框 14"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">
              <v:fill on="f" focussize="0,0"/>
              <v:stroke on="f"/>
              <v:imagedata o:title=""/>
              <o:lock v:ext="edit" aspectratio="f"/>
              <v:textbox inset="0mm,0mm,0mm,0mm" style="mso-fit-shape-to-text:t;">
                <w:txbxContent>
                  <w:p w14:paraId="46510800">
                    <w:pPr>
                      <w:pStyle w:val="16"/>
                    </w:pPr>
                    <w:r>
                      <w:fldChar w:fldCharType="begin"/>
                    </w:r>
                    <w:r>
                      <w:instrText xml:space="preserve"> PAGE  \* MERGEFORMAT </w:instrText>
                    </w:r>
                    <w:r>
                      <w:fldChar w:fldCharType="separate"/>
                    </w:r>
                    <w:r>
                      <w:t>78</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8" w:lineRule="auto"/>
      </w:pPr>
      <w:r>
        <w:separator/>
      </w:r>
    </w:p>
  </w:footnote>
  <w:footnote w:type="continuationSeparator" w:id="1">
    <w:p>
      <w:pPr>
        <w:spacing w:before="0" w:after="0" w:line="278"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EB0E077">
    <w:pPr>
      <w:pStyle w:val="17"/>
      <w:pBdr>
        <w:bottom w:val="none" w:color="auto" w:sz="0" w:space="0"/>
      </w:pBd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C433F2">
    <w:pPr>
      <w:pStyle w:val="17"/>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9C460A0">
    <w:pPr>
      <w:pStyle w:val="17"/>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21CC364">
    <w:pPr>
      <w:pStyle w:val="17"/>
      <w:pBdr>
        <w:top w:val="none" w:color="auto" w:sz="0" w:space="0"/>
        <w:left w:val="none" w:color="auto" w:sz="0" w:space="0"/>
        <w:bottom w:val="none" w:color="auto" w:sz="0" w:space="1"/>
        <w:right w:val="none" w:color="auto" w:sz="0" w:space="0"/>
        <w:between w:val="none" w:color="auto" w:sz="0" w:space="0"/>
      </w:pBdr>
      <w:jc w:val="both"/>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DCE45C">
    <w:pPr>
      <w:pStyle w:val="17"/>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9CA99A">
    <w:pPr>
      <w:pStyle w:val="17"/>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636863">
    <w:pPr>
      <w:pStyle w:val="17"/>
      <w:pBdr>
        <w:bottom w:val="none" w:color="auto" w:sz="0" w:space="1"/>
      </w:pBdr>
      <w:jc w:val="both"/>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8C06A1">
    <w:pPr>
      <w:pStyle w:val="17"/>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D06B4F">
    <w:pPr>
      <w:pStyle w:val="17"/>
      <w:pBdr>
        <w:top w:val="none" w:color="auto" w:sz="0" w:space="0"/>
        <w:left w:val="none" w:color="auto" w:sz="0" w:space="0"/>
        <w:bottom w:val="none" w:color="auto" w:sz="0" w:space="1"/>
        <w:right w:val="none" w:color="auto" w:sz="0" w:space="0"/>
        <w:between w:val="none" w:color="auto" w:sz="0" w:space="0"/>
      </w:pBd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35406A">
    <w:pPr>
      <w:pStyle w:val="17"/>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87B1468"/>
    <w:multiLevelType w:val="singleLevel"/>
    <w:tmpl w:val="087B1468"/>
    <w:lvl w:ilvl="0" w:tentative="0">
      <w:start w:val="4"/>
      <w:numFmt w:val="decimal"/>
      <w:suff w:val="space"/>
      <w:lvlText w:val="%1."/>
      <w:lvlJc w:val="left"/>
    </w:lvl>
  </w:abstractNum>
  <w:abstractNum w:abstractNumId="1">
    <w:nsid w:val="08CCA580"/>
    <w:multiLevelType w:val="singleLevel"/>
    <w:tmpl w:val="08CCA580"/>
    <w:lvl w:ilvl="0" w:tentative="0">
      <w:start w:val="3"/>
      <w:numFmt w:val="chineseCounting"/>
      <w:suff w:val="nothing"/>
      <w:lvlText w:val="%1、"/>
      <w:lvlJc w:val="left"/>
      <w:rPr>
        <w:rFonts w:hint="eastAsia"/>
      </w:rPr>
    </w:lvl>
  </w:abstractNum>
  <w:abstractNum w:abstractNumId="2">
    <w:nsid w:val="21508E22"/>
    <w:multiLevelType w:val="singleLevel"/>
    <w:tmpl w:val="21508E22"/>
    <w:lvl w:ilvl="0" w:tentative="0">
      <w:start w:val="6"/>
      <w:numFmt w:val="chineseCounting"/>
      <w:suff w:val="nothing"/>
      <w:lvlText w:val="%1、"/>
      <w:lvlJc w:val="left"/>
      <w:rPr>
        <w:rFonts w:hint="eastAsia"/>
      </w:rPr>
    </w:lvl>
  </w:abstractNum>
  <w:abstractNum w:abstractNumId="3">
    <w:nsid w:val="4B231017"/>
    <w:multiLevelType w:val="singleLevel"/>
    <w:tmpl w:val="4B231017"/>
    <w:lvl w:ilvl="0" w:tentative="0">
      <w:start w:val="2"/>
      <w:numFmt w:val="chineseCounting"/>
      <w:suff w:val="nothing"/>
      <w:lvlText w:val="%1、"/>
      <w:lvlJc w:val="left"/>
      <w:rPr>
        <w:rFonts w:hint="eastAsia"/>
      </w:rPr>
    </w:lvl>
  </w:abstractNum>
  <w:num w:numId="1">
    <w:abstractNumId w:val="0"/>
  </w:num>
  <w:num w:numId="2">
    <w:abstractNumId w:val="3"/>
  </w:num>
  <w:num w:numId="3">
    <w:abstractNumId w:val="1"/>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3"/>
  <w:embedTrueTypeFonts/>
  <w:saveSubsetFonts/>
  <w:bordersDoNotSurroundHeader w:val="0"/>
  <w:bordersDoNotSurroundFooter w:val="0"/>
  <w:documentProtection w:enforcement="0"/>
  <w:defaultTabStop w:val="420"/>
  <w:drawingGridVerticalSpacing w:val="158"/>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jgxZTg1YTQ4M2IyNGEyMDg2ZTIwNDk2YjU3MWEwYmYifQ=="/>
    <w:docVar w:name="KSO_WPS_MARK_KEY" w:val="87548ba5-e64b-42e8-bf0b-a95ad7bda7f8"/>
  </w:docVars>
  <w:rsids>
    <w:rsidRoot w:val="008C7436"/>
    <w:rsid w:val="000E1480"/>
    <w:rsid w:val="0012774B"/>
    <w:rsid w:val="0014134F"/>
    <w:rsid w:val="00197838"/>
    <w:rsid w:val="001F4D1D"/>
    <w:rsid w:val="001F53D4"/>
    <w:rsid w:val="00274C52"/>
    <w:rsid w:val="002C3FE7"/>
    <w:rsid w:val="00393498"/>
    <w:rsid w:val="004307EB"/>
    <w:rsid w:val="00441DCD"/>
    <w:rsid w:val="004F4033"/>
    <w:rsid w:val="00507A2E"/>
    <w:rsid w:val="005327EF"/>
    <w:rsid w:val="00622EA9"/>
    <w:rsid w:val="00623DC0"/>
    <w:rsid w:val="00625C2A"/>
    <w:rsid w:val="00675263"/>
    <w:rsid w:val="006C4790"/>
    <w:rsid w:val="00742BC6"/>
    <w:rsid w:val="007821BF"/>
    <w:rsid w:val="007901C0"/>
    <w:rsid w:val="007B13A1"/>
    <w:rsid w:val="007B258D"/>
    <w:rsid w:val="007D22DD"/>
    <w:rsid w:val="00856380"/>
    <w:rsid w:val="008B7B9B"/>
    <w:rsid w:val="008C7436"/>
    <w:rsid w:val="009058BF"/>
    <w:rsid w:val="00935277"/>
    <w:rsid w:val="009579D8"/>
    <w:rsid w:val="009C04EC"/>
    <w:rsid w:val="00A23BA4"/>
    <w:rsid w:val="00A70F47"/>
    <w:rsid w:val="00A7565E"/>
    <w:rsid w:val="00AE2982"/>
    <w:rsid w:val="00B13639"/>
    <w:rsid w:val="00B52ADC"/>
    <w:rsid w:val="00B93AF2"/>
    <w:rsid w:val="00BC053E"/>
    <w:rsid w:val="00C75BB6"/>
    <w:rsid w:val="00C82818"/>
    <w:rsid w:val="00D507FC"/>
    <w:rsid w:val="00D60634"/>
    <w:rsid w:val="00E02735"/>
    <w:rsid w:val="00E1299D"/>
    <w:rsid w:val="00E1726C"/>
    <w:rsid w:val="00E228C5"/>
    <w:rsid w:val="00EF284B"/>
    <w:rsid w:val="010305D6"/>
    <w:rsid w:val="01076481"/>
    <w:rsid w:val="010D28C0"/>
    <w:rsid w:val="011D6F0C"/>
    <w:rsid w:val="01357309"/>
    <w:rsid w:val="013D65A5"/>
    <w:rsid w:val="01690A10"/>
    <w:rsid w:val="01837A16"/>
    <w:rsid w:val="01915B3C"/>
    <w:rsid w:val="01BC4340"/>
    <w:rsid w:val="01C073FB"/>
    <w:rsid w:val="01D25DC3"/>
    <w:rsid w:val="01DD76A7"/>
    <w:rsid w:val="01EF0907"/>
    <w:rsid w:val="020B5AEE"/>
    <w:rsid w:val="021570C2"/>
    <w:rsid w:val="023213BC"/>
    <w:rsid w:val="02581DA6"/>
    <w:rsid w:val="02805EA8"/>
    <w:rsid w:val="028C19A1"/>
    <w:rsid w:val="02C04751"/>
    <w:rsid w:val="02CB3E15"/>
    <w:rsid w:val="02F36D2F"/>
    <w:rsid w:val="02F94231"/>
    <w:rsid w:val="03071623"/>
    <w:rsid w:val="030A5D51"/>
    <w:rsid w:val="031426A7"/>
    <w:rsid w:val="032836DE"/>
    <w:rsid w:val="03407271"/>
    <w:rsid w:val="03425F66"/>
    <w:rsid w:val="03667C72"/>
    <w:rsid w:val="036C304B"/>
    <w:rsid w:val="0395216D"/>
    <w:rsid w:val="03BF3FF6"/>
    <w:rsid w:val="03C023D1"/>
    <w:rsid w:val="03C42689"/>
    <w:rsid w:val="03CB6C60"/>
    <w:rsid w:val="03CC2D6F"/>
    <w:rsid w:val="03CD5F10"/>
    <w:rsid w:val="03D21875"/>
    <w:rsid w:val="03FA6AF4"/>
    <w:rsid w:val="040776EE"/>
    <w:rsid w:val="040C699C"/>
    <w:rsid w:val="041B0E28"/>
    <w:rsid w:val="04337E45"/>
    <w:rsid w:val="04542720"/>
    <w:rsid w:val="04585354"/>
    <w:rsid w:val="047E2335"/>
    <w:rsid w:val="048115F1"/>
    <w:rsid w:val="04B069AB"/>
    <w:rsid w:val="04BB2BAF"/>
    <w:rsid w:val="04C2515D"/>
    <w:rsid w:val="05083210"/>
    <w:rsid w:val="052444E6"/>
    <w:rsid w:val="052936B4"/>
    <w:rsid w:val="053D063A"/>
    <w:rsid w:val="05407225"/>
    <w:rsid w:val="0561406D"/>
    <w:rsid w:val="056A40F9"/>
    <w:rsid w:val="0574717F"/>
    <w:rsid w:val="058969DF"/>
    <w:rsid w:val="058B50C5"/>
    <w:rsid w:val="05AC5722"/>
    <w:rsid w:val="05B90B6C"/>
    <w:rsid w:val="05D7216B"/>
    <w:rsid w:val="0603688A"/>
    <w:rsid w:val="060A5284"/>
    <w:rsid w:val="061324BB"/>
    <w:rsid w:val="0613770E"/>
    <w:rsid w:val="062675F1"/>
    <w:rsid w:val="0628672B"/>
    <w:rsid w:val="062B3900"/>
    <w:rsid w:val="063125AB"/>
    <w:rsid w:val="06444B47"/>
    <w:rsid w:val="06565D7C"/>
    <w:rsid w:val="065C167B"/>
    <w:rsid w:val="06641DB1"/>
    <w:rsid w:val="067D1DF4"/>
    <w:rsid w:val="06A90C15"/>
    <w:rsid w:val="06C07699"/>
    <w:rsid w:val="06CA5761"/>
    <w:rsid w:val="06DE0FD0"/>
    <w:rsid w:val="070B34F3"/>
    <w:rsid w:val="070F12B1"/>
    <w:rsid w:val="0729088C"/>
    <w:rsid w:val="073A6A62"/>
    <w:rsid w:val="07AF2BA5"/>
    <w:rsid w:val="07B652FC"/>
    <w:rsid w:val="07BA0DCD"/>
    <w:rsid w:val="07CF4038"/>
    <w:rsid w:val="07EF2D11"/>
    <w:rsid w:val="08193505"/>
    <w:rsid w:val="082A6490"/>
    <w:rsid w:val="08422A5C"/>
    <w:rsid w:val="08BC0A60"/>
    <w:rsid w:val="08C17E81"/>
    <w:rsid w:val="08CE3963"/>
    <w:rsid w:val="08D07D68"/>
    <w:rsid w:val="08D613F6"/>
    <w:rsid w:val="08F7187E"/>
    <w:rsid w:val="09123083"/>
    <w:rsid w:val="091E1CED"/>
    <w:rsid w:val="094840A2"/>
    <w:rsid w:val="094D2831"/>
    <w:rsid w:val="09B5177D"/>
    <w:rsid w:val="09CF14DD"/>
    <w:rsid w:val="0A11678E"/>
    <w:rsid w:val="0A2631AA"/>
    <w:rsid w:val="0A3D253E"/>
    <w:rsid w:val="0A4A6E6B"/>
    <w:rsid w:val="0A4B043F"/>
    <w:rsid w:val="0A7329F0"/>
    <w:rsid w:val="0A773B5D"/>
    <w:rsid w:val="0A7E2D17"/>
    <w:rsid w:val="0A9210D3"/>
    <w:rsid w:val="0A9A20BB"/>
    <w:rsid w:val="0AA15A24"/>
    <w:rsid w:val="0AA7653F"/>
    <w:rsid w:val="0AAE65CF"/>
    <w:rsid w:val="0ABE0E1C"/>
    <w:rsid w:val="0AD352E4"/>
    <w:rsid w:val="0B1B733D"/>
    <w:rsid w:val="0B3E7D8A"/>
    <w:rsid w:val="0B5C366C"/>
    <w:rsid w:val="0B843A56"/>
    <w:rsid w:val="0B856175"/>
    <w:rsid w:val="0B912C90"/>
    <w:rsid w:val="0B991B03"/>
    <w:rsid w:val="0BA95E80"/>
    <w:rsid w:val="0BEA1661"/>
    <w:rsid w:val="0C02224C"/>
    <w:rsid w:val="0C024582"/>
    <w:rsid w:val="0C105A30"/>
    <w:rsid w:val="0C1838C1"/>
    <w:rsid w:val="0C2B026C"/>
    <w:rsid w:val="0C4D6849"/>
    <w:rsid w:val="0C9927BA"/>
    <w:rsid w:val="0CD72F4F"/>
    <w:rsid w:val="0CF53A98"/>
    <w:rsid w:val="0D2C088A"/>
    <w:rsid w:val="0D2F70B8"/>
    <w:rsid w:val="0D412D22"/>
    <w:rsid w:val="0D8A34B8"/>
    <w:rsid w:val="0DCE3F79"/>
    <w:rsid w:val="0DCF6F41"/>
    <w:rsid w:val="0DDF6E53"/>
    <w:rsid w:val="0DED11CD"/>
    <w:rsid w:val="0E2C27F0"/>
    <w:rsid w:val="0E5566D1"/>
    <w:rsid w:val="0E644C2B"/>
    <w:rsid w:val="0E6B7E9D"/>
    <w:rsid w:val="0E757408"/>
    <w:rsid w:val="0E7E4B32"/>
    <w:rsid w:val="0E856B3B"/>
    <w:rsid w:val="0EA91779"/>
    <w:rsid w:val="0EB03BC1"/>
    <w:rsid w:val="0EB172E4"/>
    <w:rsid w:val="0EC12DEF"/>
    <w:rsid w:val="0EE233DE"/>
    <w:rsid w:val="0EE73304"/>
    <w:rsid w:val="0EE95F3F"/>
    <w:rsid w:val="0F2073EF"/>
    <w:rsid w:val="0F675B26"/>
    <w:rsid w:val="0F6A69DA"/>
    <w:rsid w:val="0F804776"/>
    <w:rsid w:val="0FAA119F"/>
    <w:rsid w:val="0FB13ED8"/>
    <w:rsid w:val="0FD73014"/>
    <w:rsid w:val="0FE61A32"/>
    <w:rsid w:val="0FFA3FF5"/>
    <w:rsid w:val="0FFE0886"/>
    <w:rsid w:val="101336AF"/>
    <w:rsid w:val="1021367B"/>
    <w:rsid w:val="10344A94"/>
    <w:rsid w:val="103F7DB6"/>
    <w:rsid w:val="10683286"/>
    <w:rsid w:val="10A52A16"/>
    <w:rsid w:val="10CD7B07"/>
    <w:rsid w:val="10D47203"/>
    <w:rsid w:val="10EF03B7"/>
    <w:rsid w:val="10F773CA"/>
    <w:rsid w:val="10FD2DC2"/>
    <w:rsid w:val="110E28C8"/>
    <w:rsid w:val="112101CF"/>
    <w:rsid w:val="112A0DBB"/>
    <w:rsid w:val="112E31BE"/>
    <w:rsid w:val="113E2DFB"/>
    <w:rsid w:val="11832BD2"/>
    <w:rsid w:val="118D136F"/>
    <w:rsid w:val="1193724A"/>
    <w:rsid w:val="11A80A23"/>
    <w:rsid w:val="11BE691E"/>
    <w:rsid w:val="11CD7CBB"/>
    <w:rsid w:val="1202534D"/>
    <w:rsid w:val="122D7F86"/>
    <w:rsid w:val="12317316"/>
    <w:rsid w:val="12335111"/>
    <w:rsid w:val="123C01CE"/>
    <w:rsid w:val="12802419"/>
    <w:rsid w:val="12D60970"/>
    <w:rsid w:val="12F26A4A"/>
    <w:rsid w:val="130C0302"/>
    <w:rsid w:val="131D4C18"/>
    <w:rsid w:val="133A3095"/>
    <w:rsid w:val="133E5C15"/>
    <w:rsid w:val="134405BF"/>
    <w:rsid w:val="138A12F9"/>
    <w:rsid w:val="13A12811"/>
    <w:rsid w:val="13B26952"/>
    <w:rsid w:val="14060D8B"/>
    <w:rsid w:val="142C2815"/>
    <w:rsid w:val="14414227"/>
    <w:rsid w:val="14423DE3"/>
    <w:rsid w:val="144D4C62"/>
    <w:rsid w:val="145606A5"/>
    <w:rsid w:val="145C6368"/>
    <w:rsid w:val="145E45A6"/>
    <w:rsid w:val="14644DB3"/>
    <w:rsid w:val="1470463D"/>
    <w:rsid w:val="148044B4"/>
    <w:rsid w:val="14897DE7"/>
    <w:rsid w:val="14A52D68"/>
    <w:rsid w:val="14AC43F9"/>
    <w:rsid w:val="14BE7E75"/>
    <w:rsid w:val="14BF1D95"/>
    <w:rsid w:val="14C51E7F"/>
    <w:rsid w:val="14C83AD7"/>
    <w:rsid w:val="14D95ED0"/>
    <w:rsid w:val="14E04F2B"/>
    <w:rsid w:val="14EC6B16"/>
    <w:rsid w:val="15091B73"/>
    <w:rsid w:val="15170DCC"/>
    <w:rsid w:val="153B4BC6"/>
    <w:rsid w:val="153F2A5E"/>
    <w:rsid w:val="15454F97"/>
    <w:rsid w:val="15576D10"/>
    <w:rsid w:val="15591876"/>
    <w:rsid w:val="155924F4"/>
    <w:rsid w:val="1576204B"/>
    <w:rsid w:val="157F3B9E"/>
    <w:rsid w:val="158025B1"/>
    <w:rsid w:val="15A713DA"/>
    <w:rsid w:val="15AB1C53"/>
    <w:rsid w:val="15B87E46"/>
    <w:rsid w:val="15D10ABF"/>
    <w:rsid w:val="15D75ABB"/>
    <w:rsid w:val="160E6673"/>
    <w:rsid w:val="160E7BD1"/>
    <w:rsid w:val="1626576B"/>
    <w:rsid w:val="16597761"/>
    <w:rsid w:val="166C4E41"/>
    <w:rsid w:val="166D78B2"/>
    <w:rsid w:val="168A58C0"/>
    <w:rsid w:val="168D4C89"/>
    <w:rsid w:val="16A773AB"/>
    <w:rsid w:val="16A82624"/>
    <w:rsid w:val="16B43D28"/>
    <w:rsid w:val="16CC18FD"/>
    <w:rsid w:val="16D3709D"/>
    <w:rsid w:val="16D60F03"/>
    <w:rsid w:val="16F65D92"/>
    <w:rsid w:val="17055484"/>
    <w:rsid w:val="17080163"/>
    <w:rsid w:val="170D5F76"/>
    <w:rsid w:val="17207E0A"/>
    <w:rsid w:val="17615A7E"/>
    <w:rsid w:val="17772122"/>
    <w:rsid w:val="178820E2"/>
    <w:rsid w:val="179073A9"/>
    <w:rsid w:val="179E1799"/>
    <w:rsid w:val="17D760B4"/>
    <w:rsid w:val="17E7258B"/>
    <w:rsid w:val="17EA0F2A"/>
    <w:rsid w:val="18040FB5"/>
    <w:rsid w:val="180F3786"/>
    <w:rsid w:val="18120963"/>
    <w:rsid w:val="181B2E1C"/>
    <w:rsid w:val="183D074A"/>
    <w:rsid w:val="185C38DF"/>
    <w:rsid w:val="189958B5"/>
    <w:rsid w:val="18A80E28"/>
    <w:rsid w:val="18AB5C57"/>
    <w:rsid w:val="18AD2173"/>
    <w:rsid w:val="18BA600A"/>
    <w:rsid w:val="18C02ED0"/>
    <w:rsid w:val="18DA0A8E"/>
    <w:rsid w:val="18F73688"/>
    <w:rsid w:val="19035318"/>
    <w:rsid w:val="19286C95"/>
    <w:rsid w:val="19303284"/>
    <w:rsid w:val="19615259"/>
    <w:rsid w:val="19670E41"/>
    <w:rsid w:val="19984AE2"/>
    <w:rsid w:val="19B80F45"/>
    <w:rsid w:val="19D43B71"/>
    <w:rsid w:val="19DC38F9"/>
    <w:rsid w:val="19F81E94"/>
    <w:rsid w:val="1A0F60E0"/>
    <w:rsid w:val="1A2356AA"/>
    <w:rsid w:val="1A2B2E51"/>
    <w:rsid w:val="1A304E0A"/>
    <w:rsid w:val="1A490FFB"/>
    <w:rsid w:val="1A556A9D"/>
    <w:rsid w:val="1A5F124B"/>
    <w:rsid w:val="1A8035F9"/>
    <w:rsid w:val="1A80748F"/>
    <w:rsid w:val="1A855EB8"/>
    <w:rsid w:val="1A9A0DB8"/>
    <w:rsid w:val="1AA57BE0"/>
    <w:rsid w:val="1AAB4243"/>
    <w:rsid w:val="1AAE4DBE"/>
    <w:rsid w:val="1AB42B5C"/>
    <w:rsid w:val="1AB87BC4"/>
    <w:rsid w:val="1AC53D26"/>
    <w:rsid w:val="1AD06C85"/>
    <w:rsid w:val="1AF46803"/>
    <w:rsid w:val="1AFE3D9A"/>
    <w:rsid w:val="1B141147"/>
    <w:rsid w:val="1B186358"/>
    <w:rsid w:val="1B242ACC"/>
    <w:rsid w:val="1B3D6D5E"/>
    <w:rsid w:val="1B4560C7"/>
    <w:rsid w:val="1B535AE1"/>
    <w:rsid w:val="1B651D72"/>
    <w:rsid w:val="1B8229A5"/>
    <w:rsid w:val="1B9C64D7"/>
    <w:rsid w:val="1BCD660C"/>
    <w:rsid w:val="1BD45E2B"/>
    <w:rsid w:val="1BF83E14"/>
    <w:rsid w:val="1C074ABB"/>
    <w:rsid w:val="1C2C69D0"/>
    <w:rsid w:val="1C3F144E"/>
    <w:rsid w:val="1C484F36"/>
    <w:rsid w:val="1C4C24BB"/>
    <w:rsid w:val="1C5A7E5D"/>
    <w:rsid w:val="1C7B4D6E"/>
    <w:rsid w:val="1C811138"/>
    <w:rsid w:val="1C8D580C"/>
    <w:rsid w:val="1CAD2630"/>
    <w:rsid w:val="1CB11DFE"/>
    <w:rsid w:val="1CBB5477"/>
    <w:rsid w:val="1CCD6758"/>
    <w:rsid w:val="1CD87CFE"/>
    <w:rsid w:val="1CEB7034"/>
    <w:rsid w:val="1D2C2A3C"/>
    <w:rsid w:val="1D2E6EF9"/>
    <w:rsid w:val="1D314225"/>
    <w:rsid w:val="1D346EA1"/>
    <w:rsid w:val="1D4400B0"/>
    <w:rsid w:val="1D443B0C"/>
    <w:rsid w:val="1D477F9F"/>
    <w:rsid w:val="1D734764"/>
    <w:rsid w:val="1D7C6654"/>
    <w:rsid w:val="1D81597C"/>
    <w:rsid w:val="1D920656"/>
    <w:rsid w:val="1D973056"/>
    <w:rsid w:val="1DAF11C4"/>
    <w:rsid w:val="1DC5449E"/>
    <w:rsid w:val="1DCA29C8"/>
    <w:rsid w:val="1DFC3255"/>
    <w:rsid w:val="1E1C061C"/>
    <w:rsid w:val="1E291BA2"/>
    <w:rsid w:val="1E565554"/>
    <w:rsid w:val="1E5D1E1C"/>
    <w:rsid w:val="1E746936"/>
    <w:rsid w:val="1E7743DC"/>
    <w:rsid w:val="1E84421F"/>
    <w:rsid w:val="1EE944C3"/>
    <w:rsid w:val="1F184ECE"/>
    <w:rsid w:val="1F19716C"/>
    <w:rsid w:val="1F411AD3"/>
    <w:rsid w:val="1F550206"/>
    <w:rsid w:val="1F87674D"/>
    <w:rsid w:val="1F8914EE"/>
    <w:rsid w:val="1F973E48"/>
    <w:rsid w:val="1FAF03BA"/>
    <w:rsid w:val="1FCC33F0"/>
    <w:rsid w:val="1FCF37F6"/>
    <w:rsid w:val="1FD643BF"/>
    <w:rsid w:val="1FE2755F"/>
    <w:rsid w:val="20002536"/>
    <w:rsid w:val="20112FE8"/>
    <w:rsid w:val="201748A9"/>
    <w:rsid w:val="20273704"/>
    <w:rsid w:val="202B5867"/>
    <w:rsid w:val="203026CE"/>
    <w:rsid w:val="20437936"/>
    <w:rsid w:val="205F0B4A"/>
    <w:rsid w:val="2062104A"/>
    <w:rsid w:val="208D6ECD"/>
    <w:rsid w:val="208F4E3F"/>
    <w:rsid w:val="20A943A5"/>
    <w:rsid w:val="20AB3548"/>
    <w:rsid w:val="20BA3ADB"/>
    <w:rsid w:val="20E17D82"/>
    <w:rsid w:val="20EC09D0"/>
    <w:rsid w:val="21381BA7"/>
    <w:rsid w:val="21390989"/>
    <w:rsid w:val="214775E2"/>
    <w:rsid w:val="21534684"/>
    <w:rsid w:val="21565CD7"/>
    <w:rsid w:val="216F410E"/>
    <w:rsid w:val="21A207E2"/>
    <w:rsid w:val="21F54ED0"/>
    <w:rsid w:val="21FC361D"/>
    <w:rsid w:val="21FE4D68"/>
    <w:rsid w:val="22004D91"/>
    <w:rsid w:val="22007FD5"/>
    <w:rsid w:val="22441109"/>
    <w:rsid w:val="225F5871"/>
    <w:rsid w:val="2265761B"/>
    <w:rsid w:val="2273129E"/>
    <w:rsid w:val="229B4DEB"/>
    <w:rsid w:val="22A8590F"/>
    <w:rsid w:val="22B253FA"/>
    <w:rsid w:val="22D73F6B"/>
    <w:rsid w:val="22DA27E3"/>
    <w:rsid w:val="22DC2703"/>
    <w:rsid w:val="22E55F1F"/>
    <w:rsid w:val="22FF6A77"/>
    <w:rsid w:val="23001D9D"/>
    <w:rsid w:val="23112215"/>
    <w:rsid w:val="233976D7"/>
    <w:rsid w:val="23403605"/>
    <w:rsid w:val="23BE19D5"/>
    <w:rsid w:val="23C41F37"/>
    <w:rsid w:val="23CE3A99"/>
    <w:rsid w:val="240E65CF"/>
    <w:rsid w:val="241865C8"/>
    <w:rsid w:val="242037BF"/>
    <w:rsid w:val="242E1C8E"/>
    <w:rsid w:val="24581610"/>
    <w:rsid w:val="245B4C63"/>
    <w:rsid w:val="246563C2"/>
    <w:rsid w:val="247E21E7"/>
    <w:rsid w:val="248221CF"/>
    <w:rsid w:val="24824421"/>
    <w:rsid w:val="249C349D"/>
    <w:rsid w:val="24B157EF"/>
    <w:rsid w:val="24E3089C"/>
    <w:rsid w:val="24EE1375"/>
    <w:rsid w:val="24F319F7"/>
    <w:rsid w:val="24F92C6D"/>
    <w:rsid w:val="25161F63"/>
    <w:rsid w:val="252F0B19"/>
    <w:rsid w:val="25414CEB"/>
    <w:rsid w:val="25525AC2"/>
    <w:rsid w:val="25555909"/>
    <w:rsid w:val="2557681B"/>
    <w:rsid w:val="256A4E4D"/>
    <w:rsid w:val="25744AC4"/>
    <w:rsid w:val="25755DC7"/>
    <w:rsid w:val="25850D9A"/>
    <w:rsid w:val="25931B0B"/>
    <w:rsid w:val="25D65E74"/>
    <w:rsid w:val="26015E5C"/>
    <w:rsid w:val="26242610"/>
    <w:rsid w:val="263052CF"/>
    <w:rsid w:val="26347D73"/>
    <w:rsid w:val="263C68E5"/>
    <w:rsid w:val="264D464E"/>
    <w:rsid w:val="26670199"/>
    <w:rsid w:val="266E14FF"/>
    <w:rsid w:val="26833736"/>
    <w:rsid w:val="269209A1"/>
    <w:rsid w:val="2699065B"/>
    <w:rsid w:val="26A67A6E"/>
    <w:rsid w:val="26B831F9"/>
    <w:rsid w:val="26C10A08"/>
    <w:rsid w:val="26C905CB"/>
    <w:rsid w:val="26D905D7"/>
    <w:rsid w:val="26FD33CC"/>
    <w:rsid w:val="26FF4684"/>
    <w:rsid w:val="27167136"/>
    <w:rsid w:val="272B3F62"/>
    <w:rsid w:val="27377AC5"/>
    <w:rsid w:val="273A03D0"/>
    <w:rsid w:val="2740096D"/>
    <w:rsid w:val="274A6239"/>
    <w:rsid w:val="275D557C"/>
    <w:rsid w:val="27635611"/>
    <w:rsid w:val="277A5458"/>
    <w:rsid w:val="27810F2B"/>
    <w:rsid w:val="27C02DB1"/>
    <w:rsid w:val="27C33989"/>
    <w:rsid w:val="27C9409D"/>
    <w:rsid w:val="27C975A6"/>
    <w:rsid w:val="27D03788"/>
    <w:rsid w:val="27E014F2"/>
    <w:rsid w:val="27E87E53"/>
    <w:rsid w:val="281A3F89"/>
    <w:rsid w:val="282378CE"/>
    <w:rsid w:val="28264C59"/>
    <w:rsid w:val="283E3C47"/>
    <w:rsid w:val="28412CE5"/>
    <w:rsid w:val="28520D1E"/>
    <w:rsid w:val="285E6731"/>
    <w:rsid w:val="285E7B6C"/>
    <w:rsid w:val="28602D0D"/>
    <w:rsid w:val="28822E69"/>
    <w:rsid w:val="288A4047"/>
    <w:rsid w:val="28A02C83"/>
    <w:rsid w:val="28DD64DB"/>
    <w:rsid w:val="28E817E0"/>
    <w:rsid w:val="290870F3"/>
    <w:rsid w:val="2909538D"/>
    <w:rsid w:val="290A02E1"/>
    <w:rsid w:val="290B0DAB"/>
    <w:rsid w:val="290D332E"/>
    <w:rsid w:val="29133F76"/>
    <w:rsid w:val="29346EDD"/>
    <w:rsid w:val="29454C43"/>
    <w:rsid w:val="294A2BB3"/>
    <w:rsid w:val="29551758"/>
    <w:rsid w:val="2958290D"/>
    <w:rsid w:val="2968295C"/>
    <w:rsid w:val="29973E41"/>
    <w:rsid w:val="29A0710F"/>
    <w:rsid w:val="29D07442"/>
    <w:rsid w:val="29E75319"/>
    <w:rsid w:val="29ED5E3E"/>
    <w:rsid w:val="2A2034DD"/>
    <w:rsid w:val="2A2C7894"/>
    <w:rsid w:val="2A2E4190"/>
    <w:rsid w:val="2A385615"/>
    <w:rsid w:val="2A734D6B"/>
    <w:rsid w:val="2A8462AE"/>
    <w:rsid w:val="2AB54815"/>
    <w:rsid w:val="2AFA5AB1"/>
    <w:rsid w:val="2B1F00DE"/>
    <w:rsid w:val="2B311F65"/>
    <w:rsid w:val="2B41674B"/>
    <w:rsid w:val="2B475A44"/>
    <w:rsid w:val="2B4B5000"/>
    <w:rsid w:val="2B683643"/>
    <w:rsid w:val="2B7F069E"/>
    <w:rsid w:val="2B945B31"/>
    <w:rsid w:val="2B9A186B"/>
    <w:rsid w:val="2BB1567F"/>
    <w:rsid w:val="2BB7148A"/>
    <w:rsid w:val="2BBB3E2A"/>
    <w:rsid w:val="2BBF4AA2"/>
    <w:rsid w:val="2BD8717A"/>
    <w:rsid w:val="2BDE4907"/>
    <w:rsid w:val="2BE31FD6"/>
    <w:rsid w:val="2C0F3042"/>
    <w:rsid w:val="2C1D7F75"/>
    <w:rsid w:val="2C30228A"/>
    <w:rsid w:val="2C494205"/>
    <w:rsid w:val="2C546A36"/>
    <w:rsid w:val="2C703E76"/>
    <w:rsid w:val="2C744775"/>
    <w:rsid w:val="2C9C4275"/>
    <w:rsid w:val="2CC05F93"/>
    <w:rsid w:val="2CC54332"/>
    <w:rsid w:val="2CFB58AB"/>
    <w:rsid w:val="2CFD0438"/>
    <w:rsid w:val="2D0D79C2"/>
    <w:rsid w:val="2D393A69"/>
    <w:rsid w:val="2D616B39"/>
    <w:rsid w:val="2D636D80"/>
    <w:rsid w:val="2D682F2F"/>
    <w:rsid w:val="2D770F2D"/>
    <w:rsid w:val="2D793060"/>
    <w:rsid w:val="2D84245A"/>
    <w:rsid w:val="2D8D0AC3"/>
    <w:rsid w:val="2D9F6CD7"/>
    <w:rsid w:val="2DBB27E5"/>
    <w:rsid w:val="2DC243FF"/>
    <w:rsid w:val="2DD75A07"/>
    <w:rsid w:val="2DEA7A2D"/>
    <w:rsid w:val="2DF045F8"/>
    <w:rsid w:val="2DFA3170"/>
    <w:rsid w:val="2DFB2564"/>
    <w:rsid w:val="2E2C4E9E"/>
    <w:rsid w:val="2E5F4C10"/>
    <w:rsid w:val="2E7D7E3D"/>
    <w:rsid w:val="2E8A3E13"/>
    <w:rsid w:val="2EAC3634"/>
    <w:rsid w:val="2EB4228D"/>
    <w:rsid w:val="2EBE6CD6"/>
    <w:rsid w:val="2ECE07C4"/>
    <w:rsid w:val="2EDC7D69"/>
    <w:rsid w:val="2EE83BEC"/>
    <w:rsid w:val="2F093FC5"/>
    <w:rsid w:val="2F3A04A0"/>
    <w:rsid w:val="2F403827"/>
    <w:rsid w:val="2F672F40"/>
    <w:rsid w:val="2F676ED9"/>
    <w:rsid w:val="2F7C62CB"/>
    <w:rsid w:val="2F8B5081"/>
    <w:rsid w:val="2FA95E4C"/>
    <w:rsid w:val="2FB41A48"/>
    <w:rsid w:val="2FB719A2"/>
    <w:rsid w:val="2FBF12A6"/>
    <w:rsid w:val="2FF4051A"/>
    <w:rsid w:val="300456D0"/>
    <w:rsid w:val="30645EF1"/>
    <w:rsid w:val="306C6A88"/>
    <w:rsid w:val="3092009A"/>
    <w:rsid w:val="309D61D2"/>
    <w:rsid w:val="30A23E6A"/>
    <w:rsid w:val="30D1514D"/>
    <w:rsid w:val="30D32CE3"/>
    <w:rsid w:val="31176612"/>
    <w:rsid w:val="312418A0"/>
    <w:rsid w:val="313B2767"/>
    <w:rsid w:val="31476E28"/>
    <w:rsid w:val="3156436B"/>
    <w:rsid w:val="31564A34"/>
    <w:rsid w:val="315A1D85"/>
    <w:rsid w:val="317C502C"/>
    <w:rsid w:val="31907247"/>
    <w:rsid w:val="31A8093F"/>
    <w:rsid w:val="31BB6926"/>
    <w:rsid w:val="31F06C4F"/>
    <w:rsid w:val="320720CE"/>
    <w:rsid w:val="321E5346"/>
    <w:rsid w:val="322D50A9"/>
    <w:rsid w:val="323667BC"/>
    <w:rsid w:val="324F0D43"/>
    <w:rsid w:val="32605792"/>
    <w:rsid w:val="32881290"/>
    <w:rsid w:val="328C26D0"/>
    <w:rsid w:val="329672D6"/>
    <w:rsid w:val="32A1209C"/>
    <w:rsid w:val="32B2623E"/>
    <w:rsid w:val="32BC131A"/>
    <w:rsid w:val="32E64AB4"/>
    <w:rsid w:val="32F64B55"/>
    <w:rsid w:val="33161EB1"/>
    <w:rsid w:val="331B0844"/>
    <w:rsid w:val="33444AF4"/>
    <w:rsid w:val="334C4880"/>
    <w:rsid w:val="33957778"/>
    <w:rsid w:val="33A15169"/>
    <w:rsid w:val="33A20658"/>
    <w:rsid w:val="33B02D1D"/>
    <w:rsid w:val="33C81347"/>
    <w:rsid w:val="341D502F"/>
    <w:rsid w:val="344B06C4"/>
    <w:rsid w:val="3450688B"/>
    <w:rsid w:val="34510743"/>
    <w:rsid w:val="34541A1D"/>
    <w:rsid w:val="34572B52"/>
    <w:rsid w:val="34A50806"/>
    <w:rsid w:val="34BE4636"/>
    <w:rsid w:val="34D1061F"/>
    <w:rsid w:val="34D23635"/>
    <w:rsid w:val="34F3407B"/>
    <w:rsid w:val="35056C52"/>
    <w:rsid w:val="350856C9"/>
    <w:rsid w:val="350B51D6"/>
    <w:rsid w:val="3537058B"/>
    <w:rsid w:val="3564498B"/>
    <w:rsid w:val="35911AA6"/>
    <w:rsid w:val="35E84393"/>
    <w:rsid w:val="35FF60F5"/>
    <w:rsid w:val="360B1967"/>
    <w:rsid w:val="364540B4"/>
    <w:rsid w:val="365F49EC"/>
    <w:rsid w:val="36635124"/>
    <w:rsid w:val="36657E67"/>
    <w:rsid w:val="367E409A"/>
    <w:rsid w:val="368E7B60"/>
    <w:rsid w:val="36CB0C44"/>
    <w:rsid w:val="37404497"/>
    <w:rsid w:val="37466467"/>
    <w:rsid w:val="375E6795"/>
    <w:rsid w:val="378B76CC"/>
    <w:rsid w:val="37AD16E1"/>
    <w:rsid w:val="37BE35F3"/>
    <w:rsid w:val="37C23539"/>
    <w:rsid w:val="37CA003B"/>
    <w:rsid w:val="37D156DB"/>
    <w:rsid w:val="37DD3FE9"/>
    <w:rsid w:val="37F71158"/>
    <w:rsid w:val="38037F76"/>
    <w:rsid w:val="381A7BA9"/>
    <w:rsid w:val="383520AF"/>
    <w:rsid w:val="38522FF3"/>
    <w:rsid w:val="3868579B"/>
    <w:rsid w:val="38947A53"/>
    <w:rsid w:val="38AA3213"/>
    <w:rsid w:val="38C92888"/>
    <w:rsid w:val="38DA238F"/>
    <w:rsid w:val="38E55A62"/>
    <w:rsid w:val="38FC2559"/>
    <w:rsid w:val="39291AB4"/>
    <w:rsid w:val="396711B6"/>
    <w:rsid w:val="3968653F"/>
    <w:rsid w:val="397615DE"/>
    <w:rsid w:val="397E6381"/>
    <w:rsid w:val="398C67F7"/>
    <w:rsid w:val="39A33E8B"/>
    <w:rsid w:val="39A666B9"/>
    <w:rsid w:val="39CA3911"/>
    <w:rsid w:val="39CB3D5D"/>
    <w:rsid w:val="39D034F9"/>
    <w:rsid w:val="39F8733E"/>
    <w:rsid w:val="3A01181A"/>
    <w:rsid w:val="3A0A70C5"/>
    <w:rsid w:val="3A0B758D"/>
    <w:rsid w:val="3A2A407E"/>
    <w:rsid w:val="3A611930"/>
    <w:rsid w:val="3A835156"/>
    <w:rsid w:val="3AAF547F"/>
    <w:rsid w:val="3AC3393C"/>
    <w:rsid w:val="3B0B6708"/>
    <w:rsid w:val="3B261532"/>
    <w:rsid w:val="3B317435"/>
    <w:rsid w:val="3B495ECE"/>
    <w:rsid w:val="3B5B1163"/>
    <w:rsid w:val="3B7664E1"/>
    <w:rsid w:val="3B971DC9"/>
    <w:rsid w:val="3BA7614A"/>
    <w:rsid w:val="3BBB036D"/>
    <w:rsid w:val="3BC32BE3"/>
    <w:rsid w:val="3C0A5B94"/>
    <w:rsid w:val="3C507FCF"/>
    <w:rsid w:val="3C6B6129"/>
    <w:rsid w:val="3C6C5DC7"/>
    <w:rsid w:val="3CA40B99"/>
    <w:rsid w:val="3CAB143F"/>
    <w:rsid w:val="3CC167CC"/>
    <w:rsid w:val="3CD63197"/>
    <w:rsid w:val="3CF9153B"/>
    <w:rsid w:val="3CFF693E"/>
    <w:rsid w:val="3D0D3E67"/>
    <w:rsid w:val="3D193C4F"/>
    <w:rsid w:val="3D4E553E"/>
    <w:rsid w:val="3D5D2926"/>
    <w:rsid w:val="3D7163F7"/>
    <w:rsid w:val="3D962707"/>
    <w:rsid w:val="3DBD3AD4"/>
    <w:rsid w:val="3DD235B4"/>
    <w:rsid w:val="3E0728CE"/>
    <w:rsid w:val="3E1A040E"/>
    <w:rsid w:val="3E356B9D"/>
    <w:rsid w:val="3E457D6F"/>
    <w:rsid w:val="3E674974"/>
    <w:rsid w:val="3E6829DC"/>
    <w:rsid w:val="3E7A7DBD"/>
    <w:rsid w:val="3E831B16"/>
    <w:rsid w:val="3E83553A"/>
    <w:rsid w:val="3EA666E0"/>
    <w:rsid w:val="3EB67691"/>
    <w:rsid w:val="3EB92D70"/>
    <w:rsid w:val="3ED62FB5"/>
    <w:rsid w:val="3F320D23"/>
    <w:rsid w:val="3F4B33E6"/>
    <w:rsid w:val="3F4E6406"/>
    <w:rsid w:val="3F612787"/>
    <w:rsid w:val="3F690657"/>
    <w:rsid w:val="3F707F9A"/>
    <w:rsid w:val="3F7D6637"/>
    <w:rsid w:val="3F8C2904"/>
    <w:rsid w:val="3FA25293"/>
    <w:rsid w:val="3FAD4A59"/>
    <w:rsid w:val="3FAE6DDD"/>
    <w:rsid w:val="3FCB6CB7"/>
    <w:rsid w:val="3FD41E97"/>
    <w:rsid w:val="3FD502E3"/>
    <w:rsid w:val="3FE246B0"/>
    <w:rsid w:val="403831B9"/>
    <w:rsid w:val="404448BC"/>
    <w:rsid w:val="405759AA"/>
    <w:rsid w:val="406B1E48"/>
    <w:rsid w:val="40893B38"/>
    <w:rsid w:val="409C46F8"/>
    <w:rsid w:val="409F5F96"/>
    <w:rsid w:val="40AB477C"/>
    <w:rsid w:val="40E40A39"/>
    <w:rsid w:val="41061114"/>
    <w:rsid w:val="41200E85"/>
    <w:rsid w:val="41387E00"/>
    <w:rsid w:val="41447F45"/>
    <w:rsid w:val="41571EC8"/>
    <w:rsid w:val="41926833"/>
    <w:rsid w:val="41A424B8"/>
    <w:rsid w:val="41A649AD"/>
    <w:rsid w:val="41F1246E"/>
    <w:rsid w:val="42014835"/>
    <w:rsid w:val="421B2FFB"/>
    <w:rsid w:val="423431C6"/>
    <w:rsid w:val="4272378F"/>
    <w:rsid w:val="42912135"/>
    <w:rsid w:val="429A08F9"/>
    <w:rsid w:val="42AC6A32"/>
    <w:rsid w:val="42B747A2"/>
    <w:rsid w:val="42CF304F"/>
    <w:rsid w:val="42E836F2"/>
    <w:rsid w:val="42EF477C"/>
    <w:rsid w:val="42EF66ED"/>
    <w:rsid w:val="430B6C20"/>
    <w:rsid w:val="430C5608"/>
    <w:rsid w:val="4320564E"/>
    <w:rsid w:val="433665F3"/>
    <w:rsid w:val="43517E01"/>
    <w:rsid w:val="437513CD"/>
    <w:rsid w:val="43B64C47"/>
    <w:rsid w:val="43CA5049"/>
    <w:rsid w:val="43CD118E"/>
    <w:rsid w:val="44026088"/>
    <w:rsid w:val="440F51E1"/>
    <w:rsid w:val="442F0E85"/>
    <w:rsid w:val="445C3BED"/>
    <w:rsid w:val="445F2D34"/>
    <w:rsid w:val="446D5B54"/>
    <w:rsid w:val="447D5CEB"/>
    <w:rsid w:val="449C10B6"/>
    <w:rsid w:val="449D3041"/>
    <w:rsid w:val="44AC302A"/>
    <w:rsid w:val="44D51F86"/>
    <w:rsid w:val="44E56993"/>
    <w:rsid w:val="44E618E1"/>
    <w:rsid w:val="44FF11BC"/>
    <w:rsid w:val="450D4A2D"/>
    <w:rsid w:val="451C4AE0"/>
    <w:rsid w:val="451C7832"/>
    <w:rsid w:val="451E0C63"/>
    <w:rsid w:val="454E56C4"/>
    <w:rsid w:val="457A49AD"/>
    <w:rsid w:val="45886BCF"/>
    <w:rsid w:val="45893491"/>
    <w:rsid w:val="459F7D10"/>
    <w:rsid w:val="45B509DC"/>
    <w:rsid w:val="45CB10C7"/>
    <w:rsid w:val="45E867D5"/>
    <w:rsid w:val="45EB2D06"/>
    <w:rsid w:val="45F54322"/>
    <w:rsid w:val="460F57CE"/>
    <w:rsid w:val="4617730B"/>
    <w:rsid w:val="462B0B9D"/>
    <w:rsid w:val="46477BF3"/>
    <w:rsid w:val="467956A0"/>
    <w:rsid w:val="468B59A9"/>
    <w:rsid w:val="468F646C"/>
    <w:rsid w:val="46962018"/>
    <w:rsid w:val="46CC1208"/>
    <w:rsid w:val="471F593F"/>
    <w:rsid w:val="47213C74"/>
    <w:rsid w:val="4727059F"/>
    <w:rsid w:val="47300E59"/>
    <w:rsid w:val="47411441"/>
    <w:rsid w:val="474B0FE1"/>
    <w:rsid w:val="478F57EE"/>
    <w:rsid w:val="479300B0"/>
    <w:rsid w:val="47C158F9"/>
    <w:rsid w:val="47F82F13"/>
    <w:rsid w:val="482E7E1A"/>
    <w:rsid w:val="484D1D7C"/>
    <w:rsid w:val="485C5161"/>
    <w:rsid w:val="48942F22"/>
    <w:rsid w:val="489B1BE8"/>
    <w:rsid w:val="48A645E3"/>
    <w:rsid w:val="48B715F3"/>
    <w:rsid w:val="48D615E5"/>
    <w:rsid w:val="491344E6"/>
    <w:rsid w:val="49321CF0"/>
    <w:rsid w:val="494413B9"/>
    <w:rsid w:val="494F4AD5"/>
    <w:rsid w:val="498661B8"/>
    <w:rsid w:val="498976A7"/>
    <w:rsid w:val="499E7A27"/>
    <w:rsid w:val="4A023CFE"/>
    <w:rsid w:val="4A101D86"/>
    <w:rsid w:val="4A110F10"/>
    <w:rsid w:val="4A5341EC"/>
    <w:rsid w:val="4A5E35C1"/>
    <w:rsid w:val="4A634417"/>
    <w:rsid w:val="4A65075A"/>
    <w:rsid w:val="4A7B0C2A"/>
    <w:rsid w:val="4A897486"/>
    <w:rsid w:val="4A9603BD"/>
    <w:rsid w:val="4AAA0C3B"/>
    <w:rsid w:val="4AB24E16"/>
    <w:rsid w:val="4AB9651A"/>
    <w:rsid w:val="4B352B0F"/>
    <w:rsid w:val="4B4C537C"/>
    <w:rsid w:val="4B6A5C48"/>
    <w:rsid w:val="4B700253"/>
    <w:rsid w:val="4B8E6103"/>
    <w:rsid w:val="4BA71665"/>
    <w:rsid w:val="4BB01057"/>
    <w:rsid w:val="4BC4506A"/>
    <w:rsid w:val="4BDA1D34"/>
    <w:rsid w:val="4BDB2578"/>
    <w:rsid w:val="4BF01BE5"/>
    <w:rsid w:val="4BF76AD4"/>
    <w:rsid w:val="4C0009C0"/>
    <w:rsid w:val="4C0C5993"/>
    <w:rsid w:val="4C122CC9"/>
    <w:rsid w:val="4C2F0C52"/>
    <w:rsid w:val="4C424EDA"/>
    <w:rsid w:val="4C535DB4"/>
    <w:rsid w:val="4C563CC3"/>
    <w:rsid w:val="4C686B0A"/>
    <w:rsid w:val="4C850B17"/>
    <w:rsid w:val="4C8C0ED8"/>
    <w:rsid w:val="4C926E59"/>
    <w:rsid w:val="4CC40E26"/>
    <w:rsid w:val="4CC65CD0"/>
    <w:rsid w:val="4CD40315"/>
    <w:rsid w:val="4CDC5392"/>
    <w:rsid w:val="4CF856D5"/>
    <w:rsid w:val="4D56257D"/>
    <w:rsid w:val="4D5C4F19"/>
    <w:rsid w:val="4D662105"/>
    <w:rsid w:val="4D695592"/>
    <w:rsid w:val="4D6C73AA"/>
    <w:rsid w:val="4DC33DF9"/>
    <w:rsid w:val="4DDA48E9"/>
    <w:rsid w:val="4DFC454A"/>
    <w:rsid w:val="4E0052B5"/>
    <w:rsid w:val="4E0C52F5"/>
    <w:rsid w:val="4E4A3834"/>
    <w:rsid w:val="4E516458"/>
    <w:rsid w:val="4E796078"/>
    <w:rsid w:val="4E86473A"/>
    <w:rsid w:val="4E963B00"/>
    <w:rsid w:val="4E9E788D"/>
    <w:rsid w:val="4EE009A4"/>
    <w:rsid w:val="4EE13433"/>
    <w:rsid w:val="4EFD1232"/>
    <w:rsid w:val="4F1A2A86"/>
    <w:rsid w:val="4F2940F1"/>
    <w:rsid w:val="4F5B577E"/>
    <w:rsid w:val="4F70267F"/>
    <w:rsid w:val="4F786330"/>
    <w:rsid w:val="4FAF0F42"/>
    <w:rsid w:val="4FB40121"/>
    <w:rsid w:val="4FB60BCE"/>
    <w:rsid w:val="4FC235E9"/>
    <w:rsid w:val="4FCC2436"/>
    <w:rsid w:val="4FDF1B90"/>
    <w:rsid w:val="503E1024"/>
    <w:rsid w:val="504046BE"/>
    <w:rsid w:val="50435AE6"/>
    <w:rsid w:val="504A2458"/>
    <w:rsid w:val="50682B13"/>
    <w:rsid w:val="50734FC3"/>
    <w:rsid w:val="50923ECF"/>
    <w:rsid w:val="50A67641"/>
    <w:rsid w:val="50D978F3"/>
    <w:rsid w:val="50EF581D"/>
    <w:rsid w:val="51086253"/>
    <w:rsid w:val="510C7B56"/>
    <w:rsid w:val="511A02D2"/>
    <w:rsid w:val="51226A29"/>
    <w:rsid w:val="512A5CFA"/>
    <w:rsid w:val="51556913"/>
    <w:rsid w:val="5159163D"/>
    <w:rsid w:val="517046B9"/>
    <w:rsid w:val="51EC0A51"/>
    <w:rsid w:val="524C355A"/>
    <w:rsid w:val="524D17D4"/>
    <w:rsid w:val="5260129D"/>
    <w:rsid w:val="526E7337"/>
    <w:rsid w:val="52A05F8B"/>
    <w:rsid w:val="52B110E2"/>
    <w:rsid w:val="52B17025"/>
    <w:rsid w:val="52BC45CC"/>
    <w:rsid w:val="52C10616"/>
    <w:rsid w:val="52C70940"/>
    <w:rsid w:val="52D23FA9"/>
    <w:rsid w:val="52DC458F"/>
    <w:rsid w:val="52EC1518"/>
    <w:rsid w:val="52EF391B"/>
    <w:rsid w:val="530731CD"/>
    <w:rsid w:val="532748F5"/>
    <w:rsid w:val="53374AAA"/>
    <w:rsid w:val="534D66DE"/>
    <w:rsid w:val="53506D32"/>
    <w:rsid w:val="535A6478"/>
    <w:rsid w:val="53740673"/>
    <w:rsid w:val="53AC6661"/>
    <w:rsid w:val="53B41BA0"/>
    <w:rsid w:val="53D0258C"/>
    <w:rsid w:val="53EF3BB5"/>
    <w:rsid w:val="53FA402A"/>
    <w:rsid w:val="541B084C"/>
    <w:rsid w:val="541B7613"/>
    <w:rsid w:val="542D7501"/>
    <w:rsid w:val="544B7FEF"/>
    <w:rsid w:val="54505D75"/>
    <w:rsid w:val="5451490F"/>
    <w:rsid w:val="545C697A"/>
    <w:rsid w:val="5482499D"/>
    <w:rsid w:val="548C5302"/>
    <w:rsid w:val="54B27BEE"/>
    <w:rsid w:val="54B700ED"/>
    <w:rsid w:val="54FA6A39"/>
    <w:rsid w:val="55056028"/>
    <w:rsid w:val="55154643"/>
    <w:rsid w:val="55173EF5"/>
    <w:rsid w:val="5548265D"/>
    <w:rsid w:val="554C6B20"/>
    <w:rsid w:val="554E0AC4"/>
    <w:rsid w:val="5579695E"/>
    <w:rsid w:val="55841A83"/>
    <w:rsid w:val="55947D21"/>
    <w:rsid w:val="55A360A6"/>
    <w:rsid w:val="55B55647"/>
    <w:rsid w:val="55EC58EA"/>
    <w:rsid w:val="55EF706B"/>
    <w:rsid w:val="56051BA0"/>
    <w:rsid w:val="56244ADA"/>
    <w:rsid w:val="562F7245"/>
    <w:rsid w:val="56437DAF"/>
    <w:rsid w:val="564E6809"/>
    <w:rsid w:val="56576AA5"/>
    <w:rsid w:val="565F26D3"/>
    <w:rsid w:val="566017A5"/>
    <w:rsid w:val="56903829"/>
    <w:rsid w:val="56AF15E7"/>
    <w:rsid w:val="56B51C18"/>
    <w:rsid w:val="56D2559D"/>
    <w:rsid w:val="56EB3FA6"/>
    <w:rsid w:val="56FF7907"/>
    <w:rsid w:val="570264EE"/>
    <w:rsid w:val="572C2443"/>
    <w:rsid w:val="57326145"/>
    <w:rsid w:val="57451C4A"/>
    <w:rsid w:val="5756686B"/>
    <w:rsid w:val="575A796C"/>
    <w:rsid w:val="576661E9"/>
    <w:rsid w:val="578060C1"/>
    <w:rsid w:val="57BF0B62"/>
    <w:rsid w:val="57CC4100"/>
    <w:rsid w:val="57ED37E9"/>
    <w:rsid w:val="57FC3AB2"/>
    <w:rsid w:val="57FF75EE"/>
    <w:rsid w:val="581C6477"/>
    <w:rsid w:val="58513BBF"/>
    <w:rsid w:val="587B6C7C"/>
    <w:rsid w:val="58985FC0"/>
    <w:rsid w:val="58E22B80"/>
    <w:rsid w:val="58FA4249"/>
    <w:rsid w:val="592300AC"/>
    <w:rsid w:val="593B1090"/>
    <w:rsid w:val="594728BD"/>
    <w:rsid w:val="595653E6"/>
    <w:rsid w:val="596A33D9"/>
    <w:rsid w:val="59883EEE"/>
    <w:rsid w:val="598E0333"/>
    <w:rsid w:val="59974E89"/>
    <w:rsid w:val="599827B6"/>
    <w:rsid w:val="599B4048"/>
    <w:rsid w:val="59C97146"/>
    <w:rsid w:val="5A206A87"/>
    <w:rsid w:val="5A47002F"/>
    <w:rsid w:val="5A6921B6"/>
    <w:rsid w:val="5A9216A9"/>
    <w:rsid w:val="5AAB441A"/>
    <w:rsid w:val="5AB76859"/>
    <w:rsid w:val="5AC91EA4"/>
    <w:rsid w:val="5AF34F1D"/>
    <w:rsid w:val="5B1D1F72"/>
    <w:rsid w:val="5B225317"/>
    <w:rsid w:val="5B264179"/>
    <w:rsid w:val="5B264E92"/>
    <w:rsid w:val="5B5072A5"/>
    <w:rsid w:val="5B547A7F"/>
    <w:rsid w:val="5B6E42E3"/>
    <w:rsid w:val="5B8930BB"/>
    <w:rsid w:val="5B956640"/>
    <w:rsid w:val="5B9C7885"/>
    <w:rsid w:val="5BB76BBD"/>
    <w:rsid w:val="5BB76FB1"/>
    <w:rsid w:val="5BB77D5C"/>
    <w:rsid w:val="5BE24019"/>
    <w:rsid w:val="5BE4476D"/>
    <w:rsid w:val="5BEC5BBE"/>
    <w:rsid w:val="5BEE5BB4"/>
    <w:rsid w:val="5BFC7B76"/>
    <w:rsid w:val="5C0316D7"/>
    <w:rsid w:val="5C254C86"/>
    <w:rsid w:val="5C2C4BBB"/>
    <w:rsid w:val="5C3979DB"/>
    <w:rsid w:val="5C3A1310"/>
    <w:rsid w:val="5C3B36CB"/>
    <w:rsid w:val="5C46418F"/>
    <w:rsid w:val="5C6625CC"/>
    <w:rsid w:val="5C8340D9"/>
    <w:rsid w:val="5C91458D"/>
    <w:rsid w:val="5C9C037E"/>
    <w:rsid w:val="5CB02975"/>
    <w:rsid w:val="5CBE1A6A"/>
    <w:rsid w:val="5CC20BEA"/>
    <w:rsid w:val="5CE66AF3"/>
    <w:rsid w:val="5CEA3229"/>
    <w:rsid w:val="5CF8285E"/>
    <w:rsid w:val="5CF865E1"/>
    <w:rsid w:val="5D05732A"/>
    <w:rsid w:val="5D0E1EE6"/>
    <w:rsid w:val="5D0E3E30"/>
    <w:rsid w:val="5D212A67"/>
    <w:rsid w:val="5D336AE8"/>
    <w:rsid w:val="5D3B0732"/>
    <w:rsid w:val="5D3D1B54"/>
    <w:rsid w:val="5D5932FD"/>
    <w:rsid w:val="5D63421D"/>
    <w:rsid w:val="5D6C0F95"/>
    <w:rsid w:val="5D6C0FC0"/>
    <w:rsid w:val="5D7359F7"/>
    <w:rsid w:val="5D856851"/>
    <w:rsid w:val="5D8B423F"/>
    <w:rsid w:val="5D9A6F68"/>
    <w:rsid w:val="5D9D7E15"/>
    <w:rsid w:val="5DBB055A"/>
    <w:rsid w:val="5DD21301"/>
    <w:rsid w:val="5DD52C7F"/>
    <w:rsid w:val="5E3873C0"/>
    <w:rsid w:val="5E506304"/>
    <w:rsid w:val="5E57535B"/>
    <w:rsid w:val="5E6A3F3C"/>
    <w:rsid w:val="5E6B2B4E"/>
    <w:rsid w:val="5E7849DA"/>
    <w:rsid w:val="5EA25F00"/>
    <w:rsid w:val="5EAF28F8"/>
    <w:rsid w:val="5EBF176B"/>
    <w:rsid w:val="5ECF1626"/>
    <w:rsid w:val="5ED12C89"/>
    <w:rsid w:val="5EE80FC2"/>
    <w:rsid w:val="5EE93E95"/>
    <w:rsid w:val="5F0019DD"/>
    <w:rsid w:val="5F1A25FD"/>
    <w:rsid w:val="5F250BB2"/>
    <w:rsid w:val="5F375C97"/>
    <w:rsid w:val="5F381638"/>
    <w:rsid w:val="5F4144D3"/>
    <w:rsid w:val="5F683E5F"/>
    <w:rsid w:val="5F77163E"/>
    <w:rsid w:val="5FA3770C"/>
    <w:rsid w:val="5FAC0B68"/>
    <w:rsid w:val="5FAC7002"/>
    <w:rsid w:val="5FAD5A7A"/>
    <w:rsid w:val="5FC0516F"/>
    <w:rsid w:val="5FDC1FC3"/>
    <w:rsid w:val="5FE04723"/>
    <w:rsid w:val="5FE062B5"/>
    <w:rsid w:val="60050384"/>
    <w:rsid w:val="6018671C"/>
    <w:rsid w:val="601F4C5B"/>
    <w:rsid w:val="60467201"/>
    <w:rsid w:val="60597AB8"/>
    <w:rsid w:val="60752609"/>
    <w:rsid w:val="60C00F77"/>
    <w:rsid w:val="60F90189"/>
    <w:rsid w:val="60FD5718"/>
    <w:rsid w:val="61236284"/>
    <w:rsid w:val="61281D72"/>
    <w:rsid w:val="613A51F3"/>
    <w:rsid w:val="613D1145"/>
    <w:rsid w:val="61904862"/>
    <w:rsid w:val="61D2324B"/>
    <w:rsid w:val="61D5316E"/>
    <w:rsid w:val="61DE13BA"/>
    <w:rsid w:val="61EE6A3B"/>
    <w:rsid w:val="620079D8"/>
    <w:rsid w:val="620A6157"/>
    <w:rsid w:val="624337C3"/>
    <w:rsid w:val="6250430B"/>
    <w:rsid w:val="625160D4"/>
    <w:rsid w:val="627031CE"/>
    <w:rsid w:val="62826605"/>
    <w:rsid w:val="628A28B8"/>
    <w:rsid w:val="628E11F5"/>
    <w:rsid w:val="62952A7D"/>
    <w:rsid w:val="62B66183"/>
    <w:rsid w:val="62C92CD3"/>
    <w:rsid w:val="62D35ED6"/>
    <w:rsid w:val="62D94F00"/>
    <w:rsid w:val="630645FE"/>
    <w:rsid w:val="630C511E"/>
    <w:rsid w:val="632B6A6C"/>
    <w:rsid w:val="63386C0E"/>
    <w:rsid w:val="63512A0A"/>
    <w:rsid w:val="63852BCC"/>
    <w:rsid w:val="63B01D8F"/>
    <w:rsid w:val="63B3164A"/>
    <w:rsid w:val="63BE429F"/>
    <w:rsid w:val="63D11E90"/>
    <w:rsid w:val="64234CA7"/>
    <w:rsid w:val="643C2586"/>
    <w:rsid w:val="646510EB"/>
    <w:rsid w:val="64711DE2"/>
    <w:rsid w:val="647B5C94"/>
    <w:rsid w:val="64833513"/>
    <w:rsid w:val="64A84A16"/>
    <w:rsid w:val="64BE4A6D"/>
    <w:rsid w:val="64C80D68"/>
    <w:rsid w:val="64D242AF"/>
    <w:rsid w:val="64F318EF"/>
    <w:rsid w:val="64FC400C"/>
    <w:rsid w:val="64FD143E"/>
    <w:rsid w:val="6511026E"/>
    <w:rsid w:val="65223BFC"/>
    <w:rsid w:val="6530255F"/>
    <w:rsid w:val="6536673B"/>
    <w:rsid w:val="653A35EB"/>
    <w:rsid w:val="654266AF"/>
    <w:rsid w:val="655170FF"/>
    <w:rsid w:val="65652A5B"/>
    <w:rsid w:val="657132EE"/>
    <w:rsid w:val="657336BA"/>
    <w:rsid w:val="657E2A6B"/>
    <w:rsid w:val="659F1DAA"/>
    <w:rsid w:val="65B4326D"/>
    <w:rsid w:val="65B65AC7"/>
    <w:rsid w:val="65C73822"/>
    <w:rsid w:val="65CA2AF8"/>
    <w:rsid w:val="65DA694F"/>
    <w:rsid w:val="65EE78A2"/>
    <w:rsid w:val="65F207D9"/>
    <w:rsid w:val="66033D86"/>
    <w:rsid w:val="66132C3D"/>
    <w:rsid w:val="6639577B"/>
    <w:rsid w:val="6659263C"/>
    <w:rsid w:val="665956D7"/>
    <w:rsid w:val="66720122"/>
    <w:rsid w:val="668E78CC"/>
    <w:rsid w:val="66952E4E"/>
    <w:rsid w:val="66A374D4"/>
    <w:rsid w:val="66A92512"/>
    <w:rsid w:val="66DA500E"/>
    <w:rsid w:val="66E0614D"/>
    <w:rsid w:val="66F62F14"/>
    <w:rsid w:val="66F8780E"/>
    <w:rsid w:val="66FB7EBC"/>
    <w:rsid w:val="671D71F4"/>
    <w:rsid w:val="67515045"/>
    <w:rsid w:val="6772668E"/>
    <w:rsid w:val="678A2A30"/>
    <w:rsid w:val="67922F56"/>
    <w:rsid w:val="679C37B7"/>
    <w:rsid w:val="67A32996"/>
    <w:rsid w:val="67A538E1"/>
    <w:rsid w:val="67B276D8"/>
    <w:rsid w:val="67CF2561"/>
    <w:rsid w:val="67DE0B66"/>
    <w:rsid w:val="67EE4999"/>
    <w:rsid w:val="68053E17"/>
    <w:rsid w:val="680E0076"/>
    <w:rsid w:val="682652CE"/>
    <w:rsid w:val="6861498F"/>
    <w:rsid w:val="686D62B5"/>
    <w:rsid w:val="68851D8D"/>
    <w:rsid w:val="688D3AB3"/>
    <w:rsid w:val="68A876F2"/>
    <w:rsid w:val="68BB5560"/>
    <w:rsid w:val="68CA66BD"/>
    <w:rsid w:val="68DE1099"/>
    <w:rsid w:val="68F05E04"/>
    <w:rsid w:val="68FC0A99"/>
    <w:rsid w:val="690505B1"/>
    <w:rsid w:val="691439F4"/>
    <w:rsid w:val="69211F71"/>
    <w:rsid w:val="692A0FF0"/>
    <w:rsid w:val="693E0D62"/>
    <w:rsid w:val="6947095D"/>
    <w:rsid w:val="694F1A58"/>
    <w:rsid w:val="695910D9"/>
    <w:rsid w:val="6964056C"/>
    <w:rsid w:val="696A4AE4"/>
    <w:rsid w:val="6976603E"/>
    <w:rsid w:val="69794C02"/>
    <w:rsid w:val="69D94ACE"/>
    <w:rsid w:val="69E72CD3"/>
    <w:rsid w:val="69F46122"/>
    <w:rsid w:val="69F858D1"/>
    <w:rsid w:val="69FE14F0"/>
    <w:rsid w:val="6A077B8E"/>
    <w:rsid w:val="6A0B2F17"/>
    <w:rsid w:val="6A1C562F"/>
    <w:rsid w:val="6A55309E"/>
    <w:rsid w:val="6A596C31"/>
    <w:rsid w:val="6A5A5742"/>
    <w:rsid w:val="6A60111C"/>
    <w:rsid w:val="6A65787F"/>
    <w:rsid w:val="6A692A9A"/>
    <w:rsid w:val="6A6F29A7"/>
    <w:rsid w:val="6A813F2C"/>
    <w:rsid w:val="6A9258A1"/>
    <w:rsid w:val="6A9D4773"/>
    <w:rsid w:val="6AD05678"/>
    <w:rsid w:val="6AD6723F"/>
    <w:rsid w:val="6AD71D05"/>
    <w:rsid w:val="6AE1527E"/>
    <w:rsid w:val="6B02456F"/>
    <w:rsid w:val="6B1A49B8"/>
    <w:rsid w:val="6B2F266A"/>
    <w:rsid w:val="6B4840F4"/>
    <w:rsid w:val="6B511B03"/>
    <w:rsid w:val="6B55794E"/>
    <w:rsid w:val="6B5F7627"/>
    <w:rsid w:val="6B8548C3"/>
    <w:rsid w:val="6B995E47"/>
    <w:rsid w:val="6BAF6404"/>
    <w:rsid w:val="6BBB3287"/>
    <w:rsid w:val="6BD707F8"/>
    <w:rsid w:val="6C034617"/>
    <w:rsid w:val="6C0A4AA4"/>
    <w:rsid w:val="6C1A7D26"/>
    <w:rsid w:val="6C2713AF"/>
    <w:rsid w:val="6C384543"/>
    <w:rsid w:val="6C6A003E"/>
    <w:rsid w:val="6C792635"/>
    <w:rsid w:val="6C990A22"/>
    <w:rsid w:val="6CB97BD5"/>
    <w:rsid w:val="6D077016"/>
    <w:rsid w:val="6D2812FD"/>
    <w:rsid w:val="6D2F391E"/>
    <w:rsid w:val="6D3941EA"/>
    <w:rsid w:val="6D3D55F5"/>
    <w:rsid w:val="6D45598A"/>
    <w:rsid w:val="6D5959AA"/>
    <w:rsid w:val="6D5B6ECB"/>
    <w:rsid w:val="6D633D24"/>
    <w:rsid w:val="6DA24B6A"/>
    <w:rsid w:val="6DB55F33"/>
    <w:rsid w:val="6DB6092A"/>
    <w:rsid w:val="6DB81F4B"/>
    <w:rsid w:val="6DB93E1D"/>
    <w:rsid w:val="6DEF7CBB"/>
    <w:rsid w:val="6E214644"/>
    <w:rsid w:val="6E26441F"/>
    <w:rsid w:val="6E3A2DCF"/>
    <w:rsid w:val="6E3D2D1A"/>
    <w:rsid w:val="6E534757"/>
    <w:rsid w:val="6E5D458F"/>
    <w:rsid w:val="6E830D94"/>
    <w:rsid w:val="6E895A0C"/>
    <w:rsid w:val="6E9666FC"/>
    <w:rsid w:val="6E9D4A31"/>
    <w:rsid w:val="6EB1246D"/>
    <w:rsid w:val="6EBA6A35"/>
    <w:rsid w:val="6EBF2935"/>
    <w:rsid w:val="6EDD6F91"/>
    <w:rsid w:val="6EE90259"/>
    <w:rsid w:val="6EEB3A6E"/>
    <w:rsid w:val="6F3B4B6A"/>
    <w:rsid w:val="6F40381D"/>
    <w:rsid w:val="6F5D66B3"/>
    <w:rsid w:val="6F6E7BF2"/>
    <w:rsid w:val="6F7148E3"/>
    <w:rsid w:val="6F7C5164"/>
    <w:rsid w:val="6F850B5D"/>
    <w:rsid w:val="6F9E42A1"/>
    <w:rsid w:val="6FB85467"/>
    <w:rsid w:val="6FBF6FA9"/>
    <w:rsid w:val="6FCEA8B7"/>
    <w:rsid w:val="6FE311B7"/>
    <w:rsid w:val="700D215D"/>
    <w:rsid w:val="70135135"/>
    <w:rsid w:val="7032674D"/>
    <w:rsid w:val="70545BA6"/>
    <w:rsid w:val="70622EA3"/>
    <w:rsid w:val="70854329"/>
    <w:rsid w:val="708E3EF2"/>
    <w:rsid w:val="709D71DF"/>
    <w:rsid w:val="70A41839"/>
    <w:rsid w:val="70B66A91"/>
    <w:rsid w:val="70BA64F8"/>
    <w:rsid w:val="70CB5510"/>
    <w:rsid w:val="70D511A9"/>
    <w:rsid w:val="7103374D"/>
    <w:rsid w:val="71080E6A"/>
    <w:rsid w:val="711315BD"/>
    <w:rsid w:val="713518D1"/>
    <w:rsid w:val="71A20838"/>
    <w:rsid w:val="71B96608"/>
    <w:rsid w:val="71BA2766"/>
    <w:rsid w:val="722443F1"/>
    <w:rsid w:val="7238632B"/>
    <w:rsid w:val="725B2B9B"/>
    <w:rsid w:val="726605FC"/>
    <w:rsid w:val="726B5B4F"/>
    <w:rsid w:val="72782280"/>
    <w:rsid w:val="727D13E4"/>
    <w:rsid w:val="72AE1782"/>
    <w:rsid w:val="72B80F6C"/>
    <w:rsid w:val="72CF2E44"/>
    <w:rsid w:val="72D57F57"/>
    <w:rsid w:val="72E725B6"/>
    <w:rsid w:val="72EA6509"/>
    <w:rsid w:val="72F07E08"/>
    <w:rsid w:val="730E4B26"/>
    <w:rsid w:val="732F669B"/>
    <w:rsid w:val="734C2E30"/>
    <w:rsid w:val="73680392"/>
    <w:rsid w:val="73947BAE"/>
    <w:rsid w:val="739F4EC0"/>
    <w:rsid w:val="73B129D9"/>
    <w:rsid w:val="73BA1D93"/>
    <w:rsid w:val="73CA7188"/>
    <w:rsid w:val="73F20BD8"/>
    <w:rsid w:val="740E7384"/>
    <w:rsid w:val="7426493B"/>
    <w:rsid w:val="743A40A4"/>
    <w:rsid w:val="74424FDF"/>
    <w:rsid w:val="74466BA4"/>
    <w:rsid w:val="745919DD"/>
    <w:rsid w:val="746400FE"/>
    <w:rsid w:val="74A910C1"/>
    <w:rsid w:val="74B24CA5"/>
    <w:rsid w:val="756957B0"/>
    <w:rsid w:val="756F49DF"/>
    <w:rsid w:val="758D2A4A"/>
    <w:rsid w:val="75AF527D"/>
    <w:rsid w:val="75BB3A7A"/>
    <w:rsid w:val="75FF05A9"/>
    <w:rsid w:val="75FFBF43"/>
    <w:rsid w:val="761B6A8C"/>
    <w:rsid w:val="7623059C"/>
    <w:rsid w:val="76301C5D"/>
    <w:rsid w:val="76427692"/>
    <w:rsid w:val="765F0CCC"/>
    <w:rsid w:val="769156A6"/>
    <w:rsid w:val="76960176"/>
    <w:rsid w:val="769B2EE6"/>
    <w:rsid w:val="76A96E9C"/>
    <w:rsid w:val="76D30189"/>
    <w:rsid w:val="76ED7911"/>
    <w:rsid w:val="770131A2"/>
    <w:rsid w:val="770512B1"/>
    <w:rsid w:val="772F554F"/>
    <w:rsid w:val="773044DD"/>
    <w:rsid w:val="773C04F8"/>
    <w:rsid w:val="77416D88"/>
    <w:rsid w:val="77446647"/>
    <w:rsid w:val="776B73C1"/>
    <w:rsid w:val="777251F0"/>
    <w:rsid w:val="779E063A"/>
    <w:rsid w:val="77AC1CC8"/>
    <w:rsid w:val="77BD730A"/>
    <w:rsid w:val="77C77B53"/>
    <w:rsid w:val="77D56E98"/>
    <w:rsid w:val="77F83ECE"/>
    <w:rsid w:val="7800416F"/>
    <w:rsid w:val="780650D6"/>
    <w:rsid w:val="78090797"/>
    <w:rsid w:val="78247F6B"/>
    <w:rsid w:val="78295334"/>
    <w:rsid w:val="78476019"/>
    <w:rsid w:val="785A454B"/>
    <w:rsid w:val="78694FAD"/>
    <w:rsid w:val="786D78AD"/>
    <w:rsid w:val="78904560"/>
    <w:rsid w:val="78B35007"/>
    <w:rsid w:val="78C6185B"/>
    <w:rsid w:val="78EC2396"/>
    <w:rsid w:val="790463BB"/>
    <w:rsid w:val="79196791"/>
    <w:rsid w:val="793871F7"/>
    <w:rsid w:val="793F719C"/>
    <w:rsid w:val="79430B62"/>
    <w:rsid w:val="7948215F"/>
    <w:rsid w:val="795F1383"/>
    <w:rsid w:val="796E5051"/>
    <w:rsid w:val="79716640"/>
    <w:rsid w:val="797C07C5"/>
    <w:rsid w:val="79817A0B"/>
    <w:rsid w:val="798947FE"/>
    <w:rsid w:val="798A0D9C"/>
    <w:rsid w:val="79A11E5C"/>
    <w:rsid w:val="79E20E31"/>
    <w:rsid w:val="79E8752E"/>
    <w:rsid w:val="79F50DE9"/>
    <w:rsid w:val="79F94AE1"/>
    <w:rsid w:val="7A5E1B91"/>
    <w:rsid w:val="7A6C17EC"/>
    <w:rsid w:val="7A717055"/>
    <w:rsid w:val="7A7C4E52"/>
    <w:rsid w:val="7AA6047E"/>
    <w:rsid w:val="7AC3472F"/>
    <w:rsid w:val="7ADC4FA9"/>
    <w:rsid w:val="7AEC050F"/>
    <w:rsid w:val="7AF27C48"/>
    <w:rsid w:val="7AF96297"/>
    <w:rsid w:val="7AFE6A5F"/>
    <w:rsid w:val="7B125D1A"/>
    <w:rsid w:val="7B261AA3"/>
    <w:rsid w:val="7B28206D"/>
    <w:rsid w:val="7B465998"/>
    <w:rsid w:val="7B697323"/>
    <w:rsid w:val="7B854E80"/>
    <w:rsid w:val="7BB55B24"/>
    <w:rsid w:val="7BD929FF"/>
    <w:rsid w:val="7BF853F3"/>
    <w:rsid w:val="7BFE23D2"/>
    <w:rsid w:val="7C2847E7"/>
    <w:rsid w:val="7C2B46AB"/>
    <w:rsid w:val="7C2B7973"/>
    <w:rsid w:val="7C370855"/>
    <w:rsid w:val="7C3F756C"/>
    <w:rsid w:val="7C601D49"/>
    <w:rsid w:val="7C951EF7"/>
    <w:rsid w:val="7CC5747B"/>
    <w:rsid w:val="7CCB447B"/>
    <w:rsid w:val="7CF050BF"/>
    <w:rsid w:val="7CFB0194"/>
    <w:rsid w:val="7D162B61"/>
    <w:rsid w:val="7D1F6618"/>
    <w:rsid w:val="7D2200C7"/>
    <w:rsid w:val="7D3708BA"/>
    <w:rsid w:val="7D4C01C7"/>
    <w:rsid w:val="7D617B94"/>
    <w:rsid w:val="7D652AE5"/>
    <w:rsid w:val="7D8C2657"/>
    <w:rsid w:val="7D90280C"/>
    <w:rsid w:val="7D97447E"/>
    <w:rsid w:val="7D9D6547"/>
    <w:rsid w:val="7DB329E2"/>
    <w:rsid w:val="7DD63584"/>
    <w:rsid w:val="7E1717F8"/>
    <w:rsid w:val="7E174685"/>
    <w:rsid w:val="7E2C120A"/>
    <w:rsid w:val="7E2F6095"/>
    <w:rsid w:val="7E3C436B"/>
    <w:rsid w:val="7E3E551B"/>
    <w:rsid w:val="7E5E2023"/>
    <w:rsid w:val="7E8216C1"/>
    <w:rsid w:val="7E8B061E"/>
    <w:rsid w:val="7EA27112"/>
    <w:rsid w:val="7EB45AE3"/>
    <w:rsid w:val="7EBA4D39"/>
    <w:rsid w:val="7EBB2EC4"/>
    <w:rsid w:val="7EC11911"/>
    <w:rsid w:val="7ED15466"/>
    <w:rsid w:val="7EEE1142"/>
    <w:rsid w:val="7EFD07E5"/>
    <w:rsid w:val="7F095F54"/>
    <w:rsid w:val="7F0D548B"/>
    <w:rsid w:val="7F1766C9"/>
    <w:rsid w:val="7F2054B9"/>
    <w:rsid w:val="7F30710E"/>
    <w:rsid w:val="7F6332B2"/>
    <w:rsid w:val="7F682CD5"/>
    <w:rsid w:val="7F88410E"/>
    <w:rsid w:val="7F9F090D"/>
    <w:rsid w:val="7FB90B3D"/>
    <w:rsid w:val="7FB90EA8"/>
    <w:rsid w:val="7FBD089B"/>
    <w:rsid w:val="7FBE176D"/>
    <w:rsid w:val="7FE44450"/>
    <w:rsid w:val="7FF3AFDA"/>
    <w:rsid w:val="7FF8246F"/>
    <w:rsid w:val="7FFC9E88"/>
    <w:rsid w:val="A57B2F3B"/>
    <w:rsid w:val="BF2EA328"/>
    <w:rsid w:val="BF3EAB6F"/>
    <w:rsid w:val="D4AC14FE"/>
    <w:rsid w:val="E49A2073"/>
    <w:rsid w:val="E56FA7CD"/>
    <w:rsid w:val="E7AB8CFB"/>
    <w:rsid w:val="EF7DE2EC"/>
    <w:rsid w:val="EFBFF096"/>
    <w:rsid w:val="F5FF80EC"/>
    <w:rsid w:val="FCDE83A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iPriority="39" w:semiHidden="0" w:name="toc 2"/>
    <w:lsdException w:qFormat="1" w:uiPriority="39" w:semiHidden="0" w:name="toc 3"/>
    <w:lsdException w:qFormat="1" w:uiPriority="39"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99" w:semiHidden="0" w:name="Normal Indent"/>
    <w:lsdException w:unhideWhenUsed="0" w:uiPriority="0" w:semiHidden="0" w:name="footnote text"/>
    <w:lsdException w:qFormat="1" w:unhideWhenUsed="0" w:uiPriority="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unhideWhenUsed="0" w:uiPriority="0" w:semiHidden="0" w:name="Note Heading"/>
    <w:lsdException w:qFormat="1" w:unhideWhenUsed="0" w:uiPriority="0" w:semiHidden="0" w:name="Body Text 2"/>
    <w:lsdException w:unhideWhenUsed="0" w:uiPriority="0" w:semiHidden="0" w:name="Body Text 3"/>
    <w:lsdException w:qFormat="1" w:unhideWhenUsed="0" w:uiPriority="0" w:semiHidden="0" w:name="Body Text Indent 2"/>
    <w:lsdException w:qFormat="1"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qFormat="1" w:unhideWhenUsed="0" w:uiPriority="0" w:semiHidden="0" w:name="HTML Cite"/>
    <w:lsdException w:qFormat="1" w:unhideWhenUsed="0" w:uiPriority="0" w:semiHidden="0" w:name="HTML Code"/>
    <w:lsdException w:qFormat="1" w:unhideWhenUsed="0" w:uiPriority="0" w:semiHidden="0" w:name="HTML Definition"/>
    <w:lsdException w:qFormat="1" w:unhideWhenUsed="0" w:uiPriority="0" w:semiHidden="0" w:name="HTML Keyboard"/>
    <w:lsdException w:unhideWhenUsed="0" w:uiPriority="0" w:semiHidden="0" w:name="HTML Preformatted"/>
    <w:lsdException w:qFormat="1" w:unhideWhenUsed="0" w:uiPriority="0" w:semiHidden="0" w:name="HTML Sample"/>
    <w:lsdException w:unhideWhenUsed="0" w:uiPriority="0" w:semiHidden="0" w:name="HTML Typewriter"/>
    <w:lsdException w:qFormat="1"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5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autoRedefine/>
    <w:qFormat/>
    <w:uiPriority w:val="0"/>
    <w:pPr>
      <w:widowControl w:val="0"/>
      <w:spacing w:after="160" w:line="278" w:lineRule="auto"/>
      <w:jc w:val="both"/>
    </w:pPr>
    <w:rPr>
      <w:rFonts w:ascii="Times New Roman" w:hAnsi="Times New Roman" w:eastAsia="宋体" w:cs="Times New Roman"/>
      <w:kern w:val="2"/>
      <w:sz w:val="21"/>
      <w:szCs w:val="24"/>
      <w:lang w:val="en-US" w:eastAsia="zh-CN" w:bidi="ar-SA"/>
    </w:rPr>
  </w:style>
  <w:style w:type="paragraph" w:styleId="3">
    <w:name w:val="heading 1"/>
    <w:basedOn w:val="1"/>
    <w:next w:val="1"/>
    <w:autoRedefine/>
    <w:qFormat/>
    <w:uiPriority w:val="0"/>
    <w:pPr>
      <w:keepNext/>
      <w:jc w:val="center"/>
      <w:outlineLvl w:val="0"/>
    </w:pPr>
    <w:rPr>
      <w:b/>
      <w:bCs/>
      <w:sz w:val="24"/>
      <w:szCs w:val="20"/>
    </w:rPr>
  </w:style>
  <w:style w:type="paragraph" w:styleId="2">
    <w:name w:val="heading 2"/>
    <w:basedOn w:val="1"/>
    <w:next w:val="1"/>
    <w:autoRedefine/>
    <w:qFormat/>
    <w:uiPriority w:val="0"/>
    <w:pPr>
      <w:keepNext/>
      <w:keepLines/>
      <w:spacing w:line="360" w:lineRule="auto"/>
      <w:outlineLvl w:val="1"/>
    </w:pPr>
    <w:rPr>
      <w:rFonts w:ascii="Arial" w:hAnsi="Arial"/>
      <w:b/>
      <w:bCs/>
      <w:sz w:val="24"/>
      <w:szCs w:val="32"/>
    </w:rPr>
  </w:style>
  <w:style w:type="paragraph" w:styleId="4">
    <w:name w:val="heading 3"/>
    <w:basedOn w:val="1"/>
    <w:next w:val="1"/>
    <w:autoRedefine/>
    <w:qFormat/>
    <w:uiPriority w:val="0"/>
    <w:pPr>
      <w:keepNext/>
      <w:keepLines/>
      <w:spacing w:before="260" w:after="260" w:line="416" w:lineRule="auto"/>
      <w:outlineLvl w:val="2"/>
    </w:pPr>
    <w:rPr>
      <w:b/>
      <w:bCs/>
      <w:sz w:val="32"/>
      <w:szCs w:val="32"/>
    </w:rPr>
  </w:style>
  <w:style w:type="paragraph" w:styleId="5">
    <w:name w:val="heading 4"/>
    <w:basedOn w:val="1"/>
    <w:next w:val="1"/>
    <w:autoRedefine/>
    <w:qFormat/>
    <w:uiPriority w:val="0"/>
    <w:pPr>
      <w:keepNext/>
      <w:keepLines/>
      <w:spacing w:before="280" w:after="290" w:line="376" w:lineRule="auto"/>
      <w:outlineLvl w:val="3"/>
    </w:pPr>
    <w:rPr>
      <w:rFonts w:ascii="Arial" w:hAnsi="Arial" w:eastAsia="黑体"/>
      <w:b/>
      <w:bCs/>
      <w:sz w:val="28"/>
      <w:szCs w:val="28"/>
    </w:rPr>
  </w:style>
  <w:style w:type="character" w:default="1" w:styleId="29">
    <w:name w:val="Default Paragraph Font"/>
    <w:autoRedefine/>
    <w:semiHidden/>
    <w:unhideWhenUsed/>
    <w:qFormat/>
    <w:uiPriority w:val="1"/>
  </w:style>
  <w:style w:type="table" w:default="1" w:styleId="27">
    <w:name w:val="Normal Table"/>
    <w:autoRedefine/>
    <w:semiHidden/>
    <w:unhideWhenUsed/>
    <w:qFormat/>
    <w:uiPriority w:val="99"/>
    <w:tblPr>
      <w:tblCellMar>
        <w:top w:w="0" w:type="dxa"/>
        <w:left w:w="108" w:type="dxa"/>
        <w:bottom w:w="0" w:type="dxa"/>
        <w:right w:w="108" w:type="dxa"/>
      </w:tblCellMar>
    </w:tblPr>
  </w:style>
  <w:style w:type="paragraph" w:styleId="6">
    <w:name w:val="Normal Indent"/>
    <w:basedOn w:val="1"/>
    <w:next w:val="1"/>
    <w:autoRedefine/>
    <w:qFormat/>
    <w:uiPriority w:val="99"/>
    <w:pPr>
      <w:adjustRightInd w:val="0"/>
      <w:snapToGrid w:val="0"/>
    </w:pPr>
    <w:rPr>
      <w:rFonts w:ascii="宋体" w:hAnsi="华文细黑"/>
      <w:kern w:val="0"/>
    </w:rPr>
  </w:style>
  <w:style w:type="paragraph" w:styleId="7">
    <w:name w:val="annotation text"/>
    <w:basedOn w:val="1"/>
    <w:autoRedefine/>
    <w:semiHidden/>
    <w:qFormat/>
    <w:uiPriority w:val="0"/>
    <w:pPr>
      <w:jc w:val="left"/>
    </w:pPr>
  </w:style>
  <w:style w:type="paragraph" w:styleId="8">
    <w:name w:val="Body Text"/>
    <w:basedOn w:val="1"/>
    <w:next w:val="9"/>
    <w:autoRedefine/>
    <w:qFormat/>
    <w:uiPriority w:val="0"/>
    <w:rPr>
      <w:rFonts w:eastAsia="Calibri"/>
    </w:rPr>
  </w:style>
  <w:style w:type="paragraph" w:customStyle="1" w:styleId="9">
    <w:name w:val="1"/>
    <w:basedOn w:val="10"/>
    <w:next w:val="11"/>
    <w:autoRedefine/>
    <w:qFormat/>
    <w:uiPriority w:val="0"/>
    <w:pPr>
      <w:spacing w:afterLines="50" w:line="360" w:lineRule="auto"/>
    </w:pPr>
    <w:rPr>
      <w:rFonts w:ascii="宋体" w:hAnsi="宋体"/>
      <w:b/>
      <w:sz w:val="30"/>
      <w:szCs w:val="21"/>
    </w:rPr>
  </w:style>
  <w:style w:type="paragraph" w:customStyle="1" w:styleId="10">
    <w:name w:val="正文 New New New"/>
    <w:autoRedefine/>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11">
    <w:name w:val="Body Text Indent"/>
    <w:basedOn w:val="1"/>
    <w:next w:val="12"/>
    <w:autoRedefine/>
    <w:qFormat/>
    <w:uiPriority w:val="0"/>
    <w:pPr>
      <w:spacing w:after="120"/>
      <w:ind w:left="420" w:leftChars="200"/>
    </w:pPr>
  </w:style>
  <w:style w:type="paragraph" w:styleId="12">
    <w:name w:val="Body Text Indent 2"/>
    <w:basedOn w:val="1"/>
    <w:autoRedefine/>
    <w:qFormat/>
    <w:uiPriority w:val="0"/>
    <w:pPr>
      <w:spacing w:after="120" w:line="480" w:lineRule="auto"/>
      <w:ind w:left="420" w:leftChars="200"/>
    </w:pPr>
  </w:style>
  <w:style w:type="paragraph" w:styleId="13">
    <w:name w:val="toc 3"/>
    <w:basedOn w:val="1"/>
    <w:next w:val="1"/>
    <w:autoRedefine/>
    <w:unhideWhenUsed/>
    <w:qFormat/>
    <w:uiPriority w:val="39"/>
    <w:pPr>
      <w:adjustRightInd w:val="0"/>
      <w:snapToGrid w:val="0"/>
      <w:spacing w:line="360" w:lineRule="auto"/>
      <w:ind w:left="400" w:leftChars="400"/>
    </w:pPr>
    <w:rPr>
      <w:b/>
    </w:rPr>
  </w:style>
  <w:style w:type="paragraph" w:styleId="14">
    <w:name w:val="Plain Text"/>
    <w:basedOn w:val="1"/>
    <w:autoRedefine/>
    <w:qFormat/>
    <w:uiPriority w:val="0"/>
    <w:rPr>
      <w:rFonts w:ascii="宋体" w:hAnsi="Courier New" w:cs="Courier New"/>
      <w:szCs w:val="21"/>
    </w:rPr>
  </w:style>
  <w:style w:type="paragraph" w:styleId="15">
    <w:name w:val="Date"/>
    <w:basedOn w:val="1"/>
    <w:next w:val="1"/>
    <w:autoRedefine/>
    <w:qFormat/>
    <w:uiPriority w:val="0"/>
    <w:rPr>
      <w:sz w:val="24"/>
      <w:szCs w:val="20"/>
    </w:rPr>
  </w:style>
  <w:style w:type="paragraph" w:styleId="16">
    <w:name w:val="footer"/>
    <w:basedOn w:val="1"/>
    <w:autoRedefine/>
    <w:qFormat/>
    <w:uiPriority w:val="0"/>
    <w:pPr>
      <w:tabs>
        <w:tab w:val="center" w:pos="4153"/>
        <w:tab w:val="right" w:pos="8306"/>
      </w:tabs>
      <w:snapToGrid w:val="0"/>
      <w:jc w:val="left"/>
    </w:pPr>
    <w:rPr>
      <w:sz w:val="18"/>
      <w:szCs w:val="18"/>
    </w:rPr>
  </w:style>
  <w:style w:type="paragraph" w:styleId="17">
    <w:name w:val="header"/>
    <w:basedOn w:val="1"/>
    <w:autoRedefine/>
    <w:qFormat/>
    <w:uiPriority w:val="0"/>
    <w:pPr>
      <w:pBdr>
        <w:bottom w:val="single" w:color="auto" w:sz="6" w:space="1"/>
      </w:pBdr>
      <w:tabs>
        <w:tab w:val="center" w:pos="4153"/>
        <w:tab w:val="right" w:pos="8306"/>
      </w:tabs>
      <w:snapToGrid w:val="0"/>
      <w:jc w:val="center"/>
    </w:pPr>
    <w:rPr>
      <w:sz w:val="18"/>
      <w:szCs w:val="18"/>
    </w:rPr>
  </w:style>
  <w:style w:type="paragraph" w:styleId="18">
    <w:name w:val="toc 1"/>
    <w:basedOn w:val="1"/>
    <w:next w:val="1"/>
    <w:autoRedefine/>
    <w:qFormat/>
    <w:uiPriority w:val="39"/>
    <w:pPr>
      <w:spacing w:line="360" w:lineRule="auto"/>
    </w:pPr>
    <w:rPr>
      <w:rFonts w:ascii="宋体" w:hAnsi="宋体"/>
      <w:b/>
      <w:sz w:val="24"/>
      <w:szCs w:val="21"/>
    </w:rPr>
  </w:style>
  <w:style w:type="paragraph" w:styleId="19">
    <w:name w:val="toc 4"/>
    <w:basedOn w:val="1"/>
    <w:next w:val="1"/>
    <w:autoRedefine/>
    <w:unhideWhenUsed/>
    <w:qFormat/>
    <w:uiPriority w:val="39"/>
    <w:pPr>
      <w:adjustRightInd w:val="0"/>
      <w:snapToGrid w:val="0"/>
      <w:spacing w:line="360" w:lineRule="auto"/>
      <w:ind w:left="600" w:leftChars="600"/>
    </w:pPr>
    <w:rPr>
      <w:rFonts w:ascii="Calibri" w:hAnsi="Calibri"/>
      <w:b/>
      <w:szCs w:val="22"/>
    </w:rPr>
  </w:style>
  <w:style w:type="paragraph" w:styleId="20">
    <w:name w:val="Body Text Indent 3"/>
    <w:basedOn w:val="1"/>
    <w:next w:val="1"/>
    <w:autoRedefine/>
    <w:qFormat/>
    <w:uiPriority w:val="0"/>
    <w:pPr>
      <w:spacing w:after="120"/>
      <w:ind w:left="420" w:leftChars="200"/>
    </w:pPr>
    <w:rPr>
      <w:sz w:val="16"/>
      <w:szCs w:val="16"/>
    </w:rPr>
  </w:style>
  <w:style w:type="paragraph" w:styleId="21">
    <w:name w:val="toc 2"/>
    <w:basedOn w:val="1"/>
    <w:next w:val="1"/>
    <w:autoRedefine/>
    <w:unhideWhenUsed/>
    <w:qFormat/>
    <w:uiPriority w:val="39"/>
    <w:pPr>
      <w:spacing w:line="360" w:lineRule="auto"/>
      <w:ind w:left="200" w:leftChars="200"/>
    </w:pPr>
    <w:rPr>
      <w:b/>
    </w:rPr>
  </w:style>
  <w:style w:type="paragraph" w:styleId="22">
    <w:name w:val="Body Text 2"/>
    <w:basedOn w:val="1"/>
    <w:autoRedefine/>
    <w:qFormat/>
    <w:uiPriority w:val="0"/>
    <w:pPr>
      <w:spacing w:after="120" w:line="480" w:lineRule="auto"/>
    </w:pPr>
  </w:style>
  <w:style w:type="paragraph" w:styleId="23">
    <w:name w:val="Normal (Web)"/>
    <w:basedOn w:val="1"/>
    <w:autoRedefine/>
    <w:qFormat/>
    <w:uiPriority w:val="0"/>
    <w:pPr>
      <w:spacing w:before="100" w:beforeAutospacing="1" w:after="100" w:afterAutospacing="1"/>
      <w:jc w:val="left"/>
    </w:pPr>
    <w:rPr>
      <w:kern w:val="0"/>
      <w:sz w:val="24"/>
    </w:rPr>
  </w:style>
  <w:style w:type="paragraph" w:styleId="24">
    <w:name w:val="annotation subject"/>
    <w:basedOn w:val="7"/>
    <w:next w:val="7"/>
    <w:autoRedefine/>
    <w:qFormat/>
    <w:uiPriority w:val="0"/>
    <w:rPr>
      <w:b/>
      <w:bCs/>
    </w:rPr>
  </w:style>
  <w:style w:type="paragraph" w:styleId="25">
    <w:name w:val="Body Text First Indent"/>
    <w:basedOn w:val="8"/>
    <w:autoRedefine/>
    <w:qFormat/>
    <w:uiPriority w:val="0"/>
    <w:pPr>
      <w:adjustRightInd w:val="0"/>
      <w:ind w:firstLine="425"/>
      <w:textAlignment w:val="baseline"/>
    </w:pPr>
    <w:rPr>
      <w:kern w:val="0"/>
      <w:szCs w:val="20"/>
    </w:rPr>
  </w:style>
  <w:style w:type="paragraph" w:styleId="26">
    <w:name w:val="Body Text First Indent 2"/>
    <w:basedOn w:val="11"/>
    <w:next w:val="1"/>
    <w:autoRedefine/>
    <w:qFormat/>
    <w:uiPriority w:val="0"/>
    <w:pPr>
      <w:ind w:firstLine="420" w:firstLineChars="200"/>
    </w:pPr>
  </w:style>
  <w:style w:type="table" w:styleId="28">
    <w:name w:val="Table Grid"/>
    <w:basedOn w:val="27"/>
    <w:autoRedefine/>
    <w:qFormat/>
    <w:uiPriority w:val="5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0">
    <w:name w:val="Strong"/>
    <w:autoRedefine/>
    <w:qFormat/>
    <w:uiPriority w:val="0"/>
    <w:rPr>
      <w:b/>
      <w:bCs/>
    </w:rPr>
  </w:style>
  <w:style w:type="character" w:styleId="31">
    <w:name w:val="page number"/>
    <w:basedOn w:val="29"/>
    <w:autoRedefine/>
    <w:qFormat/>
    <w:uiPriority w:val="0"/>
  </w:style>
  <w:style w:type="character" w:styleId="32">
    <w:name w:val="FollowedHyperlink"/>
    <w:basedOn w:val="29"/>
    <w:autoRedefine/>
    <w:qFormat/>
    <w:uiPriority w:val="0"/>
    <w:rPr>
      <w:color w:val="333333"/>
      <w:u w:val="none"/>
    </w:rPr>
  </w:style>
  <w:style w:type="character" w:styleId="33">
    <w:name w:val="Emphasis"/>
    <w:basedOn w:val="29"/>
    <w:autoRedefine/>
    <w:qFormat/>
    <w:uiPriority w:val="0"/>
  </w:style>
  <w:style w:type="character" w:styleId="34">
    <w:name w:val="HTML Definition"/>
    <w:basedOn w:val="29"/>
    <w:autoRedefine/>
    <w:qFormat/>
    <w:uiPriority w:val="0"/>
  </w:style>
  <w:style w:type="character" w:styleId="35">
    <w:name w:val="HTML Variable"/>
    <w:basedOn w:val="29"/>
    <w:autoRedefine/>
    <w:qFormat/>
    <w:uiPriority w:val="0"/>
  </w:style>
  <w:style w:type="character" w:styleId="36">
    <w:name w:val="Hyperlink"/>
    <w:basedOn w:val="29"/>
    <w:autoRedefine/>
    <w:qFormat/>
    <w:uiPriority w:val="0"/>
    <w:rPr>
      <w:color w:val="333333"/>
      <w:u w:val="none"/>
    </w:rPr>
  </w:style>
  <w:style w:type="character" w:styleId="37">
    <w:name w:val="HTML Code"/>
    <w:basedOn w:val="29"/>
    <w:autoRedefine/>
    <w:qFormat/>
    <w:uiPriority w:val="0"/>
    <w:rPr>
      <w:rFonts w:ascii="Consolas" w:hAnsi="Consolas" w:eastAsia="Consolas" w:cs="Consolas"/>
      <w:color w:val="C7254E"/>
      <w:sz w:val="21"/>
      <w:szCs w:val="21"/>
      <w:shd w:val="clear" w:color="auto" w:fill="F9F2F4"/>
    </w:rPr>
  </w:style>
  <w:style w:type="character" w:styleId="38">
    <w:name w:val="HTML Cite"/>
    <w:basedOn w:val="29"/>
    <w:autoRedefine/>
    <w:qFormat/>
    <w:uiPriority w:val="0"/>
  </w:style>
  <w:style w:type="character" w:styleId="39">
    <w:name w:val="HTML Keyboard"/>
    <w:basedOn w:val="29"/>
    <w:autoRedefine/>
    <w:qFormat/>
    <w:uiPriority w:val="0"/>
    <w:rPr>
      <w:rFonts w:hint="default" w:ascii="Consolas" w:hAnsi="Consolas" w:eastAsia="Consolas" w:cs="Consolas"/>
      <w:color w:val="FFFFFF"/>
      <w:sz w:val="21"/>
      <w:szCs w:val="21"/>
      <w:shd w:val="clear" w:color="auto" w:fill="333333"/>
    </w:rPr>
  </w:style>
  <w:style w:type="character" w:styleId="40">
    <w:name w:val="HTML Sample"/>
    <w:basedOn w:val="29"/>
    <w:autoRedefine/>
    <w:qFormat/>
    <w:uiPriority w:val="0"/>
    <w:rPr>
      <w:rFonts w:hint="default" w:ascii="Consolas" w:hAnsi="Consolas" w:eastAsia="Consolas" w:cs="Consolas"/>
      <w:sz w:val="21"/>
      <w:szCs w:val="21"/>
    </w:rPr>
  </w:style>
  <w:style w:type="paragraph" w:customStyle="1" w:styleId="41">
    <w:name w:val="正文_0"/>
    <w:next w:val="26"/>
    <w:autoRedefine/>
    <w:qFormat/>
    <w:uiPriority w:val="0"/>
    <w:pPr>
      <w:widowControl w:val="0"/>
      <w:spacing w:after="160" w:line="278" w:lineRule="auto"/>
      <w:jc w:val="both"/>
    </w:pPr>
    <w:rPr>
      <w:rFonts w:ascii="Times New Roman" w:hAnsi="Times New Roman" w:eastAsia="宋体" w:cs="Times New Roman"/>
      <w:kern w:val="2"/>
      <w:sz w:val="21"/>
      <w:szCs w:val="24"/>
      <w:lang w:val="en-US" w:eastAsia="zh-CN" w:bidi="ar-SA"/>
    </w:rPr>
  </w:style>
  <w:style w:type="paragraph" w:customStyle="1" w:styleId="42">
    <w:name w:val="Default"/>
    <w:next w:val="43"/>
    <w:autoRedefine/>
    <w:qFormat/>
    <w:uiPriority w:val="0"/>
    <w:pPr>
      <w:widowControl w:val="0"/>
      <w:autoSpaceDE w:val="0"/>
      <w:autoSpaceDN w:val="0"/>
      <w:adjustRightInd w:val="0"/>
      <w:spacing w:after="160" w:line="278" w:lineRule="auto"/>
    </w:pPr>
    <w:rPr>
      <w:rFonts w:ascii="黑体" w:hAnsi="Times New Roman" w:eastAsia="黑体" w:cs="Times New Roman"/>
      <w:lang w:val="en-US" w:eastAsia="zh-CN" w:bidi="ar-SA"/>
    </w:rPr>
  </w:style>
  <w:style w:type="paragraph" w:styleId="43">
    <w:name w:val="Intense Quote"/>
    <w:next w:val="1"/>
    <w:autoRedefine/>
    <w:qFormat/>
    <w:uiPriority w:val="0"/>
    <w:pPr>
      <w:wordWrap w:val="0"/>
      <w:spacing w:before="360" w:after="360" w:line="278" w:lineRule="auto"/>
      <w:ind w:left="950" w:right="950"/>
      <w:jc w:val="center"/>
    </w:pPr>
    <w:rPr>
      <w:rFonts w:ascii="Times New Roman" w:hAnsi="Times New Roman" w:eastAsia="宋体" w:cs="Times New Roman"/>
      <w:i/>
      <w:sz w:val="21"/>
      <w:lang w:val="en-US" w:eastAsia="zh-CN" w:bidi="ar-SA"/>
    </w:rPr>
  </w:style>
  <w:style w:type="character" w:customStyle="1" w:styleId="44">
    <w:name w:val="15"/>
    <w:basedOn w:val="29"/>
    <w:autoRedefine/>
    <w:qFormat/>
    <w:uiPriority w:val="0"/>
    <w:rPr>
      <w:rFonts w:hint="eastAsia" w:ascii="宋体" w:hAnsi="宋体" w:eastAsia="宋体" w:cs="宋体"/>
      <w:color w:val="FF0000"/>
      <w:sz w:val="22"/>
      <w:szCs w:val="22"/>
    </w:rPr>
  </w:style>
  <w:style w:type="character" w:customStyle="1" w:styleId="45">
    <w:name w:val="font41"/>
    <w:basedOn w:val="29"/>
    <w:qFormat/>
    <w:uiPriority w:val="0"/>
    <w:rPr>
      <w:rFonts w:hint="eastAsia" w:ascii="宋体" w:hAnsi="宋体" w:eastAsia="宋体" w:cs="宋体"/>
      <w:color w:val="000000"/>
      <w:sz w:val="20"/>
      <w:szCs w:val="20"/>
      <w:u w:val="none"/>
    </w:rPr>
  </w:style>
  <w:style w:type="character" w:customStyle="1" w:styleId="46">
    <w:name w:val="NormalCharacter"/>
    <w:autoRedefine/>
    <w:qFormat/>
    <w:uiPriority w:val="0"/>
    <w:rPr>
      <w:rFonts w:ascii="Times New Roman" w:hAnsi="Times New Roman" w:eastAsia="宋体" w:cs="Times New Roman"/>
      <w:kern w:val="2"/>
      <w:sz w:val="21"/>
      <w:szCs w:val="24"/>
      <w:lang w:val="en-US" w:eastAsia="zh-CN" w:bidi="ar-SA"/>
    </w:rPr>
  </w:style>
  <w:style w:type="character" w:customStyle="1" w:styleId="47">
    <w:name w:val="btn-print"/>
    <w:basedOn w:val="29"/>
    <w:qFormat/>
    <w:uiPriority w:val="0"/>
    <w:rPr>
      <w:rFonts w:ascii="微软雅黑" w:hAnsi="微软雅黑" w:eastAsia="微软雅黑" w:cs="微软雅黑"/>
      <w:color w:val="3A3A3A"/>
      <w:sz w:val="19"/>
      <w:szCs w:val="19"/>
      <w:bdr w:val="outset" w:color="FFFFFF" w:sz="6" w:space="0"/>
      <w:shd w:val="clear" w:color="auto" w:fill="FFFFFF"/>
    </w:rPr>
  </w:style>
  <w:style w:type="character" w:customStyle="1" w:styleId="48">
    <w:name w:val="font31"/>
    <w:basedOn w:val="29"/>
    <w:autoRedefine/>
    <w:qFormat/>
    <w:uiPriority w:val="0"/>
    <w:rPr>
      <w:rFonts w:hint="eastAsia" w:ascii="宋体" w:hAnsi="宋体" w:eastAsia="宋体" w:cs="宋体"/>
      <w:color w:val="000000"/>
      <w:sz w:val="20"/>
      <w:szCs w:val="20"/>
      <w:u w:val="none"/>
    </w:rPr>
  </w:style>
  <w:style w:type="character" w:customStyle="1" w:styleId="49">
    <w:name w:val="btn-print1"/>
    <w:basedOn w:val="29"/>
    <w:autoRedefine/>
    <w:qFormat/>
    <w:uiPriority w:val="0"/>
    <w:rPr>
      <w:rFonts w:ascii="微软雅黑" w:hAnsi="微软雅黑" w:eastAsia="微软雅黑" w:cs="微软雅黑"/>
      <w:color w:val="3A3A3A"/>
      <w:sz w:val="19"/>
      <w:szCs w:val="19"/>
      <w:bdr w:val="outset" w:color="FFFFFF" w:sz="6" w:space="0"/>
      <w:shd w:val="clear" w:color="auto" w:fill="FFFFFF"/>
    </w:rPr>
  </w:style>
  <w:style w:type="character" w:customStyle="1" w:styleId="50">
    <w:name w:val="font21"/>
    <w:basedOn w:val="29"/>
    <w:autoRedefine/>
    <w:qFormat/>
    <w:uiPriority w:val="0"/>
    <w:rPr>
      <w:rFonts w:hint="eastAsia" w:ascii="宋体" w:hAnsi="宋体" w:eastAsia="宋体" w:cs="宋体"/>
      <w:color w:val="000000"/>
      <w:sz w:val="20"/>
      <w:szCs w:val="20"/>
      <w:u w:val="none"/>
    </w:rPr>
  </w:style>
  <w:style w:type="character" w:customStyle="1" w:styleId="51">
    <w:name w:val="font61"/>
    <w:basedOn w:val="29"/>
    <w:autoRedefine/>
    <w:qFormat/>
    <w:uiPriority w:val="0"/>
    <w:rPr>
      <w:rFonts w:hint="eastAsia" w:ascii="宋体" w:hAnsi="宋体" w:eastAsia="宋体" w:cs="宋体"/>
      <w:color w:val="FF0000"/>
      <w:sz w:val="20"/>
      <w:szCs w:val="20"/>
      <w:u w:val="none"/>
    </w:rPr>
  </w:style>
  <w:style w:type="character" w:customStyle="1" w:styleId="52">
    <w:name w:val="font51"/>
    <w:basedOn w:val="29"/>
    <w:autoRedefine/>
    <w:qFormat/>
    <w:uiPriority w:val="0"/>
    <w:rPr>
      <w:rFonts w:hint="eastAsia" w:ascii="宋体" w:hAnsi="宋体" w:eastAsia="宋体" w:cs="宋体"/>
      <w:color w:val="FF0000"/>
      <w:sz w:val="20"/>
      <w:szCs w:val="20"/>
      <w:u w:val="none"/>
    </w:rPr>
  </w:style>
  <w:style w:type="character" w:customStyle="1" w:styleId="53">
    <w:name w:val="16"/>
    <w:basedOn w:val="29"/>
    <w:autoRedefine/>
    <w:qFormat/>
    <w:uiPriority w:val="0"/>
    <w:rPr>
      <w:rFonts w:hint="eastAsia" w:ascii="宋体" w:hAnsi="宋体" w:eastAsia="宋体" w:cs="宋体"/>
      <w:color w:val="000000"/>
      <w:sz w:val="22"/>
      <w:szCs w:val="22"/>
    </w:rPr>
  </w:style>
  <w:style w:type="paragraph" w:customStyle="1" w:styleId="54">
    <w:name w:val="正文_4"/>
    <w:next w:val="55"/>
    <w:autoRedefine/>
    <w:qFormat/>
    <w:uiPriority w:val="0"/>
    <w:pPr>
      <w:widowControl w:val="0"/>
      <w:spacing w:after="160" w:line="278" w:lineRule="auto"/>
      <w:jc w:val="both"/>
    </w:pPr>
    <w:rPr>
      <w:rFonts w:ascii="Times New Roman" w:hAnsi="Times New Roman" w:eastAsia="宋体" w:cs="Times New Roman"/>
      <w:kern w:val="2"/>
      <w:sz w:val="21"/>
      <w:szCs w:val="24"/>
      <w:lang w:val="en-US" w:eastAsia="zh-CN" w:bidi="ar-SA"/>
    </w:rPr>
  </w:style>
  <w:style w:type="paragraph" w:customStyle="1" w:styleId="55">
    <w:name w:val="正文文本_4"/>
    <w:basedOn w:val="54"/>
    <w:autoRedefine/>
    <w:qFormat/>
    <w:uiPriority w:val="0"/>
    <w:pPr>
      <w:spacing w:after="120"/>
    </w:pPr>
  </w:style>
  <w:style w:type="paragraph" w:customStyle="1" w:styleId="56">
    <w:name w:val="样式2"/>
    <w:basedOn w:val="2"/>
    <w:next w:val="1"/>
    <w:autoRedefine/>
    <w:unhideWhenUsed/>
    <w:qFormat/>
    <w:uiPriority w:val="0"/>
    <w:pPr>
      <w:snapToGrid w:val="0"/>
      <w:ind w:firstLine="480" w:firstLineChars="200"/>
    </w:pPr>
    <w:rPr>
      <w:sz w:val="44"/>
    </w:rPr>
  </w:style>
  <w:style w:type="paragraph" w:customStyle="1" w:styleId="57">
    <w:name w:val="正文1"/>
    <w:autoRedefine/>
    <w:qFormat/>
    <w:uiPriority w:val="0"/>
    <w:pPr>
      <w:widowControl w:val="0"/>
      <w:spacing w:after="160" w:line="278" w:lineRule="auto"/>
      <w:jc w:val="both"/>
    </w:pPr>
    <w:rPr>
      <w:rFonts w:ascii="Times New Roman" w:hAnsi="Times New Roman" w:eastAsia="宋体" w:cs="Times New Roman"/>
      <w:sz w:val="21"/>
      <w:szCs w:val="24"/>
      <w:lang w:val="en-US" w:eastAsia="zh-CN" w:bidi="ar-SA"/>
    </w:rPr>
  </w:style>
  <w:style w:type="paragraph" w:styleId="58">
    <w:name w:val="List Paragraph"/>
    <w:basedOn w:val="1"/>
    <w:autoRedefine/>
    <w:qFormat/>
    <w:uiPriority w:val="34"/>
    <w:pPr>
      <w:ind w:firstLine="420" w:firstLineChars="200"/>
    </w:pPr>
  </w:style>
  <w:style w:type="paragraph" w:customStyle="1" w:styleId="59">
    <w:name w:val="正文11"/>
    <w:next w:val="60"/>
    <w:autoRedefine/>
    <w:qFormat/>
    <w:uiPriority w:val="0"/>
    <w:pPr>
      <w:widowControl w:val="0"/>
      <w:spacing w:after="160" w:line="278" w:lineRule="auto"/>
      <w:jc w:val="both"/>
    </w:pPr>
    <w:rPr>
      <w:rFonts w:ascii="Times New Roman" w:hAnsi="Times New Roman" w:eastAsia="宋体" w:cs="Times New Roman"/>
      <w:color w:val="000000"/>
      <w:kern w:val="2"/>
      <w:sz w:val="21"/>
      <w:szCs w:val="24"/>
      <w:lang w:val="en-US" w:eastAsia="zh-CN" w:bidi="ar-SA"/>
    </w:rPr>
  </w:style>
  <w:style w:type="paragraph" w:customStyle="1" w:styleId="60">
    <w:name w:val="正文格式"/>
    <w:basedOn w:val="59"/>
    <w:autoRedefine/>
    <w:qFormat/>
    <w:uiPriority w:val="0"/>
    <w:pPr>
      <w:widowControl/>
      <w:spacing w:line="400" w:lineRule="atLeast"/>
      <w:ind w:firstLine="482"/>
      <w:textAlignment w:val="baseline"/>
    </w:pPr>
    <w:rPr>
      <w:kern w:val="0"/>
      <w:sz w:val="24"/>
    </w:rPr>
  </w:style>
  <w:style w:type="paragraph" w:customStyle="1" w:styleId="61">
    <w:name w:val="索引 51"/>
    <w:basedOn w:val="57"/>
    <w:next w:val="57"/>
    <w:autoRedefine/>
    <w:qFormat/>
    <w:uiPriority w:val="0"/>
    <w:pPr>
      <w:ind w:left="798"/>
      <w:jc w:val="left"/>
    </w:pPr>
    <w:rPr>
      <w:rFonts w:ascii="Calibri" w:hAnsi="Calibri"/>
    </w:rPr>
  </w:style>
  <w:style w:type="paragraph" w:customStyle="1" w:styleId="62">
    <w:name w:val="Normal_0_1"/>
    <w:autoRedefine/>
    <w:qFormat/>
    <w:uiPriority w:val="0"/>
    <w:pPr>
      <w:spacing w:after="160" w:line="278" w:lineRule="auto"/>
    </w:pPr>
    <w:rPr>
      <w:rFonts w:ascii="Times New Roman" w:hAnsi="Times New Roman" w:eastAsia="Times New Roman" w:cs="Times New Roman"/>
      <w:sz w:val="24"/>
      <w:szCs w:val="24"/>
      <w:lang w:val="en-US" w:eastAsia="zh-CN" w:bidi="ar-SA"/>
    </w:rPr>
  </w:style>
  <w:style w:type="paragraph" w:customStyle="1" w:styleId="63">
    <w:name w:val="脚注文本1"/>
    <w:basedOn w:val="57"/>
    <w:next w:val="61"/>
    <w:autoRedefine/>
    <w:qFormat/>
    <w:uiPriority w:val="0"/>
    <w:pPr>
      <w:jc w:val="left"/>
    </w:pPr>
    <w:rPr>
      <w:rFonts w:ascii="宋体" w:eastAsia="Times New Roman"/>
      <w:sz w:val="18"/>
      <w:szCs w:val="18"/>
    </w:rPr>
  </w:style>
  <w:style w:type="paragraph" w:customStyle="1" w:styleId="64">
    <w:name w:val="列出段落1"/>
    <w:basedOn w:val="54"/>
    <w:autoRedefine/>
    <w:qFormat/>
    <w:uiPriority w:val="0"/>
    <w:pPr>
      <w:ind w:firstLine="420" w:firstLineChars="200"/>
    </w:pPr>
    <w:rPr>
      <w:szCs w:val="21"/>
    </w:rPr>
  </w:style>
  <w:style w:type="paragraph" w:customStyle="1" w:styleId="65">
    <w:name w:val="正文_17"/>
    <w:autoRedefine/>
    <w:qFormat/>
    <w:uiPriority w:val="0"/>
    <w:pPr>
      <w:widowControl w:val="0"/>
      <w:spacing w:after="160" w:line="278" w:lineRule="auto"/>
      <w:jc w:val="both"/>
    </w:pPr>
    <w:rPr>
      <w:rFonts w:ascii="Calibri" w:hAnsi="Calibri" w:eastAsia="宋体" w:cs="Times New Roman"/>
      <w:kern w:val="2"/>
      <w:sz w:val="21"/>
      <w:szCs w:val="22"/>
      <w:lang w:val="en-US" w:eastAsia="zh-CN" w:bidi="ar-SA"/>
    </w:rPr>
  </w:style>
  <w:style w:type="table" w:customStyle="1" w:styleId="66">
    <w:name w:val="网格型3"/>
    <w:autoRedefine/>
    <w:qFormat/>
    <w:uiPriority w:val="5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paragraph" w:customStyle="1" w:styleId="67">
    <w:name w:val="页脚1"/>
    <w:basedOn w:val="1"/>
    <w:autoRedefine/>
    <w:qFormat/>
    <w:uiPriority w:val="0"/>
    <w:pPr>
      <w:tabs>
        <w:tab w:val="center" w:pos="4153"/>
        <w:tab w:val="right" w:pos="8306"/>
      </w:tabs>
      <w:snapToGrid w:val="0"/>
      <w:jc w:val="left"/>
    </w:pPr>
    <w:rPr>
      <w:rFonts w:ascii="宋体" w:hAnsi="宋体"/>
      <w:sz w:val="18"/>
      <w:szCs w:val="18"/>
    </w:rPr>
  </w:style>
  <w:style w:type="character" w:customStyle="1" w:styleId="68">
    <w:name w:val="font71"/>
    <w:basedOn w:val="29"/>
    <w:autoRedefine/>
    <w:qFormat/>
    <w:uiPriority w:val="0"/>
    <w:rPr>
      <w:rFonts w:hint="eastAsia" w:ascii="宋体" w:hAnsi="宋体" w:eastAsia="宋体" w:cs="宋体"/>
      <w:color w:val="000000"/>
      <w:sz w:val="18"/>
      <w:szCs w:val="18"/>
      <w:u w:val="none"/>
    </w:rPr>
  </w:style>
  <w:style w:type="character" w:customStyle="1" w:styleId="69">
    <w:name w:val="font122"/>
    <w:basedOn w:val="29"/>
    <w:autoRedefine/>
    <w:qFormat/>
    <w:uiPriority w:val="0"/>
    <w:rPr>
      <w:rFonts w:hint="eastAsia" w:ascii="宋体" w:hAnsi="宋体" w:eastAsia="宋体" w:cs="宋体"/>
      <w:color w:val="000000"/>
      <w:sz w:val="15"/>
      <w:szCs w:val="15"/>
      <w:u w:val="none"/>
    </w:rPr>
  </w:style>
  <w:style w:type="character" w:customStyle="1" w:styleId="70">
    <w:name w:val="font81"/>
    <w:basedOn w:val="29"/>
    <w:autoRedefine/>
    <w:qFormat/>
    <w:uiPriority w:val="0"/>
    <w:rPr>
      <w:rFonts w:hint="eastAsia" w:ascii="宋体" w:hAnsi="宋体" w:eastAsia="宋体" w:cs="宋体"/>
      <w:color w:val="000000"/>
      <w:sz w:val="18"/>
      <w:szCs w:val="18"/>
      <w:u w:val="none"/>
    </w:rPr>
  </w:style>
  <w:style w:type="character" w:customStyle="1" w:styleId="71">
    <w:name w:val="font101"/>
    <w:basedOn w:val="29"/>
    <w:autoRedefine/>
    <w:qFormat/>
    <w:uiPriority w:val="0"/>
    <w:rPr>
      <w:rFonts w:hint="eastAsia" w:ascii="宋体" w:hAnsi="宋体" w:eastAsia="宋体" w:cs="宋体"/>
      <w:color w:val="FF0000"/>
      <w:sz w:val="18"/>
      <w:szCs w:val="18"/>
      <w:u w:val="none"/>
    </w:rPr>
  </w:style>
  <w:style w:type="paragraph" w:customStyle="1" w:styleId="72">
    <w:name w:val="Table Paragraph"/>
    <w:basedOn w:val="1"/>
    <w:autoRedefine/>
    <w:qFormat/>
    <w:uiPriority w:val="1"/>
    <w:rPr>
      <w:rFonts w:ascii="宋体" w:hAnsi="宋体" w:cs="宋体"/>
      <w:lang w:val="zh-CN" w:bidi="zh-CN"/>
    </w:rPr>
  </w:style>
  <w:style w:type="character" w:customStyle="1" w:styleId="73">
    <w:name w:val="font11"/>
    <w:basedOn w:val="29"/>
    <w:autoRedefine/>
    <w:qFormat/>
    <w:uiPriority w:val="0"/>
    <w:rPr>
      <w:rFonts w:hint="eastAsia" w:ascii="仿宋" w:hAnsi="仿宋" w:eastAsia="仿宋" w:cs="仿宋"/>
      <w:color w:val="000000"/>
      <w:sz w:val="22"/>
      <w:szCs w:val="22"/>
      <w:u w:val="none"/>
    </w:rPr>
  </w:style>
  <w:style w:type="character" w:customStyle="1" w:styleId="74">
    <w:name w:val="font01"/>
    <w:basedOn w:val="29"/>
    <w:autoRedefine/>
    <w:qFormat/>
    <w:uiPriority w:val="0"/>
    <w:rPr>
      <w:rFonts w:hint="eastAsia" w:ascii="宋体" w:hAnsi="宋体" w:eastAsia="宋体" w:cs="宋体"/>
      <w:color w:val="000000"/>
      <w:sz w:val="22"/>
      <w:szCs w:val="22"/>
      <w:u w:val="none"/>
    </w:rPr>
  </w:style>
  <w:style w:type="paragraph" w:customStyle="1" w:styleId="75">
    <w:name w:val="Table Text"/>
    <w:basedOn w:val="1"/>
    <w:autoRedefine/>
    <w:qFormat/>
    <w:uiPriority w:val="0"/>
    <w:rPr>
      <w:rFonts w:ascii="宋体" w:hAnsi="宋体" w:eastAsia="宋体" w:cs="宋体"/>
      <w:sz w:val="24"/>
      <w:szCs w:val="24"/>
      <w:lang w:val="en-US" w:eastAsia="en-US" w:bidi="ar-SA"/>
    </w:rPr>
  </w:style>
  <w:style w:type="paragraph" w:customStyle="1" w:styleId="76">
    <w:name w:val="Normal_8"/>
    <w:autoRedefine/>
    <w:qFormat/>
    <w:uiPriority w:val="0"/>
    <w:rPr>
      <w:rFonts w:ascii="Times New Roman" w:hAnsi="Times New Roman" w:eastAsia="Times New Roman" w:cs="Times New Roman"/>
      <w:sz w:val="24"/>
      <w:szCs w:val="24"/>
      <w:lang w:val="en-US" w:eastAsia="zh-CN" w:bidi="ar-SA"/>
    </w:rPr>
  </w:style>
  <w:style w:type="table" w:customStyle="1" w:styleId="77">
    <w:name w:val="网格型4"/>
    <w:basedOn w:val="27"/>
    <w:qFormat/>
    <w:uiPriority w:val="5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header" Target="header4.xml"/><Relationship Id="rId8" Type="http://schemas.openxmlformats.org/officeDocument/2006/relationships/header" Target="header3.xml"/><Relationship Id="rId7" Type="http://schemas.openxmlformats.org/officeDocument/2006/relationships/footer" Target="footer1.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9" Type="http://schemas.openxmlformats.org/officeDocument/2006/relationships/fontTable" Target="fontTable.xml"/><Relationship Id="rId28" Type="http://schemas.openxmlformats.org/officeDocument/2006/relationships/numbering" Target="numbering.xml"/><Relationship Id="rId27" Type="http://schemas.openxmlformats.org/officeDocument/2006/relationships/customXml" Target="../customXml/item1.xml"/><Relationship Id="rId26" Type="http://schemas.openxmlformats.org/officeDocument/2006/relationships/image" Target="media/image2.png"/><Relationship Id="rId25" Type="http://schemas.openxmlformats.org/officeDocument/2006/relationships/image" Target="media/image1.png"/><Relationship Id="rId24" Type="http://schemas.openxmlformats.org/officeDocument/2006/relationships/theme" Target="theme/theme1.xml"/><Relationship Id="rId23" Type="http://schemas.openxmlformats.org/officeDocument/2006/relationships/footer" Target="footer9.xml"/><Relationship Id="rId22" Type="http://schemas.openxmlformats.org/officeDocument/2006/relationships/header" Target="header10.xml"/><Relationship Id="rId21" Type="http://schemas.openxmlformats.org/officeDocument/2006/relationships/header" Target="header9.xml"/><Relationship Id="rId20" Type="http://schemas.openxmlformats.org/officeDocument/2006/relationships/header" Target="header8.xml"/><Relationship Id="rId2" Type="http://schemas.openxmlformats.org/officeDocument/2006/relationships/settings" Target="settings.xml"/><Relationship Id="rId19" Type="http://schemas.openxmlformats.org/officeDocument/2006/relationships/footer" Target="footer8.xml"/><Relationship Id="rId18" Type="http://schemas.openxmlformats.org/officeDocument/2006/relationships/header" Target="header7.xml"/><Relationship Id="rId17" Type="http://schemas.openxmlformats.org/officeDocument/2006/relationships/footer" Target="footer7.xml"/><Relationship Id="rId16" Type="http://schemas.openxmlformats.org/officeDocument/2006/relationships/footer" Target="footer6.xml"/><Relationship Id="rId15" Type="http://schemas.openxmlformats.org/officeDocument/2006/relationships/footer" Target="footer5.xml"/><Relationship Id="rId14" Type="http://schemas.openxmlformats.org/officeDocument/2006/relationships/header" Target="header6.xml"/><Relationship Id="rId13" Type="http://schemas.openxmlformats.org/officeDocument/2006/relationships/footer" Target="footer4.xml"/><Relationship Id="rId12" Type="http://schemas.openxmlformats.org/officeDocument/2006/relationships/footer" Target="footer3.xml"/><Relationship Id="rId11" Type="http://schemas.openxmlformats.org/officeDocument/2006/relationships/footer" Target="footer2.xml"/><Relationship Id="rId10" Type="http://schemas.openxmlformats.org/officeDocument/2006/relationships/header" Target="header5.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China</Company>
  <Pages>140</Pages>
  <Words>9503</Words>
  <Characters>10451</Characters>
  <Lines>388</Lines>
  <Paragraphs>109</Paragraphs>
  <TotalTime>6</TotalTime>
  <ScaleCrop>false</ScaleCrop>
  <LinksUpToDate>false</LinksUpToDate>
  <CharactersWithSpaces>10854</CharactersWithSpaces>
  <Application>WPS Office_12.1.0.26884_F1E327BC-269C-435d-A152-05C5408002CA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2022-08-05T06:55:00Z</dcterms:created>
  <dc:creator>Administrator</dc:creator>
  <cp:lastModifiedBy>Administrator</cp:lastModifiedBy>
  <cp:lastPrinted>2025-04-30T08:52:00Z</cp:lastPrinted>
  <dcterms:modified xsi:type="dcterms:W3CDTF">2026-07-08T07:40:46Z</dcterms:modified>
  <cp:revision>27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2052-12.1.0.26884</vt:lpwstr>
  </property>
  <property fmtid="{D5CDD505-2E9C-101B-9397-08002B2CF9AE}" pid="3" name="ICV">
    <vt:lpwstr>E1957222CC2543B2AD1FE426E2BA7810_13</vt:lpwstr>
  </property>
  <property fmtid="{D5CDD505-2E9C-101B-9397-08002B2CF9AE}" pid="4" name="KSOTemplateDocerSaveRecord">
    <vt:lpwstr>eyJoZGlkIjoiMzUxMDViNGU0ZmM4M2VhODZlZTVmMzk1M2JmMDFmODEiLCJ1c2VySWQiOiI0OTQzODA3MzgifQ==</vt:lpwstr>
  </property>
</Properties>
</file>