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D15080">
      <w:pPr>
        <w:keepNext/>
        <w:keepLines/>
        <w:pageBreakBefore w:val="0"/>
        <w:widowControl w:val="0"/>
        <w:numPr>
          <w:ilvl w:val="0"/>
          <w:numId w:val="1"/>
        </w:numPr>
        <w:kinsoku/>
        <w:wordWrap/>
        <w:overflowPunct/>
        <w:topLinePunct w:val="0"/>
        <w:autoSpaceDE/>
        <w:autoSpaceDN/>
        <w:bidi w:val="0"/>
        <w:adjustRightInd w:val="0"/>
        <w:snapToGrid w:val="0"/>
        <w:spacing w:before="157" w:beforeLines="50" w:after="157" w:afterLines="50" w:line="360" w:lineRule="auto"/>
        <w:jc w:val="center"/>
        <w:textAlignment w:val="auto"/>
        <w:outlineLvl w:val="1"/>
        <w:rPr>
          <w:rFonts w:hint="eastAsia" w:ascii="黑体" w:hAnsi="Arial" w:eastAsia="黑体" w:cs="Times New Roman"/>
          <w:b/>
          <w:bCs w:val="0"/>
          <w:color w:val="auto"/>
          <w:kern w:val="2"/>
          <w:sz w:val="32"/>
          <w:szCs w:val="32"/>
          <w:highlight w:val="none"/>
          <w:lang w:val="en-US" w:eastAsia="zh-CN" w:bidi="ar-SA"/>
        </w:rPr>
      </w:pPr>
      <w:bookmarkStart w:id="0" w:name="_Toc26596"/>
      <w:r>
        <w:rPr>
          <w:rFonts w:hint="eastAsia" w:ascii="黑体" w:hAnsi="Arial" w:eastAsia="黑体" w:cs="Times New Roman"/>
          <w:b/>
          <w:bCs w:val="0"/>
          <w:color w:val="auto"/>
          <w:kern w:val="2"/>
          <w:sz w:val="32"/>
          <w:szCs w:val="32"/>
          <w:highlight w:val="none"/>
          <w:lang w:val="en-US" w:eastAsia="zh-CN" w:bidi="ar-SA"/>
        </w:rPr>
        <w:t>采购需求</w:t>
      </w:r>
      <w:bookmarkEnd w:id="0"/>
      <w:bookmarkStart w:id="1" w:name="_Toc40166587"/>
      <w:bookmarkStart w:id="2" w:name="_Toc21010"/>
    </w:p>
    <w:p w14:paraId="40E93DB1">
      <w:pPr>
        <w:keepNext/>
        <w:keepLines/>
        <w:pageBreakBefore w:val="0"/>
        <w:widowControl w:val="0"/>
        <w:numPr>
          <w:ilvl w:val="0"/>
          <w:numId w:val="0"/>
        </w:numPr>
        <w:kinsoku/>
        <w:wordWrap/>
        <w:overflowPunct/>
        <w:topLinePunct w:val="0"/>
        <w:autoSpaceDE/>
        <w:autoSpaceDN/>
        <w:bidi w:val="0"/>
        <w:adjustRightInd w:val="0"/>
        <w:snapToGrid w:val="0"/>
        <w:spacing w:before="157" w:beforeLines="50" w:after="157" w:afterLines="50" w:line="360" w:lineRule="auto"/>
        <w:jc w:val="center"/>
        <w:textAlignment w:val="auto"/>
        <w:outlineLvl w:val="1"/>
        <w:rPr>
          <w:rFonts w:ascii="Arial" w:hAnsi="Arial" w:eastAsia="宋体" w:cs="Times New Roman"/>
          <w:b/>
          <w:bCs w:val="0"/>
          <w:color w:val="auto"/>
          <w:kern w:val="2"/>
          <w:sz w:val="24"/>
          <w:szCs w:val="32"/>
          <w:highlight w:val="none"/>
          <w:lang w:val="en-US" w:eastAsia="zh-CN" w:bidi="ar-SA"/>
        </w:rPr>
      </w:pPr>
      <w:r>
        <w:rPr>
          <w:rFonts w:hint="eastAsia" w:ascii="黑体" w:hAnsi="黑体" w:eastAsia="黑体" w:cs="Times New Roman"/>
          <w:b/>
          <w:bCs w:val="0"/>
          <w:color w:val="auto"/>
          <w:kern w:val="2"/>
          <w:sz w:val="28"/>
          <w:szCs w:val="28"/>
          <w:highlight w:val="none"/>
          <w:lang w:val="en-US" w:eastAsia="zh-CN" w:bidi="ar-SA"/>
        </w:rPr>
        <w:t xml:space="preserve">第一节 </w:t>
      </w:r>
      <w:bookmarkEnd w:id="1"/>
      <w:bookmarkEnd w:id="2"/>
      <w:r>
        <w:rPr>
          <w:rFonts w:hint="eastAsia" w:ascii="黑体" w:hAnsi="黑体" w:eastAsia="黑体" w:cs="Times New Roman"/>
          <w:b/>
          <w:bCs w:val="0"/>
          <w:color w:val="auto"/>
          <w:kern w:val="2"/>
          <w:sz w:val="28"/>
          <w:szCs w:val="28"/>
          <w:highlight w:val="none"/>
          <w:lang w:val="en-US" w:eastAsia="zh-CN" w:bidi="ar-SA"/>
        </w:rPr>
        <w:t>服务要求</w:t>
      </w:r>
    </w:p>
    <w:p w14:paraId="347DE535">
      <w:pPr>
        <w:rPr>
          <w:rFonts w:hint="eastAsia" w:ascii="宋体" w:hAnsi="宋体" w:eastAsia="宋体" w:cs="宋体"/>
          <w:b/>
          <w:bCs/>
          <w:color w:val="auto"/>
          <w:sz w:val="22"/>
          <w:szCs w:val="22"/>
          <w:highlight w:val="none"/>
          <w:lang w:val="en-US" w:eastAsia="zh-CN"/>
        </w:rPr>
      </w:pPr>
      <w:r>
        <w:rPr>
          <w:rFonts w:hint="eastAsia" w:ascii="宋体" w:hAnsi="宋体" w:eastAsia="宋体" w:cs="宋体"/>
          <w:b/>
          <w:bCs/>
          <w:iCs w:val="0"/>
          <w:color w:val="auto"/>
          <w:spacing w:val="0"/>
          <w:kern w:val="0"/>
          <w:sz w:val="22"/>
          <w:szCs w:val="22"/>
          <w:highlight w:val="none"/>
        </w:rPr>
        <w:t>一、采购内容及数量</w:t>
      </w:r>
    </w:p>
    <w:tbl>
      <w:tblPr>
        <w:tblStyle w:val="2"/>
        <w:tblW w:w="537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65"/>
        <w:gridCol w:w="4677"/>
        <w:gridCol w:w="2257"/>
        <w:gridCol w:w="1693"/>
      </w:tblGrid>
      <w:tr w14:paraId="049B5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0" w:hRule="atLeast"/>
          <w:jc w:val="center"/>
        </w:trPr>
        <w:tc>
          <w:tcPr>
            <w:tcW w:w="407" w:type="pct"/>
            <w:noWrap w:val="0"/>
            <w:vAlign w:val="center"/>
          </w:tcPr>
          <w:p w14:paraId="66D838B9">
            <w:pPr>
              <w:keepNext w:val="0"/>
              <w:keepLines w:val="0"/>
              <w:pageBreakBefore w:val="0"/>
              <w:widowControl/>
              <w:kinsoku/>
              <w:wordWrap/>
              <w:overflowPunct/>
              <w:topLinePunct w:val="0"/>
              <w:autoSpaceDE/>
              <w:autoSpaceDN/>
              <w:bidi w:val="0"/>
              <w:adjustRightInd/>
              <w:snapToGrid/>
              <w:spacing w:before="0" w:beforeLines="50" w:after="0" w:afterLines="50" w:line="360" w:lineRule="auto"/>
              <w:jc w:val="center"/>
              <w:textAlignment w:val="auto"/>
              <w:rPr>
                <w:rFonts w:hint="eastAsia" w:ascii="宋体" w:hAnsi="宋体" w:eastAsia="宋体" w:cs="宋体"/>
                <w:bCs w:val="0"/>
                <w:iCs w:val="0"/>
                <w:color w:val="auto"/>
                <w:spacing w:val="0"/>
                <w:kern w:val="0"/>
                <w:sz w:val="22"/>
                <w:szCs w:val="22"/>
                <w:highlight w:val="none"/>
              </w:rPr>
            </w:pPr>
            <w:r>
              <w:rPr>
                <w:rFonts w:hint="eastAsia" w:ascii="宋体" w:hAnsi="宋体" w:eastAsia="宋体" w:cs="宋体"/>
                <w:bCs w:val="0"/>
                <w:iCs w:val="0"/>
                <w:color w:val="auto"/>
                <w:spacing w:val="0"/>
                <w:kern w:val="0"/>
                <w:sz w:val="22"/>
                <w:szCs w:val="22"/>
                <w:highlight w:val="none"/>
              </w:rPr>
              <w:t>包名</w:t>
            </w:r>
          </w:p>
        </w:tc>
        <w:tc>
          <w:tcPr>
            <w:tcW w:w="2489" w:type="pct"/>
            <w:noWrap w:val="0"/>
            <w:vAlign w:val="center"/>
          </w:tcPr>
          <w:p w14:paraId="023D2B40">
            <w:pPr>
              <w:keepNext w:val="0"/>
              <w:keepLines w:val="0"/>
              <w:pageBreakBefore w:val="0"/>
              <w:widowControl/>
              <w:kinsoku/>
              <w:wordWrap/>
              <w:overflowPunct/>
              <w:topLinePunct w:val="0"/>
              <w:autoSpaceDE/>
              <w:autoSpaceDN/>
              <w:bidi w:val="0"/>
              <w:adjustRightInd/>
              <w:snapToGrid/>
              <w:spacing w:before="0" w:beforeLines="50" w:after="0" w:afterLines="50" w:line="360" w:lineRule="auto"/>
              <w:jc w:val="center"/>
              <w:textAlignment w:val="auto"/>
              <w:rPr>
                <w:rFonts w:hint="eastAsia" w:ascii="宋体" w:hAnsi="宋体" w:eastAsia="宋体" w:cs="宋体"/>
                <w:bCs w:val="0"/>
                <w:iCs w:val="0"/>
                <w:color w:val="auto"/>
                <w:spacing w:val="0"/>
                <w:kern w:val="0"/>
                <w:sz w:val="22"/>
                <w:szCs w:val="22"/>
                <w:highlight w:val="none"/>
              </w:rPr>
            </w:pPr>
            <w:r>
              <w:rPr>
                <w:rFonts w:hint="eastAsia" w:ascii="宋体" w:hAnsi="宋体" w:eastAsia="宋体" w:cs="宋体"/>
                <w:bCs w:val="0"/>
                <w:iCs w:val="0"/>
                <w:color w:val="auto"/>
                <w:spacing w:val="0"/>
                <w:kern w:val="0"/>
                <w:sz w:val="22"/>
                <w:szCs w:val="22"/>
                <w:highlight w:val="none"/>
              </w:rPr>
              <w:t>标的名称</w:t>
            </w:r>
          </w:p>
        </w:tc>
        <w:tc>
          <w:tcPr>
            <w:tcW w:w="1201" w:type="pct"/>
            <w:noWrap w:val="0"/>
            <w:vAlign w:val="center"/>
          </w:tcPr>
          <w:p w14:paraId="4DF946FA">
            <w:pPr>
              <w:keepNext w:val="0"/>
              <w:keepLines w:val="0"/>
              <w:pageBreakBefore w:val="0"/>
              <w:widowControl/>
              <w:kinsoku/>
              <w:wordWrap/>
              <w:overflowPunct/>
              <w:topLinePunct w:val="0"/>
              <w:autoSpaceDE/>
              <w:autoSpaceDN/>
              <w:bidi w:val="0"/>
              <w:adjustRightInd/>
              <w:snapToGrid/>
              <w:spacing w:before="0" w:beforeLines="50" w:after="0" w:afterLines="50" w:line="360" w:lineRule="auto"/>
              <w:jc w:val="center"/>
              <w:textAlignment w:val="auto"/>
              <w:rPr>
                <w:rFonts w:hint="eastAsia" w:ascii="宋体" w:hAnsi="宋体" w:eastAsia="宋体" w:cs="宋体"/>
                <w:bCs w:val="0"/>
                <w:iCs w:val="0"/>
                <w:color w:val="auto"/>
                <w:spacing w:val="0"/>
                <w:kern w:val="0"/>
                <w:sz w:val="22"/>
                <w:szCs w:val="22"/>
                <w:highlight w:val="none"/>
              </w:rPr>
            </w:pPr>
            <w:r>
              <w:rPr>
                <w:rFonts w:hint="eastAsia" w:ascii="宋体" w:hAnsi="宋体" w:eastAsia="宋体" w:cs="宋体"/>
                <w:bCs w:val="0"/>
                <w:iCs w:val="0"/>
                <w:color w:val="auto"/>
                <w:spacing w:val="0"/>
                <w:kern w:val="0"/>
                <w:sz w:val="22"/>
                <w:szCs w:val="22"/>
                <w:highlight w:val="none"/>
              </w:rPr>
              <w:t>简要技术要求</w:t>
            </w:r>
          </w:p>
        </w:tc>
        <w:tc>
          <w:tcPr>
            <w:tcW w:w="901" w:type="pct"/>
            <w:shd w:val="clear" w:color="auto" w:fill="auto"/>
            <w:noWrap w:val="0"/>
            <w:vAlign w:val="center"/>
          </w:tcPr>
          <w:p w14:paraId="45A79693">
            <w:pPr>
              <w:keepNext w:val="0"/>
              <w:keepLines w:val="0"/>
              <w:pageBreakBefore w:val="0"/>
              <w:widowControl/>
              <w:kinsoku/>
              <w:wordWrap/>
              <w:overflowPunct/>
              <w:topLinePunct w:val="0"/>
              <w:autoSpaceDE/>
              <w:autoSpaceDN/>
              <w:bidi w:val="0"/>
              <w:adjustRightInd/>
              <w:snapToGrid/>
              <w:spacing w:before="0" w:beforeLines="50" w:after="0" w:afterLines="50" w:line="360" w:lineRule="auto"/>
              <w:jc w:val="center"/>
              <w:textAlignment w:val="auto"/>
              <w:rPr>
                <w:rFonts w:hint="eastAsia" w:ascii="宋体" w:hAnsi="宋体" w:eastAsia="宋体" w:cs="宋体"/>
                <w:bCs w:val="0"/>
                <w:iCs w:val="0"/>
                <w:color w:val="auto"/>
                <w:spacing w:val="0"/>
                <w:kern w:val="0"/>
                <w:sz w:val="22"/>
                <w:szCs w:val="22"/>
                <w:highlight w:val="none"/>
                <w:lang w:val="en-US" w:eastAsia="zh-CN" w:bidi="ar-SA"/>
              </w:rPr>
            </w:pPr>
            <w:r>
              <w:rPr>
                <w:rFonts w:hint="eastAsia" w:ascii="宋体" w:hAnsi="宋体" w:eastAsia="宋体" w:cs="宋体"/>
                <w:bCs w:val="0"/>
                <w:iCs w:val="0"/>
                <w:color w:val="auto"/>
                <w:spacing w:val="0"/>
                <w:kern w:val="0"/>
                <w:sz w:val="22"/>
                <w:szCs w:val="22"/>
                <w:highlight w:val="none"/>
                <w:lang w:val="en-US" w:eastAsia="zh-CN"/>
              </w:rPr>
              <w:t>项目预算（元）</w:t>
            </w:r>
          </w:p>
        </w:tc>
      </w:tr>
      <w:tr w14:paraId="7B2E3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99" w:hRule="exact"/>
          <w:jc w:val="center"/>
        </w:trPr>
        <w:tc>
          <w:tcPr>
            <w:tcW w:w="407" w:type="pct"/>
            <w:noWrap w:val="0"/>
            <w:vAlign w:val="center"/>
          </w:tcPr>
          <w:p w14:paraId="4E61DDB0">
            <w:pPr>
              <w:keepNext w:val="0"/>
              <w:keepLines w:val="0"/>
              <w:pageBreakBefore w:val="0"/>
              <w:widowControl/>
              <w:kinsoku/>
              <w:wordWrap/>
              <w:overflowPunct/>
              <w:topLinePunct w:val="0"/>
              <w:autoSpaceDE/>
              <w:autoSpaceDN/>
              <w:bidi w:val="0"/>
              <w:adjustRightInd/>
              <w:snapToGrid/>
              <w:spacing w:before="0" w:beforeLines="50" w:after="0" w:afterLines="50" w:line="360" w:lineRule="auto"/>
              <w:jc w:val="center"/>
              <w:textAlignment w:val="auto"/>
              <w:rPr>
                <w:rFonts w:hint="eastAsia" w:ascii="宋体" w:hAnsi="宋体" w:eastAsia="宋体" w:cs="宋体"/>
                <w:bCs w:val="0"/>
                <w:iCs w:val="0"/>
                <w:color w:val="auto"/>
                <w:spacing w:val="0"/>
                <w:kern w:val="0"/>
                <w:sz w:val="22"/>
                <w:szCs w:val="22"/>
                <w:highlight w:val="none"/>
              </w:rPr>
            </w:pPr>
            <w:r>
              <w:rPr>
                <w:rFonts w:hint="eastAsia" w:ascii="宋体" w:hAnsi="宋体" w:eastAsia="宋体" w:cs="宋体"/>
                <w:bCs w:val="0"/>
                <w:iCs w:val="0"/>
                <w:color w:val="auto"/>
                <w:spacing w:val="0"/>
                <w:kern w:val="0"/>
                <w:sz w:val="22"/>
                <w:szCs w:val="22"/>
                <w:highlight w:val="none"/>
              </w:rPr>
              <w:t>1</w:t>
            </w:r>
          </w:p>
        </w:tc>
        <w:tc>
          <w:tcPr>
            <w:tcW w:w="2489" w:type="pct"/>
            <w:noWrap w:val="0"/>
            <w:vAlign w:val="center"/>
          </w:tcPr>
          <w:p w14:paraId="65528BB4">
            <w:pPr>
              <w:keepNext w:val="0"/>
              <w:keepLines w:val="0"/>
              <w:pageBreakBefore w:val="0"/>
              <w:widowControl/>
              <w:kinsoku/>
              <w:wordWrap/>
              <w:overflowPunct/>
              <w:topLinePunct w:val="0"/>
              <w:autoSpaceDE/>
              <w:autoSpaceDN/>
              <w:bidi w:val="0"/>
              <w:adjustRightInd/>
              <w:snapToGrid/>
              <w:spacing w:before="0" w:after="0" w:line="360" w:lineRule="exact"/>
              <w:jc w:val="center"/>
              <w:textAlignment w:val="auto"/>
              <w:rPr>
                <w:rFonts w:hint="eastAsia" w:ascii="宋体" w:hAnsi="宋体" w:eastAsia="宋体" w:cs="宋体"/>
                <w:bCs w:val="0"/>
                <w:iCs w:val="0"/>
                <w:color w:val="auto"/>
                <w:spacing w:val="0"/>
                <w:kern w:val="0"/>
                <w:sz w:val="22"/>
                <w:szCs w:val="22"/>
                <w:highlight w:val="none"/>
              </w:rPr>
            </w:pPr>
            <w:r>
              <w:rPr>
                <w:rFonts w:hint="eastAsia" w:ascii="宋体" w:hAnsi="宋体" w:eastAsia="宋体" w:cs="宋体"/>
                <w:color w:val="auto"/>
                <w:sz w:val="22"/>
                <w:szCs w:val="22"/>
                <w:highlight w:val="none"/>
                <w:lang w:eastAsia="zh-CN"/>
              </w:rPr>
              <w:t>祁东县2026年26座到期小型水库大坝安全鉴定服务</w:t>
            </w:r>
            <w:r>
              <w:rPr>
                <w:rFonts w:hint="eastAsia" w:ascii="宋体" w:hAnsi="宋体" w:eastAsia="宋体" w:cs="宋体"/>
                <w:color w:val="auto"/>
                <w:sz w:val="22"/>
                <w:szCs w:val="22"/>
                <w:highlight w:val="none"/>
                <w:lang w:val="en-US" w:eastAsia="zh-CN"/>
              </w:rPr>
              <w:t>政府</w:t>
            </w:r>
            <w:r>
              <w:rPr>
                <w:rFonts w:hint="eastAsia" w:ascii="宋体" w:hAnsi="宋体" w:eastAsia="宋体" w:cs="宋体"/>
                <w:color w:val="auto"/>
                <w:sz w:val="22"/>
                <w:szCs w:val="22"/>
                <w:highlight w:val="none"/>
                <w:lang w:eastAsia="zh-CN"/>
              </w:rPr>
              <w:t>采购项目</w:t>
            </w:r>
            <w:r>
              <w:rPr>
                <w:rFonts w:hint="eastAsia" w:ascii="宋体" w:hAnsi="宋体" w:eastAsia="宋体" w:cs="宋体"/>
                <w:color w:val="auto"/>
                <w:sz w:val="22"/>
                <w:szCs w:val="22"/>
                <w:highlight w:val="none"/>
                <w:lang w:val="en-US" w:eastAsia="zh-CN"/>
              </w:rPr>
              <w:t>重新立项</w:t>
            </w:r>
            <w:r>
              <w:rPr>
                <w:rFonts w:hint="eastAsia" w:ascii="宋体" w:hAnsi="宋体" w:eastAsia="宋体" w:cs="宋体"/>
                <w:color w:val="auto"/>
                <w:sz w:val="21"/>
                <w:szCs w:val="21"/>
                <w:highlight w:val="none"/>
                <w:lang w:val="en-US" w:eastAsia="zh-CN"/>
              </w:rPr>
              <w:t>（第二次）</w:t>
            </w:r>
          </w:p>
        </w:tc>
        <w:tc>
          <w:tcPr>
            <w:tcW w:w="1201" w:type="pct"/>
            <w:noWrap w:val="0"/>
            <w:vAlign w:val="center"/>
          </w:tcPr>
          <w:p w14:paraId="17FA1BA7">
            <w:pPr>
              <w:keepNext w:val="0"/>
              <w:keepLines w:val="0"/>
              <w:pageBreakBefore w:val="0"/>
              <w:widowControl/>
              <w:kinsoku/>
              <w:wordWrap/>
              <w:overflowPunct/>
              <w:topLinePunct w:val="0"/>
              <w:autoSpaceDE/>
              <w:autoSpaceDN/>
              <w:bidi w:val="0"/>
              <w:adjustRightInd/>
              <w:snapToGrid/>
              <w:spacing w:before="0" w:after="0" w:line="360" w:lineRule="exact"/>
              <w:jc w:val="center"/>
              <w:textAlignment w:val="auto"/>
              <w:rPr>
                <w:rFonts w:hint="eastAsia" w:ascii="宋体" w:hAnsi="宋体" w:eastAsia="宋体" w:cs="宋体"/>
                <w:bCs w:val="0"/>
                <w:iCs w:val="0"/>
                <w:color w:val="auto"/>
                <w:spacing w:val="0"/>
                <w:kern w:val="0"/>
                <w:sz w:val="22"/>
                <w:szCs w:val="22"/>
                <w:highlight w:val="none"/>
              </w:rPr>
            </w:pPr>
            <w:r>
              <w:rPr>
                <w:rFonts w:hint="eastAsia" w:ascii="宋体" w:hAnsi="宋体" w:eastAsia="宋体" w:cs="宋体"/>
                <w:bCs w:val="0"/>
                <w:iCs w:val="0"/>
                <w:color w:val="auto"/>
                <w:spacing w:val="0"/>
                <w:kern w:val="0"/>
                <w:sz w:val="22"/>
                <w:szCs w:val="22"/>
                <w:highlight w:val="none"/>
              </w:rPr>
              <w:t>详见</w:t>
            </w:r>
            <w:r>
              <w:rPr>
                <w:rFonts w:hint="eastAsia" w:ascii="宋体" w:hAnsi="宋体" w:eastAsia="宋体" w:cs="宋体"/>
                <w:bCs w:val="0"/>
                <w:iCs w:val="0"/>
                <w:color w:val="auto"/>
                <w:spacing w:val="0"/>
                <w:kern w:val="0"/>
                <w:sz w:val="22"/>
                <w:szCs w:val="22"/>
                <w:highlight w:val="none"/>
                <w:lang w:val="en-US" w:eastAsia="zh-CN"/>
              </w:rPr>
              <w:t>谈判</w:t>
            </w:r>
            <w:r>
              <w:rPr>
                <w:rFonts w:hint="eastAsia" w:ascii="宋体" w:hAnsi="宋体" w:eastAsia="宋体" w:cs="宋体"/>
                <w:bCs w:val="0"/>
                <w:iCs w:val="0"/>
                <w:color w:val="auto"/>
                <w:spacing w:val="0"/>
                <w:kern w:val="0"/>
                <w:sz w:val="22"/>
                <w:szCs w:val="22"/>
                <w:highlight w:val="none"/>
              </w:rPr>
              <w:t>文件第</w:t>
            </w:r>
            <w:r>
              <w:rPr>
                <w:rFonts w:hint="eastAsia" w:ascii="宋体" w:hAnsi="宋体" w:eastAsia="宋体" w:cs="宋体"/>
                <w:bCs w:val="0"/>
                <w:iCs w:val="0"/>
                <w:color w:val="auto"/>
                <w:spacing w:val="0"/>
                <w:kern w:val="0"/>
                <w:sz w:val="22"/>
                <w:szCs w:val="22"/>
                <w:highlight w:val="none"/>
                <w:lang w:val="en-US" w:eastAsia="zh-CN"/>
              </w:rPr>
              <w:t>四</w:t>
            </w:r>
            <w:r>
              <w:rPr>
                <w:rFonts w:hint="eastAsia" w:ascii="宋体" w:hAnsi="宋体" w:eastAsia="宋体" w:cs="宋体"/>
                <w:bCs w:val="0"/>
                <w:iCs w:val="0"/>
                <w:color w:val="auto"/>
                <w:spacing w:val="0"/>
                <w:kern w:val="0"/>
                <w:sz w:val="22"/>
                <w:szCs w:val="22"/>
                <w:highlight w:val="none"/>
              </w:rPr>
              <w:t>章</w:t>
            </w:r>
          </w:p>
        </w:tc>
        <w:tc>
          <w:tcPr>
            <w:tcW w:w="901" w:type="pct"/>
            <w:shd w:val="clear" w:color="auto" w:fill="auto"/>
            <w:noWrap w:val="0"/>
            <w:vAlign w:val="center"/>
          </w:tcPr>
          <w:p w14:paraId="55A043CB">
            <w:pPr>
              <w:keepNext w:val="0"/>
              <w:keepLines w:val="0"/>
              <w:pageBreakBefore w:val="0"/>
              <w:widowControl/>
              <w:kinsoku/>
              <w:wordWrap/>
              <w:overflowPunct/>
              <w:topLinePunct w:val="0"/>
              <w:autoSpaceDE/>
              <w:autoSpaceDN/>
              <w:bidi w:val="0"/>
              <w:adjustRightInd/>
              <w:snapToGrid/>
              <w:spacing w:before="0" w:after="0" w:line="360" w:lineRule="exact"/>
              <w:jc w:val="center"/>
              <w:textAlignment w:val="auto"/>
              <w:rPr>
                <w:rFonts w:hint="eastAsia" w:ascii="宋体" w:hAnsi="宋体" w:eastAsia="宋体" w:cs="宋体"/>
                <w:bCs w:val="0"/>
                <w:iCs w:val="0"/>
                <w:color w:val="auto"/>
                <w:spacing w:val="0"/>
                <w:kern w:val="0"/>
                <w:sz w:val="22"/>
                <w:szCs w:val="22"/>
                <w:highlight w:val="none"/>
                <w:lang w:val="en-US" w:eastAsia="zh-CN" w:bidi="ar-SA"/>
              </w:rPr>
            </w:pPr>
            <w:r>
              <w:rPr>
                <w:rFonts w:hint="eastAsia" w:ascii="宋体" w:hAnsi="宋体" w:eastAsia="宋体" w:cs="宋体"/>
                <w:color w:val="auto"/>
                <w:kern w:val="0"/>
                <w:sz w:val="22"/>
                <w:szCs w:val="22"/>
                <w:highlight w:val="none"/>
                <w:lang w:val="en-US" w:eastAsia="zh-CN"/>
              </w:rPr>
              <w:t>569900.00</w:t>
            </w:r>
          </w:p>
        </w:tc>
      </w:tr>
    </w:tbl>
    <w:p w14:paraId="2BDD1717">
      <w:pPr>
        <w:keepNext w:val="0"/>
        <w:keepLines w:val="0"/>
        <w:pageBreakBefore w:val="0"/>
        <w:widowControl w:val="0"/>
        <w:kinsoku/>
        <w:wordWrap/>
        <w:overflowPunct/>
        <w:topLinePunct w:val="0"/>
        <w:autoSpaceDE/>
        <w:autoSpaceDN/>
        <w:bidi w:val="0"/>
        <w:adjustRightInd/>
        <w:snapToGrid/>
        <w:spacing w:line="400" w:lineRule="exact"/>
        <w:ind w:firstLine="442" w:firstLineChars="200"/>
        <w:jc w:val="left"/>
        <w:textAlignment w:val="auto"/>
        <w:rPr>
          <w:rFonts w:hint="eastAsia" w:ascii="宋体" w:hAnsi="宋体" w:eastAsia="宋体" w:cs="宋体"/>
          <w:b/>
          <w:bCs/>
          <w:iCs w:val="0"/>
          <w:color w:val="auto"/>
          <w:spacing w:val="0"/>
          <w:kern w:val="0"/>
          <w:sz w:val="22"/>
          <w:szCs w:val="22"/>
          <w:highlight w:val="none"/>
          <w:lang w:val="en-US" w:eastAsia="zh-CN"/>
        </w:rPr>
      </w:pPr>
      <w:r>
        <w:rPr>
          <w:rFonts w:hint="eastAsia" w:ascii="宋体" w:hAnsi="宋体" w:eastAsia="宋体" w:cs="宋体"/>
          <w:b/>
          <w:bCs/>
          <w:iCs w:val="0"/>
          <w:color w:val="auto"/>
          <w:spacing w:val="0"/>
          <w:kern w:val="0"/>
          <w:sz w:val="22"/>
          <w:szCs w:val="22"/>
          <w:highlight w:val="none"/>
        </w:rPr>
        <w:t>二、</w:t>
      </w:r>
      <w:r>
        <w:rPr>
          <w:rFonts w:hint="eastAsia" w:ascii="宋体" w:hAnsi="宋体" w:eastAsia="宋体" w:cs="宋体"/>
          <w:b/>
          <w:bCs/>
          <w:iCs w:val="0"/>
          <w:color w:val="auto"/>
          <w:spacing w:val="0"/>
          <w:kern w:val="0"/>
          <w:sz w:val="22"/>
          <w:szCs w:val="22"/>
          <w:highlight w:val="none"/>
          <w:lang w:val="en-US" w:eastAsia="zh-CN"/>
        </w:rPr>
        <w:t>服务范围（包括但不限于）</w:t>
      </w:r>
    </w:p>
    <w:p w14:paraId="5EACEC4E">
      <w:pPr>
        <w:keepNext w:val="0"/>
        <w:keepLines w:val="0"/>
        <w:pageBreakBefore w:val="0"/>
        <w:widowControl w:val="0"/>
        <w:kinsoku/>
        <w:wordWrap/>
        <w:overflowPunct/>
        <w:topLinePunct w:val="0"/>
        <w:autoSpaceDE/>
        <w:autoSpaceDN/>
        <w:bidi w:val="0"/>
        <w:adjustRightInd/>
        <w:snapToGrid/>
        <w:spacing w:line="400" w:lineRule="exact"/>
        <w:ind w:firstLine="440" w:firstLineChars="200"/>
        <w:jc w:val="left"/>
        <w:textAlignment w:val="auto"/>
        <w:rPr>
          <w:rFonts w:ascii="宋体" w:hAnsi="宋体" w:eastAsia="宋体" w:cs="Times New Roman"/>
          <w:color w:val="auto"/>
          <w:szCs w:val="21"/>
          <w:highlight w:val="none"/>
        </w:rPr>
      </w:pPr>
      <w:r>
        <w:rPr>
          <w:rFonts w:hint="eastAsia" w:ascii="宋体" w:hAnsi="宋体" w:eastAsia="宋体" w:cs="宋体"/>
          <w:b w:val="0"/>
          <w:bCs w:val="0"/>
          <w:iCs w:val="0"/>
          <w:color w:val="auto"/>
          <w:spacing w:val="0"/>
          <w:kern w:val="0"/>
          <w:sz w:val="22"/>
          <w:szCs w:val="22"/>
          <w:highlight w:val="none"/>
          <w:lang w:val="en-US" w:eastAsia="zh-CN"/>
        </w:rPr>
        <w:t>根据《水库大坝安全鉴定办法》（水建管〔2003〕271号）和《坝高小于15m的小（2）型水库大坝安全鉴定办法》（水运管〔2021〕6号）以及《水库大坝安全评价导则》 （SL258-2017）有关规定，编制大坝现场安全检查报告（表）、地勘报告（坝高大于15m或者险情涉及坝体工程质量和坝基渗漏的需要提供）、安全评价报告、大坝安全鉴定报告并协助完成安全鉴</w:t>
      </w:r>
      <w:r>
        <w:rPr>
          <w:rFonts w:hint="eastAsia" w:ascii="Times New Roman" w:hAnsi="Times New Roman" w:eastAsia="宋体" w:cs="宋体"/>
          <w:b w:val="0"/>
          <w:bCs w:val="0"/>
          <w:iCs w:val="0"/>
          <w:color w:val="auto"/>
          <w:spacing w:val="0"/>
          <w:kern w:val="0"/>
          <w:sz w:val="21"/>
          <w:szCs w:val="21"/>
          <w:highlight w:val="none"/>
          <w:lang w:val="en-US" w:eastAsia="zh-CN"/>
        </w:rPr>
        <w:t>定成果核查。</w:t>
      </w:r>
    </w:p>
    <w:p w14:paraId="6C5EDB32">
      <w:pPr>
        <w:ind w:firstLine="422" w:firstLineChars="200"/>
        <w:rPr>
          <w:rFonts w:hint="eastAsia" w:ascii="Times New Roman" w:hAnsi="Times New Roman" w:eastAsia="宋体" w:cs="宋体"/>
          <w:b/>
          <w:bCs/>
          <w:iCs w:val="0"/>
          <w:color w:val="auto"/>
          <w:spacing w:val="0"/>
          <w:kern w:val="0"/>
          <w:sz w:val="21"/>
          <w:szCs w:val="21"/>
          <w:highlight w:val="none"/>
          <w:lang w:val="en-US" w:eastAsia="zh-CN"/>
        </w:rPr>
      </w:pPr>
      <w:bookmarkStart w:id="3" w:name="heading_2"/>
      <w:r>
        <w:rPr>
          <w:rFonts w:hint="eastAsia" w:ascii="Times New Roman" w:hAnsi="Times New Roman" w:eastAsia="宋体" w:cs="宋体"/>
          <w:b/>
          <w:bCs/>
          <w:iCs w:val="0"/>
          <w:color w:val="auto"/>
          <w:spacing w:val="0"/>
          <w:kern w:val="0"/>
          <w:sz w:val="21"/>
          <w:szCs w:val="21"/>
          <w:highlight w:val="none"/>
          <w:lang w:val="en-US" w:eastAsia="zh-CN"/>
        </w:rPr>
        <w:t>三、采购服务范围及核心内容</w:t>
      </w:r>
      <w:bookmarkEnd w:id="3"/>
    </w:p>
    <w:p w14:paraId="756413D0">
      <w:pPr>
        <w:keepNext w:val="0"/>
        <w:keepLines w:val="0"/>
        <w:pageBreakBefore w:val="0"/>
        <w:widowControl w:val="0"/>
        <w:kinsoku/>
        <w:wordWrap w:val="0"/>
        <w:overflowPunct/>
        <w:topLinePunct/>
        <w:autoSpaceDE/>
        <w:autoSpaceDN/>
        <w:bidi w:val="0"/>
        <w:spacing w:line="400" w:lineRule="exact"/>
        <w:ind w:left="0" w:firstLine="440" w:firstLineChars="200"/>
        <w:jc w:val="left"/>
        <w:textAlignment w:val="auto"/>
        <w:outlineLvl w:val="9"/>
        <w:rPr>
          <w:rFonts w:hint="eastAsia" w:ascii="宋体" w:hAnsi="宋体" w:eastAsia="宋体" w:cs="宋体"/>
          <w:color w:val="auto"/>
          <w:kern w:val="0"/>
          <w:sz w:val="22"/>
          <w:szCs w:val="24"/>
          <w:highlight w:val="none"/>
          <w:lang w:val="en-US" w:eastAsia="zh-CN" w:bidi="ar"/>
        </w:rPr>
      </w:pPr>
      <w:r>
        <w:rPr>
          <w:rFonts w:hint="eastAsia" w:ascii="宋体" w:hAnsi="宋体" w:eastAsia="宋体" w:cs="宋体"/>
          <w:color w:val="auto"/>
          <w:kern w:val="0"/>
          <w:sz w:val="22"/>
          <w:szCs w:val="24"/>
          <w:highlight w:val="none"/>
          <w:lang w:val="en-US" w:eastAsia="zh-CN" w:bidi="ar"/>
        </w:rPr>
        <w:t>本次采购服务涵盖祁东县26座小（2）型水库大坝，内容包括工程地形测量、工程地质勘察、大坝安全评价及综合报告编制三大板块，各板块核心要求如下，具体工作量见附表。</w:t>
      </w:r>
    </w:p>
    <w:p w14:paraId="574045CA">
      <w:pPr>
        <w:keepNext w:val="0"/>
        <w:keepLines w:val="0"/>
        <w:pageBreakBefore w:val="0"/>
        <w:widowControl w:val="0"/>
        <w:kinsoku/>
        <w:wordWrap w:val="0"/>
        <w:overflowPunct/>
        <w:topLinePunct/>
        <w:autoSpaceDE/>
        <w:autoSpaceDN/>
        <w:bidi w:val="0"/>
        <w:spacing w:line="400" w:lineRule="exact"/>
        <w:ind w:left="0" w:firstLine="442" w:firstLineChars="200"/>
        <w:jc w:val="left"/>
        <w:textAlignment w:val="auto"/>
        <w:outlineLvl w:val="9"/>
        <w:rPr>
          <w:rFonts w:hint="eastAsia" w:ascii="宋体" w:hAnsi="宋体" w:eastAsia="宋体" w:cs="宋体"/>
          <w:color w:val="auto"/>
          <w:sz w:val="22"/>
          <w:szCs w:val="22"/>
          <w:highlight w:val="none"/>
        </w:rPr>
      </w:pPr>
      <w:bookmarkStart w:id="4" w:name="heading_3"/>
      <w:r>
        <w:rPr>
          <w:rFonts w:hint="eastAsia" w:ascii="宋体" w:hAnsi="宋体" w:eastAsia="宋体" w:cs="宋体"/>
          <w:b/>
          <w:color w:val="auto"/>
          <w:sz w:val="22"/>
          <w:szCs w:val="22"/>
          <w:highlight w:val="none"/>
        </w:rPr>
        <w:t>（一）工程地形测量</w:t>
      </w:r>
      <w:bookmarkEnd w:id="4"/>
    </w:p>
    <w:p w14:paraId="2EA81FB3">
      <w:pPr>
        <w:keepNext w:val="0"/>
        <w:keepLines w:val="0"/>
        <w:pageBreakBefore w:val="0"/>
        <w:widowControl w:val="0"/>
        <w:numPr>
          <w:ilvl w:val="0"/>
          <w:numId w:val="0"/>
        </w:numPr>
        <w:kinsoku/>
        <w:wordWrap w:val="0"/>
        <w:overflowPunct/>
        <w:topLinePunct/>
        <w:autoSpaceDE/>
        <w:autoSpaceDN/>
        <w:bidi w:val="0"/>
        <w:spacing w:line="400" w:lineRule="exact"/>
        <w:ind w:leftChars="0" w:firstLine="442" w:firstLineChars="200"/>
        <w:jc w:val="left"/>
        <w:textAlignment w:val="auto"/>
        <w:outlineLvl w:val="9"/>
        <w:rPr>
          <w:rFonts w:hint="eastAsia" w:ascii="宋体" w:hAnsi="宋体" w:eastAsia="宋体" w:cs="宋体"/>
          <w:color w:val="auto"/>
          <w:sz w:val="22"/>
          <w:szCs w:val="22"/>
          <w:highlight w:val="none"/>
        </w:rPr>
      </w:pPr>
      <w:r>
        <w:rPr>
          <w:rFonts w:hint="eastAsia" w:ascii="宋体" w:hAnsi="宋体" w:eastAsia="宋体" w:cs="宋体"/>
          <w:b/>
          <w:color w:val="auto"/>
          <w:sz w:val="22"/>
          <w:szCs w:val="22"/>
          <w:highlight w:val="none"/>
          <w:lang w:val="en-US" w:eastAsia="zh-CN"/>
        </w:rPr>
        <w:t>1.</w:t>
      </w:r>
      <w:r>
        <w:rPr>
          <w:rFonts w:hint="eastAsia" w:ascii="宋体" w:hAnsi="宋体" w:eastAsia="宋体" w:cs="宋体"/>
          <w:b/>
          <w:color w:val="auto"/>
          <w:sz w:val="22"/>
          <w:szCs w:val="22"/>
          <w:highlight w:val="none"/>
        </w:rPr>
        <w:t>控制测量</w:t>
      </w:r>
      <w:r>
        <w:rPr>
          <w:rFonts w:hint="eastAsia" w:ascii="宋体" w:hAnsi="宋体" w:eastAsia="宋体" w:cs="宋体"/>
          <w:color w:val="auto"/>
          <w:sz w:val="22"/>
          <w:szCs w:val="22"/>
          <w:highlight w:val="none"/>
        </w:rPr>
        <w:t>：开展GPS E级控制测量，控制点布设需满足1:1000比例尺测图精度要求，控制网布设、观测、数据处理及成果提交需符合《水电工程测量规范》（NB-T35029-2023）及相关行业标准，确保控制点精度可靠、分布合理，为后续地形测量提供基础保障。</w:t>
      </w:r>
    </w:p>
    <w:p w14:paraId="434DC16B">
      <w:pPr>
        <w:keepNext w:val="0"/>
        <w:keepLines w:val="0"/>
        <w:pageBreakBefore w:val="0"/>
        <w:widowControl w:val="0"/>
        <w:numPr>
          <w:ilvl w:val="0"/>
          <w:numId w:val="0"/>
        </w:numPr>
        <w:kinsoku/>
        <w:wordWrap w:val="0"/>
        <w:overflowPunct/>
        <w:topLinePunct/>
        <w:autoSpaceDE/>
        <w:autoSpaceDN/>
        <w:bidi w:val="0"/>
        <w:adjustRightInd/>
        <w:snapToGrid/>
        <w:spacing w:line="400" w:lineRule="exact"/>
        <w:ind w:leftChars="0" w:firstLine="442" w:firstLineChars="200"/>
        <w:jc w:val="left"/>
        <w:textAlignment w:val="auto"/>
        <w:outlineLvl w:val="9"/>
        <w:rPr>
          <w:rFonts w:hint="eastAsia" w:ascii="宋体" w:hAnsi="宋体" w:eastAsia="宋体" w:cs="宋体"/>
          <w:color w:val="auto"/>
          <w:sz w:val="22"/>
          <w:szCs w:val="22"/>
          <w:highlight w:val="none"/>
        </w:rPr>
      </w:pPr>
      <w:r>
        <w:rPr>
          <w:rFonts w:hint="eastAsia" w:ascii="宋体" w:hAnsi="宋体" w:eastAsia="宋体" w:cs="宋体"/>
          <w:b/>
          <w:color w:val="auto"/>
          <w:sz w:val="22"/>
          <w:szCs w:val="22"/>
          <w:highlight w:val="none"/>
          <w:lang w:val="en-US" w:eastAsia="zh-CN"/>
        </w:rPr>
        <w:t>2.</w:t>
      </w:r>
      <w:r>
        <w:rPr>
          <w:rFonts w:hint="eastAsia" w:ascii="宋体" w:hAnsi="宋体" w:eastAsia="宋体" w:cs="宋体"/>
          <w:b/>
          <w:color w:val="auto"/>
          <w:sz w:val="22"/>
          <w:szCs w:val="22"/>
          <w:highlight w:val="none"/>
        </w:rPr>
        <w:t>地形测量</w:t>
      </w:r>
      <w:r>
        <w:rPr>
          <w:rFonts w:hint="eastAsia" w:ascii="宋体" w:hAnsi="宋体" w:eastAsia="宋体" w:cs="宋体"/>
          <w:color w:val="auto"/>
          <w:sz w:val="22"/>
          <w:szCs w:val="22"/>
          <w:highlight w:val="none"/>
        </w:rPr>
        <w:t>：对每座水库的大坝地形、库区地形进行1:1000比例尺测量，同步完成库区水量测算。测量范围需覆盖大坝主体、溢洪道、输水建筑物及库区关键区域，地形点平面位置中误差需符合平地、丘陵地≤0.6M（M为比例尺分母）、山地、高山地≤0.8M的标准，水下地形点平面位置中误差不超过对应要求的2倍。</w:t>
      </w:r>
    </w:p>
    <w:p w14:paraId="42A37C08">
      <w:pPr>
        <w:keepNext w:val="0"/>
        <w:keepLines w:val="0"/>
        <w:pageBreakBefore w:val="0"/>
        <w:widowControl w:val="0"/>
        <w:numPr>
          <w:ilvl w:val="0"/>
          <w:numId w:val="0"/>
        </w:numPr>
        <w:kinsoku/>
        <w:wordWrap w:val="0"/>
        <w:overflowPunct/>
        <w:topLinePunct/>
        <w:autoSpaceDE/>
        <w:autoSpaceDN/>
        <w:bidi w:val="0"/>
        <w:adjustRightInd/>
        <w:snapToGrid/>
        <w:spacing w:line="400" w:lineRule="exact"/>
        <w:ind w:leftChars="0" w:firstLine="442" w:firstLineChars="200"/>
        <w:jc w:val="left"/>
        <w:textAlignment w:val="auto"/>
        <w:outlineLvl w:val="9"/>
        <w:rPr>
          <w:rFonts w:hint="eastAsia" w:ascii="宋体" w:hAnsi="宋体" w:eastAsia="宋体" w:cs="宋体"/>
          <w:color w:val="auto"/>
          <w:sz w:val="22"/>
          <w:szCs w:val="22"/>
          <w:highlight w:val="none"/>
        </w:rPr>
      </w:pPr>
      <w:r>
        <w:rPr>
          <w:rFonts w:hint="eastAsia" w:ascii="宋体" w:hAnsi="宋体" w:eastAsia="宋体" w:cs="宋体"/>
          <w:b/>
          <w:color w:val="auto"/>
          <w:sz w:val="22"/>
          <w:szCs w:val="22"/>
          <w:highlight w:val="none"/>
          <w:lang w:val="en-US" w:eastAsia="zh-CN"/>
        </w:rPr>
        <w:t>3.</w:t>
      </w:r>
      <w:r>
        <w:rPr>
          <w:rFonts w:hint="eastAsia" w:ascii="宋体" w:hAnsi="宋体" w:eastAsia="宋体" w:cs="宋体"/>
          <w:b/>
          <w:color w:val="auto"/>
          <w:sz w:val="22"/>
          <w:szCs w:val="22"/>
          <w:highlight w:val="none"/>
        </w:rPr>
        <w:t>成果数字化</w:t>
      </w:r>
      <w:r>
        <w:rPr>
          <w:rFonts w:hint="eastAsia" w:ascii="宋体" w:hAnsi="宋体" w:eastAsia="宋体" w:cs="宋体"/>
          <w:color w:val="auto"/>
          <w:sz w:val="22"/>
          <w:szCs w:val="22"/>
          <w:highlight w:val="none"/>
        </w:rPr>
        <w:t>：将所有测量成果进行数字化处理，生成符合水利工程设计及存档要求的数字化测图（格式含DWG及PDF），同步提交测量原始数据、成果报告及数字化资料，确保成果可追溯、可复用。</w:t>
      </w:r>
    </w:p>
    <w:p w14:paraId="176C5CEC">
      <w:pPr>
        <w:keepNext w:val="0"/>
        <w:keepLines w:val="0"/>
        <w:pageBreakBefore w:val="0"/>
        <w:widowControl w:val="0"/>
        <w:kinsoku/>
        <w:wordWrap w:val="0"/>
        <w:overflowPunct/>
        <w:topLinePunct/>
        <w:autoSpaceDE/>
        <w:autoSpaceDN/>
        <w:bidi w:val="0"/>
        <w:spacing w:line="400" w:lineRule="exact"/>
        <w:ind w:left="0" w:leftChars="0" w:firstLine="442" w:firstLineChars="200"/>
        <w:jc w:val="left"/>
        <w:textAlignment w:val="auto"/>
        <w:outlineLvl w:val="9"/>
        <w:rPr>
          <w:rFonts w:hint="eastAsia" w:ascii="宋体" w:hAnsi="宋体" w:eastAsia="宋体" w:cs="宋体"/>
          <w:color w:val="auto"/>
          <w:sz w:val="22"/>
          <w:szCs w:val="22"/>
          <w:highlight w:val="none"/>
        </w:rPr>
      </w:pPr>
      <w:bookmarkStart w:id="5" w:name="heading_4"/>
      <w:r>
        <w:rPr>
          <w:rFonts w:hint="eastAsia" w:ascii="宋体" w:hAnsi="宋体" w:eastAsia="宋体" w:cs="宋体"/>
          <w:b/>
          <w:color w:val="auto"/>
          <w:sz w:val="22"/>
          <w:szCs w:val="22"/>
          <w:highlight w:val="none"/>
        </w:rPr>
        <w:t>（二）工程地质勘察</w:t>
      </w:r>
      <w:bookmarkEnd w:id="5"/>
    </w:p>
    <w:p w14:paraId="20D050E4">
      <w:pPr>
        <w:keepNext w:val="0"/>
        <w:keepLines w:val="0"/>
        <w:pageBreakBefore w:val="0"/>
        <w:widowControl w:val="0"/>
        <w:numPr>
          <w:ilvl w:val="0"/>
          <w:numId w:val="0"/>
        </w:numPr>
        <w:kinsoku/>
        <w:wordWrap w:val="0"/>
        <w:overflowPunct/>
        <w:topLinePunct/>
        <w:autoSpaceDE/>
        <w:autoSpaceDN/>
        <w:bidi w:val="0"/>
        <w:adjustRightInd/>
        <w:snapToGrid/>
        <w:spacing w:line="400" w:lineRule="exact"/>
        <w:ind w:leftChars="0" w:firstLine="442" w:firstLineChars="200"/>
        <w:jc w:val="left"/>
        <w:textAlignment w:val="auto"/>
        <w:outlineLvl w:val="9"/>
        <w:rPr>
          <w:rFonts w:hint="eastAsia" w:ascii="宋体" w:hAnsi="宋体" w:eastAsia="宋体" w:cs="宋体"/>
          <w:color w:val="auto"/>
          <w:sz w:val="22"/>
          <w:szCs w:val="22"/>
          <w:highlight w:val="none"/>
        </w:rPr>
      </w:pPr>
      <w:r>
        <w:rPr>
          <w:rFonts w:hint="eastAsia" w:ascii="宋体" w:hAnsi="宋体" w:eastAsia="宋体" w:cs="宋体"/>
          <w:b/>
          <w:color w:val="auto"/>
          <w:sz w:val="22"/>
          <w:szCs w:val="22"/>
          <w:highlight w:val="none"/>
          <w:lang w:val="en-US" w:eastAsia="zh-CN"/>
        </w:rPr>
        <w:t>1.</w:t>
      </w:r>
      <w:r>
        <w:rPr>
          <w:rFonts w:hint="eastAsia" w:ascii="宋体" w:hAnsi="宋体" w:eastAsia="宋体" w:cs="宋体"/>
          <w:b/>
          <w:color w:val="auto"/>
          <w:sz w:val="22"/>
          <w:szCs w:val="22"/>
          <w:highlight w:val="none"/>
        </w:rPr>
        <w:t>基础资料收集与地质调查</w:t>
      </w:r>
      <w:r>
        <w:rPr>
          <w:rFonts w:hint="eastAsia" w:ascii="宋体" w:hAnsi="宋体" w:eastAsia="宋体" w:cs="宋体"/>
          <w:color w:val="auto"/>
          <w:sz w:val="22"/>
          <w:szCs w:val="22"/>
          <w:highlight w:val="none"/>
        </w:rPr>
        <w:t>：全面收集每座水库的勘察设计、施工、运行、维修养护等历史资料，开展现场地质调查，查明库区及坝址区地形地貌、地层岩性、地质构造、水文地质条件等核心信息，分析地质灾害隐患点分布情况。</w:t>
      </w:r>
    </w:p>
    <w:p w14:paraId="3D03545A">
      <w:pPr>
        <w:keepNext w:val="0"/>
        <w:keepLines w:val="0"/>
        <w:pageBreakBefore w:val="0"/>
        <w:widowControl w:val="0"/>
        <w:numPr>
          <w:ilvl w:val="0"/>
          <w:numId w:val="0"/>
        </w:numPr>
        <w:kinsoku/>
        <w:wordWrap w:val="0"/>
        <w:overflowPunct/>
        <w:topLinePunct/>
        <w:autoSpaceDE/>
        <w:autoSpaceDN/>
        <w:bidi w:val="0"/>
        <w:adjustRightInd/>
        <w:snapToGrid/>
        <w:spacing w:line="400" w:lineRule="exact"/>
        <w:ind w:leftChars="0" w:firstLine="442" w:firstLineChars="200"/>
        <w:jc w:val="left"/>
        <w:textAlignment w:val="auto"/>
        <w:outlineLvl w:val="9"/>
        <w:rPr>
          <w:rFonts w:hint="eastAsia" w:ascii="宋体" w:hAnsi="宋体" w:eastAsia="宋体" w:cs="宋体"/>
          <w:color w:val="auto"/>
          <w:sz w:val="22"/>
          <w:szCs w:val="22"/>
          <w:highlight w:val="none"/>
        </w:rPr>
      </w:pPr>
      <w:r>
        <w:rPr>
          <w:rFonts w:hint="eastAsia" w:ascii="宋体" w:hAnsi="宋体" w:eastAsia="宋体" w:cs="宋体"/>
          <w:b/>
          <w:color w:val="auto"/>
          <w:sz w:val="22"/>
          <w:szCs w:val="22"/>
          <w:highlight w:val="none"/>
          <w:lang w:val="en-US" w:eastAsia="zh-CN"/>
        </w:rPr>
        <w:t>2.</w:t>
      </w:r>
      <w:r>
        <w:rPr>
          <w:rFonts w:hint="eastAsia" w:ascii="宋体" w:hAnsi="宋体" w:eastAsia="宋体" w:cs="宋体"/>
          <w:b/>
          <w:color w:val="auto"/>
          <w:sz w:val="22"/>
          <w:szCs w:val="22"/>
          <w:highlight w:val="none"/>
        </w:rPr>
        <w:t>岩土工程勘察</w:t>
      </w:r>
      <w:r>
        <w:rPr>
          <w:rFonts w:hint="eastAsia" w:ascii="宋体" w:hAnsi="宋体" w:eastAsia="宋体" w:cs="宋体"/>
          <w:color w:val="auto"/>
          <w:sz w:val="22"/>
          <w:szCs w:val="22"/>
          <w:highlight w:val="none"/>
        </w:rPr>
        <w:t>：针对大坝坝体、坝基、溢洪道、输水建筑物等关键部位开展岩土工程勘察，合理布设勘察点位，查明岩土体物理力学性质、分布规律及不良地质现象，为结构安全评价提供地质依据。</w:t>
      </w:r>
    </w:p>
    <w:p w14:paraId="1B847175">
      <w:pPr>
        <w:keepNext w:val="0"/>
        <w:keepLines w:val="0"/>
        <w:pageBreakBefore w:val="0"/>
        <w:widowControl w:val="0"/>
        <w:numPr>
          <w:ilvl w:val="0"/>
          <w:numId w:val="0"/>
        </w:numPr>
        <w:kinsoku/>
        <w:wordWrap w:val="0"/>
        <w:overflowPunct/>
        <w:topLinePunct/>
        <w:autoSpaceDE/>
        <w:autoSpaceDN/>
        <w:bidi w:val="0"/>
        <w:adjustRightInd/>
        <w:snapToGrid/>
        <w:spacing w:line="400" w:lineRule="exact"/>
        <w:ind w:leftChars="0" w:firstLine="442" w:firstLineChars="200"/>
        <w:jc w:val="left"/>
        <w:textAlignment w:val="auto"/>
        <w:outlineLvl w:val="9"/>
        <w:rPr>
          <w:rFonts w:hint="eastAsia" w:ascii="宋体" w:hAnsi="宋体" w:eastAsia="宋体" w:cs="宋体"/>
          <w:color w:val="auto"/>
          <w:sz w:val="22"/>
          <w:szCs w:val="22"/>
          <w:highlight w:val="none"/>
          <w:lang w:eastAsia="zh-CN"/>
        </w:rPr>
      </w:pPr>
      <w:r>
        <w:rPr>
          <w:rFonts w:hint="eastAsia" w:ascii="宋体" w:hAnsi="宋体" w:eastAsia="宋体" w:cs="宋体"/>
          <w:b/>
          <w:color w:val="auto"/>
          <w:sz w:val="22"/>
          <w:szCs w:val="22"/>
          <w:highlight w:val="none"/>
          <w:lang w:val="en-US" w:eastAsia="zh-CN"/>
        </w:rPr>
        <w:t>3.</w:t>
      </w:r>
      <w:r>
        <w:rPr>
          <w:rFonts w:hint="eastAsia" w:ascii="宋体" w:hAnsi="宋体" w:eastAsia="宋体" w:cs="宋体"/>
          <w:b/>
          <w:color w:val="auto"/>
          <w:sz w:val="22"/>
          <w:szCs w:val="22"/>
          <w:highlight w:val="none"/>
        </w:rPr>
        <w:t>试验检测</w:t>
      </w:r>
      <w:r>
        <w:rPr>
          <w:rFonts w:hint="eastAsia" w:ascii="宋体" w:hAnsi="宋体" w:eastAsia="宋体" w:cs="宋体"/>
          <w:color w:val="auto"/>
          <w:sz w:val="22"/>
          <w:szCs w:val="22"/>
          <w:highlight w:val="none"/>
        </w:rPr>
        <w:t>：按规范要求开展标准贯入试验、钻孔注水试验、基础压水试验</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lang w:val="en-US" w:eastAsia="zh-CN"/>
        </w:rPr>
        <w:t>金属结构检测</w:t>
      </w:r>
      <w:r>
        <w:rPr>
          <w:rFonts w:hint="eastAsia" w:ascii="宋体" w:hAnsi="宋体" w:eastAsia="宋体" w:cs="宋体"/>
          <w:color w:val="auto"/>
          <w:sz w:val="22"/>
          <w:szCs w:val="22"/>
          <w:highlight w:val="none"/>
        </w:rPr>
        <w:t>等现场试验，同步采集岩土、水样</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lang w:val="en-US" w:eastAsia="zh-CN"/>
        </w:rPr>
        <w:t>金属结构</w:t>
      </w:r>
      <w:r>
        <w:rPr>
          <w:rFonts w:hint="eastAsia" w:ascii="宋体" w:hAnsi="宋体" w:eastAsia="宋体" w:cs="宋体"/>
          <w:color w:val="auto"/>
          <w:sz w:val="22"/>
          <w:szCs w:val="22"/>
          <w:highlight w:val="none"/>
        </w:rPr>
        <w:t>等试样进行室内试验，获取试验数据并形成试验报告，试验成果需真实、准确，满足安全评价计算需求</w:t>
      </w:r>
      <w:r>
        <w:rPr>
          <w:rFonts w:hint="eastAsia" w:ascii="宋体" w:hAnsi="宋体" w:eastAsia="宋体" w:cs="宋体"/>
          <w:color w:val="auto"/>
          <w:sz w:val="22"/>
          <w:szCs w:val="22"/>
          <w:highlight w:val="none"/>
          <w:lang w:eastAsia="zh-CN"/>
        </w:rPr>
        <w:t>。</w:t>
      </w:r>
    </w:p>
    <w:p w14:paraId="38BA52CE">
      <w:pPr>
        <w:ind w:firstLine="422" w:firstLineChars="200"/>
        <w:rPr>
          <w:rFonts w:hint="eastAsia" w:ascii="Times New Roman" w:hAnsi="Times New Roman" w:eastAsia="宋体" w:cs="宋体"/>
          <w:b/>
          <w:bCs/>
          <w:iCs w:val="0"/>
          <w:color w:val="auto"/>
          <w:spacing w:val="0"/>
          <w:kern w:val="0"/>
          <w:sz w:val="21"/>
          <w:szCs w:val="21"/>
          <w:highlight w:val="none"/>
          <w:lang w:val="en-US" w:eastAsia="zh-CN"/>
        </w:rPr>
      </w:pPr>
      <w:bookmarkStart w:id="6" w:name="heading_5"/>
      <w:r>
        <w:rPr>
          <w:rFonts w:hint="eastAsia" w:ascii="Times New Roman" w:hAnsi="Times New Roman" w:eastAsia="宋体" w:cs="宋体"/>
          <w:b/>
          <w:bCs/>
          <w:iCs w:val="0"/>
          <w:color w:val="auto"/>
          <w:spacing w:val="0"/>
          <w:kern w:val="0"/>
          <w:sz w:val="21"/>
          <w:szCs w:val="21"/>
          <w:highlight w:val="none"/>
          <w:lang w:val="en-US" w:eastAsia="zh-CN"/>
        </w:rPr>
        <w:t>（三）大坝安全评价及报告编制</w:t>
      </w:r>
      <w:bookmarkEnd w:id="6"/>
    </w:p>
    <w:p w14:paraId="4BCB5CA4">
      <w:pPr>
        <w:keepNext w:val="0"/>
        <w:keepLines w:val="0"/>
        <w:pageBreakBefore w:val="0"/>
        <w:widowControl w:val="0"/>
        <w:numPr>
          <w:ilvl w:val="0"/>
          <w:numId w:val="0"/>
        </w:numPr>
        <w:kinsoku/>
        <w:wordWrap w:val="0"/>
        <w:overflowPunct/>
        <w:topLinePunct/>
        <w:autoSpaceDE/>
        <w:autoSpaceDN/>
        <w:bidi w:val="0"/>
        <w:adjustRightInd/>
        <w:snapToGrid/>
        <w:spacing w:line="400" w:lineRule="exact"/>
        <w:ind w:leftChars="0" w:firstLine="442" w:firstLineChars="200"/>
        <w:jc w:val="left"/>
        <w:textAlignment w:val="auto"/>
        <w:outlineLvl w:val="9"/>
        <w:rPr>
          <w:rFonts w:hint="eastAsia" w:ascii="宋体" w:hAnsi="宋体" w:eastAsia="宋体" w:cs="宋体"/>
          <w:color w:val="auto"/>
          <w:sz w:val="22"/>
          <w:szCs w:val="22"/>
          <w:highlight w:val="none"/>
        </w:rPr>
      </w:pPr>
      <w:r>
        <w:rPr>
          <w:rFonts w:hint="eastAsia" w:ascii="宋体" w:hAnsi="宋体" w:eastAsia="宋体" w:cs="宋体"/>
          <w:b/>
          <w:color w:val="auto"/>
          <w:sz w:val="22"/>
          <w:szCs w:val="22"/>
          <w:highlight w:val="none"/>
          <w:lang w:val="en-US" w:eastAsia="zh-CN"/>
        </w:rPr>
        <w:t>1.</w:t>
      </w:r>
      <w:r>
        <w:rPr>
          <w:rFonts w:hint="eastAsia" w:ascii="宋体" w:hAnsi="宋体" w:eastAsia="宋体" w:cs="宋体"/>
          <w:b/>
          <w:color w:val="auto"/>
          <w:sz w:val="22"/>
          <w:szCs w:val="22"/>
          <w:highlight w:val="none"/>
        </w:rPr>
        <w:t>专项安全评价</w:t>
      </w:r>
      <w:r>
        <w:rPr>
          <w:rFonts w:hint="eastAsia" w:ascii="宋体" w:hAnsi="宋体" w:eastAsia="宋体" w:cs="宋体"/>
          <w:color w:val="auto"/>
          <w:sz w:val="22"/>
          <w:szCs w:val="22"/>
          <w:highlight w:val="none"/>
        </w:rPr>
        <w:t>：围绕以下核心维度开展专项评价，确保覆盖水库安全关键环节：运行管理评价：核查水库运行管理制度、巡查记录、值班值守、维修养护等情况，评估运行管理规范性及风险防控能力；</w:t>
      </w:r>
    </w:p>
    <w:p w14:paraId="1F76A0CB">
      <w:pPr>
        <w:keepNext w:val="0"/>
        <w:keepLines w:val="0"/>
        <w:pageBreakBefore w:val="0"/>
        <w:widowControl w:val="0"/>
        <w:numPr>
          <w:ilvl w:val="0"/>
          <w:numId w:val="0"/>
        </w:numPr>
        <w:kinsoku/>
        <w:wordWrap w:val="0"/>
        <w:overflowPunct/>
        <w:topLinePunct/>
        <w:autoSpaceDE/>
        <w:autoSpaceDN/>
        <w:bidi w:val="0"/>
        <w:adjustRightInd/>
        <w:snapToGrid/>
        <w:spacing w:line="400" w:lineRule="exact"/>
        <w:ind w:leftChars="0" w:firstLine="440" w:firstLineChars="200"/>
        <w:jc w:val="left"/>
        <w:textAlignment w:val="auto"/>
        <w:outlineLvl w:val="9"/>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水文评价：复核水库防洪标准，分析设计洪水、校核洪水计算合理性，评估泄洪能力匹配度；</w:t>
      </w:r>
    </w:p>
    <w:p w14:paraId="05AB1578">
      <w:pPr>
        <w:keepNext w:val="0"/>
        <w:keepLines w:val="0"/>
        <w:pageBreakBefore w:val="0"/>
        <w:widowControl w:val="0"/>
        <w:numPr>
          <w:ilvl w:val="0"/>
          <w:numId w:val="0"/>
        </w:numPr>
        <w:kinsoku/>
        <w:wordWrap w:val="0"/>
        <w:overflowPunct/>
        <w:topLinePunct/>
        <w:autoSpaceDE/>
        <w:autoSpaceDN/>
        <w:bidi w:val="0"/>
        <w:adjustRightInd/>
        <w:snapToGrid/>
        <w:spacing w:line="400" w:lineRule="exact"/>
        <w:ind w:leftChars="0" w:firstLine="440" w:firstLineChars="200"/>
        <w:jc w:val="left"/>
        <w:textAlignment w:val="auto"/>
        <w:outlineLvl w:val="9"/>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工程质量评价：结合勘察成果及历史资料，评估坝体、坝基、溢洪道、输水建筑物等主体工程施工质量，排查质量隐患；</w:t>
      </w:r>
    </w:p>
    <w:p w14:paraId="74E92343">
      <w:pPr>
        <w:keepNext w:val="0"/>
        <w:keepLines w:val="0"/>
        <w:pageBreakBefore w:val="0"/>
        <w:widowControl w:val="0"/>
        <w:numPr>
          <w:ilvl w:val="0"/>
          <w:numId w:val="0"/>
        </w:numPr>
        <w:kinsoku/>
        <w:wordWrap w:val="0"/>
        <w:overflowPunct/>
        <w:topLinePunct/>
        <w:autoSpaceDE/>
        <w:autoSpaceDN/>
        <w:bidi w:val="0"/>
        <w:adjustRightInd/>
        <w:snapToGrid/>
        <w:spacing w:line="400" w:lineRule="exact"/>
        <w:ind w:leftChars="0" w:firstLine="440" w:firstLineChars="200"/>
        <w:jc w:val="left"/>
        <w:textAlignment w:val="auto"/>
        <w:outlineLvl w:val="9"/>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金属结构与机电评价：检查闸门、启闭设备、机电设施等运行状况，评估设备完好性、安全性及操作可靠性；</w:t>
      </w:r>
    </w:p>
    <w:p w14:paraId="18C931F7">
      <w:pPr>
        <w:keepNext w:val="0"/>
        <w:keepLines w:val="0"/>
        <w:pageBreakBefore w:val="0"/>
        <w:widowControl w:val="0"/>
        <w:numPr>
          <w:ilvl w:val="0"/>
          <w:numId w:val="0"/>
        </w:numPr>
        <w:kinsoku/>
        <w:wordWrap w:val="0"/>
        <w:overflowPunct/>
        <w:topLinePunct/>
        <w:autoSpaceDE/>
        <w:autoSpaceDN/>
        <w:bidi w:val="0"/>
        <w:adjustRightInd/>
        <w:snapToGrid/>
        <w:spacing w:line="400" w:lineRule="exact"/>
        <w:ind w:leftChars="0" w:firstLine="440" w:firstLineChars="200"/>
        <w:jc w:val="left"/>
        <w:textAlignment w:val="auto"/>
        <w:outlineLvl w:val="9"/>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结构与渗流安全评价：开展水工结构稳定性分析、渗流计算，评估坝体、坝基渗流安全性，排查渗漏、管涌等风险；</w:t>
      </w:r>
    </w:p>
    <w:p w14:paraId="4219E901">
      <w:pPr>
        <w:keepNext w:val="0"/>
        <w:keepLines w:val="0"/>
        <w:pageBreakBefore w:val="0"/>
        <w:widowControl w:val="0"/>
        <w:numPr>
          <w:ilvl w:val="0"/>
          <w:numId w:val="0"/>
        </w:numPr>
        <w:kinsoku/>
        <w:wordWrap w:val="0"/>
        <w:overflowPunct/>
        <w:topLinePunct/>
        <w:autoSpaceDE/>
        <w:autoSpaceDN/>
        <w:bidi w:val="0"/>
        <w:adjustRightInd/>
        <w:snapToGrid/>
        <w:spacing w:line="400" w:lineRule="exact"/>
        <w:ind w:leftChars="0" w:firstLine="440" w:firstLineChars="200"/>
        <w:jc w:val="left"/>
        <w:textAlignment w:val="auto"/>
        <w:outlineLvl w:val="9"/>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抗震安全评价：结合区域地震烈度，复核大坝抗震能力，评估地震作用下工程结构安全性。</w:t>
      </w:r>
    </w:p>
    <w:p w14:paraId="60478E60">
      <w:pPr>
        <w:keepNext w:val="0"/>
        <w:keepLines w:val="0"/>
        <w:pageBreakBefore w:val="0"/>
        <w:widowControl w:val="0"/>
        <w:numPr>
          <w:ilvl w:val="0"/>
          <w:numId w:val="0"/>
        </w:numPr>
        <w:kinsoku/>
        <w:wordWrap w:val="0"/>
        <w:overflowPunct/>
        <w:topLinePunct/>
        <w:autoSpaceDE/>
        <w:autoSpaceDN/>
        <w:bidi w:val="0"/>
        <w:adjustRightInd/>
        <w:snapToGrid/>
        <w:spacing w:line="400" w:lineRule="exact"/>
        <w:ind w:leftChars="0" w:firstLine="442" w:firstLineChars="200"/>
        <w:jc w:val="left"/>
        <w:textAlignment w:val="auto"/>
        <w:outlineLvl w:val="9"/>
        <w:rPr>
          <w:rFonts w:hint="eastAsia" w:ascii="宋体" w:hAnsi="宋体" w:eastAsia="宋体" w:cs="宋体"/>
          <w:color w:val="auto"/>
          <w:sz w:val="22"/>
          <w:szCs w:val="22"/>
          <w:highlight w:val="none"/>
        </w:rPr>
      </w:pPr>
      <w:r>
        <w:rPr>
          <w:rFonts w:hint="eastAsia" w:ascii="宋体" w:hAnsi="宋体" w:eastAsia="宋体" w:cs="宋体"/>
          <w:b/>
          <w:color w:val="auto"/>
          <w:sz w:val="22"/>
          <w:szCs w:val="22"/>
          <w:highlight w:val="none"/>
          <w:lang w:val="en-US" w:eastAsia="zh-CN"/>
        </w:rPr>
        <w:t>2.</w:t>
      </w:r>
      <w:r>
        <w:rPr>
          <w:rFonts w:hint="eastAsia" w:ascii="宋体" w:hAnsi="宋体" w:eastAsia="宋体" w:cs="宋体"/>
          <w:b/>
          <w:color w:val="auto"/>
          <w:sz w:val="22"/>
          <w:szCs w:val="22"/>
          <w:highlight w:val="none"/>
        </w:rPr>
        <w:t>综合报告编制</w:t>
      </w:r>
      <w:r>
        <w:rPr>
          <w:rFonts w:hint="eastAsia" w:ascii="宋体" w:hAnsi="宋体" w:eastAsia="宋体" w:cs="宋体"/>
          <w:color w:val="auto"/>
          <w:sz w:val="22"/>
          <w:szCs w:val="22"/>
          <w:highlight w:val="none"/>
        </w:rPr>
        <w:t>：在专项评价基础上，编制每座水库的大坝安全评价报告及现场安全检查报告，汇总形成</w:t>
      </w:r>
      <w:r>
        <w:rPr>
          <w:rFonts w:hint="eastAsia" w:ascii="宋体" w:hAnsi="宋体" w:eastAsia="宋体" w:cs="宋体"/>
          <w:color w:val="auto"/>
          <w:sz w:val="22"/>
          <w:szCs w:val="22"/>
          <w:highlight w:val="none"/>
          <w:lang w:val="en-US" w:eastAsia="zh-CN"/>
        </w:rPr>
        <w:t>26</w:t>
      </w:r>
      <w:r>
        <w:rPr>
          <w:rFonts w:hint="eastAsia" w:ascii="宋体" w:hAnsi="宋体" w:eastAsia="宋体" w:cs="宋体"/>
          <w:color w:val="auto"/>
          <w:sz w:val="22"/>
          <w:szCs w:val="22"/>
          <w:highlight w:val="none"/>
        </w:rPr>
        <w:t>座水库大坝安全鉴定综合报告。报告内容需完整、数据详实、分析深入，明确大坝安全类别（一类、二类、三类），提出针对性安全管控建议及整改措施，符合《水库大坝安全鉴定办法》对小型水库鉴定报告的编制要求。</w:t>
      </w:r>
    </w:p>
    <w:p w14:paraId="63937654">
      <w:pPr>
        <w:ind w:firstLine="422" w:firstLineChars="200"/>
        <w:rPr>
          <w:rFonts w:hint="eastAsia" w:ascii="Times New Roman" w:hAnsi="Times New Roman" w:eastAsia="宋体" w:cs="宋体"/>
          <w:b/>
          <w:bCs/>
          <w:iCs w:val="0"/>
          <w:color w:val="auto"/>
          <w:spacing w:val="0"/>
          <w:kern w:val="0"/>
          <w:sz w:val="21"/>
          <w:szCs w:val="21"/>
          <w:highlight w:val="none"/>
          <w:lang w:val="en-US" w:eastAsia="zh-CN"/>
        </w:rPr>
      </w:pPr>
      <w:r>
        <w:rPr>
          <w:rFonts w:hint="eastAsia" w:ascii="Times New Roman" w:hAnsi="Times New Roman" w:eastAsia="宋体" w:cs="宋体"/>
          <w:b/>
          <w:bCs/>
          <w:iCs w:val="0"/>
          <w:color w:val="auto"/>
          <w:spacing w:val="0"/>
          <w:kern w:val="0"/>
          <w:sz w:val="21"/>
          <w:szCs w:val="21"/>
          <w:highlight w:val="none"/>
          <w:lang w:val="en-US" w:eastAsia="zh-CN"/>
        </w:rPr>
        <w:t>四、成果文件具体要求</w:t>
      </w:r>
    </w:p>
    <w:p w14:paraId="35538448">
      <w:pPr>
        <w:keepNext w:val="0"/>
        <w:keepLines w:val="0"/>
        <w:pageBreakBefore w:val="0"/>
        <w:widowControl w:val="0"/>
        <w:numPr>
          <w:ilvl w:val="0"/>
          <w:numId w:val="0"/>
        </w:numPr>
        <w:kinsoku/>
        <w:wordWrap w:val="0"/>
        <w:overflowPunct/>
        <w:topLinePunct/>
        <w:autoSpaceDE/>
        <w:autoSpaceDN/>
        <w:bidi w:val="0"/>
        <w:spacing w:line="400" w:lineRule="exact"/>
        <w:ind w:left="0" w:leftChars="0" w:firstLine="440" w:firstLineChars="200"/>
        <w:jc w:val="left"/>
        <w:textAlignment w:val="auto"/>
        <w:outlineLvl w:val="9"/>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供应商需按以下标准编制、交付四大成果文件，确保内容完整、数据详实、格式规范，满足审查及归档需求：</w:t>
      </w:r>
    </w:p>
    <w:p w14:paraId="3FE55F15">
      <w:pPr>
        <w:keepNext w:val="0"/>
        <w:keepLines w:val="0"/>
        <w:pageBreakBefore w:val="0"/>
        <w:widowControl w:val="0"/>
        <w:numPr>
          <w:ilvl w:val="0"/>
          <w:numId w:val="2"/>
        </w:numPr>
        <w:kinsoku/>
        <w:wordWrap w:val="0"/>
        <w:overflowPunct/>
        <w:topLinePunct/>
        <w:autoSpaceDE/>
        <w:autoSpaceDN/>
        <w:bidi w:val="0"/>
        <w:spacing w:line="400" w:lineRule="exact"/>
        <w:ind w:left="0" w:leftChars="0" w:firstLine="440" w:firstLineChars="200"/>
        <w:jc w:val="left"/>
        <w:textAlignment w:val="auto"/>
        <w:outlineLvl w:val="9"/>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水库大坝安全评价工程地质勘察报告：明确坝基 / 坝体地质条件、水文地质情况，附钻孔 / 试验数据，评估地质风险及处理建议。</w:t>
      </w:r>
    </w:p>
    <w:p w14:paraId="0F6C41AE">
      <w:pPr>
        <w:keepNext w:val="0"/>
        <w:keepLines w:val="0"/>
        <w:pageBreakBefore w:val="0"/>
        <w:widowControl w:val="0"/>
        <w:numPr>
          <w:ilvl w:val="0"/>
          <w:numId w:val="2"/>
        </w:numPr>
        <w:kinsoku/>
        <w:wordWrap w:val="0"/>
        <w:overflowPunct/>
        <w:topLinePunct/>
        <w:autoSpaceDE/>
        <w:autoSpaceDN/>
        <w:bidi w:val="0"/>
        <w:spacing w:line="400" w:lineRule="exact"/>
        <w:ind w:left="0" w:leftChars="0" w:firstLine="440" w:firstLineChars="200"/>
        <w:jc w:val="left"/>
        <w:textAlignment w:val="auto"/>
        <w:outlineLvl w:val="9"/>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水库大坝安全检测报告：量化呈现混凝土强度、渗流量等检测数据，说明检测方法、设备，给出合格判定结果。</w:t>
      </w:r>
    </w:p>
    <w:p w14:paraId="312765F0">
      <w:pPr>
        <w:keepNext w:val="0"/>
        <w:keepLines w:val="0"/>
        <w:pageBreakBefore w:val="0"/>
        <w:widowControl w:val="0"/>
        <w:numPr>
          <w:ilvl w:val="0"/>
          <w:numId w:val="2"/>
        </w:numPr>
        <w:kinsoku/>
        <w:wordWrap w:val="0"/>
        <w:overflowPunct/>
        <w:topLinePunct/>
        <w:autoSpaceDE/>
        <w:autoSpaceDN/>
        <w:bidi w:val="0"/>
        <w:spacing w:line="400" w:lineRule="exact"/>
        <w:ind w:left="0" w:leftChars="0" w:firstLine="440" w:firstLineChars="200"/>
        <w:jc w:val="left"/>
        <w:textAlignment w:val="auto"/>
        <w:outlineLvl w:val="9"/>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水库大坝现场安全检查报告：逐库记录大坝及附属设施现状，识别显性隐患，附现场照片及隐患位置标注。</w:t>
      </w:r>
    </w:p>
    <w:p w14:paraId="224D0BF6">
      <w:pPr>
        <w:keepNext w:val="0"/>
        <w:keepLines w:val="0"/>
        <w:pageBreakBefore w:val="0"/>
        <w:widowControl w:val="0"/>
        <w:numPr>
          <w:ilvl w:val="0"/>
          <w:numId w:val="2"/>
        </w:numPr>
        <w:kinsoku/>
        <w:wordWrap w:val="0"/>
        <w:overflowPunct/>
        <w:topLinePunct/>
        <w:autoSpaceDE/>
        <w:autoSpaceDN/>
        <w:bidi w:val="0"/>
        <w:spacing w:line="400" w:lineRule="exact"/>
        <w:ind w:left="0" w:leftChars="0" w:firstLine="440" w:firstLineChars="200"/>
        <w:jc w:val="left"/>
        <w:textAlignment w:val="auto"/>
        <w:outlineLvl w:val="9"/>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水库大坝安全评价报告：覆盖多专项评价，必须包括：工程质量评价、大坝运行管理评价、防洪标准复核、渗流安全评价、坝体结构安全评价、抗震安全复核、金属结构安全评价、大坝安全综合评价等，判定大坝安全等级（一类 / 二类 / 三类），提出针对性整改建议。</w:t>
      </w:r>
    </w:p>
    <w:p w14:paraId="5601043B">
      <w:pPr>
        <w:keepNext w:val="0"/>
        <w:keepLines w:val="0"/>
        <w:pageBreakBefore w:val="0"/>
        <w:widowControl w:val="0"/>
        <w:kinsoku/>
        <w:wordWrap w:val="0"/>
        <w:overflowPunct/>
        <w:topLinePunct/>
        <w:autoSpaceDE/>
        <w:autoSpaceDN/>
        <w:bidi w:val="0"/>
        <w:adjustRightInd/>
        <w:snapToGrid/>
        <w:spacing w:line="400" w:lineRule="exact"/>
        <w:ind w:left="0" w:leftChars="0" w:firstLine="442" w:firstLineChars="200"/>
        <w:jc w:val="left"/>
        <w:textAlignment w:val="auto"/>
        <w:outlineLvl w:val="9"/>
        <w:rPr>
          <w:rFonts w:hint="eastAsia" w:ascii="宋体" w:hAnsi="宋体" w:eastAsia="宋体" w:cs="宋体"/>
          <w:b/>
          <w:color w:val="auto"/>
          <w:sz w:val="22"/>
          <w:szCs w:val="22"/>
          <w:highlight w:val="none"/>
          <w:lang w:val="en-US" w:eastAsia="zh-CN"/>
        </w:rPr>
      </w:pPr>
      <w:bookmarkStart w:id="7" w:name="heading_7"/>
      <w:r>
        <w:rPr>
          <w:rFonts w:hint="eastAsia" w:ascii="宋体" w:hAnsi="宋体" w:eastAsia="宋体" w:cs="宋体"/>
          <w:b/>
          <w:color w:val="auto"/>
          <w:sz w:val="22"/>
          <w:szCs w:val="22"/>
          <w:highlight w:val="none"/>
          <w:lang w:val="en-US" w:eastAsia="zh-CN"/>
        </w:rPr>
        <w:t>五、技术标准及质量要求</w:t>
      </w:r>
      <w:bookmarkEnd w:id="7"/>
    </w:p>
    <w:p w14:paraId="0DA6A55D">
      <w:pPr>
        <w:keepNext w:val="0"/>
        <w:keepLines w:val="0"/>
        <w:pageBreakBefore w:val="0"/>
        <w:widowControl w:val="0"/>
        <w:numPr>
          <w:ilvl w:val="0"/>
          <w:numId w:val="0"/>
        </w:numPr>
        <w:kinsoku/>
        <w:wordWrap w:val="0"/>
        <w:overflowPunct/>
        <w:topLinePunct/>
        <w:autoSpaceDE/>
        <w:autoSpaceDN/>
        <w:bidi w:val="0"/>
        <w:spacing w:line="400" w:lineRule="exact"/>
        <w:ind w:left="0" w:leftChars="0" w:firstLine="440" w:firstLineChars="200"/>
        <w:jc w:val="left"/>
        <w:textAlignment w:val="auto"/>
        <w:outlineLvl w:val="9"/>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本次鉴定工作需严格遵循以下</w:t>
      </w:r>
      <w:r>
        <w:rPr>
          <w:rFonts w:hint="eastAsia" w:ascii="宋体" w:hAnsi="宋体" w:eastAsia="宋体" w:cs="宋体"/>
          <w:b w:val="0"/>
          <w:bCs/>
          <w:color w:val="auto"/>
          <w:sz w:val="22"/>
          <w:szCs w:val="22"/>
          <w:highlight w:val="none"/>
          <w:lang w:eastAsia="zh-CN"/>
        </w:rPr>
        <w:t>（</w:t>
      </w:r>
      <w:r>
        <w:rPr>
          <w:rFonts w:hint="eastAsia" w:ascii="宋体" w:hAnsi="宋体" w:eastAsia="宋体" w:cs="宋体"/>
          <w:b w:val="0"/>
          <w:bCs/>
          <w:color w:val="auto"/>
          <w:sz w:val="22"/>
          <w:szCs w:val="22"/>
          <w:highlight w:val="none"/>
          <w:lang w:val="en-US" w:eastAsia="zh-CN"/>
        </w:rPr>
        <w:t>包括但不限于</w:t>
      </w:r>
      <w:r>
        <w:rPr>
          <w:rFonts w:hint="eastAsia" w:ascii="宋体" w:hAnsi="宋体" w:eastAsia="宋体" w:cs="宋体"/>
          <w:b w:val="0"/>
          <w:bCs/>
          <w:color w:val="auto"/>
          <w:sz w:val="22"/>
          <w:szCs w:val="22"/>
          <w:highlight w:val="none"/>
          <w:lang w:eastAsia="zh-CN"/>
        </w:rPr>
        <w:t>）</w:t>
      </w:r>
      <w:r>
        <w:rPr>
          <w:rFonts w:hint="eastAsia" w:ascii="宋体" w:hAnsi="宋体" w:eastAsia="宋体" w:cs="宋体"/>
          <w:b w:val="0"/>
          <w:bCs/>
          <w:color w:val="auto"/>
          <w:sz w:val="22"/>
          <w:szCs w:val="22"/>
          <w:highlight w:val="none"/>
        </w:rPr>
        <w:t>标准规范，确保成果质量：</w:t>
      </w:r>
    </w:p>
    <w:p w14:paraId="30E98CEB">
      <w:pPr>
        <w:keepNext w:val="0"/>
        <w:keepLines w:val="0"/>
        <w:pageBreakBefore w:val="0"/>
        <w:widowControl w:val="0"/>
        <w:numPr>
          <w:ilvl w:val="0"/>
          <w:numId w:val="3"/>
        </w:numPr>
        <w:kinsoku/>
        <w:wordWrap w:val="0"/>
        <w:overflowPunct/>
        <w:topLinePunct/>
        <w:autoSpaceDE/>
        <w:autoSpaceDN/>
        <w:bidi w:val="0"/>
        <w:spacing w:line="400" w:lineRule="exact"/>
        <w:ind w:left="0" w:leftChars="0" w:firstLine="440" w:firstLineChars="200"/>
        <w:jc w:val="left"/>
        <w:textAlignment w:val="auto"/>
        <w:outlineLvl w:val="9"/>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《水库大坝安全鉴定办法》（水建管〔2003〕271号）；</w:t>
      </w:r>
    </w:p>
    <w:p w14:paraId="3D46A013">
      <w:pPr>
        <w:keepNext w:val="0"/>
        <w:keepLines w:val="0"/>
        <w:pageBreakBefore w:val="0"/>
        <w:widowControl w:val="0"/>
        <w:numPr>
          <w:ilvl w:val="0"/>
          <w:numId w:val="3"/>
        </w:numPr>
        <w:kinsoku/>
        <w:wordWrap w:val="0"/>
        <w:overflowPunct/>
        <w:topLinePunct/>
        <w:autoSpaceDE/>
        <w:autoSpaceDN/>
        <w:bidi w:val="0"/>
        <w:spacing w:line="400" w:lineRule="exact"/>
        <w:ind w:left="0" w:leftChars="0" w:firstLine="440" w:firstLineChars="200"/>
        <w:jc w:val="left"/>
        <w:textAlignment w:val="auto"/>
        <w:outlineLvl w:val="9"/>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《坝高小于15米的小（2）型水库大坝安全鉴定办法（试行）》</w:t>
      </w:r>
      <w:r>
        <w:rPr>
          <w:rFonts w:hint="eastAsia" w:ascii="宋体" w:hAnsi="宋体" w:eastAsia="宋体" w:cs="宋体"/>
          <w:b w:val="0"/>
          <w:bCs/>
          <w:color w:val="auto"/>
          <w:sz w:val="22"/>
          <w:szCs w:val="22"/>
          <w:highlight w:val="none"/>
          <w:lang w:eastAsia="zh-CN"/>
        </w:rPr>
        <w:t>；</w:t>
      </w:r>
    </w:p>
    <w:p w14:paraId="2BF8164A">
      <w:pPr>
        <w:keepNext w:val="0"/>
        <w:keepLines w:val="0"/>
        <w:pageBreakBefore w:val="0"/>
        <w:widowControl w:val="0"/>
        <w:numPr>
          <w:ilvl w:val="0"/>
          <w:numId w:val="3"/>
        </w:numPr>
        <w:kinsoku/>
        <w:wordWrap w:val="0"/>
        <w:overflowPunct/>
        <w:topLinePunct/>
        <w:autoSpaceDE/>
        <w:autoSpaceDN/>
        <w:bidi w:val="0"/>
        <w:spacing w:line="400" w:lineRule="exact"/>
        <w:ind w:left="0" w:leftChars="0" w:firstLine="440" w:firstLineChars="200"/>
        <w:jc w:val="left"/>
        <w:textAlignment w:val="auto"/>
        <w:outlineLvl w:val="9"/>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《水电工程测量规范》（NB-T35029-2023）；</w:t>
      </w:r>
    </w:p>
    <w:p w14:paraId="59AB433D">
      <w:pPr>
        <w:keepNext w:val="0"/>
        <w:keepLines w:val="0"/>
        <w:pageBreakBefore w:val="0"/>
        <w:widowControl w:val="0"/>
        <w:numPr>
          <w:ilvl w:val="0"/>
          <w:numId w:val="3"/>
        </w:numPr>
        <w:kinsoku/>
        <w:wordWrap w:val="0"/>
        <w:overflowPunct/>
        <w:topLinePunct/>
        <w:autoSpaceDE/>
        <w:autoSpaceDN/>
        <w:bidi w:val="0"/>
        <w:spacing w:line="400" w:lineRule="exact"/>
        <w:ind w:left="0" w:leftChars="0" w:firstLine="440" w:firstLineChars="200"/>
        <w:jc w:val="left"/>
        <w:textAlignment w:val="auto"/>
        <w:outlineLvl w:val="9"/>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《水利水电工程地质勘察规范》（GB 50487-2008）；</w:t>
      </w:r>
    </w:p>
    <w:p w14:paraId="64E11C6A">
      <w:pPr>
        <w:keepNext w:val="0"/>
        <w:keepLines w:val="0"/>
        <w:pageBreakBefore w:val="0"/>
        <w:widowControl w:val="0"/>
        <w:numPr>
          <w:ilvl w:val="0"/>
          <w:numId w:val="3"/>
        </w:numPr>
        <w:kinsoku/>
        <w:wordWrap w:val="0"/>
        <w:overflowPunct/>
        <w:topLinePunct/>
        <w:autoSpaceDE/>
        <w:autoSpaceDN/>
        <w:bidi w:val="0"/>
        <w:spacing w:line="400" w:lineRule="exact"/>
        <w:ind w:left="0" w:leftChars="0" w:firstLine="440" w:firstLineChars="200"/>
        <w:jc w:val="left"/>
        <w:textAlignment w:val="auto"/>
        <w:outlineLvl w:val="9"/>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《防洪标准》（GB 50201-2014）；</w:t>
      </w:r>
    </w:p>
    <w:p w14:paraId="2FC0F32E">
      <w:pPr>
        <w:keepNext w:val="0"/>
        <w:keepLines w:val="0"/>
        <w:pageBreakBefore w:val="0"/>
        <w:widowControl w:val="0"/>
        <w:numPr>
          <w:ilvl w:val="0"/>
          <w:numId w:val="3"/>
        </w:numPr>
        <w:kinsoku/>
        <w:wordWrap w:val="0"/>
        <w:overflowPunct/>
        <w:topLinePunct/>
        <w:autoSpaceDE/>
        <w:autoSpaceDN/>
        <w:bidi w:val="0"/>
        <w:spacing w:line="400" w:lineRule="exact"/>
        <w:ind w:left="0" w:leftChars="0" w:firstLine="440" w:firstLineChars="200"/>
        <w:jc w:val="left"/>
        <w:textAlignment w:val="auto"/>
        <w:outlineLvl w:val="9"/>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《水利水电工程等级划分及洪水标准》（SL 252-2017）；</w:t>
      </w:r>
    </w:p>
    <w:p w14:paraId="23A516DC">
      <w:pPr>
        <w:keepNext w:val="0"/>
        <w:keepLines w:val="0"/>
        <w:pageBreakBefore w:val="0"/>
        <w:widowControl w:val="0"/>
        <w:numPr>
          <w:ilvl w:val="0"/>
          <w:numId w:val="3"/>
        </w:numPr>
        <w:kinsoku/>
        <w:wordWrap w:val="0"/>
        <w:overflowPunct/>
        <w:topLinePunct/>
        <w:autoSpaceDE/>
        <w:autoSpaceDN/>
        <w:bidi w:val="0"/>
        <w:spacing w:line="400" w:lineRule="exact"/>
        <w:ind w:left="0" w:leftChars="0" w:firstLine="440" w:firstLineChars="200"/>
        <w:jc w:val="left"/>
        <w:textAlignment w:val="auto"/>
        <w:outlineLvl w:val="9"/>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《水工建筑物抗震设计标准》（GB 51247-2018）；</w:t>
      </w:r>
    </w:p>
    <w:p w14:paraId="3B4D2A95">
      <w:pPr>
        <w:keepNext w:val="0"/>
        <w:keepLines w:val="0"/>
        <w:pageBreakBefore w:val="0"/>
        <w:widowControl w:val="0"/>
        <w:numPr>
          <w:ilvl w:val="0"/>
          <w:numId w:val="3"/>
        </w:numPr>
        <w:kinsoku/>
        <w:wordWrap w:val="0"/>
        <w:overflowPunct/>
        <w:topLinePunct/>
        <w:autoSpaceDE/>
        <w:autoSpaceDN/>
        <w:bidi w:val="0"/>
        <w:spacing w:line="400" w:lineRule="exact"/>
        <w:ind w:left="0" w:leftChars="0" w:firstLine="440" w:firstLineChars="200"/>
        <w:jc w:val="left"/>
        <w:textAlignment w:val="auto"/>
        <w:outlineLvl w:val="9"/>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湖南省水利厅关于水库大坝安全鉴定常态化工作的相关通知及技术要求；</w:t>
      </w:r>
    </w:p>
    <w:p w14:paraId="7D9EB914">
      <w:pPr>
        <w:keepNext w:val="0"/>
        <w:keepLines w:val="0"/>
        <w:pageBreakBefore w:val="0"/>
        <w:widowControl w:val="0"/>
        <w:numPr>
          <w:ilvl w:val="0"/>
          <w:numId w:val="3"/>
        </w:numPr>
        <w:kinsoku/>
        <w:wordWrap w:val="0"/>
        <w:overflowPunct/>
        <w:topLinePunct/>
        <w:autoSpaceDE/>
        <w:autoSpaceDN/>
        <w:bidi w:val="0"/>
        <w:spacing w:line="400" w:lineRule="exact"/>
        <w:ind w:left="0" w:leftChars="0" w:firstLine="440" w:firstLineChars="200"/>
        <w:jc w:val="left"/>
        <w:textAlignment w:val="auto"/>
        <w:outlineLvl w:val="9"/>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其他国家、水利行业现行有效的技术标准、规范及规程。</w:t>
      </w:r>
    </w:p>
    <w:p w14:paraId="1B616260">
      <w:pPr>
        <w:keepNext w:val="0"/>
        <w:keepLines w:val="0"/>
        <w:pageBreakBefore w:val="0"/>
        <w:widowControl w:val="0"/>
        <w:numPr>
          <w:ilvl w:val="0"/>
          <w:numId w:val="0"/>
        </w:numPr>
        <w:kinsoku/>
        <w:wordWrap w:val="0"/>
        <w:overflowPunct/>
        <w:topLinePunct/>
        <w:autoSpaceDE/>
        <w:autoSpaceDN/>
        <w:bidi w:val="0"/>
        <w:spacing w:line="400" w:lineRule="exact"/>
        <w:ind w:left="0" w:leftChars="0" w:firstLine="440" w:firstLineChars="200"/>
        <w:jc w:val="left"/>
        <w:textAlignment w:val="auto"/>
        <w:outlineLvl w:val="9"/>
        <w:rPr>
          <w:rFonts w:hint="eastAsia" w:ascii="宋体" w:hAnsi="宋体" w:eastAsia="宋体" w:cs="宋体"/>
          <w:color w:val="auto"/>
          <w:sz w:val="22"/>
          <w:szCs w:val="22"/>
          <w:highlight w:val="none"/>
        </w:rPr>
      </w:pPr>
      <w:r>
        <w:rPr>
          <w:rFonts w:hint="eastAsia" w:ascii="宋体" w:hAnsi="宋体" w:eastAsia="宋体" w:cs="宋体"/>
          <w:b w:val="0"/>
          <w:bCs/>
          <w:color w:val="auto"/>
          <w:sz w:val="22"/>
          <w:szCs w:val="22"/>
          <w:highlight w:val="none"/>
        </w:rPr>
        <w:t>鉴定成果需通过</w:t>
      </w:r>
      <w:r>
        <w:rPr>
          <w:rFonts w:hint="eastAsia" w:ascii="宋体" w:hAnsi="宋体" w:eastAsia="宋体" w:cs="宋体"/>
          <w:b w:val="0"/>
          <w:bCs/>
          <w:color w:val="auto"/>
          <w:sz w:val="22"/>
          <w:szCs w:val="22"/>
          <w:highlight w:val="none"/>
          <w:lang w:val="en-US" w:eastAsia="zh-CN"/>
        </w:rPr>
        <w:t>水利行政主管部门</w:t>
      </w:r>
      <w:r>
        <w:rPr>
          <w:rFonts w:hint="eastAsia" w:ascii="宋体" w:hAnsi="宋体" w:eastAsia="宋体" w:cs="宋体"/>
          <w:b w:val="0"/>
          <w:bCs/>
          <w:color w:val="auto"/>
          <w:sz w:val="22"/>
          <w:szCs w:val="22"/>
          <w:highlight w:val="none"/>
        </w:rPr>
        <w:t>组织的专家审</w:t>
      </w:r>
      <w:r>
        <w:rPr>
          <w:rFonts w:hint="eastAsia" w:ascii="宋体" w:hAnsi="宋体" w:eastAsia="宋体" w:cs="宋体"/>
          <w:b w:val="0"/>
          <w:bCs/>
          <w:color w:val="auto"/>
          <w:sz w:val="22"/>
          <w:szCs w:val="22"/>
          <w:highlight w:val="none"/>
          <w:lang w:val="en-US" w:eastAsia="zh-CN"/>
        </w:rPr>
        <w:t>定</w:t>
      </w:r>
      <w:r>
        <w:rPr>
          <w:rFonts w:hint="eastAsia" w:ascii="宋体" w:hAnsi="宋体" w:eastAsia="宋体" w:cs="宋体"/>
          <w:b w:val="0"/>
          <w:bCs/>
          <w:color w:val="auto"/>
          <w:sz w:val="22"/>
          <w:szCs w:val="22"/>
          <w:highlight w:val="none"/>
        </w:rPr>
        <w:t>，若成果不符合要求，</w:t>
      </w:r>
      <w:r>
        <w:rPr>
          <w:rFonts w:hint="eastAsia" w:ascii="宋体" w:hAnsi="宋体" w:eastAsia="宋体" w:cs="宋体"/>
          <w:color w:val="auto"/>
          <w:sz w:val="22"/>
          <w:szCs w:val="22"/>
          <w:highlight w:val="none"/>
        </w:rPr>
        <w:t>供应商需无偿修改完善直至通过审定，由此产生的一切费用由供应商承担。</w:t>
      </w:r>
    </w:p>
    <w:p w14:paraId="439AFFDB">
      <w:pPr>
        <w:keepNext w:val="0"/>
        <w:keepLines w:val="0"/>
        <w:pageBreakBefore w:val="0"/>
        <w:widowControl w:val="0"/>
        <w:kinsoku/>
        <w:wordWrap w:val="0"/>
        <w:overflowPunct/>
        <w:topLinePunct/>
        <w:autoSpaceDE/>
        <w:autoSpaceDN/>
        <w:bidi w:val="0"/>
        <w:adjustRightInd/>
        <w:snapToGrid/>
        <w:spacing w:line="400" w:lineRule="exact"/>
        <w:ind w:left="0" w:leftChars="0" w:firstLine="442" w:firstLineChars="200"/>
        <w:jc w:val="left"/>
        <w:textAlignment w:val="auto"/>
        <w:outlineLvl w:val="9"/>
        <w:rPr>
          <w:rFonts w:hint="eastAsia" w:ascii="宋体" w:hAnsi="宋体" w:eastAsia="宋体" w:cs="宋体"/>
          <w:b/>
          <w:color w:val="auto"/>
          <w:sz w:val="22"/>
          <w:szCs w:val="22"/>
          <w:highlight w:val="none"/>
          <w:lang w:val="en-US" w:eastAsia="zh-CN"/>
        </w:rPr>
      </w:pPr>
      <w:bookmarkStart w:id="8" w:name="heading_8"/>
      <w:r>
        <w:rPr>
          <w:rFonts w:hint="eastAsia" w:ascii="宋体" w:hAnsi="宋体" w:eastAsia="宋体" w:cs="宋体"/>
          <w:b/>
          <w:color w:val="auto"/>
          <w:sz w:val="22"/>
          <w:szCs w:val="22"/>
          <w:highlight w:val="none"/>
          <w:lang w:val="en-US" w:eastAsia="zh-CN"/>
        </w:rPr>
        <w:t>六、成果交付要求</w:t>
      </w:r>
      <w:bookmarkEnd w:id="8"/>
    </w:p>
    <w:p w14:paraId="355A9FB0">
      <w:pPr>
        <w:keepNext w:val="0"/>
        <w:keepLines w:val="0"/>
        <w:pageBreakBefore w:val="0"/>
        <w:widowControl w:val="0"/>
        <w:numPr>
          <w:ilvl w:val="0"/>
          <w:numId w:val="0"/>
        </w:numPr>
        <w:kinsoku/>
        <w:wordWrap w:val="0"/>
        <w:overflowPunct/>
        <w:topLinePunct/>
        <w:autoSpaceDE/>
        <w:autoSpaceDN/>
        <w:bidi w:val="0"/>
        <w:adjustRightInd/>
        <w:snapToGrid/>
        <w:spacing w:line="400" w:lineRule="exact"/>
        <w:ind w:left="0" w:leftChars="0" w:firstLine="440" w:firstLineChars="200"/>
        <w:jc w:val="left"/>
        <w:textAlignment w:val="auto"/>
        <w:outlineLvl w:val="9"/>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1.</w:t>
      </w:r>
      <w:r>
        <w:rPr>
          <w:rFonts w:hint="eastAsia" w:ascii="宋体" w:hAnsi="宋体" w:eastAsia="宋体" w:cs="宋体"/>
          <w:color w:val="auto"/>
          <w:sz w:val="22"/>
          <w:szCs w:val="22"/>
          <w:highlight w:val="none"/>
        </w:rPr>
        <w:t>交付内容：根据大坝安全鉴定工作内容，提交完整的《大坝综合安全评价报告》，须包括以下专题报告： (1） 现状调查分析报告、（2）工程地质勘察报告、（3）大坝安全评价报告、（4）大坝安全鉴定报告及最新有关规范、标准的规定要求提供的其他成果（备注：需同时提供电子文档、文字 word 格式、地形图为 cad 格式）。成果文件要求文字清晰、整齐，表格齐全，表述逻辑严密，满足相关部门审查（或验收）相关要求</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报告及图纸深度满足国家规范要求。</w:t>
      </w:r>
    </w:p>
    <w:p w14:paraId="1930D308">
      <w:pPr>
        <w:keepNext w:val="0"/>
        <w:keepLines w:val="0"/>
        <w:pageBreakBefore w:val="0"/>
        <w:widowControl w:val="0"/>
        <w:numPr>
          <w:ilvl w:val="0"/>
          <w:numId w:val="0"/>
        </w:numPr>
        <w:kinsoku/>
        <w:wordWrap w:val="0"/>
        <w:overflowPunct/>
        <w:topLinePunct/>
        <w:autoSpaceDE/>
        <w:autoSpaceDN/>
        <w:bidi w:val="0"/>
        <w:adjustRightInd/>
        <w:snapToGrid/>
        <w:spacing w:line="400" w:lineRule="exact"/>
        <w:ind w:left="0" w:leftChars="0" w:firstLine="440" w:firstLineChars="200"/>
        <w:jc w:val="left"/>
        <w:textAlignment w:val="auto"/>
        <w:outlineLvl w:val="9"/>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供应商保证设计成果不侵犯第三方知识产权，若发生侵权纠纷导致采购人损失的，应全额赔偿并承担维权费用。</w:t>
      </w:r>
    </w:p>
    <w:p w14:paraId="196D9D18">
      <w:pPr>
        <w:keepNext w:val="0"/>
        <w:keepLines w:val="0"/>
        <w:pageBreakBefore w:val="0"/>
        <w:widowControl w:val="0"/>
        <w:numPr>
          <w:ilvl w:val="0"/>
          <w:numId w:val="0"/>
        </w:numPr>
        <w:kinsoku/>
        <w:wordWrap w:val="0"/>
        <w:overflowPunct/>
        <w:topLinePunct/>
        <w:autoSpaceDE/>
        <w:autoSpaceDN/>
        <w:bidi w:val="0"/>
        <w:adjustRightInd/>
        <w:snapToGrid/>
        <w:spacing w:line="400" w:lineRule="exact"/>
        <w:ind w:left="0" w:leftChars="0" w:firstLine="440" w:firstLineChars="200"/>
        <w:jc w:val="left"/>
        <w:textAlignment w:val="auto"/>
        <w:outlineLvl w:val="9"/>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供应商违反保密义务的，除赔偿采购人实际损失外，另按合同总额30%支付惩罚性违约金。</w:t>
      </w:r>
    </w:p>
    <w:p w14:paraId="3818FED6">
      <w:pPr>
        <w:keepNext w:val="0"/>
        <w:keepLines w:val="0"/>
        <w:pageBreakBefore w:val="0"/>
        <w:widowControl w:val="0"/>
        <w:numPr>
          <w:ilvl w:val="0"/>
          <w:numId w:val="0"/>
        </w:numPr>
        <w:kinsoku/>
        <w:wordWrap w:val="0"/>
        <w:overflowPunct/>
        <w:topLinePunct/>
        <w:autoSpaceDE/>
        <w:autoSpaceDN/>
        <w:bidi w:val="0"/>
        <w:adjustRightInd/>
        <w:snapToGrid/>
        <w:spacing w:line="400" w:lineRule="exact"/>
        <w:ind w:left="0" w:leftChars="0" w:firstLine="440" w:firstLineChars="200"/>
        <w:jc w:val="left"/>
        <w:textAlignment w:val="auto"/>
        <w:outlineLvl w:val="9"/>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2.</w:t>
      </w:r>
      <w:r>
        <w:rPr>
          <w:rFonts w:hint="eastAsia" w:ascii="宋体" w:hAnsi="宋体" w:eastAsia="宋体" w:cs="宋体"/>
          <w:color w:val="auto"/>
          <w:sz w:val="22"/>
          <w:szCs w:val="22"/>
          <w:highlight w:val="none"/>
        </w:rPr>
        <w:t>交付数量：纸质版成果一式6份（需装订成册、加盖公章），电子版成果（U盘存储，含可编辑版本及PDF版本）一份，成果需按单库分类整理，便于查阅存档。</w:t>
      </w:r>
    </w:p>
    <w:p w14:paraId="79630457">
      <w:pPr>
        <w:keepNext w:val="0"/>
        <w:keepLines w:val="0"/>
        <w:pageBreakBefore w:val="0"/>
        <w:widowControl w:val="0"/>
        <w:numPr>
          <w:ilvl w:val="0"/>
          <w:numId w:val="0"/>
        </w:numPr>
        <w:kinsoku/>
        <w:wordWrap w:val="0"/>
        <w:overflowPunct/>
        <w:topLinePunct/>
        <w:autoSpaceDE/>
        <w:autoSpaceDN/>
        <w:bidi w:val="0"/>
        <w:adjustRightInd/>
        <w:snapToGrid/>
        <w:spacing w:line="400" w:lineRule="exact"/>
        <w:ind w:left="0" w:leftChars="0" w:firstLine="440" w:firstLineChars="200"/>
        <w:jc w:val="left"/>
        <w:textAlignment w:val="auto"/>
        <w:outlineLvl w:val="9"/>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3.</w:t>
      </w:r>
      <w:r>
        <w:rPr>
          <w:rFonts w:hint="eastAsia" w:ascii="宋体" w:hAnsi="宋体" w:eastAsia="宋体" w:cs="宋体"/>
          <w:color w:val="auto"/>
          <w:sz w:val="22"/>
          <w:szCs w:val="22"/>
          <w:highlight w:val="none"/>
        </w:rPr>
        <w:t>交付时间：全部成果需在服务周期内完成交付，通过相关部门审查和批复。</w:t>
      </w:r>
    </w:p>
    <w:p w14:paraId="6B1720AC">
      <w:pPr>
        <w:keepNext w:val="0"/>
        <w:keepLines w:val="0"/>
        <w:pageBreakBefore w:val="0"/>
        <w:widowControl w:val="0"/>
        <w:kinsoku/>
        <w:wordWrap w:val="0"/>
        <w:overflowPunct/>
        <w:topLinePunct/>
        <w:autoSpaceDE/>
        <w:autoSpaceDN/>
        <w:bidi w:val="0"/>
        <w:adjustRightInd/>
        <w:snapToGrid/>
        <w:spacing w:line="400" w:lineRule="exact"/>
        <w:ind w:left="0" w:leftChars="0" w:firstLine="442" w:firstLineChars="200"/>
        <w:jc w:val="left"/>
        <w:textAlignment w:val="auto"/>
        <w:outlineLvl w:val="9"/>
        <w:rPr>
          <w:rFonts w:hint="eastAsia" w:ascii="宋体" w:hAnsi="宋体" w:eastAsia="宋体" w:cs="宋体"/>
          <w:b/>
          <w:color w:val="auto"/>
          <w:sz w:val="22"/>
          <w:szCs w:val="22"/>
          <w:highlight w:val="none"/>
          <w:lang w:val="en-US" w:eastAsia="zh-CN"/>
        </w:rPr>
      </w:pPr>
      <w:bookmarkStart w:id="9" w:name="heading_11"/>
      <w:r>
        <w:rPr>
          <w:rFonts w:hint="eastAsia" w:ascii="宋体" w:hAnsi="宋体" w:eastAsia="宋体" w:cs="宋体"/>
          <w:b/>
          <w:color w:val="auto"/>
          <w:sz w:val="22"/>
          <w:szCs w:val="22"/>
          <w:highlight w:val="none"/>
          <w:lang w:val="en-US" w:eastAsia="zh-CN"/>
        </w:rPr>
        <w:t>七、验收标准及方式</w:t>
      </w:r>
      <w:bookmarkEnd w:id="9"/>
    </w:p>
    <w:p w14:paraId="44180D8E">
      <w:pPr>
        <w:keepNext w:val="0"/>
        <w:keepLines w:val="0"/>
        <w:pageBreakBefore w:val="0"/>
        <w:widowControl w:val="0"/>
        <w:kinsoku/>
        <w:wordWrap w:val="0"/>
        <w:overflowPunct/>
        <w:topLinePunct/>
        <w:autoSpaceDE/>
        <w:autoSpaceDN/>
        <w:bidi w:val="0"/>
        <w:spacing w:line="400" w:lineRule="exact"/>
        <w:ind w:left="0" w:leftChars="0" w:firstLine="442" w:firstLineChars="200"/>
        <w:jc w:val="left"/>
        <w:textAlignment w:val="auto"/>
        <w:outlineLvl w:val="9"/>
        <w:rPr>
          <w:rFonts w:hint="eastAsia" w:ascii="宋体" w:hAnsi="宋体" w:eastAsia="宋体" w:cs="宋体"/>
          <w:color w:val="auto"/>
          <w:sz w:val="22"/>
          <w:szCs w:val="22"/>
          <w:highlight w:val="none"/>
        </w:rPr>
      </w:pPr>
      <w:bookmarkStart w:id="10" w:name="heading_12"/>
      <w:r>
        <w:rPr>
          <w:rFonts w:hint="eastAsia" w:ascii="宋体" w:hAnsi="宋体" w:eastAsia="宋体" w:cs="宋体"/>
          <w:b/>
          <w:color w:val="auto"/>
          <w:sz w:val="22"/>
          <w:szCs w:val="22"/>
          <w:highlight w:val="none"/>
        </w:rPr>
        <w:t>（一）验收标准</w:t>
      </w:r>
      <w:bookmarkEnd w:id="10"/>
    </w:p>
    <w:p w14:paraId="43C28D4C">
      <w:pPr>
        <w:keepNext w:val="0"/>
        <w:keepLines w:val="0"/>
        <w:pageBreakBefore w:val="0"/>
        <w:widowControl w:val="0"/>
        <w:numPr>
          <w:ilvl w:val="0"/>
          <w:numId w:val="0"/>
        </w:numPr>
        <w:kinsoku/>
        <w:wordWrap w:val="0"/>
        <w:overflowPunct/>
        <w:topLinePunct/>
        <w:autoSpaceDE/>
        <w:autoSpaceDN/>
        <w:bidi w:val="0"/>
        <w:spacing w:line="400" w:lineRule="exact"/>
        <w:ind w:leftChars="200"/>
        <w:jc w:val="left"/>
        <w:textAlignment w:val="auto"/>
        <w:outlineLvl w:val="9"/>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1.</w:t>
      </w:r>
      <w:r>
        <w:rPr>
          <w:rFonts w:hint="eastAsia" w:ascii="宋体" w:hAnsi="宋体" w:eastAsia="宋体" w:cs="宋体"/>
          <w:color w:val="auto"/>
          <w:sz w:val="22"/>
          <w:szCs w:val="22"/>
          <w:highlight w:val="none"/>
        </w:rPr>
        <w:t>成果文件完整、规范，符合本采购需求及相关技术标准要求；</w:t>
      </w:r>
    </w:p>
    <w:p w14:paraId="009F9DF0">
      <w:pPr>
        <w:keepNext w:val="0"/>
        <w:keepLines w:val="0"/>
        <w:pageBreakBefore w:val="0"/>
        <w:widowControl w:val="0"/>
        <w:numPr>
          <w:ilvl w:val="0"/>
          <w:numId w:val="0"/>
        </w:numPr>
        <w:kinsoku/>
        <w:wordWrap w:val="0"/>
        <w:overflowPunct/>
        <w:topLinePunct/>
        <w:autoSpaceDE/>
        <w:autoSpaceDN/>
        <w:bidi w:val="0"/>
        <w:spacing w:line="400" w:lineRule="exact"/>
        <w:ind w:leftChars="200"/>
        <w:jc w:val="left"/>
        <w:textAlignment w:val="auto"/>
        <w:outlineLvl w:val="9"/>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2.</w:t>
      </w:r>
      <w:r>
        <w:rPr>
          <w:rFonts w:hint="eastAsia" w:ascii="宋体" w:hAnsi="宋体" w:eastAsia="宋体" w:cs="宋体"/>
          <w:color w:val="auto"/>
          <w:sz w:val="22"/>
          <w:szCs w:val="22"/>
          <w:highlight w:val="none"/>
        </w:rPr>
        <w:t>测量、勘察数据真实、准确，试验检测流程合规，成果可追溯；</w:t>
      </w:r>
    </w:p>
    <w:p w14:paraId="350212E9">
      <w:pPr>
        <w:keepNext w:val="0"/>
        <w:keepLines w:val="0"/>
        <w:pageBreakBefore w:val="0"/>
        <w:widowControl w:val="0"/>
        <w:numPr>
          <w:ilvl w:val="0"/>
          <w:numId w:val="0"/>
        </w:numPr>
        <w:kinsoku/>
        <w:wordWrap w:val="0"/>
        <w:overflowPunct/>
        <w:topLinePunct/>
        <w:autoSpaceDE/>
        <w:autoSpaceDN/>
        <w:bidi w:val="0"/>
        <w:spacing w:line="400" w:lineRule="exact"/>
        <w:ind w:leftChars="200"/>
        <w:jc w:val="left"/>
        <w:textAlignment w:val="auto"/>
        <w:outlineLvl w:val="9"/>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3.</w:t>
      </w:r>
      <w:r>
        <w:rPr>
          <w:rFonts w:hint="eastAsia" w:ascii="宋体" w:hAnsi="宋体" w:eastAsia="宋体" w:cs="宋体"/>
          <w:color w:val="auto"/>
          <w:sz w:val="22"/>
          <w:szCs w:val="22"/>
          <w:highlight w:val="none"/>
        </w:rPr>
        <w:t>安全评价分析深入，结论明确，建议具有针对性和可操作性；</w:t>
      </w:r>
    </w:p>
    <w:p w14:paraId="10F3137B">
      <w:pPr>
        <w:keepNext w:val="0"/>
        <w:keepLines w:val="0"/>
        <w:pageBreakBefore w:val="0"/>
        <w:widowControl w:val="0"/>
        <w:numPr>
          <w:ilvl w:val="0"/>
          <w:numId w:val="0"/>
        </w:numPr>
        <w:kinsoku/>
        <w:wordWrap w:val="0"/>
        <w:overflowPunct/>
        <w:topLinePunct/>
        <w:autoSpaceDE/>
        <w:autoSpaceDN/>
        <w:bidi w:val="0"/>
        <w:spacing w:line="400" w:lineRule="exact"/>
        <w:ind w:leftChars="200"/>
        <w:jc w:val="left"/>
        <w:textAlignment w:val="auto"/>
        <w:outlineLvl w:val="9"/>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4.</w:t>
      </w:r>
      <w:r>
        <w:rPr>
          <w:rFonts w:hint="eastAsia" w:ascii="宋体" w:hAnsi="宋体" w:eastAsia="宋体" w:cs="宋体"/>
          <w:color w:val="auto"/>
          <w:sz w:val="22"/>
          <w:szCs w:val="22"/>
          <w:highlight w:val="none"/>
        </w:rPr>
        <w:t>通过</w:t>
      </w:r>
      <w:r>
        <w:rPr>
          <w:rFonts w:hint="eastAsia" w:ascii="宋体" w:hAnsi="宋体" w:eastAsia="宋体" w:cs="宋体"/>
          <w:color w:val="auto"/>
          <w:sz w:val="22"/>
          <w:szCs w:val="22"/>
          <w:highlight w:val="none"/>
          <w:lang w:val="en-US" w:eastAsia="zh-CN"/>
        </w:rPr>
        <w:t>祁东</w:t>
      </w:r>
      <w:r>
        <w:rPr>
          <w:rFonts w:hint="eastAsia" w:ascii="宋体" w:hAnsi="宋体" w:eastAsia="宋体" w:cs="宋体"/>
          <w:color w:val="auto"/>
          <w:sz w:val="22"/>
          <w:szCs w:val="22"/>
          <w:highlight w:val="none"/>
        </w:rPr>
        <w:t>县水利局组织的专家</w:t>
      </w:r>
      <w:r>
        <w:rPr>
          <w:rFonts w:hint="eastAsia" w:ascii="宋体" w:hAnsi="宋体" w:eastAsia="宋体" w:cs="宋体"/>
          <w:color w:val="auto"/>
          <w:sz w:val="22"/>
          <w:szCs w:val="22"/>
          <w:highlight w:val="none"/>
          <w:lang w:val="en-US" w:eastAsia="zh-CN"/>
        </w:rPr>
        <w:t>评审</w:t>
      </w:r>
      <w:r>
        <w:rPr>
          <w:rFonts w:hint="eastAsia" w:ascii="宋体" w:hAnsi="宋体" w:eastAsia="宋体" w:cs="宋体"/>
          <w:color w:val="auto"/>
          <w:sz w:val="22"/>
          <w:szCs w:val="22"/>
          <w:highlight w:val="none"/>
        </w:rPr>
        <w:t>，取得正式审定意见。</w:t>
      </w:r>
    </w:p>
    <w:p w14:paraId="053F78E1">
      <w:pPr>
        <w:keepNext w:val="0"/>
        <w:keepLines w:val="0"/>
        <w:pageBreakBefore w:val="0"/>
        <w:widowControl w:val="0"/>
        <w:kinsoku/>
        <w:wordWrap w:val="0"/>
        <w:overflowPunct/>
        <w:topLinePunct/>
        <w:autoSpaceDE/>
        <w:autoSpaceDN/>
        <w:bidi w:val="0"/>
        <w:spacing w:line="400" w:lineRule="exact"/>
        <w:ind w:left="0" w:leftChars="0" w:firstLine="442" w:firstLineChars="200"/>
        <w:jc w:val="left"/>
        <w:textAlignment w:val="auto"/>
        <w:outlineLvl w:val="9"/>
        <w:rPr>
          <w:rFonts w:hint="eastAsia" w:ascii="宋体" w:hAnsi="宋体" w:eastAsia="宋体" w:cs="宋体"/>
          <w:color w:val="auto"/>
          <w:sz w:val="22"/>
          <w:szCs w:val="22"/>
          <w:highlight w:val="none"/>
        </w:rPr>
      </w:pPr>
      <w:bookmarkStart w:id="11" w:name="heading_13"/>
      <w:r>
        <w:rPr>
          <w:rFonts w:hint="eastAsia" w:ascii="宋体" w:hAnsi="宋体" w:eastAsia="宋体" w:cs="宋体"/>
          <w:b/>
          <w:color w:val="auto"/>
          <w:sz w:val="22"/>
          <w:szCs w:val="22"/>
          <w:highlight w:val="none"/>
        </w:rPr>
        <w:t>（二）验收方式</w:t>
      </w:r>
      <w:bookmarkEnd w:id="11"/>
    </w:p>
    <w:p w14:paraId="45EAC03D">
      <w:pPr>
        <w:keepNext w:val="0"/>
        <w:keepLines w:val="0"/>
        <w:pageBreakBefore w:val="0"/>
        <w:widowControl w:val="0"/>
        <w:kinsoku/>
        <w:wordWrap w:val="0"/>
        <w:overflowPunct/>
        <w:topLinePunct/>
        <w:autoSpaceDE/>
        <w:autoSpaceDN/>
        <w:bidi w:val="0"/>
        <w:spacing w:line="400" w:lineRule="exact"/>
        <w:ind w:left="0" w:leftChars="0" w:firstLine="440" w:firstLineChars="200"/>
        <w:jc w:val="left"/>
        <w:textAlignment w:val="auto"/>
        <w:outlineLvl w:val="9"/>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采购单位组织专家成立验收小组，采用资料核查、现场核查、专家评审相结合的方式进行验收。验收合格的，出具验收报告；验收不合格的，供应商需在规定期限内整改完善，重新申请验收，直至验收合格。</w:t>
      </w:r>
    </w:p>
    <w:p w14:paraId="66C134B0">
      <w:pPr>
        <w:ind w:firstLine="422" w:firstLineChars="200"/>
        <w:rPr>
          <w:rFonts w:hint="eastAsia" w:ascii="Times New Roman" w:hAnsi="Times New Roman" w:eastAsia="宋体" w:cs="宋体"/>
          <w:b/>
          <w:bCs/>
          <w:iCs w:val="0"/>
          <w:color w:val="auto"/>
          <w:spacing w:val="0"/>
          <w:kern w:val="0"/>
          <w:sz w:val="21"/>
          <w:szCs w:val="21"/>
          <w:highlight w:val="none"/>
          <w:lang w:val="en-US" w:eastAsia="zh-CN"/>
        </w:rPr>
      </w:pPr>
      <w:bookmarkStart w:id="12" w:name="heading_14"/>
      <w:r>
        <w:rPr>
          <w:rFonts w:hint="eastAsia" w:ascii="Times New Roman" w:hAnsi="Times New Roman" w:eastAsia="宋体" w:cs="宋体"/>
          <w:b/>
          <w:bCs/>
          <w:iCs w:val="0"/>
          <w:color w:val="auto"/>
          <w:spacing w:val="0"/>
          <w:kern w:val="0"/>
          <w:sz w:val="21"/>
          <w:szCs w:val="21"/>
          <w:highlight w:val="none"/>
          <w:lang w:val="en-US" w:eastAsia="zh-CN"/>
        </w:rPr>
        <w:t>八、其他要求</w:t>
      </w:r>
      <w:bookmarkEnd w:id="12"/>
    </w:p>
    <w:p w14:paraId="594CD796">
      <w:pPr>
        <w:keepNext w:val="0"/>
        <w:keepLines w:val="0"/>
        <w:pageBreakBefore w:val="0"/>
        <w:widowControl w:val="0"/>
        <w:numPr>
          <w:ilvl w:val="0"/>
          <w:numId w:val="4"/>
        </w:numPr>
        <w:kinsoku/>
        <w:wordWrap w:val="0"/>
        <w:overflowPunct/>
        <w:topLinePunct/>
        <w:autoSpaceDE/>
        <w:autoSpaceDN/>
        <w:bidi w:val="0"/>
        <w:spacing w:line="400" w:lineRule="exact"/>
        <w:ind w:left="0" w:leftChars="0" w:firstLine="440" w:firstLineChars="200"/>
        <w:jc w:val="left"/>
        <w:textAlignment w:val="auto"/>
        <w:outlineLvl w:val="9"/>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供应商</w:t>
      </w:r>
      <w:r>
        <w:rPr>
          <w:rFonts w:hint="eastAsia" w:ascii="宋体" w:hAnsi="宋体" w:eastAsia="宋体" w:cs="宋体"/>
          <w:color w:val="auto"/>
          <w:sz w:val="22"/>
          <w:szCs w:val="22"/>
          <w:highlight w:val="none"/>
          <w:lang w:val="en-US" w:eastAsia="zh-CN"/>
        </w:rPr>
        <w:t>须</w:t>
      </w:r>
      <w:r>
        <w:rPr>
          <w:rFonts w:hint="eastAsia" w:ascii="宋体" w:hAnsi="宋体" w:eastAsia="宋体" w:cs="宋体"/>
          <w:color w:val="auto"/>
          <w:sz w:val="22"/>
          <w:szCs w:val="22"/>
          <w:highlight w:val="none"/>
        </w:rPr>
        <w:t>制定详细的工作方案</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lang w:val="en-US" w:eastAsia="zh-CN"/>
        </w:rPr>
        <w:t>方案内容至少应</w:t>
      </w:r>
      <w:r>
        <w:rPr>
          <w:rFonts w:hint="eastAsia" w:ascii="宋体" w:hAnsi="宋体" w:eastAsia="宋体" w:cs="宋体"/>
          <w:color w:val="auto"/>
          <w:sz w:val="22"/>
          <w:szCs w:val="22"/>
          <w:highlight w:val="none"/>
        </w:rPr>
        <w:t>明确工作进度、人员配置、质量管控措施及安全保障措施，确保鉴定工作有序开展。</w:t>
      </w:r>
    </w:p>
    <w:p w14:paraId="000A8D92">
      <w:pPr>
        <w:keepNext w:val="0"/>
        <w:keepLines w:val="0"/>
        <w:pageBreakBefore w:val="0"/>
        <w:widowControl w:val="0"/>
        <w:numPr>
          <w:ilvl w:val="0"/>
          <w:numId w:val="4"/>
        </w:numPr>
        <w:kinsoku/>
        <w:wordWrap w:val="0"/>
        <w:overflowPunct/>
        <w:topLinePunct/>
        <w:autoSpaceDE/>
        <w:autoSpaceDN/>
        <w:bidi w:val="0"/>
        <w:spacing w:line="400" w:lineRule="exact"/>
        <w:ind w:left="0" w:leftChars="0" w:firstLine="440" w:firstLineChars="200"/>
        <w:jc w:val="left"/>
        <w:textAlignment w:val="auto"/>
        <w:outlineLvl w:val="9"/>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严格遵守施工现场管理规定，做好安全生产工作，杜绝安全事故发生，因供应商原因造成的安全事故及损失，由供应商全权承担。</w:t>
      </w:r>
    </w:p>
    <w:p w14:paraId="555E03B6">
      <w:pPr>
        <w:keepNext w:val="0"/>
        <w:keepLines w:val="0"/>
        <w:pageBreakBefore w:val="0"/>
        <w:widowControl w:val="0"/>
        <w:numPr>
          <w:ilvl w:val="0"/>
          <w:numId w:val="4"/>
        </w:numPr>
        <w:kinsoku/>
        <w:wordWrap w:val="0"/>
        <w:overflowPunct/>
        <w:topLinePunct/>
        <w:autoSpaceDE/>
        <w:autoSpaceDN/>
        <w:bidi w:val="0"/>
        <w:spacing w:line="400" w:lineRule="exact"/>
        <w:ind w:left="0" w:leftChars="0" w:firstLine="440" w:firstLineChars="200"/>
        <w:jc w:val="left"/>
        <w:textAlignment w:val="auto"/>
        <w:outlineLvl w:val="9"/>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妥善保管采购单位提供的基础资料，未经允许不得擅自泄露、复制或用于本项目以外的其他用途，项目完成后需归还所有原始资料，做好保密工作。</w:t>
      </w:r>
    </w:p>
    <w:p w14:paraId="7BF4F49B">
      <w:pPr>
        <w:keepNext w:val="0"/>
        <w:keepLines w:val="0"/>
        <w:pageBreakBefore w:val="0"/>
        <w:widowControl w:val="0"/>
        <w:numPr>
          <w:ilvl w:val="0"/>
          <w:numId w:val="4"/>
        </w:numPr>
        <w:kinsoku/>
        <w:wordWrap w:val="0"/>
        <w:overflowPunct/>
        <w:topLinePunct/>
        <w:autoSpaceDE/>
        <w:autoSpaceDN/>
        <w:bidi w:val="0"/>
        <w:spacing w:line="400" w:lineRule="exact"/>
        <w:ind w:left="0" w:leftChars="0" w:firstLine="440" w:firstLineChars="200"/>
        <w:jc w:val="left"/>
        <w:textAlignment w:val="auto"/>
        <w:outlineLvl w:val="9"/>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4.</w:t>
      </w:r>
      <w:r>
        <w:rPr>
          <w:rFonts w:hint="eastAsia" w:ascii="宋体" w:hAnsi="宋体" w:eastAsia="宋体" w:cs="宋体"/>
          <w:color w:val="auto"/>
          <w:sz w:val="22"/>
          <w:szCs w:val="22"/>
          <w:highlight w:val="none"/>
        </w:rPr>
        <w:t>本项目采用费用包干方式进行</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lang w:val="en-US" w:eastAsia="zh-CN"/>
        </w:rPr>
        <w:t>包含服务商参与本项目所产生的差旅费、文印费、资料购置与查询费、税金等直至验收合格所产生的一切费用</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供应商应根据项目要求和现场情况，详细列明项目所需的所有费用，如一旦中标，在项目实施中出现任何遗漏，均由供应商免费提供，采购人不再支付任何费用。但因采购人提供的基础资料错误导致的修改调整除外。</w:t>
      </w:r>
    </w:p>
    <w:p w14:paraId="41C85A57">
      <w:pPr>
        <w:keepNext w:val="0"/>
        <w:keepLines w:val="0"/>
        <w:pageBreakBefore w:val="0"/>
        <w:widowControl w:val="0"/>
        <w:numPr>
          <w:ilvl w:val="0"/>
          <w:numId w:val="0"/>
        </w:numPr>
        <w:kinsoku/>
        <w:wordWrap w:val="0"/>
        <w:overflowPunct/>
        <w:topLinePunct/>
        <w:autoSpaceDE/>
        <w:autoSpaceDN/>
        <w:bidi w:val="0"/>
        <w:adjustRightInd/>
        <w:snapToGrid/>
        <w:spacing w:line="400" w:lineRule="exact"/>
        <w:ind w:leftChars="0" w:firstLine="440" w:firstLineChars="200"/>
        <w:jc w:val="left"/>
        <w:textAlignment w:val="auto"/>
        <w:outlineLvl w:val="9"/>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5.</w:t>
      </w:r>
      <w:r>
        <w:rPr>
          <w:rFonts w:hint="eastAsia" w:ascii="宋体" w:hAnsi="宋体" w:eastAsia="宋体" w:cs="宋体"/>
          <w:color w:val="auto"/>
          <w:sz w:val="22"/>
          <w:szCs w:val="22"/>
          <w:highlight w:val="none"/>
        </w:rPr>
        <w:t>本采购需求未尽事宜，按国家及湖南省相关法律法规、技术标准执行，采购单位有权根据实际工作需要补充明确相关要求，供应商需积极配合。</w:t>
      </w:r>
    </w:p>
    <w:p w14:paraId="7F2415E0">
      <w:pPr>
        <w:keepNext w:val="0"/>
        <w:keepLines w:val="0"/>
        <w:pageBreakBefore w:val="0"/>
        <w:widowControl w:val="0"/>
        <w:kinsoku/>
        <w:wordWrap w:val="0"/>
        <w:overflowPunct/>
        <w:topLinePunct/>
        <w:autoSpaceDE/>
        <w:autoSpaceDN/>
        <w:bidi w:val="0"/>
        <w:adjustRightInd w:val="0"/>
        <w:snapToGrid w:val="0"/>
        <w:spacing w:line="400" w:lineRule="exact"/>
        <w:ind w:left="0" w:leftChars="0" w:firstLine="442" w:firstLineChars="200"/>
        <w:jc w:val="left"/>
        <w:textAlignment w:val="auto"/>
        <w:outlineLvl w:val="9"/>
        <w:rPr>
          <w:rFonts w:hint="eastAsia" w:ascii="宋体" w:hAnsi="宋体" w:eastAsia="宋体" w:cs="宋体"/>
          <w:b/>
          <w:bCs/>
          <w:color w:val="auto"/>
          <w:sz w:val="22"/>
          <w:highlight w:val="none"/>
        </w:rPr>
      </w:pPr>
    </w:p>
    <w:p w14:paraId="790F0BED">
      <w:pPr>
        <w:keepNext w:val="0"/>
        <w:keepLines w:val="0"/>
        <w:pageBreakBefore w:val="0"/>
        <w:widowControl w:val="0"/>
        <w:kinsoku/>
        <w:wordWrap w:val="0"/>
        <w:overflowPunct/>
        <w:topLinePunct/>
        <w:autoSpaceDE/>
        <w:autoSpaceDN/>
        <w:bidi w:val="0"/>
        <w:adjustRightInd w:val="0"/>
        <w:snapToGrid w:val="0"/>
        <w:spacing w:line="400" w:lineRule="exact"/>
        <w:ind w:left="0" w:leftChars="0" w:firstLine="442" w:firstLineChars="200"/>
        <w:jc w:val="left"/>
        <w:textAlignment w:val="auto"/>
        <w:outlineLvl w:val="9"/>
        <w:rPr>
          <w:rFonts w:ascii="宋体" w:hAnsi="宋体" w:eastAsia="宋体" w:cs="宋体"/>
          <w:b/>
          <w:bCs/>
          <w:color w:val="auto"/>
          <w:sz w:val="22"/>
          <w:highlight w:val="none"/>
        </w:rPr>
      </w:pPr>
      <w:r>
        <w:rPr>
          <w:rFonts w:hint="eastAsia" w:ascii="宋体" w:hAnsi="宋体" w:eastAsia="宋体" w:cs="宋体"/>
          <w:b/>
          <w:bCs/>
          <w:color w:val="auto"/>
          <w:sz w:val="22"/>
          <w:highlight w:val="none"/>
        </w:rPr>
        <w:t>注：对于上述项目要求，投标人应在投标文件中进行回应，作出承诺及说明。</w:t>
      </w:r>
    </w:p>
    <w:p w14:paraId="1E525BF1">
      <w:pPr>
        <w:keepNext w:val="0"/>
        <w:keepLines w:val="0"/>
        <w:pageBreakBefore w:val="0"/>
        <w:widowControl w:val="0"/>
        <w:kinsoku/>
        <w:wordWrap w:val="0"/>
        <w:overflowPunct/>
        <w:topLinePunct/>
        <w:autoSpaceDE/>
        <w:autoSpaceDN/>
        <w:bidi w:val="0"/>
        <w:adjustRightInd/>
        <w:snapToGrid/>
        <w:spacing w:line="400" w:lineRule="exact"/>
        <w:ind w:left="0" w:leftChars="0" w:firstLine="422" w:firstLineChars="200"/>
        <w:jc w:val="left"/>
        <w:textAlignment w:val="auto"/>
        <w:outlineLvl w:val="9"/>
        <w:rPr>
          <w:rFonts w:hint="eastAsia" w:ascii="宋体" w:hAnsi="宋体" w:eastAsia="宋体" w:cs="Times New Roman"/>
          <w:b/>
          <w:color w:val="auto"/>
          <w:szCs w:val="21"/>
          <w:highlight w:val="none"/>
          <w:lang w:val="en-US" w:eastAsia="zh-CN"/>
        </w:rPr>
      </w:pPr>
    </w:p>
    <w:p w14:paraId="6BCF9E27">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rPr>
          <w:rFonts w:hint="eastAsia" w:ascii="宋体" w:hAnsi="宋体" w:eastAsia="宋体" w:cs="Times New Roman"/>
          <w:b/>
          <w:color w:val="000000"/>
          <w:szCs w:val="21"/>
          <w:highlight w:val="green"/>
          <w:lang w:val="en-US" w:eastAsia="zh-CN"/>
        </w:rPr>
      </w:pPr>
    </w:p>
    <w:p w14:paraId="65793301">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rPr>
          <w:rFonts w:hint="eastAsia" w:ascii="宋体" w:hAnsi="宋体" w:eastAsia="宋体" w:cs="Times New Roman"/>
          <w:b/>
          <w:color w:val="000000"/>
          <w:szCs w:val="21"/>
          <w:highlight w:val="green"/>
          <w:lang w:val="en-US" w:eastAsia="zh-CN"/>
        </w:rPr>
      </w:pPr>
    </w:p>
    <w:p w14:paraId="1BB36703">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rPr>
          <w:rFonts w:hint="eastAsia" w:ascii="宋体" w:hAnsi="宋体" w:eastAsia="宋体" w:cs="Times New Roman"/>
          <w:b/>
          <w:color w:val="000000"/>
          <w:szCs w:val="21"/>
          <w:highlight w:val="green"/>
          <w:lang w:val="en-US" w:eastAsia="zh-CN"/>
        </w:rPr>
      </w:pPr>
    </w:p>
    <w:p w14:paraId="569DAC8D">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rPr>
          <w:rFonts w:hint="eastAsia" w:ascii="宋体" w:hAnsi="宋体" w:eastAsia="宋体" w:cs="Times New Roman"/>
          <w:b/>
          <w:color w:val="000000"/>
          <w:szCs w:val="21"/>
          <w:highlight w:val="green"/>
          <w:lang w:val="en-US" w:eastAsia="zh-CN"/>
        </w:rPr>
      </w:pPr>
    </w:p>
    <w:p w14:paraId="325283C3">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rPr>
          <w:rFonts w:hint="eastAsia" w:ascii="宋体" w:hAnsi="宋体" w:eastAsia="宋体" w:cs="Times New Roman"/>
          <w:b/>
          <w:color w:val="000000"/>
          <w:szCs w:val="21"/>
          <w:highlight w:val="green"/>
          <w:lang w:val="en-US" w:eastAsia="zh-CN"/>
        </w:rPr>
      </w:pPr>
    </w:p>
    <w:p w14:paraId="46B79467">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rPr>
          <w:rFonts w:hint="eastAsia" w:ascii="宋体" w:hAnsi="宋体" w:eastAsia="宋体" w:cs="Times New Roman"/>
          <w:b/>
          <w:color w:val="000000"/>
          <w:szCs w:val="21"/>
          <w:highlight w:val="green"/>
          <w:lang w:val="en-US" w:eastAsia="zh-CN"/>
        </w:rPr>
      </w:pPr>
    </w:p>
    <w:p w14:paraId="4164200A">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rPr>
          <w:rFonts w:hint="eastAsia" w:ascii="宋体" w:hAnsi="宋体" w:eastAsia="宋体" w:cs="Times New Roman"/>
          <w:b/>
          <w:color w:val="000000"/>
          <w:szCs w:val="21"/>
          <w:highlight w:val="green"/>
          <w:lang w:val="en-US" w:eastAsia="zh-CN"/>
        </w:rPr>
      </w:pPr>
    </w:p>
    <w:p w14:paraId="4E431FB5">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rPr>
          <w:rFonts w:hint="eastAsia" w:ascii="宋体" w:hAnsi="宋体" w:eastAsia="宋体" w:cs="Times New Roman"/>
          <w:b/>
          <w:color w:val="000000"/>
          <w:szCs w:val="21"/>
          <w:highlight w:val="green"/>
          <w:lang w:val="en-US" w:eastAsia="zh-CN"/>
        </w:rPr>
      </w:pPr>
    </w:p>
    <w:p w14:paraId="4843EA3E">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rPr>
          <w:rFonts w:hint="eastAsia" w:ascii="宋体" w:hAnsi="宋体" w:eastAsia="宋体" w:cs="Times New Roman"/>
          <w:b/>
          <w:color w:val="000000"/>
          <w:szCs w:val="21"/>
          <w:highlight w:val="green"/>
          <w:lang w:val="en-US" w:eastAsia="zh-CN"/>
        </w:rPr>
      </w:pPr>
      <w:bookmarkStart w:id="13" w:name="_GoBack"/>
      <w:bookmarkEnd w:id="13"/>
    </w:p>
    <w:p w14:paraId="03D0CC81">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rPr>
          <w:rFonts w:hint="eastAsia" w:ascii="宋体" w:hAnsi="宋体" w:eastAsia="宋体" w:cs="Times New Roman"/>
          <w:b/>
          <w:color w:val="000000"/>
          <w:szCs w:val="21"/>
          <w:highlight w:val="green"/>
          <w:lang w:val="en-US" w:eastAsia="zh-CN"/>
        </w:rPr>
      </w:pPr>
    </w:p>
    <w:p w14:paraId="1291ADBD">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rPr>
          <w:rFonts w:hint="eastAsia" w:ascii="宋体" w:hAnsi="宋体" w:eastAsia="宋体" w:cs="Times New Roman"/>
          <w:b/>
          <w:color w:val="000000"/>
          <w:szCs w:val="21"/>
          <w:highlight w:val="green"/>
          <w:lang w:val="en-US" w:eastAsia="zh-CN"/>
        </w:rPr>
      </w:pPr>
    </w:p>
    <w:p w14:paraId="0DFCF7CF">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rPr>
          <w:rFonts w:hint="eastAsia" w:ascii="宋体" w:hAnsi="宋体" w:eastAsia="宋体" w:cs="Times New Roman"/>
          <w:b/>
          <w:color w:val="000000"/>
          <w:szCs w:val="21"/>
          <w:highlight w:val="green"/>
          <w:lang w:val="en-US" w:eastAsia="zh-CN"/>
        </w:rPr>
      </w:pPr>
    </w:p>
    <w:p w14:paraId="47D797BB">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rPr>
          <w:rFonts w:hint="eastAsia" w:ascii="宋体" w:hAnsi="宋体" w:eastAsia="宋体" w:cs="Times New Roman"/>
          <w:b/>
          <w:color w:val="000000"/>
          <w:szCs w:val="21"/>
          <w:highlight w:val="green"/>
          <w:lang w:val="en-US" w:eastAsia="zh-CN"/>
        </w:rPr>
      </w:pPr>
    </w:p>
    <w:p w14:paraId="4D820273">
      <w:pPr>
        <w:jc w:val="center"/>
        <w:rPr>
          <w:rFonts w:hint="eastAsia" w:ascii="宋体" w:hAnsi="宋体" w:eastAsia="宋体" w:cs="宋体"/>
          <w:b/>
          <w:bCs/>
          <w:color w:val="auto"/>
          <w:spacing w:val="30"/>
          <w:kern w:val="0"/>
          <w:sz w:val="21"/>
          <w:szCs w:val="21"/>
        </w:rPr>
      </w:pPr>
      <w:r>
        <w:rPr>
          <w:rFonts w:hint="eastAsia" w:ascii="黑体" w:hAnsi="黑体" w:eastAsia="黑体" w:cs="黑体"/>
          <w:b/>
          <w:bCs w:val="0"/>
          <w:strike w:val="0"/>
          <w:dstrike w:val="0"/>
          <w:color w:val="auto"/>
          <w:sz w:val="28"/>
          <w:szCs w:val="28"/>
          <w:lang w:val="en-US" w:eastAsia="zh-CN"/>
        </w:rPr>
        <w:t>第二节 商务</w:t>
      </w:r>
      <w:r>
        <w:rPr>
          <w:rFonts w:hint="eastAsia" w:ascii="黑体" w:hAnsi="黑体" w:eastAsia="黑体" w:cs="黑体"/>
          <w:b/>
          <w:bCs w:val="0"/>
          <w:strike w:val="0"/>
          <w:dstrike w:val="0"/>
          <w:color w:val="auto"/>
          <w:sz w:val="28"/>
          <w:szCs w:val="28"/>
        </w:rPr>
        <w:t>要求</w:t>
      </w:r>
    </w:p>
    <w:p w14:paraId="2CCFF089">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auto"/>
          <w:kern w:val="0"/>
          <w:sz w:val="22"/>
          <w:szCs w:val="22"/>
          <w:highlight w:val="none"/>
          <w:lang w:val="en-US" w:eastAsia="zh-CN" w:bidi="ar-SA"/>
        </w:rPr>
      </w:pPr>
      <w:r>
        <w:rPr>
          <w:rFonts w:hint="eastAsia" w:ascii="宋体" w:hAnsi="宋体" w:eastAsia="宋体" w:cs="宋体"/>
          <w:b/>
          <w:bCs/>
          <w:color w:val="auto"/>
          <w:kern w:val="0"/>
          <w:sz w:val="22"/>
          <w:szCs w:val="22"/>
          <w:highlight w:val="none"/>
          <w:lang w:val="en-US" w:eastAsia="zh-CN" w:bidi="ar-SA"/>
        </w:rPr>
        <w:t>一、主要商务要求</w:t>
      </w:r>
    </w:p>
    <w:tbl>
      <w:tblPr>
        <w:tblStyle w:val="2"/>
        <w:tblW w:w="965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15" w:type="dxa"/>
          <w:left w:w="15" w:type="dxa"/>
          <w:bottom w:w="15" w:type="dxa"/>
          <w:right w:w="15" w:type="dxa"/>
        </w:tblCellMar>
      </w:tblPr>
      <w:tblGrid>
        <w:gridCol w:w="3008"/>
        <w:gridCol w:w="6651"/>
      </w:tblGrid>
      <w:tr w14:paraId="437CD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326" w:hRule="atLeast"/>
          <w:jc w:val="center"/>
        </w:trPr>
        <w:tc>
          <w:tcPr>
            <w:tcW w:w="3008"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6C9540D0">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auto"/>
                <w:kern w:val="0"/>
                <w:sz w:val="22"/>
                <w:szCs w:val="22"/>
              </w:rPr>
            </w:pPr>
            <w:r>
              <w:rPr>
                <w:rFonts w:hint="eastAsia" w:ascii="宋体" w:hAnsi="宋体" w:eastAsia="宋体" w:cs="宋体"/>
                <w:color w:val="auto"/>
                <w:kern w:val="0"/>
                <w:sz w:val="22"/>
                <w:szCs w:val="22"/>
              </w:rPr>
              <w:t>履行合同的时间、地点及方式</w:t>
            </w:r>
          </w:p>
        </w:tc>
        <w:tc>
          <w:tcPr>
            <w:tcW w:w="6651"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3FCBC207">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1、时间</w:t>
            </w:r>
            <w:r>
              <w:rPr>
                <w:rFonts w:hint="eastAsia" w:ascii="宋体" w:hAnsi="宋体" w:eastAsia="宋体" w:cs="宋体"/>
                <w:color w:val="auto"/>
                <w:kern w:val="0"/>
                <w:sz w:val="22"/>
                <w:szCs w:val="22"/>
                <w:highlight w:val="none"/>
                <w:lang w:eastAsia="zh-CN"/>
              </w:rPr>
              <w:t>：</w:t>
            </w:r>
            <w:r>
              <w:rPr>
                <w:rFonts w:hint="eastAsia" w:ascii="宋体" w:hAnsi="宋体" w:eastAsia="宋体" w:cs="宋体"/>
                <w:color w:val="auto"/>
                <w:sz w:val="22"/>
                <w:szCs w:val="22"/>
                <w:highlight w:val="none"/>
              </w:rPr>
              <w:t>采购合同签订之日</w:t>
            </w:r>
            <w:r>
              <w:rPr>
                <w:rFonts w:hint="eastAsia" w:ascii="宋体" w:hAnsi="宋体" w:eastAsia="宋体" w:cs="宋体"/>
                <w:color w:val="auto"/>
                <w:sz w:val="22"/>
                <w:szCs w:val="22"/>
                <w:highlight w:val="none"/>
                <w:lang w:val="en-US" w:eastAsia="zh-CN"/>
              </w:rPr>
              <w:t>起30日历天内完成</w:t>
            </w:r>
            <w:r>
              <w:rPr>
                <w:rFonts w:hint="eastAsia" w:ascii="宋体" w:hAnsi="宋体" w:eastAsia="宋体" w:cs="宋体"/>
                <w:color w:val="auto"/>
                <w:sz w:val="22"/>
                <w:szCs w:val="22"/>
                <w:highlight w:val="none"/>
              </w:rPr>
              <w:t>。</w:t>
            </w:r>
          </w:p>
          <w:p w14:paraId="60C6414F">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lang w:val="en-US" w:eastAsia="zh-CN"/>
              </w:rPr>
              <w:t>2、</w:t>
            </w:r>
            <w:r>
              <w:rPr>
                <w:rFonts w:hint="eastAsia" w:ascii="宋体" w:hAnsi="宋体" w:eastAsia="宋体" w:cs="宋体"/>
                <w:color w:val="auto"/>
                <w:kern w:val="0"/>
                <w:sz w:val="22"/>
                <w:szCs w:val="22"/>
                <w:highlight w:val="none"/>
              </w:rPr>
              <w:t>地点：</w:t>
            </w:r>
            <w:r>
              <w:rPr>
                <w:rFonts w:hint="eastAsia" w:ascii="宋体" w:hAnsi="宋体" w:eastAsia="宋体" w:cs="宋体"/>
                <w:color w:val="auto"/>
                <w:kern w:val="0"/>
                <w:sz w:val="22"/>
                <w:szCs w:val="22"/>
                <w:highlight w:val="none"/>
                <w:lang w:eastAsia="zh-CN"/>
              </w:rPr>
              <w:t>祁东县水利水电管理站</w:t>
            </w:r>
            <w:r>
              <w:rPr>
                <w:rFonts w:hint="eastAsia" w:ascii="宋体" w:hAnsi="宋体" w:eastAsia="宋体" w:cs="宋体"/>
                <w:color w:val="auto"/>
                <w:kern w:val="0"/>
                <w:sz w:val="22"/>
                <w:szCs w:val="22"/>
                <w:highlight w:val="none"/>
              </w:rPr>
              <w:t>。</w:t>
            </w:r>
          </w:p>
          <w:p w14:paraId="059F3872">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lang w:val="en-US" w:eastAsia="zh-CN"/>
              </w:rPr>
              <w:t>3、方式：现场服务。</w:t>
            </w:r>
            <w:r>
              <w:rPr>
                <w:rFonts w:hint="eastAsia" w:ascii="宋体" w:hAnsi="宋体" w:eastAsia="宋体" w:cs="宋体"/>
                <w:color w:val="auto"/>
                <w:kern w:val="0"/>
                <w:sz w:val="22"/>
                <w:szCs w:val="22"/>
                <w:highlight w:val="none"/>
              </w:rPr>
              <w:t>　</w:t>
            </w:r>
          </w:p>
        </w:tc>
      </w:tr>
      <w:tr w14:paraId="0A300B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21" w:hRule="atLeast"/>
          <w:jc w:val="center"/>
        </w:trPr>
        <w:tc>
          <w:tcPr>
            <w:tcW w:w="3008"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12DB5164">
            <w:pPr>
              <w:keepNext w:val="0"/>
              <w:keepLines w:val="0"/>
              <w:pageBreakBefore w:val="0"/>
              <w:widowControl/>
              <w:numPr>
                <w:ilvl w:val="0"/>
                <w:numId w:val="0"/>
              </w:numP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服务期限</w:t>
            </w:r>
          </w:p>
        </w:tc>
        <w:tc>
          <w:tcPr>
            <w:tcW w:w="6651"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2CF7D81C">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sz w:val="22"/>
                <w:szCs w:val="22"/>
                <w:highlight w:val="none"/>
              </w:rPr>
              <w:t>采购合同签订之日</w:t>
            </w:r>
            <w:r>
              <w:rPr>
                <w:rFonts w:hint="eastAsia" w:ascii="宋体" w:hAnsi="宋体" w:eastAsia="宋体" w:cs="宋体"/>
                <w:color w:val="auto"/>
                <w:sz w:val="22"/>
                <w:szCs w:val="22"/>
                <w:highlight w:val="none"/>
                <w:lang w:val="en-US" w:eastAsia="zh-CN"/>
              </w:rPr>
              <w:t>起30日历天内完成</w:t>
            </w:r>
            <w:r>
              <w:rPr>
                <w:rFonts w:hint="eastAsia" w:ascii="宋体" w:hAnsi="宋体" w:eastAsia="宋体" w:cs="宋体"/>
                <w:color w:val="auto"/>
                <w:sz w:val="22"/>
                <w:szCs w:val="22"/>
                <w:highlight w:val="none"/>
              </w:rPr>
              <w:t>。</w:t>
            </w:r>
          </w:p>
        </w:tc>
      </w:tr>
      <w:tr w14:paraId="7163D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52" w:hRule="atLeast"/>
          <w:jc w:val="center"/>
        </w:trPr>
        <w:tc>
          <w:tcPr>
            <w:tcW w:w="3008"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1E597F96">
            <w:pPr>
              <w:keepNext w:val="0"/>
              <w:keepLines w:val="0"/>
              <w:pageBreakBefore w:val="0"/>
              <w:widowControl/>
              <w:numPr>
                <w:ilvl w:val="0"/>
                <w:numId w:val="0"/>
              </w:numP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响应时间</w:t>
            </w:r>
          </w:p>
        </w:tc>
        <w:tc>
          <w:tcPr>
            <w:tcW w:w="6651"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0AC0D015">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auto"/>
                <w:kern w:val="0"/>
                <w:sz w:val="22"/>
                <w:szCs w:val="22"/>
                <w:lang w:val="en-US" w:eastAsia="zh-CN"/>
              </w:rPr>
            </w:pPr>
            <w:r>
              <w:rPr>
                <w:rFonts w:hint="eastAsia" w:ascii="宋体" w:hAnsi="宋体" w:eastAsia="宋体" w:cs="宋体"/>
                <w:color w:val="auto"/>
                <w:kern w:val="0"/>
                <w:sz w:val="22"/>
                <w:szCs w:val="22"/>
              </w:rPr>
              <w:t>7</w:t>
            </w:r>
            <w:r>
              <w:rPr>
                <w:rFonts w:hint="eastAsia" w:ascii="宋体" w:hAnsi="宋体" w:eastAsia="宋体" w:cs="宋体"/>
                <w:color w:val="auto"/>
                <w:kern w:val="0"/>
                <w:sz w:val="22"/>
                <w:szCs w:val="22"/>
                <w:lang w:val="en-US" w:eastAsia="zh-CN"/>
              </w:rPr>
              <w:t>*</w:t>
            </w:r>
            <w:r>
              <w:rPr>
                <w:rFonts w:hint="eastAsia" w:ascii="宋体" w:hAnsi="宋体" w:eastAsia="宋体" w:cs="宋体"/>
                <w:color w:val="auto"/>
                <w:kern w:val="0"/>
                <w:sz w:val="22"/>
                <w:szCs w:val="22"/>
              </w:rPr>
              <w:t>24小时</w:t>
            </w:r>
            <w:r>
              <w:rPr>
                <w:rFonts w:hint="eastAsia" w:ascii="宋体" w:hAnsi="宋体" w:eastAsia="宋体" w:cs="宋体"/>
                <w:color w:val="auto"/>
                <w:kern w:val="0"/>
                <w:sz w:val="22"/>
                <w:szCs w:val="22"/>
                <w:lang w:val="en-US" w:eastAsia="zh-CN"/>
              </w:rPr>
              <w:t>响应。</w:t>
            </w:r>
          </w:p>
        </w:tc>
      </w:tr>
      <w:tr w14:paraId="103F28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099" w:hRule="atLeast"/>
          <w:jc w:val="center"/>
        </w:trPr>
        <w:tc>
          <w:tcPr>
            <w:tcW w:w="3008"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597F0659">
            <w:pPr>
              <w:keepNext w:val="0"/>
              <w:keepLines w:val="0"/>
              <w:pageBreakBefore w:val="0"/>
              <w:widowControl/>
              <w:numPr>
                <w:ilvl w:val="0"/>
                <w:numId w:val="0"/>
              </w:numP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合同价款支付方式和条件</w:t>
            </w:r>
          </w:p>
        </w:tc>
        <w:tc>
          <w:tcPr>
            <w:tcW w:w="6651"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35C3829B">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auto"/>
                <w:kern w:val="0"/>
                <w:sz w:val="22"/>
                <w:szCs w:val="22"/>
              </w:rPr>
            </w:pPr>
            <w:r>
              <w:rPr>
                <w:rFonts w:hint="eastAsia" w:ascii="宋体" w:hAnsi="宋体" w:eastAsia="宋体" w:cs="宋体"/>
                <w:color w:val="auto"/>
                <w:kern w:val="0"/>
                <w:sz w:val="22"/>
                <w:szCs w:val="22"/>
              </w:rPr>
              <w:t>支付方式：合同签订后，初步设计方案经评审通过并获得批复后，</w:t>
            </w:r>
          </w:p>
          <w:p w14:paraId="454593C5">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auto"/>
                <w:kern w:val="0"/>
                <w:sz w:val="22"/>
                <w:szCs w:val="22"/>
              </w:rPr>
            </w:pPr>
            <w:r>
              <w:rPr>
                <w:rFonts w:hint="eastAsia" w:ascii="宋体" w:hAnsi="宋体" w:eastAsia="宋体" w:cs="宋体"/>
                <w:color w:val="auto"/>
                <w:kern w:val="0"/>
                <w:sz w:val="22"/>
                <w:szCs w:val="22"/>
                <w:lang w:val="en-US" w:eastAsia="zh-CN"/>
              </w:rPr>
              <w:t>一</w:t>
            </w:r>
            <w:r>
              <w:rPr>
                <w:rFonts w:hint="eastAsia" w:ascii="宋体" w:hAnsi="宋体" w:eastAsia="宋体" w:cs="宋体"/>
                <w:color w:val="auto"/>
                <w:kern w:val="0"/>
                <w:sz w:val="22"/>
                <w:szCs w:val="22"/>
              </w:rPr>
              <w:t>次性付合同总价款的9</w:t>
            </w:r>
            <w:r>
              <w:rPr>
                <w:rFonts w:hint="eastAsia" w:ascii="宋体" w:hAnsi="宋体" w:eastAsia="宋体" w:cs="宋体"/>
                <w:color w:val="auto"/>
                <w:kern w:val="0"/>
                <w:sz w:val="22"/>
                <w:szCs w:val="22"/>
                <w:lang w:val="en-US" w:eastAsia="zh-CN"/>
              </w:rPr>
              <w:t>7</w:t>
            </w:r>
            <w:r>
              <w:rPr>
                <w:rFonts w:hint="eastAsia" w:ascii="宋体" w:hAnsi="宋体" w:eastAsia="宋体" w:cs="宋体"/>
                <w:color w:val="auto"/>
                <w:kern w:val="0"/>
                <w:sz w:val="22"/>
                <w:szCs w:val="22"/>
              </w:rPr>
              <w:t>%。成果交付一年后付清剩余</w:t>
            </w:r>
            <w:r>
              <w:rPr>
                <w:rFonts w:hint="eastAsia" w:ascii="宋体" w:hAnsi="宋体" w:eastAsia="宋体" w:cs="宋体"/>
                <w:color w:val="auto"/>
                <w:kern w:val="0"/>
                <w:sz w:val="22"/>
                <w:szCs w:val="22"/>
                <w:lang w:val="en-US" w:eastAsia="zh-CN"/>
              </w:rPr>
              <w:t>3</w:t>
            </w:r>
            <w:r>
              <w:rPr>
                <w:rFonts w:hint="eastAsia" w:ascii="宋体" w:hAnsi="宋体" w:eastAsia="宋体" w:cs="宋体"/>
                <w:color w:val="auto"/>
                <w:kern w:val="0"/>
                <w:sz w:val="22"/>
                <w:szCs w:val="22"/>
              </w:rPr>
              <w:t>%。</w:t>
            </w:r>
          </w:p>
        </w:tc>
      </w:tr>
      <w:tr w14:paraId="43BC7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68" w:hRule="atLeast"/>
          <w:jc w:val="center"/>
        </w:trPr>
        <w:tc>
          <w:tcPr>
            <w:tcW w:w="3008"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00F5DB76">
            <w:pPr>
              <w:keepNext w:val="0"/>
              <w:keepLines w:val="0"/>
              <w:pageBreakBefore w:val="0"/>
              <w:widowControl/>
              <w:numPr>
                <w:ilvl w:val="0"/>
                <w:numId w:val="0"/>
              </w:numP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解决争议的方式</w:t>
            </w:r>
          </w:p>
        </w:tc>
        <w:tc>
          <w:tcPr>
            <w:tcW w:w="6651"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5BA3EBC1">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auto"/>
                <w:kern w:val="0"/>
                <w:sz w:val="22"/>
                <w:szCs w:val="22"/>
              </w:rPr>
            </w:pPr>
            <w:r>
              <w:rPr>
                <w:rFonts w:hint="eastAsia" w:ascii="宋体" w:hAnsi="宋体" w:eastAsia="宋体" w:cs="宋体"/>
                <w:bCs/>
                <w:color w:val="auto"/>
                <w:kern w:val="0"/>
                <w:sz w:val="22"/>
                <w:szCs w:val="22"/>
                <w:lang w:eastAsia="zh-CN"/>
              </w:rPr>
              <w:t>□</w:t>
            </w:r>
            <w:r>
              <w:rPr>
                <w:rFonts w:hint="eastAsia" w:ascii="宋体" w:hAnsi="宋体" w:eastAsia="宋体" w:cs="宋体"/>
                <w:color w:val="auto"/>
                <w:sz w:val="22"/>
                <w:szCs w:val="22"/>
              </w:rPr>
              <w:t>仲裁</w:t>
            </w:r>
            <w:r>
              <w:rPr>
                <w:rFonts w:hint="eastAsia" w:ascii="宋体" w:hAnsi="宋体" w:eastAsia="宋体" w:cs="宋体"/>
                <w:color w:val="auto"/>
                <w:sz w:val="22"/>
                <w:szCs w:val="22"/>
                <w:lang w:val="en-US" w:eastAsia="zh-CN"/>
              </w:rPr>
              <w:t xml:space="preserve">  </w:t>
            </w:r>
            <w:r>
              <w:rPr>
                <w:rFonts w:hint="eastAsia" w:ascii="宋体" w:hAnsi="宋体" w:eastAsia="宋体" w:cs="宋体"/>
                <w:bCs/>
                <w:color w:val="auto"/>
                <w:kern w:val="0"/>
                <w:sz w:val="22"/>
                <w:szCs w:val="22"/>
                <w:lang w:eastAsia="zh-CN"/>
              </w:rPr>
              <w:t>☑</w:t>
            </w:r>
            <w:r>
              <w:rPr>
                <w:rFonts w:hint="eastAsia" w:ascii="宋体" w:hAnsi="宋体" w:eastAsia="宋体" w:cs="宋体"/>
                <w:color w:val="auto"/>
                <w:sz w:val="22"/>
                <w:szCs w:val="22"/>
                <w:lang w:val="en-US" w:eastAsia="zh-CN"/>
              </w:rPr>
              <w:t>诉讼</w:t>
            </w:r>
          </w:p>
        </w:tc>
      </w:tr>
    </w:tbl>
    <w:p w14:paraId="31513FBD">
      <w:pPr>
        <w:spacing w:line="360" w:lineRule="exact"/>
        <w:ind w:firstLine="440" w:firstLineChars="200"/>
        <w:rPr>
          <w:rFonts w:hint="eastAsia" w:ascii="宋体" w:hAnsi="宋体" w:eastAsia="宋体" w:cs="宋体"/>
          <w:color w:val="auto"/>
          <w:kern w:val="32"/>
          <w:sz w:val="22"/>
          <w:szCs w:val="22"/>
          <w:highlight w:val="none"/>
        </w:rPr>
      </w:pPr>
      <w:r>
        <w:rPr>
          <w:rFonts w:hint="eastAsia" w:ascii="宋体" w:hAnsi="宋体" w:eastAsia="宋体" w:cs="宋体"/>
          <w:color w:val="auto"/>
          <w:kern w:val="32"/>
          <w:sz w:val="22"/>
          <w:szCs w:val="22"/>
          <w:highlight w:val="none"/>
        </w:rPr>
        <w:t xml:space="preserve"> </w:t>
      </w:r>
    </w:p>
    <w:p w14:paraId="2609C774">
      <w:pPr>
        <w:pageBreakBefore w:val="0"/>
        <w:numPr>
          <w:ilvl w:val="0"/>
          <w:numId w:val="0"/>
        </w:numPr>
        <w:kinsoku/>
        <w:overflowPunct/>
        <w:topLinePunct w:val="0"/>
        <w:bidi w:val="0"/>
        <w:adjustRightInd w:val="0"/>
        <w:snapToGrid w:val="0"/>
        <w:spacing w:line="360" w:lineRule="auto"/>
        <w:rPr>
          <w:rFonts w:hint="eastAsia" w:ascii="宋体" w:hAnsi="宋体" w:eastAsia="宋体" w:cs="宋体"/>
          <w:b/>
          <w:color w:val="auto"/>
          <w:sz w:val="22"/>
          <w:szCs w:val="22"/>
          <w:highlight w:val="none"/>
        </w:rPr>
      </w:pPr>
    </w:p>
    <w:p w14:paraId="6CC8DEBA">
      <w:pPr>
        <w:pageBreakBefore w:val="0"/>
        <w:numPr>
          <w:ilvl w:val="0"/>
          <w:numId w:val="0"/>
        </w:numPr>
        <w:kinsoku/>
        <w:overflowPunct/>
        <w:topLinePunct w:val="0"/>
        <w:bidi w:val="0"/>
        <w:adjustRightInd w:val="0"/>
        <w:snapToGrid w:val="0"/>
        <w:spacing w:line="360" w:lineRule="auto"/>
        <w:rPr>
          <w:rFonts w:hint="eastAsia" w:ascii="宋体" w:hAnsi="宋体" w:eastAsia="宋体" w:cs="宋体"/>
          <w:b/>
          <w:color w:val="auto"/>
          <w:sz w:val="22"/>
          <w:szCs w:val="22"/>
          <w:highlight w:val="none"/>
        </w:rPr>
      </w:pPr>
    </w:p>
    <w:p w14:paraId="3FBBCFEA">
      <w:pPr>
        <w:keepNext w:val="0"/>
        <w:keepLines w:val="0"/>
        <w:pageBreakBefore w:val="0"/>
        <w:widowControl w:val="0"/>
        <w:kinsoku/>
        <w:wordWrap/>
        <w:overflowPunct/>
        <w:topLinePunct w:val="0"/>
        <w:autoSpaceDE/>
        <w:autoSpaceDN/>
        <w:bidi w:val="0"/>
        <w:adjustRightInd w:val="0"/>
        <w:snapToGrid w:val="0"/>
        <w:spacing w:before="157" w:beforeLines="50" w:after="157" w:afterLines="50" w:line="360" w:lineRule="auto"/>
        <w:ind w:firstLine="442" w:firstLineChars="200"/>
        <w:jc w:val="center"/>
        <w:textAlignment w:val="auto"/>
        <w:outlineLvl w:val="0"/>
        <w:rPr>
          <w:rFonts w:hint="eastAsia" w:ascii="宋体" w:hAnsi="宋体" w:eastAsia="宋体" w:cs="宋体"/>
          <w:b/>
          <w:bCs/>
          <w:color w:val="auto"/>
          <w:sz w:val="22"/>
          <w:szCs w:val="22"/>
          <w:highlight w:val="none"/>
        </w:rPr>
      </w:pPr>
    </w:p>
    <w:p w14:paraId="36330CBD">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kern w:val="0"/>
          <w:sz w:val="24"/>
          <w:szCs w:val="24"/>
          <w:highlight w:val="none"/>
          <w:lang w:val="en-US" w:eastAsia="zh-CN" w:bidi="ar"/>
        </w:rPr>
      </w:pPr>
    </w:p>
    <w:p w14:paraId="1894E941">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kern w:val="0"/>
          <w:sz w:val="24"/>
          <w:szCs w:val="24"/>
          <w:highlight w:val="none"/>
          <w:lang w:val="en-US" w:eastAsia="zh-CN" w:bidi="ar"/>
        </w:rPr>
      </w:pPr>
    </w:p>
    <w:p w14:paraId="32C61DB4">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kern w:val="0"/>
          <w:sz w:val="24"/>
          <w:szCs w:val="24"/>
          <w:highlight w:val="none"/>
          <w:lang w:val="en-US" w:eastAsia="zh-CN" w:bidi="ar"/>
        </w:rPr>
      </w:pPr>
    </w:p>
    <w:p w14:paraId="27918725">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kern w:val="0"/>
          <w:sz w:val="24"/>
          <w:szCs w:val="24"/>
          <w:highlight w:val="none"/>
          <w:lang w:val="en-US" w:eastAsia="zh-CN" w:bidi="ar"/>
        </w:rPr>
      </w:pPr>
    </w:p>
    <w:p w14:paraId="024515B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kern w:val="0"/>
          <w:sz w:val="24"/>
          <w:szCs w:val="24"/>
          <w:highlight w:val="none"/>
          <w:lang w:val="en-US" w:eastAsia="zh-CN" w:bidi="ar"/>
        </w:rPr>
      </w:pPr>
    </w:p>
    <w:p w14:paraId="48AE618B">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kern w:val="0"/>
          <w:sz w:val="24"/>
          <w:szCs w:val="24"/>
          <w:highlight w:val="none"/>
          <w:lang w:val="en-US" w:eastAsia="zh-CN" w:bidi="ar"/>
        </w:rPr>
      </w:pPr>
    </w:p>
    <w:p w14:paraId="28A799A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kern w:val="0"/>
          <w:sz w:val="24"/>
          <w:szCs w:val="24"/>
          <w:highlight w:val="none"/>
          <w:lang w:val="en-US" w:eastAsia="zh-CN" w:bidi="ar"/>
        </w:rPr>
      </w:pPr>
    </w:p>
    <w:p w14:paraId="1A2EBF38">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kern w:val="0"/>
          <w:sz w:val="24"/>
          <w:szCs w:val="24"/>
          <w:highlight w:val="none"/>
          <w:lang w:val="en-US" w:eastAsia="zh-CN" w:bidi="ar"/>
        </w:rPr>
      </w:pPr>
    </w:p>
    <w:p w14:paraId="4C189931">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kern w:val="0"/>
          <w:sz w:val="24"/>
          <w:szCs w:val="24"/>
          <w:highlight w:val="none"/>
          <w:lang w:val="en-US" w:eastAsia="zh-CN" w:bidi="ar"/>
        </w:rPr>
      </w:pPr>
    </w:p>
    <w:p w14:paraId="121CAAE8">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kern w:val="0"/>
          <w:sz w:val="24"/>
          <w:szCs w:val="24"/>
          <w:highlight w:val="none"/>
          <w:lang w:val="en-US" w:eastAsia="zh-CN" w:bidi="ar"/>
        </w:rPr>
      </w:pPr>
    </w:p>
    <w:p w14:paraId="28440BDC">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kern w:val="0"/>
          <w:sz w:val="24"/>
          <w:szCs w:val="24"/>
          <w:highlight w:val="none"/>
          <w:lang w:val="en-US" w:eastAsia="zh-CN" w:bidi="ar"/>
        </w:rPr>
      </w:pPr>
    </w:p>
    <w:p w14:paraId="4763B8CE">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kern w:val="0"/>
          <w:sz w:val="24"/>
          <w:szCs w:val="24"/>
          <w:highlight w:val="none"/>
          <w:lang w:val="en-US" w:eastAsia="zh-CN" w:bidi="ar"/>
        </w:rPr>
      </w:pPr>
    </w:p>
    <w:p w14:paraId="48ED5617">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
        </w:rPr>
        <w:t xml:space="preserve">附件 1： </w:t>
      </w:r>
    </w:p>
    <w:tbl>
      <w:tblPr>
        <w:tblStyle w:val="3"/>
        <w:tblW w:w="93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3"/>
        <w:gridCol w:w="1706"/>
        <w:gridCol w:w="2106"/>
        <w:gridCol w:w="1746"/>
        <w:gridCol w:w="1358"/>
        <w:gridCol w:w="811"/>
        <w:gridCol w:w="894"/>
      </w:tblGrid>
      <w:tr w14:paraId="4C35C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trPr>
        <w:tc>
          <w:tcPr>
            <w:tcW w:w="753" w:type="dxa"/>
            <w:vAlign w:val="center"/>
          </w:tcPr>
          <w:p w14:paraId="0D6956FB">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序号</w:t>
            </w:r>
          </w:p>
        </w:tc>
        <w:tc>
          <w:tcPr>
            <w:tcW w:w="1706" w:type="dxa"/>
            <w:vAlign w:val="center"/>
          </w:tcPr>
          <w:p w14:paraId="60F05C6B">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水库名称</w:t>
            </w:r>
          </w:p>
        </w:tc>
        <w:tc>
          <w:tcPr>
            <w:tcW w:w="2106" w:type="dxa"/>
            <w:vAlign w:val="center"/>
          </w:tcPr>
          <w:p w14:paraId="6BE248F3">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注册号</w:t>
            </w:r>
          </w:p>
        </w:tc>
        <w:tc>
          <w:tcPr>
            <w:tcW w:w="1746" w:type="dxa"/>
            <w:vAlign w:val="center"/>
          </w:tcPr>
          <w:p w14:paraId="77A5661B">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县市区</w:t>
            </w:r>
          </w:p>
        </w:tc>
        <w:tc>
          <w:tcPr>
            <w:tcW w:w="1358" w:type="dxa"/>
            <w:vAlign w:val="center"/>
          </w:tcPr>
          <w:p w14:paraId="66BD38BA">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工程规模</w:t>
            </w:r>
          </w:p>
        </w:tc>
        <w:tc>
          <w:tcPr>
            <w:tcW w:w="811" w:type="dxa"/>
            <w:vAlign w:val="center"/>
          </w:tcPr>
          <w:p w14:paraId="4E4A6C57">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坝高/m</w:t>
            </w:r>
          </w:p>
        </w:tc>
        <w:tc>
          <w:tcPr>
            <w:tcW w:w="894" w:type="dxa"/>
            <w:vAlign w:val="center"/>
          </w:tcPr>
          <w:p w14:paraId="7F084F86">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备注</w:t>
            </w:r>
          </w:p>
        </w:tc>
      </w:tr>
      <w:tr w14:paraId="6307C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trPr>
        <w:tc>
          <w:tcPr>
            <w:tcW w:w="753" w:type="dxa"/>
            <w:vAlign w:val="center"/>
          </w:tcPr>
          <w:p w14:paraId="2F7BD9E8">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1</w:t>
            </w:r>
          </w:p>
        </w:tc>
        <w:tc>
          <w:tcPr>
            <w:tcW w:w="1706" w:type="dxa"/>
            <w:vAlign w:val="center"/>
          </w:tcPr>
          <w:p w14:paraId="6033CD19">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白里冲水库</w:t>
            </w:r>
          </w:p>
        </w:tc>
        <w:tc>
          <w:tcPr>
            <w:tcW w:w="2106" w:type="dxa"/>
            <w:vAlign w:val="center"/>
          </w:tcPr>
          <w:p w14:paraId="58FCEEEE">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43042650124-A5</w:t>
            </w:r>
          </w:p>
        </w:tc>
        <w:tc>
          <w:tcPr>
            <w:tcW w:w="1746" w:type="dxa"/>
            <w:vAlign w:val="center"/>
          </w:tcPr>
          <w:p w14:paraId="7EC377D2">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衡阳市白地市镇</w:t>
            </w:r>
          </w:p>
        </w:tc>
        <w:tc>
          <w:tcPr>
            <w:tcW w:w="1358" w:type="dxa"/>
            <w:vAlign w:val="center"/>
          </w:tcPr>
          <w:p w14:paraId="667FE8B9">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小（2）型</w:t>
            </w:r>
          </w:p>
        </w:tc>
        <w:tc>
          <w:tcPr>
            <w:tcW w:w="811" w:type="dxa"/>
            <w:vAlign w:val="center"/>
          </w:tcPr>
          <w:p w14:paraId="2191E045">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 xml:space="preserve">12.7 </w:t>
            </w:r>
          </w:p>
        </w:tc>
        <w:tc>
          <w:tcPr>
            <w:tcW w:w="894" w:type="dxa"/>
            <w:vAlign w:val="center"/>
          </w:tcPr>
          <w:p w14:paraId="1FEDBE9B">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包一</w:t>
            </w:r>
          </w:p>
        </w:tc>
      </w:tr>
      <w:tr w14:paraId="04BBB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trPr>
        <w:tc>
          <w:tcPr>
            <w:tcW w:w="753" w:type="dxa"/>
            <w:vAlign w:val="center"/>
          </w:tcPr>
          <w:p w14:paraId="0A9CFA99">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2</w:t>
            </w:r>
          </w:p>
        </w:tc>
        <w:tc>
          <w:tcPr>
            <w:tcW w:w="1706" w:type="dxa"/>
            <w:vAlign w:val="center"/>
          </w:tcPr>
          <w:p w14:paraId="75D9476D">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长塘水库</w:t>
            </w:r>
          </w:p>
        </w:tc>
        <w:tc>
          <w:tcPr>
            <w:tcW w:w="2106" w:type="dxa"/>
            <w:vAlign w:val="center"/>
          </w:tcPr>
          <w:p w14:paraId="665E5FB5">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43042650131-A5</w:t>
            </w:r>
          </w:p>
        </w:tc>
        <w:tc>
          <w:tcPr>
            <w:tcW w:w="1746" w:type="dxa"/>
            <w:vAlign w:val="center"/>
          </w:tcPr>
          <w:p w14:paraId="4D6C62F2">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衡阳市白地市镇</w:t>
            </w:r>
          </w:p>
        </w:tc>
        <w:tc>
          <w:tcPr>
            <w:tcW w:w="1358" w:type="dxa"/>
            <w:vAlign w:val="center"/>
          </w:tcPr>
          <w:p w14:paraId="369AFC10">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小（2）型</w:t>
            </w:r>
          </w:p>
        </w:tc>
        <w:tc>
          <w:tcPr>
            <w:tcW w:w="811" w:type="dxa"/>
            <w:vAlign w:val="center"/>
          </w:tcPr>
          <w:p w14:paraId="73017D90">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 xml:space="preserve">5.3 </w:t>
            </w:r>
          </w:p>
        </w:tc>
        <w:tc>
          <w:tcPr>
            <w:tcW w:w="894" w:type="dxa"/>
            <w:vAlign w:val="center"/>
          </w:tcPr>
          <w:p w14:paraId="39ABE812">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包一</w:t>
            </w:r>
          </w:p>
        </w:tc>
      </w:tr>
      <w:tr w14:paraId="6709A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trPr>
        <w:tc>
          <w:tcPr>
            <w:tcW w:w="753" w:type="dxa"/>
            <w:vAlign w:val="center"/>
          </w:tcPr>
          <w:p w14:paraId="15B4DF37">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3</w:t>
            </w:r>
          </w:p>
        </w:tc>
        <w:tc>
          <w:tcPr>
            <w:tcW w:w="1706" w:type="dxa"/>
            <w:vAlign w:val="center"/>
          </w:tcPr>
          <w:p w14:paraId="55B35D64">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禾冲水库</w:t>
            </w:r>
          </w:p>
        </w:tc>
        <w:tc>
          <w:tcPr>
            <w:tcW w:w="2106" w:type="dxa"/>
            <w:vAlign w:val="center"/>
          </w:tcPr>
          <w:p w14:paraId="793003FE">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43042650139-A5</w:t>
            </w:r>
          </w:p>
        </w:tc>
        <w:tc>
          <w:tcPr>
            <w:tcW w:w="1746" w:type="dxa"/>
            <w:vAlign w:val="center"/>
          </w:tcPr>
          <w:p w14:paraId="31BCBC22">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衡阳市白地市镇</w:t>
            </w:r>
          </w:p>
        </w:tc>
        <w:tc>
          <w:tcPr>
            <w:tcW w:w="1358" w:type="dxa"/>
            <w:vAlign w:val="center"/>
          </w:tcPr>
          <w:p w14:paraId="6F385B48">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小（2）型</w:t>
            </w:r>
          </w:p>
        </w:tc>
        <w:tc>
          <w:tcPr>
            <w:tcW w:w="811" w:type="dxa"/>
            <w:vAlign w:val="center"/>
          </w:tcPr>
          <w:p w14:paraId="734867E6">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 xml:space="preserve">6.8 </w:t>
            </w:r>
          </w:p>
        </w:tc>
        <w:tc>
          <w:tcPr>
            <w:tcW w:w="894" w:type="dxa"/>
            <w:vAlign w:val="center"/>
          </w:tcPr>
          <w:p w14:paraId="4C20113B">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包一</w:t>
            </w:r>
          </w:p>
        </w:tc>
      </w:tr>
      <w:tr w14:paraId="0A909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trPr>
        <w:tc>
          <w:tcPr>
            <w:tcW w:w="753" w:type="dxa"/>
            <w:vAlign w:val="center"/>
          </w:tcPr>
          <w:p w14:paraId="194E6E87">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4</w:t>
            </w:r>
          </w:p>
        </w:tc>
        <w:tc>
          <w:tcPr>
            <w:tcW w:w="1706" w:type="dxa"/>
            <w:vAlign w:val="center"/>
          </w:tcPr>
          <w:p w14:paraId="57A290BF">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龙岭村水库</w:t>
            </w:r>
          </w:p>
        </w:tc>
        <w:tc>
          <w:tcPr>
            <w:tcW w:w="2106" w:type="dxa"/>
            <w:vAlign w:val="center"/>
          </w:tcPr>
          <w:p w14:paraId="477C9F0E">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43042650149-A5</w:t>
            </w:r>
          </w:p>
        </w:tc>
        <w:tc>
          <w:tcPr>
            <w:tcW w:w="1746" w:type="dxa"/>
            <w:vAlign w:val="center"/>
          </w:tcPr>
          <w:p w14:paraId="571DBBE7">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衡阳市风石堰镇</w:t>
            </w:r>
          </w:p>
        </w:tc>
        <w:tc>
          <w:tcPr>
            <w:tcW w:w="1358" w:type="dxa"/>
            <w:vAlign w:val="center"/>
          </w:tcPr>
          <w:p w14:paraId="72CD47FF">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小（2）型</w:t>
            </w:r>
          </w:p>
        </w:tc>
        <w:tc>
          <w:tcPr>
            <w:tcW w:w="811" w:type="dxa"/>
            <w:vAlign w:val="center"/>
          </w:tcPr>
          <w:p w14:paraId="1EB40EE2">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 xml:space="preserve">4.9 </w:t>
            </w:r>
          </w:p>
        </w:tc>
        <w:tc>
          <w:tcPr>
            <w:tcW w:w="894" w:type="dxa"/>
            <w:vAlign w:val="center"/>
          </w:tcPr>
          <w:p w14:paraId="3E470332">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包一</w:t>
            </w:r>
          </w:p>
        </w:tc>
      </w:tr>
      <w:tr w14:paraId="0D445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trPr>
        <w:tc>
          <w:tcPr>
            <w:tcW w:w="753" w:type="dxa"/>
            <w:vAlign w:val="center"/>
          </w:tcPr>
          <w:p w14:paraId="13C07669">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5</w:t>
            </w:r>
          </w:p>
        </w:tc>
        <w:tc>
          <w:tcPr>
            <w:tcW w:w="1706" w:type="dxa"/>
            <w:vAlign w:val="center"/>
          </w:tcPr>
          <w:p w14:paraId="6B89D143">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炉轳塘水库</w:t>
            </w:r>
          </w:p>
        </w:tc>
        <w:tc>
          <w:tcPr>
            <w:tcW w:w="2106" w:type="dxa"/>
            <w:vAlign w:val="center"/>
          </w:tcPr>
          <w:p w14:paraId="42B31D43">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43042650150-A5</w:t>
            </w:r>
          </w:p>
        </w:tc>
        <w:tc>
          <w:tcPr>
            <w:tcW w:w="1746" w:type="dxa"/>
            <w:vAlign w:val="center"/>
          </w:tcPr>
          <w:p w14:paraId="7EE34C30">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衡阳市风石堰镇</w:t>
            </w:r>
          </w:p>
        </w:tc>
        <w:tc>
          <w:tcPr>
            <w:tcW w:w="1358" w:type="dxa"/>
            <w:vAlign w:val="center"/>
          </w:tcPr>
          <w:p w14:paraId="7BF5488B">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小（2）型</w:t>
            </w:r>
          </w:p>
        </w:tc>
        <w:tc>
          <w:tcPr>
            <w:tcW w:w="811" w:type="dxa"/>
            <w:vAlign w:val="center"/>
          </w:tcPr>
          <w:p w14:paraId="37DE8EFF">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 xml:space="preserve">6.4 </w:t>
            </w:r>
          </w:p>
        </w:tc>
        <w:tc>
          <w:tcPr>
            <w:tcW w:w="894" w:type="dxa"/>
            <w:vAlign w:val="center"/>
          </w:tcPr>
          <w:p w14:paraId="13AE4CA3">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包一</w:t>
            </w:r>
          </w:p>
        </w:tc>
      </w:tr>
      <w:tr w14:paraId="53CCD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trPr>
        <w:tc>
          <w:tcPr>
            <w:tcW w:w="753" w:type="dxa"/>
            <w:vAlign w:val="center"/>
          </w:tcPr>
          <w:p w14:paraId="23AD4FC0">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6</w:t>
            </w:r>
          </w:p>
        </w:tc>
        <w:tc>
          <w:tcPr>
            <w:tcW w:w="1706" w:type="dxa"/>
            <w:vAlign w:val="center"/>
          </w:tcPr>
          <w:p w14:paraId="03F7DC36">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下设塘水库</w:t>
            </w:r>
          </w:p>
        </w:tc>
        <w:tc>
          <w:tcPr>
            <w:tcW w:w="2106" w:type="dxa"/>
            <w:vAlign w:val="center"/>
          </w:tcPr>
          <w:p w14:paraId="40DD0B7F">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43042650158-A5</w:t>
            </w:r>
          </w:p>
        </w:tc>
        <w:tc>
          <w:tcPr>
            <w:tcW w:w="1746" w:type="dxa"/>
            <w:vAlign w:val="center"/>
          </w:tcPr>
          <w:p w14:paraId="09DA6016">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衡阳市风石堰镇</w:t>
            </w:r>
          </w:p>
        </w:tc>
        <w:tc>
          <w:tcPr>
            <w:tcW w:w="1358" w:type="dxa"/>
            <w:vAlign w:val="center"/>
          </w:tcPr>
          <w:p w14:paraId="79515361">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小（2）型</w:t>
            </w:r>
          </w:p>
        </w:tc>
        <w:tc>
          <w:tcPr>
            <w:tcW w:w="811" w:type="dxa"/>
            <w:vAlign w:val="center"/>
          </w:tcPr>
          <w:p w14:paraId="09524E72">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 xml:space="preserve">7.4 </w:t>
            </w:r>
          </w:p>
        </w:tc>
        <w:tc>
          <w:tcPr>
            <w:tcW w:w="894" w:type="dxa"/>
            <w:vAlign w:val="center"/>
          </w:tcPr>
          <w:p w14:paraId="482FEABF">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包一</w:t>
            </w:r>
          </w:p>
        </w:tc>
      </w:tr>
      <w:tr w14:paraId="7B800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trPr>
        <w:tc>
          <w:tcPr>
            <w:tcW w:w="753" w:type="dxa"/>
            <w:vAlign w:val="center"/>
          </w:tcPr>
          <w:p w14:paraId="081F9BB0">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7</w:t>
            </w:r>
          </w:p>
        </w:tc>
        <w:tc>
          <w:tcPr>
            <w:tcW w:w="1706" w:type="dxa"/>
            <w:vAlign w:val="center"/>
          </w:tcPr>
          <w:p w14:paraId="20E108A4">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杨梅山水库</w:t>
            </w:r>
          </w:p>
        </w:tc>
        <w:tc>
          <w:tcPr>
            <w:tcW w:w="2106" w:type="dxa"/>
            <w:vAlign w:val="center"/>
          </w:tcPr>
          <w:p w14:paraId="02517587">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43042650161-A5</w:t>
            </w:r>
          </w:p>
        </w:tc>
        <w:tc>
          <w:tcPr>
            <w:tcW w:w="1746" w:type="dxa"/>
            <w:vAlign w:val="center"/>
          </w:tcPr>
          <w:p w14:paraId="20C1E3B0">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衡阳市风石堰镇</w:t>
            </w:r>
          </w:p>
        </w:tc>
        <w:tc>
          <w:tcPr>
            <w:tcW w:w="1358" w:type="dxa"/>
            <w:vAlign w:val="center"/>
          </w:tcPr>
          <w:p w14:paraId="473F0412">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小（2）型</w:t>
            </w:r>
          </w:p>
        </w:tc>
        <w:tc>
          <w:tcPr>
            <w:tcW w:w="811" w:type="dxa"/>
            <w:vAlign w:val="center"/>
          </w:tcPr>
          <w:p w14:paraId="58441BAA">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 xml:space="preserve">6.3 </w:t>
            </w:r>
          </w:p>
        </w:tc>
        <w:tc>
          <w:tcPr>
            <w:tcW w:w="894" w:type="dxa"/>
            <w:vAlign w:val="center"/>
          </w:tcPr>
          <w:p w14:paraId="72C4C3A1">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包一</w:t>
            </w:r>
          </w:p>
        </w:tc>
      </w:tr>
      <w:tr w14:paraId="3A6EE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trPr>
        <w:tc>
          <w:tcPr>
            <w:tcW w:w="753" w:type="dxa"/>
            <w:vAlign w:val="center"/>
          </w:tcPr>
          <w:p w14:paraId="3EF0C485">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8</w:t>
            </w:r>
          </w:p>
        </w:tc>
        <w:tc>
          <w:tcPr>
            <w:tcW w:w="1706" w:type="dxa"/>
            <w:vAlign w:val="center"/>
          </w:tcPr>
          <w:p w14:paraId="2E330682">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早禾塘水库</w:t>
            </w:r>
          </w:p>
        </w:tc>
        <w:tc>
          <w:tcPr>
            <w:tcW w:w="2106" w:type="dxa"/>
            <w:vAlign w:val="center"/>
          </w:tcPr>
          <w:p w14:paraId="1108C754">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43042650162-A5</w:t>
            </w:r>
          </w:p>
        </w:tc>
        <w:tc>
          <w:tcPr>
            <w:tcW w:w="1746" w:type="dxa"/>
            <w:vAlign w:val="center"/>
          </w:tcPr>
          <w:p w14:paraId="123D1154">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衡阳市金桥镇</w:t>
            </w:r>
          </w:p>
        </w:tc>
        <w:tc>
          <w:tcPr>
            <w:tcW w:w="1358" w:type="dxa"/>
            <w:vAlign w:val="center"/>
          </w:tcPr>
          <w:p w14:paraId="23DE29DA">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小（2）型</w:t>
            </w:r>
          </w:p>
        </w:tc>
        <w:tc>
          <w:tcPr>
            <w:tcW w:w="811" w:type="dxa"/>
            <w:vAlign w:val="center"/>
          </w:tcPr>
          <w:p w14:paraId="1507906F">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 xml:space="preserve">8.5 </w:t>
            </w:r>
          </w:p>
        </w:tc>
        <w:tc>
          <w:tcPr>
            <w:tcW w:w="894" w:type="dxa"/>
            <w:vAlign w:val="center"/>
          </w:tcPr>
          <w:p w14:paraId="148A9EDA">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包一</w:t>
            </w:r>
          </w:p>
        </w:tc>
      </w:tr>
      <w:tr w14:paraId="40D6A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trPr>
        <w:tc>
          <w:tcPr>
            <w:tcW w:w="753" w:type="dxa"/>
            <w:vAlign w:val="center"/>
          </w:tcPr>
          <w:p w14:paraId="622D74FC">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9</w:t>
            </w:r>
          </w:p>
        </w:tc>
        <w:tc>
          <w:tcPr>
            <w:tcW w:w="1706" w:type="dxa"/>
            <w:vAlign w:val="center"/>
          </w:tcPr>
          <w:p w14:paraId="49C8A92C">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白子水库</w:t>
            </w:r>
          </w:p>
        </w:tc>
        <w:tc>
          <w:tcPr>
            <w:tcW w:w="2106" w:type="dxa"/>
            <w:vAlign w:val="center"/>
          </w:tcPr>
          <w:p w14:paraId="6B0868CD">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43042650126-A5</w:t>
            </w:r>
          </w:p>
        </w:tc>
        <w:tc>
          <w:tcPr>
            <w:tcW w:w="1746" w:type="dxa"/>
            <w:vAlign w:val="center"/>
          </w:tcPr>
          <w:p w14:paraId="1079A670">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衡阳市黄土铺镇</w:t>
            </w:r>
          </w:p>
        </w:tc>
        <w:tc>
          <w:tcPr>
            <w:tcW w:w="1358" w:type="dxa"/>
            <w:vAlign w:val="center"/>
          </w:tcPr>
          <w:p w14:paraId="61FEB61D">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小（2）型</w:t>
            </w:r>
          </w:p>
        </w:tc>
        <w:tc>
          <w:tcPr>
            <w:tcW w:w="811" w:type="dxa"/>
            <w:vAlign w:val="center"/>
          </w:tcPr>
          <w:p w14:paraId="3D28672B">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 xml:space="preserve">5.0 </w:t>
            </w:r>
          </w:p>
        </w:tc>
        <w:tc>
          <w:tcPr>
            <w:tcW w:w="894" w:type="dxa"/>
            <w:vAlign w:val="center"/>
          </w:tcPr>
          <w:p w14:paraId="29494CDD">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包一</w:t>
            </w:r>
          </w:p>
        </w:tc>
      </w:tr>
      <w:tr w14:paraId="32450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trPr>
        <w:tc>
          <w:tcPr>
            <w:tcW w:w="753" w:type="dxa"/>
            <w:vAlign w:val="center"/>
          </w:tcPr>
          <w:p w14:paraId="79AA07BF">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10</w:t>
            </w:r>
          </w:p>
        </w:tc>
        <w:tc>
          <w:tcPr>
            <w:tcW w:w="1706" w:type="dxa"/>
            <w:vAlign w:val="center"/>
          </w:tcPr>
          <w:p w14:paraId="77CA95D3">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牛皮塘水库</w:t>
            </w:r>
          </w:p>
        </w:tc>
        <w:tc>
          <w:tcPr>
            <w:tcW w:w="2106" w:type="dxa"/>
            <w:vAlign w:val="center"/>
          </w:tcPr>
          <w:p w14:paraId="698D9EF7">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43042650152-A5</w:t>
            </w:r>
          </w:p>
        </w:tc>
        <w:tc>
          <w:tcPr>
            <w:tcW w:w="1746" w:type="dxa"/>
            <w:vAlign w:val="center"/>
          </w:tcPr>
          <w:p w14:paraId="3997CBD5">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衡阳市黄土铺镇</w:t>
            </w:r>
          </w:p>
        </w:tc>
        <w:tc>
          <w:tcPr>
            <w:tcW w:w="1358" w:type="dxa"/>
            <w:vAlign w:val="center"/>
          </w:tcPr>
          <w:p w14:paraId="6DBF9A07">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小（2）型</w:t>
            </w:r>
          </w:p>
        </w:tc>
        <w:tc>
          <w:tcPr>
            <w:tcW w:w="811" w:type="dxa"/>
            <w:vAlign w:val="center"/>
          </w:tcPr>
          <w:p w14:paraId="22050838">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 xml:space="preserve">6.6 </w:t>
            </w:r>
          </w:p>
        </w:tc>
        <w:tc>
          <w:tcPr>
            <w:tcW w:w="894" w:type="dxa"/>
            <w:vAlign w:val="center"/>
          </w:tcPr>
          <w:p w14:paraId="38453A9D">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包一</w:t>
            </w:r>
          </w:p>
        </w:tc>
      </w:tr>
      <w:tr w14:paraId="0D645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trPr>
        <w:tc>
          <w:tcPr>
            <w:tcW w:w="753" w:type="dxa"/>
            <w:vAlign w:val="center"/>
          </w:tcPr>
          <w:p w14:paraId="5FB355F8">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11</w:t>
            </w:r>
          </w:p>
        </w:tc>
        <w:tc>
          <w:tcPr>
            <w:tcW w:w="1706" w:type="dxa"/>
            <w:vAlign w:val="center"/>
          </w:tcPr>
          <w:p w14:paraId="6C9EC5F6">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新塘冲水库</w:t>
            </w:r>
          </w:p>
        </w:tc>
        <w:tc>
          <w:tcPr>
            <w:tcW w:w="2106" w:type="dxa"/>
            <w:vAlign w:val="center"/>
          </w:tcPr>
          <w:p w14:paraId="345C8E02">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43042650159-A5</w:t>
            </w:r>
          </w:p>
        </w:tc>
        <w:tc>
          <w:tcPr>
            <w:tcW w:w="1746" w:type="dxa"/>
            <w:vAlign w:val="center"/>
          </w:tcPr>
          <w:p w14:paraId="252CA3C4">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衡阳市黄土铺镇</w:t>
            </w:r>
          </w:p>
        </w:tc>
        <w:tc>
          <w:tcPr>
            <w:tcW w:w="1358" w:type="dxa"/>
            <w:vAlign w:val="center"/>
          </w:tcPr>
          <w:p w14:paraId="68421F63">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小（2）型</w:t>
            </w:r>
          </w:p>
        </w:tc>
        <w:tc>
          <w:tcPr>
            <w:tcW w:w="811" w:type="dxa"/>
            <w:vAlign w:val="center"/>
          </w:tcPr>
          <w:p w14:paraId="3BB0B56B">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 xml:space="preserve">14.9 </w:t>
            </w:r>
          </w:p>
        </w:tc>
        <w:tc>
          <w:tcPr>
            <w:tcW w:w="894" w:type="dxa"/>
            <w:vAlign w:val="center"/>
          </w:tcPr>
          <w:p w14:paraId="5747E401">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包一</w:t>
            </w:r>
          </w:p>
        </w:tc>
      </w:tr>
      <w:tr w14:paraId="3FFCF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trPr>
        <w:tc>
          <w:tcPr>
            <w:tcW w:w="753" w:type="dxa"/>
            <w:vAlign w:val="center"/>
          </w:tcPr>
          <w:p w14:paraId="312D2057">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12</w:t>
            </w:r>
          </w:p>
        </w:tc>
        <w:tc>
          <w:tcPr>
            <w:tcW w:w="1706" w:type="dxa"/>
            <w:vAlign w:val="center"/>
          </w:tcPr>
          <w:p w14:paraId="778971D6">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准提水库</w:t>
            </w:r>
          </w:p>
        </w:tc>
        <w:tc>
          <w:tcPr>
            <w:tcW w:w="2106" w:type="dxa"/>
            <w:vAlign w:val="center"/>
          </w:tcPr>
          <w:p w14:paraId="309297D5">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43042650164-A5</w:t>
            </w:r>
          </w:p>
        </w:tc>
        <w:tc>
          <w:tcPr>
            <w:tcW w:w="1746" w:type="dxa"/>
            <w:vAlign w:val="center"/>
          </w:tcPr>
          <w:p w14:paraId="14A46A27">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衡阳市黄土铺镇</w:t>
            </w:r>
          </w:p>
        </w:tc>
        <w:tc>
          <w:tcPr>
            <w:tcW w:w="1358" w:type="dxa"/>
            <w:vAlign w:val="center"/>
          </w:tcPr>
          <w:p w14:paraId="56C9B77E">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小（2）型</w:t>
            </w:r>
          </w:p>
        </w:tc>
        <w:tc>
          <w:tcPr>
            <w:tcW w:w="811" w:type="dxa"/>
            <w:vAlign w:val="center"/>
          </w:tcPr>
          <w:p w14:paraId="37E4D8B8">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 xml:space="preserve">9.5 </w:t>
            </w:r>
          </w:p>
        </w:tc>
        <w:tc>
          <w:tcPr>
            <w:tcW w:w="894" w:type="dxa"/>
            <w:vAlign w:val="center"/>
          </w:tcPr>
          <w:p w14:paraId="6412CDB2">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包一</w:t>
            </w:r>
          </w:p>
        </w:tc>
      </w:tr>
      <w:tr w14:paraId="0FF6C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trPr>
        <w:tc>
          <w:tcPr>
            <w:tcW w:w="753" w:type="dxa"/>
            <w:vAlign w:val="center"/>
          </w:tcPr>
          <w:p w14:paraId="0F28E60D">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13</w:t>
            </w:r>
          </w:p>
        </w:tc>
        <w:tc>
          <w:tcPr>
            <w:tcW w:w="1706" w:type="dxa"/>
            <w:vAlign w:val="center"/>
          </w:tcPr>
          <w:p w14:paraId="6AD77784">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柴山皂水库</w:t>
            </w:r>
          </w:p>
        </w:tc>
        <w:tc>
          <w:tcPr>
            <w:tcW w:w="2106" w:type="dxa"/>
            <w:vAlign w:val="center"/>
          </w:tcPr>
          <w:p w14:paraId="27676538">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43042650128-A5</w:t>
            </w:r>
          </w:p>
        </w:tc>
        <w:tc>
          <w:tcPr>
            <w:tcW w:w="1746" w:type="dxa"/>
            <w:vAlign w:val="center"/>
          </w:tcPr>
          <w:p w14:paraId="66D1C02D">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衡阳市灵官镇</w:t>
            </w:r>
          </w:p>
        </w:tc>
        <w:tc>
          <w:tcPr>
            <w:tcW w:w="1358" w:type="dxa"/>
            <w:vAlign w:val="center"/>
          </w:tcPr>
          <w:p w14:paraId="330CCFB8">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小（2）型</w:t>
            </w:r>
          </w:p>
        </w:tc>
        <w:tc>
          <w:tcPr>
            <w:tcW w:w="811" w:type="dxa"/>
            <w:vAlign w:val="center"/>
          </w:tcPr>
          <w:p w14:paraId="7EED4C0D">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 xml:space="preserve">19.5 </w:t>
            </w:r>
          </w:p>
        </w:tc>
        <w:tc>
          <w:tcPr>
            <w:tcW w:w="894" w:type="dxa"/>
            <w:vAlign w:val="center"/>
          </w:tcPr>
          <w:p w14:paraId="1CF1DBFF">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包一</w:t>
            </w:r>
          </w:p>
        </w:tc>
      </w:tr>
    </w:tbl>
    <w:p w14:paraId="3A161C39">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kern w:val="0"/>
          <w:sz w:val="21"/>
          <w:szCs w:val="21"/>
          <w:highlight w:val="none"/>
          <w:lang w:val="en-US" w:eastAsia="zh-CN" w:bidi="ar"/>
        </w:rPr>
      </w:pPr>
    </w:p>
    <w:p w14:paraId="486AB6FB">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kern w:val="0"/>
          <w:sz w:val="21"/>
          <w:szCs w:val="21"/>
          <w:highlight w:val="none"/>
          <w:lang w:val="en-US" w:eastAsia="zh-CN" w:bidi="ar"/>
        </w:rPr>
      </w:pPr>
    </w:p>
    <w:p w14:paraId="2706BDCA"/>
    <w:sectPr>
      <w:pgSz w:w="11906" w:h="16838"/>
      <w:pgMar w:top="1440" w:right="1587" w:bottom="1440"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CA949E3"/>
    <w:multiLevelType w:val="singleLevel"/>
    <w:tmpl w:val="ACA949E3"/>
    <w:lvl w:ilvl="0" w:tentative="0">
      <w:start w:val="1"/>
      <w:numFmt w:val="decimal"/>
      <w:suff w:val="nothing"/>
      <w:lvlText w:val="%1．"/>
      <w:lvlJc w:val="left"/>
      <w:pPr>
        <w:ind w:left="0" w:firstLine="400"/>
      </w:pPr>
      <w:rPr>
        <w:rFonts w:hint="default"/>
      </w:rPr>
    </w:lvl>
  </w:abstractNum>
  <w:abstractNum w:abstractNumId="1">
    <w:nsid w:val="C0C00F7F"/>
    <w:multiLevelType w:val="singleLevel"/>
    <w:tmpl w:val="C0C00F7F"/>
    <w:lvl w:ilvl="0" w:tentative="0">
      <w:start w:val="1"/>
      <w:numFmt w:val="decimal"/>
      <w:suff w:val="nothing"/>
      <w:lvlText w:val="%1．"/>
      <w:lvlJc w:val="left"/>
      <w:pPr>
        <w:ind w:left="0" w:firstLine="400"/>
      </w:pPr>
      <w:rPr>
        <w:rFonts w:hint="default"/>
      </w:rPr>
    </w:lvl>
  </w:abstractNum>
  <w:abstractNum w:abstractNumId="2">
    <w:nsid w:val="E4AB3FDD"/>
    <w:multiLevelType w:val="singleLevel"/>
    <w:tmpl w:val="E4AB3FDD"/>
    <w:lvl w:ilvl="0" w:tentative="0">
      <w:start w:val="1"/>
      <w:numFmt w:val="decimal"/>
      <w:lvlText w:val="%1."/>
      <w:lvlJc w:val="left"/>
      <w:pPr>
        <w:ind w:left="425" w:hanging="425"/>
      </w:pPr>
      <w:rPr>
        <w:rFonts w:hint="default"/>
      </w:rPr>
    </w:lvl>
  </w:abstractNum>
  <w:abstractNum w:abstractNumId="3">
    <w:nsid w:val="F20056F8"/>
    <w:multiLevelType w:val="singleLevel"/>
    <w:tmpl w:val="F20056F8"/>
    <w:lvl w:ilvl="0" w:tentative="0">
      <w:start w:val="4"/>
      <w:numFmt w:val="chineseCounting"/>
      <w:suff w:val="space"/>
      <w:lvlText w:val="第%1章"/>
      <w:lvlJc w:val="left"/>
      <w:rPr>
        <w:rFonts w:hint="eastAsia"/>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A2F20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2026-10-19T07:17:16Z</dcterms:created>
  <dc:creator>Administrator</dc:creator>
  <cp:lastModifiedBy>Administrator</cp:lastModifiedBy>
  <dcterms:modified xsi:type="dcterms:W3CDTF">2026-10-19T07:17:55Z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eyJoZGlkIjoiZjZjYWRiOWM3MDg0ODdlZWZiODQwMzI3ODYwNWE1NjUiLCJ1c2VySWQiOiI0Mjc1ODA3NTUifQ==</vt:lpwstr>
  </property>
  <property fmtid="{D5CDD505-2E9C-101B-9397-08002B2CF9AE}" pid="4" name="ICV">
    <vt:lpwstr>1BCAF558E7D340CA947FB4F5CBB6FE3C_12</vt:lpwstr>
  </property>
</Properties>
</file>