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E6059">
      <w:pPr>
        <w:numPr>
          <w:ilvl w:val="0"/>
          <w:numId w:val="0"/>
        </w:numPr>
        <w:jc w:val="center"/>
        <w:sectPr>
          <w:headerReference r:id="rId3" w:type="default"/>
          <w:footerReference r:id="rId4" w:type="default"/>
          <w:pgSz w:w="11906" w:h="16838"/>
          <w:pgMar w:top="1388" w:right="1531" w:bottom="1440" w:left="1531" w:header="871" w:footer="737" w:gutter="0"/>
          <w:pgNumType w:fmt="decimal"/>
          <w:cols w:space="720" w:num="1"/>
          <w:docGrid w:type="lines" w:linePitch="312" w:charSpace="0"/>
        </w:sectPr>
      </w:pPr>
      <w:r>
        <w:drawing>
          <wp:inline distT="0" distB="0" distL="114300" distR="114300">
            <wp:extent cx="5019675" cy="7096125"/>
            <wp:effectExtent l="0" t="0" r="952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019675" cy="7096125"/>
                    </a:xfrm>
                    <a:prstGeom prst="rect">
                      <a:avLst/>
                    </a:prstGeom>
                    <a:noFill/>
                    <a:ln>
                      <a:noFill/>
                    </a:ln>
                  </pic:spPr>
                </pic:pic>
              </a:graphicData>
            </a:graphic>
          </wp:inline>
        </w:drawing>
      </w:r>
    </w:p>
    <w:p w14:paraId="30295FD4">
      <w:pPr>
        <w:widowControl w:val="0"/>
        <w:adjustRightInd w:val="0"/>
        <w:snapToGrid w:val="0"/>
        <w:spacing w:line="360" w:lineRule="auto"/>
        <w:jc w:val="center"/>
        <w:rPr>
          <w:rFonts w:hint="eastAsia" w:ascii="宋体" w:hAnsi="宋体" w:eastAsia="宋体" w:cs="宋体"/>
          <w:b/>
          <w:bCs/>
          <w:color w:val="auto"/>
          <w:spacing w:val="160"/>
          <w:kern w:val="2"/>
          <w:sz w:val="36"/>
          <w:szCs w:val="36"/>
          <w:lang w:val="en-US" w:eastAsia="zh-CN" w:bidi="ar-SA"/>
        </w:rPr>
      </w:pPr>
      <w:r>
        <w:rPr>
          <w:rFonts w:hint="eastAsia" w:ascii="宋体" w:hAnsi="宋体" w:eastAsia="宋体" w:cs="宋体"/>
          <w:b/>
          <w:bCs/>
          <w:color w:val="auto"/>
          <w:spacing w:val="160"/>
          <w:kern w:val="2"/>
          <w:sz w:val="36"/>
          <w:szCs w:val="36"/>
          <w:lang w:val="en-US" w:eastAsia="zh-CN" w:bidi="ar-SA"/>
        </w:rPr>
        <w:t>目录</w:t>
      </w:r>
    </w:p>
    <w:p w14:paraId="76D68F61">
      <w:pPr>
        <w:widowControl w:val="0"/>
        <w:adjustRightInd w:val="0"/>
        <w:snapToGrid w:val="0"/>
        <w:spacing w:line="360" w:lineRule="auto"/>
        <w:jc w:val="both"/>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第一章  磋商邀请</w:t>
      </w:r>
    </w:p>
    <w:p w14:paraId="6B8DEE70">
      <w:pPr>
        <w:widowControl w:val="0"/>
        <w:adjustRightInd w:val="0"/>
        <w:snapToGrid w:val="0"/>
        <w:spacing w:line="360" w:lineRule="auto"/>
        <w:jc w:val="both"/>
        <w:rPr>
          <w:rFonts w:hint="eastAsia" w:ascii="宋体" w:hAnsi="宋体" w:eastAsia="宋体" w:cs="宋体"/>
          <w:b/>
          <w:color w:val="auto"/>
          <w:kern w:val="2"/>
          <w:sz w:val="24"/>
          <w:szCs w:val="24"/>
          <w:lang w:val="en-US" w:eastAsia="zh-CN" w:bidi="ar-SA"/>
        </w:rPr>
      </w:pPr>
      <w:r>
        <w:rPr>
          <w:rFonts w:hint="eastAsia" w:ascii="宋体" w:hAnsi="宋体" w:eastAsia="宋体" w:cs="宋体"/>
          <w:b/>
          <w:color w:val="auto"/>
          <w:kern w:val="2"/>
          <w:sz w:val="24"/>
          <w:szCs w:val="24"/>
          <w:lang w:val="en-US" w:eastAsia="zh-CN" w:bidi="ar-SA"/>
        </w:rPr>
        <w:t>第二章  磋商须知</w:t>
      </w:r>
    </w:p>
    <w:p w14:paraId="4706521F">
      <w:pPr>
        <w:tabs>
          <w:tab w:val="left" w:pos="1440"/>
        </w:tabs>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磋商须知前附表</w:t>
      </w:r>
    </w:p>
    <w:p w14:paraId="4F73F2C4">
      <w:pPr>
        <w:tabs>
          <w:tab w:val="left" w:pos="1440"/>
        </w:tabs>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磋商须知正文</w:t>
      </w:r>
    </w:p>
    <w:p w14:paraId="5E090912">
      <w:pPr>
        <w:tabs>
          <w:tab w:val="left" w:pos="1440"/>
        </w:tabs>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一、说明</w:t>
      </w:r>
    </w:p>
    <w:p w14:paraId="4C7B965B">
      <w:pPr>
        <w:tabs>
          <w:tab w:val="left" w:pos="1440"/>
        </w:tabs>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二、</w:t>
      </w:r>
      <w:r>
        <w:rPr>
          <w:rFonts w:hint="eastAsia" w:ascii="宋体" w:hAnsi="宋体" w:eastAsia="宋体" w:cs="宋体"/>
          <w:bCs/>
          <w:color w:val="auto"/>
          <w:szCs w:val="21"/>
        </w:rPr>
        <w:t>磋商</w:t>
      </w:r>
      <w:r>
        <w:rPr>
          <w:rFonts w:hint="eastAsia" w:ascii="宋体" w:hAnsi="宋体" w:eastAsia="宋体" w:cs="宋体"/>
          <w:color w:val="auto"/>
          <w:szCs w:val="21"/>
        </w:rPr>
        <w:t>文件</w:t>
      </w:r>
    </w:p>
    <w:p w14:paraId="6B04CEA0">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三、响应文件</w:t>
      </w:r>
    </w:p>
    <w:p w14:paraId="7E7CE389">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四、响应文件的递交</w:t>
      </w:r>
    </w:p>
    <w:p w14:paraId="0A8F7480">
      <w:pPr>
        <w:adjustRightInd w:val="0"/>
        <w:snapToGrid w:val="0"/>
        <w:spacing w:line="360" w:lineRule="auto"/>
        <w:ind w:firstLine="630" w:firstLineChars="300"/>
        <w:rPr>
          <w:rFonts w:hint="eastAsia" w:ascii="宋体" w:hAnsi="宋体" w:eastAsia="宋体" w:cs="宋体"/>
          <w:bCs/>
          <w:color w:val="auto"/>
          <w:szCs w:val="21"/>
        </w:rPr>
      </w:pPr>
      <w:r>
        <w:rPr>
          <w:rFonts w:hint="eastAsia" w:ascii="宋体" w:hAnsi="宋体" w:eastAsia="宋体" w:cs="宋体"/>
          <w:bCs/>
          <w:color w:val="auto"/>
          <w:szCs w:val="21"/>
        </w:rPr>
        <w:t>五、</w:t>
      </w:r>
      <w:r>
        <w:rPr>
          <w:rFonts w:hint="eastAsia" w:ascii="宋体" w:hAnsi="宋体" w:eastAsia="宋体" w:cs="宋体"/>
          <w:color w:val="auto"/>
          <w:szCs w:val="21"/>
        </w:rPr>
        <w:t>响应文件</w:t>
      </w:r>
      <w:r>
        <w:rPr>
          <w:rFonts w:hint="eastAsia" w:ascii="宋体" w:hAnsi="宋体" w:eastAsia="宋体" w:cs="宋体"/>
          <w:bCs/>
          <w:color w:val="auto"/>
          <w:szCs w:val="21"/>
        </w:rPr>
        <w:t>的</w:t>
      </w:r>
      <w:r>
        <w:rPr>
          <w:rFonts w:hint="eastAsia" w:ascii="宋体" w:hAnsi="宋体" w:eastAsia="宋体" w:cs="宋体"/>
          <w:color w:val="auto"/>
          <w:szCs w:val="21"/>
        </w:rPr>
        <w:t>磋商与评审</w:t>
      </w:r>
    </w:p>
    <w:p w14:paraId="592F15D1">
      <w:pPr>
        <w:adjustRightInd w:val="0"/>
        <w:snapToGrid w:val="0"/>
        <w:spacing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六、成交结果信息公布与授予合同</w:t>
      </w:r>
    </w:p>
    <w:p w14:paraId="6AA17FA4">
      <w:pPr>
        <w:adjustRightInd w:val="0"/>
        <w:snapToGrid w:val="0"/>
        <w:spacing w:line="360" w:lineRule="auto"/>
        <w:ind w:firstLine="630" w:firstLineChars="300"/>
        <w:jc w:val="left"/>
        <w:rPr>
          <w:rFonts w:hint="eastAsia" w:ascii="宋体" w:hAnsi="宋体" w:eastAsia="宋体" w:cs="宋体"/>
          <w:color w:val="auto"/>
          <w:szCs w:val="21"/>
        </w:rPr>
      </w:pPr>
      <w:r>
        <w:rPr>
          <w:rFonts w:hint="eastAsia" w:ascii="宋体" w:hAnsi="宋体" w:eastAsia="宋体" w:cs="宋体"/>
          <w:color w:val="auto"/>
          <w:szCs w:val="21"/>
        </w:rPr>
        <w:t>七、其他规定</w:t>
      </w:r>
      <w:bookmarkStart w:id="67" w:name="_GoBack"/>
      <w:bookmarkEnd w:id="67"/>
    </w:p>
    <w:p w14:paraId="1AA07EC8">
      <w:pPr>
        <w:adjustRightInd w:val="0"/>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第三章  政府采购合同格式</w:t>
      </w:r>
    </w:p>
    <w:p w14:paraId="26972B08">
      <w:pPr>
        <w:adjustRightInd w:val="0"/>
        <w:snapToGrid w:val="0"/>
        <w:spacing w:line="360" w:lineRule="auto"/>
        <w:rPr>
          <w:rFonts w:hint="eastAsia" w:ascii="宋体" w:hAnsi="宋体" w:eastAsia="宋体" w:cs="宋体"/>
          <w:b/>
          <w:color w:val="auto"/>
          <w:sz w:val="24"/>
        </w:rPr>
      </w:pPr>
      <w:r>
        <w:rPr>
          <w:rFonts w:hint="eastAsia" w:ascii="宋体" w:hAnsi="宋体" w:eastAsia="宋体" w:cs="宋体"/>
          <w:b/>
          <w:color w:val="auto"/>
          <w:sz w:val="24"/>
        </w:rPr>
        <w:t>第四章  采购需求</w:t>
      </w:r>
    </w:p>
    <w:p w14:paraId="59E5B9B9">
      <w:pPr>
        <w:widowControl w:val="0"/>
        <w:adjustRightInd w:val="0"/>
        <w:snapToGrid w:val="0"/>
        <w:spacing w:line="360" w:lineRule="auto"/>
        <w:jc w:val="both"/>
        <w:rPr>
          <w:rFonts w:hint="eastAsia" w:ascii="宋体" w:hAnsi="宋体" w:eastAsia="宋体" w:cs="宋体"/>
          <w:b/>
          <w:color w:val="auto"/>
          <w:kern w:val="2"/>
          <w:sz w:val="24"/>
          <w:szCs w:val="21"/>
          <w:lang w:val="en-US" w:eastAsia="zh-CN" w:bidi="ar-SA"/>
        </w:rPr>
        <w:sectPr>
          <w:pgSz w:w="11906" w:h="16838"/>
          <w:pgMar w:top="1388" w:right="1531" w:bottom="1440" w:left="1531" w:header="871" w:footer="737" w:gutter="0"/>
          <w:pgNumType w:fmt="decimal"/>
          <w:cols w:space="720" w:num="1"/>
          <w:docGrid w:type="lines" w:linePitch="312" w:charSpace="0"/>
        </w:sectPr>
      </w:pPr>
      <w:r>
        <w:rPr>
          <w:rFonts w:hint="eastAsia" w:ascii="宋体" w:hAnsi="宋体" w:eastAsia="宋体" w:cs="宋体"/>
          <w:b/>
          <w:color w:val="auto"/>
          <w:kern w:val="2"/>
          <w:sz w:val="24"/>
          <w:szCs w:val="24"/>
          <w:lang w:val="en-US" w:eastAsia="zh-CN" w:bidi="ar-SA"/>
        </w:rPr>
        <w:t xml:space="preserve">第五章  </w:t>
      </w:r>
      <w:r>
        <w:rPr>
          <w:rFonts w:hint="eastAsia" w:ascii="宋体" w:hAnsi="宋体" w:eastAsia="宋体" w:cs="宋体"/>
          <w:b/>
          <w:color w:val="auto"/>
          <w:kern w:val="2"/>
          <w:sz w:val="24"/>
          <w:szCs w:val="21"/>
          <w:lang w:val="en-US" w:eastAsia="zh-CN" w:bidi="ar-SA"/>
        </w:rPr>
        <w:t>响应文件组成</w:t>
      </w:r>
    </w:p>
    <w:p w14:paraId="409967AA">
      <w:pPr>
        <w:numPr>
          <w:ilvl w:val="0"/>
          <w:numId w:val="0"/>
        </w:numPr>
        <w:jc w:val="center"/>
        <w:rPr>
          <w:rFonts w:hint="eastAsia" w:ascii="宋体" w:hAnsi="宋体" w:cs="宋体"/>
          <w:b/>
          <w:color w:val="auto"/>
          <w:sz w:val="32"/>
          <w:szCs w:val="32"/>
        </w:rPr>
      </w:pPr>
      <w:r>
        <w:rPr>
          <w:rFonts w:hint="eastAsia" w:ascii="宋体" w:hAnsi="宋体" w:eastAsia="宋体" w:cs="宋体"/>
          <w:b/>
          <w:color w:val="auto"/>
          <w:kern w:val="2"/>
          <w:sz w:val="32"/>
          <w:szCs w:val="32"/>
          <w:lang w:val="en-US" w:eastAsia="zh-CN" w:bidi="ar-SA"/>
        </w:rPr>
        <w:t>第一章</w:t>
      </w:r>
      <w:r>
        <w:rPr>
          <w:rFonts w:hint="eastAsia" w:ascii="宋体" w:hAnsi="宋体" w:cs="宋体"/>
          <w:b/>
          <w:color w:val="auto"/>
          <w:sz w:val="32"/>
          <w:szCs w:val="32"/>
        </w:rPr>
        <w:t xml:space="preserve"> 磋商邀请</w:t>
      </w:r>
    </w:p>
    <w:p w14:paraId="168C62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t>岳阳县张谷英管理处</w:t>
      </w:r>
      <w:r>
        <w:rPr>
          <w:rFonts w:hint="eastAsia" w:ascii="宋体" w:hAnsi="宋体" w:eastAsia="宋体" w:cs="宋体"/>
          <w:kern w:val="0"/>
          <w:sz w:val="21"/>
          <w:szCs w:val="21"/>
          <w:lang w:val="en-US" w:eastAsia="zh-CN" w:bidi="ar"/>
        </w:rPr>
        <w:t>的</w:t>
      </w:r>
      <w:r>
        <w:rPr>
          <w:rFonts w:hint="eastAsia" w:ascii="宋体" w:hAnsi="宋体" w:cs="宋体"/>
          <w:kern w:val="0"/>
          <w:sz w:val="21"/>
          <w:szCs w:val="21"/>
          <w:lang w:val="en-US" w:eastAsia="zh-CN" w:bidi="ar"/>
        </w:rPr>
        <w:t>岳阳县张谷英村古建筑群文物修缮工程（隐患整治项目）</w:t>
      </w:r>
      <w:r>
        <w:rPr>
          <w:rFonts w:hint="eastAsia" w:ascii="宋体" w:hAnsi="宋体" w:eastAsia="宋体" w:cs="宋体"/>
          <w:kern w:val="0"/>
          <w:sz w:val="21"/>
          <w:szCs w:val="21"/>
          <w:lang w:val="en-US" w:eastAsia="zh-CN" w:bidi="ar"/>
        </w:rPr>
        <w:t xml:space="preserve">进行竞争性磋商采购，现采用发布公告方式，邀请符合资格条件的供应商提交证明材料参与资格审查活动。 </w:t>
      </w:r>
    </w:p>
    <w:p w14:paraId="15693FC2">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一、采购项目基本信息</w:t>
      </w:r>
    </w:p>
    <w:p w14:paraId="4F849F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r>
        <w:rPr>
          <w:rFonts w:hint="eastAsia" w:ascii="宋体" w:hAnsi="宋体" w:eastAsia="宋体" w:cs="宋体"/>
          <w:color w:val="auto"/>
          <w:kern w:val="0"/>
          <w:sz w:val="21"/>
          <w:szCs w:val="21"/>
          <w:lang w:val="en-US" w:eastAsia="zh-CN" w:bidi="ar"/>
        </w:rPr>
        <w:t>采购项目编号：</w:t>
      </w:r>
      <w:r>
        <w:rPr>
          <w:rFonts w:hint="eastAsia" w:ascii="宋体" w:hAnsi="宋体" w:eastAsia="宋体" w:cs="宋体"/>
          <w:color w:val="0000FF"/>
          <w:kern w:val="0"/>
          <w:sz w:val="21"/>
          <w:szCs w:val="21"/>
          <w:lang w:val="en-US" w:eastAsia="zh-CN" w:bidi="ar"/>
        </w:rPr>
        <w:t>CGXM2026430621000061</w:t>
      </w:r>
      <w:r>
        <w:rPr>
          <w:rFonts w:hint="eastAsia" w:ascii="宋体" w:hAnsi="宋体" w:eastAsia="宋体" w:cs="宋体"/>
          <w:kern w:val="0"/>
          <w:sz w:val="21"/>
          <w:szCs w:val="21"/>
          <w:lang w:val="en-US" w:eastAsia="zh-CN" w:bidi="ar"/>
        </w:rPr>
        <w:t xml:space="preserve"> </w:t>
      </w:r>
    </w:p>
    <w:p w14:paraId="4D3D2A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default" w:ascii="宋体" w:hAnsi="宋体" w:cs="宋体"/>
          <w:color w:val="auto"/>
          <w:kern w:val="0"/>
          <w:sz w:val="21"/>
          <w:szCs w:val="21"/>
          <w:u w:val="single"/>
          <w:lang w:val="en-US" w:eastAsia="zh-CN" w:bidi="ar"/>
        </w:rPr>
      </w:pPr>
      <w:r>
        <w:rPr>
          <w:rFonts w:hint="eastAsia" w:ascii="宋体" w:hAnsi="宋体" w:eastAsia="宋体" w:cs="宋体"/>
          <w:kern w:val="0"/>
          <w:sz w:val="21"/>
          <w:szCs w:val="21"/>
          <w:lang w:val="en-US" w:eastAsia="zh-CN" w:bidi="ar"/>
        </w:rPr>
        <w:t>2、采购项目名称：</w:t>
      </w:r>
      <w:r>
        <w:rPr>
          <w:rFonts w:hint="eastAsia" w:ascii="宋体" w:hAnsi="宋体" w:cs="宋体"/>
          <w:kern w:val="0"/>
          <w:sz w:val="21"/>
          <w:szCs w:val="21"/>
          <w:lang w:val="en-US" w:eastAsia="zh-CN" w:bidi="ar"/>
        </w:rPr>
        <w:t>岳阳县张谷英村古建筑群文物修缮工程（隐患整治项目）</w:t>
      </w:r>
    </w:p>
    <w:p w14:paraId="19094D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default" w:ascii="宋体" w:hAnsi="宋体" w:cs="宋体"/>
          <w:color w:val="auto"/>
          <w:kern w:val="0"/>
          <w:sz w:val="21"/>
          <w:szCs w:val="21"/>
          <w:u w:val="single"/>
          <w:lang w:val="en-US" w:eastAsia="zh-CN" w:bidi="ar"/>
        </w:rPr>
      </w:pPr>
      <w:r>
        <w:rPr>
          <w:rFonts w:hint="eastAsia" w:ascii="宋体" w:hAnsi="宋体" w:eastAsia="宋体" w:cs="宋体"/>
          <w:color w:val="auto"/>
          <w:kern w:val="0"/>
          <w:sz w:val="21"/>
          <w:szCs w:val="21"/>
          <w:lang w:val="en-US" w:eastAsia="zh-CN" w:bidi="ar"/>
        </w:rPr>
        <w:t>3、</w:t>
      </w:r>
      <w:r>
        <w:rPr>
          <w:rFonts w:hint="eastAsia" w:ascii="宋体" w:hAnsi="宋体" w:eastAsia="宋体" w:cs="宋体"/>
          <w:kern w:val="0"/>
          <w:sz w:val="21"/>
          <w:szCs w:val="21"/>
          <w:lang w:val="en-US" w:eastAsia="zh-CN" w:bidi="ar"/>
        </w:rPr>
        <w:t>政府采购计划编号：</w:t>
      </w:r>
      <w:r>
        <w:rPr>
          <w:rFonts w:hint="eastAsia" w:ascii="宋体" w:hAnsi="宋体" w:cs="宋体"/>
          <w:color w:val="0000FF"/>
          <w:kern w:val="0"/>
          <w:sz w:val="21"/>
          <w:szCs w:val="21"/>
          <w:lang w:val="en-US" w:eastAsia="zh-CN" w:bidi="ar"/>
        </w:rPr>
        <w:t>(2026)430621000046-1</w:t>
      </w:r>
    </w:p>
    <w:p w14:paraId="0C6B74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4、合同履行期</w:t>
      </w:r>
      <w:r>
        <w:rPr>
          <w:rFonts w:hint="eastAsia" w:ascii="宋体" w:hAnsi="宋体" w:eastAsia="宋体" w:cs="宋体"/>
          <w:color w:val="auto"/>
          <w:kern w:val="0"/>
          <w:sz w:val="21"/>
          <w:szCs w:val="21"/>
          <w:lang w:val="en-US" w:eastAsia="zh-CN" w:bidi="ar"/>
        </w:rPr>
        <w:t>限：</w:t>
      </w:r>
      <w:r>
        <w:rPr>
          <w:rFonts w:hint="eastAsia" w:ascii="宋体" w:hAnsi="宋体" w:cs="宋体"/>
          <w:color w:val="auto"/>
          <w:kern w:val="0"/>
          <w:sz w:val="21"/>
          <w:szCs w:val="21"/>
          <w:lang w:val="en-US" w:eastAsia="zh-CN" w:bidi="ar"/>
        </w:rPr>
        <w:t>90日历天</w:t>
      </w:r>
      <w:r>
        <w:rPr>
          <w:rFonts w:hint="eastAsia" w:ascii="宋体" w:hAnsi="宋体" w:eastAsia="宋体" w:cs="宋体"/>
          <w:color w:val="auto"/>
          <w:kern w:val="0"/>
          <w:sz w:val="21"/>
          <w:szCs w:val="21"/>
          <w:lang w:val="en-US" w:eastAsia="zh-CN" w:bidi="ar"/>
        </w:rPr>
        <w:t xml:space="preserve"> </w:t>
      </w:r>
    </w:p>
    <w:p w14:paraId="328B0C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5、本项目</w:t>
      </w:r>
      <w:r>
        <w:rPr>
          <w:rFonts w:hint="eastAsia" w:ascii="宋体" w:hAnsi="宋体" w:eastAsia="宋体" w:cs="宋体"/>
          <w:kern w:val="0"/>
          <w:sz w:val="21"/>
          <w:szCs w:val="21"/>
          <w:u w:val="single"/>
          <w:lang w:val="en-US" w:eastAsia="zh-CN" w:bidi="ar"/>
        </w:rPr>
        <w:t>否</w:t>
      </w:r>
      <w:r>
        <w:rPr>
          <w:rFonts w:hint="eastAsia" w:ascii="宋体" w:hAnsi="宋体" w:eastAsia="宋体" w:cs="宋体"/>
          <w:kern w:val="0"/>
          <w:sz w:val="21"/>
          <w:szCs w:val="21"/>
          <w:u w:val="none"/>
          <w:lang w:val="en-US" w:eastAsia="zh-CN" w:bidi="ar"/>
        </w:rPr>
        <w:t>接受</w:t>
      </w:r>
      <w:r>
        <w:rPr>
          <w:rFonts w:hint="eastAsia" w:ascii="宋体" w:hAnsi="宋体" w:eastAsia="宋体" w:cs="宋体"/>
          <w:kern w:val="0"/>
          <w:sz w:val="21"/>
          <w:szCs w:val="21"/>
          <w:lang w:val="en-US" w:eastAsia="zh-CN" w:bidi="ar"/>
        </w:rPr>
        <w:t>联合体投标</w:t>
      </w:r>
    </w:p>
    <w:p w14:paraId="1681A340">
      <w:pPr>
        <w:pStyle w:val="4"/>
        <w:keepNext w:val="0"/>
        <w:keepLines w:val="0"/>
        <w:pageBreakBefore w:val="0"/>
        <w:widowControl/>
        <w:suppressLineNumbers w:val="0"/>
        <w:kinsoku/>
        <w:wordWrap/>
        <w:overflowPunct/>
        <w:topLinePunct w:val="0"/>
        <w:autoSpaceDE/>
        <w:autoSpaceDN/>
        <w:bidi w:val="0"/>
        <w:adjustRightInd/>
        <w:snapToGrid/>
        <w:spacing w:before="0" w:line="440" w:lineRule="exact"/>
        <w:textAlignment w:val="auto"/>
        <w:rPr>
          <w:rFonts w:hint="eastAsia" w:ascii="宋体" w:hAnsi="宋体" w:eastAsia="宋体" w:cs="宋体"/>
          <w:sz w:val="21"/>
          <w:szCs w:val="21"/>
        </w:rPr>
      </w:pPr>
      <w:r>
        <w:rPr>
          <w:rFonts w:hint="eastAsia" w:ascii="宋体" w:hAnsi="宋体" w:eastAsia="宋体" w:cs="宋体"/>
          <w:sz w:val="21"/>
          <w:szCs w:val="21"/>
        </w:rPr>
        <w:t>二、采购需求</w:t>
      </w:r>
    </w:p>
    <w:tbl>
      <w:tblPr>
        <w:tblStyle w:val="44"/>
        <w:tblW w:w="5623" w:type="pct"/>
        <w:tblCellSpacing w:w="0" w:type="dxa"/>
        <w:tblInd w:w="-503"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905"/>
        <w:gridCol w:w="1260"/>
        <w:gridCol w:w="1890"/>
        <w:gridCol w:w="2945"/>
        <w:gridCol w:w="630"/>
        <w:gridCol w:w="1350"/>
      </w:tblGrid>
      <w:tr w14:paraId="32DDB642">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trPr>
        <w:tc>
          <w:tcPr>
            <w:tcW w:w="954"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0289BD17">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包名称</w:t>
            </w:r>
          </w:p>
        </w:tc>
        <w:tc>
          <w:tcPr>
            <w:tcW w:w="631"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424B1B09">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最高限价</w:t>
            </w:r>
          </w:p>
          <w:p w14:paraId="47E135B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（元）</w:t>
            </w:r>
          </w:p>
        </w:tc>
        <w:tc>
          <w:tcPr>
            <w:tcW w:w="946"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739DC55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标的名称</w:t>
            </w:r>
          </w:p>
        </w:tc>
        <w:tc>
          <w:tcPr>
            <w:tcW w:w="1475"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33070E0D">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简要技术要求</w:t>
            </w:r>
          </w:p>
        </w:tc>
        <w:tc>
          <w:tcPr>
            <w:tcW w:w="315"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19F3D77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数量</w:t>
            </w:r>
          </w:p>
        </w:tc>
        <w:tc>
          <w:tcPr>
            <w:tcW w:w="676"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01261A66">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标的预算</w:t>
            </w:r>
          </w:p>
          <w:p w14:paraId="2ADB10C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（元）</w:t>
            </w:r>
          </w:p>
        </w:tc>
      </w:tr>
      <w:tr w14:paraId="4C59925E">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trPr>
        <w:tc>
          <w:tcPr>
            <w:tcW w:w="954"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2DCDE05">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cs="宋体"/>
                <w:sz w:val="21"/>
                <w:szCs w:val="21"/>
                <w:highlight w:val="none"/>
                <w:lang w:val="en-US" w:eastAsia="zh-CN"/>
              </w:rPr>
              <w:t>岳阳县张谷英村古建筑群文物修缮工程（隐患整治项目）</w:t>
            </w:r>
          </w:p>
        </w:tc>
        <w:tc>
          <w:tcPr>
            <w:tcW w:w="631" w:type="pct"/>
            <w:tcBorders>
              <w:top w:val="single" w:color="D5D5D5" w:sz="6" w:space="0"/>
              <w:left w:val="single" w:color="D5D5D5" w:sz="6" w:space="0"/>
              <w:bottom w:val="single" w:color="D5D5D5" w:sz="6" w:space="0"/>
              <w:right w:val="single" w:color="D5D5D5" w:sz="6" w:space="0"/>
            </w:tcBorders>
            <w:shd w:val="clear" w:color="auto" w:fill="auto"/>
            <w:vAlign w:val="center"/>
          </w:tcPr>
          <w:p w14:paraId="39830BC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highlight w:val="none"/>
                <w:lang w:val="en-US"/>
              </w:rPr>
            </w:pPr>
            <w:r>
              <w:rPr>
                <w:rFonts w:hint="eastAsia" w:ascii="宋体" w:hAnsi="宋体" w:cs="宋体"/>
                <w:kern w:val="0"/>
                <w:sz w:val="21"/>
                <w:szCs w:val="21"/>
                <w:highlight w:val="none"/>
                <w:lang w:val="en-US" w:eastAsia="zh-CN" w:bidi="ar"/>
              </w:rPr>
              <w:t>1720000.00</w:t>
            </w:r>
          </w:p>
        </w:tc>
        <w:tc>
          <w:tcPr>
            <w:tcW w:w="946" w:type="pct"/>
            <w:tcBorders>
              <w:top w:val="single" w:color="D5D5D5" w:sz="6" w:space="0"/>
              <w:left w:val="single" w:color="D5D5D5" w:sz="6" w:space="0"/>
              <w:bottom w:val="single" w:color="D5D5D5" w:sz="6" w:space="0"/>
              <w:right w:val="single" w:color="D5D5D5" w:sz="6" w:space="0"/>
            </w:tcBorders>
            <w:shd w:val="clear" w:color="auto" w:fill="auto"/>
            <w:vAlign w:val="center"/>
          </w:tcPr>
          <w:p w14:paraId="4CF3E185">
            <w:pPr>
              <w:keepNext w:val="0"/>
              <w:keepLines w:val="0"/>
              <w:pageBreakBefore w:val="0"/>
              <w:widowControl/>
              <w:suppressLineNumbers w:val="0"/>
              <w:kinsoku/>
              <w:wordWrap/>
              <w:overflowPunct/>
              <w:topLinePunct w:val="0"/>
              <w:autoSpaceDE/>
              <w:autoSpaceDN/>
              <w:bidi w:val="0"/>
              <w:adjustRightInd/>
              <w:snapToGrid/>
              <w:spacing w:beforeAutospacing="0" w:line="240" w:lineRule="auto"/>
              <w:ind w:left="0" w:firstLine="0"/>
              <w:jc w:val="center"/>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岳阳县张谷英村古建筑群文物修缮工程（隐患整治项目）</w:t>
            </w:r>
          </w:p>
        </w:tc>
        <w:tc>
          <w:tcPr>
            <w:tcW w:w="1475"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7ACCD7B">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highlight w:val="none"/>
                <w:lang w:val="en-US"/>
              </w:rPr>
            </w:pPr>
            <w:r>
              <w:rPr>
                <w:rFonts w:hint="eastAsia" w:ascii="宋体" w:hAnsi="宋体" w:cs="宋体"/>
                <w:sz w:val="21"/>
                <w:szCs w:val="21"/>
                <w:highlight w:val="none"/>
                <w:lang w:val="en-US" w:eastAsia="zh-CN"/>
              </w:rPr>
              <w:t>王家塅西三横堂屋一、二、三进院落及西偏房一、二进院落的屋面翻修、墙地面修复、补配门窗等，具体详见工程量清单。</w:t>
            </w:r>
          </w:p>
        </w:tc>
        <w:tc>
          <w:tcPr>
            <w:tcW w:w="315" w:type="pct"/>
            <w:tcBorders>
              <w:top w:val="single" w:color="D5D5D5" w:sz="6" w:space="0"/>
              <w:left w:val="single" w:color="D5D5D5" w:sz="6" w:space="0"/>
              <w:bottom w:val="single" w:color="D5D5D5" w:sz="6" w:space="0"/>
              <w:right w:val="single" w:color="D5D5D5" w:sz="6" w:space="0"/>
            </w:tcBorders>
            <w:shd w:val="clear" w:color="auto" w:fill="auto"/>
            <w:vAlign w:val="center"/>
          </w:tcPr>
          <w:p w14:paraId="7CD4E3EB">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676" w:type="pct"/>
            <w:tcBorders>
              <w:top w:val="single" w:color="D5D5D5" w:sz="6" w:space="0"/>
              <w:left w:val="single" w:color="D5D5D5" w:sz="6" w:space="0"/>
              <w:bottom w:val="single" w:color="D5D5D5" w:sz="6" w:space="0"/>
              <w:right w:val="single" w:color="D5D5D5" w:sz="6" w:space="0"/>
            </w:tcBorders>
            <w:shd w:val="clear" w:color="auto" w:fill="auto"/>
            <w:vAlign w:val="center"/>
          </w:tcPr>
          <w:p w14:paraId="0C1684D5">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rPr>
            </w:pPr>
            <w:r>
              <w:rPr>
                <w:rFonts w:hint="eastAsia" w:ascii="宋体" w:hAnsi="宋体" w:cs="宋体"/>
                <w:kern w:val="0"/>
                <w:sz w:val="21"/>
                <w:szCs w:val="21"/>
                <w:highlight w:val="none"/>
                <w:lang w:val="en-US" w:eastAsia="zh-CN" w:bidi="ar"/>
              </w:rPr>
              <w:t>1720000.00</w:t>
            </w:r>
            <w:r>
              <w:rPr>
                <w:rFonts w:hint="eastAsia" w:ascii="宋体" w:hAnsi="宋体" w:eastAsia="宋体" w:cs="宋体"/>
                <w:kern w:val="0"/>
                <w:sz w:val="21"/>
                <w:szCs w:val="21"/>
                <w:highlight w:val="none"/>
                <w:lang w:val="en-US" w:eastAsia="zh-CN" w:bidi="ar"/>
              </w:rPr>
              <w:t xml:space="preserve"> </w:t>
            </w:r>
          </w:p>
        </w:tc>
      </w:tr>
    </w:tbl>
    <w:p w14:paraId="624FE2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right="0"/>
        <w:jc w:val="left"/>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三、供应商的资格要求：</w:t>
      </w:r>
    </w:p>
    <w:p w14:paraId="342E17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1、供应商的基本资格条件：</w:t>
      </w:r>
    </w:p>
    <w:p w14:paraId="364AD5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（1）供应商必须是在中华人民共和国境内注册登记的法人、其他组织或者自然人，且应当符合《政府采购法》第二十二条第一款的规定。</w:t>
      </w:r>
    </w:p>
    <w:p w14:paraId="71C1A0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（2）单位负责人为同一人或者存在直接控股、管理关系的不同供应商，不得参加同一合同项下的政府采购活动。</w:t>
      </w:r>
    </w:p>
    <w:p w14:paraId="2DC60A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 为本采购项目提供整体设计、规范编制或者项目管理、监理、检测等服务的，不得再参加此项目的其他采购活动。</w:t>
      </w:r>
    </w:p>
    <w:p w14:paraId="260775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（4）列入失信被执行人、重大税收违法失信主体名单、政府采购严重违法失信行为记录名单的，拒绝其参与政府采购活动。</w:t>
      </w:r>
    </w:p>
    <w:p w14:paraId="189B6D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2、落实政府采购政策需满足的资格要求： </w:t>
      </w:r>
    </w:p>
    <w:p w14:paraId="6107E5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包名称：</w:t>
      </w:r>
      <w:r>
        <w:rPr>
          <w:rFonts w:hint="eastAsia" w:ascii="宋体" w:hAnsi="宋体" w:cs="宋体"/>
          <w:kern w:val="0"/>
          <w:sz w:val="21"/>
          <w:szCs w:val="21"/>
          <w:lang w:val="en-US" w:eastAsia="zh-CN" w:bidi="ar"/>
        </w:rPr>
        <w:t>岳阳县张谷英村古建筑群文物修缮工程（隐患整治项目）</w:t>
      </w:r>
    </w:p>
    <w:p w14:paraId="67839D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专门面向中小企业（含监狱及福利性单位）</w:t>
      </w:r>
    </w:p>
    <w:p w14:paraId="742D89C1">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特定资格条件：</w:t>
      </w:r>
    </w:p>
    <w:p w14:paraId="74D6066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leftChars="0" w:right="0" w:rightChars="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包名称：</w:t>
      </w:r>
      <w:r>
        <w:rPr>
          <w:rFonts w:hint="eastAsia" w:ascii="宋体" w:hAnsi="宋体" w:cs="宋体"/>
          <w:kern w:val="0"/>
          <w:sz w:val="21"/>
          <w:szCs w:val="21"/>
          <w:lang w:val="en-US" w:eastAsia="zh-CN" w:bidi="ar"/>
        </w:rPr>
        <w:t>岳阳县张谷英村古建筑群文物修缮工程（隐患整治项目）</w:t>
      </w:r>
    </w:p>
    <w:p w14:paraId="08CC537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leftChars="0" w:right="0" w:rightChars="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特定资格条件：①供应商须具备文物行政主管部门颁发的文物保护工程施工壹级资质（含古建筑维修保护），安全生产许可证处于有效期；</w:t>
      </w:r>
    </w:p>
    <w:p w14:paraId="33566D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②</w:t>
      </w:r>
      <w:r>
        <w:rPr>
          <w:rFonts w:hint="eastAsia" w:ascii="宋体" w:hAnsi="宋体" w:eastAsia="宋体" w:cs="宋体"/>
          <w:kern w:val="0"/>
          <w:sz w:val="21"/>
          <w:szCs w:val="21"/>
          <w:lang w:val="en-US" w:eastAsia="zh-CN" w:bidi="ar"/>
        </w:rPr>
        <w:t>拟任项目负责人具有文物保护工程责任工程师资格证书（古建筑专业），且未在其他建设工程中担任同类职务（须提供相应证书复印件、无在建工程承诺书原件）；其他关键岗位人员具备建设行政主管部门颁发的岗位证书（技术负责人、施工员1人、安全员1人）；安全员还需具备C类安全生产考核合格证书，并在有效期内。（以上拟任项目负责人和其他关键岗位人员需提供</w:t>
      </w:r>
      <w:r>
        <w:rPr>
          <w:rFonts w:hint="eastAsia" w:ascii="宋体" w:hAnsi="宋体" w:cs="宋体"/>
          <w:kern w:val="0"/>
          <w:sz w:val="21"/>
          <w:szCs w:val="21"/>
          <w:lang w:val="en-US" w:eastAsia="zh-CN" w:bidi="ar"/>
        </w:rPr>
        <w:t>供应商</w:t>
      </w:r>
      <w:r>
        <w:rPr>
          <w:rFonts w:hint="eastAsia" w:ascii="宋体" w:hAnsi="宋体" w:eastAsia="宋体" w:cs="宋体"/>
          <w:kern w:val="0"/>
          <w:sz w:val="21"/>
          <w:szCs w:val="21"/>
          <w:lang w:val="en-US" w:eastAsia="zh-CN" w:bidi="ar"/>
        </w:rPr>
        <w:t>为其缴纳的近半年内任意一个月的社保证明材料）；</w:t>
      </w:r>
    </w:p>
    <w:p w14:paraId="6143AC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③供应商</w:t>
      </w:r>
      <w:r>
        <w:rPr>
          <w:rFonts w:hint="eastAsia" w:ascii="宋体" w:hAnsi="宋体" w:eastAsia="宋体" w:cs="宋体"/>
          <w:kern w:val="0"/>
          <w:sz w:val="21"/>
          <w:szCs w:val="21"/>
          <w:lang w:val="en-US" w:eastAsia="zh-CN" w:bidi="ar"/>
        </w:rPr>
        <w:t>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建筑业”；</w:t>
      </w:r>
    </w:p>
    <w:p w14:paraId="159B74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④</w:t>
      </w:r>
      <w:r>
        <w:rPr>
          <w:rFonts w:hint="eastAsia" w:ascii="宋体" w:hAnsi="宋体" w:eastAsia="宋体" w:cs="宋体"/>
          <w:kern w:val="0"/>
          <w:sz w:val="21"/>
          <w:szCs w:val="21"/>
          <w:lang w:val="en-US" w:eastAsia="zh-CN" w:bidi="ar"/>
        </w:rPr>
        <w:t>湖南省政府采购供应商资格承诺函原件。格式见湖南省财政厅关于《政府采购促进中小企业发展有关措施》的通知湘财购【2022】17号文；</w:t>
      </w:r>
    </w:p>
    <w:p w14:paraId="222A95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⑤</w:t>
      </w:r>
      <w:r>
        <w:rPr>
          <w:rFonts w:hint="eastAsia" w:ascii="宋体" w:hAnsi="宋体" w:eastAsia="宋体" w:cs="宋体"/>
          <w:kern w:val="0"/>
          <w:sz w:val="21"/>
          <w:szCs w:val="21"/>
          <w:lang w:val="en-US" w:eastAsia="zh-CN" w:bidi="ar"/>
        </w:rPr>
        <w:t>依据《湖南省财政厅关于做好政府采购有关信用主体标识码登记及在政府采购活动中查询使用信用记录有关问题的通知》（湘财购（2017）2号）精神，要求供应商无不良信用记录，信用信息查询的查询渠道：“信用中国”网站（www.creditchina.gov.cn）、中国政府采购网（www.ccgp.gov.cn）提供在以上网站的查询截图复印件加盖公章。</w:t>
      </w:r>
    </w:p>
    <w:p w14:paraId="4EF34BF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四、获取</w:t>
      </w:r>
      <w:r>
        <w:rPr>
          <w:rFonts w:hint="eastAsia" w:ascii="宋体" w:hAnsi="宋体" w:cs="宋体"/>
          <w:sz w:val="21"/>
          <w:szCs w:val="21"/>
          <w:lang w:val="en-US" w:eastAsia="zh-CN"/>
        </w:rPr>
        <w:t>磋商</w:t>
      </w:r>
      <w:r>
        <w:rPr>
          <w:rFonts w:hint="eastAsia" w:ascii="宋体" w:hAnsi="宋体" w:eastAsia="宋体" w:cs="宋体"/>
          <w:sz w:val="21"/>
          <w:szCs w:val="21"/>
        </w:rPr>
        <w:t>文件的时间、期限、地点及方式</w:t>
      </w:r>
    </w:p>
    <w:p w14:paraId="7B780F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1、时间：2026年</w:t>
      </w:r>
      <w:r>
        <w:rPr>
          <w:rFonts w:hint="eastAsia" w:ascii="宋体" w:hAnsi="宋体" w:cs="宋体"/>
          <w:kern w:val="0"/>
          <w:sz w:val="21"/>
          <w:szCs w:val="21"/>
          <w:lang w:val="en-US" w:eastAsia="zh-CN" w:bidi="ar"/>
        </w:rPr>
        <w:t>9</w:t>
      </w:r>
      <w:r>
        <w:rPr>
          <w:rFonts w:hint="eastAsia" w:ascii="宋体" w:hAnsi="宋体" w:eastAsia="宋体" w:cs="宋体"/>
          <w:kern w:val="0"/>
          <w:sz w:val="21"/>
          <w:szCs w:val="21"/>
          <w:lang w:val="en-US" w:eastAsia="zh-CN" w:bidi="ar"/>
        </w:rPr>
        <w:t>月</w:t>
      </w:r>
      <w:r>
        <w:rPr>
          <w:rFonts w:hint="eastAsia" w:ascii="宋体" w:hAnsi="宋体" w:cs="宋体"/>
          <w:kern w:val="0"/>
          <w:sz w:val="21"/>
          <w:szCs w:val="21"/>
          <w:lang w:val="en-US" w:eastAsia="zh-CN" w:bidi="ar"/>
        </w:rPr>
        <w:t>10</w:t>
      </w:r>
      <w:r>
        <w:rPr>
          <w:rFonts w:hint="eastAsia" w:ascii="宋体" w:hAnsi="宋体" w:eastAsia="宋体" w:cs="宋体"/>
          <w:kern w:val="0"/>
          <w:sz w:val="21"/>
          <w:szCs w:val="21"/>
          <w:lang w:val="en-US" w:eastAsia="zh-CN" w:bidi="ar"/>
        </w:rPr>
        <w:t>日至2026年</w:t>
      </w:r>
      <w:r>
        <w:rPr>
          <w:rFonts w:hint="eastAsia" w:ascii="宋体" w:hAnsi="宋体" w:cs="宋体"/>
          <w:kern w:val="0"/>
          <w:sz w:val="21"/>
          <w:szCs w:val="21"/>
          <w:lang w:val="en-US" w:eastAsia="zh-CN" w:bidi="ar"/>
        </w:rPr>
        <w:t>9</w:t>
      </w:r>
      <w:r>
        <w:rPr>
          <w:rFonts w:hint="eastAsia" w:ascii="宋体" w:hAnsi="宋体" w:eastAsia="宋体" w:cs="宋体"/>
          <w:kern w:val="0"/>
          <w:sz w:val="21"/>
          <w:szCs w:val="21"/>
          <w:lang w:val="en-US" w:eastAsia="zh-CN" w:bidi="ar"/>
        </w:rPr>
        <w:t>月</w:t>
      </w:r>
      <w:r>
        <w:rPr>
          <w:rFonts w:hint="eastAsia" w:ascii="宋体" w:hAnsi="宋体" w:cs="宋体"/>
          <w:kern w:val="0"/>
          <w:sz w:val="21"/>
          <w:szCs w:val="21"/>
          <w:lang w:val="en-US" w:eastAsia="zh-CN" w:bidi="ar"/>
        </w:rPr>
        <w:t>17</w:t>
      </w:r>
      <w:r>
        <w:rPr>
          <w:rFonts w:hint="eastAsia" w:ascii="宋体" w:hAnsi="宋体" w:eastAsia="宋体" w:cs="宋体"/>
          <w:kern w:val="0"/>
          <w:sz w:val="21"/>
          <w:szCs w:val="21"/>
          <w:lang w:val="en-US" w:eastAsia="zh-CN" w:bidi="ar"/>
        </w:rPr>
        <w:t>日，每天上午</w:t>
      </w:r>
      <w:r>
        <w:rPr>
          <w:rFonts w:hint="eastAsia" w:ascii="宋体" w:hAnsi="宋体" w:cs="宋体"/>
          <w:kern w:val="0"/>
          <w:sz w:val="21"/>
          <w:szCs w:val="21"/>
          <w:lang w:val="en-US" w:eastAsia="zh-CN" w:bidi="ar"/>
        </w:rPr>
        <w:t>8</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0:00 至1</w:t>
      </w: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0:00，下午1</w:t>
      </w:r>
      <w:r>
        <w:rPr>
          <w:rFonts w:hint="eastAsia" w:ascii="宋体" w:hAnsi="宋体" w:cs="宋体"/>
          <w:kern w:val="0"/>
          <w:sz w:val="21"/>
          <w:szCs w:val="21"/>
          <w:lang w:val="en-US" w:eastAsia="zh-CN" w:bidi="ar"/>
        </w:rPr>
        <w:t>5</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0</w:t>
      </w:r>
      <w:r>
        <w:rPr>
          <w:rFonts w:hint="eastAsia" w:ascii="宋体" w:hAnsi="宋体" w:eastAsia="宋体" w:cs="宋体"/>
          <w:kern w:val="0"/>
          <w:sz w:val="21"/>
          <w:szCs w:val="21"/>
          <w:lang w:val="en-US" w:eastAsia="zh-CN" w:bidi="ar"/>
        </w:rPr>
        <w:t>0至17:</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0（北京时间，法定节假日除外）</w:t>
      </w:r>
    </w:p>
    <w:p w14:paraId="62B2AB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2、地点：岳阳建宇工程建设咨询有限公司(岳阳县兴荣路69号)</w:t>
      </w:r>
    </w:p>
    <w:p w14:paraId="1B603B2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3、方式：线下获取</w:t>
      </w:r>
    </w:p>
    <w:p w14:paraId="3B0C8E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rPr>
      </w:pPr>
      <w:r>
        <w:rPr>
          <w:rFonts w:hint="eastAsia" w:ascii="宋体" w:hAnsi="宋体" w:eastAsia="宋体" w:cs="宋体"/>
          <w:kern w:val="0"/>
          <w:sz w:val="21"/>
          <w:szCs w:val="21"/>
          <w:lang w:val="en-US" w:eastAsia="zh-CN" w:bidi="ar"/>
        </w:rPr>
        <w:t>4、售价：0元</w:t>
      </w:r>
    </w:p>
    <w:p w14:paraId="4C2B8AC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color w:val="auto"/>
          <w:sz w:val="21"/>
          <w:szCs w:val="21"/>
        </w:rPr>
      </w:pPr>
      <w:r>
        <w:rPr>
          <w:rFonts w:hint="eastAsia" w:ascii="宋体" w:hAnsi="宋体" w:eastAsia="宋体" w:cs="宋体"/>
          <w:sz w:val="21"/>
          <w:szCs w:val="21"/>
        </w:rPr>
        <w:t>五、响应文件提交截止时间、地点</w:t>
      </w:r>
    </w:p>
    <w:p w14:paraId="0D48A0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color w:val="auto"/>
          <w:sz w:val="21"/>
          <w:szCs w:val="21"/>
          <w:highlight w:val="yellow"/>
          <w:lang w:val="en-US"/>
        </w:rPr>
      </w:pPr>
      <w:r>
        <w:rPr>
          <w:rFonts w:hint="eastAsia" w:ascii="宋体" w:hAnsi="宋体" w:eastAsia="宋体" w:cs="宋体"/>
          <w:color w:val="auto"/>
          <w:kern w:val="0"/>
          <w:sz w:val="21"/>
          <w:szCs w:val="21"/>
          <w:lang w:val="en-US" w:eastAsia="zh-CN" w:bidi="ar"/>
        </w:rPr>
        <w:t>1、截止时间：</w:t>
      </w:r>
      <w:r>
        <w:rPr>
          <w:rFonts w:hint="eastAsia" w:ascii="宋体" w:hAnsi="宋体" w:cs="宋体"/>
          <w:color w:val="0000FF"/>
          <w:kern w:val="0"/>
          <w:sz w:val="21"/>
          <w:szCs w:val="21"/>
          <w:highlight w:val="none"/>
          <w:lang w:val="en-US" w:eastAsia="zh-CN" w:bidi="ar"/>
        </w:rPr>
        <w:t>2026年9月21日 15:30</w:t>
      </w:r>
      <w:r>
        <w:rPr>
          <w:rFonts w:hint="eastAsia" w:ascii="宋体" w:hAnsi="宋体" w:cs="宋体"/>
          <w:color w:val="auto"/>
          <w:kern w:val="0"/>
          <w:sz w:val="21"/>
          <w:szCs w:val="21"/>
          <w:highlight w:val="none"/>
          <w:lang w:val="en-US" w:eastAsia="zh-CN" w:bidi="ar"/>
        </w:rPr>
        <w:t>（北京时间）</w:t>
      </w:r>
    </w:p>
    <w:p w14:paraId="3D7E60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2、地点：岳阳建宇工程建设咨询有限公司(岳阳县兴荣路69号) </w:t>
      </w:r>
    </w:p>
    <w:p w14:paraId="425DCB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jc w:val="left"/>
        <w:textAlignment w:val="auto"/>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六、响应文件开启</w:t>
      </w:r>
    </w:p>
    <w:p w14:paraId="24F182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color w:val="auto"/>
          <w:sz w:val="21"/>
          <w:szCs w:val="21"/>
        </w:rPr>
      </w:pPr>
      <w:r>
        <w:rPr>
          <w:rFonts w:hint="eastAsia" w:ascii="宋体" w:hAnsi="宋体" w:cs="宋体"/>
          <w:color w:val="auto"/>
          <w:kern w:val="0"/>
          <w:sz w:val="21"/>
          <w:szCs w:val="21"/>
          <w:lang w:val="en-US" w:eastAsia="zh-CN" w:bidi="ar"/>
        </w:rPr>
        <w:t>1</w:t>
      </w:r>
      <w:r>
        <w:rPr>
          <w:rFonts w:hint="eastAsia" w:ascii="宋体" w:hAnsi="宋体" w:eastAsia="宋体" w:cs="宋体"/>
          <w:color w:val="auto"/>
          <w:kern w:val="0"/>
          <w:sz w:val="21"/>
          <w:szCs w:val="21"/>
          <w:lang w:val="en-US" w:eastAsia="zh-CN" w:bidi="ar"/>
        </w:rPr>
        <w:t>、</w:t>
      </w:r>
      <w:r>
        <w:rPr>
          <w:rFonts w:hint="eastAsia" w:ascii="宋体" w:hAnsi="宋体" w:cs="宋体"/>
          <w:color w:val="auto"/>
          <w:kern w:val="0"/>
          <w:sz w:val="21"/>
          <w:szCs w:val="21"/>
          <w:lang w:val="en-US" w:eastAsia="zh-CN" w:bidi="ar"/>
        </w:rPr>
        <w:t>开启</w:t>
      </w:r>
      <w:r>
        <w:rPr>
          <w:rFonts w:hint="eastAsia" w:ascii="宋体" w:hAnsi="宋体" w:eastAsia="宋体" w:cs="宋体"/>
          <w:color w:val="auto"/>
          <w:kern w:val="0"/>
          <w:sz w:val="21"/>
          <w:szCs w:val="21"/>
          <w:lang w:val="en-US" w:eastAsia="zh-CN" w:bidi="ar"/>
        </w:rPr>
        <w:t>时间：</w:t>
      </w:r>
      <w:r>
        <w:rPr>
          <w:rFonts w:hint="eastAsia" w:ascii="宋体" w:hAnsi="宋体" w:cs="宋体"/>
          <w:color w:val="auto"/>
          <w:kern w:val="0"/>
          <w:sz w:val="21"/>
          <w:szCs w:val="21"/>
          <w:lang w:val="en-US" w:eastAsia="zh-CN" w:bidi="ar"/>
        </w:rPr>
        <w:t>2026年9月21日 15:30</w:t>
      </w:r>
      <w:r>
        <w:rPr>
          <w:rFonts w:hint="eastAsia" w:ascii="宋体" w:hAnsi="宋体" w:eastAsia="宋体" w:cs="宋体"/>
          <w:color w:val="auto"/>
          <w:kern w:val="0"/>
          <w:sz w:val="21"/>
          <w:szCs w:val="21"/>
          <w:lang w:val="en-US" w:eastAsia="zh-CN" w:bidi="ar"/>
        </w:rPr>
        <w:t xml:space="preserve"> </w:t>
      </w:r>
      <w:r>
        <w:rPr>
          <w:rFonts w:hint="eastAsia" w:ascii="宋体" w:hAnsi="宋体" w:cs="宋体"/>
          <w:color w:val="auto"/>
          <w:kern w:val="0"/>
          <w:sz w:val="21"/>
          <w:szCs w:val="21"/>
          <w:highlight w:val="none"/>
          <w:lang w:val="en-US" w:eastAsia="zh-CN" w:bidi="ar"/>
        </w:rPr>
        <w:t>（北京时间）</w:t>
      </w:r>
    </w:p>
    <w:p w14:paraId="6EAFB5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t>2</w:t>
      </w:r>
      <w:r>
        <w:rPr>
          <w:rFonts w:hint="eastAsia" w:ascii="宋体" w:hAnsi="宋体" w:eastAsia="宋体" w:cs="宋体"/>
          <w:kern w:val="0"/>
          <w:sz w:val="21"/>
          <w:szCs w:val="21"/>
          <w:lang w:val="en-US" w:eastAsia="zh-CN" w:bidi="ar"/>
        </w:rPr>
        <w:t xml:space="preserve">、地点：岳阳建宇工程建设咨询有限公司(岳阳县兴荣路69号) </w:t>
      </w:r>
    </w:p>
    <w:p w14:paraId="3B48C22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七、公告期限</w:t>
      </w:r>
    </w:p>
    <w:p w14:paraId="01917A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1、本招标公告在中国湖南政府采购网（www.ccgp-hunan.gov.cn）发布。公告期限从本公告发布之日起5个工作日。</w:t>
      </w:r>
    </w:p>
    <w:p w14:paraId="7CED4E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2、在其他媒体发布的招标公告，公告内容以本招标公告指定媒体发布的公告为准</w:t>
      </w:r>
      <w:r>
        <w:rPr>
          <w:rFonts w:hint="eastAsia" w:ascii="宋体" w:hAnsi="宋体" w:cs="宋体"/>
          <w:kern w:val="0"/>
          <w:sz w:val="21"/>
          <w:szCs w:val="21"/>
          <w:lang w:val="en-US" w:eastAsia="zh-CN" w:bidi="ar"/>
        </w:rPr>
        <w:t>。</w:t>
      </w:r>
    </w:p>
    <w:p w14:paraId="1665443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八、询问及质疑</w:t>
      </w:r>
    </w:p>
    <w:p w14:paraId="429395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r>
        <w:rPr>
          <w:rFonts w:hint="eastAsia" w:ascii="宋体" w:hAnsi="宋体" w:cs="宋体"/>
          <w:kern w:val="0"/>
          <w:sz w:val="21"/>
          <w:szCs w:val="21"/>
          <w:lang w:val="en-US" w:eastAsia="zh-CN" w:bidi="ar"/>
        </w:rPr>
        <w:t>供应商</w:t>
      </w:r>
      <w:r>
        <w:rPr>
          <w:rFonts w:hint="eastAsia" w:ascii="宋体" w:hAnsi="宋体" w:eastAsia="宋体" w:cs="宋体"/>
          <w:kern w:val="0"/>
          <w:sz w:val="21"/>
          <w:szCs w:val="21"/>
          <w:lang w:val="en-US" w:eastAsia="zh-CN" w:bidi="ar"/>
        </w:rPr>
        <w:t>对政府采购活动事项如有疑问的，可以向采购人、采购代理机构提出询问。采购人、采购代理机构将在3个工作日内作出答复。</w:t>
      </w:r>
    </w:p>
    <w:p w14:paraId="6A8723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w:t>
      </w:r>
      <w:r>
        <w:rPr>
          <w:rFonts w:hint="eastAsia" w:ascii="宋体" w:hAnsi="宋体" w:cs="宋体"/>
          <w:kern w:val="0"/>
          <w:sz w:val="21"/>
          <w:szCs w:val="21"/>
          <w:lang w:val="en-US" w:eastAsia="zh-CN" w:bidi="ar"/>
        </w:rPr>
        <w:t>供应商</w:t>
      </w:r>
      <w:r>
        <w:rPr>
          <w:rFonts w:hint="eastAsia" w:ascii="宋体" w:hAnsi="宋体" w:eastAsia="宋体" w:cs="宋体"/>
          <w:kern w:val="0"/>
          <w:sz w:val="21"/>
          <w:szCs w:val="21"/>
          <w:lang w:val="en-US" w:eastAsia="zh-CN" w:bidi="ar"/>
        </w:rPr>
        <w:t>对电子交易平台办理CA证书、操作等如有疑问，请咨询电子交易平台服务机构。</w:t>
      </w:r>
    </w:p>
    <w:p w14:paraId="6C29CF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3、潜在</w:t>
      </w:r>
      <w:r>
        <w:rPr>
          <w:rFonts w:hint="eastAsia" w:ascii="宋体" w:hAnsi="宋体" w:cs="宋体"/>
          <w:kern w:val="0"/>
          <w:sz w:val="21"/>
          <w:szCs w:val="21"/>
          <w:lang w:val="en-US" w:eastAsia="zh-CN" w:bidi="ar"/>
        </w:rPr>
        <w:t>供应商</w:t>
      </w:r>
      <w:r>
        <w:rPr>
          <w:rFonts w:hint="eastAsia" w:ascii="宋体" w:hAnsi="宋体" w:eastAsia="宋体" w:cs="宋体"/>
          <w:kern w:val="0"/>
          <w:sz w:val="21"/>
          <w:szCs w:val="21"/>
          <w:lang w:val="en-US" w:eastAsia="zh-CN" w:bidi="ar"/>
        </w:rPr>
        <w:t>认为招标文件或招标公告使自己的合法权益受到损害的，可以在收到招标文件之日或招标公告期限届满之日起7个工作日内，按《湖南省财政厅关于印发＜政府采购质疑答复和投诉处理操作规程＞的通知》(湘财购〔20</w:t>
      </w:r>
      <w:r>
        <w:rPr>
          <w:rFonts w:hint="eastAsia" w:ascii="宋体" w:hAnsi="宋体" w:cs="宋体"/>
          <w:kern w:val="0"/>
          <w:sz w:val="21"/>
          <w:szCs w:val="21"/>
          <w:lang w:val="en-US" w:eastAsia="zh-CN" w:bidi="ar"/>
        </w:rPr>
        <w:t>24</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67</w:t>
      </w:r>
      <w:r>
        <w:rPr>
          <w:rFonts w:hint="eastAsia" w:ascii="宋体" w:hAnsi="宋体" w:eastAsia="宋体" w:cs="宋体"/>
          <w:kern w:val="0"/>
          <w:sz w:val="21"/>
          <w:szCs w:val="21"/>
          <w:lang w:val="en-US" w:eastAsia="zh-CN" w:bidi="ar"/>
        </w:rPr>
        <w:t xml:space="preserve">号)规定，以纸质书面形式向采购人、采购代理机构提出质疑。 </w:t>
      </w:r>
    </w:p>
    <w:p w14:paraId="09022A5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九、</w:t>
      </w:r>
      <w:r>
        <w:rPr>
          <w:rFonts w:hint="eastAsia" w:ascii="宋体" w:hAnsi="宋体" w:cs="宋体"/>
          <w:sz w:val="21"/>
          <w:szCs w:val="21"/>
          <w:lang w:val="en-US" w:eastAsia="zh-CN"/>
        </w:rPr>
        <w:t>磋商</w:t>
      </w:r>
      <w:r>
        <w:rPr>
          <w:rFonts w:hint="eastAsia" w:ascii="宋体" w:hAnsi="宋体" w:eastAsia="宋体" w:cs="宋体"/>
          <w:sz w:val="21"/>
          <w:szCs w:val="21"/>
        </w:rPr>
        <w:t>说明</w:t>
      </w:r>
    </w:p>
    <w:p w14:paraId="018D90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1、本公告选项：</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表示选择，</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表示未选择。 </w:t>
      </w:r>
    </w:p>
    <w:p w14:paraId="1489CB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2、</w:t>
      </w:r>
      <w:r>
        <w:rPr>
          <w:rFonts w:hint="eastAsia" w:ascii="宋体" w:hAnsi="宋体" w:cs="宋体"/>
          <w:kern w:val="0"/>
          <w:sz w:val="21"/>
          <w:szCs w:val="21"/>
          <w:lang w:val="en-US" w:eastAsia="zh-CN" w:bidi="ar"/>
        </w:rPr>
        <w:t>供应商</w:t>
      </w:r>
      <w:r>
        <w:rPr>
          <w:rFonts w:hint="eastAsia" w:ascii="宋体" w:hAnsi="宋体" w:eastAsia="宋体" w:cs="宋体"/>
          <w:kern w:val="0"/>
          <w:sz w:val="21"/>
          <w:szCs w:val="21"/>
          <w:lang w:val="en-US" w:eastAsia="zh-CN" w:bidi="ar"/>
        </w:rPr>
        <w:t>参与政府采购活动，无需向采购人、代理机构、交易平台缴纳任何费用。</w:t>
      </w:r>
    </w:p>
    <w:p w14:paraId="689A248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十、其他补充事宜</w:t>
      </w:r>
    </w:p>
    <w:p w14:paraId="07A572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本项目无其他事项补充说明</w:t>
      </w:r>
    </w:p>
    <w:p w14:paraId="6105E16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cs="宋体"/>
          <w:sz w:val="21"/>
          <w:szCs w:val="21"/>
          <w:lang w:val="en-US" w:eastAsia="zh-CN"/>
        </w:rPr>
        <w:t>十一、</w:t>
      </w:r>
      <w:r>
        <w:rPr>
          <w:rFonts w:hint="eastAsia" w:ascii="宋体" w:hAnsi="宋体" w:eastAsia="宋体" w:cs="宋体"/>
          <w:sz w:val="21"/>
          <w:szCs w:val="21"/>
        </w:rPr>
        <w:t>对本次采购提出询问，请按以下方式联系</w:t>
      </w:r>
    </w:p>
    <w:p w14:paraId="2B5D9AA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1、采购人信息</w:t>
      </w:r>
    </w:p>
    <w:p w14:paraId="77EFFA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名 称：</w:t>
      </w:r>
      <w:r>
        <w:rPr>
          <w:rFonts w:hint="eastAsia" w:ascii="宋体" w:hAnsi="宋体" w:cs="宋体"/>
          <w:kern w:val="0"/>
          <w:sz w:val="21"/>
          <w:szCs w:val="21"/>
          <w:lang w:val="en-US" w:eastAsia="zh-CN" w:bidi="ar"/>
        </w:rPr>
        <w:t>岳阳县张谷英管理处</w:t>
      </w:r>
      <w:r>
        <w:rPr>
          <w:rFonts w:hint="eastAsia" w:ascii="宋体" w:hAnsi="宋体" w:eastAsia="宋体" w:cs="宋体"/>
          <w:kern w:val="0"/>
          <w:sz w:val="21"/>
          <w:szCs w:val="21"/>
          <w:lang w:val="en-US" w:eastAsia="zh-CN" w:bidi="ar"/>
        </w:rPr>
        <w:t xml:space="preserve"> </w:t>
      </w:r>
    </w:p>
    <w:p w14:paraId="6BDC7B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地 址：</w:t>
      </w:r>
      <w:r>
        <w:rPr>
          <w:rFonts w:hint="eastAsia" w:ascii="宋体" w:hAnsi="宋体" w:eastAsia="宋体" w:cs="宋体"/>
          <w:kern w:val="0"/>
          <w:sz w:val="21"/>
          <w:szCs w:val="21"/>
          <w:lang w:val="en-US" w:eastAsia="zh-CN" w:bidi="ar"/>
        </w:rPr>
        <w:fldChar w:fldCharType="begin"/>
      </w:r>
      <w:r>
        <w:rPr>
          <w:rFonts w:hint="eastAsia" w:ascii="宋体" w:hAnsi="宋体" w:eastAsia="宋体" w:cs="宋体"/>
          <w:kern w:val="0"/>
          <w:sz w:val="21"/>
          <w:szCs w:val="21"/>
          <w:lang w:val="en-US" w:eastAsia="zh-CN" w:bidi="ar"/>
        </w:rPr>
        <w:instrText xml:space="preserve"> HYPERLINK "https://baike.baidu.com/item/%E5%B2%B3%E9%98%B3%E5%8E%BF/0?fromModule=lemma_inlink" \t "https://baike.baidu.com/item/%E5%B2%B3%E9%98%B3%E5%8E%BF%E4%BD%8F%E6%88%BF%E5%92%8C%E5%9F%8E%E4%B9%A1%E5%BB%BA%E8%AE%BE%E5%B1%80/_blank" </w:instrText>
      </w:r>
      <w:r>
        <w:rPr>
          <w:rFonts w:hint="eastAsia" w:ascii="宋体" w:hAnsi="宋体" w:eastAsia="宋体" w:cs="宋体"/>
          <w:kern w:val="0"/>
          <w:sz w:val="21"/>
          <w:szCs w:val="21"/>
          <w:lang w:val="en-US" w:eastAsia="zh-CN" w:bidi="ar"/>
        </w:rPr>
        <w:fldChar w:fldCharType="separate"/>
      </w:r>
      <w:r>
        <w:rPr>
          <w:rFonts w:hint="eastAsia" w:ascii="宋体" w:hAnsi="宋体" w:eastAsia="宋体" w:cs="宋体"/>
          <w:kern w:val="0"/>
          <w:sz w:val="21"/>
          <w:szCs w:val="21"/>
          <w:lang w:val="en-US" w:eastAsia="zh-CN" w:bidi="ar"/>
        </w:rPr>
        <w:t>岳阳县</w:t>
      </w:r>
      <w:r>
        <w:rPr>
          <w:rFonts w:hint="eastAsia" w:ascii="宋体" w:hAnsi="宋体" w:eastAsia="宋体" w:cs="宋体"/>
          <w:kern w:val="0"/>
          <w:sz w:val="21"/>
          <w:szCs w:val="21"/>
          <w:lang w:val="en-US" w:eastAsia="zh-CN" w:bidi="ar"/>
        </w:rPr>
        <w:fldChar w:fldCharType="end"/>
      </w:r>
    </w:p>
    <w:p w14:paraId="7D761F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联系人</w:t>
      </w:r>
      <w:r>
        <w:rPr>
          <w:rFonts w:hint="eastAsia" w:ascii="宋体" w:hAnsi="宋体" w:eastAsia="宋体" w:cs="宋体"/>
          <w:color w:val="0000FF"/>
          <w:kern w:val="0"/>
          <w:sz w:val="21"/>
          <w:szCs w:val="21"/>
          <w:lang w:val="en-US" w:eastAsia="zh-CN" w:bidi="ar"/>
        </w:rPr>
        <w:t>：</w:t>
      </w:r>
      <w:r>
        <w:rPr>
          <w:rFonts w:hint="eastAsia" w:ascii="宋体" w:hAnsi="宋体" w:cs="宋体"/>
          <w:kern w:val="0"/>
          <w:sz w:val="21"/>
          <w:szCs w:val="21"/>
          <w:lang w:val="en-US" w:eastAsia="zh-CN" w:bidi="ar"/>
        </w:rPr>
        <w:t>刘主任</w:t>
      </w:r>
    </w:p>
    <w:p w14:paraId="50292F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联系电话：</w:t>
      </w:r>
      <w:r>
        <w:rPr>
          <w:rFonts w:hint="eastAsia" w:ascii="宋体" w:hAnsi="宋体" w:cs="宋体"/>
          <w:kern w:val="0"/>
          <w:sz w:val="21"/>
          <w:szCs w:val="21"/>
          <w:lang w:eastAsia="zh-CN" w:bidi="ar"/>
        </w:rPr>
        <w:t>18692192276</w:t>
      </w:r>
    </w:p>
    <w:p w14:paraId="6BB2217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2、采购代理机构信息</w:t>
      </w:r>
    </w:p>
    <w:p w14:paraId="319EF7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名 称：岳阳建宇工程建设咨询有限公司 </w:t>
      </w:r>
    </w:p>
    <w:p w14:paraId="782636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地 址：岳阳县荣家湾镇兴荣路69号 </w:t>
      </w:r>
    </w:p>
    <w:p w14:paraId="22F2A8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联系人：</w:t>
      </w:r>
      <w:r>
        <w:rPr>
          <w:rFonts w:hint="eastAsia" w:ascii="宋体" w:hAnsi="宋体" w:cs="宋体"/>
          <w:kern w:val="0"/>
          <w:sz w:val="21"/>
          <w:szCs w:val="21"/>
          <w:lang w:val="en-US" w:eastAsia="zh-CN" w:bidi="ar"/>
        </w:rPr>
        <w:t>许女士</w:t>
      </w:r>
    </w:p>
    <w:p w14:paraId="01904E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联系电话：0730-7632118 </w:t>
      </w:r>
    </w:p>
    <w:p w14:paraId="42EFA1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422" w:hanging="422" w:hanging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b/>
          <w:bCs/>
          <w:kern w:val="2"/>
          <w:sz w:val="21"/>
          <w:szCs w:val="21"/>
          <w:lang w:val="en-US" w:eastAsia="zh-CN" w:bidi="ar-SA"/>
        </w:rPr>
        <w:t>3、项目联系方式</w:t>
      </w:r>
      <w:r>
        <w:rPr>
          <w:rFonts w:hint="eastAsia" w:ascii="微软雅黑" w:hAnsi="微软雅黑" w:eastAsia="微软雅黑" w:cs="微软雅黑"/>
          <w:i w:val="0"/>
          <w:iCs w:val="0"/>
          <w:caps w:val="0"/>
          <w:color w:val="000000"/>
          <w:spacing w:val="0"/>
          <w:sz w:val="27"/>
          <w:szCs w:val="27"/>
        </w:rPr>
        <w:br w:type="textWrapping"/>
      </w:r>
      <w:r>
        <w:rPr>
          <w:rFonts w:hint="eastAsia" w:ascii="宋体" w:hAnsi="宋体" w:eastAsia="宋体" w:cs="宋体"/>
          <w:kern w:val="0"/>
          <w:sz w:val="21"/>
          <w:szCs w:val="21"/>
          <w:lang w:val="en-US" w:eastAsia="zh-CN" w:bidi="ar"/>
        </w:rPr>
        <w:t>项目联系人：</w:t>
      </w:r>
      <w:r>
        <w:rPr>
          <w:rFonts w:hint="eastAsia" w:ascii="宋体" w:hAnsi="宋体" w:cs="宋体"/>
          <w:kern w:val="0"/>
          <w:sz w:val="21"/>
          <w:szCs w:val="21"/>
          <w:lang w:val="en-US" w:eastAsia="zh-CN" w:bidi="ar"/>
        </w:rPr>
        <w:t>刘主任</w:t>
      </w:r>
      <w:r>
        <w:rPr>
          <w:rFonts w:hint="eastAsia" w:ascii="宋体" w:hAnsi="宋体" w:eastAsia="宋体" w:cs="宋体"/>
          <w:kern w:val="0"/>
          <w:sz w:val="21"/>
          <w:szCs w:val="21"/>
          <w:lang w:val="en-US" w:eastAsia="zh-CN" w:bidi="ar"/>
        </w:rPr>
        <w:br w:type="textWrapping"/>
      </w:r>
      <w:r>
        <w:rPr>
          <w:rFonts w:hint="eastAsia" w:ascii="宋体" w:hAnsi="宋体" w:eastAsia="宋体" w:cs="宋体"/>
          <w:kern w:val="0"/>
          <w:sz w:val="21"/>
          <w:szCs w:val="21"/>
          <w:lang w:val="en-US" w:eastAsia="zh-CN" w:bidi="ar"/>
        </w:rPr>
        <w:t>电话：</w:t>
      </w:r>
      <w:r>
        <w:rPr>
          <w:rFonts w:hint="eastAsia" w:ascii="宋体" w:hAnsi="宋体" w:cs="宋体"/>
          <w:kern w:val="0"/>
          <w:sz w:val="21"/>
          <w:szCs w:val="21"/>
          <w:lang w:eastAsia="zh-CN" w:bidi="ar"/>
        </w:rPr>
        <w:t>18692192276</w:t>
      </w:r>
    </w:p>
    <w:p w14:paraId="0B3156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cs="宋体"/>
          <w:kern w:val="0"/>
          <w:sz w:val="21"/>
          <w:szCs w:val="21"/>
          <w:lang w:eastAsia="zh-CN" w:bidi="ar"/>
        </w:rPr>
        <w:sectPr>
          <w:pgSz w:w="11906" w:h="16838"/>
          <w:pgMar w:top="1388" w:right="1531" w:bottom="1440" w:left="1531" w:header="871" w:footer="737" w:gutter="0"/>
          <w:pgNumType w:fmt="decimal"/>
          <w:cols w:space="720" w:num="1"/>
          <w:docGrid w:type="lines" w:linePitch="312" w:charSpace="0"/>
        </w:sectPr>
      </w:pPr>
    </w:p>
    <w:p w14:paraId="4F14AEDB">
      <w:pPr>
        <w:adjustRightInd w:val="0"/>
        <w:snapToGrid w:val="0"/>
        <w:spacing w:line="360" w:lineRule="auto"/>
        <w:jc w:val="center"/>
        <w:outlineLvl w:val="0"/>
        <w:rPr>
          <w:rFonts w:hint="eastAsia" w:hAnsi="宋体" w:cs="宋体"/>
          <w:b/>
          <w:color w:val="auto"/>
          <w:sz w:val="32"/>
          <w:szCs w:val="32"/>
        </w:rPr>
      </w:pPr>
      <w:r>
        <w:rPr>
          <w:rFonts w:hint="eastAsia" w:hAnsi="宋体" w:cs="宋体"/>
          <w:b/>
          <w:color w:val="auto"/>
          <w:sz w:val="32"/>
          <w:szCs w:val="32"/>
        </w:rPr>
        <w:t>第二章 磋商须知</w:t>
      </w:r>
    </w:p>
    <w:p w14:paraId="3AA8E3EB">
      <w:pPr>
        <w:pStyle w:val="24"/>
        <w:jc w:val="center"/>
        <w:rPr>
          <w:rFonts w:hint="eastAsia" w:hAnsi="宋体" w:cs="宋体"/>
          <w:b/>
          <w:color w:val="auto"/>
          <w:sz w:val="24"/>
          <w:szCs w:val="24"/>
        </w:rPr>
      </w:pPr>
      <w:r>
        <w:rPr>
          <w:rFonts w:hint="eastAsia" w:hAnsi="宋体" w:cs="宋体"/>
          <w:b/>
          <w:color w:val="auto"/>
          <w:sz w:val="24"/>
          <w:szCs w:val="24"/>
        </w:rPr>
        <w:t>磋商须知前附表</w:t>
      </w:r>
    </w:p>
    <w:tbl>
      <w:tblPr>
        <w:tblStyle w:val="44"/>
        <w:tblW w:w="95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56"/>
        <w:gridCol w:w="1549"/>
        <w:gridCol w:w="6771"/>
      </w:tblGrid>
      <w:tr w14:paraId="32C6F5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55057584">
            <w:pPr>
              <w:adjustRightInd w:val="0"/>
              <w:snapToGrid w:val="0"/>
              <w:spacing w:line="320" w:lineRule="exact"/>
              <w:rPr>
                <w:rFonts w:hint="eastAsia" w:ascii="宋体" w:hAnsi="宋体"/>
                <w:color w:val="auto"/>
                <w:szCs w:val="21"/>
              </w:rPr>
            </w:pPr>
            <w:r>
              <w:rPr>
                <w:rFonts w:hint="eastAsia" w:ascii="宋体" w:hAnsi="宋体"/>
                <w:b/>
                <w:color w:val="auto"/>
                <w:szCs w:val="21"/>
              </w:rPr>
              <w:t>一、说明</w:t>
            </w:r>
          </w:p>
        </w:tc>
      </w:tr>
      <w:tr w14:paraId="018619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97D4714">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CEC8792">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第1.1款</w:t>
            </w:r>
          </w:p>
        </w:tc>
        <w:tc>
          <w:tcPr>
            <w:tcW w:w="1549" w:type="dxa"/>
            <w:noWrap w:val="0"/>
            <w:vAlign w:val="center"/>
          </w:tcPr>
          <w:p w14:paraId="17B9E183">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采购项目</w:t>
            </w:r>
          </w:p>
        </w:tc>
        <w:tc>
          <w:tcPr>
            <w:tcW w:w="6771" w:type="dxa"/>
            <w:noWrap w:val="0"/>
            <w:vAlign w:val="center"/>
          </w:tcPr>
          <w:p w14:paraId="7EB4B4FF">
            <w:pPr>
              <w:adjustRightInd w:val="0"/>
              <w:snapToGrid w:val="0"/>
              <w:spacing w:line="320" w:lineRule="exact"/>
              <w:rPr>
                <w:rFonts w:hint="eastAsia" w:ascii="宋体" w:hAnsi="宋体" w:eastAsia="宋体"/>
                <w:color w:val="auto"/>
                <w:szCs w:val="21"/>
                <w:lang w:eastAsia="zh-CN"/>
              </w:rPr>
            </w:pPr>
            <w:r>
              <w:rPr>
                <w:rFonts w:hint="eastAsia" w:ascii="宋体" w:hAnsi="宋体" w:cs="宋体"/>
                <w:color w:val="auto"/>
                <w:szCs w:val="21"/>
                <w:u w:val="none"/>
                <w:lang w:val="en-US" w:eastAsia="zh-CN"/>
              </w:rPr>
              <w:t>岳阳县张谷英村古建筑群文物修缮工程（隐患整治项目）</w:t>
            </w:r>
          </w:p>
        </w:tc>
      </w:tr>
      <w:tr w14:paraId="6AFE4C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642829D2">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884C2D1">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第2.1款</w:t>
            </w:r>
          </w:p>
        </w:tc>
        <w:tc>
          <w:tcPr>
            <w:tcW w:w="1549" w:type="dxa"/>
            <w:noWrap w:val="0"/>
            <w:vAlign w:val="center"/>
          </w:tcPr>
          <w:p w14:paraId="00F79BF7">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采购人</w:t>
            </w:r>
          </w:p>
        </w:tc>
        <w:tc>
          <w:tcPr>
            <w:tcW w:w="6771" w:type="dxa"/>
            <w:noWrap w:val="0"/>
            <w:vAlign w:val="center"/>
          </w:tcPr>
          <w:p w14:paraId="72B457AC">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cs="宋体"/>
                <w:color w:val="auto"/>
                <w:szCs w:val="21"/>
                <w:u w:val="none"/>
                <w:lang w:val="en-US" w:eastAsia="zh-CN"/>
              </w:rPr>
              <w:t>采购</w:t>
            </w:r>
            <w:r>
              <w:rPr>
                <w:rFonts w:hint="eastAsia" w:ascii="宋体" w:hAnsi="宋体" w:eastAsia="宋体" w:cs="宋体"/>
                <w:color w:val="auto"/>
                <w:szCs w:val="21"/>
                <w:u w:val="none"/>
                <w:lang w:val="en-US" w:eastAsia="zh-CN"/>
              </w:rPr>
              <w:t>人：</w:t>
            </w:r>
            <w:r>
              <w:rPr>
                <w:rFonts w:hint="eastAsia" w:ascii="宋体" w:hAnsi="宋体" w:cs="宋体"/>
                <w:color w:val="auto"/>
                <w:szCs w:val="21"/>
                <w:u w:val="none"/>
                <w:lang w:val="en-US" w:eastAsia="zh-CN"/>
              </w:rPr>
              <w:t>岳阳县张谷英管理处</w:t>
            </w:r>
            <w:r>
              <w:rPr>
                <w:rFonts w:hint="eastAsia" w:ascii="宋体" w:hAnsi="宋体" w:eastAsia="宋体" w:cs="宋体"/>
                <w:color w:val="auto"/>
                <w:szCs w:val="21"/>
                <w:u w:val="none"/>
                <w:lang w:val="en-US" w:eastAsia="zh-CN"/>
              </w:rPr>
              <w:t xml:space="preserve">           </w:t>
            </w:r>
          </w:p>
          <w:p w14:paraId="32A58E6E">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地址： 岳阳县</w:t>
            </w:r>
          </w:p>
          <w:p w14:paraId="3211D789">
            <w:pPr>
              <w:adjustRightInd w:val="0"/>
              <w:snapToGrid w:val="0"/>
              <w:spacing w:line="320" w:lineRule="exact"/>
              <w:rPr>
                <w:rFonts w:hint="eastAsia" w:ascii="宋体" w:hAnsi="宋体" w:cs="宋体"/>
                <w:color w:val="auto"/>
                <w:szCs w:val="21"/>
                <w:u w:val="none"/>
                <w:lang w:val="en-US" w:eastAsia="zh-CN"/>
              </w:rPr>
            </w:pPr>
            <w:r>
              <w:rPr>
                <w:rFonts w:hint="eastAsia" w:ascii="宋体" w:hAnsi="宋体" w:eastAsia="宋体" w:cs="宋体"/>
                <w:color w:val="auto"/>
                <w:szCs w:val="21"/>
                <w:u w:val="none"/>
                <w:lang w:val="en-US" w:eastAsia="zh-CN"/>
              </w:rPr>
              <w:t>联系人：</w:t>
            </w:r>
            <w:r>
              <w:rPr>
                <w:rFonts w:hint="eastAsia" w:ascii="宋体" w:hAnsi="宋体" w:cs="宋体"/>
                <w:color w:val="auto"/>
                <w:szCs w:val="21"/>
                <w:u w:val="none"/>
                <w:lang w:val="en-US" w:eastAsia="zh-CN"/>
              </w:rPr>
              <w:t>刘主任</w:t>
            </w:r>
          </w:p>
          <w:p w14:paraId="34419D4D">
            <w:pPr>
              <w:adjustRightInd w:val="0"/>
              <w:snapToGrid w:val="0"/>
              <w:spacing w:line="320" w:lineRule="exact"/>
              <w:rPr>
                <w:rFonts w:hint="default" w:ascii="宋体" w:hAnsi="宋体" w:cs="宋体"/>
                <w:color w:val="auto"/>
                <w:szCs w:val="21"/>
                <w:u w:val="none"/>
                <w:lang w:eastAsia="zh-CN"/>
              </w:rPr>
            </w:pPr>
            <w:r>
              <w:rPr>
                <w:rFonts w:hint="eastAsia" w:ascii="宋体" w:hAnsi="宋体" w:cs="宋体"/>
                <w:color w:val="auto"/>
                <w:szCs w:val="21"/>
                <w:u w:val="none"/>
                <w:lang w:val="en-US" w:eastAsia="zh-CN"/>
              </w:rPr>
              <w:t>联系电话：</w:t>
            </w:r>
            <w:r>
              <w:rPr>
                <w:rFonts w:hint="eastAsia" w:ascii="宋体" w:hAnsi="宋体" w:cs="宋体"/>
                <w:kern w:val="0"/>
                <w:sz w:val="21"/>
                <w:szCs w:val="21"/>
                <w:lang w:eastAsia="zh-CN" w:bidi="ar"/>
              </w:rPr>
              <w:t>18692192276</w:t>
            </w:r>
          </w:p>
        </w:tc>
      </w:tr>
      <w:tr w14:paraId="67A04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36060FD">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4603D58">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第2.2款</w:t>
            </w:r>
          </w:p>
        </w:tc>
        <w:tc>
          <w:tcPr>
            <w:tcW w:w="1549" w:type="dxa"/>
            <w:noWrap w:val="0"/>
            <w:vAlign w:val="center"/>
          </w:tcPr>
          <w:p w14:paraId="6A463290">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采购代理机构</w:t>
            </w:r>
          </w:p>
        </w:tc>
        <w:tc>
          <w:tcPr>
            <w:tcW w:w="6771" w:type="dxa"/>
            <w:noWrap w:val="0"/>
            <w:vAlign w:val="center"/>
          </w:tcPr>
          <w:p w14:paraId="75C83CA2">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代理机构：岳阳建宇工程建设咨询有限公司           </w:t>
            </w:r>
          </w:p>
          <w:p w14:paraId="2A2F3265">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地址：</w:t>
            </w:r>
            <w:r>
              <w:rPr>
                <w:rFonts w:hint="eastAsia" w:ascii="宋体" w:hAnsi="宋体" w:eastAsia="宋体" w:cs="宋体"/>
                <w:color w:val="auto"/>
                <w:szCs w:val="21"/>
                <w:u w:val="none"/>
                <w:lang w:val="en-US" w:eastAsia="zh-CN"/>
              </w:rPr>
              <w:t>岳阳县荣家湾镇兴荣路69号</w:t>
            </w:r>
            <w:r>
              <w:rPr>
                <w:rFonts w:hint="eastAsia" w:ascii="宋体" w:hAnsi="宋体" w:cs="宋体"/>
                <w:color w:val="auto"/>
                <w:szCs w:val="21"/>
                <w:u w:val="none"/>
                <w:lang w:val="en-US" w:eastAsia="zh-CN"/>
              </w:rPr>
              <w:t xml:space="preserve">                      </w:t>
            </w:r>
          </w:p>
          <w:p w14:paraId="4219EE5D">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联系人</w:t>
            </w:r>
            <w:r>
              <w:rPr>
                <w:rFonts w:hint="eastAsia" w:ascii="宋体" w:hAnsi="宋体" w:eastAsia="宋体" w:cs="宋体"/>
                <w:color w:val="auto"/>
                <w:szCs w:val="21"/>
                <w:u w:val="none"/>
                <w:lang w:val="en-US" w:eastAsia="zh-CN"/>
              </w:rPr>
              <w:t>：</w:t>
            </w:r>
            <w:r>
              <w:rPr>
                <w:rFonts w:hint="eastAsia" w:ascii="宋体" w:hAnsi="宋体" w:cs="宋体"/>
                <w:color w:val="auto"/>
                <w:szCs w:val="21"/>
                <w:u w:val="none"/>
                <w:lang w:val="en-US" w:eastAsia="zh-CN"/>
              </w:rPr>
              <w:t>许女士</w:t>
            </w:r>
            <w:r>
              <w:rPr>
                <w:rFonts w:hint="eastAsia" w:ascii="宋体" w:hAnsi="宋体" w:eastAsia="宋体" w:cs="宋体"/>
                <w:color w:val="auto"/>
                <w:szCs w:val="21"/>
                <w:u w:val="none"/>
                <w:lang w:val="en-US" w:eastAsia="zh-CN"/>
              </w:rPr>
              <w:t xml:space="preserve">     </w:t>
            </w:r>
            <w:r>
              <w:rPr>
                <w:rFonts w:hint="eastAsia" w:ascii="宋体" w:hAnsi="宋体" w:cs="宋体"/>
                <w:color w:val="auto"/>
                <w:szCs w:val="21"/>
                <w:u w:val="none"/>
                <w:lang w:val="en-US" w:eastAsia="zh-CN"/>
              </w:rPr>
              <w:t xml:space="preserve">                </w:t>
            </w:r>
          </w:p>
          <w:p w14:paraId="438D2F15">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联系电话：0730-7632118 </w:t>
            </w:r>
          </w:p>
        </w:tc>
      </w:tr>
      <w:tr w14:paraId="221523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restart"/>
            <w:noWrap w:val="0"/>
            <w:vAlign w:val="center"/>
          </w:tcPr>
          <w:p w14:paraId="6FE84D9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F2F244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第2.3款</w:t>
            </w:r>
          </w:p>
        </w:tc>
        <w:tc>
          <w:tcPr>
            <w:tcW w:w="1549" w:type="dxa"/>
            <w:noWrap w:val="0"/>
            <w:vAlign w:val="center"/>
          </w:tcPr>
          <w:p w14:paraId="0301FBE0">
            <w:pPr>
              <w:adjustRightInd w:val="0"/>
              <w:snapToGrid w:val="0"/>
              <w:spacing w:line="320" w:lineRule="exact"/>
              <w:jc w:val="center"/>
              <w:rPr>
                <w:rFonts w:hint="eastAsia" w:ascii="宋体" w:hAnsi="宋体"/>
                <w:bCs/>
                <w:color w:val="auto"/>
                <w:szCs w:val="21"/>
              </w:rPr>
            </w:pPr>
            <w:r>
              <w:rPr>
                <w:rFonts w:hint="eastAsia" w:ascii="宋体" w:hAnsi="宋体" w:cs="宋体"/>
                <w:color w:val="auto"/>
                <w:kern w:val="0"/>
                <w:szCs w:val="21"/>
              </w:rPr>
              <w:t>供应商的</w:t>
            </w:r>
            <w:r>
              <w:rPr>
                <w:rFonts w:hint="eastAsia" w:ascii="宋体" w:hAnsi="宋体"/>
                <w:color w:val="auto"/>
                <w:szCs w:val="21"/>
              </w:rPr>
              <w:t>邀请方式</w:t>
            </w:r>
          </w:p>
        </w:tc>
        <w:tc>
          <w:tcPr>
            <w:tcW w:w="6771" w:type="dxa"/>
            <w:noWrap w:val="0"/>
            <w:vAlign w:val="center"/>
          </w:tcPr>
          <w:p w14:paraId="7F033D77">
            <w:pPr>
              <w:adjustRightInd w:val="0"/>
              <w:snapToGrid w:val="0"/>
              <w:spacing w:line="320" w:lineRule="exact"/>
              <w:rPr>
                <w:rFonts w:hint="eastAsia" w:ascii="宋体" w:hAnsi="宋体"/>
                <w:color w:val="auto"/>
                <w:szCs w:val="21"/>
              </w:rPr>
            </w:pPr>
            <w:r>
              <w:rPr>
                <w:rFonts w:hint="eastAsia" w:ascii="宋体" w:hAnsi="宋体"/>
                <w:color w:val="auto"/>
                <w:szCs w:val="21"/>
              </w:rPr>
              <w:t>■ 发布公告</w:t>
            </w:r>
          </w:p>
          <w:p w14:paraId="65DB4CCD">
            <w:pPr>
              <w:adjustRightInd w:val="0"/>
              <w:snapToGrid w:val="0"/>
              <w:spacing w:line="320" w:lineRule="exact"/>
              <w:rPr>
                <w:rFonts w:hint="eastAsia" w:ascii="宋体" w:hAnsi="宋体"/>
                <w:color w:val="auto"/>
                <w:szCs w:val="21"/>
              </w:rPr>
            </w:pPr>
            <w:r>
              <w:rPr>
                <w:rFonts w:hint="eastAsia" w:ascii="宋体" w:hAnsi="宋体"/>
                <w:color w:val="auto"/>
                <w:szCs w:val="21"/>
              </w:rPr>
              <w:t>□ 从省级以上财政部门建立的供应商库中随机抽取</w:t>
            </w:r>
          </w:p>
          <w:p w14:paraId="241107E0">
            <w:pPr>
              <w:adjustRightInd w:val="0"/>
              <w:snapToGrid w:val="0"/>
              <w:spacing w:line="320" w:lineRule="exact"/>
              <w:rPr>
                <w:rFonts w:hint="eastAsia" w:ascii="宋体" w:hAnsi="宋体"/>
                <w:color w:val="auto"/>
                <w:szCs w:val="21"/>
              </w:rPr>
            </w:pPr>
            <w:r>
              <w:rPr>
                <w:rFonts w:hint="eastAsia" w:ascii="宋体" w:hAnsi="宋体"/>
                <w:color w:val="auto"/>
                <w:szCs w:val="21"/>
              </w:rPr>
              <w:t>□ 采购人和评审专家分别书面推荐的方式</w:t>
            </w:r>
          </w:p>
        </w:tc>
      </w:tr>
      <w:tr w14:paraId="5B3B21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256" w:type="dxa"/>
            <w:vMerge w:val="continue"/>
            <w:noWrap w:val="0"/>
            <w:vAlign w:val="center"/>
          </w:tcPr>
          <w:p w14:paraId="7FBCBEC1">
            <w:pPr>
              <w:adjustRightInd w:val="0"/>
              <w:snapToGrid w:val="0"/>
              <w:spacing w:line="320" w:lineRule="exact"/>
              <w:jc w:val="center"/>
              <w:rPr>
                <w:rFonts w:hint="eastAsia" w:ascii="宋体" w:hAnsi="宋体"/>
                <w:color w:val="auto"/>
                <w:szCs w:val="21"/>
              </w:rPr>
            </w:pPr>
          </w:p>
        </w:tc>
        <w:tc>
          <w:tcPr>
            <w:tcW w:w="1549" w:type="dxa"/>
            <w:noWrap w:val="0"/>
            <w:vAlign w:val="center"/>
          </w:tcPr>
          <w:p w14:paraId="7F41D543">
            <w:pPr>
              <w:adjustRightInd w:val="0"/>
              <w:snapToGrid w:val="0"/>
              <w:spacing w:line="320" w:lineRule="exact"/>
              <w:jc w:val="center"/>
              <w:rPr>
                <w:rFonts w:hint="eastAsia" w:ascii="宋体" w:hAnsi="宋体" w:cs="宋体"/>
                <w:color w:val="auto"/>
                <w:kern w:val="0"/>
                <w:szCs w:val="21"/>
              </w:rPr>
            </w:pPr>
            <w:r>
              <w:rPr>
                <w:rFonts w:hint="eastAsia" w:ascii="宋体" w:hAnsi="宋体" w:cs="宋体"/>
                <w:color w:val="auto"/>
                <w:kern w:val="0"/>
                <w:szCs w:val="21"/>
                <w:lang w:val="en-US" w:eastAsia="zh-CN"/>
              </w:rPr>
              <w:t>获取</w:t>
            </w:r>
            <w:r>
              <w:rPr>
                <w:rFonts w:hint="eastAsia" w:ascii="宋体" w:hAnsi="宋体" w:cs="宋体"/>
                <w:color w:val="auto"/>
                <w:kern w:val="0"/>
                <w:szCs w:val="21"/>
              </w:rPr>
              <w:t>磋商文件时应提供的资料</w:t>
            </w:r>
          </w:p>
        </w:tc>
        <w:tc>
          <w:tcPr>
            <w:tcW w:w="6771" w:type="dxa"/>
            <w:noWrap w:val="0"/>
            <w:vAlign w:val="center"/>
          </w:tcPr>
          <w:p w14:paraId="6914B7F9">
            <w:pPr>
              <w:adjustRightInd w:val="0"/>
              <w:snapToGrid w:val="0"/>
              <w:spacing w:line="320" w:lineRule="exact"/>
              <w:rPr>
                <w:rFonts w:hint="eastAsia" w:ascii="宋体" w:hAnsi="宋体"/>
                <w:color w:val="auto"/>
                <w:szCs w:val="21"/>
              </w:rPr>
            </w:pPr>
            <w:r>
              <w:rPr>
                <w:rFonts w:hint="eastAsia" w:ascii="宋体" w:hAnsi="宋体" w:eastAsia="宋体" w:cs="宋体"/>
                <w:kern w:val="0"/>
                <w:sz w:val="21"/>
                <w:szCs w:val="21"/>
                <w:lang w:val="en-US" w:eastAsia="zh-CN" w:bidi="ar"/>
              </w:rPr>
              <w:t>供应商公司营业执照（复印件加盖公章）、法定代表人身份证明或授权委托书(附法定代表人身份证明)、</w:t>
            </w:r>
            <w:r>
              <w:rPr>
                <w:rFonts w:hint="eastAsia" w:ascii="宋体" w:hAnsi="宋体" w:cs="宋体"/>
                <w:kern w:val="0"/>
                <w:sz w:val="21"/>
                <w:szCs w:val="21"/>
                <w:lang w:val="en-US" w:eastAsia="zh-CN" w:bidi="ar"/>
              </w:rPr>
              <w:t>法定代表人或委托人</w:t>
            </w:r>
            <w:r>
              <w:rPr>
                <w:rFonts w:hint="eastAsia" w:ascii="宋体" w:hAnsi="宋体" w:eastAsia="宋体" w:cs="宋体"/>
                <w:kern w:val="0"/>
                <w:sz w:val="21"/>
                <w:szCs w:val="21"/>
                <w:lang w:val="en-US" w:eastAsia="zh-CN" w:bidi="ar"/>
              </w:rPr>
              <w:t>身份证</w:t>
            </w:r>
          </w:p>
        </w:tc>
      </w:tr>
      <w:tr w14:paraId="15031D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 w:hRule="atLeast"/>
          <w:jc w:val="center"/>
        </w:trPr>
        <w:tc>
          <w:tcPr>
            <w:tcW w:w="1256" w:type="dxa"/>
            <w:noWrap w:val="0"/>
            <w:vAlign w:val="center"/>
          </w:tcPr>
          <w:p w14:paraId="40C4B3AD">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66472D6">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第3.1款</w:t>
            </w:r>
          </w:p>
        </w:tc>
        <w:tc>
          <w:tcPr>
            <w:tcW w:w="1549" w:type="dxa"/>
            <w:noWrap w:val="0"/>
            <w:vAlign w:val="center"/>
          </w:tcPr>
          <w:p w14:paraId="1CE8E1F5">
            <w:pPr>
              <w:adjustRightInd w:val="0"/>
              <w:snapToGrid w:val="0"/>
              <w:spacing w:line="320" w:lineRule="exact"/>
              <w:jc w:val="center"/>
              <w:rPr>
                <w:rFonts w:hint="eastAsia" w:ascii="宋体" w:hAnsi="宋体"/>
                <w:color w:val="auto"/>
                <w:szCs w:val="21"/>
              </w:rPr>
            </w:pPr>
            <w:r>
              <w:rPr>
                <w:rFonts w:hint="eastAsia" w:ascii="宋体" w:hAnsi="宋体"/>
                <w:bCs/>
                <w:color w:val="auto"/>
                <w:szCs w:val="21"/>
                <w:highlight w:val="none"/>
              </w:rPr>
              <w:t>供应商</w:t>
            </w:r>
            <w:r>
              <w:rPr>
                <w:rFonts w:hint="eastAsia" w:ascii="宋体" w:hAnsi="宋体"/>
                <w:color w:val="auto"/>
                <w:szCs w:val="21"/>
                <w:highlight w:val="none"/>
              </w:rPr>
              <w:t>资格条件</w:t>
            </w:r>
          </w:p>
        </w:tc>
        <w:tc>
          <w:tcPr>
            <w:tcW w:w="6771" w:type="dxa"/>
            <w:noWrap w:val="0"/>
            <w:vAlign w:val="center"/>
          </w:tcPr>
          <w:p w14:paraId="3F9B8F80">
            <w:pPr>
              <w:adjustRightInd w:val="0"/>
              <w:snapToGrid w:val="0"/>
              <w:spacing w:line="320" w:lineRule="exact"/>
              <w:ind w:firstLine="210" w:firstLineChars="100"/>
              <w:rPr>
                <w:rFonts w:hint="eastAsia" w:ascii="宋体" w:hAnsi="宋体" w:eastAsia="宋体" w:cs="Times New Roman"/>
                <w:color w:val="auto"/>
                <w:szCs w:val="21"/>
                <w:lang w:eastAsia="zh-CN"/>
              </w:rPr>
            </w:pPr>
            <w:r>
              <w:rPr>
                <w:rFonts w:hint="eastAsia" w:ascii="宋体" w:hAnsi="宋体" w:eastAsia="宋体" w:cs="Times New Roman"/>
                <w:color w:val="auto"/>
                <w:szCs w:val="21"/>
              </w:rPr>
              <w:t>1、</w:t>
            </w:r>
            <w:r>
              <w:rPr>
                <w:rFonts w:hint="eastAsia" w:ascii="宋体" w:hAnsi="宋体" w:cs="宋体"/>
                <w:kern w:val="0"/>
                <w:sz w:val="21"/>
                <w:szCs w:val="21"/>
                <w:lang w:val="en-US" w:eastAsia="zh-CN" w:bidi="ar"/>
              </w:rPr>
              <w:t>供应商</w:t>
            </w:r>
            <w:r>
              <w:rPr>
                <w:rFonts w:hint="eastAsia" w:ascii="宋体" w:hAnsi="宋体" w:eastAsia="宋体" w:cs="Times New Roman"/>
                <w:color w:val="auto"/>
                <w:szCs w:val="21"/>
              </w:rPr>
              <w:t>的基本资格条件：应当符合《政府采购法》第二十二条规定的供应商条件</w:t>
            </w:r>
            <w:r>
              <w:rPr>
                <w:rFonts w:hint="eastAsia" w:ascii="宋体" w:hAnsi="宋体" w:cs="Times New Roman"/>
                <w:color w:val="auto"/>
                <w:szCs w:val="21"/>
                <w:lang w:eastAsia="zh-CN"/>
              </w:rPr>
              <w:t>。</w:t>
            </w:r>
          </w:p>
          <w:p w14:paraId="3DFAD6E3">
            <w:pPr>
              <w:adjustRightInd w:val="0"/>
              <w:snapToGrid w:val="0"/>
              <w:spacing w:line="320" w:lineRule="exact"/>
              <w:ind w:firstLine="210" w:firstLineChars="100"/>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2、落实政府采购政策需满足的资格要求： </w:t>
            </w:r>
          </w:p>
          <w:p w14:paraId="51A5FB91">
            <w:pPr>
              <w:adjustRightInd w:val="0"/>
              <w:snapToGrid w:val="0"/>
              <w:spacing w:line="320" w:lineRule="exact"/>
              <w:ind w:firstLine="210" w:firstLineChars="100"/>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sym w:font="Wingdings" w:char="00FE"/>
            </w:r>
            <w:r>
              <w:rPr>
                <w:rFonts w:hint="eastAsia" w:ascii="宋体" w:hAnsi="宋体" w:eastAsia="宋体" w:cs="Times New Roman"/>
                <w:color w:val="auto"/>
                <w:szCs w:val="21"/>
                <w:lang w:val="en-US" w:eastAsia="zh-CN"/>
              </w:rPr>
              <w:t>专门面向：</w:t>
            </w:r>
            <w:r>
              <w:rPr>
                <w:rFonts w:hint="eastAsia" w:ascii="宋体" w:hAnsi="宋体" w:eastAsia="宋体" w:cs="Times New Roman"/>
                <w:color w:val="auto"/>
                <w:szCs w:val="21"/>
                <w:lang w:val="en-US" w:eastAsia="zh-CN"/>
              </w:rPr>
              <w:sym w:font="Wingdings" w:char="00FE"/>
            </w:r>
            <w:r>
              <w:rPr>
                <w:rFonts w:hint="eastAsia" w:ascii="宋体" w:hAnsi="宋体" w:eastAsia="宋体" w:cs="Times New Roman"/>
                <w:color w:val="auto"/>
                <w:szCs w:val="21"/>
                <w:lang w:val="en-US" w:eastAsia="zh-CN"/>
              </w:rPr>
              <w:t xml:space="preserve">中小企业 </w:t>
            </w:r>
            <w:r>
              <w:rPr>
                <w:rFonts w:hint="eastAsia" w:ascii="宋体" w:hAnsi="宋体" w:eastAsia="宋体" w:cs="Times New Roman"/>
                <w:color w:val="auto"/>
                <w:szCs w:val="21"/>
                <w:lang w:val="en-US" w:eastAsia="zh-CN"/>
              </w:rPr>
              <w:sym w:font="Wingdings 2" w:char="00A3"/>
            </w:r>
            <w:r>
              <w:rPr>
                <w:rFonts w:hint="eastAsia" w:ascii="宋体" w:hAnsi="宋体" w:eastAsia="宋体" w:cs="Times New Roman"/>
                <w:color w:val="auto"/>
                <w:szCs w:val="21"/>
                <w:lang w:val="en-US" w:eastAsia="zh-CN"/>
              </w:rPr>
              <w:t xml:space="preserve">小微企业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监狱企业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福利性单位 </w:t>
            </w:r>
          </w:p>
          <w:p w14:paraId="3821A6FC">
            <w:pPr>
              <w:adjustRightInd w:val="0"/>
              <w:snapToGrid w:val="0"/>
              <w:spacing w:line="320" w:lineRule="exact"/>
              <w:ind w:firstLine="210" w:firstLineChars="100"/>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强制分包：大型企业应将采购份额的</w:t>
            </w:r>
            <w:r>
              <w:rPr>
                <w:rFonts w:hint="eastAsia" w:ascii="宋体" w:hAnsi="宋体" w:eastAsia="宋体" w:cs="Times New Roman"/>
                <w:color w:val="auto"/>
                <w:szCs w:val="21"/>
                <w:u w:val="single"/>
                <w:lang w:val="en-US" w:eastAsia="zh-CN"/>
              </w:rPr>
              <w:t>     </w:t>
            </w:r>
            <w:r>
              <w:rPr>
                <w:rFonts w:hint="eastAsia" w:ascii="宋体" w:hAnsi="宋体" w:eastAsia="宋体" w:cs="Times New Roman"/>
                <w:color w:val="auto"/>
                <w:szCs w:val="21"/>
                <w:lang w:val="en-US" w:eastAsia="zh-CN"/>
              </w:rPr>
              <w:t xml:space="preserve">%分包给中小企业。 </w:t>
            </w:r>
          </w:p>
          <w:p w14:paraId="27B31A97">
            <w:pPr>
              <w:adjustRightInd w:val="0"/>
              <w:snapToGrid w:val="0"/>
              <w:spacing w:line="320" w:lineRule="exact"/>
              <w:ind w:firstLine="210" w:firstLineChars="100"/>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3、供应商特定资格条件： </w:t>
            </w:r>
          </w:p>
          <w:p w14:paraId="534C1B5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leftChars="0" w:right="0" w:rightChars="0" w:firstLine="420" w:firstLineChars="20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①供应商须具备文物行政主管部门颁发的文物保护工程施工壹级资质（含古建筑维修保护），安全生产许可证处于有效期；</w:t>
            </w:r>
          </w:p>
          <w:p w14:paraId="2C86A9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②</w:t>
            </w:r>
            <w:r>
              <w:rPr>
                <w:rFonts w:hint="eastAsia" w:ascii="宋体" w:hAnsi="宋体" w:eastAsia="宋体" w:cs="宋体"/>
                <w:kern w:val="0"/>
                <w:sz w:val="21"/>
                <w:szCs w:val="21"/>
                <w:lang w:val="en-US" w:eastAsia="zh-CN" w:bidi="ar"/>
              </w:rPr>
              <w:t>拟任项目负责人具有文物保护工程责任工程师资格证书（古建筑专业），且未在其他建设工程中担任同类职务（须提供相应证书复印件、无在建工程承诺书原件）；其他关键岗位人员具备建设行政主管部门颁发的岗位证书（技术负责人、施工员1人、安全员1人）；安全员还需具备C类安全生产考核合格证书，并在有效期内。（以上拟任项目负责人和其他关键岗位人员需提供</w:t>
            </w:r>
            <w:r>
              <w:rPr>
                <w:rFonts w:hint="eastAsia" w:ascii="宋体" w:hAnsi="宋体" w:cs="宋体"/>
                <w:kern w:val="0"/>
                <w:sz w:val="21"/>
                <w:szCs w:val="21"/>
                <w:lang w:val="en-US" w:eastAsia="zh-CN" w:bidi="ar"/>
              </w:rPr>
              <w:t>供应商</w:t>
            </w:r>
            <w:r>
              <w:rPr>
                <w:rFonts w:hint="eastAsia" w:ascii="宋体" w:hAnsi="宋体" w:eastAsia="宋体" w:cs="宋体"/>
                <w:kern w:val="0"/>
                <w:sz w:val="21"/>
                <w:szCs w:val="21"/>
                <w:lang w:val="en-US" w:eastAsia="zh-CN" w:bidi="ar"/>
              </w:rPr>
              <w:t>为其缴纳的近半年内任意一个月的社保证明材料）；</w:t>
            </w:r>
          </w:p>
          <w:p w14:paraId="3AAECF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③供应商</w:t>
            </w:r>
            <w:r>
              <w:rPr>
                <w:rFonts w:hint="eastAsia" w:ascii="宋体" w:hAnsi="宋体" w:eastAsia="宋体" w:cs="宋体"/>
                <w:kern w:val="0"/>
                <w:sz w:val="21"/>
                <w:szCs w:val="21"/>
                <w:lang w:val="en-US" w:eastAsia="zh-CN" w:bidi="ar"/>
              </w:rPr>
              <w:t>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建筑业”；</w:t>
            </w:r>
          </w:p>
          <w:p w14:paraId="1D0A5C3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cs="宋体"/>
                <w:kern w:val="0"/>
                <w:sz w:val="21"/>
                <w:szCs w:val="21"/>
                <w:lang w:val="en-US" w:eastAsia="zh-CN" w:bidi="ar"/>
              </w:rPr>
              <w:t>④</w:t>
            </w:r>
            <w:r>
              <w:rPr>
                <w:rFonts w:hint="eastAsia" w:ascii="宋体" w:hAnsi="宋体" w:eastAsia="宋体" w:cs="宋体"/>
                <w:kern w:val="0"/>
                <w:sz w:val="21"/>
                <w:szCs w:val="21"/>
                <w:lang w:val="en-US" w:eastAsia="zh-CN" w:bidi="ar"/>
              </w:rPr>
              <w:t>湖南省政府采购供应商资格承诺函原件。格式见湖南省财政厅关于《政府采购促进中小企业发展有关措施》的通知湘财购【2022】17号文；</w:t>
            </w:r>
          </w:p>
          <w:p w14:paraId="22D92B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eastAsia="宋体"/>
                <w:lang w:val="en-US" w:eastAsia="zh-CN"/>
              </w:rPr>
            </w:pPr>
            <w:r>
              <w:rPr>
                <w:rFonts w:hint="eastAsia" w:ascii="宋体" w:hAnsi="宋体" w:cs="宋体"/>
                <w:kern w:val="0"/>
                <w:sz w:val="21"/>
                <w:szCs w:val="21"/>
                <w:lang w:val="en-US" w:eastAsia="zh-CN" w:bidi="ar"/>
              </w:rPr>
              <w:t>⑤</w:t>
            </w:r>
            <w:r>
              <w:rPr>
                <w:rFonts w:hint="eastAsia" w:ascii="宋体" w:hAnsi="宋体" w:eastAsia="宋体" w:cs="宋体"/>
                <w:kern w:val="0"/>
                <w:sz w:val="21"/>
                <w:szCs w:val="21"/>
                <w:lang w:val="en-US" w:eastAsia="zh-CN" w:bidi="ar"/>
              </w:rPr>
              <w:t>依据《湖南省财政厅关于做好政府采购有关信用主体标识码登记及在政府采购活动中查询使用信用记录有关问题的通知》（湘财购（2017）2号）精神，要求供应商无不良信用记录，信用信息查询的查询渠道：“信用中国”网站（www.creditchina.gov.cn）、中国政府采购网（www.ccgp.gov.cn）提供在以上网站的查询截图复印件加盖公章。</w:t>
            </w:r>
          </w:p>
        </w:tc>
      </w:tr>
      <w:tr w14:paraId="54C68B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4A02D75">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2D68236">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第6.1款</w:t>
            </w:r>
          </w:p>
        </w:tc>
        <w:tc>
          <w:tcPr>
            <w:tcW w:w="1549" w:type="dxa"/>
            <w:noWrap w:val="0"/>
            <w:vAlign w:val="center"/>
          </w:tcPr>
          <w:p w14:paraId="2DC74011">
            <w:pPr>
              <w:adjustRightInd w:val="0"/>
              <w:snapToGrid w:val="0"/>
              <w:spacing w:line="320" w:lineRule="exact"/>
              <w:jc w:val="center"/>
              <w:rPr>
                <w:rFonts w:hint="eastAsia" w:ascii="宋体" w:hAnsi="宋体"/>
                <w:color w:val="auto"/>
                <w:szCs w:val="21"/>
              </w:rPr>
            </w:pPr>
            <w:r>
              <w:rPr>
                <w:rFonts w:hint="eastAsia" w:ascii="宋体" w:hAnsi="宋体"/>
                <w:color w:val="auto"/>
                <w:szCs w:val="21"/>
              </w:rPr>
              <w:t>联合体形式</w:t>
            </w:r>
          </w:p>
        </w:tc>
        <w:tc>
          <w:tcPr>
            <w:tcW w:w="6771" w:type="dxa"/>
            <w:noWrap w:val="0"/>
            <w:vAlign w:val="center"/>
          </w:tcPr>
          <w:p w14:paraId="38E4451D">
            <w:pPr>
              <w:adjustRightInd w:val="0"/>
              <w:snapToGrid w:val="0"/>
              <w:spacing w:line="320" w:lineRule="exact"/>
              <w:rPr>
                <w:rFonts w:hint="eastAsia" w:ascii="宋体" w:hAnsi="宋体"/>
                <w:color w:val="auto"/>
                <w:szCs w:val="21"/>
              </w:rPr>
            </w:pPr>
            <w:r>
              <w:rPr>
                <w:rFonts w:hint="eastAsia" w:ascii="宋体" w:hAnsi="宋体"/>
                <w:color w:val="auto"/>
                <w:szCs w:val="21"/>
              </w:rPr>
              <w:t>■ 不接受</w:t>
            </w:r>
          </w:p>
          <w:p w14:paraId="5918EAB3">
            <w:pPr>
              <w:adjustRightInd w:val="0"/>
              <w:snapToGrid w:val="0"/>
              <w:spacing w:line="320" w:lineRule="exact"/>
              <w:rPr>
                <w:rFonts w:hint="eastAsia" w:ascii="宋体" w:hAnsi="宋体"/>
                <w:color w:val="auto"/>
                <w:szCs w:val="21"/>
              </w:rPr>
            </w:pPr>
            <w:r>
              <w:rPr>
                <w:rFonts w:hint="eastAsia" w:ascii="宋体" w:hAnsi="宋体"/>
                <w:color w:val="auto"/>
                <w:szCs w:val="21"/>
              </w:rPr>
              <w:t>□ 接受</w:t>
            </w:r>
          </w:p>
        </w:tc>
      </w:tr>
      <w:tr w14:paraId="3F329D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0E55A06B">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3D544B8">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第6.2款</w:t>
            </w:r>
          </w:p>
        </w:tc>
        <w:tc>
          <w:tcPr>
            <w:tcW w:w="1549" w:type="dxa"/>
            <w:noWrap w:val="0"/>
            <w:vAlign w:val="center"/>
          </w:tcPr>
          <w:p w14:paraId="06E84A6E">
            <w:pPr>
              <w:adjustRightInd w:val="0"/>
              <w:snapToGrid w:val="0"/>
              <w:spacing w:line="320" w:lineRule="exact"/>
              <w:jc w:val="center"/>
              <w:rPr>
                <w:rFonts w:hint="eastAsia" w:ascii="宋体" w:hAnsi="宋体"/>
                <w:color w:val="auto"/>
                <w:szCs w:val="21"/>
              </w:rPr>
            </w:pPr>
            <w:r>
              <w:rPr>
                <w:rFonts w:hint="eastAsia" w:ascii="宋体" w:hAnsi="宋体"/>
                <w:color w:val="auto"/>
                <w:szCs w:val="21"/>
              </w:rPr>
              <w:t>对联合体各方的要求</w:t>
            </w:r>
          </w:p>
        </w:tc>
        <w:tc>
          <w:tcPr>
            <w:tcW w:w="6771" w:type="dxa"/>
            <w:noWrap w:val="0"/>
            <w:vAlign w:val="center"/>
          </w:tcPr>
          <w:p w14:paraId="47B08845">
            <w:pPr>
              <w:adjustRightInd w:val="0"/>
              <w:snapToGrid w:val="0"/>
              <w:spacing w:line="320" w:lineRule="exact"/>
              <w:rPr>
                <w:rFonts w:hint="eastAsia" w:ascii="宋体" w:hAnsi="宋体"/>
                <w:color w:val="auto"/>
                <w:szCs w:val="21"/>
              </w:rPr>
            </w:pPr>
            <w:r>
              <w:rPr>
                <w:rFonts w:hint="eastAsia" w:ascii="宋体" w:hAnsi="宋体"/>
                <w:color w:val="auto"/>
                <w:szCs w:val="21"/>
              </w:rPr>
              <w:t>无</w:t>
            </w:r>
          </w:p>
        </w:tc>
      </w:tr>
      <w:tr w14:paraId="46D758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6ABF43A">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7B9A21E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第7.1款</w:t>
            </w:r>
          </w:p>
        </w:tc>
        <w:tc>
          <w:tcPr>
            <w:tcW w:w="1549" w:type="dxa"/>
            <w:noWrap w:val="0"/>
            <w:vAlign w:val="center"/>
          </w:tcPr>
          <w:p w14:paraId="25FD3ED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现场勘察</w:t>
            </w:r>
          </w:p>
        </w:tc>
        <w:tc>
          <w:tcPr>
            <w:tcW w:w="6771" w:type="dxa"/>
            <w:noWrap w:val="0"/>
            <w:vAlign w:val="center"/>
          </w:tcPr>
          <w:p w14:paraId="22EA70E8">
            <w:pPr>
              <w:adjustRightInd w:val="0"/>
              <w:snapToGrid w:val="0"/>
              <w:spacing w:line="320" w:lineRule="exact"/>
              <w:rPr>
                <w:rFonts w:hint="eastAsia" w:ascii="宋体" w:hAnsi="宋体"/>
                <w:color w:val="auto"/>
                <w:szCs w:val="21"/>
              </w:rPr>
            </w:pPr>
            <w:r>
              <w:rPr>
                <w:rFonts w:hint="eastAsia" w:ascii="宋体" w:hAnsi="宋体"/>
                <w:color w:val="auto"/>
                <w:szCs w:val="21"/>
              </w:rPr>
              <w:t>■ 采购人不组织（如有必要，另行通知）</w:t>
            </w:r>
          </w:p>
          <w:p w14:paraId="03DC1E7B">
            <w:pPr>
              <w:adjustRightInd w:val="0"/>
              <w:snapToGrid w:val="0"/>
              <w:spacing w:line="320" w:lineRule="exact"/>
              <w:rPr>
                <w:rFonts w:hint="eastAsia" w:ascii="宋体" w:hAnsi="宋体"/>
                <w:color w:val="auto"/>
                <w:szCs w:val="21"/>
              </w:rPr>
            </w:pPr>
            <w:r>
              <w:rPr>
                <w:rFonts w:hint="eastAsia" w:ascii="宋体" w:hAnsi="宋体"/>
                <w:color w:val="auto"/>
                <w:szCs w:val="21"/>
              </w:rPr>
              <w:t>□ 采购人组织</w:t>
            </w:r>
          </w:p>
        </w:tc>
      </w:tr>
      <w:tr w14:paraId="3D37E1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256" w:type="dxa"/>
            <w:noWrap w:val="0"/>
            <w:vAlign w:val="center"/>
          </w:tcPr>
          <w:p w14:paraId="4A380B65">
            <w:pPr>
              <w:spacing w:line="320" w:lineRule="exact"/>
              <w:jc w:val="center"/>
              <w:rPr>
                <w:rFonts w:ascii="宋体" w:hAnsi="宋体"/>
                <w:color w:val="auto"/>
                <w:szCs w:val="21"/>
              </w:rPr>
            </w:pPr>
            <w:r>
              <w:rPr>
                <w:rFonts w:hint="eastAsia" w:ascii="宋体" w:hAnsi="宋体"/>
                <w:color w:val="auto"/>
                <w:szCs w:val="21"/>
              </w:rPr>
              <w:t>第二章</w:t>
            </w:r>
          </w:p>
          <w:p w14:paraId="2C09C92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第8.1款</w:t>
            </w:r>
          </w:p>
        </w:tc>
        <w:tc>
          <w:tcPr>
            <w:tcW w:w="1549" w:type="dxa"/>
            <w:noWrap w:val="0"/>
            <w:vAlign w:val="center"/>
          </w:tcPr>
          <w:p w14:paraId="70285913">
            <w:pPr>
              <w:spacing w:line="320" w:lineRule="exact"/>
              <w:rPr>
                <w:rFonts w:hint="eastAsia" w:ascii="宋体" w:hAnsi="宋体"/>
                <w:color w:val="auto"/>
                <w:szCs w:val="21"/>
              </w:rPr>
            </w:pPr>
            <w:r>
              <w:rPr>
                <w:rFonts w:hint="eastAsia" w:ascii="宋体" w:hAnsi="宋体"/>
                <w:color w:val="auto"/>
                <w:szCs w:val="21"/>
              </w:rPr>
              <w:t>采购进口产品</w:t>
            </w:r>
          </w:p>
        </w:tc>
        <w:tc>
          <w:tcPr>
            <w:tcW w:w="6771" w:type="dxa"/>
            <w:noWrap w:val="0"/>
            <w:vAlign w:val="center"/>
          </w:tcPr>
          <w:p w14:paraId="591247DE">
            <w:pPr>
              <w:adjustRightInd w:val="0"/>
              <w:snapToGrid w:val="0"/>
              <w:spacing w:line="320" w:lineRule="exact"/>
              <w:rPr>
                <w:rFonts w:hint="eastAsia" w:ascii="宋体" w:hAnsi="宋体"/>
                <w:color w:val="auto"/>
                <w:szCs w:val="21"/>
              </w:rPr>
            </w:pPr>
            <w:r>
              <w:rPr>
                <w:rFonts w:hint="eastAsia" w:ascii="宋体" w:hAnsi="宋体"/>
                <w:color w:val="auto"/>
                <w:szCs w:val="21"/>
              </w:rPr>
              <w:t>■ 本项目拒绝采购进口产品</w:t>
            </w:r>
          </w:p>
          <w:p w14:paraId="35C1B366">
            <w:pPr>
              <w:spacing w:line="320" w:lineRule="exact"/>
              <w:rPr>
                <w:rFonts w:hint="eastAsia" w:ascii="宋体" w:hAnsi="宋体"/>
                <w:color w:val="auto"/>
                <w:szCs w:val="21"/>
              </w:rPr>
            </w:pPr>
            <w:r>
              <w:rPr>
                <w:rFonts w:hint="eastAsia" w:ascii="宋体" w:hAnsi="宋体"/>
                <w:color w:val="auto"/>
                <w:szCs w:val="21"/>
              </w:rPr>
              <w:t>□ 本项目已经财政部门审核同意购买进口产品</w:t>
            </w:r>
          </w:p>
        </w:tc>
      </w:tr>
      <w:tr w14:paraId="316EFE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437A3A8D">
            <w:pPr>
              <w:spacing w:line="320" w:lineRule="exact"/>
              <w:jc w:val="center"/>
              <w:rPr>
                <w:rFonts w:ascii="宋体" w:hAnsi="宋体"/>
                <w:color w:val="auto"/>
                <w:szCs w:val="21"/>
              </w:rPr>
            </w:pPr>
            <w:r>
              <w:rPr>
                <w:rFonts w:hint="eastAsia" w:ascii="宋体" w:hAnsi="宋体"/>
                <w:color w:val="auto"/>
                <w:szCs w:val="21"/>
              </w:rPr>
              <w:t>第二章</w:t>
            </w:r>
          </w:p>
          <w:p w14:paraId="7E29D4F3">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第9.1款</w:t>
            </w:r>
          </w:p>
        </w:tc>
        <w:tc>
          <w:tcPr>
            <w:tcW w:w="1549" w:type="dxa"/>
            <w:noWrap w:val="0"/>
            <w:vAlign w:val="center"/>
          </w:tcPr>
          <w:p w14:paraId="4A51CA30">
            <w:pPr>
              <w:spacing w:line="240" w:lineRule="auto"/>
              <w:rPr>
                <w:rFonts w:hint="eastAsia" w:ascii="宋体" w:hAnsi="宋体"/>
                <w:color w:val="auto"/>
                <w:szCs w:val="21"/>
              </w:rPr>
            </w:pPr>
            <w:r>
              <w:rPr>
                <w:rFonts w:hint="eastAsia" w:ascii="宋体" w:hAnsi="宋体"/>
                <w:color w:val="auto"/>
                <w:szCs w:val="21"/>
              </w:rPr>
              <w:t>政府采购强制采购：</w:t>
            </w:r>
          </w:p>
          <w:p w14:paraId="35F84E67">
            <w:pPr>
              <w:adjustRightInd w:val="0"/>
              <w:snapToGrid w:val="0"/>
              <w:spacing w:line="240" w:lineRule="auto"/>
              <w:jc w:val="left"/>
              <w:rPr>
                <w:rFonts w:hint="eastAsia" w:ascii="宋体" w:hAnsi="宋体"/>
                <w:color w:val="auto"/>
                <w:szCs w:val="21"/>
              </w:rPr>
            </w:pPr>
            <w:r>
              <w:rPr>
                <w:rFonts w:hint="eastAsia" w:ascii="宋体" w:hAnsi="宋体"/>
                <w:color w:val="auto"/>
                <w:szCs w:val="21"/>
              </w:rPr>
              <w:t>1、强制采购的节能产品；</w:t>
            </w:r>
          </w:p>
          <w:p w14:paraId="6313239B">
            <w:pPr>
              <w:adjustRightInd w:val="0"/>
              <w:snapToGrid w:val="0"/>
              <w:spacing w:line="240" w:lineRule="auto"/>
              <w:jc w:val="left"/>
              <w:rPr>
                <w:rFonts w:hint="eastAsia" w:ascii="宋体" w:hAnsi="宋体"/>
                <w:color w:val="auto"/>
                <w:szCs w:val="21"/>
              </w:rPr>
            </w:pPr>
            <w:r>
              <w:rPr>
                <w:rFonts w:hint="eastAsia" w:ascii="宋体" w:hAnsi="宋体"/>
                <w:color w:val="auto"/>
                <w:szCs w:val="21"/>
              </w:rPr>
              <w:t>2、其他。</w:t>
            </w:r>
          </w:p>
        </w:tc>
        <w:tc>
          <w:tcPr>
            <w:tcW w:w="6771" w:type="dxa"/>
            <w:noWrap w:val="0"/>
            <w:vAlign w:val="center"/>
          </w:tcPr>
          <w:p w14:paraId="2819F969">
            <w:pPr>
              <w:spacing w:line="320" w:lineRule="exact"/>
              <w:rPr>
                <w:rFonts w:hint="eastAsia" w:ascii="宋体" w:hAnsi="宋体"/>
                <w:color w:val="auto"/>
                <w:szCs w:val="21"/>
              </w:rPr>
            </w:pPr>
            <w:r>
              <w:rPr>
                <w:rFonts w:hint="eastAsia" w:ascii="宋体" w:hAnsi="宋体"/>
                <w:color w:val="auto"/>
                <w:szCs w:val="21"/>
              </w:rPr>
              <w:t>■ 否</w:t>
            </w:r>
          </w:p>
          <w:p w14:paraId="4524346A">
            <w:pPr>
              <w:adjustRightInd w:val="0"/>
              <w:snapToGrid w:val="0"/>
              <w:spacing w:line="320" w:lineRule="exact"/>
              <w:rPr>
                <w:rFonts w:hint="eastAsia" w:ascii="宋体" w:hAnsi="宋体"/>
                <w:color w:val="auto"/>
                <w:szCs w:val="21"/>
              </w:rPr>
            </w:pPr>
            <w:r>
              <w:rPr>
                <w:rFonts w:hint="eastAsia" w:ascii="宋体" w:hAnsi="宋体"/>
                <w:color w:val="auto"/>
                <w:szCs w:val="21"/>
              </w:rPr>
              <w:t>□ 是，采购《节能产品政府采购清单》内标记★符号的节能产品。</w:t>
            </w:r>
          </w:p>
        </w:tc>
      </w:tr>
      <w:tr w14:paraId="799D7B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03D684DD">
            <w:pPr>
              <w:spacing w:line="320" w:lineRule="exact"/>
              <w:jc w:val="center"/>
              <w:rPr>
                <w:rFonts w:ascii="宋体" w:hAnsi="宋体"/>
                <w:color w:val="auto"/>
                <w:szCs w:val="21"/>
              </w:rPr>
            </w:pPr>
            <w:r>
              <w:rPr>
                <w:rFonts w:hint="eastAsia" w:ascii="宋体" w:hAnsi="宋体"/>
                <w:color w:val="auto"/>
                <w:szCs w:val="21"/>
              </w:rPr>
              <w:t>第二章</w:t>
            </w:r>
          </w:p>
          <w:p w14:paraId="71B76DD6">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第9.2款</w:t>
            </w:r>
          </w:p>
        </w:tc>
        <w:tc>
          <w:tcPr>
            <w:tcW w:w="1549" w:type="dxa"/>
            <w:noWrap w:val="0"/>
            <w:vAlign w:val="center"/>
          </w:tcPr>
          <w:p w14:paraId="05FD6F05">
            <w:pPr>
              <w:spacing w:line="320" w:lineRule="exact"/>
              <w:rPr>
                <w:rFonts w:hint="eastAsia" w:ascii="宋体" w:hAnsi="宋体"/>
                <w:color w:val="auto"/>
                <w:szCs w:val="21"/>
              </w:rPr>
            </w:pPr>
            <w:r>
              <w:rPr>
                <w:rFonts w:hint="eastAsia" w:ascii="宋体" w:hAnsi="宋体"/>
                <w:color w:val="auto"/>
                <w:szCs w:val="21"/>
              </w:rPr>
              <w:t>政府采购优先采购：</w:t>
            </w:r>
          </w:p>
          <w:p w14:paraId="2D479A85">
            <w:pPr>
              <w:adjustRightInd w:val="0"/>
              <w:snapToGrid w:val="0"/>
              <w:spacing w:line="320" w:lineRule="exact"/>
              <w:jc w:val="left"/>
              <w:rPr>
                <w:rFonts w:hint="eastAsia" w:ascii="宋体" w:hAnsi="宋体"/>
                <w:color w:val="auto"/>
                <w:szCs w:val="21"/>
              </w:rPr>
            </w:pPr>
            <w:r>
              <w:rPr>
                <w:rFonts w:hint="eastAsia" w:ascii="宋体" w:hAnsi="宋体"/>
                <w:color w:val="auto"/>
                <w:szCs w:val="21"/>
              </w:rPr>
              <w:t>1、非强制采购的节能产品；</w:t>
            </w:r>
          </w:p>
          <w:p w14:paraId="643D980D">
            <w:pPr>
              <w:adjustRightInd w:val="0"/>
              <w:snapToGrid w:val="0"/>
              <w:spacing w:line="320" w:lineRule="exact"/>
              <w:jc w:val="left"/>
              <w:rPr>
                <w:rFonts w:hint="eastAsia" w:ascii="宋体" w:hAnsi="宋体"/>
                <w:color w:val="auto"/>
                <w:szCs w:val="21"/>
              </w:rPr>
            </w:pPr>
            <w:r>
              <w:rPr>
                <w:rFonts w:hint="eastAsia" w:ascii="宋体" w:hAnsi="宋体"/>
                <w:color w:val="auto"/>
                <w:szCs w:val="21"/>
              </w:rPr>
              <w:t>2、环境标志产品；</w:t>
            </w:r>
          </w:p>
          <w:p w14:paraId="2EFE0907">
            <w:pPr>
              <w:adjustRightInd w:val="0"/>
              <w:snapToGrid w:val="0"/>
              <w:spacing w:line="320" w:lineRule="exact"/>
              <w:jc w:val="left"/>
              <w:rPr>
                <w:rFonts w:hint="eastAsia" w:ascii="宋体" w:hAnsi="宋体"/>
                <w:color w:val="auto"/>
                <w:szCs w:val="21"/>
              </w:rPr>
            </w:pPr>
            <w:r>
              <w:rPr>
                <w:rFonts w:hint="eastAsia" w:ascii="宋体" w:hAnsi="宋体"/>
                <w:color w:val="auto"/>
                <w:szCs w:val="21"/>
              </w:rPr>
              <w:t>3、</w:t>
            </w:r>
            <w:r>
              <w:rPr>
                <w:rFonts w:hint="eastAsia" w:ascii="宋体" w:hAnsi="宋体" w:cs="宋体"/>
                <w:bCs/>
                <w:color w:val="auto"/>
                <w:kern w:val="0"/>
                <w:szCs w:val="21"/>
              </w:rPr>
              <w:t>支持</w:t>
            </w:r>
            <w:r>
              <w:rPr>
                <w:rFonts w:hint="eastAsia" w:ascii="宋体" w:hAnsi="宋体"/>
                <w:color w:val="auto"/>
                <w:szCs w:val="21"/>
              </w:rPr>
              <w:t>中小企业发展；</w:t>
            </w:r>
          </w:p>
          <w:p w14:paraId="63647C77">
            <w:pPr>
              <w:adjustRightInd w:val="0"/>
              <w:snapToGrid w:val="0"/>
              <w:spacing w:line="320" w:lineRule="exact"/>
              <w:jc w:val="left"/>
              <w:rPr>
                <w:rFonts w:hint="eastAsia" w:ascii="宋体" w:hAnsi="宋体"/>
                <w:color w:val="auto"/>
                <w:szCs w:val="21"/>
              </w:rPr>
            </w:pPr>
            <w:r>
              <w:rPr>
                <w:rFonts w:ascii="宋体" w:hAnsi="宋体"/>
                <w:color w:val="auto"/>
                <w:szCs w:val="21"/>
              </w:rPr>
              <w:t>4</w:t>
            </w:r>
            <w:r>
              <w:rPr>
                <w:rFonts w:hint="eastAsia" w:ascii="宋体" w:hAnsi="宋体"/>
                <w:color w:val="auto"/>
                <w:szCs w:val="21"/>
              </w:rPr>
              <w:t>、其他。</w:t>
            </w:r>
          </w:p>
        </w:tc>
        <w:tc>
          <w:tcPr>
            <w:tcW w:w="6771" w:type="dxa"/>
            <w:noWrap w:val="0"/>
            <w:vAlign w:val="center"/>
          </w:tcPr>
          <w:p w14:paraId="0F3227EE">
            <w:pPr>
              <w:adjustRightInd w:val="0"/>
              <w:snapToGrid w:val="0"/>
              <w:rPr>
                <w:rFonts w:hint="eastAsia" w:ascii="宋体" w:hAnsi="宋体"/>
                <w:color w:val="auto"/>
                <w:szCs w:val="21"/>
              </w:rPr>
            </w:pPr>
            <w:r>
              <w:rPr>
                <w:rFonts w:hint="eastAsia" w:ascii="宋体" w:hAnsi="宋体"/>
                <w:color w:val="auto"/>
                <w:szCs w:val="21"/>
              </w:rPr>
              <w:t>1、采购产品为《节能产品政府采购清单》内非标记★符号的，分别给予技术和价格项标准总分值4%-8%的加分。本项目具体加分比例分别为 ：技术</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%、价格</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p w14:paraId="5DB6D944">
            <w:pPr>
              <w:adjustRightInd w:val="0"/>
              <w:snapToGrid w:val="0"/>
              <w:rPr>
                <w:rFonts w:ascii="宋体" w:hAnsi="宋体"/>
                <w:color w:val="auto"/>
                <w:szCs w:val="21"/>
              </w:rPr>
            </w:pPr>
            <w:r>
              <w:rPr>
                <w:rFonts w:hint="eastAsia" w:ascii="宋体" w:hAnsi="宋体"/>
                <w:color w:val="auto"/>
                <w:szCs w:val="21"/>
              </w:rPr>
              <w:t>2、采购产品为《环境标志产品政府采购清单》内的，分别给予技术和价格项标准总分值4%-8%的加分。本项目具体加分比例分别为 ：技术</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rPr>
              <w:t>%、价格</w:t>
            </w:r>
            <w:r>
              <w:rPr>
                <w:rFonts w:hint="eastAsia" w:ascii="宋体" w:hAnsi="宋体"/>
                <w:color w:val="auto"/>
                <w:szCs w:val="21"/>
                <w:u w:val="single"/>
                <w:lang w:val="en-US" w:eastAsia="zh-CN"/>
              </w:rPr>
              <w:t>/</w:t>
            </w:r>
            <w:r>
              <w:rPr>
                <w:rFonts w:hint="eastAsia" w:ascii="宋体" w:hAnsi="宋体"/>
                <w:color w:val="auto"/>
                <w:szCs w:val="21"/>
              </w:rPr>
              <w:t>%。</w:t>
            </w:r>
          </w:p>
          <w:p w14:paraId="79E58A35">
            <w:pPr>
              <w:adjustRightInd w:val="0"/>
              <w:snapToGrid w:val="0"/>
              <w:rPr>
                <w:rFonts w:hint="eastAsia" w:ascii="宋体" w:hAnsi="宋体" w:eastAsia="宋体" w:cs="Times New Roman"/>
                <w:color w:val="auto"/>
                <w:szCs w:val="21"/>
              </w:rPr>
            </w:pPr>
            <w:r>
              <w:rPr>
                <w:rFonts w:hint="eastAsia" w:ascii="宋体" w:hAnsi="宋体"/>
                <w:color w:val="auto"/>
                <w:szCs w:val="21"/>
              </w:rPr>
              <w:t>3、</w:t>
            </w:r>
            <w:r>
              <w:rPr>
                <w:rFonts w:hint="eastAsia" w:ascii="宋体" w:hAnsi="宋体" w:eastAsia="宋体" w:cs="Times New Roman"/>
                <w:color w:val="auto"/>
                <w:szCs w:val="21"/>
              </w:rPr>
              <w:t>非专门面向中小企业采购（监狱企业、残疾人福利企业视同小微企业）：</w:t>
            </w:r>
          </w:p>
          <w:p w14:paraId="75B61B73">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（1）给予小型和微型企业产品的价格给予6%-10%</w:t>
            </w:r>
            <w:r>
              <w:rPr>
                <w:rFonts w:hint="eastAsia" w:ascii="宋体" w:hAnsi="宋体" w:eastAsia="宋体" w:cs="Times New Roman"/>
                <w:color w:val="auto"/>
                <w:szCs w:val="21"/>
                <w:lang w:eastAsia="zh-CN"/>
              </w:rPr>
              <w:t>（工程项目为3%—5%）</w:t>
            </w:r>
            <w:r>
              <w:rPr>
                <w:rFonts w:hint="eastAsia" w:ascii="宋体" w:hAnsi="宋体" w:eastAsia="宋体" w:cs="Times New Roman"/>
                <w:color w:val="auto"/>
                <w:szCs w:val="21"/>
              </w:rPr>
              <w:t>的扣除，用扣除后的价格参与评审，本项目具体扣除比例为</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 xml:space="preserve"> ％。</w:t>
            </w:r>
          </w:p>
          <w:p w14:paraId="41FDC4F6">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（2）给予联合体2%-3%的价格扣除。本项目具体扣除比例为 / ％。</w:t>
            </w:r>
          </w:p>
          <w:p w14:paraId="12142CA1">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 xml:space="preserve">（3）给予中型企业产品的价格给予3%-5%的扣除，用扣除后的价格参与评审，本项目具体扣除比例为 </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 xml:space="preserve"> ％。</w:t>
            </w:r>
          </w:p>
          <w:p w14:paraId="6A7C65D9">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（4）支持监狱企业：</w:t>
            </w:r>
          </w:p>
          <w:p w14:paraId="4902F858">
            <w:pPr>
              <w:adjustRightInd w:val="0"/>
              <w:snapToGrid w:val="0"/>
              <w:rPr>
                <w:rFonts w:hint="eastAsia" w:ascii="宋体" w:hAnsi="宋体" w:eastAsia="宋体" w:cs="Times New Roman"/>
                <w:color w:val="auto"/>
                <w:szCs w:val="21"/>
                <w:lang w:eastAsia="zh-CN"/>
              </w:rPr>
            </w:pPr>
            <w:r>
              <w:rPr>
                <w:rFonts w:hint="eastAsia" w:ascii="宋体" w:hAnsi="宋体" w:eastAsia="宋体" w:cs="Times New Roman"/>
                <w:color w:val="auto"/>
                <w:szCs w:val="21"/>
              </w:rPr>
              <w:t>①监狱企业视同小型、微型企业</w:t>
            </w:r>
            <w:r>
              <w:rPr>
                <w:rFonts w:hint="eastAsia" w:ascii="宋体" w:hAnsi="宋体" w:cs="Times New Roman"/>
                <w:color w:val="auto"/>
                <w:szCs w:val="21"/>
                <w:lang w:eastAsia="zh-CN"/>
              </w:rPr>
              <w:t>。</w:t>
            </w:r>
          </w:p>
          <w:p w14:paraId="67EFB524">
            <w:pPr>
              <w:adjustRightInd w:val="0"/>
              <w:snapToGrid w:val="0"/>
              <w:rPr>
                <w:rFonts w:hint="eastAsia" w:ascii="宋体" w:hAnsi="宋体"/>
                <w:color w:val="auto"/>
                <w:szCs w:val="21"/>
              </w:rPr>
            </w:pPr>
            <w:r>
              <w:rPr>
                <w:rFonts w:hint="eastAsia" w:ascii="宋体" w:hAnsi="宋体"/>
                <w:color w:val="auto"/>
                <w:szCs w:val="21"/>
              </w:rPr>
              <w:t>②监狱企业参加政府采购活动时，应当提供由省级以上监狱管理局、戒毒管理局（含新疆生产建设兵团）出具的属于监狱企业的证明文件。</w:t>
            </w:r>
          </w:p>
        </w:tc>
      </w:tr>
      <w:tr w14:paraId="52700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51F6CD66">
            <w:pPr>
              <w:spacing w:line="320" w:lineRule="exact"/>
              <w:jc w:val="center"/>
              <w:rPr>
                <w:rFonts w:ascii="宋体" w:hAnsi="宋体"/>
                <w:color w:val="auto"/>
                <w:szCs w:val="21"/>
              </w:rPr>
            </w:pPr>
            <w:r>
              <w:rPr>
                <w:rFonts w:hint="eastAsia" w:ascii="宋体" w:hAnsi="宋体"/>
                <w:color w:val="auto"/>
                <w:szCs w:val="21"/>
              </w:rPr>
              <w:t>第二章</w:t>
            </w:r>
          </w:p>
          <w:p w14:paraId="6ECF5EE9">
            <w:pPr>
              <w:spacing w:line="320" w:lineRule="exact"/>
              <w:jc w:val="center"/>
              <w:rPr>
                <w:rFonts w:hint="eastAsia" w:ascii="宋体" w:hAnsi="宋体"/>
                <w:color w:val="auto"/>
                <w:szCs w:val="21"/>
              </w:rPr>
            </w:pPr>
            <w:r>
              <w:rPr>
                <w:rFonts w:hint="eastAsia" w:ascii="宋体" w:hAnsi="宋体"/>
                <w:color w:val="auto"/>
                <w:szCs w:val="21"/>
              </w:rPr>
              <w:t>第9.2、</w:t>
            </w:r>
            <w:r>
              <w:rPr>
                <w:rFonts w:ascii="宋体" w:hAnsi="宋体"/>
                <w:color w:val="auto"/>
                <w:szCs w:val="21"/>
              </w:rPr>
              <w:t>9.4</w:t>
            </w:r>
            <w:r>
              <w:rPr>
                <w:rFonts w:hint="eastAsia" w:ascii="宋体" w:hAnsi="宋体"/>
                <w:color w:val="auto"/>
                <w:szCs w:val="21"/>
              </w:rPr>
              <w:t>款</w:t>
            </w:r>
          </w:p>
        </w:tc>
        <w:tc>
          <w:tcPr>
            <w:tcW w:w="1549" w:type="dxa"/>
            <w:tcBorders>
              <w:top w:val="single" w:color="auto" w:sz="4" w:space="0"/>
            </w:tcBorders>
            <w:noWrap w:val="0"/>
            <w:vAlign w:val="center"/>
          </w:tcPr>
          <w:p w14:paraId="765CF401">
            <w:pPr>
              <w:adjustRightInd w:val="0"/>
              <w:snapToGrid w:val="0"/>
              <w:spacing w:line="320" w:lineRule="exact"/>
              <w:jc w:val="center"/>
              <w:rPr>
                <w:rFonts w:hint="eastAsia" w:ascii="宋体"/>
                <w:color w:val="auto"/>
                <w:szCs w:val="21"/>
              </w:rPr>
            </w:pPr>
            <w:r>
              <w:rPr>
                <w:rFonts w:hint="eastAsia" w:ascii="宋体"/>
                <w:color w:val="auto"/>
                <w:szCs w:val="21"/>
              </w:rPr>
              <w:t>多处获得政府采购政策优惠的计算方法</w:t>
            </w:r>
          </w:p>
        </w:tc>
        <w:tc>
          <w:tcPr>
            <w:tcW w:w="6771" w:type="dxa"/>
            <w:tcBorders>
              <w:top w:val="single" w:color="auto" w:sz="4" w:space="0"/>
            </w:tcBorders>
            <w:noWrap w:val="0"/>
            <w:vAlign w:val="center"/>
          </w:tcPr>
          <w:p w14:paraId="2E66AB72">
            <w:pPr>
              <w:adjustRightInd w:val="0"/>
              <w:snapToGrid w:val="0"/>
              <w:spacing w:line="320" w:lineRule="exact"/>
              <w:rPr>
                <w:rFonts w:hint="eastAsia" w:ascii="宋体" w:hAnsi="宋体"/>
                <w:color w:val="auto"/>
                <w:szCs w:val="21"/>
              </w:rPr>
            </w:pPr>
            <w:r>
              <w:rPr>
                <w:rFonts w:hint="eastAsia" w:ascii="宋体" w:hAnsi="宋体"/>
                <w:color w:val="auto"/>
                <w:szCs w:val="21"/>
              </w:rPr>
              <w:t>1、符合政府采购优先采购政策的，产品只能享受节能产品、环境标志产品优惠中的一项(由供应商在响应文件中选择并填报政策功能编码，评审时进行价格扣除) 。</w:t>
            </w:r>
          </w:p>
          <w:p w14:paraId="2C0BF8CE">
            <w:pPr>
              <w:adjustRightInd w:val="0"/>
              <w:snapToGrid w:val="0"/>
              <w:spacing w:line="320" w:lineRule="exact"/>
              <w:rPr>
                <w:rFonts w:hint="eastAsia" w:ascii="宋体" w:hAnsi="宋体"/>
                <w:color w:val="auto"/>
                <w:szCs w:val="21"/>
              </w:rPr>
            </w:pPr>
            <w:r>
              <w:rPr>
                <w:rFonts w:hint="eastAsia" w:ascii="宋体" w:hAnsi="宋体"/>
                <w:color w:val="auto"/>
                <w:szCs w:val="21"/>
              </w:rPr>
              <w:t>2、供应商享受支持中小企业发展政策优惠的，可以与同时享受节能产品、环境标志产品优惠中的一项累加。</w:t>
            </w:r>
          </w:p>
          <w:p w14:paraId="20E869FE">
            <w:pPr>
              <w:adjustRightInd w:val="0"/>
              <w:snapToGrid w:val="0"/>
              <w:spacing w:line="320" w:lineRule="exact"/>
              <w:rPr>
                <w:rFonts w:hint="eastAsia" w:ascii="宋体"/>
                <w:color w:val="auto"/>
                <w:szCs w:val="21"/>
              </w:rPr>
            </w:pPr>
            <w:r>
              <w:rPr>
                <w:rFonts w:hint="eastAsia" w:ascii="宋体" w:hAnsi="宋体"/>
                <w:color w:val="auto"/>
                <w:szCs w:val="21"/>
              </w:rPr>
              <w:t>3、同一项目中只有部分产品满足优先采购政策的，评审时只对该部分产品的报价实行价格扣除，或按该部分产品报价所占比重，对价格、技术分值按总得分值的优惠比例进行加分。</w:t>
            </w:r>
          </w:p>
        </w:tc>
      </w:tr>
      <w:tr w14:paraId="2217C7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484599DA">
            <w:pPr>
              <w:spacing w:line="320" w:lineRule="exact"/>
              <w:jc w:val="center"/>
              <w:rPr>
                <w:rFonts w:ascii="宋体" w:hAnsi="宋体"/>
                <w:color w:val="auto"/>
                <w:szCs w:val="21"/>
              </w:rPr>
            </w:pPr>
            <w:r>
              <w:rPr>
                <w:rFonts w:hint="eastAsia" w:ascii="宋体" w:hAnsi="宋体"/>
                <w:color w:val="auto"/>
                <w:szCs w:val="21"/>
              </w:rPr>
              <w:t>第二章</w:t>
            </w:r>
          </w:p>
          <w:p w14:paraId="378912B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第9.6款</w:t>
            </w:r>
          </w:p>
        </w:tc>
        <w:tc>
          <w:tcPr>
            <w:tcW w:w="1549" w:type="dxa"/>
            <w:tcBorders>
              <w:top w:val="single" w:color="auto" w:sz="4" w:space="0"/>
            </w:tcBorders>
            <w:noWrap w:val="0"/>
            <w:vAlign w:val="center"/>
          </w:tcPr>
          <w:p w14:paraId="70000D99">
            <w:pPr>
              <w:adjustRightInd w:val="0"/>
              <w:snapToGrid w:val="0"/>
              <w:spacing w:line="320" w:lineRule="exact"/>
              <w:jc w:val="center"/>
              <w:rPr>
                <w:rFonts w:hint="eastAsia" w:ascii="宋体" w:hAnsi="宋体"/>
                <w:color w:val="auto"/>
                <w:szCs w:val="21"/>
              </w:rPr>
            </w:pPr>
            <w:r>
              <w:rPr>
                <w:rFonts w:hint="eastAsia" w:ascii="宋体" w:hAnsi="宋体" w:cs="宋体"/>
                <w:bCs/>
                <w:color w:val="auto"/>
                <w:kern w:val="0"/>
                <w:szCs w:val="21"/>
              </w:rPr>
              <w:t>中小企业融资、信用担保</w:t>
            </w:r>
          </w:p>
        </w:tc>
        <w:tc>
          <w:tcPr>
            <w:tcW w:w="6771" w:type="dxa"/>
            <w:tcBorders>
              <w:top w:val="single" w:color="auto" w:sz="4" w:space="0"/>
            </w:tcBorders>
            <w:noWrap w:val="0"/>
            <w:vAlign w:val="center"/>
          </w:tcPr>
          <w:p w14:paraId="090B6AF4">
            <w:pPr>
              <w:adjustRightInd w:val="0"/>
              <w:snapToGrid w:val="0"/>
              <w:spacing w:line="320" w:lineRule="exact"/>
              <w:rPr>
                <w:rFonts w:hint="eastAsia" w:ascii="宋体" w:hAnsi="宋体"/>
                <w:color w:val="auto"/>
                <w:szCs w:val="21"/>
              </w:rPr>
            </w:pPr>
            <w:r>
              <w:rPr>
                <w:rFonts w:hint="eastAsia" w:ascii="宋体" w:hAnsi="宋体"/>
                <w:color w:val="auto"/>
                <w:szCs w:val="21"/>
              </w:rPr>
              <w:t>有融资、信用担保需求的，可</w:t>
            </w:r>
            <w:r>
              <w:rPr>
                <w:rFonts w:hint="eastAsia" w:ascii="宋体" w:hAnsi="宋体"/>
                <w:color w:val="auto"/>
                <w:szCs w:val="21"/>
                <w:lang w:eastAsia="zh-CN"/>
              </w:rPr>
              <w:t>登录</w:t>
            </w:r>
            <w:r>
              <w:rPr>
                <w:rFonts w:hint="eastAsia" w:ascii="宋体" w:hAnsi="宋体"/>
                <w:color w:val="auto"/>
                <w:szCs w:val="21"/>
              </w:rPr>
              <w:t>中国湖南政府采购网查询。</w:t>
            </w:r>
          </w:p>
        </w:tc>
      </w:tr>
      <w:tr w14:paraId="2AFCA4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5872AC87">
            <w:pPr>
              <w:adjustRightInd w:val="0"/>
              <w:snapToGrid w:val="0"/>
              <w:spacing w:line="320" w:lineRule="exact"/>
              <w:jc w:val="left"/>
              <w:rPr>
                <w:rFonts w:hint="eastAsia" w:ascii="宋体" w:hAnsi="宋体"/>
                <w:b/>
                <w:color w:val="auto"/>
                <w:szCs w:val="21"/>
              </w:rPr>
            </w:pPr>
            <w:r>
              <w:rPr>
                <w:rFonts w:hint="eastAsia" w:ascii="宋体" w:hAnsi="宋体"/>
                <w:b/>
                <w:color w:val="auto"/>
                <w:szCs w:val="21"/>
              </w:rPr>
              <w:t>二、磋商文件</w:t>
            </w:r>
          </w:p>
        </w:tc>
      </w:tr>
      <w:tr w14:paraId="12235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5" w:hRule="atLeast"/>
          <w:jc w:val="center"/>
        </w:trPr>
        <w:tc>
          <w:tcPr>
            <w:tcW w:w="1256" w:type="dxa"/>
            <w:noWrap w:val="0"/>
            <w:vAlign w:val="center"/>
          </w:tcPr>
          <w:p w14:paraId="554F3DF0">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AB7E54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第10.2款</w:t>
            </w:r>
          </w:p>
        </w:tc>
        <w:tc>
          <w:tcPr>
            <w:tcW w:w="1549" w:type="dxa"/>
            <w:noWrap w:val="0"/>
            <w:vAlign w:val="center"/>
          </w:tcPr>
          <w:p w14:paraId="2795F2F9">
            <w:pPr>
              <w:adjustRightInd w:val="0"/>
              <w:snapToGrid w:val="0"/>
              <w:spacing w:line="320" w:lineRule="exact"/>
              <w:jc w:val="center"/>
              <w:rPr>
                <w:rFonts w:hint="eastAsia" w:ascii="宋体" w:hAnsi="宋体"/>
                <w:color w:val="auto"/>
                <w:szCs w:val="21"/>
              </w:rPr>
            </w:pPr>
            <w:r>
              <w:rPr>
                <w:rFonts w:hint="eastAsia" w:ascii="宋体" w:hAnsi="宋体"/>
                <w:color w:val="auto"/>
                <w:szCs w:val="21"/>
              </w:rPr>
              <w:t>磋商文件的可能实质性变动内容</w:t>
            </w:r>
          </w:p>
        </w:tc>
        <w:tc>
          <w:tcPr>
            <w:tcW w:w="6771" w:type="dxa"/>
            <w:noWrap w:val="0"/>
            <w:vAlign w:val="center"/>
          </w:tcPr>
          <w:p w14:paraId="7863A62D">
            <w:pPr>
              <w:adjustRightInd w:val="0"/>
              <w:snapToGrid w:val="0"/>
              <w:spacing w:line="320" w:lineRule="exact"/>
              <w:jc w:val="left"/>
              <w:rPr>
                <w:rFonts w:hint="eastAsia" w:ascii="宋体" w:hAnsi="宋体"/>
                <w:color w:val="auto"/>
                <w:szCs w:val="21"/>
              </w:rPr>
            </w:pPr>
            <w:r>
              <w:rPr>
                <w:rFonts w:hint="eastAsia" w:ascii="宋体" w:hAnsi="宋体"/>
                <w:bCs/>
                <w:color w:val="auto"/>
                <w:szCs w:val="21"/>
              </w:rPr>
              <w:t>磋商文件的实质性变动内容为磋商</w:t>
            </w:r>
            <w:r>
              <w:rPr>
                <w:rFonts w:hint="eastAsia" w:ascii="宋体" w:hAnsi="宋体"/>
                <w:bCs/>
                <w:color w:val="auto"/>
                <w:szCs w:val="21"/>
                <w:lang w:eastAsia="zh-CN"/>
              </w:rPr>
              <w:t>文件</w:t>
            </w:r>
            <w:r>
              <w:rPr>
                <w:rFonts w:hint="eastAsia" w:ascii="宋体" w:hAnsi="宋体"/>
                <w:bCs/>
                <w:color w:val="auto"/>
                <w:szCs w:val="21"/>
              </w:rPr>
              <w:t>的组成部分，实质性变动内容</w:t>
            </w:r>
            <w:r>
              <w:rPr>
                <w:rFonts w:hint="eastAsia" w:ascii="宋体" w:hAnsi="宋体"/>
                <w:color w:val="auto"/>
                <w:szCs w:val="21"/>
                <w:lang w:val="zh-CN"/>
              </w:rPr>
              <w:t>与</w:t>
            </w:r>
            <w:r>
              <w:rPr>
                <w:rFonts w:hint="eastAsia" w:ascii="宋体" w:hAnsi="宋体"/>
                <w:bCs/>
                <w:color w:val="auto"/>
                <w:szCs w:val="21"/>
              </w:rPr>
              <w:t>磋商</w:t>
            </w:r>
            <w:r>
              <w:rPr>
                <w:rFonts w:hint="eastAsia" w:ascii="宋体" w:hAnsi="宋体"/>
                <w:bCs/>
                <w:color w:val="auto"/>
                <w:szCs w:val="21"/>
                <w:lang w:eastAsia="zh-CN"/>
              </w:rPr>
              <w:t>文件</w:t>
            </w:r>
            <w:r>
              <w:rPr>
                <w:rFonts w:hint="eastAsia" w:ascii="宋体" w:hAnsi="宋体"/>
                <w:color w:val="auto"/>
                <w:szCs w:val="21"/>
                <w:lang w:val="zh-CN"/>
              </w:rPr>
              <w:t>不一致时，以</w:t>
            </w:r>
            <w:r>
              <w:rPr>
                <w:rFonts w:hint="eastAsia" w:ascii="宋体" w:hAnsi="宋体"/>
                <w:bCs/>
                <w:color w:val="auto"/>
                <w:szCs w:val="21"/>
              </w:rPr>
              <w:t>实质性变动内容</w:t>
            </w:r>
            <w:r>
              <w:rPr>
                <w:rFonts w:hint="eastAsia" w:ascii="宋体" w:hAnsi="宋体"/>
                <w:color w:val="auto"/>
                <w:szCs w:val="21"/>
                <w:lang w:val="zh-CN"/>
              </w:rPr>
              <w:t>为准。</w:t>
            </w:r>
          </w:p>
        </w:tc>
      </w:tr>
      <w:tr w14:paraId="653521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1" w:hRule="atLeast"/>
          <w:jc w:val="center"/>
        </w:trPr>
        <w:tc>
          <w:tcPr>
            <w:tcW w:w="1256" w:type="dxa"/>
            <w:noWrap w:val="0"/>
            <w:vAlign w:val="center"/>
          </w:tcPr>
          <w:p w14:paraId="42BA280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9A0274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第12.1款</w:t>
            </w:r>
          </w:p>
        </w:tc>
        <w:tc>
          <w:tcPr>
            <w:tcW w:w="1549" w:type="dxa"/>
            <w:noWrap w:val="0"/>
            <w:vAlign w:val="center"/>
          </w:tcPr>
          <w:p w14:paraId="64F3BA0A">
            <w:pPr>
              <w:adjustRightInd w:val="0"/>
              <w:snapToGrid w:val="0"/>
              <w:spacing w:line="320" w:lineRule="exact"/>
              <w:jc w:val="center"/>
              <w:rPr>
                <w:rFonts w:hint="eastAsia" w:ascii="宋体" w:hAnsi="宋体"/>
                <w:color w:val="auto"/>
                <w:szCs w:val="21"/>
              </w:rPr>
            </w:pPr>
            <w:r>
              <w:rPr>
                <w:rFonts w:hint="eastAsia" w:ascii="宋体" w:hAnsi="宋体"/>
                <w:color w:val="auto"/>
                <w:szCs w:val="21"/>
              </w:rPr>
              <w:t>提交首次响应文件的截止时间</w:t>
            </w:r>
          </w:p>
        </w:tc>
        <w:tc>
          <w:tcPr>
            <w:tcW w:w="6771" w:type="dxa"/>
            <w:noWrap w:val="0"/>
            <w:vAlign w:val="center"/>
          </w:tcPr>
          <w:p w14:paraId="6E89EEAB">
            <w:pPr>
              <w:keepNext w:val="0"/>
              <w:keepLines w:val="0"/>
              <w:pageBreakBefore w:val="0"/>
              <w:widowControl w:val="0"/>
              <w:kinsoku/>
              <w:wordWrap/>
              <w:overflowPunct/>
              <w:topLinePunct w:val="0"/>
              <w:autoSpaceDE/>
              <w:autoSpaceDN/>
              <w:bidi w:val="0"/>
              <w:adjustRightInd w:val="0"/>
              <w:snapToGrid w:val="0"/>
              <w:spacing w:line="380" w:lineRule="exact"/>
              <w:textAlignment w:val="auto"/>
              <w:outlineLvl w:val="0"/>
              <w:rPr>
                <w:rFonts w:hint="eastAsia" w:ascii="宋体" w:hAnsi="宋体"/>
                <w:color w:val="auto"/>
                <w:szCs w:val="21"/>
              </w:rPr>
            </w:pPr>
            <w:r>
              <w:rPr>
                <w:rFonts w:hint="eastAsia" w:ascii="宋体" w:hAnsi="宋体" w:cs="宋体"/>
                <w:color w:val="auto"/>
                <w:kern w:val="0"/>
                <w:sz w:val="24"/>
                <w:szCs w:val="24"/>
                <w:lang w:val="en-US" w:eastAsia="zh-CN" w:bidi="ar"/>
              </w:rPr>
              <w:t xml:space="preserve">2026年9月21日 15:30 </w:t>
            </w:r>
          </w:p>
        </w:tc>
      </w:tr>
      <w:tr w14:paraId="01E5D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54A94D74">
            <w:pPr>
              <w:adjustRightInd w:val="0"/>
              <w:snapToGrid w:val="0"/>
              <w:spacing w:line="320" w:lineRule="exact"/>
              <w:rPr>
                <w:rFonts w:hint="eastAsia" w:ascii="宋体" w:hAnsi="宋体"/>
                <w:color w:val="auto"/>
                <w:szCs w:val="21"/>
              </w:rPr>
            </w:pPr>
            <w:r>
              <w:rPr>
                <w:rFonts w:hint="eastAsia" w:ascii="宋体" w:hAnsi="宋体"/>
                <w:b/>
                <w:color w:val="auto"/>
                <w:szCs w:val="21"/>
              </w:rPr>
              <w:t>三、响应文件的编写</w:t>
            </w:r>
          </w:p>
        </w:tc>
      </w:tr>
      <w:tr w14:paraId="1DB680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vMerge w:val="restart"/>
            <w:noWrap w:val="0"/>
            <w:vAlign w:val="center"/>
          </w:tcPr>
          <w:p w14:paraId="403A4649">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2F710F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第16.4款</w:t>
            </w:r>
          </w:p>
        </w:tc>
        <w:tc>
          <w:tcPr>
            <w:tcW w:w="1549" w:type="dxa"/>
            <w:noWrap w:val="0"/>
            <w:vAlign w:val="center"/>
          </w:tcPr>
          <w:p w14:paraId="3EC19536">
            <w:pPr>
              <w:adjustRightInd w:val="0"/>
              <w:snapToGrid w:val="0"/>
              <w:spacing w:line="320" w:lineRule="exact"/>
              <w:jc w:val="both"/>
              <w:rPr>
                <w:rFonts w:hint="eastAsia" w:ascii="宋体" w:hAnsi="宋体"/>
                <w:color w:val="auto"/>
                <w:szCs w:val="21"/>
              </w:rPr>
            </w:pPr>
            <w:r>
              <w:rPr>
                <w:rFonts w:hint="eastAsia" w:ascii="宋体" w:hAnsi="宋体"/>
                <w:color w:val="auto"/>
                <w:szCs w:val="21"/>
              </w:rPr>
              <w:t>采购项目预算</w:t>
            </w:r>
          </w:p>
        </w:tc>
        <w:tc>
          <w:tcPr>
            <w:tcW w:w="6771" w:type="dxa"/>
            <w:noWrap w:val="0"/>
            <w:vAlign w:val="center"/>
          </w:tcPr>
          <w:p w14:paraId="7B56D519">
            <w:pPr>
              <w:adjustRightInd w:val="0"/>
              <w:snapToGrid w:val="0"/>
              <w:spacing w:line="320" w:lineRule="exact"/>
              <w:jc w:val="left"/>
              <w:rPr>
                <w:rFonts w:hint="default" w:ascii="宋体" w:hAnsi="宋体" w:eastAsia="宋体"/>
                <w:color w:val="auto"/>
                <w:szCs w:val="21"/>
                <w:lang w:eastAsia="zh-CN"/>
              </w:rPr>
            </w:pPr>
            <w:r>
              <w:rPr>
                <w:rFonts w:hint="eastAsia" w:ascii="宋体" w:hAnsi="宋体" w:cs="宋体"/>
                <w:color w:val="auto"/>
                <w:sz w:val="24"/>
                <w:szCs w:val="24"/>
                <w:u w:val="none"/>
                <w:lang w:val="en-US" w:eastAsia="zh-CN"/>
              </w:rPr>
              <w:t>1720000.00</w:t>
            </w:r>
            <w:r>
              <w:rPr>
                <w:rFonts w:hint="default" w:ascii="宋体" w:hAnsi="宋体" w:cs="宋体"/>
                <w:color w:val="auto"/>
                <w:sz w:val="24"/>
                <w:szCs w:val="24"/>
                <w:u w:val="none"/>
                <w:lang w:eastAsia="zh-CN"/>
              </w:rPr>
              <w:t>元</w:t>
            </w:r>
          </w:p>
        </w:tc>
      </w:tr>
      <w:tr w14:paraId="21FF7B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vMerge w:val="continue"/>
            <w:noWrap w:val="0"/>
            <w:vAlign w:val="center"/>
          </w:tcPr>
          <w:p w14:paraId="5BEC38B5">
            <w:pPr>
              <w:adjustRightInd w:val="0"/>
              <w:snapToGrid w:val="0"/>
              <w:spacing w:line="320" w:lineRule="exact"/>
              <w:jc w:val="center"/>
              <w:rPr>
                <w:rFonts w:hint="eastAsia" w:ascii="宋体" w:hAnsi="宋体"/>
                <w:color w:val="auto"/>
                <w:szCs w:val="21"/>
              </w:rPr>
            </w:pPr>
          </w:p>
        </w:tc>
        <w:tc>
          <w:tcPr>
            <w:tcW w:w="1549" w:type="dxa"/>
            <w:noWrap w:val="0"/>
            <w:vAlign w:val="center"/>
          </w:tcPr>
          <w:p w14:paraId="69CE64B7">
            <w:pPr>
              <w:adjustRightInd w:val="0"/>
              <w:snapToGrid w:val="0"/>
              <w:spacing w:line="320" w:lineRule="exact"/>
              <w:jc w:val="center"/>
              <w:rPr>
                <w:rFonts w:hint="eastAsia" w:ascii="宋体" w:hAnsi="宋体" w:eastAsia="宋体"/>
                <w:color w:val="auto"/>
                <w:szCs w:val="21"/>
                <w:lang w:eastAsia="zh-CN"/>
              </w:rPr>
            </w:pPr>
            <w:r>
              <w:rPr>
                <w:rFonts w:hint="eastAsia" w:ascii="宋体" w:hAnsi="宋体"/>
                <w:color w:val="auto"/>
                <w:szCs w:val="21"/>
                <w:lang w:eastAsia="zh-CN"/>
              </w:rPr>
              <w:t>最高限价</w:t>
            </w:r>
          </w:p>
        </w:tc>
        <w:tc>
          <w:tcPr>
            <w:tcW w:w="6771" w:type="dxa"/>
            <w:noWrap w:val="0"/>
            <w:vAlign w:val="center"/>
          </w:tcPr>
          <w:p w14:paraId="189B3024">
            <w:pPr>
              <w:adjustRightInd w:val="0"/>
              <w:snapToGrid w:val="0"/>
              <w:spacing w:line="320" w:lineRule="exact"/>
              <w:jc w:val="left"/>
              <w:rPr>
                <w:rFonts w:hint="default" w:ascii="宋体" w:hAnsi="宋体" w:cs="宋体"/>
                <w:color w:val="auto"/>
                <w:sz w:val="24"/>
                <w:szCs w:val="24"/>
                <w:u w:val="none"/>
                <w:lang w:eastAsia="zh-CN"/>
              </w:rPr>
            </w:pPr>
            <w:r>
              <w:rPr>
                <w:rFonts w:hint="eastAsia" w:ascii="宋体" w:hAnsi="宋体" w:cs="宋体"/>
                <w:color w:val="auto"/>
                <w:sz w:val="24"/>
                <w:szCs w:val="24"/>
                <w:u w:val="none"/>
                <w:lang w:val="en-US" w:eastAsia="zh-CN"/>
              </w:rPr>
              <w:t>1720000.00</w:t>
            </w:r>
            <w:r>
              <w:rPr>
                <w:rFonts w:hint="default" w:ascii="宋体" w:hAnsi="宋体" w:cs="宋体"/>
                <w:color w:val="auto"/>
                <w:sz w:val="24"/>
                <w:szCs w:val="24"/>
                <w:u w:val="none"/>
                <w:lang w:eastAsia="zh-CN"/>
              </w:rPr>
              <w:t>元</w:t>
            </w:r>
          </w:p>
        </w:tc>
      </w:tr>
      <w:tr w14:paraId="2C1CDA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326F1CAF">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2FFB83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第19.1款</w:t>
            </w:r>
          </w:p>
        </w:tc>
        <w:tc>
          <w:tcPr>
            <w:tcW w:w="1549" w:type="dxa"/>
            <w:noWrap w:val="0"/>
            <w:vAlign w:val="center"/>
          </w:tcPr>
          <w:p w14:paraId="08F1683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磋商保证金</w:t>
            </w:r>
          </w:p>
        </w:tc>
        <w:tc>
          <w:tcPr>
            <w:tcW w:w="6771" w:type="dxa"/>
            <w:noWrap w:val="0"/>
            <w:vAlign w:val="center"/>
          </w:tcPr>
          <w:p w14:paraId="3DBB1B9F">
            <w:pPr>
              <w:spacing w:line="240" w:lineRule="auto"/>
              <w:rPr>
                <w:rFonts w:hint="eastAsia"/>
                <w:color w:val="auto"/>
              </w:rPr>
            </w:pPr>
            <w:r>
              <w:rPr>
                <w:rFonts w:hint="eastAsia" w:ascii="宋体" w:hAnsi="宋体" w:eastAsia="宋体" w:cs="Times New Roman"/>
                <w:color w:val="auto"/>
                <w:szCs w:val="21"/>
                <w:lang w:val="en-US" w:eastAsia="zh-CN"/>
              </w:rPr>
              <w:sym w:font="Wingdings" w:char="00FE"/>
            </w:r>
            <w:r>
              <w:rPr>
                <w:rFonts w:hint="eastAsia"/>
                <w:color w:val="auto"/>
              </w:rPr>
              <w:t xml:space="preserve"> 不要求提供</w:t>
            </w:r>
          </w:p>
          <w:p w14:paraId="4CB1EE19">
            <w:pPr>
              <w:spacing w:line="276" w:lineRule="auto"/>
              <w:rPr>
                <w:rFonts w:hint="eastAsia" w:ascii="宋体" w:hAnsi="宋体"/>
                <w:color w:val="auto"/>
                <w:szCs w:val="21"/>
              </w:rPr>
            </w:pPr>
            <w:r>
              <w:rPr>
                <w:rFonts w:hint="eastAsia" w:ascii="宋体" w:hAnsi="宋体" w:eastAsia="宋体" w:cs="Times New Roman"/>
                <w:color w:val="auto"/>
                <w:szCs w:val="21"/>
                <w:lang w:val="en-US" w:eastAsia="zh-CN"/>
              </w:rPr>
              <w:sym w:font="Wingdings" w:char="00A8"/>
            </w:r>
            <w:r>
              <w:rPr>
                <w:rFonts w:hint="eastAsia"/>
                <w:color w:val="auto"/>
              </w:rPr>
              <w:t xml:space="preserve"> 要求提供</w:t>
            </w:r>
          </w:p>
        </w:tc>
      </w:tr>
      <w:tr w14:paraId="1DA6D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56ABC21">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436EE8A">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第20.1款</w:t>
            </w:r>
          </w:p>
        </w:tc>
        <w:tc>
          <w:tcPr>
            <w:tcW w:w="1549" w:type="dxa"/>
            <w:noWrap w:val="0"/>
            <w:vAlign w:val="center"/>
          </w:tcPr>
          <w:p w14:paraId="256620E6">
            <w:pPr>
              <w:adjustRightInd w:val="0"/>
              <w:snapToGrid w:val="0"/>
              <w:spacing w:line="320" w:lineRule="exact"/>
              <w:jc w:val="center"/>
              <w:rPr>
                <w:rFonts w:hint="eastAsia" w:ascii="宋体" w:hAnsi="宋体"/>
                <w:bCs/>
                <w:color w:val="auto"/>
                <w:szCs w:val="21"/>
              </w:rPr>
            </w:pPr>
            <w:r>
              <w:rPr>
                <w:rFonts w:hint="eastAsia" w:ascii="宋体" w:hAnsi="宋体"/>
                <w:bCs/>
                <w:color w:val="auto"/>
                <w:szCs w:val="21"/>
              </w:rPr>
              <w:t>响应文件有效期</w:t>
            </w:r>
          </w:p>
        </w:tc>
        <w:tc>
          <w:tcPr>
            <w:tcW w:w="6771" w:type="dxa"/>
            <w:noWrap w:val="0"/>
            <w:vAlign w:val="center"/>
          </w:tcPr>
          <w:p w14:paraId="32C1A554">
            <w:pPr>
              <w:adjustRightInd w:val="0"/>
              <w:snapToGrid w:val="0"/>
              <w:spacing w:line="320" w:lineRule="exact"/>
              <w:rPr>
                <w:rFonts w:hint="eastAsia" w:ascii="宋体" w:hAnsi="宋体"/>
                <w:bCs/>
                <w:color w:val="auto"/>
                <w:szCs w:val="21"/>
              </w:rPr>
            </w:pPr>
            <w:r>
              <w:rPr>
                <w:rFonts w:ascii="宋体" w:hAnsi="宋体"/>
                <w:color w:val="auto"/>
                <w:szCs w:val="21"/>
                <w:highlight w:val="none"/>
                <w:u w:val="single"/>
              </w:rPr>
              <w:t>90</w:t>
            </w:r>
            <w:r>
              <w:rPr>
                <w:rFonts w:hint="eastAsia" w:ascii="宋体" w:hAnsi="宋体"/>
                <w:color w:val="auto"/>
                <w:szCs w:val="21"/>
                <w:highlight w:val="none"/>
              </w:rPr>
              <w:t>日（日历日）</w:t>
            </w:r>
          </w:p>
        </w:tc>
      </w:tr>
      <w:tr w14:paraId="4FF08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122ACA7">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E9546E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第21.1款</w:t>
            </w:r>
          </w:p>
        </w:tc>
        <w:tc>
          <w:tcPr>
            <w:tcW w:w="1549" w:type="dxa"/>
            <w:noWrap w:val="0"/>
            <w:vAlign w:val="center"/>
          </w:tcPr>
          <w:p w14:paraId="736AD7D8">
            <w:pPr>
              <w:adjustRightInd w:val="0"/>
              <w:snapToGrid w:val="0"/>
              <w:spacing w:line="320" w:lineRule="exact"/>
              <w:jc w:val="center"/>
              <w:rPr>
                <w:rFonts w:hint="eastAsia" w:ascii="宋体" w:hAnsi="宋体"/>
                <w:color w:val="auto"/>
                <w:szCs w:val="21"/>
              </w:rPr>
            </w:pPr>
            <w:r>
              <w:rPr>
                <w:rFonts w:hint="eastAsia" w:ascii="宋体" w:hAnsi="宋体"/>
                <w:bCs/>
                <w:color w:val="auto"/>
                <w:szCs w:val="21"/>
              </w:rPr>
              <w:t>响应</w:t>
            </w:r>
            <w:r>
              <w:rPr>
                <w:rFonts w:hint="eastAsia" w:ascii="宋体" w:hAnsi="宋体"/>
                <w:color w:val="auto"/>
                <w:szCs w:val="21"/>
              </w:rPr>
              <w:t>文件副本份数</w:t>
            </w:r>
          </w:p>
        </w:tc>
        <w:tc>
          <w:tcPr>
            <w:tcW w:w="6771" w:type="dxa"/>
            <w:noWrap w:val="0"/>
            <w:vAlign w:val="center"/>
          </w:tcPr>
          <w:p w14:paraId="29F3305E">
            <w:pPr>
              <w:adjustRightInd w:val="0"/>
              <w:snapToGrid w:val="0"/>
              <w:spacing w:line="240" w:lineRule="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纸质文件：</w:t>
            </w:r>
            <w:r>
              <w:rPr>
                <w:rFonts w:hint="eastAsia" w:cs="Times New Roman"/>
                <w:color w:val="auto"/>
                <w:sz w:val="21"/>
                <w:szCs w:val="21"/>
                <w:highlight w:val="none"/>
                <w:lang w:eastAsia="zh-CN"/>
              </w:rPr>
              <w:t>一正二副</w:t>
            </w:r>
            <w:r>
              <w:rPr>
                <w:rFonts w:hint="eastAsia" w:ascii="Times New Roman" w:hAnsi="Times New Roman" w:cs="Times New Roman"/>
                <w:color w:val="auto"/>
                <w:sz w:val="21"/>
                <w:szCs w:val="21"/>
                <w:highlight w:val="none"/>
              </w:rPr>
              <w:t>；响应文件封面上明确写明“正本”或“副本”，正本和副本内容如不一致，以正本为准。</w:t>
            </w:r>
          </w:p>
          <w:p w14:paraId="05CB7B11">
            <w:pPr>
              <w:adjustRightInd w:val="0"/>
              <w:snapToGrid w:val="0"/>
              <w:spacing w:line="240" w:lineRule="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纸质文件装订要求：采用胶装方式装订，装订应牢固、不易拆散和换页，不得采用活页装订。</w:t>
            </w:r>
          </w:p>
          <w:p w14:paraId="091338FD">
            <w:pPr>
              <w:adjustRightInd w:val="0"/>
              <w:snapToGrid w:val="0"/>
              <w:spacing w:line="240" w:lineRule="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电子文件：</w:t>
            </w:r>
            <w:r>
              <w:rPr>
                <w:rFonts w:hint="eastAsia" w:ascii="宋体" w:hAnsi="宋体" w:cs="宋体"/>
                <w:kern w:val="0"/>
                <w:sz w:val="21"/>
                <w:szCs w:val="21"/>
                <w:lang w:val="en-US" w:eastAsia="zh-CN" w:bidi="ar"/>
              </w:rPr>
              <w:t>供应商</w:t>
            </w:r>
            <w:r>
              <w:rPr>
                <w:rFonts w:hint="eastAsia" w:ascii="Times New Roman" w:hAnsi="Times New Roman" w:cs="Times New Roman"/>
                <w:color w:val="auto"/>
                <w:sz w:val="21"/>
                <w:szCs w:val="21"/>
                <w:highlight w:val="none"/>
              </w:rPr>
              <w:t>应准备所投项目的电子</w:t>
            </w:r>
            <w:r>
              <w:rPr>
                <w:rFonts w:hint="eastAsia" w:cs="Times New Roman"/>
                <w:color w:val="auto"/>
                <w:sz w:val="21"/>
                <w:szCs w:val="21"/>
                <w:highlight w:val="none"/>
                <w:lang w:eastAsia="zh-CN"/>
              </w:rPr>
              <w:t>响应文件</w:t>
            </w:r>
            <w:r>
              <w:rPr>
                <w:rFonts w:hint="eastAsia" w:ascii="Times New Roman" w:hAnsi="Times New Roman" w:cs="Times New Roman"/>
                <w:color w:val="auto"/>
                <w:sz w:val="21"/>
                <w:szCs w:val="21"/>
                <w:highlight w:val="none"/>
              </w:rPr>
              <w:t>（U盘）一份，内容与纸质版</w:t>
            </w:r>
            <w:r>
              <w:rPr>
                <w:rFonts w:hint="eastAsia" w:cs="Times New Roman"/>
                <w:color w:val="auto"/>
                <w:sz w:val="21"/>
                <w:szCs w:val="21"/>
                <w:highlight w:val="none"/>
                <w:lang w:eastAsia="zh-CN"/>
              </w:rPr>
              <w:t>响应文件</w:t>
            </w:r>
            <w:r>
              <w:rPr>
                <w:rFonts w:hint="eastAsia" w:ascii="Times New Roman" w:hAnsi="Times New Roman" w:cs="Times New Roman"/>
                <w:color w:val="auto"/>
                <w:sz w:val="21"/>
                <w:szCs w:val="21"/>
                <w:highlight w:val="none"/>
              </w:rPr>
              <w:t>正本完全一致，格式为已签字盖章的响应文件正本的扫描件(PDF格式)。</w:t>
            </w:r>
            <w:r>
              <w:rPr>
                <w:rFonts w:hint="eastAsia" w:ascii="Times New Roman" w:hAnsi="Times New Roman" w:cs="Times New Roman"/>
                <w:color w:val="auto"/>
                <w:sz w:val="21"/>
                <w:szCs w:val="21"/>
                <w:highlight w:val="none"/>
                <w:lang w:val="en-US" w:eastAsia="zh-CN"/>
              </w:rPr>
              <w:t>本</w:t>
            </w:r>
            <w:r>
              <w:rPr>
                <w:rFonts w:hint="eastAsia" w:ascii="Times New Roman" w:hAnsi="Times New Roman" w:cs="Times New Roman"/>
                <w:color w:val="auto"/>
                <w:sz w:val="21"/>
                <w:szCs w:val="21"/>
                <w:highlight w:val="none"/>
              </w:rPr>
              <w:t>文件要求加盖的公章仅指供应商在公安机关依法备案公章</w:t>
            </w:r>
            <w:r>
              <w:rPr>
                <w:rFonts w:hint="eastAsia" w:ascii="Times New Roman" w:hAnsi="Times New Roman" w:cs="Times New Roman"/>
                <w:color w:val="auto"/>
                <w:sz w:val="21"/>
                <w:szCs w:val="21"/>
                <w:highlight w:val="none"/>
                <w:lang w:eastAsia="zh-CN"/>
              </w:rPr>
              <w:t>，带防伪码。</w:t>
            </w:r>
          </w:p>
          <w:p w14:paraId="3BDBE54A">
            <w:pPr>
              <w:adjustRightInd w:val="0"/>
              <w:snapToGrid w:val="0"/>
              <w:spacing w:line="240" w:lineRule="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rPr>
              <w:t>电子文件密封要求：电子</w:t>
            </w:r>
            <w:r>
              <w:rPr>
                <w:rFonts w:hint="eastAsia" w:cs="Times New Roman"/>
                <w:color w:val="auto"/>
                <w:sz w:val="21"/>
                <w:szCs w:val="21"/>
                <w:highlight w:val="none"/>
                <w:lang w:eastAsia="zh-CN"/>
              </w:rPr>
              <w:t>响应文件</w:t>
            </w:r>
            <w:r>
              <w:rPr>
                <w:rFonts w:hint="eastAsia" w:ascii="Times New Roman" w:hAnsi="Times New Roman" w:cs="Times New Roman"/>
                <w:color w:val="auto"/>
                <w:sz w:val="21"/>
                <w:szCs w:val="21"/>
                <w:highlight w:val="none"/>
              </w:rPr>
              <w:t>（U盘）与纸质版响应文件一并装入响应文件袋中。</w:t>
            </w:r>
          </w:p>
        </w:tc>
      </w:tr>
      <w:tr w14:paraId="1C472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7EDEE669">
            <w:pPr>
              <w:adjustRightInd w:val="0"/>
              <w:snapToGrid w:val="0"/>
              <w:spacing w:line="320" w:lineRule="exact"/>
              <w:rPr>
                <w:rFonts w:hint="eastAsia" w:ascii="宋体" w:hAnsi="宋体"/>
                <w:b/>
                <w:bCs/>
                <w:color w:val="auto"/>
                <w:szCs w:val="21"/>
              </w:rPr>
            </w:pPr>
            <w:r>
              <w:rPr>
                <w:rFonts w:hint="eastAsia" w:ascii="宋体" w:hAnsi="宋体"/>
                <w:b/>
                <w:color w:val="auto"/>
                <w:szCs w:val="21"/>
              </w:rPr>
              <w:t>四、响应文件的递交</w:t>
            </w:r>
          </w:p>
        </w:tc>
      </w:tr>
      <w:tr w14:paraId="6BAC2B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565354C">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38D8B560">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第22.2款</w:t>
            </w:r>
          </w:p>
        </w:tc>
        <w:tc>
          <w:tcPr>
            <w:tcW w:w="1549" w:type="dxa"/>
            <w:noWrap w:val="0"/>
            <w:vAlign w:val="center"/>
          </w:tcPr>
          <w:p w14:paraId="5AFC3E8B">
            <w:pPr>
              <w:adjustRightInd w:val="0"/>
              <w:snapToGrid w:val="0"/>
              <w:spacing w:line="320" w:lineRule="exact"/>
              <w:jc w:val="center"/>
              <w:rPr>
                <w:rFonts w:hint="eastAsia" w:ascii="宋体" w:hAnsi="宋体"/>
                <w:color w:val="auto"/>
                <w:szCs w:val="21"/>
              </w:rPr>
            </w:pPr>
            <w:r>
              <w:rPr>
                <w:rFonts w:hint="eastAsia" w:ascii="宋体" w:hAnsi="宋体"/>
                <w:color w:val="auto"/>
                <w:szCs w:val="21"/>
              </w:rPr>
              <w:t>封套上应载明的信息</w:t>
            </w:r>
          </w:p>
        </w:tc>
        <w:tc>
          <w:tcPr>
            <w:tcW w:w="6771" w:type="dxa"/>
            <w:noWrap w:val="0"/>
            <w:vAlign w:val="center"/>
          </w:tcPr>
          <w:p w14:paraId="5149A1D6">
            <w:pPr>
              <w:spacing w:line="320" w:lineRule="exact"/>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 xml:space="preserve">（项目名称）响应文件  </w:t>
            </w:r>
          </w:p>
          <w:p w14:paraId="37A953B6">
            <w:pPr>
              <w:spacing w:line="320" w:lineRule="exact"/>
              <w:rPr>
                <w:rFonts w:hint="default" w:ascii="宋体" w:hAnsi="宋体" w:eastAsia="宋体" w:cs="宋体"/>
                <w:color w:val="auto"/>
                <w:szCs w:val="21"/>
                <w:lang w:val="en-US" w:eastAsia="zh-CN"/>
              </w:rPr>
            </w:pPr>
            <w:r>
              <w:rPr>
                <w:rFonts w:hint="eastAsia" w:ascii="宋体" w:hAnsi="宋体" w:cs="宋体"/>
                <w:color w:val="auto"/>
                <w:szCs w:val="21"/>
              </w:rPr>
              <w:t>采购项目编号：</w:t>
            </w:r>
            <w:r>
              <w:rPr>
                <w:rFonts w:hint="eastAsia" w:ascii="宋体" w:hAnsi="宋体" w:cs="宋体"/>
                <w:color w:val="auto"/>
                <w:szCs w:val="21"/>
                <w:u w:val="single"/>
                <w:lang w:val="en-US" w:eastAsia="zh-CN"/>
              </w:rPr>
              <w:t xml:space="preserve">              </w:t>
            </w:r>
            <w:r>
              <w:rPr>
                <w:rFonts w:hint="eastAsia" w:ascii="宋体" w:hAnsi="宋体" w:cs="宋体"/>
                <w:color w:val="auto"/>
                <w:szCs w:val="21"/>
              </w:rPr>
              <w:t>政府采购计划编号：</w:t>
            </w:r>
            <w:r>
              <w:rPr>
                <w:rFonts w:hint="eastAsia" w:ascii="宋体" w:hAnsi="宋体" w:cs="宋体"/>
                <w:color w:val="auto"/>
                <w:szCs w:val="21"/>
                <w:u w:val="single"/>
                <w:lang w:val="en-US" w:eastAsia="zh-CN"/>
              </w:rPr>
              <w:t xml:space="preserve">           </w:t>
            </w:r>
          </w:p>
          <w:p w14:paraId="267DF007">
            <w:pPr>
              <w:spacing w:line="320" w:lineRule="exact"/>
              <w:rPr>
                <w:rFonts w:hint="default" w:ascii="宋体" w:hAnsi="宋体" w:eastAsia="宋体" w:cs="宋体"/>
                <w:color w:val="auto"/>
                <w:szCs w:val="21"/>
                <w:lang w:val="en-US" w:eastAsia="zh-CN"/>
              </w:rPr>
            </w:pPr>
            <w:r>
              <w:rPr>
                <w:rFonts w:hint="eastAsia" w:ascii="宋体" w:hAnsi="宋体"/>
                <w:color w:val="auto"/>
                <w:szCs w:val="21"/>
              </w:rPr>
              <w:t>供应商名称：</w:t>
            </w:r>
            <w:r>
              <w:rPr>
                <w:rFonts w:hint="eastAsia" w:ascii="宋体" w:hAnsi="宋体" w:cs="宋体"/>
                <w:color w:val="auto"/>
                <w:szCs w:val="21"/>
                <w:u w:val="single"/>
                <w:lang w:val="en-US" w:eastAsia="zh-CN"/>
              </w:rPr>
              <w:t xml:space="preserve">             </w:t>
            </w:r>
          </w:p>
          <w:p w14:paraId="726F703E">
            <w:pPr>
              <w:spacing w:line="320" w:lineRule="exact"/>
              <w:rPr>
                <w:rFonts w:hint="eastAsia" w:ascii="宋体" w:hAnsi="宋体"/>
                <w:color w:val="auto"/>
                <w:szCs w:val="21"/>
              </w:rPr>
            </w:pPr>
            <w:r>
              <w:rPr>
                <w:rFonts w:hint="eastAsia" w:ascii="宋体" w:hAnsi="宋体" w:cs="宋体"/>
                <w:color w:val="auto"/>
                <w:szCs w:val="21"/>
              </w:rPr>
              <w:t>在</w:t>
            </w:r>
            <w:r>
              <w:rPr>
                <w:rFonts w:hint="eastAsia" w:ascii="宋体" w:hAnsi="宋体" w:cs="宋体"/>
                <w:color w:val="auto"/>
                <w:szCs w:val="21"/>
                <w:u w:val="single"/>
                <w:lang w:val="en-US" w:eastAsia="zh-CN"/>
              </w:rPr>
              <w:t xml:space="preserve">      </w:t>
            </w:r>
            <w:r>
              <w:rPr>
                <w:rFonts w:hint="eastAsia" w:ascii="宋体" w:hAnsi="宋体" w:cs="宋体"/>
                <w:color w:val="auto"/>
                <w:szCs w:val="21"/>
              </w:rPr>
              <w:t>年</w:t>
            </w:r>
            <w:r>
              <w:rPr>
                <w:rFonts w:hint="eastAsia" w:ascii="宋体" w:hAnsi="宋体" w:cs="宋体"/>
                <w:color w:val="auto"/>
                <w:szCs w:val="21"/>
                <w:u w:val="single"/>
                <w:lang w:val="en-US" w:eastAsia="zh-CN"/>
              </w:rPr>
              <w:t xml:space="preserve">   </w:t>
            </w:r>
            <w:r>
              <w:rPr>
                <w:rFonts w:hint="eastAsia" w:ascii="宋体" w:hAnsi="宋体" w:cs="宋体"/>
                <w:color w:val="auto"/>
                <w:szCs w:val="21"/>
              </w:rPr>
              <w:t>月</w:t>
            </w:r>
            <w:r>
              <w:rPr>
                <w:rFonts w:hint="eastAsia" w:ascii="宋体" w:hAnsi="宋体" w:cs="宋体"/>
                <w:color w:val="auto"/>
                <w:szCs w:val="21"/>
                <w:u w:val="single"/>
                <w:lang w:val="en-US" w:eastAsia="zh-CN"/>
              </w:rPr>
              <w:t xml:space="preserve">    </w:t>
            </w:r>
            <w:r>
              <w:rPr>
                <w:rFonts w:hint="eastAsia" w:ascii="宋体" w:hAnsi="宋体" w:cs="宋体"/>
                <w:color w:val="auto"/>
                <w:szCs w:val="21"/>
              </w:rPr>
              <w:t>日</w:t>
            </w:r>
            <w:r>
              <w:rPr>
                <w:rFonts w:hint="eastAsia" w:ascii="宋体" w:hAnsi="宋体" w:cs="宋体"/>
                <w:color w:val="auto"/>
                <w:szCs w:val="21"/>
                <w:u w:val="single"/>
                <w:lang w:val="en-US" w:eastAsia="zh-CN"/>
              </w:rPr>
              <w:t xml:space="preserve">   </w:t>
            </w:r>
            <w:r>
              <w:rPr>
                <w:rFonts w:hint="eastAsia" w:ascii="宋体" w:hAnsi="宋体" w:cs="宋体"/>
                <w:color w:val="auto"/>
                <w:szCs w:val="21"/>
              </w:rPr>
              <w:t>时</w:t>
            </w:r>
            <w:r>
              <w:rPr>
                <w:rFonts w:hint="eastAsia" w:ascii="宋体" w:hAnsi="宋体" w:cs="宋体"/>
                <w:color w:val="auto"/>
                <w:szCs w:val="21"/>
                <w:u w:val="single"/>
                <w:lang w:val="en-US" w:eastAsia="zh-CN"/>
              </w:rPr>
              <w:t xml:space="preserve">   </w:t>
            </w:r>
            <w:r>
              <w:rPr>
                <w:rFonts w:hint="eastAsia" w:ascii="宋体" w:hAnsi="宋体" w:cs="宋体"/>
                <w:color w:val="auto"/>
                <w:szCs w:val="21"/>
              </w:rPr>
              <w:t>分（磋商响应文件递交截止时间）之前不得启封</w:t>
            </w:r>
          </w:p>
        </w:tc>
      </w:tr>
      <w:tr w14:paraId="318BC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F6700BA">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5F0A0B5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第24.1款</w:t>
            </w:r>
          </w:p>
        </w:tc>
        <w:tc>
          <w:tcPr>
            <w:tcW w:w="1549" w:type="dxa"/>
            <w:noWrap w:val="0"/>
            <w:vAlign w:val="center"/>
          </w:tcPr>
          <w:p w14:paraId="1B41E88F">
            <w:pPr>
              <w:adjustRightInd w:val="0"/>
              <w:snapToGrid w:val="0"/>
              <w:spacing w:line="320" w:lineRule="exact"/>
              <w:jc w:val="center"/>
              <w:rPr>
                <w:rFonts w:hint="eastAsia" w:ascii="宋体" w:hAnsi="宋体"/>
                <w:color w:val="auto"/>
                <w:szCs w:val="21"/>
              </w:rPr>
            </w:pPr>
            <w:r>
              <w:rPr>
                <w:rFonts w:hint="eastAsia" w:ascii="宋体" w:hAnsi="宋体"/>
                <w:color w:val="auto"/>
                <w:szCs w:val="21"/>
              </w:rPr>
              <w:t>响应文件的递交地点</w:t>
            </w:r>
          </w:p>
        </w:tc>
        <w:tc>
          <w:tcPr>
            <w:tcW w:w="6771" w:type="dxa"/>
            <w:noWrap w:val="0"/>
            <w:vAlign w:val="center"/>
          </w:tcPr>
          <w:p w14:paraId="70A73531">
            <w:pPr>
              <w:spacing w:line="320" w:lineRule="exact"/>
              <w:rPr>
                <w:rFonts w:hint="default" w:ascii="宋体" w:hAnsi="宋体" w:eastAsia="宋体"/>
                <w:bCs/>
                <w:color w:val="auto"/>
                <w:szCs w:val="21"/>
                <w:lang w:val="en-US" w:eastAsia="zh-CN"/>
              </w:rPr>
            </w:pPr>
            <w:r>
              <w:rPr>
                <w:rFonts w:hint="eastAsia" w:ascii="宋体" w:hAnsi="宋体"/>
                <w:bCs/>
                <w:color w:val="auto"/>
                <w:szCs w:val="21"/>
                <w:lang w:val="en-US" w:eastAsia="zh-CN"/>
              </w:rPr>
              <w:t>岳阳建宇工程建设咨询有限公司（岳阳县荣家湾镇兴荣路69号）</w:t>
            </w:r>
          </w:p>
        </w:tc>
      </w:tr>
      <w:tr w14:paraId="04D6A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576" w:type="dxa"/>
            <w:gridSpan w:val="3"/>
            <w:noWrap w:val="0"/>
            <w:vAlign w:val="center"/>
          </w:tcPr>
          <w:p w14:paraId="75843562">
            <w:pPr>
              <w:adjustRightInd w:val="0"/>
              <w:snapToGrid w:val="0"/>
              <w:spacing w:line="320" w:lineRule="exact"/>
              <w:rPr>
                <w:rFonts w:hint="eastAsia" w:ascii="宋体" w:hAnsi="宋体"/>
                <w:b/>
                <w:bCs/>
                <w:color w:val="auto"/>
                <w:szCs w:val="21"/>
              </w:rPr>
            </w:pPr>
            <w:r>
              <w:rPr>
                <w:rFonts w:hint="eastAsia" w:ascii="宋体" w:hAnsi="宋体"/>
                <w:b/>
                <w:bCs/>
                <w:color w:val="auto"/>
                <w:szCs w:val="21"/>
              </w:rPr>
              <w:t>五、响应文件的磋商与评审</w:t>
            </w:r>
          </w:p>
        </w:tc>
      </w:tr>
      <w:tr w14:paraId="68F3F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2977DB7">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D99715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第31.2款</w:t>
            </w:r>
          </w:p>
        </w:tc>
        <w:tc>
          <w:tcPr>
            <w:tcW w:w="1549" w:type="dxa"/>
            <w:noWrap w:val="0"/>
            <w:vAlign w:val="center"/>
          </w:tcPr>
          <w:p w14:paraId="3EA0BDED">
            <w:pPr>
              <w:adjustRightInd w:val="0"/>
              <w:snapToGrid w:val="0"/>
              <w:spacing w:line="320" w:lineRule="exact"/>
              <w:jc w:val="center"/>
              <w:rPr>
                <w:rFonts w:hint="eastAsia" w:ascii="宋体" w:hAnsi="宋体"/>
                <w:color w:val="auto"/>
                <w:szCs w:val="21"/>
              </w:rPr>
            </w:pPr>
            <w:r>
              <w:rPr>
                <w:rFonts w:hint="eastAsia" w:ascii="宋体" w:hAnsi="宋体"/>
                <w:color w:val="auto"/>
                <w:szCs w:val="21"/>
              </w:rPr>
              <w:t>评审因素和标准</w:t>
            </w:r>
          </w:p>
        </w:tc>
        <w:tc>
          <w:tcPr>
            <w:tcW w:w="6771" w:type="dxa"/>
            <w:noWrap w:val="0"/>
            <w:vAlign w:val="center"/>
          </w:tcPr>
          <w:p w14:paraId="42BCC375">
            <w:pPr>
              <w:adjustRightInd w:val="0"/>
              <w:snapToGrid w:val="0"/>
              <w:spacing w:line="320" w:lineRule="exact"/>
              <w:rPr>
                <w:rFonts w:hint="eastAsia" w:ascii="宋体" w:hAnsi="宋体" w:eastAsia="宋体"/>
                <w:bCs/>
                <w:color w:val="auto"/>
                <w:szCs w:val="21"/>
                <w:lang w:eastAsia="zh-CN"/>
              </w:rPr>
            </w:pPr>
            <w:r>
              <w:rPr>
                <w:rFonts w:hint="eastAsia" w:ascii="宋体" w:hAnsi="宋体"/>
                <w:bCs/>
                <w:color w:val="auto"/>
                <w:szCs w:val="21"/>
              </w:rPr>
              <w:t>见附页</w:t>
            </w:r>
            <w:r>
              <w:rPr>
                <w:rFonts w:hint="eastAsia" w:ascii="宋体" w:hAnsi="宋体"/>
                <w:bCs/>
                <w:color w:val="auto"/>
                <w:szCs w:val="21"/>
                <w:lang w:val="en-US" w:eastAsia="zh-CN"/>
              </w:rPr>
              <w:t>2</w:t>
            </w:r>
          </w:p>
        </w:tc>
      </w:tr>
      <w:tr w14:paraId="19500E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A4F5D52">
            <w:pPr>
              <w:adjustRightInd w:val="0"/>
              <w:snapToGrid w:val="0"/>
              <w:jc w:val="center"/>
              <w:rPr>
                <w:rFonts w:hint="eastAsia" w:ascii="宋体" w:hAnsi="宋体"/>
                <w:color w:val="auto"/>
                <w:szCs w:val="21"/>
              </w:rPr>
            </w:pPr>
            <w:r>
              <w:rPr>
                <w:rFonts w:hint="eastAsia" w:ascii="宋体" w:hAnsi="宋体"/>
                <w:color w:val="auto"/>
                <w:szCs w:val="21"/>
              </w:rPr>
              <w:t>第二章第31.3款</w:t>
            </w:r>
          </w:p>
        </w:tc>
        <w:tc>
          <w:tcPr>
            <w:tcW w:w="1549" w:type="dxa"/>
            <w:noWrap w:val="0"/>
            <w:vAlign w:val="center"/>
          </w:tcPr>
          <w:p w14:paraId="68CFF508">
            <w:pPr>
              <w:adjustRightInd w:val="0"/>
              <w:snapToGrid w:val="0"/>
              <w:jc w:val="center"/>
              <w:rPr>
                <w:rFonts w:hint="eastAsia" w:ascii="宋体" w:hAnsi="宋体"/>
                <w:color w:val="auto"/>
                <w:szCs w:val="21"/>
              </w:rPr>
            </w:pPr>
            <w:r>
              <w:rPr>
                <w:rFonts w:hint="eastAsia" w:ascii="宋体" w:hAnsi="宋体" w:cs="宋体"/>
                <w:color w:val="auto"/>
                <w:kern w:val="0"/>
                <w:szCs w:val="21"/>
              </w:rPr>
              <w:t>最后报价</w:t>
            </w:r>
            <w:r>
              <w:rPr>
                <w:rFonts w:hint="eastAsia" w:ascii="宋体" w:hAnsi="宋体"/>
                <w:color w:val="auto"/>
                <w:szCs w:val="21"/>
              </w:rPr>
              <w:t>调整</w:t>
            </w:r>
          </w:p>
        </w:tc>
        <w:tc>
          <w:tcPr>
            <w:tcW w:w="6771" w:type="dxa"/>
            <w:noWrap w:val="0"/>
            <w:vAlign w:val="center"/>
          </w:tcPr>
          <w:p w14:paraId="50CE956B">
            <w:pPr>
              <w:adjustRightInd w:val="0"/>
              <w:snapToGrid w:val="0"/>
              <w:rPr>
                <w:rFonts w:hint="eastAsia" w:ascii="宋体" w:hAnsi="宋体"/>
                <w:color w:val="auto"/>
                <w:szCs w:val="21"/>
              </w:rPr>
            </w:pPr>
            <w:r>
              <w:rPr>
                <w:rFonts w:hint="eastAsia" w:ascii="宋体" w:hAnsi="宋体" w:cs="宋体"/>
                <w:bCs/>
                <w:color w:val="auto"/>
                <w:kern w:val="0"/>
                <w:szCs w:val="21"/>
              </w:rPr>
              <w:t>政府采购支持中小企业发展</w:t>
            </w:r>
            <w:r>
              <w:rPr>
                <w:rFonts w:hint="eastAsia" w:ascii="宋体" w:hAnsi="宋体"/>
                <w:color w:val="auto"/>
                <w:szCs w:val="21"/>
              </w:rPr>
              <w:t>（货物类供应商和产品制造商应同时满足中小微企业的条件）</w:t>
            </w:r>
            <w:r>
              <w:rPr>
                <w:rFonts w:hint="eastAsia" w:ascii="宋体" w:hAnsi="宋体" w:cs="宋体"/>
                <w:bCs/>
                <w:color w:val="auto"/>
                <w:kern w:val="0"/>
                <w:szCs w:val="21"/>
              </w:rPr>
              <w:t>：</w:t>
            </w:r>
            <w:r>
              <w:rPr>
                <w:rFonts w:hint="eastAsia" w:ascii="宋体" w:hAnsi="宋体"/>
                <w:color w:val="auto"/>
                <w:szCs w:val="21"/>
              </w:rPr>
              <w:t>小型或微型企业，</w:t>
            </w:r>
            <w:r>
              <w:rPr>
                <w:rFonts w:hint="eastAsia" w:ascii="宋体" w:hAnsi="宋体" w:cs="宋体"/>
                <w:color w:val="auto"/>
                <w:kern w:val="0"/>
                <w:szCs w:val="21"/>
              </w:rPr>
              <w:t>最后报价</w:t>
            </w:r>
            <w:r>
              <w:rPr>
                <w:rFonts w:hint="eastAsia" w:ascii="宋体" w:hAnsi="宋体"/>
                <w:color w:val="auto"/>
                <w:szCs w:val="21"/>
              </w:rPr>
              <w:t>扣除比例为</w:t>
            </w:r>
            <w:r>
              <w:rPr>
                <w:rFonts w:ascii="宋体" w:hAnsi="宋体"/>
                <w:color w:val="auto"/>
                <w:szCs w:val="21"/>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％；中型企业，</w:t>
            </w:r>
            <w:r>
              <w:rPr>
                <w:rFonts w:hint="eastAsia" w:ascii="宋体" w:hAnsi="宋体" w:cs="宋体"/>
                <w:color w:val="auto"/>
                <w:kern w:val="0"/>
                <w:szCs w:val="21"/>
              </w:rPr>
              <w:t>最后报价</w:t>
            </w:r>
            <w:r>
              <w:rPr>
                <w:rFonts w:hint="eastAsia" w:ascii="宋体" w:hAnsi="宋体"/>
                <w:color w:val="auto"/>
                <w:szCs w:val="21"/>
              </w:rPr>
              <w:t>扣除比例为</w:t>
            </w:r>
            <w:r>
              <w:rPr>
                <w:rFonts w:ascii="宋体" w:hAnsi="宋体"/>
                <w:color w:val="auto"/>
                <w:szCs w:val="21"/>
              </w:rPr>
              <w:t xml:space="preserve"> </w:t>
            </w:r>
            <w:r>
              <w:rPr>
                <w:rFonts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％；联合体参与磋商的，最后报价扣除比例为</w:t>
            </w:r>
            <w:r>
              <w:rPr>
                <w:rFonts w:hint="eastAsia" w:ascii="宋体" w:hAnsi="宋体"/>
                <w:color w:val="auto"/>
                <w:szCs w:val="21"/>
                <w:u w:val="single"/>
              </w:rPr>
              <w:t xml:space="preserve"> /</w:t>
            </w:r>
            <w:r>
              <w:rPr>
                <w:rFonts w:hint="eastAsia" w:ascii="宋体" w:hAnsi="宋体"/>
                <w:color w:val="auto"/>
                <w:szCs w:val="21"/>
              </w:rPr>
              <w:t xml:space="preserve"> %。评审时，用扣除后的最后报价计算价格分。</w:t>
            </w:r>
          </w:p>
        </w:tc>
      </w:tr>
      <w:tr w14:paraId="73101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9EC766B">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DDAC26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第29.</w:t>
            </w:r>
            <w:r>
              <w:rPr>
                <w:rFonts w:ascii="宋体" w:hAnsi="宋体"/>
                <w:color w:val="auto"/>
                <w:szCs w:val="21"/>
              </w:rPr>
              <w:t>5</w:t>
            </w:r>
            <w:r>
              <w:rPr>
                <w:rFonts w:hint="eastAsia" w:ascii="宋体" w:hAnsi="宋体"/>
                <w:color w:val="auto"/>
                <w:szCs w:val="21"/>
              </w:rPr>
              <w:t>款</w:t>
            </w:r>
          </w:p>
        </w:tc>
        <w:tc>
          <w:tcPr>
            <w:tcW w:w="1549" w:type="dxa"/>
            <w:noWrap w:val="0"/>
            <w:vAlign w:val="center"/>
          </w:tcPr>
          <w:p w14:paraId="416B3ACA">
            <w:pPr>
              <w:adjustRightInd w:val="0"/>
              <w:snapToGrid w:val="0"/>
              <w:spacing w:line="320" w:lineRule="exact"/>
              <w:jc w:val="center"/>
              <w:rPr>
                <w:rFonts w:hint="eastAsia" w:ascii="宋体"/>
                <w:color w:val="auto"/>
                <w:szCs w:val="21"/>
              </w:rPr>
            </w:pPr>
            <w:r>
              <w:rPr>
                <w:rFonts w:hint="eastAsia" w:ascii="宋体"/>
                <w:color w:val="auto"/>
                <w:szCs w:val="21"/>
              </w:rPr>
              <w:t>技术、价格</w:t>
            </w:r>
            <w:r>
              <w:rPr>
                <w:rFonts w:hint="eastAsia" w:ascii="宋体" w:cs="宋体"/>
                <w:color w:val="auto"/>
                <w:kern w:val="0"/>
                <w:szCs w:val="21"/>
              </w:rPr>
              <w:t>得分或总得分</w:t>
            </w:r>
            <w:r>
              <w:rPr>
                <w:rFonts w:hint="eastAsia" w:ascii="宋体"/>
                <w:color w:val="auto"/>
                <w:szCs w:val="21"/>
              </w:rPr>
              <w:t>调整</w:t>
            </w:r>
          </w:p>
        </w:tc>
        <w:tc>
          <w:tcPr>
            <w:tcW w:w="6771" w:type="dxa"/>
            <w:noWrap w:val="0"/>
            <w:vAlign w:val="center"/>
          </w:tcPr>
          <w:p w14:paraId="2118B18C">
            <w:pPr>
              <w:spacing w:line="240" w:lineRule="auto"/>
              <w:rPr>
                <w:rFonts w:hint="eastAsia"/>
              </w:rPr>
            </w:pPr>
            <w:r>
              <w:rPr>
                <w:rFonts w:hint="eastAsia"/>
              </w:rPr>
              <w:t>符合第二章第9.2款规定的，按以下进行分值调整：</w:t>
            </w:r>
          </w:p>
          <w:p w14:paraId="0EE86675">
            <w:pPr>
              <w:numPr>
                <w:ilvl w:val="0"/>
                <w:numId w:val="2"/>
              </w:numPr>
              <w:adjustRightInd w:val="0"/>
              <w:snapToGrid w:val="0"/>
              <w:spacing w:line="240" w:lineRule="auto"/>
              <w:ind w:left="0" w:firstLine="0"/>
              <w:rPr>
                <w:rFonts w:hint="eastAsia"/>
              </w:rPr>
            </w:pPr>
            <w:r>
              <w:rPr>
                <w:rFonts w:hint="eastAsia"/>
              </w:rPr>
              <w:t>节能产品：</w:t>
            </w:r>
          </w:p>
          <w:p w14:paraId="244B259D">
            <w:pPr>
              <w:spacing w:line="240" w:lineRule="auto"/>
              <w:rPr>
                <w:rFonts w:hint="eastAsia"/>
              </w:rPr>
            </w:pPr>
            <w:r>
              <w:rPr>
                <w:rFonts w:hint="eastAsia"/>
              </w:rPr>
              <w:t>技术加分＝技术分值×加分比例（比例见本表“第二章第9.2款”，下同）×（节能产品报价÷总报价）；</w:t>
            </w:r>
          </w:p>
          <w:p w14:paraId="2462F5AB">
            <w:pPr>
              <w:adjustRightInd w:val="0"/>
              <w:snapToGrid w:val="0"/>
              <w:spacing w:line="240" w:lineRule="auto"/>
              <w:rPr>
                <w:rFonts w:hint="eastAsia"/>
              </w:rPr>
            </w:pPr>
            <w:r>
              <w:rPr>
                <w:rFonts w:hint="eastAsia"/>
              </w:rPr>
              <w:t>价格加分＝价格分值×加分比例×（节能产品报价÷总报价）。</w:t>
            </w:r>
          </w:p>
          <w:p w14:paraId="33EE396A">
            <w:pPr>
              <w:adjustRightInd w:val="0"/>
              <w:snapToGrid w:val="0"/>
              <w:spacing w:line="240" w:lineRule="auto"/>
              <w:rPr>
                <w:rFonts w:hint="eastAsia" w:ascii="Times New Roman" w:hAnsi="Times New Roman" w:eastAsia="宋体" w:cs="Times New Roman"/>
              </w:rPr>
            </w:pPr>
            <w:r>
              <w:rPr>
                <w:rFonts w:hint="eastAsia"/>
              </w:rPr>
              <w:t>2、</w:t>
            </w:r>
            <w:r>
              <w:rPr>
                <w:rFonts w:hint="eastAsia" w:ascii="Times New Roman" w:hAnsi="Times New Roman" w:eastAsia="宋体" w:cs="Times New Roman"/>
              </w:rPr>
              <w:t>环境标志产品：</w:t>
            </w:r>
          </w:p>
          <w:p w14:paraId="03B962CA">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技术加分＝技术分值×加分比例×（环境标志产品报价÷总报价）；</w:t>
            </w:r>
          </w:p>
          <w:p w14:paraId="1C8DA497">
            <w:pPr>
              <w:adjustRightInd w:val="0"/>
              <w:snapToGrid w:val="0"/>
              <w:spacing w:line="240" w:lineRule="auto"/>
              <w:rPr>
                <w:rFonts w:hint="eastAsia"/>
              </w:rPr>
            </w:pPr>
            <w:r>
              <w:rPr>
                <w:rFonts w:hint="eastAsia" w:ascii="Times New Roman" w:hAnsi="Times New Roman" w:eastAsia="宋体" w:cs="Times New Roman"/>
              </w:rPr>
              <w:t>价格加分＝价格分值×加分比例×（环境标志产品报价÷总报价）。</w:t>
            </w:r>
          </w:p>
        </w:tc>
      </w:tr>
      <w:tr w14:paraId="1D9996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08AD244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第二章第</w:t>
            </w:r>
            <w:r>
              <w:rPr>
                <w:rFonts w:hint="eastAsia" w:ascii="宋体" w:hAnsi="宋体"/>
                <w:color w:val="auto"/>
                <w:szCs w:val="21"/>
                <w:lang w:val="en-US" w:eastAsia="zh-CN"/>
              </w:rPr>
              <w:t>28</w:t>
            </w:r>
            <w:r>
              <w:rPr>
                <w:rFonts w:hint="eastAsia" w:ascii="宋体" w:hAnsi="宋体"/>
                <w:color w:val="auto"/>
                <w:szCs w:val="21"/>
              </w:rPr>
              <w:t>.</w:t>
            </w:r>
            <w:r>
              <w:rPr>
                <w:rFonts w:hint="eastAsia" w:ascii="宋体" w:hAnsi="宋体"/>
                <w:color w:val="auto"/>
                <w:szCs w:val="21"/>
                <w:lang w:val="en-US" w:eastAsia="zh-CN"/>
              </w:rPr>
              <w:t>2</w:t>
            </w:r>
            <w:r>
              <w:rPr>
                <w:rFonts w:hint="eastAsia" w:ascii="宋体" w:hAnsi="宋体"/>
                <w:color w:val="auto"/>
                <w:szCs w:val="21"/>
              </w:rPr>
              <w:t>款</w:t>
            </w:r>
          </w:p>
        </w:tc>
        <w:tc>
          <w:tcPr>
            <w:tcW w:w="1549" w:type="dxa"/>
            <w:noWrap w:val="0"/>
            <w:vAlign w:val="center"/>
          </w:tcPr>
          <w:p w14:paraId="33A192CA">
            <w:pPr>
              <w:adjustRightInd w:val="0"/>
              <w:snapToGrid w:val="0"/>
              <w:spacing w:line="320" w:lineRule="exact"/>
              <w:jc w:val="center"/>
              <w:rPr>
                <w:rFonts w:hint="eastAsia" w:ascii="宋体"/>
                <w:color w:val="auto"/>
                <w:szCs w:val="21"/>
              </w:rPr>
            </w:pPr>
            <w:r>
              <w:rPr>
                <w:rFonts w:hint="eastAsia" w:ascii="宋体"/>
                <w:color w:val="auto"/>
                <w:szCs w:val="21"/>
              </w:rPr>
              <w:t>审查条件</w:t>
            </w:r>
          </w:p>
        </w:tc>
        <w:tc>
          <w:tcPr>
            <w:tcW w:w="6771" w:type="dxa"/>
            <w:noWrap w:val="0"/>
            <w:vAlign w:val="center"/>
          </w:tcPr>
          <w:p w14:paraId="75F80F92">
            <w:pPr>
              <w:adjustRightInd w:val="0"/>
              <w:snapToGrid w:val="0"/>
              <w:spacing w:line="240" w:lineRule="auto"/>
              <w:rPr>
                <w:rFonts w:hint="eastAsia" w:ascii="Times New Roman" w:hAnsi="Times New Roman" w:eastAsia="宋体" w:cs="Times New Roman"/>
                <w:lang w:eastAsia="zh-CN"/>
              </w:rPr>
            </w:pPr>
            <w:r>
              <w:rPr>
                <w:rFonts w:hint="eastAsia" w:ascii="Times New Roman" w:hAnsi="Times New Roman" w:eastAsia="宋体" w:cs="Times New Roman"/>
              </w:rPr>
              <w:t>政府采购评审中出现下列情形之一的，评审委员会应当启动异常低价投标(响应)审查程序</w:t>
            </w:r>
            <w:r>
              <w:rPr>
                <w:rFonts w:hint="eastAsia" w:cs="Times New Roman"/>
                <w:lang w:eastAsia="zh-CN"/>
              </w:rPr>
              <w:t>：</w:t>
            </w:r>
          </w:p>
          <w:p w14:paraId="4B4B090A">
            <w:pPr>
              <w:numPr>
                <w:ilvl w:val="0"/>
                <w:numId w:val="0"/>
              </w:numPr>
              <w:adjustRightInd w:val="0"/>
              <w:snapToGrid w:val="0"/>
              <w:spacing w:line="240" w:lineRule="auto"/>
              <w:rPr>
                <w:rFonts w:hint="eastAsia" w:ascii="Times New Roman" w:hAnsi="Times New Roman" w:eastAsia="宋体" w:cs="Times New Roman"/>
                <w:color w:val="0000FF"/>
              </w:rPr>
            </w:pPr>
            <w:r>
              <w:rPr>
                <w:rFonts w:hint="eastAsia" w:cs="Times New Roman"/>
                <w:color w:val="0000FF"/>
                <w:lang w:val="en-US" w:eastAsia="zh-CN"/>
              </w:rPr>
              <w:t>1..</w:t>
            </w:r>
            <w:r>
              <w:rPr>
                <w:rFonts w:hint="eastAsia" w:ascii="Times New Roman" w:hAnsi="Times New Roman" w:eastAsia="宋体" w:cs="Times New Roman"/>
                <w:color w:val="0000FF"/>
              </w:rPr>
              <w:t>投标(响应)报价低于全部通过符合性审查供应商</w:t>
            </w:r>
            <w:r>
              <w:rPr>
                <w:rFonts w:hint="eastAsia" w:cs="Times New Roman"/>
                <w:color w:val="0000FF"/>
                <w:lang w:eastAsia="zh-CN"/>
              </w:rPr>
              <w:t>投标</w:t>
            </w:r>
            <w:r>
              <w:rPr>
                <w:rFonts w:hint="eastAsia" w:ascii="Times New Roman" w:hAnsi="Times New Roman" w:eastAsia="宋体" w:cs="Times New Roman"/>
                <w:color w:val="0000FF"/>
              </w:rPr>
              <w:t>(响应)报价平均值65%的，即投标(响应)报价&lt;全部通过符合性审查供应商投标(响应)报价平均值</w:t>
            </w:r>
            <w:r>
              <w:rPr>
                <w:rFonts w:hint="eastAsia" w:cs="Times New Roman"/>
                <w:color w:val="0000FF"/>
                <w:lang w:val="en-US" w:eastAsia="zh-CN"/>
              </w:rPr>
              <w:t>*6</w:t>
            </w:r>
            <w:r>
              <w:rPr>
                <w:rFonts w:hint="eastAsia" w:ascii="Times New Roman" w:hAnsi="Times New Roman" w:eastAsia="宋体" w:cs="Times New Roman"/>
                <w:color w:val="0000FF"/>
              </w:rPr>
              <w:t>5%</w:t>
            </w:r>
            <w:r>
              <w:rPr>
                <w:rFonts w:hint="eastAsia" w:cs="Times New Roman"/>
                <w:color w:val="0000FF"/>
                <w:lang w:eastAsia="zh-CN"/>
              </w:rPr>
              <w:t>；</w:t>
            </w:r>
          </w:p>
          <w:p w14:paraId="3699211F">
            <w:pPr>
              <w:numPr>
                <w:ilvl w:val="0"/>
                <w:numId w:val="0"/>
              </w:numPr>
              <w:adjustRightInd w:val="0"/>
              <w:snapToGrid w:val="0"/>
              <w:spacing w:line="240" w:lineRule="auto"/>
              <w:rPr>
                <w:rFonts w:hint="eastAsia" w:ascii="Times New Roman" w:hAnsi="Times New Roman" w:eastAsia="宋体" w:cs="Times New Roman"/>
                <w:color w:val="0000FF"/>
              </w:rPr>
            </w:pPr>
            <w:r>
              <w:rPr>
                <w:rFonts w:hint="eastAsia" w:ascii="Times New Roman" w:hAnsi="Times New Roman" w:eastAsia="宋体" w:cs="Times New Roman"/>
                <w:color w:val="0000FF"/>
              </w:rPr>
              <w:t>2.投标(响应)报价低于通过符合性审查的次低报价供应商投标(响应)报价65%的，即投标(响应)报价&lt;通过符合性审查的次低报价供应商投标(响应)报价</w:t>
            </w:r>
            <w:r>
              <w:rPr>
                <w:rFonts w:hint="eastAsia" w:cs="Times New Roman"/>
                <w:color w:val="0000FF"/>
                <w:lang w:val="en-US" w:eastAsia="zh-CN"/>
              </w:rPr>
              <w:t>*6</w:t>
            </w:r>
            <w:r>
              <w:rPr>
                <w:rFonts w:hint="eastAsia" w:ascii="Times New Roman" w:hAnsi="Times New Roman" w:eastAsia="宋体" w:cs="Times New Roman"/>
                <w:color w:val="0000FF"/>
              </w:rPr>
              <w:t>5%</w:t>
            </w:r>
            <w:r>
              <w:rPr>
                <w:rFonts w:hint="eastAsia" w:cs="Times New Roman"/>
                <w:color w:val="0000FF"/>
                <w:lang w:eastAsia="zh-CN"/>
              </w:rPr>
              <w:t>；</w:t>
            </w:r>
          </w:p>
          <w:p w14:paraId="0ADC37C5">
            <w:pPr>
              <w:numPr>
                <w:ilvl w:val="0"/>
                <w:numId w:val="0"/>
              </w:numPr>
              <w:adjustRightInd w:val="0"/>
              <w:snapToGrid w:val="0"/>
              <w:spacing w:line="240" w:lineRule="auto"/>
              <w:rPr>
                <w:rFonts w:hint="eastAsia" w:ascii="Times New Roman" w:hAnsi="Times New Roman" w:eastAsia="宋体" w:cs="Times New Roman"/>
                <w:color w:val="0000FF"/>
              </w:rPr>
            </w:pPr>
            <w:r>
              <w:rPr>
                <w:rFonts w:hint="eastAsia" w:ascii="Times New Roman" w:hAnsi="Times New Roman" w:eastAsia="宋体" w:cs="Times New Roman"/>
                <w:color w:val="0000FF"/>
              </w:rPr>
              <w:t>3.投标(响应)报价低于采购项目最高限价65%的即投标(响应)报价&lt;采购项目最高限价</w:t>
            </w:r>
            <w:r>
              <w:rPr>
                <w:rFonts w:hint="eastAsia" w:cs="Times New Roman"/>
                <w:color w:val="0000FF"/>
                <w:lang w:val="en-US" w:eastAsia="zh-CN"/>
              </w:rPr>
              <w:t>*</w:t>
            </w:r>
            <w:r>
              <w:rPr>
                <w:rFonts w:hint="eastAsia" w:ascii="Times New Roman" w:hAnsi="Times New Roman" w:eastAsia="宋体" w:cs="Times New Roman"/>
                <w:color w:val="0000FF"/>
              </w:rPr>
              <w:t>65%</w:t>
            </w:r>
            <w:r>
              <w:rPr>
                <w:rFonts w:hint="eastAsia" w:cs="Times New Roman"/>
                <w:color w:val="0000FF"/>
                <w:lang w:eastAsia="zh-CN"/>
              </w:rPr>
              <w:t>；</w:t>
            </w:r>
          </w:p>
          <w:p w14:paraId="7414EDC1">
            <w:pPr>
              <w:numPr>
                <w:ilvl w:val="0"/>
                <w:numId w:val="0"/>
              </w:numPr>
              <w:adjustRightInd w:val="0"/>
              <w:snapToGrid w:val="0"/>
              <w:spacing w:line="240" w:lineRule="auto"/>
              <w:rPr>
                <w:rFonts w:hint="eastAsia" w:ascii="Times New Roman" w:hAnsi="Times New Roman" w:eastAsia="宋体" w:cs="Times New Roman"/>
              </w:rPr>
            </w:pPr>
            <w:r>
              <w:rPr>
                <w:rFonts w:hint="eastAsia" w:cs="Times New Roman"/>
                <w:lang w:val="en-US" w:eastAsia="zh-CN"/>
              </w:rPr>
              <w:t>4.</w:t>
            </w:r>
            <w:r>
              <w:rPr>
                <w:rFonts w:hint="eastAsia" w:cs="Times New Roman"/>
                <w:lang w:eastAsia="zh-CN"/>
              </w:rPr>
              <w:t>评审</w:t>
            </w:r>
            <w:r>
              <w:rPr>
                <w:rFonts w:hint="eastAsia" w:ascii="Times New Roman" w:hAnsi="Times New Roman" w:eastAsia="宋体" w:cs="Times New Roman"/>
              </w:rPr>
              <w:t>委员会基于专业判断，认为供应商报价过低，有可能影响产品质量或者不能诚信履约的其他情形</w:t>
            </w:r>
          </w:p>
        </w:tc>
      </w:tr>
      <w:tr w14:paraId="765748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0FBB30B7">
            <w:pPr>
              <w:adjustRightInd w:val="0"/>
              <w:snapToGrid w:val="0"/>
              <w:spacing w:line="320" w:lineRule="exact"/>
              <w:rPr>
                <w:rFonts w:hint="eastAsia" w:ascii="宋体" w:hAnsi="宋体"/>
                <w:color w:val="auto"/>
                <w:szCs w:val="21"/>
              </w:rPr>
            </w:pPr>
            <w:r>
              <w:rPr>
                <w:rFonts w:hint="eastAsia" w:ascii="宋体" w:hAnsi="宋体"/>
                <w:b/>
                <w:color w:val="auto"/>
                <w:szCs w:val="21"/>
              </w:rPr>
              <w:t>六、成交结果信息公布与授予合同</w:t>
            </w:r>
          </w:p>
        </w:tc>
      </w:tr>
      <w:tr w14:paraId="6A3A16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0957CA2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7E881B51">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第37.1款</w:t>
            </w:r>
          </w:p>
        </w:tc>
        <w:tc>
          <w:tcPr>
            <w:tcW w:w="1549" w:type="dxa"/>
            <w:noWrap w:val="0"/>
            <w:vAlign w:val="center"/>
          </w:tcPr>
          <w:p w14:paraId="50BDEF34">
            <w:pPr>
              <w:adjustRightInd w:val="0"/>
              <w:snapToGrid w:val="0"/>
              <w:spacing w:line="320" w:lineRule="exact"/>
              <w:jc w:val="center"/>
              <w:rPr>
                <w:rFonts w:hint="eastAsia" w:ascii="宋体" w:hAnsi="宋体"/>
                <w:color w:val="auto"/>
                <w:szCs w:val="21"/>
              </w:rPr>
            </w:pPr>
            <w:r>
              <w:rPr>
                <w:rFonts w:hint="eastAsia" w:ascii="宋体" w:hAnsi="宋体"/>
                <w:color w:val="auto"/>
                <w:szCs w:val="21"/>
              </w:rPr>
              <w:t>财政部门</w:t>
            </w:r>
          </w:p>
          <w:p w14:paraId="2E0B9E85">
            <w:pPr>
              <w:adjustRightInd w:val="0"/>
              <w:snapToGrid w:val="0"/>
              <w:spacing w:line="320" w:lineRule="exact"/>
              <w:jc w:val="center"/>
              <w:rPr>
                <w:rFonts w:hint="eastAsia" w:ascii="宋体" w:hAnsi="宋体"/>
                <w:color w:val="auto"/>
                <w:szCs w:val="21"/>
              </w:rPr>
            </w:pPr>
            <w:r>
              <w:rPr>
                <w:rFonts w:hint="eastAsia" w:ascii="宋体" w:hAnsi="宋体"/>
                <w:color w:val="auto"/>
                <w:szCs w:val="21"/>
              </w:rPr>
              <w:t>指定的媒体</w:t>
            </w:r>
          </w:p>
        </w:tc>
        <w:tc>
          <w:tcPr>
            <w:tcW w:w="6771" w:type="dxa"/>
            <w:noWrap w:val="0"/>
            <w:vAlign w:val="center"/>
          </w:tcPr>
          <w:p w14:paraId="0B7FEAF6">
            <w:pPr>
              <w:adjustRightInd w:val="0"/>
              <w:snapToGrid w:val="0"/>
              <w:spacing w:line="276" w:lineRule="auto"/>
              <w:jc w:val="left"/>
              <w:rPr>
                <w:rFonts w:hint="default" w:ascii="宋体" w:hAnsi="宋体" w:eastAsia="宋体"/>
                <w:color w:val="auto"/>
                <w:szCs w:val="21"/>
                <w:lang w:val="en-US" w:eastAsia="zh-CN"/>
              </w:rPr>
            </w:pPr>
            <w:r>
              <w:rPr>
                <w:rFonts w:hint="eastAsia" w:ascii="宋体" w:hAnsi="宋体"/>
                <w:color w:val="auto"/>
                <w:szCs w:val="21"/>
              </w:rPr>
              <w:t>湖南省政府采购网</w:t>
            </w:r>
            <w:r>
              <w:rPr>
                <w:rFonts w:ascii="宋体" w:hAnsi="宋体"/>
                <w:color w:val="auto"/>
                <w:szCs w:val="21"/>
              </w:rPr>
              <w:t>http://www.ccgp-hunan.gov.cn/</w:t>
            </w:r>
            <w:r>
              <w:rPr>
                <w:rFonts w:hint="eastAsia" w:ascii="宋体" w:hAnsi="宋体"/>
                <w:color w:val="auto"/>
                <w:szCs w:val="21"/>
                <w:lang w:val="en-US" w:eastAsia="zh-CN"/>
              </w:rPr>
              <w:t xml:space="preserve">    </w:t>
            </w:r>
          </w:p>
        </w:tc>
      </w:tr>
      <w:tr w14:paraId="7F26D7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54" w:hRule="atLeast"/>
          <w:jc w:val="center"/>
        </w:trPr>
        <w:tc>
          <w:tcPr>
            <w:tcW w:w="1256" w:type="dxa"/>
            <w:noWrap w:val="0"/>
            <w:vAlign w:val="center"/>
          </w:tcPr>
          <w:p w14:paraId="1DA83973">
            <w:pPr>
              <w:adjustRightInd w:val="0"/>
              <w:snapToGrid w:val="0"/>
              <w:spacing w:line="320" w:lineRule="exact"/>
              <w:jc w:val="center"/>
              <w:rPr>
                <w:rFonts w:ascii="宋体" w:hAnsi="宋体" w:cs="宋体"/>
                <w:bCs/>
                <w:color w:val="auto"/>
                <w:kern w:val="0"/>
                <w:szCs w:val="21"/>
              </w:rPr>
            </w:pPr>
            <w:r>
              <w:rPr>
                <w:rFonts w:hint="eastAsia" w:ascii="宋体" w:hAnsi="宋体" w:cs="宋体"/>
                <w:bCs/>
                <w:color w:val="auto"/>
                <w:kern w:val="0"/>
                <w:szCs w:val="21"/>
              </w:rPr>
              <w:t>第二章</w:t>
            </w:r>
          </w:p>
          <w:p w14:paraId="458CF76B">
            <w:pPr>
              <w:adjustRightInd w:val="0"/>
              <w:snapToGrid w:val="0"/>
              <w:spacing w:line="320" w:lineRule="exact"/>
              <w:jc w:val="center"/>
              <w:rPr>
                <w:rFonts w:hint="eastAsia" w:ascii="宋体" w:hAnsi="宋体" w:cs="宋体"/>
                <w:bCs/>
                <w:color w:val="auto"/>
                <w:kern w:val="0"/>
                <w:szCs w:val="21"/>
              </w:rPr>
            </w:pPr>
            <w:r>
              <w:rPr>
                <w:rFonts w:hint="eastAsia" w:ascii="宋体" w:hAnsi="宋体" w:cs="宋体"/>
                <w:bCs/>
                <w:color w:val="auto"/>
                <w:kern w:val="0"/>
                <w:szCs w:val="21"/>
              </w:rPr>
              <w:t>第39.3款</w:t>
            </w:r>
          </w:p>
        </w:tc>
        <w:tc>
          <w:tcPr>
            <w:tcW w:w="1549" w:type="dxa"/>
            <w:noWrap w:val="0"/>
            <w:vAlign w:val="center"/>
          </w:tcPr>
          <w:p w14:paraId="70880996">
            <w:pPr>
              <w:adjustRightInd w:val="0"/>
              <w:snapToGrid w:val="0"/>
              <w:spacing w:line="320" w:lineRule="exact"/>
              <w:jc w:val="center"/>
              <w:rPr>
                <w:rFonts w:hint="eastAsia" w:ascii="宋体" w:hAnsi="宋体" w:cs="宋体"/>
                <w:bCs/>
                <w:color w:val="auto"/>
                <w:kern w:val="0"/>
                <w:szCs w:val="21"/>
              </w:rPr>
            </w:pPr>
            <w:r>
              <w:rPr>
                <w:rFonts w:hint="eastAsia" w:ascii="宋体" w:hAnsi="宋体" w:cs="宋体"/>
                <w:bCs/>
                <w:color w:val="auto"/>
                <w:kern w:val="0"/>
                <w:szCs w:val="21"/>
              </w:rPr>
              <w:t>履约担保</w:t>
            </w:r>
          </w:p>
        </w:tc>
        <w:tc>
          <w:tcPr>
            <w:tcW w:w="6771" w:type="dxa"/>
            <w:noWrap w:val="0"/>
            <w:vAlign w:val="center"/>
          </w:tcPr>
          <w:p w14:paraId="575DC83C">
            <w:pPr>
              <w:adjustRightInd w:val="0"/>
              <w:snapToGrid w:val="0"/>
              <w:spacing w:line="320" w:lineRule="exact"/>
              <w:rPr>
                <w:rFonts w:hint="eastAsia"/>
              </w:rPr>
            </w:pPr>
            <w:r>
              <w:rPr>
                <w:rFonts w:hint="eastAsia" w:ascii="宋体" w:hAnsi="宋体" w:eastAsia="宋体" w:cs="Times New Roman"/>
                <w:color w:val="auto"/>
                <w:szCs w:val="21"/>
                <w:lang w:val="en-US" w:eastAsia="zh-CN"/>
              </w:rPr>
              <w:sym w:font="Wingdings" w:char="00FE"/>
            </w:r>
            <w:r>
              <w:rPr>
                <w:rFonts w:hint="eastAsia"/>
              </w:rPr>
              <w:t>不要求提供</w:t>
            </w:r>
          </w:p>
          <w:p w14:paraId="34C58582">
            <w:pPr>
              <w:adjustRightInd w:val="0"/>
              <w:snapToGrid w:val="0"/>
              <w:spacing w:line="400" w:lineRule="exact"/>
              <w:rPr>
                <w:rFonts w:hint="eastAsia"/>
              </w:rPr>
            </w:pPr>
            <w:r>
              <w:rPr>
                <w:rFonts w:hint="eastAsia" w:ascii="宋体" w:hAnsi="宋体" w:eastAsia="宋体" w:cs="Times New Roman"/>
                <w:color w:val="auto"/>
                <w:szCs w:val="21"/>
                <w:lang w:val="en-US" w:eastAsia="zh-CN"/>
              </w:rPr>
              <w:sym w:font="Wingdings" w:char="00A8"/>
            </w:r>
            <w:r>
              <w:rPr>
                <w:rFonts w:hint="eastAsia"/>
              </w:rPr>
              <w:t>要求提供，履约担保的金额为：1、履约担保的金额为中标价的</w:t>
            </w:r>
            <w:r>
              <w:rPr>
                <w:rFonts w:hint="eastAsia"/>
                <w:lang w:val="en-US" w:eastAsia="zh-CN"/>
              </w:rPr>
              <w:t>10</w:t>
            </w:r>
            <w:r>
              <w:rPr>
                <w:rFonts w:hint="eastAsia"/>
              </w:rPr>
              <w:t>%。</w:t>
            </w:r>
          </w:p>
          <w:p w14:paraId="14DD3EDE">
            <w:pPr>
              <w:pStyle w:val="43"/>
              <w:rPr>
                <w:rFonts w:hint="default" w:eastAsia="宋体"/>
                <w:lang w:val="en-US" w:eastAsia="zh-CN"/>
              </w:rPr>
            </w:pPr>
            <w:r>
              <w:rPr>
                <w:rFonts w:hint="eastAsia" w:ascii="宋体" w:hAnsi="宋体"/>
                <w:color w:val="auto"/>
                <w:szCs w:val="21"/>
                <w:lang w:val="en-US" w:eastAsia="zh-CN"/>
              </w:rPr>
              <w:t xml:space="preserve">     履约担保金额缴纳形式；银行转账</w:t>
            </w:r>
          </w:p>
        </w:tc>
      </w:tr>
      <w:tr w14:paraId="7FBEC0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657FD34C">
            <w:pPr>
              <w:adjustRightInd w:val="0"/>
              <w:snapToGrid w:val="0"/>
              <w:spacing w:line="320" w:lineRule="exact"/>
              <w:rPr>
                <w:rFonts w:hint="eastAsia" w:ascii="宋体" w:hAnsi="宋体"/>
                <w:b/>
                <w:color w:val="auto"/>
                <w:szCs w:val="21"/>
              </w:rPr>
            </w:pPr>
            <w:r>
              <w:rPr>
                <w:rFonts w:hint="eastAsia" w:ascii="宋体" w:hAnsi="宋体"/>
                <w:b/>
                <w:color w:val="auto"/>
                <w:szCs w:val="21"/>
              </w:rPr>
              <w:t>七、其他规定</w:t>
            </w:r>
          </w:p>
        </w:tc>
      </w:tr>
      <w:tr w14:paraId="525915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0EB80CA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37DEB5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w:t>
            </w:r>
            <w:r>
              <w:rPr>
                <w:rFonts w:hint="eastAsia" w:ascii="宋体"/>
                <w:color w:val="auto"/>
                <w:szCs w:val="21"/>
              </w:rPr>
              <w:t>41.1</w:t>
            </w:r>
            <w:r>
              <w:rPr>
                <w:rFonts w:hint="eastAsia" w:ascii="宋体" w:hAnsi="宋体"/>
                <w:color w:val="auto"/>
                <w:szCs w:val="21"/>
              </w:rPr>
              <w:t>款</w:t>
            </w:r>
          </w:p>
        </w:tc>
        <w:tc>
          <w:tcPr>
            <w:tcW w:w="1549" w:type="dxa"/>
            <w:noWrap w:val="0"/>
            <w:vAlign w:val="center"/>
          </w:tcPr>
          <w:p w14:paraId="0866D65C">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采购代理</w:t>
            </w:r>
          </w:p>
          <w:p w14:paraId="04E6D6EB">
            <w:pPr>
              <w:adjustRightInd w:val="0"/>
              <w:snapToGrid w:val="0"/>
              <w:spacing w:line="320" w:lineRule="exact"/>
              <w:jc w:val="center"/>
              <w:rPr>
                <w:rFonts w:hint="eastAsia" w:ascii="宋体" w:hAnsi="宋体"/>
                <w:color w:val="auto"/>
                <w:szCs w:val="21"/>
              </w:rPr>
            </w:pPr>
            <w:r>
              <w:rPr>
                <w:rFonts w:hint="eastAsia" w:ascii="宋体" w:hAnsi="宋体"/>
                <w:color w:val="auto"/>
                <w:szCs w:val="21"/>
              </w:rPr>
              <w:t>服务费</w:t>
            </w:r>
          </w:p>
        </w:tc>
        <w:tc>
          <w:tcPr>
            <w:tcW w:w="6771" w:type="dxa"/>
            <w:noWrap w:val="0"/>
            <w:vAlign w:val="center"/>
          </w:tcPr>
          <w:p w14:paraId="6183A9CF">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1、本项目招标代理服务费：按《湖南省招标采购行业规范收取代理服务费倡议书》收费标准文件收取。</w:t>
            </w:r>
          </w:p>
          <w:p w14:paraId="2D379626">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2、招标代理服务费的支付方式及支付时间</w:t>
            </w:r>
            <w:r>
              <w:rPr>
                <w:rFonts w:hint="eastAsia" w:ascii="宋体" w:hAnsi="宋体"/>
                <w:color w:val="auto"/>
                <w:szCs w:val="21"/>
                <w:lang w:val="en-US" w:eastAsia="zh-CN"/>
              </w:rPr>
              <w:t>：在</w:t>
            </w:r>
            <w:r>
              <w:rPr>
                <w:rFonts w:hint="default" w:ascii="宋体" w:hAnsi="宋体" w:eastAsia="宋体"/>
                <w:color w:val="auto"/>
                <w:szCs w:val="21"/>
                <w:lang w:val="en-US" w:eastAsia="zh-CN"/>
              </w:rPr>
              <w:t>发出中标（成交）通知书前以转账方式支付。</w:t>
            </w:r>
          </w:p>
          <w:p w14:paraId="288BD173">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3、代理服务费收费方式：采购人支付代理服务费。</w:t>
            </w:r>
          </w:p>
          <w:p w14:paraId="6D6BF1D6">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4、本项目代理服务费总额的最高限价：</w:t>
            </w:r>
            <w:r>
              <w:rPr>
                <w:rFonts w:hint="eastAsia" w:ascii="宋体" w:hAnsi="宋体"/>
                <w:color w:val="auto"/>
                <w:szCs w:val="21"/>
                <w:lang w:val="en-US" w:eastAsia="zh-CN"/>
              </w:rPr>
              <w:t>15390</w:t>
            </w:r>
            <w:r>
              <w:rPr>
                <w:rFonts w:hint="default" w:ascii="宋体" w:hAnsi="宋体" w:eastAsia="宋体"/>
                <w:color w:val="auto"/>
                <w:szCs w:val="21"/>
                <w:lang w:val="en-US" w:eastAsia="zh-CN"/>
              </w:rPr>
              <w:t>元</w:t>
            </w:r>
          </w:p>
        </w:tc>
      </w:tr>
      <w:tr w14:paraId="2BDFB2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35" w:hRule="atLeast"/>
          <w:jc w:val="center"/>
        </w:trPr>
        <w:tc>
          <w:tcPr>
            <w:tcW w:w="1256" w:type="dxa"/>
            <w:noWrap w:val="0"/>
            <w:vAlign w:val="center"/>
          </w:tcPr>
          <w:p w14:paraId="3D714C2F">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71E2BBC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第42.1款</w:t>
            </w:r>
          </w:p>
        </w:tc>
        <w:tc>
          <w:tcPr>
            <w:tcW w:w="1549" w:type="dxa"/>
            <w:noWrap w:val="0"/>
            <w:vAlign w:val="center"/>
          </w:tcPr>
          <w:p w14:paraId="5EC965D9">
            <w:pPr>
              <w:adjustRightInd w:val="0"/>
              <w:snapToGrid w:val="0"/>
              <w:spacing w:line="320" w:lineRule="exact"/>
              <w:jc w:val="center"/>
              <w:rPr>
                <w:rFonts w:hint="eastAsia" w:ascii="宋体" w:hAnsi="宋体"/>
                <w:color w:val="auto"/>
                <w:szCs w:val="21"/>
              </w:rPr>
            </w:pPr>
            <w:r>
              <w:rPr>
                <w:rFonts w:hint="eastAsia" w:ascii="宋体" w:hAnsi="宋体"/>
                <w:color w:val="auto"/>
                <w:szCs w:val="21"/>
              </w:rPr>
              <w:t>其他规定</w:t>
            </w:r>
          </w:p>
        </w:tc>
        <w:tc>
          <w:tcPr>
            <w:tcW w:w="6771" w:type="dxa"/>
            <w:noWrap w:val="0"/>
            <w:vAlign w:val="center"/>
          </w:tcPr>
          <w:p w14:paraId="0CAC9944">
            <w:pPr>
              <w:adjustRightInd w:val="0"/>
              <w:snapToGrid w:val="0"/>
              <w:spacing w:line="240" w:lineRule="auto"/>
              <w:rPr>
                <w:rFonts w:hint="eastAsia" w:ascii="宋体" w:hAnsi="宋体" w:cs="宋体"/>
                <w:color w:val="auto"/>
                <w:szCs w:val="21"/>
                <w:lang w:val="en-US" w:eastAsia="zh-CN"/>
              </w:rPr>
            </w:pPr>
            <w:r>
              <w:rPr>
                <w:rFonts w:hint="eastAsia" w:ascii="宋体" w:hAnsi="宋体" w:cs="宋体"/>
                <w:color w:val="auto"/>
                <w:szCs w:val="21"/>
                <w:lang w:val="en-US" w:eastAsia="zh-CN"/>
              </w:rPr>
              <w:t>1、根据湘财购﹝2021﹞16号《湖南省财政厅湖南省工业和信息化厅关于运用政府采购促进中小企业发展有关事项的通知》，推行“承诺+信用”管理，简化中小企业参与政府采购证明材料，符合法定资格条件的供应商可将资格承诺声明作为资格证明材料，无需再提供财务状况、缴纳税收和社会保障资金等资格证明材料。</w:t>
            </w:r>
          </w:p>
          <w:p w14:paraId="3F68AFE6">
            <w:pPr>
              <w:adjustRightInd w:val="0"/>
              <w:snapToGrid w:val="0"/>
              <w:spacing w:line="240" w:lineRule="auto"/>
              <w:rPr>
                <w:rFonts w:hint="eastAsia" w:ascii="宋体" w:hAnsi="宋体" w:cs="宋体"/>
                <w:color w:val="auto"/>
                <w:szCs w:val="21"/>
                <w:lang w:val="en-US" w:eastAsia="zh-CN"/>
              </w:rPr>
            </w:pPr>
            <w:r>
              <w:rPr>
                <w:rFonts w:hint="eastAsia" w:ascii="宋体" w:hAnsi="宋体" w:cs="宋体"/>
                <w:color w:val="auto"/>
                <w:szCs w:val="21"/>
                <w:lang w:val="en-US" w:eastAsia="zh-CN"/>
              </w:rPr>
              <w:t>2、供应商可在中国湖南政府采购网登记资格、业绩以及商品等相关证明材料，并在响应文件中代替纸质证明材料使用，符合政府采购的资格条件即可参加政府采购活动。</w:t>
            </w:r>
          </w:p>
          <w:p w14:paraId="782CF438">
            <w:pPr>
              <w:adjustRightInd w:val="0"/>
              <w:snapToGrid w:val="0"/>
              <w:spacing w:line="240" w:lineRule="auto"/>
              <w:rPr>
                <w:rFonts w:hint="eastAsia" w:ascii="宋体" w:hAnsi="宋体" w:cs="宋体"/>
                <w:color w:val="auto"/>
                <w:szCs w:val="21"/>
                <w:lang w:val="en-US" w:eastAsia="zh-CN"/>
              </w:rPr>
            </w:pPr>
            <w:r>
              <w:rPr>
                <w:rFonts w:hint="eastAsia" w:ascii="宋体" w:hAnsi="宋体" w:cs="宋体"/>
                <w:color w:val="auto"/>
                <w:szCs w:val="21"/>
                <w:lang w:val="en-US" w:eastAsia="zh-CN"/>
              </w:rPr>
              <w:t>3、经采购人或监管部门查实，提供虚假承诺的供应商将以虚假资料谋取中标（成交）的违法行为，被列入不良记录名单，采购人有权取消其中选资格。</w:t>
            </w:r>
          </w:p>
          <w:p w14:paraId="247CD8C2">
            <w:pPr>
              <w:pStyle w:val="62"/>
              <w:ind w:left="0" w:leftChars="0" w:firstLine="0" w:firstLineChars="0"/>
              <w:rPr>
                <w:rFonts w:hint="eastAsia"/>
                <w:lang w:val="en-US" w:eastAsia="zh-CN"/>
              </w:rPr>
            </w:pPr>
            <w:r>
              <w:rPr>
                <w:rFonts w:hint="eastAsia" w:ascii="宋体" w:hAnsi="宋体" w:cs="宋体"/>
                <w:color w:val="auto"/>
                <w:szCs w:val="21"/>
                <w:lang w:val="en-US" w:eastAsia="zh-CN"/>
              </w:rPr>
              <w:t>4、本文件要求加盖的公章仅指供应商在公安机关依法备案公章，带防伪码。</w:t>
            </w:r>
          </w:p>
        </w:tc>
      </w:tr>
    </w:tbl>
    <w:p w14:paraId="020721B4">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br w:type="page"/>
      </w:r>
    </w:p>
    <w:p w14:paraId="71433C4E">
      <w:pPr>
        <w:adjustRightInd w:val="0"/>
        <w:snapToGrid w:val="0"/>
        <w:spacing w:line="360" w:lineRule="auto"/>
        <w:rPr>
          <w:rFonts w:hint="eastAsia" w:ascii="宋体" w:cs="宋体"/>
          <w:szCs w:val="21"/>
        </w:rPr>
      </w:pPr>
      <w:r>
        <w:rPr>
          <w:rFonts w:hint="eastAsia" w:ascii="宋体" w:cs="宋体"/>
          <w:szCs w:val="21"/>
        </w:rPr>
        <w:t>附页1</w:t>
      </w:r>
    </w:p>
    <w:p w14:paraId="74D6819C">
      <w:pPr>
        <w:adjustRightInd w:val="0"/>
        <w:snapToGrid w:val="0"/>
        <w:spacing w:line="360" w:lineRule="auto"/>
        <w:jc w:val="center"/>
        <w:rPr>
          <w:rFonts w:hint="eastAsia" w:ascii="宋体" w:cs="宋体"/>
          <w:b/>
          <w:bCs/>
          <w:sz w:val="28"/>
          <w:szCs w:val="28"/>
        </w:rPr>
      </w:pPr>
      <w:r>
        <w:rPr>
          <w:rFonts w:hint="eastAsia" w:ascii="宋体" w:cs="宋体"/>
          <w:b/>
          <w:bCs/>
          <w:kern w:val="0"/>
          <w:sz w:val="28"/>
          <w:szCs w:val="28"/>
        </w:rPr>
        <w:t>湖南省政府采购支持中小企业融资合作银行及联系人名单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50"/>
        <w:gridCol w:w="1317"/>
        <w:gridCol w:w="2917"/>
        <w:gridCol w:w="2397"/>
      </w:tblGrid>
      <w:tr w14:paraId="5ADC97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shd w:val="clear" w:color="auto" w:fill="D7D7D7"/>
            <w:noWrap w:val="0"/>
            <w:vAlign w:val="center"/>
          </w:tcPr>
          <w:p w14:paraId="143BB662">
            <w:pPr>
              <w:adjustRightInd w:val="0"/>
              <w:snapToGrid w:val="0"/>
              <w:spacing w:line="360" w:lineRule="auto"/>
              <w:jc w:val="center"/>
              <w:rPr>
                <w:rFonts w:hint="eastAsia" w:ascii="宋体" w:cs="宋体"/>
                <w:b/>
                <w:szCs w:val="21"/>
              </w:rPr>
            </w:pPr>
            <w:r>
              <w:rPr>
                <w:rFonts w:hint="eastAsia" w:ascii="宋体" w:cs="宋体"/>
                <w:b/>
                <w:kern w:val="0"/>
                <w:szCs w:val="21"/>
              </w:rPr>
              <w:t>银行名称</w:t>
            </w:r>
          </w:p>
        </w:tc>
        <w:tc>
          <w:tcPr>
            <w:tcW w:w="1317" w:type="dxa"/>
            <w:shd w:val="clear" w:color="auto" w:fill="D7D7D7"/>
            <w:noWrap w:val="0"/>
            <w:vAlign w:val="center"/>
          </w:tcPr>
          <w:p w14:paraId="2F1BE963">
            <w:pPr>
              <w:adjustRightInd w:val="0"/>
              <w:snapToGrid w:val="0"/>
              <w:spacing w:line="360" w:lineRule="auto"/>
              <w:jc w:val="center"/>
              <w:rPr>
                <w:rFonts w:hint="eastAsia" w:ascii="宋体" w:cs="宋体"/>
                <w:b/>
                <w:szCs w:val="21"/>
              </w:rPr>
            </w:pPr>
            <w:r>
              <w:rPr>
                <w:rFonts w:hint="eastAsia" w:ascii="宋体" w:cs="宋体"/>
                <w:b/>
                <w:kern w:val="0"/>
                <w:szCs w:val="21"/>
              </w:rPr>
              <w:t>联系人</w:t>
            </w:r>
          </w:p>
        </w:tc>
        <w:tc>
          <w:tcPr>
            <w:tcW w:w="2917" w:type="dxa"/>
            <w:shd w:val="clear" w:color="auto" w:fill="D7D7D7"/>
            <w:noWrap w:val="0"/>
            <w:vAlign w:val="center"/>
          </w:tcPr>
          <w:p w14:paraId="275B4845">
            <w:pPr>
              <w:adjustRightInd w:val="0"/>
              <w:snapToGrid w:val="0"/>
              <w:spacing w:line="360" w:lineRule="auto"/>
              <w:jc w:val="center"/>
              <w:rPr>
                <w:rFonts w:hint="eastAsia" w:ascii="宋体" w:cs="宋体"/>
                <w:b/>
                <w:szCs w:val="21"/>
              </w:rPr>
            </w:pPr>
            <w:r>
              <w:rPr>
                <w:rFonts w:hint="eastAsia" w:ascii="宋体" w:cs="宋体"/>
                <w:b/>
                <w:kern w:val="0"/>
                <w:szCs w:val="21"/>
              </w:rPr>
              <w:t>职 务</w:t>
            </w:r>
          </w:p>
        </w:tc>
        <w:tc>
          <w:tcPr>
            <w:tcW w:w="2397" w:type="dxa"/>
            <w:shd w:val="clear" w:color="auto" w:fill="D7D7D7"/>
            <w:noWrap w:val="0"/>
            <w:vAlign w:val="center"/>
          </w:tcPr>
          <w:p w14:paraId="254952DD">
            <w:pPr>
              <w:adjustRightInd w:val="0"/>
              <w:snapToGrid w:val="0"/>
              <w:spacing w:line="360" w:lineRule="auto"/>
              <w:jc w:val="center"/>
              <w:rPr>
                <w:rFonts w:hint="eastAsia" w:ascii="宋体" w:cs="宋体"/>
                <w:b/>
                <w:szCs w:val="21"/>
              </w:rPr>
            </w:pPr>
            <w:r>
              <w:rPr>
                <w:rFonts w:hint="eastAsia" w:ascii="宋体" w:cs="宋体"/>
                <w:b/>
                <w:kern w:val="0"/>
                <w:szCs w:val="21"/>
              </w:rPr>
              <w:t>联系电话</w:t>
            </w:r>
          </w:p>
        </w:tc>
      </w:tr>
      <w:tr w14:paraId="7C1B7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9B8AD9">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noWrap w:val="0"/>
            <w:vAlign w:val="center"/>
          </w:tcPr>
          <w:p w14:paraId="440A4994">
            <w:pPr>
              <w:adjustRightInd w:val="0"/>
              <w:snapToGrid w:val="0"/>
              <w:spacing w:line="360" w:lineRule="auto"/>
              <w:jc w:val="center"/>
              <w:rPr>
                <w:rFonts w:hint="eastAsia" w:ascii="宋体" w:cs="宋体"/>
                <w:szCs w:val="21"/>
              </w:rPr>
            </w:pPr>
            <w:r>
              <w:rPr>
                <w:rFonts w:hint="eastAsia" w:ascii="宋体" w:cs="宋体"/>
                <w:kern w:val="0"/>
                <w:szCs w:val="21"/>
              </w:rPr>
              <w:t>刘 波</w:t>
            </w:r>
          </w:p>
        </w:tc>
        <w:tc>
          <w:tcPr>
            <w:tcW w:w="2917" w:type="dxa"/>
            <w:noWrap w:val="0"/>
            <w:vAlign w:val="center"/>
          </w:tcPr>
          <w:p w14:paraId="0FE52EA1">
            <w:pPr>
              <w:adjustRightInd w:val="0"/>
              <w:snapToGrid w:val="0"/>
              <w:spacing w:line="360" w:lineRule="auto"/>
              <w:jc w:val="center"/>
              <w:rPr>
                <w:rFonts w:hint="eastAsia" w:ascii="宋体" w:cs="宋体"/>
                <w:szCs w:val="21"/>
              </w:rPr>
            </w:pPr>
            <w:r>
              <w:rPr>
                <w:rFonts w:hint="eastAsia" w:ascii="宋体" w:cs="宋体"/>
                <w:kern w:val="0"/>
                <w:szCs w:val="21"/>
              </w:rPr>
              <w:t>名城支行客户经理</w:t>
            </w:r>
          </w:p>
        </w:tc>
        <w:tc>
          <w:tcPr>
            <w:tcW w:w="2397" w:type="dxa"/>
            <w:noWrap w:val="0"/>
            <w:vAlign w:val="center"/>
          </w:tcPr>
          <w:p w14:paraId="05FE2FE1">
            <w:pPr>
              <w:adjustRightInd w:val="0"/>
              <w:snapToGrid w:val="0"/>
              <w:spacing w:line="360" w:lineRule="auto"/>
              <w:jc w:val="center"/>
              <w:rPr>
                <w:rFonts w:hint="eastAsia" w:ascii="宋体" w:cs="宋体"/>
                <w:szCs w:val="21"/>
              </w:rPr>
            </w:pPr>
            <w:r>
              <w:rPr>
                <w:rFonts w:hint="eastAsia" w:ascii="宋体" w:cs="宋体"/>
                <w:kern w:val="0"/>
                <w:szCs w:val="21"/>
              </w:rPr>
              <w:t>13874998873</w:t>
            </w:r>
          </w:p>
        </w:tc>
      </w:tr>
      <w:tr w14:paraId="255C9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765E3F12">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noWrap w:val="0"/>
            <w:vAlign w:val="center"/>
          </w:tcPr>
          <w:p w14:paraId="02189828">
            <w:pPr>
              <w:adjustRightInd w:val="0"/>
              <w:snapToGrid w:val="0"/>
              <w:spacing w:line="360" w:lineRule="auto"/>
              <w:jc w:val="center"/>
              <w:rPr>
                <w:rFonts w:hint="eastAsia" w:ascii="宋体" w:cs="宋体"/>
                <w:szCs w:val="21"/>
              </w:rPr>
            </w:pPr>
            <w:r>
              <w:rPr>
                <w:rFonts w:hint="eastAsia" w:ascii="宋体" w:cs="宋体"/>
                <w:kern w:val="0"/>
                <w:szCs w:val="21"/>
              </w:rPr>
              <w:t>肖勇光</w:t>
            </w:r>
          </w:p>
        </w:tc>
        <w:tc>
          <w:tcPr>
            <w:tcW w:w="2917" w:type="dxa"/>
            <w:noWrap w:val="0"/>
            <w:vAlign w:val="center"/>
          </w:tcPr>
          <w:p w14:paraId="225D63F3">
            <w:pPr>
              <w:adjustRightInd w:val="0"/>
              <w:snapToGrid w:val="0"/>
              <w:spacing w:line="360" w:lineRule="auto"/>
              <w:jc w:val="center"/>
              <w:rPr>
                <w:rFonts w:hint="eastAsia" w:ascii="宋体" w:cs="宋体"/>
                <w:szCs w:val="21"/>
              </w:rPr>
            </w:pPr>
            <w:r>
              <w:rPr>
                <w:rFonts w:hint="eastAsia" w:ascii="宋体" w:cs="宋体"/>
                <w:kern w:val="0"/>
                <w:szCs w:val="21"/>
              </w:rPr>
              <w:t>分行高级经理</w:t>
            </w:r>
          </w:p>
        </w:tc>
        <w:tc>
          <w:tcPr>
            <w:tcW w:w="2397" w:type="dxa"/>
            <w:noWrap w:val="0"/>
            <w:vAlign w:val="center"/>
          </w:tcPr>
          <w:p w14:paraId="1910E514">
            <w:pPr>
              <w:adjustRightInd w:val="0"/>
              <w:snapToGrid w:val="0"/>
              <w:spacing w:line="360" w:lineRule="auto"/>
              <w:jc w:val="center"/>
              <w:rPr>
                <w:rFonts w:hint="eastAsia" w:ascii="宋体" w:cs="宋体"/>
                <w:szCs w:val="21"/>
              </w:rPr>
            </w:pPr>
            <w:r>
              <w:rPr>
                <w:rFonts w:hint="eastAsia" w:ascii="宋体" w:cs="宋体"/>
                <w:kern w:val="0"/>
                <w:szCs w:val="21"/>
              </w:rPr>
              <w:t>13755192647</w:t>
            </w:r>
          </w:p>
        </w:tc>
      </w:tr>
      <w:tr w14:paraId="58DF98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2C04C8">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noWrap w:val="0"/>
            <w:vAlign w:val="center"/>
          </w:tcPr>
          <w:p w14:paraId="6D5FED88">
            <w:pPr>
              <w:adjustRightInd w:val="0"/>
              <w:snapToGrid w:val="0"/>
              <w:spacing w:line="360" w:lineRule="auto"/>
              <w:jc w:val="center"/>
              <w:rPr>
                <w:rFonts w:hint="eastAsia" w:ascii="宋体" w:cs="宋体"/>
                <w:szCs w:val="21"/>
              </w:rPr>
            </w:pPr>
            <w:r>
              <w:rPr>
                <w:rFonts w:hint="eastAsia" w:ascii="宋体" w:cs="宋体"/>
                <w:kern w:val="0"/>
                <w:szCs w:val="21"/>
              </w:rPr>
              <w:t>黄飞燕</w:t>
            </w:r>
          </w:p>
        </w:tc>
        <w:tc>
          <w:tcPr>
            <w:tcW w:w="2917" w:type="dxa"/>
            <w:noWrap w:val="0"/>
            <w:vAlign w:val="center"/>
          </w:tcPr>
          <w:p w14:paraId="2F846DCF">
            <w:pPr>
              <w:adjustRightInd w:val="0"/>
              <w:snapToGrid w:val="0"/>
              <w:spacing w:line="360" w:lineRule="auto"/>
              <w:jc w:val="center"/>
              <w:rPr>
                <w:rFonts w:hint="eastAsia" w:ascii="宋体" w:cs="宋体"/>
                <w:szCs w:val="21"/>
              </w:rPr>
            </w:pPr>
            <w:r>
              <w:rPr>
                <w:rFonts w:hint="eastAsia" w:ascii="宋体" w:cs="宋体"/>
                <w:kern w:val="0"/>
                <w:szCs w:val="21"/>
              </w:rPr>
              <w:t>营业部总经理</w:t>
            </w:r>
          </w:p>
        </w:tc>
        <w:tc>
          <w:tcPr>
            <w:tcW w:w="2397" w:type="dxa"/>
            <w:noWrap w:val="0"/>
            <w:vAlign w:val="center"/>
          </w:tcPr>
          <w:p w14:paraId="4572CD35">
            <w:pPr>
              <w:adjustRightInd w:val="0"/>
              <w:snapToGrid w:val="0"/>
              <w:spacing w:line="360" w:lineRule="auto"/>
              <w:jc w:val="center"/>
              <w:rPr>
                <w:rFonts w:hint="eastAsia" w:ascii="宋体" w:cs="宋体"/>
                <w:szCs w:val="21"/>
              </w:rPr>
            </w:pPr>
            <w:r>
              <w:rPr>
                <w:rFonts w:hint="eastAsia" w:ascii="宋体" w:cs="宋体"/>
                <w:kern w:val="0"/>
                <w:szCs w:val="21"/>
              </w:rPr>
              <w:t>13308463468</w:t>
            </w:r>
          </w:p>
        </w:tc>
      </w:tr>
      <w:tr w14:paraId="6B3C04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028BA04D">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noWrap w:val="0"/>
            <w:vAlign w:val="center"/>
          </w:tcPr>
          <w:p w14:paraId="327FD1BC">
            <w:pPr>
              <w:adjustRightInd w:val="0"/>
              <w:snapToGrid w:val="0"/>
              <w:spacing w:line="360" w:lineRule="auto"/>
              <w:jc w:val="center"/>
              <w:rPr>
                <w:rFonts w:hint="eastAsia" w:ascii="宋体" w:cs="宋体"/>
                <w:szCs w:val="21"/>
              </w:rPr>
            </w:pPr>
            <w:r>
              <w:rPr>
                <w:rFonts w:hint="eastAsia" w:ascii="宋体" w:cs="宋体"/>
                <w:kern w:val="0"/>
                <w:szCs w:val="21"/>
              </w:rPr>
              <w:t>蒋寒奇</w:t>
            </w:r>
          </w:p>
        </w:tc>
        <w:tc>
          <w:tcPr>
            <w:tcW w:w="2917" w:type="dxa"/>
            <w:noWrap w:val="0"/>
            <w:vAlign w:val="center"/>
          </w:tcPr>
          <w:p w14:paraId="764C7BB3">
            <w:pPr>
              <w:adjustRightInd w:val="0"/>
              <w:snapToGrid w:val="0"/>
              <w:spacing w:line="360" w:lineRule="auto"/>
              <w:jc w:val="center"/>
              <w:rPr>
                <w:rFonts w:hint="eastAsia" w:ascii="宋体" w:cs="宋体"/>
                <w:szCs w:val="21"/>
              </w:rPr>
            </w:pPr>
            <w:r>
              <w:rPr>
                <w:rFonts w:hint="eastAsia" w:ascii="宋体" w:cs="宋体"/>
                <w:kern w:val="0"/>
                <w:szCs w:val="21"/>
              </w:rPr>
              <w:t>营业部中小企业客户经理</w:t>
            </w:r>
          </w:p>
        </w:tc>
        <w:tc>
          <w:tcPr>
            <w:tcW w:w="2397" w:type="dxa"/>
            <w:noWrap w:val="0"/>
            <w:vAlign w:val="center"/>
          </w:tcPr>
          <w:p w14:paraId="1E60E2E3">
            <w:pPr>
              <w:adjustRightInd w:val="0"/>
              <w:snapToGrid w:val="0"/>
              <w:spacing w:line="360" w:lineRule="auto"/>
              <w:jc w:val="center"/>
              <w:rPr>
                <w:rFonts w:hint="eastAsia" w:ascii="宋体" w:cs="宋体"/>
                <w:szCs w:val="21"/>
              </w:rPr>
            </w:pPr>
            <w:r>
              <w:rPr>
                <w:rFonts w:hint="eastAsia" w:ascii="宋体" w:cs="宋体"/>
                <w:kern w:val="0"/>
                <w:szCs w:val="21"/>
              </w:rPr>
              <w:t>13548982975</w:t>
            </w:r>
          </w:p>
        </w:tc>
      </w:tr>
      <w:tr w14:paraId="543B9B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B82C85E">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noWrap w:val="0"/>
            <w:vAlign w:val="center"/>
          </w:tcPr>
          <w:p w14:paraId="294C24C3">
            <w:pPr>
              <w:adjustRightInd w:val="0"/>
              <w:snapToGrid w:val="0"/>
              <w:spacing w:line="360" w:lineRule="auto"/>
              <w:jc w:val="center"/>
              <w:rPr>
                <w:rFonts w:hint="eastAsia" w:ascii="宋体" w:cs="宋体"/>
                <w:szCs w:val="21"/>
              </w:rPr>
            </w:pPr>
            <w:r>
              <w:rPr>
                <w:rFonts w:hint="eastAsia" w:ascii="宋体" w:cs="宋体"/>
                <w:kern w:val="0"/>
                <w:szCs w:val="21"/>
              </w:rPr>
              <w:t>刘栅延</w:t>
            </w:r>
          </w:p>
        </w:tc>
        <w:tc>
          <w:tcPr>
            <w:tcW w:w="2917" w:type="dxa"/>
            <w:noWrap w:val="0"/>
            <w:vAlign w:val="center"/>
          </w:tcPr>
          <w:p w14:paraId="3C8EEC4F">
            <w:pPr>
              <w:adjustRightInd w:val="0"/>
              <w:snapToGrid w:val="0"/>
              <w:spacing w:line="360" w:lineRule="auto"/>
              <w:jc w:val="center"/>
              <w:rPr>
                <w:rFonts w:hint="eastAsia" w:ascii="宋体" w:cs="宋体"/>
                <w:szCs w:val="21"/>
              </w:rPr>
            </w:pPr>
            <w:r>
              <w:rPr>
                <w:rFonts w:hint="eastAsia" w:ascii="宋体" w:cs="宋体"/>
                <w:kern w:val="0"/>
                <w:szCs w:val="21"/>
              </w:rPr>
              <w:t>支行行长</w:t>
            </w:r>
          </w:p>
        </w:tc>
        <w:tc>
          <w:tcPr>
            <w:tcW w:w="2397" w:type="dxa"/>
            <w:noWrap w:val="0"/>
            <w:vAlign w:val="center"/>
          </w:tcPr>
          <w:p w14:paraId="2F4FCC6E">
            <w:pPr>
              <w:adjustRightInd w:val="0"/>
              <w:snapToGrid w:val="0"/>
              <w:spacing w:line="360" w:lineRule="auto"/>
              <w:jc w:val="center"/>
              <w:rPr>
                <w:rFonts w:hint="eastAsia" w:ascii="宋体" w:cs="宋体"/>
                <w:szCs w:val="21"/>
              </w:rPr>
            </w:pPr>
            <w:r>
              <w:rPr>
                <w:rFonts w:hint="eastAsia" w:ascii="宋体" w:cs="宋体"/>
                <w:kern w:val="0"/>
                <w:szCs w:val="21"/>
              </w:rPr>
              <w:t>13337316405</w:t>
            </w:r>
          </w:p>
        </w:tc>
      </w:tr>
      <w:tr w14:paraId="278370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43036B8">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noWrap w:val="0"/>
            <w:vAlign w:val="center"/>
          </w:tcPr>
          <w:p w14:paraId="171A6A1E">
            <w:pPr>
              <w:adjustRightInd w:val="0"/>
              <w:snapToGrid w:val="0"/>
              <w:spacing w:line="360" w:lineRule="auto"/>
              <w:jc w:val="center"/>
              <w:rPr>
                <w:rFonts w:hint="eastAsia" w:ascii="宋体" w:cs="宋体"/>
                <w:szCs w:val="21"/>
              </w:rPr>
            </w:pPr>
            <w:r>
              <w:rPr>
                <w:rFonts w:hint="eastAsia" w:ascii="宋体" w:cs="宋体"/>
                <w:kern w:val="0"/>
                <w:szCs w:val="21"/>
              </w:rPr>
              <w:t>蒋修远</w:t>
            </w:r>
          </w:p>
        </w:tc>
        <w:tc>
          <w:tcPr>
            <w:tcW w:w="2917" w:type="dxa"/>
            <w:noWrap w:val="0"/>
            <w:vAlign w:val="center"/>
          </w:tcPr>
          <w:p w14:paraId="0D17173E">
            <w:pPr>
              <w:adjustRightInd w:val="0"/>
              <w:snapToGrid w:val="0"/>
              <w:spacing w:line="360" w:lineRule="auto"/>
              <w:jc w:val="center"/>
              <w:rPr>
                <w:rFonts w:hint="eastAsia" w:ascii="宋体" w:cs="宋体"/>
                <w:szCs w:val="21"/>
              </w:rPr>
            </w:pPr>
            <w:r>
              <w:rPr>
                <w:rFonts w:hint="eastAsia" w:ascii="宋体" w:cs="宋体"/>
                <w:kern w:val="0"/>
                <w:szCs w:val="21"/>
              </w:rPr>
              <w:t>支行客户经理</w:t>
            </w:r>
          </w:p>
        </w:tc>
        <w:tc>
          <w:tcPr>
            <w:tcW w:w="2397" w:type="dxa"/>
            <w:noWrap w:val="0"/>
            <w:vAlign w:val="center"/>
          </w:tcPr>
          <w:p w14:paraId="220E5D29">
            <w:pPr>
              <w:adjustRightInd w:val="0"/>
              <w:snapToGrid w:val="0"/>
              <w:spacing w:line="360" w:lineRule="auto"/>
              <w:jc w:val="center"/>
              <w:rPr>
                <w:rFonts w:hint="eastAsia" w:ascii="宋体" w:cs="宋体"/>
                <w:szCs w:val="21"/>
              </w:rPr>
            </w:pPr>
            <w:r>
              <w:rPr>
                <w:rFonts w:hint="eastAsia" w:ascii="宋体" w:cs="宋体"/>
                <w:kern w:val="0"/>
                <w:szCs w:val="21"/>
              </w:rPr>
              <w:t>18607310422</w:t>
            </w:r>
          </w:p>
        </w:tc>
      </w:tr>
      <w:tr w14:paraId="4E4F60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5787A3E">
            <w:pPr>
              <w:adjustRightInd w:val="0"/>
              <w:snapToGrid w:val="0"/>
              <w:spacing w:line="360" w:lineRule="auto"/>
              <w:jc w:val="center"/>
              <w:rPr>
                <w:rFonts w:hint="eastAsia" w:ascii="宋体" w:cs="宋体"/>
                <w:szCs w:val="21"/>
              </w:rPr>
            </w:pPr>
            <w:r>
              <w:rPr>
                <w:rFonts w:hint="eastAsia" w:ascii="宋体" w:cs="宋体"/>
                <w:kern w:val="0"/>
                <w:szCs w:val="21"/>
              </w:rPr>
              <w:t>中国光大银行长沙分行</w:t>
            </w:r>
          </w:p>
        </w:tc>
        <w:tc>
          <w:tcPr>
            <w:tcW w:w="1317" w:type="dxa"/>
            <w:noWrap w:val="0"/>
            <w:vAlign w:val="center"/>
          </w:tcPr>
          <w:p w14:paraId="2020B690">
            <w:pPr>
              <w:adjustRightInd w:val="0"/>
              <w:snapToGrid w:val="0"/>
              <w:spacing w:line="360" w:lineRule="auto"/>
              <w:jc w:val="center"/>
              <w:rPr>
                <w:rFonts w:hint="eastAsia" w:ascii="宋体" w:cs="宋体"/>
                <w:szCs w:val="21"/>
              </w:rPr>
            </w:pPr>
            <w:r>
              <w:rPr>
                <w:rFonts w:hint="eastAsia" w:ascii="宋体" w:cs="宋体"/>
                <w:kern w:val="0"/>
                <w:szCs w:val="21"/>
              </w:rPr>
              <w:t>邓永胜</w:t>
            </w:r>
          </w:p>
        </w:tc>
        <w:tc>
          <w:tcPr>
            <w:tcW w:w="2917" w:type="dxa"/>
            <w:noWrap w:val="0"/>
            <w:vAlign w:val="center"/>
          </w:tcPr>
          <w:p w14:paraId="1DDBE968">
            <w:pPr>
              <w:adjustRightInd w:val="0"/>
              <w:snapToGrid w:val="0"/>
              <w:spacing w:line="360" w:lineRule="auto"/>
              <w:jc w:val="center"/>
              <w:rPr>
                <w:rFonts w:hint="eastAsia" w:ascii="宋体" w:cs="宋体"/>
                <w:szCs w:val="21"/>
              </w:rPr>
            </w:pPr>
            <w:r>
              <w:rPr>
                <w:rFonts w:hint="eastAsia" w:ascii="宋体" w:cs="宋体"/>
                <w:kern w:val="0"/>
                <w:szCs w:val="21"/>
              </w:rPr>
              <w:t>岳麓支行副行长</w:t>
            </w:r>
          </w:p>
        </w:tc>
        <w:tc>
          <w:tcPr>
            <w:tcW w:w="2397" w:type="dxa"/>
            <w:noWrap w:val="0"/>
            <w:vAlign w:val="center"/>
          </w:tcPr>
          <w:p w14:paraId="71ABC320">
            <w:pPr>
              <w:adjustRightInd w:val="0"/>
              <w:snapToGrid w:val="0"/>
              <w:spacing w:line="360" w:lineRule="auto"/>
              <w:jc w:val="center"/>
              <w:rPr>
                <w:rFonts w:hint="eastAsia" w:ascii="宋体" w:cs="宋体"/>
                <w:szCs w:val="21"/>
              </w:rPr>
            </w:pPr>
            <w:r>
              <w:rPr>
                <w:rFonts w:hint="eastAsia" w:ascii="宋体" w:cs="宋体"/>
                <w:kern w:val="0"/>
                <w:szCs w:val="21"/>
              </w:rPr>
              <w:t>13617319650</w:t>
            </w:r>
          </w:p>
        </w:tc>
      </w:tr>
      <w:tr w14:paraId="5F3F04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5CDC9198">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noWrap w:val="0"/>
            <w:vAlign w:val="center"/>
          </w:tcPr>
          <w:p w14:paraId="5CC1D434">
            <w:pPr>
              <w:adjustRightInd w:val="0"/>
              <w:snapToGrid w:val="0"/>
              <w:spacing w:line="360" w:lineRule="auto"/>
              <w:jc w:val="center"/>
              <w:rPr>
                <w:rFonts w:hint="eastAsia" w:ascii="宋体" w:cs="宋体"/>
                <w:szCs w:val="21"/>
              </w:rPr>
            </w:pPr>
            <w:r>
              <w:rPr>
                <w:rFonts w:hint="eastAsia" w:ascii="宋体" w:cs="宋体"/>
                <w:kern w:val="0"/>
                <w:szCs w:val="21"/>
              </w:rPr>
              <w:t>蔡学军</w:t>
            </w:r>
          </w:p>
        </w:tc>
        <w:tc>
          <w:tcPr>
            <w:tcW w:w="2917" w:type="dxa"/>
            <w:noWrap w:val="0"/>
            <w:vAlign w:val="center"/>
          </w:tcPr>
          <w:p w14:paraId="6CF7FFD5">
            <w:pPr>
              <w:adjustRightInd w:val="0"/>
              <w:snapToGrid w:val="0"/>
              <w:spacing w:line="360" w:lineRule="auto"/>
              <w:jc w:val="center"/>
              <w:rPr>
                <w:rFonts w:hint="eastAsia" w:ascii="宋体" w:cs="宋体"/>
                <w:szCs w:val="21"/>
              </w:rPr>
            </w:pPr>
            <w:r>
              <w:rPr>
                <w:rFonts w:hint="eastAsia" w:ascii="宋体" w:cs="宋体"/>
                <w:kern w:val="0"/>
                <w:szCs w:val="21"/>
              </w:rPr>
              <w:t>公司银行部负责人</w:t>
            </w:r>
          </w:p>
        </w:tc>
        <w:tc>
          <w:tcPr>
            <w:tcW w:w="2397" w:type="dxa"/>
            <w:noWrap w:val="0"/>
            <w:vAlign w:val="center"/>
          </w:tcPr>
          <w:p w14:paraId="12624481">
            <w:pPr>
              <w:adjustRightInd w:val="0"/>
              <w:snapToGrid w:val="0"/>
              <w:spacing w:line="360" w:lineRule="auto"/>
              <w:jc w:val="center"/>
              <w:rPr>
                <w:rFonts w:hint="eastAsia" w:ascii="宋体" w:cs="宋体"/>
                <w:szCs w:val="21"/>
              </w:rPr>
            </w:pPr>
            <w:r>
              <w:rPr>
                <w:rFonts w:hint="eastAsia" w:ascii="宋体" w:cs="宋体"/>
                <w:kern w:val="0"/>
                <w:szCs w:val="21"/>
              </w:rPr>
              <w:t>13055167195</w:t>
            </w:r>
          </w:p>
        </w:tc>
      </w:tr>
      <w:tr w14:paraId="51923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2259A31">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noWrap w:val="0"/>
            <w:vAlign w:val="center"/>
          </w:tcPr>
          <w:p w14:paraId="597D2F23">
            <w:pPr>
              <w:adjustRightInd w:val="0"/>
              <w:snapToGrid w:val="0"/>
              <w:spacing w:line="360" w:lineRule="auto"/>
              <w:jc w:val="center"/>
              <w:rPr>
                <w:rFonts w:hint="eastAsia" w:ascii="宋体" w:cs="宋体"/>
                <w:szCs w:val="21"/>
              </w:rPr>
            </w:pPr>
            <w:r>
              <w:rPr>
                <w:rFonts w:hint="eastAsia" w:ascii="宋体" w:cs="宋体"/>
                <w:kern w:val="0"/>
                <w:szCs w:val="21"/>
              </w:rPr>
              <w:t>宋学农</w:t>
            </w:r>
          </w:p>
        </w:tc>
        <w:tc>
          <w:tcPr>
            <w:tcW w:w="2917" w:type="dxa"/>
            <w:noWrap w:val="0"/>
            <w:vAlign w:val="center"/>
          </w:tcPr>
          <w:p w14:paraId="63E9D662">
            <w:pPr>
              <w:adjustRightInd w:val="0"/>
              <w:snapToGrid w:val="0"/>
              <w:spacing w:line="360" w:lineRule="auto"/>
              <w:jc w:val="center"/>
              <w:rPr>
                <w:rFonts w:hint="eastAsia" w:ascii="宋体" w:cs="宋体"/>
                <w:szCs w:val="21"/>
              </w:rPr>
            </w:pPr>
            <w:r>
              <w:rPr>
                <w:rFonts w:hint="eastAsia" w:ascii="宋体" w:cs="宋体"/>
                <w:kern w:val="0"/>
                <w:szCs w:val="21"/>
              </w:rPr>
              <w:t>银行部综合管理部副总经理</w:t>
            </w:r>
          </w:p>
        </w:tc>
        <w:tc>
          <w:tcPr>
            <w:tcW w:w="2397" w:type="dxa"/>
            <w:noWrap w:val="0"/>
            <w:vAlign w:val="center"/>
          </w:tcPr>
          <w:p w14:paraId="1EEFAA2A">
            <w:pPr>
              <w:adjustRightInd w:val="0"/>
              <w:snapToGrid w:val="0"/>
              <w:spacing w:line="360" w:lineRule="auto"/>
              <w:jc w:val="center"/>
              <w:rPr>
                <w:rFonts w:hint="eastAsia" w:ascii="宋体" w:cs="宋体"/>
                <w:szCs w:val="21"/>
              </w:rPr>
            </w:pPr>
            <w:r>
              <w:rPr>
                <w:rFonts w:hint="eastAsia" w:ascii="宋体" w:cs="宋体"/>
                <w:kern w:val="0"/>
                <w:szCs w:val="21"/>
              </w:rPr>
              <w:t>0731-845822141</w:t>
            </w:r>
          </w:p>
        </w:tc>
      </w:tr>
    </w:tbl>
    <w:p w14:paraId="21C697BA">
      <w:pPr>
        <w:adjustRightInd w:val="0"/>
        <w:snapToGrid w:val="0"/>
        <w:spacing w:line="360" w:lineRule="auto"/>
        <w:rPr>
          <w:rFonts w:hint="eastAsia" w:ascii="宋体" w:hAnsi="宋体" w:cs="宋体"/>
          <w:b/>
          <w:bCs/>
          <w:color w:val="auto"/>
          <w:szCs w:val="21"/>
        </w:rPr>
      </w:pPr>
    </w:p>
    <w:p w14:paraId="3F15ABC4">
      <w:pPr>
        <w:adjustRightInd w:val="0"/>
        <w:snapToGrid w:val="0"/>
        <w:spacing w:line="360" w:lineRule="auto"/>
        <w:rPr>
          <w:rFonts w:hint="eastAsia" w:ascii="宋体" w:hAnsi="宋体" w:cs="宋体"/>
          <w:b/>
          <w:bCs/>
          <w:color w:val="auto"/>
          <w:szCs w:val="21"/>
        </w:rPr>
      </w:pPr>
    </w:p>
    <w:p w14:paraId="2A876EFC">
      <w:pPr>
        <w:adjustRightInd w:val="0"/>
        <w:snapToGrid w:val="0"/>
        <w:spacing w:line="360" w:lineRule="auto"/>
        <w:rPr>
          <w:rFonts w:hint="eastAsia" w:ascii="宋体" w:hAnsi="宋体" w:cs="宋体"/>
          <w:b/>
          <w:bCs/>
          <w:color w:val="auto"/>
          <w:szCs w:val="21"/>
        </w:rPr>
      </w:pPr>
    </w:p>
    <w:p w14:paraId="0CDCEA7A">
      <w:pPr>
        <w:adjustRightInd w:val="0"/>
        <w:snapToGrid w:val="0"/>
        <w:spacing w:line="360" w:lineRule="auto"/>
        <w:jc w:val="center"/>
        <w:rPr>
          <w:rFonts w:hint="eastAsia" w:ascii="宋体" w:hAnsi="宋体" w:cs="宋体"/>
          <w:b/>
          <w:bCs/>
          <w:color w:val="auto"/>
          <w:sz w:val="28"/>
          <w:szCs w:val="28"/>
        </w:rPr>
      </w:pPr>
      <w:r>
        <w:rPr>
          <w:rFonts w:hint="eastAsia" w:ascii="宋体" w:hAnsi="宋体" w:cs="宋体"/>
          <w:b/>
          <w:bCs/>
          <w:color w:val="auto"/>
          <w:kern w:val="0"/>
          <w:sz w:val="28"/>
          <w:szCs w:val="28"/>
        </w:rPr>
        <w:t>湖南省政府采购信用担保试点工作的</w:t>
      </w:r>
      <w:r>
        <w:rPr>
          <w:rFonts w:hint="eastAsia" w:ascii="宋体" w:hAnsi="宋体" w:cs="宋体"/>
          <w:b/>
          <w:color w:val="auto"/>
          <w:sz w:val="28"/>
          <w:szCs w:val="28"/>
        </w:rPr>
        <w:t>信用担保机构名单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8BF1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667BDFF1">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信用担保机构</w:t>
            </w:r>
          </w:p>
        </w:tc>
        <w:tc>
          <w:tcPr>
            <w:tcW w:w="1080" w:type="dxa"/>
            <w:noWrap w:val="0"/>
            <w:vAlign w:val="center"/>
          </w:tcPr>
          <w:p w14:paraId="6C1A75E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联系人</w:t>
            </w:r>
          </w:p>
        </w:tc>
        <w:tc>
          <w:tcPr>
            <w:tcW w:w="3780" w:type="dxa"/>
            <w:noWrap w:val="0"/>
            <w:vAlign w:val="center"/>
          </w:tcPr>
          <w:p w14:paraId="5ECE4FA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联系电话</w:t>
            </w:r>
          </w:p>
        </w:tc>
      </w:tr>
      <w:tr w14:paraId="56D0CC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49F36E4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中国投资担保公司</w:t>
            </w:r>
          </w:p>
        </w:tc>
        <w:tc>
          <w:tcPr>
            <w:tcW w:w="1080" w:type="dxa"/>
            <w:noWrap w:val="0"/>
            <w:vAlign w:val="center"/>
          </w:tcPr>
          <w:p w14:paraId="1F52E5D6">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何  嘉</w:t>
            </w:r>
          </w:p>
        </w:tc>
        <w:tc>
          <w:tcPr>
            <w:tcW w:w="3780" w:type="dxa"/>
            <w:noWrap w:val="0"/>
            <w:vAlign w:val="center"/>
          </w:tcPr>
          <w:p w14:paraId="5F462DB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010-88822659/13718642233</w:t>
            </w:r>
          </w:p>
        </w:tc>
      </w:tr>
      <w:tr w14:paraId="377E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3D5D946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湖南省中小企业信用担保有限责任公司</w:t>
            </w:r>
          </w:p>
        </w:tc>
        <w:tc>
          <w:tcPr>
            <w:tcW w:w="1080" w:type="dxa"/>
            <w:noWrap w:val="0"/>
            <w:vAlign w:val="center"/>
          </w:tcPr>
          <w:p w14:paraId="68F3753D">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蔡建雄</w:t>
            </w:r>
          </w:p>
        </w:tc>
        <w:tc>
          <w:tcPr>
            <w:tcW w:w="3780" w:type="dxa"/>
            <w:noWrap w:val="0"/>
            <w:vAlign w:val="center"/>
          </w:tcPr>
          <w:p w14:paraId="5204002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0731-84172390-201/15573193555</w:t>
            </w:r>
          </w:p>
        </w:tc>
      </w:tr>
      <w:tr w14:paraId="3CAD3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7950F73C">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湖南农业信用担保有限公司</w:t>
            </w:r>
          </w:p>
        </w:tc>
        <w:tc>
          <w:tcPr>
            <w:tcW w:w="1080" w:type="dxa"/>
            <w:noWrap w:val="0"/>
            <w:vAlign w:val="center"/>
          </w:tcPr>
          <w:p w14:paraId="64B44FAD">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彭  球</w:t>
            </w:r>
          </w:p>
          <w:p w14:paraId="3461F2DB">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邓霞英</w:t>
            </w:r>
          </w:p>
        </w:tc>
        <w:tc>
          <w:tcPr>
            <w:tcW w:w="3780" w:type="dxa"/>
            <w:noWrap w:val="0"/>
            <w:vAlign w:val="center"/>
          </w:tcPr>
          <w:p w14:paraId="6DAE079C">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0731-89761702/13875980906 0731-89761706/13574125851</w:t>
            </w:r>
          </w:p>
        </w:tc>
      </w:tr>
    </w:tbl>
    <w:p w14:paraId="107B84C6">
      <w:pPr>
        <w:adjustRightInd w:val="0"/>
        <w:snapToGrid w:val="0"/>
        <w:spacing w:line="360" w:lineRule="auto"/>
        <w:rPr>
          <w:rFonts w:hint="eastAsia" w:ascii="宋体" w:hAnsi="宋体" w:cs="宋体"/>
          <w:b/>
          <w:color w:val="auto"/>
          <w:szCs w:val="21"/>
        </w:rPr>
        <w:sectPr>
          <w:pgSz w:w="11906" w:h="16838"/>
          <w:pgMar w:top="1388" w:right="1531" w:bottom="1440" w:left="1531" w:header="871" w:footer="737" w:gutter="0"/>
          <w:pgNumType w:fmt="decimal"/>
          <w:cols w:space="720" w:num="1"/>
          <w:docGrid w:type="lines" w:linePitch="312" w:charSpace="0"/>
        </w:sectPr>
      </w:pPr>
    </w:p>
    <w:p w14:paraId="17C85848">
      <w:pPr>
        <w:adjustRightInd w:val="0"/>
        <w:snapToGrid w:val="0"/>
        <w:spacing w:line="360" w:lineRule="auto"/>
        <w:jc w:val="center"/>
        <w:rPr>
          <w:rFonts w:hint="eastAsia" w:ascii="宋体" w:hAnsi="宋体" w:cs="宋体"/>
          <w:b/>
          <w:color w:val="auto"/>
          <w:kern w:val="0"/>
          <w:sz w:val="28"/>
          <w:szCs w:val="28"/>
        </w:rPr>
      </w:pPr>
      <w:r>
        <w:rPr>
          <w:rFonts w:hint="eastAsia" w:ascii="宋体" w:hAnsi="宋体" w:cs="宋体"/>
          <w:b/>
          <w:color w:val="auto"/>
          <w:kern w:val="0"/>
          <w:sz w:val="28"/>
          <w:szCs w:val="28"/>
        </w:rPr>
        <w:t>政府采购履约担保函</w:t>
      </w:r>
    </w:p>
    <w:p w14:paraId="4B6D3F6A">
      <w:pPr>
        <w:adjustRightInd w:val="0"/>
        <w:snapToGrid w:val="0"/>
        <w:spacing w:line="360" w:lineRule="auto"/>
        <w:ind w:firstLine="6510" w:firstLineChars="3100"/>
        <w:rPr>
          <w:rFonts w:hint="eastAsia" w:ascii="宋体" w:hAnsi="宋体" w:cs="宋体"/>
          <w:b/>
          <w:color w:val="auto"/>
          <w:kern w:val="0"/>
          <w:szCs w:val="21"/>
        </w:rPr>
      </w:pP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p>
    <w:p w14:paraId="5CD2C16C">
      <w:pPr>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（采购人）： </w:t>
      </w:r>
    </w:p>
    <w:p w14:paraId="5F0E8A6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鉴于你方与</w:t>
      </w:r>
      <w:r>
        <w:rPr>
          <w:rFonts w:hint="eastAsia" w:ascii="宋体" w:hAnsi="宋体" w:cs="宋体"/>
          <w:color w:val="auto"/>
          <w:kern w:val="0"/>
          <w:szCs w:val="21"/>
          <w:u w:val="single"/>
        </w:rPr>
        <w:t xml:space="preserve">                   </w:t>
      </w:r>
      <w:r>
        <w:rPr>
          <w:rFonts w:hint="eastAsia" w:ascii="宋体" w:hAnsi="宋体" w:cs="宋体"/>
          <w:color w:val="auto"/>
          <w:kern w:val="0"/>
          <w:szCs w:val="21"/>
        </w:rPr>
        <w:t>（以下简称供应商）于</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w:t>
      </w:r>
      <w:r>
        <w:rPr>
          <w:rFonts w:hint="eastAsia" w:ascii="宋体" w:hAnsi="宋体" w:cs="宋体"/>
          <w:color w:val="auto"/>
          <w:kern w:val="0"/>
          <w:szCs w:val="21"/>
          <w:lang w:eastAsia="zh-CN"/>
        </w:rPr>
        <w:t>签订</w:t>
      </w:r>
      <w:r>
        <w:rPr>
          <w:rFonts w:hint="eastAsia" w:ascii="宋体" w:hAnsi="宋体" w:cs="宋体"/>
          <w:color w:val="auto"/>
          <w:kern w:val="0"/>
          <w:szCs w:val="21"/>
        </w:rPr>
        <w:t>编号为</w:t>
      </w:r>
      <w:r>
        <w:rPr>
          <w:rFonts w:hint="eastAsia" w:ascii="宋体" w:hAnsi="宋体" w:cs="宋体"/>
          <w:color w:val="auto"/>
          <w:kern w:val="0"/>
          <w:szCs w:val="21"/>
          <w:u w:val="single"/>
        </w:rPr>
        <w:t xml:space="preserve">           </w:t>
      </w:r>
      <w:r>
        <w:rPr>
          <w:rFonts w:hint="eastAsia" w:ascii="宋体" w:hAnsi="宋体" w:cs="宋体"/>
          <w:color w:val="auto"/>
          <w:kern w:val="0"/>
          <w:szCs w:val="21"/>
        </w:rPr>
        <w:t>的《</w:t>
      </w:r>
      <w:r>
        <w:rPr>
          <w:rFonts w:hint="eastAsia" w:ascii="宋体" w:hAnsi="宋体" w:cs="宋体"/>
          <w:color w:val="auto"/>
          <w:kern w:val="0"/>
          <w:szCs w:val="21"/>
          <w:u w:val="single"/>
        </w:rPr>
        <w:t xml:space="preserve">            </w:t>
      </w:r>
      <w:r>
        <w:rPr>
          <w:rFonts w:hint="eastAsia" w:ascii="宋体" w:hAnsi="宋体" w:cs="宋体"/>
          <w:color w:val="auto"/>
          <w:kern w:val="0"/>
          <w:szCs w:val="21"/>
        </w:rPr>
        <w:t>政府采购合同》（以下简称主合同），且依据该合同的约定，供应商应在</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日前向你方交纳履约保证金，且可以履约担保函的形式交纳履约保证金。应供应商的申请，我方以保证的方式向你方提供如下履约保证金担保：</w:t>
      </w:r>
    </w:p>
    <w:p w14:paraId="68CD5493">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一、保证责任的情形及保证金额</w:t>
      </w:r>
    </w:p>
    <w:p w14:paraId="1EA5A9E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（一）在供应商出现下列情形之一时，我方承担保证责任：</w:t>
      </w:r>
    </w:p>
    <w:p w14:paraId="22CCF2D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1．将中标项目转让给他人，或者在</w:t>
      </w:r>
      <w:r>
        <w:rPr>
          <w:rFonts w:hint="eastAsia" w:ascii="宋体" w:hAnsi="宋体" w:cs="宋体"/>
          <w:color w:val="auto"/>
          <w:kern w:val="0"/>
          <w:szCs w:val="21"/>
          <w:lang w:eastAsia="zh-CN"/>
        </w:rPr>
        <w:t>响应文件</w:t>
      </w:r>
      <w:r>
        <w:rPr>
          <w:rFonts w:hint="eastAsia" w:ascii="宋体" w:hAnsi="宋体" w:cs="宋体"/>
          <w:color w:val="auto"/>
          <w:kern w:val="0"/>
          <w:szCs w:val="21"/>
        </w:rPr>
        <w:t>中未说明，且未经采购人同意，将中标项目分包给他人的；</w:t>
      </w:r>
    </w:p>
    <w:p w14:paraId="181CC32E">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2．主合同约定的应当缴纳履约保证金的情形: </w:t>
      </w:r>
    </w:p>
    <w:p w14:paraId="2960005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（1）未按主合同约定的质量、数量和期限供应货物/提供服务/完成工程的； </w:t>
      </w:r>
    </w:p>
    <w:p w14:paraId="68F44385">
      <w:pPr>
        <w:adjustRightInd w:val="0"/>
        <w:snapToGrid w:val="0"/>
        <w:spacing w:line="360" w:lineRule="auto"/>
        <w:ind w:firstLine="420" w:firstLineChars="200"/>
        <w:rPr>
          <w:rFonts w:hint="eastAsia" w:ascii="宋体" w:hAnsi="宋体" w:cs="宋体"/>
          <w:color w:val="auto"/>
          <w:kern w:val="0"/>
          <w:szCs w:val="21"/>
          <w:u w:val="single"/>
        </w:rPr>
      </w:pPr>
      <w:r>
        <w:rPr>
          <w:rFonts w:hint="eastAsia" w:ascii="宋体" w:hAnsi="宋体" w:cs="宋体"/>
          <w:color w:val="auto"/>
          <w:kern w:val="0"/>
          <w:szCs w:val="21"/>
        </w:rPr>
        <w:t>（2）</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4001238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（二）我方的保证范围是主合同约定的合同价款总额的</w:t>
      </w:r>
      <w:r>
        <w:rPr>
          <w:rFonts w:hint="eastAsia" w:ascii="宋体" w:hAnsi="宋体" w:cs="宋体"/>
          <w:color w:val="auto"/>
          <w:kern w:val="0"/>
          <w:szCs w:val="21"/>
          <w:u w:val="single"/>
        </w:rPr>
        <w:t xml:space="preserve">   </w:t>
      </w:r>
      <w:r>
        <w:rPr>
          <w:rFonts w:hint="eastAsia" w:ascii="宋体" w:hAnsi="宋体" w:cs="宋体"/>
          <w:color w:val="auto"/>
          <w:kern w:val="0"/>
          <w:szCs w:val="21"/>
        </w:rPr>
        <w:t>%数额为</w:t>
      </w:r>
      <w:r>
        <w:rPr>
          <w:rFonts w:hint="eastAsia" w:ascii="宋体" w:hAnsi="宋体" w:cs="宋体"/>
          <w:color w:val="auto"/>
          <w:kern w:val="0"/>
          <w:szCs w:val="21"/>
          <w:u w:val="single"/>
        </w:rPr>
        <w:t xml:space="preserve">      </w:t>
      </w:r>
      <w:r>
        <w:rPr>
          <w:rFonts w:hint="eastAsia" w:ascii="宋体" w:hAnsi="宋体" w:cs="宋体"/>
          <w:color w:val="auto"/>
          <w:kern w:val="0"/>
          <w:szCs w:val="21"/>
        </w:rPr>
        <w:t>元（大写</w:t>
      </w:r>
      <w:r>
        <w:rPr>
          <w:rFonts w:hint="eastAsia" w:ascii="宋体" w:hAnsi="宋体" w:cs="宋体"/>
          <w:color w:val="auto"/>
          <w:kern w:val="0"/>
          <w:szCs w:val="21"/>
          <w:u w:val="single"/>
        </w:rPr>
        <w:t xml:space="preserve">                  </w:t>
      </w:r>
      <w:r>
        <w:rPr>
          <w:rFonts w:hint="eastAsia" w:ascii="宋体" w:hAnsi="宋体" w:cs="宋体"/>
          <w:color w:val="auto"/>
          <w:kern w:val="0"/>
          <w:szCs w:val="21"/>
        </w:rPr>
        <w:t>），币种为</w:t>
      </w:r>
      <w:r>
        <w:rPr>
          <w:rFonts w:hint="eastAsia" w:ascii="宋体" w:hAnsi="宋体" w:cs="宋体"/>
          <w:color w:val="auto"/>
          <w:kern w:val="0"/>
          <w:szCs w:val="21"/>
          <w:u w:val="single"/>
        </w:rPr>
        <w:t xml:space="preserve">        </w:t>
      </w:r>
      <w:r>
        <w:rPr>
          <w:rFonts w:hint="eastAsia" w:ascii="宋体" w:hAnsi="宋体" w:cs="宋体"/>
          <w:color w:val="auto"/>
          <w:kern w:val="0"/>
          <w:szCs w:val="21"/>
        </w:rPr>
        <w:t>。（即主合同履约保证金金额）</w:t>
      </w:r>
    </w:p>
    <w:p w14:paraId="4511909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二、保证的方式及保证期间 </w:t>
      </w:r>
    </w:p>
    <w:p w14:paraId="4849762F">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我方保证的方式为：连带责任保证。 </w:t>
      </w:r>
    </w:p>
    <w:p w14:paraId="34C002D6">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我方保证的期间为：自本合同生效之日起至供应商按照主合同约定的供货/完工期限届满后</w:t>
      </w:r>
      <w:r>
        <w:rPr>
          <w:rFonts w:hint="eastAsia" w:ascii="宋体" w:hAnsi="宋体" w:cs="宋体"/>
          <w:color w:val="auto"/>
          <w:kern w:val="0"/>
          <w:szCs w:val="21"/>
          <w:u w:val="single"/>
        </w:rPr>
        <w:t xml:space="preserve">    </w:t>
      </w:r>
      <w:r>
        <w:rPr>
          <w:rFonts w:hint="eastAsia" w:ascii="宋体" w:hAnsi="宋体" w:cs="宋体"/>
          <w:color w:val="auto"/>
          <w:kern w:val="0"/>
          <w:szCs w:val="21"/>
        </w:rPr>
        <w:t>日内。</w:t>
      </w:r>
    </w:p>
    <w:p w14:paraId="7B969EF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如果供应商未按主合同约定向贵方供应货物/提供服务/完成工程的，由我方在保证金额内向你方支付上述款项。 </w:t>
      </w:r>
    </w:p>
    <w:p w14:paraId="346754A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三、承担保证责任的程序</w:t>
      </w:r>
    </w:p>
    <w:p w14:paraId="198FB4D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1．你方要求我方承担保证责任的，应在本保函保证期间内向我方发出书面索赔通知。索赔通知应写明要求索赔的金额，支付款项应到达的账号。并附有证明供应商违约事实的证明材料。 </w:t>
      </w:r>
    </w:p>
    <w:p w14:paraId="74A4AF4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如果你方与供应商因货物质量问题产生争议，你方还需同时提供</w:t>
      </w:r>
      <w:r>
        <w:rPr>
          <w:rFonts w:hint="eastAsia" w:ascii="宋体" w:hAnsi="宋体" w:cs="宋体"/>
          <w:color w:val="auto"/>
          <w:kern w:val="0"/>
          <w:szCs w:val="21"/>
          <w:u w:val="single"/>
        </w:rPr>
        <w:t xml:space="preserve">        </w:t>
      </w:r>
      <w:r>
        <w:rPr>
          <w:rFonts w:hint="eastAsia" w:ascii="宋体" w:hAnsi="宋体" w:cs="宋体"/>
          <w:color w:val="auto"/>
          <w:kern w:val="0"/>
          <w:szCs w:val="21"/>
        </w:rPr>
        <w:t>部门出具的质量检测报告，或经诉讼（仲裁）程序裁决后的裁决书、调解书，本保证人即按照检测结果或裁决书、调解书决定是否承担保证责任。</w:t>
      </w:r>
    </w:p>
    <w:p w14:paraId="22BCA70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2．我方收到你方的书面索赔通知及相应证明材料，在</w:t>
      </w:r>
      <w:r>
        <w:rPr>
          <w:rFonts w:hint="eastAsia" w:ascii="宋体" w:hAnsi="宋体" w:cs="宋体"/>
          <w:color w:val="auto"/>
          <w:kern w:val="0"/>
          <w:szCs w:val="21"/>
          <w:u w:val="single"/>
        </w:rPr>
        <w:t xml:space="preserve">    </w:t>
      </w:r>
      <w:r>
        <w:rPr>
          <w:rFonts w:hint="eastAsia" w:ascii="宋体" w:hAnsi="宋体" w:cs="宋体"/>
          <w:color w:val="auto"/>
          <w:kern w:val="0"/>
          <w:szCs w:val="21"/>
        </w:rPr>
        <w:t>工作日内进行核定后按照本保函的承诺承担保证责任。</w:t>
      </w:r>
    </w:p>
    <w:p w14:paraId="50B23B82">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四、保证责任的终止</w:t>
      </w:r>
    </w:p>
    <w:p w14:paraId="770E687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1．保证期间届满你方未向我方书面主张保证责任的，自保证期间届满次日起，我方保证责任自动终止。保证期间届满前，主合同约定的货物\工程\服务全部验收合格的，自验收合</w:t>
      </w:r>
      <w:r>
        <w:rPr>
          <w:rFonts w:hint="eastAsia" w:ascii="宋体" w:hAnsi="宋体" w:cs="宋体"/>
          <w:color w:val="auto"/>
          <w:kern w:val="0"/>
          <w:szCs w:val="21"/>
          <w:lang w:eastAsia="zh-CN"/>
        </w:rPr>
        <w:t>格之</w:t>
      </w:r>
      <w:r>
        <w:rPr>
          <w:rFonts w:hint="eastAsia" w:ascii="宋体" w:hAnsi="宋体" w:cs="宋体"/>
          <w:color w:val="auto"/>
          <w:kern w:val="0"/>
          <w:szCs w:val="21"/>
        </w:rPr>
        <w:t>日起，我方保证责任自动终止。</w:t>
      </w:r>
    </w:p>
    <w:p w14:paraId="412C8BB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2．我方按照本保函向你方履行了保证责任后，自我方向你方支付款项（支付款项从我方账户划出）之日起，保证责任即终止。</w:t>
      </w:r>
    </w:p>
    <w:p w14:paraId="6F38C09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3．按照法律法规的规定或出现应终止我方保证责任的其它情形的，我方在本保函项下的保证责任亦终止。</w:t>
      </w:r>
    </w:p>
    <w:p w14:paraId="496420E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8BE7626">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五、免责条款</w:t>
      </w:r>
    </w:p>
    <w:p w14:paraId="1F4F6A3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1．因你方违反主合同约定致使供应商不能履行义务的，我方不承担保证责任。</w:t>
      </w:r>
    </w:p>
    <w:p w14:paraId="79CF1E7C">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2．依照法律法规的规定或你方与供应商的另行约定，全部或者部分免除供应商应缴纳的保证金义务的，我方亦免除相应的保证责任。</w:t>
      </w:r>
    </w:p>
    <w:p w14:paraId="667EBE10">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3．因不可抗力造成供应商不能履行供货义务的，我方不承担保证责任。</w:t>
      </w:r>
    </w:p>
    <w:p w14:paraId="62A4B75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六、争议的解决</w:t>
      </w:r>
    </w:p>
    <w:p w14:paraId="3ABE9888">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因本保函发生的纠纷，由你我双方协商解决，协商不成的，通过诉讼程序解决，诉讼管辖地法院为</w:t>
      </w:r>
      <w:r>
        <w:rPr>
          <w:rFonts w:hint="eastAsia" w:ascii="宋体" w:hAnsi="宋体" w:cs="宋体"/>
          <w:color w:val="auto"/>
          <w:kern w:val="0"/>
          <w:szCs w:val="21"/>
          <w:u w:val="single"/>
        </w:rPr>
        <w:t xml:space="preserve">          </w:t>
      </w:r>
      <w:r>
        <w:rPr>
          <w:rFonts w:hint="eastAsia" w:ascii="宋体" w:hAnsi="宋体" w:cs="宋体"/>
          <w:color w:val="auto"/>
          <w:kern w:val="0"/>
          <w:szCs w:val="21"/>
        </w:rPr>
        <w:t>法院。</w:t>
      </w:r>
    </w:p>
    <w:p w14:paraId="67BA13AD">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七、保函的生效 </w:t>
      </w:r>
    </w:p>
    <w:p w14:paraId="43033EF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本保函自我方加盖公章之日起生效。 </w:t>
      </w:r>
    </w:p>
    <w:p w14:paraId="0FB0F178">
      <w:pPr>
        <w:tabs>
          <w:tab w:val="left" w:pos="2850"/>
        </w:tabs>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rPr>
        <w:tab/>
      </w:r>
      <w:r>
        <w:rPr>
          <w:rFonts w:hint="eastAsia" w:ascii="宋体" w:hAnsi="宋体" w:cs="宋体"/>
          <w:color w:val="auto"/>
          <w:kern w:val="0"/>
          <w:szCs w:val="21"/>
        </w:rPr>
        <w:t xml:space="preserve">          保证人：（公章） </w:t>
      </w:r>
    </w:p>
    <w:p w14:paraId="14BBD5F5">
      <w:pPr>
        <w:adjustRightInd w:val="0"/>
        <w:snapToGrid w:val="0"/>
        <w:spacing w:line="360" w:lineRule="auto"/>
        <w:rPr>
          <w:rFonts w:hint="eastAsia" w:ascii="宋体" w:hAnsi="宋体" w:cs="宋体"/>
          <w:color w:val="auto"/>
          <w:kern w:val="0"/>
          <w:szCs w:val="21"/>
          <w:u w:val="none"/>
          <w:lang w:val="en-US" w:eastAsia="zh-CN"/>
        </w:rPr>
        <w:sectPr>
          <w:pgSz w:w="11906" w:h="16838"/>
          <w:pgMar w:top="1134" w:right="1134" w:bottom="1134" w:left="1134" w:header="851" w:footer="992" w:gutter="0"/>
          <w:pgNumType w:fmt="decimal"/>
          <w:cols w:space="720" w:num="1"/>
          <w:docGrid w:linePitch="312" w:charSpace="0"/>
        </w:sect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w:t>
      </w:r>
      <w:r>
        <w:rPr>
          <w:rFonts w:hint="eastAsia" w:ascii="宋体" w:hAnsi="宋体" w:cs="宋体"/>
          <w:color w:val="auto"/>
          <w:kern w:val="0"/>
          <w:szCs w:val="21"/>
          <w:u w:val="single"/>
        </w:rPr>
        <w:t xml:space="preserve">  </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u w:val="none"/>
          <w:lang w:val="en-US" w:eastAsia="zh-CN"/>
        </w:rPr>
        <w:t>月</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none"/>
          <w:lang w:val="en-US" w:eastAsia="zh-CN"/>
        </w:rPr>
        <w:t xml:space="preserve"> 日</w:t>
      </w:r>
    </w:p>
    <w:p w14:paraId="29EA831B">
      <w:pPr>
        <w:pStyle w:val="4"/>
        <w:pageBreakBefore w:val="0"/>
        <w:widowControl w:val="0"/>
        <w:kinsoku/>
        <w:wordWrap/>
        <w:overflowPunct/>
        <w:topLinePunct w:val="0"/>
        <w:autoSpaceDE/>
        <w:autoSpaceDN/>
        <w:bidi w:val="0"/>
        <w:adjustRightInd/>
        <w:snapToGrid/>
        <w:spacing w:before="0" w:after="0" w:line="336"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附页1：评审方法</w:t>
      </w:r>
    </w:p>
    <w:p w14:paraId="0D813D7C">
      <w:pPr>
        <w:pageBreakBefore w:val="0"/>
        <w:widowControl w:val="0"/>
        <w:kinsoku/>
        <w:wordWrap/>
        <w:overflowPunct/>
        <w:topLinePunct w:val="0"/>
        <w:autoSpaceDE/>
        <w:autoSpaceDN/>
        <w:bidi w:val="0"/>
        <w:adjustRightInd/>
        <w:snapToGrid/>
        <w:spacing w:line="336" w:lineRule="auto"/>
        <w:jc w:val="center"/>
        <w:textAlignment w:val="auto"/>
        <w:rPr>
          <w:rFonts w:hint="eastAsia" w:ascii="宋体" w:hAnsi="宋体" w:eastAsia="宋体" w:cs="宋体"/>
          <w:b/>
          <w:color w:val="auto"/>
          <w:sz w:val="36"/>
          <w:szCs w:val="36"/>
          <w:highlight w:val="none"/>
        </w:rPr>
      </w:pPr>
      <w:bookmarkStart w:id="0" w:name="_Toc485821379"/>
      <w:bookmarkStart w:id="1" w:name="_Toc17929"/>
      <w:r>
        <w:rPr>
          <w:rFonts w:hint="eastAsia" w:ascii="宋体" w:hAnsi="宋体" w:eastAsia="宋体" w:cs="宋体"/>
          <w:b/>
          <w:bCs/>
          <w:color w:val="auto"/>
          <w:sz w:val="36"/>
          <w:szCs w:val="36"/>
          <w:highlight w:val="none"/>
        </w:rPr>
        <w:t>评审方法</w:t>
      </w:r>
    </w:p>
    <w:p w14:paraId="65783AB6">
      <w:pPr>
        <w:pageBreakBefore w:val="0"/>
        <w:widowControl w:val="0"/>
        <w:numPr>
          <w:ilvl w:val="0"/>
          <w:numId w:val="3"/>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通则</w:t>
      </w:r>
      <w:bookmarkEnd w:id="0"/>
      <w:bookmarkEnd w:id="1"/>
    </w:p>
    <w:p w14:paraId="023702EF">
      <w:pPr>
        <w:pageBreakBefore w:val="0"/>
        <w:widowControl w:val="0"/>
        <w:numPr>
          <w:ilvl w:val="1"/>
          <w:numId w:val="4"/>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评审采用</w:t>
      </w:r>
      <w:bookmarkStart w:id="2" w:name="_Toc324196831"/>
      <w:r>
        <w:rPr>
          <w:rFonts w:hint="eastAsia" w:ascii="宋体" w:hAnsi="宋体" w:eastAsia="宋体" w:cs="宋体"/>
          <w:color w:val="auto"/>
          <w:szCs w:val="21"/>
          <w:highlight w:val="none"/>
        </w:rPr>
        <w:t>“综合评分法</w:t>
      </w:r>
      <w:bookmarkEnd w:id="2"/>
      <w:r>
        <w:rPr>
          <w:rFonts w:hint="eastAsia" w:ascii="宋体" w:hAnsi="宋体" w:eastAsia="宋体" w:cs="宋体"/>
          <w:color w:val="auto"/>
          <w:szCs w:val="21"/>
          <w:highlight w:val="none"/>
        </w:rPr>
        <w:t>”。</w:t>
      </w:r>
    </w:p>
    <w:p w14:paraId="1F77FD6B">
      <w:pPr>
        <w:pageBreakBefore w:val="0"/>
        <w:widowControl w:val="0"/>
        <w:numPr>
          <w:ilvl w:val="1"/>
          <w:numId w:val="4"/>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评审因素：价格、</w:t>
      </w:r>
      <w:r>
        <w:rPr>
          <w:rFonts w:hint="eastAsia" w:ascii="宋体" w:hAnsi="宋体" w:eastAsia="宋体" w:cs="宋体"/>
          <w:color w:val="auto"/>
          <w:szCs w:val="21"/>
          <w:highlight w:val="none"/>
          <w:lang w:val="en-US" w:eastAsia="zh-CN"/>
        </w:rPr>
        <w:t>商务、</w:t>
      </w:r>
      <w:r>
        <w:rPr>
          <w:rFonts w:hint="eastAsia" w:ascii="宋体" w:hAnsi="宋体" w:eastAsia="宋体" w:cs="宋体"/>
          <w:color w:val="auto"/>
          <w:szCs w:val="21"/>
          <w:highlight w:val="none"/>
        </w:rPr>
        <w:t>技术对磋商文件的响应程度，以及相应的比重或者权值等，但不包括《第二章 磋商须知第3.1</w:t>
      </w:r>
      <w:r>
        <w:rPr>
          <w:rFonts w:hint="eastAsia" w:ascii="宋体" w:hAnsi="宋体" w:eastAsia="宋体" w:cs="宋体"/>
          <w:color w:val="auto"/>
          <w:szCs w:val="21"/>
          <w:highlight w:val="none"/>
          <w:lang w:val="en-US" w:eastAsia="zh-CN"/>
        </w:rPr>
        <w:t>款</w:t>
      </w:r>
      <w:r>
        <w:rPr>
          <w:rFonts w:hint="eastAsia" w:ascii="宋体" w:hAnsi="宋体" w:eastAsia="宋体" w:cs="宋体"/>
          <w:color w:val="auto"/>
          <w:szCs w:val="21"/>
          <w:highlight w:val="none"/>
        </w:rPr>
        <w:t>》规定的供应商资格条件。</w:t>
      </w:r>
    </w:p>
    <w:p w14:paraId="01D2B30C">
      <w:pPr>
        <w:pageBreakBefore w:val="0"/>
        <w:widowControl w:val="0"/>
        <w:numPr>
          <w:ilvl w:val="0"/>
          <w:numId w:val="3"/>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评审程序</w:t>
      </w:r>
    </w:p>
    <w:p w14:paraId="6E08CA23">
      <w:pPr>
        <w:pageBreakBefore w:val="0"/>
        <w:widowControl w:val="0"/>
        <w:kinsoku/>
        <w:wordWrap/>
        <w:overflowPunct/>
        <w:topLinePunct w:val="0"/>
        <w:autoSpaceDE/>
        <w:autoSpaceDN/>
        <w:bidi w:val="0"/>
        <w:adjustRightInd/>
        <w:snapToGrid/>
        <w:spacing w:line="336" w:lineRule="auto"/>
        <w:ind w:right="-109" w:rightChars="-52" w:firstLine="630" w:firstLineChars="300"/>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资格</w:t>
      </w:r>
      <w:r>
        <w:rPr>
          <w:rFonts w:hint="eastAsia" w:ascii="宋体" w:hAnsi="宋体" w:eastAsia="宋体" w:cs="宋体"/>
          <w:color w:val="auto"/>
          <w:kern w:val="0"/>
          <w:highlight w:val="none"/>
          <w:lang w:val="en-US" w:eastAsia="zh-CN"/>
        </w:rPr>
        <w:t>性</w:t>
      </w:r>
      <w:r>
        <w:rPr>
          <w:rFonts w:hint="eastAsia" w:ascii="宋体" w:hAnsi="宋体" w:eastAsia="宋体" w:cs="宋体"/>
          <w:color w:val="auto"/>
          <w:kern w:val="0"/>
          <w:highlight w:val="none"/>
        </w:rPr>
        <w:t>审查、</w:t>
      </w:r>
      <w:r>
        <w:rPr>
          <w:rFonts w:hint="eastAsia" w:ascii="宋体" w:hAnsi="宋体" w:eastAsia="宋体" w:cs="宋体"/>
          <w:color w:val="auto"/>
          <w:kern w:val="0"/>
          <w:highlight w:val="none"/>
          <w:lang w:val="en-US" w:eastAsia="zh-CN"/>
        </w:rPr>
        <w:t>符合性</w:t>
      </w:r>
      <w:r>
        <w:rPr>
          <w:rFonts w:hint="eastAsia" w:ascii="宋体" w:hAnsi="宋体" w:eastAsia="宋体" w:cs="宋体"/>
          <w:color w:val="auto"/>
          <w:kern w:val="0"/>
          <w:highlight w:val="none"/>
        </w:rPr>
        <w:t>审查、磋商（</w:t>
      </w:r>
      <w:r>
        <w:rPr>
          <w:rFonts w:hint="eastAsia" w:ascii="宋体" w:hAnsi="宋体" w:eastAsia="宋体" w:cs="宋体"/>
          <w:color w:val="auto"/>
          <w:szCs w:val="21"/>
          <w:highlight w:val="none"/>
        </w:rPr>
        <w:t>包括澄清</w:t>
      </w:r>
      <w:r>
        <w:rPr>
          <w:rFonts w:hint="eastAsia" w:ascii="宋体" w:hAnsi="宋体" w:eastAsia="宋体" w:cs="宋体"/>
          <w:color w:val="auto"/>
          <w:kern w:val="0"/>
          <w:highlight w:val="none"/>
        </w:rPr>
        <w:t>、符合性评审查）、</w:t>
      </w:r>
      <w:r>
        <w:rPr>
          <w:rFonts w:hint="eastAsia" w:ascii="宋体" w:hAnsi="宋体" w:eastAsia="宋体" w:cs="宋体"/>
          <w:color w:val="auto"/>
          <w:highlight w:val="none"/>
        </w:rPr>
        <w:t>提出成交供应商。</w:t>
      </w:r>
    </w:p>
    <w:p w14:paraId="69ADFBE3">
      <w:pPr>
        <w:pageBreakBefore w:val="0"/>
        <w:widowControl w:val="0"/>
        <w:numPr>
          <w:ilvl w:val="1"/>
          <w:numId w:val="5"/>
        </w:numPr>
        <w:kinsoku/>
        <w:wordWrap/>
        <w:overflowPunct/>
        <w:topLinePunct w:val="0"/>
        <w:autoSpaceDE/>
        <w:autoSpaceDN/>
        <w:bidi w:val="0"/>
        <w:adjustRightInd/>
        <w:snapToGrid/>
        <w:spacing w:line="336" w:lineRule="auto"/>
        <w:ind w:left="632" w:hanging="632" w:hangingChars="3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供应商资格审查：</w:t>
      </w:r>
    </w:p>
    <w:p w14:paraId="2C0FF9B7">
      <w:pPr>
        <w:keepNext w:val="0"/>
        <w:keepLines w:val="0"/>
        <w:pageBreakBefore w:val="0"/>
        <w:widowControl/>
        <w:numPr>
          <w:ilvl w:val="1"/>
          <w:numId w:val="0"/>
        </w:numPr>
        <w:kinsoku/>
        <w:wordWrap/>
        <w:overflowPunct/>
        <w:topLinePunct w:val="0"/>
        <w:autoSpaceDE/>
        <w:autoSpaceDN/>
        <w:bidi w:val="0"/>
        <w:adjustRightInd/>
        <w:snapToGrid/>
        <w:spacing w:line="400" w:lineRule="exact"/>
        <w:ind w:left="3570" w:leftChars="0" w:firstLine="0" w:firstLineChars="0"/>
        <w:jc w:val="left"/>
        <w:textAlignment w:val="auto"/>
        <w:outlineLvl w:val="4"/>
        <w:rPr>
          <w:rFonts w:hint="eastAsia" w:ascii="宋体" w:hAnsi="宋体" w:eastAsia="宋体" w:cs="宋体"/>
          <w:b/>
          <w:color w:val="auto"/>
          <w:szCs w:val="21"/>
          <w:highlight w:val="none"/>
        </w:rPr>
      </w:pPr>
      <w:bookmarkStart w:id="3" w:name="_Toc8161080"/>
      <w:bookmarkStart w:id="4" w:name="_Toc2485"/>
      <w:r>
        <w:rPr>
          <w:rFonts w:hint="default" w:ascii="宋体" w:hAnsi="宋体" w:eastAsia="宋体" w:cs="宋体"/>
          <w:b w:val="0"/>
          <w:color w:val="auto"/>
          <w:kern w:val="2"/>
          <w:sz w:val="21"/>
          <w:szCs w:val="21"/>
          <w:lang w:val="en-US" w:eastAsia="zh-CN" w:bidi="ar-SA"/>
        </w:rPr>
        <w:t xml:space="preserve">表1 </w:t>
      </w:r>
      <w:r>
        <w:rPr>
          <w:rFonts w:hint="eastAsia" w:ascii="宋体" w:hAnsi="宋体" w:eastAsia="宋体" w:cs="宋体"/>
          <w:b/>
          <w:color w:val="auto"/>
          <w:szCs w:val="21"/>
          <w:highlight w:val="none"/>
        </w:rPr>
        <w:t>资格性审查表</w:t>
      </w:r>
      <w:bookmarkEnd w:id="3"/>
      <w:bookmarkEnd w:id="4"/>
    </w:p>
    <w:tbl>
      <w:tblPr>
        <w:tblStyle w:val="44"/>
        <w:tblW w:w="104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
        <w:gridCol w:w="6368"/>
        <w:gridCol w:w="2673"/>
        <w:gridCol w:w="300"/>
        <w:gridCol w:w="354"/>
        <w:gridCol w:w="327"/>
        <w:gridCol w:w="6"/>
      </w:tblGrid>
      <w:tr w14:paraId="28B8F4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blHeader/>
          <w:jc w:val="center"/>
        </w:trPr>
        <w:tc>
          <w:tcPr>
            <w:tcW w:w="389" w:type="dxa"/>
            <w:vMerge w:val="restart"/>
            <w:tcBorders>
              <w:top w:val="single" w:color="auto" w:sz="4" w:space="0"/>
              <w:left w:val="single" w:color="auto" w:sz="4" w:space="0"/>
            </w:tcBorders>
            <w:noWrap w:val="0"/>
            <w:vAlign w:val="center"/>
          </w:tcPr>
          <w:p w14:paraId="4E34029D">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序号</w:t>
            </w:r>
          </w:p>
        </w:tc>
        <w:tc>
          <w:tcPr>
            <w:tcW w:w="6368" w:type="dxa"/>
            <w:vMerge w:val="restart"/>
            <w:tcBorders>
              <w:top w:val="single" w:color="auto" w:sz="4" w:space="0"/>
            </w:tcBorders>
            <w:noWrap w:val="0"/>
            <w:vAlign w:val="center"/>
          </w:tcPr>
          <w:p w14:paraId="54AF0CFD">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检查项目</w:t>
            </w:r>
          </w:p>
        </w:tc>
        <w:tc>
          <w:tcPr>
            <w:tcW w:w="2673" w:type="dxa"/>
            <w:vMerge w:val="restart"/>
            <w:tcBorders>
              <w:top w:val="single" w:color="auto" w:sz="4" w:space="0"/>
              <w:right w:val="single" w:color="auto" w:sz="4" w:space="0"/>
            </w:tcBorders>
            <w:noWrap w:val="0"/>
            <w:vAlign w:val="center"/>
          </w:tcPr>
          <w:p w14:paraId="5FD10673">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检查标准</w:t>
            </w:r>
          </w:p>
        </w:tc>
        <w:tc>
          <w:tcPr>
            <w:tcW w:w="987" w:type="dxa"/>
            <w:gridSpan w:val="4"/>
            <w:tcBorders>
              <w:top w:val="single" w:color="auto" w:sz="4" w:space="0"/>
              <w:right w:val="single" w:color="auto" w:sz="4" w:space="0"/>
            </w:tcBorders>
            <w:noWrap w:val="0"/>
            <w:vAlign w:val="center"/>
          </w:tcPr>
          <w:p w14:paraId="1AA3D7CC">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b/>
                <w:color w:val="auto"/>
                <w:highlight w:val="none"/>
                <w:lang w:eastAsia="zh-CN"/>
              </w:rPr>
              <w:t>供应商</w:t>
            </w:r>
          </w:p>
        </w:tc>
      </w:tr>
      <w:tr w14:paraId="383D22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blHeader/>
          <w:jc w:val="center"/>
        </w:trPr>
        <w:tc>
          <w:tcPr>
            <w:tcW w:w="389" w:type="dxa"/>
            <w:vMerge w:val="continue"/>
            <w:tcBorders>
              <w:left w:val="single" w:color="auto" w:sz="4" w:space="0"/>
            </w:tcBorders>
            <w:noWrap w:val="0"/>
            <w:vAlign w:val="center"/>
          </w:tcPr>
          <w:p w14:paraId="6AB99088">
            <w:pPr>
              <w:widowControl/>
              <w:spacing w:before="24" w:beforeLines="10" w:after="24" w:afterLines="10" w:line="300" w:lineRule="exact"/>
              <w:rPr>
                <w:rFonts w:hint="eastAsia" w:ascii="宋体" w:hAnsi="宋体" w:eastAsia="宋体" w:cs="宋体"/>
                <w:b/>
                <w:color w:val="auto"/>
                <w:highlight w:val="none"/>
              </w:rPr>
            </w:pPr>
          </w:p>
        </w:tc>
        <w:tc>
          <w:tcPr>
            <w:tcW w:w="6368" w:type="dxa"/>
            <w:vMerge w:val="continue"/>
            <w:noWrap w:val="0"/>
            <w:vAlign w:val="center"/>
          </w:tcPr>
          <w:p w14:paraId="5B280918">
            <w:pPr>
              <w:widowControl/>
              <w:spacing w:before="24" w:beforeLines="10" w:after="24" w:afterLines="10" w:line="300" w:lineRule="exact"/>
              <w:rPr>
                <w:rFonts w:hint="eastAsia" w:ascii="宋体" w:hAnsi="宋体" w:eastAsia="宋体" w:cs="宋体"/>
                <w:b/>
                <w:color w:val="auto"/>
                <w:highlight w:val="none"/>
              </w:rPr>
            </w:pPr>
          </w:p>
        </w:tc>
        <w:tc>
          <w:tcPr>
            <w:tcW w:w="2673" w:type="dxa"/>
            <w:vMerge w:val="continue"/>
            <w:tcBorders>
              <w:right w:val="single" w:color="auto" w:sz="4" w:space="0"/>
            </w:tcBorders>
            <w:noWrap w:val="0"/>
            <w:vAlign w:val="center"/>
          </w:tcPr>
          <w:p w14:paraId="625B19D5">
            <w:pPr>
              <w:widowControl/>
              <w:spacing w:before="24" w:beforeLines="10" w:after="24" w:afterLines="10" w:line="300" w:lineRule="exact"/>
              <w:rPr>
                <w:rFonts w:hint="eastAsia" w:ascii="宋体" w:hAnsi="宋体" w:eastAsia="宋体" w:cs="宋体"/>
                <w:b/>
                <w:color w:val="auto"/>
                <w:highlight w:val="none"/>
              </w:rPr>
            </w:pPr>
          </w:p>
        </w:tc>
        <w:tc>
          <w:tcPr>
            <w:tcW w:w="300" w:type="dxa"/>
            <w:noWrap w:val="0"/>
            <w:vAlign w:val="center"/>
          </w:tcPr>
          <w:p w14:paraId="111077C0">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354" w:type="dxa"/>
            <w:noWrap w:val="0"/>
            <w:vAlign w:val="center"/>
          </w:tcPr>
          <w:p w14:paraId="31D601DF">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333" w:type="dxa"/>
            <w:gridSpan w:val="2"/>
            <w:tcBorders>
              <w:right w:val="single" w:color="auto" w:sz="4" w:space="0"/>
            </w:tcBorders>
            <w:noWrap w:val="0"/>
            <w:vAlign w:val="center"/>
          </w:tcPr>
          <w:p w14:paraId="6D4895E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A33A0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389" w:type="dxa"/>
            <w:tcBorders>
              <w:left w:val="single" w:color="auto" w:sz="4" w:space="0"/>
            </w:tcBorders>
            <w:noWrap w:val="0"/>
            <w:vAlign w:val="center"/>
          </w:tcPr>
          <w:p w14:paraId="3F4EF4B5">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p>
        </w:tc>
        <w:tc>
          <w:tcPr>
            <w:tcW w:w="6368" w:type="dxa"/>
            <w:noWrap w:val="0"/>
            <w:vAlign w:val="center"/>
          </w:tcPr>
          <w:p w14:paraId="0DF76A9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rPr>
              <w:t>（法人参加磋商）法定代表人身份证或（委托人参加磋商）法人授权委托书及被委托人身份证</w:t>
            </w:r>
            <w:r>
              <w:rPr>
                <w:rFonts w:hint="eastAsia" w:ascii="宋体" w:hAnsi="宋体" w:eastAsia="宋体" w:cs="宋体"/>
                <w:color w:val="auto"/>
                <w:sz w:val="20"/>
                <w:szCs w:val="22"/>
                <w:highlight w:val="none"/>
                <w:lang w:eastAsia="zh-CN"/>
              </w:rPr>
              <w:t>。</w:t>
            </w:r>
          </w:p>
        </w:tc>
        <w:tc>
          <w:tcPr>
            <w:tcW w:w="2673" w:type="dxa"/>
            <w:shd w:val="clear" w:color="auto" w:fill="auto"/>
            <w:noWrap w:val="0"/>
            <w:vAlign w:val="center"/>
          </w:tcPr>
          <w:p w14:paraId="29615BF1">
            <w:pPr>
              <w:widowControl/>
              <w:spacing w:before="24" w:beforeLines="10" w:after="24" w:afterLines="10" w:line="300" w:lineRule="exact"/>
              <w:jc w:val="both"/>
              <w:rPr>
                <w:rFonts w:hint="eastAsia" w:ascii="宋体" w:hAnsi="宋体" w:eastAsia="宋体" w:cs="宋体"/>
                <w:color w:val="auto"/>
                <w:kern w:val="2"/>
                <w:sz w:val="20"/>
                <w:szCs w:val="22"/>
                <w:highlight w:val="none"/>
                <w:lang w:val="en-US" w:eastAsia="zh-CN" w:bidi="ar-SA"/>
              </w:rPr>
            </w:pPr>
            <w:r>
              <w:rPr>
                <w:rFonts w:hint="eastAsia" w:ascii="宋体" w:hAnsi="宋体" w:eastAsia="宋体" w:cs="宋体"/>
                <w:color w:val="auto"/>
                <w:sz w:val="20"/>
                <w:szCs w:val="22"/>
                <w:highlight w:val="none"/>
                <w:lang w:eastAsia="zh-CN"/>
              </w:rPr>
              <w:t>查验</w:t>
            </w:r>
            <w:r>
              <w:rPr>
                <w:rFonts w:hint="eastAsia" w:ascii="宋体" w:hAnsi="宋体" w:eastAsia="宋体" w:cs="宋体"/>
                <w:color w:val="auto"/>
                <w:sz w:val="20"/>
                <w:szCs w:val="22"/>
                <w:highlight w:val="none"/>
                <w:lang w:val="en-US" w:eastAsia="zh-CN"/>
              </w:rPr>
              <w:t>复印件</w:t>
            </w:r>
            <w:r>
              <w:rPr>
                <w:rFonts w:hint="eastAsia" w:ascii="宋体" w:hAnsi="宋体" w:eastAsia="宋体" w:cs="宋体"/>
                <w:color w:val="auto"/>
                <w:sz w:val="20"/>
                <w:szCs w:val="22"/>
                <w:highlight w:val="none"/>
                <w:lang w:eastAsia="zh-CN"/>
              </w:rPr>
              <w:t>（可装订在响应文件正本中）</w:t>
            </w:r>
          </w:p>
        </w:tc>
        <w:tc>
          <w:tcPr>
            <w:tcW w:w="300" w:type="dxa"/>
            <w:noWrap w:val="0"/>
            <w:vAlign w:val="center"/>
          </w:tcPr>
          <w:p w14:paraId="6E50B6A1">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37468040">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4877D22F">
            <w:pPr>
              <w:widowControl/>
              <w:spacing w:before="24" w:beforeLines="10" w:after="24" w:afterLines="10" w:line="300" w:lineRule="exact"/>
              <w:jc w:val="center"/>
              <w:rPr>
                <w:rFonts w:hint="eastAsia" w:ascii="宋体" w:hAnsi="宋体" w:eastAsia="宋体" w:cs="宋体"/>
                <w:color w:val="auto"/>
                <w:highlight w:val="none"/>
              </w:rPr>
            </w:pPr>
          </w:p>
        </w:tc>
      </w:tr>
      <w:tr w14:paraId="662227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389" w:type="dxa"/>
            <w:tcBorders>
              <w:left w:val="single" w:color="auto" w:sz="4" w:space="0"/>
            </w:tcBorders>
            <w:noWrap w:val="0"/>
            <w:vAlign w:val="center"/>
          </w:tcPr>
          <w:p w14:paraId="4E8FB1EB">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p>
        </w:tc>
        <w:tc>
          <w:tcPr>
            <w:tcW w:w="6368" w:type="dxa"/>
            <w:noWrap w:val="0"/>
            <w:vAlign w:val="center"/>
          </w:tcPr>
          <w:p w14:paraId="1D6FD808">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营业执照副本</w:t>
            </w:r>
          </w:p>
        </w:tc>
        <w:tc>
          <w:tcPr>
            <w:tcW w:w="2673" w:type="dxa"/>
            <w:shd w:val="clear" w:color="auto" w:fill="auto"/>
            <w:noWrap w:val="0"/>
            <w:vAlign w:val="center"/>
          </w:tcPr>
          <w:p w14:paraId="12EE2A28">
            <w:pPr>
              <w:widowControl/>
              <w:spacing w:before="24" w:beforeLines="10" w:after="24" w:afterLines="10" w:line="300" w:lineRule="exact"/>
              <w:jc w:val="both"/>
              <w:rPr>
                <w:rFonts w:hint="eastAsia" w:ascii="宋体" w:hAnsi="宋体" w:eastAsia="宋体" w:cs="宋体"/>
                <w:color w:val="auto"/>
                <w:kern w:val="2"/>
                <w:sz w:val="20"/>
                <w:szCs w:val="22"/>
                <w:highlight w:val="none"/>
                <w:lang w:val="en-US" w:eastAsia="zh-CN" w:bidi="ar-SA"/>
              </w:rPr>
            </w:pPr>
            <w:r>
              <w:rPr>
                <w:rFonts w:hint="eastAsia" w:ascii="宋体" w:hAnsi="宋体" w:eastAsia="宋体" w:cs="宋体"/>
                <w:color w:val="auto"/>
                <w:sz w:val="20"/>
                <w:szCs w:val="22"/>
                <w:highlight w:val="none"/>
                <w:lang w:eastAsia="zh-CN"/>
              </w:rPr>
              <w:t>查验响应文件中证书复印件加盖公章，要求：真实有效</w:t>
            </w:r>
          </w:p>
        </w:tc>
        <w:tc>
          <w:tcPr>
            <w:tcW w:w="300" w:type="dxa"/>
            <w:noWrap w:val="0"/>
            <w:vAlign w:val="center"/>
          </w:tcPr>
          <w:p w14:paraId="406154B3">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5B993CC8">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27F015E3">
            <w:pPr>
              <w:widowControl/>
              <w:spacing w:before="24" w:beforeLines="10" w:after="24" w:afterLines="10" w:line="300" w:lineRule="exact"/>
              <w:jc w:val="center"/>
              <w:rPr>
                <w:rFonts w:hint="eastAsia" w:ascii="宋体" w:hAnsi="宋体" w:eastAsia="宋体" w:cs="宋体"/>
                <w:color w:val="auto"/>
                <w:highlight w:val="none"/>
              </w:rPr>
            </w:pPr>
          </w:p>
        </w:tc>
      </w:tr>
      <w:tr w14:paraId="173F9B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389" w:type="dxa"/>
            <w:tcBorders>
              <w:left w:val="single" w:color="auto" w:sz="4" w:space="0"/>
            </w:tcBorders>
            <w:noWrap w:val="0"/>
            <w:vAlign w:val="center"/>
          </w:tcPr>
          <w:p w14:paraId="56687922">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6368" w:type="dxa"/>
            <w:noWrap w:val="0"/>
            <w:vAlign w:val="center"/>
          </w:tcPr>
          <w:p w14:paraId="480196F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val="en-US" w:eastAsia="zh-CN"/>
              </w:rPr>
              <w:t>供应商</w:t>
            </w:r>
            <w:r>
              <w:rPr>
                <w:rFonts w:hint="eastAsia" w:ascii="宋体" w:hAnsi="宋体" w:eastAsia="宋体" w:cs="宋体"/>
                <w:color w:val="auto"/>
                <w:sz w:val="20"/>
                <w:szCs w:val="22"/>
                <w:highlight w:val="none"/>
              </w:rPr>
              <w:t>具备文物行政主管部门颁发的文物保护工程施工壹级资质（含古建筑维修保护），安全生产许可证处于有效期</w:t>
            </w:r>
          </w:p>
        </w:tc>
        <w:tc>
          <w:tcPr>
            <w:tcW w:w="2673" w:type="dxa"/>
            <w:shd w:val="clear" w:color="auto" w:fill="auto"/>
            <w:noWrap w:val="0"/>
            <w:vAlign w:val="center"/>
          </w:tcPr>
          <w:p w14:paraId="482FE503">
            <w:pPr>
              <w:widowControl/>
              <w:spacing w:before="24" w:beforeLines="10" w:after="24" w:afterLines="10" w:line="300" w:lineRule="exact"/>
              <w:jc w:val="both"/>
              <w:rPr>
                <w:rFonts w:hint="eastAsia" w:ascii="宋体" w:hAnsi="宋体" w:eastAsia="宋体" w:cs="宋体"/>
                <w:color w:val="auto"/>
                <w:kern w:val="2"/>
                <w:sz w:val="20"/>
                <w:szCs w:val="22"/>
                <w:highlight w:val="none"/>
                <w:lang w:val="en-US" w:eastAsia="zh-CN" w:bidi="ar-SA"/>
              </w:rPr>
            </w:pPr>
            <w:r>
              <w:rPr>
                <w:rFonts w:hint="eastAsia" w:ascii="宋体" w:hAnsi="宋体" w:eastAsia="宋体" w:cs="宋体"/>
                <w:color w:val="auto"/>
                <w:sz w:val="20"/>
                <w:szCs w:val="22"/>
                <w:highlight w:val="none"/>
                <w:lang w:eastAsia="zh-CN"/>
              </w:rPr>
              <w:t>查验复印件加盖公章。要求：真实有效</w:t>
            </w:r>
          </w:p>
        </w:tc>
        <w:tc>
          <w:tcPr>
            <w:tcW w:w="300" w:type="dxa"/>
            <w:noWrap w:val="0"/>
            <w:vAlign w:val="center"/>
          </w:tcPr>
          <w:p w14:paraId="07962445">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072D4917">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0E08D8CC">
            <w:pPr>
              <w:widowControl/>
              <w:spacing w:before="24" w:beforeLines="10" w:after="24" w:afterLines="10" w:line="300" w:lineRule="exact"/>
              <w:jc w:val="center"/>
              <w:rPr>
                <w:rFonts w:hint="eastAsia" w:ascii="宋体" w:hAnsi="宋体" w:eastAsia="宋体" w:cs="宋体"/>
                <w:color w:val="auto"/>
                <w:highlight w:val="none"/>
              </w:rPr>
            </w:pPr>
          </w:p>
        </w:tc>
      </w:tr>
      <w:tr w14:paraId="51DB32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389" w:type="dxa"/>
            <w:tcBorders>
              <w:left w:val="single" w:color="auto" w:sz="4" w:space="0"/>
            </w:tcBorders>
            <w:noWrap w:val="0"/>
            <w:vAlign w:val="center"/>
          </w:tcPr>
          <w:p w14:paraId="535FCA03">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4</w:t>
            </w:r>
          </w:p>
        </w:tc>
        <w:tc>
          <w:tcPr>
            <w:tcW w:w="6368" w:type="dxa"/>
            <w:noWrap w:val="0"/>
            <w:vAlign w:val="center"/>
          </w:tcPr>
          <w:p w14:paraId="399AC52F">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0"/>
                <w:highlight w:val="none"/>
              </w:rPr>
              <w:t>拟任项目负责人具有文物保护工程责任工程师资格证书（古建筑专业），且未在其他建设工程中担任同类职务（须提供相应证书复印件、无在建工程承诺书原件）；其他关键岗位人员具备建设行政主管部门颁发的岗位证书（技术负责人、施工员1人、安全员1人）；安全员还</w:t>
            </w:r>
            <w:r>
              <w:rPr>
                <w:rFonts w:hint="eastAsia" w:ascii="宋体" w:hAnsi="宋体" w:cs="宋体"/>
                <w:color w:val="auto"/>
                <w:sz w:val="20"/>
                <w:szCs w:val="20"/>
                <w:highlight w:val="none"/>
                <w:lang w:eastAsia="zh-CN"/>
              </w:rPr>
              <w:t>须</w:t>
            </w:r>
            <w:r>
              <w:rPr>
                <w:rFonts w:hint="eastAsia" w:ascii="宋体" w:hAnsi="宋体" w:eastAsia="宋体" w:cs="宋体"/>
                <w:color w:val="auto"/>
                <w:sz w:val="20"/>
                <w:szCs w:val="20"/>
                <w:highlight w:val="none"/>
              </w:rPr>
              <w:t>具备C类安全生产考核合格证书，并在有效期内。（以上拟任项目负责人和其他关键岗位人员需提供供应商为其缴纳的近半年内任意一个月的社保证明材料）</w:t>
            </w:r>
          </w:p>
        </w:tc>
        <w:tc>
          <w:tcPr>
            <w:tcW w:w="2673" w:type="dxa"/>
            <w:shd w:val="clear" w:color="auto" w:fill="auto"/>
            <w:noWrap w:val="0"/>
            <w:vAlign w:val="center"/>
          </w:tcPr>
          <w:p w14:paraId="2DCD44DA">
            <w:pPr>
              <w:widowControl/>
              <w:spacing w:before="24" w:beforeLines="10" w:after="24" w:afterLines="10" w:line="300" w:lineRule="exact"/>
              <w:jc w:val="both"/>
              <w:rPr>
                <w:rFonts w:hint="eastAsia" w:ascii="宋体" w:hAnsi="宋体" w:eastAsia="宋体" w:cs="宋体"/>
                <w:color w:val="auto"/>
                <w:kern w:val="2"/>
                <w:sz w:val="20"/>
                <w:szCs w:val="22"/>
                <w:highlight w:val="none"/>
                <w:lang w:val="en-US" w:eastAsia="zh-CN" w:bidi="ar-SA"/>
              </w:rPr>
            </w:pPr>
            <w:r>
              <w:rPr>
                <w:rFonts w:hint="eastAsia" w:ascii="宋体" w:hAnsi="宋体" w:eastAsia="宋体" w:cs="宋体"/>
                <w:color w:val="auto"/>
                <w:sz w:val="20"/>
                <w:szCs w:val="22"/>
                <w:highlight w:val="none"/>
                <w:lang w:eastAsia="zh-CN"/>
              </w:rPr>
              <w:t>查验复印件加盖公章。要求：真实有效</w:t>
            </w:r>
          </w:p>
        </w:tc>
        <w:tc>
          <w:tcPr>
            <w:tcW w:w="300" w:type="dxa"/>
            <w:noWrap w:val="0"/>
            <w:vAlign w:val="center"/>
          </w:tcPr>
          <w:p w14:paraId="616C20D3">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53E5A76B">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06392970">
            <w:pPr>
              <w:widowControl/>
              <w:spacing w:before="24" w:beforeLines="10" w:after="24" w:afterLines="10" w:line="300" w:lineRule="exact"/>
              <w:jc w:val="center"/>
              <w:rPr>
                <w:rFonts w:hint="eastAsia" w:ascii="宋体" w:hAnsi="宋体" w:eastAsia="宋体" w:cs="宋体"/>
                <w:color w:val="auto"/>
                <w:highlight w:val="none"/>
              </w:rPr>
            </w:pPr>
          </w:p>
        </w:tc>
      </w:tr>
      <w:tr w14:paraId="4085A2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389" w:type="dxa"/>
            <w:tcBorders>
              <w:left w:val="single" w:color="auto" w:sz="4" w:space="0"/>
            </w:tcBorders>
            <w:noWrap w:val="0"/>
            <w:vAlign w:val="center"/>
          </w:tcPr>
          <w:p w14:paraId="3136BAC3">
            <w:pPr>
              <w:widowControl/>
              <w:spacing w:before="24" w:beforeLines="10" w:after="24" w:afterLines="10" w:line="30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6368" w:type="dxa"/>
            <w:shd w:val="clear" w:color="auto" w:fill="auto"/>
            <w:noWrap w:val="0"/>
            <w:vAlign w:val="center"/>
          </w:tcPr>
          <w:p w14:paraId="68848C0F">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rPr>
              <w:t>供应商自行登录“信用中国”网站（www.creditchina.gov.cn）、“中国政府采购网”（www.ccgp.gov.cn）或“国家企业信用信息公示系统”等渠道，提供供应商查询无被禁止投标的记录的网上打印件并加盖单位公章。</w:t>
            </w:r>
          </w:p>
        </w:tc>
        <w:tc>
          <w:tcPr>
            <w:tcW w:w="2673" w:type="dxa"/>
            <w:shd w:val="clear" w:color="auto" w:fill="auto"/>
            <w:noWrap w:val="0"/>
            <w:vAlign w:val="center"/>
          </w:tcPr>
          <w:p w14:paraId="735533DB">
            <w:pPr>
              <w:widowControl/>
              <w:spacing w:before="24" w:beforeLines="10" w:after="24" w:afterLines="10" w:line="300" w:lineRule="exact"/>
              <w:jc w:val="both"/>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sz w:val="20"/>
                <w:szCs w:val="20"/>
                <w:highlight w:val="none"/>
                <w:lang w:eastAsia="zh-CN"/>
              </w:rPr>
              <w:t>查验响应文件中查询结果截图打印件加盖公章。要求：真实有效</w:t>
            </w:r>
          </w:p>
        </w:tc>
        <w:tc>
          <w:tcPr>
            <w:tcW w:w="300" w:type="dxa"/>
            <w:noWrap w:val="0"/>
            <w:vAlign w:val="center"/>
          </w:tcPr>
          <w:p w14:paraId="54A84A30">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2F231A53">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71E3B5DA">
            <w:pPr>
              <w:widowControl/>
              <w:spacing w:before="24" w:beforeLines="10" w:after="24" w:afterLines="10" w:line="300" w:lineRule="exact"/>
              <w:jc w:val="center"/>
              <w:rPr>
                <w:rFonts w:hint="eastAsia" w:ascii="宋体" w:hAnsi="宋体" w:eastAsia="宋体" w:cs="宋体"/>
                <w:color w:val="auto"/>
                <w:highlight w:val="none"/>
              </w:rPr>
            </w:pPr>
          </w:p>
        </w:tc>
      </w:tr>
      <w:tr w14:paraId="0DFD54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389" w:type="dxa"/>
            <w:tcBorders>
              <w:left w:val="single" w:color="auto" w:sz="4" w:space="0"/>
            </w:tcBorders>
            <w:noWrap w:val="0"/>
            <w:vAlign w:val="center"/>
          </w:tcPr>
          <w:p w14:paraId="34D5D52E">
            <w:pPr>
              <w:widowControl/>
              <w:spacing w:before="24" w:beforeLines="10" w:after="24" w:afterLines="10" w:line="30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6368" w:type="dxa"/>
            <w:noWrap w:val="0"/>
            <w:vAlign w:val="center"/>
          </w:tcPr>
          <w:p w14:paraId="3FCB1864">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000000"/>
                <w:sz w:val="20"/>
                <w:szCs w:val="22"/>
                <w:highlight w:val="none"/>
                <w:lang w:val="en-US" w:eastAsia="zh-CN"/>
              </w:rPr>
              <w:t>湖南省政府采购供应商资格承诺函原件。（湘财购【2022】17号）</w:t>
            </w:r>
          </w:p>
        </w:tc>
        <w:tc>
          <w:tcPr>
            <w:tcW w:w="2673" w:type="dxa"/>
            <w:shd w:val="clear" w:color="auto" w:fill="auto"/>
            <w:noWrap w:val="0"/>
            <w:vAlign w:val="center"/>
          </w:tcPr>
          <w:p w14:paraId="4F3D7E2C">
            <w:pPr>
              <w:widowControl/>
              <w:spacing w:before="24" w:beforeLines="10" w:after="24" w:afterLines="10" w:line="300" w:lineRule="exact"/>
              <w:jc w:val="both"/>
              <w:rPr>
                <w:rFonts w:hint="eastAsia" w:ascii="宋体" w:hAnsi="宋体" w:eastAsia="宋体" w:cs="宋体"/>
                <w:color w:val="000000"/>
                <w:kern w:val="2"/>
                <w:sz w:val="20"/>
                <w:szCs w:val="22"/>
                <w:highlight w:val="none"/>
                <w:lang w:val="en-US" w:eastAsia="zh-CN" w:bidi="ar-SA"/>
              </w:rPr>
            </w:pPr>
            <w:r>
              <w:rPr>
                <w:rFonts w:hint="eastAsia" w:ascii="宋体" w:hAnsi="宋体" w:eastAsia="宋体" w:cs="宋体"/>
                <w:color w:val="auto"/>
                <w:sz w:val="20"/>
                <w:szCs w:val="22"/>
                <w:highlight w:val="none"/>
                <w:lang w:eastAsia="zh-CN"/>
              </w:rPr>
              <w:t>查验复印件加盖公章。要求：真实有效</w:t>
            </w:r>
          </w:p>
        </w:tc>
        <w:tc>
          <w:tcPr>
            <w:tcW w:w="300" w:type="dxa"/>
            <w:noWrap w:val="0"/>
            <w:vAlign w:val="center"/>
          </w:tcPr>
          <w:p w14:paraId="3511CCBE">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531F9133">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39C6D472">
            <w:pPr>
              <w:widowControl/>
              <w:spacing w:before="24" w:beforeLines="10" w:after="24" w:afterLines="10" w:line="300" w:lineRule="exact"/>
              <w:jc w:val="center"/>
              <w:rPr>
                <w:rFonts w:hint="eastAsia" w:ascii="宋体" w:hAnsi="宋体" w:eastAsia="宋体" w:cs="宋体"/>
                <w:color w:val="auto"/>
                <w:highlight w:val="none"/>
              </w:rPr>
            </w:pPr>
          </w:p>
        </w:tc>
      </w:tr>
      <w:tr w14:paraId="59E4E4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9" w:type="dxa"/>
            <w:tcBorders>
              <w:left w:val="single" w:color="auto" w:sz="4" w:space="0"/>
            </w:tcBorders>
            <w:noWrap w:val="0"/>
            <w:vAlign w:val="center"/>
          </w:tcPr>
          <w:p w14:paraId="405784D3">
            <w:pPr>
              <w:widowControl/>
              <w:spacing w:before="24" w:beforeLines="10" w:after="24" w:afterLines="10" w:line="300" w:lineRule="exact"/>
              <w:jc w:val="center"/>
              <w:rPr>
                <w:rFonts w:hint="default" w:ascii="宋体" w:hAnsi="宋体" w:eastAsia="宋体" w:cs="宋体"/>
                <w:color w:val="000000"/>
                <w:highlight w:val="none"/>
                <w:lang w:val="en-US" w:eastAsia="zh-CN"/>
              </w:rPr>
            </w:pPr>
            <w:r>
              <w:rPr>
                <w:rFonts w:hint="eastAsia" w:ascii="宋体" w:hAnsi="宋体" w:cs="宋体"/>
                <w:color w:val="000000"/>
                <w:highlight w:val="none"/>
                <w:lang w:val="en-US" w:eastAsia="zh-CN"/>
              </w:rPr>
              <w:t>7</w:t>
            </w:r>
          </w:p>
        </w:tc>
        <w:tc>
          <w:tcPr>
            <w:tcW w:w="6368" w:type="dxa"/>
            <w:noWrap w:val="0"/>
            <w:vAlign w:val="center"/>
          </w:tcPr>
          <w:p w14:paraId="38C6E250">
            <w:pPr>
              <w:widowControl/>
              <w:spacing w:before="24" w:beforeLines="10" w:after="24" w:afterLines="10" w:line="300" w:lineRule="exact"/>
              <w:jc w:val="both"/>
              <w:rPr>
                <w:rFonts w:hint="eastAsia" w:ascii="宋体" w:hAnsi="宋体" w:eastAsia="宋体" w:cs="宋体"/>
                <w:color w:val="000000"/>
                <w:sz w:val="20"/>
                <w:szCs w:val="22"/>
                <w:highlight w:val="none"/>
                <w:lang w:val="en-US" w:eastAsia="zh-CN"/>
              </w:rPr>
            </w:pPr>
            <w:r>
              <w:rPr>
                <w:rFonts w:hint="eastAsia" w:ascii="宋体" w:hAnsi="宋体" w:eastAsia="宋体" w:cs="宋体"/>
                <w:color w:val="auto"/>
                <w:sz w:val="20"/>
                <w:szCs w:val="22"/>
                <w:highlight w:val="none"/>
                <w:lang w:val="en-US" w:eastAsia="zh-CN"/>
              </w:rPr>
              <w:t>供应商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建筑业”。</w:t>
            </w:r>
          </w:p>
        </w:tc>
        <w:tc>
          <w:tcPr>
            <w:tcW w:w="2673" w:type="dxa"/>
            <w:shd w:val="clear" w:color="auto" w:fill="auto"/>
            <w:noWrap w:val="0"/>
            <w:vAlign w:val="center"/>
          </w:tcPr>
          <w:p w14:paraId="42C45F5C">
            <w:pPr>
              <w:widowControl/>
              <w:spacing w:before="24" w:beforeLines="10" w:after="24" w:afterLines="10" w:line="300" w:lineRule="exact"/>
              <w:jc w:val="both"/>
              <w:rPr>
                <w:rFonts w:hint="eastAsia" w:ascii="宋体" w:hAnsi="宋体" w:eastAsia="宋体" w:cs="宋体"/>
                <w:color w:val="auto"/>
                <w:kern w:val="2"/>
                <w:sz w:val="20"/>
                <w:szCs w:val="22"/>
                <w:highlight w:val="none"/>
                <w:lang w:val="en-US" w:eastAsia="zh-CN" w:bidi="ar-SA"/>
              </w:rPr>
            </w:pPr>
            <w:r>
              <w:rPr>
                <w:rFonts w:hint="eastAsia" w:ascii="宋体" w:hAnsi="宋体"/>
                <w:sz w:val="20"/>
                <w:szCs w:val="20"/>
                <w:lang w:eastAsia="zh-CN"/>
              </w:rPr>
              <w:t>查验复印件加盖公章。要求：真实有效</w:t>
            </w:r>
          </w:p>
        </w:tc>
        <w:tc>
          <w:tcPr>
            <w:tcW w:w="300" w:type="dxa"/>
            <w:noWrap w:val="0"/>
            <w:vAlign w:val="center"/>
          </w:tcPr>
          <w:p w14:paraId="2D420435">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41CD7B5A">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3A4D293B">
            <w:pPr>
              <w:widowControl/>
              <w:spacing w:before="24" w:beforeLines="10" w:after="24" w:afterLines="10" w:line="300" w:lineRule="exact"/>
              <w:jc w:val="center"/>
              <w:rPr>
                <w:rFonts w:hint="eastAsia" w:ascii="宋体" w:hAnsi="宋体" w:eastAsia="宋体" w:cs="宋体"/>
                <w:color w:val="auto"/>
                <w:highlight w:val="none"/>
              </w:rPr>
            </w:pPr>
          </w:p>
        </w:tc>
      </w:tr>
      <w:tr w14:paraId="3EC448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93" w:hRule="atLeast"/>
          <w:jc w:val="center"/>
        </w:trPr>
        <w:tc>
          <w:tcPr>
            <w:tcW w:w="389" w:type="dxa"/>
            <w:tcBorders>
              <w:left w:val="single" w:color="auto" w:sz="4" w:space="0"/>
              <w:bottom w:val="single" w:color="auto" w:sz="4" w:space="0"/>
            </w:tcBorders>
            <w:noWrap w:val="0"/>
            <w:vAlign w:val="center"/>
          </w:tcPr>
          <w:p w14:paraId="594A5769">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结论</w:t>
            </w:r>
          </w:p>
        </w:tc>
        <w:tc>
          <w:tcPr>
            <w:tcW w:w="9041" w:type="dxa"/>
            <w:gridSpan w:val="2"/>
            <w:tcBorders>
              <w:bottom w:val="single" w:color="auto" w:sz="4" w:space="0"/>
            </w:tcBorders>
            <w:noWrap w:val="0"/>
            <w:vAlign w:val="center"/>
          </w:tcPr>
          <w:p w14:paraId="43B37901">
            <w:pPr>
              <w:widowControl/>
              <w:spacing w:before="24" w:beforeLines="10" w:after="24" w:afterLines="10" w:line="300" w:lineRule="exact"/>
              <w:jc w:val="center"/>
              <w:rPr>
                <w:rFonts w:hint="eastAsia" w:ascii="宋体" w:hAnsi="宋体" w:eastAsia="宋体" w:cs="宋体"/>
                <w:color w:val="auto"/>
                <w:highlight w:val="none"/>
              </w:rPr>
            </w:pPr>
          </w:p>
        </w:tc>
        <w:tc>
          <w:tcPr>
            <w:tcW w:w="300" w:type="dxa"/>
            <w:tcBorders>
              <w:bottom w:val="single" w:color="auto" w:sz="4" w:space="0"/>
            </w:tcBorders>
            <w:noWrap w:val="0"/>
            <w:vAlign w:val="center"/>
          </w:tcPr>
          <w:p w14:paraId="15CAEDCB">
            <w:pPr>
              <w:widowControl/>
              <w:spacing w:before="24" w:beforeLines="10" w:after="24" w:afterLines="10" w:line="300" w:lineRule="exact"/>
              <w:jc w:val="center"/>
              <w:rPr>
                <w:rFonts w:hint="eastAsia" w:ascii="宋体" w:hAnsi="宋体" w:eastAsia="宋体" w:cs="宋体"/>
                <w:color w:val="auto"/>
                <w:highlight w:val="none"/>
              </w:rPr>
            </w:pPr>
          </w:p>
        </w:tc>
        <w:tc>
          <w:tcPr>
            <w:tcW w:w="354" w:type="dxa"/>
            <w:tcBorders>
              <w:bottom w:val="single" w:color="auto" w:sz="4" w:space="0"/>
            </w:tcBorders>
            <w:noWrap w:val="0"/>
            <w:vAlign w:val="center"/>
          </w:tcPr>
          <w:p w14:paraId="10B75DF6">
            <w:pPr>
              <w:widowControl/>
              <w:spacing w:before="24" w:beforeLines="10" w:after="24" w:afterLines="10" w:line="300" w:lineRule="exact"/>
              <w:jc w:val="center"/>
              <w:rPr>
                <w:rFonts w:hint="eastAsia" w:ascii="宋体" w:hAnsi="宋体" w:eastAsia="宋体" w:cs="宋体"/>
                <w:color w:val="auto"/>
                <w:highlight w:val="none"/>
              </w:rPr>
            </w:pPr>
          </w:p>
        </w:tc>
        <w:tc>
          <w:tcPr>
            <w:tcW w:w="327" w:type="dxa"/>
            <w:tcBorders>
              <w:bottom w:val="single" w:color="auto" w:sz="4" w:space="0"/>
              <w:right w:val="single" w:color="auto" w:sz="4" w:space="0"/>
            </w:tcBorders>
            <w:noWrap w:val="0"/>
            <w:vAlign w:val="center"/>
          </w:tcPr>
          <w:p w14:paraId="34DE2965">
            <w:pPr>
              <w:widowControl/>
              <w:spacing w:before="24" w:beforeLines="10" w:after="24" w:afterLines="10" w:line="300" w:lineRule="exact"/>
              <w:jc w:val="center"/>
              <w:rPr>
                <w:rFonts w:hint="eastAsia" w:ascii="宋体" w:hAnsi="宋体" w:eastAsia="宋体" w:cs="宋体"/>
                <w:color w:val="auto"/>
                <w:highlight w:val="none"/>
              </w:rPr>
            </w:pPr>
          </w:p>
        </w:tc>
      </w:tr>
    </w:tbl>
    <w:p w14:paraId="6DBFC238">
      <w:pPr>
        <w:pStyle w:val="19"/>
        <w:spacing w:before="50" w:line="360" w:lineRule="atLeas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注：1、上述内容合格用“√”表示，不合格用“×”表示；</w:t>
      </w:r>
    </w:p>
    <w:p w14:paraId="602EB3EA">
      <w:pPr>
        <w:numPr>
          <w:ilvl w:val="0"/>
          <w:numId w:val="6"/>
        </w:numPr>
        <w:adjustRightInd w:val="0"/>
        <w:snapToGrid w:val="0"/>
        <w:spacing w:before="120" w:beforeLines="50" w:line="360" w:lineRule="auto"/>
        <w:ind w:right="-109" w:rightChars="-52" w:firstLine="420" w:firstLineChars="200"/>
        <w:rPr>
          <w:rFonts w:hint="eastAsia"/>
        </w:rPr>
      </w:pPr>
      <w:r>
        <w:rPr>
          <w:rFonts w:hint="eastAsia" w:ascii="宋体" w:hAnsi="宋体" w:eastAsia="宋体" w:cs="宋体"/>
          <w:color w:val="auto"/>
          <w:szCs w:val="21"/>
          <w:highlight w:val="none"/>
        </w:rPr>
        <w:t>以上内容有一项不合格的，则初步评审的综合评定结果为不合格。</w:t>
      </w:r>
    </w:p>
    <w:p w14:paraId="41B0DE84">
      <w:pPr>
        <w:numPr>
          <w:ilvl w:val="1"/>
          <w:numId w:val="5"/>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符合性审查表：</w:t>
      </w:r>
    </w:p>
    <w:p w14:paraId="723E803E">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bookmarkStart w:id="5" w:name="_Toc8161081"/>
      <w:bookmarkStart w:id="6" w:name="_Toc9245"/>
      <w:r>
        <w:rPr>
          <w:rFonts w:hint="eastAsia" w:ascii="宋体" w:hAnsi="宋体" w:eastAsia="宋体" w:cs="宋体"/>
          <w:b/>
          <w:color w:val="auto"/>
          <w:szCs w:val="21"/>
          <w:highlight w:val="none"/>
          <w:lang w:val="en-US" w:eastAsia="zh-CN"/>
        </w:rPr>
        <w:t xml:space="preserve">表2  </w:t>
      </w:r>
      <w:r>
        <w:rPr>
          <w:rFonts w:hint="eastAsia" w:ascii="宋体" w:hAnsi="宋体" w:cs="宋体"/>
          <w:b/>
          <w:color w:val="auto"/>
          <w:szCs w:val="21"/>
          <w:highlight w:val="none"/>
          <w:lang w:eastAsia="zh-CN"/>
        </w:rPr>
        <w:t>符合</w:t>
      </w:r>
      <w:r>
        <w:rPr>
          <w:rFonts w:hint="eastAsia" w:ascii="宋体" w:hAnsi="宋体" w:eastAsia="宋体" w:cs="宋体"/>
          <w:b/>
          <w:color w:val="auto"/>
          <w:szCs w:val="21"/>
          <w:highlight w:val="none"/>
        </w:rPr>
        <w:t>审查表</w:t>
      </w:r>
      <w:bookmarkEnd w:id="5"/>
      <w:bookmarkEnd w:id="6"/>
    </w:p>
    <w:tbl>
      <w:tblPr>
        <w:tblStyle w:val="44"/>
        <w:tblW w:w="96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4322"/>
        <w:gridCol w:w="2701"/>
        <w:gridCol w:w="707"/>
        <w:gridCol w:w="706"/>
        <w:gridCol w:w="709"/>
      </w:tblGrid>
      <w:tr w14:paraId="577D9B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blHeader/>
          <w:jc w:val="center"/>
        </w:trPr>
        <w:tc>
          <w:tcPr>
            <w:tcW w:w="472" w:type="dxa"/>
            <w:vMerge w:val="restart"/>
            <w:tcBorders>
              <w:top w:val="single" w:color="auto" w:sz="4" w:space="0"/>
              <w:left w:val="single" w:color="auto" w:sz="4" w:space="0"/>
            </w:tcBorders>
            <w:noWrap w:val="0"/>
            <w:vAlign w:val="center"/>
          </w:tcPr>
          <w:p w14:paraId="11064E0D">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b/>
                <w:color w:val="auto"/>
                <w:highlight w:val="none"/>
              </w:rPr>
              <w:t>序号</w:t>
            </w:r>
          </w:p>
        </w:tc>
        <w:tc>
          <w:tcPr>
            <w:tcW w:w="4322" w:type="dxa"/>
            <w:vMerge w:val="restart"/>
            <w:tcBorders>
              <w:top w:val="single" w:color="auto" w:sz="4" w:space="0"/>
            </w:tcBorders>
            <w:noWrap w:val="0"/>
            <w:vAlign w:val="center"/>
          </w:tcPr>
          <w:p w14:paraId="4C219384">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bCs/>
                <w:color w:val="auto"/>
                <w:highlight w:val="none"/>
              </w:rPr>
              <w:t>符合性审查内容</w:t>
            </w:r>
          </w:p>
        </w:tc>
        <w:tc>
          <w:tcPr>
            <w:tcW w:w="2701" w:type="dxa"/>
            <w:vMerge w:val="restart"/>
            <w:tcBorders>
              <w:top w:val="single" w:color="auto" w:sz="4" w:space="0"/>
            </w:tcBorders>
            <w:noWrap w:val="0"/>
            <w:vAlign w:val="center"/>
          </w:tcPr>
          <w:p w14:paraId="2B1E242A">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val="en-US" w:eastAsia="zh-CN"/>
              </w:rPr>
              <w:t>合格</w:t>
            </w:r>
            <w:r>
              <w:rPr>
                <w:rFonts w:hint="eastAsia" w:ascii="宋体" w:hAnsi="宋体" w:eastAsia="宋体" w:cs="宋体"/>
                <w:b/>
                <w:color w:val="auto"/>
                <w:highlight w:val="none"/>
                <w:lang w:eastAsia="zh-CN"/>
              </w:rPr>
              <w:t>标准</w:t>
            </w:r>
          </w:p>
        </w:tc>
        <w:tc>
          <w:tcPr>
            <w:tcW w:w="2122" w:type="dxa"/>
            <w:gridSpan w:val="3"/>
            <w:tcBorders>
              <w:top w:val="single" w:color="auto" w:sz="4" w:space="0"/>
              <w:right w:val="single" w:color="auto" w:sz="4" w:space="0"/>
            </w:tcBorders>
            <w:noWrap w:val="0"/>
            <w:vAlign w:val="center"/>
          </w:tcPr>
          <w:p w14:paraId="04BA5C37">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供应商</w:t>
            </w:r>
          </w:p>
        </w:tc>
      </w:tr>
      <w:tr w14:paraId="516CBB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472" w:type="dxa"/>
            <w:vMerge w:val="continue"/>
            <w:tcBorders>
              <w:left w:val="single" w:color="auto" w:sz="4" w:space="0"/>
            </w:tcBorders>
            <w:noWrap w:val="0"/>
            <w:vAlign w:val="center"/>
          </w:tcPr>
          <w:p w14:paraId="3FC76330">
            <w:pPr>
              <w:widowControl/>
              <w:spacing w:before="24" w:beforeLines="10" w:after="24" w:afterLines="10" w:line="300" w:lineRule="exact"/>
              <w:rPr>
                <w:rFonts w:hint="eastAsia" w:ascii="宋体" w:hAnsi="宋体" w:eastAsia="宋体" w:cs="宋体"/>
                <w:b/>
                <w:color w:val="auto"/>
                <w:highlight w:val="none"/>
              </w:rPr>
            </w:pPr>
          </w:p>
        </w:tc>
        <w:tc>
          <w:tcPr>
            <w:tcW w:w="4322" w:type="dxa"/>
            <w:vMerge w:val="continue"/>
            <w:noWrap w:val="0"/>
            <w:vAlign w:val="center"/>
          </w:tcPr>
          <w:p w14:paraId="46873BF6">
            <w:pPr>
              <w:widowControl/>
              <w:spacing w:before="24" w:beforeLines="10" w:after="24" w:afterLines="10" w:line="300" w:lineRule="exact"/>
              <w:rPr>
                <w:rFonts w:hint="eastAsia" w:ascii="宋体" w:hAnsi="宋体" w:eastAsia="宋体" w:cs="宋体"/>
                <w:b/>
                <w:color w:val="auto"/>
                <w:highlight w:val="none"/>
              </w:rPr>
            </w:pPr>
          </w:p>
        </w:tc>
        <w:tc>
          <w:tcPr>
            <w:tcW w:w="2701" w:type="dxa"/>
            <w:vMerge w:val="continue"/>
            <w:noWrap w:val="0"/>
            <w:vAlign w:val="center"/>
          </w:tcPr>
          <w:p w14:paraId="7A771042">
            <w:pPr>
              <w:widowControl/>
              <w:spacing w:before="24" w:beforeLines="10" w:after="24" w:afterLines="10" w:line="300" w:lineRule="exact"/>
              <w:rPr>
                <w:rFonts w:hint="eastAsia" w:ascii="宋体" w:hAnsi="宋体" w:eastAsia="宋体" w:cs="宋体"/>
                <w:b/>
                <w:color w:val="auto"/>
                <w:highlight w:val="none"/>
              </w:rPr>
            </w:pPr>
          </w:p>
        </w:tc>
        <w:tc>
          <w:tcPr>
            <w:tcW w:w="707" w:type="dxa"/>
            <w:noWrap w:val="0"/>
            <w:vAlign w:val="center"/>
          </w:tcPr>
          <w:p w14:paraId="46DF77E6">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706" w:type="dxa"/>
            <w:noWrap w:val="0"/>
            <w:vAlign w:val="center"/>
          </w:tcPr>
          <w:p w14:paraId="3C098B4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709" w:type="dxa"/>
            <w:tcBorders>
              <w:right w:val="single" w:color="auto" w:sz="4" w:space="0"/>
            </w:tcBorders>
            <w:noWrap w:val="0"/>
            <w:vAlign w:val="center"/>
          </w:tcPr>
          <w:p w14:paraId="325A9773">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511D7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72" w:type="dxa"/>
            <w:tcBorders>
              <w:left w:val="single" w:color="auto" w:sz="4" w:space="0"/>
            </w:tcBorders>
            <w:noWrap w:val="0"/>
            <w:vAlign w:val="center"/>
          </w:tcPr>
          <w:p w14:paraId="01029E59">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1</w:t>
            </w:r>
          </w:p>
        </w:tc>
        <w:tc>
          <w:tcPr>
            <w:tcW w:w="4322" w:type="dxa"/>
            <w:noWrap w:val="0"/>
            <w:vAlign w:val="center"/>
          </w:tcPr>
          <w:p w14:paraId="491098B2">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按照</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文件规定要求签署、盖章的</w:t>
            </w:r>
          </w:p>
        </w:tc>
        <w:tc>
          <w:tcPr>
            <w:tcW w:w="2701" w:type="dxa"/>
            <w:noWrap w:val="0"/>
            <w:vAlign w:val="center"/>
          </w:tcPr>
          <w:p w14:paraId="7690B166">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5918D8C1">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1256B6E9">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6190938A">
            <w:pPr>
              <w:widowControl/>
              <w:spacing w:before="24" w:beforeLines="10" w:after="24" w:afterLines="10" w:line="300" w:lineRule="exact"/>
              <w:jc w:val="center"/>
              <w:rPr>
                <w:rFonts w:hint="eastAsia" w:ascii="宋体" w:hAnsi="宋体" w:eastAsia="宋体" w:cs="宋体"/>
                <w:color w:val="auto"/>
                <w:highlight w:val="none"/>
              </w:rPr>
            </w:pPr>
          </w:p>
        </w:tc>
      </w:tr>
      <w:tr w14:paraId="5DB421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72" w:type="dxa"/>
            <w:tcBorders>
              <w:left w:val="single" w:color="auto" w:sz="4" w:space="0"/>
            </w:tcBorders>
            <w:noWrap w:val="0"/>
            <w:vAlign w:val="center"/>
          </w:tcPr>
          <w:p w14:paraId="1C97E6E6">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2</w:t>
            </w:r>
          </w:p>
        </w:tc>
        <w:tc>
          <w:tcPr>
            <w:tcW w:w="4322" w:type="dxa"/>
            <w:noWrap w:val="0"/>
            <w:vAlign w:val="center"/>
          </w:tcPr>
          <w:p w14:paraId="330C6EEB">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cs="宋体"/>
                <w:color w:val="auto"/>
                <w:highlight w:val="none"/>
                <w:lang w:val="en-US" w:eastAsia="zh-CN"/>
              </w:rPr>
              <w:t>投标</w:t>
            </w:r>
            <w:r>
              <w:rPr>
                <w:rFonts w:hint="eastAsia" w:ascii="宋体" w:hAnsi="宋体" w:eastAsia="宋体" w:cs="宋体"/>
                <w:color w:val="auto"/>
                <w:highlight w:val="none"/>
              </w:rPr>
              <w:t>有效期</w:t>
            </w:r>
          </w:p>
        </w:tc>
        <w:tc>
          <w:tcPr>
            <w:tcW w:w="2701" w:type="dxa"/>
            <w:noWrap w:val="0"/>
            <w:vAlign w:val="center"/>
          </w:tcPr>
          <w:p w14:paraId="7C1A85C7">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6F2E47DA">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49A25615">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2AA397">
            <w:pPr>
              <w:widowControl/>
              <w:spacing w:before="24" w:beforeLines="10" w:after="24" w:afterLines="10" w:line="300" w:lineRule="exact"/>
              <w:jc w:val="center"/>
              <w:rPr>
                <w:rFonts w:hint="eastAsia" w:ascii="宋体" w:hAnsi="宋体" w:eastAsia="宋体" w:cs="宋体"/>
                <w:color w:val="auto"/>
                <w:highlight w:val="none"/>
              </w:rPr>
            </w:pPr>
          </w:p>
        </w:tc>
      </w:tr>
      <w:tr w14:paraId="00ECA4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472" w:type="dxa"/>
            <w:tcBorders>
              <w:left w:val="single" w:color="auto" w:sz="4" w:space="0"/>
            </w:tcBorders>
            <w:noWrap w:val="0"/>
            <w:vAlign w:val="center"/>
          </w:tcPr>
          <w:p w14:paraId="290BF344">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3</w:t>
            </w:r>
          </w:p>
        </w:tc>
        <w:tc>
          <w:tcPr>
            <w:tcW w:w="4322" w:type="dxa"/>
            <w:noWrap w:val="0"/>
            <w:vAlign w:val="center"/>
          </w:tcPr>
          <w:p w14:paraId="6EDC0A70">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投标报价</w:t>
            </w:r>
          </w:p>
        </w:tc>
        <w:tc>
          <w:tcPr>
            <w:tcW w:w="2701" w:type="dxa"/>
            <w:noWrap w:val="0"/>
            <w:vAlign w:val="center"/>
          </w:tcPr>
          <w:p w14:paraId="2B93250B">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highlight w:val="none"/>
                <w:lang w:val="en-US" w:eastAsia="zh-CN"/>
              </w:rPr>
              <w:t>未</w:t>
            </w:r>
            <w:r>
              <w:rPr>
                <w:rFonts w:hint="eastAsia" w:ascii="宋体" w:hAnsi="宋体"/>
                <w:highlight w:val="none"/>
              </w:rPr>
              <w:t>超过最高限价</w:t>
            </w:r>
          </w:p>
        </w:tc>
        <w:tc>
          <w:tcPr>
            <w:tcW w:w="707" w:type="dxa"/>
            <w:noWrap w:val="0"/>
            <w:vAlign w:val="center"/>
          </w:tcPr>
          <w:p w14:paraId="219FA2E5">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76D36F4">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950829">
            <w:pPr>
              <w:widowControl/>
              <w:spacing w:before="24" w:beforeLines="10" w:after="24" w:afterLines="10" w:line="300" w:lineRule="exact"/>
              <w:jc w:val="center"/>
              <w:rPr>
                <w:rFonts w:hint="eastAsia" w:ascii="宋体" w:hAnsi="宋体" w:eastAsia="宋体" w:cs="宋体"/>
                <w:color w:val="auto"/>
                <w:highlight w:val="none"/>
              </w:rPr>
            </w:pPr>
          </w:p>
        </w:tc>
      </w:tr>
      <w:tr w14:paraId="71019B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72" w:type="dxa"/>
            <w:tcBorders>
              <w:left w:val="single" w:color="auto" w:sz="4" w:space="0"/>
            </w:tcBorders>
            <w:noWrap w:val="0"/>
            <w:vAlign w:val="center"/>
          </w:tcPr>
          <w:p w14:paraId="0993C60E">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4</w:t>
            </w:r>
          </w:p>
        </w:tc>
        <w:tc>
          <w:tcPr>
            <w:tcW w:w="4322" w:type="dxa"/>
            <w:noWrap w:val="0"/>
            <w:vAlign w:val="center"/>
          </w:tcPr>
          <w:p w14:paraId="47CB1BF5">
            <w:pPr>
              <w:widowControl/>
              <w:spacing w:before="24" w:beforeLines="10" w:after="24" w:afterLines="10" w:line="30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工期</w:t>
            </w:r>
          </w:p>
        </w:tc>
        <w:tc>
          <w:tcPr>
            <w:tcW w:w="2701" w:type="dxa"/>
            <w:noWrap w:val="0"/>
            <w:vAlign w:val="center"/>
          </w:tcPr>
          <w:p w14:paraId="1DE03F8F">
            <w:pPr>
              <w:widowControl/>
              <w:spacing w:before="24" w:beforeLines="10" w:after="24" w:afterLines="10" w:line="300" w:lineRule="exact"/>
              <w:jc w:val="center"/>
              <w:rPr>
                <w:rFonts w:hint="eastAsia" w:ascii="宋体" w:hAnsi="宋体"/>
                <w:highlight w:val="none"/>
                <w:lang w:val="en-US" w:eastAsia="zh-CN"/>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4E9E8F0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574FF1A6">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4757DEB3">
            <w:pPr>
              <w:widowControl/>
              <w:spacing w:before="24" w:beforeLines="10" w:after="24" w:afterLines="10" w:line="300" w:lineRule="exact"/>
              <w:jc w:val="center"/>
              <w:rPr>
                <w:rFonts w:hint="eastAsia" w:ascii="宋体" w:hAnsi="宋体" w:eastAsia="宋体" w:cs="宋体"/>
                <w:color w:val="auto"/>
                <w:highlight w:val="none"/>
              </w:rPr>
            </w:pPr>
          </w:p>
        </w:tc>
      </w:tr>
      <w:tr w14:paraId="36DB5D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72" w:type="dxa"/>
            <w:tcBorders>
              <w:left w:val="single" w:color="auto" w:sz="4" w:space="0"/>
            </w:tcBorders>
            <w:noWrap w:val="0"/>
            <w:vAlign w:val="center"/>
          </w:tcPr>
          <w:p w14:paraId="67F46053">
            <w:pPr>
              <w:widowControl/>
              <w:numPr>
                <w:ilvl w:val="0"/>
                <w:numId w:val="0"/>
              </w:numPr>
              <w:spacing w:before="24" w:beforeLines="10" w:after="24" w:afterLines="10" w:line="300" w:lineRule="exact"/>
              <w:ind w:left="0" w:leftChars="0" w:firstLine="0" w:firstLineChars="0"/>
              <w:jc w:val="center"/>
              <w:rPr>
                <w:rFonts w:hint="default" w:ascii="宋体" w:hAnsi="宋体" w:eastAsia="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5</w:t>
            </w:r>
          </w:p>
        </w:tc>
        <w:tc>
          <w:tcPr>
            <w:tcW w:w="4322" w:type="dxa"/>
            <w:noWrap w:val="0"/>
            <w:vAlign w:val="center"/>
          </w:tcPr>
          <w:p w14:paraId="52A0AA85">
            <w:pPr>
              <w:widowControl/>
              <w:spacing w:before="24" w:beforeLines="10" w:after="24" w:afterLines="10" w:line="300" w:lineRule="exact"/>
              <w:jc w:val="center"/>
              <w:rPr>
                <w:rFonts w:hint="eastAsia" w:ascii="宋体" w:hAnsi="宋体"/>
                <w:highlight w:val="none"/>
                <w:lang w:val="en-US" w:eastAsia="zh-CN"/>
              </w:rPr>
            </w:pPr>
            <w:r>
              <w:rPr>
                <w:rFonts w:hint="eastAsia" w:ascii="宋体" w:hAnsi="宋体"/>
                <w:highlight w:val="none"/>
                <w:lang w:val="en-US" w:eastAsia="zh-CN"/>
              </w:rPr>
              <w:t>是否响应磋商须知前附表第二章第42.1款</w:t>
            </w:r>
          </w:p>
          <w:p w14:paraId="0C4AB39C">
            <w:pPr>
              <w:widowControl/>
              <w:spacing w:before="24" w:beforeLines="10" w:after="24" w:afterLines="10" w:line="300" w:lineRule="exact"/>
              <w:jc w:val="center"/>
              <w:rPr>
                <w:rFonts w:hint="default" w:ascii="宋体" w:hAnsi="宋体" w:eastAsia="宋体"/>
                <w:highlight w:val="none"/>
                <w:lang w:val="en-US" w:eastAsia="zh-CN"/>
              </w:rPr>
            </w:pPr>
            <w:r>
              <w:rPr>
                <w:rFonts w:hint="eastAsia" w:ascii="宋体" w:hAnsi="宋体"/>
                <w:highlight w:val="none"/>
                <w:lang w:val="en-US" w:eastAsia="zh-CN"/>
              </w:rPr>
              <w:t>其他规定</w:t>
            </w:r>
          </w:p>
        </w:tc>
        <w:tc>
          <w:tcPr>
            <w:tcW w:w="2701" w:type="dxa"/>
            <w:noWrap w:val="0"/>
            <w:vAlign w:val="center"/>
          </w:tcPr>
          <w:p w14:paraId="19C3B1A4">
            <w:pPr>
              <w:widowControl/>
              <w:spacing w:before="24" w:beforeLines="10" w:after="24" w:afterLines="10" w:line="300" w:lineRule="exact"/>
              <w:jc w:val="center"/>
              <w:rPr>
                <w:rFonts w:hint="eastAsia" w:ascii="宋体" w:hAnsi="宋体" w:cs="宋体"/>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260F795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53E420A">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7284139A">
            <w:pPr>
              <w:widowControl/>
              <w:spacing w:before="24" w:beforeLines="10" w:after="24" w:afterLines="10" w:line="300" w:lineRule="exact"/>
              <w:jc w:val="center"/>
              <w:rPr>
                <w:rFonts w:hint="eastAsia" w:ascii="宋体" w:hAnsi="宋体" w:eastAsia="宋体" w:cs="宋体"/>
                <w:color w:val="auto"/>
                <w:highlight w:val="none"/>
              </w:rPr>
            </w:pPr>
          </w:p>
        </w:tc>
      </w:tr>
      <w:tr w14:paraId="0F1B49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72" w:type="dxa"/>
            <w:tcBorders>
              <w:left w:val="single" w:color="auto" w:sz="4" w:space="0"/>
            </w:tcBorders>
            <w:noWrap w:val="0"/>
            <w:vAlign w:val="center"/>
          </w:tcPr>
          <w:p w14:paraId="76C11513">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cs="宋体"/>
                <w:color w:val="auto"/>
                <w:kern w:val="2"/>
                <w:sz w:val="21"/>
                <w:szCs w:val="24"/>
                <w:lang w:val="en-US" w:eastAsia="zh-CN" w:bidi="ar-SA"/>
              </w:rPr>
              <w:t>6</w:t>
            </w:r>
          </w:p>
        </w:tc>
        <w:tc>
          <w:tcPr>
            <w:tcW w:w="4322" w:type="dxa"/>
            <w:noWrap w:val="0"/>
            <w:vAlign w:val="center"/>
          </w:tcPr>
          <w:p w14:paraId="1FA95922">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highlight w:val="none"/>
                <w:lang w:eastAsia="zh-CN"/>
              </w:rPr>
              <w:t>响应文件</w:t>
            </w:r>
            <w:r>
              <w:rPr>
                <w:rFonts w:hint="eastAsia" w:ascii="宋体" w:hAnsi="宋体"/>
                <w:highlight w:val="none"/>
              </w:rPr>
              <w:t>中</w:t>
            </w:r>
            <w:r>
              <w:rPr>
                <w:rFonts w:hint="eastAsia" w:ascii="宋体" w:hAnsi="宋体"/>
                <w:highlight w:val="none"/>
                <w:lang w:val="en-US" w:eastAsia="zh-CN"/>
              </w:rPr>
              <w:t>是否</w:t>
            </w:r>
            <w:r>
              <w:rPr>
                <w:rFonts w:hint="eastAsia" w:ascii="宋体" w:hAnsi="宋体"/>
                <w:highlight w:val="none"/>
              </w:rPr>
              <w:t>符合法律、法规和招标文件其他实质性规定</w:t>
            </w:r>
          </w:p>
        </w:tc>
        <w:tc>
          <w:tcPr>
            <w:tcW w:w="2701" w:type="dxa"/>
            <w:noWrap w:val="0"/>
            <w:vAlign w:val="center"/>
          </w:tcPr>
          <w:p w14:paraId="3A3C8A1E">
            <w:pPr>
              <w:widowControl/>
              <w:spacing w:before="24" w:beforeLines="10" w:after="24" w:afterLines="10" w:line="300" w:lineRule="exact"/>
              <w:jc w:val="center"/>
              <w:rPr>
                <w:rFonts w:hint="eastAsia" w:ascii="宋体" w:hAnsi="宋体" w:eastAsia="宋体" w:cs="宋体"/>
                <w:color w:val="auto"/>
                <w:kern w:val="0"/>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6C19EB98">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3004EC2">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66435B0">
            <w:pPr>
              <w:widowControl/>
              <w:spacing w:before="24" w:beforeLines="10" w:after="24" w:afterLines="10" w:line="300" w:lineRule="exact"/>
              <w:jc w:val="center"/>
              <w:rPr>
                <w:rFonts w:hint="eastAsia" w:ascii="宋体" w:hAnsi="宋体" w:eastAsia="宋体" w:cs="宋体"/>
                <w:color w:val="auto"/>
                <w:highlight w:val="none"/>
              </w:rPr>
            </w:pPr>
          </w:p>
        </w:tc>
      </w:tr>
      <w:tr w14:paraId="698604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495" w:type="dxa"/>
            <w:gridSpan w:val="3"/>
            <w:tcBorders>
              <w:left w:val="single" w:color="auto" w:sz="4" w:space="0"/>
              <w:bottom w:val="single" w:color="auto" w:sz="4" w:space="0"/>
            </w:tcBorders>
            <w:noWrap w:val="0"/>
            <w:vAlign w:val="center"/>
          </w:tcPr>
          <w:p w14:paraId="461241AA">
            <w:pPr>
              <w:widowControl/>
              <w:spacing w:before="24" w:beforeLines="10" w:after="24" w:afterLines="10" w:line="300" w:lineRule="exact"/>
              <w:jc w:val="center"/>
              <w:rPr>
                <w:rFonts w:hint="eastAsia" w:ascii="宋体" w:hAnsi="宋体" w:eastAsia="宋体" w:cs="宋体"/>
                <w:color w:val="auto"/>
                <w:kern w:val="0"/>
                <w:szCs w:val="21"/>
                <w:lang w:val="en-US" w:eastAsia="zh-CN"/>
              </w:rPr>
            </w:pPr>
            <w:r>
              <w:rPr>
                <w:rFonts w:hint="eastAsia" w:ascii="宋体" w:hAnsi="宋体"/>
                <w:highlight w:val="none"/>
                <w:lang w:eastAsia="zh-CN"/>
              </w:rPr>
              <w:t>结论</w:t>
            </w:r>
          </w:p>
        </w:tc>
        <w:tc>
          <w:tcPr>
            <w:tcW w:w="707" w:type="dxa"/>
            <w:tcBorders>
              <w:bottom w:val="single" w:color="auto" w:sz="4" w:space="0"/>
            </w:tcBorders>
            <w:noWrap w:val="0"/>
            <w:vAlign w:val="center"/>
          </w:tcPr>
          <w:p w14:paraId="7A3A536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tcBorders>
              <w:bottom w:val="single" w:color="auto" w:sz="4" w:space="0"/>
            </w:tcBorders>
            <w:noWrap w:val="0"/>
            <w:vAlign w:val="center"/>
          </w:tcPr>
          <w:p w14:paraId="6015F808">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bottom w:val="single" w:color="auto" w:sz="4" w:space="0"/>
              <w:right w:val="single" w:color="auto" w:sz="4" w:space="0"/>
            </w:tcBorders>
            <w:noWrap w:val="0"/>
            <w:vAlign w:val="center"/>
          </w:tcPr>
          <w:p w14:paraId="0997CB60">
            <w:pPr>
              <w:widowControl/>
              <w:spacing w:before="24" w:beforeLines="10" w:after="24" w:afterLines="10" w:line="300" w:lineRule="exact"/>
              <w:jc w:val="center"/>
              <w:rPr>
                <w:rFonts w:hint="eastAsia" w:ascii="宋体" w:hAnsi="宋体" w:eastAsia="宋体" w:cs="宋体"/>
                <w:color w:val="auto"/>
                <w:highlight w:val="none"/>
              </w:rPr>
            </w:pPr>
          </w:p>
        </w:tc>
      </w:tr>
    </w:tbl>
    <w:p w14:paraId="790C7C8B">
      <w:pPr>
        <w:pStyle w:val="19"/>
        <w:spacing w:after="0" w:line="300" w:lineRule="exac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备注：</w:t>
      </w:r>
      <w:r>
        <w:rPr>
          <w:rFonts w:hint="eastAsia" w:ascii="宋体" w:hAnsi="宋体" w:eastAsia="宋体" w:cs="宋体"/>
          <w:color w:val="auto"/>
          <w:szCs w:val="21"/>
          <w:highlight w:val="none"/>
          <w:lang w:val="en-US" w:eastAsia="zh-CN"/>
        </w:rPr>
        <w:t xml:space="preserve"> 1、</w:t>
      </w:r>
      <w:r>
        <w:rPr>
          <w:rFonts w:hint="eastAsia" w:ascii="宋体" w:hAnsi="宋体" w:eastAsia="宋体" w:cs="宋体"/>
          <w:color w:val="auto"/>
          <w:szCs w:val="21"/>
          <w:highlight w:val="none"/>
        </w:rPr>
        <w:t>上述内容合格用“√”表示，不合格用“×”表示；</w:t>
      </w:r>
    </w:p>
    <w:p w14:paraId="3BB16339">
      <w:pPr>
        <w:pStyle w:val="63"/>
        <w:ind w:firstLine="789" w:firstLineChars="329"/>
        <w:rPr>
          <w:rFonts w:hint="eastAsia" w:ascii="宋体" w:hAnsi="宋体" w:eastAsia="宋体" w:cs="宋体"/>
        </w:rPr>
      </w:pPr>
      <w:r>
        <w:rPr>
          <w:rFonts w:hint="eastAsia" w:ascii="宋体" w:hAnsi="宋体" w:eastAsia="宋体" w:cs="宋体"/>
          <w:color w:val="auto"/>
          <w:szCs w:val="21"/>
          <w:highlight w:val="none"/>
        </w:rPr>
        <w:t>2、以上内容有一项不合格的，则初步评审的综合评定结果为不合格。</w:t>
      </w:r>
    </w:p>
    <w:p w14:paraId="4E0ABA2D">
      <w:pPr>
        <w:numPr>
          <w:ilvl w:val="1"/>
          <w:numId w:val="5"/>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磋商</w:t>
      </w:r>
    </w:p>
    <w:p w14:paraId="1C4A3E68">
      <w:pPr>
        <w:adjustRightInd w:val="0"/>
        <w:snapToGrid w:val="0"/>
        <w:spacing w:before="120" w:beforeLines="50" w:after="120" w:afterLines="50" w:line="320" w:lineRule="exact"/>
        <w:ind w:right="-109" w:rightChars="-52" w:firstLine="525" w:firstLineChars="2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磋商小组可根据磋商文件的规定与供应商进行多轮磋商</w:t>
      </w:r>
      <w:r>
        <w:rPr>
          <w:rFonts w:hint="eastAsia" w:ascii="宋体" w:hAnsi="宋体" w:eastAsia="宋体" w:cs="宋体"/>
          <w:color w:val="auto"/>
          <w:szCs w:val="21"/>
          <w:highlight w:val="none"/>
          <w:lang w:eastAsia="zh-CN"/>
        </w:rPr>
        <w:t>。</w:t>
      </w:r>
    </w:p>
    <w:p w14:paraId="06FE8218">
      <w:pPr>
        <w:numPr>
          <w:ilvl w:val="1"/>
          <w:numId w:val="5"/>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澄清有关问题</w:t>
      </w:r>
    </w:p>
    <w:p w14:paraId="73D25D7D">
      <w:pPr>
        <w:adjustRightInd w:val="0"/>
        <w:snapToGrid w:val="0"/>
        <w:spacing w:before="120" w:beforeLines="50" w:after="120" w:afterLines="50" w:line="440" w:lineRule="exact"/>
        <w:ind w:left="525" w:hanging="525" w:hangingChars="250"/>
        <w:rPr>
          <w:rFonts w:hint="eastAsia" w:ascii="宋体" w:hAnsi="宋体" w:eastAsia="宋体" w:cs="宋体"/>
        </w:rPr>
      </w:pPr>
      <w:r>
        <w:rPr>
          <w:rFonts w:hint="eastAsia" w:ascii="宋体" w:hAnsi="宋体" w:eastAsia="宋体" w:cs="宋体"/>
          <w:color w:val="auto"/>
          <w:szCs w:val="21"/>
          <w:highlight w:val="none"/>
        </w:rPr>
        <w:t>2.5.1对响应文件中含义不明确、同类问题表述不一致或者有明显文字和计算错误的内容，磋商小组将以书面形式通知供应商</w:t>
      </w:r>
      <w:r>
        <w:rPr>
          <w:rFonts w:hint="eastAsia" w:ascii="宋体" w:hAnsi="宋体" w:cs="宋体"/>
          <w:color w:val="auto"/>
          <w:szCs w:val="21"/>
          <w:highlight w:val="none"/>
          <w:lang w:eastAsia="zh-CN"/>
        </w:rPr>
        <w:t>做出</w:t>
      </w:r>
      <w:r>
        <w:rPr>
          <w:rFonts w:hint="eastAsia" w:ascii="宋体" w:hAnsi="宋体" w:eastAsia="宋体" w:cs="宋体"/>
          <w:color w:val="auto"/>
          <w:szCs w:val="21"/>
          <w:highlight w:val="none"/>
        </w:rPr>
        <w:t>必要的澄清、说明，但不得超出响应文件的范围或对响应文件做实质性的修改（计算错误修正除外）。磋商小组不接受供应商主动提出的澄清、说明。</w:t>
      </w:r>
    </w:p>
    <w:p w14:paraId="2E6D6DB0">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 xml:space="preserve">表3  </w:t>
      </w:r>
      <w:r>
        <w:rPr>
          <w:rFonts w:hint="eastAsia" w:ascii="宋体" w:hAnsi="宋体" w:eastAsia="宋体" w:cs="宋体"/>
          <w:b/>
          <w:color w:val="auto"/>
          <w:szCs w:val="21"/>
          <w:highlight w:val="none"/>
        </w:rPr>
        <w:t>澄清、说明、补正事项纪要表</w:t>
      </w:r>
    </w:p>
    <w:tbl>
      <w:tblPr>
        <w:tblStyle w:val="44"/>
        <w:tblW w:w="1027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2275"/>
        <w:gridCol w:w="1784"/>
        <w:gridCol w:w="2816"/>
        <w:gridCol w:w="1425"/>
        <w:gridCol w:w="1111"/>
      </w:tblGrid>
      <w:tr w14:paraId="65F30B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759" w:hRule="atLeast"/>
          <w:jc w:val="center"/>
        </w:trPr>
        <w:tc>
          <w:tcPr>
            <w:tcW w:w="868" w:type="dxa"/>
            <w:noWrap w:val="0"/>
            <w:vAlign w:val="center"/>
          </w:tcPr>
          <w:p w14:paraId="34FE793F">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275" w:type="dxa"/>
            <w:noWrap w:val="0"/>
            <w:vAlign w:val="center"/>
          </w:tcPr>
          <w:p w14:paraId="2F42A953">
            <w:pPr>
              <w:widowControl/>
              <w:spacing w:line="495"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w:t>
            </w:r>
          </w:p>
        </w:tc>
        <w:tc>
          <w:tcPr>
            <w:tcW w:w="1784" w:type="dxa"/>
            <w:noWrap w:val="0"/>
            <w:vAlign w:val="center"/>
          </w:tcPr>
          <w:p w14:paraId="5BE1CE15">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响应文件中需要澄清的页次</w:t>
            </w:r>
          </w:p>
        </w:tc>
        <w:tc>
          <w:tcPr>
            <w:tcW w:w="2816" w:type="dxa"/>
            <w:noWrap w:val="0"/>
            <w:vAlign w:val="center"/>
          </w:tcPr>
          <w:p w14:paraId="41F4D951">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中含义不明确同类问题表述不一致或明显文字和计算错误的澄清、说明或修正记录</w:t>
            </w:r>
          </w:p>
        </w:tc>
        <w:tc>
          <w:tcPr>
            <w:tcW w:w="1425" w:type="dxa"/>
            <w:noWrap w:val="0"/>
            <w:vAlign w:val="center"/>
          </w:tcPr>
          <w:p w14:paraId="078C5FE2">
            <w:pPr>
              <w:jc w:val="center"/>
              <w:rPr>
                <w:rFonts w:hint="eastAsia" w:ascii="宋体" w:hAnsi="宋体" w:eastAsia="宋体" w:cs="宋体"/>
                <w:color w:val="auto"/>
                <w:szCs w:val="21"/>
                <w:highlight w:val="none"/>
              </w:rPr>
            </w:pPr>
            <w:r>
              <w:rPr>
                <w:rFonts w:hint="eastAsia"/>
                <w:sz w:val="24"/>
              </w:rPr>
              <w:t>供应商对修正的意见</w:t>
            </w:r>
          </w:p>
        </w:tc>
        <w:tc>
          <w:tcPr>
            <w:tcW w:w="1111" w:type="dxa"/>
            <w:noWrap w:val="0"/>
            <w:vAlign w:val="center"/>
          </w:tcPr>
          <w:p w14:paraId="16A933A3">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w:t>
            </w:r>
          </w:p>
          <w:p w14:paraId="6DC540D1">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签字确认</w:t>
            </w:r>
          </w:p>
        </w:tc>
      </w:tr>
      <w:tr w14:paraId="353EC3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1AA66880">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275" w:type="dxa"/>
            <w:noWrap w:val="0"/>
            <w:vAlign w:val="center"/>
          </w:tcPr>
          <w:p w14:paraId="70EDB4AE">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51ED1F8C">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64606434">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7963E11D">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79060062">
            <w:pPr>
              <w:widowControl/>
              <w:spacing w:line="495" w:lineRule="atLeast"/>
              <w:rPr>
                <w:rFonts w:hint="eastAsia" w:ascii="宋体" w:hAnsi="宋体" w:eastAsia="宋体" w:cs="宋体"/>
                <w:color w:val="auto"/>
                <w:szCs w:val="21"/>
                <w:highlight w:val="none"/>
              </w:rPr>
            </w:pPr>
          </w:p>
        </w:tc>
      </w:tr>
      <w:tr w14:paraId="1E5365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68" w:type="dxa"/>
            <w:noWrap w:val="0"/>
            <w:vAlign w:val="center"/>
          </w:tcPr>
          <w:p w14:paraId="6B9744EC">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275" w:type="dxa"/>
            <w:noWrap w:val="0"/>
            <w:vAlign w:val="center"/>
          </w:tcPr>
          <w:p w14:paraId="4AA1F751">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73A748AF">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0E231EF">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4CE9E31A">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27FB8B52">
            <w:pPr>
              <w:widowControl/>
              <w:spacing w:line="495" w:lineRule="atLeast"/>
              <w:rPr>
                <w:rFonts w:hint="eastAsia" w:ascii="宋体" w:hAnsi="宋体" w:eastAsia="宋体" w:cs="宋体"/>
                <w:color w:val="auto"/>
                <w:szCs w:val="21"/>
                <w:highlight w:val="none"/>
              </w:rPr>
            </w:pPr>
          </w:p>
        </w:tc>
      </w:tr>
      <w:tr w14:paraId="6ECE19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68" w:type="dxa"/>
            <w:noWrap w:val="0"/>
            <w:vAlign w:val="center"/>
          </w:tcPr>
          <w:p w14:paraId="3CFC06F5">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275" w:type="dxa"/>
            <w:noWrap w:val="0"/>
            <w:vAlign w:val="center"/>
          </w:tcPr>
          <w:p w14:paraId="7B30A4D5">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08FFBB18">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57B72D1">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1A4563B8">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143C73E8">
            <w:pPr>
              <w:widowControl/>
              <w:spacing w:line="495" w:lineRule="atLeast"/>
              <w:rPr>
                <w:rFonts w:hint="eastAsia" w:ascii="宋体" w:hAnsi="宋体" w:eastAsia="宋体" w:cs="宋体"/>
                <w:color w:val="auto"/>
                <w:szCs w:val="21"/>
                <w:highlight w:val="none"/>
              </w:rPr>
            </w:pPr>
          </w:p>
        </w:tc>
      </w:tr>
    </w:tbl>
    <w:p w14:paraId="2E2AD7C3">
      <w:pPr>
        <w:adjustRightInd w:val="0"/>
        <w:snapToGrid w:val="0"/>
        <w:spacing w:before="120" w:beforeLines="50" w:after="120" w:afterLines="50" w:line="440" w:lineRule="exact"/>
        <w:ind w:left="525" w:hanging="52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计算错误将按以下方法修正：如果响应文件的大写金额和小写金额不一致的，以大写金额为准；总价金额与按单价汇总金额不一致的，以单价金额计算结果为准；单价金额小数点有明显错位的，应以总价为准，并修改单价；若文字大写表示的数据与数字表示的有差别，则以文字大写表示的数据为准。若供应商拒绝接受上述修正，在评审时将其视为无效响应文件。</w:t>
      </w:r>
    </w:p>
    <w:p w14:paraId="404F3362">
      <w:pPr>
        <w:numPr>
          <w:ilvl w:val="0"/>
          <w:numId w:val="3"/>
        </w:numPr>
        <w:adjustRightInd w:val="0"/>
        <w:snapToGrid w:val="0"/>
        <w:spacing w:before="240" w:beforeLines="100" w:line="400" w:lineRule="exact"/>
        <w:ind w:right="-109" w:rightChars="-5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综合评审</w:t>
      </w:r>
    </w:p>
    <w:p w14:paraId="48126F64">
      <w:pPr>
        <w:adjustRightInd w:val="0"/>
        <w:snapToGrid w:val="0"/>
        <w:spacing w:before="120" w:beforeLines="50" w:after="120" w:afterLines="50" w:line="440" w:lineRule="exact"/>
        <w:ind w:left="420" w:leftChars="200"/>
        <w:rPr>
          <w:rFonts w:hint="eastAsia" w:ascii="宋体" w:hAnsi="宋体" w:eastAsia="宋体" w:cs="宋体"/>
          <w:color w:val="auto"/>
          <w:szCs w:val="21"/>
          <w:highlight w:val="none"/>
        </w:rPr>
        <w:sectPr>
          <w:pgSz w:w="11906" w:h="16838"/>
          <w:pgMar w:top="1134" w:right="1134" w:bottom="1134" w:left="1134" w:header="851" w:footer="992" w:gutter="0"/>
          <w:pgNumType w:fmt="decimal"/>
          <w:cols w:space="720" w:num="1"/>
          <w:docGrid w:linePitch="312" w:charSpace="0"/>
        </w:sectPr>
      </w:pPr>
      <w:r>
        <w:rPr>
          <w:rFonts w:hint="eastAsia" w:ascii="宋体" w:hAnsi="宋体" w:eastAsia="宋体" w:cs="宋体"/>
          <w:color w:val="auto"/>
          <w:szCs w:val="21"/>
          <w:highlight w:val="none"/>
        </w:rPr>
        <w:t>磋商小组应按照磋商文件中规定的评审方法和标准，对资格审查、初步审查及符合性审查合格的响应文件进行商务和技术评估，综合比较进行评分。</w:t>
      </w:r>
    </w:p>
    <w:p w14:paraId="3553E733">
      <w:pPr>
        <w:jc w:val="center"/>
        <w:rPr>
          <w:rFonts w:hint="eastAsia" w:ascii="宋体" w:hAnsi="宋体" w:eastAsia="宋体" w:cs="宋体"/>
          <w:lang w:val="en-US" w:eastAsia="zh-CN"/>
        </w:rPr>
      </w:pPr>
      <w:r>
        <w:rPr>
          <w:rFonts w:hint="eastAsia" w:ascii="宋体" w:hAnsi="宋体" w:eastAsia="宋体" w:cs="宋体"/>
          <w:b/>
          <w:bCs/>
          <w:sz w:val="28"/>
          <w:szCs w:val="28"/>
        </w:rPr>
        <w:t>取值范围</w:t>
      </w:r>
      <w:r>
        <w:rPr>
          <w:rFonts w:hint="eastAsia" w:ascii="宋体" w:hAnsi="宋体" w:eastAsia="宋体" w:cs="宋体"/>
          <w:lang w:val="en-US" w:eastAsia="zh-CN"/>
        </w:rPr>
        <w:t>(</w:t>
      </w:r>
      <w:r>
        <w:rPr>
          <w:rFonts w:hint="eastAsia" w:ascii="宋体" w:hAnsi="宋体" w:eastAsia="宋体" w:cs="宋体"/>
        </w:rPr>
        <w:t>本采购项目的权值为：</w:t>
      </w:r>
      <w:r>
        <w:rPr>
          <w:rFonts w:hint="eastAsia" w:ascii="宋体" w:hAnsi="宋体" w:eastAsia="宋体" w:cs="宋体"/>
          <w:lang w:val="en-US" w:eastAsia="zh-CN"/>
        </w:rPr>
        <w:t>)</w:t>
      </w:r>
    </w:p>
    <w:tbl>
      <w:tblPr>
        <w:tblStyle w:val="44"/>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5207"/>
        <w:gridCol w:w="3640"/>
      </w:tblGrid>
      <w:tr w14:paraId="6969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15" w:type="dxa"/>
            <w:noWrap w:val="0"/>
            <w:vAlign w:val="center"/>
          </w:tcPr>
          <w:p w14:paraId="0B3B79BA">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序号</w:t>
            </w:r>
          </w:p>
        </w:tc>
        <w:tc>
          <w:tcPr>
            <w:tcW w:w="5207" w:type="dxa"/>
            <w:noWrap w:val="0"/>
            <w:vAlign w:val="center"/>
          </w:tcPr>
          <w:p w14:paraId="077C147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项   目</w:t>
            </w:r>
          </w:p>
        </w:tc>
        <w:tc>
          <w:tcPr>
            <w:tcW w:w="3640" w:type="dxa"/>
            <w:noWrap w:val="0"/>
            <w:vAlign w:val="center"/>
          </w:tcPr>
          <w:p w14:paraId="29B80FE8">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权值的取值</w:t>
            </w:r>
          </w:p>
        </w:tc>
      </w:tr>
      <w:tr w14:paraId="44EB8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15" w:type="dxa"/>
            <w:noWrap w:val="0"/>
            <w:vAlign w:val="center"/>
          </w:tcPr>
          <w:p w14:paraId="7540C71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1</w:t>
            </w:r>
          </w:p>
        </w:tc>
        <w:tc>
          <w:tcPr>
            <w:tcW w:w="5207" w:type="dxa"/>
            <w:noWrap w:val="0"/>
            <w:vAlign w:val="center"/>
          </w:tcPr>
          <w:p w14:paraId="040B1024">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价格</w:t>
            </w:r>
          </w:p>
        </w:tc>
        <w:tc>
          <w:tcPr>
            <w:tcW w:w="3640" w:type="dxa"/>
            <w:noWrap w:val="0"/>
            <w:vAlign w:val="center"/>
          </w:tcPr>
          <w:p w14:paraId="427A533E">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A1=20%</w:t>
            </w:r>
          </w:p>
        </w:tc>
      </w:tr>
      <w:tr w14:paraId="0FE38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815" w:type="dxa"/>
            <w:noWrap w:val="0"/>
            <w:vAlign w:val="center"/>
          </w:tcPr>
          <w:p w14:paraId="0CCAF951">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2</w:t>
            </w:r>
          </w:p>
        </w:tc>
        <w:tc>
          <w:tcPr>
            <w:tcW w:w="5207" w:type="dxa"/>
            <w:noWrap w:val="0"/>
            <w:vAlign w:val="center"/>
          </w:tcPr>
          <w:p w14:paraId="3F865E7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商务</w:t>
            </w:r>
          </w:p>
        </w:tc>
        <w:tc>
          <w:tcPr>
            <w:tcW w:w="3640" w:type="dxa"/>
            <w:noWrap w:val="0"/>
            <w:vAlign w:val="center"/>
          </w:tcPr>
          <w:p w14:paraId="3438B754">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A2=30%</w:t>
            </w:r>
          </w:p>
        </w:tc>
      </w:tr>
      <w:tr w14:paraId="127E1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28EF1C5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3</w:t>
            </w:r>
          </w:p>
        </w:tc>
        <w:tc>
          <w:tcPr>
            <w:tcW w:w="5207" w:type="dxa"/>
            <w:noWrap w:val="0"/>
            <w:vAlign w:val="center"/>
          </w:tcPr>
          <w:p w14:paraId="632A7EA2">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技术</w:t>
            </w:r>
          </w:p>
        </w:tc>
        <w:tc>
          <w:tcPr>
            <w:tcW w:w="3640" w:type="dxa"/>
            <w:noWrap w:val="0"/>
            <w:vAlign w:val="center"/>
          </w:tcPr>
          <w:p w14:paraId="04A22A9D">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eastAsia="宋体" w:cs="宋体"/>
                <w:szCs w:val="21"/>
                <w:lang w:val="en-US" w:eastAsia="zh-CN"/>
              </w:rPr>
              <w:t>A3=50%</w:t>
            </w:r>
          </w:p>
        </w:tc>
      </w:tr>
      <w:tr w14:paraId="795B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662" w:type="dxa"/>
            <w:gridSpan w:val="3"/>
            <w:noWrap w:val="0"/>
            <w:vAlign w:val="top"/>
          </w:tcPr>
          <w:p w14:paraId="366602A1">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lang w:val="en-US" w:eastAsia="zh-CN"/>
              </w:rPr>
            </w:pPr>
            <w:r>
              <w:rPr>
                <w:rFonts w:hint="eastAsia" w:ascii="宋体" w:hAnsi="宋体" w:eastAsia="宋体" w:cs="宋体"/>
                <w:szCs w:val="21"/>
              </w:rPr>
              <w:t>∑(1+2+3)</w:t>
            </w:r>
            <w:r>
              <w:rPr>
                <w:rFonts w:hint="eastAsia" w:ascii="宋体" w:hAnsi="宋体" w:eastAsia="宋体" w:cs="宋体"/>
                <w:szCs w:val="21"/>
                <w:lang w:val="en-US" w:eastAsia="zh-CN"/>
              </w:rPr>
              <w:t>=1</w:t>
            </w:r>
          </w:p>
        </w:tc>
      </w:tr>
    </w:tbl>
    <w:p w14:paraId="3AD2E88E">
      <w:pPr>
        <w:jc w:val="center"/>
        <w:rPr>
          <w:b/>
          <w:sz w:val="32"/>
          <w:szCs w:val="32"/>
        </w:rPr>
      </w:pPr>
      <w:r>
        <w:rPr>
          <w:b/>
          <w:sz w:val="32"/>
          <w:szCs w:val="32"/>
        </w:rPr>
        <w:t>评审因素和标准</w:t>
      </w:r>
    </w:p>
    <w:tbl>
      <w:tblPr>
        <w:tblStyle w:val="44"/>
        <w:tblpPr w:leftFromText="180" w:rightFromText="180" w:vertAnchor="text" w:horzAnchor="page" w:tblpXSpec="center" w:tblpY="545"/>
        <w:tblOverlap w:val="never"/>
        <w:tblW w:w="1037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45"/>
        <w:gridCol w:w="1067"/>
        <w:gridCol w:w="1089"/>
        <w:gridCol w:w="617"/>
        <w:gridCol w:w="7260"/>
      </w:tblGrid>
      <w:tr w14:paraId="396E30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345" w:type="dxa"/>
            <w:vMerge w:val="restart"/>
            <w:tcBorders>
              <w:right w:val="single" w:color="auto" w:sz="4" w:space="0"/>
            </w:tcBorders>
            <w:noWrap w:val="0"/>
            <w:vAlign w:val="center"/>
          </w:tcPr>
          <w:p w14:paraId="64B04EC2">
            <w:pPr>
              <w:adjustRightInd w:val="0"/>
              <w:snapToGrid w:val="0"/>
              <w:spacing w:line="240" w:lineRule="auto"/>
              <w:rPr>
                <w:rFonts w:ascii="宋体" w:hAnsi="宋体" w:cs="宋体"/>
                <w:color w:val="000000"/>
                <w:szCs w:val="21"/>
              </w:rPr>
            </w:pPr>
          </w:p>
          <w:p w14:paraId="676D7227">
            <w:pPr>
              <w:adjustRightInd w:val="0"/>
              <w:snapToGrid w:val="0"/>
              <w:spacing w:line="240" w:lineRule="auto"/>
              <w:jc w:val="center"/>
              <w:rPr>
                <w:rFonts w:hint="eastAsia" w:ascii="宋体" w:hAnsi="宋体" w:cs="宋体"/>
                <w:color w:val="FF0000"/>
                <w:szCs w:val="21"/>
              </w:rPr>
            </w:pPr>
          </w:p>
        </w:tc>
        <w:tc>
          <w:tcPr>
            <w:tcW w:w="2156" w:type="dxa"/>
            <w:gridSpan w:val="2"/>
            <w:tcBorders>
              <w:left w:val="single" w:color="auto" w:sz="4" w:space="0"/>
              <w:right w:val="single" w:color="auto" w:sz="4" w:space="0"/>
            </w:tcBorders>
            <w:noWrap w:val="0"/>
            <w:vAlign w:val="center"/>
          </w:tcPr>
          <w:p w14:paraId="5257E1A9">
            <w:pPr>
              <w:adjustRightInd w:val="0"/>
              <w:snapToGrid w:val="0"/>
              <w:spacing w:line="240" w:lineRule="auto"/>
              <w:jc w:val="center"/>
              <w:rPr>
                <w:rFonts w:hint="eastAsia" w:ascii="宋体" w:hAnsi="宋体" w:cs="宋体"/>
                <w:b/>
                <w:color w:val="000000"/>
                <w:sz w:val="24"/>
                <w:szCs w:val="24"/>
              </w:rPr>
            </w:pPr>
            <w:r>
              <w:rPr>
                <w:rFonts w:hint="eastAsia" w:ascii="宋体" w:hAnsi="宋体" w:eastAsia="宋体" w:cs="宋体"/>
                <w:b/>
                <w:color w:val="000000"/>
                <w:sz w:val="24"/>
                <w:szCs w:val="24"/>
              </w:rPr>
              <w:t>评审因素</w:t>
            </w:r>
          </w:p>
        </w:tc>
        <w:tc>
          <w:tcPr>
            <w:tcW w:w="617" w:type="dxa"/>
            <w:tcBorders>
              <w:left w:val="single" w:color="auto" w:sz="4" w:space="0"/>
              <w:bottom w:val="single" w:color="auto" w:sz="4" w:space="0"/>
              <w:right w:val="single" w:color="auto" w:sz="4" w:space="0"/>
            </w:tcBorders>
            <w:noWrap w:val="0"/>
            <w:vAlign w:val="center"/>
          </w:tcPr>
          <w:p w14:paraId="747E05D8">
            <w:pPr>
              <w:adjustRightInd w:val="0"/>
              <w:snapToGrid w:val="0"/>
              <w:spacing w:line="240" w:lineRule="auto"/>
              <w:jc w:val="center"/>
              <w:rPr>
                <w:rFonts w:hint="default" w:ascii="宋体" w:hAnsi="宋体" w:eastAsia="宋体" w:cs="宋体"/>
                <w:b/>
                <w:color w:val="000000"/>
                <w:sz w:val="24"/>
                <w:szCs w:val="24"/>
                <w:lang w:val="en-US" w:eastAsia="zh-CN"/>
              </w:rPr>
            </w:pPr>
            <w:r>
              <w:rPr>
                <w:rFonts w:hint="eastAsia" w:ascii="宋体" w:hAnsi="宋体" w:cs="宋体"/>
                <w:b/>
                <w:color w:val="000000"/>
                <w:sz w:val="24"/>
                <w:szCs w:val="24"/>
                <w:lang w:val="en-US" w:eastAsia="zh-CN"/>
              </w:rPr>
              <w:t>分值</w:t>
            </w:r>
          </w:p>
        </w:tc>
        <w:tc>
          <w:tcPr>
            <w:tcW w:w="7260" w:type="dxa"/>
            <w:tcBorders>
              <w:left w:val="single" w:color="auto" w:sz="4" w:space="0"/>
              <w:bottom w:val="single" w:color="auto" w:sz="4" w:space="0"/>
            </w:tcBorders>
            <w:noWrap w:val="0"/>
            <w:vAlign w:val="center"/>
          </w:tcPr>
          <w:p w14:paraId="3EDA9F3D">
            <w:pPr>
              <w:adjustRightInd w:val="0"/>
              <w:snapToGrid w:val="0"/>
              <w:spacing w:line="240" w:lineRule="auto"/>
              <w:jc w:val="center"/>
              <w:rPr>
                <w:rFonts w:hint="eastAsia" w:ascii="宋体" w:hAnsi="宋体" w:cs="宋体"/>
                <w:b/>
                <w:color w:val="000000"/>
                <w:sz w:val="24"/>
                <w:szCs w:val="24"/>
              </w:rPr>
            </w:pPr>
            <w:r>
              <w:rPr>
                <w:rFonts w:hint="eastAsia" w:ascii="宋体" w:hAnsi="宋体" w:eastAsia="宋体" w:cs="宋体"/>
                <w:b/>
                <w:color w:val="000000"/>
                <w:sz w:val="24"/>
                <w:szCs w:val="24"/>
              </w:rPr>
              <w:t>评分标准</w:t>
            </w:r>
          </w:p>
        </w:tc>
      </w:tr>
      <w:tr w14:paraId="7BBADA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18" w:hRule="atLeast"/>
          <w:jc w:val="center"/>
        </w:trPr>
        <w:tc>
          <w:tcPr>
            <w:tcW w:w="345" w:type="dxa"/>
            <w:vMerge w:val="continue"/>
            <w:tcBorders>
              <w:right w:val="single" w:color="auto" w:sz="4" w:space="0"/>
            </w:tcBorders>
            <w:noWrap w:val="0"/>
            <w:vAlign w:val="center"/>
          </w:tcPr>
          <w:p w14:paraId="34AC50C9">
            <w:pPr>
              <w:adjustRightInd w:val="0"/>
              <w:snapToGrid w:val="0"/>
              <w:spacing w:line="240" w:lineRule="auto"/>
              <w:jc w:val="center"/>
              <w:rPr>
                <w:rFonts w:hint="eastAsia" w:ascii="宋体" w:hAnsi="宋体" w:cs="宋体"/>
                <w:color w:val="FF0000"/>
                <w:szCs w:val="21"/>
              </w:rPr>
            </w:pPr>
          </w:p>
        </w:tc>
        <w:tc>
          <w:tcPr>
            <w:tcW w:w="2156" w:type="dxa"/>
            <w:gridSpan w:val="2"/>
            <w:tcBorders>
              <w:top w:val="single" w:color="auto" w:sz="4" w:space="0"/>
              <w:left w:val="single" w:color="auto" w:sz="4" w:space="0"/>
              <w:bottom w:val="single" w:color="auto" w:sz="4" w:space="0"/>
              <w:right w:val="single" w:color="auto" w:sz="4" w:space="0"/>
            </w:tcBorders>
            <w:noWrap w:val="0"/>
            <w:vAlign w:val="center"/>
          </w:tcPr>
          <w:p w14:paraId="64144201">
            <w:pPr>
              <w:spacing w:line="240" w:lineRule="auto"/>
              <w:jc w:val="center"/>
              <w:rPr>
                <w:rFonts w:hint="eastAsia" w:ascii="宋体" w:hAnsi="宋体" w:cs="宋体"/>
                <w:color w:val="auto"/>
                <w:sz w:val="24"/>
                <w:szCs w:val="24"/>
                <w:highlight w:val="none"/>
              </w:rPr>
            </w:pPr>
            <w:r>
              <w:rPr>
                <w:rFonts w:hint="eastAsia" w:ascii="宋体" w:hAnsi="宋体" w:eastAsia="宋体" w:cs="宋体"/>
                <w:color w:val="auto"/>
                <w:sz w:val="24"/>
                <w:szCs w:val="24"/>
              </w:rPr>
              <w:t>价格</w:t>
            </w:r>
            <w:r>
              <w:rPr>
                <w:rFonts w:hint="eastAsia" w:ascii="宋体" w:hAnsi="宋体" w:eastAsia="宋体" w:cs="宋体"/>
                <w:color w:val="auto"/>
                <w:sz w:val="24"/>
                <w:szCs w:val="24"/>
                <w:lang w:val="en-US" w:eastAsia="zh-CN"/>
              </w:rPr>
              <w:t>部分（20%）</w:t>
            </w:r>
          </w:p>
        </w:tc>
        <w:tc>
          <w:tcPr>
            <w:tcW w:w="617" w:type="dxa"/>
            <w:tcBorders>
              <w:top w:val="single" w:color="auto" w:sz="4" w:space="0"/>
              <w:left w:val="single" w:color="auto" w:sz="4" w:space="0"/>
              <w:bottom w:val="single" w:color="auto" w:sz="4" w:space="0"/>
              <w:right w:val="single" w:color="auto" w:sz="4" w:space="0"/>
            </w:tcBorders>
            <w:noWrap w:val="0"/>
            <w:vAlign w:val="center"/>
          </w:tcPr>
          <w:p w14:paraId="0E43FD94">
            <w:pPr>
              <w:spacing w:line="240" w:lineRule="auto"/>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100</w:t>
            </w:r>
          </w:p>
        </w:tc>
        <w:tc>
          <w:tcPr>
            <w:tcW w:w="7260" w:type="dxa"/>
            <w:tcBorders>
              <w:top w:val="single" w:color="auto" w:sz="4" w:space="0"/>
              <w:left w:val="single" w:color="auto" w:sz="4" w:space="0"/>
              <w:bottom w:val="single" w:color="auto" w:sz="4" w:space="0"/>
            </w:tcBorders>
            <w:noWrap w:val="0"/>
            <w:vAlign w:val="center"/>
          </w:tcPr>
          <w:p w14:paraId="7EA5546C">
            <w:pPr>
              <w:autoSpaceDE w:val="0"/>
              <w:autoSpaceDN w:val="0"/>
              <w:spacing w:line="240" w:lineRule="auto"/>
              <w:jc w:val="left"/>
              <w:rPr>
                <w:rFonts w:ascii="宋体" w:hAnsi="宋体" w:eastAsia="宋体" w:cs="Times New Roman"/>
                <w:color w:val="000000"/>
                <w:kern w:val="0"/>
                <w:sz w:val="21"/>
                <w:szCs w:val="21"/>
                <w:lang w:bidi="ar"/>
              </w:rPr>
            </w:pPr>
            <w:r>
              <w:rPr>
                <w:rFonts w:hint="eastAsia" w:ascii="宋体" w:hAnsi="宋体" w:eastAsia="宋体" w:cs="Times New Roman"/>
                <w:color w:val="000000"/>
                <w:kern w:val="0"/>
                <w:sz w:val="21"/>
                <w:szCs w:val="21"/>
                <w:lang w:bidi="ar"/>
              </w:rPr>
              <w:t>经评委会一致认定满足招标文件要求且投标价格最低的投标报价为评标基准价，其价格得分计</w:t>
            </w:r>
            <w:r>
              <w:rPr>
                <w:rFonts w:hint="eastAsia" w:ascii="宋体" w:hAnsi="宋体" w:eastAsia="宋体" w:cs="Times New Roman"/>
                <w:color w:val="000000"/>
                <w:kern w:val="0"/>
                <w:sz w:val="21"/>
                <w:szCs w:val="21"/>
                <w:lang w:val="en-US" w:eastAsia="zh-CN" w:bidi="ar"/>
              </w:rPr>
              <w:t>满</w:t>
            </w:r>
            <w:r>
              <w:rPr>
                <w:rFonts w:hint="eastAsia" w:ascii="宋体" w:hAnsi="宋体" w:eastAsia="宋体" w:cs="Times New Roman"/>
                <w:color w:val="000000"/>
                <w:kern w:val="0"/>
                <w:sz w:val="21"/>
                <w:szCs w:val="21"/>
                <w:lang w:bidi="ar"/>
              </w:rPr>
              <w:t>分。其他供应商的价格分按照下列公式计算：</w:t>
            </w:r>
          </w:p>
          <w:p w14:paraId="7CB89A0F">
            <w:pPr>
              <w:autoSpaceDE w:val="0"/>
              <w:autoSpaceDN w:val="0"/>
              <w:spacing w:line="240" w:lineRule="auto"/>
              <w:jc w:val="left"/>
              <w:rPr>
                <w:rFonts w:ascii="宋体" w:hAnsi="宋体" w:eastAsia="宋体" w:cs="Times New Roman"/>
                <w:color w:val="000000"/>
                <w:kern w:val="0"/>
                <w:sz w:val="21"/>
                <w:szCs w:val="21"/>
                <w:lang w:bidi="ar"/>
              </w:rPr>
            </w:pPr>
            <w:r>
              <w:rPr>
                <w:rFonts w:hint="eastAsia" w:ascii="宋体" w:hAnsi="宋体" w:eastAsia="宋体" w:cs="Times New Roman"/>
                <w:color w:val="000000"/>
                <w:kern w:val="0"/>
                <w:sz w:val="21"/>
                <w:szCs w:val="21"/>
                <w:lang w:bidi="ar"/>
              </w:rPr>
              <w:t>投标报价得分＝（评标基准价/投标报价）×</w:t>
            </w:r>
            <w:r>
              <w:rPr>
                <w:rFonts w:hint="eastAsia" w:ascii="宋体" w:hAnsi="宋体" w:eastAsia="宋体" w:cs="Times New Roman"/>
                <w:color w:val="000000"/>
                <w:kern w:val="0"/>
                <w:sz w:val="21"/>
                <w:szCs w:val="21"/>
                <w:lang w:val="en-US" w:eastAsia="zh-CN" w:bidi="ar"/>
              </w:rPr>
              <w:t>价格权重</w:t>
            </w:r>
            <w:r>
              <w:rPr>
                <w:rFonts w:hint="eastAsia" w:ascii="宋体" w:hAnsi="宋体" w:eastAsia="宋体" w:cs="Times New Roman"/>
                <w:color w:val="000000"/>
                <w:kern w:val="0"/>
                <w:sz w:val="21"/>
                <w:szCs w:val="21"/>
                <w:lang w:bidi="ar"/>
              </w:rPr>
              <w:t>（四舍五入计算，保留小数点后两位）。</w:t>
            </w:r>
          </w:p>
          <w:p w14:paraId="7207CFDE">
            <w:pPr>
              <w:spacing w:line="24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注：1.根据财政部令第87号第六十条的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56FC6CD">
            <w:pPr>
              <w:numPr>
                <w:ilvl w:val="0"/>
                <w:numId w:val="0"/>
              </w:numPr>
              <w:spacing w:line="240" w:lineRule="auto"/>
              <w:ind w:leftChars="0"/>
              <w:rPr>
                <w:rFonts w:hint="eastAsia" w:ascii="宋体" w:hAnsi="宋体" w:eastAsia="宋体" w:cs="宋体"/>
                <w:b/>
                <w:color w:val="000000"/>
                <w:sz w:val="21"/>
                <w:szCs w:val="21"/>
              </w:rPr>
            </w:pPr>
            <w:r>
              <w:rPr>
                <w:rFonts w:hint="eastAsia" w:ascii="宋体" w:hAnsi="宋体" w:eastAsia="宋体" w:cs="宋体"/>
                <w:b/>
                <w:color w:val="000000"/>
                <w:sz w:val="21"/>
                <w:szCs w:val="21"/>
                <w:lang w:val="en-US" w:eastAsia="zh-CN"/>
              </w:rPr>
              <w:t>2.</w:t>
            </w:r>
            <w:r>
              <w:rPr>
                <w:rFonts w:hint="eastAsia" w:ascii="宋体" w:hAnsi="宋体" w:eastAsia="宋体" w:cs="宋体"/>
                <w:b/>
                <w:color w:val="000000"/>
                <w:sz w:val="21"/>
                <w:szCs w:val="21"/>
              </w:rPr>
              <w:t>政府采购评审中出现下列情形之一的，评审委员会应当启动异常低价投标(响应)审查程序：</w:t>
            </w:r>
          </w:p>
          <w:p w14:paraId="3013D871">
            <w:pPr>
              <w:numPr>
                <w:ilvl w:val="0"/>
                <w:numId w:val="0"/>
              </w:numPr>
              <w:spacing w:line="240" w:lineRule="auto"/>
              <w:ind w:leftChars="0"/>
              <w:rPr>
                <w:rFonts w:hint="eastAsia" w:ascii="宋体" w:hAnsi="宋体" w:eastAsia="宋体" w:cs="宋体"/>
                <w:b/>
                <w:color w:val="000000"/>
                <w:sz w:val="21"/>
                <w:szCs w:val="21"/>
              </w:rPr>
            </w:pPr>
            <w:r>
              <w:rPr>
                <w:rFonts w:hint="eastAsia" w:ascii="宋体" w:hAnsi="宋体" w:eastAsia="宋体" w:cs="宋体"/>
                <w:b/>
                <w:color w:val="000000"/>
                <w:sz w:val="21"/>
                <w:szCs w:val="21"/>
              </w:rPr>
              <w:t>2.1投标(响应)报价低于全部通过符合性审查供应商</w:t>
            </w:r>
            <w:r>
              <w:rPr>
                <w:rFonts w:hint="eastAsia" w:ascii="宋体" w:hAnsi="宋体" w:eastAsia="宋体" w:cs="宋体"/>
                <w:b/>
                <w:color w:val="000000"/>
                <w:sz w:val="21"/>
                <w:szCs w:val="21"/>
                <w:lang w:val="en-US" w:eastAsia="zh-CN"/>
              </w:rPr>
              <w:t>投标</w:t>
            </w:r>
            <w:r>
              <w:rPr>
                <w:rFonts w:hint="eastAsia" w:ascii="宋体" w:hAnsi="宋体" w:eastAsia="宋体" w:cs="宋体"/>
                <w:b/>
                <w:color w:val="000000"/>
                <w:sz w:val="21"/>
                <w:szCs w:val="21"/>
              </w:rPr>
              <w:t>(响应)报价平均值65%的，即投标(响应)报价&lt;全部通过符合性审查供应商投标(响应)报价平均值*65%；</w:t>
            </w:r>
          </w:p>
          <w:p w14:paraId="71597496">
            <w:pPr>
              <w:spacing w:line="24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2.2投标(响应)报价低于通过符合性审查的次低报价供应商投标(响应)报价65%的，即投标(响应)报价&lt;通过符合性审查的次低报价供应商投标(响应)报价*65%；2.3投标(响应)报价低于采购项目最高限价65%的即投标(响应)报价&lt;采购项目最高限价*65%；</w:t>
            </w:r>
          </w:p>
          <w:p w14:paraId="06CEB550">
            <w:pPr>
              <w:spacing w:line="240" w:lineRule="auto"/>
              <w:rPr>
                <w:rFonts w:hint="eastAsia" w:ascii="宋体" w:hAnsi="宋体" w:eastAsia="宋体" w:cs="宋体"/>
                <w:b/>
                <w:color w:val="000000"/>
                <w:sz w:val="21"/>
                <w:szCs w:val="21"/>
              </w:rPr>
            </w:pPr>
            <w:r>
              <w:rPr>
                <w:rFonts w:hint="eastAsia" w:ascii="宋体" w:hAnsi="宋体" w:eastAsia="宋体" w:cs="宋体"/>
                <w:b/>
                <w:color w:val="000000"/>
                <w:sz w:val="21"/>
                <w:szCs w:val="21"/>
              </w:rPr>
              <w:t>2.4评审委员会基于专业判断，认为供应商报价过低，有可能影响产品质量或者不能诚信履约的其他情形。</w:t>
            </w:r>
          </w:p>
          <w:p w14:paraId="122E150A">
            <w:pPr>
              <w:spacing w:line="240" w:lineRule="auto"/>
              <w:rPr>
                <w:rFonts w:hint="eastAsia" w:ascii="宋体" w:hAnsi="宋体" w:eastAsia="宋体" w:cs="宋体"/>
                <w:color w:val="auto"/>
                <w:sz w:val="24"/>
                <w:szCs w:val="24"/>
              </w:rPr>
            </w:pPr>
            <w:r>
              <w:rPr>
                <w:rFonts w:hint="eastAsia" w:ascii="宋体" w:hAnsi="宋体" w:eastAsia="宋体" w:cs="宋体"/>
                <w:b/>
                <w:color w:val="000000"/>
                <w:sz w:val="21"/>
                <w:szCs w:val="21"/>
              </w:rPr>
              <w:t>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5BA9E7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9" w:hRule="atLeast"/>
          <w:jc w:val="center"/>
        </w:trPr>
        <w:tc>
          <w:tcPr>
            <w:tcW w:w="345" w:type="dxa"/>
            <w:vMerge w:val="continue"/>
            <w:tcBorders>
              <w:top w:val="single" w:color="auto" w:sz="4" w:space="0"/>
              <w:right w:val="single" w:color="auto" w:sz="4" w:space="0"/>
            </w:tcBorders>
            <w:noWrap w:val="0"/>
            <w:vAlign w:val="center"/>
          </w:tcPr>
          <w:p w14:paraId="262E57FB">
            <w:pPr>
              <w:adjustRightInd w:val="0"/>
              <w:snapToGrid w:val="0"/>
              <w:spacing w:line="240" w:lineRule="auto"/>
              <w:jc w:val="center"/>
              <w:rPr>
                <w:rFonts w:hint="eastAsia" w:ascii="宋体" w:hAnsi="宋体" w:cs="宋体"/>
                <w:color w:val="FF0000"/>
                <w:szCs w:val="21"/>
              </w:rPr>
            </w:pPr>
          </w:p>
        </w:tc>
        <w:tc>
          <w:tcPr>
            <w:tcW w:w="1067" w:type="dxa"/>
            <w:vMerge w:val="restart"/>
            <w:tcBorders>
              <w:left w:val="single" w:color="auto" w:sz="4" w:space="0"/>
              <w:right w:val="single" w:color="auto" w:sz="4" w:space="0"/>
            </w:tcBorders>
            <w:noWrap w:val="0"/>
            <w:vAlign w:val="center"/>
          </w:tcPr>
          <w:p w14:paraId="5B485816">
            <w:pPr>
              <w:adjustRightInd w:val="0"/>
              <w:snapToGrid w:val="0"/>
              <w:spacing w:line="240" w:lineRule="auto"/>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商务</w:t>
            </w:r>
          </w:p>
          <w:p w14:paraId="7EF96E1B">
            <w:pPr>
              <w:adjustRightInd w:val="0"/>
              <w:snapToGrid w:val="0"/>
              <w:spacing w:line="240" w:lineRule="auto"/>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部分</w:t>
            </w:r>
          </w:p>
          <w:p w14:paraId="78C30713">
            <w:pPr>
              <w:adjustRightInd w:val="0"/>
              <w:snapToGrid w:val="0"/>
              <w:spacing w:line="240" w:lineRule="auto"/>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（30%）</w:t>
            </w:r>
          </w:p>
        </w:tc>
        <w:tc>
          <w:tcPr>
            <w:tcW w:w="1089" w:type="dxa"/>
            <w:tcBorders>
              <w:left w:val="single" w:color="auto" w:sz="4" w:space="0"/>
              <w:right w:val="single" w:color="auto" w:sz="4" w:space="0"/>
            </w:tcBorders>
            <w:noWrap w:val="0"/>
            <w:vAlign w:val="center"/>
          </w:tcPr>
          <w:p w14:paraId="1408ADC1">
            <w:pPr>
              <w:spacing w:line="360" w:lineRule="exact"/>
              <w:jc w:val="center"/>
              <w:rPr>
                <w:rFonts w:hint="default" w:ascii="宋体" w:hAnsi="宋体" w:cs="宋体"/>
                <w:color w:val="auto"/>
                <w:kern w:val="2"/>
                <w:sz w:val="24"/>
                <w:szCs w:val="24"/>
                <w:lang w:val="en-US" w:eastAsia="zh-CN" w:bidi="ar-SA"/>
              </w:rPr>
            </w:pPr>
            <w:r>
              <w:rPr>
                <w:rFonts w:hint="eastAsia" w:ascii="Times New Roman" w:hAnsi="Times New Roman" w:eastAsia="宋体" w:cs="Times New Roman"/>
                <w:sz w:val="21"/>
                <w:szCs w:val="21"/>
                <w:lang w:val="en-US" w:eastAsia="zh-CN"/>
              </w:rPr>
              <w:t>企业认证实力</w:t>
            </w:r>
          </w:p>
        </w:tc>
        <w:tc>
          <w:tcPr>
            <w:tcW w:w="617" w:type="dxa"/>
            <w:tcBorders>
              <w:left w:val="single" w:color="auto" w:sz="4" w:space="0"/>
              <w:right w:val="single" w:color="auto" w:sz="4" w:space="0"/>
            </w:tcBorders>
            <w:noWrap w:val="0"/>
            <w:vAlign w:val="center"/>
          </w:tcPr>
          <w:p w14:paraId="07E9BE28">
            <w:pPr>
              <w:spacing w:line="360" w:lineRule="exact"/>
              <w:jc w:val="center"/>
              <w:rPr>
                <w:rFonts w:hint="default" w:ascii="宋体" w:hAnsi="宋体" w:cs="宋体"/>
                <w:color w:val="auto"/>
                <w:kern w:val="2"/>
                <w:sz w:val="24"/>
                <w:szCs w:val="24"/>
                <w:lang w:val="en-US" w:eastAsia="zh-CN" w:bidi="ar-SA"/>
              </w:rPr>
            </w:pPr>
            <w:r>
              <w:rPr>
                <w:rFonts w:hint="eastAsia" w:ascii="宋体" w:hAnsi="宋体" w:cs="宋体"/>
                <w:szCs w:val="22"/>
                <w:lang w:val="en-US" w:eastAsia="zh-CN"/>
              </w:rPr>
              <w:t>40</w:t>
            </w:r>
          </w:p>
        </w:tc>
        <w:tc>
          <w:tcPr>
            <w:tcW w:w="7260" w:type="dxa"/>
            <w:tcBorders>
              <w:top w:val="single" w:color="auto" w:sz="4" w:space="0"/>
              <w:left w:val="single" w:color="auto" w:sz="4" w:space="0"/>
              <w:bottom w:val="single" w:color="auto" w:sz="4" w:space="0"/>
            </w:tcBorders>
            <w:noWrap w:val="0"/>
            <w:vAlign w:val="center"/>
          </w:tcPr>
          <w:p w14:paraId="1975A26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color w:val="auto"/>
                <w:kern w:val="2"/>
                <w:sz w:val="24"/>
                <w:szCs w:val="24"/>
                <w:lang w:val="en-US" w:eastAsia="zh-CN" w:bidi="ar-SA"/>
              </w:rPr>
            </w:pPr>
            <w:r>
              <w:rPr>
                <w:rFonts w:hint="eastAsia" w:cs="Times New Roman"/>
                <w:b w:val="0"/>
                <w:bCs w:val="0"/>
                <w:kern w:val="2"/>
                <w:sz w:val="21"/>
                <w:szCs w:val="21"/>
                <w:highlight w:val="none"/>
                <w:lang w:val="en-US" w:eastAsia="zh-CN" w:bidi="ar-SA"/>
              </w:rPr>
              <w:t>供应商</w:t>
            </w:r>
            <w:r>
              <w:rPr>
                <w:rFonts w:hint="eastAsia" w:ascii="Times New Roman" w:hAnsi="Times New Roman" w:eastAsia="宋体" w:cs="Times New Roman"/>
                <w:b w:val="0"/>
                <w:bCs w:val="0"/>
                <w:kern w:val="2"/>
                <w:sz w:val="21"/>
                <w:szCs w:val="21"/>
                <w:highlight w:val="none"/>
                <w:lang w:val="en-US" w:eastAsia="zh-CN" w:bidi="ar-SA"/>
              </w:rPr>
              <w:t>具有文物工程施工相关发明专利或实用新型专利证书的，每提供一项得</w:t>
            </w:r>
            <w:r>
              <w:rPr>
                <w:rFonts w:hint="eastAsia" w:cs="Times New Roman"/>
                <w:b w:val="0"/>
                <w:bCs w:val="0"/>
                <w:kern w:val="2"/>
                <w:sz w:val="21"/>
                <w:szCs w:val="21"/>
                <w:highlight w:val="none"/>
                <w:lang w:val="en-US" w:eastAsia="zh-CN" w:bidi="ar-SA"/>
              </w:rPr>
              <w:t>20</w:t>
            </w:r>
            <w:r>
              <w:rPr>
                <w:rFonts w:hint="eastAsia" w:ascii="Times New Roman" w:hAnsi="Times New Roman" w:eastAsia="宋体" w:cs="Times New Roman"/>
                <w:b w:val="0"/>
                <w:bCs w:val="0"/>
                <w:kern w:val="2"/>
                <w:sz w:val="21"/>
                <w:szCs w:val="21"/>
                <w:highlight w:val="none"/>
                <w:lang w:val="en-US" w:eastAsia="zh-CN" w:bidi="ar-SA"/>
              </w:rPr>
              <w:t>分，最多计</w:t>
            </w:r>
            <w:r>
              <w:rPr>
                <w:rFonts w:hint="eastAsia" w:cs="Times New Roman"/>
                <w:b w:val="0"/>
                <w:bCs w:val="0"/>
                <w:kern w:val="2"/>
                <w:sz w:val="21"/>
                <w:szCs w:val="21"/>
                <w:highlight w:val="none"/>
                <w:lang w:val="en-US" w:eastAsia="zh-CN" w:bidi="ar-SA"/>
              </w:rPr>
              <w:t>40</w:t>
            </w:r>
            <w:r>
              <w:rPr>
                <w:rFonts w:hint="eastAsia" w:ascii="Times New Roman" w:hAnsi="Times New Roman" w:eastAsia="宋体" w:cs="Times New Roman"/>
                <w:b w:val="0"/>
                <w:bCs w:val="0"/>
                <w:kern w:val="2"/>
                <w:sz w:val="21"/>
                <w:szCs w:val="21"/>
                <w:highlight w:val="none"/>
                <w:lang w:val="en-US" w:eastAsia="zh-CN" w:bidi="ar-SA"/>
              </w:rPr>
              <w:t>分，未提供的不计分。</w:t>
            </w:r>
            <w:r>
              <w:rPr>
                <w:rFonts w:hint="eastAsia" w:ascii="Times New Roman" w:hAnsi="Times New Roman" w:eastAsia="宋体" w:cs="Times New Roman"/>
                <w:b/>
                <w:bCs/>
                <w:kern w:val="2"/>
                <w:sz w:val="21"/>
                <w:szCs w:val="21"/>
                <w:highlight w:val="none"/>
                <w:lang w:val="en-US" w:eastAsia="zh-CN" w:bidi="ar-SA"/>
              </w:rPr>
              <w:t>提供有效期内证书复印件并加盖公章，未提供不计分。</w:t>
            </w:r>
          </w:p>
        </w:tc>
      </w:tr>
      <w:tr w14:paraId="636614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16" w:hRule="atLeast"/>
          <w:jc w:val="center"/>
        </w:trPr>
        <w:tc>
          <w:tcPr>
            <w:tcW w:w="345" w:type="dxa"/>
            <w:vMerge w:val="continue"/>
            <w:tcBorders>
              <w:top w:val="single" w:color="auto" w:sz="4" w:space="0"/>
              <w:right w:val="single" w:color="auto" w:sz="4" w:space="0"/>
            </w:tcBorders>
            <w:noWrap w:val="0"/>
            <w:vAlign w:val="center"/>
          </w:tcPr>
          <w:p w14:paraId="4DA12EAB">
            <w:pPr>
              <w:adjustRightInd w:val="0"/>
              <w:snapToGrid w:val="0"/>
              <w:spacing w:line="240" w:lineRule="auto"/>
              <w:jc w:val="center"/>
              <w:rPr>
                <w:rFonts w:hint="eastAsia" w:ascii="宋体" w:hAnsi="宋体" w:cs="宋体"/>
                <w:color w:val="FF0000"/>
                <w:szCs w:val="21"/>
              </w:rPr>
            </w:pPr>
          </w:p>
        </w:tc>
        <w:tc>
          <w:tcPr>
            <w:tcW w:w="1067" w:type="dxa"/>
            <w:vMerge w:val="continue"/>
            <w:tcBorders>
              <w:left w:val="single" w:color="auto" w:sz="4" w:space="0"/>
              <w:right w:val="single" w:color="auto" w:sz="4" w:space="0"/>
            </w:tcBorders>
            <w:noWrap w:val="0"/>
            <w:vAlign w:val="center"/>
          </w:tcPr>
          <w:p w14:paraId="22459313">
            <w:pPr>
              <w:adjustRightInd w:val="0"/>
              <w:snapToGrid w:val="0"/>
              <w:spacing w:line="240" w:lineRule="auto"/>
              <w:jc w:val="center"/>
              <w:rPr>
                <w:rFonts w:hint="eastAsia" w:ascii="宋体" w:hAnsi="宋体" w:cs="宋体"/>
                <w:color w:val="auto"/>
                <w:sz w:val="24"/>
                <w:szCs w:val="24"/>
                <w:lang w:eastAsia="zh-CN"/>
              </w:rPr>
            </w:pPr>
          </w:p>
        </w:tc>
        <w:tc>
          <w:tcPr>
            <w:tcW w:w="1089" w:type="dxa"/>
            <w:tcBorders>
              <w:left w:val="single" w:color="auto" w:sz="4" w:space="0"/>
              <w:right w:val="single" w:color="auto" w:sz="4" w:space="0"/>
            </w:tcBorders>
            <w:noWrap w:val="0"/>
            <w:vAlign w:val="center"/>
          </w:tcPr>
          <w:p w14:paraId="403F5266">
            <w:pPr>
              <w:spacing w:line="360" w:lineRule="exact"/>
              <w:jc w:val="center"/>
              <w:rPr>
                <w:rFonts w:hint="eastAsia" w:cs="Times New Roman"/>
                <w:sz w:val="24"/>
                <w:szCs w:val="24"/>
                <w:lang w:val="en-US" w:eastAsia="zh-CN"/>
              </w:rPr>
            </w:pPr>
            <w:r>
              <w:rPr>
                <w:rFonts w:hint="eastAsia" w:ascii="Times New Roman" w:hAnsi="Times New Roman" w:eastAsia="宋体" w:cs="Times New Roman"/>
                <w:sz w:val="21"/>
                <w:szCs w:val="21"/>
                <w:lang w:val="en-US" w:eastAsia="zh-CN"/>
              </w:rPr>
              <w:t>相关业绩</w:t>
            </w:r>
          </w:p>
        </w:tc>
        <w:tc>
          <w:tcPr>
            <w:tcW w:w="617" w:type="dxa"/>
            <w:tcBorders>
              <w:left w:val="single" w:color="auto" w:sz="4" w:space="0"/>
              <w:right w:val="single" w:color="auto" w:sz="4" w:space="0"/>
            </w:tcBorders>
            <w:noWrap w:val="0"/>
            <w:vAlign w:val="center"/>
          </w:tcPr>
          <w:p w14:paraId="29A6F60F">
            <w:pPr>
              <w:spacing w:line="360" w:lineRule="exact"/>
              <w:jc w:val="center"/>
              <w:rPr>
                <w:rFonts w:hint="default" w:ascii="宋体" w:hAnsi="宋体" w:cs="宋体"/>
                <w:sz w:val="24"/>
                <w:szCs w:val="24"/>
                <w:lang w:val="en-US" w:eastAsia="zh-CN"/>
              </w:rPr>
            </w:pPr>
            <w:r>
              <w:rPr>
                <w:rFonts w:hint="eastAsia" w:ascii="宋体" w:hAnsi="宋体" w:cs="宋体"/>
                <w:szCs w:val="22"/>
                <w:lang w:val="en-US" w:eastAsia="zh-CN"/>
              </w:rPr>
              <w:t>60</w:t>
            </w:r>
          </w:p>
        </w:tc>
        <w:tc>
          <w:tcPr>
            <w:tcW w:w="7260" w:type="dxa"/>
            <w:tcBorders>
              <w:top w:val="single" w:color="auto" w:sz="4" w:space="0"/>
              <w:left w:val="single" w:color="auto" w:sz="4" w:space="0"/>
              <w:bottom w:val="single" w:color="auto" w:sz="4" w:space="0"/>
            </w:tcBorders>
            <w:noWrap w:val="0"/>
            <w:vAlign w:val="center"/>
          </w:tcPr>
          <w:p w14:paraId="4F6EAC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Times New Roman"/>
                <w:color w:val="000000"/>
                <w:szCs w:val="21"/>
              </w:rPr>
            </w:pPr>
            <w:r>
              <w:rPr>
                <w:rFonts w:hint="eastAsia" w:ascii="宋体" w:hAnsi="宋体" w:cs="Times New Roman"/>
                <w:color w:val="000000"/>
                <w:szCs w:val="21"/>
                <w:lang w:val="en-US" w:eastAsia="zh-CN"/>
              </w:rPr>
              <w:t>供应商</w:t>
            </w:r>
            <w:r>
              <w:rPr>
                <w:rFonts w:hint="eastAsia" w:ascii="宋体" w:hAnsi="宋体" w:eastAsia="宋体" w:cs="Times New Roman"/>
                <w:color w:val="000000"/>
                <w:szCs w:val="21"/>
              </w:rPr>
              <w:t>近三年承担过类似项目</w:t>
            </w:r>
            <w:r>
              <w:rPr>
                <w:rFonts w:hint="eastAsia" w:ascii="宋体" w:hAnsi="宋体" w:cs="Times New Roman"/>
                <w:color w:val="000000"/>
                <w:szCs w:val="21"/>
                <w:lang w:val="en-US" w:eastAsia="zh-CN"/>
              </w:rPr>
              <w:t>的</w:t>
            </w:r>
            <w:r>
              <w:rPr>
                <w:rFonts w:hint="eastAsia" w:ascii="宋体" w:hAnsi="宋体" w:eastAsia="宋体" w:cs="Times New Roman"/>
                <w:color w:val="000000"/>
                <w:szCs w:val="21"/>
              </w:rPr>
              <w:t>，</w:t>
            </w:r>
            <w:r>
              <w:rPr>
                <w:rFonts w:hint="eastAsia" w:ascii="宋体" w:hAnsi="宋体" w:cs="Times New Roman"/>
                <w:color w:val="000000"/>
                <w:szCs w:val="21"/>
                <w:lang w:val="en-US" w:eastAsia="zh-CN"/>
              </w:rPr>
              <w:t>每</w:t>
            </w:r>
            <w:r>
              <w:rPr>
                <w:rFonts w:hint="eastAsia" w:ascii="宋体" w:hAnsi="宋体" w:eastAsia="宋体" w:cs="Times New Roman"/>
                <w:color w:val="000000"/>
                <w:szCs w:val="21"/>
                <w:lang w:val="en-US" w:eastAsia="zh-CN"/>
              </w:rPr>
              <w:t>个</w:t>
            </w:r>
            <w:r>
              <w:rPr>
                <w:rFonts w:hint="eastAsia" w:ascii="宋体" w:hAnsi="宋体" w:eastAsia="宋体" w:cs="Times New Roman"/>
                <w:color w:val="000000"/>
                <w:szCs w:val="21"/>
              </w:rPr>
              <w:t>计</w:t>
            </w:r>
            <w:r>
              <w:rPr>
                <w:rFonts w:hint="eastAsia" w:ascii="宋体" w:hAnsi="宋体" w:cs="Times New Roman"/>
                <w:color w:val="000000"/>
                <w:szCs w:val="21"/>
                <w:lang w:val="en-US" w:eastAsia="zh-CN"/>
              </w:rPr>
              <w:t>20</w:t>
            </w:r>
            <w:r>
              <w:rPr>
                <w:rFonts w:hint="eastAsia" w:ascii="宋体" w:hAnsi="宋体" w:eastAsia="宋体" w:cs="Times New Roman"/>
                <w:color w:val="000000"/>
                <w:szCs w:val="21"/>
              </w:rPr>
              <w:t>分，最多计</w:t>
            </w:r>
            <w:r>
              <w:rPr>
                <w:rFonts w:hint="eastAsia" w:ascii="宋体" w:hAnsi="宋体" w:cs="Times New Roman"/>
                <w:color w:val="000000"/>
                <w:szCs w:val="21"/>
                <w:lang w:val="en-US" w:eastAsia="zh-CN"/>
              </w:rPr>
              <w:t>60</w:t>
            </w:r>
            <w:r>
              <w:rPr>
                <w:rFonts w:hint="eastAsia" w:ascii="宋体" w:hAnsi="宋体" w:eastAsia="宋体" w:cs="Times New Roman"/>
                <w:color w:val="000000"/>
                <w:szCs w:val="21"/>
              </w:rPr>
              <w:t>分。</w:t>
            </w:r>
          </w:p>
          <w:p w14:paraId="03623F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cs="Times New Roman"/>
                <w:b w:val="0"/>
                <w:bCs w:val="0"/>
                <w:kern w:val="2"/>
                <w:sz w:val="24"/>
                <w:szCs w:val="24"/>
                <w:highlight w:val="none"/>
                <w:lang w:val="en-US" w:eastAsia="zh-CN" w:bidi="ar-SA"/>
              </w:rPr>
            </w:pPr>
            <w:r>
              <w:rPr>
                <w:rFonts w:hint="eastAsia" w:ascii="Times New Roman" w:hAnsi="Times New Roman" w:eastAsia="宋体" w:cs="Times New Roman"/>
                <w:b/>
                <w:bCs/>
                <w:kern w:val="2"/>
                <w:sz w:val="21"/>
                <w:szCs w:val="21"/>
                <w:highlight w:val="none"/>
                <w:lang w:val="en-US" w:eastAsia="zh-CN" w:bidi="ar-SA"/>
              </w:rPr>
              <w:t>类似业绩要求:投标截止时间前36个月内业绩，业绩材料需提供中标通知书或合同，提供中标通知书以中标通知书日期为准、提供合同以合同签订之日为准；若同时提供中标通知书和合同的，以合同日期为准，若提供的合同中未注明合同日期，以中标通知书日期为准，加盖供应商公章，否则不计分。</w:t>
            </w:r>
          </w:p>
        </w:tc>
      </w:tr>
      <w:tr w14:paraId="113EF5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35" w:hRule="atLeast"/>
          <w:jc w:val="center"/>
        </w:trPr>
        <w:tc>
          <w:tcPr>
            <w:tcW w:w="345" w:type="dxa"/>
            <w:vMerge w:val="continue"/>
            <w:tcBorders>
              <w:top w:val="single" w:color="auto" w:sz="4" w:space="0"/>
              <w:right w:val="single" w:color="auto" w:sz="4" w:space="0"/>
            </w:tcBorders>
            <w:noWrap w:val="0"/>
            <w:vAlign w:val="center"/>
          </w:tcPr>
          <w:p w14:paraId="7D4A6928">
            <w:pPr>
              <w:adjustRightInd w:val="0"/>
              <w:snapToGrid w:val="0"/>
              <w:spacing w:line="240" w:lineRule="auto"/>
              <w:jc w:val="center"/>
              <w:rPr>
                <w:rFonts w:hint="eastAsia" w:ascii="宋体" w:hAnsi="宋体" w:cs="宋体"/>
                <w:color w:val="FF0000"/>
                <w:szCs w:val="21"/>
              </w:rPr>
            </w:pPr>
          </w:p>
        </w:tc>
        <w:tc>
          <w:tcPr>
            <w:tcW w:w="1067" w:type="dxa"/>
            <w:vMerge w:val="restart"/>
            <w:tcBorders>
              <w:left w:val="single" w:color="auto" w:sz="4" w:space="0"/>
              <w:right w:val="single" w:color="auto" w:sz="4" w:space="0"/>
            </w:tcBorders>
            <w:noWrap w:val="0"/>
            <w:vAlign w:val="center"/>
          </w:tcPr>
          <w:p w14:paraId="114DD00C">
            <w:pPr>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技术</w:t>
            </w:r>
          </w:p>
          <w:p w14:paraId="0BBAAFB7">
            <w:pPr>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部分</w:t>
            </w:r>
          </w:p>
          <w:p w14:paraId="5E47E82F">
            <w:pPr>
              <w:spacing w:line="240" w:lineRule="auto"/>
              <w:jc w:val="center"/>
              <w:rPr>
                <w:rFonts w:hint="default"/>
                <w:sz w:val="24"/>
                <w:szCs w:val="24"/>
                <w:lang w:val="en-US" w:eastAsia="zh-CN"/>
              </w:rPr>
            </w:pPr>
            <w:r>
              <w:rPr>
                <w:rFonts w:hint="eastAsia" w:ascii="Times New Roman" w:hAnsi="Times New Roman" w:eastAsia="宋体" w:cs="Times New Roman"/>
                <w:sz w:val="24"/>
                <w:szCs w:val="24"/>
                <w:lang w:val="en-US" w:eastAsia="zh-CN"/>
              </w:rPr>
              <w:t>（50%）</w:t>
            </w:r>
          </w:p>
        </w:tc>
        <w:tc>
          <w:tcPr>
            <w:tcW w:w="1089" w:type="dxa"/>
            <w:tcBorders>
              <w:left w:val="single" w:color="auto" w:sz="4" w:space="0"/>
              <w:right w:val="single" w:color="auto" w:sz="4" w:space="0"/>
            </w:tcBorders>
            <w:noWrap w:val="0"/>
            <w:vAlign w:val="center"/>
          </w:tcPr>
          <w:p w14:paraId="0A0D09C1">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cs="宋体"/>
                <w:kern w:val="2"/>
                <w:sz w:val="24"/>
                <w:szCs w:val="24"/>
                <w:lang w:val="en-US" w:eastAsia="zh-CN" w:bidi="ar-SA"/>
              </w:rPr>
            </w:pPr>
            <w:r>
              <w:rPr>
                <w:rFonts w:hint="default" w:ascii="Times New Roman" w:hAnsi="Times New Roman" w:eastAsia="宋体" w:cs="Times New Roman"/>
                <w:sz w:val="21"/>
                <w:szCs w:val="21"/>
                <w:lang w:val="en-US" w:eastAsia="zh-CN"/>
              </w:rPr>
              <w:t>施工方案与技术措施</w:t>
            </w:r>
          </w:p>
        </w:tc>
        <w:tc>
          <w:tcPr>
            <w:tcW w:w="617" w:type="dxa"/>
            <w:tcBorders>
              <w:left w:val="single" w:color="auto" w:sz="4" w:space="0"/>
              <w:right w:val="single" w:color="auto" w:sz="4" w:space="0"/>
            </w:tcBorders>
            <w:noWrap w:val="0"/>
            <w:vAlign w:val="center"/>
          </w:tcPr>
          <w:p w14:paraId="2283576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FF0000"/>
                <w:kern w:val="2"/>
                <w:sz w:val="24"/>
                <w:szCs w:val="24"/>
                <w:lang w:val="en-US" w:eastAsia="zh-CN" w:bidi="ar-SA"/>
              </w:rPr>
            </w:pPr>
            <w:r>
              <w:rPr>
                <w:rFonts w:hint="eastAsia" w:ascii="宋体" w:hAnsi="宋体" w:eastAsia="宋体" w:cs="宋体"/>
                <w:color w:val="000000"/>
                <w:sz w:val="21"/>
                <w:szCs w:val="21"/>
                <w:highlight w:val="none"/>
                <w:lang w:val="en-US" w:eastAsia="zh-CN"/>
              </w:rPr>
              <w:t>20</w:t>
            </w:r>
          </w:p>
        </w:tc>
        <w:tc>
          <w:tcPr>
            <w:tcW w:w="7260" w:type="dxa"/>
            <w:tcBorders>
              <w:top w:val="single" w:color="auto" w:sz="4" w:space="0"/>
              <w:left w:val="single" w:color="auto" w:sz="4" w:space="0"/>
              <w:bottom w:val="single" w:color="auto" w:sz="4" w:space="0"/>
            </w:tcBorders>
            <w:noWrap w:val="0"/>
            <w:vAlign w:val="center"/>
          </w:tcPr>
          <w:p w14:paraId="26761D4F">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9"/>
              <w:rPr>
                <w:rFonts w:hint="eastAsia" w:ascii="宋体" w:hAnsi="宋体" w:cs="宋体"/>
                <w:color w:val="auto"/>
                <w:kern w:val="2"/>
                <w:sz w:val="24"/>
                <w:szCs w:val="24"/>
                <w:lang w:val="en-US" w:eastAsia="zh-CN" w:bidi="ar-SA"/>
              </w:rPr>
            </w:pPr>
            <w:r>
              <w:rPr>
                <w:rFonts w:hint="default" w:ascii="Times New Roman" w:hAnsi="Times New Roman" w:eastAsia="宋体" w:cs="Times New Roman"/>
                <w:color w:val="000000"/>
                <w:sz w:val="21"/>
                <w:szCs w:val="21"/>
              </w:rPr>
              <w:t>磋商小组依据提供的方案，主要对施工顺序、施工工艺、作业方法、作业流程、操作等进行评价。内容完善、合理，且具有可行性的计</w:t>
            </w:r>
            <w:r>
              <w:rPr>
                <w:rFonts w:hint="eastAsia"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分</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缺漏项、不合理的，每处扣</w:t>
            </w:r>
            <w:r>
              <w:rPr>
                <w:rFonts w:hint="eastAsia" w:ascii="Times New Roman" w:hAnsi="Times New Roman" w:eastAsia="宋体" w:cs="Times New Roman"/>
                <w:color w:val="000000"/>
                <w:sz w:val="21"/>
                <w:szCs w:val="21"/>
                <w:lang w:val="en-US" w:eastAsia="zh-CN"/>
              </w:rPr>
              <w:t>2</w:t>
            </w:r>
            <w:r>
              <w:rPr>
                <w:rFonts w:hint="default" w:ascii="Times New Roman" w:hAnsi="Times New Roman" w:eastAsia="宋体" w:cs="Times New Roman"/>
                <w:color w:val="000000"/>
                <w:sz w:val="21"/>
                <w:szCs w:val="21"/>
              </w:rPr>
              <w:t>分，扣分扣完本项为止</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未提供不计分。</w:t>
            </w:r>
          </w:p>
        </w:tc>
      </w:tr>
      <w:tr w14:paraId="6AB7D9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0" w:hRule="atLeast"/>
          <w:jc w:val="center"/>
        </w:trPr>
        <w:tc>
          <w:tcPr>
            <w:tcW w:w="345" w:type="dxa"/>
            <w:vMerge w:val="continue"/>
            <w:tcBorders>
              <w:top w:val="single" w:color="auto" w:sz="4" w:space="0"/>
              <w:right w:val="single" w:color="auto" w:sz="4" w:space="0"/>
            </w:tcBorders>
            <w:noWrap w:val="0"/>
            <w:vAlign w:val="center"/>
          </w:tcPr>
          <w:p w14:paraId="2F381685">
            <w:pPr>
              <w:adjustRightInd w:val="0"/>
              <w:snapToGrid w:val="0"/>
              <w:spacing w:line="240" w:lineRule="auto"/>
              <w:jc w:val="center"/>
              <w:rPr>
                <w:rFonts w:hint="eastAsia" w:ascii="宋体" w:hAnsi="宋体" w:cs="宋体"/>
                <w:color w:val="FF0000"/>
                <w:szCs w:val="21"/>
              </w:rPr>
            </w:pPr>
          </w:p>
        </w:tc>
        <w:tc>
          <w:tcPr>
            <w:tcW w:w="1067" w:type="dxa"/>
            <w:vMerge w:val="continue"/>
            <w:tcBorders>
              <w:left w:val="single" w:color="auto" w:sz="4" w:space="0"/>
              <w:right w:val="single" w:color="auto" w:sz="4" w:space="0"/>
            </w:tcBorders>
            <w:noWrap w:val="0"/>
            <w:vAlign w:val="center"/>
          </w:tcPr>
          <w:p w14:paraId="73D27762">
            <w:pPr>
              <w:adjustRightInd w:val="0"/>
              <w:snapToGrid w:val="0"/>
              <w:spacing w:line="240" w:lineRule="auto"/>
              <w:jc w:val="center"/>
              <w:rPr>
                <w:rFonts w:hint="eastAsia" w:ascii="宋体" w:hAnsi="宋体" w:cs="宋体"/>
                <w:color w:val="auto"/>
                <w:sz w:val="24"/>
                <w:szCs w:val="24"/>
                <w:lang w:val="en-US" w:eastAsia="zh-CN"/>
              </w:rPr>
            </w:pPr>
          </w:p>
        </w:tc>
        <w:tc>
          <w:tcPr>
            <w:tcW w:w="1089" w:type="dxa"/>
            <w:tcBorders>
              <w:left w:val="single" w:color="auto" w:sz="4" w:space="0"/>
              <w:right w:val="single" w:color="auto" w:sz="4" w:space="0"/>
            </w:tcBorders>
            <w:noWrap w:val="0"/>
            <w:vAlign w:val="center"/>
          </w:tcPr>
          <w:p w14:paraId="034BC707">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cs="宋体"/>
                <w:kern w:val="2"/>
                <w:sz w:val="24"/>
                <w:szCs w:val="24"/>
                <w:lang w:val="en-US" w:eastAsia="zh-CN" w:bidi="ar-SA"/>
              </w:rPr>
            </w:pPr>
            <w:r>
              <w:rPr>
                <w:rFonts w:hint="default" w:ascii="Times New Roman" w:hAnsi="Times New Roman" w:eastAsia="宋体" w:cs="Times New Roman"/>
                <w:sz w:val="21"/>
                <w:szCs w:val="21"/>
                <w:lang w:val="en-US" w:eastAsia="zh-CN"/>
              </w:rPr>
              <w:t>工程进度计划与保证措施</w:t>
            </w:r>
          </w:p>
        </w:tc>
        <w:tc>
          <w:tcPr>
            <w:tcW w:w="617" w:type="dxa"/>
            <w:tcBorders>
              <w:left w:val="single" w:color="auto" w:sz="4" w:space="0"/>
              <w:right w:val="single" w:color="auto" w:sz="4" w:space="0"/>
            </w:tcBorders>
            <w:noWrap w:val="0"/>
            <w:vAlign w:val="center"/>
          </w:tcPr>
          <w:p w14:paraId="3F9CAD4D">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eastAsia="宋体" w:cs="宋体"/>
                <w:color w:val="FF0000"/>
                <w:kern w:val="2"/>
                <w:sz w:val="24"/>
                <w:szCs w:val="24"/>
                <w:lang w:val="en-US" w:eastAsia="zh-CN" w:bidi="ar-SA"/>
              </w:rPr>
            </w:pPr>
            <w:r>
              <w:rPr>
                <w:rFonts w:hint="eastAsia" w:ascii="宋体" w:hAnsi="宋体" w:eastAsia="宋体" w:cs="宋体"/>
                <w:color w:val="000000"/>
                <w:sz w:val="21"/>
                <w:szCs w:val="21"/>
                <w:lang w:val="en-US" w:eastAsia="zh-CN"/>
              </w:rPr>
              <w:t>20</w:t>
            </w:r>
          </w:p>
        </w:tc>
        <w:tc>
          <w:tcPr>
            <w:tcW w:w="7260" w:type="dxa"/>
            <w:tcBorders>
              <w:top w:val="single" w:color="auto" w:sz="4" w:space="0"/>
              <w:left w:val="single" w:color="auto" w:sz="4" w:space="0"/>
              <w:bottom w:val="single" w:color="auto" w:sz="4" w:space="0"/>
            </w:tcBorders>
            <w:noWrap w:val="0"/>
            <w:vAlign w:val="center"/>
          </w:tcPr>
          <w:p w14:paraId="436EBAA1">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9"/>
              <w:rPr>
                <w:rFonts w:hint="eastAsia" w:ascii="宋体" w:hAnsi="宋体" w:cs="宋体"/>
                <w:color w:val="auto"/>
                <w:kern w:val="2"/>
                <w:sz w:val="24"/>
                <w:szCs w:val="24"/>
                <w:lang w:val="en-US" w:eastAsia="zh-CN" w:bidi="ar-SA"/>
              </w:rPr>
            </w:pPr>
            <w:r>
              <w:rPr>
                <w:rFonts w:hint="default" w:ascii="Times New Roman" w:hAnsi="Times New Roman" w:eastAsia="宋体" w:cs="Times New Roman"/>
                <w:color w:val="000000"/>
                <w:sz w:val="21"/>
                <w:szCs w:val="21"/>
              </w:rPr>
              <w:t>磋商小组依据提供的工程进度计划，主要对项目特点、关键线路、控制性工程以及重难点工程的分析及提出的工程进度计划符合采购人工期要求，对控制性工程、重难点工程资源配置，工期保障措施等进行评价。内容完善、合理，且具有可行性的计</w:t>
            </w:r>
            <w:r>
              <w:rPr>
                <w:rFonts w:hint="eastAsia"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分</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缺漏项、不合理的，每处扣</w:t>
            </w:r>
            <w:r>
              <w:rPr>
                <w:rFonts w:hint="eastAsia" w:ascii="Times New Roman" w:hAnsi="Times New Roman" w:eastAsia="宋体" w:cs="Times New Roman"/>
                <w:color w:val="000000"/>
                <w:sz w:val="21"/>
                <w:szCs w:val="21"/>
                <w:lang w:val="en-US" w:eastAsia="zh-CN"/>
              </w:rPr>
              <w:t>2</w:t>
            </w:r>
            <w:r>
              <w:rPr>
                <w:rFonts w:hint="default" w:ascii="Times New Roman" w:hAnsi="Times New Roman" w:eastAsia="宋体" w:cs="Times New Roman"/>
                <w:color w:val="000000"/>
                <w:sz w:val="21"/>
                <w:szCs w:val="21"/>
              </w:rPr>
              <w:t>分，扣分扣完本项为止</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未提供不计分。</w:t>
            </w:r>
          </w:p>
        </w:tc>
      </w:tr>
      <w:tr w14:paraId="0BE0B8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jc w:val="center"/>
        </w:trPr>
        <w:tc>
          <w:tcPr>
            <w:tcW w:w="345" w:type="dxa"/>
            <w:vMerge w:val="continue"/>
            <w:tcBorders>
              <w:top w:val="single" w:color="auto" w:sz="4" w:space="0"/>
              <w:right w:val="single" w:color="auto" w:sz="4" w:space="0"/>
            </w:tcBorders>
            <w:noWrap w:val="0"/>
            <w:vAlign w:val="center"/>
          </w:tcPr>
          <w:p w14:paraId="1B202DD6">
            <w:pPr>
              <w:adjustRightInd w:val="0"/>
              <w:snapToGrid w:val="0"/>
              <w:spacing w:line="240" w:lineRule="auto"/>
              <w:jc w:val="center"/>
              <w:rPr>
                <w:rFonts w:hint="eastAsia" w:ascii="宋体" w:hAnsi="宋体" w:cs="宋体"/>
                <w:color w:val="FF0000"/>
                <w:szCs w:val="21"/>
              </w:rPr>
            </w:pPr>
          </w:p>
        </w:tc>
        <w:tc>
          <w:tcPr>
            <w:tcW w:w="1067" w:type="dxa"/>
            <w:vMerge w:val="continue"/>
            <w:tcBorders>
              <w:left w:val="single" w:color="auto" w:sz="4" w:space="0"/>
              <w:right w:val="single" w:color="auto" w:sz="4" w:space="0"/>
            </w:tcBorders>
            <w:noWrap w:val="0"/>
            <w:vAlign w:val="center"/>
          </w:tcPr>
          <w:p w14:paraId="30D639AF">
            <w:pPr>
              <w:adjustRightInd w:val="0"/>
              <w:snapToGrid w:val="0"/>
              <w:spacing w:line="240" w:lineRule="auto"/>
              <w:jc w:val="center"/>
              <w:rPr>
                <w:rFonts w:hint="eastAsia" w:ascii="宋体" w:hAnsi="宋体" w:cs="宋体"/>
                <w:color w:val="auto"/>
                <w:sz w:val="24"/>
                <w:szCs w:val="24"/>
                <w:lang w:val="en-US" w:eastAsia="zh-CN"/>
              </w:rPr>
            </w:pPr>
          </w:p>
        </w:tc>
        <w:tc>
          <w:tcPr>
            <w:tcW w:w="1089" w:type="dxa"/>
            <w:tcBorders>
              <w:left w:val="single" w:color="auto" w:sz="4" w:space="0"/>
              <w:right w:val="single" w:color="auto" w:sz="4" w:space="0"/>
            </w:tcBorders>
            <w:noWrap w:val="0"/>
            <w:vAlign w:val="center"/>
          </w:tcPr>
          <w:p w14:paraId="267C25E4">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宋体" w:hAnsi="宋体" w:cs="宋体"/>
                <w:sz w:val="24"/>
                <w:szCs w:val="24"/>
              </w:rPr>
            </w:pPr>
            <w:r>
              <w:rPr>
                <w:rFonts w:hint="default" w:ascii="Times New Roman" w:hAnsi="Times New Roman" w:eastAsia="宋体" w:cs="Times New Roman"/>
                <w:sz w:val="21"/>
                <w:szCs w:val="21"/>
                <w:lang w:val="en-US" w:eastAsia="zh-CN"/>
              </w:rPr>
              <w:t>质量管理体系与措施</w:t>
            </w:r>
          </w:p>
        </w:tc>
        <w:tc>
          <w:tcPr>
            <w:tcW w:w="617" w:type="dxa"/>
            <w:tcBorders>
              <w:left w:val="single" w:color="auto" w:sz="4" w:space="0"/>
              <w:right w:val="single" w:color="auto" w:sz="4" w:space="0"/>
            </w:tcBorders>
            <w:noWrap w:val="0"/>
            <w:vAlign w:val="center"/>
          </w:tcPr>
          <w:p w14:paraId="474B9C1F">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宋体" w:hAnsi="宋体" w:cs="宋体"/>
                <w:color w:val="FF0000"/>
                <w:sz w:val="24"/>
                <w:szCs w:val="24"/>
                <w:lang w:val="en-US" w:eastAsia="zh-CN"/>
              </w:rPr>
            </w:pPr>
            <w:r>
              <w:rPr>
                <w:rFonts w:hint="eastAsia" w:ascii="宋体" w:hAnsi="宋体" w:eastAsia="宋体" w:cs="宋体"/>
                <w:color w:val="000000"/>
                <w:sz w:val="21"/>
                <w:szCs w:val="21"/>
                <w:lang w:val="en-US" w:eastAsia="zh-CN"/>
              </w:rPr>
              <w:t>20</w:t>
            </w:r>
          </w:p>
        </w:tc>
        <w:tc>
          <w:tcPr>
            <w:tcW w:w="7260" w:type="dxa"/>
            <w:tcBorders>
              <w:top w:val="single" w:color="auto" w:sz="4" w:space="0"/>
              <w:left w:val="single" w:color="auto" w:sz="4" w:space="0"/>
              <w:bottom w:val="single" w:color="auto" w:sz="4" w:space="0"/>
            </w:tcBorders>
            <w:noWrap w:val="0"/>
            <w:vAlign w:val="center"/>
          </w:tcPr>
          <w:p w14:paraId="63C01C0B">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9"/>
              <w:rPr>
                <w:rFonts w:hint="eastAsia" w:ascii="宋体" w:hAnsi="宋体" w:cs="宋体"/>
                <w:color w:val="auto"/>
                <w:sz w:val="24"/>
                <w:szCs w:val="24"/>
              </w:rPr>
            </w:pPr>
            <w:r>
              <w:rPr>
                <w:rFonts w:hint="default" w:ascii="Times New Roman" w:hAnsi="Times New Roman" w:eastAsia="宋体" w:cs="Times New Roman"/>
                <w:color w:val="000000"/>
                <w:sz w:val="21"/>
                <w:szCs w:val="21"/>
              </w:rPr>
              <w:t>磋商小组从质量体系和工作制度的完整性、质量控制措施的科学合理性、可行程度等方面进行综合评价。内容完善、合理，且具有可行性的计</w:t>
            </w:r>
            <w:r>
              <w:rPr>
                <w:rFonts w:hint="eastAsia"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分</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缺漏项、不合理的，每处扣</w:t>
            </w:r>
            <w:r>
              <w:rPr>
                <w:rFonts w:hint="eastAsia" w:ascii="Times New Roman" w:hAnsi="Times New Roman" w:eastAsia="宋体" w:cs="Times New Roman"/>
                <w:color w:val="000000"/>
                <w:sz w:val="21"/>
                <w:szCs w:val="21"/>
                <w:lang w:val="en-US" w:eastAsia="zh-CN"/>
              </w:rPr>
              <w:t>2</w:t>
            </w:r>
            <w:r>
              <w:rPr>
                <w:rFonts w:hint="default" w:ascii="Times New Roman" w:hAnsi="Times New Roman" w:eastAsia="宋体" w:cs="Times New Roman"/>
                <w:color w:val="000000"/>
                <w:sz w:val="21"/>
                <w:szCs w:val="21"/>
              </w:rPr>
              <w:t>分，扣分扣完本项为止</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未提供不计分。</w:t>
            </w:r>
          </w:p>
        </w:tc>
      </w:tr>
      <w:tr w14:paraId="6BBE31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84" w:hRule="atLeast"/>
          <w:jc w:val="center"/>
        </w:trPr>
        <w:tc>
          <w:tcPr>
            <w:tcW w:w="345" w:type="dxa"/>
            <w:vMerge w:val="continue"/>
            <w:tcBorders>
              <w:top w:val="single" w:color="auto" w:sz="4" w:space="0"/>
              <w:right w:val="single" w:color="auto" w:sz="4" w:space="0"/>
            </w:tcBorders>
            <w:noWrap w:val="0"/>
            <w:vAlign w:val="center"/>
          </w:tcPr>
          <w:p w14:paraId="0E3D3045">
            <w:pPr>
              <w:adjustRightInd w:val="0"/>
              <w:snapToGrid w:val="0"/>
              <w:spacing w:line="240" w:lineRule="auto"/>
              <w:jc w:val="center"/>
              <w:rPr>
                <w:rFonts w:hint="eastAsia" w:ascii="宋体" w:hAnsi="宋体" w:cs="宋体"/>
                <w:color w:val="FF0000"/>
                <w:szCs w:val="21"/>
              </w:rPr>
            </w:pPr>
          </w:p>
        </w:tc>
        <w:tc>
          <w:tcPr>
            <w:tcW w:w="1067" w:type="dxa"/>
            <w:vMerge w:val="continue"/>
            <w:tcBorders>
              <w:left w:val="single" w:color="auto" w:sz="4" w:space="0"/>
              <w:right w:val="single" w:color="auto" w:sz="4" w:space="0"/>
            </w:tcBorders>
            <w:noWrap w:val="0"/>
            <w:vAlign w:val="center"/>
          </w:tcPr>
          <w:p w14:paraId="2D582C8D">
            <w:pPr>
              <w:adjustRightInd w:val="0"/>
              <w:snapToGrid w:val="0"/>
              <w:spacing w:line="240" w:lineRule="auto"/>
              <w:jc w:val="center"/>
              <w:rPr>
                <w:rFonts w:hint="eastAsia" w:ascii="宋体" w:hAnsi="宋体" w:cs="宋体"/>
                <w:color w:val="auto"/>
                <w:sz w:val="24"/>
                <w:szCs w:val="24"/>
                <w:lang w:val="en-US" w:eastAsia="zh-CN"/>
              </w:rPr>
            </w:pPr>
          </w:p>
        </w:tc>
        <w:tc>
          <w:tcPr>
            <w:tcW w:w="1089" w:type="dxa"/>
            <w:tcBorders>
              <w:left w:val="single" w:color="auto" w:sz="4" w:space="0"/>
              <w:right w:val="single" w:color="auto" w:sz="4" w:space="0"/>
            </w:tcBorders>
            <w:noWrap w:val="0"/>
            <w:vAlign w:val="center"/>
          </w:tcPr>
          <w:p w14:paraId="0E345871">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cs="Times New Roman"/>
                <w:sz w:val="24"/>
                <w:szCs w:val="24"/>
                <w:lang w:val="en-US" w:eastAsia="zh-CN"/>
              </w:rPr>
            </w:pPr>
            <w:r>
              <w:rPr>
                <w:rFonts w:hint="default" w:ascii="Times New Roman" w:hAnsi="Times New Roman" w:eastAsia="宋体" w:cs="Times New Roman"/>
                <w:sz w:val="21"/>
                <w:szCs w:val="21"/>
                <w:lang w:val="en-US" w:eastAsia="zh-CN"/>
              </w:rPr>
              <w:t>安全管理体系与措施</w:t>
            </w:r>
          </w:p>
        </w:tc>
        <w:tc>
          <w:tcPr>
            <w:tcW w:w="617" w:type="dxa"/>
            <w:tcBorders>
              <w:left w:val="single" w:color="auto" w:sz="4" w:space="0"/>
              <w:right w:val="single" w:color="auto" w:sz="4" w:space="0"/>
            </w:tcBorders>
            <w:noWrap w:val="0"/>
            <w:vAlign w:val="center"/>
          </w:tcPr>
          <w:p w14:paraId="0EE393B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heme="minorEastAsia" w:hAnsiTheme="minorEastAsia" w:eastAsiaTheme="minorEastAsia" w:cstheme="minorEastAsia"/>
                <w:color w:val="000000" w:themeColor="text1"/>
                <w:sz w:val="24"/>
                <w:szCs w:val="24"/>
                <w:lang w:val="en-US" w:eastAsia="zh-CN"/>
                <w14:textFill>
                  <w14:solidFill>
                    <w14:schemeClr w14:val="tx1"/>
                  </w14:solidFill>
                </w14:textFill>
              </w:rPr>
            </w:pPr>
            <w:r>
              <w:rPr>
                <w:rFonts w:hint="eastAsia" w:ascii="宋体" w:hAnsi="宋体" w:eastAsia="宋体" w:cs="宋体"/>
                <w:color w:val="000000"/>
                <w:sz w:val="21"/>
                <w:szCs w:val="21"/>
                <w:lang w:val="en-US" w:eastAsia="zh-CN"/>
              </w:rPr>
              <w:t>20</w:t>
            </w:r>
          </w:p>
        </w:tc>
        <w:tc>
          <w:tcPr>
            <w:tcW w:w="7260" w:type="dxa"/>
            <w:tcBorders>
              <w:top w:val="single" w:color="auto" w:sz="4" w:space="0"/>
              <w:left w:val="single" w:color="auto" w:sz="4" w:space="0"/>
              <w:bottom w:val="single" w:color="auto" w:sz="4" w:space="0"/>
            </w:tcBorders>
            <w:noWrap w:val="0"/>
            <w:vAlign w:val="center"/>
          </w:tcPr>
          <w:p w14:paraId="54BF3C31">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9"/>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sz w:val="21"/>
                <w:szCs w:val="21"/>
              </w:rPr>
              <w:t>磋商小组从安全管理体系和工作制度的完整性、风险预防和应急处置措施等方面进行综合评价。内容完善、合理，且具有可行性的计</w:t>
            </w:r>
            <w:r>
              <w:rPr>
                <w:rFonts w:hint="eastAsia"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分</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缺漏项、不合理的，每处扣</w:t>
            </w:r>
            <w:r>
              <w:rPr>
                <w:rFonts w:hint="eastAsia" w:ascii="Times New Roman" w:hAnsi="Times New Roman" w:eastAsia="宋体" w:cs="Times New Roman"/>
                <w:color w:val="000000"/>
                <w:sz w:val="21"/>
                <w:szCs w:val="21"/>
                <w:lang w:val="en-US" w:eastAsia="zh-CN"/>
              </w:rPr>
              <w:t>2</w:t>
            </w:r>
            <w:r>
              <w:rPr>
                <w:rFonts w:hint="default" w:ascii="Times New Roman" w:hAnsi="Times New Roman" w:eastAsia="宋体" w:cs="Times New Roman"/>
                <w:color w:val="000000"/>
                <w:sz w:val="21"/>
                <w:szCs w:val="21"/>
              </w:rPr>
              <w:t>分，扣分扣完本项为止</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未提供不计分。</w:t>
            </w:r>
          </w:p>
        </w:tc>
      </w:tr>
      <w:tr w14:paraId="12B471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24" w:hRule="atLeast"/>
          <w:jc w:val="center"/>
        </w:trPr>
        <w:tc>
          <w:tcPr>
            <w:tcW w:w="345" w:type="dxa"/>
            <w:vMerge w:val="continue"/>
            <w:tcBorders>
              <w:top w:val="single" w:color="auto" w:sz="4" w:space="0"/>
              <w:right w:val="single" w:color="auto" w:sz="4" w:space="0"/>
            </w:tcBorders>
            <w:noWrap w:val="0"/>
            <w:vAlign w:val="center"/>
          </w:tcPr>
          <w:p w14:paraId="37A8ECB9">
            <w:pPr>
              <w:adjustRightInd w:val="0"/>
              <w:snapToGrid w:val="0"/>
              <w:spacing w:line="240" w:lineRule="auto"/>
              <w:jc w:val="center"/>
              <w:rPr>
                <w:rFonts w:hint="eastAsia" w:ascii="宋体" w:hAnsi="宋体" w:cs="宋体"/>
                <w:color w:val="FF0000"/>
                <w:szCs w:val="21"/>
              </w:rPr>
            </w:pPr>
          </w:p>
        </w:tc>
        <w:tc>
          <w:tcPr>
            <w:tcW w:w="1067" w:type="dxa"/>
            <w:vMerge w:val="continue"/>
            <w:tcBorders>
              <w:left w:val="single" w:color="auto" w:sz="4" w:space="0"/>
              <w:right w:val="single" w:color="auto" w:sz="4" w:space="0"/>
            </w:tcBorders>
            <w:noWrap w:val="0"/>
            <w:vAlign w:val="center"/>
          </w:tcPr>
          <w:p w14:paraId="0D4A7044">
            <w:pPr>
              <w:adjustRightInd w:val="0"/>
              <w:snapToGrid w:val="0"/>
              <w:spacing w:line="240" w:lineRule="auto"/>
              <w:jc w:val="center"/>
              <w:rPr>
                <w:rFonts w:hint="eastAsia" w:ascii="宋体" w:hAnsi="宋体" w:cs="宋体"/>
                <w:color w:val="auto"/>
                <w:sz w:val="24"/>
                <w:szCs w:val="24"/>
                <w:lang w:val="en-US" w:eastAsia="zh-CN"/>
              </w:rPr>
            </w:pPr>
          </w:p>
        </w:tc>
        <w:tc>
          <w:tcPr>
            <w:tcW w:w="1089" w:type="dxa"/>
            <w:tcBorders>
              <w:left w:val="single" w:color="auto" w:sz="4" w:space="0"/>
              <w:right w:val="single" w:color="auto" w:sz="4" w:space="0"/>
            </w:tcBorders>
            <w:shd w:val="clear" w:color="auto" w:fill="auto"/>
            <w:noWrap w:val="0"/>
            <w:vAlign w:val="center"/>
          </w:tcPr>
          <w:p w14:paraId="2C8C30A0">
            <w:pPr>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val="en-US" w:eastAsia="zh-CN"/>
              </w:rPr>
              <w:t>环境保护管理体系与措施</w:t>
            </w:r>
          </w:p>
        </w:tc>
        <w:tc>
          <w:tcPr>
            <w:tcW w:w="617" w:type="dxa"/>
            <w:tcBorders>
              <w:left w:val="single" w:color="auto" w:sz="4" w:space="0"/>
              <w:right w:val="single" w:color="auto" w:sz="4" w:space="0"/>
            </w:tcBorders>
            <w:shd w:val="clear" w:color="auto" w:fill="auto"/>
            <w:noWrap w:val="0"/>
            <w:vAlign w:val="center"/>
          </w:tcPr>
          <w:p w14:paraId="0CA95C77">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heme="minorEastAsia" w:hAnsiTheme="minorEastAsia" w:eastAsiaTheme="minorEastAsia" w:cstheme="minorEastAsia"/>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sz w:val="21"/>
                <w:szCs w:val="21"/>
                <w:lang w:val="en-US" w:eastAsia="zh-CN"/>
              </w:rPr>
              <w:t>20</w:t>
            </w:r>
          </w:p>
        </w:tc>
        <w:tc>
          <w:tcPr>
            <w:tcW w:w="7260" w:type="dxa"/>
            <w:tcBorders>
              <w:top w:val="single" w:color="auto" w:sz="4" w:space="0"/>
              <w:left w:val="single" w:color="auto" w:sz="4" w:space="0"/>
              <w:bottom w:val="single" w:color="auto" w:sz="4" w:space="0"/>
            </w:tcBorders>
            <w:shd w:val="clear" w:color="auto" w:fill="auto"/>
            <w:noWrap w:val="0"/>
            <w:vAlign w:val="center"/>
          </w:tcPr>
          <w:p w14:paraId="161751B3">
            <w:pPr>
              <w:keepNext w:val="0"/>
              <w:keepLines w:val="0"/>
              <w:pageBreakBefore w:val="0"/>
              <w:widowControl w:val="0"/>
              <w:kinsoku/>
              <w:wordWrap/>
              <w:overflowPunct/>
              <w:topLinePunct w:val="0"/>
              <w:autoSpaceDE/>
              <w:autoSpaceDN/>
              <w:bidi w:val="0"/>
              <w:adjustRightInd/>
              <w:snapToGrid/>
              <w:spacing w:line="400" w:lineRule="exact"/>
              <w:jc w:val="both"/>
              <w:textAlignment w:val="auto"/>
              <w:outlineLvl w:val="9"/>
              <w:rPr>
                <w:rFonts w:hint="default"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default" w:ascii="Times New Roman" w:hAnsi="Times New Roman" w:eastAsia="宋体" w:cs="Times New Roman"/>
                <w:color w:val="000000"/>
                <w:sz w:val="21"/>
                <w:szCs w:val="21"/>
              </w:rPr>
              <w:t>磋商小组从环境保护角度出发，对现场噪音控制、污水控制、扬尘控制，材料堆放、人员管理等环保方案进行评价。内容完善、合理，且具有可行性的计</w:t>
            </w:r>
            <w:r>
              <w:rPr>
                <w:rFonts w:hint="eastAsia" w:ascii="Times New Roman" w:hAnsi="Times New Roman" w:eastAsia="宋体" w:cs="Times New Roman"/>
                <w:color w:val="000000"/>
                <w:sz w:val="21"/>
                <w:szCs w:val="21"/>
                <w:lang w:val="en-US" w:eastAsia="zh-CN"/>
              </w:rPr>
              <w:t>20</w:t>
            </w:r>
            <w:r>
              <w:rPr>
                <w:rFonts w:hint="default" w:ascii="Times New Roman" w:hAnsi="Times New Roman" w:eastAsia="宋体" w:cs="Times New Roman"/>
                <w:color w:val="000000"/>
                <w:sz w:val="21"/>
                <w:szCs w:val="21"/>
              </w:rPr>
              <w:t>分</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缺漏项、不合理的，每处扣</w:t>
            </w:r>
            <w:r>
              <w:rPr>
                <w:rFonts w:hint="eastAsia" w:ascii="Times New Roman" w:hAnsi="Times New Roman" w:eastAsia="宋体" w:cs="Times New Roman"/>
                <w:color w:val="000000"/>
                <w:sz w:val="21"/>
                <w:szCs w:val="21"/>
                <w:lang w:val="en-US" w:eastAsia="zh-CN"/>
              </w:rPr>
              <w:t>2</w:t>
            </w:r>
            <w:r>
              <w:rPr>
                <w:rFonts w:hint="default" w:ascii="Times New Roman" w:hAnsi="Times New Roman" w:eastAsia="宋体" w:cs="Times New Roman"/>
                <w:color w:val="000000"/>
                <w:sz w:val="21"/>
                <w:szCs w:val="21"/>
              </w:rPr>
              <w:t>分，扣分扣完本项为止</w:t>
            </w:r>
            <w:r>
              <w:rPr>
                <w:rFonts w:hint="eastAsia" w:ascii="Times New Roman" w:hAnsi="Times New Roman" w:eastAsia="宋体" w:cs="Times New Roman"/>
                <w:color w:val="000000"/>
                <w:sz w:val="21"/>
                <w:szCs w:val="21"/>
                <w:lang w:eastAsia="zh-CN"/>
              </w:rPr>
              <w:t>；</w:t>
            </w:r>
            <w:r>
              <w:rPr>
                <w:rFonts w:hint="default" w:ascii="Times New Roman" w:hAnsi="Times New Roman" w:eastAsia="宋体" w:cs="Times New Roman"/>
                <w:color w:val="000000"/>
                <w:sz w:val="21"/>
                <w:szCs w:val="21"/>
              </w:rPr>
              <w:t>未提供不计分。</w:t>
            </w:r>
          </w:p>
        </w:tc>
      </w:tr>
      <w:tr w14:paraId="4313EA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3" w:hRule="atLeast"/>
          <w:jc w:val="center"/>
        </w:trPr>
        <w:tc>
          <w:tcPr>
            <w:tcW w:w="345" w:type="dxa"/>
            <w:vMerge w:val="continue"/>
            <w:tcBorders>
              <w:right w:val="single" w:color="auto" w:sz="4" w:space="0"/>
            </w:tcBorders>
            <w:noWrap w:val="0"/>
            <w:vAlign w:val="center"/>
          </w:tcPr>
          <w:p w14:paraId="38AFBBF0">
            <w:pPr>
              <w:adjustRightInd w:val="0"/>
              <w:snapToGrid w:val="0"/>
              <w:spacing w:line="240" w:lineRule="auto"/>
              <w:jc w:val="center"/>
              <w:rPr>
                <w:rFonts w:hint="eastAsia" w:ascii="宋体" w:hAnsi="宋体" w:cs="宋体"/>
                <w:color w:val="FF0000"/>
                <w:szCs w:val="21"/>
              </w:rPr>
            </w:pPr>
          </w:p>
        </w:tc>
        <w:tc>
          <w:tcPr>
            <w:tcW w:w="2156" w:type="dxa"/>
            <w:gridSpan w:val="2"/>
            <w:tcBorders>
              <w:top w:val="single" w:color="auto" w:sz="4" w:space="0"/>
              <w:left w:val="single" w:color="auto" w:sz="4" w:space="0"/>
              <w:bottom w:val="single" w:color="auto" w:sz="4" w:space="0"/>
              <w:right w:val="single" w:color="auto" w:sz="4" w:space="0"/>
            </w:tcBorders>
            <w:noWrap w:val="0"/>
            <w:vAlign w:val="center"/>
          </w:tcPr>
          <w:p w14:paraId="2B3B4689">
            <w:pPr>
              <w:adjustRightInd w:val="0"/>
              <w:snapToGrid w:val="0"/>
              <w:spacing w:line="240" w:lineRule="auto"/>
              <w:jc w:val="center"/>
              <w:rPr>
                <w:rFonts w:hint="eastAsia" w:ascii="宋体" w:hAnsi="宋体" w:cs="宋体"/>
                <w:color w:val="auto"/>
                <w:sz w:val="24"/>
                <w:szCs w:val="24"/>
              </w:rPr>
            </w:pPr>
            <w:r>
              <w:rPr>
                <w:rFonts w:hint="eastAsia" w:ascii="宋体" w:hAnsi="宋体" w:eastAsia="宋体" w:cs="宋体"/>
                <w:color w:val="auto"/>
                <w:sz w:val="24"/>
                <w:szCs w:val="24"/>
              </w:rPr>
              <w:t>合计</w:t>
            </w:r>
          </w:p>
        </w:tc>
        <w:tc>
          <w:tcPr>
            <w:tcW w:w="617" w:type="dxa"/>
            <w:tcBorders>
              <w:top w:val="single" w:color="auto" w:sz="4" w:space="0"/>
              <w:left w:val="single" w:color="auto" w:sz="4" w:space="0"/>
              <w:bottom w:val="single" w:color="auto" w:sz="4" w:space="0"/>
              <w:right w:val="single" w:color="auto" w:sz="4" w:space="0"/>
            </w:tcBorders>
            <w:noWrap w:val="0"/>
            <w:vAlign w:val="center"/>
          </w:tcPr>
          <w:p w14:paraId="140716F1">
            <w:pPr>
              <w:adjustRightInd w:val="0"/>
              <w:snapToGrid w:val="0"/>
              <w:spacing w:line="240" w:lineRule="auto"/>
              <w:jc w:val="center"/>
              <w:rPr>
                <w:rFonts w:hint="eastAsia" w:ascii="宋体" w:hAnsi="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00</w:t>
            </w:r>
          </w:p>
        </w:tc>
        <w:tc>
          <w:tcPr>
            <w:tcW w:w="7260" w:type="dxa"/>
            <w:tcBorders>
              <w:top w:val="single" w:color="auto" w:sz="4" w:space="0"/>
              <w:left w:val="single" w:color="auto" w:sz="4" w:space="0"/>
              <w:bottom w:val="single" w:color="auto" w:sz="4" w:space="0"/>
            </w:tcBorders>
            <w:noWrap w:val="0"/>
            <w:vAlign w:val="center"/>
          </w:tcPr>
          <w:p w14:paraId="20F7E39E">
            <w:pPr>
              <w:adjustRightInd w:val="0"/>
              <w:snapToGrid w:val="0"/>
              <w:spacing w:line="240" w:lineRule="auto"/>
              <w:jc w:val="center"/>
              <w:rPr>
                <w:rFonts w:hint="eastAsia" w:ascii="宋体" w:hAnsi="宋体" w:cs="宋体"/>
                <w:color w:val="auto"/>
                <w:sz w:val="24"/>
                <w:szCs w:val="24"/>
              </w:rPr>
            </w:pPr>
          </w:p>
        </w:tc>
      </w:tr>
      <w:tr w14:paraId="2E9C15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74" w:hRule="atLeast"/>
          <w:jc w:val="center"/>
        </w:trPr>
        <w:tc>
          <w:tcPr>
            <w:tcW w:w="345" w:type="dxa"/>
            <w:vMerge w:val="continue"/>
            <w:tcBorders>
              <w:right w:val="single" w:color="auto" w:sz="4" w:space="0"/>
            </w:tcBorders>
            <w:noWrap w:val="0"/>
            <w:vAlign w:val="center"/>
          </w:tcPr>
          <w:p w14:paraId="60918EB5">
            <w:pPr>
              <w:adjustRightInd w:val="0"/>
              <w:snapToGrid w:val="0"/>
              <w:spacing w:line="240" w:lineRule="auto"/>
              <w:jc w:val="center"/>
              <w:rPr>
                <w:rFonts w:hint="eastAsia" w:ascii="宋体" w:hAnsi="宋体" w:cs="宋体"/>
                <w:color w:val="FF0000"/>
                <w:szCs w:val="21"/>
              </w:rPr>
            </w:pPr>
          </w:p>
        </w:tc>
        <w:tc>
          <w:tcPr>
            <w:tcW w:w="10033" w:type="dxa"/>
            <w:gridSpan w:val="4"/>
            <w:tcBorders>
              <w:top w:val="single" w:color="auto" w:sz="4" w:space="0"/>
              <w:left w:val="single" w:color="auto" w:sz="4" w:space="0"/>
            </w:tcBorders>
            <w:noWrap w:val="0"/>
            <w:vAlign w:val="center"/>
          </w:tcPr>
          <w:p w14:paraId="4C062AE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说明：</w:t>
            </w:r>
          </w:p>
          <w:p w14:paraId="5DC6F34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default" w:ascii="Times New Roman" w:hAnsi="Times New Roman" w:eastAsia="宋体" w:cs="Times New Roman"/>
                <w:b/>
                <w:bCs/>
                <w:sz w:val="24"/>
                <w:szCs w:val="24"/>
                <w:highlight w:val="none"/>
              </w:rPr>
            </w:pPr>
            <w:r>
              <w:rPr>
                <w:rFonts w:hint="eastAsia" w:ascii="Times New Roman" w:hAnsi="Times New Roman" w:eastAsia="宋体" w:cs="Times New Roman"/>
                <w:b/>
                <w:bCs/>
                <w:sz w:val="24"/>
                <w:szCs w:val="24"/>
                <w:highlight w:val="none"/>
                <w:lang w:val="en-US" w:eastAsia="zh-CN"/>
              </w:rPr>
              <w:t>1、</w:t>
            </w:r>
            <w:r>
              <w:rPr>
                <w:rFonts w:hint="default" w:ascii="Times New Roman" w:hAnsi="Times New Roman" w:eastAsia="宋体" w:cs="Times New Roman"/>
                <w:b/>
                <w:bCs/>
                <w:sz w:val="24"/>
                <w:szCs w:val="24"/>
                <w:highlight w:val="none"/>
              </w:rPr>
              <w:t>评分标准涉及要求提供复印件的，响应文件中须附相关证书和证明文件的复印件并加盖单位公章，否则相应计分项不予计分。</w:t>
            </w:r>
          </w:p>
          <w:p w14:paraId="29311D23">
            <w:pPr>
              <w:widowControl w:val="0"/>
              <w:numPr>
                <w:ilvl w:val="0"/>
                <w:numId w:val="0"/>
              </w:numPr>
              <w:spacing w:after="120" w:line="240" w:lineRule="auto"/>
              <w:ind w:left="0" w:leftChars="0" w:firstLine="241" w:firstLineChars="100"/>
              <w:jc w:val="both"/>
              <w:outlineLvl w:val="0"/>
              <w:rPr>
                <w:rFonts w:hint="eastAsia"/>
                <w:sz w:val="24"/>
                <w:szCs w:val="24"/>
              </w:rPr>
            </w:pPr>
            <w:r>
              <w:rPr>
                <w:rFonts w:hint="eastAsia" w:ascii="Times New Roman" w:hAnsi="Times New Roman" w:eastAsia="宋体" w:cs="Times New Roman"/>
                <w:b/>
                <w:bCs/>
                <w:color w:val="000000"/>
                <w:kern w:val="28"/>
                <w:sz w:val="24"/>
                <w:szCs w:val="24"/>
                <w:highlight w:val="none"/>
                <w:lang w:val="en-US" w:eastAsia="zh-CN" w:bidi="ar-SA"/>
              </w:rPr>
              <w:t>2</w:t>
            </w:r>
            <w:r>
              <w:rPr>
                <w:rFonts w:hint="default" w:ascii="Times New Roman" w:hAnsi="Times New Roman" w:eastAsia="宋体" w:cs="Times New Roman"/>
                <w:b/>
                <w:bCs/>
                <w:color w:val="000000"/>
                <w:kern w:val="28"/>
                <w:sz w:val="24"/>
                <w:szCs w:val="24"/>
                <w:highlight w:val="none"/>
                <w:lang w:val="en-US" w:eastAsia="zh-CN" w:bidi="ar-SA"/>
              </w:rPr>
              <w:t>、供应商参与采购应提供真实有效的证明材料，应当诚信守法、公平竞争。中标人在合同签订前提供评分标准所涉及的产品和有效的证件证明材料原件供采购人审阅；如有以提供虚假材料（包括但不限于虚假技术参数响应、虚假制造商产品彩页、虚假业绩、虚假证书等）、隐瞒失信信息等谋取中标的行为，一经发现，将取消中标资格并报行政监管部门严肃查处。</w:t>
            </w:r>
          </w:p>
        </w:tc>
      </w:tr>
    </w:tbl>
    <w:p w14:paraId="06CA6F07">
      <w:pPr>
        <w:adjustRightInd w:val="0"/>
        <w:snapToGrid w:val="0"/>
        <w:spacing w:line="360" w:lineRule="auto"/>
        <w:jc w:val="both"/>
        <w:rPr>
          <w:rFonts w:hint="eastAsia" w:ascii="黑体" w:eastAsia="黑体"/>
          <w:color w:val="auto"/>
          <w:sz w:val="32"/>
          <w:szCs w:val="32"/>
        </w:rPr>
        <w:sectPr>
          <w:pgSz w:w="11906" w:h="16838"/>
          <w:pgMar w:top="1134" w:right="1134" w:bottom="1134" w:left="1134" w:header="851" w:footer="992" w:gutter="0"/>
          <w:pgNumType w:fmt="decimal"/>
          <w:cols w:space="720" w:num="1"/>
          <w:docGrid w:linePitch="312" w:charSpace="0"/>
        </w:sectPr>
      </w:pPr>
    </w:p>
    <w:p w14:paraId="7299D2DE">
      <w:pPr>
        <w:adjustRightInd w:val="0"/>
        <w:snapToGrid w:val="0"/>
        <w:spacing w:line="360" w:lineRule="auto"/>
        <w:jc w:val="center"/>
        <w:rPr>
          <w:rFonts w:hint="eastAsia" w:ascii="黑体" w:hAnsi="宋体" w:eastAsia="黑体"/>
          <w:color w:val="auto"/>
          <w:sz w:val="32"/>
          <w:szCs w:val="32"/>
        </w:rPr>
      </w:pPr>
      <w:r>
        <w:rPr>
          <w:rFonts w:hint="eastAsia" w:ascii="黑体" w:eastAsia="黑体"/>
          <w:color w:val="auto"/>
          <w:sz w:val="32"/>
          <w:szCs w:val="32"/>
        </w:rPr>
        <w:t>磋商须知</w:t>
      </w:r>
      <w:r>
        <w:rPr>
          <w:rFonts w:hint="eastAsia" w:ascii="黑体" w:hAnsi="宋体" w:eastAsia="黑体"/>
          <w:color w:val="auto"/>
          <w:sz w:val="32"/>
          <w:szCs w:val="32"/>
        </w:rPr>
        <w:t>正文</w:t>
      </w:r>
    </w:p>
    <w:p w14:paraId="5FE4A66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一、说明</w:t>
      </w:r>
    </w:p>
    <w:p w14:paraId="2402AE0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1.适用范围</w:t>
      </w:r>
    </w:p>
    <w:p w14:paraId="6694CB8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 本磋商文件仅适用于磋商须知前附表(以下简称</w:t>
      </w:r>
      <w:r>
        <w:rPr>
          <w:rFonts w:hint="eastAsia" w:ascii="宋体" w:hAnsi="宋体"/>
          <w:b/>
          <w:color w:val="auto"/>
          <w:szCs w:val="21"/>
        </w:rPr>
        <w:t>磋商须知前附表)</w:t>
      </w:r>
      <w:r>
        <w:rPr>
          <w:rFonts w:hint="eastAsia" w:ascii="宋体" w:hAnsi="宋体"/>
          <w:color w:val="auto"/>
          <w:szCs w:val="21"/>
        </w:rPr>
        <w:t>中所叙述的采购项目。</w:t>
      </w:r>
    </w:p>
    <w:p w14:paraId="44AF4E9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2.定义</w:t>
      </w:r>
    </w:p>
    <w:p w14:paraId="3C62DA6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2.1 “采购人”是指依法进行政府采购的国家机关、事业单位、团体组织。本次政府采购的采购人名称、地址、电话、联系人见</w:t>
      </w:r>
      <w:r>
        <w:rPr>
          <w:rFonts w:hint="eastAsia" w:ascii="宋体" w:hAnsi="宋体"/>
          <w:b/>
          <w:color w:val="auto"/>
          <w:szCs w:val="21"/>
        </w:rPr>
        <w:t>磋商须知前附表</w:t>
      </w:r>
      <w:r>
        <w:rPr>
          <w:rFonts w:hint="eastAsia" w:ascii="宋体" w:hAnsi="宋体"/>
          <w:color w:val="auto"/>
          <w:szCs w:val="21"/>
        </w:rPr>
        <w:t>。</w:t>
      </w:r>
    </w:p>
    <w:p w14:paraId="5780AC3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rPr>
        <w:t>磋商须知前附表。</w:t>
      </w:r>
    </w:p>
    <w:p w14:paraId="3DAAC46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bCs/>
          <w:color w:val="auto"/>
          <w:kern w:val="36"/>
          <w:szCs w:val="21"/>
        </w:rPr>
      </w:pPr>
      <w:r>
        <w:rPr>
          <w:rFonts w:hint="eastAsia" w:ascii="宋体" w:hAnsi="宋体"/>
          <w:color w:val="auto"/>
          <w:szCs w:val="21"/>
        </w:rPr>
        <w:t>2.3 “供应商”是指响应磋商文件要求、参加竞争性磋商采购的法人、其他组织或者自然人。本次政府采购项目</w:t>
      </w:r>
      <w:r>
        <w:rPr>
          <w:rFonts w:hint="eastAsia" w:ascii="宋体" w:hAnsi="宋体" w:cs="宋体"/>
          <w:color w:val="auto"/>
          <w:kern w:val="0"/>
          <w:szCs w:val="21"/>
        </w:rPr>
        <w:t>邀请</w:t>
      </w:r>
      <w:r>
        <w:rPr>
          <w:rFonts w:hint="eastAsia" w:ascii="宋体" w:hAnsi="宋体"/>
          <w:color w:val="auto"/>
          <w:szCs w:val="21"/>
        </w:rPr>
        <w:t>的</w:t>
      </w:r>
      <w:r>
        <w:rPr>
          <w:rFonts w:hint="eastAsia" w:ascii="宋体" w:hAnsi="宋体" w:cs="宋体"/>
          <w:color w:val="auto"/>
          <w:kern w:val="0"/>
          <w:szCs w:val="21"/>
        </w:rPr>
        <w:t>供应商通过</w:t>
      </w:r>
      <w:r>
        <w:rPr>
          <w:rFonts w:hint="eastAsia" w:ascii="宋体" w:hAnsi="宋体"/>
          <w:b/>
          <w:color w:val="auto"/>
          <w:szCs w:val="21"/>
        </w:rPr>
        <w:t>磋商须知前附表</w:t>
      </w:r>
      <w:r>
        <w:rPr>
          <w:rFonts w:hint="eastAsia" w:ascii="宋体" w:hAnsi="宋体"/>
          <w:color w:val="auto"/>
          <w:szCs w:val="21"/>
        </w:rPr>
        <w:t>所述方式</w:t>
      </w:r>
      <w:r>
        <w:rPr>
          <w:rFonts w:hint="eastAsia" w:ascii="宋体" w:hAnsi="宋体" w:cs="宋体"/>
          <w:color w:val="auto"/>
          <w:kern w:val="0"/>
          <w:szCs w:val="21"/>
        </w:rPr>
        <w:t>，邀请符合资格条件的供应商提交响应文件（含资格证明资料），参与竞争性磋商采购活动。</w:t>
      </w:r>
    </w:p>
    <w:p w14:paraId="17924C0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2.4 “磋商小组”是指</w:t>
      </w:r>
      <w:r>
        <w:rPr>
          <w:rFonts w:hint="eastAsia" w:ascii="宋体" w:hAnsi="宋体" w:cs="宋体"/>
          <w:color w:val="auto"/>
          <w:kern w:val="0"/>
          <w:szCs w:val="21"/>
        </w:rPr>
        <w:t>依据财政部</w:t>
      </w:r>
      <w:r>
        <w:rPr>
          <w:rFonts w:ascii="宋体" w:hAnsi="宋体" w:cs="宋体"/>
          <w:bCs/>
          <w:color w:val="auto"/>
          <w:kern w:val="36"/>
          <w:szCs w:val="21"/>
        </w:rPr>
        <w:t>《</w:t>
      </w:r>
      <w:r>
        <w:rPr>
          <w:rFonts w:hint="eastAsia" w:ascii="宋体" w:hAnsi="宋体" w:cs="宋体"/>
          <w:bCs/>
          <w:color w:val="auto"/>
          <w:kern w:val="36"/>
          <w:szCs w:val="21"/>
        </w:rPr>
        <w:t>政府采购竞争性磋商采购方式管理暂行办法</w:t>
      </w:r>
      <w:r>
        <w:rPr>
          <w:rFonts w:ascii="宋体" w:hAnsi="宋体" w:cs="宋体"/>
          <w:bCs/>
          <w:color w:val="auto"/>
          <w:kern w:val="36"/>
          <w:szCs w:val="21"/>
        </w:rPr>
        <w:t>》</w:t>
      </w:r>
      <w:r>
        <w:rPr>
          <w:rFonts w:hint="eastAsia" w:ascii="宋体" w:hAnsi="宋体" w:cs="宋体"/>
          <w:bCs/>
          <w:color w:val="auto"/>
          <w:kern w:val="36"/>
          <w:szCs w:val="21"/>
        </w:rPr>
        <w:t>有关规定组建，依法依规</w:t>
      </w:r>
      <w:r>
        <w:rPr>
          <w:rFonts w:hint="eastAsia" w:ascii="宋体" w:hAnsi="宋体" w:cs="宋体"/>
          <w:color w:val="auto"/>
          <w:kern w:val="0"/>
          <w:szCs w:val="21"/>
        </w:rPr>
        <w:t>履行其职责和义务的机构。</w:t>
      </w:r>
    </w:p>
    <w:p w14:paraId="5CC508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2.5 “货物”是指各种形态和种类的物品，包括原资料、燃料、设备、产品等，详见《政府采购品目分类目录》(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28EFFC4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 “工程”是指建设工程，包括建筑物和构筑物的新建、改建、扩建、装修、拆除、修缮等，详见《政府采购品目分类目录》(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51B5B6C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2.7 “服务”是指除货物和工程以外的其他政府采购对象，详见《政府采购品目分类目录》(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04030E6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s="宋体"/>
          <w:color w:val="auto"/>
          <w:kern w:val="0"/>
          <w:szCs w:val="21"/>
        </w:rPr>
        <w:t>2.8</w:t>
      </w:r>
      <w:r>
        <w:rPr>
          <w:rFonts w:hint="eastAsia" w:ascii="宋体" w:hAnsi="宋体"/>
          <w:color w:val="auto"/>
          <w:szCs w:val="21"/>
        </w:rPr>
        <w:t xml:space="preserve"> “节能产品”或者“环保产品”是指财政部发布的《节能产品政府采购清单》或者《环境标志产品政府采购清单》的产品。</w:t>
      </w:r>
    </w:p>
    <w:p w14:paraId="0833ABD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2.9</w:t>
      </w:r>
      <w:r>
        <w:rPr>
          <w:rFonts w:hint="eastAsia" w:ascii="宋体" w:hAnsi="宋体" w:cs="宋体"/>
          <w:color w:val="auto"/>
          <w:kern w:val="0"/>
          <w:szCs w:val="21"/>
        </w:rPr>
        <w:t xml:space="preserve"> “进口产品”是指通过中国海关报关验放进入中国境内且产自关境外的产品，详见《</w:t>
      </w:r>
      <w:r>
        <w:rPr>
          <w:rFonts w:ascii="宋体" w:hAnsi="宋体" w:cs="宋体"/>
          <w:color w:val="auto"/>
          <w:kern w:val="0"/>
          <w:szCs w:val="21"/>
        </w:rPr>
        <w:t>关于政府采购进口产品管理有关问题的通知</w:t>
      </w:r>
      <w:r>
        <w:rPr>
          <w:rFonts w:hint="eastAsia" w:ascii="宋体" w:hAnsi="宋体" w:cs="宋体"/>
          <w:color w:val="auto"/>
          <w:kern w:val="0"/>
          <w:szCs w:val="21"/>
        </w:rPr>
        <w:t>》(财库[2007]119号)。</w:t>
      </w:r>
    </w:p>
    <w:p w14:paraId="422AD1E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3.供应商的资格要求</w:t>
      </w:r>
    </w:p>
    <w:p w14:paraId="0B5F5AE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3.1 供应商应当符合</w:t>
      </w:r>
      <w:r>
        <w:rPr>
          <w:rFonts w:hint="eastAsia" w:ascii="宋体" w:hAnsi="宋体"/>
          <w:b/>
          <w:color w:val="auto"/>
          <w:szCs w:val="21"/>
        </w:rPr>
        <w:t>磋商须知前附表</w:t>
      </w:r>
      <w:r>
        <w:rPr>
          <w:rFonts w:hint="eastAsia" w:ascii="宋体" w:hAnsi="宋体"/>
          <w:color w:val="auto"/>
          <w:szCs w:val="21"/>
        </w:rPr>
        <w:t>中规定的资格条件要求。</w:t>
      </w:r>
    </w:p>
    <w:p w14:paraId="6CD80B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3.2供应商</w:t>
      </w:r>
      <w:r>
        <w:rPr>
          <w:rFonts w:hint="eastAsia" w:hAnsi="宋体"/>
          <w:color w:val="auto"/>
        </w:rPr>
        <w:t>为联合体形式的</w:t>
      </w:r>
      <w:r>
        <w:rPr>
          <w:rFonts w:hint="eastAsia" w:ascii="宋体" w:hAnsi="宋体"/>
          <w:color w:val="auto"/>
          <w:szCs w:val="21"/>
        </w:rPr>
        <w:t xml:space="preserve">，除应满足本章第3.1款资格条件要求及第3.3款规定外，还应遵守以下规定： </w:t>
      </w:r>
    </w:p>
    <w:p w14:paraId="6FDC642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（1）联合体各方应按磋商文件提供的格式签订联合体协议书，明确联合体牵头人和各方权利义务(含承担工作及工作量比例)；</w:t>
      </w:r>
    </w:p>
    <w:p w14:paraId="0982C83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（2）联合体中有同类资质的供应商按照联合体分工承担相同工作的，应当按照资质等级较低的供应商确定资质等级；</w:t>
      </w:r>
    </w:p>
    <w:p w14:paraId="4D9F1C2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（3）以联合体形式参加政府采购活动的，联合体各方不得再单独参加或者与其他供应商另外组成联合体参加同一合同项下的政府采购活动。</w:t>
      </w:r>
    </w:p>
    <w:p w14:paraId="263AAD4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3.3 供应商不得存在下列情形之一：</w:t>
      </w:r>
    </w:p>
    <w:p w14:paraId="0E1F3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（l）与采购人、采购代理机构存在</w:t>
      </w:r>
      <w:r>
        <w:rPr>
          <w:rFonts w:hint="eastAsia" w:ascii="宋体" w:hAnsi="宋体"/>
          <w:bCs/>
          <w:color w:val="auto"/>
          <w:szCs w:val="21"/>
        </w:rPr>
        <w:t>隶属关系或者其他利害关系</w:t>
      </w:r>
      <w:r>
        <w:rPr>
          <w:rFonts w:hint="eastAsia" w:ascii="宋体" w:hAnsi="宋体"/>
          <w:color w:val="auto"/>
          <w:szCs w:val="21"/>
        </w:rPr>
        <w:t>。</w:t>
      </w:r>
    </w:p>
    <w:p w14:paraId="3F8E62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（2）与其他供应商的法定代表人（或者负责人）为同一人，或者与其他供应商存在直接控股、管理关系。</w:t>
      </w:r>
    </w:p>
    <w:p w14:paraId="0C46048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w:t>
      </w:r>
      <w:r>
        <w:rPr>
          <w:rFonts w:hint="eastAsia" w:ascii="宋体" w:hAnsi="宋体"/>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olor w:val="auto"/>
          <w:szCs w:val="21"/>
        </w:rPr>
        <w:t>财政部门认定的其他重大违法记录。</w:t>
      </w:r>
    </w:p>
    <w:p w14:paraId="52C4367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 xml:space="preserve">4.参与磋商的费用 </w:t>
      </w:r>
    </w:p>
    <w:p w14:paraId="6C2BB78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 无论磋商的结果如何，供应商应自行承担所有与竞争性磋商采购活动有关的全部费用。</w:t>
      </w:r>
    </w:p>
    <w:p w14:paraId="57D70BA2">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b/>
          <w:bCs/>
          <w:color w:val="auto"/>
        </w:rPr>
      </w:pPr>
      <w:r>
        <w:rPr>
          <w:rFonts w:hint="eastAsia" w:hAnsi="宋体"/>
          <w:b/>
          <w:color w:val="auto"/>
        </w:rPr>
        <w:t>5．</w:t>
      </w:r>
      <w:r>
        <w:rPr>
          <w:rFonts w:hint="eastAsia" w:hAnsi="宋体"/>
          <w:b/>
          <w:bCs/>
          <w:color w:val="auto"/>
        </w:rPr>
        <w:t>授权委托</w:t>
      </w:r>
    </w:p>
    <w:p w14:paraId="1DCE64D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5.1供应商代表为供应商法定代表人的，应具备法定代表人身份证明。供应商代表不是供应商法定代表人的，应具备法定代表人授权书，并附法定代表人身份证明。</w:t>
      </w:r>
    </w:p>
    <w:p w14:paraId="209CA45C">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b/>
          <w:color w:val="auto"/>
        </w:rPr>
      </w:pPr>
      <w:r>
        <w:rPr>
          <w:rFonts w:hint="eastAsia" w:hAnsi="宋体"/>
          <w:b/>
          <w:color w:val="auto"/>
        </w:rPr>
        <w:t>6．联合体形式</w:t>
      </w:r>
    </w:p>
    <w:p w14:paraId="47F3781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6.1除</w:t>
      </w:r>
      <w:r>
        <w:rPr>
          <w:rFonts w:hint="eastAsia" w:hAnsi="宋体"/>
          <w:b/>
          <w:color w:val="auto"/>
        </w:rPr>
        <w:t>磋商须知前附表</w:t>
      </w:r>
      <w:r>
        <w:rPr>
          <w:rFonts w:hint="eastAsia" w:hAnsi="宋体"/>
          <w:color w:val="auto"/>
        </w:rPr>
        <w:t>中另有规定，本次谈判采购不接受为联合体形式的供应商。</w:t>
      </w:r>
    </w:p>
    <w:p w14:paraId="436E1C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6.2供应商</w:t>
      </w:r>
      <w:r>
        <w:rPr>
          <w:rFonts w:hint="eastAsia" w:hAnsi="宋体"/>
          <w:color w:val="auto"/>
        </w:rPr>
        <w:t>为联合体形式的</w:t>
      </w:r>
      <w:r>
        <w:rPr>
          <w:rFonts w:hint="eastAsia" w:ascii="宋体" w:hAnsi="宋体"/>
          <w:color w:val="auto"/>
          <w:szCs w:val="21"/>
        </w:rPr>
        <w:t>，除应符合本章第3条规定外，还应遵守以下规定：</w:t>
      </w:r>
    </w:p>
    <w:p w14:paraId="484073F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（l）联合体各方必须签订联合体协议书，明确联合体牵头人和各方的义务、工作、合同工作量比例；</w:t>
      </w:r>
    </w:p>
    <w:p w14:paraId="75450FA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（2）联合体各方均应当符合本章第3.1</w:t>
      </w:r>
      <w:r>
        <w:rPr>
          <w:rFonts w:hint="eastAsia" w:ascii="宋体" w:hAnsi="宋体" w:cs="宋体"/>
          <w:color w:val="auto"/>
          <w:kern w:val="0"/>
          <w:szCs w:val="21"/>
          <w:lang w:val="zh-CN"/>
        </w:rPr>
        <w:t>款</w:t>
      </w:r>
      <w:r>
        <w:rPr>
          <w:rFonts w:hint="eastAsia" w:ascii="宋体" w:hAnsi="宋体"/>
          <w:color w:val="auto"/>
          <w:szCs w:val="21"/>
        </w:rPr>
        <w:t>规定的供应商基本资格条件；</w:t>
      </w:r>
    </w:p>
    <w:p w14:paraId="2EFEFD4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w:t>
      </w:r>
      <w:r>
        <w:rPr>
          <w:rFonts w:hint="eastAsia" w:ascii="宋体" w:hAnsi="宋体"/>
          <w:color w:val="auto"/>
        </w:rPr>
        <w:t>除</w:t>
      </w:r>
      <w:r>
        <w:rPr>
          <w:rFonts w:hint="eastAsia" w:ascii="宋体" w:hAnsi="宋体"/>
          <w:b/>
          <w:color w:val="auto"/>
        </w:rPr>
        <w:t>磋商须知前附表</w:t>
      </w:r>
      <w:r>
        <w:rPr>
          <w:rFonts w:hint="eastAsia" w:ascii="宋体" w:hAnsi="宋体"/>
          <w:color w:val="auto"/>
        </w:rPr>
        <w:t>中另有规定，</w:t>
      </w:r>
      <w:r>
        <w:rPr>
          <w:rFonts w:hint="eastAsia" w:ascii="宋体" w:hAnsi="宋体"/>
          <w:color w:val="auto"/>
          <w:szCs w:val="21"/>
        </w:rPr>
        <w:t>联合体各方中至少有一方应当符合本章第3.1</w:t>
      </w:r>
      <w:r>
        <w:rPr>
          <w:rFonts w:hint="eastAsia" w:ascii="宋体" w:hAnsi="宋体" w:cs="宋体"/>
          <w:color w:val="auto"/>
          <w:kern w:val="0"/>
          <w:szCs w:val="21"/>
          <w:lang w:val="zh-CN"/>
        </w:rPr>
        <w:t>款</w:t>
      </w:r>
      <w:r>
        <w:rPr>
          <w:rFonts w:hint="eastAsia" w:ascii="宋体" w:hAnsi="宋体"/>
          <w:color w:val="auto"/>
          <w:szCs w:val="21"/>
        </w:rPr>
        <w:t>规定的供应商特定资格条件；</w:t>
      </w:r>
    </w:p>
    <w:p w14:paraId="7B1FE03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olor w:val="auto"/>
          <w:szCs w:val="21"/>
        </w:rPr>
        <w:t>（4）</w:t>
      </w:r>
      <w:r>
        <w:rPr>
          <w:rFonts w:hint="eastAsia" w:ascii="宋体" w:hAnsi="宋体" w:cs="宋体"/>
          <w:color w:val="auto"/>
          <w:kern w:val="0"/>
          <w:szCs w:val="21"/>
          <w:lang w:val="zh-CN"/>
        </w:rPr>
        <w:t>联合体各方不得再单独或与其他供应商组成新的联合体参加同一项目的采购活动。</w:t>
      </w:r>
    </w:p>
    <w:p w14:paraId="12CDD52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b/>
          <w:color w:val="auto"/>
          <w:szCs w:val="21"/>
        </w:rPr>
        <w:t>7.现场勘察</w:t>
      </w:r>
    </w:p>
    <w:p w14:paraId="4938ADD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7.1供应商应按</w:t>
      </w:r>
      <w:r>
        <w:rPr>
          <w:rFonts w:hint="eastAsia" w:hAnsi="宋体"/>
          <w:b/>
          <w:color w:val="auto"/>
        </w:rPr>
        <w:t>磋商须知前附表</w:t>
      </w:r>
      <w:r>
        <w:rPr>
          <w:rFonts w:hint="eastAsia" w:hAnsi="宋体"/>
          <w:color w:val="auto"/>
        </w:rPr>
        <w:t>中规定</w:t>
      </w:r>
      <w:r>
        <w:rPr>
          <w:rFonts w:hint="eastAsia" w:ascii="宋体" w:hAnsi="宋体"/>
          <w:color w:val="auto"/>
          <w:szCs w:val="21"/>
        </w:rPr>
        <w:t>对采购项目现场和周围环境的现场考察。</w:t>
      </w:r>
    </w:p>
    <w:p w14:paraId="38660F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7.2勘察现场的费用由供应商自己承担，勘察期间所发生的人身伤害及财产损失由供应商自己负责。</w:t>
      </w:r>
    </w:p>
    <w:p w14:paraId="0ED54DF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b/>
          <w:color w:val="auto"/>
          <w:szCs w:val="21"/>
        </w:rPr>
      </w:pPr>
      <w:r>
        <w:rPr>
          <w:rFonts w:hint="eastAsia" w:ascii="宋体" w:hAnsi="宋体"/>
          <w:color w:val="auto"/>
          <w:szCs w:val="21"/>
        </w:rPr>
        <w:t>7.3采购人不对供应商据此而做出的推论、理解和结论负责。一旦成交，供应商不得以任何借口，提出额外补偿，或延长合同期限的要求。</w:t>
      </w:r>
    </w:p>
    <w:p w14:paraId="31EC3585">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8.采购进口产品</w:t>
      </w:r>
    </w:p>
    <w:p w14:paraId="0FCCDD9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olor w:val="auto"/>
          <w:szCs w:val="21"/>
        </w:rPr>
        <w:t>8.1除</w:t>
      </w:r>
      <w:r>
        <w:rPr>
          <w:rFonts w:hint="eastAsia" w:ascii="宋体" w:hAnsi="宋体"/>
          <w:b/>
          <w:color w:val="auto"/>
          <w:szCs w:val="21"/>
        </w:rPr>
        <w:t>磋商文件前附表</w:t>
      </w:r>
      <w:r>
        <w:rPr>
          <w:rFonts w:hint="eastAsia" w:ascii="宋体" w:hAnsi="宋体"/>
          <w:color w:val="auto"/>
          <w:szCs w:val="21"/>
        </w:rPr>
        <w:t>另有规定外，本项目</w:t>
      </w:r>
      <w:r>
        <w:rPr>
          <w:rFonts w:hint="eastAsia" w:ascii="宋体" w:hAnsi="宋体" w:cs="宋体"/>
          <w:color w:val="auto"/>
          <w:kern w:val="0"/>
          <w:szCs w:val="21"/>
        </w:rPr>
        <w:t>拒绝进口产品参加</w:t>
      </w:r>
      <w:r>
        <w:rPr>
          <w:rFonts w:hint="eastAsia" w:ascii="宋体" w:hAnsi="宋体"/>
          <w:color w:val="auto"/>
          <w:szCs w:val="21"/>
        </w:rPr>
        <w:t>竞争性磋商采购活动</w:t>
      </w:r>
      <w:r>
        <w:rPr>
          <w:rFonts w:hint="eastAsia" w:ascii="宋体" w:hAnsi="宋体" w:cs="宋体"/>
          <w:color w:val="auto"/>
          <w:kern w:val="0"/>
          <w:szCs w:val="21"/>
        </w:rPr>
        <w:t>。</w:t>
      </w:r>
    </w:p>
    <w:p w14:paraId="6AE5235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8.2</w:t>
      </w:r>
      <w:r>
        <w:rPr>
          <w:rFonts w:hint="eastAsia" w:ascii="宋体" w:hAnsi="宋体"/>
          <w:color w:val="auto"/>
          <w:szCs w:val="21"/>
        </w:rPr>
        <w:t>本章第7.1</w:t>
      </w:r>
      <w:r>
        <w:rPr>
          <w:rFonts w:hint="eastAsia" w:ascii="宋体" w:hAnsi="宋体" w:cs="宋体"/>
          <w:color w:val="auto"/>
          <w:kern w:val="0"/>
          <w:szCs w:val="21"/>
          <w:lang w:val="zh-CN"/>
        </w:rPr>
        <w:t>款</w:t>
      </w:r>
      <w:r>
        <w:rPr>
          <w:rFonts w:hint="eastAsia" w:ascii="宋体" w:hAnsi="宋体"/>
          <w:color w:val="auto"/>
          <w:szCs w:val="21"/>
        </w:rPr>
        <w:t>规定</w:t>
      </w:r>
      <w:r>
        <w:rPr>
          <w:rFonts w:ascii="宋体" w:hAnsi="宋体" w:cs="宋体"/>
          <w:color w:val="auto"/>
          <w:kern w:val="0"/>
          <w:szCs w:val="21"/>
        </w:rPr>
        <w:t>同意购买进口产品的</w:t>
      </w:r>
      <w:r>
        <w:rPr>
          <w:rFonts w:hint="eastAsia" w:ascii="宋体" w:hAnsi="宋体" w:cs="宋体"/>
          <w:color w:val="auto"/>
          <w:kern w:val="0"/>
          <w:szCs w:val="21"/>
        </w:rPr>
        <w:t>，</w:t>
      </w:r>
      <w:r>
        <w:rPr>
          <w:rFonts w:hint="eastAsia" w:ascii="宋体" w:hAnsi="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w:t>
      </w:r>
      <w:r>
        <w:rPr>
          <w:rFonts w:ascii="宋体" w:hAnsi="宋体" w:cs="宋体"/>
          <w:color w:val="auto"/>
          <w:kern w:val="0"/>
          <w:szCs w:val="21"/>
        </w:rPr>
        <w:t>限制满足</w:t>
      </w:r>
      <w:r>
        <w:rPr>
          <w:rFonts w:hint="eastAsia" w:ascii="宋体" w:hAnsi="宋体"/>
          <w:color w:val="auto"/>
          <w:szCs w:val="21"/>
        </w:rPr>
        <w:t>磋商文件要求</w:t>
      </w:r>
      <w:r>
        <w:rPr>
          <w:rFonts w:ascii="宋体" w:hAnsi="宋体" w:cs="宋体"/>
          <w:color w:val="auto"/>
          <w:kern w:val="0"/>
          <w:szCs w:val="21"/>
        </w:rPr>
        <w:t>的国内产品参与</w:t>
      </w:r>
      <w:r>
        <w:rPr>
          <w:rFonts w:hint="eastAsia" w:ascii="宋体" w:hAnsi="宋体"/>
          <w:color w:val="auto"/>
          <w:szCs w:val="21"/>
        </w:rPr>
        <w:t>竞争性磋商</w:t>
      </w:r>
      <w:r>
        <w:rPr>
          <w:rFonts w:ascii="宋体" w:hAnsi="宋体" w:cs="宋体"/>
          <w:color w:val="auto"/>
          <w:kern w:val="0"/>
          <w:szCs w:val="21"/>
        </w:rPr>
        <w:t>。</w:t>
      </w:r>
    </w:p>
    <w:p w14:paraId="28E08E5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bCs/>
          <w:color w:val="auto"/>
          <w:szCs w:val="21"/>
        </w:rPr>
        <w:t>9.</w:t>
      </w:r>
      <w:r>
        <w:rPr>
          <w:rFonts w:hint="eastAsia" w:ascii="宋体" w:hAnsi="宋体"/>
          <w:b/>
          <w:color w:val="auto"/>
          <w:szCs w:val="21"/>
        </w:rPr>
        <w:t xml:space="preserve"> 政府采购政策支持</w:t>
      </w:r>
    </w:p>
    <w:p w14:paraId="54759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rPr>
        <w:t>磋商文件前附表。</w:t>
      </w:r>
    </w:p>
    <w:p w14:paraId="6CA6A214">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rPr>
      </w:pPr>
      <w:r>
        <w:rPr>
          <w:rFonts w:hint="eastAsia" w:hAnsi="宋体" w:cs="宋体"/>
          <w:color w:val="auto"/>
          <w:kern w:val="0"/>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hAnsi="宋体" w:cs="宋体"/>
          <w:b/>
          <w:color w:val="auto"/>
          <w:kern w:val="0"/>
        </w:rPr>
        <w:t>磋商文件前附表。</w:t>
      </w:r>
    </w:p>
    <w:p w14:paraId="03C2504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7F00B22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9.4同一项目中部分产品属于优先采购政策的，评审时只对该部分产品的报价实行价格扣除及加分。</w:t>
      </w:r>
    </w:p>
    <w:p w14:paraId="6765BE7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9.5符合本章第9.1</w:t>
      </w:r>
      <w:r>
        <w:rPr>
          <w:rFonts w:hint="eastAsia" w:ascii="宋体" w:hAnsi="宋体" w:cs="宋体"/>
          <w:color w:val="auto"/>
          <w:kern w:val="0"/>
          <w:szCs w:val="21"/>
          <w:lang w:val="zh-CN"/>
        </w:rPr>
        <w:t>款、</w:t>
      </w:r>
      <w:r>
        <w:rPr>
          <w:rFonts w:hint="eastAsia" w:ascii="宋体" w:hAnsi="宋体"/>
          <w:color w:val="auto"/>
          <w:szCs w:val="21"/>
        </w:rPr>
        <w:t>第9.2</w:t>
      </w:r>
      <w:r>
        <w:rPr>
          <w:rFonts w:hint="eastAsia" w:ascii="宋体" w:hAnsi="宋体" w:cs="宋体"/>
          <w:color w:val="auto"/>
          <w:kern w:val="0"/>
          <w:szCs w:val="21"/>
          <w:lang w:val="zh-CN"/>
        </w:rPr>
        <w:t>款</w:t>
      </w:r>
      <w:r>
        <w:rPr>
          <w:rFonts w:hint="eastAsia" w:ascii="宋体" w:hAnsi="宋体"/>
          <w:color w:val="auto"/>
          <w:szCs w:val="21"/>
        </w:rPr>
        <w:t>规定的，应提供相关证明资料。</w:t>
      </w:r>
    </w:p>
    <w:p w14:paraId="31EA4B9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9.6供应商有融资、担保需求的，具体办理流程可向</w:t>
      </w:r>
      <w:r>
        <w:rPr>
          <w:rFonts w:hint="eastAsia" w:ascii="宋体" w:hAnsi="宋体"/>
          <w:b/>
          <w:color w:val="auto"/>
          <w:szCs w:val="21"/>
        </w:rPr>
        <w:t>磋商须知前附表</w:t>
      </w:r>
      <w:r>
        <w:rPr>
          <w:rFonts w:hint="eastAsia" w:ascii="宋体" w:hAnsi="宋体"/>
          <w:color w:val="auto"/>
          <w:szCs w:val="21"/>
        </w:rPr>
        <w:t>所列金融机构和担保机构询问。</w:t>
      </w:r>
    </w:p>
    <w:p w14:paraId="4CAF8F46">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黑体" w:hAnsi="宋体" w:eastAsia="黑体"/>
          <w:color w:val="auto"/>
          <w:sz w:val="24"/>
        </w:rPr>
      </w:pPr>
      <w:r>
        <w:rPr>
          <w:rFonts w:hint="eastAsia" w:ascii="黑体" w:hAnsi="宋体" w:eastAsia="黑体"/>
          <w:color w:val="auto"/>
          <w:sz w:val="24"/>
        </w:rPr>
        <w:t>二、磋商文件</w:t>
      </w:r>
    </w:p>
    <w:p w14:paraId="123EE0F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10．磋商文件的组成</w:t>
      </w:r>
    </w:p>
    <w:p w14:paraId="7868067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10.1 磋商文件由下列文件组成：</w:t>
      </w:r>
    </w:p>
    <w:p w14:paraId="2699509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第一章 磋商邀请</w:t>
      </w:r>
    </w:p>
    <w:p w14:paraId="4625257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第二章 磋商须知</w:t>
      </w:r>
    </w:p>
    <w:p w14:paraId="544573C5">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第三章 政府采购合同格式条款</w:t>
      </w:r>
    </w:p>
    <w:p w14:paraId="3C3D251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第四章 采购需求</w:t>
      </w:r>
    </w:p>
    <w:p w14:paraId="27AA129B">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第五章 响应文件组成</w:t>
      </w:r>
    </w:p>
    <w:p w14:paraId="4C43585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宋体"/>
          <w:color w:val="auto"/>
          <w:kern w:val="0"/>
        </w:rPr>
      </w:pPr>
      <w:r>
        <w:rPr>
          <w:rFonts w:hint="eastAsia"/>
          <w:color w:val="auto"/>
        </w:rPr>
        <w:t>10.2</w:t>
      </w:r>
      <w:r>
        <w:rPr>
          <w:rFonts w:hint="eastAsia" w:hAnsi="宋体" w:cs="宋体"/>
          <w:color w:val="auto"/>
          <w:kern w:val="0"/>
        </w:rPr>
        <w:t>磋商小组根据与供应商磋商情况可能实质性变动的内容，包括采购需求中的技术、服务要求以及合同条款，</w:t>
      </w:r>
      <w:r>
        <w:rPr>
          <w:rFonts w:hint="eastAsia"/>
          <w:color w:val="auto"/>
        </w:rPr>
        <w:t>在</w:t>
      </w:r>
      <w:r>
        <w:rPr>
          <w:rFonts w:hint="eastAsia"/>
          <w:b/>
          <w:color w:val="auto"/>
        </w:rPr>
        <w:t>磋商须知前附表</w:t>
      </w:r>
      <w:r>
        <w:rPr>
          <w:rFonts w:hint="eastAsia"/>
          <w:color w:val="auto"/>
        </w:rPr>
        <w:t>中明确。</w:t>
      </w:r>
    </w:p>
    <w:p w14:paraId="353679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10.3</w:t>
      </w:r>
      <w:r>
        <w:rPr>
          <w:rFonts w:hint="eastAsia" w:ascii="宋体" w:hAnsi="宋体"/>
          <w:color w:val="auto"/>
          <w:szCs w:val="21"/>
        </w:rPr>
        <w:t>供应商应仔细阅读</w:t>
      </w:r>
      <w:r>
        <w:rPr>
          <w:rFonts w:hint="eastAsia" w:ascii="宋体" w:hAnsi="宋体"/>
          <w:bCs/>
          <w:color w:val="auto"/>
          <w:szCs w:val="21"/>
        </w:rPr>
        <w:t>磋商</w:t>
      </w:r>
      <w:r>
        <w:rPr>
          <w:rFonts w:hint="eastAsia" w:ascii="宋体" w:hAnsi="宋体"/>
          <w:color w:val="auto"/>
          <w:szCs w:val="21"/>
        </w:rPr>
        <w:t>文件的全部内容，按照</w:t>
      </w:r>
      <w:r>
        <w:rPr>
          <w:rFonts w:hint="eastAsia" w:ascii="宋体" w:hAnsi="宋体"/>
          <w:bCs/>
          <w:color w:val="auto"/>
          <w:szCs w:val="21"/>
        </w:rPr>
        <w:t>磋商</w:t>
      </w:r>
      <w:r>
        <w:rPr>
          <w:rFonts w:hint="eastAsia" w:ascii="宋体" w:hAnsi="宋体"/>
          <w:color w:val="auto"/>
          <w:szCs w:val="21"/>
        </w:rPr>
        <w:t>文件要求编制</w:t>
      </w:r>
      <w:r>
        <w:rPr>
          <w:rFonts w:hint="eastAsia"/>
          <w:color w:val="auto"/>
          <w:szCs w:val="21"/>
        </w:rPr>
        <w:t>响应</w:t>
      </w:r>
      <w:r>
        <w:rPr>
          <w:rFonts w:hint="eastAsia" w:ascii="宋体" w:hAnsi="宋体"/>
          <w:color w:val="auto"/>
          <w:szCs w:val="21"/>
        </w:rPr>
        <w:t>文件。任何对</w:t>
      </w:r>
      <w:r>
        <w:rPr>
          <w:rFonts w:hint="eastAsia" w:ascii="宋体" w:hAnsi="宋体"/>
          <w:bCs/>
          <w:color w:val="auto"/>
          <w:szCs w:val="21"/>
        </w:rPr>
        <w:t>磋商</w:t>
      </w:r>
      <w:r>
        <w:rPr>
          <w:rFonts w:hint="eastAsia" w:ascii="宋体" w:hAnsi="宋体"/>
          <w:color w:val="auto"/>
          <w:szCs w:val="21"/>
        </w:rPr>
        <w:t>文件的忽略或误解不能作为</w:t>
      </w:r>
      <w:r>
        <w:rPr>
          <w:rFonts w:hint="eastAsia"/>
          <w:color w:val="auto"/>
          <w:szCs w:val="21"/>
        </w:rPr>
        <w:t>响应</w:t>
      </w:r>
      <w:r>
        <w:rPr>
          <w:rFonts w:hint="eastAsia" w:ascii="宋体" w:hAnsi="宋体"/>
          <w:color w:val="auto"/>
          <w:szCs w:val="21"/>
        </w:rPr>
        <w:t>文件存在缺陷或瑕疵的理由，其风险由供应商承担。</w:t>
      </w:r>
    </w:p>
    <w:p w14:paraId="3AA1E18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b/>
          <w:color w:val="auto"/>
          <w:szCs w:val="21"/>
        </w:rPr>
        <w:t>11.</w:t>
      </w:r>
      <w:r>
        <w:rPr>
          <w:rFonts w:hint="eastAsia"/>
          <w:b/>
          <w:color w:val="auto"/>
        </w:rPr>
        <w:t xml:space="preserve"> </w:t>
      </w:r>
      <w:r>
        <w:rPr>
          <w:rFonts w:hint="eastAsia" w:ascii="宋体" w:hAnsi="宋体"/>
          <w:b/>
          <w:color w:val="auto"/>
          <w:szCs w:val="21"/>
        </w:rPr>
        <w:t>磋商文件的提供期限</w:t>
      </w:r>
    </w:p>
    <w:p w14:paraId="446E0C6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11.1磋商文件的提供期限自开始发出之日起不得少于五个工作日。具体提供期限见</w:t>
      </w:r>
      <w:r>
        <w:rPr>
          <w:rFonts w:hint="eastAsia" w:ascii="宋体" w:hAnsi="宋体"/>
          <w:b/>
          <w:color w:val="auto"/>
          <w:szCs w:val="21"/>
        </w:rPr>
        <w:t>磋商文件前附表</w:t>
      </w:r>
      <w:r>
        <w:rPr>
          <w:rFonts w:hint="eastAsia" w:ascii="宋体" w:hAnsi="宋体"/>
          <w:color w:val="auto"/>
          <w:szCs w:val="21"/>
        </w:rPr>
        <w:t>。</w:t>
      </w:r>
    </w:p>
    <w:p w14:paraId="0EAE4EF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11.2供应商应持</w:t>
      </w:r>
      <w:r>
        <w:rPr>
          <w:rFonts w:hint="eastAsia" w:ascii="宋体" w:hAnsi="宋体"/>
          <w:b/>
          <w:color w:val="auto"/>
          <w:szCs w:val="21"/>
        </w:rPr>
        <w:t>磋商文件前附表</w:t>
      </w:r>
      <w:r>
        <w:rPr>
          <w:rFonts w:hint="eastAsia" w:ascii="宋体" w:hAnsi="宋体"/>
          <w:color w:val="auto"/>
          <w:szCs w:val="21"/>
        </w:rPr>
        <w:t>规定的资料领取或购买磋商文件。</w:t>
      </w:r>
    </w:p>
    <w:p w14:paraId="1B87E7DE">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color w:val="auto"/>
        </w:rPr>
      </w:pPr>
      <w:r>
        <w:rPr>
          <w:rFonts w:hint="eastAsia" w:hAnsi="宋体"/>
          <w:b/>
          <w:color w:val="auto"/>
        </w:rPr>
        <w:t>12.</w:t>
      </w:r>
      <w:r>
        <w:rPr>
          <w:rFonts w:hint="eastAsia" w:hAnsi="宋体" w:cs="宋体"/>
          <w:b/>
          <w:color w:val="auto"/>
          <w:kern w:val="0"/>
        </w:rPr>
        <w:t>提交首次响应文件</w:t>
      </w:r>
      <w:r>
        <w:rPr>
          <w:rFonts w:hint="eastAsia" w:hAnsi="宋体"/>
          <w:b/>
          <w:color w:val="auto"/>
        </w:rPr>
        <w:t>的</w:t>
      </w:r>
      <w:r>
        <w:rPr>
          <w:rFonts w:hint="eastAsia" w:hAnsi="宋体" w:cs="宋体"/>
          <w:b/>
          <w:color w:val="auto"/>
          <w:kern w:val="0"/>
        </w:rPr>
        <w:t>截止</w:t>
      </w:r>
      <w:r>
        <w:rPr>
          <w:rFonts w:hint="eastAsia" w:hAnsi="宋体"/>
          <w:b/>
          <w:color w:val="auto"/>
        </w:rPr>
        <w:t>时间</w:t>
      </w:r>
    </w:p>
    <w:p w14:paraId="4030D56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12.1</w:t>
      </w:r>
      <w:r>
        <w:rPr>
          <w:rFonts w:hint="eastAsia" w:hAnsi="宋体" w:cs="宋体"/>
          <w:color w:val="auto"/>
          <w:kern w:val="0"/>
        </w:rPr>
        <w:t>供应商提交首次响应文件截止</w:t>
      </w:r>
      <w:r>
        <w:rPr>
          <w:rFonts w:hint="eastAsia" w:hAnsi="宋体"/>
          <w:color w:val="auto"/>
        </w:rPr>
        <w:t>时间见</w:t>
      </w:r>
      <w:r>
        <w:rPr>
          <w:rFonts w:hint="eastAsia" w:hAnsi="宋体"/>
          <w:b/>
          <w:color w:val="auto"/>
        </w:rPr>
        <w:t>磋商须知前附表</w:t>
      </w:r>
      <w:r>
        <w:rPr>
          <w:rFonts w:hint="eastAsia" w:hAnsi="宋体"/>
          <w:color w:val="auto"/>
        </w:rPr>
        <w:t>。</w:t>
      </w:r>
    </w:p>
    <w:p w14:paraId="7E36BA5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13.磋商文件的澄清</w:t>
      </w:r>
      <w:r>
        <w:rPr>
          <w:rFonts w:hint="eastAsia" w:ascii="宋体" w:hAnsi="宋体"/>
          <w:b/>
          <w:color w:val="auto"/>
          <w:kern w:val="0"/>
          <w:szCs w:val="21"/>
          <w:lang w:val="zh-CN"/>
        </w:rPr>
        <w:t>或者</w:t>
      </w:r>
      <w:r>
        <w:rPr>
          <w:rFonts w:hint="eastAsia" w:ascii="宋体" w:hAnsi="宋体"/>
          <w:b/>
          <w:bCs/>
          <w:color w:val="auto"/>
          <w:szCs w:val="21"/>
        </w:rPr>
        <w:t>修改</w:t>
      </w:r>
    </w:p>
    <w:p w14:paraId="2CAAF01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13.1在</w:t>
      </w:r>
      <w:r>
        <w:rPr>
          <w:rFonts w:hint="eastAsia" w:ascii="宋体" w:hAnsi="宋体" w:cs="宋体"/>
          <w:color w:val="auto"/>
          <w:kern w:val="0"/>
          <w:szCs w:val="21"/>
        </w:rPr>
        <w:t xml:space="preserve">提交首次响应文件截止之日前，采购人、采购代理机构可以对已发出的磋商文件进行必要的澄清或者修改。 </w:t>
      </w:r>
    </w:p>
    <w:p w14:paraId="7AA1071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13.2</w:t>
      </w:r>
      <w:r>
        <w:rPr>
          <w:rFonts w:hint="eastAsia" w:ascii="宋体" w:hAnsi="宋体" w:cs="宋体"/>
          <w:color w:val="auto"/>
          <w:kern w:val="0"/>
          <w:szCs w:val="21"/>
        </w:rPr>
        <w:t>澄清或者修改的内容可能影响响应文件编制的，采购人、采购代理机构应当在提交首次响应文件截止</w:t>
      </w:r>
      <w:r>
        <w:rPr>
          <w:rFonts w:hint="eastAsia" w:ascii="宋体" w:hAnsi="宋体" w:cs="宋体"/>
          <w:color w:val="auto"/>
          <w:kern w:val="0"/>
          <w:szCs w:val="21"/>
          <w:lang w:eastAsia="zh-CN"/>
        </w:rPr>
        <w:t>至少</w:t>
      </w:r>
      <w:r>
        <w:rPr>
          <w:rFonts w:hint="eastAsia" w:ascii="宋体" w:hAnsi="宋体" w:cs="宋体"/>
          <w:color w:val="auto"/>
          <w:kern w:val="0"/>
          <w:szCs w:val="21"/>
          <w:lang w:val="en-US" w:eastAsia="zh-CN"/>
        </w:rPr>
        <w:t>5日前</w:t>
      </w:r>
      <w:r>
        <w:rPr>
          <w:rFonts w:hint="eastAsia" w:ascii="宋体" w:hAnsi="宋体" w:cs="宋体"/>
          <w:color w:val="auto"/>
          <w:kern w:val="0"/>
          <w:szCs w:val="21"/>
        </w:rPr>
        <w:t>，以书面形式通知所有接收磋商文件的供应商，不足</w:t>
      </w:r>
      <w:r>
        <w:rPr>
          <w:rFonts w:hint="eastAsia" w:ascii="宋体" w:hAnsi="宋体" w:cs="宋体"/>
          <w:color w:val="auto"/>
          <w:kern w:val="0"/>
          <w:szCs w:val="21"/>
          <w:lang w:val="en-US" w:eastAsia="zh-CN"/>
        </w:rPr>
        <w:t>5</w:t>
      </w:r>
      <w:r>
        <w:rPr>
          <w:rFonts w:hint="eastAsia" w:ascii="宋体" w:hAnsi="宋体" w:cs="宋体"/>
          <w:color w:val="auto"/>
          <w:kern w:val="0"/>
          <w:szCs w:val="21"/>
        </w:rPr>
        <w:t>日的，顺延供应商提交首次响应文件截止时间。</w:t>
      </w:r>
    </w:p>
    <w:p w14:paraId="4E16870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rPr>
      </w:pPr>
      <w:r>
        <w:rPr>
          <w:rFonts w:hint="eastAsia"/>
          <w:color w:val="auto"/>
        </w:rPr>
        <w:t>13.2</w:t>
      </w:r>
      <w:r>
        <w:rPr>
          <w:rFonts w:hint="eastAsia" w:hAnsi="宋体" w:cs="宋体"/>
          <w:color w:val="auto"/>
          <w:kern w:val="0"/>
        </w:rPr>
        <w:t>提交首次响应文件截止时间前对磋商文件澄清或者修改内容，为磋商文件的组成部分。</w:t>
      </w:r>
    </w:p>
    <w:p w14:paraId="307423FD">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黑体" w:hAnsi="宋体" w:eastAsia="黑体"/>
          <w:color w:val="auto"/>
          <w:sz w:val="24"/>
        </w:rPr>
      </w:pPr>
      <w:r>
        <w:rPr>
          <w:rFonts w:hint="eastAsia" w:ascii="黑体" w:hAnsi="宋体" w:eastAsia="黑体"/>
          <w:color w:val="auto"/>
          <w:sz w:val="24"/>
        </w:rPr>
        <w:t>三、响应文件</w:t>
      </w:r>
    </w:p>
    <w:p w14:paraId="1893A6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14.一般要求</w:t>
      </w:r>
    </w:p>
    <w:p w14:paraId="0436991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Cs/>
          <w:color w:val="auto"/>
          <w:szCs w:val="21"/>
        </w:rPr>
      </w:pPr>
      <w:r>
        <w:rPr>
          <w:rFonts w:hint="eastAsia" w:ascii="宋体" w:hAnsi="宋体"/>
          <w:bCs/>
          <w:color w:val="auto"/>
          <w:szCs w:val="21"/>
        </w:rPr>
        <w:t>14.1 供应商应仔细阅读磋商文件的所有内容，按磋商文件的要求编制响应文件，并保证所提供的全部资料的真实性，以使其响应文件对磋商文件做出实质性的响应。</w:t>
      </w:r>
    </w:p>
    <w:p w14:paraId="58F3BC5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Cs/>
          <w:color w:val="auto"/>
          <w:szCs w:val="21"/>
        </w:rPr>
      </w:pPr>
      <w:r>
        <w:rPr>
          <w:rFonts w:hint="eastAsia" w:ascii="宋体" w:hAnsi="宋体"/>
          <w:bCs/>
          <w:color w:val="auto"/>
          <w:szCs w:val="21"/>
        </w:rPr>
        <w:t xml:space="preserve">14.2 </w:t>
      </w:r>
      <w:r>
        <w:rPr>
          <w:rFonts w:hint="eastAsia" w:ascii="宋体" w:hAnsi="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1BB2D9EA">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bCs/>
          <w:color w:val="auto"/>
        </w:rPr>
        <w:t xml:space="preserve">14.3 </w:t>
      </w:r>
      <w:r>
        <w:rPr>
          <w:rFonts w:hint="eastAsia" w:hAnsi="宋体"/>
          <w:color w:val="auto"/>
        </w:rPr>
        <w:t>计量单位应使用我国法定计量单位，未列明时应默认为我国法定计量单位。</w:t>
      </w:r>
    </w:p>
    <w:p w14:paraId="0C155EFA">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14.4 响应文件应采用书面形式，电报、传真、电子邮件形式的响应文件概不接受。</w:t>
      </w:r>
    </w:p>
    <w:p w14:paraId="4D273E1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14.5 供应商应按磋商文件中提供的响应文件格式填写。</w:t>
      </w:r>
    </w:p>
    <w:p w14:paraId="07F5957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15.</w:t>
      </w:r>
      <w:r>
        <w:rPr>
          <w:rFonts w:hint="eastAsia" w:ascii="宋体" w:hAnsi="宋体"/>
          <w:b/>
          <w:color w:val="auto"/>
          <w:szCs w:val="21"/>
        </w:rPr>
        <w:t>响应文件</w:t>
      </w:r>
      <w:r>
        <w:rPr>
          <w:rFonts w:hint="eastAsia" w:ascii="宋体" w:hAnsi="宋体"/>
          <w:b/>
          <w:bCs/>
          <w:color w:val="auto"/>
          <w:szCs w:val="21"/>
        </w:rPr>
        <w:t>的组成</w:t>
      </w:r>
    </w:p>
    <w:p w14:paraId="5214EDA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outlineLvl w:val="0"/>
        <w:rPr>
          <w:rFonts w:hint="eastAsia" w:ascii="宋体" w:hAnsi="宋体"/>
          <w:color w:val="auto"/>
          <w:szCs w:val="21"/>
        </w:rPr>
      </w:pPr>
      <w:r>
        <w:rPr>
          <w:rFonts w:hint="eastAsia" w:ascii="宋体" w:hAnsi="宋体"/>
          <w:color w:val="auto"/>
        </w:rPr>
        <w:t>15.1</w:t>
      </w:r>
      <w:r>
        <w:rPr>
          <w:rFonts w:hint="eastAsia" w:hAnsi="宋体"/>
          <w:color w:val="auto"/>
        </w:rPr>
        <w:t xml:space="preserve"> 响应文件包括下列内容：</w:t>
      </w:r>
      <w:r>
        <w:rPr>
          <w:rFonts w:hint="eastAsia" w:ascii="宋体" w:hAnsi="宋体"/>
          <w:color w:val="auto"/>
          <w:szCs w:val="21"/>
        </w:rPr>
        <w:t xml:space="preserve"> </w:t>
      </w:r>
    </w:p>
    <w:p w14:paraId="2436F2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一、磋商响应声明</w:t>
      </w:r>
    </w:p>
    <w:p w14:paraId="2BB256B0">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二、保证金</w:t>
      </w:r>
    </w:p>
    <w:p w14:paraId="6C99FD09">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三、供应商的资格证明材料</w:t>
      </w:r>
    </w:p>
    <w:p w14:paraId="2D84D923">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四、施工组织方案</w:t>
      </w:r>
    </w:p>
    <w:p w14:paraId="6E894005">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五、技术/商务响应与偏离表</w:t>
      </w:r>
    </w:p>
    <w:p w14:paraId="583E580A">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六、提供政府采购政策产品等证明材料</w:t>
      </w:r>
    </w:p>
    <w:p w14:paraId="57FD19E6">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七、报价一览表及报价文件</w:t>
      </w:r>
    </w:p>
    <w:p w14:paraId="0A5281E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八、供应商认为需提供的其它资料</w:t>
      </w:r>
    </w:p>
    <w:p w14:paraId="547366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九、最后报价</w:t>
      </w:r>
    </w:p>
    <w:p w14:paraId="0CD421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ascii="宋体" w:hAnsi="宋体"/>
          <w:color w:val="auto"/>
        </w:rPr>
        <w:t>15.2在磋商过程中，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磋商小组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14:paraId="094142E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b/>
          <w:color w:val="auto"/>
        </w:rPr>
      </w:pPr>
      <w:r>
        <w:rPr>
          <w:rFonts w:hint="eastAsia" w:ascii="宋体" w:hAnsi="宋体"/>
          <w:color w:val="auto"/>
        </w:rPr>
        <w:t>15.3</w:t>
      </w:r>
      <w:r>
        <w:rPr>
          <w:rFonts w:hint="eastAsia" w:ascii="宋体" w:hAnsi="宋体" w:cs="宋体"/>
          <w:color w:val="auto"/>
          <w:kern w:val="0"/>
          <w:szCs w:val="21"/>
        </w:rPr>
        <w:t>磋商文件规定可能发生实质性变动的，供应商应当在</w:t>
      </w:r>
      <w:r>
        <w:rPr>
          <w:rFonts w:hint="eastAsia" w:hAnsi="宋体"/>
          <w:color w:val="auto"/>
        </w:rPr>
        <w:t>《技术/商务响应与偏离表》中对应内容注明。</w:t>
      </w:r>
    </w:p>
    <w:p w14:paraId="3D6FFE4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15.4</w:t>
      </w:r>
      <w:r>
        <w:rPr>
          <w:rFonts w:hint="eastAsia" w:ascii="宋体" w:hAnsi="宋体"/>
          <w:color w:val="auto"/>
          <w:szCs w:val="21"/>
        </w:rPr>
        <w:t>根据《政府采购法》第四十二条的规定，供应商无论成交与否，其响应文件不予退还。</w:t>
      </w:r>
    </w:p>
    <w:p w14:paraId="2878C2B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16.报价</w:t>
      </w:r>
    </w:p>
    <w:p w14:paraId="4719290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16.1供应商应当根据磋商文件要求和范围，以</w:t>
      </w:r>
      <w:r>
        <w:rPr>
          <w:rFonts w:hint="eastAsia" w:ascii="宋体" w:hAnsi="宋体"/>
          <w:bCs/>
          <w:color w:val="auto"/>
          <w:szCs w:val="21"/>
        </w:rPr>
        <w:t>人民币</w:t>
      </w:r>
      <w:r>
        <w:rPr>
          <w:rFonts w:hint="eastAsia" w:ascii="宋体" w:hAnsi="宋体"/>
          <w:color w:val="auto"/>
          <w:szCs w:val="21"/>
        </w:rPr>
        <w:t>报价，以元为单位，保留小数点后两位。</w:t>
      </w:r>
    </w:p>
    <w:p w14:paraId="2775E335">
      <w:pPr>
        <w:pStyle w:val="101"/>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rPr>
      </w:pPr>
      <w:r>
        <w:rPr>
          <w:rFonts w:hint="eastAsia" w:ascii="宋体" w:hAnsi="宋体"/>
          <w:color w:val="auto"/>
        </w:rPr>
        <w:t>16.2供应商应按第五章 响应文件组成格式填写。</w:t>
      </w:r>
    </w:p>
    <w:p w14:paraId="75B16AE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16.3响应文件中标明的价格在合同执行过程中是固定不变的，不得以任何理由予以变更。以可变动价格提交的报价将被认为是非实质响应而被拒绝。</w:t>
      </w:r>
    </w:p>
    <w:p w14:paraId="4C0412AB">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16.4</w:t>
      </w:r>
      <w:r>
        <w:rPr>
          <w:rFonts w:hint="eastAsia" w:hAnsi="宋体" w:cs="宋体"/>
          <w:color w:val="auto"/>
          <w:kern w:val="0"/>
          <w:lang w:val="zh-CN"/>
        </w:rPr>
        <w:t>供应商</w:t>
      </w:r>
      <w:r>
        <w:rPr>
          <w:rFonts w:hint="eastAsia" w:hAnsi="宋体"/>
          <w:color w:val="auto"/>
        </w:rPr>
        <w:t>的报价不得超过采购项目预算，采购项目预算或其计算方法见</w:t>
      </w:r>
      <w:r>
        <w:rPr>
          <w:rFonts w:hint="eastAsia" w:hAnsi="宋体"/>
          <w:b/>
          <w:color w:val="auto"/>
        </w:rPr>
        <w:t>磋商须知前附表</w:t>
      </w:r>
      <w:r>
        <w:rPr>
          <w:rFonts w:hint="eastAsia" w:hAnsi="宋体"/>
          <w:color w:val="auto"/>
        </w:rPr>
        <w:t>。</w:t>
      </w:r>
    </w:p>
    <w:p w14:paraId="2DFBE1CB">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b/>
          <w:color w:val="auto"/>
        </w:rPr>
      </w:pPr>
      <w:r>
        <w:rPr>
          <w:rFonts w:hint="eastAsia"/>
          <w:b/>
          <w:color w:val="auto"/>
        </w:rPr>
        <w:t>17.供应商符合磋商文件规定的证明文件</w:t>
      </w:r>
    </w:p>
    <w:p w14:paraId="609131A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rPr>
      </w:pPr>
      <w:r>
        <w:rPr>
          <w:rFonts w:hint="eastAsia" w:ascii="宋体" w:hAnsi="宋体"/>
          <w:color w:val="auto"/>
        </w:rPr>
        <w:t>17.1供应商应提交满足本章第3.1款规定的资格条件要求的证明文件,该证明文件作为响应文件的一部分。</w:t>
      </w:r>
    </w:p>
    <w:p w14:paraId="0A66CAD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rPr>
      </w:pPr>
      <w:r>
        <w:rPr>
          <w:rFonts w:hint="eastAsia" w:ascii="宋体" w:hAnsi="宋体"/>
          <w:color w:val="auto"/>
        </w:rPr>
        <w:t>17.2如果供应商为联合体，则应提交联合体各方资格证明文件、联合体协议。否则，在评审时将其视为无效响应。</w:t>
      </w:r>
    </w:p>
    <w:p w14:paraId="5067671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17.3 除</w:t>
      </w:r>
      <w:r>
        <w:rPr>
          <w:rFonts w:hint="eastAsia" w:ascii="宋体" w:hAnsi="宋体"/>
          <w:b/>
          <w:color w:val="auto"/>
          <w:szCs w:val="21"/>
        </w:rPr>
        <w:t>磋商须知前附表</w:t>
      </w:r>
      <w:r>
        <w:rPr>
          <w:rFonts w:hint="eastAsia" w:ascii="宋体" w:hAnsi="宋体"/>
          <w:color w:val="auto"/>
          <w:szCs w:val="21"/>
        </w:rPr>
        <w:t>另有规定外，供应商提供的货物及服务不是供应商制造或拥有的，则必须提供经销、或代理采购货物、或采购货物提供售后服务的证明文件。</w:t>
      </w:r>
    </w:p>
    <w:p w14:paraId="4E605BFF">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18．样品提供</w:t>
      </w:r>
    </w:p>
    <w:p w14:paraId="4AFAF3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 xml:space="preserve">18.1 </w:t>
      </w:r>
      <w:r>
        <w:rPr>
          <w:rFonts w:hint="eastAsia" w:ascii="宋体" w:hAnsi="宋体"/>
          <w:b/>
          <w:color w:val="auto"/>
        </w:rPr>
        <w:t>磋商须知前附表</w:t>
      </w:r>
      <w:r>
        <w:rPr>
          <w:rFonts w:hint="eastAsia" w:ascii="宋体" w:hAnsi="宋体"/>
          <w:color w:val="auto"/>
          <w:szCs w:val="21"/>
        </w:rPr>
        <w:t>规定</w:t>
      </w:r>
      <w:r>
        <w:rPr>
          <w:rFonts w:hint="eastAsia" w:ascii="宋体" w:hAnsi="宋体"/>
          <w:bCs/>
          <w:color w:val="auto"/>
        </w:rPr>
        <w:t>供应商</w:t>
      </w:r>
      <w:r>
        <w:rPr>
          <w:rFonts w:hint="eastAsia" w:ascii="宋体" w:hAnsi="宋体"/>
          <w:color w:val="auto"/>
          <w:szCs w:val="21"/>
        </w:rPr>
        <w:t>在</w:t>
      </w:r>
      <w:r>
        <w:rPr>
          <w:rFonts w:hint="eastAsia" w:ascii="宋体" w:hAnsi="宋体"/>
          <w:color w:val="auto"/>
        </w:rPr>
        <w:t>磋商</w:t>
      </w:r>
      <w:r>
        <w:rPr>
          <w:rFonts w:hint="eastAsia" w:ascii="宋体" w:hAnsi="宋体"/>
          <w:color w:val="auto"/>
          <w:szCs w:val="21"/>
        </w:rPr>
        <w:t>时提供样品的，</w:t>
      </w:r>
      <w:r>
        <w:rPr>
          <w:rFonts w:hint="eastAsia" w:ascii="宋体" w:hAnsi="宋体"/>
          <w:bCs/>
          <w:color w:val="auto"/>
        </w:rPr>
        <w:t>供应商</w:t>
      </w:r>
      <w:r>
        <w:rPr>
          <w:rFonts w:ascii="宋体" w:hAnsi="宋体"/>
          <w:color w:val="auto"/>
          <w:szCs w:val="21"/>
        </w:rPr>
        <w:t>有以下情形之一的</w:t>
      </w:r>
      <w:r>
        <w:rPr>
          <w:rFonts w:hint="eastAsia" w:ascii="宋体" w:hAnsi="宋体"/>
          <w:color w:val="auto"/>
          <w:szCs w:val="21"/>
        </w:rPr>
        <w:t>，在评审时将其视为无效响应。</w:t>
      </w:r>
    </w:p>
    <w:p w14:paraId="2289F25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（1）未在</w:t>
      </w:r>
      <w:r>
        <w:rPr>
          <w:rFonts w:hint="eastAsia" w:ascii="宋体" w:hAnsi="宋体"/>
          <w:b/>
          <w:color w:val="auto"/>
        </w:rPr>
        <w:t>磋商须知前附表</w:t>
      </w:r>
      <w:r>
        <w:rPr>
          <w:rFonts w:hint="eastAsia" w:ascii="宋体" w:hAnsi="宋体"/>
          <w:color w:val="auto"/>
          <w:szCs w:val="21"/>
        </w:rPr>
        <w:t>规定的提交时间、地点提交</w:t>
      </w:r>
      <w:r>
        <w:rPr>
          <w:rFonts w:ascii="宋体" w:hAnsi="宋体"/>
          <w:color w:val="auto"/>
          <w:szCs w:val="21"/>
        </w:rPr>
        <w:t>的</w:t>
      </w:r>
      <w:r>
        <w:rPr>
          <w:rFonts w:hint="eastAsia" w:ascii="宋体" w:hAnsi="宋体"/>
          <w:color w:val="auto"/>
          <w:szCs w:val="21"/>
        </w:rPr>
        <w:t>；</w:t>
      </w:r>
    </w:p>
    <w:p w14:paraId="34036CB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w:t>
      </w:r>
      <w:r>
        <w:rPr>
          <w:rFonts w:hint="eastAsia" w:ascii="宋体" w:hAnsi="宋体"/>
          <w:bCs/>
          <w:color w:val="auto"/>
        </w:rPr>
        <w:t>供应商</w:t>
      </w:r>
      <w:r>
        <w:rPr>
          <w:rFonts w:hint="eastAsia" w:ascii="宋体" w:hAnsi="宋体"/>
          <w:color w:val="auto"/>
          <w:szCs w:val="21"/>
        </w:rPr>
        <w:t>提供的样品与响应文件中提供样品的型号、规格不一致</w:t>
      </w:r>
      <w:r>
        <w:rPr>
          <w:rFonts w:ascii="宋体" w:hAnsi="宋体"/>
          <w:color w:val="auto"/>
          <w:szCs w:val="21"/>
        </w:rPr>
        <w:t>的</w:t>
      </w:r>
      <w:r>
        <w:rPr>
          <w:rFonts w:hint="eastAsia" w:ascii="宋体" w:hAnsi="宋体"/>
          <w:color w:val="auto"/>
          <w:szCs w:val="21"/>
        </w:rPr>
        <w:t>。</w:t>
      </w:r>
    </w:p>
    <w:p w14:paraId="15B662DA">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19.</w:t>
      </w:r>
      <w:r>
        <w:rPr>
          <w:rFonts w:hint="eastAsia"/>
          <w:color w:val="auto"/>
        </w:rPr>
        <w:t xml:space="preserve"> </w:t>
      </w:r>
      <w:r>
        <w:rPr>
          <w:rFonts w:hint="eastAsia" w:ascii="宋体" w:hAnsi="宋体"/>
          <w:b/>
          <w:bCs/>
          <w:color w:val="auto"/>
          <w:szCs w:val="21"/>
        </w:rPr>
        <w:t>磋商保证金</w:t>
      </w:r>
    </w:p>
    <w:p w14:paraId="4C94318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bCs/>
          <w:color w:val="auto"/>
        </w:rPr>
      </w:pPr>
      <w:r>
        <w:rPr>
          <w:rFonts w:hint="eastAsia" w:hAnsi="宋体"/>
          <w:color w:val="auto"/>
        </w:rPr>
        <w:t>19.1</w:t>
      </w:r>
      <w:r>
        <w:rPr>
          <w:rFonts w:hint="eastAsia" w:hAnsi="宋体"/>
          <w:b/>
          <w:color w:val="auto"/>
        </w:rPr>
        <w:t>磋商须知前附表</w:t>
      </w:r>
      <w:r>
        <w:rPr>
          <w:rFonts w:hint="eastAsia" w:hAnsi="宋体"/>
          <w:color w:val="auto"/>
        </w:rPr>
        <w:t>规定交纳磋商</w:t>
      </w:r>
      <w:r>
        <w:rPr>
          <w:rFonts w:hint="eastAsia" w:hAnsi="宋体"/>
          <w:bCs/>
          <w:color w:val="auto"/>
        </w:rPr>
        <w:t>保证金的</w:t>
      </w:r>
      <w:r>
        <w:rPr>
          <w:rFonts w:hint="eastAsia" w:hAnsi="宋体"/>
          <w:color w:val="auto"/>
        </w:rPr>
        <w:t>，应按</w:t>
      </w:r>
      <w:r>
        <w:rPr>
          <w:rFonts w:hint="eastAsia" w:hAnsi="宋体"/>
          <w:b/>
          <w:color w:val="auto"/>
        </w:rPr>
        <w:t>磋商须知前附表</w:t>
      </w:r>
      <w:r>
        <w:rPr>
          <w:rFonts w:hint="eastAsia" w:hAnsi="宋体"/>
          <w:color w:val="auto"/>
        </w:rPr>
        <w:t>规定的磋商</w:t>
      </w:r>
      <w:r>
        <w:rPr>
          <w:rFonts w:hint="eastAsia" w:hAnsi="宋体"/>
          <w:bCs/>
          <w:color w:val="auto"/>
        </w:rPr>
        <w:t>保证金形式交纳，不得以现金方式交纳</w:t>
      </w:r>
      <w:r>
        <w:rPr>
          <w:rFonts w:hint="eastAsia" w:hAnsi="宋体"/>
          <w:color w:val="auto"/>
        </w:rPr>
        <w:t>，在</w:t>
      </w:r>
      <w:r>
        <w:rPr>
          <w:rFonts w:hint="eastAsia" w:hAnsi="宋体" w:cs="宋体"/>
          <w:color w:val="auto"/>
          <w:kern w:val="0"/>
        </w:rPr>
        <w:t>提交首次响应文件截止时间</w:t>
      </w:r>
      <w:r>
        <w:rPr>
          <w:rFonts w:hint="eastAsia" w:hAnsi="宋体"/>
          <w:color w:val="auto"/>
        </w:rPr>
        <w:t>前，</w:t>
      </w:r>
      <w:r>
        <w:rPr>
          <w:rFonts w:hint="eastAsia" w:hAnsi="宋体"/>
          <w:bCs/>
          <w:color w:val="auto"/>
        </w:rPr>
        <w:t>向采购代理机构交纳不超过</w:t>
      </w:r>
      <w:r>
        <w:rPr>
          <w:rFonts w:hint="eastAsia" w:hAnsi="宋体" w:cs="宋体"/>
          <w:color w:val="auto"/>
          <w:kern w:val="0"/>
          <w:lang w:val="zh-CN"/>
        </w:rPr>
        <w:t>采购项目预算2﹪</w:t>
      </w:r>
      <w:r>
        <w:rPr>
          <w:rFonts w:hint="eastAsia" w:hAnsi="宋体"/>
          <w:bCs/>
          <w:color w:val="auto"/>
        </w:rPr>
        <w:t>的磋商保证金(数额采用四舍五入，计算至元)</w:t>
      </w:r>
      <w:r>
        <w:rPr>
          <w:rFonts w:hint="eastAsia" w:hAnsi="宋体"/>
          <w:color w:val="auto"/>
        </w:rPr>
        <w:t>。磋商</w:t>
      </w:r>
      <w:r>
        <w:rPr>
          <w:rFonts w:hint="eastAsia" w:hAnsi="宋体"/>
          <w:bCs/>
          <w:color w:val="auto"/>
        </w:rPr>
        <w:t>保证金有效期应当与</w:t>
      </w:r>
      <w:r>
        <w:rPr>
          <w:rFonts w:hint="eastAsia" w:hAnsi="宋体"/>
          <w:color w:val="auto"/>
        </w:rPr>
        <w:t>本章第20.1</w:t>
      </w:r>
      <w:r>
        <w:rPr>
          <w:rFonts w:hint="eastAsia" w:hAnsi="宋体" w:cs="宋体"/>
          <w:color w:val="auto"/>
          <w:kern w:val="0"/>
          <w:lang w:val="zh-CN"/>
        </w:rPr>
        <w:t>款</w:t>
      </w:r>
      <w:r>
        <w:rPr>
          <w:rFonts w:hint="eastAsia" w:hAnsi="宋体"/>
          <w:color w:val="auto"/>
        </w:rPr>
        <w:t>规定的</w:t>
      </w:r>
      <w:r>
        <w:rPr>
          <w:rFonts w:hint="eastAsia" w:hAnsi="宋体"/>
          <w:bCs/>
          <w:color w:val="auto"/>
        </w:rPr>
        <w:t>响应文件有效期一致。</w:t>
      </w:r>
    </w:p>
    <w:p w14:paraId="072B2C5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19.2</w:t>
      </w:r>
      <w:r>
        <w:rPr>
          <w:rFonts w:hint="eastAsia" w:ascii="宋体" w:hAnsi="宋体" w:cs="宋体"/>
          <w:color w:val="auto"/>
          <w:kern w:val="0"/>
          <w:szCs w:val="21"/>
          <w:lang w:val="zh-CN"/>
        </w:rPr>
        <w:t>供应商为联合体的，可以由联合体中的一方或者共同交纳磋商保证金，其交纳的磋商保证金，对联合体各方均具有约束力。</w:t>
      </w:r>
    </w:p>
    <w:p w14:paraId="64DE86F7">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19.3供应商未按照磋商文件要求提交磋商保证金的，响应无效。</w:t>
      </w:r>
    </w:p>
    <w:p w14:paraId="64AC1893">
      <w:pPr>
        <w:pStyle w:val="24"/>
        <w:keepNext w:val="0"/>
        <w:keepLines w:val="0"/>
        <w:pageBreakBefore w:val="0"/>
        <w:tabs>
          <w:tab w:val="left" w:pos="6300"/>
        </w:tabs>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14:paraId="284A6F67">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kern w:val="0"/>
        </w:rPr>
      </w:pPr>
      <w:r>
        <w:rPr>
          <w:rFonts w:hint="eastAsia"/>
          <w:color w:val="auto"/>
        </w:rPr>
        <w:t xml:space="preserve">19.5 </w:t>
      </w:r>
      <w:r>
        <w:rPr>
          <w:rFonts w:hint="eastAsia"/>
          <w:color w:val="auto"/>
          <w:kern w:val="0"/>
        </w:rPr>
        <w:t>有下列情形之一的，磋商保证金不予退还，并上缴本级财政国库：</w:t>
      </w:r>
    </w:p>
    <w:p w14:paraId="686473C6">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（1）供应商在提交首次响应文件截止时间后撤回响应文件的；</w:t>
      </w:r>
    </w:p>
    <w:p w14:paraId="7DFD85B0">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color w:val="auto"/>
          <w:kern w:val="0"/>
        </w:rPr>
      </w:pPr>
      <w:r>
        <w:rPr>
          <w:rFonts w:hint="eastAsia"/>
          <w:color w:val="auto"/>
          <w:kern w:val="0"/>
        </w:rPr>
        <w:t>（2）供应商在响应文件中提供虚假资料的；</w:t>
      </w:r>
    </w:p>
    <w:p w14:paraId="2CC76247">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color w:val="auto"/>
          <w:kern w:val="0"/>
        </w:rPr>
        <w:t>（3）</w:t>
      </w:r>
      <w:r>
        <w:rPr>
          <w:rFonts w:hint="eastAsia"/>
          <w:color w:val="auto"/>
        </w:rPr>
        <w:t>确定成交结果后，无正当理由放弃成交资格的；</w:t>
      </w:r>
    </w:p>
    <w:p w14:paraId="79BFFF6D">
      <w:pPr>
        <w:keepNext w:val="0"/>
        <w:keepLines w:val="0"/>
        <w:pageBreakBefore w:val="0"/>
        <w:widowControl/>
        <w:kinsoku/>
        <w:wordWrap/>
        <w:overflowPunct/>
        <w:topLinePunct w:val="0"/>
        <w:autoSpaceDE/>
        <w:bidi w:val="0"/>
        <w:adjustRightInd w:val="0"/>
        <w:snapToGrid w:val="0"/>
        <w:spacing w:line="400" w:lineRule="exact"/>
        <w:ind w:left="0" w:right="0" w:rightChars="0" w:firstLine="525" w:firstLineChars="250"/>
        <w:jc w:val="left"/>
        <w:textAlignment w:val="auto"/>
        <w:rPr>
          <w:rFonts w:hint="eastAsia" w:ascii="宋体" w:hAnsi="宋体" w:cs="宋体"/>
          <w:color w:val="auto"/>
          <w:kern w:val="0"/>
          <w:szCs w:val="21"/>
        </w:rPr>
      </w:pPr>
      <w:r>
        <w:rPr>
          <w:rFonts w:hint="eastAsia" w:ascii="宋体" w:hAnsi="宋体" w:cs="宋体"/>
          <w:color w:val="auto"/>
          <w:kern w:val="0"/>
          <w:szCs w:val="21"/>
        </w:rPr>
        <w:t>(4) 除因不可抗力或磋商文件认可的情形以外，成交供应商不与采购人签订合同的；</w:t>
      </w:r>
    </w:p>
    <w:p w14:paraId="36DD3442">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（5）供应商与采购人、其他供应商或者采购代理机构恶意串通的；</w:t>
      </w:r>
    </w:p>
    <w:p w14:paraId="136C47A1">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（6）磋商文件规定的其他情形。</w:t>
      </w:r>
    </w:p>
    <w:p w14:paraId="6ADC9B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20.</w:t>
      </w:r>
      <w:r>
        <w:rPr>
          <w:rFonts w:hint="eastAsia" w:ascii="宋体" w:hAnsi="宋体"/>
          <w:color w:val="auto"/>
          <w:szCs w:val="21"/>
        </w:rPr>
        <w:t xml:space="preserve"> </w:t>
      </w:r>
      <w:r>
        <w:rPr>
          <w:rFonts w:hint="eastAsia" w:hAnsi="宋体"/>
          <w:b/>
          <w:color w:val="auto"/>
        </w:rPr>
        <w:t>响应文件</w:t>
      </w:r>
      <w:r>
        <w:rPr>
          <w:rFonts w:hint="eastAsia" w:ascii="宋体" w:hAnsi="宋体"/>
          <w:b/>
          <w:color w:val="auto"/>
          <w:szCs w:val="21"/>
        </w:rPr>
        <w:t>有效期</w:t>
      </w:r>
    </w:p>
    <w:p w14:paraId="3BEB383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hAnsi="宋体"/>
          <w:color w:val="auto"/>
        </w:rPr>
      </w:pPr>
      <w:r>
        <w:rPr>
          <w:rFonts w:hint="eastAsia" w:ascii="宋体" w:hAnsi="宋体"/>
          <w:color w:val="auto"/>
        </w:rPr>
        <w:t>20.1响应文件</w:t>
      </w:r>
      <w:r>
        <w:rPr>
          <w:rFonts w:hint="eastAsia" w:ascii="宋体" w:hAnsi="宋体"/>
          <w:color w:val="auto"/>
          <w:szCs w:val="21"/>
        </w:rPr>
        <w:t>有效期见</w:t>
      </w:r>
      <w:r>
        <w:rPr>
          <w:rFonts w:hint="eastAsia" w:ascii="宋体" w:hAnsi="宋体"/>
          <w:b/>
          <w:color w:val="auto"/>
        </w:rPr>
        <w:t>磋商须知前附表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响应文件有效期不足的将被视为无效响应。</w:t>
      </w:r>
    </w:p>
    <w:p w14:paraId="7F7A511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21.响应文件的签署及规定</w:t>
      </w:r>
    </w:p>
    <w:p w14:paraId="1480F9F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21.1响应文件的正本和副本应装订成册（胶装），正本一份，副本份数见</w:t>
      </w:r>
      <w:r>
        <w:rPr>
          <w:rFonts w:hint="eastAsia" w:hAnsi="宋体"/>
          <w:b/>
          <w:color w:val="auto"/>
        </w:rPr>
        <w:t>磋商须知前附表</w:t>
      </w:r>
      <w:r>
        <w:rPr>
          <w:rFonts w:hint="eastAsia" w:hAnsi="宋体"/>
          <w:color w:val="auto"/>
        </w:rPr>
        <w:t>。正本和副本的封面上应标记“正本”或“副本”的字样，当正本和副本有差异时，以正本为准。</w:t>
      </w:r>
    </w:p>
    <w:p w14:paraId="7D2CBDF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14:paraId="0DDED4D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21.3 在磋商过程中，供应商按磋商文件规定和磋商小组要求</w:t>
      </w:r>
      <w:r>
        <w:rPr>
          <w:rFonts w:hint="eastAsia" w:hAnsi="宋体" w:cs="宋体"/>
          <w:color w:val="auto"/>
          <w:kern w:val="0"/>
        </w:rPr>
        <w:t>提交的</w:t>
      </w:r>
      <w:r>
        <w:rPr>
          <w:rFonts w:hint="eastAsia" w:hAnsi="宋体"/>
          <w:color w:val="auto"/>
        </w:rPr>
        <w:t>最后报价(或者</w:t>
      </w:r>
      <w:r>
        <w:rPr>
          <w:rFonts w:hint="eastAsia" w:hAnsi="宋体"/>
          <w:bCs/>
          <w:color w:val="auto"/>
        </w:rPr>
        <w:t>重</w:t>
      </w:r>
      <w:r>
        <w:rPr>
          <w:rFonts w:hint="eastAsia" w:hAnsi="宋体" w:cs="宋体"/>
          <w:color w:val="auto"/>
          <w:kern w:val="0"/>
        </w:rPr>
        <w:t>新提交的响应文件和</w:t>
      </w:r>
      <w:r>
        <w:rPr>
          <w:rFonts w:hint="eastAsia" w:hAnsi="宋体"/>
          <w:color w:val="auto"/>
        </w:rPr>
        <w:t>最后报价)，可打印或用不退色墨水书写，但需经法定代表人或其委托代理人签字，</w:t>
      </w:r>
      <w:r>
        <w:rPr>
          <w:rFonts w:hint="eastAsia" w:hAnsi="宋体" w:cs="宋体"/>
          <w:color w:val="auto"/>
          <w:kern w:val="0"/>
        </w:rPr>
        <w:t>或者加盖供应商单位章</w:t>
      </w:r>
      <w:r>
        <w:rPr>
          <w:rFonts w:hint="eastAsia" w:hAnsi="宋体"/>
          <w:color w:val="auto"/>
        </w:rPr>
        <w:t>。否则，将导致响应文件无效。</w:t>
      </w:r>
    </w:p>
    <w:p w14:paraId="2B3EDE3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四、响应文件的递交</w:t>
      </w:r>
    </w:p>
    <w:p w14:paraId="158E8B0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22.</w:t>
      </w:r>
      <w:r>
        <w:rPr>
          <w:rFonts w:hint="eastAsia" w:ascii="宋体" w:hAnsi="宋体"/>
          <w:b/>
          <w:color w:val="auto"/>
          <w:szCs w:val="21"/>
        </w:rPr>
        <w:t>响应文件</w:t>
      </w:r>
      <w:r>
        <w:rPr>
          <w:rFonts w:hint="eastAsia" w:ascii="宋体" w:hAnsi="宋体"/>
          <w:b/>
          <w:bCs/>
          <w:color w:val="auto"/>
          <w:szCs w:val="21"/>
        </w:rPr>
        <w:t>的密封和标记</w:t>
      </w:r>
    </w:p>
    <w:p w14:paraId="36039F7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22.1响应文件应密封包装，加贴封条，并在封套的封口处盖供应商单位章或者由法定代表人或其委托代理人签字。</w:t>
      </w:r>
    </w:p>
    <w:p w14:paraId="1822A7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22.2响应文件封套上应写明的内容见</w:t>
      </w:r>
      <w:r>
        <w:rPr>
          <w:rFonts w:hint="eastAsia" w:ascii="宋体" w:hAnsi="宋体"/>
          <w:b/>
          <w:color w:val="auto"/>
          <w:szCs w:val="21"/>
        </w:rPr>
        <w:t>磋商须知前附表。</w:t>
      </w:r>
    </w:p>
    <w:p w14:paraId="78299755">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22.3响应文件如果未按上述规定密封和加写标记，采购人或采购代理机构将拒绝接收。</w:t>
      </w:r>
    </w:p>
    <w:p w14:paraId="5A41B522">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23.响应文件的</w:t>
      </w:r>
      <w:r>
        <w:rPr>
          <w:rFonts w:hint="eastAsia" w:ascii="宋体" w:hAnsi="宋体" w:cs="宋体"/>
          <w:b/>
          <w:color w:val="auto"/>
          <w:kern w:val="0"/>
          <w:szCs w:val="21"/>
          <w:lang w:val="zh-CN"/>
        </w:rPr>
        <w:t>补充、修改或者撤回</w:t>
      </w:r>
    </w:p>
    <w:p w14:paraId="458903E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23.1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该通知应有供应商法定代表人或其委托代理人签字。</w:t>
      </w:r>
    </w:p>
    <w:p w14:paraId="3673B20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23.2</w:t>
      </w:r>
      <w:r>
        <w:rPr>
          <w:rFonts w:hint="eastAsia" w:hAnsi="宋体" w:cs="宋体"/>
          <w:color w:val="auto"/>
          <w:kern w:val="0"/>
          <w:lang w:val="zh-CN"/>
        </w:rPr>
        <w:t>补充、修改的内容与响应文件不一致时，以补充、修改的内容为准。</w:t>
      </w:r>
    </w:p>
    <w:p w14:paraId="259AD0A8">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24.响应文件的递交与接收</w:t>
      </w:r>
    </w:p>
    <w:p w14:paraId="038F980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24.1 供应商应在</w:t>
      </w:r>
      <w:r>
        <w:rPr>
          <w:rFonts w:hint="eastAsia" w:ascii="宋体" w:hAnsi="宋体" w:cs="宋体"/>
          <w:color w:val="auto"/>
          <w:kern w:val="0"/>
          <w:szCs w:val="21"/>
        </w:rPr>
        <w:t>提交首次响应文件截止时间</w:t>
      </w:r>
      <w:r>
        <w:rPr>
          <w:rFonts w:hint="eastAsia" w:ascii="宋体" w:hAnsi="宋体"/>
          <w:color w:val="auto"/>
          <w:szCs w:val="21"/>
        </w:rPr>
        <w:t>前，将响应文件送</w:t>
      </w:r>
      <w:r>
        <w:rPr>
          <w:rFonts w:hint="eastAsia" w:ascii="宋体" w:hAnsi="宋体" w:cs="Arial"/>
          <w:color w:val="auto"/>
          <w:szCs w:val="21"/>
        </w:rPr>
        <w:t>达</w:t>
      </w:r>
      <w:r>
        <w:rPr>
          <w:rFonts w:hint="eastAsia" w:ascii="宋体" w:hAnsi="宋体"/>
          <w:b/>
          <w:color w:val="auto"/>
          <w:szCs w:val="21"/>
        </w:rPr>
        <w:t>磋商须知前附表</w:t>
      </w:r>
      <w:r>
        <w:rPr>
          <w:rFonts w:hint="eastAsia" w:ascii="宋体" w:hAnsi="宋体"/>
          <w:color w:val="auto"/>
          <w:szCs w:val="21"/>
        </w:rPr>
        <w:t>中指定的地点。</w:t>
      </w:r>
      <w:r>
        <w:rPr>
          <w:rFonts w:hint="eastAsia" w:hAnsi="宋体" w:cs="宋体"/>
          <w:color w:val="auto"/>
          <w:kern w:val="0"/>
        </w:rPr>
        <w:t>在截止时间后送达的响应文件，采购人、采购代理机构或者磋商小组应当拒收。</w:t>
      </w:r>
    </w:p>
    <w:p w14:paraId="2C74B9D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24.2</w:t>
      </w:r>
      <w:r>
        <w:rPr>
          <w:rFonts w:hint="eastAsia" w:hAnsi="宋体" w:cs="宋体"/>
          <w:color w:val="auto"/>
          <w:kern w:val="0"/>
        </w:rPr>
        <w:t>在提交首次响应文件截止时间后，</w:t>
      </w:r>
      <w:r>
        <w:rPr>
          <w:rFonts w:hint="eastAsia" w:hAnsi="宋体"/>
          <w:color w:val="auto"/>
        </w:rPr>
        <w:t>由</w:t>
      </w:r>
      <w:r>
        <w:rPr>
          <w:rFonts w:hint="eastAsia" w:hAnsi="宋体"/>
          <w:bCs/>
          <w:color w:val="auto"/>
        </w:rPr>
        <w:t>供应商代表</w:t>
      </w:r>
      <w:r>
        <w:rPr>
          <w:rFonts w:hint="eastAsia" w:hAnsi="宋体"/>
          <w:color w:val="auto"/>
        </w:rPr>
        <w:t>当场查验</w:t>
      </w:r>
      <w:r>
        <w:rPr>
          <w:rFonts w:hint="eastAsia" w:hAnsi="宋体"/>
          <w:bCs/>
          <w:color w:val="auto"/>
        </w:rPr>
        <w:t>响应文件</w:t>
      </w:r>
      <w:r>
        <w:rPr>
          <w:rFonts w:hint="eastAsia" w:hAnsi="宋体"/>
          <w:color w:val="auto"/>
        </w:rPr>
        <w:t>的密封状况，采购人或</w:t>
      </w:r>
      <w:r>
        <w:rPr>
          <w:rFonts w:hint="eastAsia" w:hAnsi="宋体"/>
          <w:bCs/>
          <w:color w:val="auto"/>
        </w:rPr>
        <w:t>采购代理机构</w:t>
      </w:r>
      <w:r>
        <w:rPr>
          <w:rFonts w:hint="eastAsia" w:hAnsi="宋体"/>
          <w:color w:val="auto"/>
        </w:rPr>
        <w:t>不当场拆封</w:t>
      </w:r>
      <w:r>
        <w:rPr>
          <w:rFonts w:hint="eastAsia" w:hAnsi="宋体"/>
          <w:bCs/>
          <w:color w:val="auto"/>
        </w:rPr>
        <w:t>响应文件</w:t>
      </w:r>
      <w:r>
        <w:rPr>
          <w:rFonts w:hint="eastAsia" w:hAnsi="宋体"/>
          <w:color w:val="auto"/>
        </w:rPr>
        <w:t>。</w:t>
      </w:r>
    </w:p>
    <w:p w14:paraId="4002EAE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五、响应文件的磋商与评审</w:t>
      </w:r>
    </w:p>
    <w:p w14:paraId="38B88ED9">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25.磋商程序</w:t>
      </w:r>
    </w:p>
    <w:p w14:paraId="3E53EED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25.1磋商程序：响应文件审查、磋商（包括澄清）、响应文件评审、</w:t>
      </w:r>
      <w:r>
        <w:rPr>
          <w:rFonts w:hint="eastAsia" w:ascii="宋体" w:hAnsi="宋体"/>
          <w:bCs/>
          <w:color w:val="auto"/>
          <w:szCs w:val="21"/>
        </w:rPr>
        <w:t>提出成交供应商。其中，</w:t>
      </w:r>
      <w:r>
        <w:rPr>
          <w:rFonts w:hint="eastAsia" w:ascii="宋体" w:hAnsi="宋体" w:cs="宋体"/>
          <w:color w:val="auto"/>
          <w:kern w:val="0"/>
          <w:szCs w:val="21"/>
        </w:rPr>
        <w:t>磋商按</w:t>
      </w:r>
      <w:r>
        <w:rPr>
          <w:rFonts w:hint="eastAsia" w:ascii="宋体" w:hAnsi="宋体"/>
          <w:color w:val="auto"/>
          <w:szCs w:val="21"/>
        </w:rPr>
        <w:t>本章</w:t>
      </w:r>
      <w:r>
        <w:rPr>
          <w:rFonts w:hint="eastAsia" w:hAnsi="宋体"/>
          <w:color w:val="auto"/>
        </w:rPr>
        <w:t>第</w:t>
      </w:r>
      <w:r>
        <w:rPr>
          <w:rFonts w:hint="eastAsia" w:ascii="宋体" w:hAnsi="宋体"/>
          <w:color w:val="auto"/>
        </w:rPr>
        <w:t>30.1</w:t>
      </w:r>
      <w:r>
        <w:rPr>
          <w:rFonts w:hint="eastAsia" w:ascii="宋体" w:hAnsi="宋体" w:cs="宋体"/>
          <w:color w:val="auto"/>
          <w:kern w:val="0"/>
          <w:szCs w:val="21"/>
          <w:lang w:val="zh-CN"/>
        </w:rPr>
        <w:t>款或者</w:t>
      </w:r>
      <w:r>
        <w:rPr>
          <w:rFonts w:hint="eastAsia" w:ascii="宋体" w:hAnsi="宋体"/>
          <w:color w:val="auto"/>
        </w:rPr>
        <w:t>第30.2</w:t>
      </w:r>
      <w:r>
        <w:rPr>
          <w:rFonts w:hint="eastAsia" w:ascii="宋体" w:hAnsi="宋体" w:cs="宋体"/>
          <w:color w:val="auto"/>
          <w:kern w:val="0"/>
          <w:szCs w:val="21"/>
          <w:lang w:val="zh-CN"/>
        </w:rPr>
        <w:t>款</w:t>
      </w:r>
      <w:r>
        <w:rPr>
          <w:rFonts w:hint="eastAsia" w:hAnsi="宋体"/>
          <w:color w:val="auto"/>
        </w:rPr>
        <w:t>情形</w:t>
      </w:r>
      <w:r>
        <w:rPr>
          <w:rFonts w:hint="eastAsia" w:ascii="宋体" w:hAnsi="宋体"/>
          <w:bCs/>
          <w:color w:val="auto"/>
          <w:szCs w:val="21"/>
        </w:rPr>
        <w:t>进行。</w:t>
      </w:r>
    </w:p>
    <w:p w14:paraId="5498E66F">
      <w:pPr>
        <w:keepNext w:val="0"/>
        <w:keepLines w:val="0"/>
        <w:pageBreakBefore w:val="0"/>
        <w:widowControl/>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cs="宋体"/>
          <w:b/>
          <w:color w:val="auto"/>
          <w:kern w:val="0"/>
          <w:szCs w:val="21"/>
        </w:rPr>
        <w:t>26.</w:t>
      </w:r>
      <w:r>
        <w:rPr>
          <w:rFonts w:hint="eastAsia"/>
          <w:color w:val="auto"/>
        </w:rPr>
        <w:t xml:space="preserve"> </w:t>
      </w:r>
      <w:r>
        <w:rPr>
          <w:rFonts w:hint="eastAsia" w:ascii="宋体" w:hAnsi="宋体" w:cs="宋体"/>
          <w:b/>
          <w:color w:val="auto"/>
          <w:kern w:val="0"/>
          <w:szCs w:val="21"/>
        </w:rPr>
        <w:t>响应文件审查</w:t>
      </w:r>
      <w:r>
        <w:rPr>
          <w:rFonts w:hint="eastAsia" w:ascii="宋体" w:hAnsi="宋体"/>
          <w:b/>
          <w:color w:val="auto"/>
          <w:szCs w:val="21"/>
        </w:rPr>
        <w:t xml:space="preserve"> </w:t>
      </w:r>
    </w:p>
    <w:p w14:paraId="74E2E50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26.1 资格性审查：根据本章第3.1项规定的供应商资格条件要求，对</w:t>
      </w:r>
      <w:r>
        <w:rPr>
          <w:rFonts w:hint="eastAsia" w:ascii="宋体" w:hAnsi="宋体"/>
          <w:color w:val="auto"/>
        </w:rPr>
        <w:t>响应</w:t>
      </w:r>
      <w:r>
        <w:rPr>
          <w:rFonts w:hint="eastAsia" w:ascii="宋体" w:hAnsi="宋体"/>
          <w:color w:val="auto"/>
          <w:szCs w:val="21"/>
        </w:rPr>
        <w:t>文件的资格证明等进行审查，以确定供应商是否具备磋商资格条件。</w:t>
      </w:r>
    </w:p>
    <w:p w14:paraId="5F889AC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26.2符合性审查: 对响应文件(包括首次提交的响应文件、重新提交的响应文件)的有效性、完整性和响应程度进行审查，以确定是否对磋商文件的实质性要求作出响应。</w:t>
      </w:r>
    </w:p>
    <w:p w14:paraId="0D6036C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26.3响应文件审查结束后，磋商小组所有成员集中与单一供应商分别进行磋商，并给予所有参加磋商的供应商平等的磋商机会。供应商应派其法定代表人或委托代理人参加磋商。</w:t>
      </w:r>
    </w:p>
    <w:p w14:paraId="7786F03C">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cs="宋体"/>
          <w:b/>
          <w:color w:val="auto"/>
          <w:kern w:val="0"/>
        </w:rPr>
      </w:pPr>
      <w:r>
        <w:rPr>
          <w:rFonts w:hint="eastAsia" w:hAnsi="宋体" w:cs="宋体"/>
          <w:b/>
          <w:color w:val="auto"/>
          <w:kern w:val="0"/>
        </w:rPr>
        <w:t>27.实质性响应</w:t>
      </w:r>
    </w:p>
    <w:p w14:paraId="4559A6D9">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Arial"/>
          <w:color w:val="auto"/>
          <w:kern w:val="0"/>
          <w:u w:val="single"/>
        </w:rPr>
      </w:pPr>
      <w:r>
        <w:rPr>
          <w:rFonts w:hint="eastAsia" w:hAnsi="宋体" w:cs="宋体"/>
          <w:color w:val="auto"/>
          <w:kern w:val="0"/>
        </w:rPr>
        <w:t>27.1</w:t>
      </w:r>
      <w:r>
        <w:rPr>
          <w:rFonts w:hint="eastAsia" w:hAnsi="宋体"/>
          <w:color w:val="auto"/>
        </w:rPr>
        <w:t>实质性响应是指响应文件(包括首次响应文件、重新提交的响应文件)与磋商文件要求的所有条款、条件和规格相符，没有偏离。偏离</w:t>
      </w:r>
      <w:r>
        <w:rPr>
          <w:rFonts w:hint="eastAsia"/>
          <w:color w:val="auto"/>
        </w:rPr>
        <w:t>指不满足、或不响应</w:t>
      </w:r>
      <w:r>
        <w:rPr>
          <w:rFonts w:hint="eastAsia" w:hAnsi="宋体"/>
          <w:color w:val="auto"/>
        </w:rPr>
        <w:t>磋商文件</w:t>
      </w:r>
      <w:r>
        <w:rPr>
          <w:rFonts w:hint="eastAsia"/>
          <w:color w:val="auto"/>
        </w:rPr>
        <w:t>的要求。</w:t>
      </w:r>
    </w:p>
    <w:p w14:paraId="70DE3474">
      <w:pPr>
        <w:keepNext w:val="0"/>
        <w:keepLines w:val="0"/>
        <w:pageBreakBefore w:val="0"/>
        <w:tabs>
          <w:tab w:val="left" w:pos="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27.2</w:t>
      </w:r>
      <w:r>
        <w:rPr>
          <w:rFonts w:hint="eastAsia" w:ascii="宋体" w:hAnsi="宋体"/>
          <w:color w:val="auto"/>
        </w:rPr>
        <w:t>响应文件是否实质性响应磋商文件要求由磋商小组依据磋商文件规定认定。</w:t>
      </w:r>
      <w:r>
        <w:rPr>
          <w:rFonts w:hint="eastAsia" w:ascii="宋体" w:hAnsi="宋体" w:cs="宋体"/>
          <w:color w:val="auto"/>
          <w:kern w:val="0"/>
          <w:szCs w:val="21"/>
        </w:rPr>
        <w:t>磋商小组</w:t>
      </w:r>
      <w:r>
        <w:rPr>
          <w:rFonts w:hint="eastAsia" w:ascii="宋体" w:hAnsi="宋体"/>
          <w:color w:val="auto"/>
          <w:szCs w:val="21"/>
        </w:rPr>
        <w:t>决定</w:t>
      </w:r>
      <w:r>
        <w:rPr>
          <w:rFonts w:hint="eastAsia" w:ascii="宋体" w:hAnsi="宋体"/>
          <w:color w:val="auto"/>
        </w:rPr>
        <w:t>响应文件</w:t>
      </w:r>
      <w:r>
        <w:rPr>
          <w:rFonts w:hint="eastAsia" w:ascii="宋体" w:hAnsi="宋体"/>
          <w:color w:val="auto"/>
          <w:szCs w:val="21"/>
        </w:rPr>
        <w:t>的响应性只根据</w:t>
      </w:r>
      <w:r>
        <w:rPr>
          <w:rFonts w:hint="eastAsia" w:ascii="宋体" w:hAnsi="宋体"/>
          <w:color w:val="auto"/>
        </w:rPr>
        <w:t>响应文件</w:t>
      </w:r>
      <w:r>
        <w:rPr>
          <w:rFonts w:hint="eastAsia" w:ascii="宋体" w:hAnsi="宋体"/>
          <w:color w:val="auto"/>
          <w:szCs w:val="21"/>
        </w:rPr>
        <w:t>本身的真实无误的内容，而不依据外部的证据。</w:t>
      </w:r>
    </w:p>
    <w:p w14:paraId="5115ED8C">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cs="宋体"/>
          <w:b/>
          <w:color w:val="auto"/>
          <w:kern w:val="0"/>
        </w:rPr>
      </w:pPr>
      <w:r>
        <w:rPr>
          <w:rFonts w:hint="eastAsia" w:cs="宋体"/>
          <w:b/>
          <w:color w:val="auto"/>
          <w:kern w:val="0"/>
        </w:rPr>
        <w:t xml:space="preserve">28.无效响应 </w:t>
      </w:r>
    </w:p>
    <w:p w14:paraId="4D4C58E2">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hAnsi="宋体" w:cs="宋体"/>
          <w:b/>
          <w:color w:val="auto"/>
          <w:kern w:val="0"/>
        </w:rPr>
      </w:pPr>
      <w:r>
        <w:rPr>
          <w:rFonts w:hint="eastAsia" w:cs="宋体"/>
          <w:color w:val="auto"/>
          <w:kern w:val="0"/>
        </w:rPr>
        <w:t>28.1</w:t>
      </w:r>
      <w:r>
        <w:rPr>
          <w:rFonts w:hint="eastAsia"/>
          <w:color w:val="auto"/>
        </w:rPr>
        <w:t>磋商小组在对资格性和符合性进行审查时，有下列情况之一的，属无效响应，</w:t>
      </w:r>
      <w:r>
        <w:rPr>
          <w:rFonts w:hint="eastAsia" w:cs="宋体"/>
          <w:color w:val="auto"/>
          <w:kern w:val="0"/>
        </w:rPr>
        <w:t>磋商小组应当告知有关供应商</w:t>
      </w:r>
      <w:r>
        <w:rPr>
          <w:rFonts w:hint="eastAsia"/>
          <w:color w:val="auto"/>
        </w:rPr>
        <w:t>：</w:t>
      </w:r>
    </w:p>
    <w:p w14:paraId="59BF8A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（1）供应商不具备本章第3.1款规定的供应商资格条件要求，或存在本章第3.3款情形的；</w:t>
      </w:r>
    </w:p>
    <w:p w14:paraId="18F6E2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（2）联合体不符合本章第3.2款规定的；</w:t>
      </w:r>
    </w:p>
    <w:p w14:paraId="764F10E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（3）应交未交磋商保证金或金额不足、磋商保证金缴纳形式不符合磋商文件要求的；</w:t>
      </w:r>
    </w:p>
    <w:p w14:paraId="1B7B3DD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（4）响应文件未按照磋商文件要求签署、盖章的；</w:t>
      </w:r>
    </w:p>
    <w:p w14:paraId="082861E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（4）响应文件不满足本章第27.1款规定的实质性要求的；</w:t>
      </w:r>
    </w:p>
    <w:p w14:paraId="1199D43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（5）报价超过采购项目预算的；</w:t>
      </w:r>
    </w:p>
    <w:p w14:paraId="15F2AE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（6）响应文件有效期不足的；</w:t>
      </w:r>
    </w:p>
    <w:p w14:paraId="3311944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（7）响应文件不符合法律、规章、规范性文件和磋商文件规定及要求的。</w:t>
      </w:r>
    </w:p>
    <w:p w14:paraId="4E4C3C8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28.2 采购人应当在采购文件中明确，政府采购评审中出现下列情形之一的，评审委员会应当启动异常低价投标（响应）审查程序： </w:t>
      </w:r>
    </w:p>
    <w:p w14:paraId="771D8C8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p>
    <w:p w14:paraId="3251808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　　（1）投标（响应）报价低于全部通过符合性审查供应商投标（响应）报价平均值65%的，即投标（响应）报价&lt;全部通过符合性审查供应商投标（响应）报价平均值×65%； </w:t>
      </w:r>
    </w:p>
    <w:p w14:paraId="7FA1B0B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　　（2）投标（响应）报价低于通过符合性审查的次低报价供应商投标（响应）报价65%的，即投标（响应）报价&lt;通过符合性审查的次低报价供应商投标（响应）报价×65%； </w:t>
      </w:r>
    </w:p>
    <w:p w14:paraId="30184DF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　　（3）投标（响应）报价低于采购项目最高限价65%的，即投标（响应）报价&lt;采购项目最高限价×65%； </w:t>
      </w:r>
    </w:p>
    <w:p w14:paraId="650BDD9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　　（4）评审委员会基于专业判断，认为供应商报价过低，有可能影响产品质量或者不能诚信履约的其他情形。 </w:t>
      </w:r>
    </w:p>
    <w:p w14:paraId="3844A77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lang w:val="en-US" w:eastAsia="zh-CN"/>
        </w:rPr>
        <w:t xml:space="preserve">　　采购人可以结合具体项目实际情况，提高上述第1项至第3项中启动异常低价投标（响应）审查的数值标准，但是最高不得超过65%。 </w:t>
      </w:r>
    </w:p>
    <w:p w14:paraId="0B208E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default" w:ascii="宋体" w:hAnsi="宋体"/>
          <w:color w:val="auto"/>
          <w:szCs w:val="21"/>
          <w:lang w:val="en-US" w:eastAsia="zh-CN"/>
        </w:rPr>
      </w:pPr>
      <w:r>
        <w:rPr>
          <w:rFonts w:hint="eastAsia" w:ascii="宋体" w:hAnsi="宋体"/>
          <w:color w:val="auto"/>
          <w:szCs w:val="21"/>
          <w:lang w:val="en-US" w:eastAsia="zh-CN"/>
        </w:rPr>
        <w:t>　　相关法律法规对供应商报价有规定的，从其规定。</w:t>
      </w:r>
    </w:p>
    <w:p w14:paraId="3E213B9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29.澄清</w:t>
      </w:r>
    </w:p>
    <w:p w14:paraId="5C90D176">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102912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29.2 最后报价计算错误修正的原则：最后报价</w:t>
      </w:r>
      <w:r>
        <w:rPr>
          <w:rFonts w:hint="eastAsia" w:ascii="宋体" w:hAnsi="宋体" w:cs="Arial"/>
          <w:color w:val="auto"/>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4911ED3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30.磋商</w:t>
      </w:r>
    </w:p>
    <w:p w14:paraId="0FA81E70">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lang w:val="zh-CN"/>
        </w:rPr>
      </w:pPr>
      <w:r>
        <w:rPr>
          <w:rFonts w:hint="eastAsia" w:ascii="宋体" w:hAnsi="宋体" w:cs="宋体"/>
          <w:color w:val="auto"/>
          <w:kern w:val="0"/>
          <w:szCs w:val="21"/>
        </w:rPr>
        <w:t>30.1</w:t>
      </w:r>
      <w:r>
        <w:rPr>
          <w:rFonts w:hint="eastAsia" w:ascii="宋体" w:hAnsi="宋体"/>
          <w:color w:val="auto"/>
        </w:rPr>
        <w:t>本章第10.2项</w:t>
      </w:r>
      <w:r>
        <w:rPr>
          <w:rFonts w:hint="eastAsia" w:ascii="宋体" w:hAnsi="宋体" w:cs="宋体"/>
          <w:color w:val="auto"/>
          <w:kern w:val="0"/>
          <w:szCs w:val="21"/>
        </w:rPr>
        <w:t>未明确磋商文件实质性变动内容的，或者磋商文件明确了可能发生实质性变动内容，但在磋商过程中，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磋商文件无需发生实质性变动的，磋商小组应当直接与响应文件审查合格的供应商就价格组织多轮磋商。</w:t>
      </w:r>
    </w:p>
    <w:p w14:paraId="12ADFBCB">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（1）磋商结束后，磋商小组应当要求所有继续参加磋商的供应商在磋商小组规定时间内提交最后报价。</w:t>
      </w:r>
    </w:p>
    <w:p w14:paraId="4E2AC45A">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（2）磋商文件明确可能发生实质性变动，但在磋商过程中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磋商文件无需发生实质性变动的，磋商小组不另行通知。</w:t>
      </w:r>
    </w:p>
    <w:p w14:paraId="62326202">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30.2</w:t>
      </w:r>
      <w:r>
        <w:rPr>
          <w:rFonts w:hint="eastAsia" w:ascii="宋体" w:hAnsi="宋体"/>
          <w:color w:val="auto"/>
        </w:rPr>
        <w:t>本章第10.2</w:t>
      </w:r>
      <w:r>
        <w:rPr>
          <w:rFonts w:hint="eastAsia" w:ascii="宋体" w:hAnsi="宋体" w:cs="宋体"/>
          <w:color w:val="auto"/>
          <w:kern w:val="0"/>
          <w:szCs w:val="21"/>
          <w:lang w:val="zh-CN"/>
        </w:rPr>
        <w:t>款</w:t>
      </w:r>
      <w:r>
        <w:rPr>
          <w:rFonts w:hint="eastAsia" w:ascii="宋体" w:hAnsi="宋体" w:cs="宋体"/>
          <w:color w:val="auto"/>
          <w:kern w:val="0"/>
          <w:szCs w:val="21"/>
        </w:rPr>
        <w:t>明确磋商文件实质性变动内容的，</w:t>
      </w:r>
      <w:r>
        <w:rPr>
          <w:rFonts w:hint="eastAsia" w:ascii="宋体" w:hAnsi="宋体"/>
          <w:bCs/>
          <w:color w:val="auto"/>
          <w:szCs w:val="21"/>
        </w:rPr>
        <w:t>磋商小组</w:t>
      </w:r>
      <w:r>
        <w:rPr>
          <w:rFonts w:hint="eastAsia" w:ascii="宋体" w:hAnsi="宋体" w:cs="宋体"/>
          <w:color w:val="auto"/>
          <w:kern w:val="0"/>
          <w:szCs w:val="21"/>
        </w:rPr>
        <w:t>可以组织多轮磋商。</w:t>
      </w:r>
      <w:r>
        <w:rPr>
          <w:rFonts w:hint="eastAsia" w:ascii="宋体" w:hAnsi="宋体"/>
          <w:bCs/>
          <w:color w:val="auto"/>
          <w:szCs w:val="21"/>
        </w:rPr>
        <w:t>在每一轮磋商中，磋商小组</w:t>
      </w:r>
      <w:r>
        <w:rPr>
          <w:rFonts w:hint="eastAsia" w:ascii="宋体" w:hAnsi="宋体" w:cs="宋体"/>
          <w:color w:val="auto"/>
          <w:kern w:val="0"/>
          <w:szCs w:val="21"/>
        </w:rPr>
        <w:t>可以</w:t>
      </w:r>
      <w:r>
        <w:rPr>
          <w:rFonts w:hint="eastAsia" w:ascii="宋体" w:hAnsi="宋体" w:cs="Arial"/>
          <w:color w:val="auto"/>
          <w:kern w:val="0"/>
          <w:szCs w:val="21"/>
        </w:rPr>
        <w:t>根据</w:t>
      </w:r>
      <w:r>
        <w:rPr>
          <w:rFonts w:hint="eastAsia" w:ascii="宋体" w:hAnsi="宋体" w:cs="宋体"/>
          <w:color w:val="auto"/>
          <w:kern w:val="0"/>
          <w:szCs w:val="21"/>
        </w:rPr>
        <w:t>磋商文件规定和磋商情况，</w:t>
      </w:r>
      <w:r>
        <w:rPr>
          <w:rFonts w:hint="eastAsia" w:ascii="宋体" w:hAnsi="宋体"/>
          <w:bCs/>
          <w:color w:val="auto"/>
          <w:szCs w:val="21"/>
        </w:rPr>
        <w:t>对磋商文件的</w:t>
      </w:r>
      <w:r>
        <w:rPr>
          <w:rFonts w:hint="eastAsia" w:ascii="宋体" w:hAnsi="宋体" w:cs="宋体"/>
          <w:color w:val="auto"/>
          <w:kern w:val="0"/>
          <w:szCs w:val="21"/>
        </w:rPr>
        <w:t>采购需求中的技术、服务要求以及合同草案条款</w:t>
      </w:r>
      <w:r>
        <w:rPr>
          <w:rFonts w:hint="eastAsia" w:ascii="宋体" w:hAnsi="宋体"/>
          <w:bCs/>
          <w:color w:val="auto"/>
          <w:szCs w:val="21"/>
        </w:rPr>
        <w:t>作实质性变动(磋商文件的实质性变动内容为磋商文件的组成部分)，并以书面形式要求</w:t>
      </w:r>
      <w:r>
        <w:rPr>
          <w:rFonts w:hint="eastAsia" w:ascii="宋体" w:hAnsi="宋体" w:cs="宋体"/>
          <w:color w:val="auto"/>
          <w:kern w:val="0"/>
          <w:szCs w:val="21"/>
        </w:rPr>
        <w:t>响应文件审查合格</w:t>
      </w:r>
      <w:r>
        <w:rPr>
          <w:rFonts w:hint="eastAsia" w:ascii="宋体" w:hAnsi="宋体"/>
          <w:bCs/>
          <w:color w:val="auto"/>
          <w:szCs w:val="21"/>
        </w:rPr>
        <w:t>的供应商，在规定的</w:t>
      </w:r>
      <w:r>
        <w:rPr>
          <w:rFonts w:hint="eastAsia" w:ascii="宋体" w:hAnsi="宋体" w:cs="宋体"/>
          <w:color w:val="auto"/>
          <w:kern w:val="0"/>
          <w:szCs w:val="21"/>
        </w:rPr>
        <w:t>截止时间前</w:t>
      </w:r>
      <w:r>
        <w:rPr>
          <w:rFonts w:hint="eastAsia" w:ascii="宋体" w:hAnsi="宋体"/>
          <w:bCs/>
          <w:color w:val="auto"/>
          <w:szCs w:val="21"/>
        </w:rPr>
        <w:t>重</w:t>
      </w:r>
      <w:r>
        <w:rPr>
          <w:rFonts w:hint="eastAsia" w:ascii="宋体" w:hAnsi="宋体" w:cs="宋体"/>
          <w:color w:val="auto"/>
          <w:kern w:val="0"/>
          <w:szCs w:val="21"/>
        </w:rPr>
        <w:t>新提交响应文件</w:t>
      </w:r>
      <w:r>
        <w:rPr>
          <w:rFonts w:hint="eastAsia" w:ascii="宋体" w:hAnsi="宋体"/>
          <w:bCs/>
          <w:color w:val="auto"/>
          <w:szCs w:val="21"/>
        </w:rPr>
        <w:t>。</w:t>
      </w:r>
      <w:r>
        <w:rPr>
          <w:rFonts w:hint="eastAsia" w:ascii="宋体" w:hAnsi="宋体" w:cs="宋体"/>
          <w:color w:val="auto"/>
          <w:kern w:val="0"/>
          <w:szCs w:val="21"/>
        </w:rPr>
        <w:t>磋商小组应当</w:t>
      </w:r>
      <w:r>
        <w:rPr>
          <w:rFonts w:hint="eastAsia" w:ascii="宋体" w:hAnsi="宋体"/>
          <w:color w:val="auto"/>
          <w:szCs w:val="21"/>
        </w:rPr>
        <w:t>根据本章第26.2</w:t>
      </w:r>
      <w:r>
        <w:rPr>
          <w:rFonts w:hint="eastAsia" w:ascii="宋体" w:hAnsi="宋体" w:cs="宋体"/>
          <w:color w:val="auto"/>
          <w:kern w:val="0"/>
          <w:szCs w:val="21"/>
          <w:lang w:val="zh-CN"/>
        </w:rPr>
        <w:t>款</w:t>
      </w:r>
      <w:r>
        <w:rPr>
          <w:rFonts w:hint="eastAsia" w:ascii="宋体" w:hAnsi="宋体"/>
          <w:color w:val="auto"/>
          <w:szCs w:val="21"/>
        </w:rPr>
        <w:t>规定</w:t>
      </w:r>
      <w:r>
        <w:rPr>
          <w:rFonts w:hint="eastAsia" w:ascii="宋体" w:hAnsi="宋体" w:cs="宋体"/>
          <w:color w:val="auto"/>
          <w:kern w:val="0"/>
          <w:szCs w:val="21"/>
        </w:rPr>
        <w:t>对供应商重新提交的响应文件进行审查。供应商重新提交的响应文件审查不合格的，不得进入下一轮磋商，也不得要求提交最后报价。</w:t>
      </w:r>
    </w:p>
    <w:p w14:paraId="4EE3A29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（1）磋商文件能够详细列明采购需求的技术、服务要求的，磋商结束后，磋商小组应当要求所有继续参加磋商的供应商在规定时间内提交最后报价。</w:t>
      </w:r>
    </w:p>
    <w:p w14:paraId="75BBC74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12FFA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bCs/>
          <w:color w:val="auto"/>
          <w:szCs w:val="21"/>
        </w:rPr>
        <w:t>30.3</w:t>
      </w:r>
      <w:r>
        <w:rPr>
          <w:rFonts w:hint="eastAsia" w:ascii="宋体" w:hAnsi="宋体"/>
          <w:color w:val="auto"/>
        </w:rPr>
        <w:t xml:space="preserve"> </w:t>
      </w:r>
      <w:r>
        <w:rPr>
          <w:rFonts w:hint="eastAsia" w:ascii="宋体" w:hAnsi="宋体"/>
          <w:bCs/>
          <w:color w:val="auto"/>
        </w:rPr>
        <w:t>重</w:t>
      </w:r>
      <w:r>
        <w:rPr>
          <w:rFonts w:hint="eastAsia" w:ascii="宋体" w:hAnsi="宋体" w:cs="宋体"/>
          <w:color w:val="auto"/>
          <w:kern w:val="0"/>
        </w:rPr>
        <w:t>新提交的响应文件</w:t>
      </w:r>
      <w:r>
        <w:rPr>
          <w:rFonts w:hint="eastAsia" w:ascii="宋体" w:hAnsi="宋体"/>
          <w:color w:val="auto"/>
        </w:rPr>
        <w:t>或者最后报价应按</w:t>
      </w:r>
      <w:r>
        <w:rPr>
          <w:rFonts w:hint="eastAsia" w:ascii="宋体" w:hAnsi="宋体" w:cs="宋体"/>
          <w:color w:val="auto"/>
          <w:kern w:val="0"/>
          <w:szCs w:val="21"/>
        </w:rPr>
        <w:t>本章第</w:t>
      </w:r>
      <w:r>
        <w:rPr>
          <w:rFonts w:hint="eastAsia" w:ascii="宋体" w:hAnsi="宋体"/>
          <w:color w:val="auto"/>
        </w:rPr>
        <w:t>21.3</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由其法定代表人或其委托代理人签字或者加盖</w:t>
      </w:r>
      <w:r>
        <w:rPr>
          <w:rFonts w:hint="eastAsia" w:ascii="宋体" w:hAnsi="宋体" w:cs="宋体"/>
          <w:color w:val="auto"/>
          <w:kern w:val="0"/>
        </w:rPr>
        <w:t>供应商单位</w:t>
      </w:r>
      <w:r>
        <w:rPr>
          <w:rFonts w:hint="eastAsia" w:ascii="宋体" w:hAnsi="宋体" w:cs="宋体"/>
          <w:color w:val="auto"/>
          <w:kern w:val="0"/>
          <w:szCs w:val="21"/>
        </w:rPr>
        <w:t>章，在规定时间内密封递交给磋商小组</w:t>
      </w:r>
      <w:r>
        <w:rPr>
          <w:rFonts w:hint="eastAsia" w:ascii="宋体" w:hAnsi="宋体"/>
          <w:bCs/>
          <w:color w:val="auto"/>
          <w:szCs w:val="21"/>
        </w:rPr>
        <w:t>。</w:t>
      </w:r>
    </w:p>
    <w:p w14:paraId="3CB8BA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30.4</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报价及</w:t>
      </w:r>
      <w:r>
        <w:rPr>
          <w:rFonts w:hint="eastAsia" w:ascii="宋体" w:hAnsi="宋体" w:cs="宋体"/>
          <w:color w:val="auto"/>
          <w:kern w:val="0"/>
          <w:szCs w:val="21"/>
        </w:rPr>
        <w:t>政府采购政策规定的价格扣除情况，磋商小组应召集所有参加最后报价的供应商当场开封</w:t>
      </w:r>
      <w:r>
        <w:rPr>
          <w:rFonts w:hint="eastAsia" w:ascii="宋体" w:hAnsi="宋体"/>
          <w:bCs/>
          <w:color w:val="auto"/>
          <w:szCs w:val="21"/>
        </w:rPr>
        <w:t>公布，并由供应商代表签字确认。</w:t>
      </w:r>
    </w:p>
    <w:p w14:paraId="2D6DE88B">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30.5提交首次响应文件的供应商，在提交最后报价之前，可以根据磋商情况退出磋商，</w:t>
      </w:r>
      <w:r>
        <w:rPr>
          <w:rFonts w:hint="eastAsia" w:ascii="宋体" w:hAnsi="宋体" w:cs="宋体"/>
          <w:color w:val="auto"/>
          <w:kern w:val="0"/>
        </w:rPr>
        <w:t>并书面通知采购代理机构或者磋商小组。</w:t>
      </w:r>
      <w:r>
        <w:rPr>
          <w:rFonts w:hint="eastAsia" w:ascii="宋体" w:hAnsi="宋体"/>
          <w:color w:val="auto"/>
        </w:rPr>
        <w:t>该通知由供应商法定代表人或其委托代理人签字。</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19.4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退还退出磋商的供应商的磋商保证金。</w:t>
      </w:r>
    </w:p>
    <w:p w14:paraId="3B28D6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bCs/>
          <w:color w:val="auto"/>
          <w:szCs w:val="21"/>
        </w:rPr>
        <w:t>30.6</w:t>
      </w:r>
      <w:r>
        <w:rPr>
          <w:rFonts w:hint="eastAsia" w:ascii="宋体" w:hAnsi="宋体" w:cs="宋体"/>
          <w:color w:val="auto"/>
          <w:kern w:val="0"/>
          <w:szCs w:val="21"/>
        </w:rPr>
        <w:t>提交首次响应文件的供应商，未按磋商文件规定及磋商小组要求提交最后报价(或者</w:t>
      </w:r>
      <w:r>
        <w:rPr>
          <w:rFonts w:hint="eastAsia" w:ascii="宋体" w:hAnsi="宋体"/>
          <w:bCs/>
          <w:color w:val="auto"/>
          <w:szCs w:val="21"/>
        </w:rPr>
        <w:t>重</w:t>
      </w:r>
      <w:r>
        <w:rPr>
          <w:rFonts w:hint="eastAsia" w:ascii="宋体" w:hAnsi="宋体" w:cs="宋体"/>
          <w:color w:val="auto"/>
          <w:kern w:val="0"/>
          <w:szCs w:val="21"/>
        </w:rPr>
        <w:t>新提交的响应文件和最后报价)，且又</w:t>
      </w:r>
      <w:r>
        <w:rPr>
          <w:rFonts w:hint="eastAsia" w:ascii="宋体" w:hAnsi="宋体" w:cs="宋体"/>
          <w:color w:val="auto"/>
          <w:kern w:val="0"/>
        </w:rPr>
        <w:t>未按</w:t>
      </w:r>
      <w:r>
        <w:rPr>
          <w:rFonts w:hint="eastAsia" w:ascii="宋体" w:hAnsi="宋体" w:cs="宋体"/>
          <w:color w:val="auto"/>
          <w:kern w:val="0"/>
          <w:szCs w:val="21"/>
        </w:rPr>
        <w:t>本章第</w:t>
      </w:r>
      <w:r>
        <w:rPr>
          <w:rFonts w:hint="eastAsia" w:ascii="宋体" w:hAnsi="宋体"/>
          <w:color w:val="auto"/>
        </w:rPr>
        <w:t>30.5</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退出磋商的，供应商的磋商保证金不予退还。</w:t>
      </w:r>
    </w:p>
    <w:p w14:paraId="7449652E">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bCs/>
          <w:color w:val="auto"/>
          <w:szCs w:val="21"/>
        </w:rPr>
      </w:pPr>
      <w:r>
        <w:rPr>
          <w:rFonts w:hint="eastAsia" w:ascii="宋体" w:hAnsi="宋体" w:cs="宋体"/>
          <w:b/>
          <w:color w:val="auto"/>
          <w:kern w:val="0"/>
          <w:szCs w:val="21"/>
        </w:rPr>
        <w:t>31.响应文件评审</w:t>
      </w:r>
    </w:p>
    <w:p w14:paraId="5F1835B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31.1经磋商确定最终采购需求和提交最后报价的供应商后，由磋商小组采用综合评分法对提交最后报价的供应商的响应文件和最后报价进行综合评价。</w:t>
      </w:r>
    </w:p>
    <w:p w14:paraId="105F67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31.2综合评分法，是指响应文件满足磋商文件全部实质性要求且按评审因素的量化指标评审得分最高的供应商为成交候选供应商的评审方法。本采购项目的评审因素和标准见磋商须知前附表。</w:t>
      </w:r>
    </w:p>
    <w:p w14:paraId="5648980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31.3最后报价调整。磋商小组以各供应商最后报价为基础，按照符合政府采购支持中小企业发展的相应条件，对供应商的最后报价进行价格扣除，用扣除后的最后报价计算价格得分，具体价格扣除比例见磋商须知前附表。</w:t>
      </w:r>
    </w:p>
    <w:p w14:paraId="323281B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31.4综合评分法中的价格分采用低价优先法计算，即满足磋商文件要求且经调整后的最后报价最低的供应商的价格为磋商基准价，其价格分为满分。其他供应商的价格分按照下列公式计算：</w:t>
      </w:r>
    </w:p>
    <w:p w14:paraId="3B25F66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磋商报价得分=（磋商基准价/最后磋商报价）×</w:t>
      </w:r>
      <w:r>
        <w:rPr>
          <w:rFonts w:hint="eastAsia" w:ascii="宋体" w:hAnsi="宋体" w:eastAsia="宋体" w:cs="宋体"/>
          <w:color w:val="auto"/>
          <w:kern w:val="0"/>
          <w:lang w:val="en-US" w:eastAsia="zh-CN"/>
        </w:rPr>
        <w:t>价格权值</w:t>
      </w:r>
    </w:p>
    <w:p w14:paraId="4BF34FBA">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项目评审过程中，不得去掉最后报价中的最高报价和最低报价。</w:t>
      </w:r>
    </w:p>
    <w:p w14:paraId="07F1B13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31.5涉及政府采购政策优惠对供应商分值进行调整的，按磋商须知前附表规定调整供应商的技术、商务、价格得分或总得分。</w:t>
      </w:r>
    </w:p>
    <w:p w14:paraId="5345D81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31.6涉及多处或部分获得政府采购政策优惠的，其多处或部分享受政府采购优惠政策的计算方法见磋商须知前附表相关规定。</w:t>
      </w:r>
    </w:p>
    <w:p w14:paraId="65CF507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31.7评审时，磋商小组各成员应当独立对每个供应商的响应文件进行评价、评分，并按照政府采购优惠政策对最后报价进行价格扣除和技术、商务、价格加分后，汇总各供应商的总得分。</w:t>
      </w:r>
    </w:p>
    <w:p w14:paraId="3A2A2DC9">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bCs/>
          <w:color w:val="auto"/>
          <w:szCs w:val="21"/>
        </w:rPr>
      </w:pPr>
      <w:r>
        <w:rPr>
          <w:rFonts w:hint="eastAsia" w:ascii="宋体" w:hAnsi="宋体"/>
          <w:b/>
          <w:bCs/>
          <w:color w:val="auto"/>
          <w:szCs w:val="21"/>
        </w:rPr>
        <w:t>32</w:t>
      </w:r>
      <w:r>
        <w:rPr>
          <w:rFonts w:hint="eastAsia" w:ascii="宋体" w:hAnsi="宋体" w:cs="宋体"/>
          <w:b/>
          <w:color w:val="auto"/>
          <w:kern w:val="0"/>
          <w:szCs w:val="21"/>
        </w:rPr>
        <w:t>.</w:t>
      </w:r>
      <w:r>
        <w:rPr>
          <w:rFonts w:hint="eastAsia" w:ascii="宋体" w:hAnsi="宋体"/>
          <w:b/>
          <w:bCs/>
          <w:color w:val="auto"/>
          <w:szCs w:val="21"/>
        </w:rPr>
        <w:t>提出成交供应商</w:t>
      </w:r>
    </w:p>
    <w:p w14:paraId="4403D50C">
      <w:pPr>
        <w:keepNext w:val="0"/>
        <w:keepLines w:val="0"/>
        <w:pageBreakBefore w:val="0"/>
        <w:widowControl/>
        <w:kinsoku/>
        <w:wordWrap/>
        <w:overflowPunct/>
        <w:topLinePunct w:val="0"/>
        <w:autoSpaceDE/>
        <w:bidi w:val="0"/>
        <w:spacing w:line="400" w:lineRule="exact"/>
        <w:ind w:left="0" w:right="0" w:rightChars="0"/>
        <w:jc w:val="left"/>
        <w:textAlignment w:val="auto"/>
        <w:rPr>
          <w:rFonts w:hint="eastAsia" w:ascii="宋体" w:hAnsi="宋体" w:eastAsia="宋体" w:cs="宋体"/>
          <w:color w:val="auto"/>
          <w:kern w:val="0"/>
        </w:rPr>
      </w:pPr>
      <w:r>
        <w:rPr>
          <w:rFonts w:hint="eastAsia" w:ascii="宋体" w:hAnsi="宋体" w:cs="宋体"/>
          <w:color w:val="auto"/>
          <w:kern w:val="0"/>
          <w:szCs w:val="21"/>
        </w:rPr>
        <w:t xml:space="preserve">    </w:t>
      </w:r>
      <w:r>
        <w:rPr>
          <w:rFonts w:hint="eastAsia" w:ascii="宋体" w:hAnsi="宋体" w:eastAsia="宋体" w:cs="宋体"/>
          <w:color w:val="auto"/>
          <w:kern w:val="0"/>
        </w:rPr>
        <w:t>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3AD46156">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33.确定成交供应商</w:t>
      </w:r>
    </w:p>
    <w:p w14:paraId="14769F43">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33.1采购代理机构应当在评审结束后2个工作日内将评审报告送采购人确认。</w:t>
      </w:r>
    </w:p>
    <w:p w14:paraId="19783E8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3A5FBB65">
      <w:pPr>
        <w:pStyle w:val="24"/>
        <w:keepNext w:val="0"/>
        <w:keepLines w:val="0"/>
        <w:pageBreakBefore w:val="0"/>
        <w:kinsoku/>
        <w:wordWrap/>
        <w:overflowPunct/>
        <w:topLinePunct w:val="0"/>
        <w:autoSpaceDE/>
        <w:bidi w:val="0"/>
        <w:adjustRightInd w:val="0"/>
        <w:snapToGrid w:val="0"/>
        <w:spacing w:line="400" w:lineRule="exact"/>
        <w:ind w:left="0" w:right="0" w:rightChars="0" w:hanging="632" w:hangingChars="300"/>
        <w:textAlignment w:val="auto"/>
        <w:rPr>
          <w:rFonts w:hint="eastAsia" w:hAnsi="宋体"/>
          <w:b/>
          <w:color w:val="auto"/>
        </w:rPr>
      </w:pPr>
      <w:r>
        <w:rPr>
          <w:rFonts w:hint="eastAsia" w:hAnsi="宋体"/>
          <w:b/>
          <w:color w:val="auto"/>
        </w:rPr>
        <w:t>34.磋商终止</w:t>
      </w:r>
    </w:p>
    <w:p w14:paraId="3973A2EA">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bCs/>
          <w:color w:val="auto"/>
          <w:szCs w:val="21"/>
        </w:rPr>
        <w:t>34.1</w:t>
      </w:r>
      <w:r>
        <w:rPr>
          <w:rFonts w:hint="eastAsia" w:ascii="宋体" w:hAnsi="宋体" w:cs="宋体"/>
          <w:color w:val="auto"/>
          <w:kern w:val="0"/>
          <w:szCs w:val="21"/>
        </w:rPr>
        <w:t>出现下列情形之一的，采购人或者采购代理机构应当终止竞争性磋商采购活动，</w:t>
      </w:r>
      <w:r>
        <w:rPr>
          <w:rFonts w:hint="eastAsia" w:ascii="宋体" w:hAnsi="宋体"/>
          <w:color w:val="auto"/>
        </w:rPr>
        <w:t>在本章第37.1款指定的媒体上</w:t>
      </w:r>
      <w:r>
        <w:rPr>
          <w:rFonts w:hint="eastAsia" w:ascii="宋体" w:hAnsi="宋体" w:cs="宋体"/>
          <w:color w:val="auto"/>
          <w:kern w:val="0"/>
          <w:szCs w:val="21"/>
        </w:rPr>
        <w:t xml:space="preserve">发布项目终止公告并说明原因，重新开展采购活动： </w:t>
      </w:r>
    </w:p>
    <w:p w14:paraId="0B16C698">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（1）因情况变化，不再符合规定的竞争性磋商采购方式适用情形的；</w:t>
      </w:r>
    </w:p>
    <w:p w14:paraId="6BA975C7">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（2）出现影响采购公正的违法、违规行为的；</w:t>
      </w:r>
    </w:p>
    <w:p w14:paraId="05CE58AE">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（3）</w:t>
      </w:r>
      <w:r>
        <w:rPr>
          <w:rFonts w:hint="eastAsia" w:ascii="宋体" w:hAnsi="宋体"/>
          <w:bCs/>
          <w:color w:val="auto"/>
          <w:szCs w:val="21"/>
        </w:rPr>
        <w:t>除《政府采购竞争性磋商采购方式管理暂行办法》(财库〔2014〕214号)</w:t>
      </w:r>
      <w:r>
        <w:rPr>
          <w:rFonts w:hint="eastAsia" w:ascii="宋体" w:hAnsi="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rPr>
        <w:t>情形外，在采购过程中符合要求的供应商或者报价未超过采购预算的供应商不足3家的；</w:t>
      </w:r>
    </w:p>
    <w:p w14:paraId="7E023C6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（4）因重大变故，采购任务取消的。</w:t>
      </w:r>
    </w:p>
    <w:p w14:paraId="2AF6FB2C">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35．重新评审</w:t>
      </w:r>
    </w:p>
    <w:p w14:paraId="301534AD">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30D046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36.保密及串通行为</w:t>
      </w:r>
    </w:p>
    <w:p w14:paraId="36FF9EB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rPr>
      </w:pPr>
      <w:r>
        <w:rPr>
          <w:rFonts w:hint="eastAsia" w:ascii="宋体" w:hAnsi="宋体"/>
          <w:color w:val="auto"/>
        </w:rPr>
        <w:t>36.1磋商小组成员以及与评审工作有关的人员不得泄露评审情况以及评审过程中获悉的国家秘密、商业秘密。</w:t>
      </w:r>
    </w:p>
    <w:p w14:paraId="2B460C2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rPr>
        <w:t>36.2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或者磋商小组成员行贿或者提供其他不正当利益；不得提供虚假资料谋取成交；不得以任何方式干扰、影响采购工作。</w:t>
      </w:r>
      <w:r>
        <w:rPr>
          <w:rFonts w:hint="eastAsia" w:ascii="宋体" w:hAnsi="宋体"/>
          <w:color w:val="auto"/>
          <w:szCs w:val="21"/>
          <w:lang w:val="en-US" w:eastAsia="zh-CN"/>
        </w:rPr>
        <w:t xml:space="preserve"> </w:t>
      </w:r>
    </w:p>
    <w:p w14:paraId="0C004FF6">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s="Arial"/>
          <w:color w:val="auto"/>
          <w:sz w:val="21"/>
          <w:szCs w:val="21"/>
        </w:rPr>
        <w:t>36.3</w:t>
      </w:r>
      <w:r>
        <w:rPr>
          <w:rFonts w:hint="eastAsia"/>
          <w:color w:val="auto"/>
          <w:sz w:val="21"/>
          <w:szCs w:val="21"/>
          <w:lang w:val="zh-CN"/>
        </w:rPr>
        <w:t>有下列情形之一的，属于恶意串通，对供应商依照政府采购法第七十七条第一款的规定追究法律责任：</w:t>
      </w:r>
    </w:p>
    <w:p w14:paraId="593C337C">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（一）供应商直接或者间接从采购人或者采购代理机构处获得其他供应商的相关情况并修改其响应文件或者响应文件；</w:t>
      </w:r>
    </w:p>
    <w:p w14:paraId="3D076C9A">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（二）供应商按照采购人或者采购代理机构的授意撤换、修改响应文件或者响应文件；</w:t>
      </w:r>
    </w:p>
    <w:p w14:paraId="04073550">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（三）供应商之间协商报价、技术方案等响应文件或者响应文件的实质性内容；</w:t>
      </w:r>
    </w:p>
    <w:p w14:paraId="0CFAC7E9">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（四）属于同一集团、协会、商会等组织成员的供应商按照该组织要求协同参加政府采购活动；</w:t>
      </w:r>
    </w:p>
    <w:p w14:paraId="0F510E96">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（五）供应商之间事先约定由某一特定供应商中标、成交；</w:t>
      </w:r>
    </w:p>
    <w:p w14:paraId="2B375EDF">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（六）供应商之间商定部分供应商放弃参加政府采购活动或者放弃中标、成交；</w:t>
      </w:r>
    </w:p>
    <w:p w14:paraId="1F0FEE4E">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color w:val="auto"/>
          <w:sz w:val="21"/>
          <w:szCs w:val="21"/>
          <w:lang w:val="zh-CN"/>
        </w:rPr>
      </w:pPr>
      <w:r>
        <w:rPr>
          <w:rFonts w:hint="eastAsia"/>
          <w:color w:val="auto"/>
          <w:sz w:val="21"/>
          <w:szCs w:val="21"/>
          <w:lang w:val="zh-CN"/>
        </w:rPr>
        <w:t>（七）供应商与采购人或者采购代理机构之间、供应商相互之间，为谋求特定供应商中标、成交或者排斥其他供应商的其他串通行为。</w:t>
      </w:r>
    </w:p>
    <w:p w14:paraId="571507E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六、成交结果信息公布与授予合同</w:t>
      </w:r>
    </w:p>
    <w:p w14:paraId="7320D169">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37.成交信息的公布</w:t>
      </w:r>
    </w:p>
    <w:p w14:paraId="104DCC8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37.1成交供应商确定后2个工作日内，成交结果信息将在</w:t>
      </w:r>
      <w:r>
        <w:rPr>
          <w:rFonts w:hint="eastAsia" w:hAnsi="宋体"/>
          <w:b/>
          <w:color w:val="auto"/>
        </w:rPr>
        <w:t>磋商须知前附表</w:t>
      </w:r>
      <w:r>
        <w:rPr>
          <w:rFonts w:hint="eastAsia" w:hAnsi="宋体"/>
          <w:color w:val="auto"/>
        </w:rPr>
        <w:t>指定的媒体上公布。</w:t>
      </w:r>
    </w:p>
    <w:p w14:paraId="71878AD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38.询问及质疑</w:t>
      </w:r>
    </w:p>
    <w:p w14:paraId="458AFB5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hAnsi="宋体"/>
          <w:color w:val="auto"/>
        </w:rPr>
      </w:pPr>
      <w:r>
        <w:rPr>
          <w:rFonts w:hint="eastAsia" w:ascii="宋体" w:hAnsi="宋体"/>
          <w:color w:val="auto"/>
          <w:szCs w:val="21"/>
        </w:rPr>
        <w:t>38.1供应商对政府采购活动事项有疑问的，可以向采购人或采购代理机构提出询问。</w:t>
      </w:r>
    </w:p>
    <w:p w14:paraId="224D4CD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38.2供应商若认为磋商文件、采购过程和成交结果使自己的权益受到损害，可以按法律、行政法规及湖南省财政厅规范性文件规定向采购人或采购代理机构提出质疑。</w:t>
      </w:r>
    </w:p>
    <w:p w14:paraId="26E7C27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39.成交通知</w:t>
      </w:r>
    </w:p>
    <w:p w14:paraId="10B9D16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39.1成交供应商确定后，采购人或采购代理机构将以书面形式向成交供应商发出成交通知书。成交通知书对采购人和成交供应商具有同等法律效力。</w:t>
      </w:r>
    </w:p>
    <w:p w14:paraId="721E383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39.2 成交通知书是合同文件的组成部分。</w:t>
      </w:r>
    </w:p>
    <w:p w14:paraId="3BD216DF">
      <w:pPr>
        <w:keepNext w:val="0"/>
        <w:keepLines w:val="0"/>
        <w:pageBreakBefore w:val="0"/>
        <w:tabs>
          <w:tab w:val="left" w:pos="7560"/>
          <w:tab w:val="left" w:pos="7740"/>
          <w:tab w:val="left" w:pos="7920"/>
        </w:tabs>
        <w:kinsoku/>
        <w:wordWrap/>
        <w:overflowPunct/>
        <w:topLinePunct w:val="0"/>
        <w:autoSpaceDE/>
        <w:autoSpaceDN w:val="0"/>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s="宋体"/>
          <w:color w:val="auto"/>
          <w:kern w:val="0"/>
          <w:szCs w:val="21"/>
        </w:rPr>
        <w:t xml:space="preserve">39.3 </w:t>
      </w:r>
      <w:r>
        <w:rPr>
          <w:rFonts w:hint="eastAsia" w:ascii="宋体" w:hAnsi="宋体"/>
          <w:color w:val="auto"/>
          <w:szCs w:val="21"/>
        </w:rPr>
        <w:t>成交供应商在收到采购代理机构的成交通知书后10日内，应按照</w:t>
      </w:r>
      <w:r>
        <w:rPr>
          <w:rFonts w:hint="eastAsia" w:ascii="宋体" w:hAnsi="宋体"/>
          <w:b/>
          <w:color w:val="auto"/>
          <w:szCs w:val="21"/>
        </w:rPr>
        <w:t>磋商须知前附表</w:t>
      </w:r>
      <w:r>
        <w:rPr>
          <w:rFonts w:hint="eastAsia" w:ascii="宋体" w:hAnsi="宋体"/>
          <w:color w:val="auto"/>
          <w:szCs w:val="21"/>
        </w:rPr>
        <w:t>的规定，向采购人提交履约担保。联合体成交的，履约担保由联合体各方或联合体中牵头人的名义提交。</w:t>
      </w:r>
    </w:p>
    <w:p w14:paraId="2B51EC1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39.4 成交供应商</w:t>
      </w:r>
      <w:r>
        <w:rPr>
          <w:rFonts w:hint="eastAsia" w:hAnsi="宋体"/>
          <w:color w:val="auto"/>
          <w:spacing w:val="4"/>
        </w:rPr>
        <w:t>没有按照本章第39.3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14:paraId="5253184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40.签订合同</w:t>
      </w:r>
    </w:p>
    <w:p w14:paraId="05CC7E2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40.1成交供应商应当在成交通知书发出之日起30日内与采购人签订政府采购合同。</w:t>
      </w:r>
    </w:p>
    <w:p w14:paraId="18DDB81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40.2磋商文件、成交供应商的响应文件等均为签订政府采购合同的依据。</w:t>
      </w:r>
    </w:p>
    <w:p w14:paraId="593774DB">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Ansi="宋体"/>
          <w:color w:val="auto"/>
        </w:rPr>
      </w:pPr>
      <w:r>
        <w:rPr>
          <w:rFonts w:hint="eastAsia" w:hAnsi="宋体"/>
          <w:color w:val="auto"/>
        </w:rPr>
        <w:t>40.3 成交供应商应当按照合同约定履行义务。成交供应商不得向他人转让成交项目，也不得将成交项目分包后分别向他人转让。</w:t>
      </w:r>
    </w:p>
    <w:p w14:paraId="5409438D">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40.4 成交供应商有下列情形之一的，责令限期改正，情节严重的，列入不良行为记录名单，在1至3年内禁止参加政府采购活动，并予以通报：</w:t>
      </w:r>
    </w:p>
    <w:p w14:paraId="1D51391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（一）成交后无正当理由不与采购人签订合同的；</w:t>
      </w:r>
    </w:p>
    <w:p w14:paraId="0FBF70F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（二）未按照采购文件确定的事项签订政府采购合同，或者与采购人另行订立背离合同实质性内容的协议的；</w:t>
      </w:r>
    </w:p>
    <w:p w14:paraId="1C3335B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（三）拒绝履行合同义务的；</w:t>
      </w:r>
    </w:p>
    <w:p w14:paraId="74864EF0">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14:paraId="245B25B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七、其他规定</w:t>
      </w:r>
    </w:p>
    <w:p w14:paraId="331F5D2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41.1采购代理服务费</w:t>
      </w:r>
    </w:p>
    <w:p w14:paraId="086ADE6C">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41.1采购代理机构应按</w:t>
      </w:r>
      <w:r>
        <w:rPr>
          <w:rFonts w:hint="eastAsia" w:ascii="宋体" w:hAnsi="宋体"/>
          <w:b/>
          <w:color w:val="auto"/>
          <w:szCs w:val="21"/>
        </w:rPr>
        <w:t>磋商须知前附表</w:t>
      </w:r>
      <w:r>
        <w:rPr>
          <w:rFonts w:hint="eastAsia" w:ascii="宋体" w:hAnsi="宋体"/>
          <w:color w:val="auto"/>
          <w:szCs w:val="21"/>
        </w:rPr>
        <w:t>规定收取采购代理服务费。</w:t>
      </w:r>
    </w:p>
    <w:p w14:paraId="45DF0CDF">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41.2集中采购机构不得收取采购代理服务费。</w:t>
      </w:r>
    </w:p>
    <w:p w14:paraId="73CE4200">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textAlignment w:val="auto"/>
        <w:rPr>
          <w:rFonts w:hint="eastAsia" w:hAnsi="宋体"/>
          <w:b/>
          <w:color w:val="auto"/>
        </w:rPr>
      </w:pPr>
      <w:r>
        <w:rPr>
          <w:rFonts w:hint="eastAsia" w:ascii="宋体" w:hAnsi="宋体"/>
          <w:b/>
          <w:color w:val="auto"/>
          <w:szCs w:val="21"/>
        </w:rPr>
        <w:t>42.</w:t>
      </w:r>
      <w:r>
        <w:rPr>
          <w:rFonts w:hint="eastAsia" w:hAnsi="宋体"/>
          <w:b/>
          <w:color w:val="auto"/>
        </w:rPr>
        <w:t xml:space="preserve"> 其他规定</w:t>
      </w:r>
    </w:p>
    <w:p w14:paraId="59E417F3">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42.1</w:t>
      </w:r>
      <w:r>
        <w:rPr>
          <w:rFonts w:hint="eastAsia" w:ascii="宋体" w:hAnsi="宋体"/>
          <w:color w:val="auto"/>
          <w:szCs w:val="21"/>
        </w:rPr>
        <w:t>磋商文件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磋商须知前附表</w:t>
      </w:r>
      <w:r>
        <w:rPr>
          <w:rFonts w:hint="eastAsia" w:ascii="宋体" w:hAnsi="宋体"/>
          <w:color w:val="auto"/>
          <w:szCs w:val="21"/>
        </w:rPr>
        <w:t>。</w:t>
      </w:r>
    </w:p>
    <w:p w14:paraId="20E439F6">
      <w:pPr>
        <w:pStyle w:val="24"/>
        <w:adjustRightInd w:val="0"/>
        <w:snapToGrid w:val="0"/>
        <w:spacing w:line="360" w:lineRule="auto"/>
        <w:jc w:val="center"/>
        <w:outlineLvl w:val="0"/>
        <w:rPr>
          <w:rFonts w:ascii="黑体" w:hAnsi="华文中宋" w:eastAsia="黑体"/>
          <w:b/>
          <w:sz w:val="32"/>
          <w:szCs w:val="32"/>
        </w:rPr>
      </w:pPr>
      <w:r>
        <w:rPr>
          <w:rFonts w:ascii="宋体" w:hAnsi="宋体" w:cs="宋体"/>
          <w:b/>
          <w:color w:val="auto"/>
          <w:sz w:val="32"/>
          <w:szCs w:val="32"/>
        </w:rPr>
        <w:br w:type="page"/>
      </w:r>
      <w:bookmarkStart w:id="7" w:name="_Toc20651236"/>
      <w:r>
        <w:rPr>
          <w:rFonts w:hint="eastAsia" w:ascii="黑体" w:hAnsi="华文中宋" w:eastAsia="黑体"/>
          <w:b/>
          <w:sz w:val="32"/>
          <w:szCs w:val="32"/>
        </w:rPr>
        <w:t>第</w:t>
      </w:r>
      <w:r>
        <w:rPr>
          <w:rFonts w:hint="eastAsia" w:ascii="黑体" w:hAnsi="华文中宋" w:eastAsia="黑体"/>
          <w:b/>
          <w:sz w:val="32"/>
          <w:szCs w:val="32"/>
          <w:lang w:eastAsia="zh-CN"/>
        </w:rPr>
        <w:t>三</w:t>
      </w:r>
      <w:r>
        <w:rPr>
          <w:rFonts w:hint="eastAsia" w:ascii="黑体" w:hAnsi="华文中宋" w:eastAsia="黑体"/>
          <w:b/>
          <w:sz w:val="32"/>
          <w:szCs w:val="32"/>
        </w:rPr>
        <w:t>章 政府采购合同</w:t>
      </w:r>
      <w:bookmarkEnd w:id="7"/>
    </w:p>
    <w:p w14:paraId="785D9DBA">
      <w:pPr>
        <w:pStyle w:val="3"/>
        <w:adjustRightInd w:val="0"/>
        <w:snapToGrid w:val="0"/>
        <w:jc w:val="center"/>
        <w:rPr>
          <w:rFonts w:ascii="黑体" w:hAnsi="华文中宋" w:eastAsia="黑体"/>
          <w:sz w:val="28"/>
          <w:szCs w:val="28"/>
        </w:rPr>
      </w:pPr>
      <w:bookmarkStart w:id="8" w:name="_Toc20651237"/>
      <w:r>
        <w:rPr>
          <w:rFonts w:hint="eastAsia" w:ascii="黑体" w:hAnsi="华文中宋" w:eastAsia="黑体"/>
          <w:sz w:val="28"/>
          <w:szCs w:val="28"/>
        </w:rPr>
        <w:t>第一节 政府采购合同协议书</w:t>
      </w:r>
      <w:bookmarkEnd w:id="8"/>
    </w:p>
    <w:p w14:paraId="5B5838D1">
      <w:pPr>
        <w:adjustRightInd w:val="0"/>
        <w:snapToGrid w:val="0"/>
        <w:spacing w:before="156" w:beforeLines="50" w:line="360" w:lineRule="auto"/>
        <w:ind w:firstLine="5460" w:firstLineChars="2600"/>
        <w:rPr>
          <w:rFonts w:ascii="宋体" w:hAnsi="宋体" w:eastAsia="宋体"/>
          <w:b/>
          <w:color w:val="000000"/>
          <w:szCs w:val="21"/>
        </w:rPr>
      </w:pPr>
      <w:r>
        <w:rPr>
          <w:rFonts w:hint="eastAsia" w:ascii="宋体" w:hAnsi="宋体" w:eastAsia="宋体"/>
          <w:color w:val="000000"/>
          <w:szCs w:val="21"/>
        </w:rPr>
        <w:t>采购合同编号：</w:t>
      </w:r>
      <w:r>
        <w:rPr>
          <w:rFonts w:ascii="宋体" w:hAnsi="宋体" w:eastAsia="宋体"/>
          <w:color w:val="000000"/>
          <w:szCs w:val="21"/>
          <w:u w:val="single"/>
        </w:rPr>
        <w:t xml:space="preserve">                 </w:t>
      </w:r>
    </w:p>
    <w:p w14:paraId="4D84DC5E">
      <w:pPr>
        <w:adjustRightInd w:val="0"/>
        <w:snapToGrid w:val="0"/>
        <w:spacing w:before="156" w:beforeLines="50" w:line="360" w:lineRule="auto"/>
        <w:jc w:val="center"/>
        <w:rPr>
          <w:rFonts w:ascii="宋体" w:hAnsi="宋体" w:eastAsia="宋体"/>
          <w:b/>
          <w:color w:val="000000"/>
          <w:szCs w:val="21"/>
        </w:rPr>
      </w:pPr>
    </w:p>
    <w:p w14:paraId="62084837">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采购人（全称）：</w:t>
      </w:r>
      <w:r>
        <w:rPr>
          <w:rFonts w:hint="eastAsia" w:ascii="宋体" w:hAnsi="宋体" w:eastAsia="宋体"/>
          <w:color w:val="000000"/>
          <w:szCs w:val="21"/>
          <w:u w:val="single"/>
        </w:rPr>
        <w:t xml:space="preserve">                             </w:t>
      </w:r>
      <w:r>
        <w:rPr>
          <w:rFonts w:hint="eastAsia" w:ascii="宋体" w:hAnsi="宋体" w:eastAsia="宋体"/>
          <w:color w:val="000000"/>
          <w:szCs w:val="21"/>
        </w:rPr>
        <w:t>（甲方）</w:t>
      </w:r>
    </w:p>
    <w:p w14:paraId="3AFF653B">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供应商（全称）：</w:t>
      </w:r>
      <w:r>
        <w:rPr>
          <w:rFonts w:hint="eastAsia" w:ascii="宋体" w:hAnsi="宋体" w:eastAsia="宋体"/>
          <w:color w:val="000000"/>
          <w:szCs w:val="21"/>
          <w:u w:val="single"/>
        </w:rPr>
        <w:t xml:space="preserve">                             </w:t>
      </w:r>
      <w:r>
        <w:rPr>
          <w:rFonts w:hint="eastAsia" w:ascii="宋体" w:hAnsi="宋体" w:eastAsia="宋体"/>
          <w:color w:val="000000"/>
          <w:szCs w:val="21"/>
        </w:rPr>
        <w:t>（乙方）</w:t>
      </w:r>
    </w:p>
    <w:p w14:paraId="7FB67460">
      <w:pPr>
        <w:pStyle w:val="19"/>
        <w:adjustRightInd w:val="0"/>
        <w:snapToGrid w:val="0"/>
        <w:spacing w:before="156" w:beforeLines="50" w:after="0" w:line="360" w:lineRule="auto"/>
        <w:rPr>
          <w:rFonts w:ascii="宋体" w:hAnsi="宋体" w:eastAsia="宋体"/>
          <w:color w:val="000000"/>
          <w:szCs w:val="21"/>
        </w:rPr>
      </w:pPr>
    </w:p>
    <w:p w14:paraId="19D80FC3">
      <w:pPr>
        <w:pStyle w:val="19"/>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420" w:firstLineChars="200"/>
        <w:textAlignment w:val="auto"/>
        <w:rPr>
          <w:rFonts w:ascii="宋体" w:hAnsi="宋体" w:eastAsia="宋体"/>
          <w:color w:val="000000"/>
          <w:szCs w:val="21"/>
        </w:rPr>
      </w:pPr>
      <w:r>
        <w:rPr>
          <w:rFonts w:hint="eastAsia" w:ascii="宋体" w:hAnsi="宋体" w:eastAsia="宋体"/>
          <w:color w:val="000000"/>
          <w:szCs w:val="21"/>
        </w:rPr>
        <w:t>为了保护甲、乙双方合法权益，根据《中华人民共和国合同法》、《中华人民共和国政府采购法》及其他有关法律、法规、规章，双方签订本合同协议书。</w:t>
      </w:r>
    </w:p>
    <w:p w14:paraId="58682A76">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1.项目信息</w:t>
      </w:r>
    </w:p>
    <w:p w14:paraId="21543990">
      <w:pPr>
        <w:pStyle w:val="19"/>
        <w:keepNext w:val="0"/>
        <w:keepLines w:val="0"/>
        <w:pageBreakBefore w:val="0"/>
        <w:widowControl w:val="0"/>
        <w:kinsoku/>
        <w:wordWrap/>
        <w:overflowPunct/>
        <w:topLinePunct w:val="0"/>
        <w:autoSpaceDE/>
        <w:autoSpaceDN/>
        <w:bidi w:val="0"/>
        <w:adjustRightInd w:val="0"/>
        <w:snapToGrid w:val="0"/>
        <w:spacing w:after="0" w:line="400" w:lineRule="exact"/>
        <w:textAlignment w:val="auto"/>
        <w:rPr>
          <w:rFonts w:ascii="宋体" w:hAnsi="宋体" w:eastAsia="宋体"/>
          <w:color w:val="000000"/>
          <w:szCs w:val="21"/>
        </w:rPr>
      </w:pPr>
      <w:r>
        <w:rPr>
          <w:rFonts w:hint="eastAsia" w:ascii="宋体" w:hAnsi="宋体" w:eastAsia="宋体"/>
          <w:color w:val="000000"/>
          <w:szCs w:val="21"/>
        </w:rPr>
        <w:t>（1）采购项目名称：</w:t>
      </w:r>
      <w:r>
        <w:rPr>
          <w:rFonts w:ascii="宋体" w:hAnsi="宋体" w:eastAsia="宋体"/>
          <w:color w:val="000000"/>
          <w:szCs w:val="21"/>
          <w:u w:val="single"/>
        </w:rPr>
        <w:t xml:space="preserve">                                          </w:t>
      </w:r>
    </w:p>
    <w:p w14:paraId="1C95FF2F">
      <w:pPr>
        <w:pStyle w:val="19"/>
        <w:keepNext w:val="0"/>
        <w:keepLines w:val="0"/>
        <w:pageBreakBefore w:val="0"/>
        <w:widowControl w:val="0"/>
        <w:kinsoku/>
        <w:wordWrap/>
        <w:overflowPunct/>
        <w:topLinePunct w:val="0"/>
        <w:autoSpaceDE/>
        <w:autoSpaceDN/>
        <w:bidi w:val="0"/>
        <w:adjustRightInd w:val="0"/>
        <w:snapToGrid w:val="0"/>
        <w:spacing w:after="0" w:line="400" w:lineRule="exact"/>
        <w:textAlignment w:val="auto"/>
        <w:rPr>
          <w:rFonts w:ascii="宋体" w:hAnsi="宋体" w:eastAsia="宋体"/>
          <w:color w:val="000000"/>
          <w:szCs w:val="21"/>
        </w:rPr>
      </w:pPr>
      <w:r>
        <w:rPr>
          <w:rFonts w:hint="eastAsia" w:ascii="宋体" w:hAnsi="宋体" w:eastAsia="宋体"/>
          <w:color w:val="000000"/>
          <w:szCs w:val="21"/>
        </w:rPr>
        <w:t>（2）采购计划编号：</w:t>
      </w:r>
      <w:r>
        <w:rPr>
          <w:rFonts w:ascii="宋体" w:hAnsi="宋体" w:eastAsia="宋体"/>
          <w:color w:val="000000"/>
          <w:szCs w:val="21"/>
          <w:u w:val="single"/>
        </w:rPr>
        <w:t xml:space="preserve">                          </w:t>
      </w:r>
      <w:r>
        <w:rPr>
          <w:rFonts w:ascii="宋体" w:hAnsi="宋体" w:eastAsia="宋体"/>
          <w:color w:val="000000"/>
          <w:szCs w:val="21"/>
        </w:rPr>
        <w:t xml:space="preserve"> </w:t>
      </w:r>
    </w:p>
    <w:p w14:paraId="3159789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（3）项目内容：</w:t>
      </w:r>
      <w:r>
        <w:rPr>
          <w:rFonts w:hint="eastAsia" w:ascii="宋体" w:hAnsi="宋体" w:eastAsia="宋体"/>
          <w:color w:val="000000"/>
          <w:szCs w:val="21"/>
          <w:u w:val="single"/>
        </w:rPr>
        <w:t xml:space="preserve">                             </w:t>
      </w:r>
    </w:p>
    <w:p w14:paraId="7781C8E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（4）项目负责人：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694DA27D">
      <w:pPr>
        <w:keepNext w:val="0"/>
        <w:keepLines w:val="0"/>
        <w:pageBreakBefore w:val="0"/>
        <w:widowControl w:val="0"/>
        <w:kinsoku/>
        <w:wordWrap/>
        <w:overflowPunct/>
        <w:topLinePunct w:val="0"/>
        <w:autoSpaceDE/>
        <w:autoSpaceDN/>
        <w:bidi w:val="0"/>
        <w:adjustRightInd w:val="0"/>
        <w:snapToGrid w:val="0"/>
        <w:spacing w:line="400" w:lineRule="exact"/>
        <w:ind w:firstLine="413" w:firstLineChars="196"/>
        <w:textAlignment w:val="auto"/>
        <w:rPr>
          <w:rFonts w:ascii="宋体" w:hAnsi="宋体" w:eastAsia="宋体"/>
          <w:b/>
          <w:color w:val="000000"/>
          <w:szCs w:val="21"/>
        </w:rPr>
      </w:pPr>
      <w:r>
        <w:rPr>
          <w:rFonts w:hint="eastAsia" w:ascii="宋体" w:hAnsi="宋体" w:eastAsia="宋体"/>
          <w:b/>
          <w:color w:val="000000"/>
          <w:szCs w:val="21"/>
        </w:rPr>
        <w:t>2.合同金额</w:t>
      </w:r>
    </w:p>
    <w:p w14:paraId="567012A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（1）合同金额小写：</w:t>
      </w:r>
      <w:r>
        <w:rPr>
          <w:rFonts w:hint="eastAsia" w:ascii="宋体" w:hAnsi="宋体" w:eastAsia="宋体"/>
          <w:color w:val="000000"/>
          <w:szCs w:val="21"/>
          <w:u w:val="single"/>
        </w:rPr>
        <w:t xml:space="preserve">                      </w:t>
      </w:r>
    </w:p>
    <w:p w14:paraId="14399B82">
      <w:pPr>
        <w:keepNext w:val="0"/>
        <w:keepLines w:val="0"/>
        <w:pageBreakBefore w:val="0"/>
        <w:widowControl w:val="0"/>
        <w:kinsoku/>
        <w:wordWrap/>
        <w:overflowPunct/>
        <w:topLinePunct w:val="0"/>
        <w:autoSpaceDE/>
        <w:autoSpaceDN/>
        <w:bidi w:val="0"/>
        <w:adjustRightInd w:val="0"/>
        <w:snapToGrid w:val="0"/>
        <w:spacing w:line="400" w:lineRule="exact"/>
        <w:ind w:firstLine="1260" w:firstLineChars="600"/>
        <w:textAlignment w:val="auto"/>
        <w:rPr>
          <w:rFonts w:ascii="宋体" w:hAnsi="宋体" w:eastAsia="宋体"/>
          <w:b/>
          <w:color w:val="000000"/>
          <w:szCs w:val="21"/>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14:paraId="3A6C7D9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（2）具体标的见附件。</w:t>
      </w:r>
    </w:p>
    <w:p w14:paraId="6DAF63A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（3）合同价格形式：</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14F867FE">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color w:val="000000"/>
          <w:szCs w:val="21"/>
          <w:u w:val="single"/>
        </w:rPr>
      </w:pPr>
      <w:r>
        <w:rPr>
          <w:rFonts w:hint="eastAsia" w:ascii="宋体" w:hAnsi="宋体" w:eastAsia="宋体"/>
          <w:b/>
          <w:color w:val="000000"/>
          <w:szCs w:val="21"/>
        </w:rPr>
        <w:t>3.履行合同的时间、地点及方式</w:t>
      </w:r>
      <w:r>
        <w:rPr>
          <w:rFonts w:hint="eastAsia" w:ascii="宋体" w:hAnsi="宋体" w:eastAsia="宋体"/>
          <w:color w:val="000000"/>
          <w:szCs w:val="21"/>
          <w:u w:val="single"/>
        </w:rPr>
        <w:t xml:space="preserve"> </w:t>
      </w:r>
    </w:p>
    <w:p w14:paraId="471A5740">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color w:val="000000"/>
          <w:szCs w:val="21"/>
        </w:rPr>
        <w:t>起始日期：</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日，完成日期：</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日。总日历天数：</w:t>
      </w:r>
      <w:r>
        <w:rPr>
          <w:rFonts w:hint="eastAsia" w:ascii="宋体" w:hAnsi="宋体" w:eastAsia="宋体"/>
          <w:color w:val="000000"/>
          <w:szCs w:val="21"/>
          <w:u w:val="single"/>
        </w:rPr>
        <w:t xml:space="preserve">     </w:t>
      </w:r>
      <w:r>
        <w:rPr>
          <w:rFonts w:hint="eastAsia" w:ascii="宋体" w:hAnsi="宋体" w:eastAsia="宋体"/>
          <w:color w:val="000000"/>
          <w:szCs w:val="21"/>
        </w:rPr>
        <w:t>天。</w:t>
      </w:r>
    </w:p>
    <w:p w14:paraId="64F7C7BB">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u w:val="single"/>
        </w:rPr>
      </w:pPr>
      <w:r>
        <w:rPr>
          <w:rFonts w:hint="eastAsia" w:ascii="宋体" w:hAnsi="宋体" w:eastAsia="宋体"/>
          <w:color w:val="000000"/>
          <w:szCs w:val="21"/>
        </w:rPr>
        <w:t>地点</w:t>
      </w:r>
      <w:r>
        <w:rPr>
          <w:rFonts w:hint="eastAsia" w:ascii="宋体" w:hAnsi="宋体" w:eastAsia="宋体"/>
          <w:b/>
          <w:color w:val="000000"/>
          <w:szCs w:val="21"/>
        </w:rPr>
        <w:t>：</w:t>
      </w:r>
      <w:r>
        <w:rPr>
          <w:rFonts w:hint="eastAsia" w:ascii="宋体" w:hAnsi="宋体" w:eastAsia="宋体"/>
          <w:color w:val="000000"/>
          <w:szCs w:val="21"/>
          <w:u w:val="single"/>
        </w:rPr>
        <w:t xml:space="preserve">                             </w:t>
      </w:r>
    </w:p>
    <w:p w14:paraId="05C01762">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color w:val="000000"/>
          <w:szCs w:val="21"/>
        </w:rPr>
        <w:t>方式：</w:t>
      </w:r>
      <w:r>
        <w:rPr>
          <w:rFonts w:hint="eastAsia" w:ascii="宋体" w:hAnsi="宋体" w:eastAsia="宋体"/>
          <w:color w:val="000000"/>
          <w:szCs w:val="21"/>
          <w:u w:val="single"/>
        </w:rPr>
        <w:t xml:space="preserve">                             </w:t>
      </w:r>
    </w:p>
    <w:p w14:paraId="274EB16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4.付款：</w:t>
      </w:r>
    </w:p>
    <w:p w14:paraId="47AA7E8B">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hint="eastAsia" w:ascii="宋体" w:hAnsi="宋体" w:eastAsia="宋体"/>
          <w:bCs/>
          <w:color w:val="000000"/>
          <w:szCs w:val="21"/>
        </w:rPr>
      </w:pPr>
      <w:r>
        <w:rPr>
          <w:rFonts w:hint="eastAsia" w:ascii="宋体" w:hAnsi="宋体" w:eastAsia="宋体"/>
          <w:color w:val="000000"/>
          <w:szCs w:val="21"/>
        </w:rPr>
        <w:t>预付款：合同签订后7天内甲方支付中标金额的30%给乙方作为预付款工程进度款按进度支付</w:t>
      </w:r>
      <w:r>
        <w:rPr>
          <w:rFonts w:hint="eastAsia" w:ascii="宋体" w:hAnsi="宋体" w:eastAsia="宋体"/>
          <w:bCs/>
          <w:color w:val="000000"/>
          <w:szCs w:val="21"/>
        </w:rPr>
        <w:t>2、预付款根据采购文件的约定，在合同签订前提交不超过合同金额10%的履约担保。</w:t>
      </w:r>
    </w:p>
    <w:p w14:paraId="740CEB86">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hint="eastAsia" w:ascii="宋体" w:hAnsi="宋体" w:eastAsia="宋体"/>
          <w:bCs/>
          <w:color w:val="000000"/>
          <w:szCs w:val="21"/>
        </w:rPr>
      </w:pPr>
      <w:r>
        <w:rPr>
          <w:rFonts w:hint="eastAsia" w:ascii="宋体" w:hAnsi="宋体" w:eastAsia="宋体"/>
          <w:bCs/>
          <w:color w:val="000000"/>
          <w:szCs w:val="21"/>
        </w:rPr>
        <w:t>工程进度款</w:t>
      </w:r>
    </w:p>
    <w:p w14:paraId="042B8340">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hint="eastAsia" w:ascii="宋体" w:hAnsi="宋体" w:eastAsia="宋体"/>
          <w:bCs/>
          <w:color w:val="000000"/>
          <w:szCs w:val="21"/>
          <w:lang w:eastAsia="zh-CN"/>
        </w:rPr>
      </w:pPr>
      <w:r>
        <w:rPr>
          <w:rFonts w:hint="eastAsia" w:ascii="宋体" w:hAnsi="宋体" w:eastAsia="宋体"/>
          <w:bCs/>
          <w:color w:val="000000"/>
          <w:szCs w:val="21"/>
        </w:rPr>
        <w:t>(1)按月进度申报进度款，乙方申报进度款及工程量清单，以甲方审定已完成合格工程量造价的85%予以支付进度款，每次申请的进度款内，同比例扣除前期已支付的预付款，付款时间为进度款中报后次月15日前;甲方审定的中报进度款与乙方中报进度款不一致的，以甲方审定结论为准:乙方延迟申报进度款的，甲方有权按延迟时间的三倍时间推迟支付工程进度款</w:t>
      </w:r>
      <w:r>
        <w:rPr>
          <w:rFonts w:hint="eastAsia" w:ascii="宋体" w:hAnsi="宋体"/>
          <w:bCs/>
          <w:color w:val="000000"/>
          <w:szCs w:val="21"/>
          <w:lang w:eastAsia="zh-CN"/>
        </w:rPr>
        <w:t>；</w:t>
      </w:r>
    </w:p>
    <w:p w14:paraId="23C0E389">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hint="eastAsia" w:ascii="宋体" w:hAnsi="宋体" w:eastAsia="宋体"/>
          <w:bCs/>
          <w:color w:val="000000"/>
          <w:szCs w:val="21"/>
        </w:rPr>
      </w:pPr>
      <w:r>
        <w:rPr>
          <w:rFonts w:hint="eastAsia" w:ascii="宋体" w:hAnsi="宋体" w:eastAsia="宋体"/>
          <w:bCs/>
          <w:color w:val="000000"/>
          <w:szCs w:val="21"/>
        </w:rPr>
        <w:t>(2)工程结算完成终审后二周内付至终审总金额的97%，余款3%作为质保金，在质量缺陷责任期满后支付。</w:t>
      </w:r>
    </w:p>
    <w:p w14:paraId="6F778A5B">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5.解决合同纠纷方式</w:t>
      </w:r>
    </w:p>
    <w:p w14:paraId="19B1210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首先通过双方协商解决，协商解决不成，则通过以下途径之一解决纠纷：</w:t>
      </w:r>
    </w:p>
    <w:p w14:paraId="4A4080F9">
      <w:pPr>
        <w:keepNext w:val="0"/>
        <w:keepLines w:val="0"/>
        <w:pageBreakBefore w:val="0"/>
        <w:widowControl w:val="0"/>
        <w:kinsoku/>
        <w:wordWrap/>
        <w:overflowPunct/>
        <w:topLinePunct w:val="0"/>
        <w:autoSpaceDE/>
        <w:autoSpaceDN/>
        <w:bidi w:val="0"/>
        <w:adjustRightInd w:val="0"/>
        <w:snapToGrid w:val="0"/>
        <w:spacing w:line="400" w:lineRule="exact"/>
        <w:ind w:firstLine="840" w:firstLineChars="400"/>
        <w:textAlignment w:val="auto"/>
        <w:rPr>
          <w:rFonts w:ascii="宋体" w:hAnsi="宋体" w:eastAsia="宋体"/>
          <w:color w:val="000000"/>
          <w:szCs w:val="21"/>
        </w:rPr>
      </w:pPr>
      <w:r>
        <w:rPr>
          <w:rFonts w:hint="eastAsia" w:ascii="宋体" w:hAnsi="宋体" w:eastAsia="宋体"/>
          <w:color w:val="000000"/>
          <w:szCs w:val="21"/>
        </w:rPr>
        <w:t>□ 提请仲裁       □ 向人民法院提起诉讼</w:t>
      </w:r>
    </w:p>
    <w:p w14:paraId="02717A9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6.组成合同的文件</w:t>
      </w:r>
    </w:p>
    <w:p w14:paraId="223AD26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本协议书与下列文件一起构成合同文件，如下述文件之间有任何抵触、矛盾或歧义，应按以下顺序解释：</w:t>
      </w:r>
    </w:p>
    <w:p w14:paraId="34B50BE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（1）在采购或合同履行过程中乙方作出的承诺以及双方协商达成的变更或补充协议</w:t>
      </w:r>
    </w:p>
    <w:p w14:paraId="78DD91E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（2）本合同协议书</w:t>
      </w:r>
    </w:p>
    <w:p w14:paraId="46D26C6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（3）中标通知书</w:t>
      </w:r>
    </w:p>
    <w:p w14:paraId="289B2F8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olor w:val="000000"/>
          <w:szCs w:val="21"/>
          <w:lang w:eastAsia="zh-CN"/>
        </w:rPr>
      </w:pPr>
      <w:r>
        <w:rPr>
          <w:rFonts w:hint="eastAsia" w:ascii="宋体" w:hAnsi="宋体" w:eastAsia="宋体"/>
          <w:color w:val="000000"/>
          <w:szCs w:val="21"/>
        </w:rPr>
        <w:t>（4）</w:t>
      </w:r>
      <w:r>
        <w:rPr>
          <w:rFonts w:hint="eastAsia" w:ascii="宋体" w:hAnsi="宋体"/>
          <w:color w:val="000000"/>
          <w:szCs w:val="21"/>
          <w:lang w:eastAsia="zh-CN"/>
        </w:rPr>
        <w:t>响应文件</w:t>
      </w:r>
    </w:p>
    <w:p w14:paraId="128A365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（5）政府采购合同专用条款</w:t>
      </w:r>
    </w:p>
    <w:p w14:paraId="70AB104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（6）政府采购合同通用条款</w:t>
      </w:r>
    </w:p>
    <w:p w14:paraId="2C12454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（7）标准、规范及有关技术文件，图纸。</w:t>
      </w:r>
    </w:p>
    <w:p w14:paraId="0917E72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（8）其他合同文件。</w:t>
      </w:r>
    </w:p>
    <w:p w14:paraId="3683A1E3">
      <w:pPr>
        <w:keepNext w:val="0"/>
        <w:keepLines w:val="0"/>
        <w:pageBreakBefore w:val="0"/>
        <w:widowControl w:val="0"/>
        <w:kinsoku/>
        <w:wordWrap/>
        <w:overflowPunct/>
        <w:topLinePunct w:val="0"/>
        <w:autoSpaceDE/>
        <w:autoSpaceDN/>
        <w:bidi w:val="0"/>
        <w:adjustRightInd w:val="0"/>
        <w:snapToGrid w:val="0"/>
        <w:spacing w:line="400" w:lineRule="exact"/>
        <w:ind w:firstLine="310" w:firstLineChars="147"/>
        <w:textAlignment w:val="auto"/>
        <w:rPr>
          <w:rFonts w:ascii="宋体" w:hAnsi="宋体" w:eastAsia="宋体"/>
          <w:b/>
          <w:color w:val="000000"/>
          <w:szCs w:val="21"/>
        </w:rPr>
      </w:pPr>
      <w:r>
        <w:rPr>
          <w:rFonts w:hint="eastAsia" w:ascii="宋体" w:hAnsi="宋体" w:eastAsia="宋体"/>
          <w:b/>
          <w:color w:val="000000"/>
          <w:szCs w:val="21"/>
        </w:rPr>
        <w:t>7.合同生效</w:t>
      </w:r>
    </w:p>
    <w:p w14:paraId="29501F8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本合同自</w:t>
      </w:r>
      <w:r>
        <w:rPr>
          <w:rFonts w:hint="eastAsia" w:ascii="宋体" w:hAnsi="宋体" w:eastAsia="宋体"/>
          <w:color w:val="000000"/>
          <w:szCs w:val="21"/>
          <w:u w:val="single"/>
        </w:rPr>
        <w:t xml:space="preserve">                               </w:t>
      </w:r>
      <w:r>
        <w:rPr>
          <w:rFonts w:hint="eastAsia" w:ascii="宋体" w:hAnsi="宋体" w:eastAsia="宋体"/>
          <w:color w:val="000000"/>
          <w:szCs w:val="21"/>
        </w:rPr>
        <w:t>生效。</w:t>
      </w:r>
    </w:p>
    <w:p w14:paraId="34B31179">
      <w:pPr>
        <w:keepNext w:val="0"/>
        <w:keepLines w:val="0"/>
        <w:pageBreakBefore w:val="0"/>
        <w:widowControl w:val="0"/>
        <w:kinsoku/>
        <w:wordWrap/>
        <w:overflowPunct/>
        <w:topLinePunct w:val="0"/>
        <w:autoSpaceDE/>
        <w:autoSpaceDN/>
        <w:bidi w:val="0"/>
        <w:adjustRightInd w:val="0"/>
        <w:snapToGrid w:val="0"/>
        <w:spacing w:line="400" w:lineRule="exact"/>
        <w:ind w:firstLine="310" w:firstLineChars="147"/>
        <w:textAlignment w:val="auto"/>
        <w:rPr>
          <w:rFonts w:ascii="宋体" w:hAnsi="宋体" w:eastAsia="宋体"/>
          <w:b/>
          <w:color w:val="000000"/>
          <w:szCs w:val="21"/>
        </w:rPr>
      </w:pPr>
      <w:r>
        <w:rPr>
          <w:rFonts w:hint="eastAsia" w:ascii="宋体" w:hAnsi="宋体" w:eastAsia="宋体"/>
          <w:b/>
          <w:color w:val="000000"/>
          <w:szCs w:val="21"/>
        </w:rPr>
        <w:t>8.合同份数</w:t>
      </w:r>
    </w:p>
    <w:p w14:paraId="299321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本合同一式</w:t>
      </w:r>
      <w:r>
        <w:rPr>
          <w:rFonts w:hint="eastAsia" w:ascii="宋体" w:hAnsi="宋体" w:eastAsia="宋体"/>
          <w:color w:val="000000"/>
          <w:szCs w:val="21"/>
          <w:u w:val="single"/>
        </w:rPr>
        <w:t xml:space="preserve">    </w:t>
      </w:r>
      <w:r>
        <w:rPr>
          <w:rFonts w:hint="eastAsia" w:ascii="宋体" w:hAnsi="宋体" w:eastAsia="宋体"/>
          <w:color w:val="000000"/>
          <w:szCs w:val="21"/>
        </w:rPr>
        <w:t>份，采购人执</w:t>
      </w:r>
      <w:r>
        <w:rPr>
          <w:rFonts w:hint="eastAsia" w:ascii="宋体" w:hAnsi="宋体" w:eastAsia="宋体"/>
          <w:color w:val="000000"/>
          <w:szCs w:val="21"/>
          <w:u w:val="single"/>
        </w:rPr>
        <w:t xml:space="preserve">   </w:t>
      </w:r>
      <w:r>
        <w:rPr>
          <w:rFonts w:hint="eastAsia" w:ascii="宋体" w:hAnsi="宋体" w:eastAsia="宋体"/>
          <w:color w:val="000000"/>
          <w:szCs w:val="21"/>
        </w:rPr>
        <w:t>份，供应商执</w:t>
      </w:r>
      <w:r>
        <w:rPr>
          <w:rFonts w:hint="eastAsia" w:ascii="宋体" w:hAnsi="宋体" w:eastAsia="宋体"/>
          <w:color w:val="000000"/>
          <w:szCs w:val="21"/>
          <w:u w:val="single"/>
        </w:rPr>
        <w:t xml:space="preserve">   </w:t>
      </w:r>
      <w:r>
        <w:rPr>
          <w:rFonts w:hint="eastAsia" w:ascii="宋体" w:hAnsi="宋体" w:eastAsia="宋体"/>
          <w:color w:val="000000"/>
          <w:szCs w:val="21"/>
        </w:rPr>
        <w:t>份，均具有同等法律效力。</w:t>
      </w:r>
    </w:p>
    <w:p w14:paraId="0B25361A">
      <w:pPr>
        <w:adjustRightInd w:val="0"/>
        <w:snapToGrid w:val="0"/>
        <w:spacing w:before="156" w:beforeLines="50" w:line="360" w:lineRule="auto"/>
        <w:rPr>
          <w:rFonts w:ascii="宋体" w:hAnsi="宋体" w:eastAsia="宋体"/>
          <w:color w:val="000000"/>
          <w:szCs w:val="21"/>
        </w:rPr>
      </w:pPr>
    </w:p>
    <w:p w14:paraId="639657F4">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合同订立时间：</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w:t>
      </w:r>
    </w:p>
    <w:p w14:paraId="67E9FD32">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合同订立地点：</w:t>
      </w:r>
      <w:r>
        <w:rPr>
          <w:rFonts w:hint="eastAsia" w:ascii="宋体" w:hAnsi="宋体" w:eastAsia="宋体"/>
          <w:color w:val="000000"/>
          <w:szCs w:val="21"/>
          <w:u w:val="single"/>
        </w:rPr>
        <w:t xml:space="preserve">                           </w:t>
      </w:r>
    </w:p>
    <w:p w14:paraId="1F9B8C67">
      <w:pPr>
        <w:adjustRightInd w:val="0"/>
        <w:snapToGrid w:val="0"/>
        <w:spacing w:before="156" w:beforeLines="50" w:line="360" w:lineRule="auto"/>
        <w:ind w:firstLine="420" w:firstLineChars="200"/>
        <w:rPr>
          <w:rFonts w:ascii="宋体" w:hAnsi="宋体" w:eastAsia="宋体"/>
          <w:color w:val="000000"/>
          <w:szCs w:val="21"/>
        </w:rPr>
      </w:pPr>
      <w:r>
        <w:rPr>
          <w:rFonts w:hint="eastAsia" w:ascii="宋体" w:hAnsi="宋体" w:eastAsia="宋体"/>
          <w:color w:val="000000"/>
          <w:szCs w:val="21"/>
        </w:rPr>
        <w:t xml:space="preserve">    </w:t>
      </w:r>
    </w:p>
    <w:p w14:paraId="5D65FA3E">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甲      方：（公章）                     乙      方：（公章）</w:t>
      </w:r>
    </w:p>
    <w:p w14:paraId="4F1F8683">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法定代表人：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法定代表人：</w:t>
      </w:r>
      <w:r>
        <w:rPr>
          <w:rFonts w:hint="eastAsia" w:ascii="宋体" w:hAnsi="宋体" w:eastAsia="宋体"/>
          <w:color w:val="000000"/>
          <w:szCs w:val="21"/>
          <w:u w:val="single"/>
        </w:rPr>
        <w:t xml:space="preserve">                   </w:t>
      </w:r>
    </w:p>
    <w:p w14:paraId="59CF0065">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委托代理人：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委托代理人：</w:t>
      </w:r>
      <w:r>
        <w:rPr>
          <w:rFonts w:hint="eastAsia" w:ascii="宋体" w:hAnsi="宋体" w:eastAsia="宋体"/>
          <w:color w:val="000000"/>
          <w:szCs w:val="21"/>
          <w:u w:val="single"/>
        </w:rPr>
        <w:t xml:space="preserve">                   </w:t>
      </w:r>
    </w:p>
    <w:p w14:paraId="1F64F426">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电      话：</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电      话：</w:t>
      </w:r>
      <w:r>
        <w:rPr>
          <w:rFonts w:hint="eastAsia" w:ascii="宋体" w:hAnsi="宋体" w:eastAsia="宋体"/>
          <w:color w:val="000000"/>
          <w:szCs w:val="21"/>
          <w:u w:val="single"/>
        </w:rPr>
        <w:t xml:space="preserve">                   </w:t>
      </w:r>
    </w:p>
    <w:p w14:paraId="20F0120E">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传      真：</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传      真：</w:t>
      </w:r>
      <w:r>
        <w:rPr>
          <w:rFonts w:hint="eastAsia" w:ascii="宋体" w:hAnsi="宋体" w:eastAsia="宋体"/>
          <w:color w:val="000000"/>
          <w:szCs w:val="21"/>
          <w:u w:val="single"/>
        </w:rPr>
        <w:t xml:space="preserve">                   </w:t>
      </w:r>
    </w:p>
    <w:p w14:paraId="13E66E18">
      <w:pPr>
        <w:adjustRightInd w:val="0"/>
        <w:snapToGrid w:val="0"/>
        <w:spacing w:before="156" w:beforeLines="50" w:line="360" w:lineRule="auto"/>
        <w:ind w:firstLine="420" w:firstLineChars="200"/>
        <w:rPr>
          <w:rFonts w:ascii="宋体" w:hAnsi="宋体" w:eastAsia="宋体"/>
          <w:color w:val="000000"/>
          <w:szCs w:val="21"/>
        </w:rPr>
      </w:pPr>
      <w:r>
        <w:rPr>
          <w:rFonts w:hint="eastAsia" w:ascii="宋体" w:hAnsi="宋体" w:eastAsia="宋体"/>
          <w:color w:val="000000"/>
          <w:szCs w:val="21"/>
        </w:rPr>
        <w:t xml:space="preserve">                                    开 户 银 行：</w:t>
      </w:r>
      <w:r>
        <w:rPr>
          <w:rFonts w:hint="eastAsia" w:ascii="宋体" w:hAnsi="宋体" w:eastAsia="宋体"/>
          <w:color w:val="000000"/>
          <w:szCs w:val="21"/>
          <w:u w:val="single"/>
        </w:rPr>
        <w:t xml:space="preserve">                   </w:t>
      </w:r>
    </w:p>
    <w:p w14:paraId="3A2B0D67">
      <w:pPr>
        <w:adjustRightInd w:val="0"/>
        <w:snapToGrid w:val="0"/>
        <w:spacing w:before="156" w:beforeLines="50" w:line="360" w:lineRule="auto"/>
        <w:jc w:val="center"/>
        <w:rPr>
          <w:rFonts w:ascii="宋体" w:hAnsi="宋体" w:eastAsia="宋体"/>
          <w:b/>
          <w:color w:val="000000"/>
          <w:szCs w:val="21"/>
        </w:rPr>
      </w:pPr>
      <w:r>
        <w:rPr>
          <w:rFonts w:hint="eastAsia" w:ascii="宋体" w:hAnsi="宋体" w:eastAsia="宋体"/>
          <w:color w:val="000000"/>
          <w:szCs w:val="21"/>
        </w:rPr>
        <w:t xml:space="preserve"> 帐       号：</w:t>
      </w:r>
      <w:r>
        <w:rPr>
          <w:rFonts w:hint="eastAsia" w:ascii="宋体" w:hAnsi="宋体" w:eastAsia="宋体"/>
          <w:color w:val="000000"/>
          <w:szCs w:val="21"/>
          <w:u w:val="single"/>
        </w:rPr>
        <w:t xml:space="preserve">                 </w:t>
      </w:r>
    </w:p>
    <w:p w14:paraId="069A45FA">
      <w:pPr>
        <w:pStyle w:val="3"/>
        <w:adjustRightInd w:val="0"/>
        <w:snapToGrid w:val="0"/>
        <w:spacing w:before="156" w:beforeLines="50"/>
        <w:jc w:val="center"/>
        <w:rPr>
          <w:rFonts w:ascii="黑体" w:hAnsi="黑体" w:eastAsia="黑体"/>
          <w:sz w:val="28"/>
          <w:szCs w:val="28"/>
        </w:rPr>
      </w:pPr>
      <w:r>
        <w:rPr>
          <w:rFonts w:ascii="宋体" w:hAnsi="宋体" w:eastAsia="宋体"/>
          <w:color w:val="000000"/>
          <w:sz w:val="21"/>
          <w:szCs w:val="21"/>
          <w:u w:val="single"/>
        </w:rPr>
        <w:br w:type="page"/>
      </w:r>
      <w:bookmarkStart w:id="9" w:name="_Toc20651238"/>
      <w:r>
        <w:rPr>
          <w:rFonts w:hint="eastAsia" w:ascii="黑体" w:hAnsi="黑体" w:eastAsia="黑体"/>
          <w:sz w:val="28"/>
          <w:szCs w:val="28"/>
        </w:rPr>
        <w:t>第二节 政府采购合同通用条款</w:t>
      </w:r>
      <w:bookmarkEnd w:id="9"/>
    </w:p>
    <w:p w14:paraId="2437721E">
      <w:pPr>
        <w:tabs>
          <w:tab w:val="left" w:pos="8820"/>
          <w:tab w:val="left" w:pos="9345"/>
          <w:tab w:val="left" w:pos="9765"/>
        </w:tabs>
        <w:adjustRightInd w:val="0"/>
        <w:snapToGrid w:val="0"/>
        <w:spacing w:before="50" w:line="360" w:lineRule="auto"/>
        <w:jc w:val="left"/>
        <w:rPr>
          <w:rFonts w:ascii="宋体" w:hAnsi="宋体" w:eastAsia="宋体"/>
          <w:b/>
          <w:bCs/>
          <w:sz w:val="24"/>
        </w:rPr>
      </w:pPr>
      <w:r>
        <w:rPr>
          <w:rFonts w:hint="eastAsia" w:ascii="宋体" w:hAnsi="宋体" w:eastAsia="宋体"/>
          <w:b/>
          <w:sz w:val="24"/>
        </w:rPr>
        <w:t>1.</w:t>
      </w:r>
      <w:r>
        <w:rPr>
          <w:rFonts w:hint="eastAsia" w:ascii="宋体" w:hAnsi="宋体" w:eastAsia="宋体"/>
          <w:b/>
          <w:bCs/>
          <w:sz w:val="24"/>
        </w:rPr>
        <w:t>定义</w:t>
      </w:r>
    </w:p>
    <w:p w14:paraId="37F8F90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1.1合同当事人</w:t>
      </w:r>
    </w:p>
    <w:p w14:paraId="2780C30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b/>
          <w:szCs w:val="21"/>
        </w:rPr>
        <w:t>【政府采购合同专用条款】。</w:t>
      </w:r>
    </w:p>
    <w:p w14:paraId="67CA796A">
      <w:pPr>
        <w:autoSpaceDE w:val="0"/>
        <w:autoSpaceDN w:val="0"/>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（2）供应商（以下称乙方）是指参加政府采购活动而取得中标结果，并向采购人提供货物、服务的法人、其他组织或者自然人。</w:t>
      </w:r>
    </w:p>
    <w:p w14:paraId="2CA93844">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1.2本合同下列术语应解释为：</w:t>
      </w:r>
    </w:p>
    <w:p w14:paraId="599AF7F6">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（1）“合同”系指甲乙双方签署的、政府采购合同协议书中载明的甲乙双方所达成的协议，包括所有的附件、附录和上述文件所提到的构成合同的所有文件。</w:t>
      </w:r>
    </w:p>
    <w:p w14:paraId="6F35C5B9">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（2）“合同价”系指根据本合同规定乙方在正确地完全履行合同义务后甲方应支付给乙方的价款。</w:t>
      </w:r>
    </w:p>
    <w:p w14:paraId="2ADDC7B7">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（3）“货物”系指乙方根据本合同规定须向甲方提供的各种形态和种类的物品，包括原材料、设备、产品（包括软件）及相关的其备品备件、工具、手册及其它技术资料和材料。</w:t>
      </w:r>
    </w:p>
    <w:p w14:paraId="64ACA6B2">
      <w:pPr>
        <w:tabs>
          <w:tab w:val="left" w:pos="570"/>
          <w:tab w:val="left" w:pos="888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1F99EAB3">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（5）“合同条款”系指本合同条款。</w:t>
      </w:r>
    </w:p>
    <w:p w14:paraId="0AAF52B2">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（6）“项目现场”系指本合同项下货物安装、运行的现场，其名称见</w:t>
      </w:r>
      <w:r>
        <w:rPr>
          <w:rFonts w:hint="eastAsia" w:ascii="宋体" w:hAnsi="宋体" w:eastAsia="宋体"/>
          <w:b/>
          <w:szCs w:val="21"/>
        </w:rPr>
        <w:t>【政府采购合同专用条款】</w:t>
      </w:r>
      <w:r>
        <w:rPr>
          <w:rFonts w:hint="eastAsia" w:ascii="宋体" w:hAnsi="宋体" w:eastAsia="宋体"/>
          <w:szCs w:val="21"/>
        </w:rPr>
        <w:t>。</w:t>
      </w:r>
    </w:p>
    <w:p w14:paraId="1AB86FB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2.合同的适用范围</w:t>
      </w:r>
    </w:p>
    <w:p w14:paraId="53B9831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 本合同条款适用于没有被本合同其他部分的条款所取代的范围。</w:t>
      </w:r>
    </w:p>
    <w:p w14:paraId="19ECE75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 合同内容根据招标文件、</w:t>
      </w:r>
      <w:r>
        <w:rPr>
          <w:rFonts w:hint="eastAsia" w:ascii="宋体" w:hAnsi="宋体"/>
          <w:szCs w:val="21"/>
          <w:lang w:eastAsia="zh-CN"/>
        </w:rPr>
        <w:t>响应文件</w:t>
      </w:r>
      <w:r>
        <w:rPr>
          <w:rFonts w:hint="eastAsia" w:ascii="宋体" w:hAnsi="宋体" w:eastAsia="宋体"/>
          <w:szCs w:val="21"/>
        </w:rPr>
        <w:t>而确定。</w:t>
      </w:r>
    </w:p>
    <w:p w14:paraId="793E49BC">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3.</w:t>
      </w:r>
      <w:r>
        <w:rPr>
          <w:rFonts w:hint="eastAsia" w:ascii="宋体" w:hAnsi="宋体" w:eastAsia="宋体"/>
          <w:b/>
          <w:sz w:val="24"/>
        </w:rPr>
        <w:t>合同标的及金额</w:t>
      </w:r>
    </w:p>
    <w:p w14:paraId="1D9A872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3.1 合同标的及金额应与中标结果一致。</w:t>
      </w:r>
    </w:p>
    <w:p w14:paraId="2579E2F6">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4.</w:t>
      </w:r>
      <w:r>
        <w:rPr>
          <w:rFonts w:hint="eastAsia" w:ascii="宋体" w:hAnsi="宋体" w:eastAsia="宋体"/>
          <w:b/>
          <w:sz w:val="24"/>
        </w:rPr>
        <w:t>合同价款</w:t>
      </w:r>
    </w:p>
    <w:p w14:paraId="3575361D">
      <w:pPr>
        <w:adjustRightInd w:val="0"/>
        <w:snapToGrid w:val="0"/>
        <w:spacing w:before="50" w:line="360" w:lineRule="auto"/>
        <w:ind w:firstLine="420" w:firstLineChars="200"/>
        <w:jc w:val="left"/>
        <w:rPr>
          <w:rFonts w:ascii="宋体" w:hAnsi="宋体" w:eastAsia="宋体"/>
          <w:b/>
          <w:bCs/>
          <w:i/>
          <w:iCs/>
          <w:szCs w:val="21"/>
        </w:rPr>
      </w:pPr>
      <w:r>
        <w:rPr>
          <w:rFonts w:hint="eastAsia" w:ascii="宋体" w:hAnsi="宋体" w:eastAsia="宋体"/>
          <w:szCs w:val="21"/>
        </w:rPr>
        <w:t>4.1具体合同价款见本合同第3.1条。乙方为履行本合同而发生的所有费用均应包含在合同价款中，甲方不再另行支付其它任何费用。</w:t>
      </w:r>
    </w:p>
    <w:p w14:paraId="290ED44A">
      <w:pPr>
        <w:adjustRightInd w:val="0"/>
        <w:snapToGrid w:val="0"/>
        <w:spacing w:before="50" w:line="360" w:lineRule="auto"/>
        <w:jc w:val="left"/>
        <w:rPr>
          <w:rFonts w:ascii="宋体" w:hAnsi="宋体" w:eastAsia="宋体"/>
          <w:b/>
          <w:sz w:val="24"/>
        </w:rPr>
      </w:pPr>
      <w:r>
        <w:rPr>
          <w:rFonts w:hint="eastAsia" w:ascii="宋体" w:hAnsi="宋体" w:eastAsia="宋体"/>
          <w:b/>
          <w:sz w:val="24"/>
        </w:rPr>
        <w:t>5.履行合同的时间、地点和方式</w:t>
      </w:r>
    </w:p>
    <w:p w14:paraId="533433A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5.1 乙方应当在甲方确定的时间、指定的地点履行合同，具体的交货时间、地点和方式见</w:t>
      </w:r>
      <w:r>
        <w:rPr>
          <w:rFonts w:hint="eastAsia" w:ascii="宋体" w:hAnsi="宋体" w:eastAsia="宋体"/>
          <w:b/>
          <w:szCs w:val="21"/>
        </w:rPr>
        <w:t>【政府采购合同专用条款】</w:t>
      </w:r>
      <w:r>
        <w:rPr>
          <w:rFonts w:hint="eastAsia" w:ascii="宋体" w:hAnsi="宋体" w:eastAsia="宋体"/>
          <w:szCs w:val="21"/>
        </w:rPr>
        <w:t>。</w:t>
      </w:r>
    </w:p>
    <w:p w14:paraId="405320D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5.2 乙方提供服务的应当在甲方指定的地点完成服务项目。</w:t>
      </w:r>
    </w:p>
    <w:p w14:paraId="57A6742F">
      <w:pPr>
        <w:adjustRightInd w:val="0"/>
        <w:snapToGrid w:val="0"/>
        <w:spacing w:before="50" w:line="360" w:lineRule="auto"/>
        <w:jc w:val="left"/>
        <w:rPr>
          <w:rFonts w:hint="eastAsia" w:ascii="宋体" w:hAnsi="宋体" w:eastAsia="宋体"/>
          <w:b/>
          <w:bCs/>
          <w:sz w:val="24"/>
        </w:rPr>
      </w:pPr>
    </w:p>
    <w:p w14:paraId="1A38CE99">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6.</w:t>
      </w:r>
      <w:r>
        <w:rPr>
          <w:rFonts w:hint="eastAsia" w:ascii="宋体" w:hAnsi="宋体" w:eastAsia="宋体"/>
          <w:b/>
          <w:sz w:val="24"/>
        </w:rPr>
        <w:t>货物的验收</w:t>
      </w:r>
    </w:p>
    <w:p w14:paraId="56F613B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6.1 甲方在收到乙方交付的货物后应当及时组织验收。</w:t>
      </w:r>
    </w:p>
    <w:p w14:paraId="61C8A21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6.2 货物的表面瑕疵，甲方应在验收时当面提出；对质量问题有异议的应在安装调试后十个工作日内提出。</w:t>
      </w:r>
    </w:p>
    <w:p w14:paraId="701FB9F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6.3 在验收过程中发现数量不足或有质量、技术等问题，乙方应负责按照甲方的要求采取补足、更换或退货等处理措施，并承担由此发生的一切费用和损失。</w:t>
      </w:r>
    </w:p>
    <w:p w14:paraId="66F1224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6.4 甲方在乙方按合同规定交货或安装、调试后，无正当理由而拖延接收、验收或拒绝接收、验收的，应承担因此给乙方造成的直接损失。</w:t>
      </w:r>
    </w:p>
    <w:p w14:paraId="7D34BAD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6.5 甲方对货物进行检查验收合格后，应当收取发票并在《交货验收单》上签署验收意见及加盖单位印章。</w:t>
      </w:r>
    </w:p>
    <w:p w14:paraId="32881C3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6.6 大型或者复杂的货物采购项目，甲方可以邀请国家认可的质量检测机构参加验收工作，并由其出具验收报告单。</w:t>
      </w:r>
    </w:p>
    <w:p w14:paraId="080D684D">
      <w:pPr>
        <w:autoSpaceDE w:val="0"/>
        <w:autoSpaceDN w:val="0"/>
        <w:adjustRightInd w:val="0"/>
        <w:snapToGrid w:val="0"/>
        <w:spacing w:before="50" w:line="360" w:lineRule="auto"/>
        <w:ind w:firstLine="420" w:firstLineChars="200"/>
        <w:jc w:val="left"/>
        <w:rPr>
          <w:rFonts w:ascii="宋体" w:hAnsi="宋体" w:eastAsia="宋体"/>
          <w:color w:val="FF0000"/>
          <w:szCs w:val="21"/>
        </w:rPr>
      </w:pPr>
      <w:r>
        <w:rPr>
          <w:rFonts w:hint="eastAsia" w:ascii="宋体" w:hAnsi="宋体" w:eastAsia="宋体"/>
          <w:szCs w:val="21"/>
        </w:rPr>
        <w:t>6.7 乙方提供的进口产品，乙方应出示中华人民共和国进出口商品检验部门出具的检验证书（招标文件第五章采购需求另有约定的除外）。</w:t>
      </w:r>
    </w:p>
    <w:p w14:paraId="2992E132">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7.货物包装要求</w:t>
      </w:r>
    </w:p>
    <w:p w14:paraId="28AA047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196A774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7.2 每一个包装箱内应附一份详细装箱单、质量证书和保修保养证书。</w:t>
      </w:r>
    </w:p>
    <w:p w14:paraId="1B9575D5">
      <w:pPr>
        <w:adjustRightInd w:val="0"/>
        <w:snapToGrid w:val="0"/>
        <w:spacing w:before="50" w:line="360" w:lineRule="auto"/>
        <w:jc w:val="left"/>
        <w:rPr>
          <w:rFonts w:ascii="宋体" w:hAnsi="宋体" w:eastAsia="宋体"/>
          <w:b/>
          <w:sz w:val="24"/>
        </w:rPr>
      </w:pPr>
      <w:r>
        <w:rPr>
          <w:rFonts w:hint="eastAsia" w:ascii="宋体" w:hAnsi="宋体" w:eastAsia="宋体"/>
          <w:b/>
          <w:sz w:val="24"/>
        </w:rPr>
        <w:t>8.运输和保险</w:t>
      </w:r>
    </w:p>
    <w:p w14:paraId="5E932DBD">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8.1乙方负责办理将货物运抵本合同第5.1条规定的交货地点的一切运输事项，相关费用应包括在合同总价中。</w:t>
      </w:r>
    </w:p>
    <w:p w14:paraId="61245F1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8.2乙方应向保险公司投保以甲方为受益人的发运合同货物发票金额的110％运输一切险。</w:t>
      </w:r>
    </w:p>
    <w:p w14:paraId="67E94481">
      <w:pPr>
        <w:adjustRightInd w:val="0"/>
        <w:snapToGrid w:val="0"/>
        <w:spacing w:before="50" w:line="360" w:lineRule="auto"/>
        <w:jc w:val="left"/>
        <w:rPr>
          <w:rFonts w:ascii="宋体" w:hAnsi="宋体" w:eastAsia="宋体"/>
          <w:b/>
          <w:sz w:val="24"/>
        </w:rPr>
      </w:pPr>
      <w:r>
        <w:rPr>
          <w:rFonts w:hint="eastAsia" w:ascii="宋体" w:hAnsi="宋体" w:eastAsia="宋体"/>
          <w:b/>
          <w:sz w:val="24"/>
        </w:rPr>
        <w:t>9.质量标准和保证</w:t>
      </w:r>
    </w:p>
    <w:p w14:paraId="3511CC7B">
      <w:pPr>
        <w:pStyle w:val="24"/>
        <w:adjustRightInd w:val="0"/>
        <w:snapToGrid w:val="0"/>
        <w:spacing w:before="50" w:line="360" w:lineRule="auto"/>
        <w:ind w:firstLine="420" w:firstLineChars="200"/>
        <w:jc w:val="left"/>
        <w:rPr>
          <w:rFonts w:ascii="宋体" w:hAnsi="宋体" w:eastAsia="宋体"/>
          <w:b/>
        </w:rPr>
      </w:pPr>
      <w:r>
        <w:rPr>
          <w:rFonts w:hint="eastAsia" w:ascii="宋体" w:hAnsi="宋体" w:eastAsia="宋体"/>
        </w:rPr>
        <w:t>9.1 质量标准</w:t>
      </w:r>
    </w:p>
    <w:p w14:paraId="5015036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（1）本合同下交付的货物应符合招标文件第四章“技术规格、参数与要求”所述的标准。如果没有提及适用标准，则应符合中华人民共和国有关机构发布的最新版本的标准。</w:t>
      </w:r>
    </w:p>
    <w:p w14:paraId="08C03A9A">
      <w:pPr>
        <w:pStyle w:val="24"/>
        <w:adjustRightInd w:val="0"/>
        <w:snapToGrid w:val="0"/>
        <w:spacing w:before="50" w:line="360" w:lineRule="auto"/>
        <w:ind w:firstLine="420" w:firstLineChars="200"/>
        <w:jc w:val="left"/>
        <w:rPr>
          <w:rFonts w:ascii="宋体" w:hAnsi="宋体" w:eastAsia="宋体"/>
        </w:rPr>
      </w:pPr>
      <w:r>
        <w:rPr>
          <w:rFonts w:hint="eastAsia" w:ascii="宋体" w:hAnsi="宋体" w:eastAsia="宋体"/>
        </w:rPr>
        <w:t>（2）采用中华人民共和国法定计量单位。</w:t>
      </w:r>
    </w:p>
    <w:p w14:paraId="788D4EB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（3）乙方所出售的货物还应符合国家有关安全、环保、卫生之规定。</w:t>
      </w:r>
    </w:p>
    <w:p w14:paraId="506EB65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9.2 保证</w:t>
      </w:r>
    </w:p>
    <w:p w14:paraId="7814E60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b/>
          <w:szCs w:val="21"/>
        </w:rPr>
        <w:t>【政府采购合同专用条款】</w:t>
      </w:r>
      <w:r>
        <w:rPr>
          <w:rFonts w:hint="eastAsia" w:ascii="宋体" w:hAnsi="宋体" w:eastAsia="宋体"/>
          <w:szCs w:val="21"/>
        </w:rPr>
        <w:t>规定或乙方承诺（两者以较长的为准）的质量保证期内，本保证保持有效。</w:t>
      </w:r>
    </w:p>
    <w:p w14:paraId="17D3B2F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（2）在质量保证期内所发现的缺陷，甲方应尽快以书面形式通知乙方。</w:t>
      </w:r>
    </w:p>
    <w:p w14:paraId="094FC34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（3）乙方收到通知后应在</w:t>
      </w:r>
      <w:r>
        <w:rPr>
          <w:rFonts w:hint="eastAsia" w:ascii="宋体" w:hAnsi="宋体" w:eastAsia="宋体"/>
          <w:b/>
          <w:szCs w:val="21"/>
        </w:rPr>
        <w:t>【政府采购合同专用条款】</w:t>
      </w:r>
      <w:r>
        <w:rPr>
          <w:rFonts w:hint="eastAsia" w:ascii="宋体" w:hAnsi="宋体" w:eastAsia="宋体"/>
          <w:szCs w:val="21"/>
        </w:rPr>
        <w:t>规定的响应时间内以合理的速度免费维修或更换有缺陷的货物或部件。</w:t>
      </w:r>
    </w:p>
    <w:p w14:paraId="776E11E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0640FE66">
      <w:pPr>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（5）乙方在约定的时间内未能弥补缺陷，甲方可采取必要的补救措施，但其风险和费用将由乙方承担，甲方根据合同规定对乙方行使的其他权利不受影响。</w:t>
      </w:r>
    </w:p>
    <w:p w14:paraId="6630382F">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10.权利瑕疵担保</w:t>
      </w:r>
    </w:p>
    <w:p w14:paraId="0B1E92D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10.1 乙方保证对其出售的货物享有合法的权利。</w:t>
      </w:r>
    </w:p>
    <w:p w14:paraId="474DA87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10.2 乙方保证在其出售的货物上不存在任何未曾向甲方透露的担保物权，如抵押权、质押权、留置权等。</w:t>
      </w:r>
    </w:p>
    <w:p w14:paraId="208B5F7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10.3 如甲方使用该货物构成上述侵权的，则由乙方承担全部责任。</w:t>
      </w:r>
    </w:p>
    <w:p w14:paraId="279AEA45">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11.知识产权保护</w:t>
      </w:r>
    </w:p>
    <w:p w14:paraId="78D8684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11.1 乙方对其所销售的货物应当享有知识产权或经权利人合法授权，保证没有侵犯任何第三人的知识产权和商业秘密等权利。</w:t>
      </w:r>
    </w:p>
    <w:p w14:paraId="12CA298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11.2 甲方使用乙方提供的货物对第三人构成侵权的，应当由乙方承担全部法律责任，给甲方造成损害的，乙方应当承担赔偿责任。</w:t>
      </w:r>
    </w:p>
    <w:p w14:paraId="69CCFB6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11.3 甲方委托乙方开发的产品，甲方享有知识产权，未经甲方许可不得转让任何第三人。</w:t>
      </w:r>
    </w:p>
    <w:p w14:paraId="02BADDD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12.保密义务</w:t>
      </w:r>
    </w:p>
    <w:p w14:paraId="5DB3E5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12.1 甲、乙双方在采购和履行合同过程中所获悉的对方属于保密的内容，双方均有保密义务。</w:t>
      </w:r>
    </w:p>
    <w:p w14:paraId="69BEC28E">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13.合同价款支付</w:t>
      </w:r>
    </w:p>
    <w:p w14:paraId="71150DA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13.1验收合格后，乙方出具正规发票给甲方，凭甲方开具的《政府采购合同验收报告单》办理合同价</w:t>
      </w:r>
      <w:r>
        <w:rPr>
          <w:rFonts w:hint="eastAsia" w:ascii="宋体" w:hAnsi="宋体" w:eastAsia="宋体"/>
          <w:bCs/>
          <w:szCs w:val="21"/>
        </w:rPr>
        <w:t>款</w:t>
      </w:r>
      <w:r>
        <w:rPr>
          <w:rFonts w:hint="eastAsia" w:ascii="宋体" w:hAnsi="宋体" w:eastAsia="宋体"/>
          <w:szCs w:val="21"/>
        </w:rPr>
        <w:t>结算手续。</w:t>
      </w:r>
    </w:p>
    <w:p w14:paraId="2813FC4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13.2 合同价款构成中应当由财政支付的部分，甲方应当在货物验收合格后的十五个工作日内向国库管理部门申请支付，经国库管理部门审核后直接支付给乙方。</w:t>
      </w:r>
    </w:p>
    <w:p w14:paraId="52D19222">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13.3 合同价款构成中应当由甲方自行支付的部分，甲方应当在货物验收合格后十五个</w:t>
      </w:r>
      <w:r>
        <w:rPr>
          <w:rFonts w:hint="eastAsia" w:ascii="宋体" w:hAnsi="宋体"/>
          <w:szCs w:val="21"/>
          <w:lang w:eastAsia="zh-CN"/>
        </w:rPr>
        <w:t>工作日内</w:t>
      </w:r>
      <w:r>
        <w:rPr>
          <w:rFonts w:hint="eastAsia" w:ascii="宋体" w:hAnsi="宋体" w:eastAsia="宋体"/>
          <w:szCs w:val="21"/>
        </w:rPr>
        <w:t>支付。</w:t>
      </w:r>
    </w:p>
    <w:p w14:paraId="3556252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13.4支付合同价</w:t>
      </w:r>
      <w:r>
        <w:rPr>
          <w:rFonts w:hint="eastAsia" w:ascii="宋体" w:hAnsi="宋体" w:eastAsia="宋体"/>
          <w:bCs/>
          <w:szCs w:val="21"/>
        </w:rPr>
        <w:t>款</w:t>
      </w:r>
      <w:r>
        <w:rPr>
          <w:rFonts w:hint="eastAsia" w:ascii="宋体" w:hAnsi="宋体" w:eastAsia="宋体"/>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5CA11C5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13.5 合同价款支付方式</w:t>
      </w:r>
      <w:r>
        <w:rPr>
          <w:rFonts w:hint="eastAsia" w:ascii="宋体" w:hAnsi="宋体" w:eastAsia="宋体"/>
          <w:bCs/>
          <w:szCs w:val="21"/>
        </w:rPr>
        <w:t>和条件在</w:t>
      </w:r>
      <w:r>
        <w:rPr>
          <w:rFonts w:hint="eastAsia" w:ascii="宋体" w:hAnsi="宋体" w:eastAsia="宋体"/>
          <w:b/>
          <w:szCs w:val="21"/>
        </w:rPr>
        <w:t>【政府采购合同专用条款】</w:t>
      </w:r>
      <w:r>
        <w:rPr>
          <w:rFonts w:hint="eastAsia" w:ascii="宋体" w:hAnsi="宋体" w:eastAsia="宋体"/>
          <w:szCs w:val="21"/>
        </w:rPr>
        <w:t>中另有规定。</w:t>
      </w:r>
    </w:p>
    <w:p w14:paraId="39411AD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14.</w:t>
      </w:r>
      <w:r>
        <w:rPr>
          <w:rFonts w:hint="eastAsia"/>
          <w:b/>
          <w:sz w:val="24"/>
        </w:rPr>
        <w:t>乙方应提供的</w:t>
      </w:r>
      <w:r>
        <w:rPr>
          <w:rFonts w:hint="eastAsia" w:ascii="宋体" w:hAnsi="宋体" w:eastAsia="宋体"/>
          <w:b/>
          <w:sz w:val="24"/>
        </w:rPr>
        <w:t>服务</w:t>
      </w:r>
    </w:p>
    <w:p w14:paraId="64464D6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14.1 乙方应向甲方提交所提供货物的技术文件，包括相应的中文技术文件，如：产品目录、图纸、操作手册、使用说明、维护手册或服务指南。这些文件应包装好随同货物一起发运。</w:t>
      </w:r>
    </w:p>
    <w:p w14:paraId="0ABB398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14.2 乙方还应提供下列服务：</w:t>
      </w:r>
    </w:p>
    <w:p w14:paraId="018AF29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（1）货物的现场移动、安装、调试、启动监督及技术支持；</w:t>
      </w:r>
    </w:p>
    <w:p w14:paraId="4709DB3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（2）提供货物组装和维修所需的专用工具和辅助材料；</w:t>
      </w:r>
    </w:p>
    <w:p w14:paraId="630B7E1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（3）在合同各方商定的一定期限内对所有的货物实施运行监督、维修，但前提条件是该服务并不能免除乙方在质量保证期内所承担的义务；</w:t>
      </w:r>
    </w:p>
    <w:p w14:paraId="765E36E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（4）在制造商或项目现场就货物的安装、启动、运营、维护对甲方操作人员进行培训；</w:t>
      </w:r>
    </w:p>
    <w:p w14:paraId="4E58627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w:t>
      </w:r>
      <w:r>
        <w:rPr>
          <w:rFonts w:hint="eastAsia" w:ascii="宋体" w:hAnsi="宋体" w:eastAsia="宋体"/>
          <w:b/>
          <w:szCs w:val="21"/>
        </w:rPr>
        <w:t>【政府采购合同专用条款】</w:t>
      </w:r>
      <w:r>
        <w:rPr>
          <w:rFonts w:hint="eastAsia" w:ascii="宋体" w:hAnsi="宋体" w:eastAsia="宋体"/>
          <w:szCs w:val="21"/>
        </w:rPr>
        <w:t>规定由乙方提供的</w:t>
      </w:r>
      <w:r>
        <w:rPr>
          <w:rFonts w:hint="eastAsia" w:ascii="宋体" w:hAnsi="宋体"/>
          <w:szCs w:val="21"/>
          <w:lang w:eastAsia="zh-CN"/>
        </w:rPr>
        <w:t>土石方工程</w:t>
      </w:r>
      <w:r>
        <w:rPr>
          <w:rFonts w:hint="eastAsia" w:ascii="宋体" w:hAnsi="宋体" w:eastAsia="宋体"/>
          <w:szCs w:val="21"/>
        </w:rPr>
        <w:t>。</w:t>
      </w:r>
    </w:p>
    <w:p w14:paraId="3123B2C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14.3 乙方提供的服务的费用应包含在合同价款中，甲方不再另行支付。</w:t>
      </w:r>
    </w:p>
    <w:p w14:paraId="7CCEC0F3">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15.违约责任</w:t>
      </w:r>
    </w:p>
    <w:p w14:paraId="6A51FF4E">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15.1质量瑕疵的补救措施和索赔</w:t>
      </w:r>
    </w:p>
    <w:p w14:paraId="7B20E7B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6E7C73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①乙方同意退货并将货款退还给甲方，由此发生的一切费用和损失由乙方承担。</w:t>
      </w:r>
    </w:p>
    <w:p w14:paraId="2B944DA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②根据货物的质量状况以及甲方所遭受的损失，经过甲乙双方商定降低货物的价格。</w:t>
      </w:r>
    </w:p>
    <w:p w14:paraId="43FFFBB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0557C15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79E28D4">
      <w:pPr>
        <w:autoSpaceDE w:val="0"/>
        <w:autoSpaceDN w:val="0"/>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15.2 迟延交货的违约责任</w:t>
      </w:r>
    </w:p>
    <w:p w14:paraId="4BF035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6912B78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（2）除本合同</w:t>
      </w:r>
      <w:r>
        <w:rPr>
          <w:rFonts w:hint="eastAsia" w:ascii="宋体" w:hAnsi="宋体" w:eastAsia="宋体"/>
          <w:bCs/>
          <w:szCs w:val="21"/>
        </w:rPr>
        <w:t>第20条</w:t>
      </w:r>
      <w:r>
        <w:rPr>
          <w:rFonts w:hint="eastAsia" w:ascii="宋体" w:hAnsi="宋体" w:eastAsia="宋体"/>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35D0FAE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7AA443C">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16.合同的变更</w:t>
      </w:r>
    </w:p>
    <w:p w14:paraId="09DDF83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16.1 在合同履行过程中，甲、乙双方可就合同履行的时间、地点和方式等协商进行变更。协商一致后，双方应签订书面的补充协议。</w:t>
      </w:r>
    </w:p>
    <w:p w14:paraId="798FD04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16.2 在不改变合同其他条款的前提下，甲方有权在合同价款百分之十的范围内追加与合同标的相同的货物或服务，并就此与乙方签订补充合同，乙方不得拒绝。</w:t>
      </w:r>
    </w:p>
    <w:p w14:paraId="29037B4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16.3 除双方签署书面协议，并成为合同不可分割的一部分外，本合同条件不得有任何变更。</w:t>
      </w:r>
    </w:p>
    <w:p w14:paraId="7D5ABF96">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17.合同中止与终止</w:t>
      </w:r>
    </w:p>
    <w:p w14:paraId="2F3A02C5">
      <w:pPr>
        <w:adjustRightInd w:val="0"/>
        <w:snapToGrid w:val="0"/>
        <w:spacing w:before="50" w:line="360" w:lineRule="auto"/>
        <w:ind w:firstLine="420" w:firstLineChars="200"/>
        <w:jc w:val="left"/>
        <w:rPr>
          <w:rFonts w:hint="eastAsia" w:ascii="宋体" w:hAnsi="宋体" w:eastAsia="宋体"/>
          <w:szCs w:val="21"/>
          <w:lang w:eastAsia="zh-CN"/>
        </w:rPr>
      </w:pPr>
      <w:r>
        <w:rPr>
          <w:rFonts w:hint="eastAsia" w:ascii="宋体" w:hAnsi="宋体" w:eastAsia="宋体"/>
          <w:szCs w:val="21"/>
        </w:rPr>
        <w:t>17.1合同的</w:t>
      </w:r>
      <w:r>
        <w:rPr>
          <w:rFonts w:hint="eastAsia" w:ascii="宋体" w:hAnsi="宋体"/>
          <w:szCs w:val="21"/>
          <w:lang w:eastAsia="zh-CN"/>
        </w:rPr>
        <w:t>终止</w:t>
      </w:r>
    </w:p>
    <w:p w14:paraId="7CC2128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（1）合同在履行过程中，因采购计划调整，甲方可以要求中止履行，待计划确定后继续履行；</w:t>
      </w:r>
    </w:p>
    <w:p w14:paraId="2B0E98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（2）合同履行过程中因供应商就采购过程或结果提起投诉的，甲方认为有必要或财政部门责令中止的，应当中止合同的履行。</w:t>
      </w:r>
    </w:p>
    <w:p w14:paraId="7EF29234">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17.2合同的终止</w:t>
      </w:r>
    </w:p>
    <w:p w14:paraId="6F67501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（1）合同因有效期限届满而终止；</w:t>
      </w:r>
    </w:p>
    <w:p w14:paraId="09000A7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（2）乙方未能依照本合同约定条件履行合同，已构成根本性违约的，甲方有权终止本合同，并追究乙方的违约责任。</w:t>
      </w:r>
    </w:p>
    <w:p w14:paraId="1C72764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（3）如果乙方丧失履约能力或被宣告破产，甲方可在任何时候以书面形式通知乙方终止合同而不给乙方补偿。</w:t>
      </w:r>
    </w:p>
    <w:p w14:paraId="73802F0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（4）如果乙方在履行合同过程中有不正当竞争行为，甲方有权解除合同，并按《中华人民共和国反不正当竞争法》规定由有关部门追究其法律责任。</w:t>
      </w:r>
    </w:p>
    <w:p w14:paraId="761B9E2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（5）如果合同的履行将损害国家利益或社会公共利益，甲方有权终止合同的履行，给乙方造成损失的予以相应补偿。</w:t>
      </w:r>
    </w:p>
    <w:p w14:paraId="6FFA8E9B">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18.合同转让和分包</w:t>
      </w:r>
    </w:p>
    <w:p w14:paraId="4746F55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18.1 乙方不得以任何形式将合同转包。</w:t>
      </w:r>
    </w:p>
    <w:p w14:paraId="3BCFAC1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18.2 乙方未在</w:t>
      </w:r>
      <w:r>
        <w:rPr>
          <w:rFonts w:hint="eastAsia" w:ascii="宋体" w:hAnsi="宋体"/>
          <w:szCs w:val="21"/>
          <w:lang w:eastAsia="zh-CN"/>
        </w:rPr>
        <w:t>响应文件</w:t>
      </w:r>
      <w:r>
        <w:rPr>
          <w:rFonts w:hint="eastAsia" w:ascii="宋体" w:hAnsi="宋体" w:eastAsia="宋体"/>
          <w:szCs w:val="21"/>
        </w:rPr>
        <w:t>中说明，不得将</w:t>
      </w:r>
      <w:r>
        <w:rPr>
          <w:rFonts w:hint="eastAsia" w:ascii="宋体" w:hAnsi="宋体" w:eastAsia="宋体"/>
          <w:bCs/>
          <w:szCs w:val="21"/>
        </w:rPr>
        <w:t>合同</w:t>
      </w:r>
      <w:r>
        <w:rPr>
          <w:rFonts w:hint="eastAsia" w:ascii="宋体" w:hAnsi="宋体" w:eastAsia="宋体"/>
          <w:szCs w:val="21"/>
        </w:rPr>
        <w:t>的非主体、非关键性工作分包给他人。</w:t>
      </w:r>
    </w:p>
    <w:p w14:paraId="28E07678">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19.不可抗力</w:t>
      </w:r>
    </w:p>
    <w:p w14:paraId="7B16F0F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19.1 不可抗力是指合同双方不可预见、不可避免、不可克服的自然灾害和社会事件。</w:t>
      </w:r>
    </w:p>
    <w:p w14:paraId="3C2F8DE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19.2 任何一方对由于不可抗力造成的部分或全部不能履行合同不承担违约责任。但迟延履行后发生不可抗力的，不能免除责任。</w:t>
      </w:r>
    </w:p>
    <w:p w14:paraId="12D07BE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19.3 遇有不可抗力的一方，应在三日内将事件的情况以书面形式通知另一方，并在事件发生后十日内，向另一方提交合同不能履行或部分不能履行或需要延期履行理由的报告。</w:t>
      </w:r>
    </w:p>
    <w:p w14:paraId="32BD7611">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20.解决争议的方法</w:t>
      </w:r>
    </w:p>
    <w:p w14:paraId="0C65F78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20.1 合同各方应通过友好协商，解决在执行合同过程中所发生的或与合同有关的一切争端。如从协商开始后十日内仍不能解决，可以向财政部门提请调解。</w:t>
      </w:r>
    </w:p>
    <w:p w14:paraId="5C6449C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20.2 调解不成可以按</w:t>
      </w:r>
      <w:r>
        <w:rPr>
          <w:rFonts w:hint="eastAsia" w:ascii="宋体" w:hAnsi="宋体" w:eastAsia="宋体"/>
          <w:b/>
          <w:szCs w:val="21"/>
        </w:rPr>
        <w:t>【政府采购合同专用条款】</w:t>
      </w:r>
      <w:r>
        <w:rPr>
          <w:rFonts w:hint="eastAsia" w:ascii="宋体" w:hAnsi="宋体" w:eastAsia="宋体"/>
          <w:szCs w:val="21"/>
        </w:rPr>
        <w:t>中约定中规定下列方式之一提起仲裁或诉讼：</w:t>
      </w:r>
    </w:p>
    <w:p w14:paraId="59609DE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（1）向甲方所在地仲裁机构提起仲裁；</w:t>
      </w:r>
    </w:p>
    <w:p w14:paraId="699741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（2）向甲方所在地人民法院提起诉讼。</w:t>
      </w:r>
    </w:p>
    <w:p w14:paraId="090CC01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20.3 如仲裁或诉讼事项不影响合同其它部分的履行，则在仲裁或诉讼期间，除正在进行仲裁或诉讼的部分外，合同的其它部分应继续执行。</w:t>
      </w:r>
    </w:p>
    <w:p w14:paraId="58F3789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21.法律适用</w:t>
      </w:r>
    </w:p>
    <w:p w14:paraId="22C6137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21.1 本合同适用中华人民共和国现行法律、行政法规和规章，如合同条款与法律、行政法规和规章不一致的，按照法律、行政法规和规章修改本合同。</w:t>
      </w:r>
    </w:p>
    <w:p w14:paraId="44D337C7">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22.</w:t>
      </w:r>
      <w:r>
        <w:rPr>
          <w:rFonts w:hint="eastAsia" w:ascii="宋体" w:hAnsi="宋体" w:eastAsia="宋体"/>
          <w:b/>
          <w:sz w:val="24"/>
        </w:rPr>
        <w:t>通知</w:t>
      </w:r>
    </w:p>
    <w:p w14:paraId="3ADBC4FD">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22.1本合同一方给另一方的通知均应采用书面形式，传真或快递送到本合同中规定的对方的地址和办理签收手续，</w:t>
      </w:r>
    </w:p>
    <w:p w14:paraId="24AE7CD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22.2通知以送到之日或通知书中规定的生效之日起生效，两者中以较迟之日为准。</w:t>
      </w:r>
    </w:p>
    <w:p w14:paraId="4F1EF237">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23. 合同未尽事项</w:t>
      </w:r>
    </w:p>
    <w:p w14:paraId="25AE1AC8">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23.1合同未尽事项见</w:t>
      </w:r>
      <w:r>
        <w:rPr>
          <w:rFonts w:hint="eastAsia" w:ascii="宋体" w:hAnsi="宋体" w:eastAsia="宋体"/>
          <w:b/>
          <w:szCs w:val="21"/>
        </w:rPr>
        <w:t>【政府采购合同专用条款】。</w:t>
      </w:r>
    </w:p>
    <w:p w14:paraId="49D4C2CD">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24.合同生效</w:t>
      </w:r>
    </w:p>
    <w:p w14:paraId="1161ECBC">
      <w:pPr>
        <w:autoSpaceDE w:val="0"/>
        <w:autoSpaceDN w:val="0"/>
        <w:adjustRightInd w:val="0"/>
        <w:snapToGrid w:val="0"/>
        <w:spacing w:before="50" w:line="360" w:lineRule="auto"/>
        <w:ind w:firstLine="420" w:firstLineChars="200"/>
        <w:jc w:val="both"/>
        <w:rPr>
          <w:rFonts w:hint="eastAsia" w:ascii="宋体" w:hAnsi="宋体" w:eastAsia="宋体"/>
          <w:szCs w:val="21"/>
        </w:rPr>
      </w:pPr>
      <w:r>
        <w:rPr>
          <w:rFonts w:hint="eastAsia" w:ascii="宋体" w:hAnsi="宋体" w:eastAsia="宋体"/>
          <w:szCs w:val="21"/>
        </w:rPr>
        <w:t>24.1 本合同在合同双方签字盖章后生效。</w:t>
      </w:r>
    </w:p>
    <w:p w14:paraId="75954F7E">
      <w:pPr>
        <w:autoSpaceDE w:val="0"/>
        <w:autoSpaceDN w:val="0"/>
        <w:adjustRightInd w:val="0"/>
        <w:snapToGrid w:val="0"/>
        <w:spacing w:before="50" w:line="360" w:lineRule="auto"/>
        <w:jc w:val="both"/>
        <w:rPr>
          <w:rFonts w:hint="eastAsia" w:ascii="宋体" w:hAnsi="宋体" w:eastAsia="宋体"/>
          <w:szCs w:val="21"/>
        </w:rPr>
      </w:pPr>
    </w:p>
    <w:p w14:paraId="322C23AA">
      <w:pPr>
        <w:autoSpaceDE w:val="0"/>
        <w:autoSpaceDN w:val="0"/>
        <w:adjustRightInd w:val="0"/>
        <w:snapToGrid w:val="0"/>
        <w:spacing w:before="50" w:line="360" w:lineRule="auto"/>
        <w:jc w:val="both"/>
        <w:rPr>
          <w:rFonts w:hint="eastAsia" w:ascii="宋体" w:hAnsi="宋体" w:eastAsia="宋体"/>
          <w:szCs w:val="21"/>
        </w:rPr>
      </w:pPr>
    </w:p>
    <w:p w14:paraId="01830FD1">
      <w:pPr>
        <w:autoSpaceDE w:val="0"/>
        <w:autoSpaceDN w:val="0"/>
        <w:adjustRightInd w:val="0"/>
        <w:snapToGrid w:val="0"/>
        <w:spacing w:before="50" w:line="360" w:lineRule="auto"/>
        <w:jc w:val="both"/>
        <w:rPr>
          <w:rFonts w:hint="eastAsia" w:ascii="宋体" w:hAnsi="宋体" w:eastAsia="宋体"/>
          <w:szCs w:val="21"/>
        </w:rPr>
      </w:pPr>
    </w:p>
    <w:p w14:paraId="3AC72EF5">
      <w:pPr>
        <w:autoSpaceDE w:val="0"/>
        <w:autoSpaceDN w:val="0"/>
        <w:adjustRightInd w:val="0"/>
        <w:snapToGrid w:val="0"/>
        <w:spacing w:before="50" w:line="360" w:lineRule="auto"/>
        <w:jc w:val="both"/>
        <w:rPr>
          <w:rFonts w:hint="eastAsia" w:ascii="宋体" w:hAnsi="宋体" w:eastAsia="宋体"/>
          <w:szCs w:val="21"/>
        </w:rPr>
      </w:pPr>
    </w:p>
    <w:p w14:paraId="3C0E8E6F">
      <w:pPr>
        <w:autoSpaceDE w:val="0"/>
        <w:autoSpaceDN w:val="0"/>
        <w:adjustRightInd w:val="0"/>
        <w:snapToGrid w:val="0"/>
        <w:spacing w:before="50" w:line="360" w:lineRule="auto"/>
        <w:jc w:val="both"/>
        <w:rPr>
          <w:rFonts w:hint="eastAsia" w:ascii="宋体" w:hAnsi="宋体" w:eastAsia="宋体"/>
          <w:szCs w:val="21"/>
        </w:rPr>
      </w:pPr>
    </w:p>
    <w:p w14:paraId="638C8D93">
      <w:pPr>
        <w:autoSpaceDE w:val="0"/>
        <w:autoSpaceDN w:val="0"/>
        <w:adjustRightInd w:val="0"/>
        <w:snapToGrid w:val="0"/>
        <w:spacing w:before="50" w:line="360" w:lineRule="auto"/>
        <w:jc w:val="both"/>
        <w:rPr>
          <w:rFonts w:hint="eastAsia" w:ascii="宋体" w:hAnsi="宋体" w:eastAsia="宋体"/>
          <w:szCs w:val="21"/>
        </w:rPr>
      </w:pPr>
    </w:p>
    <w:p w14:paraId="085F9E08">
      <w:pPr>
        <w:autoSpaceDE w:val="0"/>
        <w:autoSpaceDN w:val="0"/>
        <w:adjustRightInd w:val="0"/>
        <w:snapToGrid w:val="0"/>
        <w:spacing w:before="50" w:line="360" w:lineRule="auto"/>
        <w:jc w:val="both"/>
        <w:rPr>
          <w:rFonts w:hint="eastAsia" w:ascii="宋体" w:hAnsi="宋体" w:eastAsia="宋体"/>
          <w:szCs w:val="21"/>
        </w:rPr>
      </w:pPr>
    </w:p>
    <w:p w14:paraId="38BD8142">
      <w:pPr>
        <w:autoSpaceDE w:val="0"/>
        <w:autoSpaceDN w:val="0"/>
        <w:adjustRightInd w:val="0"/>
        <w:snapToGrid w:val="0"/>
        <w:spacing w:before="50" w:line="360" w:lineRule="auto"/>
        <w:jc w:val="both"/>
        <w:rPr>
          <w:rFonts w:hint="eastAsia" w:ascii="宋体" w:hAnsi="宋体" w:eastAsia="宋体"/>
          <w:szCs w:val="21"/>
        </w:rPr>
      </w:pPr>
    </w:p>
    <w:p w14:paraId="296C228D">
      <w:pPr>
        <w:autoSpaceDE w:val="0"/>
        <w:autoSpaceDN w:val="0"/>
        <w:adjustRightInd w:val="0"/>
        <w:snapToGrid w:val="0"/>
        <w:spacing w:before="50" w:line="360" w:lineRule="auto"/>
        <w:jc w:val="both"/>
        <w:rPr>
          <w:rFonts w:hint="eastAsia" w:ascii="宋体" w:hAnsi="宋体" w:eastAsia="宋体"/>
          <w:szCs w:val="21"/>
        </w:rPr>
      </w:pPr>
    </w:p>
    <w:p w14:paraId="44CB853D">
      <w:pPr>
        <w:pStyle w:val="63"/>
        <w:rPr>
          <w:rFonts w:hint="eastAsia" w:ascii="宋体" w:hAnsi="宋体" w:eastAsia="宋体"/>
          <w:szCs w:val="21"/>
        </w:rPr>
      </w:pPr>
    </w:p>
    <w:p w14:paraId="6FE0B5E5">
      <w:pPr>
        <w:pStyle w:val="17"/>
        <w:rPr>
          <w:rFonts w:hint="eastAsia"/>
        </w:rPr>
      </w:pPr>
    </w:p>
    <w:p w14:paraId="69729AA8">
      <w:pPr>
        <w:numPr>
          <w:ilvl w:val="0"/>
          <w:numId w:val="7"/>
        </w:numPr>
        <w:autoSpaceDE w:val="0"/>
        <w:autoSpaceDN w:val="0"/>
        <w:adjustRightInd w:val="0"/>
        <w:snapToGrid w:val="0"/>
        <w:spacing w:before="50" w:line="360" w:lineRule="auto"/>
        <w:jc w:val="center"/>
        <w:rPr>
          <w:rFonts w:hint="eastAsia" w:ascii="黑体" w:hAnsi="华文中宋" w:eastAsia="黑体"/>
          <w:sz w:val="28"/>
          <w:szCs w:val="28"/>
        </w:rPr>
      </w:pPr>
      <w:bookmarkStart w:id="10" w:name="_Toc20651239"/>
      <w:r>
        <w:rPr>
          <w:rFonts w:hint="eastAsia" w:ascii="黑体" w:hAnsi="华文中宋" w:eastAsia="黑体"/>
          <w:sz w:val="28"/>
          <w:szCs w:val="28"/>
        </w:rPr>
        <w:t>政府采购合同专用条款</w:t>
      </w:r>
      <w:bookmarkEnd w:id="10"/>
    </w:p>
    <w:p w14:paraId="1F8A7014">
      <w:pPr>
        <w:pStyle w:val="2"/>
        <w:numPr>
          <w:ilvl w:val="0"/>
          <w:numId w:val="0"/>
        </w:numPr>
        <w:jc w:val="both"/>
      </w:pPr>
    </w:p>
    <w:p w14:paraId="44A37843"/>
    <w:p w14:paraId="6FBB3FDD">
      <w:pPr>
        <w:adjustRightInd w:val="0"/>
        <w:snapToGrid w:val="0"/>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按采购建设工程的特殊要求，对第二部分通用合同条款的原则性约定进行细化、完善、补充、修改或另行约定。</w:t>
      </w:r>
    </w:p>
    <w:p w14:paraId="29183613">
      <w:pPr>
        <w:widowControl/>
        <w:numPr>
          <w:ilvl w:val="0"/>
          <w:numId w:val="0"/>
        </w:numPr>
        <w:spacing w:line="440" w:lineRule="exact"/>
        <w:jc w:val="both"/>
        <w:rPr>
          <w:rFonts w:hint="eastAsia" w:ascii="宋体" w:hAnsi="宋体" w:cs="宋体"/>
          <w:b/>
          <w:color w:val="auto"/>
          <w:sz w:val="32"/>
          <w:szCs w:val="32"/>
          <w:lang w:eastAsia="zh-CN"/>
        </w:rPr>
      </w:pPr>
    </w:p>
    <w:p w14:paraId="16F25AA7">
      <w:pPr>
        <w:widowControl/>
        <w:numPr>
          <w:ilvl w:val="0"/>
          <w:numId w:val="0"/>
        </w:numPr>
        <w:spacing w:line="440" w:lineRule="exact"/>
        <w:jc w:val="both"/>
        <w:rPr>
          <w:rFonts w:hint="eastAsia" w:ascii="宋体" w:hAnsi="宋体" w:cs="宋体"/>
          <w:b/>
          <w:color w:val="auto"/>
          <w:sz w:val="32"/>
          <w:szCs w:val="32"/>
          <w:lang w:eastAsia="zh-CN"/>
        </w:rPr>
      </w:pPr>
    </w:p>
    <w:p w14:paraId="68032B54">
      <w:pPr>
        <w:widowControl/>
        <w:numPr>
          <w:ilvl w:val="0"/>
          <w:numId w:val="0"/>
        </w:numPr>
        <w:spacing w:line="440" w:lineRule="exact"/>
        <w:jc w:val="both"/>
        <w:rPr>
          <w:rFonts w:hint="eastAsia" w:ascii="宋体" w:hAnsi="宋体" w:cs="宋体"/>
          <w:b/>
          <w:color w:val="auto"/>
          <w:sz w:val="32"/>
          <w:szCs w:val="32"/>
          <w:lang w:eastAsia="zh-CN"/>
        </w:rPr>
      </w:pPr>
    </w:p>
    <w:p w14:paraId="63B9AE3B">
      <w:pPr>
        <w:widowControl/>
        <w:numPr>
          <w:ilvl w:val="0"/>
          <w:numId w:val="0"/>
        </w:numPr>
        <w:spacing w:line="440" w:lineRule="exact"/>
        <w:jc w:val="both"/>
        <w:rPr>
          <w:rFonts w:hint="eastAsia" w:ascii="宋体" w:hAnsi="宋体" w:cs="宋体"/>
          <w:b/>
          <w:color w:val="auto"/>
          <w:sz w:val="32"/>
          <w:szCs w:val="32"/>
          <w:lang w:eastAsia="zh-CN"/>
        </w:rPr>
      </w:pPr>
    </w:p>
    <w:p w14:paraId="0BB93D9C">
      <w:pPr>
        <w:widowControl/>
        <w:numPr>
          <w:ilvl w:val="0"/>
          <w:numId w:val="0"/>
        </w:numPr>
        <w:spacing w:line="440" w:lineRule="exact"/>
        <w:jc w:val="both"/>
        <w:rPr>
          <w:rFonts w:hint="eastAsia" w:ascii="宋体" w:hAnsi="宋体" w:cs="宋体"/>
          <w:b/>
          <w:color w:val="auto"/>
          <w:sz w:val="32"/>
          <w:szCs w:val="32"/>
          <w:lang w:eastAsia="zh-CN"/>
        </w:rPr>
      </w:pPr>
    </w:p>
    <w:p w14:paraId="19C51053">
      <w:pPr>
        <w:widowControl/>
        <w:numPr>
          <w:ilvl w:val="0"/>
          <w:numId w:val="0"/>
        </w:numPr>
        <w:spacing w:line="440" w:lineRule="exact"/>
        <w:jc w:val="both"/>
        <w:rPr>
          <w:rFonts w:hint="eastAsia" w:ascii="宋体" w:hAnsi="宋体" w:cs="宋体"/>
          <w:b/>
          <w:color w:val="auto"/>
          <w:sz w:val="32"/>
          <w:szCs w:val="32"/>
          <w:lang w:eastAsia="zh-CN"/>
        </w:rPr>
      </w:pPr>
    </w:p>
    <w:p w14:paraId="477F0FDD">
      <w:pPr>
        <w:widowControl/>
        <w:numPr>
          <w:ilvl w:val="0"/>
          <w:numId w:val="0"/>
        </w:numPr>
        <w:spacing w:line="440" w:lineRule="exact"/>
        <w:jc w:val="both"/>
        <w:rPr>
          <w:rFonts w:hint="eastAsia" w:ascii="宋体" w:hAnsi="宋体" w:cs="宋体"/>
          <w:b/>
          <w:color w:val="auto"/>
          <w:sz w:val="32"/>
          <w:szCs w:val="32"/>
          <w:lang w:eastAsia="zh-CN"/>
        </w:rPr>
      </w:pPr>
    </w:p>
    <w:p w14:paraId="632290FE">
      <w:pPr>
        <w:pStyle w:val="2"/>
        <w:rPr>
          <w:rFonts w:hint="eastAsia" w:ascii="宋体" w:hAnsi="宋体" w:cs="宋体"/>
          <w:b/>
          <w:color w:val="auto"/>
          <w:sz w:val="32"/>
          <w:szCs w:val="32"/>
          <w:lang w:eastAsia="zh-CN"/>
        </w:rPr>
      </w:pPr>
    </w:p>
    <w:p w14:paraId="40B480AE">
      <w:pPr>
        <w:rPr>
          <w:rFonts w:hint="eastAsia" w:ascii="宋体" w:hAnsi="宋体" w:cs="宋体"/>
          <w:b/>
          <w:color w:val="auto"/>
          <w:sz w:val="32"/>
          <w:szCs w:val="32"/>
          <w:lang w:eastAsia="zh-CN"/>
        </w:rPr>
      </w:pPr>
    </w:p>
    <w:p w14:paraId="222FCA8A">
      <w:pPr>
        <w:pStyle w:val="2"/>
        <w:rPr>
          <w:rFonts w:hint="eastAsia" w:ascii="宋体" w:hAnsi="宋体" w:cs="宋体"/>
          <w:b/>
          <w:color w:val="auto"/>
          <w:sz w:val="32"/>
          <w:szCs w:val="32"/>
          <w:lang w:eastAsia="zh-CN"/>
        </w:rPr>
      </w:pPr>
    </w:p>
    <w:p w14:paraId="7EB519CC">
      <w:pPr>
        <w:rPr>
          <w:rFonts w:hint="eastAsia" w:ascii="宋体" w:hAnsi="宋体" w:cs="宋体"/>
          <w:b/>
          <w:color w:val="auto"/>
          <w:sz w:val="32"/>
          <w:szCs w:val="32"/>
          <w:lang w:eastAsia="zh-CN"/>
        </w:rPr>
      </w:pPr>
    </w:p>
    <w:p w14:paraId="792A67DA">
      <w:pPr>
        <w:pStyle w:val="2"/>
        <w:rPr>
          <w:rFonts w:hint="eastAsia" w:ascii="宋体" w:hAnsi="宋体" w:cs="宋体"/>
          <w:b/>
          <w:color w:val="auto"/>
          <w:sz w:val="32"/>
          <w:szCs w:val="32"/>
          <w:lang w:eastAsia="zh-CN"/>
        </w:rPr>
      </w:pPr>
    </w:p>
    <w:p w14:paraId="08A8E321">
      <w:pPr>
        <w:rPr>
          <w:rFonts w:hint="eastAsia" w:ascii="宋体" w:hAnsi="宋体" w:cs="宋体"/>
          <w:b/>
          <w:color w:val="auto"/>
          <w:sz w:val="32"/>
          <w:szCs w:val="32"/>
          <w:lang w:eastAsia="zh-CN"/>
        </w:rPr>
      </w:pPr>
    </w:p>
    <w:p w14:paraId="7127BF78">
      <w:pPr>
        <w:pStyle w:val="2"/>
        <w:rPr>
          <w:rFonts w:hint="eastAsia" w:ascii="宋体" w:hAnsi="宋体" w:cs="宋体"/>
          <w:b/>
          <w:color w:val="auto"/>
          <w:sz w:val="32"/>
          <w:szCs w:val="32"/>
          <w:lang w:eastAsia="zh-CN"/>
        </w:rPr>
      </w:pPr>
    </w:p>
    <w:p w14:paraId="41E107F2">
      <w:pPr>
        <w:rPr>
          <w:rFonts w:hint="eastAsia" w:ascii="宋体" w:hAnsi="宋体" w:cs="宋体"/>
          <w:b/>
          <w:color w:val="auto"/>
          <w:sz w:val="32"/>
          <w:szCs w:val="32"/>
          <w:lang w:eastAsia="zh-CN"/>
        </w:rPr>
      </w:pPr>
    </w:p>
    <w:p w14:paraId="74F30618">
      <w:pPr>
        <w:pStyle w:val="2"/>
        <w:rPr>
          <w:rFonts w:hint="eastAsia" w:ascii="宋体" w:hAnsi="宋体" w:cs="宋体"/>
          <w:b/>
          <w:color w:val="auto"/>
          <w:sz w:val="32"/>
          <w:szCs w:val="32"/>
          <w:lang w:eastAsia="zh-CN"/>
        </w:rPr>
      </w:pPr>
    </w:p>
    <w:p w14:paraId="5886E00B">
      <w:pPr>
        <w:rPr>
          <w:rFonts w:hint="eastAsia" w:ascii="宋体" w:hAnsi="宋体" w:cs="宋体"/>
          <w:b/>
          <w:color w:val="auto"/>
          <w:sz w:val="32"/>
          <w:szCs w:val="32"/>
          <w:lang w:eastAsia="zh-CN"/>
        </w:rPr>
      </w:pPr>
    </w:p>
    <w:p w14:paraId="4EB245B5">
      <w:pPr>
        <w:pStyle w:val="2"/>
        <w:rPr>
          <w:rFonts w:hint="eastAsia" w:ascii="宋体" w:hAnsi="宋体" w:cs="宋体"/>
          <w:b/>
          <w:color w:val="auto"/>
          <w:sz w:val="32"/>
          <w:szCs w:val="32"/>
          <w:lang w:eastAsia="zh-CN"/>
        </w:rPr>
      </w:pPr>
    </w:p>
    <w:p w14:paraId="20A1E5BD">
      <w:pPr>
        <w:rPr>
          <w:rFonts w:hint="eastAsia" w:ascii="宋体" w:hAnsi="宋体" w:cs="宋体"/>
          <w:b/>
          <w:color w:val="auto"/>
          <w:sz w:val="32"/>
          <w:szCs w:val="32"/>
          <w:lang w:eastAsia="zh-CN"/>
        </w:rPr>
      </w:pPr>
    </w:p>
    <w:p w14:paraId="67766826">
      <w:pPr>
        <w:pStyle w:val="2"/>
        <w:rPr>
          <w:rFonts w:hint="eastAsia" w:ascii="宋体" w:hAnsi="宋体" w:cs="宋体"/>
          <w:b/>
          <w:color w:val="auto"/>
          <w:sz w:val="32"/>
          <w:szCs w:val="32"/>
          <w:lang w:eastAsia="zh-CN"/>
        </w:rPr>
      </w:pPr>
    </w:p>
    <w:p w14:paraId="0E56BC96">
      <w:pPr>
        <w:rPr>
          <w:rFonts w:hint="eastAsia" w:ascii="宋体" w:hAnsi="宋体" w:cs="宋体"/>
          <w:b/>
          <w:color w:val="auto"/>
          <w:sz w:val="32"/>
          <w:szCs w:val="32"/>
          <w:lang w:eastAsia="zh-CN"/>
        </w:rPr>
      </w:pPr>
    </w:p>
    <w:p w14:paraId="485BBCAD">
      <w:pPr>
        <w:pStyle w:val="2"/>
        <w:rPr>
          <w:rFonts w:hint="eastAsia" w:ascii="宋体" w:hAnsi="宋体" w:cs="宋体"/>
          <w:b/>
          <w:color w:val="auto"/>
          <w:sz w:val="32"/>
          <w:szCs w:val="32"/>
          <w:lang w:eastAsia="zh-CN"/>
        </w:rPr>
      </w:pPr>
    </w:p>
    <w:p w14:paraId="683E0C98">
      <w:pPr>
        <w:rPr>
          <w:rFonts w:hint="eastAsia" w:ascii="宋体" w:hAnsi="宋体" w:cs="宋体"/>
          <w:b/>
          <w:color w:val="auto"/>
          <w:sz w:val="32"/>
          <w:szCs w:val="32"/>
          <w:lang w:eastAsia="zh-CN"/>
        </w:rPr>
      </w:pPr>
    </w:p>
    <w:p w14:paraId="3D095913">
      <w:pPr>
        <w:pStyle w:val="2"/>
        <w:rPr>
          <w:rFonts w:hint="eastAsia"/>
          <w:lang w:eastAsia="zh-CN"/>
        </w:rPr>
      </w:pPr>
    </w:p>
    <w:p w14:paraId="64EFCC9C">
      <w:pPr>
        <w:widowControl/>
        <w:numPr>
          <w:ilvl w:val="0"/>
          <w:numId w:val="0"/>
        </w:numPr>
        <w:spacing w:line="440" w:lineRule="exact"/>
        <w:jc w:val="both"/>
        <w:rPr>
          <w:rFonts w:hint="eastAsia" w:ascii="宋体" w:hAnsi="宋体" w:cs="宋体"/>
          <w:b/>
          <w:color w:val="auto"/>
          <w:sz w:val="32"/>
          <w:szCs w:val="32"/>
          <w:lang w:eastAsia="zh-CN"/>
        </w:rPr>
      </w:pPr>
    </w:p>
    <w:p w14:paraId="73438A54">
      <w:pPr>
        <w:pStyle w:val="42"/>
        <w:rPr>
          <w:rFonts w:hint="eastAsia" w:ascii="宋体" w:hAnsi="宋体" w:cs="宋体"/>
          <w:b/>
          <w:color w:val="auto"/>
          <w:sz w:val="32"/>
          <w:szCs w:val="32"/>
          <w:lang w:eastAsia="zh-CN"/>
        </w:rPr>
      </w:pPr>
    </w:p>
    <w:p w14:paraId="6A0E1AEB">
      <w:pPr>
        <w:pStyle w:val="42"/>
        <w:rPr>
          <w:rFonts w:hint="eastAsia" w:ascii="宋体" w:hAnsi="宋体" w:cs="宋体"/>
          <w:b/>
          <w:color w:val="auto"/>
          <w:sz w:val="32"/>
          <w:szCs w:val="32"/>
          <w:lang w:eastAsia="zh-CN"/>
        </w:rPr>
      </w:pPr>
    </w:p>
    <w:p w14:paraId="4B47A396">
      <w:pPr>
        <w:pageBreakBefore w:val="0"/>
        <w:widowControl/>
        <w:numPr>
          <w:ilvl w:val="0"/>
          <w:numId w:val="8"/>
        </w:numPr>
        <w:kinsoku/>
        <w:wordWrap/>
        <w:overflowPunct/>
        <w:topLinePunct w:val="0"/>
        <w:autoSpaceDE/>
        <w:autoSpaceDN/>
        <w:bidi w:val="0"/>
        <w:spacing w:line="480" w:lineRule="auto"/>
        <w:jc w:val="center"/>
        <w:textAlignment w:val="auto"/>
        <w:rPr>
          <w:rFonts w:hint="eastAsia" w:ascii="宋体" w:hAnsi="宋体" w:cs="宋体"/>
          <w:b/>
          <w:color w:val="auto"/>
          <w:sz w:val="32"/>
          <w:szCs w:val="32"/>
          <w:highlight w:val="none"/>
        </w:rPr>
      </w:pP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采购需求</w:t>
      </w:r>
    </w:p>
    <w:p w14:paraId="3A54DA90">
      <w:pPr>
        <w:pStyle w:val="3"/>
        <w:pageBreakBefore w:val="0"/>
        <w:numPr>
          <w:ilvl w:val="0"/>
          <w:numId w:val="0"/>
        </w:numPr>
        <w:kinsoku/>
        <w:wordWrap/>
        <w:overflowPunct/>
        <w:topLinePunct w:val="0"/>
        <w:autoSpaceDE/>
        <w:autoSpaceDN/>
        <w:bidi w:val="0"/>
        <w:spacing w:before="0" w:after="0" w:line="480" w:lineRule="auto"/>
        <w:ind w:left="0" w:leftChars="0" w:firstLine="0" w:firstLineChars="0"/>
        <w:textAlignment w:val="auto"/>
        <w:rPr>
          <w:rFonts w:hint="eastAsia" w:ascii="宋体" w:hAnsi="宋体" w:eastAsia="宋体" w:cs="宋体"/>
          <w:sz w:val="21"/>
          <w:szCs w:val="21"/>
        </w:rPr>
      </w:pPr>
      <w:bookmarkStart w:id="11" w:name="_Toc128884461"/>
      <w:bookmarkStart w:id="12" w:name="_Toc288468094"/>
      <w:bookmarkStart w:id="13" w:name="_Toc402897600"/>
      <w:r>
        <w:rPr>
          <w:rFonts w:hint="eastAsia" w:ascii="宋体" w:hAnsi="宋体" w:eastAsia="宋体" w:cs="宋体"/>
          <w:b/>
          <w:bCs/>
          <w:kern w:val="2"/>
          <w:sz w:val="21"/>
          <w:szCs w:val="21"/>
          <w:lang w:val="en-US" w:eastAsia="zh-CN" w:bidi="ar-SA"/>
        </w:rPr>
        <w:t>一、</w:t>
      </w:r>
      <w:r>
        <w:rPr>
          <w:rFonts w:hint="eastAsia" w:ascii="宋体" w:hAnsi="宋体" w:eastAsia="宋体" w:cs="宋体"/>
          <w:sz w:val="24"/>
          <w:szCs w:val="24"/>
        </w:rPr>
        <w:t>项目概况</w:t>
      </w:r>
      <w:r>
        <w:rPr>
          <w:rFonts w:hint="eastAsia" w:ascii="宋体" w:hAnsi="宋体" w:eastAsia="宋体" w:cs="宋体"/>
          <w:sz w:val="21"/>
          <w:szCs w:val="21"/>
        </w:rPr>
        <w:t>　</w:t>
      </w:r>
      <w:bookmarkEnd w:id="11"/>
      <w:bookmarkEnd w:id="12"/>
    </w:p>
    <w:p w14:paraId="1A3C7262">
      <w:pPr>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1.项目名称：</w:t>
      </w:r>
      <w:r>
        <w:rPr>
          <w:rFonts w:hint="eastAsia" w:ascii="宋体" w:hAnsi="宋体" w:cs="宋体"/>
          <w:sz w:val="21"/>
          <w:szCs w:val="21"/>
          <w:lang w:val="en-US" w:eastAsia="zh-CN"/>
        </w:rPr>
        <w:t>岳阳县张谷英村古建筑群文物修缮工程（隐患整治项目）</w:t>
      </w:r>
    </w:p>
    <w:p w14:paraId="755233C9">
      <w:pPr>
        <w:pStyle w:val="17"/>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2.项目</w:t>
      </w:r>
      <w:r>
        <w:rPr>
          <w:rFonts w:hint="eastAsia" w:ascii="宋体" w:hAnsi="宋体" w:eastAsia="宋体" w:cs="宋体"/>
          <w:sz w:val="21"/>
          <w:szCs w:val="21"/>
          <w:highlight w:val="none"/>
          <w:lang w:val="en-US" w:eastAsia="zh-CN"/>
        </w:rPr>
        <w:t>预算</w:t>
      </w:r>
      <w:r>
        <w:rPr>
          <w:rFonts w:hint="eastAsia" w:ascii="宋体" w:hAnsi="宋体" w:eastAsia="宋体" w:cs="宋体"/>
          <w:b w:val="0"/>
          <w:bCs w:val="0"/>
          <w:color w:val="000000"/>
          <w:kern w:val="2"/>
          <w:sz w:val="21"/>
          <w:szCs w:val="21"/>
          <w:lang w:val="en-US" w:eastAsia="zh-CN" w:bidi="ar-SA"/>
        </w:rPr>
        <w:t>：</w:t>
      </w:r>
      <w:r>
        <w:rPr>
          <w:rFonts w:hint="eastAsia" w:ascii="宋体" w:hAnsi="宋体" w:cs="宋体"/>
          <w:b w:val="0"/>
          <w:bCs w:val="0"/>
          <w:color w:val="000000"/>
          <w:kern w:val="2"/>
          <w:sz w:val="21"/>
          <w:szCs w:val="21"/>
          <w:lang w:val="en-US" w:eastAsia="zh-CN" w:bidi="ar-SA"/>
        </w:rPr>
        <w:t>1720000.00</w:t>
      </w:r>
      <w:r>
        <w:rPr>
          <w:rFonts w:hint="eastAsia" w:ascii="宋体" w:hAnsi="宋体" w:cs="宋体"/>
          <w:b w:val="0"/>
          <w:bCs w:val="0"/>
          <w:color w:val="000000"/>
          <w:kern w:val="2"/>
          <w:sz w:val="21"/>
          <w:szCs w:val="21"/>
          <w:lang w:eastAsia="zh-CN" w:bidi="ar-SA"/>
        </w:rPr>
        <w:t>元</w:t>
      </w:r>
      <w:r>
        <w:rPr>
          <w:rFonts w:hint="eastAsia" w:ascii="宋体" w:hAnsi="宋体" w:cs="宋体"/>
          <w:b w:val="0"/>
          <w:bCs w:val="0"/>
          <w:color w:val="000000"/>
          <w:kern w:val="2"/>
          <w:sz w:val="21"/>
          <w:szCs w:val="21"/>
          <w:lang w:val="en-US" w:eastAsia="zh-CN" w:bidi="ar-SA"/>
        </w:rPr>
        <w:t>；</w:t>
      </w:r>
      <w:r>
        <w:rPr>
          <w:rFonts w:hint="eastAsia" w:ascii="宋体" w:hAnsi="宋体" w:eastAsia="宋体" w:cs="宋体"/>
          <w:b w:val="0"/>
          <w:bCs w:val="0"/>
          <w:kern w:val="0"/>
          <w:sz w:val="21"/>
          <w:szCs w:val="21"/>
          <w:highlight w:val="none"/>
          <w:lang w:val="en-US" w:eastAsia="zh-CN"/>
        </w:rPr>
        <w:t>最高限价：</w:t>
      </w:r>
      <w:r>
        <w:rPr>
          <w:rFonts w:hint="eastAsia" w:ascii="宋体" w:hAnsi="宋体" w:cs="宋体"/>
          <w:b w:val="0"/>
          <w:bCs w:val="0"/>
          <w:kern w:val="0"/>
          <w:sz w:val="21"/>
          <w:szCs w:val="21"/>
          <w:highlight w:val="none"/>
          <w:lang w:val="en-US" w:eastAsia="zh-CN"/>
        </w:rPr>
        <w:t>1720000.00</w:t>
      </w:r>
      <w:r>
        <w:rPr>
          <w:rFonts w:hint="eastAsia" w:ascii="宋体" w:hAnsi="宋体" w:eastAsia="宋体" w:cs="宋体"/>
          <w:b w:val="0"/>
          <w:bCs w:val="0"/>
          <w:color w:val="000000"/>
          <w:kern w:val="2"/>
          <w:sz w:val="21"/>
          <w:szCs w:val="21"/>
          <w:lang w:val="en-US" w:eastAsia="zh-CN" w:bidi="ar-SA"/>
        </w:rPr>
        <w:t>元</w:t>
      </w:r>
    </w:p>
    <w:p w14:paraId="36308EC3">
      <w:pPr>
        <w:pStyle w:val="3"/>
        <w:pageBreakBefore w:val="0"/>
        <w:widowControl w:val="0"/>
        <w:numPr>
          <w:ilvl w:val="0"/>
          <w:numId w:val="0"/>
        </w:numPr>
        <w:kinsoku/>
        <w:wordWrap/>
        <w:overflowPunct/>
        <w:topLinePunct w:val="0"/>
        <w:autoSpaceDE/>
        <w:autoSpaceDN/>
        <w:bidi w:val="0"/>
        <w:adjustRightInd/>
        <w:snapToGrid/>
        <w:spacing w:before="0" w:after="0" w:line="480" w:lineRule="auto"/>
        <w:ind w:left="0" w:leftChars="0" w:firstLine="420" w:firstLineChars="200"/>
        <w:textAlignment w:val="auto"/>
        <w:rPr>
          <w:rFonts w:hint="eastAsia" w:ascii="宋体" w:hAnsi="宋体" w:cs="宋体"/>
          <w:b w:val="0"/>
          <w:bCs w:val="0"/>
          <w:sz w:val="21"/>
          <w:szCs w:val="21"/>
          <w:lang w:val="en-US" w:eastAsia="zh-CN"/>
        </w:rPr>
      </w:pPr>
      <w:r>
        <w:rPr>
          <w:rFonts w:hint="eastAsia" w:ascii="宋体" w:hAnsi="宋体" w:eastAsia="宋体" w:cs="宋体"/>
          <w:b w:val="0"/>
          <w:bCs w:val="0"/>
          <w:sz w:val="21"/>
          <w:szCs w:val="21"/>
          <w:lang w:val="en-US" w:eastAsia="zh-CN"/>
        </w:rPr>
        <w:t>3.项目</w:t>
      </w:r>
      <w:r>
        <w:rPr>
          <w:rFonts w:hint="eastAsia" w:ascii="宋体" w:hAnsi="宋体" w:cs="宋体"/>
          <w:b w:val="0"/>
          <w:bCs w:val="0"/>
          <w:sz w:val="21"/>
          <w:szCs w:val="21"/>
          <w:lang w:val="en-US" w:eastAsia="zh-CN"/>
        </w:rPr>
        <w:t>工期：90日历天</w:t>
      </w:r>
    </w:p>
    <w:p w14:paraId="11E10B96">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cs="宋体"/>
          <w:b w:val="0"/>
          <w:bCs w:val="0"/>
          <w:kern w:val="0"/>
          <w:sz w:val="21"/>
          <w:szCs w:val="21"/>
          <w:lang w:val="en-US" w:eastAsia="zh-CN" w:bidi="ar-SA"/>
        </w:rPr>
      </w:pPr>
      <w:r>
        <w:rPr>
          <w:rFonts w:hint="eastAsia" w:ascii="宋体" w:hAnsi="宋体" w:cs="宋体"/>
          <w:b w:val="0"/>
          <w:bCs w:val="0"/>
          <w:sz w:val="21"/>
          <w:szCs w:val="21"/>
          <w:lang w:val="en-US" w:eastAsia="zh-CN"/>
        </w:rPr>
        <w:t>4.</w:t>
      </w:r>
      <w:r>
        <w:rPr>
          <w:rFonts w:hint="eastAsia" w:ascii="宋体" w:hAnsi="宋体" w:eastAsia="宋体" w:cs="宋体"/>
          <w:b w:val="0"/>
          <w:bCs w:val="0"/>
          <w:sz w:val="21"/>
          <w:szCs w:val="21"/>
          <w:lang w:val="en-US" w:eastAsia="zh-CN"/>
        </w:rPr>
        <w:t>项</w:t>
      </w:r>
      <w:r>
        <w:rPr>
          <w:rFonts w:hint="eastAsia" w:ascii="宋体" w:hAnsi="宋体" w:eastAsia="宋体" w:cs="宋体"/>
          <w:b w:val="0"/>
          <w:bCs w:val="0"/>
          <w:kern w:val="0"/>
          <w:sz w:val="21"/>
          <w:szCs w:val="21"/>
          <w:lang w:val="en-US" w:eastAsia="zh-CN" w:bidi="ar-SA"/>
        </w:rPr>
        <w:t>目概况：本项目位于</w:t>
      </w:r>
      <w:r>
        <w:rPr>
          <w:rFonts w:hint="eastAsia" w:ascii="宋体" w:hAnsi="宋体" w:cs="宋体"/>
          <w:b w:val="0"/>
          <w:bCs w:val="0"/>
          <w:kern w:val="0"/>
          <w:sz w:val="21"/>
          <w:szCs w:val="21"/>
          <w:lang w:val="en-US" w:eastAsia="zh-CN" w:bidi="ar-SA"/>
        </w:rPr>
        <w:t>岳阳县张谷英景区内</w:t>
      </w:r>
      <w:r>
        <w:rPr>
          <w:rFonts w:hint="eastAsia" w:ascii="宋体" w:hAnsi="宋体" w:eastAsia="宋体" w:cs="宋体"/>
          <w:b w:val="0"/>
          <w:bCs w:val="0"/>
          <w:kern w:val="0"/>
          <w:sz w:val="21"/>
          <w:szCs w:val="21"/>
          <w:lang w:val="en-US" w:eastAsia="zh-CN" w:bidi="ar-SA"/>
        </w:rPr>
        <w:t>，主要建设内容为：王家塅西三横堂屋一、二、三进院落及西偏房一、二进院落屋面挑顶翻修，更换酥碱、碎裂的小青瓦及后期更换的红瓦；补配缺失勾头及檐头附件，补配缺失封檐板；更换糟朽榛条，清理木屋架；检查墙体，打点墙面重新灰浆勾缝；恢复室外方砖地面，铲除室内水泥地面，铺墁青砖，整修起翘木地板、更换糟朽木地板，补配缺失木地板：按原型制补配门、窗；归安走闪条石等。具体详见工程量清单。</w:t>
      </w:r>
    </w:p>
    <w:bookmarkEnd w:id="13"/>
    <w:p w14:paraId="67E65307">
      <w:pPr>
        <w:pageBreakBefore w:val="0"/>
        <w:widowControl w:val="0"/>
        <w:kinsoku/>
        <w:wordWrap/>
        <w:overflowPunct/>
        <w:topLinePunct w:val="0"/>
        <w:autoSpaceDE/>
        <w:autoSpaceDN/>
        <w:bidi w:val="0"/>
        <w:adjustRightInd/>
        <w:snapToGrid/>
        <w:spacing w:before="156" w:beforeLines="50" w:line="480" w:lineRule="auto"/>
        <w:jc w:val="left"/>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eastAsia="zh-CN"/>
        </w:rPr>
        <w:t>二、</w:t>
      </w:r>
      <w:r>
        <w:rPr>
          <w:rFonts w:hint="eastAsia" w:ascii="宋体" w:hAnsi="宋体" w:cs="宋体"/>
          <w:b/>
          <w:bCs/>
          <w:color w:val="auto"/>
          <w:sz w:val="24"/>
          <w:szCs w:val="24"/>
          <w:lang w:val="en-US" w:eastAsia="zh-CN"/>
        </w:rPr>
        <w:t>工程承包范围</w:t>
      </w:r>
    </w:p>
    <w:p w14:paraId="2D67A52F">
      <w:pPr>
        <w:pageBreakBefore w:val="0"/>
        <w:widowControl w:val="0"/>
        <w:kinsoku/>
        <w:wordWrap/>
        <w:overflowPunct/>
        <w:topLinePunct w:val="0"/>
        <w:autoSpaceDE/>
        <w:autoSpaceDN/>
        <w:bidi w:val="0"/>
        <w:adjustRightInd/>
        <w:snapToGrid/>
        <w:spacing w:before="156" w:beforeLines="50" w:line="480" w:lineRule="auto"/>
        <w:jc w:val="left"/>
        <w:textAlignment w:val="auto"/>
        <w:rPr>
          <w:rFonts w:hint="eastAsia" w:ascii="宋体" w:hAnsi="宋体" w:eastAsia="宋体" w:cs="宋体"/>
          <w:b w:val="0"/>
          <w:bCs w:val="0"/>
          <w:kern w:val="2"/>
          <w:sz w:val="21"/>
          <w:szCs w:val="21"/>
          <w:lang w:val="zh-CN" w:eastAsia="zh-CN" w:bidi="ar-SA"/>
        </w:rPr>
      </w:pPr>
      <w:r>
        <w:rPr>
          <w:rFonts w:hint="eastAsia" w:ascii="宋体" w:hAnsi="宋体" w:eastAsia="宋体" w:cs="宋体"/>
          <w:b w:val="0"/>
          <w:bCs w:val="0"/>
          <w:kern w:val="2"/>
          <w:sz w:val="21"/>
          <w:szCs w:val="21"/>
          <w:lang w:val="zh-CN" w:eastAsia="zh-CN" w:bidi="ar-SA"/>
        </w:rPr>
        <w:t>具体详见工程量清单（另附）。</w:t>
      </w:r>
    </w:p>
    <w:p w14:paraId="395AEC07">
      <w:pPr>
        <w:pageBreakBefore w:val="0"/>
        <w:widowControl w:val="0"/>
        <w:kinsoku/>
        <w:wordWrap/>
        <w:overflowPunct/>
        <w:topLinePunct w:val="0"/>
        <w:autoSpaceDE/>
        <w:autoSpaceDN/>
        <w:bidi w:val="0"/>
        <w:adjustRightInd/>
        <w:snapToGrid/>
        <w:spacing w:before="156" w:beforeLines="50" w:line="480" w:lineRule="auto"/>
        <w:jc w:val="left"/>
        <w:textAlignment w:val="auto"/>
        <w:rPr>
          <w:rFonts w:hint="eastAsia" w:ascii="宋体" w:hAnsi="宋体" w:eastAsia="宋体" w:cs="宋体"/>
          <w:b/>
          <w:bCs/>
          <w:color w:val="auto"/>
          <w:sz w:val="24"/>
          <w:szCs w:val="24"/>
          <w:lang w:val="zh-CN" w:eastAsia="zh-CN"/>
        </w:rPr>
      </w:pPr>
      <w:r>
        <w:rPr>
          <w:rFonts w:hint="eastAsia" w:ascii="宋体" w:hAnsi="宋体" w:eastAsia="宋体" w:cs="宋体"/>
          <w:b/>
          <w:bCs/>
          <w:color w:val="auto"/>
          <w:sz w:val="24"/>
          <w:szCs w:val="24"/>
          <w:lang w:val="zh-CN" w:eastAsia="zh-CN"/>
        </w:rPr>
        <w:t>三、项目实施要求</w:t>
      </w:r>
    </w:p>
    <w:p w14:paraId="0D6ABE3E">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人员要求：项目负责人应在投标阶段予以明确，且无在建工程（指目前未在其他项目上任职，或虽在其他项目上任职但本项目中标后能够从该项目撤离）。</w:t>
      </w:r>
    </w:p>
    <w:p w14:paraId="53D23FD3">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其它关键岗位人员待中标后在施工过程中按湘建建[2020]208号要求配备，且均无在建工程（指目前未在其他项目上任职，或虽在其他项目上任职但本项目中标后能够从该项目撤离）。</w:t>
      </w:r>
    </w:p>
    <w:p w14:paraId="74A95294">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施工要求：为确保施工进度，必要时需进行夜间、节假日施工。</w:t>
      </w:r>
    </w:p>
    <w:p w14:paraId="132961F7">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成交供应商如有违反操作规程及粗制滥造现象，采购人有权加以制止，直至下令停止施工，其经济损失全部由承包人负责，工期不得顺延；</w:t>
      </w:r>
    </w:p>
    <w:p w14:paraId="53A0330D">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当现场情况与设计不相符时，须先报告采购方, 再由采购方和设计方根据现场进行调整。</w:t>
      </w:r>
    </w:p>
    <w:p w14:paraId="0675BA06">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投标报价文件：报价文件中的单价和总价均以人民币表示。响应报价文件具体格式以本项目提供的工程量清单为准。投标报价必须按工程量清单形式提供。</w:t>
      </w:r>
    </w:p>
    <w:p w14:paraId="6BFEE220">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供应商报价应合理、透明，不得存在恶意竞价或虚报价格等行为。</w:t>
      </w:r>
    </w:p>
    <w:p w14:paraId="43D8E8F5">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为保证竣工后各分部分项工程和所有构配件均处于正常工作状态，供应商应根据施工现场的实际情况进行合理的施工组织设计，若供应商遗漏磋商文件所列工程量清单内容，均由成交人自负，采购人不再支付任何费用。若发现工程量清单有漏项的情况，必须充分考虑采取必要措施和预案严格控制预算。</w:t>
      </w:r>
    </w:p>
    <w:p w14:paraId="35E631A3">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计价方式：按照最新计价规定报价。</w:t>
      </w:r>
    </w:p>
    <w:p w14:paraId="04918239">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本工程采用一般计税法相关规定进行。</w:t>
      </w:r>
    </w:p>
    <w:p w14:paraId="29C5ACCE">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工程款支付：按照合同规定的内容全部完成所承包的工程，经验收质量合格，并符合合同要求之后，向发包单位进行的最终工程款结算，具体内容按合同约定；结算时以实际发生的工程量据实结算。若工程实际施工内容发生变更，需按相关规定做好工程变更资料和现场签证，并保留现场相关影像资料，为工程结算提供依据。</w:t>
      </w:r>
    </w:p>
    <w:p w14:paraId="2BA5DF10">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转包和分包：本工程供应商中标后，不得以任何形式将本工程转包或分包给其他单位，如发现转包或分包，采购人有权终止合同，所造成的一切损失由中标供应商负责。</w:t>
      </w:r>
    </w:p>
    <w:p w14:paraId="09343EE1">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结算方法</w:t>
      </w:r>
    </w:p>
    <w:p w14:paraId="6EE8551C">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付款人：岳阳县张谷英管理处。</w:t>
      </w:r>
    </w:p>
    <w:p w14:paraId="2A46E79C">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付款方式：以转账方式分期支付。</w:t>
      </w:r>
    </w:p>
    <w:p w14:paraId="25194618">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预付款：合同签订后7天内甲方支付中标金额的30%给乙方作为预付款工程进度款按进度支付</w:t>
      </w:r>
    </w:p>
    <w:p w14:paraId="7E786098">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工程进度款</w:t>
      </w:r>
    </w:p>
    <w:p w14:paraId="550CC114">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(1)按月进度申报进度款，乙方申报进度款及工程量清单，以甲方审定已完成合格工程量造价的85%予以支付进度款，每次申请的进度款内，同比例扣除前期已支付的预付款，付款时间为进度款中报后次月15日前;甲方审定的中报进度款与乙方中报进度款不一致的，以甲方审定结论为准:乙方延迟申报进度款的，甲方有权按延迟时间的三倍时间推迟支付工程进度款;</w:t>
      </w:r>
    </w:p>
    <w:p w14:paraId="1D701FD5">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(2)工程结算完成终审后二周内付至终审总金额的97%，余款3%作为质保金，在质量缺陷责任期满后支付。</w:t>
      </w:r>
    </w:p>
    <w:p w14:paraId="0875A9A2">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项目地点：岳阳县张谷英镇。</w:t>
      </w:r>
    </w:p>
    <w:p w14:paraId="3BEB03FB">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质量要求：达到《全国重点文物保护单位文物保护工程竣工验收管理暂行办法》规定的验收标准，全部工程达到合格标准。</w:t>
      </w:r>
    </w:p>
    <w:p w14:paraId="1A8220FC">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安全事项：供应商做好施工现场安全防护工作，严格执行有关安全生产的法律法规和规章制度，施工过程中的一切安全与运输事项由中标人自行负责，采购人不承担任何责任，确保无安全责任事故。</w:t>
      </w:r>
    </w:p>
    <w:p w14:paraId="0D1C6DD5">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项目验收：工程施工过程中及竣工后，中标人配合采购人或采购人授权的相关人员对项目进行中间验收和竣工验收；施工质量符合国家相关施工质量验收规范标准要求。</w:t>
      </w:r>
    </w:p>
    <w:p w14:paraId="0593C0D2">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施工及验收标准：本工程项目的材料、设备、施工须执行中华人民共和国所有现行工程建设国家规范、技术要求及强制性条文，具体以本项目施工图设计文件相关技术标准和要求为准。工程施工过程中及竣工后，中标人配合采购人或采购人授权的相关人员对项目进行中间验收和竣工验收。</w:t>
      </w:r>
    </w:p>
    <w:p w14:paraId="45F2A747">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cs="宋体"/>
          <w:b w:val="0"/>
          <w:bCs/>
          <w:lang w:val="zh-CN"/>
        </w:rPr>
      </w:pPr>
      <w:r>
        <w:rPr>
          <w:rFonts w:hint="eastAsia" w:ascii="宋体" w:hAnsi="宋体" w:cs="宋体"/>
          <w:b w:val="0"/>
          <w:bCs/>
          <w:lang w:val="zh-CN"/>
        </w:rPr>
        <w:t>保修要求：按《文物保护法》和《文物保护管理暂行条例》的相关规定执行。</w:t>
      </w:r>
    </w:p>
    <w:p w14:paraId="6A404745">
      <w:pPr>
        <w:numPr>
          <w:ilvl w:val="0"/>
          <w:numId w:val="0"/>
        </w:numPr>
        <w:spacing w:before="0" w:after="0" w:line="360" w:lineRule="auto"/>
        <w:ind w:left="0" w:leftChars="0" w:firstLine="420" w:firstLineChars="200"/>
        <w:jc w:val="left"/>
        <w:outlineLvl w:val="9"/>
        <w:rPr>
          <w:rFonts w:hint="eastAsia" w:ascii="宋体" w:hAnsi="宋体" w:cs="宋体"/>
          <w:b w:val="0"/>
          <w:bCs/>
          <w:lang w:val="zh-CN"/>
        </w:rPr>
      </w:pPr>
      <w:r>
        <w:rPr>
          <w:rFonts w:hint="eastAsia" w:ascii="宋体" w:hAnsi="宋体" w:cs="宋体"/>
          <w:b w:val="0"/>
          <w:bCs/>
          <w:lang w:val="zh-CN"/>
        </w:rPr>
        <w:t>其他：采购人在开标前不统一组织现场踏勘，供应商自行踏勘现场，了解项目的详细情况。有关费用自理，踏勘期间发生的意外自负。施工期间应接受采购人及监理工程师的监督管理，遵守有关规定。</w:t>
      </w:r>
    </w:p>
    <w:p w14:paraId="6EAAA279">
      <w:pPr>
        <w:keepNext w:val="0"/>
        <w:keepLines w:val="0"/>
        <w:pageBreakBefore w:val="0"/>
        <w:widowControl w:val="0"/>
        <w:kinsoku/>
        <w:wordWrap/>
        <w:overflowPunct/>
        <w:topLinePunct w:val="0"/>
        <w:autoSpaceDE/>
        <w:autoSpaceDN/>
        <w:bidi w:val="0"/>
        <w:adjustRightInd/>
        <w:snapToGrid/>
        <w:spacing w:before="156" w:beforeLines="50" w:line="480" w:lineRule="auto"/>
        <w:ind w:firstLine="420" w:firstLineChars="200"/>
        <w:jc w:val="left"/>
        <w:textAlignment w:val="auto"/>
        <w:rPr>
          <w:rFonts w:hint="eastAsia" w:ascii="宋体" w:hAnsi="宋体" w:eastAsia="宋体" w:cs="宋体"/>
          <w:b w:val="0"/>
          <w:bCs/>
          <w:kern w:val="2"/>
          <w:sz w:val="21"/>
          <w:szCs w:val="24"/>
          <w:lang w:val="zh-CN" w:eastAsia="zh-CN" w:bidi="ar-SA"/>
        </w:rPr>
      </w:pPr>
      <w:r>
        <w:rPr>
          <w:rFonts w:hint="eastAsia" w:ascii="宋体" w:hAnsi="宋体" w:cs="宋体"/>
          <w:b w:val="0"/>
          <w:bCs/>
          <w:lang w:val="zh-CN"/>
        </w:rPr>
        <w:t>其他未尽事宜由采购人和中标供应商双方在采购合同中详细约定。</w:t>
      </w:r>
    </w:p>
    <w:p w14:paraId="2082A804">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bookmarkStart w:id="14" w:name="_Toc11879751"/>
      <w:bookmarkStart w:id="15" w:name="_Toc11879750"/>
      <w:bookmarkStart w:id="16" w:name="_Toc11879250"/>
    </w:p>
    <w:p w14:paraId="58BD61AC">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44D00234">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073B01A0">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784DED44">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1F8A47EF">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30324D6C">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4D0FB3C5">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44CCA2B3">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26186216">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41A83074">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57BE9CF2">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366354DF">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538177D1">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32DB18FB">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51AE2BD4">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302D1059">
      <w:pPr>
        <w:numPr>
          <w:ilvl w:val="0"/>
          <w:numId w:val="0"/>
        </w:numPr>
        <w:spacing w:before="0" w:after="0" w:line="360" w:lineRule="auto"/>
        <w:ind w:left="0" w:leftChars="0" w:firstLine="0" w:firstLineChars="0"/>
        <w:jc w:val="center"/>
        <w:outlineLvl w:val="9"/>
        <w:rPr>
          <w:rFonts w:hint="eastAsia" w:ascii="宋体" w:hAnsi="宋体" w:cs="宋体"/>
          <w:b w:val="0"/>
          <w:bCs/>
          <w:lang w:val="zh-CN"/>
        </w:rPr>
      </w:pPr>
    </w:p>
    <w:p w14:paraId="7DAF2BE0">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r>
        <w:rPr>
          <w:rFonts w:hint="eastAsia" w:ascii="宋体" w:hAnsi="宋体" w:cs="宋体"/>
          <w:b/>
          <w:color w:val="auto"/>
          <w:sz w:val="32"/>
          <w:szCs w:val="32"/>
        </w:rPr>
        <w:t>第五章 响应文件组成</w:t>
      </w:r>
      <w:bookmarkEnd w:id="14"/>
      <w:bookmarkEnd w:id="15"/>
      <w:bookmarkEnd w:id="16"/>
    </w:p>
    <w:p w14:paraId="7CCDDCC2">
      <w:pPr>
        <w:spacing w:line="360" w:lineRule="auto"/>
        <w:rPr>
          <w:rFonts w:hint="eastAsia" w:ascii="宋体" w:hAnsi="宋体" w:cs="宋体"/>
          <w:color w:val="auto"/>
        </w:rPr>
      </w:pPr>
    </w:p>
    <w:p w14:paraId="13B48E07">
      <w:pPr>
        <w:spacing w:line="360" w:lineRule="auto"/>
        <w:rPr>
          <w:rFonts w:hint="eastAsia" w:ascii="宋体" w:hAnsi="宋体"/>
          <w:color w:val="auto"/>
          <w:szCs w:val="21"/>
        </w:rPr>
      </w:pPr>
      <w:r>
        <w:rPr>
          <w:rFonts w:hint="eastAsia" w:ascii="宋体" w:hAnsi="宋体"/>
          <w:color w:val="auto"/>
          <w:szCs w:val="21"/>
        </w:rPr>
        <w:t>供应商的响应文件应包含以下</w:t>
      </w:r>
      <w:r>
        <w:rPr>
          <w:rFonts w:hint="eastAsia" w:ascii="宋体" w:hAnsi="宋体"/>
          <w:color w:val="auto"/>
          <w:szCs w:val="21"/>
          <w:lang w:eastAsia="zh-CN"/>
        </w:rPr>
        <w:t>九</w:t>
      </w:r>
      <w:r>
        <w:rPr>
          <w:rFonts w:hint="eastAsia" w:ascii="宋体" w:hAnsi="宋体"/>
          <w:color w:val="auto"/>
          <w:szCs w:val="21"/>
        </w:rPr>
        <w:t>个部分：</w:t>
      </w:r>
    </w:p>
    <w:p w14:paraId="4668C684">
      <w:pPr>
        <w:spacing w:line="360" w:lineRule="auto"/>
        <w:rPr>
          <w:rFonts w:hint="eastAsia" w:ascii="宋体" w:hAnsi="宋体"/>
          <w:b/>
          <w:color w:val="auto"/>
          <w:szCs w:val="21"/>
        </w:rPr>
      </w:pPr>
      <w:bookmarkStart w:id="17" w:name="_Toc11879251"/>
      <w:r>
        <w:rPr>
          <w:rFonts w:hint="eastAsia" w:ascii="宋体" w:hAnsi="宋体"/>
          <w:b/>
          <w:color w:val="auto"/>
          <w:szCs w:val="21"/>
        </w:rPr>
        <w:t>一、磋商响应声明</w:t>
      </w:r>
      <w:bookmarkEnd w:id="17"/>
    </w:p>
    <w:p w14:paraId="0F3AF4F1">
      <w:pPr>
        <w:spacing w:line="360" w:lineRule="auto"/>
        <w:rPr>
          <w:rFonts w:hint="eastAsia" w:ascii="宋体" w:hAnsi="宋体"/>
          <w:color w:val="auto"/>
          <w:szCs w:val="21"/>
        </w:rPr>
      </w:pPr>
      <w:bookmarkStart w:id="18" w:name="_Toc11879252"/>
      <w:r>
        <w:rPr>
          <w:rFonts w:hint="eastAsia" w:ascii="宋体" w:hAnsi="宋体"/>
          <w:color w:val="auto"/>
          <w:szCs w:val="21"/>
        </w:rPr>
        <w:t>附件1：法定代表人身份证明(法定代表人参加磋商)</w:t>
      </w:r>
      <w:bookmarkEnd w:id="18"/>
    </w:p>
    <w:p w14:paraId="1173C590">
      <w:pPr>
        <w:spacing w:line="360" w:lineRule="auto"/>
        <w:rPr>
          <w:rFonts w:hint="eastAsia" w:ascii="宋体" w:hAnsi="宋体"/>
          <w:color w:val="auto"/>
          <w:szCs w:val="21"/>
        </w:rPr>
      </w:pPr>
      <w:bookmarkStart w:id="19" w:name="_Toc11879253"/>
      <w:r>
        <w:rPr>
          <w:rFonts w:hint="eastAsia" w:ascii="宋体" w:hAnsi="宋体"/>
          <w:color w:val="auto"/>
          <w:szCs w:val="21"/>
        </w:rPr>
        <w:t>附件2：法定代表人授权书(委托代理人参加磋商)</w:t>
      </w:r>
      <w:bookmarkEnd w:id="19"/>
    </w:p>
    <w:p w14:paraId="4B06F4A2">
      <w:pPr>
        <w:spacing w:line="360" w:lineRule="auto"/>
        <w:rPr>
          <w:rFonts w:hint="eastAsia" w:ascii="宋体" w:hAnsi="宋体"/>
          <w:b/>
          <w:color w:val="auto"/>
          <w:szCs w:val="21"/>
        </w:rPr>
      </w:pPr>
      <w:bookmarkStart w:id="20" w:name="_Toc11879255"/>
      <w:r>
        <w:rPr>
          <w:rFonts w:hint="eastAsia" w:ascii="宋体" w:hAnsi="宋体"/>
          <w:b/>
          <w:color w:val="auto"/>
          <w:szCs w:val="21"/>
        </w:rPr>
        <w:t>二、保证金</w:t>
      </w:r>
      <w:bookmarkEnd w:id="20"/>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本项目不需要提供</w:t>
      </w:r>
      <w:r>
        <w:rPr>
          <w:rFonts w:hint="eastAsia" w:ascii="宋体" w:hAnsi="宋体"/>
          <w:b/>
          <w:color w:val="auto"/>
          <w:szCs w:val="21"/>
          <w:highlight w:val="none"/>
          <w:lang w:eastAsia="zh-CN"/>
        </w:rPr>
        <w:t>）</w:t>
      </w:r>
    </w:p>
    <w:p w14:paraId="15A555A1">
      <w:pPr>
        <w:spacing w:line="360" w:lineRule="auto"/>
        <w:rPr>
          <w:rFonts w:hint="eastAsia" w:ascii="宋体" w:hAnsi="宋体"/>
          <w:b/>
          <w:color w:val="auto"/>
          <w:szCs w:val="21"/>
        </w:rPr>
      </w:pPr>
      <w:bookmarkStart w:id="21" w:name="_Toc11879257"/>
      <w:r>
        <w:rPr>
          <w:rFonts w:hint="eastAsia" w:ascii="宋体" w:hAnsi="宋体"/>
          <w:b/>
          <w:color w:val="auto"/>
          <w:szCs w:val="21"/>
        </w:rPr>
        <w:t>三、供应商的资格证明材料</w:t>
      </w:r>
      <w:bookmarkEnd w:id="21"/>
    </w:p>
    <w:p w14:paraId="549258BF">
      <w:pPr>
        <w:spacing w:line="360" w:lineRule="auto"/>
        <w:rPr>
          <w:rFonts w:hint="eastAsia" w:ascii="宋体" w:hAnsi="宋体"/>
          <w:color w:val="auto"/>
          <w:szCs w:val="21"/>
        </w:rPr>
      </w:pPr>
      <w:bookmarkStart w:id="22" w:name="_Toc11879258"/>
      <w:r>
        <w:rPr>
          <w:rFonts w:hint="eastAsia" w:ascii="宋体" w:hAnsi="宋体"/>
          <w:color w:val="auto"/>
          <w:szCs w:val="21"/>
        </w:rPr>
        <w:t>附件</w:t>
      </w:r>
      <w:r>
        <w:rPr>
          <w:rFonts w:hint="eastAsia" w:ascii="宋体" w:hAnsi="宋体"/>
          <w:color w:val="auto"/>
          <w:szCs w:val="21"/>
          <w:lang w:val="en-US" w:eastAsia="zh-CN"/>
        </w:rPr>
        <w:t>3</w:t>
      </w:r>
      <w:r>
        <w:rPr>
          <w:rFonts w:hint="eastAsia" w:ascii="宋体" w:hAnsi="宋体"/>
          <w:color w:val="auto"/>
          <w:szCs w:val="21"/>
        </w:rPr>
        <w:t>：供应商基本情况表</w:t>
      </w:r>
      <w:bookmarkEnd w:id="22"/>
    </w:p>
    <w:p w14:paraId="558258D5">
      <w:pPr>
        <w:spacing w:line="360" w:lineRule="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w:t>
      </w:r>
      <w:r>
        <w:rPr>
          <w:rFonts w:hint="eastAsia" w:ascii="宋体" w:hAnsi="宋体" w:eastAsia="宋体" w:cs="宋体"/>
          <w:sz w:val="21"/>
          <w:szCs w:val="21"/>
        </w:rPr>
        <w:t>磋商文件规定的基本资格条件证明资料</w:t>
      </w:r>
    </w:p>
    <w:p w14:paraId="6B374D48">
      <w:pPr>
        <w:spacing w:line="360" w:lineRule="auto"/>
        <w:rPr>
          <w:rFonts w:hint="eastAsia" w:ascii="宋体" w:hAnsi="宋体" w:eastAsia="宋体" w:cs="Times New Roman"/>
          <w:color w:val="auto"/>
          <w:szCs w:val="21"/>
          <w:lang w:val="en-US" w:eastAsia="zh-CN"/>
        </w:rPr>
      </w:pPr>
      <w:r>
        <w:rPr>
          <w:rFonts w:hint="eastAsia" w:ascii="宋体" w:hAnsi="宋体" w:eastAsia="宋体" w:cs="宋体"/>
          <w:sz w:val="21"/>
          <w:szCs w:val="21"/>
        </w:rPr>
        <w:t>附件</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-1：湖南省政府采购供应商</w:t>
      </w:r>
      <w:r>
        <w:rPr>
          <w:rFonts w:hint="eastAsia" w:ascii="宋体" w:hAnsi="宋体" w:eastAsia="宋体" w:cs="Times New Roman"/>
          <w:color w:val="auto"/>
          <w:szCs w:val="21"/>
          <w:lang w:val="en-US" w:eastAsia="zh-CN"/>
        </w:rPr>
        <w:t>资格承诺函</w:t>
      </w:r>
    </w:p>
    <w:p w14:paraId="7543019C">
      <w:pPr>
        <w:spacing w:line="360" w:lineRule="auto"/>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cs="Times New Roman"/>
          <w:color w:val="auto"/>
          <w:szCs w:val="21"/>
          <w:lang w:val="en-US" w:eastAsia="zh-CN"/>
        </w:rPr>
        <w:t>5</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磋商文件规定的特定资格条件证明资料</w:t>
      </w:r>
    </w:p>
    <w:p w14:paraId="1C8AC5EA">
      <w:pPr>
        <w:spacing w:line="360" w:lineRule="auto"/>
        <w:rPr>
          <w:rFonts w:hint="eastAsia" w:ascii="宋体" w:hAnsi="宋体" w:eastAsia="宋体" w:cs="宋体"/>
          <w:sz w:val="21"/>
          <w:szCs w:val="21"/>
        </w:rPr>
      </w:pPr>
      <w:r>
        <w:rPr>
          <w:rFonts w:hint="default" w:ascii="宋体" w:hAnsi="宋体" w:eastAsia="宋体" w:cs="宋体"/>
          <w:sz w:val="21"/>
          <w:szCs w:val="21"/>
        </w:rPr>
        <w:t>附件</w:t>
      </w:r>
      <w:r>
        <w:rPr>
          <w:rFonts w:hint="eastAsia" w:ascii="宋体" w:hAnsi="宋体" w:cs="宋体"/>
          <w:sz w:val="21"/>
          <w:szCs w:val="21"/>
          <w:lang w:val="en-US" w:eastAsia="zh-CN"/>
        </w:rPr>
        <w:t>6</w:t>
      </w:r>
      <w:r>
        <w:rPr>
          <w:rFonts w:hint="default" w:ascii="宋体" w:hAnsi="宋体" w:eastAsia="宋体" w:cs="宋体"/>
          <w:sz w:val="21"/>
          <w:szCs w:val="21"/>
        </w:rPr>
        <w:t>：其他说明</w:t>
      </w:r>
    </w:p>
    <w:p w14:paraId="4BDAB9BC">
      <w:pPr>
        <w:numPr>
          <w:ilvl w:val="0"/>
          <w:numId w:val="9"/>
        </w:numPr>
        <w:spacing w:line="360" w:lineRule="auto"/>
        <w:rPr>
          <w:rFonts w:hint="default" w:ascii="Times New Roman" w:hAnsi="Times New Roman" w:cs="Times New Roman"/>
          <w:b/>
        </w:rPr>
      </w:pPr>
      <w:bookmarkStart w:id="23" w:name="_Toc28942"/>
      <w:bookmarkStart w:id="24" w:name="_Toc11879261"/>
      <w:r>
        <w:rPr>
          <w:rFonts w:hint="default" w:ascii="Times New Roman" w:hAnsi="Times New Roman" w:cs="Times New Roman"/>
          <w:b/>
        </w:rPr>
        <w:t>实施方案</w:t>
      </w:r>
      <w:bookmarkEnd w:id="23"/>
    </w:p>
    <w:p w14:paraId="517C74D5">
      <w:pPr>
        <w:spacing w:line="360" w:lineRule="auto"/>
        <w:rPr>
          <w:rFonts w:hint="default"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sz w:val="21"/>
          <w:szCs w:val="21"/>
          <w:lang w:val="en-US" w:eastAsia="zh-CN"/>
        </w:rPr>
        <w:t>主要人员简历表</w:t>
      </w:r>
    </w:p>
    <w:bookmarkEnd w:id="24"/>
    <w:p w14:paraId="4C776EFD">
      <w:pPr>
        <w:spacing w:line="360" w:lineRule="auto"/>
        <w:rPr>
          <w:rFonts w:hint="eastAsia" w:ascii="宋体" w:hAnsi="宋体"/>
          <w:b/>
          <w:color w:val="auto"/>
          <w:szCs w:val="21"/>
        </w:rPr>
      </w:pPr>
      <w:bookmarkStart w:id="25" w:name="_Toc11879263"/>
      <w:r>
        <w:rPr>
          <w:rFonts w:hint="eastAsia" w:ascii="宋体" w:hAnsi="宋体"/>
          <w:b/>
          <w:color w:val="auto"/>
          <w:szCs w:val="21"/>
        </w:rPr>
        <w:t>五、技术/商务响应与偏离表</w:t>
      </w:r>
      <w:bookmarkEnd w:id="25"/>
    </w:p>
    <w:p w14:paraId="29720EBE">
      <w:pPr>
        <w:spacing w:line="360" w:lineRule="auto"/>
        <w:rPr>
          <w:rFonts w:hint="eastAsia" w:ascii="宋体" w:hAnsi="宋体"/>
          <w:b/>
          <w:color w:val="auto"/>
          <w:szCs w:val="21"/>
        </w:rPr>
      </w:pPr>
      <w:r>
        <w:rPr>
          <w:rFonts w:hint="eastAsia" w:ascii="宋体" w:hAnsi="宋体"/>
          <w:b/>
          <w:color w:val="auto"/>
          <w:szCs w:val="21"/>
        </w:rPr>
        <w:t>六、提供政府采购政策产品等证明材料</w:t>
      </w:r>
    </w:p>
    <w:p w14:paraId="4A56B35B">
      <w:pPr>
        <w:spacing w:line="360" w:lineRule="auto"/>
        <w:rPr>
          <w:rFonts w:hint="eastAsia" w:ascii="宋体" w:hAnsi="宋体"/>
          <w:color w:val="auto"/>
          <w:szCs w:val="21"/>
        </w:rPr>
      </w:pPr>
      <w:r>
        <w:rPr>
          <w:rFonts w:hint="eastAsia" w:ascii="宋体" w:hAnsi="宋体"/>
          <w:color w:val="auto"/>
          <w:szCs w:val="21"/>
        </w:rPr>
        <w:t>附件</w:t>
      </w:r>
      <w:r>
        <w:rPr>
          <w:rFonts w:hint="eastAsia" w:ascii="宋体" w:hAnsi="宋体"/>
          <w:color w:val="auto"/>
          <w:szCs w:val="21"/>
          <w:lang w:val="en-US" w:eastAsia="zh-CN"/>
        </w:rPr>
        <w:t>8</w:t>
      </w:r>
      <w:r>
        <w:rPr>
          <w:rFonts w:hint="eastAsia" w:ascii="宋体" w:hAnsi="宋体"/>
          <w:color w:val="auto"/>
          <w:szCs w:val="21"/>
        </w:rPr>
        <w:t>：中小企业声明函</w:t>
      </w:r>
    </w:p>
    <w:p w14:paraId="5514187D">
      <w:pPr>
        <w:spacing w:line="360" w:lineRule="auto"/>
        <w:rPr>
          <w:rFonts w:hint="eastAsia" w:ascii="宋体" w:hAnsi="宋体"/>
          <w:b/>
          <w:color w:val="auto"/>
          <w:szCs w:val="21"/>
        </w:rPr>
      </w:pPr>
      <w:r>
        <w:rPr>
          <w:rFonts w:hint="eastAsia" w:ascii="宋体" w:hAnsi="宋体"/>
          <w:b/>
          <w:color w:val="auto"/>
          <w:szCs w:val="21"/>
        </w:rPr>
        <w:t>七、报价一览表及报价文件</w:t>
      </w:r>
    </w:p>
    <w:p w14:paraId="6B026470">
      <w:pPr>
        <w:spacing w:line="360" w:lineRule="auto"/>
        <w:rPr>
          <w:rFonts w:hint="eastAsia" w:ascii="宋体" w:hAnsi="宋体"/>
          <w:color w:val="auto"/>
          <w:szCs w:val="21"/>
        </w:rPr>
      </w:pPr>
      <w:bookmarkStart w:id="26" w:name="_Toc11879264"/>
      <w:r>
        <w:rPr>
          <w:rFonts w:hint="eastAsia" w:ascii="宋体" w:hAnsi="宋体"/>
          <w:color w:val="auto"/>
          <w:szCs w:val="21"/>
        </w:rPr>
        <w:t>附件</w:t>
      </w:r>
      <w:r>
        <w:rPr>
          <w:rFonts w:hint="eastAsia" w:ascii="宋体" w:hAnsi="宋体"/>
          <w:color w:val="auto"/>
          <w:szCs w:val="21"/>
          <w:lang w:val="en-US" w:eastAsia="zh-CN"/>
        </w:rPr>
        <w:t>9</w:t>
      </w:r>
      <w:r>
        <w:rPr>
          <w:rFonts w:hint="eastAsia" w:ascii="宋体" w:hAnsi="宋体"/>
          <w:color w:val="auto"/>
          <w:szCs w:val="21"/>
        </w:rPr>
        <w:t>：报价一览表</w:t>
      </w:r>
      <w:bookmarkEnd w:id="26"/>
    </w:p>
    <w:p w14:paraId="6D413D6B">
      <w:pPr>
        <w:spacing w:line="360" w:lineRule="auto"/>
        <w:rPr>
          <w:rFonts w:hint="eastAsia" w:ascii="宋体" w:hAnsi="宋体"/>
          <w:color w:val="auto"/>
          <w:szCs w:val="21"/>
        </w:rPr>
      </w:pPr>
      <w:bookmarkStart w:id="27" w:name="_Toc11879265"/>
      <w:r>
        <w:rPr>
          <w:rFonts w:hint="eastAsia" w:ascii="宋体" w:hAnsi="宋体"/>
          <w:color w:val="auto"/>
          <w:szCs w:val="21"/>
        </w:rPr>
        <w:t>附件</w:t>
      </w:r>
      <w:r>
        <w:rPr>
          <w:rFonts w:hint="eastAsia" w:ascii="宋体" w:hAnsi="宋体"/>
          <w:color w:val="auto"/>
          <w:szCs w:val="21"/>
          <w:lang w:val="en-US" w:eastAsia="zh-CN"/>
        </w:rPr>
        <w:t>10</w:t>
      </w:r>
      <w:r>
        <w:rPr>
          <w:rFonts w:hint="eastAsia" w:ascii="宋体" w:hAnsi="宋体"/>
          <w:color w:val="auto"/>
          <w:szCs w:val="21"/>
        </w:rPr>
        <w:t>：报价文件</w:t>
      </w:r>
      <w:bookmarkEnd w:id="27"/>
    </w:p>
    <w:p w14:paraId="1E604B2F">
      <w:pPr>
        <w:keepNext w:val="0"/>
        <w:keepLines w:val="0"/>
        <w:pageBreakBefore w:val="0"/>
        <w:widowControl w:val="0"/>
        <w:numPr>
          <w:ilvl w:val="0"/>
          <w:numId w:val="10"/>
        </w:numPr>
        <w:kinsoku/>
        <w:wordWrap/>
        <w:overflowPunct/>
        <w:topLinePunct w:val="0"/>
        <w:autoSpaceDE/>
        <w:autoSpaceDN/>
        <w:bidi w:val="0"/>
        <w:adjustRightInd/>
        <w:snapToGrid/>
        <w:spacing w:line="360" w:lineRule="auto"/>
        <w:jc w:val="both"/>
        <w:textAlignment w:val="auto"/>
        <w:rPr>
          <w:rFonts w:hint="eastAsia" w:ascii="宋体" w:hAnsi="宋体"/>
          <w:b/>
          <w:color w:val="auto"/>
          <w:szCs w:val="21"/>
        </w:rPr>
      </w:pPr>
      <w:r>
        <w:rPr>
          <w:rFonts w:hint="eastAsia" w:ascii="宋体" w:hAnsi="宋体"/>
          <w:b/>
          <w:color w:val="auto"/>
          <w:szCs w:val="21"/>
        </w:rPr>
        <w:t>供应商认为需提供的其它资料</w:t>
      </w:r>
    </w:p>
    <w:p w14:paraId="47A4CB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color w:val="auto"/>
          <w:szCs w:val="21"/>
        </w:rPr>
      </w:pPr>
      <w:r>
        <w:rPr>
          <w:rFonts w:hint="eastAsia" w:ascii="宋体" w:hAnsi="宋体"/>
          <w:b/>
          <w:color w:val="auto"/>
          <w:szCs w:val="21"/>
        </w:rPr>
        <w:t>九、最后报价</w:t>
      </w:r>
    </w:p>
    <w:p w14:paraId="414F56F9">
      <w:pPr>
        <w:adjustRightInd w:val="0"/>
        <w:snapToGrid w:val="0"/>
        <w:spacing w:line="360" w:lineRule="auto"/>
        <w:rPr>
          <w:rFonts w:hint="eastAsia" w:ascii="宋体" w:hAnsi="宋体" w:cs="宋体"/>
          <w:color w:val="auto"/>
          <w:kern w:val="0"/>
          <w:szCs w:val="21"/>
        </w:rPr>
      </w:pPr>
    </w:p>
    <w:p w14:paraId="442B93D2">
      <w:pPr>
        <w:adjustRightInd w:val="0"/>
        <w:snapToGrid w:val="0"/>
        <w:spacing w:line="360" w:lineRule="auto"/>
        <w:rPr>
          <w:rFonts w:hint="eastAsia" w:ascii="宋体" w:hAnsi="宋体" w:cs="宋体"/>
          <w:color w:val="auto"/>
          <w:kern w:val="0"/>
          <w:szCs w:val="21"/>
        </w:rPr>
      </w:pPr>
    </w:p>
    <w:p w14:paraId="586C952C">
      <w:pPr>
        <w:adjustRightInd w:val="0"/>
        <w:snapToGrid w:val="0"/>
        <w:spacing w:line="360" w:lineRule="auto"/>
        <w:rPr>
          <w:rFonts w:hint="eastAsia" w:ascii="宋体" w:hAnsi="宋体" w:cs="宋体"/>
          <w:color w:val="auto"/>
          <w:kern w:val="0"/>
          <w:szCs w:val="21"/>
        </w:rPr>
      </w:pPr>
    </w:p>
    <w:p w14:paraId="66CBC085">
      <w:pPr>
        <w:adjustRightInd w:val="0"/>
        <w:snapToGrid w:val="0"/>
        <w:spacing w:line="360" w:lineRule="auto"/>
        <w:rPr>
          <w:rFonts w:hint="eastAsia" w:ascii="宋体" w:hAnsi="宋体" w:cs="宋体"/>
          <w:color w:val="auto"/>
          <w:kern w:val="0"/>
          <w:szCs w:val="21"/>
        </w:rPr>
      </w:pPr>
    </w:p>
    <w:p w14:paraId="22E528CE">
      <w:pPr>
        <w:adjustRightInd w:val="0"/>
        <w:snapToGrid w:val="0"/>
        <w:spacing w:line="360" w:lineRule="auto"/>
        <w:rPr>
          <w:rFonts w:hint="eastAsia" w:ascii="宋体" w:hAnsi="宋体" w:cs="宋体"/>
          <w:color w:val="auto"/>
          <w:kern w:val="0"/>
          <w:szCs w:val="21"/>
        </w:rPr>
      </w:pPr>
    </w:p>
    <w:p w14:paraId="2CA27151">
      <w:pPr>
        <w:adjustRightInd w:val="0"/>
        <w:snapToGrid w:val="0"/>
        <w:spacing w:line="360" w:lineRule="auto"/>
        <w:rPr>
          <w:rFonts w:hint="eastAsia" w:ascii="宋体" w:hAnsi="宋体" w:cs="宋体"/>
          <w:color w:val="auto"/>
          <w:kern w:val="0"/>
          <w:szCs w:val="21"/>
        </w:rPr>
      </w:pPr>
    </w:p>
    <w:p w14:paraId="5F9209C7">
      <w:pPr>
        <w:adjustRightInd w:val="0"/>
        <w:snapToGrid w:val="0"/>
        <w:spacing w:line="360" w:lineRule="auto"/>
        <w:rPr>
          <w:rFonts w:hint="eastAsia" w:ascii="宋体" w:hAnsi="宋体" w:cs="宋体"/>
          <w:color w:val="auto"/>
          <w:kern w:val="0"/>
          <w:szCs w:val="21"/>
        </w:rPr>
      </w:pPr>
    </w:p>
    <w:p w14:paraId="763CB08B">
      <w:pPr>
        <w:rPr>
          <w:rFonts w:hint="default" w:ascii="Times New Roman" w:hAnsi="Times New Roman" w:cs="Times New Roman"/>
          <w:b/>
          <w:bCs/>
          <w:sz w:val="72"/>
          <w:szCs w:val="72"/>
        </w:rPr>
      </w:pPr>
      <w:r>
        <w:rPr>
          <w:rFonts w:ascii="宋体" w:hAnsi="宋体" w:cs="宋体"/>
          <w:color w:val="auto"/>
          <w:kern w:val="0"/>
          <w:szCs w:val="21"/>
        </w:rPr>
        <w:br w:type="page"/>
      </w:r>
    </w:p>
    <w:p w14:paraId="095349CF">
      <w:pPr>
        <w:pStyle w:val="24"/>
        <w:adjustRightInd w:val="0"/>
        <w:snapToGrid w:val="0"/>
        <w:spacing w:line="360" w:lineRule="auto"/>
        <w:jc w:val="center"/>
        <w:outlineLvl w:val="0"/>
        <w:rPr>
          <w:rFonts w:hint="default" w:ascii="Times New Roman" w:hAnsi="Times New Roman" w:cs="Times New Roman"/>
          <w:b/>
          <w:bCs/>
          <w:sz w:val="72"/>
          <w:szCs w:val="72"/>
        </w:rPr>
      </w:pPr>
      <w:bookmarkStart w:id="28" w:name="_Toc2073"/>
      <w:bookmarkStart w:id="29" w:name="_Toc17206"/>
      <w:bookmarkStart w:id="30" w:name="_Toc12780"/>
    </w:p>
    <w:p w14:paraId="2A09CD88">
      <w:pPr>
        <w:pStyle w:val="24"/>
        <w:adjustRightInd w:val="0"/>
        <w:snapToGrid w:val="0"/>
        <w:spacing w:line="360" w:lineRule="auto"/>
        <w:jc w:val="center"/>
        <w:outlineLvl w:val="0"/>
        <w:rPr>
          <w:rFonts w:hint="default" w:ascii="Times New Roman" w:hAnsi="Times New Roman" w:cs="Times New Roman"/>
          <w:b/>
          <w:bCs/>
          <w:sz w:val="72"/>
          <w:szCs w:val="72"/>
        </w:rPr>
      </w:pPr>
    </w:p>
    <w:p w14:paraId="667A2F32">
      <w:pPr>
        <w:pStyle w:val="24"/>
        <w:adjustRightInd w:val="0"/>
        <w:snapToGrid w:val="0"/>
        <w:spacing w:line="360" w:lineRule="auto"/>
        <w:jc w:val="center"/>
        <w:outlineLvl w:val="0"/>
        <w:rPr>
          <w:rFonts w:hint="default" w:ascii="Times New Roman" w:hAnsi="Times New Roman" w:cs="Times New Roman"/>
          <w:b/>
          <w:bCs/>
          <w:sz w:val="72"/>
          <w:szCs w:val="72"/>
        </w:rPr>
      </w:pPr>
      <w:r>
        <w:rPr>
          <w:rFonts w:hint="default" w:ascii="Times New Roman" w:hAnsi="Times New Roman" w:cs="Times New Roman"/>
          <w:b/>
          <w:bCs/>
          <w:sz w:val="72"/>
          <w:szCs w:val="72"/>
        </w:rPr>
        <w:t>政府采购</w:t>
      </w:r>
      <w:bookmarkEnd w:id="28"/>
      <w:bookmarkEnd w:id="29"/>
      <w:bookmarkEnd w:id="30"/>
    </w:p>
    <w:p w14:paraId="7F26667E">
      <w:pPr>
        <w:adjustRightInd w:val="0"/>
        <w:snapToGrid w:val="0"/>
        <w:spacing w:line="360" w:lineRule="auto"/>
        <w:jc w:val="center"/>
        <w:outlineLvl w:val="0"/>
        <w:rPr>
          <w:rFonts w:hint="default" w:ascii="Times New Roman" w:hAnsi="Times New Roman" w:cs="Times New Roman"/>
          <w:b/>
          <w:bCs/>
          <w:sz w:val="84"/>
          <w:szCs w:val="84"/>
        </w:rPr>
      </w:pPr>
      <w:bookmarkStart w:id="31" w:name="_Toc19368"/>
      <w:bookmarkStart w:id="32" w:name="_Toc22520"/>
      <w:bookmarkStart w:id="33" w:name="_Toc14509"/>
      <w:r>
        <w:rPr>
          <w:rFonts w:hint="default" w:ascii="Times New Roman" w:hAnsi="Times New Roman" w:cs="Times New Roman"/>
          <w:b/>
          <w:bCs/>
          <w:sz w:val="84"/>
          <w:szCs w:val="84"/>
        </w:rPr>
        <w:t>响 应 文 件</w:t>
      </w:r>
      <w:bookmarkEnd w:id="31"/>
      <w:bookmarkEnd w:id="32"/>
      <w:bookmarkEnd w:id="33"/>
    </w:p>
    <w:p w14:paraId="49C99846">
      <w:pPr>
        <w:adjustRightInd w:val="0"/>
        <w:snapToGrid w:val="0"/>
        <w:spacing w:line="360" w:lineRule="auto"/>
        <w:rPr>
          <w:rFonts w:hint="default" w:ascii="Times New Roman" w:hAnsi="Times New Roman" w:eastAsia="黑体" w:cs="Times New Roman"/>
          <w:b/>
          <w:color w:val="000000"/>
          <w:sz w:val="32"/>
          <w:szCs w:val="32"/>
        </w:rPr>
      </w:pPr>
    </w:p>
    <w:p w14:paraId="4C725C43">
      <w:pPr>
        <w:adjustRightInd w:val="0"/>
        <w:snapToGrid w:val="0"/>
        <w:spacing w:line="360" w:lineRule="auto"/>
        <w:rPr>
          <w:rFonts w:hint="default" w:ascii="Times New Roman" w:hAnsi="Times New Roman" w:cs="Times New Roman"/>
          <w:b/>
          <w:color w:val="000000"/>
          <w:sz w:val="30"/>
          <w:szCs w:val="30"/>
        </w:rPr>
      </w:pPr>
    </w:p>
    <w:p w14:paraId="42621905">
      <w:pPr>
        <w:pStyle w:val="24"/>
        <w:adjustRightInd w:val="0"/>
        <w:snapToGrid w:val="0"/>
        <w:spacing w:line="360" w:lineRule="auto"/>
        <w:ind w:left="1898" w:leftChars="904" w:firstLine="0" w:firstLineChars="0"/>
        <w:jc w:val="left"/>
        <w:outlineLvl w:val="0"/>
        <w:rPr>
          <w:rFonts w:hint="default" w:ascii="Times New Roman" w:hAnsi="Times New Roman" w:cs="Times New Roman"/>
          <w:b/>
          <w:bCs/>
          <w:sz w:val="30"/>
          <w:szCs w:val="30"/>
          <w:u w:val="single"/>
          <w:lang w:val="en-US" w:eastAsia="zh-CN"/>
        </w:rPr>
      </w:pPr>
      <w:bookmarkStart w:id="34" w:name="_Toc16001"/>
      <w:bookmarkStart w:id="35" w:name="_Toc5580"/>
      <w:bookmarkStart w:id="36" w:name="_Toc2266"/>
      <w:r>
        <w:rPr>
          <w:rFonts w:hint="default" w:ascii="Times New Roman" w:hAnsi="Times New Roman" w:cs="Times New Roman"/>
          <w:b/>
          <w:bCs/>
          <w:sz w:val="30"/>
          <w:szCs w:val="30"/>
        </w:rPr>
        <w:t>采购项目名称</w:t>
      </w:r>
      <w:bookmarkEnd w:id="34"/>
      <w:bookmarkEnd w:id="35"/>
      <w:r>
        <w:rPr>
          <w:rFonts w:hint="default" w:ascii="Times New Roman" w:hAnsi="Times New Roman" w:cs="Times New Roman"/>
          <w:b/>
          <w:bCs/>
          <w:sz w:val="30"/>
          <w:szCs w:val="30"/>
          <w:lang w:eastAsia="zh-CN"/>
        </w:rPr>
        <w:t>：</w:t>
      </w:r>
      <w:bookmarkEnd w:id="36"/>
      <w:bookmarkStart w:id="37" w:name="_Toc5608"/>
      <w:bookmarkStart w:id="38" w:name="_Toc25482"/>
      <w:bookmarkStart w:id="39" w:name="_Toc16838"/>
      <w:r>
        <w:rPr>
          <w:rFonts w:hint="default" w:ascii="Times New Roman" w:hAnsi="Times New Roman" w:cs="Times New Roman"/>
          <w:b/>
          <w:bCs/>
          <w:sz w:val="30"/>
          <w:szCs w:val="30"/>
          <w:u w:val="single"/>
          <w:lang w:val="en-US" w:eastAsia="zh-CN"/>
        </w:rPr>
        <w:t xml:space="preserve">                        </w:t>
      </w:r>
    </w:p>
    <w:p w14:paraId="5577F8F1">
      <w:pPr>
        <w:pStyle w:val="24"/>
        <w:adjustRightInd w:val="0"/>
        <w:snapToGrid w:val="0"/>
        <w:spacing w:line="360" w:lineRule="auto"/>
        <w:ind w:left="1898" w:leftChars="904" w:firstLine="0" w:firstLineChars="0"/>
        <w:jc w:val="left"/>
        <w:outlineLvl w:val="0"/>
        <w:rPr>
          <w:rFonts w:hint="default" w:ascii="Times New Roman" w:hAnsi="Times New Roman" w:eastAsia="宋体" w:cs="Times New Roman"/>
          <w:b/>
          <w:bCs/>
          <w:sz w:val="30"/>
          <w:szCs w:val="30"/>
          <w:lang w:eastAsia="zh-CN"/>
        </w:rPr>
      </w:pPr>
      <w:r>
        <w:rPr>
          <w:rFonts w:hint="default" w:ascii="Times New Roman" w:hAnsi="Times New Roman" w:cs="Times New Roman"/>
          <w:b/>
          <w:bCs/>
          <w:sz w:val="30"/>
          <w:szCs w:val="30"/>
        </w:rPr>
        <w:t>采   购   人</w:t>
      </w:r>
      <w:bookmarkEnd w:id="37"/>
      <w:bookmarkEnd w:id="38"/>
      <w:r>
        <w:rPr>
          <w:rFonts w:hint="default" w:ascii="Times New Roman" w:hAnsi="Times New Roman" w:cs="Times New Roman"/>
          <w:b/>
          <w:bCs/>
          <w:sz w:val="30"/>
          <w:szCs w:val="30"/>
          <w:lang w:eastAsia="zh-CN"/>
        </w:rPr>
        <w:t>：</w:t>
      </w:r>
      <w:bookmarkEnd w:id="39"/>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r>
        <w:rPr>
          <w:rFonts w:hint="default" w:ascii="Times New Roman" w:hAnsi="Times New Roman" w:cs="Times New Roman"/>
          <w:b/>
          <w:bCs/>
          <w:sz w:val="30"/>
          <w:szCs w:val="30"/>
          <w:u w:val="single"/>
        </w:rPr>
        <w:t xml:space="preserve">  </w:t>
      </w:r>
    </w:p>
    <w:p w14:paraId="3E2D293E">
      <w:pPr>
        <w:pStyle w:val="24"/>
        <w:adjustRightInd w:val="0"/>
        <w:snapToGrid w:val="0"/>
        <w:spacing w:line="360" w:lineRule="auto"/>
        <w:ind w:left="1898" w:leftChars="904" w:firstLine="0" w:firstLineChars="0"/>
        <w:jc w:val="left"/>
        <w:outlineLvl w:val="0"/>
        <w:rPr>
          <w:rFonts w:hint="default" w:ascii="Times New Roman" w:hAnsi="Times New Roman" w:eastAsia="宋体" w:cs="Times New Roman"/>
          <w:b/>
          <w:bCs/>
          <w:sz w:val="30"/>
          <w:szCs w:val="30"/>
          <w:u w:val="single"/>
          <w:lang w:val="en-US" w:eastAsia="zh-CN"/>
        </w:rPr>
      </w:pPr>
      <w:bookmarkStart w:id="40" w:name="_Toc27932"/>
      <w:r>
        <w:rPr>
          <w:rFonts w:hint="default" w:ascii="Times New Roman" w:hAnsi="Times New Roman" w:cs="Times New Roman"/>
          <w:b/>
          <w:bCs/>
          <w:sz w:val="30"/>
          <w:szCs w:val="30"/>
          <w:lang w:val="en-US" w:eastAsia="zh-CN"/>
        </w:rPr>
        <w:t>采购项目编号</w:t>
      </w:r>
      <w:r>
        <w:rPr>
          <w:rFonts w:hint="default" w:ascii="Times New Roman" w:hAnsi="Times New Roman" w:cs="Times New Roman"/>
          <w:b/>
          <w:bCs/>
          <w:sz w:val="30"/>
          <w:szCs w:val="30"/>
          <w:lang w:eastAsia="zh-CN"/>
        </w:rPr>
        <w:t>：</w:t>
      </w:r>
      <w:bookmarkEnd w:id="40"/>
      <w:r>
        <w:rPr>
          <w:rFonts w:hint="default" w:ascii="Times New Roman" w:hAnsi="Times New Roman" w:cs="Times New Roman"/>
          <w:b/>
          <w:bCs/>
          <w:sz w:val="30"/>
          <w:szCs w:val="30"/>
          <w:lang w:val="en-US" w:eastAsia="zh-CN"/>
        </w:rPr>
        <w:t xml:space="preserve"> </w:t>
      </w:r>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p>
    <w:p w14:paraId="331CFEB8">
      <w:pPr>
        <w:pStyle w:val="24"/>
        <w:adjustRightInd w:val="0"/>
        <w:snapToGrid w:val="0"/>
        <w:spacing w:line="360" w:lineRule="auto"/>
        <w:ind w:left="1898" w:leftChars="904" w:firstLine="0" w:firstLineChars="0"/>
        <w:jc w:val="left"/>
        <w:outlineLvl w:val="0"/>
        <w:rPr>
          <w:rFonts w:hint="default" w:ascii="Times New Roman" w:hAnsi="Times New Roman" w:cs="Times New Roman"/>
          <w:b/>
          <w:bCs/>
          <w:sz w:val="30"/>
          <w:szCs w:val="30"/>
          <w:u w:val="single"/>
        </w:rPr>
      </w:pPr>
      <w:bookmarkStart w:id="41" w:name="_Toc12666"/>
      <w:r>
        <w:rPr>
          <w:rFonts w:hint="default" w:ascii="Times New Roman" w:hAnsi="Times New Roman" w:cs="Times New Roman"/>
          <w:b/>
          <w:bCs/>
          <w:sz w:val="30"/>
          <w:szCs w:val="30"/>
        </w:rPr>
        <w:t>政府采购计划编号</w:t>
      </w:r>
      <w:r>
        <w:rPr>
          <w:rFonts w:hint="default" w:ascii="Times New Roman" w:hAnsi="Times New Roman" w:cs="Times New Roman"/>
          <w:b/>
          <w:bCs/>
          <w:sz w:val="30"/>
          <w:szCs w:val="30"/>
          <w:lang w:eastAsia="zh-CN"/>
        </w:rPr>
        <w:t>：</w:t>
      </w:r>
      <w:bookmarkEnd w:id="41"/>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r>
        <w:rPr>
          <w:rFonts w:hint="default" w:ascii="Times New Roman" w:hAnsi="Times New Roman" w:cs="Times New Roman"/>
          <w:b/>
          <w:bCs/>
          <w:sz w:val="30"/>
          <w:szCs w:val="30"/>
          <w:u w:val="single"/>
        </w:rPr>
        <w:t xml:space="preserve">   </w:t>
      </w:r>
    </w:p>
    <w:p w14:paraId="26ACE660">
      <w:pPr>
        <w:adjustRightInd w:val="0"/>
        <w:snapToGrid w:val="0"/>
        <w:spacing w:line="360" w:lineRule="auto"/>
        <w:rPr>
          <w:rFonts w:hint="default" w:ascii="Times New Roman" w:hAnsi="Times New Roman" w:eastAsia="黑体" w:cs="Times New Roman"/>
          <w:color w:val="000000"/>
          <w:sz w:val="30"/>
          <w:szCs w:val="30"/>
        </w:rPr>
      </w:pPr>
    </w:p>
    <w:p w14:paraId="4F47F896">
      <w:pPr>
        <w:adjustRightInd w:val="0"/>
        <w:snapToGrid w:val="0"/>
        <w:rPr>
          <w:rFonts w:hint="default" w:ascii="Times New Roman" w:hAnsi="Times New Roman" w:eastAsia="黑体" w:cs="Times New Roman"/>
          <w:color w:val="000000"/>
          <w:sz w:val="30"/>
          <w:szCs w:val="30"/>
        </w:rPr>
      </w:pPr>
    </w:p>
    <w:p w14:paraId="35727B32">
      <w:pPr>
        <w:adjustRightInd w:val="0"/>
        <w:snapToGrid w:val="0"/>
        <w:spacing w:line="360" w:lineRule="auto"/>
        <w:rPr>
          <w:rFonts w:hint="default" w:ascii="Times New Roman" w:hAnsi="Times New Roman" w:eastAsia="黑体" w:cs="Times New Roman"/>
          <w:color w:val="000000"/>
          <w:sz w:val="30"/>
          <w:szCs w:val="30"/>
        </w:rPr>
      </w:pPr>
    </w:p>
    <w:p w14:paraId="08B18210">
      <w:pPr>
        <w:adjustRightInd w:val="0"/>
        <w:snapToGrid w:val="0"/>
        <w:spacing w:line="360" w:lineRule="auto"/>
        <w:rPr>
          <w:rFonts w:hint="default" w:ascii="Times New Roman" w:hAnsi="Times New Roman" w:eastAsia="黑体" w:cs="Times New Roman"/>
          <w:color w:val="000000"/>
          <w:sz w:val="30"/>
          <w:szCs w:val="30"/>
        </w:rPr>
      </w:pPr>
    </w:p>
    <w:p w14:paraId="57690027">
      <w:pPr>
        <w:adjustRightInd w:val="0"/>
        <w:snapToGrid w:val="0"/>
        <w:spacing w:line="360" w:lineRule="auto"/>
        <w:rPr>
          <w:rFonts w:hint="default" w:ascii="Times New Roman" w:hAnsi="Times New Roman" w:eastAsia="黑体" w:cs="Times New Roman"/>
          <w:color w:val="000000"/>
          <w:sz w:val="30"/>
          <w:szCs w:val="30"/>
        </w:rPr>
      </w:pPr>
    </w:p>
    <w:p w14:paraId="388AE23E">
      <w:pPr>
        <w:adjustRightInd w:val="0"/>
        <w:snapToGrid w:val="0"/>
        <w:spacing w:line="360" w:lineRule="auto"/>
        <w:ind w:firstLine="1984" w:firstLineChars="620"/>
        <w:outlineLvl w:val="0"/>
        <w:rPr>
          <w:rFonts w:hint="default" w:ascii="Times New Roman" w:hAnsi="Times New Roman" w:eastAsia="黑体" w:cs="Times New Roman"/>
          <w:color w:val="000000"/>
          <w:sz w:val="32"/>
          <w:szCs w:val="32"/>
          <w:u w:val="single"/>
          <w:lang w:eastAsia="zh-CN"/>
        </w:rPr>
      </w:pPr>
      <w:bookmarkStart w:id="42" w:name="_Toc12115"/>
      <w:bookmarkStart w:id="43" w:name="_Toc7693"/>
      <w:bookmarkStart w:id="44" w:name="_Toc30510"/>
      <w:r>
        <w:rPr>
          <w:rFonts w:hint="default" w:ascii="Times New Roman" w:hAnsi="Times New Roman" w:eastAsia="黑体" w:cs="Times New Roman"/>
          <w:color w:val="000000"/>
          <w:sz w:val="32"/>
          <w:szCs w:val="32"/>
        </w:rPr>
        <w:t>供应商</w:t>
      </w:r>
      <w:bookmarkEnd w:id="42"/>
      <w:bookmarkEnd w:id="43"/>
      <w:r>
        <w:rPr>
          <w:rFonts w:hint="default" w:ascii="Times New Roman" w:hAnsi="Times New Roman" w:eastAsia="黑体" w:cs="Times New Roman"/>
          <w:color w:val="000000"/>
          <w:sz w:val="32"/>
          <w:szCs w:val="32"/>
          <w:lang w:eastAsia="zh-CN"/>
        </w:rPr>
        <w:t>：</w:t>
      </w:r>
      <w:bookmarkEnd w:id="44"/>
      <w:r>
        <w:rPr>
          <w:rFonts w:hint="default" w:ascii="Times New Roman" w:hAnsi="Times New Roman" w:cs="Times New Roman"/>
          <w:b/>
          <w:bCs/>
          <w:sz w:val="30"/>
          <w:szCs w:val="30"/>
          <w:u w:val="single"/>
        </w:rPr>
        <w:t xml:space="preserve">                       </w:t>
      </w:r>
    </w:p>
    <w:p w14:paraId="49796940">
      <w:pPr>
        <w:jc w:val="center"/>
        <w:outlineLvl w:val="9"/>
        <w:rPr>
          <w:rFonts w:hint="default" w:ascii="Times New Roman" w:hAnsi="Times New Roman" w:eastAsia="黑体" w:cs="Times New Roman"/>
          <w:sz w:val="32"/>
          <w:szCs w:val="32"/>
        </w:rPr>
      </w:pPr>
      <w:bookmarkStart w:id="45" w:name="_Toc11755"/>
      <w:bookmarkStart w:id="46" w:name="_Toc6698"/>
    </w:p>
    <w:p w14:paraId="067EB721">
      <w:pPr>
        <w:jc w:val="center"/>
        <w:outlineLvl w:val="9"/>
        <w:rPr>
          <w:rFonts w:hint="default" w:ascii="Times New Roman" w:hAnsi="Times New Roman" w:eastAsia="黑体" w:cs="Times New Roman"/>
          <w:sz w:val="32"/>
          <w:szCs w:val="32"/>
        </w:rPr>
      </w:pPr>
    </w:p>
    <w:p w14:paraId="767D8FCC">
      <w:pPr>
        <w:ind w:firstLine="3520" w:firstLineChars="1100"/>
        <w:jc w:val="both"/>
        <w:outlineLvl w:val="0"/>
        <w:rPr>
          <w:rFonts w:hint="default" w:ascii="Times New Roman" w:hAnsi="Times New Roman" w:eastAsia="黑体" w:cs="Times New Roman"/>
          <w:sz w:val="32"/>
          <w:szCs w:val="32"/>
        </w:rPr>
      </w:pPr>
      <w:bookmarkStart w:id="47" w:name="_Toc31704"/>
      <w:r>
        <w:rPr>
          <w:rFonts w:hint="default" w:ascii="Times New Roman" w:hAnsi="Times New Roman" w:eastAsia="黑体" w:cs="Times New Roman"/>
          <w:sz w:val="32"/>
          <w:szCs w:val="32"/>
        </w:rPr>
        <w:t>年  月  日</w:t>
      </w:r>
      <w:bookmarkEnd w:id="45"/>
      <w:bookmarkEnd w:id="46"/>
      <w:bookmarkEnd w:id="47"/>
    </w:p>
    <w:p w14:paraId="287D8BB9">
      <w:pPr>
        <w:adjustRightInd w:val="0"/>
        <w:snapToGrid w:val="0"/>
        <w:spacing w:line="360" w:lineRule="auto"/>
        <w:rPr>
          <w:rFonts w:hint="eastAsia" w:ascii="宋体" w:hAnsi="宋体" w:cs="宋体"/>
          <w:color w:val="auto"/>
          <w:kern w:val="0"/>
          <w:szCs w:val="21"/>
        </w:rPr>
      </w:pPr>
    </w:p>
    <w:p w14:paraId="1EA0A84E">
      <w:pPr>
        <w:pStyle w:val="33"/>
        <w:rPr>
          <w:rFonts w:hint="eastAsia"/>
        </w:rPr>
      </w:pPr>
    </w:p>
    <w:p w14:paraId="21CF7136">
      <w:pPr>
        <w:pStyle w:val="62"/>
        <w:rPr>
          <w:rFonts w:hint="eastAsia" w:ascii="宋体" w:hAnsi="宋体" w:cs="宋体"/>
          <w:color w:val="auto"/>
          <w:kern w:val="0"/>
          <w:szCs w:val="21"/>
        </w:rPr>
      </w:pPr>
    </w:p>
    <w:p w14:paraId="7599FBB6">
      <w:pPr>
        <w:pStyle w:val="62"/>
        <w:rPr>
          <w:rFonts w:hint="eastAsia" w:ascii="宋体" w:hAnsi="宋体" w:cs="宋体"/>
          <w:color w:val="auto"/>
          <w:kern w:val="0"/>
          <w:szCs w:val="21"/>
        </w:rPr>
      </w:pPr>
    </w:p>
    <w:p w14:paraId="2AA3A3C0">
      <w:pPr>
        <w:rPr>
          <w:rFonts w:hint="default" w:ascii="Times New Roman" w:hAnsi="Times New Roman" w:cs="Times New Roman"/>
          <w:b/>
          <w:bCs/>
        </w:rPr>
      </w:pPr>
      <w:r>
        <w:rPr>
          <w:rFonts w:hint="default" w:ascii="Times New Roman" w:hAnsi="Times New Roman" w:cs="Times New Roman"/>
          <w:b/>
          <w:bCs/>
        </w:rPr>
        <w:t>索引表 符合性审查索引表</w:t>
      </w:r>
    </w:p>
    <w:p w14:paraId="644ADFCF">
      <w:pPr>
        <w:adjustRightInd w:val="0"/>
        <w:spacing w:beforeLines="50" w:line="360" w:lineRule="auto"/>
        <w:jc w:val="center"/>
        <w:outlineLvl w:val="1"/>
        <w:rPr>
          <w:rFonts w:hint="default" w:ascii="Times New Roman" w:hAnsi="Times New Roman" w:eastAsia="黑体" w:cs="Times New Roman"/>
          <w:b/>
          <w:sz w:val="28"/>
          <w:szCs w:val="28"/>
        </w:rPr>
      </w:pPr>
      <w:bookmarkStart w:id="48" w:name="_Toc10201"/>
      <w:bookmarkStart w:id="49" w:name="_Toc6460"/>
      <w:r>
        <w:rPr>
          <w:rFonts w:hint="default" w:ascii="Times New Roman" w:hAnsi="Times New Roman" w:eastAsia="黑体" w:cs="Times New Roman"/>
          <w:b/>
          <w:sz w:val="28"/>
          <w:szCs w:val="28"/>
        </w:rPr>
        <w:t>符合性审查索引表</w:t>
      </w:r>
      <w:bookmarkEnd w:id="48"/>
      <w:bookmarkEnd w:id="49"/>
    </w:p>
    <w:tbl>
      <w:tblPr>
        <w:tblStyle w:val="44"/>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124A1F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center"/>
          </w:tcPr>
          <w:p w14:paraId="76F9CAB7">
            <w:pPr>
              <w:adjustRightInd w:val="0"/>
              <w:snapToGrid w:val="0"/>
              <w:spacing w:beforeLines="50" w:line="360" w:lineRule="auto"/>
              <w:jc w:val="center"/>
              <w:rPr>
                <w:rFonts w:hint="default" w:ascii="Times New Roman" w:hAnsi="Times New Roman" w:cs="Times New Roman"/>
                <w:b/>
                <w:kern w:val="0"/>
                <w:szCs w:val="21"/>
              </w:rPr>
            </w:pPr>
            <w:r>
              <w:rPr>
                <w:rFonts w:hint="default" w:ascii="Times New Roman" w:hAnsi="Times New Roman" w:cs="Times New Roman"/>
                <w:b/>
                <w:kern w:val="0"/>
                <w:szCs w:val="21"/>
              </w:rPr>
              <w:t>序号</w:t>
            </w:r>
          </w:p>
        </w:tc>
        <w:tc>
          <w:tcPr>
            <w:tcW w:w="1871" w:type="dxa"/>
            <w:tcBorders>
              <w:right w:val="single" w:color="auto" w:sz="4" w:space="0"/>
            </w:tcBorders>
            <w:noWrap w:val="0"/>
            <w:vAlign w:val="center"/>
          </w:tcPr>
          <w:p w14:paraId="398CF3F2">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 w:val="20"/>
                <w:szCs w:val="21"/>
                <w:lang w:eastAsia="zh-CN"/>
              </w:rPr>
              <w:t>磋商</w:t>
            </w:r>
            <w:r>
              <w:rPr>
                <w:rFonts w:hint="default" w:ascii="Times New Roman" w:hAnsi="Times New Roman" w:cs="Times New Roman"/>
                <w:b/>
                <w:kern w:val="0"/>
                <w:sz w:val="20"/>
                <w:szCs w:val="21"/>
              </w:rPr>
              <w:t>文件条款号</w:t>
            </w:r>
          </w:p>
        </w:tc>
        <w:tc>
          <w:tcPr>
            <w:tcW w:w="2410" w:type="dxa"/>
            <w:tcBorders>
              <w:left w:val="single" w:color="auto" w:sz="4" w:space="0"/>
            </w:tcBorders>
            <w:noWrap w:val="0"/>
            <w:vAlign w:val="center"/>
          </w:tcPr>
          <w:p w14:paraId="3D27234A">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Cs w:val="21"/>
              </w:rPr>
              <w:t>审查内容及标准</w:t>
            </w:r>
          </w:p>
        </w:tc>
        <w:tc>
          <w:tcPr>
            <w:tcW w:w="2268" w:type="dxa"/>
            <w:noWrap w:val="0"/>
            <w:vAlign w:val="center"/>
          </w:tcPr>
          <w:p w14:paraId="1BECEFEE">
            <w:pPr>
              <w:adjustRightInd w:val="0"/>
              <w:snapToGrid w:val="0"/>
              <w:spacing w:beforeLines="50" w:line="360" w:lineRule="auto"/>
              <w:jc w:val="center"/>
              <w:rPr>
                <w:rFonts w:hint="default" w:ascii="Times New Roman" w:hAnsi="Times New Roman" w:cs="Times New Roman"/>
                <w:b/>
                <w:kern w:val="0"/>
                <w:szCs w:val="21"/>
              </w:rPr>
            </w:pPr>
            <w:r>
              <w:rPr>
                <w:rFonts w:hint="default" w:ascii="Times New Roman" w:hAnsi="Times New Roman" w:cs="Times New Roman"/>
                <w:b/>
                <w:kern w:val="0"/>
                <w:szCs w:val="21"/>
              </w:rPr>
              <w:t>响应文件及证明材料</w:t>
            </w:r>
          </w:p>
        </w:tc>
        <w:tc>
          <w:tcPr>
            <w:tcW w:w="1722" w:type="dxa"/>
            <w:noWrap w:val="0"/>
            <w:vAlign w:val="center"/>
          </w:tcPr>
          <w:p w14:paraId="69A0E5F9">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Cs w:val="21"/>
              </w:rPr>
              <w:t>响应文件对应内容的册及页码</w:t>
            </w:r>
          </w:p>
        </w:tc>
      </w:tr>
      <w:tr w14:paraId="366085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408E090">
            <w:pPr>
              <w:adjustRightInd w:val="0"/>
              <w:snapToGrid w:val="0"/>
              <w:spacing w:beforeLines="50" w:line="360" w:lineRule="auto"/>
              <w:jc w:val="center"/>
              <w:rPr>
                <w:rFonts w:hint="default" w:ascii="Times New Roman" w:hAnsi="Times New Roman" w:cs="Times New Roman"/>
                <w:kern w:val="0"/>
                <w:szCs w:val="21"/>
              </w:rPr>
            </w:pPr>
          </w:p>
        </w:tc>
        <w:tc>
          <w:tcPr>
            <w:tcW w:w="1871" w:type="dxa"/>
            <w:tcBorders>
              <w:right w:val="single" w:color="auto" w:sz="4" w:space="0"/>
            </w:tcBorders>
            <w:noWrap w:val="0"/>
            <w:vAlign w:val="top"/>
          </w:tcPr>
          <w:p w14:paraId="2052193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3292249">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8F9BEDD">
            <w:pPr>
              <w:adjustRightInd w:val="0"/>
              <w:snapToGrid w:val="0"/>
              <w:spacing w:beforeLines="50" w:line="360" w:lineRule="auto"/>
              <w:jc w:val="center"/>
              <w:rPr>
                <w:rFonts w:hint="default" w:ascii="Times New Roman" w:hAnsi="Times New Roman" w:cs="Times New Roman"/>
                <w:kern w:val="0"/>
                <w:szCs w:val="21"/>
              </w:rPr>
            </w:pPr>
          </w:p>
        </w:tc>
        <w:tc>
          <w:tcPr>
            <w:tcW w:w="1722" w:type="dxa"/>
            <w:noWrap w:val="0"/>
            <w:vAlign w:val="top"/>
          </w:tcPr>
          <w:p w14:paraId="2D8ADA3F">
            <w:pPr>
              <w:adjustRightInd w:val="0"/>
              <w:snapToGrid w:val="0"/>
              <w:spacing w:beforeLines="50" w:line="360" w:lineRule="auto"/>
              <w:jc w:val="center"/>
              <w:rPr>
                <w:rFonts w:hint="default" w:ascii="Times New Roman" w:hAnsi="Times New Roman" w:cs="Times New Roman"/>
                <w:kern w:val="0"/>
                <w:sz w:val="20"/>
                <w:szCs w:val="21"/>
              </w:rPr>
            </w:pPr>
          </w:p>
        </w:tc>
      </w:tr>
      <w:tr w14:paraId="4B788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BDA75B6">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C316CA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A2D1564">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CB5503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8313252">
            <w:pPr>
              <w:adjustRightInd w:val="0"/>
              <w:snapToGrid w:val="0"/>
              <w:spacing w:beforeLines="50" w:line="360" w:lineRule="auto"/>
              <w:jc w:val="center"/>
              <w:rPr>
                <w:rFonts w:hint="default" w:ascii="Times New Roman" w:hAnsi="Times New Roman" w:cs="Times New Roman"/>
                <w:kern w:val="0"/>
                <w:sz w:val="20"/>
                <w:szCs w:val="21"/>
              </w:rPr>
            </w:pPr>
          </w:p>
        </w:tc>
      </w:tr>
      <w:tr w14:paraId="519806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9EC0B64">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7FF5FEC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973526E">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61D83C5A">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324C9967">
            <w:pPr>
              <w:adjustRightInd w:val="0"/>
              <w:snapToGrid w:val="0"/>
              <w:spacing w:beforeLines="50" w:line="360" w:lineRule="auto"/>
              <w:jc w:val="center"/>
              <w:rPr>
                <w:rFonts w:hint="default" w:ascii="Times New Roman" w:hAnsi="Times New Roman" w:cs="Times New Roman"/>
                <w:kern w:val="0"/>
                <w:sz w:val="20"/>
                <w:szCs w:val="21"/>
              </w:rPr>
            </w:pPr>
          </w:p>
        </w:tc>
      </w:tr>
      <w:tr w14:paraId="4DA77C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CF4212">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503DB895">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55FB2AA9">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4D8AA897">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B16D874">
            <w:pPr>
              <w:adjustRightInd w:val="0"/>
              <w:snapToGrid w:val="0"/>
              <w:spacing w:beforeLines="50" w:line="360" w:lineRule="auto"/>
              <w:jc w:val="center"/>
              <w:rPr>
                <w:rFonts w:hint="default" w:ascii="Times New Roman" w:hAnsi="Times New Roman" w:cs="Times New Roman"/>
                <w:kern w:val="0"/>
                <w:sz w:val="20"/>
                <w:szCs w:val="21"/>
              </w:rPr>
            </w:pPr>
          </w:p>
        </w:tc>
      </w:tr>
      <w:tr w14:paraId="4CAA96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2B559F0">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7CB5B97F">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6A9F93F8">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591E3222">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6D67990">
            <w:pPr>
              <w:adjustRightInd w:val="0"/>
              <w:snapToGrid w:val="0"/>
              <w:spacing w:beforeLines="50" w:line="360" w:lineRule="auto"/>
              <w:jc w:val="center"/>
              <w:rPr>
                <w:rFonts w:hint="default" w:ascii="Times New Roman" w:hAnsi="Times New Roman" w:cs="Times New Roman"/>
                <w:kern w:val="0"/>
                <w:sz w:val="20"/>
                <w:szCs w:val="21"/>
              </w:rPr>
            </w:pPr>
          </w:p>
        </w:tc>
      </w:tr>
      <w:tr w14:paraId="30FF6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3B5BEC3">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FBD24C3">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2F578BE7">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582B2A9">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761CEC1">
            <w:pPr>
              <w:adjustRightInd w:val="0"/>
              <w:snapToGrid w:val="0"/>
              <w:spacing w:beforeLines="50" w:line="360" w:lineRule="auto"/>
              <w:jc w:val="center"/>
              <w:rPr>
                <w:rFonts w:hint="default" w:ascii="Times New Roman" w:hAnsi="Times New Roman" w:cs="Times New Roman"/>
                <w:kern w:val="0"/>
                <w:sz w:val="20"/>
                <w:szCs w:val="21"/>
              </w:rPr>
            </w:pPr>
          </w:p>
        </w:tc>
      </w:tr>
      <w:tr w14:paraId="02CAB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F049B8F">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20ECFF87">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355D5023">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31D00D0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ED0BA8D">
            <w:pPr>
              <w:adjustRightInd w:val="0"/>
              <w:snapToGrid w:val="0"/>
              <w:spacing w:beforeLines="50" w:line="360" w:lineRule="auto"/>
              <w:jc w:val="center"/>
              <w:rPr>
                <w:rFonts w:hint="default" w:ascii="Times New Roman" w:hAnsi="Times New Roman" w:cs="Times New Roman"/>
                <w:kern w:val="0"/>
                <w:sz w:val="20"/>
                <w:szCs w:val="21"/>
              </w:rPr>
            </w:pPr>
          </w:p>
        </w:tc>
      </w:tr>
      <w:tr w14:paraId="4E23AE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000985">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88F6724">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12682735">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507DF0B2">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BD1A0F5">
            <w:pPr>
              <w:adjustRightInd w:val="0"/>
              <w:snapToGrid w:val="0"/>
              <w:spacing w:beforeLines="50" w:line="360" w:lineRule="auto"/>
              <w:jc w:val="center"/>
              <w:rPr>
                <w:rFonts w:hint="default" w:ascii="Times New Roman" w:hAnsi="Times New Roman" w:cs="Times New Roman"/>
                <w:kern w:val="0"/>
                <w:sz w:val="20"/>
                <w:szCs w:val="21"/>
              </w:rPr>
            </w:pPr>
          </w:p>
        </w:tc>
      </w:tr>
      <w:tr w14:paraId="214778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F2160F5">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342B084E">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7AAC40CF">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6AB5A6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45E0F7C0">
            <w:pPr>
              <w:adjustRightInd w:val="0"/>
              <w:snapToGrid w:val="0"/>
              <w:spacing w:beforeLines="50" w:line="360" w:lineRule="auto"/>
              <w:jc w:val="center"/>
              <w:rPr>
                <w:rFonts w:hint="default" w:ascii="Times New Roman" w:hAnsi="Times New Roman" w:cs="Times New Roman"/>
                <w:kern w:val="0"/>
                <w:sz w:val="20"/>
                <w:szCs w:val="21"/>
              </w:rPr>
            </w:pPr>
          </w:p>
        </w:tc>
      </w:tr>
      <w:tr w14:paraId="1F65E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B3F8744">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1B63DA37">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74530313">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374355A">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79F928C">
            <w:pPr>
              <w:adjustRightInd w:val="0"/>
              <w:snapToGrid w:val="0"/>
              <w:spacing w:beforeLines="50" w:line="360" w:lineRule="auto"/>
              <w:jc w:val="center"/>
              <w:rPr>
                <w:rFonts w:hint="default" w:ascii="Times New Roman" w:hAnsi="Times New Roman" w:cs="Times New Roman"/>
                <w:kern w:val="0"/>
                <w:sz w:val="20"/>
                <w:szCs w:val="21"/>
              </w:rPr>
            </w:pPr>
          </w:p>
        </w:tc>
      </w:tr>
      <w:tr w14:paraId="56D434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noWrap w:val="0"/>
            <w:vAlign w:val="top"/>
          </w:tcPr>
          <w:p w14:paraId="192820DB">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16F6A514">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6D47DA8">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CAC81B3">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28ADF52F">
            <w:pPr>
              <w:adjustRightInd w:val="0"/>
              <w:snapToGrid w:val="0"/>
              <w:spacing w:beforeLines="50" w:line="360" w:lineRule="auto"/>
              <w:jc w:val="center"/>
              <w:rPr>
                <w:rFonts w:hint="default" w:ascii="Times New Roman" w:hAnsi="Times New Roman" w:cs="Times New Roman"/>
                <w:kern w:val="0"/>
                <w:sz w:val="20"/>
                <w:szCs w:val="21"/>
              </w:rPr>
            </w:pPr>
          </w:p>
        </w:tc>
      </w:tr>
    </w:tbl>
    <w:p w14:paraId="6D496BB3">
      <w:pPr>
        <w:pStyle w:val="7"/>
        <w:rPr>
          <w:rFonts w:hint="eastAsia"/>
        </w:rPr>
      </w:pPr>
    </w:p>
    <w:p w14:paraId="7A77D3B9">
      <w:pPr>
        <w:rPr>
          <w:rFonts w:hint="eastAsia"/>
        </w:rPr>
      </w:pPr>
    </w:p>
    <w:p w14:paraId="6DF47938">
      <w:pPr>
        <w:pStyle w:val="7"/>
        <w:rPr>
          <w:rFonts w:hint="eastAsia"/>
        </w:rPr>
      </w:pPr>
    </w:p>
    <w:p w14:paraId="6041E204">
      <w:pPr>
        <w:rPr>
          <w:rFonts w:hint="eastAsia"/>
        </w:rPr>
      </w:pPr>
    </w:p>
    <w:p w14:paraId="0B424702">
      <w:pPr>
        <w:pStyle w:val="7"/>
        <w:rPr>
          <w:rFonts w:hint="eastAsia"/>
        </w:rPr>
      </w:pPr>
    </w:p>
    <w:p w14:paraId="14B382E4">
      <w:pPr>
        <w:rPr>
          <w:rFonts w:hint="eastAsia"/>
        </w:rPr>
      </w:pPr>
    </w:p>
    <w:p w14:paraId="530D90E8">
      <w:pPr>
        <w:pStyle w:val="7"/>
        <w:rPr>
          <w:rFonts w:hint="eastAsia"/>
          <w:lang w:val="en-US" w:eastAsia="zh-CN"/>
        </w:rPr>
      </w:pPr>
      <w:r>
        <w:rPr>
          <w:rFonts w:hint="eastAsia"/>
          <w:lang w:val="en-US" w:eastAsia="zh-CN"/>
        </w:rPr>
        <w:t xml:space="preserve">    </w:t>
      </w:r>
    </w:p>
    <w:p w14:paraId="46888335">
      <w:pPr>
        <w:rPr>
          <w:rFonts w:hint="eastAsia"/>
          <w:lang w:val="en-US" w:eastAsia="zh-CN"/>
        </w:rPr>
      </w:pPr>
    </w:p>
    <w:p w14:paraId="27555378">
      <w:pPr>
        <w:rPr>
          <w:rFonts w:hint="default"/>
          <w:lang w:val="en-US" w:eastAsia="zh-CN"/>
        </w:rPr>
      </w:pPr>
    </w:p>
    <w:p w14:paraId="689A7D54">
      <w:pPr>
        <w:rPr>
          <w:rFonts w:hint="eastAsia"/>
        </w:rPr>
      </w:pPr>
    </w:p>
    <w:p w14:paraId="2F9B30F2">
      <w:pPr>
        <w:pStyle w:val="7"/>
        <w:rPr>
          <w:rFonts w:hint="eastAsia"/>
        </w:rPr>
      </w:pPr>
    </w:p>
    <w:p w14:paraId="6B2165A0">
      <w:pPr>
        <w:rPr>
          <w:rFonts w:hint="eastAsia"/>
        </w:rPr>
      </w:pPr>
    </w:p>
    <w:p w14:paraId="2FA042D1">
      <w:pPr>
        <w:pStyle w:val="62"/>
        <w:rPr>
          <w:rFonts w:hint="eastAsia"/>
        </w:rPr>
      </w:pPr>
    </w:p>
    <w:p w14:paraId="7ED1B65C">
      <w:pPr>
        <w:pStyle w:val="62"/>
        <w:rPr>
          <w:rFonts w:hint="eastAsia"/>
        </w:rPr>
      </w:pPr>
    </w:p>
    <w:p w14:paraId="532D434C">
      <w:pPr>
        <w:rPr>
          <w:rFonts w:hint="eastAsia"/>
        </w:rPr>
      </w:pPr>
    </w:p>
    <w:p w14:paraId="0CA3BC0D">
      <w:pPr>
        <w:pStyle w:val="7"/>
        <w:rPr>
          <w:rFonts w:hint="eastAsia"/>
        </w:rPr>
      </w:pPr>
    </w:p>
    <w:p w14:paraId="6DD44555">
      <w:pPr>
        <w:rPr>
          <w:rFonts w:hint="eastAsia"/>
        </w:rPr>
      </w:pPr>
    </w:p>
    <w:p w14:paraId="078F0D85">
      <w:pPr>
        <w:rPr>
          <w:rFonts w:hint="eastAsia"/>
        </w:rPr>
      </w:pPr>
    </w:p>
    <w:p w14:paraId="76A1B026">
      <w:pPr>
        <w:spacing w:line="360" w:lineRule="auto"/>
        <w:jc w:val="center"/>
        <w:outlineLvl w:val="1"/>
        <w:rPr>
          <w:rFonts w:hint="eastAsia" w:ascii="宋体" w:hAnsi="宋体" w:cs="宋体"/>
          <w:b/>
          <w:color w:val="auto"/>
          <w:sz w:val="32"/>
          <w:szCs w:val="32"/>
        </w:rPr>
      </w:pPr>
      <w:bookmarkStart w:id="50" w:name="_Toc11879752"/>
    </w:p>
    <w:p w14:paraId="260552CB">
      <w:p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rPr>
        <w:t>一、磋商响应声明</w:t>
      </w:r>
      <w:bookmarkEnd w:id="50"/>
    </w:p>
    <w:p w14:paraId="53EF03DD">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 xml:space="preserve"> (采购人或采购代理机构)：</w:t>
      </w:r>
    </w:p>
    <w:p w14:paraId="21626076">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我方已仔细研究了</w:t>
      </w:r>
      <w:r>
        <w:rPr>
          <w:rFonts w:hint="eastAsia" w:ascii="宋体" w:hAnsi="宋体" w:cs="宋体"/>
          <w:color w:val="auto"/>
          <w:szCs w:val="21"/>
          <w:u w:val="single"/>
        </w:rPr>
        <w:t xml:space="preserve">                 (</w:t>
      </w:r>
      <w:r>
        <w:rPr>
          <w:rFonts w:hint="eastAsia" w:ascii="宋体" w:hAnsi="宋体" w:cs="宋体"/>
          <w:color w:val="auto"/>
          <w:szCs w:val="21"/>
        </w:rPr>
        <w:t>项目名称)的竞争性磋商文件（政府采购编号：</w:t>
      </w:r>
      <w:r>
        <w:rPr>
          <w:rFonts w:hint="eastAsia" w:ascii="宋体" w:hAnsi="宋体" w:cs="宋体"/>
          <w:color w:val="auto"/>
          <w:szCs w:val="21"/>
          <w:u w:val="single"/>
        </w:rPr>
        <w:t xml:space="preserve">            </w:t>
      </w:r>
      <w:r>
        <w:rPr>
          <w:rFonts w:hint="eastAsia" w:ascii="宋体" w:hAnsi="宋体" w:cs="宋体"/>
          <w:color w:val="auto"/>
          <w:szCs w:val="21"/>
        </w:rPr>
        <w:t xml:space="preserve"> ；采购代理编号：</w:t>
      </w:r>
      <w:r>
        <w:rPr>
          <w:rFonts w:hint="eastAsia" w:ascii="宋体" w:hAnsi="宋体" w:cs="宋体"/>
          <w:color w:val="auto"/>
          <w:szCs w:val="21"/>
          <w:u w:val="single"/>
        </w:rPr>
        <w:t xml:space="preserve">           </w:t>
      </w:r>
      <w:r>
        <w:rPr>
          <w:rFonts w:hint="eastAsia" w:ascii="宋体" w:hAnsi="宋体" w:cs="宋体"/>
          <w:color w:val="auto"/>
          <w:szCs w:val="21"/>
        </w:rPr>
        <w:t>）的全部内容，</w:t>
      </w:r>
      <w:r>
        <w:rPr>
          <w:rFonts w:hint="eastAsia" w:ascii="宋体" w:hAnsi="宋体" w:cs="宋体"/>
          <w:color w:val="auto"/>
        </w:rPr>
        <w:t>知悉参加竞争性磋商的风险，我方承诺接受磋商文件的全部条款且无任何异议。</w:t>
      </w:r>
    </w:p>
    <w:p w14:paraId="4B0FC044">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一、我方同意在磋商文件中规定的提交首次响应文件截止时间起</w:t>
      </w:r>
      <w:r>
        <w:rPr>
          <w:rFonts w:hint="eastAsia" w:hAnsi="宋体" w:cs="宋体"/>
          <w:color w:val="auto"/>
          <w:u w:val="single"/>
        </w:rPr>
        <w:t xml:space="preserve">    </w:t>
      </w:r>
      <w:r>
        <w:rPr>
          <w:rFonts w:hint="eastAsia" w:hAnsi="宋体" w:cs="宋体"/>
          <w:color w:val="auto"/>
        </w:rPr>
        <w:t>日内(响应文件有效期)遵守本响应文件中的承诺且在此期限期满之前均具有法律约束力。</w:t>
      </w:r>
    </w:p>
    <w:p w14:paraId="7CE3376C">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二、我方提交响应文件正本一份和副本一式</w:t>
      </w:r>
      <w:r>
        <w:rPr>
          <w:rFonts w:hint="eastAsia" w:hAnsi="宋体" w:cs="宋体"/>
          <w:color w:val="auto"/>
          <w:u w:val="single"/>
        </w:rPr>
        <w:t xml:space="preserve">     </w:t>
      </w:r>
      <w:r>
        <w:rPr>
          <w:rFonts w:hint="eastAsia" w:hAnsi="宋体" w:cs="宋体"/>
          <w:color w:val="auto"/>
        </w:rPr>
        <w:t>份，并保证响应文件提供的数据和资料全部内容真实、合法、准确和完整，我们对此负责，并愿承担由此引起的法律责任。</w:t>
      </w:r>
    </w:p>
    <w:p w14:paraId="15B0282F">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三、我方愿意向贵方提供任何与本项采购有关的数据、情况和技术资料。若贵方需要，我方愿意提供我方作出的一切承诺的证明资料。</w:t>
      </w:r>
    </w:p>
    <w:p w14:paraId="7BFCF8D7">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四、我方愿意按磋商文件规定和磋商小组要求重新提交响应文件和最后报价。</w:t>
      </w:r>
    </w:p>
    <w:p w14:paraId="62322BE3">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五、我方承诺遵守《中华人民共和国政府采购法》的有关规定，保证在获得成交资格后，按照磋商文件确定的事项签订政府采购合同，履行双方所签订的合同，并承担合同规定的责任和义务。</w:t>
      </w:r>
    </w:p>
    <w:p w14:paraId="20E54DBD">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 xml:space="preserve">六、我方在此声明： </w:t>
      </w:r>
    </w:p>
    <w:p w14:paraId="09AA9972">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（一）我方与采购人或采购代理机构不存在隶属关系或者其他利害关系。</w:t>
      </w:r>
    </w:p>
    <w:p w14:paraId="182D9370">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（二）我方与参加本项目的其他供应商不存在直接控股、管理关系，或者与其他供应商法定代表人（或者负责人）为同一人。</w:t>
      </w:r>
    </w:p>
    <w:p w14:paraId="252ED265">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（三）我方未为本项目前期准备提供设计或咨询服务。</w:t>
      </w:r>
    </w:p>
    <w:p w14:paraId="4F3B3033">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（四）我方承诺（承诺期：成立三年以上的，为提交首次响应文件截止时间前三年内；成立不足三年的，为实际时间）：</w:t>
      </w:r>
    </w:p>
    <w:p w14:paraId="21361FA2">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1、我方依法缴纳了各项税费及各项社会保障资金，没有偷税、漏税及欠缴行为。</w:t>
      </w:r>
    </w:p>
    <w:p w14:paraId="4F40D998">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2、我方在经营活动中没有存在下列重大违法记录：</w:t>
      </w:r>
    </w:p>
    <w:p w14:paraId="27B44F95">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(1)受到刑事处罚；</w:t>
      </w:r>
    </w:p>
    <w:p w14:paraId="61F37797">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(2)受到三万元以上的罚款、责令停产停业、在一至三年内禁止参加政府采购活动、暂扣或者吊销许可证、暂扣或者吊销执照的行政处罚。</w:t>
      </w:r>
    </w:p>
    <w:p w14:paraId="0CABFA56">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附件1：</w:t>
      </w:r>
      <w:r>
        <w:rPr>
          <w:rFonts w:hint="eastAsia" w:ascii="宋体" w:hAnsi="宋体" w:cs="宋体"/>
          <w:color w:val="auto"/>
          <w:szCs w:val="21"/>
        </w:rPr>
        <w:t>法定代表人身份证明</w:t>
      </w:r>
    </w:p>
    <w:p w14:paraId="4C959574">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附件2</w:t>
      </w:r>
      <w:r>
        <w:rPr>
          <w:rFonts w:hint="eastAsia" w:ascii="宋体" w:hAnsi="宋体" w:cs="宋体"/>
          <w:color w:val="auto"/>
          <w:szCs w:val="21"/>
        </w:rPr>
        <w:t>：法定代表人授权书</w:t>
      </w:r>
    </w:p>
    <w:p w14:paraId="4B89820D">
      <w:pPr>
        <w:pStyle w:val="24"/>
        <w:adjustRightInd w:val="0"/>
        <w:snapToGrid w:val="0"/>
        <w:spacing w:line="360" w:lineRule="auto"/>
        <w:rPr>
          <w:rFonts w:hint="eastAsia" w:hAnsi="宋体" w:cs="宋体"/>
          <w:color w:val="auto"/>
        </w:rPr>
      </w:pPr>
      <w:r>
        <w:rPr>
          <w:rFonts w:hint="eastAsia" w:hAnsi="宋体" w:cs="宋体"/>
          <w:color w:val="auto"/>
        </w:rPr>
        <w:t>供应商名称(盖单位章)：</w:t>
      </w:r>
    </w:p>
    <w:p w14:paraId="06DF7CC0">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6BE296A2">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25AB8632">
      <w:pPr>
        <w:adjustRightInd w:val="0"/>
        <w:snapToGrid w:val="0"/>
        <w:spacing w:line="360" w:lineRule="auto"/>
        <w:ind w:right="24"/>
        <w:rPr>
          <w:rFonts w:hint="eastAsia" w:ascii="宋体" w:hAnsi="宋体" w:cs="宋体"/>
          <w:bCs/>
          <w:color w:val="auto"/>
          <w:sz w:val="30"/>
          <w:szCs w:val="30"/>
        </w:rPr>
        <w:sectPr>
          <w:pgSz w:w="11906" w:h="16838"/>
          <w:pgMar w:top="1134" w:right="1134" w:bottom="1134" w:left="1134" w:header="851" w:footer="992" w:gutter="0"/>
          <w:pgNumType w:fmt="decimal"/>
          <w:cols w:space="720" w:num="1"/>
          <w:docGrid w:linePitch="312" w:charSpace="0"/>
        </w:sectPr>
      </w:pPr>
    </w:p>
    <w:p w14:paraId="39B0D6A6">
      <w:pPr>
        <w:adjustRightInd w:val="0"/>
        <w:snapToGrid w:val="0"/>
        <w:spacing w:line="360" w:lineRule="auto"/>
        <w:ind w:right="24"/>
        <w:rPr>
          <w:rFonts w:hint="eastAsia" w:ascii="宋体" w:hAnsi="宋体" w:cs="宋体"/>
          <w:bCs/>
          <w:color w:val="auto"/>
          <w:sz w:val="30"/>
          <w:szCs w:val="30"/>
        </w:rPr>
      </w:pPr>
      <w:r>
        <w:rPr>
          <w:rFonts w:hint="eastAsia" w:ascii="宋体" w:hAnsi="宋体" w:cs="宋体"/>
          <w:bCs/>
          <w:color w:val="auto"/>
          <w:sz w:val="30"/>
          <w:szCs w:val="30"/>
        </w:rPr>
        <w:t>附件1</w:t>
      </w:r>
    </w:p>
    <w:p w14:paraId="5BC0771D">
      <w:pPr>
        <w:spacing w:line="360" w:lineRule="auto"/>
        <w:jc w:val="center"/>
        <w:rPr>
          <w:rFonts w:hint="eastAsia" w:ascii="宋体" w:hAnsi="宋体" w:cs="宋体"/>
          <w:b/>
          <w:color w:val="auto"/>
          <w:sz w:val="30"/>
          <w:szCs w:val="30"/>
        </w:rPr>
      </w:pPr>
      <w:r>
        <w:rPr>
          <w:rFonts w:hint="eastAsia" w:ascii="宋体" w:hAnsi="宋体" w:cs="宋体"/>
          <w:b/>
          <w:color w:val="auto"/>
          <w:sz w:val="30"/>
          <w:szCs w:val="30"/>
        </w:rPr>
        <w:t>法定代表人身份证明</w:t>
      </w:r>
    </w:p>
    <w:p w14:paraId="50A6D1DE">
      <w:pPr>
        <w:pStyle w:val="43"/>
        <w:spacing w:after="240"/>
        <w:ind w:left="420" w:firstLine="2625" w:firstLineChars="1250"/>
        <w:rPr>
          <w:rFonts w:hint="eastAsia"/>
          <w:color w:val="auto"/>
          <w:lang w:val="en-US" w:eastAsia="zh-CN"/>
        </w:rPr>
      </w:pPr>
      <w:r>
        <w:rPr>
          <w:rFonts w:hint="eastAsia"/>
          <w:color w:val="auto"/>
          <w:lang w:val="en-US" w:eastAsia="zh-CN"/>
        </w:rPr>
        <w:t>(法定代表人参加磋商)</w:t>
      </w:r>
    </w:p>
    <w:p w14:paraId="7BC03135">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供应商</w:t>
      </w:r>
      <w:r>
        <w:rPr>
          <w:rFonts w:hint="eastAsia" w:ascii="宋体" w:hAnsi="宋体" w:cs="宋体"/>
          <w:color w:val="auto"/>
          <w:kern w:val="0"/>
          <w:szCs w:val="21"/>
        </w:rPr>
        <w:t>名称：</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3968373D">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注册号：</w:t>
      </w:r>
      <w:r>
        <w:rPr>
          <w:rFonts w:hint="eastAsia" w:ascii="宋体" w:hAnsi="宋体" w:cs="宋体"/>
          <w:color w:val="auto"/>
          <w:kern w:val="0"/>
          <w:szCs w:val="21"/>
          <w:u w:val="single"/>
        </w:rPr>
        <w:t xml:space="preserve">                  </w:t>
      </w:r>
    </w:p>
    <w:p w14:paraId="1548F5F4">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p>
    <w:p w14:paraId="081EFD3F">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 xml:space="preserve">成立时间：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44D2D5F5">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14:paraId="6E143804">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经营范围：主营：</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；兼营：</w:t>
      </w:r>
      <w:r>
        <w:rPr>
          <w:rFonts w:hint="eastAsia" w:ascii="宋体" w:hAnsi="宋体" w:cs="宋体"/>
          <w:color w:val="auto"/>
          <w:kern w:val="0"/>
          <w:szCs w:val="21"/>
          <w:u w:val="single"/>
        </w:rPr>
        <w:t xml:space="preserve">              </w:t>
      </w:r>
    </w:p>
    <w:p w14:paraId="547B65BF">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系</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s="宋体"/>
          <w:color w:val="auto"/>
          <w:szCs w:val="21"/>
        </w:rPr>
        <w:t>供应商</w:t>
      </w:r>
      <w:r>
        <w:rPr>
          <w:rFonts w:hint="eastAsia" w:ascii="宋体" w:hAnsi="宋体" w:cs="宋体"/>
          <w:color w:val="auto"/>
          <w:kern w:val="0"/>
          <w:szCs w:val="21"/>
        </w:rPr>
        <w:t>名称）的法定代表人。</w:t>
      </w:r>
    </w:p>
    <w:p w14:paraId="4C701E00">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特此证明。</w:t>
      </w:r>
    </w:p>
    <w:p w14:paraId="7600EE4C">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附：法定代表人身份证复印件</w:t>
      </w:r>
    </w:p>
    <w:tbl>
      <w:tblPr>
        <w:tblStyle w:val="44"/>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3DBD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3ED291EF">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30E1474F">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bl>
    <w:p w14:paraId="5FAAFD91">
      <w:pPr>
        <w:snapToGrid w:val="0"/>
        <w:spacing w:line="360" w:lineRule="auto"/>
        <w:rPr>
          <w:rFonts w:hint="eastAsia" w:ascii="宋体" w:hAnsi="宋体" w:cs="宋体"/>
          <w:color w:val="auto"/>
          <w:szCs w:val="21"/>
        </w:rPr>
      </w:pPr>
    </w:p>
    <w:p w14:paraId="6743C204">
      <w:pPr>
        <w:adjustRightInd w:val="0"/>
        <w:snapToGrid w:val="0"/>
        <w:spacing w:line="360" w:lineRule="auto"/>
        <w:rPr>
          <w:rFonts w:hint="eastAsia" w:ascii="宋体" w:hAnsi="宋体" w:cs="宋体"/>
          <w:color w:val="auto"/>
          <w:szCs w:val="21"/>
        </w:rPr>
      </w:pPr>
    </w:p>
    <w:p w14:paraId="3E6D34D9">
      <w:pPr>
        <w:pStyle w:val="62"/>
        <w:rPr>
          <w:rFonts w:hint="eastAsia" w:ascii="宋体" w:hAnsi="宋体" w:cs="宋体"/>
          <w:color w:val="auto"/>
          <w:szCs w:val="21"/>
        </w:rPr>
      </w:pPr>
    </w:p>
    <w:p w14:paraId="718C8F4D">
      <w:pPr>
        <w:pStyle w:val="62"/>
        <w:rPr>
          <w:rFonts w:hint="eastAsia" w:ascii="宋体" w:hAnsi="宋体" w:cs="宋体"/>
          <w:color w:val="auto"/>
          <w:szCs w:val="21"/>
        </w:rPr>
      </w:pPr>
    </w:p>
    <w:p w14:paraId="3E01C621">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供应商名称（盖单位章）：</w:t>
      </w:r>
    </w:p>
    <w:p w14:paraId="5529C64B">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 xml:space="preserve">日      </w:t>
      </w:r>
    </w:p>
    <w:p w14:paraId="1E117827">
      <w:pPr>
        <w:adjustRightInd w:val="0"/>
        <w:snapToGrid w:val="0"/>
        <w:spacing w:before="120" w:beforeLines="50" w:line="360" w:lineRule="auto"/>
        <w:rPr>
          <w:rFonts w:hint="eastAsia" w:ascii="宋体" w:hAnsi="宋体" w:cs="宋体"/>
          <w:color w:val="auto"/>
          <w:szCs w:val="21"/>
        </w:rPr>
      </w:pPr>
    </w:p>
    <w:p w14:paraId="13EFBAF7">
      <w:pPr>
        <w:adjustRightInd w:val="0"/>
        <w:snapToGrid w:val="0"/>
        <w:spacing w:before="120" w:beforeLines="50" w:line="360" w:lineRule="auto"/>
        <w:rPr>
          <w:rFonts w:hint="eastAsia" w:ascii="宋体" w:hAnsi="宋体" w:cs="宋体"/>
          <w:color w:val="auto"/>
          <w:szCs w:val="21"/>
        </w:rPr>
      </w:pPr>
    </w:p>
    <w:p w14:paraId="052780E9">
      <w:pPr>
        <w:adjustRightInd w:val="0"/>
        <w:snapToGrid w:val="0"/>
        <w:spacing w:before="120" w:beforeLines="50" w:line="360" w:lineRule="auto"/>
        <w:rPr>
          <w:rFonts w:hint="eastAsia" w:ascii="宋体" w:hAnsi="宋体" w:cs="宋体"/>
          <w:bCs/>
          <w:color w:val="auto"/>
          <w:sz w:val="30"/>
          <w:szCs w:val="30"/>
        </w:rPr>
      </w:pPr>
    </w:p>
    <w:p w14:paraId="0508DD76">
      <w:pPr>
        <w:adjustRightInd w:val="0"/>
        <w:snapToGrid w:val="0"/>
        <w:spacing w:before="120" w:beforeLines="50" w:line="360" w:lineRule="auto"/>
        <w:rPr>
          <w:rFonts w:hint="eastAsia" w:ascii="宋体" w:hAnsi="宋体" w:cs="宋体"/>
          <w:bCs/>
          <w:color w:val="auto"/>
          <w:sz w:val="30"/>
          <w:szCs w:val="30"/>
        </w:rPr>
      </w:pPr>
      <w:r>
        <w:rPr>
          <w:rFonts w:hint="eastAsia" w:ascii="宋体" w:hAnsi="宋体"/>
          <w:b/>
          <w:color w:val="auto"/>
          <w:szCs w:val="21"/>
        </w:rPr>
        <w:t>★本法定代表人身份证明须单独另备一份及法定代表人身份证</w:t>
      </w:r>
      <w:r>
        <w:rPr>
          <w:rFonts w:hint="eastAsia" w:ascii="宋体" w:hAnsi="宋体"/>
          <w:b/>
          <w:color w:val="auto"/>
          <w:szCs w:val="21"/>
          <w:lang w:eastAsia="zh-CN"/>
        </w:rPr>
        <w:t>明</w:t>
      </w:r>
      <w:r>
        <w:rPr>
          <w:rFonts w:hint="eastAsia" w:ascii="宋体" w:hAnsi="宋体"/>
          <w:b/>
          <w:color w:val="auto"/>
          <w:szCs w:val="21"/>
        </w:rPr>
        <w:t>原件开标现场查验。</w:t>
      </w:r>
    </w:p>
    <w:p w14:paraId="296A639A">
      <w:pPr>
        <w:adjustRightInd w:val="0"/>
        <w:snapToGrid w:val="0"/>
        <w:spacing w:before="120" w:beforeLines="50" w:line="360" w:lineRule="auto"/>
        <w:rPr>
          <w:rFonts w:hint="eastAsia" w:ascii="宋体" w:hAnsi="宋体" w:cs="宋体"/>
          <w:bCs/>
          <w:color w:val="auto"/>
          <w:sz w:val="30"/>
          <w:szCs w:val="30"/>
        </w:rPr>
      </w:pPr>
    </w:p>
    <w:p w14:paraId="0BD2D786">
      <w:pPr>
        <w:adjustRightInd w:val="0"/>
        <w:snapToGrid w:val="0"/>
        <w:spacing w:before="120" w:beforeLines="50" w:line="360" w:lineRule="auto"/>
        <w:rPr>
          <w:rFonts w:hint="eastAsia" w:ascii="宋体" w:hAnsi="宋体" w:cs="宋体"/>
          <w:bCs/>
          <w:color w:val="auto"/>
          <w:sz w:val="30"/>
          <w:szCs w:val="30"/>
        </w:rPr>
      </w:pPr>
    </w:p>
    <w:p w14:paraId="5A968E75">
      <w:pPr>
        <w:adjustRightInd w:val="0"/>
        <w:snapToGrid w:val="0"/>
        <w:spacing w:before="120" w:beforeLines="50" w:line="360" w:lineRule="auto"/>
        <w:rPr>
          <w:rFonts w:hint="eastAsia" w:ascii="宋体" w:hAnsi="宋体" w:cs="宋体"/>
          <w:bCs/>
          <w:color w:val="auto"/>
          <w:sz w:val="30"/>
          <w:szCs w:val="30"/>
        </w:rPr>
      </w:pPr>
    </w:p>
    <w:p w14:paraId="6DA40773">
      <w:pPr>
        <w:adjustRightInd w:val="0"/>
        <w:snapToGrid w:val="0"/>
        <w:spacing w:before="120" w:beforeLines="50" w:line="360" w:lineRule="auto"/>
        <w:rPr>
          <w:rFonts w:hint="eastAsia" w:ascii="宋体" w:hAnsi="宋体" w:cs="宋体"/>
          <w:bCs/>
          <w:color w:val="auto"/>
          <w:sz w:val="30"/>
          <w:szCs w:val="30"/>
        </w:rPr>
      </w:pPr>
    </w:p>
    <w:p w14:paraId="1E43B23D">
      <w:pPr>
        <w:adjustRightInd w:val="0"/>
        <w:snapToGrid w:val="0"/>
        <w:spacing w:before="120" w:beforeLines="50" w:line="360" w:lineRule="auto"/>
        <w:rPr>
          <w:rFonts w:hint="eastAsia" w:ascii="宋体" w:hAnsi="宋体" w:cs="宋体"/>
          <w:color w:val="auto"/>
          <w:sz w:val="30"/>
          <w:szCs w:val="30"/>
        </w:rPr>
      </w:pPr>
      <w:r>
        <w:rPr>
          <w:rFonts w:hint="eastAsia" w:ascii="宋体" w:hAnsi="宋体" w:cs="宋体"/>
          <w:bCs/>
          <w:color w:val="auto"/>
          <w:sz w:val="30"/>
          <w:szCs w:val="30"/>
        </w:rPr>
        <w:t>附件2</w:t>
      </w:r>
    </w:p>
    <w:p w14:paraId="7B4397A0">
      <w:pPr>
        <w:spacing w:line="360" w:lineRule="auto"/>
        <w:jc w:val="center"/>
        <w:rPr>
          <w:rFonts w:hint="eastAsia" w:ascii="宋体" w:hAnsi="宋体" w:cs="宋体"/>
          <w:b/>
          <w:color w:val="auto"/>
          <w:sz w:val="30"/>
          <w:szCs w:val="30"/>
        </w:rPr>
      </w:pPr>
      <w:r>
        <w:rPr>
          <w:rFonts w:hint="eastAsia" w:ascii="宋体" w:hAnsi="宋体" w:cs="宋体"/>
          <w:b/>
          <w:color w:val="auto"/>
          <w:sz w:val="30"/>
          <w:szCs w:val="30"/>
        </w:rPr>
        <w:t>法定代表人授权委托书</w:t>
      </w:r>
    </w:p>
    <w:p w14:paraId="4FE37F15">
      <w:pPr>
        <w:pStyle w:val="43"/>
        <w:spacing w:after="240"/>
        <w:ind w:left="420" w:firstLine="3150" w:firstLineChars="1500"/>
        <w:rPr>
          <w:rFonts w:hint="eastAsia"/>
          <w:color w:val="auto"/>
          <w:lang w:val="en-US" w:eastAsia="zh-CN"/>
        </w:rPr>
      </w:pPr>
      <w:r>
        <w:rPr>
          <w:rFonts w:hint="eastAsia"/>
          <w:color w:val="auto"/>
          <w:sz w:val="21"/>
          <w:szCs w:val="21"/>
        </w:rPr>
        <w:t>(委托代理人参加磋商)</w:t>
      </w:r>
    </w:p>
    <w:p w14:paraId="3B3760E9">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s="宋体"/>
          <w:color w:val="auto"/>
          <w:szCs w:val="21"/>
        </w:rPr>
        <w:t>政府</w:t>
      </w:r>
      <w:r>
        <w:rPr>
          <w:rFonts w:hint="eastAsia" w:ascii="宋体" w:hAnsi="宋体" w:cs="宋体"/>
          <w:color w:val="auto"/>
          <w:kern w:val="0"/>
          <w:szCs w:val="21"/>
        </w:rPr>
        <w:t>采购编号、采购代理机构编号）响应文件；(2)签署并重新提交响应文件及最后报价；(3)签订合同和处理有关事宜，其法律后果由我方承担。</w:t>
      </w:r>
    </w:p>
    <w:p w14:paraId="517FFF23">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59028F35">
      <w:pPr>
        <w:spacing w:line="360" w:lineRule="auto"/>
        <w:ind w:firstLine="435"/>
        <w:rPr>
          <w:rFonts w:hint="eastAsia" w:ascii="宋体" w:hAnsi="宋体" w:cs="宋体"/>
          <w:color w:val="auto"/>
          <w:kern w:val="0"/>
          <w:szCs w:val="21"/>
        </w:rPr>
      </w:pPr>
      <w:r>
        <w:rPr>
          <w:rFonts w:hint="eastAsia" w:ascii="宋体" w:hAnsi="宋体" w:cs="宋体"/>
          <w:color w:val="auto"/>
          <w:kern w:val="0"/>
          <w:szCs w:val="21"/>
        </w:rPr>
        <w:t>代理人无转委托权。</w:t>
      </w:r>
    </w:p>
    <w:p w14:paraId="4E698194">
      <w:pPr>
        <w:spacing w:line="360" w:lineRule="auto"/>
        <w:ind w:firstLine="435"/>
        <w:rPr>
          <w:rFonts w:hint="eastAsia" w:ascii="宋体" w:hAnsi="宋体" w:cs="宋体"/>
          <w:color w:val="auto"/>
          <w:szCs w:val="21"/>
        </w:rPr>
      </w:pPr>
      <w:r>
        <w:rPr>
          <w:rFonts w:hint="eastAsia" w:ascii="宋体" w:hAnsi="宋体" w:cs="宋体"/>
          <w:color w:val="auto"/>
          <w:szCs w:val="21"/>
        </w:rPr>
        <w:t>本授权书于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日签字生效，特此声明。</w:t>
      </w:r>
    </w:p>
    <w:p w14:paraId="3D9D66AA">
      <w:pPr>
        <w:adjustRightInd w:val="0"/>
        <w:snapToGrid w:val="0"/>
        <w:spacing w:before="120" w:beforeLines="50" w:line="360" w:lineRule="auto"/>
        <w:ind w:firstLine="422" w:firstLineChars="200"/>
        <w:rPr>
          <w:rFonts w:hint="eastAsia" w:ascii="宋体" w:hAnsi="宋体"/>
          <w:b/>
          <w:color w:val="auto"/>
          <w:szCs w:val="21"/>
        </w:rPr>
      </w:pPr>
      <w:r>
        <w:rPr>
          <w:rFonts w:hint="eastAsia" w:ascii="宋体" w:hAnsi="宋体"/>
          <w:b/>
          <w:color w:val="auto"/>
          <w:szCs w:val="21"/>
        </w:rPr>
        <w:t>附：委托代理人身份证复印件（双面）及法定代表人身份证明(附件1，原件)</w:t>
      </w:r>
    </w:p>
    <w:tbl>
      <w:tblPr>
        <w:tblStyle w:val="44"/>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5916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71665787">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72F80619">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r w14:paraId="1648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463B34AC">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0F836629">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bl>
    <w:p w14:paraId="2EC0DF4F">
      <w:pPr>
        <w:adjustRightInd w:val="0"/>
        <w:snapToGrid w:val="0"/>
        <w:spacing w:before="120" w:beforeLines="50" w:line="360" w:lineRule="auto"/>
        <w:ind w:firstLine="420" w:firstLineChars="200"/>
        <w:rPr>
          <w:rFonts w:hint="eastAsia" w:ascii="宋体" w:hAnsi="宋体" w:cs="宋体"/>
          <w:color w:val="auto"/>
          <w:szCs w:val="21"/>
        </w:rPr>
      </w:pPr>
    </w:p>
    <w:p w14:paraId="1438B511">
      <w:pPr>
        <w:adjustRightInd w:val="0"/>
        <w:snapToGrid w:val="0"/>
        <w:spacing w:line="360" w:lineRule="auto"/>
        <w:ind w:right="420"/>
        <w:rPr>
          <w:rFonts w:hint="eastAsia" w:ascii="宋体" w:hAnsi="宋体" w:cs="宋体"/>
          <w:color w:val="auto"/>
          <w:szCs w:val="21"/>
        </w:rPr>
      </w:pPr>
    </w:p>
    <w:p w14:paraId="3F87C91A">
      <w:pPr>
        <w:adjustRightInd w:val="0"/>
        <w:snapToGrid w:val="0"/>
        <w:spacing w:line="360" w:lineRule="auto"/>
        <w:ind w:right="420"/>
        <w:rPr>
          <w:rFonts w:hint="eastAsia" w:ascii="宋体" w:hAnsi="宋体" w:cs="宋体"/>
          <w:color w:val="auto"/>
          <w:szCs w:val="21"/>
        </w:rPr>
      </w:pPr>
    </w:p>
    <w:p w14:paraId="5C946542">
      <w:pPr>
        <w:pStyle w:val="62"/>
        <w:rPr>
          <w:rFonts w:hint="eastAsia" w:ascii="宋体" w:hAnsi="宋体" w:cs="宋体"/>
          <w:color w:val="auto"/>
          <w:szCs w:val="21"/>
        </w:rPr>
      </w:pPr>
    </w:p>
    <w:p w14:paraId="53993C90">
      <w:pPr>
        <w:pStyle w:val="62"/>
        <w:rPr>
          <w:rFonts w:hint="eastAsia" w:ascii="宋体" w:hAnsi="宋体" w:cs="宋体"/>
          <w:color w:val="auto"/>
          <w:szCs w:val="21"/>
        </w:rPr>
      </w:pPr>
    </w:p>
    <w:p w14:paraId="2722B1AB">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法定代表人（签字）：</w:t>
      </w:r>
      <w:r>
        <w:rPr>
          <w:rFonts w:hint="eastAsia" w:ascii="宋体" w:hAnsi="宋体" w:cs="宋体"/>
          <w:color w:val="auto"/>
          <w:szCs w:val="21"/>
          <w:u w:val="single"/>
        </w:rPr>
        <w:t xml:space="preserve">                     </w:t>
      </w:r>
    </w:p>
    <w:p w14:paraId="4A9C4739">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委托代理人（签字）：</w:t>
      </w:r>
      <w:r>
        <w:rPr>
          <w:rFonts w:hint="eastAsia" w:ascii="宋体" w:hAnsi="宋体" w:cs="宋体"/>
          <w:color w:val="auto"/>
          <w:szCs w:val="21"/>
          <w:u w:val="single"/>
        </w:rPr>
        <w:t xml:space="preserve">                     </w:t>
      </w:r>
    </w:p>
    <w:p w14:paraId="014D5B9A">
      <w:pPr>
        <w:adjustRightInd w:val="0"/>
        <w:snapToGrid w:val="0"/>
        <w:spacing w:line="360" w:lineRule="auto"/>
        <w:ind w:right="24"/>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5EAF1FFD">
      <w:pPr>
        <w:adjustRightInd w:val="0"/>
        <w:snapToGrid w:val="0"/>
        <w:spacing w:line="360" w:lineRule="auto"/>
        <w:rPr>
          <w:rFonts w:hint="eastAsia" w:ascii="宋体" w:hAnsi="宋体" w:cs="宋体"/>
          <w:color w:val="auto"/>
          <w:kern w:val="0"/>
          <w:szCs w:val="21"/>
        </w:rPr>
      </w:pPr>
    </w:p>
    <w:p w14:paraId="377D11D9">
      <w:pPr>
        <w:adjustRightInd w:val="0"/>
        <w:snapToGrid w:val="0"/>
        <w:spacing w:line="360" w:lineRule="auto"/>
        <w:rPr>
          <w:rFonts w:hint="eastAsia" w:ascii="宋体" w:hAnsi="宋体" w:cs="宋体"/>
          <w:color w:val="auto"/>
          <w:kern w:val="0"/>
          <w:szCs w:val="21"/>
        </w:rPr>
      </w:pPr>
      <w:r>
        <w:rPr>
          <w:rFonts w:hint="eastAsia" w:ascii="宋体" w:hAnsi="宋体"/>
          <w:b/>
          <w:color w:val="auto"/>
          <w:szCs w:val="21"/>
        </w:rPr>
        <w:t>★本授权委托书须单独另备一份及委托代理人身份证原件，并附法定代表人身份证明开标现场查验。</w:t>
      </w:r>
    </w:p>
    <w:p w14:paraId="7643981D">
      <w:pPr>
        <w:adjustRightInd w:val="0"/>
        <w:snapToGrid w:val="0"/>
        <w:spacing w:line="360" w:lineRule="auto"/>
        <w:rPr>
          <w:rFonts w:hint="eastAsia" w:ascii="宋体" w:hAnsi="宋体" w:cs="宋体"/>
          <w:color w:val="auto"/>
          <w:kern w:val="0"/>
          <w:szCs w:val="21"/>
        </w:rPr>
      </w:pPr>
    </w:p>
    <w:p w14:paraId="056955A5">
      <w:pPr>
        <w:adjustRightInd w:val="0"/>
        <w:snapToGrid w:val="0"/>
        <w:spacing w:line="360" w:lineRule="auto"/>
        <w:rPr>
          <w:rFonts w:hint="eastAsia" w:ascii="宋体" w:hAnsi="宋体" w:cs="宋体"/>
          <w:color w:val="auto"/>
          <w:kern w:val="0"/>
          <w:szCs w:val="21"/>
        </w:rPr>
      </w:pPr>
    </w:p>
    <w:p w14:paraId="0BF7699C">
      <w:pPr>
        <w:spacing w:line="360" w:lineRule="auto"/>
        <w:jc w:val="both"/>
        <w:outlineLvl w:val="1"/>
        <w:rPr>
          <w:rFonts w:hint="eastAsia" w:ascii="宋体" w:hAnsi="宋体" w:cs="宋体"/>
          <w:b/>
          <w:color w:val="auto"/>
          <w:sz w:val="32"/>
          <w:szCs w:val="32"/>
        </w:rPr>
      </w:pPr>
    </w:p>
    <w:p w14:paraId="197A5F7B">
      <w:pPr>
        <w:spacing w:line="360" w:lineRule="auto"/>
        <w:jc w:val="center"/>
        <w:outlineLvl w:val="1"/>
        <w:rPr>
          <w:rFonts w:hint="eastAsia" w:ascii="宋体" w:hAnsi="宋体" w:cs="宋体"/>
          <w:b/>
          <w:color w:val="auto"/>
          <w:sz w:val="32"/>
          <w:szCs w:val="32"/>
        </w:rPr>
      </w:pPr>
      <w:bookmarkStart w:id="51" w:name="_Toc11879753"/>
    </w:p>
    <w:p w14:paraId="11125700">
      <w:p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rPr>
        <w:t>二、磋商保证金缴纳证明材料</w:t>
      </w:r>
      <w:bookmarkEnd w:id="51"/>
    </w:p>
    <w:p w14:paraId="6093CE72">
      <w:pPr>
        <w:pStyle w:val="24"/>
        <w:adjustRightInd w:val="0"/>
        <w:snapToGrid w:val="0"/>
        <w:spacing w:before="120" w:beforeLines="50" w:line="360" w:lineRule="auto"/>
        <w:rPr>
          <w:rFonts w:hint="eastAsia" w:hAnsi="宋体" w:cs="宋体"/>
          <w:color w:val="auto"/>
        </w:rPr>
      </w:pPr>
    </w:p>
    <w:p w14:paraId="0F36F5BD">
      <w:pPr>
        <w:adjustRightInd w:val="0"/>
        <w:snapToGrid w:val="0"/>
        <w:spacing w:beforeLines="50" w:line="360" w:lineRule="auto"/>
        <w:ind w:firstLine="562" w:firstLineChars="200"/>
        <w:jc w:val="center"/>
        <w:rPr>
          <w:rFonts w:hint="eastAsia" w:ascii="Times New Roman" w:hAnsi="Times New Roman" w:eastAsia="宋体" w:cs="Times New Roman"/>
          <w:color w:val="000000"/>
          <w:sz w:val="28"/>
          <w:szCs w:val="28"/>
          <w:lang w:eastAsia="zh-CN"/>
        </w:rPr>
      </w:pPr>
      <w:r>
        <w:rPr>
          <w:rFonts w:hint="eastAsia" w:cs="Times New Roman"/>
          <w:b/>
          <w:color w:val="000000"/>
          <w:sz w:val="28"/>
          <w:szCs w:val="28"/>
          <w:lang w:eastAsia="zh-CN"/>
        </w:rPr>
        <w:t>（本项目不要求）</w:t>
      </w:r>
    </w:p>
    <w:p w14:paraId="1BE5EE35">
      <w:pPr>
        <w:spacing w:line="360" w:lineRule="auto"/>
        <w:rPr>
          <w:rFonts w:hint="eastAsia" w:ascii="宋体" w:hAnsi="宋体"/>
          <w:color w:val="auto"/>
          <w:sz w:val="32"/>
          <w:szCs w:val="32"/>
        </w:rPr>
      </w:pPr>
    </w:p>
    <w:p w14:paraId="5EBB8569">
      <w:pPr>
        <w:spacing w:line="360" w:lineRule="auto"/>
        <w:rPr>
          <w:rFonts w:hint="eastAsia" w:ascii="宋体" w:hAnsi="宋体"/>
          <w:color w:val="auto"/>
          <w:sz w:val="32"/>
          <w:szCs w:val="32"/>
        </w:rPr>
      </w:pPr>
    </w:p>
    <w:p w14:paraId="1537B146">
      <w:pPr>
        <w:spacing w:line="360" w:lineRule="auto"/>
        <w:rPr>
          <w:rFonts w:hint="eastAsia" w:ascii="宋体" w:hAnsi="宋体"/>
          <w:color w:val="auto"/>
          <w:sz w:val="32"/>
          <w:szCs w:val="32"/>
        </w:rPr>
      </w:pPr>
    </w:p>
    <w:p w14:paraId="47650B2A">
      <w:pPr>
        <w:spacing w:line="360" w:lineRule="auto"/>
        <w:rPr>
          <w:rFonts w:hint="eastAsia" w:ascii="宋体" w:hAnsi="宋体"/>
          <w:color w:val="auto"/>
          <w:sz w:val="32"/>
          <w:szCs w:val="32"/>
        </w:rPr>
      </w:pPr>
    </w:p>
    <w:p w14:paraId="5E2203B9">
      <w:pPr>
        <w:spacing w:line="360" w:lineRule="auto"/>
        <w:rPr>
          <w:rFonts w:hint="eastAsia" w:ascii="宋体" w:hAnsi="宋体"/>
          <w:color w:val="auto"/>
          <w:sz w:val="32"/>
          <w:szCs w:val="32"/>
        </w:rPr>
      </w:pPr>
    </w:p>
    <w:p w14:paraId="51337F31">
      <w:pPr>
        <w:spacing w:line="360" w:lineRule="auto"/>
        <w:rPr>
          <w:rFonts w:hint="eastAsia" w:ascii="宋体" w:hAnsi="宋体"/>
          <w:color w:val="auto"/>
          <w:sz w:val="32"/>
          <w:szCs w:val="32"/>
        </w:rPr>
      </w:pPr>
    </w:p>
    <w:p w14:paraId="3A21CDCB">
      <w:pPr>
        <w:spacing w:line="360" w:lineRule="auto"/>
        <w:rPr>
          <w:rFonts w:hint="eastAsia" w:ascii="宋体" w:hAnsi="宋体"/>
          <w:color w:val="auto"/>
          <w:sz w:val="32"/>
          <w:szCs w:val="32"/>
        </w:rPr>
      </w:pPr>
    </w:p>
    <w:p w14:paraId="562A3E3C">
      <w:pPr>
        <w:spacing w:line="360" w:lineRule="auto"/>
        <w:rPr>
          <w:rFonts w:hint="eastAsia" w:ascii="宋体" w:hAnsi="宋体"/>
          <w:color w:val="auto"/>
          <w:sz w:val="32"/>
          <w:szCs w:val="32"/>
        </w:rPr>
      </w:pPr>
    </w:p>
    <w:p w14:paraId="0222ABDB">
      <w:pPr>
        <w:spacing w:line="360" w:lineRule="auto"/>
        <w:jc w:val="center"/>
        <w:outlineLvl w:val="1"/>
        <w:rPr>
          <w:rFonts w:hint="eastAsia" w:ascii="宋体" w:hAnsi="宋体" w:cs="宋体"/>
          <w:b/>
          <w:bCs/>
          <w:color w:val="auto"/>
          <w:sz w:val="32"/>
          <w:szCs w:val="32"/>
        </w:rPr>
      </w:pPr>
      <w:r>
        <w:rPr>
          <w:rFonts w:ascii="宋体" w:hAnsi="宋体" w:cs="宋体"/>
          <w:b/>
          <w:color w:val="auto"/>
          <w:sz w:val="32"/>
          <w:szCs w:val="32"/>
        </w:rPr>
        <w:br w:type="page"/>
      </w:r>
      <w:bookmarkStart w:id="52" w:name="_Toc11879755"/>
      <w:r>
        <w:rPr>
          <w:rFonts w:hint="eastAsia" w:ascii="宋体" w:hAnsi="宋体" w:cs="宋体"/>
          <w:b/>
          <w:color w:val="auto"/>
          <w:sz w:val="32"/>
          <w:szCs w:val="32"/>
        </w:rPr>
        <w:t>三、供应商的资格证明资料</w:t>
      </w:r>
      <w:bookmarkEnd w:id="52"/>
    </w:p>
    <w:p w14:paraId="13321F8D">
      <w:pPr>
        <w:spacing w:line="360" w:lineRule="auto"/>
        <w:rPr>
          <w:rFonts w:hint="eastAsia" w:ascii="宋体" w:hAnsi="宋体" w:cs="宋体"/>
          <w:b/>
          <w:color w:val="auto"/>
          <w:sz w:val="30"/>
          <w:szCs w:val="30"/>
        </w:rPr>
      </w:pPr>
      <w:r>
        <w:rPr>
          <w:rFonts w:hint="eastAsia" w:ascii="宋体" w:hAnsi="宋体" w:cs="宋体"/>
          <w:b w:val="0"/>
          <w:bCs/>
          <w:color w:val="auto"/>
          <w:sz w:val="30"/>
          <w:szCs w:val="30"/>
        </w:rPr>
        <w:t>附件</w:t>
      </w:r>
      <w:r>
        <w:rPr>
          <w:rFonts w:hint="eastAsia" w:ascii="宋体" w:hAnsi="宋体" w:cs="宋体"/>
          <w:b w:val="0"/>
          <w:bCs/>
          <w:color w:val="auto"/>
          <w:sz w:val="30"/>
          <w:szCs w:val="30"/>
          <w:lang w:val="en-US" w:eastAsia="zh-CN"/>
        </w:rPr>
        <w:t>3</w:t>
      </w:r>
      <w:r>
        <w:rPr>
          <w:rFonts w:hint="eastAsia" w:ascii="宋体" w:hAnsi="宋体" w:cs="宋体"/>
          <w:b w:val="0"/>
          <w:bCs/>
          <w:color w:val="auto"/>
          <w:sz w:val="30"/>
          <w:szCs w:val="30"/>
        </w:rPr>
        <w:t xml:space="preserve"> </w:t>
      </w:r>
      <w:r>
        <w:rPr>
          <w:rFonts w:hint="eastAsia" w:ascii="宋体" w:hAnsi="宋体" w:cs="宋体"/>
          <w:b/>
          <w:color w:val="auto"/>
          <w:sz w:val="30"/>
          <w:szCs w:val="30"/>
        </w:rPr>
        <w:t xml:space="preserve">            </w:t>
      </w:r>
      <w:r>
        <w:rPr>
          <w:rFonts w:hint="eastAsia" w:ascii="宋体" w:hAnsi="宋体" w:cs="宋体"/>
          <w:b/>
          <w:color w:val="auto"/>
          <w:sz w:val="32"/>
          <w:szCs w:val="32"/>
        </w:rPr>
        <w:t xml:space="preserve">   供应商基本情况表</w:t>
      </w:r>
    </w:p>
    <w:p w14:paraId="2F8FFA1E">
      <w:pPr>
        <w:spacing w:line="360" w:lineRule="auto"/>
        <w:rPr>
          <w:rFonts w:hint="eastAsia" w:ascii="宋体" w:hAnsi="宋体" w:cs="宋体"/>
          <w:color w:val="auto"/>
          <w:sz w:val="30"/>
          <w:szCs w:val="30"/>
        </w:rPr>
      </w:pPr>
    </w:p>
    <w:p w14:paraId="2B37125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盖供应商单位章</w:t>
      </w:r>
    </w:p>
    <w:tbl>
      <w:tblPr>
        <w:tblStyle w:val="4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546"/>
        <w:gridCol w:w="367"/>
        <w:gridCol w:w="1159"/>
        <w:gridCol w:w="861"/>
        <w:gridCol w:w="599"/>
        <w:gridCol w:w="297"/>
        <w:gridCol w:w="1099"/>
        <w:gridCol w:w="1347"/>
        <w:gridCol w:w="1937"/>
      </w:tblGrid>
      <w:tr w14:paraId="63C80C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642" w:type="dxa"/>
            <w:gridSpan w:val="3"/>
            <w:tcBorders>
              <w:top w:val="double" w:color="auto" w:sz="4" w:space="0"/>
              <w:left w:val="double" w:color="auto" w:sz="4" w:space="0"/>
              <w:bottom w:val="single" w:color="auto" w:sz="6" w:space="0"/>
              <w:right w:val="single" w:color="auto" w:sz="6" w:space="0"/>
            </w:tcBorders>
            <w:noWrap w:val="0"/>
            <w:vAlign w:val="center"/>
          </w:tcPr>
          <w:p w14:paraId="6EA960D9">
            <w:pPr>
              <w:topLinePunct/>
              <w:spacing w:line="360" w:lineRule="auto"/>
              <w:jc w:val="center"/>
              <w:rPr>
                <w:rFonts w:hint="eastAsia" w:ascii="宋体" w:hAnsi="宋体" w:cs="宋体"/>
                <w:color w:val="auto"/>
                <w:szCs w:val="21"/>
              </w:rPr>
            </w:pPr>
            <w:r>
              <w:rPr>
                <w:rFonts w:hint="eastAsia" w:ascii="宋体" w:hAnsi="宋体" w:cs="宋体"/>
                <w:color w:val="auto"/>
                <w:szCs w:val="21"/>
              </w:rPr>
              <w:t>供应商名称</w:t>
            </w:r>
          </w:p>
        </w:tc>
        <w:tc>
          <w:tcPr>
            <w:tcW w:w="7299" w:type="dxa"/>
            <w:gridSpan w:val="7"/>
            <w:tcBorders>
              <w:top w:val="double" w:color="auto" w:sz="4" w:space="0"/>
              <w:left w:val="single" w:color="auto" w:sz="6" w:space="0"/>
              <w:bottom w:val="single" w:color="auto" w:sz="6" w:space="0"/>
              <w:right w:val="double" w:color="auto" w:sz="4" w:space="0"/>
            </w:tcBorders>
            <w:noWrap w:val="0"/>
            <w:vAlign w:val="center"/>
          </w:tcPr>
          <w:p w14:paraId="0B56E368">
            <w:pPr>
              <w:topLinePunct/>
              <w:spacing w:line="360" w:lineRule="auto"/>
              <w:jc w:val="center"/>
              <w:rPr>
                <w:rFonts w:hint="eastAsia" w:ascii="宋体" w:hAnsi="宋体" w:cs="宋体"/>
                <w:color w:val="auto"/>
                <w:szCs w:val="21"/>
              </w:rPr>
            </w:pPr>
          </w:p>
        </w:tc>
      </w:tr>
      <w:tr w14:paraId="17E6EB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7D878BCF">
            <w:pPr>
              <w:topLinePunct/>
              <w:spacing w:line="360" w:lineRule="auto"/>
              <w:jc w:val="center"/>
              <w:rPr>
                <w:rFonts w:hint="eastAsia" w:ascii="宋体" w:hAnsi="宋体" w:cs="宋体"/>
                <w:color w:val="auto"/>
                <w:szCs w:val="21"/>
              </w:rPr>
            </w:pPr>
            <w:r>
              <w:rPr>
                <w:rFonts w:hint="eastAsia" w:ascii="宋体" w:hAnsi="宋体" w:cs="宋体"/>
                <w:color w:val="auto"/>
                <w:szCs w:val="21"/>
              </w:rPr>
              <w:t>法定代表人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0A81E45B">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11F26473">
            <w:pPr>
              <w:topLinePunct/>
              <w:spacing w:line="360" w:lineRule="auto"/>
              <w:jc w:val="center"/>
              <w:rPr>
                <w:rFonts w:hint="eastAsia" w:ascii="宋体" w:hAnsi="宋体" w:cs="宋体"/>
                <w:color w:val="auto"/>
                <w:szCs w:val="21"/>
              </w:rPr>
            </w:pPr>
            <w:r>
              <w:rPr>
                <w:rFonts w:hint="eastAsia" w:ascii="宋体" w:hAnsi="宋体" w:cs="宋体"/>
                <w:color w:val="auto"/>
                <w:szCs w:val="21"/>
              </w:rPr>
              <w:t>邮政编码</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5BF7BDA1">
            <w:pPr>
              <w:topLinePunct/>
              <w:spacing w:line="360" w:lineRule="auto"/>
              <w:jc w:val="center"/>
              <w:rPr>
                <w:rFonts w:hint="eastAsia" w:ascii="宋体" w:hAnsi="宋体" w:cs="宋体"/>
                <w:color w:val="auto"/>
                <w:szCs w:val="21"/>
              </w:rPr>
            </w:pPr>
          </w:p>
        </w:tc>
      </w:tr>
      <w:tr w14:paraId="103E73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661EEACC">
            <w:pPr>
              <w:topLinePunct/>
              <w:spacing w:line="360" w:lineRule="auto"/>
              <w:jc w:val="center"/>
              <w:rPr>
                <w:rFonts w:hint="eastAsia" w:ascii="宋体" w:hAnsi="宋体" w:cs="宋体"/>
                <w:color w:val="auto"/>
                <w:szCs w:val="21"/>
              </w:rPr>
            </w:pPr>
            <w:r>
              <w:rPr>
                <w:rFonts w:hint="eastAsia" w:ascii="宋体" w:hAnsi="宋体" w:cs="宋体"/>
                <w:color w:val="auto"/>
                <w:szCs w:val="21"/>
              </w:rPr>
              <w:t>委托代理人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7FF6913">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38C07CAD">
            <w:pPr>
              <w:topLinePunct/>
              <w:spacing w:line="360" w:lineRule="auto"/>
              <w:jc w:val="center"/>
              <w:rPr>
                <w:rFonts w:hint="eastAsia" w:ascii="宋体" w:hAnsi="宋体" w:cs="宋体"/>
                <w:color w:val="auto"/>
                <w:szCs w:val="21"/>
              </w:rPr>
            </w:pPr>
            <w:r>
              <w:rPr>
                <w:rFonts w:hint="eastAsia" w:ascii="宋体" w:hAnsi="宋体" w:cs="宋体"/>
                <w:color w:val="auto"/>
                <w:szCs w:val="21"/>
              </w:rPr>
              <w:t>电子邮箱</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3C4F0D7B">
            <w:pPr>
              <w:topLinePunct/>
              <w:spacing w:line="360" w:lineRule="auto"/>
              <w:jc w:val="center"/>
              <w:rPr>
                <w:rFonts w:hint="eastAsia" w:ascii="宋体" w:hAnsi="宋体" w:cs="宋体"/>
                <w:color w:val="auto"/>
                <w:szCs w:val="21"/>
              </w:rPr>
            </w:pPr>
          </w:p>
        </w:tc>
      </w:tr>
      <w:tr w14:paraId="46D5DB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250D522A">
            <w:pPr>
              <w:topLinePunct/>
              <w:spacing w:line="360" w:lineRule="auto"/>
              <w:jc w:val="center"/>
              <w:rPr>
                <w:rFonts w:hint="eastAsia" w:ascii="宋体" w:hAnsi="宋体" w:cs="宋体"/>
                <w:color w:val="auto"/>
                <w:szCs w:val="21"/>
              </w:rPr>
            </w:pPr>
            <w:r>
              <w:rPr>
                <w:rFonts w:hint="eastAsia" w:ascii="宋体" w:hAnsi="宋体" w:cs="宋体"/>
                <w:color w:val="auto"/>
                <w:szCs w:val="21"/>
              </w:rPr>
              <w:t>上年营业收入</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B9D2D3A">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2F28C82D">
            <w:pPr>
              <w:topLinePunct/>
              <w:spacing w:line="360" w:lineRule="auto"/>
              <w:jc w:val="center"/>
              <w:rPr>
                <w:rFonts w:hint="eastAsia" w:ascii="宋体" w:hAnsi="宋体" w:cs="宋体"/>
                <w:color w:val="auto"/>
                <w:szCs w:val="21"/>
              </w:rPr>
            </w:pPr>
            <w:r>
              <w:rPr>
                <w:rFonts w:hint="eastAsia" w:ascii="宋体" w:hAnsi="宋体" w:cs="宋体"/>
                <w:color w:val="auto"/>
                <w:szCs w:val="21"/>
              </w:rPr>
              <w:t>员工总人数</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080D4489">
            <w:pPr>
              <w:topLinePunct/>
              <w:spacing w:line="360" w:lineRule="auto"/>
              <w:jc w:val="center"/>
              <w:rPr>
                <w:rFonts w:hint="eastAsia" w:ascii="宋体" w:hAnsi="宋体" w:cs="宋体"/>
                <w:color w:val="auto"/>
                <w:szCs w:val="21"/>
              </w:rPr>
            </w:pPr>
          </w:p>
        </w:tc>
      </w:tr>
      <w:tr w14:paraId="364B7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restart"/>
            <w:tcBorders>
              <w:top w:val="single" w:color="auto" w:sz="6" w:space="0"/>
              <w:left w:val="double" w:color="auto" w:sz="4" w:space="0"/>
              <w:bottom w:val="single" w:color="auto" w:sz="6" w:space="0"/>
              <w:right w:val="single" w:color="auto" w:sz="6" w:space="0"/>
            </w:tcBorders>
            <w:noWrap w:val="0"/>
            <w:vAlign w:val="center"/>
          </w:tcPr>
          <w:p w14:paraId="684843EF">
            <w:pPr>
              <w:topLinePunct/>
              <w:spacing w:line="360" w:lineRule="auto"/>
              <w:jc w:val="center"/>
              <w:rPr>
                <w:rFonts w:hint="eastAsia" w:ascii="宋体" w:hAnsi="宋体" w:cs="宋体"/>
                <w:color w:val="auto"/>
                <w:szCs w:val="21"/>
              </w:rPr>
            </w:pPr>
            <w:r>
              <w:rPr>
                <w:rFonts w:hint="eastAsia" w:ascii="宋体" w:hAnsi="宋体" w:cs="宋体"/>
                <w:color w:val="auto"/>
                <w:szCs w:val="21"/>
              </w:rPr>
              <w:t>营业执照</w:t>
            </w: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2BA53F7">
            <w:pPr>
              <w:topLinePunct/>
              <w:spacing w:line="360" w:lineRule="auto"/>
              <w:jc w:val="center"/>
              <w:rPr>
                <w:rFonts w:hint="eastAsia" w:ascii="宋体" w:hAnsi="宋体" w:cs="宋体"/>
                <w:color w:val="auto"/>
                <w:szCs w:val="21"/>
              </w:rPr>
            </w:pPr>
            <w:r>
              <w:rPr>
                <w:rFonts w:hint="eastAsia" w:ascii="宋体" w:hAnsi="宋体" w:cs="宋体"/>
                <w:color w:val="auto"/>
                <w:szCs w:val="21"/>
              </w:rPr>
              <w:t>注册号码</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34DF13EB">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3F804FC5">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注册地址</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4E5D14E1">
            <w:pPr>
              <w:topLinePunct/>
              <w:spacing w:line="360" w:lineRule="auto"/>
              <w:ind w:firstLine="105" w:firstLineChars="50"/>
              <w:jc w:val="center"/>
              <w:rPr>
                <w:rFonts w:hint="eastAsia" w:ascii="宋体" w:hAnsi="宋体" w:cs="宋体"/>
                <w:color w:val="auto"/>
                <w:szCs w:val="21"/>
              </w:rPr>
            </w:pPr>
          </w:p>
        </w:tc>
      </w:tr>
      <w:tr w14:paraId="19B8F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6F8043BF">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CDA7377">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5EF64236">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435403F9">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发证日期</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73F12C1">
            <w:pPr>
              <w:topLinePunct/>
              <w:spacing w:line="360" w:lineRule="auto"/>
              <w:ind w:firstLine="105" w:firstLineChars="50"/>
              <w:jc w:val="center"/>
              <w:rPr>
                <w:rFonts w:hint="eastAsia" w:ascii="宋体" w:hAnsi="宋体" w:cs="宋体"/>
                <w:color w:val="auto"/>
                <w:szCs w:val="21"/>
              </w:rPr>
            </w:pPr>
          </w:p>
        </w:tc>
      </w:tr>
      <w:tr w14:paraId="72D994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40DAB841">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5CB8EDE8">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营业范围（主营）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196F353F">
            <w:pPr>
              <w:topLinePunct/>
              <w:spacing w:line="360" w:lineRule="auto"/>
              <w:ind w:firstLine="105" w:firstLineChars="50"/>
              <w:jc w:val="center"/>
              <w:rPr>
                <w:rFonts w:hint="eastAsia" w:ascii="宋体" w:hAnsi="宋体" w:cs="宋体"/>
                <w:color w:val="auto"/>
                <w:szCs w:val="21"/>
              </w:rPr>
            </w:pPr>
          </w:p>
        </w:tc>
      </w:tr>
      <w:tr w14:paraId="07AE0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5F80E5A4">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4F077B91">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营业范围（兼营）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5FC49A3">
            <w:pPr>
              <w:topLinePunct/>
              <w:spacing w:line="360" w:lineRule="auto"/>
              <w:ind w:firstLine="105" w:firstLineChars="50"/>
              <w:jc w:val="center"/>
              <w:rPr>
                <w:rFonts w:hint="eastAsia" w:ascii="宋体" w:hAnsi="宋体" w:cs="宋体"/>
                <w:color w:val="auto"/>
                <w:szCs w:val="21"/>
              </w:rPr>
            </w:pPr>
          </w:p>
        </w:tc>
      </w:tr>
      <w:tr w14:paraId="7E95F2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331FC4AA">
            <w:pPr>
              <w:topLinePunct/>
              <w:spacing w:line="360" w:lineRule="auto"/>
              <w:jc w:val="center"/>
              <w:rPr>
                <w:rFonts w:hint="eastAsia" w:ascii="宋体" w:hAnsi="宋体" w:cs="宋体"/>
                <w:color w:val="auto"/>
                <w:szCs w:val="21"/>
              </w:rPr>
            </w:pPr>
            <w:r>
              <w:rPr>
                <w:rFonts w:hint="eastAsia" w:ascii="宋体" w:hAnsi="宋体" w:cs="宋体"/>
                <w:color w:val="auto"/>
                <w:szCs w:val="21"/>
              </w:rPr>
              <w:t>基本账户开户行及账号</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919B85C">
            <w:pPr>
              <w:topLinePunct/>
              <w:spacing w:line="360" w:lineRule="auto"/>
              <w:jc w:val="center"/>
              <w:rPr>
                <w:rFonts w:hint="eastAsia" w:ascii="宋体" w:hAnsi="宋体" w:cs="宋体"/>
                <w:color w:val="auto"/>
                <w:szCs w:val="21"/>
              </w:rPr>
            </w:pPr>
          </w:p>
        </w:tc>
      </w:tr>
      <w:tr w14:paraId="0855D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19128B3B">
            <w:pPr>
              <w:topLinePunct/>
              <w:spacing w:line="360" w:lineRule="auto"/>
              <w:jc w:val="center"/>
              <w:rPr>
                <w:rFonts w:hint="eastAsia" w:ascii="宋体" w:hAnsi="宋体" w:cs="宋体"/>
                <w:color w:val="auto"/>
                <w:szCs w:val="21"/>
              </w:rPr>
            </w:pPr>
            <w:r>
              <w:rPr>
                <w:rFonts w:hint="eastAsia" w:ascii="宋体" w:hAnsi="宋体" w:cs="宋体"/>
                <w:color w:val="auto"/>
                <w:szCs w:val="21"/>
              </w:rPr>
              <w:t>税务登记机关</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498D698C">
            <w:pPr>
              <w:topLinePunct/>
              <w:spacing w:line="360" w:lineRule="auto"/>
              <w:jc w:val="center"/>
              <w:rPr>
                <w:rFonts w:hint="eastAsia" w:ascii="宋体" w:hAnsi="宋体" w:cs="宋体"/>
                <w:color w:val="auto"/>
                <w:szCs w:val="21"/>
              </w:rPr>
            </w:pPr>
          </w:p>
        </w:tc>
      </w:tr>
      <w:tr w14:paraId="058BA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14E1BBF">
            <w:pPr>
              <w:topLinePunct/>
              <w:spacing w:line="360" w:lineRule="auto"/>
              <w:jc w:val="center"/>
              <w:rPr>
                <w:rFonts w:hint="eastAsia" w:ascii="宋体" w:hAnsi="宋体" w:cs="宋体"/>
                <w:color w:val="auto"/>
                <w:szCs w:val="21"/>
              </w:rPr>
            </w:pPr>
            <w:r>
              <w:rPr>
                <w:rFonts w:hint="eastAsia" w:ascii="宋体" w:hAnsi="宋体" w:cs="宋体"/>
                <w:color w:val="auto"/>
                <w:szCs w:val="21"/>
              </w:rPr>
              <w:t>资质名称</w:t>
            </w: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6B98E2BD">
            <w:pPr>
              <w:topLinePunct/>
              <w:spacing w:line="360" w:lineRule="auto"/>
              <w:jc w:val="center"/>
              <w:rPr>
                <w:rFonts w:hint="eastAsia" w:ascii="宋体" w:hAnsi="宋体" w:cs="宋体"/>
                <w:color w:val="auto"/>
                <w:szCs w:val="21"/>
              </w:rPr>
            </w:pPr>
            <w:r>
              <w:rPr>
                <w:rFonts w:hint="eastAsia" w:ascii="宋体" w:hAnsi="宋体" w:cs="宋体"/>
                <w:color w:val="auto"/>
                <w:szCs w:val="21"/>
              </w:rPr>
              <w:t>等级</w:t>
            </w:r>
          </w:p>
        </w:tc>
        <w:tc>
          <w:tcPr>
            <w:tcW w:w="1099" w:type="dxa"/>
            <w:tcBorders>
              <w:top w:val="single" w:color="auto" w:sz="6" w:space="0"/>
              <w:left w:val="single" w:color="auto" w:sz="6" w:space="0"/>
              <w:bottom w:val="single" w:color="auto" w:sz="6" w:space="0"/>
              <w:right w:val="single" w:color="auto" w:sz="6" w:space="0"/>
            </w:tcBorders>
            <w:noWrap w:val="0"/>
            <w:vAlign w:val="center"/>
          </w:tcPr>
          <w:p w14:paraId="7452A5E5">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6D0F3507">
            <w:pPr>
              <w:topLinePunct/>
              <w:spacing w:line="360" w:lineRule="auto"/>
              <w:jc w:val="center"/>
              <w:rPr>
                <w:rFonts w:hint="eastAsia" w:ascii="宋体" w:hAnsi="宋体" w:cs="宋体"/>
                <w:color w:val="auto"/>
                <w:szCs w:val="21"/>
              </w:rPr>
            </w:pPr>
            <w:r>
              <w:rPr>
                <w:rFonts w:hint="eastAsia" w:ascii="宋体" w:hAnsi="宋体" w:cs="宋体"/>
                <w:color w:val="auto"/>
                <w:szCs w:val="21"/>
              </w:rPr>
              <w:t>有效期</w:t>
            </w:r>
          </w:p>
        </w:tc>
      </w:tr>
      <w:tr w14:paraId="4E3FD2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5BF86B75">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21BB921">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FDA1C2C">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994BBE8">
            <w:pPr>
              <w:topLinePunct/>
              <w:spacing w:line="360" w:lineRule="auto"/>
              <w:jc w:val="center"/>
              <w:rPr>
                <w:rFonts w:hint="eastAsia" w:ascii="宋体" w:hAnsi="宋体" w:cs="宋体"/>
                <w:color w:val="auto"/>
                <w:szCs w:val="21"/>
              </w:rPr>
            </w:pPr>
          </w:p>
        </w:tc>
      </w:tr>
      <w:tr w14:paraId="518A79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05A98EBE">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0290B956">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C3377F8">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0E9FE4B">
            <w:pPr>
              <w:topLinePunct/>
              <w:spacing w:line="360" w:lineRule="auto"/>
              <w:jc w:val="center"/>
              <w:rPr>
                <w:rFonts w:hint="eastAsia" w:ascii="宋体" w:hAnsi="宋体" w:cs="宋体"/>
                <w:color w:val="auto"/>
                <w:szCs w:val="21"/>
              </w:rPr>
            </w:pPr>
          </w:p>
        </w:tc>
      </w:tr>
      <w:tr w14:paraId="60CA33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0FCAF2">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77ECC2DB">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4B778E7A">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9C54D03">
            <w:pPr>
              <w:topLinePunct/>
              <w:spacing w:line="360" w:lineRule="auto"/>
              <w:jc w:val="center"/>
              <w:rPr>
                <w:rFonts w:hint="eastAsia" w:ascii="宋体" w:hAnsi="宋体" w:cs="宋体"/>
                <w:color w:val="auto"/>
                <w:szCs w:val="21"/>
              </w:rPr>
            </w:pPr>
          </w:p>
        </w:tc>
      </w:tr>
      <w:tr w14:paraId="4DC2D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B5BD7B">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A3990E4">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0165D322">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5B829EB0">
            <w:pPr>
              <w:topLinePunct/>
              <w:spacing w:line="360" w:lineRule="auto"/>
              <w:jc w:val="center"/>
              <w:rPr>
                <w:rFonts w:hint="eastAsia" w:ascii="宋体" w:hAnsi="宋体" w:cs="宋体"/>
                <w:color w:val="auto"/>
                <w:szCs w:val="21"/>
              </w:rPr>
            </w:pPr>
          </w:p>
        </w:tc>
      </w:tr>
      <w:tr w14:paraId="5A60E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8" w:hRule="atLeast"/>
        </w:trPr>
        <w:tc>
          <w:tcPr>
            <w:tcW w:w="1275" w:type="dxa"/>
            <w:gridSpan w:val="2"/>
            <w:tcBorders>
              <w:top w:val="single" w:color="auto" w:sz="6" w:space="0"/>
              <w:left w:val="double" w:color="auto" w:sz="4" w:space="0"/>
              <w:bottom w:val="double" w:color="auto" w:sz="4" w:space="0"/>
              <w:right w:val="single" w:color="auto" w:sz="6" w:space="0"/>
            </w:tcBorders>
            <w:noWrap w:val="0"/>
            <w:vAlign w:val="center"/>
          </w:tcPr>
          <w:p w14:paraId="53BF1447">
            <w:pPr>
              <w:topLinePunct/>
              <w:spacing w:line="360" w:lineRule="auto"/>
              <w:jc w:val="center"/>
              <w:rPr>
                <w:rFonts w:hint="eastAsia" w:ascii="宋体" w:hAnsi="宋体" w:cs="宋体"/>
                <w:color w:val="auto"/>
                <w:szCs w:val="21"/>
              </w:rPr>
            </w:pPr>
            <w:r>
              <w:rPr>
                <w:rFonts w:hint="eastAsia" w:ascii="宋体" w:hAnsi="宋体" w:cs="宋体"/>
                <w:color w:val="auto"/>
                <w:szCs w:val="21"/>
              </w:rPr>
              <w:t>备注</w:t>
            </w:r>
          </w:p>
        </w:tc>
        <w:tc>
          <w:tcPr>
            <w:tcW w:w="7666" w:type="dxa"/>
            <w:gridSpan w:val="8"/>
            <w:tcBorders>
              <w:top w:val="single" w:color="auto" w:sz="6" w:space="0"/>
              <w:left w:val="single" w:color="auto" w:sz="6" w:space="0"/>
              <w:bottom w:val="double" w:color="auto" w:sz="4" w:space="0"/>
              <w:right w:val="double" w:color="auto" w:sz="4" w:space="0"/>
            </w:tcBorders>
            <w:noWrap w:val="0"/>
            <w:vAlign w:val="center"/>
          </w:tcPr>
          <w:p w14:paraId="2E423ED3">
            <w:pPr>
              <w:topLinePunct/>
              <w:spacing w:line="360" w:lineRule="auto"/>
              <w:rPr>
                <w:rFonts w:hint="eastAsia" w:ascii="宋体" w:hAnsi="宋体" w:cs="宋体"/>
                <w:color w:val="auto"/>
                <w:szCs w:val="21"/>
              </w:rPr>
            </w:pPr>
            <w:r>
              <w:rPr>
                <w:rFonts w:hint="eastAsia" w:ascii="宋体" w:hAnsi="宋体" w:cs="宋体"/>
                <w:color w:val="auto"/>
                <w:szCs w:val="21"/>
              </w:rPr>
              <w:t>后附《营业执照》（副本）复印件，</w:t>
            </w:r>
            <w:r>
              <w:rPr>
                <w:rFonts w:hint="eastAsia" w:ascii="宋体" w:hAnsi="宋体" w:cs="宋体"/>
                <w:b/>
                <w:color w:val="auto"/>
                <w:szCs w:val="21"/>
              </w:rPr>
              <w:t>其他资料按第二章第3.1款或第四章要求提供。</w:t>
            </w:r>
          </w:p>
        </w:tc>
      </w:tr>
    </w:tbl>
    <w:p w14:paraId="6278D10A">
      <w:pPr>
        <w:spacing w:line="360" w:lineRule="auto"/>
        <w:rPr>
          <w:rFonts w:hint="eastAsia" w:ascii="宋体" w:hAnsi="宋体" w:cs="宋体"/>
          <w:color w:val="auto"/>
          <w:sz w:val="30"/>
          <w:szCs w:val="30"/>
        </w:rPr>
        <w:sectPr>
          <w:pgSz w:w="11906" w:h="16838"/>
          <w:pgMar w:top="1134" w:right="1361" w:bottom="1134" w:left="1361" w:header="851" w:footer="992" w:gutter="0"/>
          <w:pgNumType w:fmt="decimal"/>
          <w:cols w:space="720" w:num="1"/>
          <w:docGrid w:linePitch="312" w:charSpace="0"/>
        </w:sectPr>
      </w:pPr>
    </w:p>
    <w:p w14:paraId="7268E390">
      <w:pPr>
        <w:spacing w:line="480" w:lineRule="exact"/>
        <w:outlineLvl w:val="0"/>
        <w:rPr>
          <w:rFonts w:hint="default" w:ascii="Times New Roman" w:hAnsi="Times New Roman" w:eastAsia="黑体" w:cs="Times New Roman"/>
          <w:sz w:val="30"/>
          <w:szCs w:val="30"/>
          <w:lang w:val="en-US" w:eastAsia="zh-CN"/>
        </w:rPr>
      </w:pPr>
      <w:bookmarkStart w:id="53" w:name="_Toc993"/>
      <w:r>
        <w:rPr>
          <w:rFonts w:hint="default" w:ascii="Times New Roman" w:hAnsi="Times New Roman" w:eastAsia="黑体" w:cs="Times New Roman"/>
          <w:sz w:val="30"/>
          <w:szCs w:val="30"/>
        </w:rPr>
        <w:t>附件</w:t>
      </w:r>
      <w:bookmarkEnd w:id="53"/>
      <w:r>
        <w:rPr>
          <w:rFonts w:hint="eastAsia" w:eastAsia="黑体" w:cs="Times New Roman"/>
          <w:sz w:val="30"/>
          <w:szCs w:val="30"/>
          <w:lang w:val="en-US" w:eastAsia="zh-CN"/>
        </w:rPr>
        <w:t>4</w:t>
      </w:r>
    </w:p>
    <w:p w14:paraId="05E71DFD">
      <w:pPr>
        <w:spacing w:line="360" w:lineRule="auto"/>
        <w:jc w:val="cente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磋商文件规定的基本资格条件证明资料</w:t>
      </w:r>
    </w:p>
    <w:p w14:paraId="314BC511">
      <w:pPr>
        <w:adjustRightInd w:val="0"/>
        <w:snapToGrid w:val="0"/>
        <w:spacing w:line="360" w:lineRule="auto"/>
        <w:ind w:firstLine="420" w:firstLineChars="200"/>
        <w:rPr>
          <w:rFonts w:hint="eastAsia" w:ascii="宋体" w:hAnsi="宋体"/>
          <w:color w:val="auto"/>
          <w:szCs w:val="21"/>
        </w:rPr>
      </w:pPr>
      <w:r>
        <w:rPr>
          <w:rFonts w:hint="eastAsia" w:ascii="宋体" w:hAnsi="宋体" w:eastAsia="宋体" w:cs="宋体"/>
        </w:rPr>
        <w:t>符合《中华人民共和国政府采购法》第二十二条规定的供应商条件，并</w:t>
      </w:r>
      <w:r>
        <w:rPr>
          <w:rFonts w:hint="eastAsia" w:ascii="宋体" w:hAnsi="宋体" w:eastAsia="宋体" w:cs="宋体"/>
          <w:sz w:val="21"/>
          <w:szCs w:val="21"/>
        </w:rPr>
        <w:t>提供第二章磋商须知第3.1款供应商</w:t>
      </w:r>
      <w:r>
        <w:rPr>
          <w:rFonts w:hint="eastAsia" w:ascii="宋体" w:hAnsi="宋体" w:eastAsia="宋体" w:cs="宋体"/>
          <w:sz w:val="21"/>
          <w:szCs w:val="21"/>
          <w:lang w:eastAsia="zh-CN"/>
        </w:rPr>
        <w:t>基本</w:t>
      </w:r>
      <w:r>
        <w:rPr>
          <w:rFonts w:hint="eastAsia" w:ascii="宋体" w:hAnsi="宋体" w:eastAsia="宋体" w:cs="宋体"/>
          <w:sz w:val="21"/>
          <w:szCs w:val="21"/>
        </w:rPr>
        <w:t>资格条件证明资料的复印件。</w:t>
      </w:r>
    </w:p>
    <w:p w14:paraId="5CA36BE7">
      <w:pPr>
        <w:adjustRightInd w:val="0"/>
        <w:snapToGrid w:val="0"/>
        <w:spacing w:line="360" w:lineRule="auto"/>
        <w:jc w:val="center"/>
        <w:rPr>
          <w:rFonts w:hint="eastAsia" w:ascii="宋体" w:hAnsi="宋体"/>
          <w:b/>
          <w:color w:val="auto"/>
          <w:sz w:val="32"/>
          <w:szCs w:val="32"/>
        </w:rPr>
      </w:pPr>
    </w:p>
    <w:p w14:paraId="20E8D889">
      <w:pPr>
        <w:spacing w:line="480" w:lineRule="exact"/>
        <w:outlineLvl w:val="0"/>
        <w:rPr>
          <w:rFonts w:hint="default" w:ascii="Times New Roman" w:hAnsi="Times New Roman" w:eastAsia="黑体" w:cs="Times New Roman"/>
          <w:sz w:val="30"/>
          <w:szCs w:val="30"/>
          <w:lang w:val="en-US" w:eastAsia="zh-CN"/>
        </w:rPr>
      </w:pPr>
      <w:r>
        <w:rPr>
          <w:rFonts w:ascii="宋体" w:hAnsi="宋体"/>
          <w:b/>
          <w:color w:val="auto"/>
          <w:sz w:val="32"/>
          <w:szCs w:val="32"/>
        </w:rPr>
        <w:br w:type="page"/>
      </w:r>
      <w:bookmarkStart w:id="54" w:name="_Toc11879756"/>
      <w:r>
        <w:rPr>
          <w:rFonts w:hint="default" w:ascii="Times New Roman" w:hAnsi="Times New Roman" w:eastAsia="黑体" w:cs="Times New Roman"/>
          <w:sz w:val="30"/>
          <w:szCs w:val="30"/>
        </w:rPr>
        <w:t>附件</w:t>
      </w:r>
      <w:r>
        <w:rPr>
          <w:rFonts w:hint="eastAsia" w:eastAsia="黑体" w:cs="Times New Roman"/>
          <w:sz w:val="30"/>
          <w:szCs w:val="30"/>
          <w:lang w:val="en-US" w:eastAsia="zh-CN"/>
        </w:rPr>
        <w:t>4</w:t>
      </w:r>
      <w:r>
        <w:rPr>
          <w:rFonts w:hint="eastAsia" w:ascii="Times New Roman" w:hAnsi="Times New Roman" w:eastAsia="黑体" w:cs="Times New Roman"/>
          <w:sz w:val="30"/>
          <w:szCs w:val="30"/>
          <w:lang w:val="en-US" w:eastAsia="zh-CN"/>
        </w:rPr>
        <w:t>-1</w:t>
      </w:r>
    </w:p>
    <w:p w14:paraId="301609FF">
      <w:pPr>
        <w:tabs>
          <w:tab w:val="left" w:pos="1680"/>
        </w:tabs>
        <w:adjustRightInd w:val="0"/>
        <w:snapToGrid w:val="0"/>
        <w:spacing w:line="360" w:lineRule="auto"/>
        <w:jc w:val="center"/>
        <w:rPr>
          <w:rFonts w:hint="eastAsia" w:ascii="宋体" w:hAnsi="宋体" w:eastAsia="宋体" w:cs="宋体"/>
          <w:b/>
          <w:color w:val="auto"/>
          <w:sz w:val="30"/>
          <w:szCs w:val="30"/>
          <w:lang w:val="en-US" w:eastAsia="zh-CN"/>
        </w:rPr>
      </w:pPr>
      <w:r>
        <w:rPr>
          <w:rFonts w:hint="eastAsia" w:ascii="宋体" w:hAnsi="宋体" w:eastAsia="宋体" w:cs="宋体"/>
          <w:b/>
          <w:color w:val="auto"/>
          <w:sz w:val="30"/>
          <w:szCs w:val="30"/>
          <w:lang w:val="en-US" w:eastAsia="zh-CN"/>
        </w:rPr>
        <w:t>湖南省政府采购供应商资格承诺函</w:t>
      </w:r>
    </w:p>
    <w:p w14:paraId="2B3B095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E148D6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按照《政府采购促进中小企业发展管理办法》（财库〔2020〕46号），本公司企业规模为：大型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中型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小型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微型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w:t>
      </w:r>
    </w:p>
    <w:p w14:paraId="5DEA604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本公司自愿入驻湖南省政府采购电子卖场，遵守《湖南省政府采购电子卖场管理办法》（湘财购〔2019〕27号），如违反承诺，同意金融机构将增信保证划缴国库（非电子卖场采购活动项目不需勾选）。</w:t>
      </w:r>
    </w:p>
    <w:p w14:paraId="594FE11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公司（单位）名称（盖章）</w:t>
      </w:r>
    </w:p>
    <w:p w14:paraId="5A1B0BF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年</w:t>
      </w:r>
      <w:r>
        <w:rPr>
          <w:rFonts w:hint="eastAsia" w:ascii="宋体" w:hAnsi="宋体" w:eastAsia="宋体" w:cs="宋体"/>
          <w:i/>
          <w:iCs/>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月</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日</w:t>
      </w:r>
    </w:p>
    <w:p w14:paraId="0C744F8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4433A67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437133E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机构代码、注册登记机构、日期、有效期、注册资本、地址、经济行业、经济性质</w:t>
      </w:r>
    </w:p>
    <w:p w14:paraId="3749D26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法定代表人（负责人）姓名（签字）、身份证号、手机号：</w:t>
      </w:r>
    </w:p>
    <w:p w14:paraId="054835EA">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000000"/>
          <w:kern w:val="0"/>
          <w:sz w:val="21"/>
          <w:szCs w:val="21"/>
          <w:lang w:val="en-US" w:eastAsia="zh-CN"/>
        </w:rPr>
      </w:pPr>
      <w:r>
        <w:rPr>
          <w:rFonts w:hint="eastAsia" w:ascii="宋体" w:hAnsi="宋体" w:eastAsia="宋体" w:cs="宋体"/>
          <w:color w:val="000000"/>
          <w:kern w:val="0"/>
          <w:sz w:val="21"/>
          <w:szCs w:val="21"/>
          <w:lang w:val="en-US" w:eastAsia="zh-CN" w:bidi="ar"/>
        </w:rPr>
        <w:t>授权代表人姓名（签字）、身份证号、手机号：</w:t>
      </w:r>
    </w:p>
    <w:p w14:paraId="400A4F4B">
      <w:pPr>
        <w:spacing w:line="360" w:lineRule="auto"/>
        <w:jc w:val="center"/>
        <w:outlineLvl w:val="1"/>
        <w:rPr>
          <w:rFonts w:hint="eastAsia" w:ascii="宋体" w:hAnsi="宋体" w:cs="宋体"/>
          <w:b/>
          <w:color w:val="auto"/>
          <w:sz w:val="32"/>
          <w:szCs w:val="32"/>
        </w:rPr>
      </w:pPr>
    </w:p>
    <w:p w14:paraId="34B795C3">
      <w:pPr>
        <w:spacing w:line="360" w:lineRule="auto"/>
        <w:jc w:val="center"/>
        <w:outlineLvl w:val="1"/>
        <w:rPr>
          <w:rFonts w:hint="eastAsia" w:ascii="宋体" w:hAnsi="宋体" w:cs="宋体"/>
          <w:b/>
          <w:color w:val="auto"/>
          <w:sz w:val="32"/>
          <w:szCs w:val="32"/>
        </w:rPr>
      </w:pPr>
    </w:p>
    <w:p w14:paraId="4138CC03">
      <w:pPr>
        <w:spacing w:line="360" w:lineRule="auto"/>
        <w:jc w:val="center"/>
        <w:outlineLvl w:val="1"/>
        <w:rPr>
          <w:rFonts w:hint="eastAsia" w:ascii="宋体" w:hAnsi="宋体" w:cs="宋体"/>
          <w:b/>
          <w:color w:val="auto"/>
          <w:sz w:val="32"/>
          <w:szCs w:val="32"/>
        </w:rPr>
      </w:pPr>
    </w:p>
    <w:p w14:paraId="23A715D7">
      <w:pPr>
        <w:spacing w:line="360" w:lineRule="auto"/>
        <w:jc w:val="center"/>
        <w:outlineLvl w:val="1"/>
        <w:rPr>
          <w:rFonts w:hint="eastAsia" w:ascii="宋体" w:hAnsi="宋体" w:cs="宋体"/>
          <w:b/>
          <w:color w:val="auto"/>
          <w:sz w:val="32"/>
          <w:szCs w:val="32"/>
        </w:rPr>
      </w:pPr>
    </w:p>
    <w:p w14:paraId="2527CFD1">
      <w:pPr>
        <w:spacing w:line="360" w:lineRule="auto"/>
        <w:jc w:val="center"/>
        <w:outlineLvl w:val="1"/>
        <w:rPr>
          <w:rFonts w:hint="eastAsia" w:ascii="宋体" w:hAnsi="宋体" w:cs="宋体"/>
          <w:b/>
          <w:color w:val="auto"/>
          <w:sz w:val="32"/>
          <w:szCs w:val="32"/>
        </w:rPr>
      </w:pPr>
    </w:p>
    <w:p w14:paraId="1E5C5EB7">
      <w:pPr>
        <w:spacing w:line="360" w:lineRule="auto"/>
        <w:jc w:val="center"/>
        <w:outlineLvl w:val="1"/>
        <w:rPr>
          <w:rFonts w:hint="eastAsia" w:ascii="宋体" w:hAnsi="宋体" w:cs="宋体"/>
          <w:b/>
          <w:color w:val="auto"/>
          <w:sz w:val="32"/>
          <w:szCs w:val="32"/>
        </w:rPr>
      </w:pPr>
    </w:p>
    <w:p w14:paraId="5008C8BE">
      <w:pPr>
        <w:spacing w:line="360" w:lineRule="auto"/>
        <w:jc w:val="center"/>
        <w:outlineLvl w:val="1"/>
        <w:rPr>
          <w:rFonts w:hint="eastAsia" w:ascii="宋体" w:hAnsi="宋体" w:cs="宋体"/>
          <w:b/>
          <w:color w:val="auto"/>
          <w:sz w:val="32"/>
          <w:szCs w:val="32"/>
        </w:rPr>
      </w:pPr>
    </w:p>
    <w:p w14:paraId="398DB6C5">
      <w:pPr>
        <w:spacing w:line="360" w:lineRule="auto"/>
        <w:jc w:val="center"/>
        <w:outlineLvl w:val="1"/>
        <w:rPr>
          <w:rFonts w:hint="eastAsia" w:ascii="宋体" w:hAnsi="宋体" w:cs="宋体"/>
          <w:b/>
          <w:color w:val="auto"/>
          <w:sz w:val="32"/>
          <w:szCs w:val="32"/>
        </w:rPr>
      </w:pPr>
    </w:p>
    <w:p w14:paraId="6DD84FD5">
      <w:pPr>
        <w:spacing w:line="360" w:lineRule="auto"/>
        <w:jc w:val="center"/>
        <w:outlineLvl w:val="1"/>
        <w:rPr>
          <w:rFonts w:hint="eastAsia" w:ascii="宋体" w:hAnsi="宋体" w:cs="宋体"/>
          <w:b/>
          <w:color w:val="auto"/>
          <w:sz w:val="32"/>
          <w:szCs w:val="32"/>
        </w:rPr>
      </w:pPr>
    </w:p>
    <w:p w14:paraId="460F7A3B">
      <w:pPr>
        <w:pStyle w:val="7"/>
        <w:rPr>
          <w:rFonts w:hint="eastAsia" w:ascii="宋体" w:hAnsi="宋体" w:cs="宋体"/>
          <w:b/>
          <w:color w:val="auto"/>
          <w:sz w:val="32"/>
          <w:szCs w:val="32"/>
        </w:rPr>
      </w:pPr>
    </w:p>
    <w:p w14:paraId="19A2A500">
      <w:pPr>
        <w:rPr>
          <w:rFonts w:hint="eastAsia"/>
        </w:rPr>
      </w:pPr>
    </w:p>
    <w:p w14:paraId="2F3BB49A">
      <w:pPr>
        <w:spacing w:line="480" w:lineRule="exact"/>
        <w:outlineLvl w:val="0"/>
        <w:rPr>
          <w:rFonts w:hint="eastAsia" w:ascii="Times New Roman" w:hAnsi="Times New Roman" w:eastAsia="黑体" w:cs="Times New Roman"/>
          <w:sz w:val="30"/>
          <w:szCs w:val="30"/>
        </w:rPr>
      </w:pPr>
    </w:p>
    <w:p w14:paraId="548AADC3">
      <w:pPr>
        <w:spacing w:line="480" w:lineRule="exact"/>
        <w:outlineLvl w:val="0"/>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附件</w:t>
      </w:r>
      <w:r>
        <w:rPr>
          <w:rFonts w:hint="eastAsia" w:eastAsia="黑体" w:cs="Times New Roman"/>
          <w:sz w:val="30"/>
          <w:szCs w:val="30"/>
          <w:lang w:val="en-US" w:eastAsia="zh-CN"/>
        </w:rPr>
        <w:t xml:space="preserve">5 </w:t>
      </w:r>
      <w:r>
        <w:rPr>
          <w:rFonts w:hint="eastAsia" w:ascii="Times New Roman" w:hAnsi="Times New Roman" w:eastAsia="黑体" w:cs="Times New Roman"/>
          <w:sz w:val="30"/>
          <w:szCs w:val="30"/>
        </w:rPr>
        <w:t>磋商文件规定的特定资格条件证明资料</w:t>
      </w:r>
    </w:p>
    <w:p w14:paraId="66EB47FF">
      <w:pPr>
        <w:spacing w:line="480" w:lineRule="exact"/>
        <w:rPr>
          <w:rFonts w:hint="eastAsia" w:ascii="宋体" w:hAnsi="宋体" w:eastAsia="宋体" w:cs="宋体"/>
          <w:sz w:val="21"/>
          <w:szCs w:val="21"/>
        </w:rPr>
      </w:pPr>
    </w:p>
    <w:p w14:paraId="5A8D0598">
      <w:pPr>
        <w:rPr>
          <w:rFonts w:hint="eastAsia" w:ascii="宋体" w:hAnsi="宋体" w:eastAsia="宋体" w:cs="宋体"/>
          <w:sz w:val="21"/>
          <w:szCs w:val="21"/>
        </w:rPr>
      </w:pPr>
      <w:r>
        <w:rPr>
          <w:rFonts w:hint="eastAsia" w:ascii="宋体" w:hAnsi="宋体" w:eastAsia="宋体" w:cs="宋体"/>
          <w:sz w:val="21"/>
          <w:szCs w:val="21"/>
        </w:rPr>
        <w:t>备注：提供第二章磋商须知第3.1款供应商特定资格条件证明资料的复印件。</w:t>
      </w:r>
    </w:p>
    <w:p w14:paraId="1F4B8264">
      <w:pPr>
        <w:spacing w:line="480" w:lineRule="exact"/>
        <w:outlineLvl w:val="0"/>
        <w:rPr>
          <w:rFonts w:hint="default" w:ascii="Times New Roman" w:hAnsi="Times New Roman" w:eastAsia="黑体" w:cs="Times New Roman"/>
          <w:sz w:val="30"/>
          <w:szCs w:val="30"/>
        </w:rPr>
      </w:pPr>
    </w:p>
    <w:p w14:paraId="1C1A4FDC">
      <w:pPr>
        <w:spacing w:line="480" w:lineRule="exact"/>
        <w:outlineLvl w:val="0"/>
        <w:rPr>
          <w:rFonts w:hint="default" w:ascii="Times New Roman" w:hAnsi="Times New Roman" w:eastAsia="黑体" w:cs="Times New Roman"/>
          <w:sz w:val="30"/>
          <w:szCs w:val="30"/>
        </w:rPr>
      </w:pPr>
    </w:p>
    <w:p w14:paraId="614F68FE">
      <w:pPr>
        <w:spacing w:line="480" w:lineRule="exact"/>
        <w:outlineLvl w:val="0"/>
        <w:rPr>
          <w:rFonts w:hint="default" w:ascii="Times New Roman" w:hAnsi="Times New Roman" w:eastAsia="黑体" w:cs="Times New Roman"/>
          <w:sz w:val="30"/>
          <w:szCs w:val="30"/>
        </w:rPr>
      </w:pPr>
    </w:p>
    <w:p w14:paraId="062113D4">
      <w:pPr>
        <w:spacing w:line="480" w:lineRule="exact"/>
        <w:outlineLvl w:val="0"/>
        <w:rPr>
          <w:rFonts w:hint="default" w:ascii="Times New Roman" w:hAnsi="Times New Roman" w:eastAsia="黑体" w:cs="Times New Roman"/>
          <w:sz w:val="30"/>
          <w:szCs w:val="30"/>
        </w:rPr>
      </w:pPr>
    </w:p>
    <w:p w14:paraId="2DE49D38">
      <w:pPr>
        <w:spacing w:line="480" w:lineRule="exact"/>
        <w:outlineLvl w:val="0"/>
        <w:rPr>
          <w:rFonts w:hint="default" w:ascii="Times New Roman" w:hAnsi="Times New Roman" w:eastAsia="黑体" w:cs="Times New Roman"/>
          <w:sz w:val="30"/>
          <w:szCs w:val="30"/>
        </w:rPr>
      </w:pPr>
    </w:p>
    <w:p w14:paraId="2462AF4B">
      <w:pPr>
        <w:spacing w:line="480" w:lineRule="exact"/>
        <w:outlineLvl w:val="0"/>
        <w:rPr>
          <w:rFonts w:hint="default" w:ascii="Times New Roman" w:hAnsi="Times New Roman" w:eastAsia="黑体" w:cs="Times New Roman"/>
          <w:sz w:val="30"/>
          <w:szCs w:val="30"/>
        </w:rPr>
      </w:pPr>
    </w:p>
    <w:p w14:paraId="710BA239">
      <w:pPr>
        <w:spacing w:line="480" w:lineRule="exact"/>
        <w:outlineLvl w:val="0"/>
        <w:rPr>
          <w:rFonts w:hint="default" w:ascii="Times New Roman" w:hAnsi="Times New Roman" w:eastAsia="黑体" w:cs="Times New Roman"/>
          <w:sz w:val="30"/>
          <w:szCs w:val="30"/>
        </w:rPr>
      </w:pPr>
    </w:p>
    <w:p w14:paraId="10FCDCC1">
      <w:pPr>
        <w:spacing w:line="480" w:lineRule="exact"/>
        <w:outlineLvl w:val="0"/>
        <w:rPr>
          <w:rFonts w:hint="default" w:ascii="Times New Roman" w:hAnsi="Times New Roman" w:eastAsia="黑体" w:cs="Times New Roman"/>
          <w:sz w:val="30"/>
          <w:szCs w:val="30"/>
        </w:rPr>
      </w:pPr>
    </w:p>
    <w:p w14:paraId="634866BF">
      <w:pPr>
        <w:spacing w:line="480" w:lineRule="exact"/>
        <w:outlineLvl w:val="0"/>
        <w:rPr>
          <w:rFonts w:hint="default" w:ascii="Times New Roman" w:hAnsi="Times New Roman" w:eastAsia="黑体" w:cs="Times New Roman"/>
          <w:sz w:val="30"/>
          <w:szCs w:val="30"/>
        </w:rPr>
      </w:pPr>
    </w:p>
    <w:p w14:paraId="3A58C11B">
      <w:pPr>
        <w:spacing w:line="480" w:lineRule="exact"/>
        <w:outlineLvl w:val="0"/>
        <w:rPr>
          <w:rFonts w:hint="default" w:ascii="Times New Roman" w:hAnsi="Times New Roman" w:eastAsia="黑体" w:cs="Times New Roman"/>
          <w:sz w:val="30"/>
          <w:szCs w:val="30"/>
        </w:rPr>
      </w:pPr>
    </w:p>
    <w:p w14:paraId="2588667D">
      <w:pPr>
        <w:spacing w:line="480" w:lineRule="exact"/>
        <w:outlineLvl w:val="0"/>
        <w:rPr>
          <w:rFonts w:hint="default" w:ascii="Times New Roman" w:hAnsi="Times New Roman" w:eastAsia="黑体" w:cs="Times New Roman"/>
          <w:sz w:val="30"/>
          <w:szCs w:val="30"/>
        </w:rPr>
      </w:pPr>
    </w:p>
    <w:p w14:paraId="774A9D44">
      <w:pPr>
        <w:spacing w:line="480" w:lineRule="exact"/>
        <w:outlineLvl w:val="0"/>
        <w:rPr>
          <w:rFonts w:hint="default" w:ascii="Times New Roman" w:hAnsi="Times New Roman" w:eastAsia="黑体" w:cs="Times New Roman"/>
          <w:sz w:val="30"/>
          <w:szCs w:val="30"/>
        </w:rPr>
      </w:pPr>
    </w:p>
    <w:p w14:paraId="17661462">
      <w:pPr>
        <w:spacing w:line="480" w:lineRule="exact"/>
        <w:outlineLvl w:val="0"/>
        <w:rPr>
          <w:rFonts w:hint="default" w:ascii="Times New Roman" w:hAnsi="Times New Roman" w:eastAsia="黑体" w:cs="Times New Roman"/>
          <w:sz w:val="30"/>
          <w:szCs w:val="30"/>
        </w:rPr>
      </w:pPr>
    </w:p>
    <w:p w14:paraId="40391FD1">
      <w:pPr>
        <w:spacing w:line="480" w:lineRule="exact"/>
        <w:outlineLvl w:val="0"/>
        <w:rPr>
          <w:rFonts w:hint="default" w:ascii="Times New Roman" w:hAnsi="Times New Roman" w:eastAsia="黑体" w:cs="Times New Roman"/>
          <w:sz w:val="30"/>
          <w:szCs w:val="30"/>
        </w:rPr>
      </w:pPr>
    </w:p>
    <w:p w14:paraId="7958560B">
      <w:pPr>
        <w:spacing w:line="480" w:lineRule="exact"/>
        <w:outlineLvl w:val="0"/>
        <w:rPr>
          <w:rFonts w:hint="default" w:ascii="Times New Roman" w:hAnsi="Times New Roman" w:eastAsia="黑体" w:cs="Times New Roman"/>
          <w:sz w:val="30"/>
          <w:szCs w:val="30"/>
        </w:rPr>
      </w:pPr>
    </w:p>
    <w:p w14:paraId="202281D1">
      <w:pPr>
        <w:spacing w:line="480" w:lineRule="exact"/>
        <w:outlineLvl w:val="0"/>
        <w:rPr>
          <w:rFonts w:hint="default" w:ascii="Times New Roman" w:hAnsi="Times New Roman" w:eastAsia="黑体" w:cs="Times New Roman"/>
          <w:sz w:val="30"/>
          <w:szCs w:val="30"/>
        </w:rPr>
      </w:pPr>
    </w:p>
    <w:p w14:paraId="1A3E49AE">
      <w:pPr>
        <w:spacing w:line="480" w:lineRule="exact"/>
        <w:outlineLvl w:val="0"/>
        <w:rPr>
          <w:rFonts w:hint="default" w:ascii="Times New Roman" w:hAnsi="Times New Roman" w:eastAsia="黑体" w:cs="Times New Roman"/>
          <w:sz w:val="30"/>
          <w:szCs w:val="30"/>
        </w:rPr>
      </w:pPr>
    </w:p>
    <w:p w14:paraId="23CD7D8A">
      <w:pPr>
        <w:spacing w:line="480" w:lineRule="exact"/>
        <w:outlineLvl w:val="0"/>
        <w:rPr>
          <w:rFonts w:hint="default" w:ascii="Times New Roman" w:hAnsi="Times New Roman" w:eastAsia="黑体" w:cs="Times New Roman"/>
          <w:sz w:val="30"/>
          <w:szCs w:val="30"/>
        </w:rPr>
      </w:pPr>
    </w:p>
    <w:p w14:paraId="3A315A15">
      <w:pPr>
        <w:spacing w:line="480" w:lineRule="exact"/>
        <w:outlineLvl w:val="0"/>
        <w:rPr>
          <w:rFonts w:hint="default" w:ascii="Times New Roman" w:hAnsi="Times New Roman" w:eastAsia="黑体" w:cs="Times New Roman"/>
          <w:sz w:val="30"/>
          <w:szCs w:val="30"/>
        </w:rPr>
      </w:pPr>
    </w:p>
    <w:p w14:paraId="0F3A8951">
      <w:pPr>
        <w:spacing w:line="480" w:lineRule="exact"/>
        <w:outlineLvl w:val="0"/>
        <w:rPr>
          <w:rFonts w:hint="default" w:ascii="Times New Roman" w:hAnsi="Times New Roman" w:eastAsia="黑体" w:cs="Times New Roman"/>
          <w:sz w:val="30"/>
          <w:szCs w:val="30"/>
        </w:rPr>
      </w:pPr>
    </w:p>
    <w:p w14:paraId="0B161608">
      <w:pPr>
        <w:spacing w:line="480" w:lineRule="exact"/>
        <w:outlineLvl w:val="0"/>
        <w:rPr>
          <w:rFonts w:hint="default" w:ascii="Times New Roman" w:hAnsi="Times New Roman" w:eastAsia="黑体" w:cs="Times New Roman"/>
          <w:sz w:val="30"/>
          <w:szCs w:val="30"/>
        </w:rPr>
      </w:pPr>
    </w:p>
    <w:p w14:paraId="7F04543C">
      <w:pPr>
        <w:spacing w:line="480" w:lineRule="exact"/>
        <w:outlineLvl w:val="0"/>
        <w:rPr>
          <w:rFonts w:hint="default" w:ascii="Times New Roman" w:hAnsi="Times New Roman" w:eastAsia="黑体" w:cs="Times New Roman"/>
          <w:sz w:val="30"/>
          <w:szCs w:val="30"/>
        </w:rPr>
      </w:pPr>
    </w:p>
    <w:p w14:paraId="3A1D63A0">
      <w:pPr>
        <w:spacing w:line="480" w:lineRule="exact"/>
        <w:outlineLvl w:val="0"/>
        <w:rPr>
          <w:rFonts w:hint="default" w:ascii="Times New Roman" w:hAnsi="Times New Roman" w:eastAsia="黑体" w:cs="Times New Roman"/>
          <w:sz w:val="30"/>
          <w:szCs w:val="30"/>
        </w:rPr>
      </w:pPr>
    </w:p>
    <w:p w14:paraId="0BDC448A">
      <w:pPr>
        <w:spacing w:line="480" w:lineRule="exact"/>
        <w:outlineLvl w:val="0"/>
        <w:rPr>
          <w:rFonts w:hint="default" w:ascii="Times New Roman" w:hAnsi="Times New Roman" w:eastAsia="黑体" w:cs="Times New Roman"/>
          <w:sz w:val="30"/>
          <w:szCs w:val="30"/>
        </w:rPr>
      </w:pPr>
    </w:p>
    <w:p w14:paraId="4B079AA9">
      <w:pPr>
        <w:spacing w:line="480" w:lineRule="exact"/>
        <w:outlineLvl w:val="0"/>
        <w:rPr>
          <w:rFonts w:hint="default" w:ascii="Times New Roman" w:hAnsi="Times New Roman" w:eastAsia="黑体" w:cs="Times New Roman"/>
          <w:sz w:val="30"/>
          <w:szCs w:val="30"/>
        </w:rPr>
      </w:pPr>
    </w:p>
    <w:p w14:paraId="75C44AAD">
      <w:pPr>
        <w:spacing w:line="480" w:lineRule="exact"/>
        <w:outlineLvl w:val="0"/>
        <w:rPr>
          <w:rFonts w:hint="default" w:ascii="Times New Roman" w:hAnsi="Times New Roman" w:eastAsia="黑体" w:cs="Times New Roman"/>
          <w:sz w:val="30"/>
          <w:szCs w:val="30"/>
        </w:rPr>
      </w:pPr>
    </w:p>
    <w:p w14:paraId="56D1BED8">
      <w:pPr>
        <w:spacing w:line="480" w:lineRule="exact"/>
        <w:outlineLvl w:val="0"/>
        <w:rPr>
          <w:rFonts w:hint="default" w:ascii="Times New Roman" w:hAnsi="Times New Roman" w:eastAsia="黑体" w:cs="Times New Roman"/>
          <w:sz w:val="30"/>
          <w:szCs w:val="30"/>
        </w:rPr>
      </w:pPr>
    </w:p>
    <w:p w14:paraId="06C6CAC1">
      <w:pPr>
        <w:spacing w:line="480" w:lineRule="exact"/>
        <w:outlineLvl w:val="0"/>
        <w:rPr>
          <w:rFonts w:hint="default" w:ascii="Times New Roman" w:hAnsi="Times New Roman" w:eastAsia="黑体" w:cs="Times New Roman"/>
          <w:sz w:val="30"/>
          <w:szCs w:val="30"/>
        </w:rPr>
      </w:pPr>
      <w:r>
        <w:rPr>
          <w:rFonts w:hint="default" w:ascii="Times New Roman" w:hAnsi="Times New Roman" w:eastAsia="黑体" w:cs="Times New Roman"/>
          <w:sz w:val="30"/>
          <w:szCs w:val="30"/>
        </w:rPr>
        <w:t>附件</w:t>
      </w:r>
      <w:r>
        <w:rPr>
          <w:rFonts w:hint="eastAsia" w:eastAsia="黑体" w:cs="Times New Roman"/>
          <w:sz w:val="30"/>
          <w:szCs w:val="30"/>
          <w:lang w:val="en-US" w:eastAsia="zh-CN"/>
        </w:rPr>
        <w:t>6</w:t>
      </w:r>
      <w:r>
        <w:rPr>
          <w:rFonts w:hint="default" w:ascii="Times New Roman" w:hAnsi="Times New Roman" w:eastAsia="黑体" w:cs="Times New Roman"/>
          <w:sz w:val="30"/>
          <w:szCs w:val="30"/>
        </w:rPr>
        <w:t xml:space="preserve"> </w:t>
      </w:r>
      <w:r>
        <w:rPr>
          <w:rFonts w:hint="default" w:ascii="Times New Roman" w:hAnsi="Times New Roman" w:eastAsia="黑体" w:cs="Times New Roman"/>
          <w:sz w:val="30"/>
          <w:szCs w:val="30"/>
          <w:lang w:val="en-US" w:eastAsia="zh-CN"/>
        </w:rPr>
        <w:t xml:space="preserve"> </w:t>
      </w:r>
      <w:r>
        <w:rPr>
          <w:rFonts w:hint="default" w:ascii="Times New Roman" w:hAnsi="Times New Roman" w:eastAsia="黑体" w:cs="Times New Roman"/>
          <w:sz w:val="30"/>
          <w:szCs w:val="30"/>
        </w:rPr>
        <w:t>其他证明资料或说明</w:t>
      </w:r>
    </w:p>
    <w:p w14:paraId="59DE1269">
      <w:pPr>
        <w:adjustRightInd w:val="0"/>
        <w:snapToGrid w:val="0"/>
        <w:spacing w:line="360" w:lineRule="auto"/>
        <w:rPr>
          <w:rFonts w:hint="default" w:ascii="Times New Roman" w:hAnsi="Times New Roman" w:eastAsia="黑体" w:cs="Times New Roman"/>
          <w:szCs w:val="21"/>
        </w:rPr>
      </w:pPr>
    </w:p>
    <w:p w14:paraId="4B7286A7">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提供磋商文件或评分标准需要提供的相关证明文件复印件</w:t>
      </w:r>
      <w:r>
        <w:rPr>
          <w:rFonts w:hint="eastAsia" w:ascii="宋体" w:hAnsi="宋体"/>
          <w:color w:val="auto"/>
          <w:szCs w:val="21"/>
          <w:lang w:eastAsia="zh-CN"/>
        </w:rPr>
        <w:t>。</w:t>
      </w:r>
    </w:p>
    <w:p w14:paraId="7921D4C9">
      <w:pPr>
        <w:pStyle w:val="7"/>
        <w:rPr>
          <w:rFonts w:hint="eastAsia"/>
        </w:rPr>
      </w:pPr>
    </w:p>
    <w:p w14:paraId="5F593E37">
      <w:pPr>
        <w:spacing w:line="360" w:lineRule="auto"/>
        <w:jc w:val="center"/>
        <w:outlineLvl w:val="1"/>
        <w:rPr>
          <w:rFonts w:hint="eastAsia" w:ascii="宋体" w:hAnsi="宋体" w:cs="宋体"/>
          <w:b/>
          <w:color w:val="auto"/>
          <w:sz w:val="32"/>
          <w:szCs w:val="32"/>
        </w:rPr>
      </w:pPr>
    </w:p>
    <w:p w14:paraId="39A95DF8">
      <w:pPr>
        <w:spacing w:line="360" w:lineRule="auto"/>
        <w:jc w:val="center"/>
        <w:outlineLvl w:val="1"/>
        <w:rPr>
          <w:rFonts w:hint="eastAsia" w:ascii="宋体" w:hAnsi="宋体" w:cs="宋体"/>
          <w:b/>
          <w:color w:val="auto"/>
          <w:sz w:val="32"/>
          <w:szCs w:val="32"/>
        </w:rPr>
      </w:pPr>
    </w:p>
    <w:p w14:paraId="6EB76F59">
      <w:pPr>
        <w:spacing w:line="360" w:lineRule="auto"/>
        <w:jc w:val="center"/>
        <w:outlineLvl w:val="1"/>
        <w:rPr>
          <w:rFonts w:hint="eastAsia" w:ascii="宋体" w:hAnsi="宋体" w:cs="宋体"/>
          <w:b/>
          <w:color w:val="auto"/>
          <w:sz w:val="32"/>
          <w:szCs w:val="32"/>
        </w:rPr>
      </w:pPr>
    </w:p>
    <w:p w14:paraId="1F9EA9CA">
      <w:pPr>
        <w:spacing w:line="360" w:lineRule="auto"/>
        <w:jc w:val="center"/>
        <w:outlineLvl w:val="1"/>
        <w:rPr>
          <w:rFonts w:hint="eastAsia" w:ascii="宋体" w:hAnsi="宋体" w:cs="宋体"/>
          <w:b/>
          <w:color w:val="auto"/>
          <w:sz w:val="32"/>
          <w:szCs w:val="32"/>
        </w:rPr>
      </w:pPr>
    </w:p>
    <w:p w14:paraId="0B40D4BB">
      <w:pPr>
        <w:spacing w:line="360" w:lineRule="auto"/>
        <w:jc w:val="center"/>
        <w:outlineLvl w:val="1"/>
        <w:rPr>
          <w:rFonts w:hint="eastAsia" w:ascii="宋体" w:hAnsi="宋体" w:cs="宋体"/>
          <w:b/>
          <w:color w:val="auto"/>
          <w:sz w:val="32"/>
          <w:szCs w:val="32"/>
        </w:rPr>
      </w:pPr>
    </w:p>
    <w:p w14:paraId="5605E5CD">
      <w:pPr>
        <w:spacing w:line="360" w:lineRule="auto"/>
        <w:jc w:val="center"/>
        <w:outlineLvl w:val="1"/>
        <w:rPr>
          <w:rFonts w:hint="eastAsia" w:ascii="宋体" w:hAnsi="宋体" w:cs="宋体"/>
          <w:b/>
          <w:color w:val="auto"/>
          <w:sz w:val="32"/>
          <w:szCs w:val="32"/>
        </w:rPr>
      </w:pPr>
    </w:p>
    <w:p w14:paraId="7BB75110">
      <w:pPr>
        <w:spacing w:line="360" w:lineRule="auto"/>
        <w:jc w:val="center"/>
        <w:outlineLvl w:val="1"/>
        <w:rPr>
          <w:rFonts w:hint="eastAsia" w:ascii="宋体" w:hAnsi="宋体" w:cs="宋体"/>
          <w:b/>
          <w:color w:val="auto"/>
          <w:sz w:val="32"/>
          <w:szCs w:val="32"/>
        </w:rPr>
      </w:pPr>
    </w:p>
    <w:p w14:paraId="5B5C24F5">
      <w:pPr>
        <w:spacing w:line="360" w:lineRule="auto"/>
        <w:jc w:val="center"/>
        <w:outlineLvl w:val="1"/>
        <w:rPr>
          <w:rFonts w:hint="eastAsia" w:ascii="宋体" w:hAnsi="宋体" w:cs="宋体"/>
          <w:b/>
          <w:color w:val="auto"/>
          <w:sz w:val="32"/>
          <w:szCs w:val="32"/>
        </w:rPr>
      </w:pPr>
    </w:p>
    <w:p w14:paraId="4717F31B">
      <w:pPr>
        <w:spacing w:line="360" w:lineRule="auto"/>
        <w:jc w:val="center"/>
        <w:outlineLvl w:val="1"/>
        <w:rPr>
          <w:rFonts w:hint="eastAsia" w:ascii="宋体" w:hAnsi="宋体" w:cs="宋体"/>
          <w:b/>
          <w:color w:val="auto"/>
          <w:sz w:val="32"/>
          <w:szCs w:val="32"/>
        </w:rPr>
      </w:pPr>
    </w:p>
    <w:p w14:paraId="507A97C3">
      <w:pPr>
        <w:spacing w:line="360" w:lineRule="auto"/>
        <w:jc w:val="center"/>
        <w:outlineLvl w:val="1"/>
        <w:rPr>
          <w:rFonts w:hint="eastAsia" w:ascii="宋体" w:hAnsi="宋体" w:cs="宋体"/>
          <w:b/>
          <w:color w:val="auto"/>
          <w:sz w:val="32"/>
          <w:szCs w:val="32"/>
        </w:rPr>
      </w:pPr>
    </w:p>
    <w:p w14:paraId="0CC82BDF">
      <w:pPr>
        <w:spacing w:line="360" w:lineRule="auto"/>
        <w:jc w:val="center"/>
        <w:outlineLvl w:val="1"/>
        <w:rPr>
          <w:rFonts w:hint="eastAsia" w:ascii="宋体" w:hAnsi="宋体" w:cs="宋体"/>
          <w:b/>
          <w:color w:val="auto"/>
          <w:sz w:val="32"/>
          <w:szCs w:val="32"/>
        </w:rPr>
      </w:pPr>
    </w:p>
    <w:p w14:paraId="378AE040">
      <w:pPr>
        <w:spacing w:line="360" w:lineRule="auto"/>
        <w:jc w:val="center"/>
        <w:outlineLvl w:val="1"/>
        <w:rPr>
          <w:rFonts w:hint="eastAsia" w:ascii="宋体" w:hAnsi="宋体" w:cs="宋体"/>
          <w:b/>
          <w:color w:val="auto"/>
          <w:sz w:val="32"/>
          <w:szCs w:val="32"/>
        </w:rPr>
      </w:pPr>
    </w:p>
    <w:p w14:paraId="33DF319F">
      <w:pPr>
        <w:spacing w:line="360" w:lineRule="auto"/>
        <w:jc w:val="center"/>
        <w:outlineLvl w:val="1"/>
        <w:rPr>
          <w:rFonts w:hint="eastAsia" w:ascii="宋体" w:hAnsi="宋体" w:cs="宋体"/>
          <w:b/>
          <w:color w:val="auto"/>
          <w:sz w:val="32"/>
          <w:szCs w:val="32"/>
        </w:rPr>
      </w:pPr>
    </w:p>
    <w:p w14:paraId="26CDF5B8">
      <w:pPr>
        <w:spacing w:line="360" w:lineRule="auto"/>
        <w:jc w:val="center"/>
        <w:outlineLvl w:val="1"/>
        <w:rPr>
          <w:rFonts w:hint="eastAsia" w:ascii="宋体" w:hAnsi="宋体" w:cs="宋体"/>
          <w:b/>
          <w:color w:val="auto"/>
          <w:sz w:val="32"/>
          <w:szCs w:val="32"/>
        </w:rPr>
      </w:pPr>
    </w:p>
    <w:p w14:paraId="21E3DF6B">
      <w:pPr>
        <w:spacing w:line="360" w:lineRule="auto"/>
        <w:jc w:val="center"/>
        <w:outlineLvl w:val="1"/>
        <w:rPr>
          <w:rFonts w:hint="eastAsia" w:ascii="宋体" w:hAnsi="宋体" w:cs="宋体"/>
          <w:b/>
          <w:color w:val="auto"/>
          <w:sz w:val="32"/>
          <w:szCs w:val="32"/>
        </w:rPr>
      </w:pPr>
    </w:p>
    <w:p w14:paraId="208E5826">
      <w:pPr>
        <w:spacing w:line="360" w:lineRule="auto"/>
        <w:jc w:val="center"/>
        <w:outlineLvl w:val="1"/>
        <w:rPr>
          <w:rFonts w:hint="eastAsia" w:ascii="宋体" w:hAnsi="宋体" w:cs="宋体"/>
          <w:b/>
          <w:color w:val="auto"/>
          <w:sz w:val="32"/>
          <w:szCs w:val="32"/>
        </w:rPr>
      </w:pPr>
    </w:p>
    <w:p w14:paraId="78DB68C8">
      <w:pPr>
        <w:spacing w:line="360" w:lineRule="auto"/>
        <w:jc w:val="center"/>
        <w:outlineLvl w:val="1"/>
        <w:rPr>
          <w:rFonts w:hint="eastAsia" w:ascii="宋体" w:hAnsi="宋体" w:cs="宋体"/>
          <w:b/>
          <w:color w:val="auto"/>
          <w:sz w:val="32"/>
          <w:szCs w:val="32"/>
        </w:rPr>
      </w:pPr>
    </w:p>
    <w:p w14:paraId="1E006217">
      <w:pPr>
        <w:spacing w:line="360" w:lineRule="auto"/>
        <w:jc w:val="center"/>
        <w:outlineLvl w:val="1"/>
        <w:rPr>
          <w:rFonts w:hint="eastAsia" w:ascii="宋体" w:hAnsi="宋体" w:cs="宋体"/>
          <w:b/>
          <w:color w:val="auto"/>
          <w:sz w:val="32"/>
          <w:szCs w:val="32"/>
        </w:rPr>
      </w:pPr>
    </w:p>
    <w:p w14:paraId="6DCAE2E2">
      <w:pPr>
        <w:spacing w:line="360" w:lineRule="auto"/>
        <w:jc w:val="center"/>
        <w:outlineLvl w:val="1"/>
        <w:rPr>
          <w:rFonts w:hint="eastAsia" w:ascii="宋体" w:hAnsi="宋体" w:cs="宋体"/>
          <w:b/>
          <w:color w:val="auto"/>
          <w:sz w:val="32"/>
          <w:szCs w:val="32"/>
        </w:rPr>
      </w:pPr>
    </w:p>
    <w:p w14:paraId="7A469ED4">
      <w:pPr>
        <w:spacing w:line="360" w:lineRule="auto"/>
        <w:jc w:val="center"/>
        <w:outlineLvl w:val="1"/>
        <w:rPr>
          <w:rFonts w:hint="eastAsia" w:ascii="宋体" w:hAnsi="宋体" w:cs="宋体"/>
          <w:b/>
          <w:color w:val="auto"/>
          <w:sz w:val="32"/>
          <w:szCs w:val="32"/>
        </w:rPr>
      </w:pPr>
    </w:p>
    <w:bookmarkEnd w:id="54"/>
    <w:p w14:paraId="0C5D68DC">
      <w:pPr>
        <w:tabs>
          <w:tab w:val="left" w:pos="1680"/>
        </w:tabs>
        <w:adjustRightInd w:val="0"/>
        <w:snapToGrid w:val="0"/>
        <w:spacing w:line="360" w:lineRule="auto"/>
        <w:jc w:val="center"/>
        <w:rPr>
          <w:rFonts w:hint="default" w:ascii="宋体" w:hAnsi="宋体" w:eastAsia="宋体" w:cs="宋体"/>
          <w:b/>
          <w:color w:val="auto"/>
          <w:sz w:val="30"/>
          <w:szCs w:val="30"/>
          <w:lang w:val="en-US" w:eastAsia="zh-CN"/>
        </w:rPr>
      </w:pPr>
      <w:r>
        <w:rPr>
          <w:rFonts w:hint="default" w:ascii="宋体" w:hAnsi="宋体" w:eastAsia="宋体" w:cs="宋体"/>
          <w:b/>
          <w:color w:val="auto"/>
          <w:sz w:val="30"/>
          <w:szCs w:val="30"/>
          <w:lang w:val="en-US" w:eastAsia="zh-CN"/>
        </w:rPr>
        <w:t>四、</w:t>
      </w:r>
      <w:r>
        <w:rPr>
          <w:rFonts w:hint="eastAsia" w:ascii="宋体" w:hAnsi="宋体" w:cs="宋体"/>
          <w:b/>
          <w:color w:val="auto"/>
          <w:sz w:val="30"/>
          <w:szCs w:val="30"/>
          <w:lang w:val="en-US" w:eastAsia="zh-CN"/>
        </w:rPr>
        <w:t>技术</w:t>
      </w:r>
      <w:r>
        <w:rPr>
          <w:rFonts w:hint="default" w:ascii="宋体" w:hAnsi="宋体" w:eastAsia="宋体" w:cs="宋体"/>
          <w:b/>
          <w:color w:val="auto"/>
          <w:sz w:val="30"/>
          <w:szCs w:val="30"/>
          <w:lang w:val="en-US" w:eastAsia="zh-CN"/>
        </w:rPr>
        <w:t>方案</w:t>
      </w:r>
    </w:p>
    <w:p w14:paraId="3BE7E313">
      <w:pPr>
        <w:adjustRightInd w:val="0"/>
        <w:snapToGrid w:val="0"/>
        <w:spacing w:line="480" w:lineRule="auto"/>
        <w:ind w:firstLine="420"/>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p w14:paraId="2EA7891F">
      <w:pPr>
        <w:adjustRightInd w:val="0"/>
        <w:snapToGrid w:val="0"/>
        <w:spacing w:line="48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技术</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方案应包括但不限于：</w:t>
      </w:r>
    </w:p>
    <w:p w14:paraId="6FC9073F">
      <w:pPr>
        <w:adjustRightInd w:val="0"/>
        <w:snapToGrid w:val="0"/>
        <w:spacing w:line="480" w:lineRule="auto"/>
        <w:ind w:firstLine="42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施工方案与技术措施</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14:paraId="2DD716EC">
      <w:pPr>
        <w:adjustRightInd w:val="0"/>
        <w:snapToGrid w:val="0"/>
        <w:spacing w:line="480" w:lineRule="auto"/>
        <w:ind w:firstLine="42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工程进度计划与保证措施</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p w14:paraId="4EA6009B">
      <w:pPr>
        <w:adjustRightInd w:val="0"/>
        <w:snapToGrid w:val="0"/>
        <w:spacing w:line="480" w:lineRule="auto"/>
        <w:ind w:firstLine="420"/>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（3）</w:t>
      </w:r>
      <w:r>
        <w:rPr>
          <w:rFonts w:hint="eastAsia" w:ascii="宋体" w:hAnsi="宋体" w:eastAsia="宋体" w:cs="宋体"/>
          <w:color w:val="000000" w:themeColor="text1"/>
          <w:sz w:val="21"/>
          <w:szCs w:val="21"/>
          <w14:textFill>
            <w14:solidFill>
              <w14:schemeClr w14:val="tx1"/>
            </w14:solidFill>
          </w14:textFill>
        </w:rPr>
        <w:t>质量管理体系与措施</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14:paraId="6F2FF825">
      <w:pPr>
        <w:adjustRightInd w:val="0"/>
        <w:snapToGrid w:val="0"/>
        <w:spacing w:line="480" w:lineRule="auto"/>
        <w:ind w:firstLine="420"/>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安全管理体系与措施</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14:paraId="0D4B5972">
      <w:pPr>
        <w:adjustRightInd w:val="0"/>
        <w:snapToGrid w:val="0"/>
        <w:spacing w:line="480" w:lineRule="auto"/>
        <w:ind w:firstLine="420"/>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（5）环境保护管理体系与措施。</w:t>
      </w:r>
    </w:p>
    <w:p w14:paraId="71DA1905">
      <w:pPr>
        <w:adjustRightInd w:val="0"/>
        <w:snapToGrid w:val="0"/>
        <w:spacing w:line="480" w:lineRule="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p>
    <w:p w14:paraId="4340FD94">
      <w:pPr>
        <w:adjustRightInd w:val="0"/>
        <w:snapToGrid w:val="0"/>
        <w:spacing w:line="480" w:lineRule="auto"/>
        <w:ind w:firstLine="420"/>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注：格式自拟。</w:t>
      </w:r>
    </w:p>
    <w:p w14:paraId="1EC2BC25">
      <w:pPr>
        <w:adjustRightInd w:val="0"/>
        <w:snapToGrid w:val="0"/>
        <w:spacing w:line="360" w:lineRule="auto"/>
        <w:rPr>
          <w:rFonts w:hint="eastAsia" w:ascii="宋体" w:hAnsi="宋体" w:cs="宋体"/>
          <w:color w:val="auto"/>
          <w:kern w:val="0"/>
          <w:szCs w:val="21"/>
        </w:rPr>
      </w:pPr>
    </w:p>
    <w:p w14:paraId="70905FC4">
      <w:pPr>
        <w:adjustRightInd w:val="0"/>
        <w:snapToGrid w:val="0"/>
        <w:spacing w:line="360" w:lineRule="auto"/>
        <w:rPr>
          <w:rFonts w:hint="eastAsia" w:ascii="宋体" w:hAnsi="宋体" w:cs="宋体"/>
          <w:color w:val="auto"/>
          <w:kern w:val="0"/>
          <w:szCs w:val="21"/>
        </w:rPr>
      </w:pPr>
    </w:p>
    <w:p w14:paraId="5A06044A">
      <w:pPr>
        <w:adjustRightInd w:val="0"/>
        <w:snapToGrid w:val="0"/>
        <w:spacing w:line="360" w:lineRule="auto"/>
        <w:rPr>
          <w:rFonts w:hint="eastAsia" w:ascii="宋体" w:hAnsi="宋体" w:cs="宋体"/>
          <w:color w:val="auto"/>
          <w:kern w:val="0"/>
          <w:szCs w:val="21"/>
        </w:rPr>
      </w:pPr>
    </w:p>
    <w:p w14:paraId="653C5664">
      <w:pPr>
        <w:adjustRightInd w:val="0"/>
        <w:snapToGrid w:val="0"/>
        <w:spacing w:line="360" w:lineRule="auto"/>
        <w:rPr>
          <w:rFonts w:hint="eastAsia" w:ascii="宋体" w:hAnsi="宋体" w:cs="宋体"/>
          <w:color w:val="auto"/>
          <w:kern w:val="0"/>
          <w:szCs w:val="21"/>
        </w:rPr>
      </w:pPr>
    </w:p>
    <w:p w14:paraId="10DBF95C">
      <w:pPr>
        <w:adjustRightInd w:val="0"/>
        <w:snapToGrid w:val="0"/>
        <w:spacing w:line="360" w:lineRule="auto"/>
        <w:rPr>
          <w:rFonts w:hint="eastAsia" w:ascii="宋体" w:hAnsi="宋体" w:cs="宋体"/>
          <w:color w:val="auto"/>
          <w:kern w:val="0"/>
          <w:szCs w:val="21"/>
        </w:rPr>
      </w:pPr>
    </w:p>
    <w:p w14:paraId="61FA1A8A">
      <w:pPr>
        <w:adjustRightInd w:val="0"/>
        <w:snapToGrid w:val="0"/>
        <w:spacing w:line="360" w:lineRule="auto"/>
        <w:rPr>
          <w:rFonts w:hint="eastAsia" w:ascii="宋体" w:hAnsi="宋体" w:cs="宋体"/>
          <w:color w:val="auto"/>
          <w:kern w:val="0"/>
          <w:szCs w:val="21"/>
        </w:rPr>
      </w:pPr>
    </w:p>
    <w:p w14:paraId="11FA101A">
      <w:pPr>
        <w:pStyle w:val="62"/>
        <w:rPr>
          <w:rFonts w:hint="eastAsia" w:ascii="宋体" w:hAnsi="宋体" w:cs="宋体"/>
          <w:color w:val="auto"/>
          <w:kern w:val="0"/>
          <w:szCs w:val="21"/>
        </w:rPr>
      </w:pPr>
    </w:p>
    <w:p w14:paraId="26C4F758">
      <w:pPr>
        <w:pStyle w:val="62"/>
        <w:rPr>
          <w:rFonts w:hint="eastAsia" w:ascii="宋体" w:hAnsi="宋体" w:cs="宋体"/>
          <w:color w:val="auto"/>
          <w:kern w:val="0"/>
          <w:szCs w:val="21"/>
        </w:rPr>
      </w:pPr>
    </w:p>
    <w:p w14:paraId="5ABC7AA9">
      <w:pPr>
        <w:pStyle w:val="62"/>
        <w:rPr>
          <w:rFonts w:hint="eastAsia" w:ascii="宋体" w:hAnsi="宋体" w:cs="宋体"/>
          <w:color w:val="auto"/>
          <w:kern w:val="0"/>
          <w:szCs w:val="21"/>
        </w:rPr>
      </w:pPr>
    </w:p>
    <w:p w14:paraId="5C7E3561">
      <w:pPr>
        <w:pStyle w:val="62"/>
        <w:rPr>
          <w:rFonts w:hint="eastAsia" w:ascii="宋体" w:hAnsi="宋体" w:cs="宋体"/>
          <w:color w:val="auto"/>
          <w:kern w:val="0"/>
          <w:szCs w:val="21"/>
        </w:rPr>
      </w:pPr>
    </w:p>
    <w:p w14:paraId="583F5961">
      <w:pPr>
        <w:pStyle w:val="62"/>
        <w:rPr>
          <w:rFonts w:hint="eastAsia" w:ascii="宋体" w:hAnsi="宋体" w:cs="宋体"/>
          <w:color w:val="auto"/>
          <w:kern w:val="0"/>
          <w:szCs w:val="21"/>
        </w:rPr>
      </w:pPr>
    </w:p>
    <w:p w14:paraId="3BE0076B">
      <w:pPr>
        <w:pStyle w:val="62"/>
        <w:rPr>
          <w:rFonts w:hint="eastAsia" w:ascii="宋体" w:hAnsi="宋体" w:cs="宋体"/>
          <w:color w:val="auto"/>
          <w:kern w:val="0"/>
          <w:szCs w:val="21"/>
        </w:rPr>
      </w:pPr>
    </w:p>
    <w:p w14:paraId="46FEED03">
      <w:pPr>
        <w:pStyle w:val="62"/>
        <w:rPr>
          <w:rFonts w:hint="eastAsia" w:ascii="宋体" w:hAnsi="宋体" w:cs="宋体"/>
          <w:color w:val="auto"/>
          <w:kern w:val="0"/>
          <w:szCs w:val="21"/>
        </w:rPr>
      </w:pPr>
    </w:p>
    <w:p w14:paraId="50147CBD">
      <w:pPr>
        <w:pStyle w:val="62"/>
        <w:rPr>
          <w:rFonts w:hint="eastAsia" w:ascii="宋体" w:hAnsi="宋体" w:cs="宋体"/>
          <w:color w:val="auto"/>
          <w:kern w:val="0"/>
          <w:szCs w:val="21"/>
        </w:rPr>
      </w:pPr>
    </w:p>
    <w:p w14:paraId="0326AE01">
      <w:pPr>
        <w:pStyle w:val="62"/>
        <w:rPr>
          <w:rFonts w:hint="eastAsia" w:ascii="宋体" w:hAnsi="宋体" w:cs="宋体"/>
          <w:color w:val="auto"/>
          <w:kern w:val="0"/>
          <w:szCs w:val="21"/>
        </w:rPr>
      </w:pPr>
    </w:p>
    <w:p w14:paraId="54EC9B7A">
      <w:pPr>
        <w:pStyle w:val="62"/>
        <w:rPr>
          <w:rFonts w:hint="eastAsia" w:ascii="宋体" w:hAnsi="宋体" w:cs="宋体"/>
          <w:color w:val="auto"/>
          <w:kern w:val="0"/>
          <w:szCs w:val="21"/>
        </w:rPr>
      </w:pPr>
    </w:p>
    <w:p w14:paraId="01FD5B1D">
      <w:pPr>
        <w:pStyle w:val="62"/>
        <w:rPr>
          <w:rFonts w:hint="eastAsia" w:ascii="宋体" w:hAnsi="宋体" w:cs="宋体"/>
          <w:color w:val="auto"/>
          <w:kern w:val="0"/>
          <w:szCs w:val="21"/>
        </w:rPr>
      </w:pPr>
    </w:p>
    <w:p w14:paraId="59FA7A30">
      <w:pPr>
        <w:pStyle w:val="62"/>
        <w:rPr>
          <w:rFonts w:hint="eastAsia" w:ascii="宋体" w:hAnsi="宋体" w:cs="宋体"/>
          <w:color w:val="auto"/>
          <w:kern w:val="0"/>
          <w:szCs w:val="21"/>
        </w:rPr>
      </w:pPr>
    </w:p>
    <w:p w14:paraId="22485EF5">
      <w:pPr>
        <w:pStyle w:val="62"/>
        <w:rPr>
          <w:rFonts w:hint="eastAsia" w:ascii="宋体" w:hAnsi="宋体" w:cs="宋体"/>
          <w:color w:val="auto"/>
          <w:kern w:val="0"/>
          <w:szCs w:val="21"/>
        </w:rPr>
      </w:pPr>
    </w:p>
    <w:p w14:paraId="3E92F1A0">
      <w:pPr>
        <w:pStyle w:val="62"/>
        <w:rPr>
          <w:rFonts w:hint="eastAsia" w:ascii="宋体" w:hAnsi="宋体" w:cs="宋体"/>
          <w:color w:val="auto"/>
          <w:kern w:val="0"/>
          <w:szCs w:val="21"/>
        </w:rPr>
      </w:pPr>
    </w:p>
    <w:p w14:paraId="2C86120B">
      <w:pPr>
        <w:pStyle w:val="62"/>
        <w:rPr>
          <w:rFonts w:hint="eastAsia" w:ascii="宋体" w:hAnsi="宋体" w:cs="宋体"/>
          <w:color w:val="auto"/>
          <w:kern w:val="0"/>
          <w:szCs w:val="21"/>
        </w:rPr>
      </w:pPr>
    </w:p>
    <w:p w14:paraId="63261A4D">
      <w:pPr>
        <w:pStyle w:val="62"/>
        <w:rPr>
          <w:rFonts w:hint="eastAsia" w:ascii="宋体" w:hAnsi="宋体" w:cs="宋体"/>
          <w:color w:val="auto"/>
          <w:kern w:val="0"/>
          <w:szCs w:val="21"/>
        </w:rPr>
      </w:pPr>
    </w:p>
    <w:p w14:paraId="75BB5839">
      <w:pPr>
        <w:pStyle w:val="62"/>
        <w:rPr>
          <w:rFonts w:hint="eastAsia" w:ascii="宋体" w:hAnsi="宋体" w:cs="宋体"/>
          <w:color w:val="auto"/>
          <w:kern w:val="0"/>
          <w:szCs w:val="21"/>
        </w:rPr>
      </w:pPr>
    </w:p>
    <w:p w14:paraId="18EEDD2A">
      <w:pPr>
        <w:pStyle w:val="62"/>
        <w:rPr>
          <w:rFonts w:hint="eastAsia" w:ascii="宋体" w:hAnsi="宋体" w:cs="宋体"/>
          <w:color w:val="auto"/>
          <w:kern w:val="0"/>
          <w:szCs w:val="21"/>
        </w:rPr>
      </w:pPr>
    </w:p>
    <w:p w14:paraId="54AAD8F9">
      <w:pPr>
        <w:pStyle w:val="62"/>
        <w:rPr>
          <w:rFonts w:hint="eastAsia" w:ascii="宋体" w:hAnsi="宋体" w:cs="宋体"/>
          <w:color w:val="auto"/>
          <w:kern w:val="0"/>
          <w:szCs w:val="21"/>
        </w:rPr>
      </w:pPr>
    </w:p>
    <w:p w14:paraId="51A2408A">
      <w:pPr>
        <w:pStyle w:val="62"/>
        <w:rPr>
          <w:rFonts w:hint="eastAsia" w:ascii="宋体" w:hAnsi="宋体" w:cs="宋体"/>
          <w:color w:val="auto"/>
          <w:kern w:val="0"/>
          <w:szCs w:val="21"/>
        </w:rPr>
      </w:pPr>
    </w:p>
    <w:p w14:paraId="15752B94">
      <w:pPr>
        <w:pStyle w:val="62"/>
        <w:rPr>
          <w:rFonts w:hint="eastAsia" w:ascii="宋体" w:hAnsi="宋体" w:cs="宋体"/>
          <w:color w:val="auto"/>
          <w:kern w:val="0"/>
          <w:szCs w:val="21"/>
        </w:rPr>
      </w:pPr>
    </w:p>
    <w:p w14:paraId="66B5C7A3">
      <w:pPr>
        <w:pStyle w:val="62"/>
        <w:rPr>
          <w:rFonts w:hint="eastAsia" w:ascii="宋体" w:hAnsi="宋体" w:cs="宋体"/>
          <w:color w:val="auto"/>
          <w:kern w:val="0"/>
          <w:szCs w:val="21"/>
        </w:rPr>
      </w:pPr>
    </w:p>
    <w:p w14:paraId="15CE12CB">
      <w:pPr>
        <w:pStyle w:val="62"/>
        <w:rPr>
          <w:rFonts w:hint="eastAsia" w:ascii="宋体" w:hAnsi="宋体" w:cs="宋体"/>
          <w:color w:val="auto"/>
          <w:kern w:val="0"/>
          <w:szCs w:val="21"/>
        </w:rPr>
      </w:pPr>
    </w:p>
    <w:p w14:paraId="03BBC281">
      <w:pPr>
        <w:spacing w:line="360" w:lineRule="atLeast"/>
        <w:outlineLvl w:val="0"/>
        <w:rPr>
          <w:rFonts w:hint="default" w:ascii="Times New Roman" w:hAnsi="Times New Roman" w:eastAsia="黑体" w:cs="Times New Roman"/>
          <w:sz w:val="30"/>
          <w:szCs w:val="30"/>
        </w:rPr>
      </w:pPr>
    </w:p>
    <w:p w14:paraId="028363C1">
      <w:pPr>
        <w:spacing w:line="360" w:lineRule="atLeast"/>
        <w:outlineLvl w:val="0"/>
        <w:rPr>
          <w:rFonts w:hint="default" w:ascii="Times New Roman" w:hAnsi="Times New Roman" w:eastAsia="黑体" w:cs="Times New Roman"/>
          <w:sz w:val="30"/>
          <w:szCs w:val="30"/>
        </w:rPr>
      </w:pPr>
    </w:p>
    <w:p w14:paraId="2381AD8F">
      <w:pPr>
        <w:spacing w:line="360" w:lineRule="atLeast"/>
        <w:outlineLvl w:val="0"/>
        <w:rPr>
          <w:rFonts w:hint="default" w:ascii="Times New Roman" w:hAnsi="Times New Roman" w:eastAsia="黑体" w:cs="Times New Roman"/>
          <w:sz w:val="30"/>
          <w:szCs w:val="30"/>
        </w:rPr>
      </w:pPr>
    </w:p>
    <w:p w14:paraId="5B00934F">
      <w:pPr>
        <w:spacing w:line="360" w:lineRule="atLeast"/>
        <w:outlineLvl w:val="0"/>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rPr>
        <w:t>附件</w:t>
      </w:r>
      <w:r>
        <w:rPr>
          <w:rFonts w:hint="eastAsia" w:eastAsia="黑体" w:cs="Times New Roman"/>
          <w:sz w:val="30"/>
          <w:szCs w:val="30"/>
          <w:lang w:val="en-US" w:eastAsia="zh-CN"/>
        </w:rPr>
        <w:t>7</w:t>
      </w:r>
    </w:p>
    <w:p w14:paraId="309C403D">
      <w:pPr>
        <w:spacing w:line="360" w:lineRule="atLeast"/>
        <w:outlineLvl w:val="0"/>
        <w:rPr>
          <w:rFonts w:hint="default" w:ascii="Times New Roman" w:hAnsi="Times New Roman" w:eastAsia="黑体" w:cs="Times New Roman"/>
          <w:sz w:val="30"/>
          <w:szCs w:val="30"/>
        </w:rPr>
      </w:pPr>
    </w:p>
    <w:p w14:paraId="03EE5167">
      <w:pPr>
        <w:spacing w:line="360" w:lineRule="atLeast"/>
        <w:jc w:val="center"/>
        <w:outlineLvl w:val="0"/>
        <w:rPr>
          <w:rFonts w:hint="eastAsia" w:ascii="宋体" w:hAnsi="宋体" w:eastAsia="宋体" w:cs="宋体"/>
          <w:b/>
          <w:bCs/>
          <w:sz w:val="30"/>
          <w:szCs w:val="30"/>
        </w:rPr>
      </w:pPr>
      <w:r>
        <w:rPr>
          <w:rFonts w:hint="eastAsia" w:ascii="宋体" w:hAnsi="宋体" w:eastAsia="宋体" w:cs="宋体"/>
          <w:b/>
          <w:bCs/>
          <w:sz w:val="30"/>
          <w:szCs w:val="30"/>
        </w:rPr>
        <w:t>主要人员简历表</w:t>
      </w:r>
    </w:p>
    <w:p w14:paraId="491FEAA9">
      <w:pPr>
        <w:spacing w:line="360" w:lineRule="atLeast"/>
        <w:jc w:val="center"/>
        <w:rPr>
          <w:rFonts w:hint="default" w:ascii="Times New Roman" w:hAnsi="Times New Roman" w:cs="Times New Roman"/>
          <w:sz w:val="28"/>
          <w:szCs w:val="28"/>
        </w:rPr>
      </w:pPr>
    </w:p>
    <w:tbl>
      <w:tblPr>
        <w:tblStyle w:val="44"/>
        <w:tblW w:w="8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32"/>
        <w:gridCol w:w="2468"/>
        <w:gridCol w:w="396"/>
        <w:gridCol w:w="1404"/>
        <w:gridCol w:w="540"/>
        <w:gridCol w:w="1663"/>
      </w:tblGrid>
      <w:tr w14:paraId="04D09E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vAlign w:val="center"/>
          </w:tcPr>
          <w:p w14:paraId="2761B170">
            <w:pPr>
              <w:spacing w:line="360" w:lineRule="atLeast"/>
              <w:jc w:val="center"/>
              <w:rPr>
                <w:rFonts w:hint="default" w:ascii="Times New Roman" w:hAnsi="Times New Roman" w:cs="Times New Roman"/>
              </w:rPr>
            </w:pPr>
            <w:r>
              <w:rPr>
                <w:rFonts w:hint="default" w:ascii="Times New Roman" w:hAnsi="Times New Roman" w:cs="Times New Roman"/>
              </w:rPr>
              <w:t>姓名</w:t>
            </w:r>
          </w:p>
        </w:tc>
        <w:tc>
          <w:tcPr>
            <w:tcW w:w="2468" w:type="dxa"/>
            <w:vAlign w:val="center"/>
          </w:tcPr>
          <w:p w14:paraId="5132325E">
            <w:pPr>
              <w:spacing w:line="360" w:lineRule="atLeast"/>
              <w:jc w:val="center"/>
              <w:rPr>
                <w:rFonts w:hint="default" w:ascii="Times New Roman" w:hAnsi="Times New Roman" w:cs="Times New Roman"/>
              </w:rPr>
            </w:pPr>
          </w:p>
        </w:tc>
        <w:tc>
          <w:tcPr>
            <w:tcW w:w="2340" w:type="dxa"/>
            <w:gridSpan w:val="3"/>
            <w:vAlign w:val="center"/>
          </w:tcPr>
          <w:p w14:paraId="35E15DD2">
            <w:pPr>
              <w:spacing w:line="360" w:lineRule="atLeast"/>
              <w:jc w:val="center"/>
              <w:rPr>
                <w:rFonts w:hint="default" w:ascii="Times New Roman" w:hAnsi="Times New Roman" w:cs="Times New Roman"/>
              </w:rPr>
            </w:pPr>
            <w:r>
              <w:rPr>
                <w:rFonts w:hint="default" w:ascii="Times New Roman" w:hAnsi="Times New Roman" w:cs="Times New Roman"/>
              </w:rPr>
              <w:t>性别</w:t>
            </w:r>
          </w:p>
        </w:tc>
        <w:tc>
          <w:tcPr>
            <w:tcW w:w="1663" w:type="dxa"/>
            <w:vAlign w:val="center"/>
          </w:tcPr>
          <w:p w14:paraId="572827E5">
            <w:pPr>
              <w:spacing w:line="360" w:lineRule="atLeast"/>
              <w:jc w:val="center"/>
              <w:rPr>
                <w:rFonts w:hint="default" w:ascii="Times New Roman" w:hAnsi="Times New Roman" w:cs="Times New Roman"/>
              </w:rPr>
            </w:pPr>
          </w:p>
        </w:tc>
      </w:tr>
      <w:tr w14:paraId="75EEE2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vAlign w:val="center"/>
          </w:tcPr>
          <w:p w14:paraId="4C3CC665">
            <w:pPr>
              <w:spacing w:line="360" w:lineRule="atLeast"/>
              <w:jc w:val="center"/>
              <w:rPr>
                <w:rFonts w:hint="default" w:ascii="Times New Roman" w:hAnsi="Times New Roman" w:cs="Times New Roman"/>
              </w:rPr>
            </w:pPr>
            <w:r>
              <w:rPr>
                <w:rFonts w:hint="default" w:ascii="Times New Roman" w:hAnsi="Times New Roman" w:cs="Times New Roman"/>
              </w:rPr>
              <w:t>职务</w:t>
            </w:r>
          </w:p>
        </w:tc>
        <w:tc>
          <w:tcPr>
            <w:tcW w:w="2468" w:type="dxa"/>
            <w:vAlign w:val="center"/>
          </w:tcPr>
          <w:p w14:paraId="34311574">
            <w:pPr>
              <w:spacing w:line="360" w:lineRule="atLeast"/>
              <w:jc w:val="center"/>
              <w:rPr>
                <w:rFonts w:hint="default" w:ascii="Times New Roman" w:hAnsi="Times New Roman" w:cs="Times New Roman"/>
              </w:rPr>
            </w:pPr>
          </w:p>
        </w:tc>
        <w:tc>
          <w:tcPr>
            <w:tcW w:w="2340" w:type="dxa"/>
            <w:gridSpan w:val="3"/>
            <w:vAlign w:val="center"/>
          </w:tcPr>
          <w:p w14:paraId="161BF9FB">
            <w:pPr>
              <w:spacing w:line="360" w:lineRule="atLeast"/>
              <w:jc w:val="center"/>
              <w:rPr>
                <w:rFonts w:hint="default" w:ascii="Times New Roman" w:hAnsi="Times New Roman" w:cs="Times New Roman"/>
              </w:rPr>
            </w:pPr>
            <w:r>
              <w:rPr>
                <w:rFonts w:hint="default" w:ascii="Times New Roman" w:hAnsi="Times New Roman" w:cs="Times New Roman"/>
              </w:rPr>
              <w:t>职称</w:t>
            </w:r>
          </w:p>
        </w:tc>
        <w:tc>
          <w:tcPr>
            <w:tcW w:w="1663" w:type="dxa"/>
            <w:vAlign w:val="center"/>
          </w:tcPr>
          <w:p w14:paraId="766F1890">
            <w:pPr>
              <w:spacing w:line="360" w:lineRule="atLeast"/>
              <w:jc w:val="center"/>
              <w:rPr>
                <w:rFonts w:hint="default" w:ascii="Times New Roman" w:hAnsi="Times New Roman" w:cs="Times New Roman"/>
              </w:rPr>
            </w:pPr>
          </w:p>
        </w:tc>
      </w:tr>
      <w:tr w14:paraId="78A150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vAlign w:val="center"/>
          </w:tcPr>
          <w:p w14:paraId="6854F314">
            <w:pPr>
              <w:spacing w:line="360" w:lineRule="atLeast"/>
              <w:jc w:val="center"/>
              <w:rPr>
                <w:rFonts w:hint="default" w:ascii="Times New Roman" w:hAnsi="Times New Roman" w:cs="Times New Roman"/>
              </w:rPr>
            </w:pPr>
            <w:r>
              <w:rPr>
                <w:rFonts w:hint="default" w:ascii="Times New Roman" w:hAnsi="Times New Roman" w:cs="Times New Roman"/>
              </w:rPr>
              <w:t>毕业学校、专业</w:t>
            </w:r>
          </w:p>
        </w:tc>
        <w:tc>
          <w:tcPr>
            <w:tcW w:w="6471" w:type="dxa"/>
            <w:gridSpan w:val="5"/>
            <w:vAlign w:val="center"/>
          </w:tcPr>
          <w:p w14:paraId="055DD84A">
            <w:pPr>
              <w:spacing w:line="360" w:lineRule="atLeast"/>
              <w:jc w:val="center"/>
              <w:rPr>
                <w:rFonts w:hint="default" w:ascii="Times New Roman" w:hAnsi="Times New Roman" w:cs="Times New Roman"/>
              </w:rPr>
            </w:pPr>
          </w:p>
        </w:tc>
      </w:tr>
      <w:tr w14:paraId="7C9948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31DD9F1">
            <w:pPr>
              <w:spacing w:line="360" w:lineRule="atLeast"/>
              <w:jc w:val="center"/>
              <w:rPr>
                <w:rFonts w:hint="default" w:ascii="Times New Roman" w:hAnsi="Times New Roman" w:cs="Times New Roman"/>
              </w:rPr>
            </w:pPr>
            <w:r>
              <w:rPr>
                <w:rFonts w:hint="default" w:ascii="Times New Roman" w:hAnsi="Times New Roman" w:cs="Times New Roman"/>
              </w:rPr>
              <w:t>身份证号</w:t>
            </w:r>
          </w:p>
        </w:tc>
        <w:tc>
          <w:tcPr>
            <w:tcW w:w="2468" w:type="dxa"/>
            <w:vAlign w:val="center"/>
          </w:tcPr>
          <w:p w14:paraId="472A7CF8">
            <w:pPr>
              <w:spacing w:line="360" w:lineRule="atLeast"/>
              <w:jc w:val="center"/>
              <w:rPr>
                <w:rFonts w:hint="default" w:ascii="Times New Roman" w:hAnsi="Times New Roman" w:cs="Times New Roman"/>
              </w:rPr>
            </w:pPr>
          </w:p>
        </w:tc>
        <w:tc>
          <w:tcPr>
            <w:tcW w:w="2340" w:type="dxa"/>
            <w:gridSpan w:val="3"/>
            <w:vAlign w:val="center"/>
          </w:tcPr>
          <w:p w14:paraId="57B3B7B7">
            <w:pPr>
              <w:spacing w:line="360" w:lineRule="atLeast"/>
              <w:jc w:val="center"/>
              <w:rPr>
                <w:rFonts w:hint="default" w:ascii="Times New Roman" w:hAnsi="Times New Roman" w:cs="Times New Roman"/>
              </w:rPr>
            </w:pPr>
            <w:r>
              <w:rPr>
                <w:rFonts w:hint="default" w:ascii="Times New Roman" w:hAnsi="Times New Roman" w:cs="Times New Roman"/>
              </w:rPr>
              <w:t>拟在本合同任职</w:t>
            </w:r>
          </w:p>
        </w:tc>
        <w:tc>
          <w:tcPr>
            <w:tcW w:w="1663" w:type="dxa"/>
            <w:vAlign w:val="center"/>
          </w:tcPr>
          <w:p w14:paraId="4296563B">
            <w:pPr>
              <w:spacing w:line="360" w:lineRule="atLeast"/>
              <w:ind w:right="-105" w:rightChars="-50"/>
              <w:jc w:val="center"/>
              <w:rPr>
                <w:rFonts w:hint="default" w:ascii="Times New Roman" w:hAnsi="Times New Roman" w:cs="Times New Roman"/>
              </w:rPr>
            </w:pPr>
          </w:p>
        </w:tc>
      </w:tr>
      <w:tr w14:paraId="3A1639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10B3DF2">
            <w:pPr>
              <w:spacing w:line="360" w:lineRule="atLeast"/>
              <w:jc w:val="center"/>
              <w:rPr>
                <w:rFonts w:hint="default" w:ascii="Times New Roman" w:hAnsi="Times New Roman" w:cs="Times New Roman"/>
              </w:rPr>
            </w:pPr>
            <w:r>
              <w:rPr>
                <w:rFonts w:hint="default" w:ascii="Times New Roman" w:hAnsi="Times New Roman" w:cs="Times New Roman"/>
              </w:rPr>
              <w:t>执业资格证</w:t>
            </w:r>
          </w:p>
        </w:tc>
        <w:tc>
          <w:tcPr>
            <w:tcW w:w="2468" w:type="dxa"/>
            <w:vAlign w:val="center"/>
          </w:tcPr>
          <w:p w14:paraId="7A0D7E1E">
            <w:pPr>
              <w:spacing w:line="360" w:lineRule="atLeast"/>
              <w:jc w:val="center"/>
              <w:rPr>
                <w:rFonts w:hint="default" w:ascii="Times New Roman" w:hAnsi="Times New Roman" w:cs="Times New Roman"/>
              </w:rPr>
            </w:pPr>
          </w:p>
        </w:tc>
        <w:tc>
          <w:tcPr>
            <w:tcW w:w="2340" w:type="dxa"/>
            <w:gridSpan w:val="3"/>
            <w:vAlign w:val="center"/>
          </w:tcPr>
          <w:p w14:paraId="4245F81C">
            <w:pPr>
              <w:spacing w:line="360" w:lineRule="atLeast"/>
              <w:jc w:val="center"/>
              <w:rPr>
                <w:rFonts w:hint="default" w:ascii="Times New Roman" w:hAnsi="Times New Roman" w:cs="Times New Roman"/>
              </w:rPr>
            </w:pPr>
            <w:r>
              <w:rPr>
                <w:rFonts w:hint="default" w:ascii="Times New Roman" w:hAnsi="Times New Roman" w:cs="Times New Roman"/>
              </w:rPr>
              <w:t>执业资格证书号</w:t>
            </w:r>
          </w:p>
        </w:tc>
        <w:tc>
          <w:tcPr>
            <w:tcW w:w="1663" w:type="dxa"/>
            <w:vAlign w:val="center"/>
          </w:tcPr>
          <w:p w14:paraId="013F7569">
            <w:pPr>
              <w:rPr>
                <w:rFonts w:hint="default" w:ascii="Times New Roman" w:hAnsi="Times New Roman" w:cs="Times New Roman"/>
              </w:rPr>
            </w:pPr>
          </w:p>
        </w:tc>
      </w:tr>
      <w:tr w14:paraId="55831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6"/>
            <w:vAlign w:val="center"/>
          </w:tcPr>
          <w:p w14:paraId="3C88B8CB">
            <w:pPr>
              <w:spacing w:line="360" w:lineRule="atLeast"/>
              <w:rPr>
                <w:rFonts w:hint="default" w:ascii="Times New Roman" w:hAnsi="Times New Roman" w:cs="Times New Roman"/>
              </w:rPr>
            </w:pPr>
            <w:r>
              <w:rPr>
                <w:rFonts w:hint="default" w:ascii="Times New Roman" w:hAnsi="Times New Roman" w:cs="Times New Roman"/>
              </w:rPr>
              <w:t>近三年承担项目情况</w:t>
            </w:r>
          </w:p>
        </w:tc>
      </w:tr>
      <w:tr w14:paraId="72F466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C00BFD7">
            <w:pPr>
              <w:spacing w:line="360" w:lineRule="atLeast"/>
              <w:jc w:val="center"/>
              <w:rPr>
                <w:rFonts w:hint="default" w:ascii="Times New Roman" w:hAnsi="Times New Roman" w:cs="Times New Roman"/>
              </w:rPr>
            </w:pPr>
            <w:r>
              <w:rPr>
                <w:rFonts w:hint="default" w:ascii="Times New Roman" w:hAnsi="Times New Roman" w:cs="Times New Roman"/>
              </w:rPr>
              <w:t>时间</w:t>
            </w:r>
          </w:p>
        </w:tc>
        <w:tc>
          <w:tcPr>
            <w:tcW w:w="2864" w:type="dxa"/>
            <w:gridSpan w:val="2"/>
            <w:vAlign w:val="center"/>
          </w:tcPr>
          <w:p w14:paraId="7AE86FDA">
            <w:pPr>
              <w:spacing w:line="360" w:lineRule="atLeast"/>
              <w:jc w:val="center"/>
              <w:rPr>
                <w:rFonts w:hint="default" w:ascii="Times New Roman" w:hAnsi="Times New Roman" w:cs="Times New Roman"/>
              </w:rPr>
            </w:pPr>
            <w:r>
              <w:rPr>
                <w:rFonts w:hint="default" w:ascii="Times New Roman" w:hAnsi="Times New Roman" w:cs="Times New Roman"/>
              </w:rPr>
              <w:t>类似项目名称</w:t>
            </w:r>
          </w:p>
        </w:tc>
        <w:tc>
          <w:tcPr>
            <w:tcW w:w="1404" w:type="dxa"/>
            <w:vAlign w:val="center"/>
          </w:tcPr>
          <w:p w14:paraId="3A69D773">
            <w:pPr>
              <w:spacing w:line="360" w:lineRule="atLeast"/>
              <w:jc w:val="center"/>
              <w:rPr>
                <w:rFonts w:hint="default" w:ascii="Times New Roman" w:hAnsi="Times New Roman" w:cs="Times New Roman"/>
              </w:rPr>
            </w:pPr>
            <w:r>
              <w:rPr>
                <w:rFonts w:hint="default" w:ascii="Times New Roman" w:hAnsi="Times New Roman" w:cs="Times New Roman"/>
              </w:rPr>
              <w:t>担任职务</w:t>
            </w:r>
          </w:p>
        </w:tc>
        <w:tc>
          <w:tcPr>
            <w:tcW w:w="2203" w:type="dxa"/>
            <w:gridSpan w:val="2"/>
            <w:vAlign w:val="center"/>
          </w:tcPr>
          <w:p w14:paraId="0C0CD3E0">
            <w:pPr>
              <w:spacing w:line="360" w:lineRule="atLeast"/>
              <w:jc w:val="center"/>
              <w:rPr>
                <w:rFonts w:hint="default" w:ascii="Times New Roman" w:hAnsi="Times New Roman" w:cs="Times New Roman"/>
              </w:rPr>
            </w:pPr>
            <w:r>
              <w:rPr>
                <w:rFonts w:hint="default" w:ascii="Times New Roman" w:hAnsi="Times New Roman" w:cs="Times New Roman"/>
              </w:rPr>
              <w:t>项目单位名称及电话</w:t>
            </w:r>
          </w:p>
        </w:tc>
      </w:tr>
      <w:tr w14:paraId="344018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67F4FA04">
            <w:pPr>
              <w:spacing w:line="360" w:lineRule="atLeast"/>
              <w:jc w:val="center"/>
              <w:rPr>
                <w:rFonts w:hint="default" w:ascii="Times New Roman" w:hAnsi="Times New Roman" w:cs="Times New Roman"/>
              </w:rPr>
            </w:pPr>
          </w:p>
        </w:tc>
        <w:tc>
          <w:tcPr>
            <w:tcW w:w="2864" w:type="dxa"/>
            <w:gridSpan w:val="2"/>
            <w:vAlign w:val="center"/>
          </w:tcPr>
          <w:p w14:paraId="007AF5EC">
            <w:pPr>
              <w:spacing w:line="360" w:lineRule="atLeast"/>
              <w:jc w:val="center"/>
              <w:rPr>
                <w:rFonts w:hint="default" w:ascii="Times New Roman" w:hAnsi="Times New Roman" w:cs="Times New Roman"/>
              </w:rPr>
            </w:pPr>
          </w:p>
        </w:tc>
        <w:tc>
          <w:tcPr>
            <w:tcW w:w="1404" w:type="dxa"/>
            <w:vAlign w:val="center"/>
          </w:tcPr>
          <w:p w14:paraId="0E089DBF">
            <w:pPr>
              <w:spacing w:line="360" w:lineRule="atLeast"/>
              <w:jc w:val="center"/>
              <w:rPr>
                <w:rFonts w:hint="default" w:ascii="Times New Roman" w:hAnsi="Times New Roman" w:cs="Times New Roman"/>
              </w:rPr>
            </w:pPr>
          </w:p>
        </w:tc>
        <w:tc>
          <w:tcPr>
            <w:tcW w:w="2203" w:type="dxa"/>
            <w:gridSpan w:val="2"/>
            <w:vAlign w:val="center"/>
          </w:tcPr>
          <w:p w14:paraId="01780E28">
            <w:pPr>
              <w:spacing w:line="360" w:lineRule="atLeast"/>
              <w:jc w:val="center"/>
              <w:rPr>
                <w:rFonts w:hint="default" w:ascii="Times New Roman" w:hAnsi="Times New Roman" w:cs="Times New Roman"/>
              </w:rPr>
            </w:pPr>
          </w:p>
        </w:tc>
      </w:tr>
      <w:tr w14:paraId="5509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17A3A086">
            <w:pPr>
              <w:spacing w:line="360" w:lineRule="atLeast"/>
              <w:jc w:val="center"/>
              <w:rPr>
                <w:rFonts w:hint="default" w:ascii="Times New Roman" w:hAnsi="Times New Roman" w:cs="Times New Roman"/>
              </w:rPr>
            </w:pPr>
          </w:p>
        </w:tc>
        <w:tc>
          <w:tcPr>
            <w:tcW w:w="2864" w:type="dxa"/>
            <w:gridSpan w:val="2"/>
            <w:vAlign w:val="center"/>
          </w:tcPr>
          <w:p w14:paraId="4C90CFE3">
            <w:pPr>
              <w:spacing w:line="360" w:lineRule="atLeast"/>
              <w:jc w:val="center"/>
              <w:rPr>
                <w:rFonts w:hint="default" w:ascii="Times New Roman" w:hAnsi="Times New Roman" w:cs="Times New Roman"/>
              </w:rPr>
            </w:pPr>
          </w:p>
        </w:tc>
        <w:tc>
          <w:tcPr>
            <w:tcW w:w="1404" w:type="dxa"/>
            <w:vAlign w:val="center"/>
          </w:tcPr>
          <w:p w14:paraId="3E960029">
            <w:pPr>
              <w:spacing w:line="360" w:lineRule="atLeast"/>
              <w:jc w:val="center"/>
              <w:rPr>
                <w:rFonts w:hint="default" w:ascii="Times New Roman" w:hAnsi="Times New Roman" w:cs="Times New Roman"/>
              </w:rPr>
            </w:pPr>
          </w:p>
        </w:tc>
        <w:tc>
          <w:tcPr>
            <w:tcW w:w="2203" w:type="dxa"/>
            <w:gridSpan w:val="2"/>
            <w:vAlign w:val="center"/>
          </w:tcPr>
          <w:p w14:paraId="63CE6242">
            <w:pPr>
              <w:spacing w:line="360" w:lineRule="atLeast"/>
              <w:jc w:val="center"/>
              <w:rPr>
                <w:rFonts w:hint="default" w:ascii="Times New Roman" w:hAnsi="Times New Roman" w:cs="Times New Roman"/>
              </w:rPr>
            </w:pPr>
          </w:p>
        </w:tc>
      </w:tr>
      <w:tr w14:paraId="209C0D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2C341ACB">
            <w:pPr>
              <w:spacing w:line="360" w:lineRule="atLeast"/>
              <w:jc w:val="center"/>
              <w:rPr>
                <w:rFonts w:hint="default" w:ascii="Times New Roman" w:hAnsi="Times New Roman" w:cs="Times New Roman"/>
              </w:rPr>
            </w:pPr>
          </w:p>
        </w:tc>
        <w:tc>
          <w:tcPr>
            <w:tcW w:w="2864" w:type="dxa"/>
            <w:gridSpan w:val="2"/>
            <w:vAlign w:val="center"/>
          </w:tcPr>
          <w:p w14:paraId="6D90CD3E">
            <w:pPr>
              <w:spacing w:line="360" w:lineRule="atLeast"/>
              <w:jc w:val="center"/>
              <w:rPr>
                <w:rFonts w:hint="default" w:ascii="Times New Roman" w:hAnsi="Times New Roman" w:cs="Times New Roman"/>
              </w:rPr>
            </w:pPr>
          </w:p>
        </w:tc>
        <w:tc>
          <w:tcPr>
            <w:tcW w:w="1404" w:type="dxa"/>
            <w:vAlign w:val="center"/>
          </w:tcPr>
          <w:p w14:paraId="2A5E7F08">
            <w:pPr>
              <w:spacing w:line="360" w:lineRule="atLeast"/>
              <w:jc w:val="center"/>
              <w:rPr>
                <w:rFonts w:hint="default" w:ascii="Times New Roman" w:hAnsi="Times New Roman" w:cs="Times New Roman"/>
              </w:rPr>
            </w:pPr>
          </w:p>
        </w:tc>
        <w:tc>
          <w:tcPr>
            <w:tcW w:w="2203" w:type="dxa"/>
            <w:gridSpan w:val="2"/>
            <w:vAlign w:val="center"/>
          </w:tcPr>
          <w:p w14:paraId="51304411">
            <w:pPr>
              <w:spacing w:line="360" w:lineRule="atLeast"/>
              <w:jc w:val="center"/>
              <w:rPr>
                <w:rFonts w:hint="default" w:ascii="Times New Roman" w:hAnsi="Times New Roman" w:cs="Times New Roman"/>
              </w:rPr>
            </w:pPr>
          </w:p>
        </w:tc>
      </w:tr>
      <w:tr w14:paraId="61DADE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9AECE16">
            <w:pPr>
              <w:spacing w:line="360" w:lineRule="atLeast"/>
              <w:jc w:val="center"/>
              <w:rPr>
                <w:rFonts w:hint="default" w:ascii="Times New Roman" w:hAnsi="Times New Roman" w:cs="Times New Roman"/>
              </w:rPr>
            </w:pPr>
          </w:p>
        </w:tc>
        <w:tc>
          <w:tcPr>
            <w:tcW w:w="2864" w:type="dxa"/>
            <w:gridSpan w:val="2"/>
            <w:vAlign w:val="center"/>
          </w:tcPr>
          <w:p w14:paraId="7BBDD6B6">
            <w:pPr>
              <w:spacing w:line="360" w:lineRule="atLeast"/>
              <w:jc w:val="center"/>
              <w:rPr>
                <w:rFonts w:hint="default" w:ascii="Times New Roman" w:hAnsi="Times New Roman" w:cs="Times New Roman"/>
              </w:rPr>
            </w:pPr>
          </w:p>
        </w:tc>
        <w:tc>
          <w:tcPr>
            <w:tcW w:w="1404" w:type="dxa"/>
            <w:vAlign w:val="center"/>
          </w:tcPr>
          <w:p w14:paraId="5736EC7E">
            <w:pPr>
              <w:spacing w:line="360" w:lineRule="atLeast"/>
              <w:jc w:val="center"/>
              <w:rPr>
                <w:rFonts w:hint="default" w:ascii="Times New Roman" w:hAnsi="Times New Roman" w:cs="Times New Roman"/>
              </w:rPr>
            </w:pPr>
          </w:p>
        </w:tc>
        <w:tc>
          <w:tcPr>
            <w:tcW w:w="2203" w:type="dxa"/>
            <w:gridSpan w:val="2"/>
            <w:vAlign w:val="center"/>
          </w:tcPr>
          <w:p w14:paraId="24B7BCD7">
            <w:pPr>
              <w:spacing w:line="360" w:lineRule="atLeast"/>
              <w:jc w:val="center"/>
              <w:rPr>
                <w:rFonts w:hint="default" w:ascii="Times New Roman" w:hAnsi="Times New Roman" w:cs="Times New Roman"/>
              </w:rPr>
            </w:pPr>
          </w:p>
        </w:tc>
      </w:tr>
      <w:tr w14:paraId="1016B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08D8E900">
            <w:pPr>
              <w:spacing w:line="360" w:lineRule="atLeast"/>
              <w:jc w:val="center"/>
              <w:rPr>
                <w:rFonts w:hint="default" w:ascii="Times New Roman" w:hAnsi="Times New Roman" w:cs="Times New Roman"/>
              </w:rPr>
            </w:pPr>
          </w:p>
        </w:tc>
        <w:tc>
          <w:tcPr>
            <w:tcW w:w="2864" w:type="dxa"/>
            <w:gridSpan w:val="2"/>
            <w:vAlign w:val="center"/>
          </w:tcPr>
          <w:p w14:paraId="6965DEE3">
            <w:pPr>
              <w:spacing w:line="360" w:lineRule="atLeast"/>
              <w:jc w:val="center"/>
              <w:rPr>
                <w:rFonts w:hint="default" w:ascii="Times New Roman" w:hAnsi="Times New Roman" w:cs="Times New Roman"/>
              </w:rPr>
            </w:pPr>
          </w:p>
        </w:tc>
        <w:tc>
          <w:tcPr>
            <w:tcW w:w="1404" w:type="dxa"/>
            <w:vAlign w:val="center"/>
          </w:tcPr>
          <w:p w14:paraId="2490CC34">
            <w:pPr>
              <w:spacing w:line="360" w:lineRule="atLeast"/>
              <w:jc w:val="center"/>
              <w:rPr>
                <w:rFonts w:hint="default" w:ascii="Times New Roman" w:hAnsi="Times New Roman" w:cs="Times New Roman"/>
              </w:rPr>
            </w:pPr>
          </w:p>
        </w:tc>
        <w:tc>
          <w:tcPr>
            <w:tcW w:w="2203" w:type="dxa"/>
            <w:gridSpan w:val="2"/>
            <w:vAlign w:val="center"/>
          </w:tcPr>
          <w:p w14:paraId="3AAFAE88">
            <w:pPr>
              <w:spacing w:line="360" w:lineRule="atLeast"/>
              <w:jc w:val="center"/>
              <w:rPr>
                <w:rFonts w:hint="default" w:ascii="Times New Roman" w:hAnsi="Times New Roman" w:cs="Times New Roman"/>
              </w:rPr>
            </w:pPr>
          </w:p>
        </w:tc>
      </w:tr>
      <w:tr w14:paraId="12606B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35365B5">
            <w:pPr>
              <w:spacing w:line="360" w:lineRule="atLeast"/>
              <w:jc w:val="center"/>
              <w:rPr>
                <w:rFonts w:hint="default" w:ascii="Times New Roman" w:hAnsi="Times New Roman" w:cs="Times New Roman"/>
              </w:rPr>
            </w:pPr>
          </w:p>
        </w:tc>
        <w:tc>
          <w:tcPr>
            <w:tcW w:w="2864" w:type="dxa"/>
            <w:gridSpan w:val="2"/>
            <w:vAlign w:val="center"/>
          </w:tcPr>
          <w:p w14:paraId="352AA30D">
            <w:pPr>
              <w:spacing w:line="360" w:lineRule="atLeast"/>
              <w:jc w:val="center"/>
              <w:rPr>
                <w:rFonts w:hint="default" w:ascii="Times New Roman" w:hAnsi="Times New Roman" w:cs="Times New Roman"/>
              </w:rPr>
            </w:pPr>
          </w:p>
        </w:tc>
        <w:tc>
          <w:tcPr>
            <w:tcW w:w="1404" w:type="dxa"/>
            <w:vAlign w:val="center"/>
          </w:tcPr>
          <w:p w14:paraId="13150553">
            <w:pPr>
              <w:spacing w:line="360" w:lineRule="atLeast"/>
              <w:jc w:val="center"/>
              <w:rPr>
                <w:rFonts w:hint="default" w:ascii="Times New Roman" w:hAnsi="Times New Roman" w:cs="Times New Roman"/>
              </w:rPr>
            </w:pPr>
          </w:p>
        </w:tc>
        <w:tc>
          <w:tcPr>
            <w:tcW w:w="2203" w:type="dxa"/>
            <w:gridSpan w:val="2"/>
            <w:vAlign w:val="center"/>
          </w:tcPr>
          <w:p w14:paraId="223F2FAA">
            <w:pPr>
              <w:spacing w:line="360" w:lineRule="atLeast"/>
              <w:jc w:val="center"/>
              <w:rPr>
                <w:rFonts w:hint="default" w:ascii="Times New Roman" w:hAnsi="Times New Roman" w:cs="Times New Roman"/>
              </w:rPr>
            </w:pPr>
          </w:p>
        </w:tc>
      </w:tr>
      <w:tr w14:paraId="6826E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A429DC6">
            <w:pPr>
              <w:spacing w:line="360" w:lineRule="atLeast"/>
              <w:jc w:val="center"/>
              <w:rPr>
                <w:rFonts w:hint="default" w:ascii="Times New Roman" w:hAnsi="Times New Roman" w:cs="Times New Roman"/>
              </w:rPr>
            </w:pPr>
          </w:p>
        </w:tc>
        <w:tc>
          <w:tcPr>
            <w:tcW w:w="2864" w:type="dxa"/>
            <w:gridSpan w:val="2"/>
            <w:vAlign w:val="center"/>
          </w:tcPr>
          <w:p w14:paraId="2EC7B80A">
            <w:pPr>
              <w:spacing w:line="360" w:lineRule="atLeast"/>
              <w:jc w:val="center"/>
              <w:rPr>
                <w:rFonts w:hint="default" w:ascii="Times New Roman" w:hAnsi="Times New Roman" w:cs="Times New Roman"/>
              </w:rPr>
            </w:pPr>
          </w:p>
        </w:tc>
        <w:tc>
          <w:tcPr>
            <w:tcW w:w="1404" w:type="dxa"/>
            <w:vAlign w:val="center"/>
          </w:tcPr>
          <w:p w14:paraId="4238F983">
            <w:pPr>
              <w:spacing w:line="360" w:lineRule="atLeast"/>
              <w:jc w:val="center"/>
              <w:rPr>
                <w:rFonts w:hint="default" w:ascii="Times New Roman" w:hAnsi="Times New Roman" w:cs="Times New Roman"/>
              </w:rPr>
            </w:pPr>
          </w:p>
        </w:tc>
        <w:tc>
          <w:tcPr>
            <w:tcW w:w="2203" w:type="dxa"/>
            <w:gridSpan w:val="2"/>
            <w:vAlign w:val="center"/>
          </w:tcPr>
          <w:p w14:paraId="655F0C83">
            <w:pPr>
              <w:spacing w:line="360" w:lineRule="atLeast"/>
              <w:jc w:val="center"/>
              <w:rPr>
                <w:rFonts w:hint="default" w:ascii="Times New Roman" w:hAnsi="Times New Roman" w:cs="Times New Roman"/>
              </w:rPr>
            </w:pPr>
          </w:p>
        </w:tc>
      </w:tr>
      <w:tr w14:paraId="4C9D8A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B7CD222">
            <w:pPr>
              <w:spacing w:line="360" w:lineRule="atLeast"/>
              <w:jc w:val="center"/>
              <w:rPr>
                <w:rFonts w:hint="default" w:ascii="Times New Roman" w:hAnsi="Times New Roman" w:cs="Times New Roman"/>
              </w:rPr>
            </w:pPr>
          </w:p>
        </w:tc>
        <w:tc>
          <w:tcPr>
            <w:tcW w:w="2864" w:type="dxa"/>
            <w:gridSpan w:val="2"/>
            <w:vAlign w:val="center"/>
          </w:tcPr>
          <w:p w14:paraId="55F0C935">
            <w:pPr>
              <w:spacing w:line="360" w:lineRule="atLeast"/>
              <w:jc w:val="center"/>
              <w:rPr>
                <w:rFonts w:hint="default" w:ascii="Times New Roman" w:hAnsi="Times New Roman" w:cs="Times New Roman"/>
              </w:rPr>
            </w:pPr>
          </w:p>
        </w:tc>
        <w:tc>
          <w:tcPr>
            <w:tcW w:w="1404" w:type="dxa"/>
            <w:vAlign w:val="center"/>
          </w:tcPr>
          <w:p w14:paraId="5E3D12A7">
            <w:pPr>
              <w:spacing w:line="360" w:lineRule="atLeast"/>
              <w:jc w:val="center"/>
              <w:rPr>
                <w:rFonts w:hint="default" w:ascii="Times New Roman" w:hAnsi="Times New Roman" w:cs="Times New Roman"/>
              </w:rPr>
            </w:pPr>
          </w:p>
        </w:tc>
        <w:tc>
          <w:tcPr>
            <w:tcW w:w="2203" w:type="dxa"/>
            <w:gridSpan w:val="2"/>
            <w:vAlign w:val="center"/>
          </w:tcPr>
          <w:p w14:paraId="722DF9A9">
            <w:pPr>
              <w:spacing w:line="360" w:lineRule="atLeast"/>
              <w:jc w:val="center"/>
              <w:rPr>
                <w:rFonts w:hint="default" w:ascii="Times New Roman" w:hAnsi="Times New Roman" w:cs="Times New Roman"/>
              </w:rPr>
            </w:pPr>
          </w:p>
        </w:tc>
      </w:tr>
      <w:tr w14:paraId="264BFA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7EBA4611">
            <w:pPr>
              <w:spacing w:line="360" w:lineRule="atLeast"/>
              <w:jc w:val="center"/>
              <w:rPr>
                <w:rFonts w:hint="default" w:ascii="Times New Roman" w:hAnsi="Times New Roman" w:cs="Times New Roman"/>
              </w:rPr>
            </w:pPr>
          </w:p>
        </w:tc>
        <w:tc>
          <w:tcPr>
            <w:tcW w:w="2864" w:type="dxa"/>
            <w:gridSpan w:val="2"/>
            <w:vAlign w:val="center"/>
          </w:tcPr>
          <w:p w14:paraId="5E78AF70">
            <w:pPr>
              <w:spacing w:line="360" w:lineRule="atLeast"/>
              <w:jc w:val="center"/>
              <w:rPr>
                <w:rFonts w:hint="default" w:ascii="Times New Roman" w:hAnsi="Times New Roman" w:cs="Times New Roman"/>
              </w:rPr>
            </w:pPr>
          </w:p>
        </w:tc>
        <w:tc>
          <w:tcPr>
            <w:tcW w:w="1404" w:type="dxa"/>
            <w:vAlign w:val="center"/>
          </w:tcPr>
          <w:p w14:paraId="077AF605">
            <w:pPr>
              <w:spacing w:line="360" w:lineRule="atLeast"/>
              <w:jc w:val="center"/>
              <w:rPr>
                <w:rFonts w:hint="default" w:ascii="Times New Roman" w:hAnsi="Times New Roman" w:cs="Times New Roman"/>
              </w:rPr>
            </w:pPr>
          </w:p>
        </w:tc>
        <w:tc>
          <w:tcPr>
            <w:tcW w:w="2203" w:type="dxa"/>
            <w:gridSpan w:val="2"/>
            <w:vAlign w:val="center"/>
          </w:tcPr>
          <w:p w14:paraId="5C28E7E0">
            <w:pPr>
              <w:spacing w:line="360" w:lineRule="atLeast"/>
              <w:jc w:val="center"/>
              <w:rPr>
                <w:rFonts w:hint="default" w:ascii="Times New Roman" w:hAnsi="Times New Roman" w:cs="Times New Roman"/>
              </w:rPr>
            </w:pPr>
          </w:p>
        </w:tc>
      </w:tr>
    </w:tbl>
    <w:p w14:paraId="68619F23">
      <w:pPr>
        <w:rPr>
          <w:rFonts w:hint="default" w:ascii="Times New Roman" w:hAnsi="Times New Roman" w:cs="Times New Roman"/>
          <w:szCs w:val="21"/>
        </w:rPr>
      </w:pPr>
    </w:p>
    <w:p w14:paraId="7965EAF0">
      <w:pPr>
        <w:rPr>
          <w:rFonts w:hint="default" w:ascii="Times New Roman" w:hAnsi="Times New Roman" w:cs="Times New Roman"/>
          <w:szCs w:val="21"/>
        </w:rPr>
      </w:pPr>
    </w:p>
    <w:p w14:paraId="2DFBA571">
      <w:pPr>
        <w:pStyle w:val="27"/>
        <w:adjustRightInd w:val="0"/>
        <w:snapToGrid w:val="0"/>
        <w:spacing w:line="360" w:lineRule="auto"/>
        <w:outlineLvl w:val="0"/>
        <w:rPr>
          <w:rFonts w:hint="default" w:ascii="Times New Roman" w:hAnsi="Times New Roman" w:cs="Times New Roman"/>
          <w:bCs/>
          <w:sz w:val="21"/>
          <w:szCs w:val="21"/>
        </w:rPr>
      </w:pPr>
      <w:bookmarkStart w:id="55" w:name="_Toc15007"/>
      <w:r>
        <w:rPr>
          <w:rFonts w:hint="default" w:ascii="Times New Roman" w:hAnsi="Times New Roman" w:cs="Times New Roman"/>
          <w:sz w:val="21"/>
          <w:szCs w:val="21"/>
        </w:rPr>
        <w:t>供应商名称：</w:t>
      </w:r>
      <w:bookmarkEnd w:id="55"/>
    </w:p>
    <w:p w14:paraId="07C3A600">
      <w:pPr>
        <w:adjustRightInd w:val="0"/>
        <w:snapToGrid w:val="0"/>
        <w:spacing w:line="360" w:lineRule="auto"/>
        <w:outlineLvl w:val="0"/>
        <w:rPr>
          <w:rFonts w:hint="default" w:ascii="Times New Roman" w:hAnsi="Times New Roman" w:eastAsia="宋体" w:cs="Times New Roman"/>
          <w:szCs w:val="21"/>
          <w:lang w:val="en-US" w:eastAsia="zh-CN"/>
        </w:rPr>
      </w:pPr>
      <w:bookmarkStart w:id="56" w:name="_Toc18384"/>
      <w:r>
        <w:rPr>
          <w:rFonts w:hint="default" w:ascii="Times New Roman" w:hAnsi="Times New Roman" w:cs="Times New Roman"/>
          <w:szCs w:val="21"/>
        </w:rPr>
        <w:t>法定代表人或其委托代理人(签字)：</w:t>
      </w:r>
      <w:r>
        <w:rPr>
          <w:rFonts w:hint="eastAsia" w:cs="Times New Roman"/>
          <w:szCs w:val="21"/>
          <w:u w:val="single"/>
          <w:lang w:val="en-US" w:eastAsia="zh-CN"/>
        </w:rPr>
        <w:t xml:space="preserve">      </w:t>
      </w:r>
      <w:bookmarkEnd w:id="56"/>
      <w:r>
        <w:rPr>
          <w:rFonts w:hint="eastAsia" w:cs="Times New Roman"/>
          <w:szCs w:val="21"/>
          <w:u w:val="single"/>
          <w:lang w:val="en-US" w:eastAsia="zh-CN"/>
        </w:rPr>
        <w:t xml:space="preserve">        </w:t>
      </w:r>
    </w:p>
    <w:p w14:paraId="1AA006A4">
      <w:pPr>
        <w:spacing w:line="360" w:lineRule="exact"/>
        <w:rPr>
          <w:rFonts w:hint="default" w:ascii="Times New Roman" w:hAnsi="Times New Roman" w:cs="Times New Roman"/>
        </w:rPr>
      </w:pPr>
      <w:r>
        <w:rPr>
          <w:rFonts w:hint="default" w:ascii="Times New Roman" w:hAnsi="Times New Roman" w:cs="Times New Roman"/>
          <w:szCs w:val="21"/>
        </w:rPr>
        <w:t>日期：</w:t>
      </w:r>
      <w:r>
        <w:rPr>
          <w:rFonts w:hint="default" w:ascii="Times New Roman" w:hAnsi="Times New Roman" w:cs="Times New Roman"/>
          <w:szCs w:val="21"/>
          <w:u w:val="single"/>
        </w:rPr>
        <w:t xml:space="preserve">   </w:t>
      </w:r>
      <w:r>
        <w:rPr>
          <w:rFonts w:hint="default" w:ascii="Times New Roman" w:hAnsi="Times New Roman" w:cs="Times New Roman"/>
          <w:szCs w:val="21"/>
        </w:rPr>
        <w:t>年</w:t>
      </w:r>
      <w:r>
        <w:rPr>
          <w:rFonts w:hint="default" w:ascii="Times New Roman" w:hAnsi="Times New Roman" w:cs="Times New Roman"/>
          <w:szCs w:val="21"/>
          <w:u w:val="single"/>
        </w:rPr>
        <w:t xml:space="preserve">   </w:t>
      </w:r>
      <w:r>
        <w:rPr>
          <w:rFonts w:hint="default" w:ascii="Times New Roman" w:hAnsi="Times New Roman" w:cs="Times New Roman"/>
          <w:szCs w:val="21"/>
        </w:rPr>
        <w:t>月</w:t>
      </w:r>
      <w:r>
        <w:rPr>
          <w:rFonts w:hint="default" w:ascii="Times New Roman" w:hAnsi="Times New Roman" w:cs="Times New Roman"/>
          <w:szCs w:val="21"/>
          <w:u w:val="single"/>
        </w:rPr>
        <w:t xml:space="preserve">   </w:t>
      </w:r>
      <w:r>
        <w:rPr>
          <w:rFonts w:hint="default" w:ascii="Times New Roman" w:hAnsi="Times New Roman" w:cs="Times New Roman"/>
          <w:szCs w:val="21"/>
        </w:rPr>
        <w:t>日</w:t>
      </w:r>
    </w:p>
    <w:p w14:paraId="1AD8E4E8">
      <w:pPr>
        <w:pStyle w:val="62"/>
        <w:rPr>
          <w:rFonts w:hint="eastAsia" w:ascii="宋体" w:hAnsi="宋体" w:cs="宋体"/>
          <w:color w:val="auto"/>
          <w:kern w:val="0"/>
          <w:szCs w:val="21"/>
        </w:rPr>
      </w:pPr>
    </w:p>
    <w:p w14:paraId="3E80A114">
      <w:pPr>
        <w:pStyle w:val="62"/>
        <w:rPr>
          <w:rFonts w:hint="eastAsia" w:ascii="宋体" w:hAnsi="宋体" w:cs="宋体"/>
          <w:color w:val="auto"/>
          <w:kern w:val="0"/>
          <w:szCs w:val="21"/>
        </w:rPr>
      </w:pPr>
    </w:p>
    <w:p w14:paraId="23B49379">
      <w:pPr>
        <w:pStyle w:val="62"/>
        <w:rPr>
          <w:rFonts w:hint="eastAsia" w:ascii="宋体" w:hAnsi="宋体" w:cs="宋体"/>
          <w:color w:val="auto"/>
          <w:kern w:val="0"/>
          <w:szCs w:val="21"/>
        </w:rPr>
      </w:pPr>
    </w:p>
    <w:p w14:paraId="3CA8B920">
      <w:pPr>
        <w:pStyle w:val="62"/>
        <w:rPr>
          <w:rFonts w:hint="eastAsia" w:ascii="宋体" w:hAnsi="宋体" w:cs="宋体"/>
          <w:color w:val="auto"/>
          <w:kern w:val="0"/>
          <w:szCs w:val="21"/>
        </w:rPr>
      </w:pPr>
    </w:p>
    <w:p w14:paraId="3E60BDE0">
      <w:pPr>
        <w:pStyle w:val="62"/>
        <w:rPr>
          <w:rFonts w:hint="eastAsia" w:ascii="宋体" w:hAnsi="宋体" w:cs="宋体"/>
          <w:color w:val="auto"/>
          <w:kern w:val="0"/>
          <w:szCs w:val="21"/>
        </w:rPr>
      </w:pPr>
    </w:p>
    <w:p w14:paraId="557057F3">
      <w:pPr>
        <w:pStyle w:val="62"/>
        <w:rPr>
          <w:rFonts w:hint="eastAsia" w:ascii="宋体" w:hAnsi="宋体" w:cs="宋体"/>
          <w:color w:val="auto"/>
          <w:kern w:val="0"/>
          <w:szCs w:val="21"/>
        </w:rPr>
      </w:pPr>
    </w:p>
    <w:p w14:paraId="4A9ABF22">
      <w:pPr>
        <w:pStyle w:val="62"/>
        <w:rPr>
          <w:rFonts w:hint="eastAsia" w:ascii="宋体" w:hAnsi="宋体" w:cs="宋体"/>
          <w:color w:val="auto"/>
          <w:kern w:val="0"/>
          <w:szCs w:val="21"/>
        </w:rPr>
      </w:pPr>
    </w:p>
    <w:p w14:paraId="35BD9545">
      <w:pPr>
        <w:pStyle w:val="62"/>
        <w:rPr>
          <w:rFonts w:hint="eastAsia" w:ascii="宋体" w:hAnsi="宋体" w:cs="宋体"/>
          <w:color w:val="auto"/>
          <w:kern w:val="0"/>
          <w:szCs w:val="21"/>
        </w:rPr>
      </w:pPr>
    </w:p>
    <w:p w14:paraId="16815888">
      <w:pPr>
        <w:spacing w:line="360" w:lineRule="auto"/>
        <w:jc w:val="center"/>
        <w:outlineLvl w:val="1"/>
        <w:rPr>
          <w:rFonts w:hint="eastAsia" w:ascii="宋体" w:hAnsi="宋体" w:cs="宋体"/>
          <w:b/>
          <w:color w:val="auto"/>
          <w:sz w:val="32"/>
          <w:szCs w:val="32"/>
        </w:rPr>
      </w:pPr>
      <w:bookmarkStart w:id="57" w:name="_Toc11879757"/>
      <w:r>
        <w:rPr>
          <w:rFonts w:hint="eastAsia" w:ascii="宋体" w:hAnsi="宋体" w:cs="宋体"/>
          <w:b/>
          <w:color w:val="auto"/>
          <w:sz w:val="32"/>
          <w:szCs w:val="32"/>
        </w:rPr>
        <w:t>五、技术/商务响应与偏离表</w:t>
      </w:r>
      <w:bookmarkEnd w:id="57"/>
    </w:p>
    <w:p w14:paraId="5926C736">
      <w:pPr>
        <w:adjustRightInd w:val="0"/>
        <w:snapToGrid w:val="0"/>
        <w:spacing w:line="360" w:lineRule="auto"/>
        <w:ind w:left="-88" w:leftChars="-42" w:firstLine="315" w:firstLineChars="150"/>
        <w:rPr>
          <w:rFonts w:hint="eastAsia" w:ascii="宋体" w:hAnsi="宋体"/>
          <w:color w:val="auto"/>
          <w:szCs w:val="21"/>
          <w:u w:val="single"/>
        </w:rPr>
      </w:pPr>
    </w:p>
    <w:tbl>
      <w:tblPr>
        <w:tblStyle w:val="4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0E2BD6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003E549D">
            <w:pPr>
              <w:adjustRightInd w:val="0"/>
              <w:snapToGrid w:val="0"/>
              <w:spacing w:line="360" w:lineRule="auto"/>
              <w:ind w:left="-88" w:leftChars="-42"/>
              <w:jc w:val="center"/>
              <w:rPr>
                <w:rFonts w:hint="eastAsia" w:ascii="宋体" w:hAnsi="宋体"/>
                <w:bCs/>
                <w:color w:val="auto"/>
                <w:szCs w:val="21"/>
              </w:rPr>
            </w:pPr>
            <w:r>
              <w:rPr>
                <w:rFonts w:hint="eastAsia" w:ascii="宋体" w:hAnsi="宋体"/>
                <w:bCs/>
                <w:color w:val="auto"/>
                <w:szCs w:val="21"/>
              </w:rPr>
              <w:t>序号</w:t>
            </w:r>
          </w:p>
        </w:tc>
        <w:tc>
          <w:tcPr>
            <w:tcW w:w="1685" w:type="dxa"/>
            <w:noWrap w:val="0"/>
            <w:vAlign w:val="center"/>
          </w:tcPr>
          <w:p w14:paraId="75E6C146">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磋商文件条目号</w:t>
            </w:r>
          </w:p>
        </w:tc>
        <w:tc>
          <w:tcPr>
            <w:tcW w:w="1948" w:type="dxa"/>
            <w:noWrap w:val="0"/>
            <w:vAlign w:val="center"/>
          </w:tcPr>
          <w:p w14:paraId="13D2E62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采购规格/商务条款</w:t>
            </w:r>
          </w:p>
        </w:tc>
        <w:tc>
          <w:tcPr>
            <w:tcW w:w="2600" w:type="dxa"/>
            <w:noWrap w:val="0"/>
            <w:vAlign w:val="center"/>
          </w:tcPr>
          <w:p w14:paraId="05873ED2">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响应文件的规格/商务条款</w:t>
            </w:r>
          </w:p>
        </w:tc>
        <w:tc>
          <w:tcPr>
            <w:tcW w:w="1517" w:type="dxa"/>
            <w:noWrap w:val="0"/>
            <w:vAlign w:val="center"/>
          </w:tcPr>
          <w:p w14:paraId="6DDD0E38">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响应与偏离</w:t>
            </w:r>
          </w:p>
        </w:tc>
        <w:tc>
          <w:tcPr>
            <w:tcW w:w="1119" w:type="dxa"/>
            <w:noWrap w:val="0"/>
            <w:vAlign w:val="center"/>
          </w:tcPr>
          <w:p w14:paraId="54277B5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说明</w:t>
            </w:r>
          </w:p>
        </w:tc>
      </w:tr>
      <w:tr w14:paraId="05602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EE1448B">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A1EF44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593C987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5454C19A">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EB77894">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266165AC">
            <w:pPr>
              <w:adjustRightInd w:val="0"/>
              <w:snapToGrid w:val="0"/>
              <w:spacing w:line="360" w:lineRule="auto"/>
              <w:ind w:left="-88" w:leftChars="-42"/>
              <w:jc w:val="center"/>
              <w:rPr>
                <w:rFonts w:hint="eastAsia" w:ascii="宋体" w:hAnsi="宋体"/>
                <w:color w:val="auto"/>
                <w:szCs w:val="21"/>
              </w:rPr>
            </w:pPr>
          </w:p>
        </w:tc>
      </w:tr>
      <w:tr w14:paraId="6B4306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4A94745">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5B4527AF">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683A4A6">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49A9BD3">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4C74D5EB">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0E9C99B6">
            <w:pPr>
              <w:adjustRightInd w:val="0"/>
              <w:snapToGrid w:val="0"/>
              <w:spacing w:line="360" w:lineRule="auto"/>
              <w:ind w:left="-88" w:leftChars="-42"/>
              <w:jc w:val="center"/>
              <w:rPr>
                <w:rFonts w:hint="eastAsia" w:ascii="宋体" w:hAnsi="宋体"/>
                <w:color w:val="auto"/>
                <w:szCs w:val="21"/>
              </w:rPr>
            </w:pPr>
          </w:p>
        </w:tc>
      </w:tr>
      <w:tr w14:paraId="33A0F8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616AE5A">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A0E88E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6C48314">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50A2363F">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47B3A6DC">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569C5C36">
            <w:pPr>
              <w:adjustRightInd w:val="0"/>
              <w:snapToGrid w:val="0"/>
              <w:spacing w:line="360" w:lineRule="auto"/>
              <w:ind w:left="-88" w:leftChars="-42"/>
              <w:jc w:val="center"/>
              <w:rPr>
                <w:rFonts w:hint="eastAsia" w:ascii="宋体" w:hAnsi="宋体"/>
                <w:color w:val="auto"/>
                <w:szCs w:val="21"/>
              </w:rPr>
            </w:pPr>
          </w:p>
        </w:tc>
      </w:tr>
      <w:tr w14:paraId="39FDA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D3AB0DF">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6E3607B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470219EE">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D2C4C25">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E06E636">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7644A44F">
            <w:pPr>
              <w:adjustRightInd w:val="0"/>
              <w:snapToGrid w:val="0"/>
              <w:spacing w:line="360" w:lineRule="auto"/>
              <w:ind w:left="-88" w:leftChars="-42"/>
              <w:jc w:val="center"/>
              <w:rPr>
                <w:rFonts w:hint="eastAsia" w:ascii="宋体" w:hAnsi="宋体"/>
                <w:color w:val="auto"/>
                <w:szCs w:val="21"/>
              </w:rPr>
            </w:pPr>
          </w:p>
        </w:tc>
      </w:tr>
      <w:tr w14:paraId="332CD0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8F3F62D">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4DD8970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6A5BC57C">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786F07EB">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534909FE">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61CBDD8B">
            <w:pPr>
              <w:adjustRightInd w:val="0"/>
              <w:snapToGrid w:val="0"/>
              <w:spacing w:line="360" w:lineRule="auto"/>
              <w:ind w:left="-88" w:leftChars="-42"/>
              <w:jc w:val="center"/>
              <w:rPr>
                <w:rFonts w:hint="eastAsia" w:ascii="宋体" w:hAnsi="宋体"/>
                <w:color w:val="auto"/>
                <w:szCs w:val="21"/>
              </w:rPr>
            </w:pPr>
          </w:p>
        </w:tc>
      </w:tr>
      <w:tr w14:paraId="2DDFB8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9C98E1C">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3DB2B8DD">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1D853AF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69D1D788">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79DF739D">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45D1A239">
            <w:pPr>
              <w:adjustRightInd w:val="0"/>
              <w:snapToGrid w:val="0"/>
              <w:spacing w:line="360" w:lineRule="auto"/>
              <w:ind w:left="-88" w:leftChars="-42"/>
              <w:jc w:val="center"/>
              <w:rPr>
                <w:rFonts w:hint="eastAsia" w:ascii="宋体" w:hAnsi="宋体"/>
                <w:color w:val="auto"/>
                <w:szCs w:val="21"/>
              </w:rPr>
            </w:pPr>
          </w:p>
        </w:tc>
      </w:tr>
      <w:tr w14:paraId="7B0E2A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B5D2B2C">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016620F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4A3C233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6A079C0">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3E25AA98">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1E8A88DD">
            <w:pPr>
              <w:adjustRightInd w:val="0"/>
              <w:snapToGrid w:val="0"/>
              <w:spacing w:line="360" w:lineRule="auto"/>
              <w:ind w:left="-88" w:leftChars="-42"/>
              <w:jc w:val="center"/>
              <w:rPr>
                <w:rFonts w:hint="eastAsia" w:ascii="宋体" w:hAnsi="宋体"/>
                <w:color w:val="auto"/>
                <w:szCs w:val="21"/>
              </w:rPr>
            </w:pPr>
          </w:p>
        </w:tc>
      </w:tr>
      <w:tr w14:paraId="2E5A19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03FFF34">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6680433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618A8B7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3067A9FF">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3ACA35C7">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1988402A">
            <w:pPr>
              <w:adjustRightInd w:val="0"/>
              <w:snapToGrid w:val="0"/>
              <w:spacing w:line="360" w:lineRule="auto"/>
              <w:ind w:left="-88" w:leftChars="-42"/>
              <w:jc w:val="center"/>
              <w:rPr>
                <w:rFonts w:hint="eastAsia" w:ascii="宋体" w:hAnsi="宋体"/>
                <w:color w:val="auto"/>
                <w:szCs w:val="21"/>
              </w:rPr>
            </w:pPr>
          </w:p>
        </w:tc>
      </w:tr>
      <w:tr w14:paraId="5AC0B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C6AF4C9">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BFB661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0E42E790">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1F5DC2BD">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61B8858E">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37E10D74">
            <w:pPr>
              <w:adjustRightInd w:val="0"/>
              <w:snapToGrid w:val="0"/>
              <w:spacing w:line="360" w:lineRule="auto"/>
              <w:ind w:left="-88" w:leftChars="-42"/>
              <w:jc w:val="center"/>
              <w:rPr>
                <w:rFonts w:hint="eastAsia" w:ascii="宋体" w:hAnsi="宋体"/>
                <w:color w:val="auto"/>
                <w:szCs w:val="21"/>
              </w:rPr>
            </w:pPr>
          </w:p>
        </w:tc>
      </w:tr>
    </w:tbl>
    <w:p w14:paraId="0B5A677D">
      <w:pPr>
        <w:adjustRightInd w:val="0"/>
        <w:snapToGrid w:val="0"/>
        <w:spacing w:line="360" w:lineRule="auto"/>
        <w:ind w:left="-88" w:leftChars="-42"/>
        <w:rPr>
          <w:rFonts w:hint="eastAsia" w:ascii="宋体" w:hAnsi="宋体"/>
          <w:color w:val="auto"/>
          <w:szCs w:val="21"/>
        </w:rPr>
      </w:pPr>
      <w:r>
        <w:rPr>
          <w:rFonts w:hint="eastAsia" w:ascii="宋体" w:hAnsi="宋体"/>
          <w:color w:val="auto"/>
          <w:szCs w:val="21"/>
        </w:rPr>
        <w:t>说明：1、“响应与偏离”应注明“响应”或“偏离”。</w:t>
      </w:r>
    </w:p>
    <w:p w14:paraId="4EA4F06A">
      <w:pPr>
        <w:adjustRightInd w:val="0"/>
        <w:snapToGrid w:val="0"/>
        <w:spacing w:line="360" w:lineRule="auto"/>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2、属磋商文件规定可能变动的内容在“说明”栏中注明。</w:t>
      </w:r>
    </w:p>
    <w:p w14:paraId="7418CF43">
      <w:pPr>
        <w:pStyle w:val="27"/>
        <w:adjustRightInd w:val="0"/>
        <w:snapToGrid w:val="0"/>
        <w:spacing w:line="360" w:lineRule="auto"/>
        <w:outlineLvl w:val="0"/>
        <w:rPr>
          <w:rFonts w:hint="eastAsia" w:ascii="宋体" w:hAnsi="宋体"/>
          <w:color w:val="auto"/>
          <w:sz w:val="21"/>
          <w:szCs w:val="21"/>
        </w:rPr>
      </w:pPr>
    </w:p>
    <w:p w14:paraId="52F23B3F">
      <w:pPr>
        <w:pStyle w:val="24"/>
        <w:adjustRightInd w:val="0"/>
        <w:snapToGrid w:val="0"/>
        <w:spacing w:line="360" w:lineRule="auto"/>
        <w:rPr>
          <w:rFonts w:hint="eastAsia" w:hAnsi="宋体" w:cs="宋体"/>
          <w:color w:val="auto"/>
        </w:rPr>
      </w:pPr>
      <w:r>
        <w:rPr>
          <w:rFonts w:hint="eastAsia" w:hAnsi="宋体" w:cs="宋体"/>
          <w:color w:val="auto"/>
        </w:rPr>
        <w:t>供应商名称(盖单位章)：</w:t>
      </w:r>
    </w:p>
    <w:p w14:paraId="555EAF5E">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7C78D5F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706731EF">
      <w:pPr>
        <w:adjustRightInd w:val="0"/>
        <w:snapToGrid w:val="0"/>
        <w:spacing w:line="360" w:lineRule="auto"/>
        <w:rPr>
          <w:rFonts w:hint="eastAsia" w:ascii="宋体" w:hAnsi="宋体"/>
          <w:color w:val="auto"/>
          <w:szCs w:val="21"/>
        </w:rPr>
      </w:pPr>
    </w:p>
    <w:p w14:paraId="3C44B1CC">
      <w:pPr>
        <w:spacing w:line="360" w:lineRule="auto"/>
        <w:jc w:val="center"/>
        <w:outlineLvl w:val="1"/>
        <w:rPr>
          <w:rFonts w:hint="eastAsia" w:ascii="宋体" w:hAnsi="宋体"/>
          <w:b/>
          <w:color w:val="auto"/>
          <w:sz w:val="32"/>
          <w:szCs w:val="32"/>
        </w:rPr>
      </w:pPr>
      <w:r>
        <w:rPr>
          <w:rFonts w:ascii="宋体" w:hAnsi="宋体"/>
          <w:color w:val="auto"/>
        </w:rPr>
        <w:br w:type="page"/>
      </w:r>
      <w:bookmarkStart w:id="58" w:name="_Toc11879758"/>
      <w:r>
        <w:rPr>
          <w:rFonts w:hint="eastAsia" w:ascii="宋体" w:hAnsi="宋体" w:cs="宋体"/>
          <w:b/>
          <w:color w:val="auto"/>
          <w:sz w:val="32"/>
          <w:szCs w:val="32"/>
        </w:rPr>
        <w:t>六、提供政府采购政策产品等证明材料</w:t>
      </w:r>
      <w:bookmarkEnd w:id="58"/>
    </w:p>
    <w:p w14:paraId="288126D3">
      <w:pPr>
        <w:widowControl/>
        <w:adjustRightInd w:val="0"/>
        <w:snapToGrid w:val="0"/>
        <w:spacing w:line="360" w:lineRule="auto"/>
        <w:jc w:val="center"/>
        <w:rPr>
          <w:rFonts w:hint="eastAsia" w:ascii="宋体" w:hAnsi="宋体"/>
          <w:color w:val="auto"/>
          <w:sz w:val="32"/>
          <w:szCs w:val="32"/>
        </w:rPr>
      </w:pPr>
    </w:p>
    <w:p w14:paraId="4225D5C8">
      <w:pPr>
        <w:pStyle w:val="3"/>
        <w:jc w:val="center"/>
        <w:rPr>
          <w:rFonts w:hint="eastAsia" w:ascii="华文中宋" w:hAnsi="华文中宋" w:eastAsia="华文中宋" w:cs="华文中宋"/>
          <w:b/>
          <w:bCs w:val="0"/>
          <w:color w:val="auto"/>
          <w:kern w:val="2"/>
          <w:sz w:val="32"/>
          <w:szCs w:val="32"/>
          <w:lang w:val="en-US" w:eastAsia="zh-CN" w:bidi="ar-SA"/>
        </w:rPr>
      </w:pPr>
      <w:r>
        <w:rPr>
          <w:rFonts w:hint="eastAsia" w:ascii="宋体" w:hAnsi="宋体"/>
          <w:color w:val="auto"/>
          <w:sz w:val="32"/>
          <w:szCs w:val="32"/>
        </w:rPr>
        <w:t>附件</w:t>
      </w:r>
      <w:r>
        <w:rPr>
          <w:rFonts w:hint="eastAsia" w:ascii="宋体" w:hAnsi="宋体"/>
          <w:color w:val="auto"/>
          <w:sz w:val="32"/>
          <w:szCs w:val="32"/>
          <w:lang w:val="en-US" w:eastAsia="zh-CN"/>
        </w:rPr>
        <w:t>8</w:t>
      </w:r>
      <w:r>
        <w:rPr>
          <w:rFonts w:hint="eastAsia" w:ascii="华文中宋" w:hAnsi="华文中宋" w:eastAsia="华文中宋" w:cs="华文中宋"/>
          <w:b/>
          <w:bCs w:val="0"/>
          <w:color w:val="auto"/>
          <w:kern w:val="2"/>
          <w:sz w:val="32"/>
          <w:szCs w:val="32"/>
          <w:lang w:val="en-US" w:eastAsia="zh-CN" w:bidi="ar-SA"/>
        </w:rPr>
        <w:t>提供政府采购政策产品等证明材料</w:t>
      </w:r>
    </w:p>
    <w:p w14:paraId="5219EDF4">
      <w:pPr>
        <w:pStyle w:val="3"/>
        <w:jc w:val="center"/>
        <w:rPr>
          <w:rFonts w:hint="default" w:ascii="Times New Roman" w:hAnsi="Times New Roman" w:cs="Times New Roman"/>
          <w:b/>
          <w:spacing w:val="6"/>
          <w:kern w:val="0"/>
          <w:sz w:val="30"/>
          <w:szCs w:val="30"/>
        </w:rPr>
      </w:pPr>
      <w:r>
        <w:rPr>
          <w:rFonts w:hint="default" w:ascii="Times New Roman" w:hAnsi="Times New Roman" w:eastAsia="黑体" w:cs="Times New Roman"/>
          <w:b/>
          <w:bCs/>
          <w:spacing w:val="6"/>
          <w:kern w:val="0"/>
          <w:sz w:val="30"/>
          <w:szCs w:val="30"/>
        </w:rPr>
        <w:t>中小企业声明函</w:t>
      </w:r>
    </w:p>
    <w:p w14:paraId="0F71EECB">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61E4787B">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 xml:space="preserve">    本公司（联合体）郑重声明，根据《政府采购促进中小企业发展管理办法》（财库﹝2020﹞46 号）的规定，本公司（联合体）参加 </w:t>
      </w:r>
      <w:r>
        <w:rPr>
          <w:rFonts w:hint="default" w:ascii="Times New Roman" w:hAnsi="Times New Roman" w:cs="Times New Roman"/>
          <w:spacing w:val="6"/>
          <w:kern w:val="0"/>
          <w:szCs w:val="21"/>
          <w:u w:val="single"/>
        </w:rPr>
        <w:t>（单位名称）</w:t>
      </w:r>
      <w:r>
        <w:rPr>
          <w:rFonts w:hint="default" w:ascii="Times New Roman" w:hAnsi="Times New Roman" w:cs="Times New Roman"/>
          <w:spacing w:val="6"/>
          <w:kern w:val="0"/>
          <w:szCs w:val="21"/>
        </w:rPr>
        <w:t xml:space="preserve"> 的</w:t>
      </w:r>
      <w:r>
        <w:rPr>
          <w:rFonts w:hint="default" w:ascii="Times New Roman" w:hAnsi="Times New Roman" w:cs="Times New Roman"/>
          <w:spacing w:val="6"/>
          <w:kern w:val="0"/>
          <w:szCs w:val="21"/>
          <w:u w:val="single"/>
        </w:rPr>
        <w:t xml:space="preserve"> （项目名称） </w:t>
      </w:r>
      <w:r>
        <w:rPr>
          <w:rFonts w:hint="default" w:ascii="Times New Roman" w:hAnsi="Times New Roman" w:cs="Times New Roman"/>
          <w:spacing w:val="6"/>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63BE2015">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1.</w:t>
      </w:r>
      <w:r>
        <w:rPr>
          <w:rFonts w:hint="eastAsia" w:cs="Times New Roman"/>
          <w:spacing w:val="6"/>
          <w:kern w:val="0"/>
          <w:szCs w:val="21"/>
          <w:u w:val="single"/>
          <w:lang w:eastAsia="zh-CN"/>
        </w:rPr>
        <w:t>岳阳县张谷英村古建筑群文物修缮工程（隐患整治项目）</w:t>
      </w:r>
      <w:r>
        <w:rPr>
          <w:rFonts w:hint="default" w:ascii="Times New Roman" w:hAnsi="Times New Roman" w:cs="Times New Roman"/>
          <w:spacing w:val="6"/>
          <w:kern w:val="0"/>
          <w:szCs w:val="21"/>
          <w:u w:val="single"/>
        </w:rPr>
        <w:t>工程</w:t>
      </w:r>
      <w:r>
        <w:rPr>
          <w:rFonts w:hint="default" w:ascii="Times New Roman" w:hAnsi="Times New Roman" w:cs="Times New Roman"/>
          <w:spacing w:val="6"/>
          <w:kern w:val="0"/>
          <w:szCs w:val="21"/>
        </w:rPr>
        <w:t xml:space="preserve"> ，属于</w:t>
      </w:r>
      <w:r>
        <w:rPr>
          <w:rFonts w:hint="default" w:ascii="Times New Roman" w:hAnsi="Times New Roman" w:cs="Times New Roman"/>
          <w:spacing w:val="6"/>
          <w:kern w:val="0"/>
          <w:szCs w:val="21"/>
          <w:u w:val="single"/>
        </w:rPr>
        <w:t xml:space="preserve"> （采购文件中明确的所属行业） </w:t>
      </w:r>
      <w:r>
        <w:rPr>
          <w:rFonts w:hint="default" w:ascii="Times New Roman" w:hAnsi="Times New Roman" w:cs="Times New Roman"/>
          <w:spacing w:val="6"/>
          <w:kern w:val="0"/>
          <w:szCs w:val="21"/>
        </w:rPr>
        <w:t>；承建（承接）企业为</w:t>
      </w:r>
      <w:r>
        <w:rPr>
          <w:rFonts w:hint="default" w:ascii="Times New Roman" w:hAnsi="Times New Roman" w:cs="Times New Roman"/>
          <w:spacing w:val="6"/>
          <w:kern w:val="0"/>
          <w:szCs w:val="21"/>
          <w:u w:val="single"/>
        </w:rPr>
        <w:t xml:space="preserve"> （企业名称） </w:t>
      </w:r>
      <w:r>
        <w:rPr>
          <w:rFonts w:hint="default" w:ascii="Times New Roman" w:hAnsi="Times New Roman" w:cs="Times New Roman"/>
          <w:spacing w:val="6"/>
          <w:kern w:val="0"/>
          <w:szCs w:val="21"/>
        </w:rPr>
        <w:t>，从业人员人，营业收入为万元，资产总额为万元，属于</w:t>
      </w:r>
      <w:r>
        <w:rPr>
          <w:rFonts w:hint="default" w:ascii="Times New Roman" w:hAnsi="Times New Roman" w:cs="Times New Roman"/>
          <w:spacing w:val="6"/>
          <w:kern w:val="0"/>
          <w:szCs w:val="21"/>
          <w:u w:val="single"/>
        </w:rPr>
        <w:t xml:space="preserve"> （中型企业、小型企业、微型企业） </w:t>
      </w:r>
      <w:r>
        <w:rPr>
          <w:rFonts w:hint="default" w:ascii="Times New Roman" w:hAnsi="Times New Roman" w:cs="Times New Roman"/>
          <w:spacing w:val="6"/>
          <w:kern w:val="0"/>
          <w:szCs w:val="21"/>
        </w:rPr>
        <w:t>；</w:t>
      </w:r>
    </w:p>
    <w:p w14:paraId="05812625">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2.</w:t>
      </w:r>
      <w:r>
        <w:rPr>
          <w:rFonts w:hint="default" w:ascii="Times New Roman" w:hAnsi="Times New Roman" w:cs="Times New Roman"/>
          <w:spacing w:val="6"/>
          <w:kern w:val="0"/>
          <w:szCs w:val="21"/>
          <w:u w:val="single"/>
        </w:rPr>
        <w:t xml:space="preserve"> （标的名称） </w:t>
      </w:r>
      <w:r>
        <w:rPr>
          <w:rFonts w:hint="default" w:ascii="Times New Roman" w:hAnsi="Times New Roman" w:cs="Times New Roman"/>
          <w:spacing w:val="6"/>
          <w:kern w:val="0"/>
          <w:szCs w:val="21"/>
        </w:rPr>
        <w:t>，属于</w:t>
      </w:r>
      <w:r>
        <w:rPr>
          <w:rFonts w:hint="default" w:ascii="Times New Roman" w:hAnsi="Times New Roman" w:cs="Times New Roman"/>
          <w:spacing w:val="6"/>
          <w:kern w:val="0"/>
          <w:szCs w:val="21"/>
          <w:u w:val="single"/>
        </w:rPr>
        <w:t xml:space="preserve"> （采购文件中明确的所属行业） </w:t>
      </w:r>
      <w:r>
        <w:rPr>
          <w:rFonts w:hint="default" w:ascii="Times New Roman" w:hAnsi="Times New Roman" w:cs="Times New Roman"/>
          <w:spacing w:val="6"/>
          <w:kern w:val="0"/>
          <w:szCs w:val="21"/>
        </w:rPr>
        <w:t>；承建（承接）企业为</w:t>
      </w:r>
      <w:r>
        <w:rPr>
          <w:rFonts w:hint="default" w:ascii="Times New Roman" w:hAnsi="Times New Roman" w:cs="Times New Roman"/>
          <w:spacing w:val="6"/>
          <w:kern w:val="0"/>
          <w:szCs w:val="21"/>
          <w:u w:val="single"/>
        </w:rPr>
        <w:t xml:space="preserve"> （企业名称）</w:t>
      </w:r>
      <w:r>
        <w:rPr>
          <w:rFonts w:hint="default" w:ascii="Times New Roman" w:hAnsi="Times New Roman" w:cs="Times New Roman"/>
          <w:spacing w:val="6"/>
          <w:kern w:val="0"/>
          <w:szCs w:val="21"/>
        </w:rPr>
        <w:t xml:space="preserve"> ，从业人员人，营业收入为万元，资产总额为万元，属于</w:t>
      </w:r>
      <w:r>
        <w:rPr>
          <w:rFonts w:hint="default" w:ascii="Times New Roman" w:hAnsi="Times New Roman" w:cs="Times New Roman"/>
          <w:spacing w:val="6"/>
          <w:kern w:val="0"/>
          <w:szCs w:val="21"/>
          <w:u w:val="single"/>
        </w:rPr>
        <w:t xml:space="preserve"> （中型企业、小型企业、微型企业） </w:t>
      </w:r>
      <w:r>
        <w:rPr>
          <w:rFonts w:hint="default" w:ascii="Times New Roman" w:hAnsi="Times New Roman" w:cs="Times New Roman"/>
          <w:spacing w:val="6"/>
          <w:kern w:val="0"/>
          <w:szCs w:val="21"/>
        </w:rPr>
        <w:t>；</w:t>
      </w:r>
    </w:p>
    <w:p w14:paraId="1CBB26C2">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w:t>
      </w:r>
    </w:p>
    <w:p w14:paraId="0D9536B4">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以上企业，不属于大企业的分支机构，不存在控股股东为大企业的情形，也不存在与大企业的负责人为同一人的情形。</w:t>
      </w:r>
    </w:p>
    <w:p w14:paraId="3109FF0E">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本企业对上述声明内容的真实性负责。如有虚假，将依法承担相应责任。</w:t>
      </w:r>
    </w:p>
    <w:p w14:paraId="2457740E">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53020064">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0F8C69C7">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43715C56">
      <w:pPr>
        <w:widowControl/>
        <w:adjustRightInd w:val="0"/>
        <w:snapToGrid w:val="0"/>
        <w:spacing w:line="360" w:lineRule="auto"/>
        <w:ind w:firstLine="444" w:firstLineChars="200"/>
        <w:jc w:val="right"/>
        <w:rPr>
          <w:rFonts w:hint="default" w:ascii="Times New Roman" w:hAnsi="Times New Roman" w:cs="Times New Roman"/>
          <w:spacing w:val="6"/>
          <w:kern w:val="0"/>
          <w:szCs w:val="21"/>
          <w:u w:val="single"/>
        </w:rPr>
      </w:pPr>
      <w:r>
        <w:rPr>
          <w:rFonts w:hint="default" w:ascii="Times New Roman" w:hAnsi="Times New Roman" w:cs="Times New Roman"/>
          <w:spacing w:val="6"/>
          <w:kern w:val="0"/>
          <w:szCs w:val="21"/>
        </w:rPr>
        <w:t xml:space="preserve">                        供应商名称（盖单位公章）：</w:t>
      </w:r>
    </w:p>
    <w:p w14:paraId="32569459">
      <w:pPr>
        <w:spacing w:line="360" w:lineRule="auto"/>
        <w:jc w:val="right"/>
        <w:rPr>
          <w:rFonts w:hint="default" w:ascii="Times New Roman" w:hAnsi="Times New Roman" w:cs="Times New Roman"/>
        </w:rPr>
      </w:pPr>
      <w:r>
        <w:rPr>
          <w:rFonts w:hint="default" w:ascii="Times New Roman" w:hAnsi="Times New Roman" w:cs="Times New Roman"/>
          <w:spacing w:val="6"/>
          <w:kern w:val="0"/>
          <w:szCs w:val="21"/>
        </w:rPr>
        <w:t xml:space="preserve">                                          日 期：</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年</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月</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日</w:t>
      </w:r>
    </w:p>
    <w:p w14:paraId="6173E10B">
      <w:pPr>
        <w:adjustRightInd w:val="0"/>
        <w:snapToGrid w:val="0"/>
        <w:spacing w:before="50" w:line="360" w:lineRule="auto"/>
        <w:jc w:val="center"/>
        <w:rPr>
          <w:rFonts w:hint="eastAsia" w:ascii="宋体" w:hAnsi="宋体"/>
          <w:b/>
          <w:color w:val="auto"/>
          <w:sz w:val="28"/>
          <w:szCs w:val="28"/>
        </w:rPr>
      </w:pPr>
    </w:p>
    <w:p w14:paraId="6498F3D4">
      <w:pPr>
        <w:spacing w:line="360" w:lineRule="auto"/>
        <w:jc w:val="center"/>
        <w:outlineLvl w:val="1"/>
        <w:rPr>
          <w:rFonts w:ascii="宋体" w:hAnsi="宋体"/>
          <w:b/>
          <w:bCs/>
          <w:color w:val="auto"/>
          <w:sz w:val="32"/>
          <w:szCs w:val="32"/>
        </w:rPr>
      </w:pPr>
    </w:p>
    <w:p w14:paraId="78A8ACF8">
      <w:pPr>
        <w:spacing w:line="360" w:lineRule="auto"/>
        <w:jc w:val="center"/>
        <w:outlineLvl w:val="1"/>
        <w:rPr>
          <w:rFonts w:ascii="宋体" w:hAnsi="宋体"/>
          <w:b/>
          <w:bCs/>
          <w:color w:val="auto"/>
          <w:sz w:val="32"/>
          <w:szCs w:val="32"/>
        </w:rPr>
      </w:pPr>
    </w:p>
    <w:p w14:paraId="6AE87924">
      <w:pPr>
        <w:spacing w:line="360" w:lineRule="auto"/>
        <w:jc w:val="center"/>
        <w:outlineLvl w:val="1"/>
        <w:rPr>
          <w:rFonts w:ascii="宋体" w:hAnsi="宋体"/>
          <w:b/>
          <w:bCs/>
          <w:color w:val="auto"/>
          <w:sz w:val="32"/>
          <w:szCs w:val="32"/>
        </w:rPr>
      </w:pPr>
    </w:p>
    <w:p w14:paraId="49F49731">
      <w:pPr>
        <w:spacing w:line="360" w:lineRule="auto"/>
        <w:jc w:val="center"/>
        <w:outlineLvl w:val="1"/>
        <w:rPr>
          <w:rFonts w:ascii="宋体" w:hAnsi="宋体"/>
          <w:b/>
          <w:bCs/>
          <w:color w:val="auto"/>
          <w:sz w:val="32"/>
          <w:szCs w:val="32"/>
        </w:rPr>
      </w:pPr>
    </w:p>
    <w:p w14:paraId="70D76443">
      <w:pPr>
        <w:adjustRightInd w:val="0"/>
        <w:snapToGrid w:val="0"/>
        <w:spacing w:line="360" w:lineRule="auto"/>
        <w:jc w:val="both"/>
        <w:rPr>
          <w:rFonts w:hint="eastAsia" w:ascii="宋体" w:hAnsi="宋体" w:cs="宋体"/>
          <w:b/>
          <w:color w:val="auto"/>
          <w:spacing w:val="6"/>
          <w:sz w:val="28"/>
          <w:szCs w:val="28"/>
          <w:highlight w:val="none"/>
        </w:rPr>
      </w:pPr>
    </w:p>
    <w:p w14:paraId="7F77FF11">
      <w:pPr>
        <w:pStyle w:val="62"/>
        <w:ind w:left="0" w:leftChars="0" w:firstLine="0" w:firstLineChars="0"/>
        <w:rPr>
          <w:rFonts w:hint="eastAsia" w:ascii="宋体" w:hAnsi="宋体" w:cs="宋体"/>
          <w:b/>
          <w:color w:val="auto"/>
          <w:spacing w:val="6"/>
          <w:sz w:val="28"/>
          <w:szCs w:val="28"/>
          <w:highlight w:val="none"/>
        </w:rPr>
      </w:pPr>
    </w:p>
    <w:p w14:paraId="4DBEF65E">
      <w:pPr>
        <w:adjustRightInd w:val="0"/>
        <w:snapToGrid w:val="0"/>
        <w:spacing w:line="360" w:lineRule="auto"/>
        <w:jc w:val="center"/>
        <w:rPr>
          <w:rFonts w:hint="eastAsia" w:ascii="宋体" w:hAnsi="宋体" w:cs="宋体"/>
          <w:b/>
          <w:color w:val="auto"/>
          <w:spacing w:val="6"/>
          <w:sz w:val="28"/>
          <w:szCs w:val="28"/>
          <w:highlight w:val="none"/>
        </w:rPr>
      </w:pPr>
      <w:r>
        <w:rPr>
          <w:rFonts w:hint="eastAsia" w:ascii="宋体" w:hAnsi="宋体" w:cs="宋体"/>
          <w:b/>
          <w:color w:val="auto"/>
          <w:spacing w:val="6"/>
          <w:sz w:val="28"/>
          <w:szCs w:val="28"/>
          <w:highlight w:val="none"/>
        </w:rPr>
        <w:t>残疾人福利性单位声明函</w:t>
      </w:r>
    </w:p>
    <w:p w14:paraId="5E525A46">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(不属于残疾人福利性单位的无需填写)</w:t>
      </w:r>
    </w:p>
    <w:p w14:paraId="1133BAE5">
      <w:pPr>
        <w:adjustRightInd w:val="0"/>
        <w:snapToGrid w:val="0"/>
        <w:spacing w:line="360" w:lineRule="auto"/>
        <w:ind w:firstLine="444" w:firstLineChars="200"/>
        <w:rPr>
          <w:rFonts w:hint="eastAsia" w:ascii="宋体" w:hAnsi="宋体" w:cs="宋体"/>
          <w:color w:val="auto"/>
          <w:spacing w:val="6"/>
          <w:szCs w:val="21"/>
          <w:highlight w:val="none"/>
        </w:rPr>
      </w:pPr>
    </w:p>
    <w:p w14:paraId="195A6E3C">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〔2017〕141</w:t>
      </w:r>
      <w:r>
        <w:rPr>
          <w:rFonts w:hint="eastAsia" w:ascii="宋体" w:hAnsi="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05BD1CA">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50C81C69">
      <w:pPr>
        <w:adjustRightInd w:val="0"/>
        <w:snapToGrid w:val="0"/>
        <w:spacing w:line="360" w:lineRule="auto"/>
        <w:ind w:firstLine="444" w:firstLineChars="200"/>
        <w:rPr>
          <w:rFonts w:hint="eastAsia" w:ascii="宋体" w:hAnsi="宋体" w:cs="宋体"/>
          <w:color w:val="auto"/>
          <w:spacing w:val="6"/>
          <w:szCs w:val="21"/>
          <w:highlight w:val="none"/>
        </w:rPr>
      </w:pPr>
    </w:p>
    <w:p w14:paraId="18FB5DDD">
      <w:pPr>
        <w:adjustRightInd w:val="0"/>
        <w:snapToGrid w:val="0"/>
        <w:spacing w:line="360" w:lineRule="auto"/>
        <w:ind w:firstLine="444" w:firstLineChars="200"/>
        <w:rPr>
          <w:rFonts w:hint="eastAsia" w:ascii="宋体" w:hAnsi="宋体" w:cs="宋体"/>
          <w:color w:val="auto"/>
          <w:spacing w:val="6"/>
          <w:szCs w:val="21"/>
          <w:highlight w:val="none"/>
        </w:rPr>
      </w:pPr>
    </w:p>
    <w:p w14:paraId="756828F6">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单位名称（盖章）：</w:t>
      </w:r>
    </w:p>
    <w:p w14:paraId="537E2F5E">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3A1EEAD">
      <w:pPr>
        <w:widowControl/>
        <w:adjustRightInd w:val="0"/>
        <w:snapToGrid w:val="0"/>
        <w:spacing w:line="360" w:lineRule="auto"/>
        <w:jc w:val="left"/>
        <w:rPr>
          <w:rFonts w:hint="eastAsia" w:ascii="宋体" w:hAnsi="宋体" w:cs="宋体"/>
          <w:color w:val="auto"/>
          <w:kern w:val="0"/>
          <w:szCs w:val="21"/>
          <w:highlight w:val="none"/>
        </w:rPr>
      </w:pPr>
    </w:p>
    <w:p w14:paraId="5F8612DF">
      <w:pPr>
        <w:keepNext/>
        <w:keepLines/>
        <w:spacing w:before="260" w:after="260" w:line="416" w:lineRule="auto"/>
        <w:outlineLvl w:val="2"/>
        <w:rPr>
          <w:rFonts w:hint="eastAsia" w:ascii="宋体" w:hAnsi="宋体" w:cs="宋体"/>
          <w:b/>
          <w:bCs/>
          <w:color w:val="auto"/>
          <w:szCs w:val="21"/>
          <w:highlight w:val="none"/>
        </w:rPr>
      </w:pPr>
    </w:p>
    <w:p w14:paraId="644AD2CB">
      <w:pPr>
        <w:adjustRightInd w:val="0"/>
        <w:snapToGrid w:val="0"/>
        <w:spacing w:line="360" w:lineRule="auto"/>
        <w:jc w:val="center"/>
        <w:rPr>
          <w:rFonts w:hint="eastAsia" w:ascii="宋体" w:hAnsi="宋体" w:cs="宋体"/>
          <w:b/>
          <w:color w:val="auto"/>
          <w:sz w:val="28"/>
          <w:szCs w:val="28"/>
          <w:highlight w:val="none"/>
        </w:rPr>
      </w:pPr>
    </w:p>
    <w:p w14:paraId="368C3D3F">
      <w:pPr>
        <w:adjustRightInd w:val="0"/>
        <w:snapToGrid w:val="0"/>
        <w:spacing w:line="360" w:lineRule="auto"/>
        <w:jc w:val="center"/>
        <w:rPr>
          <w:rFonts w:hint="eastAsia" w:ascii="宋体" w:hAnsi="宋体" w:cs="宋体"/>
          <w:b/>
          <w:color w:val="auto"/>
          <w:sz w:val="28"/>
          <w:szCs w:val="28"/>
          <w:highlight w:val="none"/>
        </w:rPr>
      </w:pPr>
    </w:p>
    <w:p w14:paraId="28824D77">
      <w:pPr>
        <w:adjustRightInd w:val="0"/>
        <w:snapToGrid w:val="0"/>
        <w:spacing w:line="360" w:lineRule="auto"/>
        <w:jc w:val="center"/>
        <w:rPr>
          <w:rFonts w:hint="eastAsia" w:ascii="宋体" w:hAnsi="宋体" w:cs="宋体"/>
          <w:b/>
          <w:color w:val="auto"/>
          <w:sz w:val="28"/>
          <w:szCs w:val="28"/>
          <w:highlight w:val="none"/>
        </w:rPr>
      </w:pPr>
    </w:p>
    <w:p w14:paraId="4E454444">
      <w:pPr>
        <w:adjustRightInd w:val="0"/>
        <w:snapToGrid w:val="0"/>
        <w:spacing w:line="360" w:lineRule="auto"/>
        <w:jc w:val="center"/>
        <w:rPr>
          <w:rFonts w:hint="eastAsia" w:ascii="宋体" w:hAnsi="宋体" w:cs="宋体"/>
          <w:b/>
          <w:color w:val="auto"/>
          <w:sz w:val="28"/>
          <w:szCs w:val="28"/>
          <w:highlight w:val="none"/>
        </w:rPr>
      </w:pPr>
    </w:p>
    <w:p w14:paraId="3079172D">
      <w:pPr>
        <w:adjustRightInd w:val="0"/>
        <w:snapToGrid w:val="0"/>
        <w:spacing w:line="360" w:lineRule="auto"/>
        <w:jc w:val="center"/>
        <w:rPr>
          <w:rFonts w:hint="eastAsia" w:ascii="宋体" w:hAnsi="宋体" w:cs="宋体"/>
          <w:b/>
          <w:color w:val="auto"/>
          <w:sz w:val="28"/>
          <w:szCs w:val="28"/>
          <w:highlight w:val="none"/>
        </w:rPr>
      </w:pPr>
    </w:p>
    <w:p w14:paraId="19B3F8CF">
      <w:pPr>
        <w:adjustRightInd w:val="0"/>
        <w:snapToGrid w:val="0"/>
        <w:spacing w:line="360" w:lineRule="auto"/>
        <w:jc w:val="center"/>
        <w:rPr>
          <w:rFonts w:hint="eastAsia" w:ascii="宋体" w:hAnsi="宋体" w:cs="宋体"/>
          <w:b/>
          <w:color w:val="auto"/>
          <w:sz w:val="28"/>
          <w:szCs w:val="28"/>
          <w:highlight w:val="none"/>
        </w:rPr>
      </w:pPr>
    </w:p>
    <w:p w14:paraId="6E9BE8FD">
      <w:pPr>
        <w:adjustRightInd w:val="0"/>
        <w:snapToGrid w:val="0"/>
        <w:spacing w:line="360" w:lineRule="auto"/>
        <w:jc w:val="center"/>
        <w:rPr>
          <w:rFonts w:hint="eastAsia" w:ascii="宋体" w:hAnsi="宋体" w:cs="宋体"/>
          <w:b/>
          <w:color w:val="auto"/>
          <w:sz w:val="28"/>
          <w:szCs w:val="28"/>
          <w:highlight w:val="none"/>
        </w:rPr>
      </w:pPr>
    </w:p>
    <w:p w14:paraId="57E71F34">
      <w:pPr>
        <w:adjustRightInd w:val="0"/>
        <w:snapToGrid w:val="0"/>
        <w:spacing w:line="360" w:lineRule="auto"/>
        <w:jc w:val="center"/>
        <w:rPr>
          <w:rFonts w:hint="eastAsia" w:ascii="宋体" w:hAnsi="宋体" w:cs="宋体"/>
          <w:b/>
          <w:color w:val="auto"/>
          <w:sz w:val="28"/>
          <w:szCs w:val="28"/>
          <w:highlight w:val="none"/>
        </w:rPr>
      </w:pPr>
    </w:p>
    <w:p w14:paraId="40B9204B">
      <w:pPr>
        <w:adjustRightInd w:val="0"/>
        <w:snapToGrid w:val="0"/>
        <w:spacing w:line="360" w:lineRule="auto"/>
        <w:jc w:val="center"/>
        <w:rPr>
          <w:rFonts w:hint="eastAsia" w:ascii="宋体" w:hAnsi="宋体" w:cs="宋体"/>
          <w:b/>
          <w:color w:val="auto"/>
          <w:sz w:val="28"/>
          <w:szCs w:val="28"/>
          <w:highlight w:val="none"/>
        </w:rPr>
      </w:pPr>
    </w:p>
    <w:p w14:paraId="3ACF4FE7">
      <w:pPr>
        <w:adjustRightInd w:val="0"/>
        <w:snapToGrid w:val="0"/>
        <w:spacing w:line="360" w:lineRule="auto"/>
        <w:jc w:val="center"/>
        <w:rPr>
          <w:rFonts w:hint="eastAsia" w:ascii="宋体" w:hAnsi="宋体" w:cs="宋体"/>
          <w:b/>
          <w:color w:val="auto"/>
          <w:sz w:val="28"/>
          <w:szCs w:val="28"/>
          <w:highlight w:val="none"/>
        </w:rPr>
      </w:pPr>
    </w:p>
    <w:p w14:paraId="70EC6E98">
      <w:pPr>
        <w:adjustRightInd w:val="0"/>
        <w:snapToGrid w:val="0"/>
        <w:spacing w:line="360" w:lineRule="auto"/>
        <w:jc w:val="center"/>
        <w:rPr>
          <w:rFonts w:hint="eastAsia" w:ascii="宋体" w:hAnsi="宋体" w:cs="宋体"/>
          <w:b/>
          <w:color w:val="auto"/>
          <w:sz w:val="28"/>
          <w:szCs w:val="28"/>
          <w:highlight w:val="none"/>
        </w:rPr>
      </w:pPr>
    </w:p>
    <w:p w14:paraId="4A71C711">
      <w:pPr>
        <w:adjustRightInd w:val="0"/>
        <w:snapToGrid w:val="0"/>
        <w:spacing w:line="360" w:lineRule="auto"/>
        <w:jc w:val="center"/>
        <w:rPr>
          <w:rFonts w:hint="eastAsia" w:ascii="宋体" w:hAnsi="宋体" w:cs="宋体"/>
          <w:b/>
          <w:color w:val="auto"/>
          <w:sz w:val="28"/>
          <w:szCs w:val="28"/>
          <w:highlight w:val="none"/>
        </w:rPr>
      </w:pPr>
    </w:p>
    <w:p w14:paraId="117DC817">
      <w:pPr>
        <w:adjustRightInd w:val="0"/>
        <w:snapToGrid w:val="0"/>
        <w:spacing w:line="360" w:lineRule="auto"/>
        <w:jc w:val="center"/>
        <w:rPr>
          <w:rFonts w:hint="eastAsia" w:ascii="宋体" w:hAnsi="宋体" w:cs="宋体"/>
          <w:b/>
          <w:color w:val="auto"/>
          <w:sz w:val="28"/>
          <w:szCs w:val="28"/>
          <w:highlight w:val="none"/>
        </w:rPr>
      </w:pPr>
    </w:p>
    <w:p w14:paraId="6C058F61">
      <w:pPr>
        <w:adjustRightInd w:val="0"/>
        <w:snapToGrid w:val="0"/>
        <w:spacing w:line="360" w:lineRule="auto"/>
        <w:jc w:val="center"/>
        <w:rPr>
          <w:rFonts w:hint="eastAsia" w:ascii="宋体" w:hAnsi="宋体" w:cs="宋体"/>
          <w:b/>
          <w:color w:val="auto"/>
          <w:sz w:val="28"/>
          <w:szCs w:val="28"/>
          <w:highlight w:val="none"/>
        </w:rPr>
      </w:pPr>
    </w:p>
    <w:p w14:paraId="27326B04">
      <w:pPr>
        <w:adjustRightInd w:val="0"/>
        <w:snapToGrid w:val="0"/>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监狱企业证明资料</w:t>
      </w:r>
    </w:p>
    <w:p w14:paraId="5348028F">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(不属于监狱企业的无需提供)</w:t>
      </w:r>
    </w:p>
    <w:p w14:paraId="14CB11A4">
      <w:pPr>
        <w:adjustRightInd w:val="0"/>
        <w:snapToGrid w:val="0"/>
        <w:spacing w:line="360" w:lineRule="auto"/>
        <w:rPr>
          <w:rFonts w:hint="eastAsia" w:ascii="宋体" w:hAnsi="宋体" w:cs="宋体"/>
          <w:color w:val="auto"/>
          <w:szCs w:val="21"/>
          <w:highlight w:val="none"/>
        </w:rPr>
      </w:pPr>
    </w:p>
    <w:p w14:paraId="53DB91F2">
      <w:pPr>
        <w:adjustRightInd w:val="0"/>
        <w:snapToGrid w:val="0"/>
        <w:spacing w:line="360" w:lineRule="auto"/>
        <w:ind w:firstLine="444" w:firstLineChars="200"/>
        <w:rPr>
          <w:rFonts w:hint="eastAsia" w:ascii="宋体" w:hAnsi="宋体" w:cs="宋体"/>
          <w:color w:val="auto"/>
          <w:szCs w:val="21"/>
          <w:highlight w:val="none"/>
        </w:rPr>
      </w:pPr>
      <w:r>
        <w:rPr>
          <w:rFonts w:hint="eastAsia" w:ascii="宋体" w:hAnsi="宋体" w:cs="宋体"/>
          <w:bCs/>
          <w:color w:val="auto"/>
          <w:spacing w:val="6"/>
          <w:kern w:val="0"/>
          <w:szCs w:val="21"/>
          <w:highlight w:val="none"/>
        </w:rPr>
        <w:t>备注：</w:t>
      </w:r>
      <w:r>
        <w:rPr>
          <w:rFonts w:hint="eastAsia" w:ascii="宋体" w:hAnsi="宋体" w:cs="宋体"/>
          <w:color w:val="auto"/>
          <w:szCs w:val="21"/>
          <w:highlight w:val="none"/>
        </w:rPr>
        <w:t>按</w:t>
      </w:r>
      <w:r>
        <w:rPr>
          <w:rFonts w:hint="eastAsia" w:ascii="宋体" w:hAnsi="宋体" w:cs="宋体"/>
          <w:color w:val="auto"/>
          <w:spacing w:val="6"/>
          <w:szCs w:val="21"/>
          <w:highlight w:val="none"/>
        </w:rPr>
        <w:t>《</w:t>
      </w:r>
      <w:r>
        <w:rPr>
          <w:rFonts w:hint="eastAsia" w:ascii="宋体" w:hAnsi="宋体" w:cs="宋体"/>
          <w:color w:val="auto"/>
          <w:szCs w:val="21"/>
          <w:highlight w:val="none"/>
        </w:rPr>
        <w:t>财政部 司法部关于政府采购支持监狱企业发展有关问题的通知</w:t>
      </w:r>
      <w:r>
        <w:rPr>
          <w:rFonts w:hint="eastAsia" w:ascii="宋体" w:hAnsi="宋体" w:cs="宋体"/>
          <w:color w:val="auto"/>
          <w:spacing w:val="6"/>
          <w:szCs w:val="21"/>
          <w:highlight w:val="none"/>
        </w:rPr>
        <w:t>》</w:t>
      </w:r>
      <w:r>
        <w:rPr>
          <w:rFonts w:hint="eastAsia" w:ascii="宋体" w:hAnsi="宋体" w:cs="宋体"/>
          <w:color w:val="auto"/>
          <w:szCs w:val="21"/>
          <w:highlight w:val="none"/>
        </w:rPr>
        <w:t>(财库〔2014〕68号)文件规定提供证明文件（复印件）。</w:t>
      </w:r>
    </w:p>
    <w:p w14:paraId="201233A0">
      <w:pPr>
        <w:adjustRightInd w:val="0"/>
        <w:snapToGrid w:val="0"/>
        <w:spacing w:line="360" w:lineRule="auto"/>
        <w:ind w:firstLine="420" w:firstLineChars="200"/>
        <w:rPr>
          <w:rFonts w:hint="eastAsia" w:ascii="宋体" w:hAnsi="宋体" w:cs="宋体"/>
          <w:color w:val="auto"/>
          <w:szCs w:val="21"/>
          <w:highlight w:val="none"/>
        </w:rPr>
      </w:pPr>
    </w:p>
    <w:p w14:paraId="4ED4D61D">
      <w:pPr>
        <w:adjustRightInd w:val="0"/>
        <w:snapToGrid w:val="0"/>
        <w:spacing w:line="360" w:lineRule="auto"/>
        <w:ind w:firstLine="420" w:firstLineChars="200"/>
        <w:rPr>
          <w:rFonts w:hint="eastAsia" w:ascii="宋体" w:hAnsi="宋体" w:cs="宋体"/>
          <w:color w:val="auto"/>
          <w:szCs w:val="21"/>
          <w:highlight w:val="none"/>
        </w:rPr>
      </w:pPr>
    </w:p>
    <w:p w14:paraId="6B0CEC22">
      <w:pPr>
        <w:adjustRightInd w:val="0"/>
        <w:snapToGrid w:val="0"/>
        <w:spacing w:before="50" w:line="360" w:lineRule="auto"/>
        <w:jc w:val="center"/>
        <w:rPr>
          <w:rFonts w:hint="eastAsia" w:ascii="宋体" w:hAnsi="宋体" w:cs="宋体"/>
          <w:b/>
          <w:bCs/>
          <w:color w:val="auto"/>
          <w:sz w:val="28"/>
          <w:szCs w:val="28"/>
          <w:highlight w:val="none"/>
        </w:rPr>
        <w:sectPr>
          <w:pgSz w:w="11906" w:h="16838"/>
          <w:pgMar w:top="1021" w:right="1474" w:bottom="1191" w:left="1474" w:header="510" w:footer="624" w:gutter="0"/>
          <w:pgNumType w:fmt="decimal"/>
          <w:cols w:space="720" w:num="1"/>
          <w:docGrid w:linePitch="312" w:charSpace="0"/>
        </w:sectPr>
      </w:pPr>
    </w:p>
    <w:p w14:paraId="0683A635">
      <w:pPr>
        <w:adjustRightInd w:val="0"/>
        <w:snapToGrid w:val="0"/>
        <w:spacing w:line="280" w:lineRule="exact"/>
        <w:ind w:right="420"/>
        <w:jc w:val="center"/>
        <w:outlineLvl w:val="2"/>
        <w:rPr>
          <w:rFonts w:hint="eastAsia" w:ascii="宋体" w:hAnsi="宋体" w:cs="宋体"/>
          <w:color w:val="auto"/>
          <w:sz w:val="28"/>
          <w:szCs w:val="28"/>
          <w:highlight w:val="none"/>
        </w:rPr>
      </w:pPr>
    </w:p>
    <w:p w14:paraId="1B36E554">
      <w:pPr>
        <w:adjustRightInd w:val="0"/>
        <w:snapToGrid w:val="0"/>
        <w:spacing w:line="280" w:lineRule="exact"/>
        <w:ind w:right="420"/>
        <w:jc w:val="center"/>
        <w:outlineLvl w:val="2"/>
        <w:rPr>
          <w:rFonts w:hint="eastAsia" w:ascii="宋体" w:hAnsi="宋体" w:cs="宋体"/>
          <w:color w:val="auto"/>
          <w:sz w:val="28"/>
          <w:szCs w:val="28"/>
          <w:highlight w:val="none"/>
        </w:rPr>
      </w:pPr>
      <w:bookmarkStart w:id="59" w:name="_Toc28981"/>
      <w:bookmarkStart w:id="60" w:name="_Toc80861940"/>
      <w:r>
        <w:rPr>
          <w:rFonts w:hint="eastAsia" w:ascii="宋体" w:hAnsi="宋体" w:cs="宋体"/>
          <w:color w:val="auto"/>
          <w:sz w:val="28"/>
          <w:szCs w:val="28"/>
          <w:highlight w:val="none"/>
        </w:rPr>
        <w:t>提供节能</w:t>
      </w:r>
      <w:r>
        <w:rPr>
          <w:rFonts w:hint="eastAsia" w:ascii="宋体" w:hAnsi="宋体" w:cs="宋体"/>
          <w:bCs/>
          <w:color w:val="auto"/>
          <w:sz w:val="28"/>
          <w:szCs w:val="28"/>
          <w:highlight w:val="none"/>
        </w:rPr>
        <w:t>产品</w:t>
      </w:r>
      <w:r>
        <w:rPr>
          <w:rFonts w:hint="eastAsia" w:ascii="宋体" w:hAnsi="宋体" w:cs="宋体"/>
          <w:color w:val="auto"/>
          <w:sz w:val="28"/>
          <w:szCs w:val="28"/>
          <w:highlight w:val="none"/>
        </w:rPr>
        <w:t>、环境标志</w:t>
      </w:r>
      <w:r>
        <w:rPr>
          <w:rFonts w:hint="eastAsia" w:ascii="宋体" w:hAnsi="宋体" w:cs="宋体"/>
          <w:bCs/>
          <w:color w:val="auto"/>
          <w:sz w:val="28"/>
          <w:szCs w:val="28"/>
          <w:highlight w:val="none"/>
        </w:rPr>
        <w:t>产品</w:t>
      </w:r>
      <w:r>
        <w:rPr>
          <w:rFonts w:hint="eastAsia" w:ascii="宋体" w:hAnsi="宋体" w:cs="宋体"/>
          <w:color w:val="auto"/>
          <w:sz w:val="28"/>
          <w:szCs w:val="28"/>
          <w:highlight w:val="none"/>
        </w:rPr>
        <w:t>清单</w:t>
      </w:r>
      <w:bookmarkEnd w:id="59"/>
      <w:bookmarkEnd w:id="60"/>
    </w:p>
    <w:p w14:paraId="110B6BE6">
      <w:pPr>
        <w:adjustRightInd w:val="0"/>
        <w:snapToGrid w:val="0"/>
        <w:spacing w:before="50"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采购代理机构编号: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5D0474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noWrap w:val="0"/>
            <w:vAlign w:val="center"/>
          </w:tcPr>
          <w:p w14:paraId="5A2FE6F6">
            <w:pPr>
              <w:widowControl/>
              <w:spacing w:line="320" w:lineRule="exact"/>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本公司对本表的真实性负责。如有虚假，将依法承担相应责任。</w:t>
            </w:r>
          </w:p>
        </w:tc>
      </w:tr>
      <w:tr w14:paraId="75862E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13E5B82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739" w:type="dxa"/>
            <w:noWrap w:val="0"/>
            <w:vAlign w:val="center"/>
          </w:tcPr>
          <w:p w14:paraId="32A08FD1">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709" w:type="dxa"/>
            <w:noWrap w:val="0"/>
            <w:vAlign w:val="center"/>
          </w:tcPr>
          <w:p w14:paraId="5FDAE892">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850" w:type="dxa"/>
            <w:noWrap w:val="0"/>
            <w:vAlign w:val="center"/>
          </w:tcPr>
          <w:p w14:paraId="5ACCC50F">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993" w:type="dxa"/>
            <w:noWrap w:val="0"/>
            <w:vAlign w:val="center"/>
          </w:tcPr>
          <w:p w14:paraId="3A556F8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984" w:type="dxa"/>
            <w:noWrap w:val="0"/>
            <w:vAlign w:val="center"/>
          </w:tcPr>
          <w:p w14:paraId="5C960121">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843" w:type="dxa"/>
            <w:noWrap w:val="0"/>
            <w:vAlign w:val="center"/>
          </w:tcPr>
          <w:p w14:paraId="002AEDDA">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r>
      <w:tr w14:paraId="4E4FB6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7F7CBA0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739" w:type="dxa"/>
            <w:noWrap w:val="0"/>
            <w:vAlign w:val="center"/>
          </w:tcPr>
          <w:p w14:paraId="600CCBD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货物名称</w:t>
            </w:r>
          </w:p>
        </w:tc>
        <w:tc>
          <w:tcPr>
            <w:tcW w:w="709" w:type="dxa"/>
            <w:noWrap w:val="0"/>
            <w:vAlign w:val="center"/>
          </w:tcPr>
          <w:p w14:paraId="2843404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数量</w:t>
            </w:r>
          </w:p>
        </w:tc>
        <w:tc>
          <w:tcPr>
            <w:tcW w:w="850" w:type="dxa"/>
            <w:noWrap w:val="0"/>
            <w:vAlign w:val="center"/>
          </w:tcPr>
          <w:p w14:paraId="1E8A809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单价</w:t>
            </w:r>
          </w:p>
        </w:tc>
        <w:tc>
          <w:tcPr>
            <w:tcW w:w="993" w:type="dxa"/>
            <w:noWrap w:val="0"/>
            <w:vAlign w:val="center"/>
          </w:tcPr>
          <w:p w14:paraId="225EB04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总额</w:t>
            </w:r>
          </w:p>
        </w:tc>
        <w:tc>
          <w:tcPr>
            <w:tcW w:w="1984" w:type="dxa"/>
            <w:noWrap w:val="0"/>
            <w:vAlign w:val="center"/>
          </w:tcPr>
          <w:p w14:paraId="280DA62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货物制造商名称</w:t>
            </w:r>
          </w:p>
        </w:tc>
        <w:tc>
          <w:tcPr>
            <w:tcW w:w="1843" w:type="dxa"/>
            <w:noWrap w:val="0"/>
            <w:vAlign w:val="center"/>
          </w:tcPr>
          <w:p w14:paraId="38558C5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政策功能编码</w:t>
            </w:r>
          </w:p>
        </w:tc>
      </w:tr>
      <w:tr w14:paraId="38B71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1B8160C2">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节能产品</w:t>
            </w:r>
          </w:p>
        </w:tc>
      </w:tr>
      <w:tr w14:paraId="650025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7D40617">
            <w:pPr>
              <w:spacing w:line="320" w:lineRule="exact"/>
              <w:jc w:val="center"/>
              <w:rPr>
                <w:rFonts w:hint="eastAsia" w:ascii="宋体" w:hAnsi="宋体" w:cs="宋体"/>
                <w:b/>
                <w:color w:val="auto"/>
                <w:szCs w:val="21"/>
                <w:highlight w:val="none"/>
              </w:rPr>
            </w:pPr>
          </w:p>
        </w:tc>
        <w:tc>
          <w:tcPr>
            <w:tcW w:w="1739" w:type="dxa"/>
            <w:noWrap w:val="0"/>
            <w:vAlign w:val="center"/>
          </w:tcPr>
          <w:p w14:paraId="3B304C46">
            <w:pPr>
              <w:spacing w:line="320" w:lineRule="exact"/>
              <w:jc w:val="center"/>
              <w:rPr>
                <w:rFonts w:hint="eastAsia" w:ascii="宋体" w:hAnsi="宋体" w:cs="宋体"/>
                <w:b/>
                <w:color w:val="auto"/>
                <w:szCs w:val="21"/>
                <w:highlight w:val="none"/>
              </w:rPr>
            </w:pPr>
          </w:p>
        </w:tc>
        <w:tc>
          <w:tcPr>
            <w:tcW w:w="709" w:type="dxa"/>
            <w:noWrap w:val="0"/>
            <w:vAlign w:val="center"/>
          </w:tcPr>
          <w:p w14:paraId="58445EB7">
            <w:pPr>
              <w:spacing w:line="320" w:lineRule="exact"/>
              <w:jc w:val="center"/>
              <w:rPr>
                <w:rFonts w:hint="eastAsia" w:ascii="宋体" w:hAnsi="宋体" w:cs="宋体"/>
                <w:b/>
                <w:color w:val="auto"/>
                <w:szCs w:val="21"/>
                <w:highlight w:val="none"/>
              </w:rPr>
            </w:pPr>
          </w:p>
        </w:tc>
        <w:tc>
          <w:tcPr>
            <w:tcW w:w="850" w:type="dxa"/>
            <w:noWrap w:val="0"/>
            <w:vAlign w:val="center"/>
          </w:tcPr>
          <w:p w14:paraId="5DF69E31">
            <w:pPr>
              <w:spacing w:line="320" w:lineRule="exact"/>
              <w:jc w:val="center"/>
              <w:rPr>
                <w:rFonts w:hint="eastAsia" w:ascii="宋体" w:hAnsi="宋体" w:cs="宋体"/>
                <w:b/>
                <w:color w:val="auto"/>
                <w:szCs w:val="21"/>
                <w:highlight w:val="none"/>
              </w:rPr>
            </w:pPr>
          </w:p>
        </w:tc>
        <w:tc>
          <w:tcPr>
            <w:tcW w:w="993" w:type="dxa"/>
            <w:noWrap w:val="0"/>
            <w:vAlign w:val="center"/>
          </w:tcPr>
          <w:p w14:paraId="3EDD8E6D">
            <w:pPr>
              <w:spacing w:line="320" w:lineRule="exact"/>
              <w:jc w:val="center"/>
              <w:rPr>
                <w:rFonts w:hint="eastAsia" w:ascii="宋体" w:hAnsi="宋体" w:cs="宋体"/>
                <w:b/>
                <w:color w:val="auto"/>
                <w:szCs w:val="21"/>
                <w:highlight w:val="none"/>
              </w:rPr>
            </w:pPr>
          </w:p>
        </w:tc>
        <w:tc>
          <w:tcPr>
            <w:tcW w:w="1984" w:type="dxa"/>
            <w:noWrap w:val="0"/>
            <w:vAlign w:val="center"/>
          </w:tcPr>
          <w:p w14:paraId="17006646">
            <w:pPr>
              <w:spacing w:line="320" w:lineRule="exact"/>
              <w:jc w:val="center"/>
              <w:rPr>
                <w:rFonts w:hint="eastAsia" w:ascii="宋体" w:hAnsi="宋体" w:cs="宋体"/>
                <w:b/>
                <w:color w:val="auto"/>
                <w:szCs w:val="21"/>
                <w:highlight w:val="none"/>
              </w:rPr>
            </w:pPr>
          </w:p>
        </w:tc>
        <w:tc>
          <w:tcPr>
            <w:tcW w:w="1843" w:type="dxa"/>
            <w:noWrap w:val="0"/>
            <w:vAlign w:val="center"/>
          </w:tcPr>
          <w:p w14:paraId="7F6D7009">
            <w:pPr>
              <w:spacing w:line="320" w:lineRule="exact"/>
              <w:jc w:val="center"/>
              <w:rPr>
                <w:rFonts w:hint="eastAsia" w:ascii="宋体" w:hAnsi="宋体" w:cs="宋体"/>
                <w:b/>
                <w:color w:val="auto"/>
                <w:szCs w:val="21"/>
                <w:highlight w:val="none"/>
              </w:rPr>
            </w:pPr>
          </w:p>
        </w:tc>
      </w:tr>
      <w:tr w14:paraId="56BF6B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FFB96AA">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noWrap w:val="0"/>
            <w:vAlign w:val="center"/>
          </w:tcPr>
          <w:p w14:paraId="5460591B">
            <w:pPr>
              <w:spacing w:line="320" w:lineRule="exact"/>
              <w:jc w:val="center"/>
              <w:rPr>
                <w:rFonts w:hint="eastAsia" w:ascii="宋体" w:hAnsi="宋体" w:cs="宋体"/>
                <w:color w:val="auto"/>
                <w:szCs w:val="21"/>
                <w:highlight w:val="none"/>
              </w:rPr>
            </w:pPr>
          </w:p>
        </w:tc>
        <w:tc>
          <w:tcPr>
            <w:tcW w:w="709" w:type="dxa"/>
            <w:noWrap w:val="0"/>
            <w:vAlign w:val="center"/>
          </w:tcPr>
          <w:p w14:paraId="598F70DC">
            <w:pPr>
              <w:spacing w:line="320" w:lineRule="exact"/>
              <w:jc w:val="center"/>
              <w:rPr>
                <w:rFonts w:hint="eastAsia" w:ascii="宋体" w:hAnsi="宋体" w:cs="宋体"/>
                <w:color w:val="auto"/>
                <w:szCs w:val="21"/>
                <w:highlight w:val="none"/>
              </w:rPr>
            </w:pPr>
          </w:p>
        </w:tc>
        <w:tc>
          <w:tcPr>
            <w:tcW w:w="850" w:type="dxa"/>
            <w:noWrap w:val="0"/>
            <w:vAlign w:val="center"/>
          </w:tcPr>
          <w:p w14:paraId="0809EC13">
            <w:pPr>
              <w:spacing w:line="320" w:lineRule="exact"/>
              <w:jc w:val="center"/>
              <w:rPr>
                <w:rFonts w:hint="eastAsia" w:ascii="宋体" w:hAnsi="宋体" w:cs="宋体"/>
                <w:color w:val="auto"/>
                <w:szCs w:val="21"/>
                <w:highlight w:val="none"/>
              </w:rPr>
            </w:pPr>
          </w:p>
        </w:tc>
        <w:tc>
          <w:tcPr>
            <w:tcW w:w="993" w:type="dxa"/>
            <w:noWrap w:val="0"/>
            <w:vAlign w:val="center"/>
          </w:tcPr>
          <w:p w14:paraId="7ED9365B">
            <w:pPr>
              <w:spacing w:line="320" w:lineRule="exact"/>
              <w:jc w:val="center"/>
              <w:rPr>
                <w:rFonts w:hint="eastAsia" w:ascii="宋体" w:hAnsi="宋体" w:cs="宋体"/>
                <w:color w:val="auto"/>
                <w:szCs w:val="21"/>
                <w:highlight w:val="none"/>
              </w:rPr>
            </w:pPr>
          </w:p>
        </w:tc>
        <w:tc>
          <w:tcPr>
            <w:tcW w:w="1984" w:type="dxa"/>
            <w:noWrap w:val="0"/>
            <w:vAlign w:val="center"/>
          </w:tcPr>
          <w:p w14:paraId="00D5FEF3">
            <w:pPr>
              <w:spacing w:line="320" w:lineRule="exact"/>
              <w:jc w:val="center"/>
              <w:rPr>
                <w:rFonts w:hint="eastAsia" w:ascii="宋体" w:hAnsi="宋体" w:cs="宋体"/>
                <w:color w:val="auto"/>
                <w:szCs w:val="21"/>
                <w:highlight w:val="none"/>
              </w:rPr>
            </w:pPr>
          </w:p>
        </w:tc>
        <w:tc>
          <w:tcPr>
            <w:tcW w:w="1843" w:type="dxa"/>
            <w:noWrap w:val="0"/>
            <w:vAlign w:val="center"/>
          </w:tcPr>
          <w:p w14:paraId="36D7ADE0">
            <w:pPr>
              <w:spacing w:line="320" w:lineRule="exact"/>
              <w:jc w:val="center"/>
              <w:rPr>
                <w:rFonts w:hint="eastAsia" w:ascii="宋体" w:hAnsi="宋体" w:cs="宋体"/>
                <w:color w:val="auto"/>
                <w:szCs w:val="21"/>
                <w:highlight w:val="none"/>
              </w:rPr>
            </w:pPr>
          </w:p>
        </w:tc>
      </w:tr>
      <w:tr w14:paraId="4A774D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51A8F566">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环境标志产品</w:t>
            </w:r>
          </w:p>
        </w:tc>
      </w:tr>
      <w:tr w14:paraId="13FC2A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A28D1EE">
            <w:pPr>
              <w:spacing w:line="320" w:lineRule="exact"/>
              <w:jc w:val="center"/>
              <w:rPr>
                <w:rFonts w:hint="eastAsia" w:ascii="宋体" w:hAnsi="宋体" w:cs="宋体"/>
                <w:b/>
                <w:color w:val="auto"/>
                <w:szCs w:val="21"/>
                <w:highlight w:val="none"/>
              </w:rPr>
            </w:pPr>
          </w:p>
        </w:tc>
        <w:tc>
          <w:tcPr>
            <w:tcW w:w="1739" w:type="dxa"/>
            <w:noWrap w:val="0"/>
            <w:vAlign w:val="center"/>
          </w:tcPr>
          <w:p w14:paraId="28F5F51D">
            <w:pPr>
              <w:spacing w:line="320" w:lineRule="exact"/>
              <w:jc w:val="center"/>
              <w:rPr>
                <w:rFonts w:hint="eastAsia" w:ascii="宋体" w:hAnsi="宋体" w:cs="宋体"/>
                <w:b/>
                <w:color w:val="auto"/>
                <w:szCs w:val="21"/>
                <w:highlight w:val="none"/>
              </w:rPr>
            </w:pPr>
          </w:p>
        </w:tc>
        <w:tc>
          <w:tcPr>
            <w:tcW w:w="709" w:type="dxa"/>
            <w:noWrap w:val="0"/>
            <w:vAlign w:val="center"/>
          </w:tcPr>
          <w:p w14:paraId="72B0D097">
            <w:pPr>
              <w:spacing w:line="320" w:lineRule="exact"/>
              <w:jc w:val="center"/>
              <w:rPr>
                <w:rFonts w:hint="eastAsia" w:ascii="宋体" w:hAnsi="宋体" w:cs="宋体"/>
                <w:b/>
                <w:color w:val="auto"/>
                <w:szCs w:val="21"/>
                <w:highlight w:val="none"/>
              </w:rPr>
            </w:pPr>
          </w:p>
        </w:tc>
        <w:tc>
          <w:tcPr>
            <w:tcW w:w="850" w:type="dxa"/>
            <w:noWrap w:val="0"/>
            <w:vAlign w:val="center"/>
          </w:tcPr>
          <w:p w14:paraId="1CA074BB">
            <w:pPr>
              <w:spacing w:line="320" w:lineRule="exact"/>
              <w:jc w:val="center"/>
              <w:rPr>
                <w:rFonts w:hint="eastAsia" w:ascii="宋体" w:hAnsi="宋体" w:cs="宋体"/>
                <w:b/>
                <w:color w:val="auto"/>
                <w:szCs w:val="21"/>
                <w:highlight w:val="none"/>
              </w:rPr>
            </w:pPr>
          </w:p>
        </w:tc>
        <w:tc>
          <w:tcPr>
            <w:tcW w:w="993" w:type="dxa"/>
            <w:noWrap w:val="0"/>
            <w:vAlign w:val="center"/>
          </w:tcPr>
          <w:p w14:paraId="1E560D22">
            <w:pPr>
              <w:spacing w:line="320" w:lineRule="exact"/>
              <w:jc w:val="center"/>
              <w:rPr>
                <w:rFonts w:hint="eastAsia" w:ascii="宋体" w:hAnsi="宋体" w:cs="宋体"/>
                <w:b/>
                <w:color w:val="auto"/>
                <w:szCs w:val="21"/>
                <w:highlight w:val="none"/>
              </w:rPr>
            </w:pPr>
          </w:p>
        </w:tc>
        <w:tc>
          <w:tcPr>
            <w:tcW w:w="1984" w:type="dxa"/>
            <w:noWrap w:val="0"/>
            <w:vAlign w:val="center"/>
          </w:tcPr>
          <w:p w14:paraId="525D7496">
            <w:pPr>
              <w:spacing w:line="320" w:lineRule="exact"/>
              <w:jc w:val="center"/>
              <w:rPr>
                <w:rFonts w:hint="eastAsia" w:ascii="宋体" w:hAnsi="宋体" w:cs="宋体"/>
                <w:b/>
                <w:color w:val="auto"/>
                <w:szCs w:val="21"/>
                <w:highlight w:val="none"/>
              </w:rPr>
            </w:pPr>
          </w:p>
        </w:tc>
        <w:tc>
          <w:tcPr>
            <w:tcW w:w="1843" w:type="dxa"/>
            <w:noWrap w:val="0"/>
            <w:vAlign w:val="center"/>
          </w:tcPr>
          <w:p w14:paraId="64ED47EE">
            <w:pPr>
              <w:spacing w:line="320" w:lineRule="exact"/>
              <w:jc w:val="center"/>
              <w:rPr>
                <w:rFonts w:hint="eastAsia" w:ascii="宋体" w:hAnsi="宋体" w:cs="宋体"/>
                <w:b/>
                <w:color w:val="auto"/>
                <w:szCs w:val="21"/>
                <w:highlight w:val="none"/>
              </w:rPr>
            </w:pPr>
          </w:p>
        </w:tc>
      </w:tr>
      <w:tr w14:paraId="5A5C9B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C64348D">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noWrap w:val="0"/>
            <w:vAlign w:val="center"/>
          </w:tcPr>
          <w:p w14:paraId="7DCF308D">
            <w:pPr>
              <w:spacing w:line="320" w:lineRule="exact"/>
              <w:jc w:val="center"/>
              <w:rPr>
                <w:rFonts w:hint="eastAsia" w:ascii="宋体" w:hAnsi="宋体" w:cs="宋体"/>
                <w:color w:val="auto"/>
                <w:szCs w:val="21"/>
                <w:highlight w:val="none"/>
              </w:rPr>
            </w:pPr>
          </w:p>
        </w:tc>
        <w:tc>
          <w:tcPr>
            <w:tcW w:w="709" w:type="dxa"/>
            <w:noWrap w:val="0"/>
            <w:vAlign w:val="center"/>
          </w:tcPr>
          <w:p w14:paraId="117FC704">
            <w:pPr>
              <w:spacing w:line="320" w:lineRule="exact"/>
              <w:jc w:val="center"/>
              <w:rPr>
                <w:rFonts w:hint="eastAsia" w:ascii="宋体" w:hAnsi="宋体" w:cs="宋体"/>
                <w:color w:val="auto"/>
                <w:szCs w:val="21"/>
                <w:highlight w:val="none"/>
              </w:rPr>
            </w:pPr>
          </w:p>
        </w:tc>
        <w:tc>
          <w:tcPr>
            <w:tcW w:w="850" w:type="dxa"/>
            <w:noWrap w:val="0"/>
            <w:vAlign w:val="center"/>
          </w:tcPr>
          <w:p w14:paraId="7176A949">
            <w:pPr>
              <w:spacing w:line="320" w:lineRule="exact"/>
              <w:jc w:val="center"/>
              <w:rPr>
                <w:rFonts w:hint="eastAsia" w:ascii="宋体" w:hAnsi="宋体" w:cs="宋体"/>
                <w:color w:val="auto"/>
                <w:szCs w:val="21"/>
                <w:highlight w:val="none"/>
              </w:rPr>
            </w:pPr>
          </w:p>
        </w:tc>
        <w:tc>
          <w:tcPr>
            <w:tcW w:w="993" w:type="dxa"/>
            <w:noWrap w:val="0"/>
            <w:vAlign w:val="center"/>
          </w:tcPr>
          <w:p w14:paraId="3CBD90FD">
            <w:pPr>
              <w:spacing w:line="320" w:lineRule="exact"/>
              <w:jc w:val="center"/>
              <w:rPr>
                <w:rFonts w:hint="eastAsia" w:ascii="宋体" w:hAnsi="宋体" w:cs="宋体"/>
                <w:color w:val="auto"/>
                <w:szCs w:val="21"/>
                <w:highlight w:val="none"/>
              </w:rPr>
            </w:pPr>
          </w:p>
        </w:tc>
        <w:tc>
          <w:tcPr>
            <w:tcW w:w="1984" w:type="dxa"/>
            <w:noWrap w:val="0"/>
            <w:vAlign w:val="center"/>
          </w:tcPr>
          <w:p w14:paraId="0ABBFB58">
            <w:pPr>
              <w:spacing w:line="320" w:lineRule="exact"/>
              <w:jc w:val="center"/>
              <w:rPr>
                <w:rFonts w:hint="eastAsia" w:ascii="宋体" w:hAnsi="宋体" w:cs="宋体"/>
                <w:color w:val="auto"/>
                <w:szCs w:val="21"/>
                <w:highlight w:val="none"/>
              </w:rPr>
            </w:pPr>
          </w:p>
        </w:tc>
        <w:tc>
          <w:tcPr>
            <w:tcW w:w="1843" w:type="dxa"/>
            <w:noWrap w:val="0"/>
            <w:vAlign w:val="center"/>
          </w:tcPr>
          <w:p w14:paraId="4F5A377E">
            <w:pPr>
              <w:spacing w:line="320" w:lineRule="exact"/>
              <w:jc w:val="center"/>
              <w:rPr>
                <w:rFonts w:hint="eastAsia" w:ascii="宋体" w:hAnsi="宋体" w:cs="宋体"/>
                <w:color w:val="auto"/>
                <w:szCs w:val="21"/>
                <w:highlight w:val="none"/>
              </w:rPr>
            </w:pPr>
          </w:p>
        </w:tc>
      </w:tr>
    </w:tbl>
    <w:p w14:paraId="79247347">
      <w:pPr>
        <w:adjustRightInd w:val="0"/>
        <w:snapToGrid w:val="0"/>
        <w:spacing w:before="120" w:beforeLines="50" w:after="120" w:afterLines="50"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说明：</w:t>
      </w:r>
      <w:r>
        <w:rPr>
          <w:rFonts w:hint="eastAsia" w:ascii="宋体" w:hAnsi="宋体" w:cs="宋体"/>
          <w:bCs/>
          <w:color w:val="auto"/>
          <w:szCs w:val="21"/>
          <w:highlight w:val="none"/>
        </w:rPr>
        <w:t>1、</w:t>
      </w:r>
      <w:r>
        <w:rPr>
          <w:rFonts w:hint="eastAsia" w:ascii="宋体" w:hAnsi="宋体" w:cs="宋体"/>
          <w:color w:val="auto"/>
          <w:szCs w:val="21"/>
          <w:highlight w:val="none"/>
        </w:rPr>
        <w:t>本表用于计算节能产品、环境标志产品应享受的政策功能加分。</w:t>
      </w:r>
    </w:p>
    <w:p w14:paraId="51EA0604">
      <w:pPr>
        <w:adjustRightInd w:val="0"/>
        <w:snapToGrid w:val="0"/>
        <w:spacing w:before="120" w:beforeLines="50" w:after="120" w:afterLines="50" w:line="320" w:lineRule="exact"/>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2、栏目7“政策功能编码”是指货物的中国环境标志认证证书编号、节能标志认证证书号、编号(货物同时属于节能产品、环境标志产品的，只填写一种)。</w:t>
      </w:r>
    </w:p>
    <w:p w14:paraId="14416224">
      <w:pPr>
        <w:adjustRightInd w:val="0"/>
        <w:snapToGrid w:val="0"/>
        <w:spacing w:before="120" w:beforeLines="50" w:after="120" w:afterLines="50" w:line="320" w:lineRule="exact"/>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3、栏目4“单价”为综合单价，包含货物所有隐含的内容，如运输费、保险费、管理费和利润等。</w:t>
      </w:r>
    </w:p>
    <w:p w14:paraId="2BC12C27">
      <w:pPr>
        <w:adjustRightInd w:val="0"/>
        <w:snapToGrid w:val="0"/>
        <w:spacing w:before="120" w:beforeLines="50" w:after="120" w:afterLines="50" w:line="320" w:lineRule="exact"/>
        <w:ind w:firstLine="630" w:firstLineChars="300"/>
        <w:rPr>
          <w:rFonts w:hint="eastAsia" w:ascii="宋体" w:hAnsi="宋体" w:cs="宋体"/>
          <w:bCs/>
          <w:color w:val="auto"/>
          <w:szCs w:val="21"/>
          <w:highlight w:val="none"/>
        </w:rPr>
      </w:pPr>
      <w:r>
        <w:rPr>
          <w:rFonts w:hint="eastAsia" w:ascii="宋体" w:hAnsi="宋体" w:cs="宋体"/>
          <w:bCs/>
          <w:color w:val="auto"/>
          <w:szCs w:val="21"/>
          <w:highlight w:val="none"/>
        </w:rPr>
        <w:t>4、未按上述要求提供、</w:t>
      </w:r>
      <w:r>
        <w:rPr>
          <w:rFonts w:hint="eastAsia" w:ascii="宋体" w:hAnsi="宋体" w:cs="宋体"/>
          <w:color w:val="auto"/>
          <w:szCs w:val="21"/>
          <w:highlight w:val="none"/>
        </w:rPr>
        <w:t>填写，或者提供的内容不真实的，</w:t>
      </w:r>
      <w:r>
        <w:rPr>
          <w:rFonts w:hint="eastAsia" w:ascii="宋体" w:hAnsi="宋体" w:cs="宋体"/>
          <w:bCs/>
          <w:color w:val="auto"/>
          <w:szCs w:val="21"/>
          <w:highlight w:val="none"/>
        </w:rPr>
        <w:t>评审时本表所有优惠不予以考虑。</w:t>
      </w:r>
    </w:p>
    <w:p w14:paraId="4B61A399">
      <w:pPr>
        <w:adjustRightInd w:val="0"/>
        <w:snapToGrid w:val="0"/>
        <w:spacing w:line="360" w:lineRule="auto"/>
        <w:ind w:firstLine="630" w:firstLineChars="300"/>
        <w:rPr>
          <w:rFonts w:hint="eastAsia" w:ascii="宋体" w:hAnsi="宋体" w:cs="宋体"/>
          <w:bCs/>
          <w:color w:val="auto"/>
          <w:szCs w:val="21"/>
          <w:highlight w:val="none"/>
        </w:rPr>
      </w:pPr>
    </w:p>
    <w:p w14:paraId="6095CE9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供应商名称（单位章）：</w:t>
      </w:r>
    </w:p>
    <w:p w14:paraId="4119BD0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r>
        <w:rPr>
          <w:rFonts w:hint="eastAsia" w:ascii="宋体" w:hAnsi="宋体" w:cs="宋体"/>
          <w:color w:val="auto"/>
          <w:szCs w:val="21"/>
          <w:highlight w:val="none"/>
          <w:u w:val="single"/>
        </w:rPr>
        <w:t xml:space="preserve">       </w:t>
      </w:r>
    </w:p>
    <w:p w14:paraId="36BCFCE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A59097F">
      <w:pPr>
        <w:adjustRightInd w:val="0"/>
        <w:snapToGrid w:val="0"/>
        <w:spacing w:line="360" w:lineRule="auto"/>
        <w:ind w:firstLine="422" w:firstLineChars="200"/>
        <w:rPr>
          <w:rFonts w:hint="eastAsia" w:ascii="宋体" w:hAnsi="宋体" w:cs="宋体"/>
          <w:b/>
          <w:color w:val="auto"/>
          <w:szCs w:val="21"/>
          <w:highlight w:val="none"/>
        </w:rPr>
      </w:pPr>
    </w:p>
    <w:p w14:paraId="59F7266C">
      <w:pPr>
        <w:bidi w:val="0"/>
        <w:jc w:val="center"/>
        <w:rPr>
          <w:rFonts w:hint="eastAsia" w:ascii="宋体" w:hAnsi="宋体"/>
          <w:b/>
          <w:color w:val="auto"/>
          <w:sz w:val="32"/>
          <w:szCs w:val="32"/>
        </w:rPr>
      </w:pPr>
      <w:r>
        <w:rPr>
          <w:rFonts w:ascii="宋体" w:hAnsi="宋体"/>
          <w:b/>
          <w:bCs/>
          <w:color w:val="auto"/>
          <w:sz w:val="32"/>
          <w:szCs w:val="32"/>
        </w:rPr>
        <w:br w:type="page"/>
      </w:r>
      <w:bookmarkStart w:id="61" w:name="_Toc11879759"/>
      <w:r>
        <w:rPr>
          <w:rFonts w:hint="eastAsia" w:ascii="宋体" w:hAnsi="宋体" w:cs="宋体"/>
          <w:b/>
          <w:color w:val="auto"/>
          <w:sz w:val="32"/>
          <w:szCs w:val="32"/>
        </w:rPr>
        <w:t>七、报价一览表及报价文件</w:t>
      </w:r>
      <w:bookmarkEnd w:id="61"/>
    </w:p>
    <w:p w14:paraId="7EBBF850">
      <w:pPr>
        <w:pStyle w:val="4"/>
        <w:rPr>
          <w:rFonts w:hint="default" w:ascii="宋体" w:hAnsi="宋体" w:eastAsia="宋体"/>
          <w:sz w:val="21"/>
          <w:szCs w:val="21"/>
          <w:lang w:val="en-US" w:eastAsia="zh-CN"/>
        </w:rPr>
      </w:pPr>
      <w:r>
        <w:rPr>
          <w:rFonts w:hint="eastAsia" w:ascii="宋体" w:hAnsi="宋体"/>
          <w:color w:val="auto"/>
          <w:sz w:val="28"/>
          <w:szCs w:val="28"/>
        </w:rPr>
        <w:t>附件</w:t>
      </w:r>
      <w:r>
        <w:rPr>
          <w:rFonts w:hint="eastAsia" w:ascii="宋体" w:hAnsi="宋体"/>
          <w:color w:val="auto"/>
          <w:sz w:val="28"/>
          <w:szCs w:val="28"/>
          <w:lang w:val="en-US" w:eastAsia="zh-CN"/>
        </w:rPr>
        <w:t>9</w:t>
      </w:r>
    </w:p>
    <w:p w14:paraId="046C5486">
      <w:pPr>
        <w:tabs>
          <w:tab w:val="left" w:pos="3600"/>
        </w:tabs>
        <w:adjustRightInd w:val="0"/>
        <w:snapToGrid w:val="0"/>
        <w:jc w:val="center"/>
        <w:rPr>
          <w:rFonts w:hint="default" w:ascii="Times New Roman" w:hAnsi="Times New Roman" w:eastAsia="黑体" w:cs="Times New Roman"/>
          <w:bCs/>
          <w:spacing w:val="6"/>
          <w:kern w:val="0"/>
          <w:sz w:val="30"/>
          <w:szCs w:val="30"/>
        </w:rPr>
      </w:pPr>
      <w:r>
        <w:rPr>
          <w:rFonts w:hint="default" w:ascii="Times New Roman" w:hAnsi="Times New Roman" w:eastAsia="黑体" w:cs="Times New Roman"/>
          <w:bCs/>
          <w:spacing w:val="6"/>
          <w:kern w:val="0"/>
          <w:sz w:val="30"/>
          <w:szCs w:val="30"/>
        </w:rPr>
        <w:t>报价一览表</w:t>
      </w:r>
    </w:p>
    <w:tbl>
      <w:tblPr>
        <w:tblStyle w:val="44"/>
        <w:tblpPr w:leftFromText="180" w:rightFromText="180" w:vertAnchor="text" w:horzAnchor="page" w:tblpX="1487" w:tblpY="412"/>
        <w:tblOverlap w:val="never"/>
        <w:tblW w:w="0" w:type="auto"/>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108" w:type="dxa"/>
          <w:bottom w:w="0" w:type="dxa"/>
          <w:right w:w="108" w:type="dxa"/>
        </w:tblCellMar>
      </w:tblPr>
      <w:tblGrid>
        <w:gridCol w:w="2346"/>
        <w:gridCol w:w="2988"/>
        <w:gridCol w:w="1664"/>
        <w:gridCol w:w="1922"/>
      </w:tblGrid>
      <w:tr w14:paraId="64B2485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restart"/>
            <w:tcBorders>
              <w:top w:val="double" w:color="auto" w:sz="4" w:space="0"/>
              <w:left w:val="double" w:color="auto" w:sz="4" w:space="0"/>
              <w:bottom w:val="single" w:color="auto" w:sz="4" w:space="0"/>
              <w:right w:val="single" w:color="auto" w:sz="4" w:space="0"/>
            </w:tcBorders>
            <w:noWrap w:val="0"/>
            <w:vAlign w:val="center"/>
          </w:tcPr>
          <w:p w14:paraId="7E34F31D">
            <w:pPr>
              <w:ind w:right="23" w:rightChars="11"/>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2988" w:type="dxa"/>
            <w:vMerge w:val="restart"/>
            <w:tcBorders>
              <w:top w:val="double" w:color="auto" w:sz="4" w:space="0"/>
              <w:left w:val="single" w:color="auto" w:sz="4" w:space="0"/>
              <w:bottom w:val="single" w:color="auto" w:sz="4" w:space="0"/>
              <w:right w:val="single" w:color="auto" w:sz="4" w:space="0"/>
            </w:tcBorders>
            <w:noWrap w:val="0"/>
            <w:vAlign w:val="center"/>
          </w:tcPr>
          <w:p w14:paraId="25DDBF87">
            <w:pPr>
              <w:ind w:right="23" w:rightChars="11"/>
              <w:jc w:val="center"/>
              <w:rPr>
                <w:rFonts w:hint="default" w:ascii="Times New Roman" w:hAnsi="Times New Roman" w:cs="Times New Roman"/>
                <w:szCs w:val="21"/>
              </w:rPr>
            </w:pPr>
          </w:p>
        </w:tc>
        <w:tc>
          <w:tcPr>
            <w:tcW w:w="1664" w:type="dxa"/>
            <w:tcBorders>
              <w:top w:val="double" w:color="auto" w:sz="4" w:space="0"/>
              <w:left w:val="single" w:color="auto" w:sz="4" w:space="0"/>
              <w:bottom w:val="single" w:color="auto" w:sz="4" w:space="0"/>
              <w:right w:val="single" w:color="auto" w:sz="4" w:space="0"/>
            </w:tcBorders>
            <w:noWrap w:val="0"/>
            <w:vAlign w:val="center"/>
          </w:tcPr>
          <w:p w14:paraId="1BF8EBA0">
            <w:pPr>
              <w:ind w:right="23" w:rightChars="11"/>
              <w:jc w:val="center"/>
              <w:rPr>
                <w:rFonts w:hint="eastAsia" w:ascii="Times New Roman" w:hAnsi="Times New Roman" w:eastAsia="宋体" w:cs="Times New Roman"/>
                <w:szCs w:val="21"/>
                <w:lang w:eastAsia="zh-CN"/>
              </w:rPr>
            </w:pPr>
            <w:r>
              <w:rPr>
                <w:rFonts w:hint="eastAsia" w:cs="Times New Roman"/>
                <w:szCs w:val="21"/>
                <w:lang w:eastAsia="zh-CN"/>
              </w:rPr>
              <w:t>政府采购计划编号</w:t>
            </w:r>
          </w:p>
        </w:tc>
        <w:tc>
          <w:tcPr>
            <w:tcW w:w="1922" w:type="dxa"/>
            <w:tcBorders>
              <w:top w:val="double" w:color="auto" w:sz="4" w:space="0"/>
              <w:left w:val="single" w:color="auto" w:sz="4" w:space="0"/>
              <w:bottom w:val="single" w:color="auto" w:sz="4" w:space="0"/>
              <w:right w:val="double" w:color="auto" w:sz="4" w:space="0"/>
            </w:tcBorders>
            <w:noWrap w:val="0"/>
            <w:vAlign w:val="center"/>
          </w:tcPr>
          <w:p w14:paraId="41B1C6BC">
            <w:pPr>
              <w:ind w:right="23" w:rightChars="11"/>
              <w:jc w:val="center"/>
              <w:rPr>
                <w:rFonts w:hint="default" w:ascii="Times New Roman" w:hAnsi="Times New Roman" w:eastAsia="宋体" w:cs="Times New Roman"/>
                <w:szCs w:val="21"/>
                <w:lang w:val="en-US" w:eastAsia="zh-CN"/>
              </w:rPr>
            </w:pPr>
            <w:r>
              <w:rPr>
                <w:rFonts w:hint="eastAsia" w:cs="Times New Roman"/>
                <w:szCs w:val="21"/>
                <w:lang w:val="en-US" w:eastAsia="zh-CN"/>
              </w:rPr>
              <w:t xml:space="preserve"> </w:t>
            </w:r>
          </w:p>
        </w:tc>
      </w:tr>
      <w:tr w14:paraId="7A3EA537">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continue"/>
            <w:tcBorders>
              <w:top w:val="single" w:color="auto" w:sz="4" w:space="0"/>
              <w:left w:val="double" w:color="auto" w:sz="4" w:space="0"/>
              <w:bottom w:val="single" w:color="auto" w:sz="4" w:space="0"/>
              <w:right w:val="single" w:color="auto" w:sz="4" w:space="0"/>
            </w:tcBorders>
            <w:noWrap w:val="0"/>
            <w:vAlign w:val="center"/>
          </w:tcPr>
          <w:p w14:paraId="40DECC14">
            <w:pPr>
              <w:ind w:right="23" w:rightChars="11"/>
              <w:jc w:val="center"/>
              <w:rPr>
                <w:rFonts w:hint="default" w:ascii="Times New Roman" w:hAnsi="Times New Roman" w:cs="Times New Roman"/>
                <w:szCs w:val="21"/>
              </w:rPr>
            </w:pPr>
          </w:p>
        </w:tc>
        <w:tc>
          <w:tcPr>
            <w:tcW w:w="2988" w:type="dxa"/>
            <w:vMerge w:val="continue"/>
            <w:tcBorders>
              <w:top w:val="single" w:color="auto" w:sz="4" w:space="0"/>
              <w:left w:val="single" w:color="auto" w:sz="4" w:space="0"/>
              <w:bottom w:val="single" w:color="auto" w:sz="4" w:space="0"/>
              <w:right w:val="single" w:color="auto" w:sz="4" w:space="0"/>
            </w:tcBorders>
            <w:noWrap w:val="0"/>
            <w:vAlign w:val="center"/>
          </w:tcPr>
          <w:p w14:paraId="03DDC275">
            <w:pPr>
              <w:ind w:right="23" w:rightChars="11"/>
              <w:jc w:val="center"/>
              <w:rPr>
                <w:rFonts w:hint="default" w:ascii="Times New Roman" w:hAnsi="Times New Roman" w:cs="Times New Roman"/>
                <w:szCs w:val="21"/>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14:paraId="5E1A8A4D">
            <w:pPr>
              <w:ind w:right="23" w:rightChars="11"/>
              <w:jc w:val="center"/>
              <w:rPr>
                <w:rFonts w:hint="default" w:ascii="Times New Roman" w:hAnsi="Times New Roman" w:cs="Times New Roman"/>
                <w:szCs w:val="21"/>
              </w:rPr>
            </w:pPr>
            <w:r>
              <w:rPr>
                <w:rFonts w:hint="default" w:ascii="Times New Roman" w:hAnsi="Times New Roman" w:cs="Times New Roman"/>
                <w:szCs w:val="21"/>
              </w:rPr>
              <w:t>采购</w:t>
            </w:r>
            <w:r>
              <w:rPr>
                <w:rFonts w:hint="eastAsia" w:cs="Times New Roman"/>
                <w:szCs w:val="21"/>
                <w:lang w:val="en-US" w:eastAsia="zh-CN"/>
              </w:rPr>
              <w:t>项目</w:t>
            </w:r>
            <w:r>
              <w:rPr>
                <w:rFonts w:hint="default" w:ascii="Times New Roman" w:hAnsi="Times New Roman" w:cs="Times New Roman"/>
                <w:szCs w:val="21"/>
              </w:rPr>
              <w:t>编号</w:t>
            </w:r>
          </w:p>
        </w:tc>
        <w:tc>
          <w:tcPr>
            <w:tcW w:w="1922" w:type="dxa"/>
            <w:tcBorders>
              <w:top w:val="single" w:color="auto" w:sz="4" w:space="0"/>
              <w:left w:val="single" w:color="auto" w:sz="4" w:space="0"/>
              <w:bottom w:val="single" w:color="auto" w:sz="4" w:space="0"/>
              <w:right w:val="double" w:color="auto" w:sz="4" w:space="0"/>
            </w:tcBorders>
            <w:noWrap w:val="0"/>
            <w:vAlign w:val="center"/>
          </w:tcPr>
          <w:p w14:paraId="13D9A89E">
            <w:pPr>
              <w:ind w:right="23" w:rightChars="11"/>
              <w:jc w:val="center"/>
              <w:rPr>
                <w:rFonts w:hint="default" w:ascii="Times New Roman" w:hAnsi="Times New Roman" w:cs="Times New Roman"/>
                <w:szCs w:val="21"/>
              </w:rPr>
            </w:pPr>
          </w:p>
        </w:tc>
      </w:tr>
      <w:tr w14:paraId="508A492F">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1BAB92BF">
            <w:pPr>
              <w:ind w:right="23" w:rightChars="11"/>
              <w:jc w:val="center"/>
              <w:rPr>
                <w:rFonts w:hint="default" w:ascii="Times New Roman" w:hAnsi="Times New Roman" w:cs="Times New Roman"/>
                <w:szCs w:val="21"/>
              </w:rPr>
            </w:pPr>
            <w:r>
              <w:rPr>
                <w:rFonts w:hint="default" w:ascii="Times New Roman" w:hAnsi="Times New Roman" w:cs="Times New Roman"/>
                <w:szCs w:val="21"/>
              </w:rPr>
              <w:t>品目代码</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3D274762">
            <w:pPr>
              <w:ind w:right="23" w:rightChars="11"/>
              <w:jc w:val="center"/>
              <w:rPr>
                <w:rFonts w:hint="default" w:ascii="Times New Roman" w:hAnsi="Times New Roman" w:eastAsia="宋体" w:cs="Times New Roman"/>
                <w:szCs w:val="21"/>
                <w:lang w:val="en-US" w:eastAsia="zh-CN"/>
              </w:rPr>
            </w:pPr>
            <w:r>
              <w:rPr>
                <w:rFonts w:hint="eastAsia" w:ascii="仿宋_GB2312" w:hAnsi="仿宋_GB2312" w:eastAsia="仿宋_GB2312" w:cs="仿宋_GB2312"/>
                <w:kern w:val="0"/>
                <w:sz w:val="24"/>
                <w:lang w:val="en-US" w:eastAsia="zh-CN"/>
              </w:rPr>
              <w:t>B08010000-房屋修缮</w:t>
            </w:r>
          </w:p>
        </w:tc>
      </w:tr>
      <w:tr w14:paraId="0C4DACE6">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66"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293C0E32">
            <w:pPr>
              <w:ind w:right="23" w:rightChars="11"/>
              <w:jc w:val="center"/>
              <w:rPr>
                <w:rFonts w:hint="default" w:ascii="Times New Roman" w:hAnsi="Times New Roman" w:cs="Times New Roman"/>
                <w:szCs w:val="21"/>
              </w:rPr>
            </w:pPr>
            <w:r>
              <w:rPr>
                <w:rFonts w:hint="default" w:ascii="Times New Roman" w:hAnsi="Times New Roman" w:cs="Times New Roman"/>
                <w:szCs w:val="21"/>
              </w:rPr>
              <w:t>工程总报价</w:t>
            </w:r>
          </w:p>
        </w:tc>
        <w:tc>
          <w:tcPr>
            <w:tcW w:w="6574" w:type="dxa"/>
            <w:gridSpan w:val="3"/>
            <w:tcBorders>
              <w:top w:val="single" w:color="auto" w:sz="4" w:space="0"/>
              <w:left w:val="single" w:color="auto" w:sz="4" w:space="0"/>
              <w:bottom w:val="single" w:color="auto" w:sz="4" w:space="0"/>
              <w:right w:val="double" w:color="auto" w:sz="4" w:space="0"/>
            </w:tcBorders>
            <w:noWrap w:val="0"/>
            <w:vAlign w:val="bottom"/>
          </w:tcPr>
          <w:p w14:paraId="069E6F83">
            <w:pPr>
              <w:spacing w:line="360" w:lineRule="auto"/>
              <w:ind w:right="23" w:rightChars="11"/>
              <w:rPr>
                <w:rFonts w:hint="default" w:ascii="Times New Roman" w:hAnsi="Times New Roman" w:cs="Times New Roman"/>
                <w:szCs w:val="21"/>
              </w:rPr>
            </w:pPr>
            <w:r>
              <w:rPr>
                <w:rFonts w:hint="default" w:ascii="Times New Roman" w:hAnsi="Times New Roman" w:cs="Times New Roman"/>
                <w:szCs w:val="21"/>
              </w:rPr>
              <w:t>大写：</w:t>
            </w:r>
            <w:r>
              <w:rPr>
                <w:rFonts w:hint="default" w:ascii="Times New Roman" w:hAnsi="Times New Roman" w:cs="Times New Roman"/>
                <w:szCs w:val="21"/>
                <w:u w:val="single"/>
              </w:rPr>
              <w:t xml:space="preserve">                    </w:t>
            </w:r>
            <w:r>
              <w:rPr>
                <w:rFonts w:hint="default" w:ascii="Times New Roman" w:hAnsi="Times New Roman" w:cs="Times New Roman"/>
                <w:szCs w:val="21"/>
              </w:rPr>
              <w:t>元人民币整</w:t>
            </w:r>
          </w:p>
          <w:p w14:paraId="50516CB0">
            <w:pPr>
              <w:spacing w:line="360" w:lineRule="auto"/>
              <w:ind w:right="23" w:rightChars="11"/>
              <w:rPr>
                <w:rFonts w:hint="default" w:ascii="Times New Roman" w:hAnsi="Times New Roman" w:cs="Times New Roman"/>
                <w:szCs w:val="21"/>
              </w:rPr>
            </w:pPr>
            <w:r>
              <w:rPr>
                <w:rFonts w:hint="default" w:ascii="Times New Roman" w:hAnsi="Times New Roman" w:cs="Times New Roman"/>
                <w:szCs w:val="21"/>
              </w:rPr>
              <w:t>小写：</w:t>
            </w:r>
            <w:r>
              <w:rPr>
                <w:rFonts w:hint="default" w:ascii="Times New Roman" w:hAnsi="Times New Roman" w:cs="Times New Roman"/>
                <w:szCs w:val="21"/>
                <w:u w:val="single"/>
              </w:rPr>
              <w:t xml:space="preserve">                    </w:t>
            </w:r>
            <w:r>
              <w:rPr>
                <w:rFonts w:hint="default" w:ascii="Times New Roman" w:hAnsi="Times New Roman" w:cs="Times New Roman"/>
                <w:szCs w:val="21"/>
              </w:rPr>
              <w:t>元人民币整</w:t>
            </w:r>
          </w:p>
        </w:tc>
      </w:tr>
      <w:tr w14:paraId="497086B5">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48DA182B">
            <w:pPr>
              <w:ind w:right="23" w:rightChars="11"/>
              <w:jc w:val="center"/>
              <w:rPr>
                <w:rFonts w:hint="default" w:ascii="Times New Roman" w:hAnsi="Times New Roman" w:cs="Times New Roman"/>
                <w:szCs w:val="21"/>
              </w:rPr>
            </w:pPr>
            <w:r>
              <w:rPr>
                <w:rFonts w:hint="default" w:ascii="Times New Roman" w:hAnsi="Times New Roman" w:cs="Times New Roman"/>
                <w:szCs w:val="21"/>
              </w:rPr>
              <w:t>工期（日历天）</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4189B34B">
            <w:pPr>
              <w:ind w:right="23" w:rightChars="11"/>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天</w:t>
            </w:r>
          </w:p>
        </w:tc>
      </w:tr>
      <w:tr w14:paraId="39DE01B4">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57DDDAD0">
            <w:pPr>
              <w:ind w:right="23" w:rightChars="11"/>
              <w:jc w:val="center"/>
              <w:rPr>
                <w:rFonts w:hint="default" w:ascii="Times New Roman" w:hAnsi="Times New Roman" w:cs="Times New Roman"/>
                <w:szCs w:val="21"/>
              </w:rPr>
            </w:pPr>
            <w:r>
              <w:rPr>
                <w:rFonts w:hint="default" w:ascii="Times New Roman" w:hAnsi="Times New Roman" w:cs="Times New Roman"/>
                <w:szCs w:val="21"/>
              </w:rPr>
              <w:t>质量等级</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613AF366">
            <w:pPr>
              <w:ind w:right="23" w:rightChars="11"/>
              <w:jc w:val="center"/>
              <w:rPr>
                <w:rFonts w:hint="default" w:ascii="Times New Roman" w:hAnsi="Times New Roman" w:cs="Times New Roman"/>
                <w:szCs w:val="21"/>
              </w:rPr>
            </w:pPr>
          </w:p>
        </w:tc>
      </w:tr>
      <w:tr w14:paraId="548D317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54413F40">
            <w:pPr>
              <w:ind w:right="23" w:rightChars="11"/>
              <w:jc w:val="center"/>
              <w:rPr>
                <w:rFonts w:hint="default" w:ascii="Times New Roman" w:hAnsi="Times New Roman" w:cs="Times New Roman"/>
                <w:szCs w:val="21"/>
              </w:rPr>
            </w:pPr>
            <w:r>
              <w:rPr>
                <w:rFonts w:hint="default" w:ascii="Times New Roman" w:hAnsi="Times New Roman" w:cs="Times New Roman"/>
                <w:szCs w:val="21"/>
              </w:rPr>
              <w:t>保修承诺</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6E8DA227">
            <w:pPr>
              <w:ind w:right="23" w:rightChars="11"/>
              <w:jc w:val="center"/>
              <w:rPr>
                <w:rFonts w:hint="default" w:ascii="Times New Roman" w:hAnsi="Times New Roman" w:cs="Times New Roman"/>
                <w:szCs w:val="21"/>
              </w:rPr>
            </w:pPr>
          </w:p>
        </w:tc>
      </w:tr>
      <w:tr w14:paraId="1AB2F50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double" w:color="auto" w:sz="4" w:space="0"/>
              <w:right w:val="single" w:color="auto" w:sz="4" w:space="0"/>
            </w:tcBorders>
            <w:noWrap w:val="0"/>
            <w:vAlign w:val="center"/>
          </w:tcPr>
          <w:p w14:paraId="52CDF471">
            <w:pPr>
              <w:ind w:right="23" w:rightChars="11"/>
              <w:jc w:val="center"/>
              <w:rPr>
                <w:rFonts w:hint="default" w:ascii="Times New Roman" w:hAnsi="Times New Roman" w:cs="Times New Roman"/>
                <w:szCs w:val="21"/>
              </w:rPr>
            </w:pPr>
            <w:r>
              <w:rPr>
                <w:rFonts w:hint="default" w:ascii="Times New Roman" w:hAnsi="Times New Roman" w:cs="Times New Roman"/>
                <w:szCs w:val="21"/>
              </w:rPr>
              <w:t>项目负责人</w:t>
            </w:r>
          </w:p>
        </w:tc>
        <w:tc>
          <w:tcPr>
            <w:tcW w:w="6574" w:type="dxa"/>
            <w:gridSpan w:val="3"/>
            <w:tcBorders>
              <w:top w:val="single" w:color="auto" w:sz="4" w:space="0"/>
              <w:left w:val="single" w:color="auto" w:sz="4" w:space="0"/>
              <w:bottom w:val="double" w:color="auto" w:sz="4" w:space="0"/>
              <w:right w:val="double" w:color="auto" w:sz="4" w:space="0"/>
            </w:tcBorders>
            <w:noWrap w:val="0"/>
            <w:vAlign w:val="center"/>
          </w:tcPr>
          <w:p w14:paraId="27594A51">
            <w:pPr>
              <w:ind w:right="23" w:rightChars="11"/>
              <w:jc w:val="center"/>
              <w:rPr>
                <w:rFonts w:hint="default" w:ascii="Times New Roman" w:hAnsi="Times New Roman" w:cs="Times New Roman"/>
                <w:szCs w:val="21"/>
              </w:rPr>
            </w:pPr>
          </w:p>
        </w:tc>
      </w:tr>
    </w:tbl>
    <w:p w14:paraId="0A959B6E">
      <w:pPr>
        <w:pStyle w:val="43"/>
        <w:rPr>
          <w:rFonts w:hint="default" w:ascii="Times New Roman" w:hAnsi="Times New Roman" w:cs="Times New Roman"/>
        </w:rPr>
      </w:pPr>
    </w:p>
    <w:p w14:paraId="5EED742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00" w:firstLineChars="200"/>
        <w:textAlignment w:val="auto"/>
        <w:rPr>
          <w:rFonts w:hint="default" w:ascii="Times New Roman" w:hAnsi="Times New Roman" w:cs="Times New Roman"/>
          <w:sz w:val="20"/>
          <w:szCs w:val="21"/>
        </w:rPr>
      </w:pPr>
      <w:r>
        <w:rPr>
          <w:rFonts w:hint="default" w:ascii="Times New Roman" w:hAnsi="Times New Roman" w:cs="Times New Roman"/>
          <w:sz w:val="20"/>
          <w:szCs w:val="21"/>
        </w:rPr>
        <w:t>说明：“品目代码”栏按《政府采购品目分类目录》规定填写，如B0303拆除工程。</w:t>
      </w:r>
    </w:p>
    <w:p w14:paraId="407F09A2">
      <w:pPr>
        <w:adjustRightInd w:val="0"/>
        <w:snapToGrid w:val="0"/>
        <w:spacing w:line="360" w:lineRule="auto"/>
        <w:rPr>
          <w:rFonts w:hint="default" w:ascii="Times New Roman" w:hAnsi="Times New Roman" w:eastAsia="黑体" w:cs="Times New Roman"/>
          <w:sz w:val="20"/>
        </w:rPr>
      </w:pPr>
    </w:p>
    <w:p w14:paraId="5B5FCB09">
      <w:pPr>
        <w:adjustRightInd w:val="0"/>
        <w:snapToGrid w:val="0"/>
        <w:spacing w:line="360" w:lineRule="auto"/>
        <w:rPr>
          <w:rFonts w:hint="default" w:ascii="Times New Roman" w:hAnsi="Times New Roman" w:eastAsia="黑体" w:cs="Times New Roman"/>
          <w:sz w:val="20"/>
        </w:rPr>
      </w:pPr>
    </w:p>
    <w:p w14:paraId="22851E41">
      <w:pPr>
        <w:pStyle w:val="27"/>
        <w:adjustRightInd w:val="0"/>
        <w:snapToGrid w:val="0"/>
        <w:spacing w:line="480" w:lineRule="auto"/>
        <w:outlineLvl w:val="0"/>
        <w:rPr>
          <w:rFonts w:hint="default" w:ascii="Times New Roman" w:hAnsi="Times New Roman" w:cs="Times New Roman"/>
          <w:sz w:val="21"/>
          <w:szCs w:val="21"/>
        </w:rPr>
      </w:pPr>
      <w:bookmarkStart w:id="62" w:name="_Toc15460"/>
      <w:r>
        <w:rPr>
          <w:rFonts w:hint="default" w:ascii="Times New Roman" w:hAnsi="Times New Roman" w:cs="Times New Roman"/>
          <w:sz w:val="21"/>
          <w:szCs w:val="21"/>
        </w:rPr>
        <w:t>供应商（盖单位章）：</w:t>
      </w:r>
      <w:bookmarkEnd w:id="62"/>
    </w:p>
    <w:p w14:paraId="2CFB03A5">
      <w:pPr>
        <w:pStyle w:val="27"/>
        <w:adjustRightInd w:val="0"/>
        <w:snapToGrid w:val="0"/>
        <w:spacing w:line="480" w:lineRule="auto"/>
        <w:outlineLvl w:val="0"/>
        <w:rPr>
          <w:rFonts w:hint="default" w:ascii="Times New Roman" w:hAnsi="Times New Roman" w:cs="Times New Roman"/>
          <w:sz w:val="21"/>
          <w:szCs w:val="21"/>
        </w:rPr>
      </w:pPr>
      <w:bookmarkStart w:id="63" w:name="_Toc1862"/>
      <w:r>
        <w:rPr>
          <w:rFonts w:hint="default" w:ascii="Times New Roman" w:hAnsi="Times New Roman" w:cs="Times New Roman"/>
          <w:sz w:val="21"/>
          <w:szCs w:val="21"/>
        </w:rPr>
        <w:t>法定代表人或其委托代理人签字：</w:t>
      </w:r>
      <w:bookmarkEnd w:id="63"/>
      <w:r>
        <w:rPr>
          <w:rFonts w:hint="default" w:ascii="Times New Roman" w:hAnsi="Times New Roman" w:cs="Times New Roman"/>
          <w:sz w:val="21"/>
          <w:szCs w:val="21"/>
        </w:rPr>
        <w:t xml:space="preserve">       </w:t>
      </w:r>
    </w:p>
    <w:p w14:paraId="7D135373">
      <w:pPr>
        <w:spacing w:line="360" w:lineRule="auto"/>
        <w:rPr>
          <w:rFonts w:hint="default" w:ascii="Times New Roman" w:hAnsi="Times New Roman" w:cs="Times New Roman"/>
        </w:rPr>
      </w:pPr>
      <w:r>
        <w:rPr>
          <w:rFonts w:hint="default" w:ascii="Times New Roman" w:hAnsi="Times New Roman" w:cs="Times New Roman"/>
          <w:spacing w:val="6"/>
          <w:kern w:val="0"/>
          <w:szCs w:val="21"/>
        </w:rPr>
        <w:t>日  期：</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年</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月</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日</w:t>
      </w:r>
    </w:p>
    <w:p w14:paraId="17381B85">
      <w:pPr>
        <w:spacing w:line="360" w:lineRule="auto"/>
        <w:ind w:firstLine="562" w:firstLineChars="200"/>
        <w:jc w:val="center"/>
        <w:rPr>
          <w:rFonts w:hint="eastAsia" w:ascii="宋体" w:hAnsi="宋体"/>
          <w:b/>
          <w:color w:val="auto"/>
          <w:sz w:val="28"/>
          <w:szCs w:val="28"/>
        </w:rPr>
      </w:pPr>
    </w:p>
    <w:p w14:paraId="77C8DED6">
      <w:pPr>
        <w:spacing w:line="360" w:lineRule="auto"/>
        <w:ind w:firstLine="211" w:firstLineChars="100"/>
        <w:rPr>
          <w:rFonts w:hint="eastAsia" w:ascii="宋体" w:hAnsi="宋体"/>
          <w:b/>
          <w:color w:val="auto"/>
        </w:rPr>
      </w:pPr>
    </w:p>
    <w:p w14:paraId="31F32F33">
      <w:pPr>
        <w:spacing w:line="360" w:lineRule="auto"/>
        <w:ind w:firstLine="211" w:firstLineChars="100"/>
        <w:rPr>
          <w:rFonts w:hint="eastAsia" w:ascii="宋体" w:hAnsi="宋体"/>
          <w:b/>
          <w:color w:val="auto"/>
        </w:rPr>
      </w:pPr>
    </w:p>
    <w:p w14:paraId="08901778">
      <w:pPr>
        <w:spacing w:line="360" w:lineRule="auto"/>
        <w:ind w:firstLine="211" w:firstLineChars="100"/>
        <w:rPr>
          <w:rFonts w:hint="eastAsia" w:ascii="宋体" w:hAnsi="宋体"/>
          <w:b/>
          <w:color w:val="auto"/>
        </w:rPr>
      </w:pPr>
    </w:p>
    <w:p w14:paraId="2B700823">
      <w:pPr>
        <w:adjustRightInd w:val="0"/>
        <w:snapToGrid w:val="0"/>
        <w:jc w:val="both"/>
        <w:outlineLvl w:val="0"/>
        <w:rPr>
          <w:rFonts w:hint="eastAsia" w:ascii="宋体" w:hAnsi="宋体"/>
          <w:bCs/>
          <w:color w:val="000000"/>
          <w:sz w:val="28"/>
          <w:szCs w:val="28"/>
        </w:rPr>
      </w:pPr>
      <w:r>
        <w:rPr>
          <w:rFonts w:ascii="宋体" w:hAnsi="宋体"/>
          <w:b/>
          <w:color w:val="auto"/>
        </w:rPr>
        <w:br w:type="page"/>
      </w:r>
      <w:r>
        <w:rPr>
          <w:rFonts w:hint="eastAsia" w:ascii="宋体" w:hAnsi="宋体" w:eastAsia="宋体" w:cs="Times New Roman"/>
          <w:b/>
          <w:bCs/>
          <w:color w:val="auto"/>
          <w:kern w:val="2"/>
          <w:sz w:val="28"/>
          <w:szCs w:val="28"/>
          <w:lang w:val="en-US" w:eastAsia="zh-CN" w:bidi="ar-SA"/>
        </w:rPr>
        <w:t>附件</w:t>
      </w:r>
      <w:r>
        <w:rPr>
          <w:rFonts w:hint="eastAsia" w:ascii="宋体" w:hAnsi="宋体" w:cs="Times New Roman"/>
          <w:b/>
          <w:bCs/>
          <w:color w:val="auto"/>
          <w:kern w:val="2"/>
          <w:sz w:val="28"/>
          <w:szCs w:val="28"/>
          <w:lang w:val="en-US" w:eastAsia="zh-CN" w:bidi="ar-SA"/>
        </w:rPr>
        <w:t>10</w:t>
      </w:r>
      <w:r>
        <w:rPr>
          <w:rFonts w:hint="eastAsia" w:ascii="宋体" w:hAnsi="宋体"/>
          <w:bCs/>
          <w:color w:val="000000"/>
          <w:sz w:val="28"/>
          <w:szCs w:val="28"/>
        </w:rPr>
        <w:t xml:space="preserve">   </w:t>
      </w:r>
      <w:bookmarkStart w:id="64" w:name="_Toc29902"/>
      <w:bookmarkStart w:id="65" w:name="_Toc11879760"/>
    </w:p>
    <w:p w14:paraId="4BF3FEAF">
      <w:pPr>
        <w:adjustRightInd w:val="0"/>
        <w:snapToGrid w:val="0"/>
        <w:jc w:val="center"/>
        <w:outlineLvl w:val="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分项价格表</w:t>
      </w:r>
      <w:bookmarkEnd w:id="64"/>
    </w:p>
    <w:p w14:paraId="49E372EB">
      <w:pPr>
        <w:adjustRightInd w:val="0"/>
        <w:snapToGrid w:val="0"/>
        <w:jc w:val="both"/>
        <w:rPr>
          <w:rFonts w:hint="eastAsia" w:cs="Times New Roman"/>
          <w:b/>
          <w:bCs/>
          <w:sz w:val="22"/>
          <w:szCs w:val="22"/>
          <w:lang w:val="en-US" w:eastAsia="zh-CN"/>
        </w:rPr>
      </w:pPr>
    </w:p>
    <w:p w14:paraId="5D5BBCE9">
      <w:pPr>
        <w:adjustRightInd w:val="0"/>
        <w:snapToGrid w:val="0"/>
        <w:jc w:val="both"/>
        <w:rPr>
          <w:rFonts w:hint="eastAsia" w:cs="Times New Roman"/>
          <w:b/>
          <w:bCs/>
          <w:sz w:val="22"/>
          <w:szCs w:val="22"/>
          <w:lang w:val="en-US" w:eastAsia="zh-CN"/>
        </w:rPr>
      </w:pPr>
    </w:p>
    <w:tbl>
      <w:tblPr>
        <w:tblStyle w:val="44"/>
        <w:tblW w:w="5790" w:type="pct"/>
        <w:jc w:val="center"/>
        <w:tblLayout w:type="autofit"/>
        <w:tblCellMar>
          <w:top w:w="0" w:type="dxa"/>
          <w:left w:w="0" w:type="dxa"/>
          <w:bottom w:w="0" w:type="dxa"/>
          <w:right w:w="0" w:type="dxa"/>
        </w:tblCellMar>
      </w:tblPr>
      <w:tblGrid>
        <w:gridCol w:w="417"/>
        <w:gridCol w:w="2361"/>
        <w:gridCol w:w="2129"/>
        <w:gridCol w:w="1157"/>
        <w:gridCol w:w="1817"/>
        <w:gridCol w:w="1651"/>
        <w:gridCol w:w="1008"/>
      </w:tblGrid>
      <w:tr w14:paraId="4CD322EC">
        <w:tblPrEx>
          <w:tblCellMar>
            <w:top w:w="0" w:type="dxa"/>
            <w:left w:w="0" w:type="dxa"/>
            <w:bottom w:w="0" w:type="dxa"/>
            <w:right w:w="0" w:type="dxa"/>
          </w:tblCellMar>
        </w:tblPrEx>
        <w:trPr>
          <w:trHeight w:val="374" w:hRule="exact"/>
          <w:jc w:val="center"/>
        </w:trPr>
        <w:tc>
          <w:tcPr>
            <w:tcW w:w="1318" w:type="pct"/>
            <w:gridSpan w:val="2"/>
            <w:vMerge w:val="restart"/>
            <w:tcBorders>
              <w:top w:val="double" w:color="auto" w:sz="4" w:space="0"/>
              <w:left w:val="double" w:color="auto" w:sz="4" w:space="0"/>
              <w:right w:val="single" w:color="auto" w:sz="6" w:space="0"/>
            </w:tcBorders>
            <w:vAlign w:val="center"/>
          </w:tcPr>
          <w:p w14:paraId="28527261">
            <w:pPr>
              <w:adjustRightInd w:val="0"/>
              <w:snapToGrid w:val="0"/>
              <w:spacing w:line="360" w:lineRule="auto"/>
              <w:ind w:right="-20"/>
              <w:jc w:val="center"/>
              <w:rPr>
                <w:rFonts w:ascii="宋体" w:hAnsi="宋体" w:cs="宋体"/>
                <w:position w:val="-1"/>
                <w:szCs w:val="20"/>
              </w:rPr>
            </w:pPr>
            <w:r>
              <w:rPr>
                <w:rFonts w:hint="eastAsia" w:ascii="宋体" w:hAnsi="宋体" w:cs="宋体"/>
                <w:position w:val="-1"/>
                <w:szCs w:val="20"/>
              </w:rPr>
              <w:t>分项项目名称</w:t>
            </w:r>
          </w:p>
        </w:tc>
        <w:tc>
          <w:tcPr>
            <w:tcW w:w="1010" w:type="pct"/>
            <w:vMerge w:val="restart"/>
            <w:tcBorders>
              <w:top w:val="double" w:color="auto" w:sz="4" w:space="0"/>
              <w:left w:val="single" w:color="auto" w:sz="6" w:space="0"/>
              <w:bottom w:val="single" w:color="auto" w:sz="6" w:space="0"/>
              <w:right w:val="single" w:color="auto" w:sz="4" w:space="0"/>
            </w:tcBorders>
            <w:vAlign w:val="center"/>
          </w:tcPr>
          <w:p w14:paraId="64F4DDA0">
            <w:pPr>
              <w:adjustRightInd w:val="0"/>
              <w:snapToGrid w:val="0"/>
              <w:spacing w:line="360" w:lineRule="auto"/>
              <w:ind w:right="-20"/>
              <w:jc w:val="center"/>
              <w:rPr>
                <w:rFonts w:ascii="宋体" w:hAnsi="宋体" w:cs="宋体"/>
                <w:szCs w:val="20"/>
              </w:rPr>
            </w:pPr>
            <w:r>
              <w:rPr>
                <w:rFonts w:hint="eastAsia" w:ascii="宋体" w:hAnsi="宋体" w:cs="宋体"/>
                <w:szCs w:val="20"/>
              </w:rPr>
              <w:t>规格型号</w:t>
            </w:r>
          </w:p>
          <w:p w14:paraId="0EAACCE2">
            <w:pPr>
              <w:adjustRightInd w:val="0"/>
              <w:snapToGrid w:val="0"/>
              <w:spacing w:line="360" w:lineRule="auto"/>
              <w:ind w:right="-20"/>
              <w:jc w:val="center"/>
              <w:rPr>
                <w:rFonts w:ascii="宋体" w:hAnsi="宋体" w:cs="宋体"/>
                <w:szCs w:val="20"/>
              </w:rPr>
            </w:pPr>
            <w:r>
              <w:rPr>
                <w:rFonts w:hint="eastAsia" w:ascii="宋体" w:hAnsi="宋体" w:cs="宋体"/>
                <w:szCs w:val="20"/>
              </w:rPr>
              <w:t>（或项目特征描述）</w:t>
            </w:r>
          </w:p>
        </w:tc>
        <w:tc>
          <w:tcPr>
            <w:tcW w:w="549" w:type="pct"/>
            <w:vMerge w:val="restart"/>
            <w:tcBorders>
              <w:top w:val="double" w:color="auto" w:sz="4" w:space="0"/>
              <w:left w:val="single" w:color="auto" w:sz="6" w:space="0"/>
              <w:right w:val="single" w:color="auto" w:sz="4" w:space="0"/>
            </w:tcBorders>
            <w:vAlign w:val="center"/>
          </w:tcPr>
          <w:p w14:paraId="33BC52CB">
            <w:pPr>
              <w:adjustRightInd w:val="0"/>
              <w:snapToGrid w:val="0"/>
              <w:spacing w:line="360" w:lineRule="auto"/>
              <w:ind w:right="-20"/>
              <w:jc w:val="center"/>
              <w:rPr>
                <w:rFonts w:ascii="宋体" w:hAnsi="宋体" w:cs="宋体"/>
                <w:position w:val="-1"/>
                <w:szCs w:val="20"/>
              </w:rPr>
            </w:pPr>
            <w:r>
              <w:rPr>
                <w:rFonts w:hint="eastAsia" w:ascii="宋体" w:hAnsi="宋体" w:cs="宋体"/>
                <w:szCs w:val="20"/>
              </w:rPr>
              <w:t>数量/单位</w:t>
            </w:r>
          </w:p>
        </w:tc>
        <w:tc>
          <w:tcPr>
            <w:tcW w:w="1645" w:type="pct"/>
            <w:gridSpan w:val="2"/>
            <w:tcBorders>
              <w:top w:val="double" w:color="auto" w:sz="4" w:space="0"/>
              <w:left w:val="single" w:color="auto" w:sz="4" w:space="0"/>
              <w:bottom w:val="single" w:color="auto" w:sz="6" w:space="0"/>
              <w:right w:val="single" w:color="auto" w:sz="6" w:space="0"/>
            </w:tcBorders>
            <w:vAlign w:val="center"/>
          </w:tcPr>
          <w:p w14:paraId="02D7824A">
            <w:pPr>
              <w:adjustRightInd w:val="0"/>
              <w:snapToGrid w:val="0"/>
              <w:spacing w:line="360" w:lineRule="auto"/>
              <w:ind w:right="-20"/>
              <w:jc w:val="center"/>
              <w:rPr>
                <w:rFonts w:ascii="宋体" w:hAnsi="宋体" w:cs="宋体"/>
                <w:position w:val="-1"/>
                <w:szCs w:val="20"/>
              </w:rPr>
            </w:pPr>
            <w:r>
              <w:rPr>
                <w:rFonts w:hint="eastAsia" w:ascii="宋体" w:hAnsi="宋体" w:cs="宋体"/>
                <w:position w:val="-1"/>
                <w:szCs w:val="20"/>
              </w:rPr>
              <w:t>金额（元）</w:t>
            </w:r>
          </w:p>
        </w:tc>
        <w:tc>
          <w:tcPr>
            <w:tcW w:w="476" w:type="pct"/>
            <w:vMerge w:val="restart"/>
            <w:tcBorders>
              <w:top w:val="double" w:color="auto" w:sz="4" w:space="0"/>
              <w:left w:val="single" w:color="auto" w:sz="6" w:space="0"/>
              <w:bottom w:val="single" w:color="auto" w:sz="6" w:space="0"/>
              <w:right w:val="double" w:color="auto" w:sz="4" w:space="0"/>
            </w:tcBorders>
            <w:vAlign w:val="center"/>
          </w:tcPr>
          <w:p w14:paraId="23DD39B9">
            <w:pPr>
              <w:adjustRightInd w:val="0"/>
              <w:snapToGrid w:val="0"/>
              <w:spacing w:line="360" w:lineRule="auto"/>
              <w:ind w:right="-20"/>
              <w:jc w:val="center"/>
              <w:rPr>
                <w:rFonts w:ascii="宋体" w:hAnsi="宋体" w:cs="宋体"/>
                <w:position w:val="-1"/>
                <w:szCs w:val="20"/>
              </w:rPr>
            </w:pPr>
            <w:r>
              <w:rPr>
                <w:rFonts w:hint="eastAsia" w:ascii="宋体" w:hAnsi="宋体" w:cs="宋体"/>
                <w:position w:val="-1"/>
                <w:szCs w:val="20"/>
              </w:rPr>
              <w:t>备注</w:t>
            </w:r>
          </w:p>
        </w:tc>
      </w:tr>
      <w:tr w14:paraId="743F9557">
        <w:tblPrEx>
          <w:tblCellMar>
            <w:top w:w="0" w:type="dxa"/>
            <w:left w:w="0" w:type="dxa"/>
            <w:bottom w:w="0" w:type="dxa"/>
            <w:right w:w="0" w:type="dxa"/>
          </w:tblCellMar>
        </w:tblPrEx>
        <w:trPr>
          <w:trHeight w:val="295" w:hRule="exact"/>
          <w:jc w:val="center"/>
        </w:trPr>
        <w:tc>
          <w:tcPr>
            <w:tcW w:w="1318" w:type="pct"/>
            <w:gridSpan w:val="2"/>
            <w:vMerge w:val="continue"/>
            <w:tcBorders>
              <w:left w:val="double" w:color="auto" w:sz="4" w:space="0"/>
              <w:bottom w:val="single" w:color="auto" w:sz="6" w:space="0"/>
              <w:right w:val="single" w:color="auto" w:sz="6" w:space="0"/>
            </w:tcBorders>
            <w:vAlign w:val="center"/>
          </w:tcPr>
          <w:p w14:paraId="5214014A">
            <w:pPr>
              <w:adjustRightInd w:val="0"/>
              <w:snapToGrid w:val="0"/>
              <w:spacing w:line="360" w:lineRule="auto"/>
              <w:ind w:left="352" w:right="-20"/>
              <w:jc w:val="center"/>
              <w:rPr>
                <w:rFonts w:ascii="宋体" w:hAnsi="宋体" w:cs="宋体"/>
                <w:szCs w:val="20"/>
              </w:rPr>
            </w:pPr>
          </w:p>
        </w:tc>
        <w:tc>
          <w:tcPr>
            <w:tcW w:w="1010" w:type="pct"/>
            <w:vMerge w:val="continue"/>
            <w:tcBorders>
              <w:top w:val="single" w:color="auto" w:sz="6" w:space="0"/>
              <w:left w:val="single" w:color="auto" w:sz="6" w:space="0"/>
              <w:bottom w:val="single" w:color="auto" w:sz="6" w:space="0"/>
              <w:right w:val="single" w:color="auto" w:sz="4" w:space="0"/>
            </w:tcBorders>
            <w:vAlign w:val="center"/>
          </w:tcPr>
          <w:p w14:paraId="697DDDC1">
            <w:pPr>
              <w:adjustRightInd w:val="0"/>
              <w:snapToGrid w:val="0"/>
              <w:spacing w:line="360" w:lineRule="auto"/>
              <w:ind w:right="-20"/>
              <w:jc w:val="center"/>
              <w:rPr>
                <w:rFonts w:ascii="宋体" w:hAnsi="宋体" w:cs="宋体"/>
                <w:szCs w:val="20"/>
              </w:rPr>
            </w:pPr>
          </w:p>
        </w:tc>
        <w:tc>
          <w:tcPr>
            <w:tcW w:w="549" w:type="pct"/>
            <w:vMerge w:val="continue"/>
            <w:tcBorders>
              <w:left w:val="single" w:color="auto" w:sz="6" w:space="0"/>
              <w:bottom w:val="single" w:color="auto" w:sz="6" w:space="0"/>
              <w:right w:val="single" w:color="auto" w:sz="4" w:space="0"/>
            </w:tcBorders>
            <w:vAlign w:val="center"/>
          </w:tcPr>
          <w:p w14:paraId="3F1F39A9">
            <w:pPr>
              <w:adjustRightInd w:val="0"/>
              <w:snapToGrid w:val="0"/>
              <w:spacing w:line="360" w:lineRule="auto"/>
              <w:ind w:right="-20"/>
              <w:jc w:val="center"/>
              <w:rPr>
                <w:rFonts w:ascii="宋体" w:hAnsi="宋体" w:cs="宋体"/>
                <w:szCs w:val="20"/>
              </w:rPr>
            </w:pPr>
          </w:p>
        </w:tc>
        <w:tc>
          <w:tcPr>
            <w:tcW w:w="862" w:type="pct"/>
            <w:tcBorders>
              <w:top w:val="single" w:color="auto" w:sz="6" w:space="0"/>
              <w:left w:val="single" w:color="auto" w:sz="4" w:space="0"/>
              <w:bottom w:val="single" w:color="auto" w:sz="6" w:space="0"/>
              <w:right w:val="single" w:color="auto" w:sz="4" w:space="0"/>
            </w:tcBorders>
            <w:vAlign w:val="center"/>
          </w:tcPr>
          <w:p w14:paraId="1B21FD99">
            <w:pPr>
              <w:adjustRightInd w:val="0"/>
              <w:snapToGrid w:val="0"/>
              <w:spacing w:line="360" w:lineRule="auto"/>
              <w:ind w:right="-20"/>
              <w:jc w:val="center"/>
              <w:rPr>
                <w:rFonts w:ascii="宋体" w:hAnsi="宋体" w:cs="宋体"/>
                <w:szCs w:val="20"/>
              </w:rPr>
            </w:pPr>
            <w:r>
              <w:rPr>
                <w:rFonts w:hint="eastAsia" w:ascii="宋体" w:hAnsi="宋体" w:cs="宋体"/>
                <w:position w:val="-1"/>
                <w:szCs w:val="20"/>
              </w:rPr>
              <w:t>单价</w:t>
            </w:r>
          </w:p>
        </w:tc>
        <w:tc>
          <w:tcPr>
            <w:tcW w:w="782" w:type="pct"/>
            <w:tcBorders>
              <w:top w:val="single" w:color="auto" w:sz="6" w:space="0"/>
              <w:left w:val="single" w:color="auto" w:sz="4" w:space="0"/>
              <w:bottom w:val="single" w:color="auto" w:sz="6" w:space="0"/>
              <w:right w:val="single" w:color="auto" w:sz="6" w:space="0"/>
            </w:tcBorders>
            <w:vAlign w:val="center"/>
          </w:tcPr>
          <w:p w14:paraId="1D922C9D">
            <w:pPr>
              <w:adjustRightInd w:val="0"/>
              <w:snapToGrid w:val="0"/>
              <w:spacing w:line="360" w:lineRule="auto"/>
              <w:ind w:left="70" w:right="-20"/>
              <w:jc w:val="center"/>
              <w:rPr>
                <w:rFonts w:ascii="宋体" w:hAnsi="宋体" w:cs="宋体"/>
                <w:szCs w:val="20"/>
              </w:rPr>
            </w:pPr>
            <w:r>
              <w:rPr>
                <w:rFonts w:hint="eastAsia" w:ascii="宋体" w:hAnsi="宋体" w:cs="宋体"/>
                <w:szCs w:val="20"/>
              </w:rPr>
              <w:t>小计</w:t>
            </w:r>
          </w:p>
        </w:tc>
        <w:tc>
          <w:tcPr>
            <w:tcW w:w="476" w:type="pct"/>
            <w:vMerge w:val="continue"/>
            <w:tcBorders>
              <w:top w:val="single" w:color="auto" w:sz="6" w:space="0"/>
              <w:left w:val="single" w:color="auto" w:sz="6" w:space="0"/>
              <w:bottom w:val="single" w:color="auto" w:sz="6" w:space="0"/>
              <w:right w:val="double" w:color="auto" w:sz="4" w:space="0"/>
            </w:tcBorders>
            <w:vAlign w:val="center"/>
          </w:tcPr>
          <w:p w14:paraId="2457E16A">
            <w:pPr>
              <w:adjustRightInd w:val="0"/>
              <w:snapToGrid w:val="0"/>
              <w:spacing w:line="360" w:lineRule="auto"/>
              <w:ind w:left="422" w:right="-20"/>
              <w:jc w:val="center"/>
              <w:rPr>
                <w:rFonts w:ascii="宋体" w:hAnsi="宋体" w:cs="宋体"/>
                <w:szCs w:val="20"/>
              </w:rPr>
            </w:pPr>
          </w:p>
        </w:tc>
      </w:tr>
      <w:tr w14:paraId="250FB605">
        <w:tblPrEx>
          <w:tblCellMar>
            <w:top w:w="0" w:type="dxa"/>
            <w:left w:w="0" w:type="dxa"/>
            <w:bottom w:w="0" w:type="dxa"/>
            <w:right w:w="0" w:type="dxa"/>
          </w:tblCellMar>
        </w:tblPrEx>
        <w:trPr>
          <w:trHeight w:val="397" w:hRule="exact"/>
          <w:jc w:val="center"/>
        </w:trPr>
        <w:tc>
          <w:tcPr>
            <w:tcW w:w="198" w:type="pct"/>
            <w:tcBorders>
              <w:top w:val="single" w:color="auto" w:sz="6" w:space="0"/>
              <w:left w:val="double" w:color="auto" w:sz="4" w:space="0"/>
              <w:bottom w:val="single" w:color="auto" w:sz="6" w:space="0"/>
              <w:right w:val="single" w:color="auto" w:sz="6" w:space="0"/>
            </w:tcBorders>
            <w:vAlign w:val="center"/>
          </w:tcPr>
          <w:p w14:paraId="46EC1F3F">
            <w:pPr>
              <w:jc w:val="center"/>
              <w:rPr>
                <w:rFonts w:ascii="宋体" w:hAnsi="宋体" w:cs="宋体"/>
                <w:szCs w:val="21"/>
              </w:rPr>
            </w:pPr>
            <w:r>
              <w:rPr>
                <w:rFonts w:hint="eastAsia" w:ascii="宋体" w:hAnsi="宋体" w:cs="宋体"/>
                <w:szCs w:val="21"/>
              </w:rPr>
              <w:t>1</w:t>
            </w:r>
          </w:p>
        </w:tc>
        <w:tc>
          <w:tcPr>
            <w:tcW w:w="1120" w:type="pct"/>
            <w:tcBorders>
              <w:top w:val="single" w:color="auto" w:sz="6" w:space="0"/>
              <w:left w:val="single" w:color="auto" w:sz="6" w:space="0"/>
              <w:bottom w:val="single" w:color="auto" w:sz="6" w:space="0"/>
              <w:right w:val="single" w:color="auto" w:sz="6" w:space="0"/>
            </w:tcBorders>
            <w:vAlign w:val="center"/>
          </w:tcPr>
          <w:p w14:paraId="4431E318">
            <w:pPr>
              <w:adjustRightInd w:val="0"/>
              <w:snapToGrid w:val="0"/>
              <w:jc w:val="center"/>
              <w:rPr>
                <w:rFonts w:ascii="宋体" w:hAnsi="宋体" w:cs="宋体"/>
                <w:szCs w:val="20"/>
              </w:rPr>
            </w:pPr>
            <w:r>
              <w:rPr>
                <w:rFonts w:hint="eastAsia" w:ascii="宋体" w:hAnsi="宋体" w:cs="宋体"/>
                <w:szCs w:val="20"/>
              </w:rPr>
              <w:t>监理人员费</w:t>
            </w:r>
          </w:p>
        </w:tc>
        <w:tc>
          <w:tcPr>
            <w:tcW w:w="1010" w:type="pct"/>
            <w:tcBorders>
              <w:top w:val="single" w:color="auto" w:sz="6" w:space="0"/>
              <w:left w:val="single" w:color="auto" w:sz="6" w:space="0"/>
              <w:bottom w:val="single" w:color="auto" w:sz="6" w:space="0"/>
              <w:right w:val="single" w:color="auto" w:sz="4" w:space="0"/>
            </w:tcBorders>
            <w:vAlign w:val="center"/>
          </w:tcPr>
          <w:p w14:paraId="7E1A212E">
            <w:pPr>
              <w:adjustRightInd w:val="0"/>
              <w:snapToGrid w:val="0"/>
              <w:jc w:val="center"/>
              <w:rPr>
                <w:rFonts w:ascii="宋体" w:hAnsi="宋体" w:cs="宋体"/>
                <w:szCs w:val="20"/>
              </w:rPr>
            </w:pPr>
            <w:r>
              <w:rPr>
                <w:rFonts w:hint="eastAsia" w:ascii="宋体" w:hAnsi="宋体" w:cs="宋体"/>
                <w:szCs w:val="20"/>
              </w:rPr>
              <w:t>/</w:t>
            </w:r>
          </w:p>
        </w:tc>
        <w:tc>
          <w:tcPr>
            <w:tcW w:w="549" w:type="pct"/>
            <w:tcBorders>
              <w:top w:val="single" w:color="auto" w:sz="6" w:space="0"/>
              <w:left w:val="single" w:color="auto" w:sz="6" w:space="0"/>
              <w:bottom w:val="single" w:color="auto" w:sz="6" w:space="0"/>
              <w:right w:val="single" w:color="auto" w:sz="4" w:space="0"/>
            </w:tcBorders>
            <w:vAlign w:val="center"/>
          </w:tcPr>
          <w:p w14:paraId="146E8C65">
            <w:pPr>
              <w:adjustRightInd w:val="0"/>
              <w:snapToGrid w:val="0"/>
              <w:jc w:val="center"/>
              <w:rPr>
                <w:rFonts w:ascii="宋体" w:hAnsi="宋体" w:cs="宋体"/>
                <w:szCs w:val="20"/>
                <w:lang w:bidi="zh-CN"/>
              </w:rPr>
            </w:pPr>
            <w:r>
              <w:rPr>
                <w:rFonts w:hint="eastAsia" w:ascii="宋体" w:hAnsi="宋体" w:cs="宋体"/>
                <w:szCs w:val="20"/>
              </w:rPr>
              <w:t>/</w:t>
            </w:r>
          </w:p>
        </w:tc>
        <w:tc>
          <w:tcPr>
            <w:tcW w:w="862" w:type="pct"/>
            <w:tcBorders>
              <w:top w:val="single" w:color="auto" w:sz="6" w:space="0"/>
              <w:left w:val="single" w:color="auto" w:sz="6" w:space="0"/>
              <w:bottom w:val="single" w:color="auto" w:sz="6" w:space="0"/>
              <w:right w:val="single" w:color="auto" w:sz="6" w:space="0"/>
            </w:tcBorders>
            <w:vAlign w:val="center"/>
          </w:tcPr>
          <w:p w14:paraId="0D3E2000">
            <w:pPr>
              <w:adjustRightInd w:val="0"/>
              <w:snapToGrid w:val="0"/>
              <w:jc w:val="center"/>
              <w:rPr>
                <w:rFonts w:ascii="宋体" w:hAnsi="宋体" w:cs="宋体"/>
                <w:szCs w:val="20"/>
              </w:rPr>
            </w:pPr>
          </w:p>
        </w:tc>
        <w:tc>
          <w:tcPr>
            <w:tcW w:w="782" w:type="pct"/>
            <w:tcBorders>
              <w:top w:val="single" w:color="auto" w:sz="6" w:space="0"/>
              <w:left w:val="single" w:color="auto" w:sz="6" w:space="0"/>
              <w:bottom w:val="single" w:color="auto" w:sz="6" w:space="0"/>
              <w:right w:val="single" w:color="auto" w:sz="6" w:space="0"/>
            </w:tcBorders>
            <w:vAlign w:val="center"/>
          </w:tcPr>
          <w:p w14:paraId="48217271">
            <w:pPr>
              <w:adjustRightInd w:val="0"/>
              <w:snapToGrid w:val="0"/>
              <w:jc w:val="center"/>
              <w:rPr>
                <w:rFonts w:ascii="宋体" w:hAnsi="宋体" w:cs="宋体"/>
                <w:szCs w:val="20"/>
              </w:rPr>
            </w:pPr>
          </w:p>
        </w:tc>
        <w:tc>
          <w:tcPr>
            <w:tcW w:w="476" w:type="pct"/>
            <w:tcBorders>
              <w:top w:val="single" w:color="auto" w:sz="6" w:space="0"/>
              <w:left w:val="single" w:color="auto" w:sz="6" w:space="0"/>
              <w:bottom w:val="single" w:color="auto" w:sz="6" w:space="0"/>
              <w:right w:val="double" w:color="auto" w:sz="4" w:space="0"/>
            </w:tcBorders>
            <w:vAlign w:val="center"/>
          </w:tcPr>
          <w:p w14:paraId="2ABBAABB">
            <w:pPr>
              <w:adjustRightInd w:val="0"/>
              <w:snapToGrid w:val="0"/>
              <w:jc w:val="center"/>
              <w:rPr>
                <w:rFonts w:ascii="宋体" w:hAnsi="宋体" w:cs="宋体"/>
                <w:szCs w:val="20"/>
              </w:rPr>
            </w:pPr>
          </w:p>
        </w:tc>
      </w:tr>
      <w:tr w14:paraId="2BA0D0D9">
        <w:tblPrEx>
          <w:tblCellMar>
            <w:top w:w="0" w:type="dxa"/>
            <w:left w:w="0" w:type="dxa"/>
            <w:bottom w:w="0" w:type="dxa"/>
            <w:right w:w="0" w:type="dxa"/>
          </w:tblCellMar>
        </w:tblPrEx>
        <w:trPr>
          <w:trHeight w:val="397" w:hRule="exact"/>
          <w:jc w:val="center"/>
        </w:trPr>
        <w:tc>
          <w:tcPr>
            <w:tcW w:w="198" w:type="pct"/>
            <w:tcBorders>
              <w:top w:val="single" w:color="auto" w:sz="6" w:space="0"/>
              <w:left w:val="double" w:color="auto" w:sz="4" w:space="0"/>
              <w:bottom w:val="single" w:color="auto" w:sz="6" w:space="0"/>
              <w:right w:val="single" w:color="auto" w:sz="6" w:space="0"/>
            </w:tcBorders>
            <w:vAlign w:val="center"/>
          </w:tcPr>
          <w:p w14:paraId="0C41A5BE">
            <w:pPr>
              <w:jc w:val="center"/>
              <w:rPr>
                <w:rFonts w:ascii="宋体" w:hAnsi="宋体" w:cs="宋体"/>
                <w:szCs w:val="21"/>
              </w:rPr>
            </w:pPr>
            <w:r>
              <w:rPr>
                <w:rFonts w:hint="eastAsia" w:ascii="宋体" w:hAnsi="宋体" w:cs="宋体"/>
                <w:szCs w:val="21"/>
              </w:rPr>
              <w:t>2</w:t>
            </w:r>
          </w:p>
        </w:tc>
        <w:tc>
          <w:tcPr>
            <w:tcW w:w="1120" w:type="pct"/>
            <w:tcBorders>
              <w:top w:val="single" w:color="auto" w:sz="6" w:space="0"/>
              <w:left w:val="single" w:color="auto" w:sz="6" w:space="0"/>
              <w:bottom w:val="single" w:color="auto" w:sz="6" w:space="0"/>
              <w:right w:val="single" w:color="auto" w:sz="6" w:space="0"/>
            </w:tcBorders>
            <w:vAlign w:val="center"/>
          </w:tcPr>
          <w:p w14:paraId="2538C686">
            <w:pPr>
              <w:adjustRightInd w:val="0"/>
              <w:snapToGrid w:val="0"/>
              <w:jc w:val="center"/>
              <w:rPr>
                <w:rFonts w:ascii="宋体" w:hAnsi="宋体" w:cs="宋体"/>
                <w:szCs w:val="20"/>
              </w:rPr>
            </w:pPr>
            <w:r>
              <w:rPr>
                <w:rFonts w:hint="eastAsia" w:ascii="宋体" w:hAnsi="宋体" w:cs="宋体"/>
                <w:szCs w:val="20"/>
              </w:rPr>
              <w:t>设施设备购置和使用费</w:t>
            </w:r>
          </w:p>
        </w:tc>
        <w:tc>
          <w:tcPr>
            <w:tcW w:w="1010" w:type="pct"/>
            <w:tcBorders>
              <w:top w:val="single" w:color="auto" w:sz="6" w:space="0"/>
              <w:left w:val="single" w:color="auto" w:sz="6" w:space="0"/>
              <w:bottom w:val="single" w:color="auto" w:sz="6" w:space="0"/>
              <w:right w:val="single" w:color="auto" w:sz="4" w:space="0"/>
            </w:tcBorders>
            <w:vAlign w:val="center"/>
          </w:tcPr>
          <w:p w14:paraId="56DF3C94">
            <w:pPr>
              <w:adjustRightInd w:val="0"/>
              <w:snapToGrid w:val="0"/>
              <w:jc w:val="center"/>
              <w:rPr>
                <w:rFonts w:ascii="宋体" w:hAnsi="宋体" w:cs="宋体"/>
                <w:szCs w:val="20"/>
              </w:rPr>
            </w:pPr>
            <w:r>
              <w:rPr>
                <w:rFonts w:hint="eastAsia" w:ascii="宋体" w:hAnsi="宋体" w:cs="宋体"/>
                <w:szCs w:val="20"/>
              </w:rPr>
              <w:t>/</w:t>
            </w:r>
          </w:p>
        </w:tc>
        <w:tc>
          <w:tcPr>
            <w:tcW w:w="549" w:type="pct"/>
            <w:tcBorders>
              <w:top w:val="single" w:color="auto" w:sz="6" w:space="0"/>
              <w:left w:val="single" w:color="auto" w:sz="6" w:space="0"/>
              <w:bottom w:val="single" w:color="auto" w:sz="6" w:space="0"/>
              <w:right w:val="single" w:color="auto" w:sz="4" w:space="0"/>
            </w:tcBorders>
            <w:vAlign w:val="center"/>
          </w:tcPr>
          <w:p w14:paraId="2BCA46AC">
            <w:pPr>
              <w:adjustRightInd w:val="0"/>
              <w:snapToGrid w:val="0"/>
              <w:jc w:val="center"/>
              <w:rPr>
                <w:rFonts w:ascii="宋体" w:hAnsi="宋体" w:cs="宋体"/>
                <w:szCs w:val="20"/>
                <w:lang w:bidi="zh-CN"/>
              </w:rPr>
            </w:pPr>
            <w:r>
              <w:rPr>
                <w:rFonts w:hint="eastAsia" w:ascii="宋体" w:hAnsi="宋体" w:cs="宋体"/>
                <w:szCs w:val="20"/>
              </w:rPr>
              <w:t>/</w:t>
            </w:r>
          </w:p>
        </w:tc>
        <w:tc>
          <w:tcPr>
            <w:tcW w:w="862" w:type="pct"/>
            <w:tcBorders>
              <w:top w:val="single" w:color="auto" w:sz="6" w:space="0"/>
              <w:left w:val="single" w:color="auto" w:sz="6" w:space="0"/>
              <w:bottom w:val="single" w:color="auto" w:sz="6" w:space="0"/>
              <w:right w:val="single" w:color="auto" w:sz="6" w:space="0"/>
            </w:tcBorders>
            <w:vAlign w:val="center"/>
          </w:tcPr>
          <w:p w14:paraId="783C3BF0">
            <w:pPr>
              <w:adjustRightInd w:val="0"/>
              <w:snapToGrid w:val="0"/>
              <w:jc w:val="center"/>
              <w:rPr>
                <w:rFonts w:ascii="宋体" w:hAnsi="宋体" w:cs="宋体"/>
                <w:szCs w:val="20"/>
              </w:rPr>
            </w:pPr>
          </w:p>
        </w:tc>
        <w:tc>
          <w:tcPr>
            <w:tcW w:w="782" w:type="pct"/>
            <w:tcBorders>
              <w:top w:val="single" w:color="auto" w:sz="6" w:space="0"/>
              <w:left w:val="single" w:color="auto" w:sz="6" w:space="0"/>
              <w:bottom w:val="single" w:color="auto" w:sz="6" w:space="0"/>
              <w:right w:val="single" w:color="auto" w:sz="6" w:space="0"/>
            </w:tcBorders>
            <w:vAlign w:val="center"/>
          </w:tcPr>
          <w:p w14:paraId="6547CE3E">
            <w:pPr>
              <w:adjustRightInd w:val="0"/>
              <w:snapToGrid w:val="0"/>
              <w:jc w:val="center"/>
              <w:rPr>
                <w:rFonts w:ascii="宋体" w:hAnsi="宋体" w:cs="宋体"/>
                <w:szCs w:val="20"/>
              </w:rPr>
            </w:pPr>
          </w:p>
        </w:tc>
        <w:tc>
          <w:tcPr>
            <w:tcW w:w="476" w:type="pct"/>
            <w:tcBorders>
              <w:top w:val="single" w:color="auto" w:sz="6" w:space="0"/>
              <w:left w:val="single" w:color="auto" w:sz="6" w:space="0"/>
              <w:bottom w:val="single" w:color="auto" w:sz="6" w:space="0"/>
              <w:right w:val="double" w:color="auto" w:sz="4" w:space="0"/>
            </w:tcBorders>
            <w:vAlign w:val="center"/>
          </w:tcPr>
          <w:p w14:paraId="3C9B6950">
            <w:pPr>
              <w:adjustRightInd w:val="0"/>
              <w:snapToGrid w:val="0"/>
              <w:jc w:val="center"/>
              <w:rPr>
                <w:rFonts w:ascii="宋体" w:hAnsi="宋体" w:cs="宋体"/>
                <w:szCs w:val="20"/>
              </w:rPr>
            </w:pPr>
          </w:p>
        </w:tc>
      </w:tr>
      <w:tr w14:paraId="478B6498">
        <w:tblPrEx>
          <w:tblCellMar>
            <w:top w:w="0" w:type="dxa"/>
            <w:left w:w="0" w:type="dxa"/>
            <w:bottom w:w="0" w:type="dxa"/>
            <w:right w:w="0" w:type="dxa"/>
          </w:tblCellMar>
        </w:tblPrEx>
        <w:trPr>
          <w:trHeight w:val="397" w:hRule="exact"/>
          <w:jc w:val="center"/>
        </w:trPr>
        <w:tc>
          <w:tcPr>
            <w:tcW w:w="198" w:type="pct"/>
            <w:tcBorders>
              <w:top w:val="single" w:color="auto" w:sz="6" w:space="0"/>
              <w:left w:val="double" w:color="auto" w:sz="4" w:space="0"/>
              <w:bottom w:val="single" w:color="auto" w:sz="6" w:space="0"/>
              <w:right w:val="single" w:color="auto" w:sz="6" w:space="0"/>
            </w:tcBorders>
            <w:vAlign w:val="center"/>
          </w:tcPr>
          <w:p w14:paraId="1C0EBF89">
            <w:pPr>
              <w:jc w:val="center"/>
              <w:rPr>
                <w:rFonts w:ascii="宋体" w:hAnsi="宋体" w:cs="宋体"/>
                <w:szCs w:val="21"/>
              </w:rPr>
            </w:pPr>
            <w:r>
              <w:rPr>
                <w:rFonts w:hint="eastAsia" w:ascii="宋体" w:hAnsi="宋体" w:cs="宋体"/>
                <w:szCs w:val="21"/>
              </w:rPr>
              <w:t>3</w:t>
            </w:r>
          </w:p>
        </w:tc>
        <w:tc>
          <w:tcPr>
            <w:tcW w:w="1120" w:type="pct"/>
            <w:tcBorders>
              <w:top w:val="single" w:color="auto" w:sz="6" w:space="0"/>
              <w:left w:val="single" w:color="auto" w:sz="6" w:space="0"/>
              <w:bottom w:val="single" w:color="auto" w:sz="6" w:space="0"/>
              <w:right w:val="single" w:color="auto" w:sz="6" w:space="0"/>
            </w:tcBorders>
            <w:vAlign w:val="center"/>
          </w:tcPr>
          <w:p w14:paraId="71D4D1E6">
            <w:pPr>
              <w:adjustRightInd w:val="0"/>
              <w:snapToGrid w:val="0"/>
              <w:jc w:val="center"/>
              <w:rPr>
                <w:rFonts w:ascii="宋体" w:hAnsi="宋体" w:cs="宋体"/>
                <w:szCs w:val="20"/>
              </w:rPr>
            </w:pPr>
            <w:r>
              <w:rPr>
                <w:rFonts w:hint="eastAsia" w:ascii="宋体" w:hAnsi="宋体" w:cs="宋体"/>
                <w:szCs w:val="20"/>
              </w:rPr>
              <w:t>管理费</w:t>
            </w:r>
          </w:p>
        </w:tc>
        <w:tc>
          <w:tcPr>
            <w:tcW w:w="1010" w:type="pct"/>
            <w:tcBorders>
              <w:top w:val="single" w:color="auto" w:sz="6" w:space="0"/>
              <w:left w:val="single" w:color="auto" w:sz="6" w:space="0"/>
              <w:bottom w:val="single" w:color="auto" w:sz="6" w:space="0"/>
              <w:right w:val="single" w:color="auto" w:sz="4" w:space="0"/>
            </w:tcBorders>
            <w:vAlign w:val="center"/>
          </w:tcPr>
          <w:p w14:paraId="09AA72E3">
            <w:pPr>
              <w:adjustRightInd w:val="0"/>
              <w:snapToGrid w:val="0"/>
              <w:jc w:val="center"/>
              <w:rPr>
                <w:rFonts w:ascii="宋体" w:hAnsi="宋体" w:cs="宋体"/>
                <w:szCs w:val="20"/>
              </w:rPr>
            </w:pPr>
            <w:r>
              <w:rPr>
                <w:rFonts w:hint="eastAsia" w:ascii="宋体" w:hAnsi="宋体" w:cs="宋体"/>
                <w:szCs w:val="20"/>
              </w:rPr>
              <w:t>/</w:t>
            </w:r>
          </w:p>
        </w:tc>
        <w:tc>
          <w:tcPr>
            <w:tcW w:w="549" w:type="pct"/>
            <w:tcBorders>
              <w:top w:val="single" w:color="auto" w:sz="6" w:space="0"/>
              <w:left w:val="single" w:color="auto" w:sz="6" w:space="0"/>
              <w:bottom w:val="single" w:color="auto" w:sz="6" w:space="0"/>
              <w:right w:val="single" w:color="auto" w:sz="4" w:space="0"/>
            </w:tcBorders>
            <w:vAlign w:val="center"/>
          </w:tcPr>
          <w:p w14:paraId="11DF8FD7">
            <w:pPr>
              <w:adjustRightInd w:val="0"/>
              <w:snapToGrid w:val="0"/>
              <w:jc w:val="center"/>
              <w:rPr>
                <w:rFonts w:ascii="宋体" w:hAnsi="宋体" w:cs="宋体"/>
                <w:szCs w:val="20"/>
                <w:lang w:bidi="zh-CN"/>
              </w:rPr>
            </w:pPr>
            <w:r>
              <w:rPr>
                <w:rFonts w:hint="eastAsia" w:ascii="宋体" w:hAnsi="宋体" w:cs="宋体"/>
                <w:szCs w:val="20"/>
              </w:rPr>
              <w:t>/</w:t>
            </w:r>
          </w:p>
        </w:tc>
        <w:tc>
          <w:tcPr>
            <w:tcW w:w="862" w:type="pct"/>
            <w:tcBorders>
              <w:top w:val="single" w:color="auto" w:sz="6" w:space="0"/>
              <w:left w:val="single" w:color="auto" w:sz="6" w:space="0"/>
              <w:bottom w:val="single" w:color="auto" w:sz="6" w:space="0"/>
              <w:right w:val="single" w:color="auto" w:sz="6" w:space="0"/>
            </w:tcBorders>
            <w:vAlign w:val="center"/>
          </w:tcPr>
          <w:p w14:paraId="571B7186">
            <w:pPr>
              <w:adjustRightInd w:val="0"/>
              <w:snapToGrid w:val="0"/>
              <w:jc w:val="center"/>
              <w:rPr>
                <w:rFonts w:ascii="宋体" w:hAnsi="宋体" w:cs="宋体"/>
              </w:rPr>
            </w:pPr>
          </w:p>
        </w:tc>
        <w:tc>
          <w:tcPr>
            <w:tcW w:w="782" w:type="pct"/>
            <w:tcBorders>
              <w:top w:val="single" w:color="auto" w:sz="6" w:space="0"/>
              <w:left w:val="single" w:color="auto" w:sz="6" w:space="0"/>
              <w:bottom w:val="single" w:color="auto" w:sz="6" w:space="0"/>
              <w:right w:val="single" w:color="auto" w:sz="6" w:space="0"/>
            </w:tcBorders>
            <w:vAlign w:val="center"/>
          </w:tcPr>
          <w:p w14:paraId="704F022D">
            <w:pPr>
              <w:adjustRightInd w:val="0"/>
              <w:snapToGrid w:val="0"/>
              <w:jc w:val="center"/>
              <w:rPr>
                <w:rFonts w:ascii="宋体" w:hAnsi="宋体" w:cs="宋体"/>
              </w:rPr>
            </w:pPr>
          </w:p>
        </w:tc>
        <w:tc>
          <w:tcPr>
            <w:tcW w:w="476" w:type="pct"/>
            <w:tcBorders>
              <w:top w:val="single" w:color="auto" w:sz="6" w:space="0"/>
              <w:left w:val="single" w:color="auto" w:sz="6" w:space="0"/>
              <w:bottom w:val="single" w:color="auto" w:sz="6" w:space="0"/>
              <w:right w:val="double" w:color="auto" w:sz="4" w:space="0"/>
            </w:tcBorders>
            <w:vAlign w:val="center"/>
          </w:tcPr>
          <w:p w14:paraId="07161E48">
            <w:pPr>
              <w:adjustRightInd w:val="0"/>
              <w:snapToGrid w:val="0"/>
              <w:jc w:val="center"/>
              <w:rPr>
                <w:rFonts w:ascii="宋体" w:hAnsi="宋体" w:cs="宋体"/>
                <w:szCs w:val="20"/>
              </w:rPr>
            </w:pPr>
          </w:p>
        </w:tc>
      </w:tr>
      <w:tr w14:paraId="1BDE4A4C">
        <w:tblPrEx>
          <w:tblCellMar>
            <w:top w:w="0" w:type="dxa"/>
            <w:left w:w="0" w:type="dxa"/>
            <w:bottom w:w="0" w:type="dxa"/>
            <w:right w:w="0" w:type="dxa"/>
          </w:tblCellMar>
        </w:tblPrEx>
        <w:trPr>
          <w:trHeight w:val="397" w:hRule="exact"/>
          <w:jc w:val="center"/>
        </w:trPr>
        <w:tc>
          <w:tcPr>
            <w:tcW w:w="198" w:type="pct"/>
            <w:tcBorders>
              <w:top w:val="single" w:color="auto" w:sz="6" w:space="0"/>
              <w:left w:val="double" w:color="auto" w:sz="4" w:space="0"/>
              <w:bottom w:val="single" w:color="auto" w:sz="6" w:space="0"/>
              <w:right w:val="single" w:color="auto" w:sz="6" w:space="0"/>
            </w:tcBorders>
            <w:vAlign w:val="center"/>
          </w:tcPr>
          <w:p w14:paraId="217DF1F8">
            <w:pPr>
              <w:jc w:val="center"/>
              <w:rPr>
                <w:rFonts w:ascii="宋体" w:hAnsi="宋体" w:cs="宋体"/>
                <w:szCs w:val="21"/>
              </w:rPr>
            </w:pPr>
            <w:r>
              <w:rPr>
                <w:rFonts w:hint="eastAsia" w:ascii="宋体" w:hAnsi="宋体" w:cs="宋体"/>
                <w:szCs w:val="21"/>
              </w:rPr>
              <w:t>4</w:t>
            </w:r>
          </w:p>
        </w:tc>
        <w:tc>
          <w:tcPr>
            <w:tcW w:w="1120" w:type="pct"/>
            <w:tcBorders>
              <w:top w:val="single" w:color="auto" w:sz="6" w:space="0"/>
              <w:left w:val="single" w:color="auto" w:sz="6" w:space="0"/>
              <w:bottom w:val="single" w:color="auto" w:sz="6" w:space="0"/>
              <w:right w:val="single" w:color="auto" w:sz="6" w:space="0"/>
            </w:tcBorders>
            <w:vAlign w:val="center"/>
          </w:tcPr>
          <w:p w14:paraId="4DD63488">
            <w:pPr>
              <w:adjustRightInd w:val="0"/>
              <w:snapToGrid w:val="0"/>
              <w:jc w:val="center"/>
              <w:rPr>
                <w:rFonts w:ascii="宋体" w:hAnsi="宋体" w:cs="宋体"/>
                <w:szCs w:val="20"/>
              </w:rPr>
            </w:pPr>
            <w:r>
              <w:rPr>
                <w:rFonts w:hint="eastAsia" w:ascii="宋体" w:hAnsi="宋体" w:cs="宋体"/>
                <w:szCs w:val="20"/>
              </w:rPr>
              <w:t>利润</w:t>
            </w:r>
          </w:p>
        </w:tc>
        <w:tc>
          <w:tcPr>
            <w:tcW w:w="1010" w:type="pct"/>
            <w:tcBorders>
              <w:top w:val="single" w:color="auto" w:sz="6" w:space="0"/>
              <w:left w:val="single" w:color="auto" w:sz="6" w:space="0"/>
              <w:bottom w:val="single" w:color="auto" w:sz="6" w:space="0"/>
              <w:right w:val="single" w:color="auto" w:sz="4" w:space="0"/>
            </w:tcBorders>
            <w:vAlign w:val="center"/>
          </w:tcPr>
          <w:p w14:paraId="63F19F56">
            <w:pPr>
              <w:adjustRightInd w:val="0"/>
              <w:snapToGrid w:val="0"/>
              <w:jc w:val="center"/>
              <w:rPr>
                <w:rFonts w:ascii="宋体" w:hAnsi="宋体" w:cs="宋体"/>
                <w:szCs w:val="20"/>
              </w:rPr>
            </w:pPr>
            <w:r>
              <w:rPr>
                <w:rFonts w:hint="eastAsia" w:ascii="宋体" w:hAnsi="宋体" w:cs="宋体"/>
                <w:szCs w:val="20"/>
              </w:rPr>
              <w:t>/</w:t>
            </w:r>
          </w:p>
        </w:tc>
        <w:tc>
          <w:tcPr>
            <w:tcW w:w="549" w:type="pct"/>
            <w:tcBorders>
              <w:top w:val="single" w:color="auto" w:sz="6" w:space="0"/>
              <w:left w:val="single" w:color="auto" w:sz="6" w:space="0"/>
              <w:bottom w:val="single" w:color="auto" w:sz="6" w:space="0"/>
              <w:right w:val="single" w:color="auto" w:sz="4" w:space="0"/>
            </w:tcBorders>
            <w:vAlign w:val="center"/>
          </w:tcPr>
          <w:p w14:paraId="69028F8A">
            <w:pPr>
              <w:adjustRightInd w:val="0"/>
              <w:snapToGrid w:val="0"/>
              <w:jc w:val="center"/>
              <w:rPr>
                <w:rFonts w:ascii="宋体" w:hAnsi="宋体" w:cs="宋体"/>
                <w:szCs w:val="20"/>
                <w:lang w:bidi="zh-CN"/>
              </w:rPr>
            </w:pPr>
            <w:r>
              <w:rPr>
                <w:rFonts w:hint="eastAsia" w:ascii="宋体" w:hAnsi="宋体" w:cs="宋体"/>
                <w:szCs w:val="20"/>
              </w:rPr>
              <w:t>/</w:t>
            </w:r>
          </w:p>
        </w:tc>
        <w:tc>
          <w:tcPr>
            <w:tcW w:w="862" w:type="pct"/>
            <w:tcBorders>
              <w:top w:val="single" w:color="auto" w:sz="6" w:space="0"/>
              <w:left w:val="single" w:color="auto" w:sz="4" w:space="0"/>
              <w:bottom w:val="single" w:color="auto" w:sz="6" w:space="0"/>
              <w:right w:val="single" w:color="auto" w:sz="6" w:space="0"/>
            </w:tcBorders>
            <w:vAlign w:val="center"/>
          </w:tcPr>
          <w:p w14:paraId="6026947B">
            <w:pPr>
              <w:adjustRightInd w:val="0"/>
              <w:snapToGrid w:val="0"/>
              <w:jc w:val="center"/>
              <w:rPr>
                <w:rFonts w:ascii="宋体" w:hAnsi="宋体" w:cs="宋体"/>
                <w:szCs w:val="20"/>
              </w:rPr>
            </w:pPr>
          </w:p>
        </w:tc>
        <w:tc>
          <w:tcPr>
            <w:tcW w:w="782" w:type="pct"/>
            <w:tcBorders>
              <w:top w:val="single" w:color="auto" w:sz="6" w:space="0"/>
              <w:left w:val="single" w:color="auto" w:sz="6" w:space="0"/>
              <w:bottom w:val="single" w:color="auto" w:sz="6" w:space="0"/>
              <w:right w:val="single" w:color="auto" w:sz="6" w:space="0"/>
            </w:tcBorders>
            <w:vAlign w:val="center"/>
          </w:tcPr>
          <w:p w14:paraId="3333C5C5">
            <w:pPr>
              <w:adjustRightInd w:val="0"/>
              <w:snapToGrid w:val="0"/>
              <w:jc w:val="center"/>
              <w:rPr>
                <w:rFonts w:ascii="宋体" w:hAnsi="宋体" w:cs="宋体"/>
                <w:szCs w:val="20"/>
              </w:rPr>
            </w:pPr>
          </w:p>
        </w:tc>
        <w:tc>
          <w:tcPr>
            <w:tcW w:w="476" w:type="pct"/>
            <w:tcBorders>
              <w:top w:val="single" w:color="auto" w:sz="6" w:space="0"/>
              <w:left w:val="single" w:color="auto" w:sz="6" w:space="0"/>
              <w:bottom w:val="single" w:color="auto" w:sz="6" w:space="0"/>
              <w:right w:val="double" w:color="auto" w:sz="4" w:space="0"/>
            </w:tcBorders>
            <w:vAlign w:val="center"/>
          </w:tcPr>
          <w:p w14:paraId="4221EFE0">
            <w:pPr>
              <w:adjustRightInd w:val="0"/>
              <w:snapToGrid w:val="0"/>
              <w:jc w:val="center"/>
              <w:rPr>
                <w:rFonts w:ascii="宋体" w:hAnsi="宋体" w:cs="宋体"/>
                <w:szCs w:val="20"/>
              </w:rPr>
            </w:pPr>
          </w:p>
        </w:tc>
      </w:tr>
      <w:tr w14:paraId="645CE891">
        <w:tblPrEx>
          <w:tblCellMar>
            <w:top w:w="0" w:type="dxa"/>
            <w:left w:w="0" w:type="dxa"/>
            <w:bottom w:w="0" w:type="dxa"/>
            <w:right w:w="0" w:type="dxa"/>
          </w:tblCellMar>
        </w:tblPrEx>
        <w:trPr>
          <w:trHeight w:val="397" w:hRule="exact"/>
          <w:jc w:val="center"/>
        </w:trPr>
        <w:tc>
          <w:tcPr>
            <w:tcW w:w="198" w:type="pct"/>
            <w:tcBorders>
              <w:top w:val="single" w:color="auto" w:sz="6" w:space="0"/>
              <w:left w:val="double" w:color="auto" w:sz="4" w:space="0"/>
              <w:bottom w:val="single" w:color="auto" w:sz="6" w:space="0"/>
              <w:right w:val="single" w:color="auto" w:sz="6" w:space="0"/>
            </w:tcBorders>
            <w:vAlign w:val="center"/>
          </w:tcPr>
          <w:p w14:paraId="25C4C1AC">
            <w:pPr>
              <w:jc w:val="center"/>
              <w:rPr>
                <w:rFonts w:ascii="宋体" w:hAnsi="宋体" w:cs="宋体"/>
                <w:szCs w:val="21"/>
              </w:rPr>
            </w:pPr>
            <w:r>
              <w:rPr>
                <w:rFonts w:hint="eastAsia" w:ascii="宋体" w:hAnsi="宋体" w:cs="宋体"/>
                <w:szCs w:val="21"/>
              </w:rPr>
              <w:t>5</w:t>
            </w:r>
          </w:p>
        </w:tc>
        <w:tc>
          <w:tcPr>
            <w:tcW w:w="1120" w:type="pct"/>
            <w:tcBorders>
              <w:top w:val="single" w:color="auto" w:sz="6" w:space="0"/>
              <w:left w:val="single" w:color="auto" w:sz="6" w:space="0"/>
              <w:bottom w:val="single" w:color="auto" w:sz="6" w:space="0"/>
              <w:right w:val="single" w:color="auto" w:sz="6" w:space="0"/>
            </w:tcBorders>
            <w:vAlign w:val="center"/>
          </w:tcPr>
          <w:p w14:paraId="3143E07E">
            <w:pPr>
              <w:adjustRightInd w:val="0"/>
              <w:snapToGrid w:val="0"/>
              <w:jc w:val="center"/>
              <w:rPr>
                <w:rFonts w:ascii="宋体" w:hAnsi="宋体" w:cs="宋体"/>
                <w:szCs w:val="20"/>
              </w:rPr>
            </w:pPr>
            <w:r>
              <w:rPr>
                <w:rFonts w:hint="eastAsia" w:ascii="宋体" w:hAnsi="宋体" w:cs="宋体"/>
                <w:szCs w:val="20"/>
              </w:rPr>
              <w:t>税金</w:t>
            </w:r>
          </w:p>
        </w:tc>
        <w:tc>
          <w:tcPr>
            <w:tcW w:w="1010" w:type="pct"/>
            <w:tcBorders>
              <w:top w:val="single" w:color="auto" w:sz="6" w:space="0"/>
              <w:left w:val="single" w:color="auto" w:sz="6" w:space="0"/>
              <w:bottom w:val="single" w:color="auto" w:sz="6" w:space="0"/>
              <w:right w:val="single" w:color="auto" w:sz="4" w:space="0"/>
            </w:tcBorders>
            <w:vAlign w:val="center"/>
          </w:tcPr>
          <w:p w14:paraId="04D1074F">
            <w:pPr>
              <w:adjustRightInd w:val="0"/>
              <w:snapToGrid w:val="0"/>
              <w:jc w:val="center"/>
              <w:rPr>
                <w:rFonts w:ascii="宋体" w:hAnsi="宋体" w:cs="宋体"/>
                <w:szCs w:val="20"/>
              </w:rPr>
            </w:pPr>
            <w:r>
              <w:rPr>
                <w:rFonts w:hint="eastAsia" w:ascii="宋体" w:hAnsi="宋体" w:cs="宋体"/>
                <w:szCs w:val="20"/>
              </w:rPr>
              <w:t>/</w:t>
            </w:r>
          </w:p>
        </w:tc>
        <w:tc>
          <w:tcPr>
            <w:tcW w:w="549" w:type="pct"/>
            <w:tcBorders>
              <w:top w:val="single" w:color="auto" w:sz="6" w:space="0"/>
              <w:left w:val="single" w:color="auto" w:sz="6" w:space="0"/>
              <w:bottom w:val="single" w:color="auto" w:sz="6" w:space="0"/>
              <w:right w:val="single" w:color="auto" w:sz="4" w:space="0"/>
            </w:tcBorders>
            <w:vAlign w:val="center"/>
          </w:tcPr>
          <w:p w14:paraId="56A1B240">
            <w:pPr>
              <w:adjustRightInd w:val="0"/>
              <w:snapToGrid w:val="0"/>
              <w:jc w:val="center"/>
              <w:rPr>
                <w:rFonts w:ascii="宋体" w:hAnsi="宋体" w:cs="宋体"/>
                <w:szCs w:val="20"/>
                <w:lang w:bidi="zh-CN"/>
              </w:rPr>
            </w:pPr>
            <w:r>
              <w:rPr>
                <w:rFonts w:hint="eastAsia" w:ascii="宋体" w:hAnsi="宋体" w:cs="宋体"/>
                <w:szCs w:val="20"/>
              </w:rPr>
              <w:t>/</w:t>
            </w:r>
          </w:p>
        </w:tc>
        <w:tc>
          <w:tcPr>
            <w:tcW w:w="862" w:type="pct"/>
            <w:tcBorders>
              <w:top w:val="single" w:color="auto" w:sz="6" w:space="0"/>
              <w:left w:val="single" w:color="auto" w:sz="4" w:space="0"/>
              <w:bottom w:val="single" w:color="auto" w:sz="6" w:space="0"/>
              <w:right w:val="single" w:color="auto" w:sz="6" w:space="0"/>
            </w:tcBorders>
            <w:vAlign w:val="center"/>
          </w:tcPr>
          <w:p w14:paraId="408110CD">
            <w:pPr>
              <w:adjustRightInd w:val="0"/>
              <w:snapToGrid w:val="0"/>
              <w:jc w:val="center"/>
              <w:rPr>
                <w:rFonts w:ascii="宋体" w:hAnsi="宋体" w:cs="宋体"/>
                <w:szCs w:val="20"/>
              </w:rPr>
            </w:pPr>
          </w:p>
        </w:tc>
        <w:tc>
          <w:tcPr>
            <w:tcW w:w="782" w:type="pct"/>
            <w:tcBorders>
              <w:top w:val="single" w:color="auto" w:sz="6" w:space="0"/>
              <w:left w:val="single" w:color="auto" w:sz="6" w:space="0"/>
              <w:bottom w:val="single" w:color="auto" w:sz="6" w:space="0"/>
              <w:right w:val="single" w:color="auto" w:sz="6" w:space="0"/>
            </w:tcBorders>
            <w:vAlign w:val="center"/>
          </w:tcPr>
          <w:p w14:paraId="0748D329">
            <w:pPr>
              <w:adjustRightInd w:val="0"/>
              <w:snapToGrid w:val="0"/>
              <w:jc w:val="center"/>
              <w:rPr>
                <w:rFonts w:ascii="宋体" w:hAnsi="宋体" w:cs="宋体"/>
                <w:szCs w:val="20"/>
              </w:rPr>
            </w:pPr>
          </w:p>
        </w:tc>
        <w:tc>
          <w:tcPr>
            <w:tcW w:w="476" w:type="pct"/>
            <w:tcBorders>
              <w:top w:val="single" w:color="auto" w:sz="6" w:space="0"/>
              <w:left w:val="single" w:color="auto" w:sz="6" w:space="0"/>
              <w:bottom w:val="single" w:color="auto" w:sz="6" w:space="0"/>
              <w:right w:val="double" w:color="auto" w:sz="4" w:space="0"/>
            </w:tcBorders>
            <w:vAlign w:val="center"/>
          </w:tcPr>
          <w:p w14:paraId="49F29A05">
            <w:pPr>
              <w:adjustRightInd w:val="0"/>
              <w:snapToGrid w:val="0"/>
              <w:jc w:val="center"/>
              <w:rPr>
                <w:rFonts w:ascii="宋体" w:hAnsi="宋体" w:cs="宋体"/>
                <w:szCs w:val="20"/>
              </w:rPr>
            </w:pPr>
          </w:p>
        </w:tc>
      </w:tr>
      <w:tr w14:paraId="22FEFD50">
        <w:tblPrEx>
          <w:tblCellMar>
            <w:top w:w="0" w:type="dxa"/>
            <w:left w:w="0" w:type="dxa"/>
            <w:bottom w:w="0" w:type="dxa"/>
            <w:right w:w="0" w:type="dxa"/>
          </w:tblCellMar>
        </w:tblPrEx>
        <w:trPr>
          <w:trHeight w:val="397" w:hRule="exact"/>
          <w:jc w:val="center"/>
        </w:trPr>
        <w:tc>
          <w:tcPr>
            <w:tcW w:w="198" w:type="pct"/>
            <w:tcBorders>
              <w:top w:val="single" w:color="auto" w:sz="6" w:space="0"/>
              <w:left w:val="double" w:color="auto" w:sz="4" w:space="0"/>
              <w:bottom w:val="single" w:color="auto" w:sz="6" w:space="0"/>
              <w:right w:val="single" w:color="auto" w:sz="6" w:space="0"/>
            </w:tcBorders>
            <w:vAlign w:val="center"/>
          </w:tcPr>
          <w:p w14:paraId="14AB04EE">
            <w:pPr>
              <w:jc w:val="center"/>
              <w:rPr>
                <w:rFonts w:ascii="宋体" w:hAnsi="宋体" w:cs="宋体"/>
                <w:szCs w:val="21"/>
              </w:rPr>
            </w:pPr>
            <w:r>
              <w:rPr>
                <w:rFonts w:hint="eastAsia" w:ascii="宋体" w:hAnsi="宋体" w:cs="宋体"/>
                <w:szCs w:val="21"/>
              </w:rPr>
              <w:t>…</w:t>
            </w:r>
          </w:p>
        </w:tc>
        <w:tc>
          <w:tcPr>
            <w:tcW w:w="1120" w:type="pct"/>
            <w:tcBorders>
              <w:top w:val="single" w:color="auto" w:sz="6" w:space="0"/>
              <w:left w:val="single" w:color="auto" w:sz="6" w:space="0"/>
              <w:bottom w:val="single" w:color="auto" w:sz="6" w:space="0"/>
              <w:right w:val="single" w:color="auto" w:sz="6" w:space="0"/>
            </w:tcBorders>
            <w:vAlign w:val="center"/>
          </w:tcPr>
          <w:p w14:paraId="79F4C1F1">
            <w:pPr>
              <w:adjustRightInd w:val="0"/>
              <w:snapToGrid w:val="0"/>
              <w:spacing w:line="360" w:lineRule="auto"/>
              <w:ind w:left="527" w:right="507"/>
              <w:jc w:val="center"/>
              <w:rPr>
                <w:rFonts w:ascii="宋体" w:hAnsi="宋体" w:cs="宋体"/>
                <w:szCs w:val="20"/>
              </w:rPr>
            </w:pPr>
          </w:p>
        </w:tc>
        <w:tc>
          <w:tcPr>
            <w:tcW w:w="1010" w:type="pct"/>
            <w:tcBorders>
              <w:top w:val="single" w:color="auto" w:sz="6" w:space="0"/>
              <w:left w:val="single" w:color="auto" w:sz="6" w:space="0"/>
              <w:bottom w:val="single" w:color="auto" w:sz="6" w:space="0"/>
              <w:right w:val="single" w:color="auto" w:sz="4" w:space="0"/>
            </w:tcBorders>
            <w:vAlign w:val="center"/>
          </w:tcPr>
          <w:p w14:paraId="6F1465E8">
            <w:pPr>
              <w:adjustRightInd w:val="0"/>
              <w:snapToGrid w:val="0"/>
              <w:spacing w:line="360" w:lineRule="auto"/>
              <w:jc w:val="center"/>
              <w:rPr>
                <w:rFonts w:ascii="宋体" w:hAnsi="宋体" w:cs="宋体"/>
                <w:szCs w:val="20"/>
              </w:rPr>
            </w:pPr>
          </w:p>
        </w:tc>
        <w:tc>
          <w:tcPr>
            <w:tcW w:w="549" w:type="pct"/>
            <w:tcBorders>
              <w:top w:val="single" w:color="auto" w:sz="6" w:space="0"/>
              <w:left w:val="single" w:color="auto" w:sz="6" w:space="0"/>
              <w:bottom w:val="single" w:color="auto" w:sz="6" w:space="0"/>
              <w:right w:val="single" w:color="auto" w:sz="4" w:space="0"/>
            </w:tcBorders>
            <w:vAlign w:val="center"/>
          </w:tcPr>
          <w:p w14:paraId="5CD3F1ED">
            <w:pPr>
              <w:adjustRightInd w:val="0"/>
              <w:snapToGrid w:val="0"/>
              <w:spacing w:line="360" w:lineRule="auto"/>
              <w:jc w:val="center"/>
              <w:rPr>
                <w:rFonts w:ascii="宋体" w:hAnsi="宋体" w:cs="宋体"/>
                <w:szCs w:val="20"/>
              </w:rPr>
            </w:pPr>
          </w:p>
        </w:tc>
        <w:tc>
          <w:tcPr>
            <w:tcW w:w="862" w:type="pct"/>
            <w:tcBorders>
              <w:top w:val="single" w:color="auto" w:sz="6" w:space="0"/>
              <w:left w:val="single" w:color="auto" w:sz="4" w:space="0"/>
              <w:bottom w:val="single" w:color="auto" w:sz="6" w:space="0"/>
              <w:right w:val="single" w:color="auto" w:sz="6" w:space="0"/>
            </w:tcBorders>
            <w:vAlign w:val="center"/>
          </w:tcPr>
          <w:p w14:paraId="197A6EED">
            <w:pPr>
              <w:adjustRightInd w:val="0"/>
              <w:snapToGrid w:val="0"/>
              <w:spacing w:line="360" w:lineRule="auto"/>
              <w:jc w:val="center"/>
              <w:rPr>
                <w:rFonts w:ascii="宋体" w:hAnsi="宋体" w:cs="宋体"/>
                <w:szCs w:val="20"/>
              </w:rPr>
            </w:pPr>
          </w:p>
        </w:tc>
        <w:tc>
          <w:tcPr>
            <w:tcW w:w="782" w:type="pct"/>
            <w:tcBorders>
              <w:top w:val="single" w:color="auto" w:sz="6" w:space="0"/>
              <w:left w:val="single" w:color="auto" w:sz="6" w:space="0"/>
              <w:bottom w:val="single" w:color="auto" w:sz="6" w:space="0"/>
              <w:right w:val="single" w:color="auto" w:sz="6" w:space="0"/>
            </w:tcBorders>
            <w:vAlign w:val="center"/>
          </w:tcPr>
          <w:p w14:paraId="31DDCBBD">
            <w:pPr>
              <w:adjustRightInd w:val="0"/>
              <w:snapToGrid w:val="0"/>
              <w:spacing w:line="360" w:lineRule="auto"/>
              <w:jc w:val="center"/>
              <w:rPr>
                <w:rFonts w:ascii="宋体" w:hAnsi="宋体" w:cs="宋体"/>
                <w:szCs w:val="20"/>
              </w:rPr>
            </w:pPr>
          </w:p>
        </w:tc>
        <w:tc>
          <w:tcPr>
            <w:tcW w:w="476" w:type="pct"/>
            <w:tcBorders>
              <w:top w:val="single" w:color="auto" w:sz="6" w:space="0"/>
              <w:left w:val="single" w:color="auto" w:sz="6" w:space="0"/>
              <w:bottom w:val="single" w:color="auto" w:sz="6" w:space="0"/>
              <w:right w:val="double" w:color="auto" w:sz="4" w:space="0"/>
            </w:tcBorders>
            <w:vAlign w:val="center"/>
          </w:tcPr>
          <w:p w14:paraId="129BA58D">
            <w:pPr>
              <w:adjustRightInd w:val="0"/>
              <w:snapToGrid w:val="0"/>
              <w:spacing w:line="360" w:lineRule="auto"/>
              <w:jc w:val="center"/>
              <w:rPr>
                <w:rFonts w:ascii="宋体" w:hAnsi="宋体" w:cs="宋体"/>
                <w:szCs w:val="20"/>
              </w:rPr>
            </w:pPr>
          </w:p>
        </w:tc>
      </w:tr>
      <w:tr w14:paraId="6F6BE8A7">
        <w:tblPrEx>
          <w:tblCellMar>
            <w:top w:w="0" w:type="dxa"/>
            <w:left w:w="0" w:type="dxa"/>
            <w:bottom w:w="0" w:type="dxa"/>
            <w:right w:w="0" w:type="dxa"/>
          </w:tblCellMar>
        </w:tblPrEx>
        <w:trPr>
          <w:trHeight w:val="414" w:hRule="exact"/>
          <w:jc w:val="center"/>
        </w:trPr>
        <w:tc>
          <w:tcPr>
            <w:tcW w:w="5000" w:type="pct"/>
            <w:gridSpan w:val="7"/>
            <w:tcBorders>
              <w:top w:val="single" w:color="auto" w:sz="6" w:space="0"/>
              <w:left w:val="double" w:color="auto" w:sz="4" w:space="0"/>
              <w:bottom w:val="double" w:color="auto" w:sz="4" w:space="0"/>
              <w:right w:val="double" w:color="auto" w:sz="4" w:space="0"/>
            </w:tcBorders>
            <w:vAlign w:val="center"/>
          </w:tcPr>
          <w:p w14:paraId="41F535B9">
            <w:pPr>
              <w:adjustRightInd w:val="0"/>
              <w:snapToGrid w:val="0"/>
              <w:spacing w:line="360" w:lineRule="auto"/>
              <w:jc w:val="center"/>
              <w:rPr>
                <w:rFonts w:ascii="宋体" w:hAnsi="宋体" w:cs="宋体"/>
                <w:szCs w:val="20"/>
              </w:rPr>
            </w:pPr>
            <w:r>
              <w:rPr>
                <w:rFonts w:hint="eastAsia" w:ascii="宋体" w:hAnsi="宋体" w:cs="宋体"/>
                <w:position w:val="-1"/>
                <w:sz w:val="22"/>
                <w:szCs w:val="21"/>
              </w:rPr>
              <w:t>报价（元）：</w:t>
            </w:r>
            <w:r>
              <w:rPr>
                <w:rFonts w:hint="eastAsia" w:ascii="宋体" w:hAnsi="宋体" w:cs="宋体"/>
                <w:sz w:val="22"/>
                <w:szCs w:val="21"/>
                <w:u w:val="single"/>
              </w:rPr>
              <w:t xml:space="preserve">                      元人民币整（大写：               元人民币整）</w:t>
            </w:r>
          </w:p>
        </w:tc>
      </w:tr>
    </w:tbl>
    <w:p w14:paraId="4D7686DE">
      <w:pPr>
        <w:pStyle w:val="32"/>
        <w:ind w:left="0" w:leftChars="0"/>
      </w:pPr>
    </w:p>
    <w:p w14:paraId="0AE0EEF3">
      <w:pPr>
        <w:adjustRightInd w:val="0"/>
        <w:snapToGrid w:val="0"/>
        <w:spacing w:line="360" w:lineRule="auto"/>
        <w:rPr>
          <w:szCs w:val="21"/>
        </w:rPr>
      </w:pPr>
      <w:r>
        <w:rPr>
          <w:szCs w:val="21"/>
        </w:rPr>
        <w:t>按采购文件提供的工程量清单报价并符合以下要求：</w:t>
      </w:r>
    </w:p>
    <w:p w14:paraId="7F959AF3">
      <w:pPr>
        <w:adjustRightInd w:val="0"/>
        <w:snapToGrid w:val="0"/>
        <w:spacing w:line="360" w:lineRule="auto"/>
        <w:ind w:firstLine="420" w:firstLineChars="200"/>
        <w:rPr>
          <w:szCs w:val="21"/>
        </w:rPr>
      </w:pPr>
      <w:r>
        <w:rPr>
          <w:szCs w:val="21"/>
        </w:rPr>
        <w:t>1、报价未超过采购文件规定的最高采购预算和最高限价；</w:t>
      </w:r>
    </w:p>
    <w:p w14:paraId="6A9BDEB6">
      <w:pPr>
        <w:adjustRightInd w:val="0"/>
        <w:snapToGrid w:val="0"/>
        <w:spacing w:line="360" w:lineRule="auto"/>
        <w:ind w:firstLine="420" w:firstLineChars="200"/>
        <w:rPr>
          <w:szCs w:val="21"/>
        </w:rPr>
      </w:pPr>
      <w:r>
        <w:rPr>
          <w:szCs w:val="21"/>
        </w:rPr>
        <w:t>2、报价中的规费或税金按照国家或省规定计取；</w:t>
      </w:r>
    </w:p>
    <w:p w14:paraId="4B3BEF93">
      <w:pPr>
        <w:spacing w:line="360" w:lineRule="auto"/>
        <w:jc w:val="center"/>
        <w:outlineLvl w:val="1"/>
        <w:rPr>
          <w:rFonts w:hint="eastAsia" w:ascii="宋体" w:hAnsi="宋体" w:cs="宋体"/>
          <w:b/>
          <w:color w:val="auto"/>
          <w:sz w:val="32"/>
          <w:szCs w:val="32"/>
        </w:rPr>
      </w:pPr>
    </w:p>
    <w:p w14:paraId="3A1FD0B3">
      <w:pPr>
        <w:spacing w:line="360" w:lineRule="auto"/>
        <w:jc w:val="center"/>
        <w:outlineLvl w:val="1"/>
        <w:rPr>
          <w:rFonts w:hint="eastAsia" w:ascii="宋体" w:hAnsi="宋体" w:cs="宋体"/>
          <w:b/>
          <w:color w:val="auto"/>
          <w:sz w:val="32"/>
          <w:szCs w:val="32"/>
        </w:rPr>
      </w:pPr>
    </w:p>
    <w:p w14:paraId="51B82F1D">
      <w:pPr>
        <w:spacing w:line="360" w:lineRule="auto"/>
        <w:jc w:val="center"/>
        <w:outlineLvl w:val="1"/>
        <w:rPr>
          <w:rFonts w:hint="eastAsia" w:ascii="宋体" w:hAnsi="宋体" w:cs="宋体"/>
          <w:b/>
          <w:color w:val="auto"/>
          <w:sz w:val="32"/>
          <w:szCs w:val="32"/>
        </w:rPr>
      </w:pPr>
    </w:p>
    <w:p w14:paraId="16CDD98F">
      <w:pPr>
        <w:spacing w:line="360" w:lineRule="auto"/>
        <w:jc w:val="center"/>
        <w:outlineLvl w:val="1"/>
        <w:rPr>
          <w:rFonts w:hint="eastAsia" w:ascii="宋体" w:hAnsi="宋体" w:cs="宋体"/>
          <w:b/>
          <w:color w:val="auto"/>
          <w:sz w:val="32"/>
          <w:szCs w:val="32"/>
        </w:rPr>
      </w:pPr>
    </w:p>
    <w:p w14:paraId="30393619">
      <w:pPr>
        <w:spacing w:line="360" w:lineRule="auto"/>
        <w:jc w:val="center"/>
        <w:outlineLvl w:val="1"/>
        <w:rPr>
          <w:rFonts w:hint="eastAsia" w:ascii="宋体" w:hAnsi="宋体" w:cs="宋体"/>
          <w:b/>
          <w:color w:val="auto"/>
          <w:sz w:val="32"/>
          <w:szCs w:val="32"/>
        </w:rPr>
      </w:pPr>
    </w:p>
    <w:p w14:paraId="7EAA9765">
      <w:pPr>
        <w:spacing w:line="360" w:lineRule="auto"/>
        <w:jc w:val="center"/>
        <w:outlineLvl w:val="1"/>
        <w:rPr>
          <w:rFonts w:hint="eastAsia" w:ascii="宋体" w:hAnsi="宋体" w:cs="宋体"/>
          <w:b/>
          <w:color w:val="auto"/>
          <w:sz w:val="32"/>
          <w:szCs w:val="32"/>
        </w:rPr>
      </w:pPr>
    </w:p>
    <w:p w14:paraId="5043681E">
      <w:pPr>
        <w:spacing w:line="360" w:lineRule="auto"/>
        <w:jc w:val="center"/>
        <w:outlineLvl w:val="1"/>
        <w:rPr>
          <w:rFonts w:hint="eastAsia" w:ascii="宋体" w:hAnsi="宋体" w:cs="宋体"/>
          <w:b/>
          <w:color w:val="auto"/>
          <w:sz w:val="32"/>
          <w:szCs w:val="32"/>
        </w:rPr>
      </w:pPr>
    </w:p>
    <w:p w14:paraId="65D5DA6A">
      <w:pPr>
        <w:spacing w:line="360" w:lineRule="auto"/>
        <w:jc w:val="center"/>
        <w:outlineLvl w:val="1"/>
        <w:rPr>
          <w:rFonts w:hint="eastAsia" w:ascii="宋体" w:hAnsi="宋体" w:cs="宋体"/>
          <w:b/>
          <w:color w:val="auto"/>
          <w:sz w:val="32"/>
          <w:szCs w:val="32"/>
        </w:rPr>
      </w:pPr>
    </w:p>
    <w:p w14:paraId="7D5AC7DB">
      <w:pPr>
        <w:spacing w:line="360" w:lineRule="auto"/>
        <w:jc w:val="center"/>
        <w:outlineLvl w:val="1"/>
        <w:rPr>
          <w:rFonts w:hint="eastAsia" w:ascii="宋体" w:hAnsi="宋体" w:cs="宋体"/>
          <w:b/>
          <w:color w:val="auto"/>
          <w:sz w:val="32"/>
          <w:szCs w:val="32"/>
        </w:rPr>
      </w:pPr>
    </w:p>
    <w:p w14:paraId="2C059906">
      <w:pPr>
        <w:spacing w:line="360" w:lineRule="auto"/>
        <w:jc w:val="center"/>
        <w:outlineLvl w:val="1"/>
        <w:rPr>
          <w:rFonts w:hint="eastAsia" w:ascii="宋体" w:hAnsi="宋体" w:cs="宋体"/>
          <w:b/>
          <w:color w:val="auto"/>
          <w:sz w:val="32"/>
          <w:szCs w:val="32"/>
        </w:rPr>
      </w:pPr>
    </w:p>
    <w:p w14:paraId="6DDD6AE7">
      <w:pPr>
        <w:spacing w:line="360" w:lineRule="auto"/>
        <w:jc w:val="center"/>
        <w:outlineLvl w:val="1"/>
        <w:rPr>
          <w:rFonts w:hint="eastAsia" w:ascii="宋体" w:hAnsi="宋体" w:cs="宋体"/>
          <w:b/>
          <w:color w:val="auto"/>
          <w:sz w:val="32"/>
          <w:szCs w:val="32"/>
        </w:rPr>
      </w:pPr>
    </w:p>
    <w:p w14:paraId="49A1FEA6">
      <w:pPr>
        <w:spacing w:line="360" w:lineRule="auto"/>
        <w:jc w:val="center"/>
        <w:outlineLvl w:val="1"/>
        <w:rPr>
          <w:rFonts w:hint="eastAsia" w:ascii="宋体" w:hAnsi="宋体" w:cs="宋体"/>
          <w:b/>
          <w:color w:val="auto"/>
          <w:sz w:val="32"/>
          <w:szCs w:val="32"/>
        </w:rPr>
      </w:pPr>
    </w:p>
    <w:p w14:paraId="23FEBCD6">
      <w:pPr>
        <w:spacing w:line="360" w:lineRule="auto"/>
        <w:jc w:val="center"/>
        <w:outlineLvl w:val="1"/>
        <w:rPr>
          <w:rFonts w:hint="eastAsia" w:ascii="宋体" w:hAnsi="宋体" w:cs="宋体"/>
          <w:b/>
          <w:color w:val="auto"/>
          <w:sz w:val="32"/>
          <w:szCs w:val="32"/>
        </w:rPr>
      </w:pPr>
    </w:p>
    <w:p w14:paraId="7EA3B2E4">
      <w:pPr>
        <w:numPr>
          <w:ilvl w:val="0"/>
          <w:numId w:val="0"/>
        </w:num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lang w:eastAsia="zh-CN"/>
        </w:rPr>
        <w:t>八、</w:t>
      </w:r>
      <w:r>
        <w:rPr>
          <w:rFonts w:hint="eastAsia" w:ascii="宋体" w:hAnsi="宋体" w:cs="宋体"/>
          <w:b/>
          <w:color w:val="auto"/>
          <w:sz w:val="32"/>
          <w:szCs w:val="32"/>
        </w:rPr>
        <w:t>供应商认为需要提供的其它资料</w:t>
      </w:r>
      <w:bookmarkEnd w:id="65"/>
    </w:p>
    <w:p w14:paraId="3226E4FE">
      <w:pPr>
        <w:adjustRightInd w:val="0"/>
        <w:snapToGrid w:val="0"/>
        <w:spacing w:beforeLines="50" w:line="360" w:lineRule="auto"/>
        <w:rPr>
          <w:rFonts w:hint="default" w:ascii="Times New Roman" w:hAnsi="Times New Roman" w:cs="Times New Roman"/>
        </w:rPr>
      </w:pPr>
      <w:r>
        <w:rPr>
          <w:rFonts w:hint="default" w:ascii="Times New Roman" w:hAnsi="Times New Roman" w:cs="Times New Roman"/>
        </w:rPr>
        <w:t>备注：</w:t>
      </w:r>
      <w:r>
        <w:rPr>
          <w:rFonts w:hint="default" w:ascii="Times New Roman" w:hAnsi="Times New Roman" w:cs="Times New Roman"/>
          <w:lang w:val="en-US" w:eastAsia="zh-CN"/>
        </w:rPr>
        <w:t>供应商</w:t>
      </w:r>
      <w:r>
        <w:rPr>
          <w:rFonts w:hint="default" w:ascii="Times New Roman" w:hAnsi="Times New Roman" w:cs="Times New Roman"/>
        </w:rPr>
        <w:t>认为需提供的其他资料</w:t>
      </w:r>
    </w:p>
    <w:p w14:paraId="6BAE8237">
      <w:pPr>
        <w:adjustRightInd w:val="0"/>
        <w:snapToGrid w:val="0"/>
        <w:spacing w:line="360" w:lineRule="auto"/>
        <w:ind w:left="-88" w:leftChars="-42"/>
        <w:jc w:val="both"/>
        <w:rPr>
          <w:rFonts w:hint="eastAsia" w:ascii="宋体" w:hAnsi="宋体"/>
          <w:color w:val="auto"/>
          <w:sz w:val="28"/>
          <w:szCs w:val="28"/>
        </w:rPr>
      </w:pPr>
    </w:p>
    <w:p w14:paraId="1662ACB4">
      <w:pPr>
        <w:spacing w:line="360" w:lineRule="auto"/>
        <w:jc w:val="center"/>
        <w:outlineLvl w:val="1"/>
        <w:rPr>
          <w:rFonts w:hint="eastAsia" w:ascii="宋体" w:hAnsi="宋体" w:cs="宋体"/>
          <w:b/>
          <w:color w:val="auto"/>
          <w:sz w:val="32"/>
          <w:szCs w:val="32"/>
        </w:rPr>
      </w:pPr>
      <w:bookmarkStart w:id="66" w:name="_Toc11879761"/>
      <w:r>
        <w:rPr>
          <w:rFonts w:hint="eastAsia" w:ascii="宋体" w:hAnsi="宋体" w:cs="宋体"/>
          <w:b/>
          <w:color w:val="auto"/>
          <w:sz w:val="32"/>
          <w:szCs w:val="32"/>
        </w:rPr>
        <w:br w:type="page"/>
      </w:r>
      <w:r>
        <w:rPr>
          <w:rFonts w:hint="eastAsia" w:ascii="宋体" w:hAnsi="宋体" w:cs="宋体"/>
          <w:b/>
          <w:color w:val="auto"/>
          <w:sz w:val="32"/>
          <w:szCs w:val="32"/>
          <w:lang w:eastAsia="zh-CN"/>
        </w:rPr>
        <w:t>九</w:t>
      </w:r>
      <w:r>
        <w:rPr>
          <w:rFonts w:hint="eastAsia" w:ascii="宋体" w:hAnsi="宋体" w:cs="宋体"/>
          <w:b/>
          <w:color w:val="auto"/>
          <w:sz w:val="32"/>
          <w:szCs w:val="32"/>
        </w:rPr>
        <w:t>、最后报价</w:t>
      </w:r>
      <w:bookmarkEnd w:id="66"/>
    </w:p>
    <w:p w14:paraId="5093A5DD">
      <w:pPr>
        <w:spacing w:line="360" w:lineRule="auto"/>
        <w:rPr>
          <w:rFonts w:hint="eastAsia"/>
          <w:b/>
          <w:color w:val="auto"/>
          <w:szCs w:val="21"/>
        </w:rPr>
      </w:pPr>
    </w:p>
    <w:p w14:paraId="37638317">
      <w:pPr>
        <w:spacing w:line="360" w:lineRule="auto"/>
        <w:jc w:val="center"/>
        <w:rPr>
          <w:rFonts w:hint="eastAsia"/>
          <w:b/>
          <w:color w:val="FF0000"/>
          <w:szCs w:val="21"/>
        </w:rPr>
      </w:pPr>
    </w:p>
    <w:p w14:paraId="4685C8B9">
      <w:pPr>
        <w:jc w:val="center"/>
        <w:rPr>
          <w:rFonts w:ascii="黑体" w:hAnsi="黑体" w:eastAsia="黑体"/>
          <w:b/>
          <w:sz w:val="28"/>
          <w:szCs w:val="28"/>
        </w:rPr>
      </w:pPr>
      <w:r>
        <w:rPr>
          <w:rFonts w:hint="eastAsia" w:ascii="黑体" w:hAnsi="黑体" w:eastAsia="黑体"/>
          <w:b/>
          <w:sz w:val="28"/>
          <w:szCs w:val="28"/>
        </w:rPr>
        <w:t>报价表</w:t>
      </w:r>
    </w:p>
    <w:p w14:paraId="2CE1E6D7">
      <w:pPr>
        <w:adjustRightInd w:val="0"/>
        <w:snapToGrid w:val="0"/>
        <w:spacing w:line="360" w:lineRule="auto"/>
        <w:ind w:left="-88" w:leftChars="-42"/>
        <w:jc w:val="center"/>
        <w:rPr>
          <w:rFonts w:ascii="仿宋_GB2312" w:hAnsi="宋体" w:eastAsia="仿宋_GB2312"/>
          <w:color w:val="000000"/>
          <w:sz w:val="24"/>
        </w:rPr>
      </w:pPr>
    </w:p>
    <w:p w14:paraId="0F0F4FAC">
      <w:pPr>
        <w:adjustRightInd w:val="0"/>
        <w:snapToGrid w:val="0"/>
        <w:spacing w:before="120" w:beforeLines="50" w:line="360" w:lineRule="auto"/>
        <w:rPr>
          <w:rFonts w:ascii="宋体" w:hAnsi="宋体"/>
          <w:szCs w:val="21"/>
        </w:rPr>
      </w:pPr>
      <w:r>
        <w:rPr>
          <w:rFonts w:hint="eastAsia" w:ascii="宋体" w:hAnsi="宋体"/>
          <w:szCs w:val="21"/>
        </w:rPr>
        <w:t>采购</w:t>
      </w:r>
      <w:r>
        <w:rPr>
          <w:rFonts w:hint="eastAsia" w:ascii="宋体" w:hAnsi="宋体"/>
          <w:szCs w:val="21"/>
          <w:lang w:val="en-US" w:eastAsia="zh-CN"/>
        </w:rPr>
        <w:t>项目</w:t>
      </w:r>
      <w:r>
        <w:rPr>
          <w:rFonts w:hint="eastAsia" w:ascii="宋体" w:hAnsi="宋体"/>
          <w:szCs w:val="21"/>
        </w:rPr>
        <w:t>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rPr>
        <w:t xml:space="preserve"> </w:t>
      </w:r>
    </w:p>
    <w:p w14:paraId="68C9D77A">
      <w:pPr>
        <w:adjustRightInd w:val="0"/>
        <w:snapToGrid w:val="0"/>
        <w:spacing w:before="120"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119"/>
      </w:tblGrid>
      <w:tr w14:paraId="64F9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0" w:type="dxa"/>
            <w:noWrap w:val="0"/>
            <w:vAlign w:val="center"/>
          </w:tcPr>
          <w:p w14:paraId="7D398F6A">
            <w:pPr>
              <w:adjustRightInd w:val="0"/>
              <w:snapToGrid w:val="0"/>
              <w:spacing w:before="120"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noWrap w:val="0"/>
            <w:vAlign w:val="center"/>
          </w:tcPr>
          <w:p w14:paraId="04F82B1E">
            <w:pPr>
              <w:adjustRightInd w:val="0"/>
              <w:snapToGrid w:val="0"/>
              <w:spacing w:before="120" w:beforeLines="50" w:line="360" w:lineRule="auto"/>
              <w:jc w:val="center"/>
              <w:rPr>
                <w:rFonts w:ascii="宋体" w:hAnsi="宋体"/>
                <w:b/>
                <w:kern w:val="0"/>
                <w:szCs w:val="21"/>
              </w:rPr>
            </w:pPr>
            <w:r>
              <w:rPr>
                <w:rFonts w:hint="eastAsia" w:ascii="宋体" w:hAnsi="宋体"/>
                <w:b/>
                <w:kern w:val="0"/>
                <w:szCs w:val="21"/>
              </w:rPr>
              <w:t>其他内容</w:t>
            </w:r>
          </w:p>
        </w:tc>
      </w:tr>
      <w:tr w14:paraId="0410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670" w:type="dxa"/>
            <w:noWrap w:val="0"/>
            <w:vAlign w:val="center"/>
          </w:tcPr>
          <w:p w14:paraId="7458C37D">
            <w:pPr>
              <w:adjustRightInd w:val="0"/>
              <w:snapToGrid w:val="0"/>
              <w:spacing w:before="120"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18E55F7A">
            <w:pPr>
              <w:adjustRightInd w:val="0"/>
              <w:snapToGrid w:val="0"/>
              <w:spacing w:before="120"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7E1148FA">
            <w:pPr>
              <w:adjustRightInd w:val="0"/>
              <w:snapToGrid w:val="0"/>
              <w:spacing w:before="120"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noWrap w:val="0"/>
            <w:vAlign w:val="center"/>
          </w:tcPr>
          <w:p w14:paraId="3588E029">
            <w:pPr>
              <w:adjustRightInd w:val="0"/>
              <w:snapToGrid w:val="0"/>
              <w:spacing w:before="120" w:beforeLines="50" w:line="360" w:lineRule="auto"/>
              <w:jc w:val="center"/>
              <w:rPr>
                <w:rFonts w:ascii="宋体" w:hAnsi="宋体"/>
                <w:kern w:val="0"/>
                <w:szCs w:val="21"/>
              </w:rPr>
            </w:pPr>
          </w:p>
        </w:tc>
      </w:tr>
    </w:tbl>
    <w:p w14:paraId="47AFD571">
      <w:pPr>
        <w:adjustRightInd w:val="0"/>
        <w:snapToGrid w:val="0"/>
        <w:spacing w:before="120"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2E036285">
      <w:pPr>
        <w:adjustRightInd w:val="0"/>
        <w:snapToGrid w:val="0"/>
        <w:spacing w:line="360" w:lineRule="auto"/>
        <w:rPr>
          <w:rFonts w:hint="eastAsia" w:ascii="宋体" w:hAnsi="宋体"/>
          <w:szCs w:val="21"/>
        </w:rPr>
      </w:pPr>
    </w:p>
    <w:p w14:paraId="713372C5">
      <w:pPr>
        <w:adjustRightInd w:val="0"/>
        <w:snapToGrid w:val="0"/>
        <w:spacing w:line="360" w:lineRule="auto"/>
        <w:rPr>
          <w:rFonts w:hint="eastAsia" w:ascii="宋体" w:hAnsi="宋体"/>
          <w:szCs w:val="21"/>
        </w:rPr>
      </w:pPr>
    </w:p>
    <w:p w14:paraId="15C3D6E0">
      <w:pPr>
        <w:adjustRightInd w:val="0"/>
        <w:snapToGrid w:val="0"/>
        <w:spacing w:line="360" w:lineRule="auto"/>
        <w:rPr>
          <w:rFonts w:ascii="宋体" w:hAnsi="宋体"/>
          <w:szCs w:val="21"/>
        </w:rPr>
      </w:pPr>
      <w:r>
        <w:rPr>
          <w:rFonts w:hint="eastAsia" w:ascii="宋体" w:hAnsi="宋体"/>
          <w:szCs w:val="21"/>
        </w:rPr>
        <w:t>供应商名称（盖单位公章）：</w:t>
      </w:r>
    </w:p>
    <w:p w14:paraId="7B062C62">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4E9AB2C0">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4FA3CEA">
      <w:pPr>
        <w:rPr>
          <w:rFonts w:hint="eastAsia" w:ascii="宋体" w:hAnsi="宋体" w:cs="宋体"/>
          <w:b/>
          <w:bCs/>
          <w:color w:val="auto"/>
          <w:highlight w:val="none"/>
          <w:lang w:eastAsia="zh-CN"/>
        </w:rPr>
      </w:pPr>
    </w:p>
    <w:p w14:paraId="657A6FC7">
      <w:pPr>
        <w:rPr>
          <w:rFonts w:hint="eastAsia" w:ascii="宋体" w:hAnsi="宋体" w:cs="宋体"/>
          <w:b/>
          <w:bCs/>
          <w:color w:val="auto"/>
          <w:highlight w:val="none"/>
          <w:lang w:eastAsia="zh-CN"/>
        </w:rPr>
      </w:pPr>
    </w:p>
    <w:p w14:paraId="4507857E">
      <w:pPr>
        <w:spacing w:line="360" w:lineRule="auto"/>
        <w:ind w:firstLine="182" w:firstLineChars="100"/>
        <w:rPr>
          <w:rFonts w:hint="eastAsia" w:ascii="宋体" w:hAnsi="宋体"/>
          <w:color w:val="auto"/>
          <w:spacing w:val="-14"/>
          <w:szCs w:val="21"/>
        </w:rPr>
      </w:pPr>
    </w:p>
    <w:p w14:paraId="5421D3BB">
      <w:pPr>
        <w:adjustRightInd w:val="0"/>
        <w:snapToGrid w:val="0"/>
        <w:spacing w:line="400" w:lineRule="exact"/>
        <w:rPr>
          <w:rFonts w:hint="eastAsia" w:ascii="宋体" w:hAnsi="宋体"/>
          <w:color w:val="auto"/>
          <w:szCs w:val="21"/>
        </w:rPr>
      </w:pPr>
    </w:p>
    <w:p w14:paraId="23A8FC88">
      <w:pPr>
        <w:pStyle w:val="62"/>
        <w:rPr>
          <w:rFonts w:hint="eastAsia" w:ascii="宋体" w:hAnsi="宋体"/>
          <w:color w:val="auto"/>
          <w:szCs w:val="21"/>
        </w:rPr>
      </w:pPr>
    </w:p>
    <w:p w14:paraId="6AFFF76F">
      <w:pPr>
        <w:pStyle w:val="62"/>
        <w:rPr>
          <w:rFonts w:hint="eastAsia" w:ascii="宋体" w:hAnsi="宋体"/>
          <w:color w:val="auto"/>
          <w:szCs w:val="21"/>
        </w:rPr>
      </w:pPr>
    </w:p>
    <w:p w14:paraId="457E217F">
      <w:pPr>
        <w:pStyle w:val="62"/>
        <w:rPr>
          <w:rFonts w:hint="eastAsia" w:ascii="宋体" w:hAnsi="宋体"/>
          <w:color w:val="auto"/>
          <w:szCs w:val="21"/>
        </w:rPr>
      </w:pPr>
    </w:p>
    <w:p w14:paraId="12F74AE9">
      <w:pPr>
        <w:pStyle w:val="62"/>
        <w:rPr>
          <w:rFonts w:hint="eastAsia" w:ascii="宋体" w:hAnsi="宋体"/>
          <w:color w:val="auto"/>
          <w:szCs w:val="21"/>
        </w:rPr>
      </w:pPr>
    </w:p>
    <w:p w14:paraId="717C5562">
      <w:pPr>
        <w:pStyle w:val="62"/>
        <w:rPr>
          <w:rFonts w:hint="eastAsia" w:ascii="宋体" w:hAnsi="宋体"/>
          <w:color w:val="auto"/>
          <w:szCs w:val="21"/>
        </w:rPr>
      </w:pPr>
    </w:p>
    <w:p w14:paraId="7F48922D">
      <w:pPr>
        <w:pStyle w:val="62"/>
        <w:rPr>
          <w:rFonts w:hint="eastAsia" w:ascii="宋体" w:hAnsi="宋体"/>
          <w:color w:val="auto"/>
          <w:szCs w:val="21"/>
        </w:rPr>
      </w:pPr>
    </w:p>
    <w:p w14:paraId="5F915B28">
      <w:pPr>
        <w:pStyle w:val="62"/>
        <w:rPr>
          <w:rFonts w:hint="eastAsia" w:ascii="宋体" w:hAnsi="宋体"/>
          <w:color w:val="auto"/>
          <w:szCs w:val="21"/>
        </w:rPr>
      </w:pPr>
    </w:p>
    <w:p w14:paraId="580B5F98">
      <w:pPr>
        <w:pStyle w:val="62"/>
        <w:rPr>
          <w:rFonts w:hint="eastAsia" w:ascii="宋体" w:hAnsi="宋体"/>
          <w:color w:val="auto"/>
          <w:szCs w:val="21"/>
        </w:rPr>
      </w:pPr>
    </w:p>
    <w:p w14:paraId="3D3C9FC0">
      <w:pPr>
        <w:adjustRightInd w:val="0"/>
        <w:snapToGrid w:val="0"/>
        <w:spacing w:line="360" w:lineRule="auto"/>
        <w:ind w:left="-88" w:leftChars="-42" w:firstLine="527" w:firstLineChars="250"/>
        <w:rPr>
          <w:rFonts w:hint="eastAsia" w:ascii="宋体" w:hAnsi="宋体"/>
          <w:color w:val="auto"/>
          <w:szCs w:val="21"/>
        </w:rPr>
      </w:pPr>
      <w:r>
        <w:rPr>
          <w:rFonts w:hint="eastAsia" w:ascii="宋体" w:hAnsi="宋体" w:cs="宋体"/>
          <w:b/>
          <w:bCs/>
          <w:color w:val="auto"/>
          <w:kern w:val="0"/>
          <w:szCs w:val="21"/>
          <w:lang w:val="en-US" w:eastAsia="zh-CN"/>
        </w:rPr>
        <w:t>说明</w:t>
      </w:r>
      <w:r>
        <w:rPr>
          <w:rFonts w:hint="eastAsia" w:ascii="宋体" w:hAnsi="宋体" w:cs="宋体"/>
          <w:b/>
          <w:bCs/>
          <w:color w:val="auto"/>
          <w:kern w:val="0"/>
          <w:szCs w:val="21"/>
        </w:rPr>
        <w:t>：最后报价</w:t>
      </w:r>
      <w:r>
        <w:rPr>
          <w:rFonts w:hint="eastAsia" w:ascii="宋体" w:hAnsi="宋体" w:cs="宋体"/>
          <w:b/>
          <w:bCs/>
          <w:color w:val="auto"/>
          <w:kern w:val="0"/>
          <w:szCs w:val="21"/>
          <w:lang w:val="en-US" w:eastAsia="zh-CN"/>
        </w:rPr>
        <w:t>相关内容和</w:t>
      </w:r>
      <w:r>
        <w:rPr>
          <w:rFonts w:hint="eastAsia" w:ascii="宋体" w:hAnsi="宋体" w:cs="宋体"/>
          <w:b/>
          <w:bCs/>
          <w:color w:val="auto"/>
          <w:kern w:val="0"/>
          <w:szCs w:val="21"/>
        </w:rPr>
        <w:t>表格不得装订在响应文件中，供应商需单独准备，谈判现场进行最后报价</w:t>
      </w:r>
      <w:r>
        <w:rPr>
          <w:rFonts w:hint="eastAsia" w:ascii="宋体" w:hAnsi="宋体" w:cs="宋体"/>
          <w:color w:val="auto"/>
          <w:kern w:val="0"/>
          <w:szCs w:val="21"/>
        </w:rPr>
        <w:t>。</w:t>
      </w:r>
    </w:p>
    <w:sectPr>
      <w:headerReference r:id="rId7" w:type="first"/>
      <w:headerReference r:id="rId5" w:type="default"/>
      <w:headerReference r:id="rId6" w:type="even"/>
      <w:footerReference r:id="rId8" w:type="even"/>
      <w:pgSz w:w="11906" w:h="16838"/>
      <w:pgMar w:top="1134" w:right="1417" w:bottom="1134" w:left="1417"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S Sans Serif">
    <w:altName w:val="Courier New"/>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8" w:usb3="00000000" w:csb0="000001F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Wingdings 2">
    <w:altName w:val="Wingdings"/>
    <w:panose1 w:val="05020102010507070707"/>
    <w:charset w:val="02"/>
    <w:family w:val="auto"/>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Kingsoft U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5C5A6">
    <w:pPr>
      <w:pStyle w:val="3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B09DC8">
                          <w:pPr>
                            <w:pStyle w:val="30"/>
                            <w:jc w:val="right"/>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A0Lq3gEAAL4DAAAOAAAAAAAA&#10;AAEAIAAAAB4BAABkcnMvZTJvRG9jLnhtbFBLBQYAAAAABgAGAFkBAABuBQAAAAA=&#10;">
              <v:fill on="f" focussize="0,0"/>
              <v:stroke on="f"/>
              <v:imagedata o:title=""/>
              <o:lock v:ext="edit" aspectratio="f"/>
              <v:textbox inset="0mm,0mm,0mm,0mm" style="mso-fit-shape-to-text:t;">
                <w:txbxContent>
                  <w:p w14:paraId="7FB09DC8">
                    <w:pPr>
                      <w:pStyle w:val="30"/>
                      <w:jc w:val="right"/>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6B9C8037">
    <w:pPr>
      <w:pStyle w:val="30"/>
      <w:ind w:right="24"/>
      <w:jc w:val="center"/>
      <w:rPr>
        <w:sz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5B5D4">
    <w:pPr>
      <w:pStyle w:val="30"/>
      <w:framePr w:wrap="around" w:vAnchor="text" w:hAnchor="margin" w:xAlign="right" w:y="1"/>
      <w:rPr>
        <w:rStyle w:val="48"/>
      </w:rPr>
    </w:pPr>
    <w:r>
      <w:fldChar w:fldCharType="begin"/>
    </w:r>
    <w:r>
      <w:rPr>
        <w:rStyle w:val="48"/>
      </w:rPr>
      <w:instrText xml:space="preserve">PAGE  </w:instrText>
    </w:r>
    <w:r>
      <w:fldChar w:fldCharType="end"/>
    </w:r>
  </w:p>
  <w:p w14:paraId="23FC3E51">
    <w:pPr>
      <w:pStyle w:val="3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9B0F6">
    <w:pPr>
      <w:pStyle w:val="31"/>
      <w:pBdr>
        <w:bottom w:val="none" w:color="auto" w:sz="0" w:space="1"/>
      </w:pBdr>
      <w:ind w:left="8100" w:hanging="8100" w:hangingChars="4500"/>
      <w:jc w:val="left"/>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17E7D">
    <w:pPr>
      <w:pStyle w:val="31"/>
      <w:pBdr>
        <w:bottom w:val="none" w:color="auto" w:sz="0" w:space="1"/>
      </w:pBdr>
      <w:tabs>
        <w:tab w:val="left" w:pos="3278"/>
      </w:tabs>
      <w:jc w:val="left"/>
      <w:rPr>
        <w:rFonts w:hint="eastAsia" w:eastAsia="宋体"/>
        <w:lang w:eastAsia="zh-CN"/>
      </w:rPr>
    </w:pPr>
    <w:r>
      <w:rPr>
        <w:rFonts w:hint="eastAsia"/>
        <w:lang w:eastAsia="zh-CN"/>
      </w:rPr>
      <w:tab/>
    </w:r>
    <w:r>
      <w:rPr>
        <w:rFonts w:hint="eastAsia"/>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041B5">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8AE80">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E66D56"/>
    <w:multiLevelType w:val="singleLevel"/>
    <w:tmpl w:val="D0E66D56"/>
    <w:lvl w:ilvl="0" w:tentative="0">
      <w:start w:val="3"/>
      <w:numFmt w:val="decimal"/>
      <w:suff w:val="nothing"/>
      <w:lvlText w:val="%1、"/>
      <w:lvlJc w:val="left"/>
    </w:lvl>
  </w:abstractNum>
  <w:abstractNum w:abstractNumId="1">
    <w:nsid w:val="D83DE86F"/>
    <w:multiLevelType w:val="singleLevel"/>
    <w:tmpl w:val="D83DE86F"/>
    <w:lvl w:ilvl="0" w:tentative="0">
      <w:start w:val="4"/>
      <w:numFmt w:val="chineseCounting"/>
      <w:suff w:val="nothing"/>
      <w:lvlText w:val="%1、"/>
      <w:lvlJc w:val="left"/>
      <w:rPr>
        <w:rFonts w:hint="eastAsia"/>
      </w:rPr>
    </w:lvl>
  </w:abstractNum>
  <w:abstractNum w:abstractNumId="2">
    <w:nsid w:val="DDF53553"/>
    <w:multiLevelType w:val="singleLevel"/>
    <w:tmpl w:val="DDF53553"/>
    <w:lvl w:ilvl="0" w:tentative="0">
      <w:start w:val="2"/>
      <w:numFmt w:val="decimal"/>
      <w:suff w:val="nothing"/>
      <w:lvlText w:val="%1、"/>
      <w:lvlJc w:val="left"/>
    </w:lvl>
  </w:abstractNum>
  <w:abstractNum w:abstractNumId="3">
    <w:nsid w:val="00000033"/>
    <w:multiLevelType w:val="multilevel"/>
    <w:tmpl w:val="00000033"/>
    <w:lvl w:ilvl="0" w:tentative="0">
      <w:start w:val="1"/>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0000043"/>
    <w:multiLevelType w:val="multilevel"/>
    <w:tmpl w:val="00000043"/>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5">
    <w:nsid w:val="037E11FB"/>
    <w:multiLevelType w:val="singleLevel"/>
    <w:tmpl w:val="037E11FB"/>
    <w:lvl w:ilvl="0" w:tentative="0">
      <w:start w:val="4"/>
      <w:numFmt w:val="chineseCounting"/>
      <w:suff w:val="space"/>
      <w:lvlText w:val="第%1章"/>
      <w:lvlJc w:val="left"/>
      <w:rPr>
        <w:rFonts w:hint="eastAsia"/>
      </w:rPr>
    </w:lvl>
  </w:abstractNum>
  <w:abstractNum w:abstractNumId="6">
    <w:nsid w:val="0613246D"/>
    <w:multiLevelType w:val="multilevel"/>
    <w:tmpl w:val="0613246D"/>
    <w:lvl w:ilvl="0" w:tentative="0">
      <w:start w:val="1"/>
      <w:numFmt w:val="decimal"/>
      <w:lvlText w:val="%1. "/>
      <w:lvlJc w:val="left"/>
      <w:pPr>
        <w:tabs>
          <w:tab w:val="left" w:pos="0"/>
        </w:tabs>
        <w:ind w:left="0" w:firstLine="0"/>
      </w:pPr>
      <w:rPr>
        <w:rFonts w:hint="eastAsia" w:ascii="宋体" w:hAnsi="宋体" w:eastAsia="宋体"/>
        <w:b/>
        <w:sz w:val="24"/>
        <w:szCs w:val="24"/>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99B5BBF"/>
    <w:multiLevelType w:val="singleLevel"/>
    <w:tmpl w:val="399B5BBF"/>
    <w:lvl w:ilvl="0" w:tentative="0">
      <w:start w:val="3"/>
      <w:numFmt w:val="chineseCounting"/>
      <w:suff w:val="space"/>
      <w:lvlText w:val="第%1节"/>
      <w:lvlJc w:val="left"/>
      <w:rPr>
        <w:rFonts w:hint="eastAsia"/>
      </w:rPr>
    </w:lvl>
  </w:abstractNum>
  <w:abstractNum w:abstractNumId="8">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66824A60"/>
    <w:multiLevelType w:val="singleLevel"/>
    <w:tmpl w:val="66824A60"/>
    <w:lvl w:ilvl="0" w:tentative="0">
      <w:start w:val="8"/>
      <w:numFmt w:val="chineseCounting"/>
      <w:suff w:val="nothing"/>
      <w:lvlText w:val="%1、"/>
      <w:lvlJc w:val="left"/>
      <w:rPr>
        <w:rFonts w:hint="eastAsia"/>
      </w:rPr>
    </w:lvl>
  </w:abstractNum>
  <w:num w:numId="1">
    <w:abstractNumId w:val="0"/>
  </w:num>
  <w:num w:numId="2">
    <w:abstractNumId w:val="8"/>
  </w:num>
  <w:num w:numId="3">
    <w:abstractNumId w:val="6"/>
  </w:num>
  <w:num w:numId="4">
    <w:abstractNumId w:val="3"/>
  </w:num>
  <w:num w:numId="5">
    <w:abstractNumId w:val="4"/>
  </w:num>
  <w:num w:numId="6">
    <w:abstractNumId w:val="2"/>
  </w:num>
  <w:num w:numId="7">
    <w:abstractNumId w:val="7"/>
  </w:num>
  <w:num w:numId="8">
    <w:abstractNumId w:val="5"/>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lMzMwZDhmNWQwNTE4YjM4MGEyMmNlNWYxYTFjNmMifQ=="/>
  </w:docVars>
  <w:rsids>
    <w:rsidRoot w:val="00496D5A"/>
    <w:rsid w:val="000068E8"/>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543A5"/>
    <w:rsid w:val="0005545F"/>
    <w:rsid w:val="0005576E"/>
    <w:rsid w:val="00061270"/>
    <w:rsid w:val="000640EC"/>
    <w:rsid w:val="000641A5"/>
    <w:rsid w:val="000677F7"/>
    <w:rsid w:val="00074FCC"/>
    <w:rsid w:val="000818D8"/>
    <w:rsid w:val="00081FA6"/>
    <w:rsid w:val="00086A97"/>
    <w:rsid w:val="000952E7"/>
    <w:rsid w:val="000A106E"/>
    <w:rsid w:val="000A2941"/>
    <w:rsid w:val="000A3C67"/>
    <w:rsid w:val="000A3E58"/>
    <w:rsid w:val="000A453E"/>
    <w:rsid w:val="000A604E"/>
    <w:rsid w:val="000A6FEC"/>
    <w:rsid w:val="000B422C"/>
    <w:rsid w:val="000B6963"/>
    <w:rsid w:val="000C0D96"/>
    <w:rsid w:val="000C2B71"/>
    <w:rsid w:val="000C3661"/>
    <w:rsid w:val="000C5109"/>
    <w:rsid w:val="000C5BDA"/>
    <w:rsid w:val="000D5749"/>
    <w:rsid w:val="000D5DBD"/>
    <w:rsid w:val="000E0A9C"/>
    <w:rsid w:val="000E1E33"/>
    <w:rsid w:val="000E430C"/>
    <w:rsid w:val="000F23B9"/>
    <w:rsid w:val="00100878"/>
    <w:rsid w:val="00106CB3"/>
    <w:rsid w:val="00107232"/>
    <w:rsid w:val="0011494C"/>
    <w:rsid w:val="00124A24"/>
    <w:rsid w:val="001256EF"/>
    <w:rsid w:val="00127819"/>
    <w:rsid w:val="001324C6"/>
    <w:rsid w:val="001344E3"/>
    <w:rsid w:val="001364C1"/>
    <w:rsid w:val="001416D5"/>
    <w:rsid w:val="0014690F"/>
    <w:rsid w:val="00147E27"/>
    <w:rsid w:val="00154ED0"/>
    <w:rsid w:val="00160437"/>
    <w:rsid w:val="00161540"/>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938"/>
    <w:rsid w:val="001E0AF2"/>
    <w:rsid w:val="001F0C84"/>
    <w:rsid w:val="001F16F1"/>
    <w:rsid w:val="001F3061"/>
    <w:rsid w:val="00200EA4"/>
    <w:rsid w:val="002017B9"/>
    <w:rsid w:val="002037B4"/>
    <w:rsid w:val="002037DB"/>
    <w:rsid w:val="00205190"/>
    <w:rsid w:val="002068C3"/>
    <w:rsid w:val="00206968"/>
    <w:rsid w:val="00206FCE"/>
    <w:rsid w:val="00207162"/>
    <w:rsid w:val="0021071E"/>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516D9"/>
    <w:rsid w:val="00263CE9"/>
    <w:rsid w:val="00266E91"/>
    <w:rsid w:val="00275C72"/>
    <w:rsid w:val="00281493"/>
    <w:rsid w:val="00285665"/>
    <w:rsid w:val="002859F6"/>
    <w:rsid w:val="00290F35"/>
    <w:rsid w:val="00291C33"/>
    <w:rsid w:val="002942E2"/>
    <w:rsid w:val="00294C1C"/>
    <w:rsid w:val="00295E49"/>
    <w:rsid w:val="002A03CB"/>
    <w:rsid w:val="002A3811"/>
    <w:rsid w:val="002A41F5"/>
    <w:rsid w:val="002A6ED0"/>
    <w:rsid w:val="002B4521"/>
    <w:rsid w:val="002B5F66"/>
    <w:rsid w:val="002B7325"/>
    <w:rsid w:val="002C6F9E"/>
    <w:rsid w:val="002D54FC"/>
    <w:rsid w:val="002E2AB7"/>
    <w:rsid w:val="002E2BB7"/>
    <w:rsid w:val="002E356B"/>
    <w:rsid w:val="002E6042"/>
    <w:rsid w:val="002F0EFC"/>
    <w:rsid w:val="002F42D5"/>
    <w:rsid w:val="00301B5A"/>
    <w:rsid w:val="00301C35"/>
    <w:rsid w:val="00303D82"/>
    <w:rsid w:val="00306838"/>
    <w:rsid w:val="003072D6"/>
    <w:rsid w:val="00311078"/>
    <w:rsid w:val="003136E5"/>
    <w:rsid w:val="00313BC8"/>
    <w:rsid w:val="0031417B"/>
    <w:rsid w:val="00314A1F"/>
    <w:rsid w:val="00317CD3"/>
    <w:rsid w:val="00321C75"/>
    <w:rsid w:val="003303DC"/>
    <w:rsid w:val="00331A2E"/>
    <w:rsid w:val="00332937"/>
    <w:rsid w:val="003333D7"/>
    <w:rsid w:val="00333943"/>
    <w:rsid w:val="00340105"/>
    <w:rsid w:val="003412D4"/>
    <w:rsid w:val="00342089"/>
    <w:rsid w:val="0034572F"/>
    <w:rsid w:val="003469A3"/>
    <w:rsid w:val="003469E4"/>
    <w:rsid w:val="0035131B"/>
    <w:rsid w:val="0035182C"/>
    <w:rsid w:val="0035281C"/>
    <w:rsid w:val="0035331E"/>
    <w:rsid w:val="00354DFB"/>
    <w:rsid w:val="003610D2"/>
    <w:rsid w:val="0037058A"/>
    <w:rsid w:val="003718A4"/>
    <w:rsid w:val="00374E53"/>
    <w:rsid w:val="00376191"/>
    <w:rsid w:val="00391379"/>
    <w:rsid w:val="003914B4"/>
    <w:rsid w:val="00391A73"/>
    <w:rsid w:val="003948FD"/>
    <w:rsid w:val="003A3946"/>
    <w:rsid w:val="003A6117"/>
    <w:rsid w:val="003A6337"/>
    <w:rsid w:val="003B0AFE"/>
    <w:rsid w:val="003B1744"/>
    <w:rsid w:val="003B3B6E"/>
    <w:rsid w:val="003B6A76"/>
    <w:rsid w:val="003B780B"/>
    <w:rsid w:val="003C3A5C"/>
    <w:rsid w:val="003C3EAB"/>
    <w:rsid w:val="003C6100"/>
    <w:rsid w:val="003C7959"/>
    <w:rsid w:val="003D1521"/>
    <w:rsid w:val="003E1735"/>
    <w:rsid w:val="003E18E1"/>
    <w:rsid w:val="003E1EFA"/>
    <w:rsid w:val="003E476A"/>
    <w:rsid w:val="003E7B33"/>
    <w:rsid w:val="003F472F"/>
    <w:rsid w:val="003F4843"/>
    <w:rsid w:val="003F4E1C"/>
    <w:rsid w:val="003F6A20"/>
    <w:rsid w:val="003F7D02"/>
    <w:rsid w:val="004032B6"/>
    <w:rsid w:val="004056E1"/>
    <w:rsid w:val="00410033"/>
    <w:rsid w:val="0041158C"/>
    <w:rsid w:val="004117F0"/>
    <w:rsid w:val="00411C9F"/>
    <w:rsid w:val="00424C1B"/>
    <w:rsid w:val="00430191"/>
    <w:rsid w:val="00431725"/>
    <w:rsid w:val="00432850"/>
    <w:rsid w:val="004409B2"/>
    <w:rsid w:val="00441209"/>
    <w:rsid w:val="00461050"/>
    <w:rsid w:val="00467750"/>
    <w:rsid w:val="00470434"/>
    <w:rsid w:val="004836CC"/>
    <w:rsid w:val="00483D0A"/>
    <w:rsid w:val="00485D13"/>
    <w:rsid w:val="0048677F"/>
    <w:rsid w:val="0049529F"/>
    <w:rsid w:val="00496D5A"/>
    <w:rsid w:val="004A0502"/>
    <w:rsid w:val="004A5608"/>
    <w:rsid w:val="004A7B3D"/>
    <w:rsid w:val="004B706A"/>
    <w:rsid w:val="004B7380"/>
    <w:rsid w:val="004C1041"/>
    <w:rsid w:val="004C3E5A"/>
    <w:rsid w:val="004C3F73"/>
    <w:rsid w:val="004D1DC5"/>
    <w:rsid w:val="004D7496"/>
    <w:rsid w:val="004F118B"/>
    <w:rsid w:val="004F46DF"/>
    <w:rsid w:val="00504192"/>
    <w:rsid w:val="00504385"/>
    <w:rsid w:val="00510AFD"/>
    <w:rsid w:val="00515059"/>
    <w:rsid w:val="00522A24"/>
    <w:rsid w:val="0052705B"/>
    <w:rsid w:val="005277A2"/>
    <w:rsid w:val="00530025"/>
    <w:rsid w:val="00531F5A"/>
    <w:rsid w:val="005325DA"/>
    <w:rsid w:val="005327B1"/>
    <w:rsid w:val="00533709"/>
    <w:rsid w:val="00546417"/>
    <w:rsid w:val="005465D5"/>
    <w:rsid w:val="00550A9E"/>
    <w:rsid w:val="00550DB2"/>
    <w:rsid w:val="00553640"/>
    <w:rsid w:val="00554044"/>
    <w:rsid w:val="00554C89"/>
    <w:rsid w:val="005553D2"/>
    <w:rsid w:val="0056199A"/>
    <w:rsid w:val="00563F1D"/>
    <w:rsid w:val="00566DDF"/>
    <w:rsid w:val="00575F19"/>
    <w:rsid w:val="005770DF"/>
    <w:rsid w:val="00582329"/>
    <w:rsid w:val="00583097"/>
    <w:rsid w:val="00586507"/>
    <w:rsid w:val="00596362"/>
    <w:rsid w:val="00596918"/>
    <w:rsid w:val="005A22A2"/>
    <w:rsid w:val="005A2A0F"/>
    <w:rsid w:val="005A30B0"/>
    <w:rsid w:val="005A3897"/>
    <w:rsid w:val="005A3DAE"/>
    <w:rsid w:val="005B1A4E"/>
    <w:rsid w:val="005B38E7"/>
    <w:rsid w:val="005B6E25"/>
    <w:rsid w:val="005C02DC"/>
    <w:rsid w:val="005C23A1"/>
    <w:rsid w:val="005D3F38"/>
    <w:rsid w:val="005D7ECA"/>
    <w:rsid w:val="005F23F3"/>
    <w:rsid w:val="005F5575"/>
    <w:rsid w:val="00601F43"/>
    <w:rsid w:val="00604017"/>
    <w:rsid w:val="00604E9B"/>
    <w:rsid w:val="00605A59"/>
    <w:rsid w:val="00612E59"/>
    <w:rsid w:val="00615D25"/>
    <w:rsid w:val="00621D98"/>
    <w:rsid w:val="00621E4F"/>
    <w:rsid w:val="006246A7"/>
    <w:rsid w:val="0063170F"/>
    <w:rsid w:val="006328FF"/>
    <w:rsid w:val="00633421"/>
    <w:rsid w:val="006342B2"/>
    <w:rsid w:val="0063686A"/>
    <w:rsid w:val="00636A24"/>
    <w:rsid w:val="0064250B"/>
    <w:rsid w:val="00644B32"/>
    <w:rsid w:val="00650AFD"/>
    <w:rsid w:val="0065196E"/>
    <w:rsid w:val="00654F84"/>
    <w:rsid w:val="006564CF"/>
    <w:rsid w:val="00657A04"/>
    <w:rsid w:val="00657A60"/>
    <w:rsid w:val="00657D26"/>
    <w:rsid w:val="00660C14"/>
    <w:rsid w:val="00661880"/>
    <w:rsid w:val="006627D5"/>
    <w:rsid w:val="00672F09"/>
    <w:rsid w:val="00673AC8"/>
    <w:rsid w:val="006751BE"/>
    <w:rsid w:val="00677930"/>
    <w:rsid w:val="006814A3"/>
    <w:rsid w:val="006825DC"/>
    <w:rsid w:val="00682EB1"/>
    <w:rsid w:val="00687880"/>
    <w:rsid w:val="00687C90"/>
    <w:rsid w:val="006931C3"/>
    <w:rsid w:val="00693615"/>
    <w:rsid w:val="00693CB4"/>
    <w:rsid w:val="00695533"/>
    <w:rsid w:val="006956F6"/>
    <w:rsid w:val="006A1FCD"/>
    <w:rsid w:val="006A4B81"/>
    <w:rsid w:val="006A4B90"/>
    <w:rsid w:val="006A67BD"/>
    <w:rsid w:val="006B0A67"/>
    <w:rsid w:val="006B1413"/>
    <w:rsid w:val="006B3C60"/>
    <w:rsid w:val="006B44F2"/>
    <w:rsid w:val="006C1E31"/>
    <w:rsid w:val="006C5BCC"/>
    <w:rsid w:val="006C6DB0"/>
    <w:rsid w:val="006D1534"/>
    <w:rsid w:val="006D2B6F"/>
    <w:rsid w:val="006D7616"/>
    <w:rsid w:val="006E5B3A"/>
    <w:rsid w:val="006E7389"/>
    <w:rsid w:val="006F1452"/>
    <w:rsid w:val="006F6654"/>
    <w:rsid w:val="00705812"/>
    <w:rsid w:val="00710092"/>
    <w:rsid w:val="0071222D"/>
    <w:rsid w:val="007145A9"/>
    <w:rsid w:val="007145D1"/>
    <w:rsid w:val="007145DE"/>
    <w:rsid w:val="00715886"/>
    <w:rsid w:val="00717D50"/>
    <w:rsid w:val="007219A5"/>
    <w:rsid w:val="0072365F"/>
    <w:rsid w:val="00725169"/>
    <w:rsid w:val="007251E1"/>
    <w:rsid w:val="00725B82"/>
    <w:rsid w:val="0073041D"/>
    <w:rsid w:val="007352B2"/>
    <w:rsid w:val="007410F1"/>
    <w:rsid w:val="00741768"/>
    <w:rsid w:val="00742EE2"/>
    <w:rsid w:val="0074301E"/>
    <w:rsid w:val="00743BF5"/>
    <w:rsid w:val="00745F3E"/>
    <w:rsid w:val="0075074F"/>
    <w:rsid w:val="00752992"/>
    <w:rsid w:val="00752E7E"/>
    <w:rsid w:val="00754BFA"/>
    <w:rsid w:val="00754D46"/>
    <w:rsid w:val="007576C6"/>
    <w:rsid w:val="00761A98"/>
    <w:rsid w:val="00761C2B"/>
    <w:rsid w:val="007629E5"/>
    <w:rsid w:val="00763F0D"/>
    <w:rsid w:val="00767A67"/>
    <w:rsid w:val="0077024A"/>
    <w:rsid w:val="007708C1"/>
    <w:rsid w:val="00771233"/>
    <w:rsid w:val="007749B5"/>
    <w:rsid w:val="00776B96"/>
    <w:rsid w:val="007856CC"/>
    <w:rsid w:val="00786EE8"/>
    <w:rsid w:val="007874A1"/>
    <w:rsid w:val="007933A4"/>
    <w:rsid w:val="00793F05"/>
    <w:rsid w:val="007940D5"/>
    <w:rsid w:val="00794207"/>
    <w:rsid w:val="007970D6"/>
    <w:rsid w:val="007A06A8"/>
    <w:rsid w:val="007A2780"/>
    <w:rsid w:val="007A49E7"/>
    <w:rsid w:val="007A6607"/>
    <w:rsid w:val="007A6E15"/>
    <w:rsid w:val="007A780F"/>
    <w:rsid w:val="007B0B37"/>
    <w:rsid w:val="007B11B1"/>
    <w:rsid w:val="007C01D7"/>
    <w:rsid w:val="007C0604"/>
    <w:rsid w:val="007C0A90"/>
    <w:rsid w:val="007C504D"/>
    <w:rsid w:val="007D3370"/>
    <w:rsid w:val="007D5CFE"/>
    <w:rsid w:val="007D6AEC"/>
    <w:rsid w:val="007E077B"/>
    <w:rsid w:val="007E397C"/>
    <w:rsid w:val="007E5C36"/>
    <w:rsid w:val="007E6419"/>
    <w:rsid w:val="007E6442"/>
    <w:rsid w:val="007E72DD"/>
    <w:rsid w:val="007F34A8"/>
    <w:rsid w:val="007F769F"/>
    <w:rsid w:val="00800C3F"/>
    <w:rsid w:val="00801BA0"/>
    <w:rsid w:val="00803C70"/>
    <w:rsid w:val="00805DF3"/>
    <w:rsid w:val="00805FC3"/>
    <w:rsid w:val="00807CE3"/>
    <w:rsid w:val="008109A2"/>
    <w:rsid w:val="00814BE3"/>
    <w:rsid w:val="00817C22"/>
    <w:rsid w:val="00820B50"/>
    <w:rsid w:val="008262E8"/>
    <w:rsid w:val="00833F9F"/>
    <w:rsid w:val="008358F5"/>
    <w:rsid w:val="00842ACB"/>
    <w:rsid w:val="00845C9E"/>
    <w:rsid w:val="0084709D"/>
    <w:rsid w:val="008471EF"/>
    <w:rsid w:val="008572CB"/>
    <w:rsid w:val="00861C90"/>
    <w:rsid w:val="00862398"/>
    <w:rsid w:val="008632AC"/>
    <w:rsid w:val="008708E7"/>
    <w:rsid w:val="00870E11"/>
    <w:rsid w:val="008717C0"/>
    <w:rsid w:val="00880173"/>
    <w:rsid w:val="008827A6"/>
    <w:rsid w:val="008842E6"/>
    <w:rsid w:val="00887271"/>
    <w:rsid w:val="00892124"/>
    <w:rsid w:val="00893F57"/>
    <w:rsid w:val="00894431"/>
    <w:rsid w:val="00895459"/>
    <w:rsid w:val="00897135"/>
    <w:rsid w:val="008A393D"/>
    <w:rsid w:val="008A4DF5"/>
    <w:rsid w:val="008A5693"/>
    <w:rsid w:val="008A7CC6"/>
    <w:rsid w:val="008B6DC9"/>
    <w:rsid w:val="008C1F03"/>
    <w:rsid w:val="008C4CBB"/>
    <w:rsid w:val="008C53E1"/>
    <w:rsid w:val="008C594B"/>
    <w:rsid w:val="008D0766"/>
    <w:rsid w:val="008D4FD6"/>
    <w:rsid w:val="008E0FD8"/>
    <w:rsid w:val="008E5CC4"/>
    <w:rsid w:val="008F07F0"/>
    <w:rsid w:val="008F0AD3"/>
    <w:rsid w:val="008F4153"/>
    <w:rsid w:val="008F588B"/>
    <w:rsid w:val="009023F0"/>
    <w:rsid w:val="00902444"/>
    <w:rsid w:val="00905608"/>
    <w:rsid w:val="00907F19"/>
    <w:rsid w:val="00910209"/>
    <w:rsid w:val="009115DA"/>
    <w:rsid w:val="00914B0C"/>
    <w:rsid w:val="0091715B"/>
    <w:rsid w:val="009214D1"/>
    <w:rsid w:val="00925C23"/>
    <w:rsid w:val="00927AE0"/>
    <w:rsid w:val="00930BEB"/>
    <w:rsid w:val="00935D10"/>
    <w:rsid w:val="00945FD8"/>
    <w:rsid w:val="00951516"/>
    <w:rsid w:val="009523FD"/>
    <w:rsid w:val="009532D2"/>
    <w:rsid w:val="00955E56"/>
    <w:rsid w:val="009562F0"/>
    <w:rsid w:val="00956526"/>
    <w:rsid w:val="00956A8A"/>
    <w:rsid w:val="00957320"/>
    <w:rsid w:val="0096673F"/>
    <w:rsid w:val="00976258"/>
    <w:rsid w:val="00981256"/>
    <w:rsid w:val="00981E41"/>
    <w:rsid w:val="00984D12"/>
    <w:rsid w:val="009864CB"/>
    <w:rsid w:val="009874F9"/>
    <w:rsid w:val="00990C90"/>
    <w:rsid w:val="009914BD"/>
    <w:rsid w:val="0099340D"/>
    <w:rsid w:val="009A09AA"/>
    <w:rsid w:val="009A13E7"/>
    <w:rsid w:val="009A5828"/>
    <w:rsid w:val="009A590C"/>
    <w:rsid w:val="009A5BF8"/>
    <w:rsid w:val="009A7277"/>
    <w:rsid w:val="009A751B"/>
    <w:rsid w:val="009B0B87"/>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224E"/>
    <w:rsid w:val="00A23A01"/>
    <w:rsid w:val="00A27EAB"/>
    <w:rsid w:val="00A316DA"/>
    <w:rsid w:val="00A332E1"/>
    <w:rsid w:val="00A375C1"/>
    <w:rsid w:val="00A40014"/>
    <w:rsid w:val="00A40CB1"/>
    <w:rsid w:val="00A410E0"/>
    <w:rsid w:val="00A415A6"/>
    <w:rsid w:val="00A42E55"/>
    <w:rsid w:val="00A4405F"/>
    <w:rsid w:val="00A4454A"/>
    <w:rsid w:val="00A44C72"/>
    <w:rsid w:val="00A4677E"/>
    <w:rsid w:val="00A47F15"/>
    <w:rsid w:val="00A62BE8"/>
    <w:rsid w:val="00A64DD9"/>
    <w:rsid w:val="00A72A46"/>
    <w:rsid w:val="00A72AC3"/>
    <w:rsid w:val="00A73333"/>
    <w:rsid w:val="00A74A2F"/>
    <w:rsid w:val="00A84EB2"/>
    <w:rsid w:val="00A91454"/>
    <w:rsid w:val="00A952D4"/>
    <w:rsid w:val="00A97BF2"/>
    <w:rsid w:val="00AA1061"/>
    <w:rsid w:val="00AA232A"/>
    <w:rsid w:val="00AA3B30"/>
    <w:rsid w:val="00AA5262"/>
    <w:rsid w:val="00AA5C6A"/>
    <w:rsid w:val="00AB10B3"/>
    <w:rsid w:val="00AB22F3"/>
    <w:rsid w:val="00AB2BAE"/>
    <w:rsid w:val="00AB2C4F"/>
    <w:rsid w:val="00AB6907"/>
    <w:rsid w:val="00AB7D38"/>
    <w:rsid w:val="00AC06D6"/>
    <w:rsid w:val="00AC3E7C"/>
    <w:rsid w:val="00AC542B"/>
    <w:rsid w:val="00AC7D43"/>
    <w:rsid w:val="00AC7D59"/>
    <w:rsid w:val="00AD0E2F"/>
    <w:rsid w:val="00AD7E06"/>
    <w:rsid w:val="00AE77E6"/>
    <w:rsid w:val="00AE7FA6"/>
    <w:rsid w:val="00AF1EBD"/>
    <w:rsid w:val="00AF4888"/>
    <w:rsid w:val="00B02AF2"/>
    <w:rsid w:val="00B04FE9"/>
    <w:rsid w:val="00B10E7A"/>
    <w:rsid w:val="00B11E3E"/>
    <w:rsid w:val="00B14BD2"/>
    <w:rsid w:val="00B15ACE"/>
    <w:rsid w:val="00B17CED"/>
    <w:rsid w:val="00B2386B"/>
    <w:rsid w:val="00B2517F"/>
    <w:rsid w:val="00B26B9C"/>
    <w:rsid w:val="00B273FE"/>
    <w:rsid w:val="00B27FE7"/>
    <w:rsid w:val="00B3052D"/>
    <w:rsid w:val="00B308C9"/>
    <w:rsid w:val="00B30C84"/>
    <w:rsid w:val="00B3336F"/>
    <w:rsid w:val="00B34456"/>
    <w:rsid w:val="00B369DC"/>
    <w:rsid w:val="00B40087"/>
    <w:rsid w:val="00B428A4"/>
    <w:rsid w:val="00B53B0C"/>
    <w:rsid w:val="00B57BDF"/>
    <w:rsid w:val="00B627D0"/>
    <w:rsid w:val="00B63832"/>
    <w:rsid w:val="00B728A0"/>
    <w:rsid w:val="00B812C2"/>
    <w:rsid w:val="00B82290"/>
    <w:rsid w:val="00B841F8"/>
    <w:rsid w:val="00B91680"/>
    <w:rsid w:val="00B93134"/>
    <w:rsid w:val="00BA0304"/>
    <w:rsid w:val="00BA4F58"/>
    <w:rsid w:val="00BB06BC"/>
    <w:rsid w:val="00BB1202"/>
    <w:rsid w:val="00BB3D55"/>
    <w:rsid w:val="00BB403C"/>
    <w:rsid w:val="00BB4140"/>
    <w:rsid w:val="00BB4701"/>
    <w:rsid w:val="00BB75B7"/>
    <w:rsid w:val="00BC0183"/>
    <w:rsid w:val="00BC21EC"/>
    <w:rsid w:val="00BC5086"/>
    <w:rsid w:val="00BC55C8"/>
    <w:rsid w:val="00BC55F7"/>
    <w:rsid w:val="00BC6FB5"/>
    <w:rsid w:val="00BD4483"/>
    <w:rsid w:val="00BD4AA2"/>
    <w:rsid w:val="00BD4E66"/>
    <w:rsid w:val="00BD6233"/>
    <w:rsid w:val="00BD79AE"/>
    <w:rsid w:val="00BE2D5E"/>
    <w:rsid w:val="00BE3D6A"/>
    <w:rsid w:val="00BE6A95"/>
    <w:rsid w:val="00BE6F2A"/>
    <w:rsid w:val="00BE7979"/>
    <w:rsid w:val="00BF2EA9"/>
    <w:rsid w:val="00C0044D"/>
    <w:rsid w:val="00C039C9"/>
    <w:rsid w:val="00C060F5"/>
    <w:rsid w:val="00C1377A"/>
    <w:rsid w:val="00C13B20"/>
    <w:rsid w:val="00C15122"/>
    <w:rsid w:val="00C21AFB"/>
    <w:rsid w:val="00C2392D"/>
    <w:rsid w:val="00C25F04"/>
    <w:rsid w:val="00C260B7"/>
    <w:rsid w:val="00C3002C"/>
    <w:rsid w:val="00C320A5"/>
    <w:rsid w:val="00C41F91"/>
    <w:rsid w:val="00C42477"/>
    <w:rsid w:val="00C46297"/>
    <w:rsid w:val="00C5223A"/>
    <w:rsid w:val="00C522DF"/>
    <w:rsid w:val="00C56C51"/>
    <w:rsid w:val="00C57C3C"/>
    <w:rsid w:val="00C61250"/>
    <w:rsid w:val="00C62431"/>
    <w:rsid w:val="00C65B62"/>
    <w:rsid w:val="00C66167"/>
    <w:rsid w:val="00C6653B"/>
    <w:rsid w:val="00C73D60"/>
    <w:rsid w:val="00C7679B"/>
    <w:rsid w:val="00C778B3"/>
    <w:rsid w:val="00C81ABB"/>
    <w:rsid w:val="00C8357E"/>
    <w:rsid w:val="00C852BE"/>
    <w:rsid w:val="00C929EB"/>
    <w:rsid w:val="00CA1109"/>
    <w:rsid w:val="00CA41FC"/>
    <w:rsid w:val="00CA455D"/>
    <w:rsid w:val="00CA46B8"/>
    <w:rsid w:val="00CA7EEA"/>
    <w:rsid w:val="00CB06A6"/>
    <w:rsid w:val="00CB46B9"/>
    <w:rsid w:val="00CB51C9"/>
    <w:rsid w:val="00CC248F"/>
    <w:rsid w:val="00CC315C"/>
    <w:rsid w:val="00CC3BE6"/>
    <w:rsid w:val="00CC4D47"/>
    <w:rsid w:val="00CD0C6E"/>
    <w:rsid w:val="00CD0E59"/>
    <w:rsid w:val="00CD4674"/>
    <w:rsid w:val="00CE14C1"/>
    <w:rsid w:val="00CF08CA"/>
    <w:rsid w:val="00CF349B"/>
    <w:rsid w:val="00CF6AD7"/>
    <w:rsid w:val="00D013F6"/>
    <w:rsid w:val="00D01C2F"/>
    <w:rsid w:val="00D05F96"/>
    <w:rsid w:val="00D06BB5"/>
    <w:rsid w:val="00D11DC2"/>
    <w:rsid w:val="00D13454"/>
    <w:rsid w:val="00D208D1"/>
    <w:rsid w:val="00D20F37"/>
    <w:rsid w:val="00D23CD8"/>
    <w:rsid w:val="00D24208"/>
    <w:rsid w:val="00D25042"/>
    <w:rsid w:val="00D32593"/>
    <w:rsid w:val="00D34CCA"/>
    <w:rsid w:val="00D352E7"/>
    <w:rsid w:val="00D363F3"/>
    <w:rsid w:val="00D4038E"/>
    <w:rsid w:val="00D45DB2"/>
    <w:rsid w:val="00D47185"/>
    <w:rsid w:val="00D501B5"/>
    <w:rsid w:val="00D51F5C"/>
    <w:rsid w:val="00D57AE7"/>
    <w:rsid w:val="00D64D31"/>
    <w:rsid w:val="00D65F4C"/>
    <w:rsid w:val="00D660DE"/>
    <w:rsid w:val="00D67805"/>
    <w:rsid w:val="00D72DDF"/>
    <w:rsid w:val="00D734A0"/>
    <w:rsid w:val="00D739BE"/>
    <w:rsid w:val="00D7480B"/>
    <w:rsid w:val="00D8155D"/>
    <w:rsid w:val="00D81E99"/>
    <w:rsid w:val="00D87130"/>
    <w:rsid w:val="00D90BFB"/>
    <w:rsid w:val="00D9716C"/>
    <w:rsid w:val="00D972AE"/>
    <w:rsid w:val="00D97374"/>
    <w:rsid w:val="00D97FB8"/>
    <w:rsid w:val="00DA5406"/>
    <w:rsid w:val="00DA5ED4"/>
    <w:rsid w:val="00DA7B2B"/>
    <w:rsid w:val="00DB4C1C"/>
    <w:rsid w:val="00DB4FC9"/>
    <w:rsid w:val="00DB591E"/>
    <w:rsid w:val="00DC2539"/>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07309"/>
    <w:rsid w:val="00E11B41"/>
    <w:rsid w:val="00E15F46"/>
    <w:rsid w:val="00E237A4"/>
    <w:rsid w:val="00E23F30"/>
    <w:rsid w:val="00E2441B"/>
    <w:rsid w:val="00E25A4D"/>
    <w:rsid w:val="00E266D6"/>
    <w:rsid w:val="00E30E6B"/>
    <w:rsid w:val="00E33411"/>
    <w:rsid w:val="00E3428B"/>
    <w:rsid w:val="00E407B4"/>
    <w:rsid w:val="00E408B8"/>
    <w:rsid w:val="00E429CE"/>
    <w:rsid w:val="00E4489A"/>
    <w:rsid w:val="00E4608F"/>
    <w:rsid w:val="00E46FE9"/>
    <w:rsid w:val="00E50550"/>
    <w:rsid w:val="00E60190"/>
    <w:rsid w:val="00E6289C"/>
    <w:rsid w:val="00E71D13"/>
    <w:rsid w:val="00E74ECA"/>
    <w:rsid w:val="00E7529D"/>
    <w:rsid w:val="00E75528"/>
    <w:rsid w:val="00E80736"/>
    <w:rsid w:val="00E8117D"/>
    <w:rsid w:val="00E8777E"/>
    <w:rsid w:val="00E95E80"/>
    <w:rsid w:val="00E96097"/>
    <w:rsid w:val="00EA3A50"/>
    <w:rsid w:val="00EA48AD"/>
    <w:rsid w:val="00EA5F90"/>
    <w:rsid w:val="00EA7928"/>
    <w:rsid w:val="00EB6998"/>
    <w:rsid w:val="00EB6A3C"/>
    <w:rsid w:val="00EC73E2"/>
    <w:rsid w:val="00ED0F8F"/>
    <w:rsid w:val="00ED3E23"/>
    <w:rsid w:val="00ED559C"/>
    <w:rsid w:val="00EE04A0"/>
    <w:rsid w:val="00EE1CAC"/>
    <w:rsid w:val="00EE48CF"/>
    <w:rsid w:val="00EE5FF0"/>
    <w:rsid w:val="00EE6864"/>
    <w:rsid w:val="00EF0DCF"/>
    <w:rsid w:val="00EF3179"/>
    <w:rsid w:val="00EF606B"/>
    <w:rsid w:val="00F008A6"/>
    <w:rsid w:val="00F076A2"/>
    <w:rsid w:val="00F11A54"/>
    <w:rsid w:val="00F12723"/>
    <w:rsid w:val="00F146A1"/>
    <w:rsid w:val="00F156A1"/>
    <w:rsid w:val="00F1649F"/>
    <w:rsid w:val="00F1654C"/>
    <w:rsid w:val="00F2096E"/>
    <w:rsid w:val="00F20AF0"/>
    <w:rsid w:val="00F22952"/>
    <w:rsid w:val="00F22CF7"/>
    <w:rsid w:val="00F24C96"/>
    <w:rsid w:val="00F25C03"/>
    <w:rsid w:val="00F27C91"/>
    <w:rsid w:val="00F326F1"/>
    <w:rsid w:val="00F32D01"/>
    <w:rsid w:val="00F3430B"/>
    <w:rsid w:val="00F40707"/>
    <w:rsid w:val="00F4072F"/>
    <w:rsid w:val="00F4215A"/>
    <w:rsid w:val="00F4629B"/>
    <w:rsid w:val="00F51F40"/>
    <w:rsid w:val="00F52E4A"/>
    <w:rsid w:val="00F54636"/>
    <w:rsid w:val="00F57737"/>
    <w:rsid w:val="00F57B52"/>
    <w:rsid w:val="00F620DD"/>
    <w:rsid w:val="00F669B6"/>
    <w:rsid w:val="00F70AAC"/>
    <w:rsid w:val="00F70C65"/>
    <w:rsid w:val="00F71C06"/>
    <w:rsid w:val="00F724DF"/>
    <w:rsid w:val="00F735A7"/>
    <w:rsid w:val="00F75F80"/>
    <w:rsid w:val="00F81A03"/>
    <w:rsid w:val="00F836B7"/>
    <w:rsid w:val="00F85688"/>
    <w:rsid w:val="00F857EE"/>
    <w:rsid w:val="00F85CEC"/>
    <w:rsid w:val="00F865E9"/>
    <w:rsid w:val="00F901DE"/>
    <w:rsid w:val="00F902AA"/>
    <w:rsid w:val="00F942F9"/>
    <w:rsid w:val="00FA1877"/>
    <w:rsid w:val="00FA1DC0"/>
    <w:rsid w:val="00FA45F3"/>
    <w:rsid w:val="00FA58BB"/>
    <w:rsid w:val="00FB3A4E"/>
    <w:rsid w:val="00FB747D"/>
    <w:rsid w:val="00FB7B9F"/>
    <w:rsid w:val="00FC6B39"/>
    <w:rsid w:val="00FD04F4"/>
    <w:rsid w:val="00FD4F72"/>
    <w:rsid w:val="00FE05AD"/>
    <w:rsid w:val="00FE0768"/>
    <w:rsid w:val="00FE0EE8"/>
    <w:rsid w:val="00FE1CF8"/>
    <w:rsid w:val="00FE2A2C"/>
    <w:rsid w:val="00FE397A"/>
    <w:rsid w:val="00FE7F23"/>
    <w:rsid w:val="00FF56B6"/>
    <w:rsid w:val="01020978"/>
    <w:rsid w:val="011C7521"/>
    <w:rsid w:val="01214A40"/>
    <w:rsid w:val="01552D48"/>
    <w:rsid w:val="015E74E9"/>
    <w:rsid w:val="01967670"/>
    <w:rsid w:val="01B27A87"/>
    <w:rsid w:val="01C30C4F"/>
    <w:rsid w:val="01F00DE6"/>
    <w:rsid w:val="01F92423"/>
    <w:rsid w:val="022A6671"/>
    <w:rsid w:val="02300221"/>
    <w:rsid w:val="023040DB"/>
    <w:rsid w:val="025C1016"/>
    <w:rsid w:val="026F2B60"/>
    <w:rsid w:val="02C32E43"/>
    <w:rsid w:val="0325553B"/>
    <w:rsid w:val="03710AF1"/>
    <w:rsid w:val="038D16A3"/>
    <w:rsid w:val="039D2179"/>
    <w:rsid w:val="03A12CFC"/>
    <w:rsid w:val="03A367D0"/>
    <w:rsid w:val="03F9762E"/>
    <w:rsid w:val="03FA0B5C"/>
    <w:rsid w:val="040C364D"/>
    <w:rsid w:val="0430313A"/>
    <w:rsid w:val="046C2747"/>
    <w:rsid w:val="04814D63"/>
    <w:rsid w:val="0484209A"/>
    <w:rsid w:val="04B6097E"/>
    <w:rsid w:val="04D42843"/>
    <w:rsid w:val="04F9570C"/>
    <w:rsid w:val="061C1C70"/>
    <w:rsid w:val="0632492C"/>
    <w:rsid w:val="06B60A23"/>
    <w:rsid w:val="06CF2C64"/>
    <w:rsid w:val="06D55CFD"/>
    <w:rsid w:val="06E60D57"/>
    <w:rsid w:val="06F82658"/>
    <w:rsid w:val="073109D6"/>
    <w:rsid w:val="075B69A1"/>
    <w:rsid w:val="07653449"/>
    <w:rsid w:val="07A421D5"/>
    <w:rsid w:val="07BE010C"/>
    <w:rsid w:val="07CF5DE6"/>
    <w:rsid w:val="07D94EB6"/>
    <w:rsid w:val="07E01DA1"/>
    <w:rsid w:val="07F5179D"/>
    <w:rsid w:val="080C074C"/>
    <w:rsid w:val="081809AE"/>
    <w:rsid w:val="08186E7E"/>
    <w:rsid w:val="0865499C"/>
    <w:rsid w:val="087C361B"/>
    <w:rsid w:val="08844E22"/>
    <w:rsid w:val="08846E71"/>
    <w:rsid w:val="08A82846"/>
    <w:rsid w:val="08AC22FD"/>
    <w:rsid w:val="08CB7027"/>
    <w:rsid w:val="09044B1F"/>
    <w:rsid w:val="09143A3A"/>
    <w:rsid w:val="091E0DD0"/>
    <w:rsid w:val="09642144"/>
    <w:rsid w:val="096B512B"/>
    <w:rsid w:val="09974B66"/>
    <w:rsid w:val="0A01640B"/>
    <w:rsid w:val="0A091E88"/>
    <w:rsid w:val="0A134A78"/>
    <w:rsid w:val="0AAA7619"/>
    <w:rsid w:val="0AF33B8B"/>
    <w:rsid w:val="0B1961A5"/>
    <w:rsid w:val="0B2047BD"/>
    <w:rsid w:val="0B3E55EB"/>
    <w:rsid w:val="0B3E64D2"/>
    <w:rsid w:val="0BC87366"/>
    <w:rsid w:val="0C0344C3"/>
    <w:rsid w:val="0C3D0E88"/>
    <w:rsid w:val="0C402B5F"/>
    <w:rsid w:val="0C43416E"/>
    <w:rsid w:val="0C5C7E64"/>
    <w:rsid w:val="0C7F7D35"/>
    <w:rsid w:val="0CA4611A"/>
    <w:rsid w:val="0CD37BE3"/>
    <w:rsid w:val="0CD82C1A"/>
    <w:rsid w:val="0CDC1BD8"/>
    <w:rsid w:val="0D042C2D"/>
    <w:rsid w:val="0D1407DA"/>
    <w:rsid w:val="0D1B66B8"/>
    <w:rsid w:val="0D2546FA"/>
    <w:rsid w:val="0D346713"/>
    <w:rsid w:val="0D3D7AE9"/>
    <w:rsid w:val="0D561634"/>
    <w:rsid w:val="0D674D12"/>
    <w:rsid w:val="0D6D4624"/>
    <w:rsid w:val="0D7F321E"/>
    <w:rsid w:val="0D9E2BB4"/>
    <w:rsid w:val="0E0545C3"/>
    <w:rsid w:val="0E370A51"/>
    <w:rsid w:val="0EA8446D"/>
    <w:rsid w:val="0EAB24A9"/>
    <w:rsid w:val="0EEF7A6E"/>
    <w:rsid w:val="0F902D46"/>
    <w:rsid w:val="0F9F3719"/>
    <w:rsid w:val="0FA52405"/>
    <w:rsid w:val="0FAC1578"/>
    <w:rsid w:val="0FB81265"/>
    <w:rsid w:val="10110C5E"/>
    <w:rsid w:val="101412B1"/>
    <w:rsid w:val="10160A4F"/>
    <w:rsid w:val="10191CD0"/>
    <w:rsid w:val="107054B0"/>
    <w:rsid w:val="10722060"/>
    <w:rsid w:val="1090336C"/>
    <w:rsid w:val="10A83CAA"/>
    <w:rsid w:val="10B476F6"/>
    <w:rsid w:val="10EF740C"/>
    <w:rsid w:val="112A036E"/>
    <w:rsid w:val="118C3EC9"/>
    <w:rsid w:val="11CB3AC2"/>
    <w:rsid w:val="11DC6C7B"/>
    <w:rsid w:val="11F04FA2"/>
    <w:rsid w:val="120001C7"/>
    <w:rsid w:val="120B30DA"/>
    <w:rsid w:val="120B3EBE"/>
    <w:rsid w:val="122B630F"/>
    <w:rsid w:val="12955E7E"/>
    <w:rsid w:val="12A87227"/>
    <w:rsid w:val="12D101A4"/>
    <w:rsid w:val="12DF1A75"/>
    <w:rsid w:val="12E01EC9"/>
    <w:rsid w:val="131C70A4"/>
    <w:rsid w:val="13D32B87"/>
    <w:rsid w:val="141D548D"/>
    <w:rsid w:val="142961BD"/>
    <w:rsid w:val="144B0B25"/>
    <w:rsid w:val="146A3360"/>
    <w:rsid w:val="14A406DB"/>
    <w:rsid w:val="14B22D17"/>
    <w:rsid w:val="14B563B4"/>
    <w:rsid w:val="14BE16BC"/>
    <w:rsid w:val="14CF78C6"/>
    <w:rsid w:val="14DF1632"/>
    <w:rsid w:val="14E8266A"/>
    <w:rsid w:val="14F72620"/>
    <w:rsid w:val="15121510"/>
    <w:rsid w:val="15245486"/>
    <w:rsid w:val="1531371E"/>
    <w:rsid w:val="1536056D"/>
    <w:rsid w:val="15433673"/>
    <w:rsid w:val="155D2FC9"/>
    <w:rsid w:val="156A0474"/>
    <w:rsid w:val="156A7B4C"/>
    <w:rsid w:val="157F7CFD"/>
    <w:rsid w:val="159A5C6B"/>
    <w:rsid w:val="159D5775"/>
    <w:rsid w:val="15A05293"/>
    <w:rsid w:val="15AE56B2"/>
    <w:rsid w:val="15CC63B4"/>
    <w:rsid w:val="15DD6946"/>
    <w:rsid w:val="15EF14CE"/>
    <w:rsid w:val="161274BF"/>
    <w:rsid w:val="16326940"/>
    <w:rsid w:val="165C771F"/>
    <w:rsid w:val="16632759"/>
    <w:rsid w:val="16685D83"/>
    <w:rsid w:val="16881F81"/>
    <w:rsid w:val="16AB161F"/>
    <w:rsid w:val="16EB2510"/>
    <w:rsid w:val="170557A0"/>
    <w:rsid w:val="172A60D8"/>
    <w:rsid w:val="1759778D"/>
    <w:rsid w:val="176779D4"/>
    <w:rsid w:val="17862F11"/>
    <w:rsid w:val="17AC7042"/>
    <w:rsid w:val="17B46DA6"/>
    <w:rsid w:val="17C56C02"/>
    <w:rsid w:val="17E7058F"/>
    <w:rsid w:val="17FD11F8"/>
    <w:rsid w:val="18055854"/>
    <w:rsid w:val="18082FC5"/>
    <w:rsid w:val="18134CDC"/>
    <w:rsid w:val="1816068A"/>
    <w:rsid w:val="182D317E"/>
    <w:rsid w:val="183761D1"/>
    <w:rsid w:val="185F3EA1"/>
    <w:rsid w:val="18C612C6"/>
    <w:rsid w:val="18CC0C41"/>
    <w:rsid w:val="18D03B32"/>
    <w:rsid w:val="18D76825"/>
    <w:rsid w:val="190A652B"/>
    <w:rsid w:val="19225DDF"/>
    <w:rsid w:val="19757717"/>
    <w:rsid w:val="1A1100E6"/>
    <w:rsid w:val="1A1F3CA6"/>
    <w:rsid w:val="1A293A99"/>
    <w:rsid w:val="1A2F0C5C"/>
    <w:rsid w:val="1A5B211B"/>
    <w:rsid w:val="1A7D797B"/>
    <w:rsid w:val="1AA73AB7"/>
    <w:rsid w:val="1AA869C4"/>
    <w:rsid w:val="1AAC0F98"/>
    <w:rsid w:val="1AF05B27"/>
    <w:rsid w:val="1B0102BD"/>
    <w:rsid w:val="1B1606F3"/>
    <w:rsid w:val="1B66610F"/>
    <w:rsid w:val="1B7900EB"/>
    <w:rsid w:val="1BE82DAB"/>
    <w:rsid w:val="1C0025BA"/>
    <w:rsid w:val="1C4A4564"/>
    <w:rsid w:val="1D491D3F"/>
    <w:rsid w:val="1D56202D"/>
    <w:rsid w:val="1DAC014C"/>
    <w:rsid w:val="1E11344D"/>
    <w:rsid w:val="1E3471B4"/>
    <w:rsid w:val="1E6A556D"/>
    <w:rsid w:val="1E780237"/>
    <w:rsid w:val="1EA70877"/>
    <w:rsid w:val="1EB300AC"/>
    <w:rsid w:val="1EBD29E4"/>
    <w:rsid w:val="1F3F13C5"/>
    <w:rsid w:val="1F5F69CB"/>
    <w:rsid w:val="1F62306E"/>
    <w:rsid w:val="1F651542"/>
    <w:rsid w:val="1F851C35"/>
    <w:rsid w:val="1F9D0554"/>
    <w:rsid w:val="1FD2426D"/>
    <w:rsid w:val="1FE73FC8"/>
    <w:rsid w:val="20045E79"/>
    <w:rsid w:val="20112870"/>
    <w:rsid w:val="205E246C"/>
    <w:rsid w:val="20AA07B4"/>
    <w:rsid w:val="20C938C2"/>
    <w:rsid w:val="20CF38A2"/>
    <w:rsid w:val="21172F2B"/>
    <w:rsid w:val="2162159E"/>
    <w:rsid w:val="21D249F9"/>
    <w:rsid w:val="21D267A7"/>
    <w:rsid w:val="221B5E32"/>
    <w:rsid w:val="227B40CA"/>
    <w:rsid w:val="22D327D6"/>
    <w:rsid w:val="22EC3898"/>
    <w:rsid w:val="234E1262"/>
    <w:rsid w:val="238C48B5"/>
    <w:rsid w:val="239A13CC"/>
    <w:rsid w:val="23BF6269"/>
    <w:rsid w:val="23C44815"/>
    <w:rsid w:val="23CE4603"/>
    <w:rsid w:val="23DD3E04"/>
    <w:rsid w:val="23F63A58"/>
    <w:rsid w:val="242552B4"/>
    <w:rsid w:val="24391A91"/>
    <w:rsid w:val="249A75CE"/>
    <w:rsid w:val="24A8661E"/>
    <w:rsid w:val="24AE122D"/>
    <w:rsid w:val="24F24F18"/>
    <w:rsid w:val="24FD1D8D"/>
    <w:rsid w:val="2519685C"/>
    <w:rsid w:val="256213CA"/>
    <w:rsid w:val="25876A34"/>
    <w:rsid w:val="25B07409"/>
    <w:rsid w:val="25BA0963"/>
    <w:rsid w:val="25CC0A26"/>
    <w:rsid w:val="265254F9"/>
    <w:rsid w:val="265A102C"/>
    <w:rsid w:val="265E7AF1"/>
    <w:rsid w:val="26A1340E"/>
    <w:rsid w:val="26BE3397"/>
    <w:rsid w:val="275212DF"/>
    <w:rsid w:val="275F37C6"/>
    <w:rsid w:val="280108C4"/>
    <w:rsid w:val="28031D5F"/>
    <w:rsid w:val="281D5329"/>
    <w:rsid w:val="282020C5"/>
    <w:rsid w:val="283C1F74"/>
    <w:rsid w:val="283F5009"/>
    <w:rsid w:val="28592B4A"/>
    <w:rsid w:val="287A657C"/>
    <w:rsid w:val="28C931FC"/>
    <w:rsid w:val="28D17B5A"/>
    <w:rsid w:val="28DD4250"/>
    <w:rsid w:val="28E249CB"/>
    <w:rsid w:val="290A00B5"/>
    <w:rsid w:val="291E0585"/>
    <w:rsid w:val="292C64FD"/>
    <w:rsid w:val="29341F98"/>
    <w:rsid w:val="29510270"/>
    <w:rsid w:val="29541EF3"/>
    <w:rsid w:val="296610C7"/>
    <w:rsid w:val="296E24BE"/>
    <w:rsid w:val="299823A1"/>
    <w:rsid w:val="29A24289"/>
    <w:rsid w:val="29D169ED"/>
    <w:rsid w:val="29E67293"/>
    <w:rsid w:val="29EB31D6"/>
    <w:rsid w:val="29FA7CB0"/>
    <w:rsid w:val="2A4F26D6"/>
    <w:rsid w:val="2A6A759C"/>
    <w:rsid w:val="2A6D73F4"/>
    <w:rsid w:val="2A8047E1"/>
    <w:rsid w:val="2A811540"/>
    <w:rsid w:val="2A9027A1"/>
    <w:rsid w:val="2A9B1922"/>
    <w:rsid w:val="2AC9370A"/>
    <w:rsid w:val="2B204993"/>
    <w:rsid w:val="2B367DA6"/>
    <w:rsid w:val="2B51310F"/>
    <w:rsid w:val="2B522F91"/>
    <w:rsid w:val="2B77216D"/>
    <w:rsid w:val="2B8365A2"/>
    <w:rsid w:val="2B8925CC"/>
    <w:rsid w:val="2B8F282B"/>
    <w:rsid w:val="2BCA4992"/>
    <w:rsid w:val="2BEE645D"/>
    <w:rsid w:val="2C00260B"/>
    <w:rsid w:val="2C007E18"/>
    <w:rsid w:val="2C1927E2"/>
    <w:rsid w:val="2C316F33"/>
    <w:rsid w:val="2C3A6CD6"/>
    <w:rsid w:val="2C474131"/>
    <w:rsid w:val="2C602C01"/>
    <w:rsid w:val="2C644C73"/>
    <w:rsid w:val="2C685D2A"/>
    <w:rsid w:val="2CA66B22"/>
    <w:rsid w:val="2CAD55F1"/>
    <w:rsid w:val="2CBD6AA5"/>
    <w:rsid w:val="2CD55CAB"/>
    <w:rsid w:val="2CD60140"/>
    <w:rsid w:val="2CDB2CB6"/>
    <w:rsid w:val="2CE56FDF"/>
    <w:rsid w:val="2CFB31EB"/>
    <w:rsid w:val="2D596312"/>
    <w:rsid w:val="2D7C1CBC"/>
    <w:rsid w:val="2DC61F3F"/>
    <w:rsid w:val="2DCA6FC8"/>
    <w:rsid w:val="2DE17A0B"/>
    <w:rsid w:val="2DFD2DFD"/>
    <w:rsid w:val="2E2760CC"/>
    <w:rsid w:val="2E4F4014"/>
    <w:rsid w:val="2E732D33"/>
    <w:rsid w:val="2E7B63A8"/>
    <w:rsid w:val="2E8224EA"/>
    <w:rsid w:val="2EAF2074"/>
    <w:rsid w:val="2EDA1AF3"/>
    <w:rsid w:val="2F1403FE"/>
    <w:rsid w:val="2F2074F1"/>
    <w:rsid w:val="2F3769D8"/>
    <w:rsid w:val="2F4B5532"/>
    <w:rsid w:val="2F6629B6"/>
    <w:rsid w:val="2F92720B"/>
    <w:rsid w:val="2FB925A3"/>
    <w:rsid w:val="2FFB520E"/>
    <w:rsid w:val="302F2A08"/>
    <w:rsid w:val="30336435"/>
    <w:rsid w:val="30365A12"/>
    <w:rsid w:val="304C0704"/>
    <w:rsid w:val="305A506F"/>
    <w:rsid w:val="30B67293"/>
    <w:rsid w:val="30D27161"/>
    <w:rsid w:val="30EF7BC3"/>
    <w:rsid w:val="31176B43"/>
    <w:rsid w:val="311F4444"/>
    <w:rsid w:val="315E6490"/>
    <w:rsid w:val="319421D1"/>
    <w:rsid w:val="31BB5C4E"/>
    <w:rsid w:val="31F86466"/>
    <w:rsid w:val="32094B56"/>
    <w:rsid w:val="320C5700"/>
    <w:rsid w:val="321B4432"/>
    <w:rsid w:val="322C6362"/>
    <w:rsid w:val="32311E18"/>
    <w:rsid w:val="32930D50"/>
    <w:rsid w:val="33155F30"/>
    <w:rsid w:val="332B785F"/>
    <w:rsid w:val="33483792"/>
    <w:rsid w:val="339C3F4D"/>
    <w:rsid w:val="33B3141F"/>
    <w:rsid w:val="33FA502B"/>
    <w:rsid w:val="343B0E54"/>
    <w:rsid w:val="346946C0"/>
    <w:rsid w:val="34697489"/>
    <w:rsid w:val="346B13C7"/>
    <w:rsid w:val="34880F47"/>
    <w:rsid w:val="34AB6DC6"/>
    <w:rsid w:val="34DF51D1"/>
    <w:rsid w:val="34F47327"/>
    <w:rsid w:val="34FE766A"/>
    <w:rsid w:val="353C420B"/>
    <w:rsid w:val="357E373B"/>
    <w:rsid w:val="35927BA6"/>
    <w:rsid w:val="35C425C5"/>
    <w:rsid w:val="35F516AA"/>
    <w:rsid w:val="35FC496B"/>
    <w:rsid w:val="36031576"/>
    <w:rsid w:val="36101366"/>
    <w:rsid w:val="36154A5C"/>
    <w:rsid w:val="363F1B12"/>
    <w:rsid w:val="36583240"/>
    <w:rsid w:val="365D5939"/>
    <w:rsid w:val="36686B71"/>
    <w:rsid w:val="36805F38"/>
    <w:rsid w:val="3686095E"/>
    <w:rsid w:val="36BB5CBE"/>
    <w:rsid w:val="36C22E36"/>
    <w:rsid w:val="36DC1EE9"/>
    <w:rsid w:val="36FE230D"/>
    <w:rsid w:val="370F4546"/>
    <w:rsid w:val="37102DD3"/>
    <w:rsid w:val="372B09DB"/>
    <w:rsid w:val="372C07F7"/>
    <w:rsid w:val="37460DC6"/>
    <w:rsid w:val="374C7F17"/>
    <w:rsid w:val="374E6478"/>
    <w:rsid w:val="37BF2ED1"/>
    <w:rsid w:val="37C5786B"/>
    <w:rsid w:val="37EE2A39"/>
    <w:rsid w:val="37FB5027"/>
    <w:rsid w:val="3825006D"/>
    <w:rsid w:val="386650B1"/>
    <w:rsid w:val="38743292"/>
    <w:rsid w:val="38BA2855"/>
    <w:rsid w:val="391B4D92"/>
    <w:rsid w:val="39453A08"/>
    <w:rsid w:val="395B6CBF"/>
    <w:rsid w:val="39617BEF"/>
    <w:rsid w:val="396C60C6"/>
    <w:rsid w:val="39B51C74"/>
    <w:rsid w:val="3A011012"/>
    <w:rsid w:val="3A7F20DE"/>
    <w:rsid w:val="3A9B0E14"/>
    <w:rsid w:val="3AB25E2E"/>
    <w:rsid w:val="3ACC4217"/>
    <w:rsid w:val="3AFF0275"/>
    <w:rsid w:val="3B0963FE"/>
    <w:rsid w:val="3B72004A"/>
    <w:rsid w:val="3B8E5A4D"/>
    <w:rsid w:val="3BAF53C7"/>
    <w:rsid w:val="3BB90A36"/>
    <w:rsid w:val="3BDC2F36"/>
    <w:rsid w:val="3BE527D5"/>
    <w:rsid w:val="3BE61128"/>
    <w:rsid w:val="3C5F6A31"/>
    <w:rsid w:val="3C6B073B"/>
    <w:rsid w:val="3C806DE9"/>
    <w:rsid w:val="3CE62050"/>
    <w:rsid w:val="3D136C28"/>
    <w:rsid w:val="3D2832C7"/>
    <w:rsid w:val="3D2E476F"/>
    <w:rsid w:val="3DC97655"/>
    <w:rsid w:val="3DE816D3"/>
    <w:rsid w:val="3DE818EA"/>
    <w:rsid w:val="3E8D60CE"/>
    <w:rsid w:val="3E8F00BF"/>
    <w:rsid w:val="3EBE38A6"/>
    <w:rsid w:val="3EC83B16"/>
    <w:rsid w:val="3ED04DFC"/>
    <w:rsid w:val="3F1C22A4"/>
    <w:rsid w:val="3FA12578"/>
    <w:rsid w:val="3FDB0AC5"/>
    <w:rsid w:val="3FE93FB0"/>
    <w:rsid w:val="40074BC3"/>
    <w:rsid w:val="40190D64"/>
    <w:rsid w:val="40460F8B"/>
    <w:rsid w:val="40480A7D"/>
    <w:rsid w:val="405E1538"/>
    <w:rsid w:val="406E55AD"/>
    <w:rsid w:val="407A11E7"/>
    <w:rsid w:val="40AD7F45"/>
    <w:rsid w:val="40E62262"/>
    <w:rsid w:val="40E909CF"/>
    <w:rsid w:val="40F86F23"/>
    <w:rsid w:val="41190C4A"/>
    <w:rsid w:val="418A3F4F"/>
    <w:rsid w:val="41A5138A"/>
    <w:rsid w:val="42413ED0"/>
    <w:rsid w:val="42653BF5"/>
    <w:rsid w:val="42791889"/>
    <w:rsid w:val="427C3947"/>
    <w:rsid w:val="42B15CE1"/>
    <w:rsid w:val="42CA2701"/>
    <w:rsid w:val="42EA1386"/>
    <w:rsid w:val="42EF6626"/>
    <w:rsid w:val="43031D71"/>
    <w:rsid w:val="430B4942"/>
    <w:rsid w:val="431A58F3"/>
    <w:rsid w:val="434767B8"/>
    <w:rsid w:val="434A1005"/>
    <w:rsid w:val="43C373C2"/>
    <w:rsid w:val="43D56C0B"/>
    <w:rsid w:val="443A1FAD"/>
    <w:rsid w:val="44881163"/>
    <w:rsid w:val="44900BE5"/>
    <w:rsid w:val="449412F5"/>
    <w:rsid w:val="449A634B"/>
    <w:rsid w:val="44A21FC7"/>
    <w:rsid w:val="44A45929"/>
    <w:rsid w:val="44A56B3C"/>
    <w:rsid w:val="44E116F6"/>
    <w:rsid w:val="44EC0221"/>
    <w:rsid w:val="45472AED"/>
    <w:rsid w:val="457C44F7"/>
    <w:rsid w:val="45A76BC4"/>
    <w:rsid w:val="45AC537D"/>
    <w:rsid w:val="45B91596"/>
    <w:rsid w:val="45CB1E22"/>
    <w:rsid w:val="466A7048"/>
    <w:rsid w:val="46863D53"/>
    <w:rsid w:val="468910A1"/>
    <w:rsid w:val="46AB6E6A"/>
    <w:rsid w:val="46AF3EBD"/>
    <w:rsid w:val="46D45238"/>
    <w:rsid w:val="46D9362B"/>
    <w:rsid w:val="46E27D65"/>
    <w:rsid w:val="4728084F"/>
    <w:rsid w:val="47413903"/>
    <w:rsid w:val="477F2472"/>
    <w:rsid w:val="47AE7C1C"/>
    <w:rsid w:val="47E52B9F"/>
    <w:rsid w:val="47E604F0"/>
    <w:rsid w:val="47EB3D8E"/>
    <w:rsid w:val="47F120E4"/>
    <w:rsid w:val="47F170D7"/>
    <w:rsid w:val="48336171"/>
    <w:rsid w:val="483376F0"/>
    <w:rsid w:val="483D40CA"/>
    <w:rsid w:val="487E4998"/>
    <w:rsid w:val="48AC2FFE"/>
    <w:rsid w:val="48B16866"/>
    <w:rsid w:val="48BD385C"/>
    <w:rsid w:val="48D247C8"/>
    <w:rsid w:val="48F66A6F"/>
    <w:rsid w:val="490D43C0"/>
    <w:rsid w:val="49313BA0"/>
    <w:rsid w:val="496A7BA5"/>
    <w:rsid w:val="49A523EA"/>
    <w:rsid w:val="49D04500"/>
    <w:rsid w:val="4A0649B5"/>
    <w:rsid w:val="4A2117CA"/>
    <w:rsid w:val="4A627B7A"/>
    <w:rsid w:val="4A8368DC"/>
    <w:rsid w:val="4A883622"/>
    <w:rsid w:val="4AA82AB9"/>
    <w:rsid w:val="4B22149B"/>
    <w:rsid w:val="4B311060"/>
    <w:rsid w:val="4B4C1468"/>
    <w:rsid w:val="4B5043BE"/>
    <w:rsid w:val="4B5978AC"/>
    <w:rsid w:val="4B660F17"/>
    <w:rsid w:val="4B78366B"/>
    <w:rsid w:val="4B983D0E"/>
    <w:rsid w:val="4BC15B88"/>
    <w:rsid w:val="4BF93DBB"/>
    <w:rsid w:val="4C0031B8"/>
    <w:rsid w:val="4C100092"/>
    <w:rsid w:val="4C3A2F6D"/>
    <w:rsid w:val="4CAC03DB"/>
    <w:rsid w:val="4D221D16"/>
    <w:rsid w:val="4D224DF1"/>
    <w:rsid w:val="4D461C73"/>
    <w:rsid w:val="4DAE0697"/>
    <w:rsid w:val="4DD00887"/>
    <w:rsid w:val="4DEE6A92"/>
    <w:rsid w:val="4E116B2A"/>
    <w:rsid w:val="4EED0CCD"/>
    <w:rsid w:val="4F500644"/>
    <w:rsid w:val="4F735988"/>
    <w:rsid w:val="4FF3477D"/>
    <w:rsid w:val="500129CE"/>
    <w:rsid w:val="50485641"/>
    <w:rsid w:val="50983FC7"/>
    <w:rsid w:val="50A35379"/>
    <w:rsid w:val="51167BAE"/>
    <w:rsid w:val="512971C8"/>
    <w:rsid w:val="513056A5"/>
    <w:rsid w:val="51371E3F"/>
    <w:rsid w:val="513C79B1"/>
    <w:rsid w:val="515B6A67"/>
    <w:rsid w:val="515F3303"/>
    <w:rsid w:val="51BD002A"/>
    <w:rsid w:val="51E732E7"/>
    <w:rsid w:val="51FC0576"/>
    <w:rsid w:val="52177A45"/>
    <w:rsid w:val="528B3FB4"/>
    <w:rsid w:val="52B64270"/>
    <w:rsid w:val="52BC3A33"/>
    <w:rsid w:val="52FC2DD4"/>
    <w:rsid w:val="52FC5E01"/>
    <w:rsid w:val="53314173"/>
    <w:rsid w:val="536D7844"/>
    <w:rsid w:val="538F1988"/>
    <w:rsid w:val="53A61733"/>
    <w:rsid w:val="53AA3914"/>
    <w:rsid w:val="53E30BC0"/>
    <w:rsid w:val="53EA2779"/>
    <w:rsid w:val="53EB6D2C"/>
    <w:rsid w:val="53F614DC"/>
    <w:rsid w:val="54097C5B"/>
    <w:rsid w:val="54393867"/>
    <w:rsid w:val="544607AB"/>
    <w:rsid w:val="54797D28"/>
    <w:rsid w:val="54BB7B6C"/>
    <w:rsid w:val="54CD3907"/>
    <w:rsid w:val="54CF2F50"/>
    <w:rsid w:val="55020B76"/>
    <w:rsid w:val="5512068D"/>
    <w:rsid w:val="552C3FAA"/>
    <w:rsid w:val="553A019F"/>
    <w:rsid w:val="55425731"/>
    <w:rsid w:val="55445790"/>
    <w:rsid w:val="557865E0"/>
    <w:rsid w:val="557E3EB0"/>
    <w:rsid w:val="5590305C"/>
    <w:rsid w:val="55BB0D24"/>
    <w:rsid w:val="55F06C20"/>
    <w:rsid w:val="55F70296"/>
    <w:rsid w:val="55FA2ABD"/>
    <w:rsid w:val="56102237"/>
    <w:rsid w:val="562055C8"/>
    <w:rsid w:val="56215ECB"/>
    <w:rsid w:val="568D5FA3"/>
    <w:rsid w:val="56A33547"/>
    <w:rsid w:val="56A4724D"/>
    <w:rsid w:val="56AE61F7"/>
    <w:rsid w:val="56B656B6"/>
    <w:rsid w:val="56B74DA6"/>
    <w:rsid w:val="572A6A71"/>
    <w:rsid w:val="57BD12C8"/>
    <w:rsid w:val="57CD0917"/>
    <w:rsid w:val="57FE679B"/>
    <w:rsid w:val="582E3A30"/>
    <w:rsid w:val="583948A0"/>
    <w:rsid w:val="584E7C2E"/>
    <w:rsid w:val="58601271"/>
    <w:rsid w:val="589D465C"/>
    <w:rsid w:val="58B7165E"/>
    <w:rsid w:val="58CA4B39"/>
    <w:rsid w:val="58E6255C"/>
    <w:rsid w:val="58ED78F7"/>
    <w:rsid w:val="59F9185B"/>
    <w:rsid w:val="5A1C638C"/>
    <w:rsid w:val="5A460081"/>
    <w:rsid w:val="5A53777D"/>
    <w:rsid w:val="5A5F4374"/>
    <w:rsid w:val="5AA638FA"/>
    <w:rsid w:val="5B3A6E21"/>
    <w:rsid w:val="5B6258C7"/>
    <w:rsid w:val="5B856492"/>
    <w:rsid w:val="5BA125E6"/>
    <w:rsid w:val="5BD82630"/>
    <w:rsid w:val="5BE64A40"/>
    <w:rsid w:val="5BE77BED"/>
    <w:rsid w:val="5C130CF3"/>
    <w:rsid w:val="5C6F070A"/>
    <w:rsid w:val="5C9F3BA7"/>
    <w:rsid w:val="5D0247F9"/>
    <w:rsid w:val="5D096819"/>
    <w:rsid w:val="5D2915A3"/>
    <w:rsid w:val="5D7103C7"/>
    <w:rsid w:val="5D756F91"/>
    <w:rsid w:val="5D885990"/>
    <w:rsid w:val="5D8B722E"/>
    <w:rsid w:val="5DB449D7"/>
    <w:rsid w:val="5DC163D3"/>
    <w:rsid w:val="5DCA59BF"/>
    <w:rsid w:val="5E0848C3"/>
    <w:rsid w:val="5E221F3F"/>
    <w:rsid w:val="5E227CED"/>
    <w:rsid w:val="5E3002DA"/>
    <w:rsid w:val="5E327D03"/>
    <w:rsid w:val="5E3E3AB2"/>
    <w:rsid w:val="5E620D41"/>
    <w:rsid w:val="5E6E2DD8"/>
    <w:rsid w:val="5EA42CFB"/>
    <w:rsid w:val="5F105C3D"/>
    <w:rsid w:val="5F1856E3"/>
    <w:rsid w:val="5F2B2E5A"/>
    <w:rsid w:val="5F3C4C84"/>
    <w:rsid w:val="5F456359"/>
    <w:rsid w:val="5F544C91"/>
    <w:rsid w:val="5F5B52E1"/>
    <w:rsid w:val="5F73338D"/>
    <w:rsid w:val="5F7E2B66"/>
    <w:rsid w:val="5F9819D0"/>
    <w:rsid w:val="5F9F6E96"/>
    <w:rsid w:val="5FEF2037"/>
    <w:rsid w:val="601B3F02"/>
    <w:rsid w:val="60580E8B"/>
    <w:rsid w:val="6077073B"/>
    <w:rsid w:val="60B70620"/>
    <w:rsid w:val="60E74CD5"/>
    <w:rsid w:val="60EB6E01"/>
    <w:rsid w:val="610203F7"/>
    <w:rsid w:val="610442D2"/>
    <w:rsid w:val="61201F18"/>
    <w:rsid w:val="617A7224"/>
    <w:rsid w:val="61840F32"/>
    <w:rsid w:val="619B13C4"/>
    <w:rsid w:val="61C176C2"/>
    <w:rsid w:val="61ED3F08"/>
    <w:rsid w:val="62820EA3"/>
    <w:rsid w:val="629D501D"/>
    <w:rsid w:val="62C14E11"/>
    <w:rsid w:val="63021D41"/>
    <w:rsid w:val="631358E0"/>
    <w:rsid w:val="63330069"/>
    <w:rsid w:val="6350611A"/>
    <w:rsid w:val="635F53E5"/>
    <w:rsid w:val="638A4549"/>
    <w:rsid w:val="63D76BA4"/>
    <w:rsid w:val="641B52CD"/>
    <w:rsid w:val="642226B2"/>
    <w:rsid w:val="646E5859"/>
    <w:rsid w:val="647826EF"/>
    <w:rsid w:val="649048D3"/>
    <w:rsid w:val="64AE4274"/>
    <w:rsid w:val="64AF0506"/>
    <w:rsid w:val="64D75A79"/>
    <w:rsid w:val="64E060B2"/>
    <w:rsid w:val="64E06C78"/>
    <w:rsid w:val="6507733F"/>
    <w:rsid w:val="6552629E"/>
    <w:rsid w:val="656A0F50"/>
    <w:rsid w:val="65C679C6"/>
    <w:rsid w:val="6609506E"/>
    <w:rsid w:val="66585CA3"/>
    <w:rsid w:val="6695111E"/>
    <w:rsid w:val="66B31330"/>
    <w:rsid w:val="66FD5837"/>
    <w:rsid w:val="67CC2DEE"/>
    <w:rsid w:val="67CC40BC"/>
    <w:rsid w:val="67E92B29"/>
    <w:rsid w:val="6844456E"/>
    <w:rsid w:val="686231A1"/>
    <w:rsid w:val="68762C1A"/>
    <w:rsid w:val="68830949"/>
    <w:rsid w:val="68CD0EE5"/>
    <w:rsid w:val="68DF39A7"/>
    <w:rsid w:val="69135668"/>
    <w:rsid w:val="69280291"/>
    <w:rsid w:val="69445450"/>
    <w:rsid w:val="696202B1"/>
    <w:rsid w:val="697A62A6"/>
    <w:rsid w:val="69AC5BBE"/>
    <w:rsid w:val="69CC6419"/>
    <w:rsid w:val="69DD52B6"/>
    <w:rsid w:val="69E642E7"/>
    <w:rsid w:val="6A256A40"/>
    <w:rsid w:val="6A2D7B8B"/>
    <w:rsid w:val="6A4E6005"/>
    <w:rsid w:val="6A8B0D8C"/>
    <w:rsid w:val="6A937C86"/>
    <w:rsid w:val="6B162A3F"/>
    <w:rsid w:val="6B9208AD"/>
    <w:rsid w:val="6BAA566B"/>
    <w:rsid w:val="6BB11905"/>
    <w:rsid w:val="6BC009EB"/>
    <w:rsid w:val="6BCB4591"/>
    <w:rsid w:val="6BEB3BCF"/>
    <w:rsid w:val="6BF65572"/>
    <w:rsid w:val="6C1B2DF3"/>
    <w:rsid w:val="6C1E53BC"/>
    <w:rsid w:val="6C2F6311"/>
    <w:rsid w:val="6C5D32F3"/>
    <w:rsid w:val="6C66743F"/>
    <w:rsid w:val="6CAD5473"/>
    <w:rsid w:val="6CC05F09"/>
    <w:rsid w:val="6D1C7C42"/>
    <w:rsid w:val="6D611D5A"/>
    <w:rsid w:val="6D617FAC"/>
    <w:rsid w:val="6D6E7F9B"/>
    <w:rsid w:val="6D9B387C"/>
    <w:rsid w:val="6E134625"/>
    <w:rsid w:val="6E4E5193"/>
    <w:rsid w:val="6E703C2D"/>
    <w:rsid w:val="6E7F7210"/>
    <w:rsid w:val="6E8A7701"/>
    <w:rsid w:val="6EAC5256"/>
    <w:rsid w:val="6EAD0A1C"/>
    <w:rsid w:val="6F7C48B9"/>
    <w:rsid w:val="6F8858E4"/>
    <w:rsid w:val="6FA9648E"/>
    <w:rsid w:val="6FE8494E"/>
    <w:rsid w:val="6FEC0000"/>
    <w:rsid w:val="6FFE6CA5"/>
    <w:rsid w:val="704A36C8"/>
    <w:rsid w:val="704A37D5"/>
    <w:rsid w:val="70581BE0"/>
    <w:rsid w:val="70B4671B"/>
    <w:rsid w:val="70CA0F81"/>
    <w:rsid w:val="70DC55EB"/>
    <w:rsid w:val="70DE39B5"/>
    <w:rsid w:val="7108651A"/>
    <w:rsid w:val="713C2A5F"/>
    <w:rsid w:val="714646CD"/>
    <w:rsid w:val="715F5AC3"/>
    <w:rsid w:val="716948ED"/>
    <w:rsid w:val="71715206"/>
    <w:rsid w:val="71A566B9"/>
    <w:rsid w:val="72582388"/>
    <w:rsid w:val="726C00F1"/>
    <w:rsid w:val="72722170"/>
    <w:rsid w:val="727704A3"/>
    <w:rsid w:val="729A7BA5"/>
    <w:rsid w:val="72BB7B42"/>
    <w:rsid w:val="72C3445A"/>
    <w:rsid w:val="72DB610A"/>
    <w:rsid w:val="73282699"/>
    <w:rsid w:val="7349576A"/>
    <w:rsid w:val="73A535DE"/>
    <w:rsid w:val="73FD6A59"/>
    <w:rsid w:val="74275965"/>
    <w:rsid w:val="74550646"/>
    <w:rsid w:val="74900445"/>
    <w:rsid w:val="74A86D6D"/>
    <w:rsid w:val="74BF0723"/>
    <w:rsid w:val="74D64322"/>
    <w:rsid w:val="74E17075"/>
    <w:rsid w:val="74EA5148"/>
    <w:rsid w:val="751205C6"/>
    <w:rsid w:val="75167346"/>
    <w:rsid w:val="75253BDD"/>
    <w:rsid w:val="75392D36"/>
    <w:rsid w:val="754741C7"/>
    <w:rsid w:val="75871F4C"/>
    <w:rsid w:val="76505383"/>
    <w:rsid w:val="76695D14"/>
    <w:rsid w:val="769058E1"/>
    <w:rsid w:val="769A6A08"/>
    <w:rsid w:val="76CC6DB8"/>
    <w:rsid w:val="76DD713C"/>
    <w:rsid w:val="77046443"/>
    <w:rsid w:val="772A1B66"/>
    <w:rsid w:val="774C7495"/>
    <w:rsid w:val="77640DC4"/>
    <w:rsid w:val="77770AF7"/>
    <w:rsid w:val="779167EC"/>
    <w:rsid w:val="77A21C84"/>
    <w:rsid w:val="77EC3DA8"/>
    <w:rsid w:val="787319B1"/>
    <w:rsid w:val="788B056B"/>
    <w:rsid w:val="78B900EB"/>
    <w:rsid w:val="78E21FA1"/>
    <w:rsid w:val="791505C8"/>
    <w:rsid w:val="79A60DF4"/>
    <w:rsid w:val="79AF0269"/>
    <w:rsid w:val="79C56655"/>
    <w:rsid w:val="79CE69C9"/>
    <w:rsid w:val="79D932D2"/>
    <w:rsid w:val="79DC5A75"/>
    <w:rsid w:val="7A127C5C"/>
    <w:rsid w:val="7A1330A4"/>
    <w:rsid w:val="7A2E4075"/>
    <w:rsid w:val="7A473C6B"/>
    <w:rsid w:val="7A835505"/>
    <w:rsid w:val="7AAA3908"/>
    <w:rsid w:val="7AAD748E"/>
    <w:rsid w:val="7AD2191E"/>
    <w:rsid w:val="7AFC675C"/>
    <w:rsid w:val="7B042AD9"/>
    <w:rsid w:val="7B2A52B1"/>
    <w:rsid w:val="7B4E629F"/>
    <w:rsid w:val="7BB41B36"/>
    <w:rsid w:val="7BC85163"/>
    <w:rsid w:val="7BD607E1"/>
    <w:rsid w:val="7BEA18F4"/>
    <w:rsid w:val="7C9E6B26"/>
    <w:rsid w:val="7C9F6BE9"/>
    <w:rsid w:val="7CB2661D"/>
    <w:rsid w:val="7CB71996"/>
    <w:rsid w:val="7CD158CD"/>
    <w:rsid w:val="7CDB5685"/>
    <w:rsid w:val="7D0015F4"/>
    <w:rsid w:val="7D0D7808"/>
    <w:rsid w:val="7D496557"/>
    <w:rsid w:val="7D5F237C"/>
    <w:rsid w:val="7D6B6773"/>
    <w:rsid w:val="7D961B9A"/>
    <w:rsid w:val="7DBB6070"/>
    <w:rsid w:val="7DCD7765"/>
    <w:rsid w:val="7DED63D0"/>
    <w:rsid w:val="7E1020AF"/>
    <w:rsid w:val="7E1A3F8B"/>
    <w:rsid w:val="7E2D6AC2"/>
    <w:rsid w:val="7E3F4BCD"/>
    <w:rsid w:val="7E503278"/>
    <w:rsid w:val="7E956954"/>
    <w:rsid w:val="7EA651C1"/>
    <w:rsid w:val="7ECA59B1"/>
    <w:rsid w:val="7F0A0524"/>
    <w:rsid w:val="7F1E1594"/>
    <w:rsid w:val="7F4B6E66"/>
    <w:rsid w:val="7FBA34AC"/>
    <w:rsid w:val="7FC66FE8"/>
    <w:rsid w:val="7FF6687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9"/>
    <w:autoRedefine/>
    <w:qFormat/>
    <w:uiPriority w:val="0"/>
    <w:pPr>
      <w:keepNext/>
      <w:jc w:val="center"/>
      <w:outlineLvl w:val="0"/>
    </w:pPr>
    <w:rPr>
      <w:b/>
      <w:bCs/>
      <w:sz w:val="24"/>
      <w:szCs w:val="20"/>
    </w:rPr>
  </w:style>
  <w:style w:type="paragraph" w:styleId="3">
    <w:name w:val="heading 2"/>
    <w:basedOn w:val="1"/>
    <w:next w:val="1"/>
    <w:link w:val="70"/>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link w:val="71"/>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72"/>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73"/>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8"/>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74"/>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5"/>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6"/>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autoRedefine/>
    <w:semiHidden/>
    <w:qFormat/>
    <w:uiPriority w:val="0"/>
  </w:style>
  <w:style w:type="table" w:default="1" w:styleId="44">
    <w:name w:val="Normal Table"/>
    <w:autoRedefine/>
    <w:semiHidden/>
    <w:qFormat/>
    <w:uiPriority w:val="0"/>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rPr>
      <w:rFonts w:ascii="Calibri" w:hAnsi="Calibri"/>
      <w:szCs w:val="22"/>
    </w:rPr>
  </w:style>
  <w:style w:type="paragraph" w:styleId="12">
    <w:name w:val="Normal Indent"/>
    <w:basedOn w:val="1"/>
    <w:autoRedefine/>
    <w:qFormat/>
    <w:uiPriority w:val="0"/>
    <w:pPr>
      <w:widowControl/>
      <w:ind w:firstLine="420"/>
      <w:jc w:val="left"/>
    </w:pPr>
    <w:rPr>
      <w:kern w:val="0"/>
      <w:sz w:val="20"/>
      <w:szCs w:val="20"/>
    </w:rPr>
  </w:style>
  <w:style w:type="paragraph" w:styleId="13">
    <w:name w:val="Document Map"/>
    <w:basedOn w:val="1"/>
    <w:autoRedefine/>
    <w:semiHidden/>
    <w:qFormat/>
    <w:uiPriority w:val="0"/>
    <w:pPr>
      <w:shd w:val="clear" w:color="auto" w:fill="000080"/>
    </w:pPr>
  </w:style>
  <w:style w:type="paragraph" w:styleId="14">
    <w:name w:val="annotation text"/>
    <w:basedOn w:val="1"/>
    <w:link w:val="77"/>
    <w:autoRedefine/>
    <w:semiHidden/>
    <w:qFormat/>
    <w:uiPriority w:val="0"/>
    <w:pPr>
      <w:jc w:val="left"/>
    </w:pPr>
  </w:style>
  <w:style w:type="paragraph" w:styleId="15">
    <w:name w:val="Salutation"/>
    <w:basedOn w:val="1"/>
    <w:next w:val="1"/>
    <w:autoRedefine/>
    <w:qFormat/>
    <w:uiPriority w:val="0"/>
    <w:rPr>
      <w:rFonts w:ascii="仿宋_GB2312" w:eastAsia="仿宋_GB2312"/>
      <w:sz w:val="24"/>
    </w:rPr>
  </w:style>
  <w:style w:type="paragraph" w:styleId="16">
    <w:name w:val="Body Text 3"/>
    <w:basedOn w:val="1"/>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17">
    <w:name w:val="Body Text"/>
    <w:basedOn w:val="1"/>
    <w:next w:val="18"/>
    <w:autoRedefine/>
    <w:qFormat/>
    <w:uiPriority w:val="0"/>
    <w:pPr>
      <w:spacing w:after="120"/>
    </w:pPr>
  </w:style>
  <w:style w:type="paragraph" w:styleId="18">
    <w:name w:val="Body Text 2"/>
    <w:basedOn w:val="1"/>
    <w:next w:val="1"/>
    <w:link w:val="85"/>
    <w:autoRedefine/>
    <w:qFormat/>
    <w:uiPriority w:val="0"/>
    <w:pPr>
      <w:spacing w:after="120" w:line="480" w:lineRule="auto"/>
    </w:pPr>
  </w:style>
  <w:style w:type="paragraph" w:styleId="19">
    <w:name w:val="Body Text Indent"/>
    <w:basedOn w:val="1"/>
    <w:next w:val="20"/>
    <w:link w:val="78"/>
    <w:autoRedefine/>
    <w:qFormat/>
    <w:uiPriority w:val="99"/>
    <w:pPr>
      <w:spacing w:after="120"/>
      <w:ind w:left="420" w:leftChars="200"/>
    </w:pPr>
  </w:style>
  <w:style w:type="paragraph" w:styleId="20">
    <w:name w:val="annotation subject"/>
    <w:basedOn w:val="14"/>
    <w:next w:val="1"/>
    <w:link w:val="86"/>
    <w:autoRedefine/>
    <w:qFormat/>
    <w:uiPriority w:val="0"/>
    <w:rPr>
      <w:b/>
      <w:bCs/>
    </w:rPr>
  </w:style>
  <w:style w:type="paragraph" w:styleId="21">
    <w:name w:val="Block Text"/>
    <w:basedOn w:val="1"/>
    <w:autoRedefine/>
    <w:qFormat/>
    <w:uiPriority w:val="0"/>
    <w:pPr>
      <w:ind w:left="1171" w:right="91" w:hanging="1080"/>
    </w:pPr>
    <w:rPr>
      <w:rFonts w:eastAsia="楷体_GB2312"/>
      <w:szCs w:val="20"/>
    </w:rPr>
  </w:style>
  <w:style w:type="paragraph" w:styleId="22">
    <w:name w:val="toc 5"/>
    <w:basedOn w:val="1"/>
    <w:next w:val="1"/>
    <w:autoRedefine/>
    <w:qFormat/>
    <w:uiPriority w:val="0"/>
    <w:pPr>
      <w:ind w:left="1680" w:leftChars="800"/>
    </w:pPr>
    <w:rPr>
      <w:rFonts w:ascii="Calibri" w:hAnsi="Calibri"/>
      <w:szCs w:val="22"/>
    </w:rPr>
  </w:style>
  <w:style w:type="paragraph" w:styleId="23">
    <w:name w:val="toc 3"/>
    <w:basedOn w:val="1"/>
    <w:next w:val="1"/>
    <w:autoRedefine/>
    <w:qFormat/>
    <w:uiPriority w:val="0"/>
    <w:pPr>
      <w:ind w:left="840" w:leftChars="400"/>
    </w:pPr>
  </w:style>
  <w:style w:type="paragraph" w:styleId="24">
    <w:name w:val="Plain Text"/>
    <w:basedOn w:val="1"/>
    <w:next w:val="25"/>
    <w:link w:val="80"/>
    <w:autoRedefine/>
    <w:qFormat/>
    <w:uiPriority w:val="0"/>
    <w:rPr>
      <w:rFonts w:ascii="宋体" w:hAnsi="Courier New" w:cs="Courier New"/>
      <w:szCs w:val="21"/>
    </w:rPr>
  </w:style>
  <w:style w:type="paragraph" w:customStyle="1" w:styleId="25">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26">
    <w:name w:val="toc 8"/>
    <w:basedOn w:val="1"/>
    <w:next w:val="1"/>
    <w:autoRedefine/>
    <w:qFormat/>
    <w:uiPriority w:val="0"/>
    <w:pPr>
      <w:ind w:left="2940" w:leftChars="1400"/>
    </w:pPr>
    <w:rPr>
      <w:rFonts w:ascii="Calibri" w:hAnsi="Calibri"/>
      <w:szCs w:val="22"/>
    </w:rPr>
  </w:style>
  <w:style w:type="paragraph" w:styleId="27">
    <w:name w:val="Date"/>
    <w:basedOn w:val="1"/>
    <w:next w:val="1"/>
    <w:link w:val="81"/>
    <w:autoRedefine/>
    <w:qFormat/>
    <w:uiPriority w:val="0"/>
    <w:rPr>
      <w:sz w:val="24"/>
      <w:szCs w:val="20"/>
    </w:rPr>
  </w:style>
  <w:style w:type="paragraph" w:styleId="28">
    <w:name w:val="Body Text Indent 2"/>
    <w:basedOn w:val="1"/>
    <w:autoRedefine/>
    <w:qFormat/>
    <w:uiPriority w:val="0"/>
    <w:pPr>
      <w:spacing w:after="120" w:line="480" w:lineRule="auto"/>
      <w:ind w:left="420" w:leftChars="200"/>
    </w:pPr>
  </w:style>
  <w:style w:type="paragraph" w:styleId="29">
    <w:name w:val="Balloon Text"/>
    <w:basedOn w:val="1"/>
    <w:link w:val="82"/>
    <w:autoRedefine/>
    <w:qFormat/>
    <w:uiPriority w:val="0"/>
    <w:rPr>
      <w:sz w:val="18"/>
      <w:szCs w:val="18"/>
    </w:rPr>
  </w:style>
  <w:style w:type="paragraph" w:styleId="30">
    <w:name w:val="footer"/>
    <w:basedOn w:val="1"/>
    <w:link w:val="83"/>
    <w:autoRedefine/>
    <w:qFormat/>
    <w:uiPriority w:val="0"/>
    <w:pPr>
      <w:tabs>
        <w:tab w:val="center" w:pos="4153"/>
        <w:tab w:val="right" w:pos="8306"/>
      </w:tabs>
      <w:snapToGrid w:val="0"/>
      <w:jc w:val="left"/>
    </w:pPr>
    <w:rPr>
      <w:sz w:val="18"/>
      <w:szCs w:val="18"/>
    </w:rPr>
  </w:style>
  <w:style w:type="paragraph" w:styleId="31">
    <w:name w:val="header"/>
    <w:basedOn w:val="1"/>
    <w:link w:val="84"/>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toc 4"/>
    <w:basedOn w:val="1"/>
    <w:next w:val="1"/>
    <w:autoRedefine/>
    <w:qFormat/>
    <w:uiPriority w:val="0"/>
    <w:pPr>
      <w:ind w:left="1260" w:leftChars="600"/>
    </w:pPr>
  </w:style>
  <w:style w:type="paragraph" w:styleId="33">
    <w:name w:val="footnote text"/>
    <w:basedOn w:val="1"/>
    <w:autoRedefine/>
    <w:qFormat/>
    <w:uiPriority w:val="0"/>
    <w:pPr>
      <w:snapToGrid w:val="0"/>
      <w:jc w:val="left"/>
    </w:pPr>
    <w:rPr>
      <w:sz w:val="18"/>
      <w:szCs w:val="18"/>
    </w:rPr>
  </w:style>
  <w:style w:type="paragraph" w:styleId="34">
    <w:name w:val="toc 6"/>
    <w:basedOn w:val="1"/>
    <w:next w:val="1"/>
    <w:autoRedefine/>
    <w:qFormat/>
    <w:uiPriority w:val="0"/>
    <w:pPr>
      <w:ind w:left="2100" w:leftChars="1000"/>
    </w:pPr>
    <w:rPr>
      <w:rFonts w:ascii="Calibri" w:hAnsi="Calibri"/>
      <w:szCs w:val="22"/>
    </w:rPr>
  </w:style>
  <w:style w:type="paragraph" w:styleId="35">
    <w:name w:val="Body Text Indent 3"/>
    <w:basedOn w:val="1"/>
    <w:next w:val="1"/>
    <w:link w:val="79"/>
    <w:autoRedefine/>
    <w:qFormat/>
    <w:uiPriority w:val="0"/>
    <w:pPr>
      <w:spacing w:after="120"/>
      <w:ind w:left="420" w:leftChars="200"/>
    </w:pPr>
    <w:rPr>
      <w:sz w:val="16"/>
      <w:szCs w:val="16"/>
    </w:rPr>
  </w:style>
  <w:style w:type="paragraph" w:styleId="36">
    <w:name w:val="toc 2"/>
    <w:basedOn w:val="1"/>
    <w:next w:val="1"/>
    <w:autoRedefine/>
    <w:qFormat/>
    <w:uiPriority w:val="0"/>
    <w:pPr>
      <w:ind w:left="420" w:leftChars="200"/>
    </w:pPr>
  </w:style>
  <w:style w:type="paragraph" w:styleId="37">
    <w:name w:val="toc 9"/>
    <w:basedOn w:val="1"/>
    <w:next w:val="1"/>
    <w:autoRedefine/>
    <w:qFormat/>
    <w:uiPriority w:val="0"/>
    <w:pPr>
      <w:ind w:left="3360" w:leftChars="1600"/>
    </w:pPr>
    <w:rPr>
      <w:rFonts w:ascii="Calibri" w:hAnsi="Calibri"/>
      <w:szCs w:val="22"/>
    </w:rPr>
  </w:style>
  <w:style w:type="paragraph" w:styleId="38">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autoRedefine/>
    <w:qFormat/>
    <w:uiPriority w:val="0"/>
    <w:pPr>
      <w:spacing w:line="220" w:lineRule="exact"/>
      <w:jc w:val="center"/>
    </w:pPr>
    <w:rPr>
      <w:rFonts w:ascii="仿宋_GB2312" w:eastAsia="仿宋_GB2312"/>
      <w:szCs w:val="20"/>
    </w:rPr>
  </w:style>
  <w:style w:type="paragraph" w:styleId="41">
    <w:name w:val="Title"/>
    <w:basedOn w:val="1"/>
    <w:next w:val="1"/>
    <w:autoRedefine/>
    <w:qFormat/>
    <w:uiPriority w:val="0"/>
    <w:pPr>
      <w:spacing w:before="240" w:after="60"/>
      <w:jc w:val="center"/>
      <w:outlineLvl w:val="0"/>
    </w:pPr>
    <w:rPr>
      <w:rFonts w:ascii="Cambria" w:hAnsi="Cambria"/>
      <w:b/>
      <w:sz w:val="32"/>
    </w:rPr>
  </w:style>
  <w:style w:type="paragraph" w:styleId="42">
    <w:name w:val="Body Text First Indent"/>
    <w:basedOn w:val="17"/>
    <w:autoRedefine/>
    <w:qFormat/>
    <w:uiPriority w:val="0"/>
    <w:pPr>
      <w:spacing w:line="360" w:lineRule="auto"/>
      <w:ind w:firstLine="309" w:firstLineChars="100"/>
      <w:outlineLvl w:val="0"/>
    </w:pPr>
    <w:rPr>
      <w:bCs/>
      <w:color w:val="000000"/>
      <w:kern w:val="28"/>
      <w:szCs w:val="21"/>
    </w:rPr>
  </w:style>
  <w:style w:type="paragraph" w:styleId="43">
    <w:name w:val="Body Text First Indent 2"/>
    <w:basedOn w:val="19"/>
    <w:next w:val="12"/>
    <w:link w:val="87"/>
    <w:autoRedefine/>
    <w:unhideWhenUsed/>
    <w:qFormat/>
    <w:uiPriority w:val="99"/>
    <w:pPr>
      <w:autoSpaceDE w:val="0"/>
      <w:autoSpaceDN w:val="0"/>
      <w:adjustRightInd w:val="0"/>
      <w:ind w:firstLine="420"/>
      <w:jc w:val="left"/>
    </w:pPr>
    <w:rPr>
      <w:rFonts w:ascii="Calibri" w:hAnsi="Calibri" w:eastAsia="宋体" w:cs="Times New Roman"/>
      <w:kern w:val="0"/>
    </w:rPr>
  </w:style>
  <w:style w:type="table" w:styleId="45">
    <w:name w:val="Table Grid"/>
    <w:basedOn w:val="4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autoRedefine/>
    <w:qFormat/>
    <w:uiPriority w:val="0"/>
    <w:rPr>
      <w:b/>
      <w:bCs/>
    </w:rPr>
  </w:style>
  <w:style w:type="character" w:styleId="48">
    <w:name w:val="page number"/>
    <w:basedOn w:val="46"/>
    <w:autoRedefine/>
    <w:qFormat/>
    <w:uiPriority w:val="0"/>
  </w:style>
  <w:style w:type="character" w:styleId="49">
    <w:name w:val="FollowedHyperlink"/>
    <w:basedOn w:val="46"/>
    <w:autoRedefine/>
    <w:qFormat/>
    <w:uiPriority w:val="99"/>
    <w:rPr>
      <w:color w:val="2C2C2C"/>
      <w:u w:val="none"/>
    </w:rPr>
  </w:style>
  <w:style w:type="character" w:styleId="50">
    <w:name w:val="Emphasis"/>
    <w:autoRedefine/>
    <w:qFormat/>
    <w:uiPriority w:val="0"/>
    <w:rPr>
      <w:rFonts w:ascii="Times New Roman" w:hAnsi="Times New Roman" w:eastAsia="宋体"/>
    </w:rPr>
  </w:style>
  <w:style w:type="character" w:styleId="51">
    <w:name w:val="HTML Definition"/>
    <w:autoRedefine/>
    <w:qFormat/>
    <w:uiPriority w:val="0"/>
    <w:rPr>
      <w:rFonts w:ascii="Times New Roman" w:hAnsi="Times New Roman" w:eastAsia="宋体"/>
    </w:rPr>
  </w:style>
  <w:style w:type="character" w:styleId="52">
    <w:name w:val="HTML Typewriter"/>
    <w:basedOn w:val="46"/>
    <w:autoRedefine/>
    <w:qFormat/>
    <w:uiPriority w:val="0"/>
    <w:rPr>
      <w:rFonts w:hint="default" w:ascii="monospace" w:hAnsi="monospace" w:eastAsia="monospace" w:cs="monospace"/>
      <w:sz w:val="20"/>
    </w:rPr>
  </w:style>
  <w:style w:type="character" w:styleId="53">
    <w:name w:val="HTML Acronym"/>
    <w:basedOn w:val="46"/>
    <w:autoRedefine/>
    <w:qFormat/>
    <w:uiPriority w:val="0"/>
  </w:style>
  <w:style w:type="character" w:styleId="54">
    <w:name w:val="HTML Variable"/>
    <w:autoRedefine/>
    <w:qFormat/>
    <w:uiPriority w:val="0"/>
    <w:rPr>
      <w:rFonts w:ascii="Times New Roman" w:hAnsi="Times New Roman" w:eastAsia="宋体"/>
    </w:rPr>
  </w:style>
  <w:style w:type="character" w:styleId="55">
    <w:name w:val="Hyperlink"/>
    <w:autoRedefine/>
    <w:qFormat/>
    <w:uiPriority w:val="99"/>
    <w:rPr>
      <w:color w:val="136EC2"/>
      <w:u w:val="single"/>
    </w:rPr>
  </w:style>
  <w:style w:type="character" w:styleId="56">
    <w:name w:val="HTML Code"/>
    <w:autoRedefine/>
    <w:qFormat/>
    <w:uiPriority w:val="0"/>
    <w:rPr>
      <w:rFonts w:ascii="Courier New" w:hAnsi="Courier New" w:eastAsia="Courier New" w:cs="Courier New"/>
      <w:sz w:val="20"/>
    </w:rPr>
  </w:style>
  <w:style w:type="character" w:styleId="57">
    <w:name w:val="annotation reference"/>
    <w:autoRedefine/>
    <w:qFormat/>
    <w:uiPriority w:val="0"/>
    <w:rPr>
      <w:sz w:val="21"/>
      <w:szCs w:val="21"/>
    </w:rPr>
  </w:style>
  <w:style w:type="character" w:styleId="58">
    <w:name w:val="HTML Cite"/>
    <w:autoRedefine/>
    <w:qFormat/>
    <w:uiPriority w:val="0"/>
    <w:rPr>
      <w:rFonts w:ascii="Times New Roman" w:hAnsi="Times New Roman" w:eastAsia="宋体"/>
    </w:rPr>
  </w:style>
  <w:style w:type="character" w:styleId="59">
    <w:name w:val="HTML Keyboard"/>
    <w:autoRedefine/>
    <w:qFormat/>
    <w:uiPriority w:val="0"/>
    <w:rPr>
      <w:rFonts w:ascii="Courier New" w:hAnsi="Courier New" w:eastAsia="Courier New" w:cs="Courier New"/>
      <w:sz w:val="20"/>
    </w:rPr>
  </w:style>
  <w:style w:type="character" w:styleId="60">
    <w:name w:val="HTML Sample"/>
    <w:autoRedefine/>
    <w:qFormat/>
    <w:uiPriority w:val="0"/>
    <w:rPr>
      <w:rFonts w:ascii="Courier New" w:hAnsi="Courier New" w:eastAsia="Courier New" w:cs="Courier New"/>
    </w:rPr>
  </w:style>
  <w:style w:type="paragraph" w:customStyle="1" w:styleId="61">
    <w:name w:val="首行缩进"/>
    <w:basedOn w:val="1"/>
    <w:qFormat/>
    <w:uiPriority w:val="0"/>
    <w:pPr>
      <w:ind w:firstLine="480" w:firstLineChars="200"/>
    </w:pPr>
    <w:rPr>
      <w:lang w:val="zh-CN"/>
    </w:rPr>
  </w:style>
  <w:style w:type="paragraph" w:customStyle="1" w:styleId="62">
    <w:name w:val="列出段落1"/>
    <w:basedOn w:val="1"/>
    <w:autoRedefine/>
    <w:qFormat/>
    <w:uiPriority w:val="0"/>
    <w:pPr>
      <w:ind w:firstLine="420" w:firstLineChars="200"/>
    </w:pPr>
    <w:rPr>
      <w:rFonts w:ascii="Calibri" w:hAnsi="Calibri"/>
    </w:rPr>
  </w:style>
  <w:style w:type="paragraph" w:customStyle="1" w:styleId="63">
    <w:name w:val="正文格式"/>
    <w:basedOn w:val="17"/>
    <w:next w:val="17"/>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64">
    <w:name w:val="一级条标题"/>
    <w:basedOn w:val="65"/>
    <w:next w:val="66"/>
    <w:autoRedefine/>
    <w:qFormat/>
    <w:uiPriority w:val="0"/>
    <w:pPr>
      <w:spacing w:line="240" w:lineRule="auto"/>
      <w:ind w:left="420"/>
      <w:outlineLvl w:val="2"/>
    </w:pPr>
  </w:style>
  <w:style w:type="paragraph" w:customStyle="1" w:styleId="65">
    <w:name w:val="章标题"/>
    <w:next w:val="1"/>
    <w:autoRedefine/>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6">
    <w:name w:val="段"/>
    <w:next w:val="1"/>
    <w:autoRedefine/>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7">
    <w:name w:val="正文1"/>
    <w:basedOn w:val="1"/>
    <w:autoRedefine/>
    <w:qFormat/>
    <w:uiPriority w:val="0"/>
    <w:pPr>
      <w:spacing w:line="360" w:lineRule="auto"/>
      <w:ind w:firstLine="480" w:firstLineChars="200"/>
    </w:pPr>
    <w:rPr>
      <w:sz w:val="24"/>
    </w:rPr>
  </w:style>
  <w:style w:type="character" w:customStyle="1" w:styleId="68">
    <w:name w:val="标题 6 Char1"/>
    <w:link w:val="7"/>
    <w:autoRedefine/>
    <w:qFormat/>
    <w:uiPriority w:val="0"/>
    <w:rPr>
      <w:rFonts w:ascii="Arial" w:hAnsi="Arial" w:eastAsia="黑体"/>
      <w:b/>
      <w:bCs/>
      <w:sz w:val="24"/>
      <w:szCs w:val="24"/>
      <w:lang w:val="en-US" w:eastAsia="zh-CN" w:bidi="ar-SA"/>
    </w:rPr>
  </w:style>
  <w:style w:type="character" w:customStyle="1" w:styleId="69">
    <w:name w:val="标题 1 Char1"/>
    <w:link w:val="2"/>
    <w:autoRedefine/>
    <w:qFormat/>
    <w:uiPriority w:val="0"/>
    <w:rPr>
      <w:rFonts w:eastAsia="宋体"/>
      <w:b/>
      <w:bCs/>
      <w:kern w:val="2"/>
      <w:sz w:val="24"/>
      <w:lang w:val="en-US" w:eastAsia="zh-CN" w:bidi="ar-SA"/>
    </w:rPr>
  </w:style>
  <w:style w:type="character" w:customStyle="1" w:styleId="70">
    <w:name w:val="标题 2 Char1"/>
    <w:link w:val="3"/>
    <w:autoRedefine/>
    <w:qFormat/>
    <w:uiPriority w:val="0"/>
    <w:rPr>
      <w:rFonts w:ascii="Arial" w:hAnsi="Arial" w:eastAsia="宋体"/>
      <w:b/>
      <w:bCs/>
      <w:kern w:val="2"/>
      <w:sz w:val="24"/>
      <w:szCs w:val="32"/>
      <w:lang w:val="en-US" w:eastAsia="zh-CN" w:bidi="ar-SA"/>
    </w:rPr>
  </w:style>
  <w:style w:type="character" w:customStyle="1" w:styleId="71">
    <w:name w:val="标题 3 Char1"/>
    <w:link w:val="4"/>
    <w:autoRedefine/>
    <w:qFormat/>
    <w:uiPriority w:val="0"/>
    <w:rPr>
      <w:rFonts w:eastAsia="宋体"/>
      <w:b/>
      <w:bCs/>
      <w:kern w:val="2"/>
      <w:sz w:val="32"/>
      <w:szCs w:val="32"/>
      <w:lang w:val="en-US" w:eastAsia="zh-CN" w:bidi="ar-SA"/>
    </w:rPr>
  </w:style>
  <w:style w:type="character" w:customStyle="1" w:styleId="72">
    <w:name w:val="标题 4 Char1"/>
    <w:link w:val="5"/>
    <w:autoRedefine/>
    <w:qFormat/>
    <w:uiPriority w:val="0"/>
    <w:rPr>
      <w:rFonts w:ascii="Arial" w:hAnsi="Arial" w:eastAsia="黑体"/>
      <w:b/>
      <w:bCs/>
      <w:kern w:val="2"/>
      <w:sz w:val="28"/>
      <w:szCs w:val="28"/>
      <w:lang w:val="en-US" w:eastAsia="zh-CN" w:bidi="ar-SA"/>
    </w:rPr>
  </w:style>
  <w:style w:type="character" w:customStyle="1" w:styleId="73">
    <w:name w:val="标题 5 Char1"/>
    <w:link w:val="6"/>
    <w:autoRedefine/>
    <w:qFormat/>
    <w:uiPriority w:val="0"/>
    <w:rPr>
      <w:rFonts w:eastAsia="宋体"/>
      <w:b/>
      <w:bCs/>
      <w:sz w:val="28"/>
      <w:szCs w:val="28"/>
      <w:lang w:val="en-US" w:eastAsia="zh-CN" w:bidi="ar-SA"/>
    </w:rPr>
  </w:style>
  <w:style w:type="character" w:customStyle="1" w:styleId="74">
    <w:name w:val="标题 7 Char1"/>
    <w:link w:val="8"/>
    <w:autoRedefine/>
    <w:qFormat/>
    <w:uiPriority w:val="0"/>
    <w:rPr>
      <w:rFonts w:eastAsia="宋体"/>
      <w:b/>
      <w:bCs/>
      <w:sz w:val="24"/>
      <w:szCs w:val="24"/>
      <w:lang w:val="en-US" w:eastAsia="zh-CN" w:bidi="ar-SA"/>
    </w:rPr>
  </w:style>
  <w:style w:type="character" w:customStyle="1" w:styleId="75">
    <w:name w:val="标题 8 Char1"/>
    <w:link w:val="9"/>
    <w:autoRedefine/>
    <w:qFormat/>
    <w:uiPriority w:val="0"/>
    <w:rPr>
      <w:rFonts w:ascii="Arial" w:hAnsi="Arial" w:eastAsia="黑体"/>
      <w:sz w:val="24"/>
      <w:szCs w:val="24"/>
      <w:lang w:val="en-US" w:eastAsia="zh-CN" w:bidi="ar-SA"/>
    </w:rPr>
  </w:style>
  <w:style w:type="character" w:customStyle="1" w:styleId="76">
    <w:name w:val="标题 9 Char1"/>
    <w:link w:val="10"/>
    <w:autoRedefine/>
    <w:qFormat/>
    <w:uiPriority w:val="0"/>
    <w:rPr>
      <w:rFonts w:ascii="Arial" w:hAnsi="Arial" w:eastAsia="黑体"/>
      <w:sz w:val="21"/>
      <w:szCs w:val="21"/>
      <w:lang w:val="en-US" w:eastAsia="zh-CN" w:bidi="ar-SA"/>
    </w:rPr>
  </w:style>
  <w:style w:type="character" w:customStyle="1" w:styleId="77">
    <w:name w:val="批注文字 Char1"/>
    <w:link w:val="14"/>
    <w:autoRedefine/>
    <w:qFormat/>
    <w:uiPriority w:val="0"/>
    <w:rPr>
      <w:rFonts w:eastAsia="宋体"/>
      <w:kern w:val="2"/>
      <w:sz w:val="21"/>
      <w:szCs w:val="24"/>
      <w:lang w:val="en-US" w:eastAsia="zh-CN" w:bidi="ar-SA"/>
    </w:rPr>
  </w:style>
  <w:style w:type="character" w:customStyle="1" w:styleId="78">
    <w:name w:val="正文文本缩进 Char"/>
    <w:link w:val="19"/>
    <w:autoRedefine/>
    <w:qFormat/>
    <w:uiPriority w:val="99"/>
    <w:rPr>
      <w:rFonts w:eastAsia="宋体"/>
      <w:kern w:val="2"/>
      <w:sz w:val="21"/>
      <w:szCs w:val="24"/>
      <w:lang w:val="en-US" w:eastAsia="zh-CN" w:bidi="ar-SA"/>
    </w:rPr>
  </w:style>
  <w:style w:type="character" w:customStyle="1" w:styleId="79">
    <w:name w:val="正文文本缩进 3 Char1"/>
    <w:link w:val="35"/>
    <w:autoRedefine/>
    <w:qFormat/>
    <w:uiPriority w:val="0"/>
    <w:rPr>
      <w:rFonts w:eastAsia="宋体"/>
      <w:kern w:val="2"/>
      <w:sz w:val="16"/>
      <w:szCs w:val="16"/>
      <w:lang w:val="en-US" w:eastAsia="zh-CN" w:bidi="ar-SA"/>
    </w:rPr>
  </w:style>
  <w:style w:type="character" w:customStyle="1" w:styleId="80">
    <w:name w:val="纯文本 Char"/>
    <w:link w:val="24"/>
    <w:autoRedefine/>
    <w:qFormat/>
    <w:locked/>
    <w:uiPriority w:val="0"/>
    <w:rPr>
      <w:rFonts w:ascii="宋体" w:hAnsi="Courier New" w:eastAsia="宋体" w:cs="Courier New"/>
      <w:kern w:val="2"/>
      <w:sz w:val="21"/>
      <w:szCs w:val="21"/>
      <w:lang w:val="en-US" w:eastAsia="zh-CN" w:bidi="ar-SA"/>
    </w:rPr>
  </w:style>
  <w:style w:type="character" w:customStyle="1" w:styleId="81">
    <w:name w:val="日期 Char1"/>
    <w:link w:val="27"/>
    <w:autoRedefine/>
    <w:qFormat/>
    <w:uiPriority w:val="0"/>
    <w:rPr>
      <w:rFonts w:eastAsia="宋体"/>
      <w:kern w:val="2"/>
      <w:sz w:val="24"/>
      <w:lang w:val="en-US" w:eastAsia="zh-CN" w:bidi="ar-SA"/>
    </w:rPr>
  </w:style>
  <w:style w:type="character" w:customStyle="1" w:styleId="82">
    <w:name w:val="批注框文本 Char1"/>
    <w:link w:val="29"/>
    <w:autoRedefine/>
    <w:semiHidden/>
    <w:qFormat/>
    <w:locked/>
    <w:uiPriority w:val="0"/>
    <w:rPr>
      <w:rFonts w:ascii="Calibri" w:hAnsi="Calibri" w:eastAsia="宋体"/>
      <w:kern w:val="2"/>
      <w:sz w:val="18"/>
      <w:szCs w:val="18"/>
      <w:lang w:val="en-US" w:eastAsia="zh-CN" w:bidi="ar-SA"/>
    </w:rPr>
  </w:style>
  <w:style w:type="character" w:customStyle="1" w:styleId="83">
    <w:name w:val="页脚 Char1"/>
    <w:link w:val="30"/>
    <w:autoRedefine/>
    <w:qFormat/>
    <w:uiPriority w:val="0"/>
    <w:rPr>
      <w:rFonts w:eastAsia="宋体"/>
      <w:kern w:val="2"/>
      <w:sz w:val="18"/>
      <w:szCs w:val="18"/>
      <w:lang w:val="en-US" w:eastAsia="zh-CN" w:bidi="ar-SA"/>
    </w:rPr>
  </w:style>
  <w:style w:type="character" w:customStyle="1" w:styleId="84">
    <w:name w:val="页眉 Char1"/>
    <w:link w:val="31"/>
    <w:autoRedefine/>
    <w:qFormat/>
    <w:uiPriority w:val="0"/>
    <w:rPr>
      <w:rFonts w:eastAsia="宋体"/>
      <w:kern w:val="2"/>
      <w:sz w:val="18"/>
      <w:szCs w:val="18"/>
      <w:lang w:val="en-US" w:eastAsia="zh-CN" w:bidi="ar-SA"/>
    </w:rPr>
  </w:style>
  <w:style w:type="character" w:customStyle="1" w:styleId="85">
    <w:name w:val="正文文本 2 Char"/>
    <w:link w:val="18"/>
    <w:autoRedefine/>
    <w:qFormat/>
    <w:locked/>
    <w:uiPriority w:val="0"/>
    <w:rPr>
      <w:kern w:val="2"/>
      <w:sz w:val="21"/>
      <w:szCs w:val="24"/>
    </w:rPr>
  </w:style>
  <w:style w:type="character" w:customStyle="1" w:styleId="86">
    <w:name w:val="批注主题 Char1"/>
    <w:link w:val="20"/>
    <w:autoRedefine/>
    <w:qFormat/>
    <w:uiPriority w:val="0"/>
    <w:rPr>
      <w:rFonts w:eastAsia="宋体"/>
      <w:b/>
      <w:bCs/>
      <w:kern w:val="2"/>
      <w:sz w:val="21"/>
      <w:szCs w:val="24"/>
      <w:lang w:val="en-US" w:eastAsia="zh-CN" w:bidi="ar-SA"/>
    </w:rPr>
  </w:style>
  <w:style w:type="character" w:customStyle="1" w:styleId="87">
    <w:name w:val="正文首行缩进 2 Char"/>
    <w:basedOn w:val="78"/>
    <w:link w:val="43"/>
    <w:autoRedefine/>
    <w:qFormat/>
    <w:uiPriority w:val="99"/>
    <w:rPr>
      <w:rFonts w:ascii="Calibri" w:hAnsi="Calibri"/>
    </w:rPr>
  </w:style>
  <w:style w:type="character" w:customStyle="1" w:styleId="88">
    <w:name w:val="sidecatalog-dot"/>
    <w:autoRedefine/>
    <w:qFormat/>
    <w:uiPriority w:val="0"/>
    <w:rPr>
      <w:rFonts w:ascii="Times New Roman" w:hAnsi="Times New Roman" w:eastAsia="宋体"/>
    </w:rPr>
  </w:style>
  <w:style w:type="character" w:customStyle="1" w:styleId="89">
    <w:name w:val="sort"/>
    <w:autoRedefine/>
    <w:qFormat/>
    <w:uiPriority w:val="0"/>
    <w:rPr>
      <w:rFonts w:ascii="Times New Roman" w:hAnsi="Times New Roman" w:eastAsia="宋体"/>
      <w:color w:val="FFFFFF"/>
      <w:bdr w:val="single" w:color="auto" w:sz="24" w:space="0"/>
    </w:rPr>
  </w:style>
  <w:style w:type="character" w:customStyle="1" w:styleId="90">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91">
    <w:name w:val="Font Style94"/>
    <w:autoRedefine/>
    <w:unhideWhenUsed/>
    <w:qFormat/>
    <w:uiPriority w:val="0"/>
    <w:rPr>
      <w:rFonts w:hint="eastAsia" w:ascii="Times New Roman" w:hAnsi="Times New Roman" w:eastAsia="Times New Roman"/>
      <w:sz w:val="28"/>
    </w:rPr>
  </w:style>
  <w:style w:type="character" w:customStyle="1" w:styleId="92">
    <w:name w:val="Font Style86"/>
    <w:autoRedefine/>
    <w:unhideWhenUsed/>
    <w:qFormat/>
    <w:uiPriority w:val="0"/>
    <w:rPr>
      <w:rFonts w:hint="eastAsia" w:ascii="黑体" w:hAnsi="黑体" w:eastAsia="黑体"/>
      <w:spacing w:val="10"/>
      <w:sz w:val="30"/>
    </w:rPr>
  </w:style>
  <w:style w:type="character" w:customStyle="1" w:styleId="93">
    <w:name w:val="标题 6 Char"/>
    <w:autoRedefine/>
    <w:qFormat/>
    <w:uiPriority w:val="0"/>
    <w:rPr>
      <w:rFonts w:ascii="Arial" w:hAnsi="Arial" w:eastAsia="黑体"/>
      <w:b/>
      <w:bCs/>
      <w:sz w:val="24"/>
      <w:szCs w:val="24"/>
    </w:rPr>
  </w:style>
  <w:style w:type="character" w:customStyle="1" w:styleId="94">
    <w:name w:val="polysemyred"/>
    <w:autoRedefine/>
    <w:qFormat/>
    <w:uiPriority w:val="0"/>
    <w:rPr>
      <w:rFonts w:ascii="Times New Roman" w:hAnsi="Times New Roman" w:eastAsia="宋体"/>
      <w:color w:val="FF6666"/>
      <w:sz w:val="18"/>
      <w:szCs w:val="18"/>
    </w:rPr>
  </w:style>
  <w:style w:type="character" w:customStyle="1" w:styleId="95">
    <w:name w:val="批注文字 Char"/>
    <w:autoRedefine/>
    <w:qFormat/>
    <w:uiPriority w:val="0"/>
    <w:rPr>
      <w:kern w:val="2"/>
      <w:sz w:val="21"/>
      <w:szCs w:val="24"/>
    </w:rPr>
  </w:style>
  <w:style w:type="character" w:customStyle="1" w:styleId="96">
    <w:name w:val="标题 Char"/>
    <w:autoRedefine/>
    <w:qFormat/>
    <w:uiPriority w:val="0"/>
    <w:rPr>
      <w:rFonts w:ascii="Cambria" w:hAnsi="Cambria"/>
      <w:b/>
      <w:kern w:val="2"/>
      <w:sz w:val="32"/>
      <w:szCs w:val="24"/>
    </w:rPr>
  </w:style>
  <w:style w:type="character" w:customStyle="1" w:styleId="97">
    <w:name w:val="p0 Char Char"/>
    <w:autoRedefine/>
    <w:qFormat/>
    <w:uiPriority w:val="0"/>
    <w:rPr>
      <w:rFonts w:eastAsia="宋体"/>
      <w:kern w:val="2"/>
      <w:sz w:val="21"/>
      <w:szCs w:val="21"/>
      <w:lang w:val="en-US" w:eastAsia="zh-CN" w:bidi="ar-SA"/>
    </w:rPr>
  </w:style>
  <w:style w:type="character" w:customStyle="1" w:styleId="98">
    <w:name w:val="标题 4 Char Char"/>
    <w:autoRedefine/>
    <w:qFormat/>
    <w:uiPriority w:val="0"/>
    <w:rPr>
      <w:rFonts w:ascii="Arial" w:hAnsi="Arial" w:eastAsia="宋体"/>
      <w:b/>
      <w:bCs/>
      <w:kern w:val="2"/>
      <w:sz w:val="21"/>
      <w:szCs w:val="28"/>
      <w:lang w:val="en-US" w:eastAsia="zh-CN" w:bidi="ar-SA"/>
    </w:rPr>
  </w:style>
  <w:style w:type="character" w:customStyle="1" w:styleId="99">
    <w:name w:val="正文文本缩进 3 Char"/>
    <w:autoRedefine/>
    <w:qFormat/>
    <w:uiPriority w:val="0"/>
    <w:rPr>
      <w:rFonts w:ascii="宋体" w:hAnsi="MS Sans Serif"/>
      <w:color w:val="000000"/>
      <w:sz w:val="24"/>
    </w:rPr>
  </w:style>
  <w:style w:type="character" w:customStyle="1" w:styleId="100">
    <w:name w:val="p0 Char"/>
    <w:link w:val="101"/>
    <w:autoRedefine/>
    <w:qFormat/>
    <w:uiPriority w:val="0"/>
    <w:rPr>
      <w:rFonts w:eastAsia="宋体"/>
      <w:sz w:val="21"/>
      <w:szCs w:val="21"/>
      <w:lang w:val="en-US" w:eastAsia="zh-CN" w:bidi="ar-SA"/>
    </w:rPr>
  </w:style>
  <w:style w:type="paragraph" w:customStyle="1" w:styleId="101">
    <w:name w:val="p0"/>
    <w:basedOn w:val="1"/>
    <w:link w:val="100"/>
    <w:autoRedefine/>
    <w:qFormat/>
    <w:uiPriority w:val="0"/>
    <w:pPr>
      <w:widowControl/>
    </w:pPr>
    <w:rPr>
      <w:kern w:val="0"/>
      <w:szCs w:val="21"/>
    </w:rPr>
  </w:style>
  <w:style w:type="character" w:customStyle="1" w:styleId="102">
    <w:name w:val="Font Style115"/>
    <w:autoRedefine/>
    <w:unhideWhenUsed/>
    <w:qFormat/>
    <w:uiPriority w:val="0"/>
    <w:rPr>
      <w:rFonts w:hint="eastAsia" w:ascii="Times New Roman" w:hAnsi="Times New Roman" w:eastAsia="Times New Roman"/>
      <w:sz w:val="16"/>
    </w:rPr>
  </w:style>
  <w:style w:type="character" w:customStyle="1" w:styleId="103">
    <w:name w:val="页眉 Char"/>
    <w:autoRedefine/>
    <w:qFormat/>
    <w:uiPriority w:val="0"/>
    <w:rPr>
      <w:kern w:val="2"/>
      <w:sz w:val="18"/>
      <w:szCs w:val="18"/>
    </w:rPr>
  </w:style>
  <w:style w:type="character" w:customStyle="1" w:styleId="104">
    <w:name w:val="bds_more10"/>
    <w:autoRedefine/>
    <w:qFormat/>
    <w:uiPriority w:val="0"/>
    <w:rPr>
      <w:rFonts w:ascii="Times New Roman" w:hAnsi="Times New Roman" w:eastAsia="宋体"/>
    </w:rPr>
  </w:style>
  <w:style w:type="character" w:customStyle="1" w:styleId="105">
    <w:name w:val="bds_more9"/>
    <w:autoRedefine/>
    <w:qFormat/>
    <w:uiPriority w:val="0"/>
    <w:rPr>
      <w:rFonts w:ascii="Times New Roman" w:hAnsi="Times New Roman" w:eastAsia="宋体"/>
    </w:rPr>
  </w:style>
  <w:style w:type="character" w:customStyle="1" w:styleId="106">
    <w:name w:val="bds_more7"/>
    <w:autoRedefine/>
    <w:qFormat/>
    <w:uiPriority w:val="0"/>
    <w:rPr>
      <w:rFonts w:ascii="Times New Roman" w:hAnsi="Times New Roman" w:eastAsia="宋体"/>
    </w:rPr>
  </w:style>
  <w:style w:type="character" w:customStyle="1" w:styleId="107">
    <w:name w:val="bds_more6"/>
    <w:autoRedefine/>
    <w:qFormat/>
    <w:uiPriority w:val="0"/>
    <w:rPr>
      <w:rFonts w:hint="eastAsia" w:ascii="宋体" w:hAnsi="宋体" w:eastAsia="宋体" w:cs="宋体"/>
    </w:rPr>
  </w:style>
  <w:style w:type="character" w:customStyle="1" w:styleId="108">
    <w:name w:val="Font Style134"/>
    <w:autoRedefine/>
    <w:unhideWhenUsed/>
    <w:qFormat/>
    <w:uiPriority w:val="0"/>
    <w:rPr>
      <w:rFonts w:hint="eastAsia" w:ascii="宋体" w:hAnsi="宋体" w:eastAsia="宋体"/>
      <w:spacing w:val="20"/>
      <w:sz w:val="22"/>
    </w:rPr>
  </w:style>
  <w:style w:type="character" w:customStyle="1" w:styleId="109">
    <w:name w:val="bds_nopic1"/>
    <w:autoRedefine/>
    <w:qFormat/>
    <w:uiPriority w:val="0"/>
    <w:rPr>
      <w:rFonts w:ascii="Times New Roman" w:hAnsi="Times New Roman" w:eastAsia="宋体"/>
    </w:rPr>
  </w:style>
  <w:style w:type="character" w:customStyle="1" w:styleId="110">
    <w:name w:val="sort1"/>
    <w:autoRedefine/>
    <w:qFormat/>
    <w:uiPriority w:val="0"/>
    <w:rPr>
      <w:rFonts w:ascii="Times New Roman" w:hAnsi="Times New Roman" w:eastAsia="宋体"/>
    </w:rPr>
  </w:style>
  <w:style w:type="character" w:customStyle="1" w:styleId="111">
    <w:name w:val="sidecatalog-index1"/>
    <w:autoRedefine/>
    <w:qFormat/>
    <w:uiPriority w:val="0"/>
    <w:rPr>
      <w:rFonts w:ascii="Arial" w:hAnsi="Arial" w:eastAsia="宋体" w:cs="Arial"/>
      <w:b/>
      <w:color w:val="999999"/>
      <w:sz w:val="21"/>
      <w:szCs w:val="21"/>
    </w:rPr>
  </w:style>
  <w:style w:type="character" w:customStyle="1" w:styleId="112">
    <w:name w:val="标题 2 Char"/>
    <w:autoRedefine/>
    <w:qFormat/>
    <w:uiPriority w:val="0"/>
    <w:rPr>
      <w:rFonts w:ascii="Cambria" w:hAnsi="Cambria" w:eastAsia="宋体" w:cs="Times New Roman"/>
      <w:b/>
      <w:bCs/>
      <w:kern w:val="2"/>
      <w:sz w:val="32"/>
      <w:szCs w:val="32"/>
    </w:rPr>
  </w:style>
  <w:style w:type="character" w:customStyle="1" w:styleId="113">
    <w:name w:val="Font Style117"/>
    <w:autoRedefine/>
    <w:unhideWhenUsed/>
    <w:qFormat/>
    <w:uiPriority w:val="0"/>
    <w:rPr>
      <w:rFonts w:hint="eastAsia" w:ascii="宋体" w:hAnsi="宋体" w:eastAsia="宋体"/>
      <w:spacing w:val="20"/>
      <w:sz w:val="24"/>
    </w:rPr>
  </w:style>
  <w:style w:type="character" w:customStyle="1" w:styleId="114">
    <w:name w:val="Font Style133"/>
    <w:autoRedefine/>
    <w:unhideWhenUsed/>
    <w:qFormat/>
    <w:uiPriority w:val="0"/>
    <w:rPr>
      <w:rFonts w:hint="eastAsia" w:ascii="宋体" w:hAnsi="宋体" w:eastAsia="宋体"/>
      <w:spacing w:val="30"/>
      <w:sz w:val="24"/>
    </w:rPr>
  </w:style>
  <w:style w:type="character" w:customStyle="1" w:styleId="115">
    <w:name w:val=" Char Char15"/>
    <w:autoRedefine/>
    <w:qFormat/>
    <w:uiPriority w:val="0"/>
    <w:rPr>
      <w:b/>
      <w:bCs/>
      <w:sz w:val="24"/>
      <w:szCs w:val="24"/>
    </w:rPr>
  </w:style>
  <w:style w:type="character" w:customStyle="1" w:styleId="116">
    <w:name w:val="Font Style128"/>
    <w:autoRedefine/>
    <w:unhideWhenUsed/>
    <w:qFormat/>
    <w:uiPriority w:val="0"/>
    <w:rPr>
      <w:rFonts w:hint="eastAsia" w:ascii="Times New Roman" w:hAnsi="Times New Roman" w:eastAsia="Times New Roman"/>
      <w:sz w:val="16"/>
    </w:rPr>
  </w:style>
  <w:style w:type="character" w:customStyle="1" w:styleId="117">
    <w:name w:val="Font Style122"/>
    <w:autoRedefine/>
    <w:unhideWhenUsed/>
    <w:qFormat/>
    <w:uiPriority w:val="0"/>
    <w:rPr>
      <w:rFonts w:hint="eastAsia" w:ascii="宋体" w:hAnsi="宋体" w:eastAsia="宋体"/>
      <w:spacing w:val="20"/>
      <w:sz w:val="24"/>
    </w:rPr>
  </w:style>
  <w:style w:type="character" w:customStyle="1" w:styleId="118">
    <w:name w:val="Font Style105"/>
    <w:autoRedefine/>
    <w:unhideWhenUsed/>
    <w:qFormat/>
    <w:uiPriority w:val="0"/>
    <w:rPr>
      <w:rFonts w:hint="eastAsia" w:ascii="Times New Roman" w:hAnsi="Times New Roman" w:eastAsia="Times New Roman"/>
      <w:w w:val="60"/>
      <w:sz w:val="26"/>
    </w:rPr>
  </w:style>
  <w:style w:type="character" w:customStyle="1" w:styleId="119">
    <w:name w:val="bds_more8"/>
    <w:autoRedefine/>
    <w:qFormat/>
    <w:uiPriority w:val="0"/>
    <w:rPr>
      <w:rFonts w:ascii="Times New Roman" w:hAnsi="Times New Roman" w:eastAsia="宋体"/>
    </w:rPr>
  </w:style>
  <w:style w:type="character" w:customStyle="1" w:styleId="120">
    <w:name w:val="Font Style123"/>
    <w:autoRedefine/>
    <w:unhideWhenUsed/>
    <w:qFormat/>
    <w:uiPriority w:val="0"/>
    <w:rPr>
      <w:rFonts w:hint="eastAsia" w:ascii="宋体" w:hAnsi="宋体" w:eastAsia="宋体"/>
      <w:b/>
      <w:sz w:val="32"/>
    </w:rPr>
  </w:style>
  <w:style w:type="character" w:customStyle="1" w:styleId="121">
    <w:name w:val="Font Style119"/>
    <w:autoRedefine/>
    <w:unhideWhenUsed/>
    <w:qFormat/>
    <w:uiPriority w:val="0"/>
    <w:rPr>
      <w:rFonts w:hint="eastAsia" w:ascii="宋体" w:hAnsi="宋体" w:eastAsia="宋体"/>
      <w:sz w:val="24"/>
    </w:rPr>
  </w:style>
  <w:style w:type="character" w:customStyle="1" w:styleId="122">
    <w:name w:val="批注文字 Char Char"/>
    <w:autoRedefine/>
    <w:qFormat/>
    <w:uiPriority w:val="0"/>
    <w:rPr>
      <w:kern w:val="2"/>
      <w:sz w:val="21"/>
      <w:szCs w:val="24"/>
      <w:lang w:bidi="ar-SA"/>
    </w:rPr>
  </w:style>
  <w:style w:type="character" w:customStyle="1" w:styleId="123">
    <w:name w:val="bds_nopic2"/>
    <w:autoRedefine/>
    <w:qFormat/>
    <w:uiPriority w:val="0"/>
    <w:rPr>
      <w:rFonts w:ascii="Times New Roman" w:hAnsi="Times New Roman" w:eastAsia="宋体"/>
    </w:rPr>
  </w:style>
  <w:style w:type="character" w:customStyle="1" w:styleId="124">
    <w:name w:val="desc"/>
    <w:autoRedefine/>
    <w:qFormat/>
    <w:uiPriority w:val="0"/>
    <w:rPr>
      <w:rFonts w:ascii="Times New Roman" w:hAnsi="Times New Roman" w:eastAsia="宋体"/>
      <w:color w:val="000000"/>
      <w:sz w:val="18"/>
      <w:szCs w:val="18"/>
    </w:rPr>
  </w:style>
  <w:style w:type="character" w:customStyle="1" w:styleId="125">
    <w:name w:val="Font Style126"/>
    <w:autoRedefine/>
    <w:unhideWhenUsed/>
    <w:qFormat/>
    <w:uiPriority w:val="0"/>
    <w:rPr>
      <w:rFonts w:hint="eastAsia" w:ascii="宋体" w:hAnsi="宋体" w:eastAsia="宋体"/>
      <w:b/>
      <w:spacing w:val="-30"/>
      <w:sz w:val="28"/>
    </w:rPr>
  </w:style>
  <w:style w:type="character" w:customStyle="1" w:styleId="126">
    <w:name w:val="Font Style104"/>
    <w:autoRedefine/>
    <w:unhideWhenUsed/>
    <w:qFormat/>
    <w:uiPriority w:val="0"/>
    <w:rPr>
      <w:rFonts w:hint="eastAsia" w:ascii="宋体" w:hAnsi="宋体" w:eastAsia="宋体"/>
      <w:spacing w:val="30"/>
      <w:sz w:val="18"/>
    </w:rPr>
  </w:style>
  <w:style w:type="character" w:customStyle="1" w:styleId="127">
    <w:name w:val="标题 3 Char"/>
    <w:autoRedefine/>
    <w:qFormat/>
    <w:uiPriority w:val="0"/>
    <w:rPr>
      <w:b/>
      <w:bCs/>
      <w:sz w:val="24"/>
      <w:szCs w:val="24"/>
    </w:rPr>
  </w:style>
  <w:style w:type="character" w:customStyle="1" w:styleId="128">
    <w:name w:val="日期 Char2"/>
    <w:autoRedefine/>
    <w:qFormat/>
    <w:uiPriority w:val="0"/>
    <w:rPr>
      <w:rFonts w:eastAsia="宋体"/>
      <w:kern w:val="2"/>
      <w:sz w:val="24"/>
      <w:lang w:val="en-US" w:eastAsia="zh-CN" w:bidi="ar-SA"/>
    </w:rPr>
  </w:style>
  <w:style w:type="character" w:customStyle="1" w:styleId="129">
    <w:name w:val=" Char Char6"/>
    <w:autoRedefine/>
    <w:qFormat/>
    <w:uiPriority w:val="0"/>
    <w:rPr>
      <w:rFonts w:ascii="Arial" w:hAnsi="Arial" w:eastAsia="黑体"/>
      <w:sz w:val="24"/>
      <w:szCs w:val="24"/>
      <w:lang w:val="en-US" w:eastAsia="zh-CN" w:bidi="ar-SA"/>
    </w:rPr>
  </w:style>
  <w:style w:type="character" w:customStyle="1" w:styleId="130">
    <w:name w:val="纯文本 字符"/>
    <w:autoRedefine/>
    <w:qFormat/>
    <w:locked/>
    <w:uiPriority w:val="0"/>
    <w:rPr>
      <w:rFonts w:ascii="宋体" w:hAnsi="Courier New" w:eastAsia="宋体" w:cs="Courier New"/>
      <w:szCs w:val="21"/>
    </w:rPr>
  </w:style>
  <w:style w:type="character" w:customStyle="1" w:styleId="131">
    <w:name w:val="bds_nopic"/>
    <w:autoRedefine/>
    <w:qFormat/>
    <w:uiPriority w:val="0"/>
    <w:rPr>
      <w:rFonts w:ascii="Times New Roman" w:hAnsi="Times New Roman" w:eastAsia="宋体"/>
    </w:rPr>
  </w:style>
  <w:style w:type="character" w:customStyle="1" w:styleId="132">
    <w:name w:val="页脚 Char"/>
    <w:autoRedefine/>
    <w:qFormat/>
    <w:uiPriority w:val="99"/>
    <w:rPr>
      <w:kern w:val="2"/>
      <w:sz w:val="18"/>
      <w:szCs w:val="18"/>
    </w:rPr>
  </w:style>
  <w:style w:type="character" w:customStyle="1" w:styleId="133">
    <w:name w:val="日期 Char"/>
    <w:autoRedefine/>
    <w:qFormat/>
    <w:uiPriority w:val="0"/>
    <w:rPr>
      <w:kern w:val="2"/>
      <w:sz w:val="21"/>
      <w:szCs w:val="24"/>
    </w:rPr>
  </w:style>
  <w:style w:type="character" w:customStyle="1" w:styleId="134">
    <w:name w:val="lemmatitleh12"/>
    <w:autoRedefine/>
    <w:qFormat/>
    <w:uiPriority w:val="0"/>
    <w:rPr>
      <w:rFonts w:ascii="Times New Roman" w:hAnsi="Times New Roman" w:eastAsia="宋体"/>
    </w:rPr>
  </w:style>
  <w:style w:type="character" w:customStyle="1" w:styleId="135">
    <w:name w:val="标题 1 Char"/>
    <w:autoRedefine/>
    <w:qFormat/>
    <w:uiPriority w:val="0"/>
    <w:rPr>
      <w:rFonts w:ascii="Cambria" w:hAnsi="Cambria"/>
      <w:b/>
      <w:bCs/>
      <w:kern w:val="32"/>
      <w:sz w:val="32"/>
      <w:szCs w:val="32"/>
    </w:rPr>
  </w:style>
  <w:style w:type="character" w:customStyle="1" w:styleId="136">
    <w:name w:val="polysemyexp"/>
    <w:autoRedefine/>
    <w:qFormat/>
    <w:uiPriority w:val="0"/>
    <w:rPr>
      <w:rFonts w:ascii="Times New Roman" w:hAnsi="Times New Roman" w:eastAsia="宋体"/>
      <w:color w:val="AAAAAA"/>
      <w:sz w:val="18"/>
      <w:szCs w:val="18"/>
    </w:rPr>
  </w:style>
  <w:style w:type="character" w:customStyle="1" w:styleId="137">
    <w:name w:val="正文文本缩进 3 Char2"/>
    <w:autoRedefine/>
    <w:qFormat/>
    <w:uiPriority w:val="0"/>
    <w:rPr>
      <w:rFonts w:eastAsia="宋体"/>
      <w:kern w:val="2"/>
      <w:sz w:val="16"/>
      <w:szCs w:val="16"/>
      <w:lang w:val="en-US" w:eastAsia="zh-CN" w:bidi="ar-SA"/>
    </w:rPr>
  </w:style>
  <w:style w:type="character" w:customStyle="1" w:styleId="138">
    <w:name w:val="标题 9 Char"/>
    <w:autoRedefine/>
    <w:qFormat/>
    <w:uiPriority w:val="0"/>
    <w:rPr>
      <w:rFonts w:ascii="Arial" w:hAnsi="Arial" w:eastAsia="黑体"/>
      <w:sz w:val="21"/>
      <w:szCs w:val="21"/>
    </w:rPr>
  </w:style>
  <w:style w:type="character" w:customStyle="1" w:styleId="139">
    <w:name w:val="Font Style124"/>
    <w:autoRedefine/>
    <w:unhideWhenUsed/>
    <w:qFormat/>
    <w:uiPriority w:val="0"/>
    <w:rPr>
      <w:rFonts w:hint="eastAsia" w:ascii="宋体" w:hAnsi="宋体" w:eastAsia="宋体"/>
      <w:spacing w:val="30"/>
      <w:sz w:val="24"/>
    </w:rPr>
  </w:style>
  <w:style w:type="character" w:customStyle="1" w:styleId="140">
    <w:name w:val="selected"/>
    <w:basedOn w:val="46"/>
    <w:autoRedefine/>
    <w:qFormat/>
    <w:uiPriority w:val="0"/>
  </w:style>
  <w:style w:type="character" w:customStyle="1" w:styleId="141">
    <w:name w:val=" Char Char17"/>
    <w:autoRedefine/>
    <w:qFormat/>
    <w:uiPriority w:val="0"/>
    <w:rPr>
      <w:rFonts w:ascii="宋体" w:hAnsi="Times New Roman" w:eastAsia="宋体"/>
      <w:b/>
      <w:sz w:val="28"/>
      <w:lang w:val="en-US" w:eastAsia="zh-CN" w:bidi="ar-SA"/>
    </w:rPr>
  </w:style>
  <w:style w:type="character" w:customStyle="1" w:styleId="142">
    <w:name w:val="hover7"/>
    <w:basedOn w:val="46"/>
    <w:autoRedefine/>
    <w:qFormat/>
    <w:uiPriority w:val="0"/>
    <w:rPr>
      <w:color w:val="000000"/>
      <w:shd w:val="clear" w:color="auto" w:fill="FFFFFF"/>
    </w:rPr>
  </w:style>
  <w:style w:type="character" w:customStyle="1" w:styleId="143">
    <w:name w:val=" Char Char14"/>
    <w:autoRedefine/>
    <w:qFormat/>
    <w:uiPriority w:val="0"/>
    <w:rPr>
      <w:rFonts w:ascii="Arial" w:hAnsi="Arial" w:eastAsia="黑体"/>
      <w:b/>
      <w:bCs/>
      <w:sz w:val="28"/>
      <w:szCs w:val="28"/>
      <w:lang w:val="en-US" w:eastAsia="zh-CN" w:bidi="ar-SA"/>
    </w:rPr>
  </w:style>
  <w:style w:type="character" w:customStyle="1" w:styleId="144">
    <w:name w:val="标题 5 Char"/>
    <w:autoRedefine/>
    <w:qFormat/>
    <w:uiPriority w:val="0"/>
    <w:rPr>
      <w:b/>
      <w:bCs/>
      <w:kern w:val="2"/>
      <w:sz w:val="28"/>
      <w:szCs w:val="28"/>
    </w:rPr>
  </w:style>
  <w:style w:type="character" w:customStyle="1" w:styleId="145">
    <w:name w:val="Font Style90"/>
    <w:autoRedefine/>
    <w:unhideWhenUsed/>
    <w:qFormat/>
    <w:uiPriority w:val="0"/>
    <w:rPr>
      <w:rFonts w:hint="eastAsia" w:ascii="宋体" w:hAnsi="宋体" w:eastAsia="宋体"/>
      <w:b/>
      <w:spacing w:val="-20"/>
      <w:sz w:val="40"/>
    </w:rPr>
  </w:style>
  <w:style w:type="character" w:customStyle="1" w:styleId="146">
    <w:name w:val="Font Style121"/>
    <w:autoRedefine/>
    <w:unhideWhenUsed/>
    <w:qFormat/>
    <w:uiPriority w:val="0"/>
    <w:rPr>
      <w:rFonts w:hint="eastAsia" w:ascii="宋体" w:hAnsi="宋体" w:eastAsia="宋体"/>
      <w:spacing w:val="-10"/>
      <w:sz w:val="30"/>
    </w:rPr>
  </w:style>
  <w:style w:type="character" w:customStyle="1" w:styleId="147">
    <w:name w:val="wx-space1"/>
    <w:basedOn w:val="46"/>
    <w:autoRedefine/>
    <w:qFormat/>
    <w:uiPriority w:val="0"/>
  </w:style>
  <w:style w:type="character" w:customStyle="1" w:styleId="148">
    <w:name w:val="morelink-item"/>
    <w:autoRedefine/>
    <w:qFormat/>
    <w:uiPriority w:val="0"/>
    <w:rPr>
      <w:rFonts w:ascii="Times New Roman" w:hAnsi="Times New Roman" w:eastAsia="宋体"/>
    </w:rPr>
  </w:style>
  <w:style w:type="character" w:customStyle="1" w:styleId="149">
    <w:name w:val="Font Style131"/>
    <w:autoRedefine/>
    <w:unhideWhenUsed/>
    <w:qFormat/>
    <w:uiPriority w:val="0"/>
    <w:rPr>
      <w:rFonts w:hint="eastAsia" w:ascii="Times New Roman" w:hAnsi="Times New Roman" w:eastAsia="Times New Roman"/>
      <w:sz w:val="18"/>
    </w:rPr>
  </w:style>
  <w:style w:type="character" w:customStyle="1" w:styleId="150">
    <w:name w:val=" Char Char16"/>
    <w:autoRedefine/>
    <w:qFormat/>
    <w:uiPriority w:val="0"/>
    <w:rPr>
      <w:rFonts w:ascii="宋体" w:hAnsi="Times New Roman" w:eastAsia="宋体"/>
      <w:b/>
      <w:sz w:val="24"/>
      <w:lang w:val="en-US" w:eastAsia="zh-CN" w:bidi="ar-SA"/>
    </w:rPr>
  </w:style>
  <w:style w:type="character" w:customStyle="1" w:styleId="151">
    <w:name w:val="批注主题 Char"/>
    <w:autoRedefine/>
    <w:qFormat/>
    <w:uiPriority w:val="0"/>
    <w:rPr>
      <w:b/>
      <w:bCs/>
      <w:kern w:val="2"/>
      <w:sz w:val="21"/>
      <w:szCs w:val="24"/>
    </w:rPr>
  </w:style>
  <w:style w:type="character" w:customStyle="1" w:styleId="152">
    <w:name w:val="批注框文本 Char"/>
    <w:autoRedefine/>
    <w:qFormat/>
    <w:uiPriority w:val="0"/>
    <w:rPr>
      <w:kern w:val="2"/>
      <w:sz w:val="18"/>
      <w:szCs w:val="18"/>
    </w:rPr>
  </w:style>
  <w:style w:type="character" w:customStyle="1" w:styleId="153">
    <w:name w:val="bsharetext"/>
    <w:basedOn w:val="46"/>
    <w:autoRedefine/>
    <w:qFormat/>
    <w:uiPriority w:val="0"/>
  </w:style>
  <w:style w:type="character" w:customStyle="1" w:styleId="154">
    <w:name w:val="sidecatalog-dot1"/>
    <w:autoRedefine/>
    <w:qFormat/>
    <w:uiPriority w:val="0"/>
    <w:rPr>
      <w:rFonts w:ascii="Times New Roman" w:hAnsi="Times New Roman" w:eastAsia="宋体"/>
    </w:rPr>
  </w:style>
  <w:style w:type="character" w:customStyle="1" w:styleId="155">
    <w:name w:val="sidecatalog-index2"/>
    <w:autoRedefine/>
    <w:qFormat/>
    <w:uiPriority w:val="0"/>
    <w:rPr>
      <w:rFonts w:ascii="Arail" w:hAnsi="Arail" w:eastAsia="Arail" w:cs="Arail"/>
      <w:color w:val="999999"/>
      <w:sz w:val="21"/>
      <w:szCs w:val="21"/>
    </w:rPr>
  </w:style>
  <w:style w:type="character" w:customStyle="1" w:styleId="156">
    <w:name w:val="mini-outputtext1"/>
    <w:basedOn w:val="46"/>
    <w:autoRedefine/>
    <w:qFormat/>
    <w:uiPriority w:val="0"/>
  </w:style>
  <w:style w:type="character" w:customStyle="1" w:styleId="157">
    <w:name w:val="标题 Char1"/>
    <w:autoRedefine/>
    <w:qFormat/>
    <w:uiPriority w:val="0"/>
    <w:rPr>
      <w:rFonts w:ascii="Cambria" w:hAnsi="Cambria" w:eastAsia="宋体" w:cs="Times New Roman"/>
      <w:b/>
      <w:bCs/>
      <w:sz w:val="32"/>
      <w:szCs w:val="32"/>
    </w:rPr>
  </w:style>
  <w:style w:type="character" w:customStyle="1" w:styleId="158">
    <w:name w:val="Font Style116"/>
    <w:autoRedefine/>
    <w:unhideWhenUsed/>
    <w:qFormat/>
    <w:uiPriority w:val="0"/>
    <w:rPr>
      <w:rFonts w:hint="eastAsia" w:ascii="宋体" w:hAnsi="宋体" w:eastAsia="宋体"/>
      <w:spacing w:val="-20"/>
      <w:sz w:val="24"/>
    </w:rPr>
  </w:style>
  <w:style w:type="character" w:customStyle="1" w:styleId="159">
    <w:name w:val="样式2 Char Char"/>
    <w:autoRedefine/>
    <w:qFormat/>
    <w:uiPriority w:val="0"/>
    <w:rPr>
      <w:rFonts w:eastAsia="宋体"/>
      <w:kern w:val="2"/>
      <w:sz w:val="18"/>
      <w:szCs w:val="18"/>
      <w:lang w:val="en-US" w:eastAsia="zh-CN" w:bidi="ar-SA"/>
    </w:rPr>
  </w:style>
  <w:style w:type="character" w:customStyle="1" w:styleId="160">
    <w:name w:val="wx-space"/>
    <w:basedOn w:val="46"/>
    <w:autoRedefine/>
    <w:qFormat/>
    <w:uiPriority w:val="0"/>
  </w:style>
  <w:style w:type="character" w:customStyle="1" w:styleId="161">
    <w:name w:val="selected1"/>
    <w:basedOn w:val="46"/>
    <w:autoRedefine/>
    <w:qFormat/>
    <w:uiPriority w:val="0"/>
  </w:style>
  <w:style w:type="character" w:customStyle="1" w:styleId="162">
    <w:name w:val="纯文本 Char2"/>
    <w:autoRedefine/>
    <w:qFormat/>
    <w:uiPriority w:val="0"/>
    <w:rPr>
      <w:rFonts w:ascii="宋体" w:hAnsi="Courier New" w:eastAsia="宋体"/>
      <w:kern w:val="2"/>
      <w:sz w:val="21"/>
      <w:szCs w:val="21"/>
      <w:lang w:val="en-US" w:eastAsia="zh-CN" w:bidi="ar-SA"/>
    </w:rPr>
  </w:style>
  <w:style w:type="character" w:customStyle="1" w:styleId="163">
    <w:name w:val="标题 7 Char"/>
    <w:autoRedefine/>
    <w:qFormat/>
    <w:uiPriority w:val="0"/>
    <w:rPr>
      <w:b/>
      <w:bCs/>
      <w:sz w:val="24"/>
      <w:szCs w:val="24"/>
    </w:rPr>
  </w:style>
  <w:style w:type="character" w:customStyle="1" w:styleId="164">
    <w:name w:val="标题 8 Char"/>
    <w:autoRedefine/>
    <w:qFormat/>
    <w:uiPriority w:val="0"/>
    <w:rPr>
      <w:rFonts w:ascii="Arial" w:hAnsi="Arial" w:eastAsia="黑体"/>
      <w:sz w:val="24"/>
      <w:szCs w:val="24"/>
    </w:rPr>
  </w:style>
  <w:style w:type="character" w:customStyle="1" w:styleId="165">
    <w:name w:val="plus"/>
    <w:autoRedefine/>
    <w:qFormat/>
    <w:uiPriority w:val="0"/>
    <w:rPr>
      <w:rFonts w:ascii="Times New Roman" w:hAnsi="Times New Roman" w:eastAsia="宋体"/>
      <w:b/>
      <w:vanish/>
      <w:color w:val="1F8DEF"/>
      <w:sz w:val="24"/>
      <w:szCs w:val="24"/>
    </w:rPr>
  </w:style>
  <w:style w:type="character" w:customStyle="1" w:styleId="166">
    <w:name w:val="Font Style127"/>
    <w:autoRedefine/>
    <w:unhideWhenUsed/>
    <w:qFormat/>
    <w:uiPriority w:val="0"/>
    <w:rPr>
      <w:rFonts w:hint="eastAsia" w:ascii="Times New Roman" w:hAnsi="Times New Roman" w:eastAsia="Times New Roman"/>
      <w:sz w:val="20"/>
    </w:rPr>
  </w:style>
  <w:style w:type="character" w:customStyle="1" w:styleId="167">
    <w:name w:val="标题 4 Char"/>
    <w:autoRedefine/>
    <w:qFormat/>
    <w:uiPriority w:val="0"/>
    <w:rPr>
      <w:rFonts w:ascii="Arial" w:hAnsi="Arial" w:eastAsia="宋体" w:cs="Times New Roman"/>
      <w:b/>
      <w:bCs/>
      <w:szCs w:val="28"/>
    </w:rPr>
  </w:style>
  <w:style w:type="character" w:customStyle="1" w:styleId="168">
    <w:name w:val="Font Style125"/>
    <w:autoRedefine/>
    <w:unhideWhenUsed/>
    <w:qFormat/>
    <w:uiPriority w:val="0"/>
    <w:rPr>
      <w:rFonts w:hint="eastAsia" w:ascii="宋体" w:hAnsi="宋体" w:eastAsia="宋体"/>
      <w:b/>
      <w:sz w:val="26"/>
    </w:rPr>
  </w:style>
  <w:style w:type="paragraph" w:customStyle="1" w:styleId="169">
    <w:name w:val="Style47"/>
    <w:basedOn w:val="1"/>
    <w:autoRedefine/>
    <w:unhideWhenUsed/>
    <w:qFormat/>
    <w:uiPriority w:val="0"/>
  </w:style>
  <w:style w:type="paragraph" w:customStyle="1" w:styleId="170">
    <w:name w:val="Style80"/>
    <w:basedOn w:val="1"/>
    <w:autoRedefine/>
    <w:unhideWhenUsed/>
    <w:qFormat/>
    <w:uiPriority w:val="0"/>
  </w:style>
  <w:style w:type="paragraph" w:customStyle="1" w:styleId="171">
    <w:name w:val="Style74"/>
    <w:basedOn w:val="1"/>
    <w:autoRedefine/>
    <w:unhideWhenUsed/>
    <w:qFormat/>
    <w:uiPriority w:val="0"/>
    <w:pPr>
      <w:spacing w:line="437" w:lineRule="exact"/>
    </w:pPr>
  </w:style>
  <w:style w:type="paragraph" w:customStyle="1" w:styleId="172">
    <w:name w:val="Char1 Char Char Char 字元 Char Char 字元 Char 字元 Char1 Char Char Char"/>
    <w:basedOn w:val="1"/>
    <w:autoRedefine/>
    <w:qFormat/>
    <w:uiPriority w:val="0"/>
    <w:rPr>
      <w:szCs w:val="20"/>
    </w:rPr>
  </w:style>
  <w:style w:type="paragraph" w:customStyle="1" w:styleId="173">
    <w:name w:val="样式 标题 2 + 宋体 五号 行距: 单倍行距"/>
    <w:basedOn w:val="3"/>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74">
    <w:name w:val="Style53"/>
    <w:basedOn w:val="1"/>
    <w:autoRedefine/>
    <w:unhideWhenUsed/>
    <w:qFormat/>
    <w:uiPriority w:val="0"/>
    <w:pPr>
      <w:spacing w:line="533" w:lineRule="exact"/>
      <w:ind w:firstLine="581"/>
    </w:pPr>
  </w:style>
  <w:style w:type="paragraph" w:customStyle="1" w:styleId="175">
    <w:name w:val="Style61"/>
    <w:basedOn w:val="1"/>
    <w:autoRedefine/>
    <w:unhideWhenUsed/>
    <w:qFormat/>
    <w:uiPriority w:val="0"/>
  </w:style>
  <w:style w:type="paragraph" w:customStyle="1" w:styleId="176">
    <w:name w:val="Style12"/>
    <w:basedOn w:val="1"/>
    <w:autoRedefine/>
    <w:unhideWhenUsed/>
    <w:qFormat/>
    <w:uiPriority w:val="0"/>
    <w:pPr>
      <w:spacing w:line="564" w:lineRule="exact"/>
      <w:ind w:hanging="115"/>
    </w:pPr>
  </w:style>
  <w:style w:type="paragraph" w:customStyle="1" w:styleId="177">
    <w:name w:val="NO3"/>
    <w:basedOn w:val="1"/>
    <w:autoRedefine/>
    <w:qFormat/>
    <w:uiPriority w:val="0"/>
    <w:pPr>
      <w:tabs>
        <w:tab w:val="left" w:pos="907"/>
      </w:tabs>
      <w:spacing w:line="360" w:lineRule="auto"/>
    </w:pPr>
    <w:rPr>
      <w:rFonts w:ascii="宋体" w:hAnsi="宋体"/>
      <w:sz w:val="24"/>
    </w:rPr>
  </w:style>
  <w:style w:type="paragraph" w:customStyle="1" w:styleId="178">
    <w:name w:val="Char"/>
    <w:basedOn w:val="1"/>
    <w:autoRedefine/>
    <w:qFormat/>
    <w:uiPriority w:val="0"/>
    <w:pPr>
      <w:tabs>
        <w:tab w:val="left" w:pos="360"/>
      </w:tabs>
      <w:ind w:left="360" w:hanging="360" w:hangingChars="200"/>
    </w:pPr>
    <w:rPr>
      <w:sz w:val="24"/>
    </w:rPr>
  </w:style>
  <w:style w:type="paragraph" w:customStyle="1" w:styleId="179">
    <w:name w:val="1 Char Char Char Char"/>
    <w:basedOn w:val="1"/>
    <w:autoRedefine/>
    <w:qFormat/>
    <w:uiPriority w:val="0"/>
  </w:style>
  <w:style w:type="paragraph" w:customStyle="1" w:styleId="180">
    <w:name w:val="p16"/>
    <w:basedOn w:val="1"/>
    <w:autoRedefine/>
    <w:qFormat/>
    <w:uiPriority w:val="0"/>
    <w:pPr>
      <w:widowControl/>
      <w:jc w:val="left"/>
    </w:pPr>
    <w:rPr>
      <w:kern w:val="0"/>
      <w:szCs w:val="21"/>
    </w:rPr>
  </w:style>
  <w:style w:type="paragraph" w:customStyle="1" w:styleId="181">
    <w:name w:val="Style69"/>
    <w:basedOn w:val="1"/>
    <w:autoRedefine/>
    <w:unhideWhenUsed/>
    <w:qFormat/>
    <w:uiPriority w:val="0"/>
    <w:pPr>
      <w:spacing w:line="557" w:lineRule="exact"/>
      <w:ind w:firstLine="1666"/>
    </w:pPr>
  </w:style>
  <w:style w:type="paragraph" w:customStyle="1" w:styleId="182">
    <w:name w:val="标题3"/>
    <w:basedOn w:val="2"/>
    <w:autoRedefine/>
    <w:qFormat/>
    <w:uiPriority w:val="0"/>
    <w:pPr>
      <w:spacing w:before="156" w:beforeLines="50" w:after="156" w:afterLines="50" w:line="400" w:lineRule="exact"/>
      <w:jc w:val="both"/>
    </w:pPr>
    <w:rPr>
      <w:rFonts w:ascii="宋体" w:hAnsi="宋体"/>
      <w:kern w:val="32"/>
      <w:szCs w:val="32"/>
    </w:rPr>
  </w:style>
  <w:style w:type="paragraph" w:customStyle="1" w:styleId="183">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84">
    <w:name w:val="Style9"/>
    <w:basedOn w:val="1"/>
    <w:autoRedefine/>
    <w:unhideWhenUsed/>
    <w:qFormat/>
    <w:uiPriority w:val="0"/>
  </w:style>
  <w:style w:type="paragraph" w:customStyle="1" w:styleId="185">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6">
    <w:name w:val="样式1"/>
    <w:basedOn w:val="1"/>
    <w:autoRedefine/>
    <w:qFormat/>
    <w:uiPriority w:val="0"/>
    <w:pPr>
      <w:tabs>
        <w:tab w:val="left" w:pos="360"/>
      </w:tabs>
      <w:adjustRightInd w:val="0"/>
      <w:ind w:left="360" w:hanging="360"/>
      <w:textAlignment w:val="baseline"/>
    </w:pPr>
    <w:rPr>
      <w:rFonts w:ascii="宋体" w:hAnsi="宋体"/>
      <w:kern w:val="0"/>
      <w:szCs w:val="21"/>
    </w:rPr>
  </w:style>
  <w:style w:type="paragraph" w:customStyle="1" w:styleId="187">
    <w:name w:val="Style5"/>
    <w:basedOn w:val="1"/>
    <w:autoRedefine/>
    <w:unhideWhenUsed/>
    <w:qFormat/>
    <w:uiPriority w:val="0"/>
  </w:style>
  <w:style w:type="paragraph" w:customStyle="1" w:styleId="188">
    <w:name w:val="表格文字"/>
    <w:basedOn w:val="1"/>
    <w:autoRedefine/>
    <w:qFormat/>
    <w:uiPriority w:val="0"/>
    <w:pPr>
      <w:spacing w:before="25" w:after="25"/>
      <w:jc w:val="left"/>
    </w:pPr>
    <w:rPr>
      <w:spacing w:val="10"/>
      <w:kern w:val="0"/>
      <w:sz w:val="24"/>
      <w:szCs w:val="24"/>
    </w:rPr>
  </w:style>
  <w:style w:type="paragraph" w:customStyle="1" w:styleId="189">
    <w:name w:val="Style34"/>
    <w:basedOn w:val="1"/>
    <w:autoRedefine/>
    <w:unhideWhenUsed/>
    <w:qFormat/>
    <w:uiPriority w:val="0"/>
    <w:pPr>
      <w:spacing w:line="375" w:lineRule="exact"/>
    </w:pPr>
  </w:style>
  <w:style w:type="paragraph" w:customStyle="1" w:styleId="190">
    <w:name w:val="Style27"/>
    <w:basedOn w:val="1"/>
    <w:autoRedefine/>
    <w:unhideWhenUsed/>
    <w:qFormat/>
    <w:uiPriority w:val="0"/>
  </w:style>
  <w:style w:type="paragraph" w:customStyle="1" w:styleId="191">
    <w:name w:val=" 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92">
    <w:name w:val="Style62"/>
    <w:basedOn w:val="1"/>
    <w:autoRedefine/>
    <w:unhideWhenUsed/>
    <w:qFormat/>
    <w:uiPriority w:val="0"/>
  </w:style>
  <w:style w:type="paragraph" w:customStyle="1" w:styleId="193">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4">
    <w:name w:val="Style64"/>
    <w:basedOn w:val="1"/>
    <w:autoRedefine/>
    <w:unhideWhenUsed/>
    <w:qFormat/>
    <w:uiPriority w:val="0"/>
  </w:style>
  <w:style w:type="paragraph" w:customStyle="1" w:styleId="195">
    <w:name w:val="Style71"/>
    <w:basedOn w:val="1"/>
    <w:autoRedefine/>
    <w:unhideWhenUsed/>
    <w:qFormat/>
    <w:uiPriority w:val="0"/>
    <w:pPr>
      <w:spacing w:line="538" w:lineRule="exact"/>
      <w:ind w:firstLine="101"/>
    </w:pPr>
  </w:style>
  <w:style w:type="paragraph" w:customStyle="1" w:styleId="196">
    <w:name w:val="Style54"/>
    <w:basedOn w:val="1"/>
    <w:autoRedefine/>
    <w:unhideWhenUsed/>
    <w:qFormat/>
    <w:uiPriority w:val="0"/>
  </w:style>
  <w:style w:type="paragraph" w:styleId="197">
    <w:name w:val="List Paragraph"/>
    <w:basedOn w:val="1"/>
    <w:autoRedefine/>
    <w:qFormat/>
    <w:uiPriority w:val="0"/>
    <w:pPr>
      <w:ind w:firstLine="420" w:firstLineChars="200"/>
    </w:pPr>
    <w:rPr>
      <w:rFonts w:ascii="Calibri" w:hAnsi="Calibri"/>
      <w:szCs w:val="22"/>
    </w:rPr>
  </w:style>
  <w:style w:type="paragraph" w:customStyle="1" w:styleId="198">
    <w:name w:val="Style4"/>
    <w:basedOn w:val="1"/>
    <w:autoRedefine/>
    <w:unhideWhenUsed/>
    <w:qFormat/>
    <w:uiPriority w:val="0"/>
  </w:style>
  <w:style w:type="paragraph" w:customStyle="1" w:styleId="199">
    <w:name w:val="Style59"/>
    <w:basedOn w:val="1"/>
    <w:autoRedefine/>
    <w:unhideWhenUsed/>
    <w:qFormat/>
    <w:uiPriority w:val="0"/>
  </w:style>
  <w:style w:type="paragraph" w:customStyle="1" w:styleId="200">
    <w:name w:val="Style42"/>
    <w:basedOn w:val="1"/>
    <w:autoRedefine/>
    <w:unhideWhenUsed/>
    <w:qFormat/>
    <w:uiPriority w:val="0"/>
    <w:pPr>
      <w:spacing w:line="542" w:lineRule="exact"/>
      <w:ind w:firstLine="547"/>
    </w:pPr>
  </w:style>
  <w:style w:type="paragraph" w:customStyle="1" w:styleId="201">
    <w:name w:val="Style10"/>
    <w:basedOn w:val="1"/>
    <w:autoRedefine/>
    <w:unhideWhenUsed/>
    <w:qFormat/>
    <w:uiPriority w:val="0"/>
    <w:pPr>
      <w:spacing w:line="538" w:lineRule="exact"/>
    </w:pPr>
  </w:style>
  <w:style w:type="paragraph" w:customStyle="1" w:styleId="202">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3">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04">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05">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6">
    <w:name w:val="Style24"/>
    <w:basedOn w:val="1"/>
    <w:autoRedefine/>
    <w:unhideWhenUsed/>
    <w:qFormat/>
    <w:uiPriority w:val="0"/>
  </w:style>
  <w:style w:type="paragraph" w:customStyle="1" w:styleId="207">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8">
    <w:name w:val="Style67"/>
    <w:basedOn w:val="1"/>
    <w:autoRedefine/>
    <w:unhideWhenUsed/>
    <w:qFormat/>
    <w:uiPriority w:val="0"/>
    <w:pPr>
      <w:spacing w:line="566" w:lineRule="exact"/>
      <w:ind w:firstLine="552"/>
    </w:pPr>
  </w:style>
  <w:style w:type="paragraph" w:customStyle="1" w:styleId="209">
    <w:name w:val="Style56"/>
    <w:basedOn w:val="1"/>
    <w:autoRedefine/>
    <w:unhideWhenUsed/>
    <w:qFormat/>
    <w:uiPriority w:val="0"/>
  </w:style>
  <w:style w:type="paragraph" w:customStyle="1" w:styleId="210">
    <w:name w:val="Style23"/>
    <w:basedOn w:val="1"/>
    <w:autoRedefine/>
    <w:unhideWhenUsed/>
    <w:qFormat/>
    <w:uiPriority w:val="0"/>
  </w:style>
  <w:style w:type="paragraph" w:customStyle="1" w:styleId="211">
    <w:name w:val="Style13"/>
    <w:basedOn w:val="1"/>
    <w:autoRedefine/>
    <w:unhideWhenUsed/>
    <w:qFormat/>
    <w:uiPriority w:val="0"/>
  </w:style>
  <w:style w:type="paragraph" w:customStyle="1" w:styleId="212">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13">
    <w:name w:val="Style46"/>
    <w:basedOn w:val="1"/>
    <w:autoRedefine/>
    <w:unhideWhenUsed/>
    <w:qFormat/>
    <w:uiPriority w:val="0"/>
    <w:pPr>
      <w:spacing w:line="672" w:lineRule="exact"/>
    </w:pPr>
  </w:style>
  <w:style w:type="paragraph" w:customStyle="1" w:styleId="214">
    <w:name w:val="Style48"/>
    <w:basedOn w:val="1"/>
    <w:autoRedefine/>
    <w:unhideWhenUsed/>
    <w:qFormat/>
    <w:uiPriority w:val="0"/>
    <w:pPr>
      <w:spacing w:line="542" w:lineRule="exact"/>
      <w:jc w:val="right"/>
    </w:pPr>
  </w:style>
  <w:style w:type="paragraph" w:customStyle="1" w:styleId="215">
    <w:name w:val="Style29"/>
    <w:basedOn w:val="1"/>
    <w:autoRedefine/>
    <w:unhideWhenUsed/>
    <w:qFormat/>
    <w:uiPriority w:val="0"/>
    <w:pPr>
      <w:spacing w:line="547" w:lineRule="exact"/>
      <w:ind w:firstLine="547"/>
    </w:pPr>
  </w:style>
  <w:style w:type="paragraph" w:customStyle="1" w:styleId="216">
    <w:name w:val="1"/>
    <w:basedOn w:val="1"/>
    <w:autoRedefine/>
    <w:qFormat/>
    <w:uiPriority w:val="0"/>
    <w:pPr>
      <w:spacing w:after="156" w:afterLines="50" w:line="360" w:lineRule="auto"/>
    </w:pPr>
    <w:rPr>
      <w:rFonts w:ascii="宋体" w:hAnsi="宋体"/>
      <w:b/>
      <w:sz w:val="30"/>
      <w:szCs w:val="21"/>
    </w:rPr>
  </w:style>
  <w:style w:type="paragraph" w:customStyle="1" w:styleId="217">
    <w:name w:val="Style45"/>
    <w:basedOn w:val="1"/>
    <w:autoRedefine/>
    <w:unhideWhenUsed/>
    <w:qFormat/>
    <w:uiPriority w:val="0"/>
  </w:style>
  <w:style w:type="paragraph" w:customStyle="1" w:styleId="218">
    <w:name w:val="Style41"/>
    <w:basedOn w:val="1"/>
    <w:autoRedefine/>
    <w:unhideWhenUsed/>
    <w:qFormat/>
    <w:uiPriority w:val="0"/>
    <w:pPr>
      <w:spacing w:line="542" w:lineRule="exact"/>
      <w:ind w:firstLine="125"/>
    </w:pPr>
  </w:style>
  <w:style w:type="paragraph" w:customStyle="1" w:styleId="219">
    <w:name w:val=" Char Char Char"/>
    <w:basedOn w:val="1"/>
    <w:autoRedefine/>
    <w:qFormat/>
    <w:uiPriority w:val="0"/>
    <w:rPr>
      <w:rFonts w:ascii="宋体" w:hAnsi="宋体"/>
      <w:b/>
      <w:sz w:val="28"/>
      <w:szCs w:val="28"/>
    </w:rPr>
  </w:style>
  <w:style w:type="paragraph" w:customStyle="1" w:styleId="220">
    <w:name w:val="样式1 Char Char"/>
    <w:basedOn w:val="1"/>
    <w:next w:val="24"/>
    <w:autoRedefine/>
    <w:qFormat/>
    <w:uiPriority w:val="0"/>
    <w:pPr>
      <w:spacing w:line="360" w:lineRule="auto"/>
      <w:ind w:firstLine="516" w:firstLineChars="215"/>
    </w:pPr>
    <w:rPr>
      <w:rFonts w:ascii="Calibri" w:hAnsi="Calibri"/>
      <w:sz w:val="24"/>
    </w:rPr>
  </w:style>
  <w:style w:type="paragraph" w:customStyle="1" w:styleId="221">
    <w:name w:val=" Char1 Char Char Char"/>
    <w:basedOn w:val="1"/>
    <w:autoRedefine/>
    <w:qFormat/>
    <w:uiPriority w:val="0"/>
    <w:pPr>
      <w:widowControl/>
      <w:spacing w:after="160" w:line="240" w:lineRule="exact"/>
      <w:jc w:val="left"/>
    </w:pPr>
    <w:rPr>
      <w:kern w:val="0"/>
      <w:sz w:val="24"/>
      <w:szCs w:val="20"/>
    </w:rPr>
  </w:style>
  <w:style w:type="paragraph" w:customStyle="1" w:styleId="222">
    <w:name w:val="Char Char1 Char Char Char Char Char Char Char"/>
    <w:basedOn w:val="1"/>
    <w:autoRedefine/>
    <w:qFormat/>
    <w:uiPriority w:val="0"/>
    <w:pPr>
      <w:widowControl/>
      <w:spacing w:after="160" w:line="240" w:lineRule="exact"/>
      <w:jc w:val="left"/>
    </w:pPr>
  </w:style>
  <w:style w:type="paragraph" w:customStyle="1" w:styleId="223">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Style28"/>
    <w:basedOn w:val="1"/>
    <w:autoRedefine/>
    <w:unhideWhenUsed/>
    <w:qFormat/>
    <w:uiPriority w:val="0"/>
    <w:pPr>
      <w:spacing w:line="552" w:lineRule="exact"/>
      <w:ind w:firstLine="547"/>
    </w:pPr>
  </w:style>
  <w:style w:type="paragraph" w:customStyle="1" w:styleId="225">
    <w:name w:val="_Style 221"/>
    <w:autoRedefine/>
    <w:qFormat/>
    <w:uiPriority w:val="0"/>
    <w:rPr>
      <w:rFonts w:ascii="Times New Roman" w:hAnsi="Times New Roman" w:eastAsia="宋体" w:cs="Times New Roman"/>
      <w:kern w:val="2"/>
      <w:sz w:val="21"/>
      <w:szCs w:val="24"/>
      <w:lang w:val="en-US" w:eastAsia="zh-CN" w:bidi="ar-SA"/>
    </w:rPr>
  </w:style>
  <w:style w:type="paragraph" w:customStyle="1" w:styleId="226">
    <w:name w:val="Style78"/>
    <w:basedOn w:val="1"/>
    <w:autoRedefine/>
    <w:unhideWhenUsed/>
    <w:qFormat/>
    <w:uiPriority w:val="0"/>
  </w:style>
  <w:style w:type="paragraph" w:customStyle="1" w:styleId="227">
    <w:name w:val="Style72"/>
    <w:basedOn w:val="1"/>
    <w:autoRedefine/>
    <w:unhideWhenUsed/>
    <w:qFormat/>
    <w:uiPriority w:val="0"/>
  </w:style>
  <w:style w:type="paragraph" w:customStyle="1" w:styleId="228">
    <w:name w:val="Style65"/>
    <w:basedOn w:val="1"/>
    <w:autoRedefine/>
    <w:unhideWhenUsed/>
    <w:qFormat/>
    <w:uiPriority w:val="0"/>
  </w:style>
  <w:style w:type="paragraph" w:customStyle="1" w:styleId="229">
    <w:name w:val="Style44"/>
    <w:basedOn w:val="1"/>
    <w:autoRedefine/>
    <w:unhideWhenUsed/>
    <w:qFormat/>
    <w:uiPriority w:val="0"/>
  </w:style>
  <w:style w:type="paragraph" w:customStyle="1" w:styleId="230">
    <w:name w:val="附录标识"/>
    <w:basedOn w:val="203"/>
    <w:autoRedefine/>
    <w:qFormat/>
    <w:uiPriority w:val="0"/>
    <w:pPr>
      <w:tabs>
        <w:tab w:val="left" w:pos="6405"/>
        <w:tab w:val="clear" w:pos="360"/>
      </w:tabs>
      <w:spacing w:after="200"/>
    </w:pPr>
    <w:rPr>
      <w:sz w:val="21"/>
    </w:rPr>
  </w:style>
  <w:style w:type="paragraph" w:customStyle="1" w:styleId="231">
    <w:name w:val="Style36"/>
    <w:basedOn w:val="1"/>
    <w:autoRedefine/>
    <w:unhideWhenUsed/>
    <w:qFormat/>
    <w:uiPriority w:val="0"/>
  </w:style>
  <w:style w:type="paragraph" w:customStyle="1" w:styleId="232">
    <w:name w:val="Style73"/>
    <w:basedOn w:val="1"/>
    <w:autoRedefine/>
    <w:unhideWhenUsed/>
    <w:qFormat/>
    <w:uiPriority w:val="0"/>
    <w:pPr>
      <w:spacing w:line="538" w:lineRule="exact"/>
      <w:ind w:firstLine="533"/>
    </w:pPr>
  </w:style>
  <w:style w:type="paragraph" w:customStyle="1" w:styleId="233">
    <w:name w:val="Style50"/>
    <w:basedOn w:val="1"/>
    <w:autoRedefine/>
    <w:unhideWhenUsed/>
    <w:qFormat/>
    <w:uiPriority w:val="0"/>
  </w:style>
  <w:style w:type="paragraph" w:customStyle="1" w:styleId="234">
    <w:name w:val="Style77"/>
    <w:basedOn w:val="1"/>
    <w:autoRedefine/>
    <w:unhideWhenUsed/>
    <w:qFormat/>
    <w:uiPriority w:val="0"/>
  </w:style>
  <w:style w:type="paragraph" w:customStyle="1" w:styleId="235">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236">
    <w:name w:val=" 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37">
    <w:name w:val="Style63"/>
    <w:basedOn w:val="1"/>
    <w:autoRedefine/>
    <w:unhideWhenUsed/>
    <w:qFormat/>
    <w:uiPriority w:val="0"/>
    <w:pPr>
      <w:spacing w:line="564" w:lineRule="exact"/>
      <w:ind w:firstLine="682"/>
    </w:pPr>
  </w:style>
  <w:style w:type="paragraph" w:customStyle="1" w:styleId="238">
    <w:name w:val="Style68"/>
    <w:basedOn w:val="1"/>
    <w:autoRedefine/>
    <w:unhideWhenUsed/>
    <w:qFormat/>
    <w:uiPriority w:val="0"/>
    <w:pPr>
      <w:spacing w:line="547" w:lineRule="exact"/>
    </w:pPr>
  </w:style>
  <w:style w:type="paragraph" w:customStyle="1" w:styleId="239">
    <w:name w:val="Char Char1 Char Char Char"/>
    <w:basedOn w:val="1"/>
    <w:autoRedefine/>
    <w:qFormat/>
    <w:uiPriority w:val="0"/>
    <w:rPr>
      <w:kern w:val="0"/>
      <w:sz w:val="20"/>
      <w:szCs w:val="20"/>
    </w:rPr>
  </w:style>
  <w:style w:type="paragraph" w:customStyle="1" w:styleId="240">
    <w:name w:val="Style26"/>
    <w:basedOn w:val="1"/>
    <w:autoRedefine/>
    <w:unhideWhenUsed/>
    <w:qFormat/>
    <w:uiPriority w:val="0"/>
  </w:style>
  <w:style w:type="paragraph" w:customStyle="1" w:styleId="241">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242">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43">
    <w:name w:val="_Style 39"/>
    <w:basedOn w:val="223"/>
    <w:autoRedefine/>
    <w:qFormat/>
    <w:uiPriority w:val="0"/>
  </w:style>
  <w:style w:type="paragraph" w:customStyle="1" w:styleId="244">
    <w:name w:val="Style58"/>
    <w:basedOn w:val="1"/>
    <w:autoRedefine/>
    <w:unhideWhenUsed/>
    <w:qFormat/>
    <w:uiPriority w:val="0"/>
    <w:pPr>
      <w:spacing w:line="413" w:lineRule="exact"/>
    </w:pPr>
  </w:style>
  <w:style w:type="paragraph" w:customStyle="1" w:styleId="245">
    <w:name w:val="Style52"/>
    <w:basedOn w:val="1"/>
    <w:autoRedefine/>
    <w:unhideWhenUsed/>
    <w:qFormat/>
    <w:uiPriority w:val="0"/>
    <w:pPr>
      <w:spacing w:line="682" w:lineRule="exact"/>
      <w:ind w:firstLine="557"/>
    </w:pPr>
  </w:style>
  <w:style w:type="paragraph" w:customStyle="1" w:styleId="246">
    <w:name w:val="Char Char1 Char Char Char Char Char1 Char Char Char Char"/>
    <w:basedOn w:val="13"/>
    <w:autoRedefine/>
    <w:qFormat/>
    <w:uiPriority w:val="0"/>
    <w:rPr>
      <w:rFonts w:ascii="Tahoma" w:hAnsi="Tahoma"/>
    </w:rPr>
  </w:style>
  <w:style w:type="paragraph" w:customStyle="1" w:styleId="247">
    <w:name w:val="Style8"/>
    <w:basedOn w:val="1"/>
    <w:autoRedefine/>
    <w:unhideWhenUsed/>
    <w:qFormat/>
    <w:uiPriority w:val="0"/>
    <w:pPr>
      <w:spacing w:line="566" w:lineRule="exact"/>
      <w:jc w:val="center"/>
    </w:pPr>
  </w:style>
  <w:style w:type="paragraph" w:customStyle="1" w:styleId="248">
    <w:name w:val="Style15"/>
    <w:basedOn w:val="1"/>
    <w:autoRedefine/>
    <w:unhideWhenUsed/>
    <w:qFormat/>
    <w:uiPriority w:val="0"/>
    <w:pPr>
      <w:spacing w:line="557" w:lineRule="exact"/>
      <w:ind w:firstLine="672"/>
    </w:pPr>
  </w:style>
  <w:style w:type="paragraph" w:customStyle="1" w:styleId="249">
    <w:name w:val="Style21"/>
    <w:basedOn w:val="1"/>
    <w:autoRedefine/>
    <w:unhideWhenUsed/>
    <w:qFormat/>
    <w:uiPriority w:val="0"/>
    <w:pPr>
      <w:spacing w:line="566" w:lineRule="exact"/>
      <w:ind w:firstLine="682"/>
    </w:pPr>
  </w:style>
  <w:style w:type="paragraph" w:customStyle="1" w:styleId="250">
    <w:name w:val="Style76"/>
    <w:basedOn w:val="1"/>
    <w:autoRedefine/>
    <w:unhideWhenUsed/>
    <w:qFormat/>
    <w:uiPriority w:val="0"/>
  </w:style>
  <w:style w:type="paragraph" w:customStyle="1" w:styleId="251">
    <w:name w:val=" Char1 Char Char Char Char Char Char Char Char Char"/>
    <w:basedOn w:val="1"/>
    <w:autoRedefine/>
    <w:qFormat/>
    <w:uiPriority w:val="0"/>
    <w:rPr>
      <w:szCs w:val="20"/>
    </w:rPr>
  </w:style>
  <w:style w:type="paragraph" w:customStyle="1" w:styleId="252">
    <w:name w:val="标题 1 +"/>
    <w:basedOn w:val="2"/>
    <w:next w:val="1"/>
    <w:autoRedefine/>
    <w:qFormat/>
    <w:uiPriority w:val="0"/>
    <w:pPr>
      <w:keepLines/>
      <w:spacing w:line="600" w:lineRule="auto"/>
    </w:pPr>
    <w:rPr>
      <w:rFonts w:eastAsia="黑体"/>
      <w:kern w:val="0"/>
      <w:sz w:val="32"/>
      <w:szCs w:val="32"/>
    </w:rPr>
  </w:style>
  <w:style w:type="paragraph" w:customStyle="1" w:styleId="253">
    <w:name w:val="Style70"/>
    <w:basedOn w:val="1"/>
    <w:autoRedefine/>
    <w:unhideWhenUsed/>
    <w:qFormat/>
    <w:uiPriority w:val="0"/>
    <w:pPr>
      <w:spacing w:line="549" w:lineRule="exact"/>
      <w:ind w:firstLine="686"/>
    </w:pPr>
  </w:style>
  <w:style w:type="paragraph" w:customStyle="1" w:styleId="254">
    <w:name w:val="Style60"/>
    <w:basedOn w:val="1"/>
    <w:autoRedefine/>
    <w:unhideWhenUsed/>
    <w:qFormat/>
    <w:uiPriority w:val="0"/>
    <w:pPr>
      <w:spacing w:line="566" w:lineRule="exact"/>
    </w:pPr>
  </w:style>
  <w:style w:type="paragraph" w:customStyle="1" w:styleId="255">
    <w:name w:val="标题2"/>
    <w:basedOn w:val="41"/>
    <w:autoRedefine/>
    <w:qFormat/>
    <w:uiPriority w:val="0"/>
    <w:pPr>
      <w:spacing w:after="240"/>
      <w:jc w:val="left"/>
    </w:pPr>
    <w:rPr>
      <w:sz w:val="30"/>
    </w:rPr>
  </w:style>
  <w:style w:type="paragraph" w:customStyle="1" w:styleId="256">
    <w:name w:val="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57">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58">
    <w:name w:val="表格内容"/>
    <w:basedOn w:val="17"/>
    <w:autoRedefine/>
    <w:qFormat/>
    <w:uiPriority w:val="0"/>
    <w:pPr>
      <w:suppressLineNumbers/>
      <w:suppressAutoHyphens/>
      <w:jc w:val="left"/>
    </w:pPr>
    <w:rPr>
      <w:rFonts w:cs="Tahoma"/>
      <w:kern w:val="0"/>
      <w:sz w:val="24"/>
    </w:rPr>
  </w:style>
  <w:style w:type="paragraph" w:customStyle="1" w:styleId="259">
    <w:name w:val="默认段落字体 Para Char Char Char Char Char Char Char Char Char Char Char Char Char Char Char Char Char Char Char"/>
    <w:basedOn w:val="1"/>
    <w:autoRedefine/>
    <w:qFormat/>
    <w:uiPriority w:val="0"/>
  </w:style>
  <w:style w:type="paragraph" w:customStyle="1" w:styleId="260">
    <w:name w:val="Style11"/>
    <w:basedOn w:val="1"/>
    <w:autoRedefine/>
    <w:unhideWhenUsed/>
    <w:qFormat/>
    <w:uiPriority w:val="0"/>
    <w:pPr>
      <w:spacing w:line="559" w:lineRule="exact"/>
      <w:ind w:firstLine="590"/>
    </w:pPr>
  </w:style>
  <w:style w:type="paragraph" w:customStyle="1" w:styleId="261">
    <w:name w:val="Style81"/>
    <w:basedOn w:val="1"/>
    <w:autoRedefine/>
    <w:unhideWhenUsed/>
    <w:qFormat/>
    <w:uiPriority w:val="0"/>
    <w:pPr>
      <w:spacing w:line="547" w:lineRule="exact"/>
    </w:pPr>
  </w:style>
  <w:style w:type="paragraph" w:customStyle="1" w:styleId="262">
    <w:name w:val="List Paragraph1"/>
    <w:basedOn w:val="1"/>
    <w:autoRedefine/>
    <w:qFormat/>
    <w:uiPriority w:val="0"/>
    <w:pPr>
      <w:ind w:firstLine="420" w:firstLineChars="200"/>
    </w:pPr>
    <w:rPr>
      <w:rFonts w:ascii="Calibri" w:hAnsi="Calibri" w:cs="Calibri"/>
      <w:szCs w:val="21"/>
    </w:rPr>
  </w:style>
  <w:style w:type="paragraph" w:customStyle="1" w:styleId="263">
    <w:name w:val="Style16"/>
    <w:basedOn w:val="1"/>
    <w:autoRedefine/>
    <w:unhideWhenUsed/>
    <w:qFormat/>
    <w:uiPriority w:val="0"/>
    <w:pPr>
      <w:jc w:val="right"/>
    </w:pPr>
  </w:style>
  <w:style w:type="paragraph" w:customStyle="1" w:styleId="264">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65">
    <w:name w:val="DAS正文"/>
    <w:basedOn w:val="1"/>
    <w:autoRedefine/>
    <w:qFormat/>
    <w:uiPriority w:val="0"/>
    <w:pPr>
      <w:widowControl w:val="0"/>
      <w:spacing w:after="0" w:line="240" w:lineRule="auto"/>
      <w:ind w:right="181" w:firstLine="480" w:firstLineChars="200"/>
      <w:jc w:val="both"/>
    </w:pPr>
    <w:rPr>
      <w:rFonts w:ascii="Verdana" w:hAnsi="Verdana"/>
      <w:kern w:val="2"/>
      <w:sz w:val="21"/>
      <w:szCs w:val="24"/>
    </w:rPr>
  </w:style>
  <w:style w:type="character" w:customStyle="1" w:styleId="266">
    <w:name w:val="15"/>
    <w:basedOn w:val="46"/>
    <w:autoRedefine/>
    <w:qFormat/>
    <w:uiPriority w:val="0"/>
    <w:rPr>
      <w:rFonts w:hint="default" w:ascii="Times New Roman" w:hAnsi="Times New Roman" w:cs="Times New Roman"/>
      <w:color w:val="0563C1"/>
      <w:sz w:val="20"/>
      <w:szCs w:val="20"/>
      <w:u w:val="single"/>
    </w:rPr>
  </w:style>
  <w:style w:type="paragraph" w:customStyle="1" w:styleId="267">
    <w:name w:val="Normal_33"/>
    <w:autoRedefine/>
    <w:qFormat/>
    <w:uiPriority w:val="0"/>
    <w:pPr>
      <w:widowControl w:val="0"/>
      <w:jc w:val="both"/>
    </w:pPr>
    <w:rPr>
      <w:rFonts w:ascii="Calibri" w:hAnsi="Calibri" w:eastAsia="宋体" w:cs="Times New Roman"/>
      <w:lang w:val="en-US" w:eastAsia="zh-CN" w:bidi="ar-SA"/>
    </w:rPr>
  </w:style>
  <w:style w:type="paragraph" w:customStyle="1" w:styleId="268">
    <w:name w:val="Normal_34"/>
    <w:autoRedefine/>
    <w:qFormat/>
    <w:uiPriority w:val="0"/>
    <w:pPr>
      <w:widowControl w:val="0"/>
      <w:jc w:val="both"/>
    </w:pPr>
    <w:rPr>
      <w:rFonts w:ascii="Calibri" w:hAnsi="Calibri" w:eastAsia="宋体" w:cs="Times New Roman"/>
      <w:lang w:val="en-US" w:eastAsia="zh-CN" w:bidi="ar-SA"/>
    </w:rPr>
  </w:style>
  <w:style w:type="paragraph" w:customStyle="1" w:styleId="269">
    <w:name w:val="Normal_35"/>
    <w:autoRedefine/>
    <w:qFormat/>
    <w:uiPriority w:val="0"/>
    <w:pPr>
      <w:widowControl w:val="0"/>
      <w:jc w:val="both"/>
    </w:pPr>
    <w:rPr>
      <w:rFonts w:ascii="Calibri" w:hAnsi="Calibri" w:eastAsia="宋体" w:cs="Times New Roman"/>
      <w:lang w:val="en-US" w:eastAsia="zh-CN" w:bidi="ar-SA"/>
    </w:rPr>
  </w:style>
  <w:style w:type="paragraph" w:customStyle="1" w:styleId="270">
    <w:name w:val="Normal_36"/>
    <w:autoRedefine/>
    <w:qFormat/>
    <w:uiPriority w:val="0"/>
    <w:pPr>
      <w:widowControl w:val="0"/>
      <w:jc w:val="both"/>
    </w:pPr>
    <w:rPr>
      <w:rFonts w:ascii="Calibri" w:hAnsi="Calibri" w:eastAsia="宋体" w:cs="Times New Roman"/>
      <w:lang w:val="en-US" w:eastAsia="zh-CN" w:bidi="ar-SA"/>
    </w:rPr>
  </w:style>
  <w:style w:type="paragraph" w:customStyle="1" w:styleId="271">
    <w:name w:val="Normal_37"/>
    <w:autoRedefine/>
    <w:qFormat/>
    <w:uiPriority w:val="0"/>
    <w:pPr>
      <w:widowControl w:val="0"/>
      <w:jc w:val="both"/>
    </w:pPr>
    <w:rPr>
      <w:rFonts w:ascii="Calibri" w:hAnsi="Calibri" w:eastAsia="宋体" w:cs="Times New Roman"/>
      <w:lang w:val="en-US" w:eastAsia="zh-CN" w:bidi="ar-SA"/>
    </w:rPr>
  </w:style>
  <w:style w:type="paragraph" w:customStyle="1" w:styleId="272">
    <w:name w:val="Normal_38"/>
    <w:autoRedefine/>
    <w:qFormat/>
    <w:uiPriority w:val="0"/>
    <w:pPr>
      <w:widowControl w:val="0"/>
      <w:jc w:val="both"/>
    </w:pPr>
    <w:rPr>
      <w:rFonts w:ascii="Calibri" w:hAnsi="Calibri" w:eastAsia="宋体" w:cs="Times New Roman"/>
      <w:lang w:val="en-US" w:eastAsia="zh-CN" w:bidi="ar-SA"/>
    </w:rPr>
  </w:style>
  <w:style w:type="paragraph" w:customStyle="1" w:styleId="273">
    <w:name w:val="Normal_39"/>
    <w:autoRedefine/>
    <w:qFormat/>
    <w:uiPriority w:val="0"/>
    <w:pPr>
      <w:widowControl w:val="0"/>
      <w:jc w:val="both"/>
    </w:pPr>
    <w:rPr>
      <w:rFonts w:ascii="Calibri" w:hAnsi="Calibri" w:eastAsia="宋体" w:cs="Times New Roman"/>
      <w:lang w:val="en-US" w:eastAsia="zh-CN" w:bidi="ar-SA"/>
    </w:rPr>
  </w:style>
  <w:style w:type="paragraph" w:customStyle="1" w:styleId="274">
    <w:name w:val="Normal_40"/>
    <w:autoRedefine/>
    <w:qFormat/>
    <w:uiPriority w:val="0"/>
    <w:pPr>
      <w:widowControl w:val="0"/>
      <w:jc w:val="both"/>
    </w:pPr>
    <w:rPr>
      <w:rFonts w:ascii="Calibri" w:hAnsi="Calibri" w:eastAsia="宋体" w:cs="Times New Roman"/>
      <w:lang w:val="en-US" w:eastAsia="zh-CN" w:bidi="ar-SA"/>
    </w:rPr>
  </w:style>
  <w:style w:type="paragraph" w:customStyle="1" w:styleId="275">
    <w:name w:val="Normal_41"/>
    <w:autoRedefine/>
    <w:qFormat/>
    <w:uiPriority w:val="0"/>
    <w:pPr>
      <w:widowControl w:val="0"/>
      <w:jc w:val="both"/>
    </w:pPr>
    <w:rPr>
      <w:rFonts w:ascii="Calibri" w:hAnsi="Calibri" w:eastAsia="宋体" w:cs="Times New Roman"/>
      <w:lang w:val="en-US" w:eastAsia="zh-CN" w:bidi="ar-SA"/>
    </w:rPr>
  </w:style>
  <w:style w:type="paragraph" w:customStyle="1" w:styleId="276">
    <w:name w:val="Normal_42"/>
    <w:autoRedefine/>
    <w:qFormat/>
    <w:uiPriority w:val="0"/>
    <w:pPr>
      <w:widowControl w:val="0"/>
      <w:jc w:val="both"/>
    </w:pPr>
    <w:rPr>
      <w:rFonts w:ascii="Calibri" w:hAnsi="Calibri" w:eastAsia="宋体" w:cs="Times New Roman"/>
      <w:lang w:val="en-US" w:eastAsia="zh-CN" w:bidi="ar-SA"/>
    </w:rPr>
  </w:style>
  <w:style w:type="paragraph" w:customStyle="1" w:styleId="277">
    <w:name w:val="Normal_43"/>
    <w:autoRedefine/>
    <w:qFormat/>
    <w:uiPriority w:val="0"/>
    <w:pPr>
      <w:widowControl w:val="0"/>
      <w:jc w:val="both"/>
    </w:pPr>
    <w:rPr>
      <w:rFonts w:ascii="Calibri" w:hAnsi="Calibri" w:eastAsia="宋体" w:cs="Times New Roman"/>
      <w:lang w:val="en-US" w:eastAsia="zh-CN" w:bidi="ar-SA"/>
    </w:rPr>
  </w:style>
  <w:style w:type="paragraph" w:customStyle="1" w:styleId="278">
    <w:name w:val="Normal_44"/>
    <w:autoRedefine/>
    <w:qFormat/>
    <w:uiPriority w:val="0"/>
    <w:pPr>
      <w:widowControl w:val="0"/>
      <w:jc w:val="both"/>
    </w:pPr>
    <w:rPr>
      <w:rFonts w:ascii="Calibri" w:hAnsi="Calibri" w:eastAsia="宋体" w:cs="Times New Roman"/>
      <w:lang w:val="en-US" w:eastAsia="zh-CN" w:bidi="ar-SA"/>
    </w:rPr>
  </w:style>
  <w:style w:type="paragraph" w:customStyle="1" w:styleId="279">
    <w:name w:val="Normal_45"/>
    <w:autoRedefine/>
    <w:qFormat/>
    <w:uiPriority w:val="0"/>
    <w:pPr>
      <w:widowControl w:val="0"/>
      <w:jc w:val="both"/>
    </w:pPr>
    <w:rPr>
      <w:rFonts w:ascii="Calibri" w:hAnsi="Calibri" w:eastAsia="宋体" w:cs="Times New Roman"/>
      <w:lang w:val="en-US" w:eastAsia="zh-CN" w:bidi="ar-SA"/>
    </w:rPr>
  </w:style>
  <w:style w:type="paragraph" w:customStyle="1" w:styleId="280">
    <w:name w:val="Normal_46"/>
    <w:autoRedefine/>
    <w:qFormat/>
    <w:uiPriority w:val="0"/>
    <w:pPr>
      <w:widowControl w:val="0"/>
      <w:jc w:val="both"/>
    </w:pPr>
    <w:rPr>
      <w:rFonts w:ascii="Calibri" w:hAnsi="Calibri" w:eastAsia="宋体" w:cs="Times New Roman"/>
      <w:lang w:val="en-US" w:eastAsia="zh-CN" w:bidi="ar-SA"/>
    </w:rPr>
  </w:style>
  <w:style w:type="paragraph" w:customStyle="1" w:styleId="281">
    <w:name w:val="Normal_47"/>
    <w:autoRedefine/>
    <w:qFormat/>
    <w:uiPriority w:val="0"/>
    <w:pPr>
      <w:widowControl w:val="0"/>
      <w:jc w:val="both"/>
    </w:pPr>
    <w:rPr>
      <w:rFonts w:ascii="Calibri" w:hAnsi="Calibri" w:eastAsia="宋体" w:cs="Times New Roman"/>
      <w:lang w:val="en-US" w:eastAsia="zh-CN" w:bidi="ar-SA"/>
    </w:rPr>
  </w:style>
  <w:style w:type="paragraph" w:customStyle="1" w:styleId="282">
    <w:name w:val="Normal_48"/>
    <w:autoRedefine/>
    <w:qFormat/>
    <w:uiPriority w:val="0"/>
    <w:pPr>
      <w:widowControl w:val="0"/>
      <w:jc w:val="both"/>
    </w:pPr>
    <w:rPr>
      <w:rFonts w:ascii="Calibri" w:hAnsi="Calibri" w:eastAsia="宋体" w:cs="Times New Roman"/>
      <w:lang w:val="en-US" w:eastAsia="zh-CN" w:bidi="ar-SA"/>
    </w:rPr>
  </w:style>
  <w:style w:type="paragraph" w:customStyle="1" w:styleId="283">
    <w:name w:val="Normal_49"/>
    <w:autoRedefine/>
    <w:qFormat/>
    <w:uiPriority w:val="0"/>
    <w:pPr>
      <w:widowControl w:val="0"/>
      <w:jc w:val="both"/>
    </w:pPr>
    <w:rPr>
      <w:rFonts w:ascii="Calibri" w:hAnsi="Calibri" w:eastAsia="宋体" w:cs="Times New Roman"/>
      <w:lang w:val="en-US" w:eastAsia="zh-CN" w:bidi="ar-SA"/>
    </w:rPr>
  </w:style>
  <w:style w:type="paragraph" w:customStyle="1" w:styleId="284">
    <w:name w:val="Normal_50"/>
    <w:autoRedefine/>
    <w:qFormat/>
    <w:uiPriority w:val="0"/>
    <w:pPr>
      <w:widowControl w:val="0"/>
      <w:jc w:val="both"/>
    </w:pPr>
    <w:rPr>
      <w:rFonts w:ascii="Calibri" w:hAnsi="Calibri" w:eastAsia="宋体" w:cs="Times New Roman"/>
      <w:lang w:val="en-US" w:eastAsia="zh-CN" w:bidi="ar-SA"/>
    </w:rPr>
  </w:style>
  <w:style w:type="paragraph" w:customStyle="1" w:styleId="285">
    <w:name w:val="Normal_51"/>
    <w:autoRedefine/>
    <w:qFormat/>
    <w:uiPriority w:val="0"/>
    <w:pPr>
      <w:widowControl w:val="0"/>
      <w:jc w:val="both"/>
    </w:pPr>
    <w:rPr>
      <w:rFonts w:ascii="Calibri" w:hAnsi="Calibri" w:eastAsia="宋体" w:cs="Times New Roman"/>
      <w:lang w:val="en-US" w:eastAsia="zh-CN" w:bidi="ar-SA"/>
    </w:rPr>
  </w:style>
  <w:style w:type="paragraph" w:customStyle="1" w:styleId="286">
    <w:name w:val="Normal_52"/>
    <w:autoRedefine/>
    <w:qFormat/>
    <w:uiPriority w:val="0"/>
    <w:pPr>
      <w:widowControl w:val="0"/>
      <w:jc w:val="both"/>
    </w:pPr>
    <w:rPr>
      <w:rFonts w:ascii="Calibri" w:hAnsi="Calibri" w:eastAsia="宋体" w:cs="Times New Roman"/>
      <w:lang w:val="en-US" w:eastAsia="zh-CN" w:bidi="ar-SA"/>
    </w:rPr>
  </w:style>
  <w:style w:type="paragraph" w:customStyle="1" w:styleId="287">
    <w:name w:val="Normal_53"/>
    <w:autoRedefine/>
    <w:qFormat/>
    <w:uiPriority w:val="0"/>
    <w:pPr>
      <w:widowControl w:val="0"/>
      <w:jc w:val="both"/>
    </w:pPr>
    <w:rPr>
      <w:rFonts w:ascii="Calibri" w:hAnsi="Calibri" w:eastAsia="宋体" w:cs="Times New Roman"/>
      <w:lang w:val="en-US" w:eastAsia="zh-CN" w:bidi="ar-SA"/>
    </w:rPr>
  </w:style>
  <w:style w:type="paragraph" w:customStyle="1" w:styleId="288">
    <w:name w:val="Normal_54"/>
    <w:autoRedefine/>
    <w:qFormat/>
    <w:uiPriority w:val="0"/>
    <w:pPr>
      <w:widowControl w:val="0"/>
      <w:jc w:val="both"/>
    </w:pPr>
    <w:rPr>
      <w:rFonts w:ascii="Calibri" w:hAnsi="Calibri" w:eastAsia="宋体" w:cs="Times New Roman"/>
      <w:lang w:val="en-US" w:eastAsia="zh-CN" w:bidi="ar-SA"/>
    </w:rPr>
  </w:style>
  <w:style w:type="paragraph" w:customStyle="1" w:styleId="289">
    <w:name w:val="Normal_55"/>
    <w:autoRedefine/>
    <w:qFormat/>
    <w:uiPriority w:val="0"/>
    <w:pPr>
      <w:widowControl w:val="0"/>
      <w:jc w:val="both"/>
    </w:pPr>
    <w:rPr>
      <w:rFonts w:ascii="Calibri" w:hAnsi="Calibri" w:eastAsia="宋体" w:cs="Times New Roman"/>
      <w:lang w:val="en-US" w:eastAsia="zh-CN" w:bidi="ar-SA"/>
    </w:rPr>
  </w:style>
  <w:style w:type="paragraph" w:customStyle="1" w:styleId="290">
    <w:name w:val="Normal_56"/>
    <w:autoRedefine/>
    <w:qFormat/>
    <w:uiPriority w:val="0"/>
    <w:pPr>
      <w:widowControl w:val="0"/>
      <w:jc w:val="both"/>
    </w:pPr>
    <w:rPr>
      <w:rFonts w:ascii="Calibri" w:hAnsi="Calibri" w:eastAsia="宋体" w:cs="Times New Roman"/>
      <w:lang w:val="en-US" w:eastAsia="zh-CN" w:bidi="ar-SA"/>
    </w:rPr>
  </w:style>
  <w:style w:type="paragraph" w:customStyle="1" w:styleId="291">
    <w:name w:val="Normal_57"/>
    <w:autoRedefine/>
    <w:qFormat/>
    <w:uiPriority w:val="0"/>
    <w:pPr>
      <w:widowControl w:val="0"/>
      <w:jc w:val="both"/>
    </w:pPr>
    <w:rPr>
      <w:rFonts w:ascii="Calibri" w:hAnsi="Calibri" w:eastAsia="宋体" w:cs="Times New Roman"/>
      <w:lang w:val="en-US" w:eastAsia="zh-CN" w:bidi="ar-SA"/>
    </w:rPr>
  </w:style>
  <w:style w:type="paragraph" w:customStyle="1" w:styleId="292">
    <w:name w:val="Normal_58"/>
    <w:autoRedefine/>
    <w:qFormat/>
    <w:uiPriority w:val="0"/>
    <w:pPr>
      <w:widowControl w:val="0"/>
      <w:jc w:val="both"/>
    </w:pPr>
    <w:rPr>
      <w:rFonts w:ascii="Calibri" w:hAnsi="Calibri" w:eastAsia="宋体" w:cs="Times New Roman"/>
      <w:lang w:val="en-US" w:eastAsia="zh-CN" w:bidi="ar-SA"/>
    </w:rPr>
  </w:style>
  <w:style w:type="paragraph" w:customStyle="1" w:styleId="293">
    <w:name w:val="Normal_59"/>
    <w:autoRedefine/>
    <w:qFormat/>
    <w:uiPriority w:val="0"/>
    <w:pPr>
      <w:widowControl w:val="0"/>
      <w:jc w:val="both"/>
    </w:pPr>
    <w:rPr>
      <w:rFonts w:ascii="Calibri" w:hAnsi="Calibri" w:eastAsia="宋体" w:cs="Times New Roman"/>
      <w:lang w:val="en-US" w:eastAsia="zh-CN" w:bidi="ar-SA"/>
    </w:rPr>
  </w:style>
  <w:style w:type="paragraph" w:customStyle="1" w:styleId="294">
    <w:name w:val="Normal_60"/>
    <w:autoRedefine/>
    <w:qFormat/>
    <w:uiPriority w:val="0"/>
    <w:pPr>
      <w:widowControl w:val="0"/>
      <w:jc w:val="both"/>
    </w:pPr>
    <w:rPr>
      <w:rFonts w:ascii="Calibri" w:hAnsi="Calibri" w:eastAsia="宋体" w:cs="Times New Roman"/>
      <w:lang w:val="en-US" w:eastAsia="zh-CN" w:bidi="ar-SA"/>
    </w:rPr>
  </w:style>
  <w:style w:type="character" w:customStyle="1" w:styleId="295">
    <w:name w:val="l-btn-icon-left"/>
    <w:basedOn w:val="46"/>
    <w:autoRedefine/>
    <w:qFormat/>
    <w:uiPriority w:val="0"/>
  </w:style>
  <w:style w:type="character" w:customStyle="1" w:styleId="296">
    <w:name w:val="l-btn-left"/>
    <w:basedOn w:val="46"/>
    <w:autoRedefine/>
    <w:qFormat/>
    <w:uiPriority w:val="0"/>
  </w:style>
  <w:style w:type="character" w:customStyle="1" w:styleId="297">
    <w:name w:val="l-btn-left1"/>
    <w:basedOn w:val="46"/>
    <w:autoRedefine/>
    <w:qFormat/>
    <w:uiPriority w:val="0"/>
  </w:style>
  <w:style w:type="character" w:customStyle="1" w:styleId="298">
    <w:name w:val="l-btn-left2"/>
    <w:basedOn w:val="46"/>
    <w:autoRedefine/>
    <w:qFormat/>
    <w:uiPriority w:val="0"/>
  </w:style>
  <w:style w:type="character" w:customStyle="1" w:styleId="299">
    <w:name w:val="l-btn-left3"/>
    <w:basedOn w:val="46"/>
    <w:autoRedefine/>
    <w:qFormat/>
    <w:uiPriority w:val="0"/>
  </w:style>
  <w:style w:type="character" w:customStyle="1" w:styleId="300">
    <w:name w:val="l-btn-text"/>
    <w:basedOn w:val="46"/>
    <w:autoRedefine/>
    <w:qFormat/>
    <w:uiPriority w:val="0"/>
    <w:rPr>
      <w:sz w:val="18"/>
      <w:szCs w:val="18"/>
      <w:vertAlign w:val="baseline"/>
    </w:rPr>
  </w:style>
  <w:style w:type="character" w:customStyle="1" w:styleId="301">
    <w:name w:val="l-btn-icon-right"/>
    <w:basedOn w:val="46"/>
    <w:autoRedefine/>
    <w:qFormat/>
    <w:uiPriority w:val="0"/>
  </w:style>
  <w:style w:type="character" w:customStyle="1" w:styleId="302">
    <w:name w:val="l-btn-empty"/>
    <w:basedOn w:val="46"/>
    <w:autoRedefine/>
    <w:qFormat/>
    <w:uiPriority w:val="0"/>
  </w:style>
  <w:style w:type="paragraph" w:customStyle="1" w:styleId="303">
    <w:name w:val="目录 81"/>
    <w:basedOn w:val="1"/>
    <w:next w:val="1"/>
    <w:autoRedefine/>
    <w:qFormat/>
    <w:uiPriority w:val="0"/>
    <w:pPr>
      <w:ind w:left="2940"/>
    </w:pPr>
    <w:rPr>
      <w:rFonts w:ascii="Calibri"/>
    </w:rPr>
  </w:style>
  <w:style w:type="table" w:customStyle="1" w:styleId="304">
    <w:name w:val="Table Normal"/>
    <w:semiHidden/>
    <w:unhideWhenUsed/>
    <w:qFormat/>
    <w:uiPriority w:val="0"/>
    <w:tblPr>
      <w:tblCellMar>
        <w:top w:w="0" w:type="dxa"/>
        <w:left w:w="0" w:type="dxa"/>
        <w:bottom w:w="0" w:type="dxa"/>
        <w:right w:w="0" w:type="dxa"/>
      </w:tblCellMar>
    </w:tblPr>
  </w:style>
  <w:style w:type="paragraph" w:customStyle="1" w:styleId="305">
    <w:name w:val="列出段落4"/>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63</Pages>
  <Words>10656</Words>
  <Characters>11451</Characters>
  <Lines>270</Lines>
  <Paragraphs>76</Paragraphs>
  <TotalTime>9</TotalTime>
  <ScaleCrop>false</ScaleCrop>
  <LinksUpToDate>false</LinksUpToDate>
  <CharactersWithSpaces>11997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2018-12-10T02:46:00Z</dcterms:created>
  <dc:creator>admin</dc:creator>
  <cp:lastModifiedBy>Administrator</cp:lastModifiedBy>
  <cp:lastPrinted>2025-12-31T02:28:00Z</cp:lastPrinted>
  <dcterms:modified xsi:type="dcterms:W3CDTF">2026-09-21T09:13:25Z</dcterms:modified>
  <dc:title>附件十一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734A5F03B2144FE6B7A8824EA73D042E_13</vt:lpwstr>
  </property>
  <property fmtid="{D5CDD505-2E9C-101B-9397-08002B2CF9AE}" pid="4" name="KSOTemplateDocerSaveRecord">
    <vt:lpwstr>eyJoZGlkIjoiY2E4YjY1YTBiMTA2NTkzOTcwMGNlY2YyMjAyNjNmYmMiLCJ1c2VySWQiOiI0NDE0OTA3ODQifQ==</vt:lpwstr>
  </property>
</Properties>
</file>