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7069C">
      <w:pPr>
        <w:pStyle w:val="13"/>
        <w:rPr>
          <w:rFonts w:hint="eastAsia" w:ascii="宋体" w:hAnsi="宋体" w:eastAsia="宋体" w:cs="宋体"/>
          <w:color w:val="auto"/>
          <w:sz w:val="76"/>
          <w:szCs w:val="84"/>
          <w:lang w:val="en-US" w:eastAsia="zh-CN"/>
        </w:rPr>
      </w:pPr>
      <w:r>
        <w:rPr>
          <w:rFonts w:hint="eastAsia" w:ascii="宋体" w:hAnsi="宋体" w:eastAsia="宋体" w:cs="宋体"/>
          <w:color w:val="auto"/>
          <w:sz w:val="76"/>
          <w:szCs w:val="84"/>
          <w:lang w:val="en-US" w:eastAsia="zh-CN"/>
        </w:rPr>
        <w:t xml:space="preserve">                    </w:t>
      </w:r>
    </w:p>
    <w:p w14:paraId="7F3505AC">
      <w:pPr>
        <w:pStyle w:val="13"/>
        <w:jc w:val="center"/>
        <w:rPr>
          <w:rFonts w:hint="eastAsia" w:ascii="宋体" w:hAnsi="宋体" w:eastAsia="宋体" w:cs="宋体"/>
          <w:b/>
          <w:bCs/>
          <w:color w:val="auto"/>
          <w:sz w:val="96"/>
          <w:szCs w:val="96"/>
        </w:rPr>
      </w:pPr>
      <w:r>
        <w:rPr>
          <w:rFonts w:hint="eastAsia" w:ascii="宋体" w:hAnsi="宋体" w:eastAsia="宋体" w:cs="宋体"/>
          <w:b/>
          <w:color w:val="auto"/>
          <w:sz w:val="96"/>
          <w:szCs w:val="96"/>
        </w:rPr>
        <w:t>攸县政府采购</w:t>
      </w:r>
    </w:p>
    <w:p w14:paraId="41AA993E">
      <w:pPr>
        <w:pStyle w:val="13"/>
        <w:adjustRightInd w:val="0"/>
        <w:snapToGrid w:val="0"/>
        <w:spacing w:line="360" w:lineRule="auto"/>
        <w:jc w:val="center"/>
        <w:rPr>
          <w:rFonts w:hint="eastAsia" w:ascii="宋体" w:hAnsi="宋体" w:eastAsia="宋体" w:cs="宋体"/>
          <w:b/>
          <w:color w:val="auto"/>
          <w:sz w:val="96"/>
          <w:szCs w:val="96"/>
        </w:rPr>
      </w:pPr>
      <w:bookmarkStart w:id="0" w:name="_Toc6679"/>
      <w:bookmarkStart w:id="1" w:name="_Toc1976"/>
      <w:r>
        <w:rPr>
          <w:rFonts w:hint="eastAsia" w:ascii="宋体" w:hAnsi="宋体" w:eastAsia="宋体" w:cs="宋体"/>
          <w:b/>
          <w:color w:val="auto"/>
          <w:sz w:val="96"/>
          <w:szCs w:val="96"/>
        </w:rPr>
        <w:t>竞争性磋商文件</w:t>
      </w:r>
      <w:bookmarkEnd w:id="0"/>
      <w:bookmarkEnd w:id="1"/>
    </w:p>
    <w:p w14:paraId="3A3B4821">
      <w:pPr>
        <w:adjustRightInd w:val="0"/>
        <w:snapToGrid w:val="0"/>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44"/>
          <w:szCs w:val="44"/>
        </w:rPr>
        <w:t>(服务类)</w:t>
      </w:r>
    </w:p>
    <w:p w14:paraId="5858B6F1">
      <w:pPr>
        <w:pStyle w:val="48"/>
        <w:rPr>
          <w:rFonts w:hint="eastAsia" w:ascii="宋体" w:hAnsi="宋体" w:eastAsia="宋体" w:cs="宋体"/>
          <w:b/>
          <w:color w:val="auto"/>
          <w:sz w:val="30"/>
          <w:szCs w:val="30"/>
        </w:rPr>
      </w:pPr>
    </w:p>
    <w:p w14:paraId="066F0B85">
      <w:pPr>
        <w:pStyle w:val="48"/>
        <w:rPr>
          <w:rFonts w:hint="eastAsia" w:ascii="宋体" w:hAnsi="宋体" w:eastAsia="宋体" w:cs="宋体"/>
          <w:b/>
          <w:color w:val="auto"/>
          <w:sz w:val="30"/>
          <w:szCs w:val="30"/>
        </w:rPr>
      </w:pPr>
    </w:p>
    <w:p w14:paraId="51DCC1E2">
      <w:pPr>
        <w:pStyle w:val="48"/>
        <w:rPr>
          <w:rFonts w:hint="eastAsia" w:ascii="宋体" w:hAnsi="宋体" w:eastAsia="宋体" w:cs="宋体"/>
          <w:b/>
          <w:color w:val="auto"/>
          <w:sz w:val="30"/>
          <w:szCs w:val="30"/>
        </w:rPr>
      </w:pPr>
    </w:p>
    <w:p w14:paraId="65E8BE8D">
      <w:pPr>
        <w:pStyle w:val="48"/>
        <w:rPr>
          <w:rFonts w:hint="eastAsia" w:ascii="宋体" w:hAnsi="宋体" w:eastAsia="宋体" w:cs="宋体"/>
          <w:b/>
          <w:color w:val="auto"/>
          <w:sz w:val="30"/>
          <w:szCs w:val="30"/>
        </w:rPr>
      </w:pPr>
    </w:p>
    <w:p w14:paraId="335762A6">
      <w:pPr>
        <w:pStyle w:val="13"/>
        <w:adjustRightInd w:val="0"/>
        <w:snapToGrid w:val="0"/>
        <w:spacing w:line="480" w:lineRule="auto"/>
        <w:ind w:firstLine="1181" w:firstLineChars="400"/>
        <w:jc w:val="both"/>
        <w:rPr>
          <w:rFonts w:hint="eastAsia" w:ascii="宋体" w:hAnsi="宋体" w:eastAsia="宋体" w:cs="宋体"/>
          <w:b/>
          <w:color w:val="auto"/>
          <w:w w:val="98"/>
          <w:sz w:val="30"/>
          <w:szCs w:val="30"/>
          <w:u w:val="single"/>
          <w:lang w:eastAsia="zh-CN"/>
        </w:rPr>
      </w:pPr>
      <w:r>
        <w:rPr>
          <w:rFonts w:hint="eastAsia" w:ascii="宋体" w:hAnsi="宋体" w:eastAsia="宋体" w:cs="宋体"/>
          <w:b/>
          <w:color w:val="auto"/>
          <w:w w:val="98"/>
          <w:sz w:val="30"/>
          <w:szCs w:val="30"/>
        </w:rPr>
        <w:t>采购项目名称：</w:t>
      </w:r>
      <w:r>
        <w:rPr>
          <w:rFonts w:hint="eastAsia" w:hAnsi="宋体" w:cs="宋体"/>
          <w:b/>
          <w:color w:val="auto"/>
          <w:w w:val="98"/>
          <w:sz w:val="30"/>
          <w:szCs w:val="30"/>
          <w:u w:val="single"/>
          <w:lang w:eastAsia="zh-CN"/>
        </w:rPr>
        <w:t>攸县国土空间总体规划动态维护项目</w:t>
      </w:r>
    </w:p>
    <w:p w14:paraId="731EEC51">
      <w:pPr>
        <w:pStyle w:val="13"/>
        <w:adjustRightInd w:val="0"/>
        <w:snapToGrid w:val="0"/>
        <w:spacing w:line="480" w:lineRule="auto"/>
        <w:ind w:firstLine="1205" w:firstLineChars="400"/>
        <w:rPr>
          <w:rFonts w:hint="eastAsia" w:ascii="宋体" w:hAnsi="宋体" w:eastAsia="宋体" w:cs="宋体"/>
          <w:b/>
          <w:color w:val="auto"/>
          <w:sz w:val="30"/>
          <w:szCs w:val="30"/>
          <w:u w:val="single"/>
          <w:lang w:eastAsia="zh-CN"/>
        </w:rPr>
      </w:pPr>
      <w:r>
        <w:rPr>
          <w:rFonts w:hint="eastAsia" w:ascii="宋体" w:hAnsi="宋体" w:eastAsia="宋体" w:cs="宋体"/>
          <w:b/>
          <w:color w:val="auto"/>
          <w:sz w:val="30"/>
          <w:szCs w:val="30"/>
        </w:rPr>
        <w:t>采   购   人：</w:t>
      </w:r>
      <w:r>
        <w:rPr>
          <w:rFonts w:hint="eastAsia" w:hAnsi="宋体" w:cs="宋体"/>
          <w:b/>
          <w:color w:val="auto"/>
          <w:sz w:val="30"/>
          <w:szCs w:val="30"/>
          <w:u w:val="single"/>
          <w:lang w:eastAsia="zh-CN"/>
        </w:rPr>
        <w:t>攸县自然资源局</w:t>
      </w:r>
    </w:p>
    <w:p w14:paraId="500722ED">
      <w:pPr>
        <w:pStyle w:val="13"/>
        <w:adjustRightInd w:val="0"/>
        <w:snapToGrid w:val="0"/>
        <w:spacing w:line="480" w:lineRule="auto"/>
        <w:ind w:left="3063" w:leftChars="598" w:hanging="1807" w:hangingChars="600"/>
        <w:rPr>
          <w:rFonts w:hint="eastAsia" w:ascii="宋体" w:hAnsi="宋体" w:eastAsia="宋体" w:cs="宋体"/>
          <w:b/>
          <w:color w:val="auto"/>
          <w:sz w:val="30"/>
          <w:szCs w:val="30"/>
          <w:u w:val="single"/>
          <w:lang w:eastAsia="zh-CN"/>
        </w:rPr>
      </w:pPr>
      <w:r>
        <w:rPr>
          <w:rFonts w:hint="eastAsia" w:ascii="宋体" w:hAnsi="宋体" w:eastAsia="宋体" w:cs="宋体"/>
          <w:b/>
          <w:color w:val="auto"/>
          <w:sz w:val="30"/>
          <w:szCs w:val="30"/>
        </w:rPr>
        <w:t xml:space="preserve">政府采购计划编号: </w:t>
      </w:r>
      <w:r>
        <w:rPr>
          <w:rFonts w:hint="eastAsia" w:hAnsi="宋体" w:cs="宋体"/>
          <w:b/>
          <w:color w:val="auto"/>
          <w:sz w:val="30"/>
          <w:szCs w:val="30"/>
          <w:u w:val="single"/>
          <w:lang w:eastAsia="zh-CN"/>
        </w:rPr>
        <w:t>攸财采计【2026】000081号</w:t>
      </w:r>
    </w:p>
    <w:p w14:paraId="0B7371D2">
      <w:pPr>
        <w:pStyle w:val="13"/>
        <w:adjustRightInd w:val="0"/>
        <w:snapToGrid w:val="0"/>
        <w:spacing w:line="480" w:lineRule="auto"/>
        <w:ind w:left="3063" w:leftChars="598" w:hanging="1807" w:hangingChars="600"/>
        <w:rPr>
          <w:rFonts w:hint="eastAsia" w:ascii="宋体" w:hAnsi="宋体" w:eastAsia="宋体" w:cs="宋体"/>
          <w:b/>
          <w:color w:val="auto"/>
          <w:sz w:val="30"/>
          <w:szCs w:val="30"/>
          <w:u w:val="single"/>
          <w:lang w:eastAsia="zh-CN"/>
        </w:rPr>
      </w:pPr>
      <w:r>
        <w:rPr>
          <w:rFonts w:hint="eastAsia" w:ascii="宋体" w:hAnsi="宋体" w:eastAsia="宋体" w:cs="宋体"/>
          <w:b/>
          <w:color w:val="auto"/>
          <w:sz w:val="30"/>
          <w:szCs w:val="30"/>
        </w:rPr>
        <w:t xml:space="preserve">委托代理编号: </w:t>
      </w:r>
      <w:r>
        <w:rPr>
          <w:rFonts w:hint="eastAsia" w:hAnsi="宋体" w:cs="宋体"/>
          <w:b/>
          <w:color w:val="auto"/>
          <w:sz w:val="30"/>
          <w:szCs w:val="30"/>
          <w:u w:val="single"/>
          <w:lang w:eastAsia="zh-CN"/>
        </w:rPr>
        <w:t>HNTD-ZFCG-2026-17</w:t>
      </w:r>
    </w:p>
    <w:p w14:paraId="199DCC16">
      <w:pPr>
        <w:pStyle w:val="13"/>
        <w:adjustRightInd w:val="0"/>
        <w:snapToGrid w:val="0"/>
        <w:spacing w:line="480" w:lineRule="auto"/>
        <w:ind w:left="3063" w:leftChars="598" w:hanging="1807" w:hangingChars="600"/>
        <w:rPr>
          <w:rFonts w:hint="eastAsia" w:ascii="宋体" w:hAnsi="宋体" w:eastAsia="宋体" w:cs="宋体"/>
          <w:b/>
          <w:color w:val="auto"/>
          <w:sz w:val="30"/>
          <w:szCs w:val="30"/>
          <w:u w:val="single"/>
        </w:rPr>
      </w:pPr>
      <w:r>
        <w:rPr>
          <w:rFonts w:hint="eastAsia" w:ascii="宋体" w:hAnsi="宋体" w:eastAsia="宋体" w:cs="宋体"/>
          <w:b/>
          <w:color w:val="auto"/>
          <w:sz w:val="30"/>
          <w:szCs w:val="30"/>
        </w:rPr>
        <w:t>采购代理机构：</w:t>
      </w:r>
      <w:r>
        <w:rPr>
          <w:rFonts w:hint="eastAsia" w:ascii="宋体" w:hAnsi="宋体" w:eastAsia="宋体" w:cs="宋体"/>
          <w:b/>
          <w:color w:val="auto"/>
          <w:sz w:val="30"/>
          <w:szCs w:val="30"/>
          <w:u w:val="single"/>
        </w:rPr>
        <w:t>湖南泰斗招标代理有限公司</w:t>
      </w:r>
    </w:p>
    <w:p w14:paraId="4E1DAE51">
      <w:pPr>
        <w:pStyle w:val="13"/>
        <w:adjustRightInd w:val="0"/>
        <w:snapToGrid w:val="0"/>
        <w:spacing w:line="480" w:lineRule="auto"/>
        <w:ind w:left="3066" w:leftChars="456" w:hanging="2108" w:hangingChars="700"/>
        <w:rPr>
          <w:rFonts w:hint="eastAsia" w:ascii="宋体" w:hAnsi="宋体" w:eastAsia="宋体" w:cs="宋体"/>
          <w:b/>
          <w:color w:val="auto"/>
          <w:sz w:val="30"/>
          <w:szCs w:val="30"/>
          <w:u w:val="single"/>
        </w:rPr>
      </w:pPr>
    </w:p>
    <w:p w14:paraId="715BBE35">
      <w:pPr>
        <w:pStyle w:val="13"/>
        <w:spacing w:beforeLines="50"/>
        <w:jc w:val="center"/>
        <w:rPr>
          <w:rFonts w:hint="eastAsia" w:ascii="宋体" w:hAnsi="宋体" w:eastAsia="宋体" w:cs="宋体"/>
          <w:b/>
          <w:color w:val="auto"/>
          <w:sz w:val="30"/>
          <w:szCs w:val="30"/>
        </w:rPr>
      </w:pPr>
      <w:r>
        <w:rPr>
          <w:rFonts w:hint="eastAsia" w:ascii="宋体" w:hAnsi="宋体" w:eastAsia="宋体" w:cs="宋体"/>
          <w:b/>
          <w:color w:val="auto"/>
          <w:sz w:val="30"/>
          <w:szCs w:val="30"/>
        </w:rPr>
        <w:t xml:space="preserve"> 202</w:t>
      </w:r>
      <w:r>
        <w:rPr>
          <w:rFonts w:hint="eastAsia" w:ascii="宋体" w:hAnsi="宋体" w:eastAsia="宋体" w:cs="宋体"/>
          <w:b/>
          <w:color w:val="auto"/>
          <w:sz w:val="30"/>
          <w:szCs w:val="30"/>
          <w:lang w:val="en-US" w:eastAsia="zh-CN"/>
        </w:rPr>
        <w:t>6</w:t>
      </w:r>
      <w:r>
        <w:rPr>
          <w:rFonts w:hint="eastAsia" w:ascii="宋体" w:hAnsi="宋体" w:eastAsia="宋体" w:cs="宋体"/>
          <w:b/>
          <w:color w:val="auto"/>
          <w:sz w:val="30"/>
          <w:szCs w:val="30"/>
        </w:rPr>
        <w:t>年</w:t>
      </w:r>
      <w:r>
        <w:rPr>
          <w:rFonts w:hint="eastAsia" w:hAnsi="宋体" w:cs="宋体"/>
          <w:b/>
          <w:color w:val="auto"/>
          <w:sz w:val="30"/>
          <w:szCs w:val="30"/>
          <w:lang w:val="en-US" w:eastAsia="zh-CN"/>
        </w:rPr>
        <w:t>7</w:t>
      </w:r>
      <w:r>
        <w:rPr>
          <w:rFonts w:hint="eastAsia" w:ascii="宋体" w:hAnsi="宋体" w:eastAsia="宋体" w:cs="宋体"/>
          <w:b/>
          <w:color w:val="auto"/>
          <w:sz w:val="30"/>
          <w:szCs w:val="30"/>
        </w:rPr>
        <w:t>月</w:t>
      </w:r>
    </w:p>
    <w:p w14:paraId="7116CAEC">
      <w:pPr>
        <w:pStyle w:val="13"/>
        <w:adjustRightInd w:val="0"/>
        <w:snapToGrid w:val="0"/>
        <w:spacing w:line="360" w:lineRule="auto"/>
        <w:rPr>
          <w:rFonts w:hint="eastAsia" w:ascii="宋体" w:hAnsi="宋体" w:eastAsia="宋体" w:cs="宋体"/>
          <w:b/>
          <w:color w:val="auto"/>
          <w:spacing w:val="160"/>
          <w:sz w:val="32"/>
          <w:szCs w:val="32"/>
        </w:rPr>
      </w:pPr>
    </w:p>
    <w:p w14:paraId="6EEB296A">
      <w:pPr>
        <w:pStyle w:val="10"/>
        <w:rPr>
          <w:rFonts w:hint="eastAsia" w:ascii="宋体" w:hAnsi="宋体" w:eastAsia="宋体" w:cs="宋体"/>
          <w:color w:val="auto"/>
        </w:rPr>
      </w:pPr>
    </w:p>
    <w:p w14:paraId="766DFFC6">
      <w:pPr>
        <w:pStyle w:val="10"/>
        <w:rPr>
          <w:rFonts w:hint="eastAsia" w:ascii="宋体" w:hAnsi="宋体" w:eastAsia="宋体" w:cs="宋体"/>
          <w:color w:val="auto"/>
        </w:rPr>
      </w:pPr>
    </w:p>
    <w:p w14:paraId="76EB3FA2">
      <w:pPr>
        <w:pStyle w:val="10"/>
        <w:rPr>
          <w:rFonts w:hint="eastAsia" w:ascii="宋体" w:hAnsi="宋体" w:eastAsia="宋体" w:cs="宋体"/>
          <w:color w:val="auto"/>
        </w:rPr>
      </w:pPr>
    </w:p>
    <w:p w14:paraId="14489966">
      <w:pPr>
        <w:pStyle w:val="10"/>
        <w:rPr>
          <w:rFonts w:hint="eastAsia" w:ascii="宋体" w:hAnsi="宋体" w:eastAsia="宋体" w:cs="宋体"/>
          <w:color w:val="auto"/>
        </w:rPr>
      </w:pPr>
    </w:p>
    <w:sdt>
      <w:sdtPr>
        <w:rPr>
          <w:rFonts w:hint="eastAsia" w:ascii="宋体" w:hAnsi="宋体" w:eastAsia="宋体" w:cs="宋体"/>
          <w:color w:val="auto"/>
          <w:kern w:val="0"/>
          <w:sz w:val="20"/>
          <w:szCs w:val="20"/>
        </w:rPr>
        <w:id w:val="147467366"/>
        <w:docPartObj>
          <w:docPartGallery w:val="Table of Contents"/>
          <w:docPartUnique/>
        </w:docPartObj>
      </w:sdtPr>
      <w:sdtEndPr>
        <w:rPr>
          <w:rFonts w:hint="eastAsia" w:ascii="宋体" w:hAnsi="宋体" w:eastAsia="宋体" w:cs="宋体"/>
          <w:color w:val="auto"/>
          <w:kern w:val="0"/>
          <w:sz w:val="20"/>
          <w:szCs w:val="20"/>
        </w:rPr>
      </w:sdtEndPr>
      <w:sdtContent>
        <w:p w14:paraId="7B42938D">
          <w:pPr>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目  录</w:t>
          </w:r>
        </w:p>
        <w:p w14:paraId="75075116">
          <w:pPr>
            <w:pStyle w:val="19"/>
            <w:tabs>
              <w:tab w:val="right" w:leader="dot" w:pos="8844"/>
            </w:tabs>
            <w:rPr>
              <w:rFonts w:hint="eastAsia" w:ascii="宋体" w:hAnsi="宋体" w:eastAsia="宋体" w:cs="宋体"/>
              <w:color w:val="auto"/>
            </w:rPr>
          </w:pPr>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TOC \o "1-3" \h \u </w:instrText>
          </w:r>
          <w:r>
            <w:rPr>
              <w:rFonts w:hint="eastAsia" w:ascii="宋体" w:hAnsi="宋体" w:eastAsia="宋体" w:cs="宋体"/>
              <w:b/>
              <w:color w:val="auto"/>
              <w:sz w:val="32"/>
              <w:szCs w:val="32"/>
            </w:rPr>
            <w:fldChar w:fldCharType="separate"/>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"_Toc18699" </w:instrText>
          </w:r>
          <w:r>
            <w:rPr>
              <w:rFonts w:hint="eastAsia" w:ascii="宋体" w:hAnsi="宋体" w:eastAsia="宋体" w:cs="宋体"/>
              <w:color w:val="auto"/>
            </w:rPr>
            <w:fldChar w:fldCharType="separate"/>
          </w:r>
          <w:r>
            <w:rPr>
              <w:rFonts w:hint="eastAsia" w:ascii="宋体" w:hAnsi="宋体" w:eastAsia="宋体" w:cs="宋体"/>
              <w:color w:val="auto"/>
              <w:szCs w:val="32"/>
            </w:rPr>
            <w:t>第一章 磋商公告</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_Toc18699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7ED10A8A">
          <w:pPr>
            <w:pStyle w:val="19"/>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"_Toc20036" </w:instrText>
          </w:r>
          <w:r>
            <w:rPr>
              <w:rFonts w:hint="eastAsia" w:ascii="宋体" w:hAnsi="宋体" w:eastAsia="宋体" w:cs="宋体"/>
              <w:color w:val="auto"/>
            </w:rPr>
            <w:fldChar w:fldCharType="separate"/>
          </w:r>
          <w:r>
            <w:rPr>
              <w:rFonts w:hint="eastAsia" w:ascii="宋体" w:hAnsi="宋体" w:eastAsia="宋体" w:cs="宋体"/>
              <w:color w:val="auto"/>
              <w:szCs w:val="32"/>
            </w:rPr>
            <w:t>第二章 磋商须知</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_Toc20036 \h </w:instrText>
          </w:r>
          <w:r>
            <w:rPr>
              <w:rFonts w:hint="eastAsia" w:ascii="宋体" w:hAnsi="宋体" w:eastAsia="宋体" w:cs="宋体"/>
              <w:color w:val="auto"/>
            </w:rPr>
            <w:fldChar w:fldCharType="separate"/>
          </w:r>
          <w:r>
            <w:rPr>
              <w:rFonts w:hint="eastAsia" w:ascii="宋体" w:hAnsi="宋体" w:eastAsia="宋体" w:cs="宋体"/>
              <w:color w:val="auto"/>
            </w:rPr>
            <w:t>6</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17B6E395">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"_Toc1645" </w:instrText>
          </w:r>
          <w:r>
            <w:rPr>
              <w:rFonts w:hint="eastAsia" w:ascii="宋体" w:hAnsi="宋体" w:eastAsia="宋体" w:cs="宋体"/>
              <w:color w:val="auto"/>
            </w:rPr>
            <w:fldChar w:fldCharType="separate"/>
          </w:r>
          <w:r>
            <w:rPr>
              <w:rFonts w:hint="eastAsia" w:ascii="宋体" w:hAnsi="宋体" w:eastAsia="宋体" w:cs="宋体"/>
              <w:color w:val="auto"/>
            </w:rPr>
            <w:t>磋商须知前附表</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_Toc1645 \h </w:instrText>
          </w:r>
          <w:r>
            <w:rPr>
              <w:rFonts w:hint="eastAsia" w:ascii="宋体" w:hAnsi="宋体" w:eastAsia="宋体" w:cs="宋体"/>
              <w:color w:val="auto"/>
            </w:rPr>
            <w:fldChar w:fldCharType="separate"/>
          </w:r>
          <w:r>
            <w:rPr>
              <w:rFonts w:hint="eastAsia" w:ascii="宋体" w:hAnsi="宋体" w:eastAsia="宋体" w:cs="宋体"/>
              <w:color w:val="auto"/>
            </w:rPr>
            <w:t>6</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7573F67F">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"_Toc14117" </w:instrText>
          </w:r>
          <w:r>
            <w:rPr>
              <w:rFonts w:hint="eastAsia" w:ascii="宋体" w:hAnsi="宋体" w:eastAsia="宋体" w:cs="宋体"/>
              <w:color w:val="auto"/>
            </w:rPr>
            <w:fldChar w:fldCharType="separate"/>
          </w:r>
          <w:r>
            <w:rPr>
              <w:rFonts w:hint="eastAsia" w:ascii="宋体" w:hAnsi="宋体" w:eastAsia="宋体" w:cs="宋体"/>
              <w:color w:val="auto"/>
              <w:szCs w:val="28"/>
            </w:rPr>
            <w:t>磋商须知正文</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_Toc14117 \h </w:instrText>
          </w:r>
          <w:r>
            <w:rPr>
              <w:rFonts w:hint="eastAsia" w:ascii="宋体" w:hAnsi="宋体" w:eastAsia="宋体" w:cs="宋体"/>
              <w:color w:val="auto"/>
            </w:rPr>
            <w:fldChar w:fldCharType="separate"/>
          </w:r>
          <w:r>
            <w:rPr>
              <w:rFonts w:hint="eastAsia" w:ascii="宋体" w:hAnsi="宋体" w:eastAsia="宋体" w:cs="宋体"/>
              <w:color w:val="auto"/>
            </w:rPr>
            <w:t>10</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B0D278F">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"_Toc18260" </w:instrText>
          </w:r>
          <w:r>
            <w:rPr>
              <w:rFonts w:hint="eastAsia" w:ascii="宋体" w:hAnsi="宋体" w:eastAsia="宋体" w:cs="宋体"/>
              <w:color w:val="auto"/>
            </w:rPr>
            <w:fldChar w:fldCharType="separate"/>
          </w:r>
          <w:r>
            <w:rPr>
              <w:rFonts w:hint="eastAsia" w:ascii="宋体" w:hAnsi="宋体" w:eastAsia="宋体" w:cs="宋体"/>
              <w:color w:val="auto"/>
              <w:szCs w:val="21"/>
            </w:rPr>
            <w:t>一、说明</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_Toc18260 \h </w:instrText>
          </w:r>
          <w:r>
            <w:rPr>
              <w:rFonts w:hint="eastAsia" w:ascii="宋体" w:hAnsi="宋体" w:eastAsia="宋体" w:cs="宋体"/>
              <w:color w:val="auto"/>
            </w:rPr>
            <w:fldChar w:fldCharType="separate"/>
          </w:r>
          <w:r>
            <w:rPr>
              <w:rFonts w:hint="eastAsia" w:ascii="宋体" w:hAnsi="宋体" w:eastAsia="宋体" w:cs="宋体"/>
              <w:color w:val="auto"/>
            </w:rPr>
            <w:t>10</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B4E5C78">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"_Toc26096" </w:instrText>
          </w:r>
          <w:r>
            <w:rPr>
              <w:rFonts w:hint="eastAsia" w:ascii="宋体" w:hAnsi="宋体" w:eastAsia="宋体" w:cs="宋体"/>
              <w:color w:val="auto"/>
            </w:rPr>
            <w:fldChar w:fldCharType="separate"/>
          </w:r>
          <w:r>
            <w:rPr>
              <w:rFonts w:hint="eastAsia" w:ascii="宋体" w:hAnsi="宋体" w:eastAsia="宋体" w:cs="宋体"/>
              <w:color w:val="auto"/>
              <w:szCs w:val="21"/>
            </w:rPr>
            <w:t>二、磋商文件</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_Toc26096 \h </w:instrText>
          </w:r>
          <w:r>
            <w:rPr>
              <w:rFonts w:hint="eastAsia" w:ascii="宋体" w:hAnsi="宋体" w:eastAsia="宋体" w:cs="宋体"/>
              <w:color w:val="auto"/>
            </w:rPr>
            <w:fldChar w:fldCharType="separate"/>
          </w:r>
          <w:r>
            <w:rPr>
              <w:rFonts w:hint="eastAsia" w:ascii="宋体" w:hAnsi="宋体" w:eastAsia="宋体" w:cs="宋体"/>
              <w:color w:val="auto"/>
            </w:rPr>
            <w:t>11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1146216F">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"_Toc14868" </w:instrText>
          </w:r>
          <w:r>
            <w:rPr>
              <w:rFonts w:hint="eastAsia" w:ascii="宋体" w:hAnsi="宋体" w:eastAsia="宋体" w:cs="宋体"/>
              <w:color w:val="auto"/>
            </w:rPr>
            <w:fldChar w:fldCharType="separate"/>
          </w:r>
          <w:r>
            <w:rPr>
              <w:rFonts w:hint="eastAsia" w:ascii="宋体" w:hAnsi="宋体" w:eastAsia="宋体" w:cs="宋体"/>
              <w:color w:val="auto"/>
              <w:szCs w:val="21"/>
            </w:rPr>
            <w:t>三、响应文件</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_Toc14868 \h </w:instrText>
          </w:r>
          <w:r>
            <w:rPr>
              <w:rFonts w:hint="eastAsia" w:ascii="宋体" w:hAnsi="宋体" w:eastAsia="宋体" w:cs="宋体"/>
              <w:color w:val="auto"/>
            </w:rPr>
            <w:fldChar w:fldCharType="separate"/>
          </w:r>
          <w:r>
            <w:rPr>
              <w:rFonts w:hint="eastAsia" w:ascii="宋体" w:hAnsi="宋体" w:eastAsia="宋体" w:cs="宋体"/>
              <w:color w:val="auto"/>
            </w:rPr>
            <w:t>12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1695C1C6">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"_Toc5493" </w:instrText>
          </w:r>
          <w:r>
            <w:rPr>
              <w:rFonts w:hint="eastAsia" w:ascii="宋体" w:hAnsi="宋体" w:eastAsia="宋体" w:cs="宋体"/>
              <w:color w:val="auto"/>
            </w:rPr>
            <w:fldChar w:fldCharType="separate"/>
          </w:r>
          <w:r>
            <w:rPr>
              <w:rFonts w:hint="eastAsia" w:ascii="宋体" w:hAnsi="宋体" w:eastAsia="宋体" w:cs="宋体"/>
              <w:color w:val="auto"/>
              <w:szCs w:val="21"/>
            </w:rPr>
            <w:t>四、响应文件的递交</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_Toc5493 \h </w:instrText>
          </w:r>
          <w:r>
            <w:rPr>
              <w:rFonts w:hint="eastAsia" w:ascii="宋体" w:hAnsi="宋体" w:eastAsia="宋体" w:cs="宋体"/>
              <w:color w:val="auto"/>
            </w:rPr>
            <w:fldChar w:fldCharType="separate"/>
          </w:r>
          <w:r>
            <w:rPr>
              <w:rFonts w:hint="eastAsia" w:ascii="宋体" w:hAnsi="宋体" w:eastAsia="宋体" w:cs="宋体"/>
              <w:color w:val="auto"/>
            </w:rPr>
            <w:t>15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22DEE861">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"_Toc1242" </w:instrText>
          </w:r>
          <w:r>
            <w:rPr>
              <w:rFonts w:hint="eastAsia" w:ascii="宋体" w:hAnsi="宋体" w:eastAsia="宋体" w:cs="宋体"/>
              <w:color w:val="auto"/>
            </w:rPr>
            <w:fldChar w:fldCharType="separate"/>
          </w:r>
          <w:r>
            <w:rPr>
              <w:rFonts w:hint="eastAsia" w:ascii="宋体" w:hAnsi="宋体" w:eastAsia="宋体" w:cs="宋体"/>
              <w:bCs/>
              <w:color w:val="auto"/>
              <w:szCs w:val="21"/>
            </w:rPr>
            <w:t>五、响应文件的</w:t>
          </w:r>
          <w:r>
            <w:rPr>
              <w:rFonts w:hint="eastAsia" w:ascii="宋体" w:hAnsi="宋体" w:eastAsia="宋体" w:cs="宋体"/>
              <w:color w:val="auto"/>
              <w:szCs w:val="21"/>
            </w:rPr>
            <w:t>评审与磋商</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_Toc1242 \h </w:instrText>
          </w:r>
          <w:r>
            <w:rPr>
              <w:rFonts w:hint="eastAsia" w:ascii="宋体" w:hAnsi="宋体" w:eastAsia="宋体" w:cs="宋体"/>
              <w:color w:val="auto"/>
            </w:rPr>
            <w:fldChar w:fldCharType="separate"/>
          </w:r>
          <w:r>
            <w:rPr>
              <w:rFonts w:hint="eastAsia" w:ascii="宋体" w:hAnsi="宋体" w:eastAsia="宋体" w:cs="宋体"/>
              <w:color w:val="auto"/>
            </w:rPr>
            <w:t>15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B3454BE">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"_Toc22339" </w:instrText>
          </w:r>
          <w:r>
            <w:rPr>
              <w:rFonts w:hint="eastAsia" w:ascii="宋体" w:hAnsi="宋体" w:eastAsia="宋体" w:cs="宋体"/>
              <w:color w:val="auto"/>
            </w:rPr>
            <w:fldChar w:fldCharType="separate"/>
          </w:r>
          <w:r>
            <w:rPr>
              <w:rFonts w:hint="eastAsia" w:ascii="宋体" w:hAnsi="宋体" w:eastAsia="宋体" w:cs="宋体"/>
              <w:color w:val="auto"/>
              <w:szCs w:val="21"/>
            </w:rPr>
            <w:t>六、成交结果信息公布与授予合同</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_Toc22339 \h </w:instrText>
          </w:r>
          <w:r>
            <w:rPr>
              <w:rFonts w:hint="eastAsia" w:ascii="宋体" w:hAnsi="宋体" w:eastAsia="宋体" w:cs="宋体"/>
              <w:color w:val="auto"/>
            </w:rPr>
            <w:fldChar w:fldCharType="separate"/>
          </w:r>
          <w:r>
            <w:rPr>
              <w:rFonts w:hint="eastAsia" w:ascii="宋体" w:hAnsi="宋体" w:eastAsia="宋体" w:cs="宋体"/>
              <w:color w:val="auto"/>
            </w:rPr>
            <w:t>20</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4C107E4">
          <w:pPr>
            <w:pStyle w:val="12"/>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"_Toc20138" </w:instrText>
          </w:r>
          <w:r>
            <w:rPr>
              <w:rFonts w:hint="eastAsia" w:ascii="宋体" w:hAnsi="宋体" w:eastAsia="宋体" w:cs="宋体"/>
              <w:color w:val="auto"/>
            </w:rPr>
            <w:fldChar w:fldCharType="separate"/>
          </w:r>
          <w:r>
            <w:rPr>
              <w:rFonts w:hint="eastAsia" w:ascii="宋体" w:hAnsi="宋体" w:eastAsia="宋体" w:cs="宋体"/>
              <w:color w:val="auto"/>
            </w:rPr>
            <w:t>七、其他规定</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_Toc20138 \h </w:instrText>
          </w:r>
          <w:r>
            <w:rPr>
              <w:rFonts w:hint="eastAsia" w:ascii="宋体" w:hAnsi="宋体" w:eastAsia="宋体" w:cs="宋体"/>
              <w:color w:val="auto"/>
            </w:rPr>
            <w:fldChar w:fldCharType="separate"/>
          </w:r>
          <w:r>
            <w:rPr>
              <w:rFonts w:hint="eastAsia" w:ascii="宋体" w:hAnsi="宋体" w:eastAsia="宋体" w:cs="宋体"/>
              <w:color w:val="auto"/>
            </w:rPr>
            <w:t>21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663212C2">
          <w:pPr>
            <w:pStyle w:val="19"/>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"_Toc27450" </w:instrText>
          </w:r>
          <w:r>
            <w:rPr>
              <w:rFonts w:hint="eastAsia" w:ascii="宋体" w:hAnsi="宋体" w:eastAsia="宋体" w:cs="宋体"/>
              <w:color w:val="auto"/>
            </w:rPr>
            <w:fldChar w:fldCharType="separate"/>
          </w:r>
          <w:r>
            <w:rPr>
              <w:rFonts w:hint="eastAsia" w:ascii="宋体" w:hAnsi="宋体" w:eastAsia="宋体" w:cs="宋体"/>
              <w:bCs/>
              <w:color w:val="auto"/>
              <w:szCs w:val="32"/>
            </w:rPr>
            <w:t>第三章 评审办法及标准</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_Toc27450 \h </w:instrText>
          </w:r>
          <w:r>
            <w:rPr>
              <w:rFonts w:hint="eastAsia" w:ascii="宋体" w:hAnsi="宋体" w:eastAsia="宋体" w:cs="宋体"/>
              <w:color w:val="auto"/>
            </w:rPr>
            <w:fldChar w:fldCharType="separate"/>
          </w:r>
          <w:r>
            <w:rPr>
              <w:rFonts w:hint="eastAsia" w:ascii="宋体" w:hAnsi="宋体" w:eastAsia="宋体" w:cs="宋体"/>
              <w:color w:val="auto"/>
            </w:rPr>
            <w:t>22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89C9D3F">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"_Toc24880" </w:instrText>
          </w:r>
          <w:r>
            <w:rPr>
              <w:rFonts w:hint="eastAsia" w:ascii="宋体" w:hAnsi="宋体" w:eastAsia="宋体" w:cs="宋体"/>
              <w:color w:val="auto"/>
            </w:rPr>
            <w:fldChar w:fldCharType="separate"/>
          </w:r>
          <w:r>
            <w:rPr>
              <w:rFonts w:hint="eastAsia" w:ascii="宋体" w:hAnsi="宋体" w:eastAsia="宋体" w:cs="宋体"/>
              <w:color w:val="auto"/>
              <w:szCs w:val="21"/>
            </w:rPr>
            <w:t>1.磋商小组</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_Toc24880 \h </w:instrText>
          </w:r>
          <w:r>
            <w:rPr>
              <w:rFonts w:hint="eastAsia" w:ascii="宋体" w:hAnsi="宋体" w:eastAsia="宋体" w:cs="宋体"/>
              <w:color w:val="auto"/>
            </w:rPr>
            <w:fldChar w:fldCharType="separate"/>
          </w:r>
          <w:r>
            <w:rPr>
              <w:rFonts w:hint="eastAsia" w:ascii="宋体" w:hAnsi="宋体" w:eastAsia="宋体" w:cs="宋体"/>
              <w:color w:val="auto"/>
            </w:rPr>
            <w:t>22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93A209B">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"_Toc24724" </w:instrText>
          </w:r>
          <w:r>
            <w:rPr>
              <w:rFonts w:hint="eastAsia" w:ascii="宋体" w:hAnsi="宋体" w:eastAsia="宋体" w:cs="宋体"/>
              <w:color w:val="auto"/>
            </w:rPr>
            <w:fldChar w:fldCharType="separate"/>
          </w:r>
          <w:r>
            <w:rPr>
              <w:rFonts w:hint="eastAsia" w:ascii="宋体" w:hAnsi="宋体" w:eastAsia="宋体" w:cs="宋体"/>
              <w:bCs/>
              <w:color w:val="auto"/>
              <w:szCs w:val="21"/>
            </w:rPr>
            <w:t>2.</w:t>
          </w:r>
          <w:r>
            <w:rPr>
              <w:rFonts w:hint="eastAsia" w:ascii="宋体" w:hAnsi="宋体" w:eastAsia="宋体" w:cs="宋体"/>
              <w:color w:val="auto"/>
              <w:szCs w:val="21"/>
            </w:rPr>
            <w:t>评审方法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_Toc24724 \h </w:instrText>
          </w:r>
          <w:r>
            <w:rPr>
              <w:rFonts w:hint="eastAsia" w:ascii="宋体" w:hAnsi="宋体" w:eastAsia="宋体" w:cs="宋体"/>
              <w:color w:val="auto"/>
            </w:rPr>
            <w:fldChar w:fldCharType="separate"/>
          </w:r>
          <w:r>
            <w:rPr>
              <w:rFonts w:hint="eastAsia" w:ascii="宋体" w:hAnsi="宋体" w:eastAsia="宋体" w:cs="宋体"/>
              <w:color w:val="auto"/>
            </w:rPr>
            <w:t>22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1E1EF292">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"_Toc12805" </w:instrText>
          </w:r>
          <w:r>
            <w:rPr>
              <w:rFonts w:hint="eastAsia" w:ascii="宋体" w:hAnsi="宋体" w:eastAsia="宋体" w:cs="宋体"/>
              <w:color w:val="auto"/>
            </w:rPr>
            <w:fldChar w:fldCharType="separate"/>
          </w:r>
          <w:r>
            <w:rPr>
              <w:rFonts w:hint="eastAsia" w:ascii="宋体" w:hAnsi="宋体" w:eastAsia="宋体" w:cs="宋体"/>
              <w:bCs/>
              <w:color w:val="auto"/>
              <w:szCs w:val="21"/>
            </w:rPr>
            <w:t>3.比较与评价</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_Toc12805 \h </w:instrText>
          </w:r>
          <w:r>
            <w:rPr>
              <w:rFonts w:hint="eastAsia" w:ascii="宋体" w:hAnsi="宋体" w:eastAsia="宋体" w:cs="宋体"/>
              <w:color w:val="auto"/>
            </w:rPr>
            <w:fldChar w:fldCharType="separate"/>
          </w:r>
          <w:r>
            <w:rPr>
              <w:rFonts w:hint="eastAsia" w:ascii="宋体" w:hAnsi="宋体" w:eastAsia="宋体" w:cs="宋体"/>
              <w:color w:val="auto"/>
            </w:rPr>
            <w:t>22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52F937E">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"_Toc13448" </w:instrText>
          </w:r>
          <w:r>
            <w:rPr>
              <w:rFonts w:hint="eastAsia" w:ascii="宋体" w:hAnsi="宋体" w:eastAsia="宋体" w:cs="宋体"/>
              <w:color w:val="auto"/>
            </w:rPr>
            <w:fldChar w:fldCharType="separate"/>
          </w:r>
          <w:r>
            <w:rPr>
              <w:rFonts w:hint="eastAsia" w:ascii="宋体" w:hAnsi="宋体" w:eastAsia="宋体" w:cs="宋体"/>
              <w:color w:val="auto"/>
              <w:szCs w:val="21"/>
            </w:rPr>
            <w:t>4.推荐成交候选人名单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_Toc13448 \h </w:instrText>
          </w:r>
          <w:r>
            <w:rPr>
              <w:rFonts w:hint="eastAsia" w:ascii="宋体" w:hAnsi="宋体" w:eastAsia="宋体" w:cs="宋体"/>
              <w:color w:val="auto"/>
            </w:rPr>
            <w:fldChar w:fldCharType="separate"/>
          </w:r>
          <w:r>
            <w:rPr>
              <w:rFonts w:hint="eastAsia" w:ascii="宋体" w:hAnsi="宋体" w:eastAsia="宋体" w:cs="宋体"/>
              <w:color w:val="auto"/>
            </w:rPr>
            <w:t>25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8F8F8C8">
          <w:pPr>
            <w:pStyle w:val="19"/>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"_Toc22379" </w:instrText>
          </w:r>
          <w:r>
            <w:rPr>
              <w:rFonts w:hint="eastAsia" w:ascii="宋体" w:hAnsi="宋体" w:eastAsia="宋体" w:cs="宋体"/>
              <w:color w:val="auto"/>
            </w:rPr>
            <w:fldChar w:fldCharType="separate"/>
          </w:r>
          <w:r>
            <w:rPr>
              <w:rFonts w:hint="eastAsia" w:ascii="宋体" w:hAnsi="宋体" w:eastAsia="宋体" w:cs="宋体"/>
              <w:color w:val="auto"/>
              <w:szCs w:val="32"/>
            </w:rPr>
            <w:t xml:space="preserve">第四章 </w:t>
          </w:r>
          <w:r>
            <w:rPr>
              <w:rFonts w:hint="eastAsia" w:ascii="宋体" w:hAnsi="宋体" w:eastAsia="宋体" w:cs="宋体"/>
              <w:bCs/>
              <w:color w:val="auto"/>
              <w:szCs w:val="32"/>
            </w:rPr>
            <w:t>政府采购合同格式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_Toc22379 \h </w:instrText>
          </w:r>
          <w:r>
            <w:rPr>
              <w:rFonts w:hint="eastAsia" w:ascii="宋体" w:hAnsi="宋体" w:eastAsia="宋体" w:cs="宋体"/>
              <w:color w:val="auto"/>
            </w:rPr>
            <w:fldChar w:fldCharType="separate"/>
          </w:r>
          <w:r>
            <w:rPr>
              <w:rFonts w:hint="eastAsia" w:ascii="宋体" w:hAnsi="宋体" w:eastAsia="宋体" w:cs="宋体"/>
              <w:color w:val="auto"/>
            </w:rPr>
            <w:t>26</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EAF7C47">
          <w:pPr>
            <w:pStyle w:val="19"/>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"_Toc688" </w:instrText>
          </w:r>
          <w:r>
            <w:rPr>
              <w:rFonts w:hint="eastAsia" w:ascii="宋体" w:hAnsi="宋体" w:eastAsia="宋体" w:cs="宋体"/>
              <w:color w:val="auto"/>
            </w:rPr>
            <w:fldChar w:fldCharType="separate"/>
          </w:r>
          <w:r>
            <w:rPr>
              <w:rFonts w:hint="eastAsia" w:ascii="宋体" w:hAnsi="宋体" w:eastAsia="宋体" w:cs="宋体"/>
              <w:color w:val="auto"/>
              <w:szCs w:val="32"/>
            </w:rPr>
            <w:t>第五章 采购需求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_Toc688 \h </w:instrText>
          </w:r>
          <w:r>
            <w:rPr>
              <w:rFonts w:hint="eastAsia" w:ascii="宋体" w:hAnsi="宋体" w:eastAsia="宋体" w:cs="宋体"/>
              <w:color w:val="auto"/>
            </w:rPr>
            <w:fldChar w:fldCharType="separate"/>
          </w:r>
          <w:r>
            <w:rPr>
              <w:rFonts w:hint="eastAsia" w:ascii="宋体" w:hAnsi="宋体" w:eastAsia="宋体" w:cs="宋体"/>
              <w:color w:val="auto"/>
            </w:rPr>
            <w:t>27</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31D69479">
          <w:pPr>
            <w:pStyle w:val="19"/>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"_Toc15251" </w:instrText>
          </w:r>
          <w:r>
            <w:rPr>
              <w:rFonts w:hint="eastAsia" w:ascii="宋体" w:hAnsi="宋体" w:eastAsia="宋体" w:cs="宋体"/>
              <w:color w:val="auto"/>
            </w:rPr>
            <w:fldChar w:fldCharType="separate"/>
          </w:r>
          <w:r>
            <w:rPr>
              <w:rFonts w:hint="eastAsia" w:ascii="宋体" w:hAnsi="宋体" w:eastAsia="宋体" w:cs="宋体"/>
              <w:color w:val="auto"/>
              <w:szCs w:val="32"/>
            </w:rPr>
            <w:t>第六章 响应文件组成</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_Toc15251 \h </w:instrText>
          </w:r>
          <w:r>
            <w:rPr>
              <w:rFonts w:hint="eastAsia" w:ascii="宋体" w:hAnsi="宋体" w:eastAsia="宋体" w:cs="宋体"/>
              <w:color w:val="auto"/>
            </w:rPr>
            <w:fldChar w:fldCharType="separate"/>
          </w:r>
          <w:r>
            <w:rPr>
              <w:rFonts w:hint="eastAsia" w:ascii="宋体" w:hAnsi="宋体" w:eastAsia="宋体" w:cs="宋体"/>
              <w:color w:val="auto"/>
            </w:rPr>
            <w:t>32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70238147">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"_Toc30041" </w:instrText>
          </w:r>
          <w:r>
            <w:rPr>
              <w:rFonts w:hint="eastAsia" w:ascii="宋体" w:hAnsi="宋体" w:eastAsia="宋体" w:cs="宋体"/>
              <w:color w:val="auto"/>
            </w:rPr>
            <w:fldChar w:fldCharType="separate"/>
          </w:r>
          <w:r>
            <w:rPr>
              <w:rFonts w:hint="eastAsia" w:ascii="宋体" w:hAnsi="宋体" w:eastAsia="宋体" w:cs="宋体"/>
              <w:color w:val="auto"/>
              <w:szCs w:val="32"/>
            </w:rPr>
            <w:t>一、磋商响应声明</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_Toc30041 \h </w:instrText>
          </w:r>
          <w:r>
            <w:rPr>
              <w:rFonts w:hint="eastAsia" w:ascii="宋体" w:hAnsi="宋体" w:eastAsia="宋体" w:cs="宋体"/>
              <w:color w:val="auto"/>
            </w:rPr>
            <w:fldChar w:fldCharType="separate"/>
          </w:r>
          <w:r>
            <w:rPr>
              <w:rFonts w:hint="eastAsia" w:ascii="宋体" w:hAnsi="宋体" w:eastAsia="宋体" w:cs="宋体"/>
              <w:color w:val="auto"/>
            </w:rPr>
            <w:t>34</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FEF11C7">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"_Toc4357" </w:instrText>
          </w:r>
          <w:r>
            <w:rPr>
              <w:rFonts w:hint="eastAsia" w:ascii="宋体" w:hAnsi="宋体" w:eastAsia="宋体" w:cs="宋体"/>
              <w:color w:val="auto"/>
            </w:rPr>
            <w:fldChar w:fldCharType="separate"/>
          </w:r>
          <w:r>
            <w:rPr>
              <w:rFonts w:hint="eastAsia" w:ascii="宋体" w:hAnsi="宋体" w:eastAsia="宋体" w:cs="宋体"/>
              <w:color w:val="auto"/>
              <w:szCs w:val="32"/>
            </w:rPr>
            <w:t>二、保证金</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_Toc4357 \h </w:instrText>
          </w:r>
          <w:r>
            <w:rPr>
              <w:rFonts w:hint="eastAsia" w:ascii="宋体" w:hAnsi="宋体" w:eastAsia="宋体" w:cs="宋体"/>
              <w:color w:val="auto"/>
            </w:rPr>
            <w:fldChar w:fldCharType="separate"/>
          </w:r>
          <w:r>
            <w:rPr>
              <w:rFonts w:hint="eastAsia" w:ascii="宋体" w:hAnsi="宋体" w:eastAsia="宋体" w:cs="宋体"/>
              <w:color w:val="auto"/>
            </w:rPr>
            <w:t>37</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6A67A5DF">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"_Toc9270" </w:instrText>
          </w:r>
          <w:r>
            <w:rPr>
              <w:rFonts w:hint="eastAsia" w:ascii="宋体" w:hAnsi="宋体" w:eastAsia="宋体" w:cs="宋体"/>
              <w:color w:val="auto"/>
            </w:rPr>
            <w:fldChar w:fldCharType="separate"/>
          </w:r>
          <w:r>
            <w:rPr>
              <w:rFonts w:hint="eastAsia" w:ascii="宋体" w:hAnsi="宋体" w:eastAsia="宋体" w:cs="宋体"/>
              <w:color w:val="auto"/>
              <w:szCs w:val="32"/>
            </w:rPr>
            <w:t>三、供应商</w:t>
          </w:r>
          <w:r>
            <w:rPr>
              <w:rFonts w:hint="eastAsia" w:ascii="宋体" w:hAnsi="宋体" w:eastAsia="宋体" w:cs="宋体"/>
              <w:bCs/>
              <w:color w:val="auto"/>
              <w:szCs w:val="32"/>
            </w:rPr>
            <w:t>的资格证明材料</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_Toc9270 \h </w:instrText>
          </w:r>
          <w:r>
            <w:rPr>
              <w:rFonts w:hint="eastAsia" w:ascii="宋体" w:hAnsi="宋体" w:eastAsia="宋体" w:cs="宋体"/>
              <w:color w:val="auto"/>
            </w:rPr>
            <w:fldChar w:fldCharType="separate"/>
          </w:r>
          <w:r>
            <w:rPr>
              <w:rFonts w:hint="eastAsia" w:ascii="宋体" w:hAnsi="宋体" w:eastAsia="宋体" w:cs="宋体"/>
              <w:color w:val="auto"/>
            </w:rPr>
            <w:t>38</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2F595E19">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"_Toc28907" </w:instrText>
          </w:r>
          <w:r>
            <w:rPr>
              <w:rFonts w:hint="eastAsia" w:ascii="宋体" w:hAnsi="宋体" w:eastAsia="宋体" w:cs="宋体"/>
              <w:color w:val="auto"/>
            </w:rPr>
            <w:fldChar w:fldCharType="separate"/>
          </w:r>
          <w:r>
            <w:rPr>
              <w:rFonts w:hint="eastAsia" w:ascii="宋体" w:hAnsi="宋体" w:eastAsia="宋体" w:cs="宋体"/>
              <w:color w:val="auto"/>
              <w:szCs w:val="32"/>
            </w:rPr>
            <w:t>四、服务方案</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_Toc28907 \h </w:instrText>
          </w:r>
          <w:r>
            <w:rPr>
              <w:rFonts w:hint="eastAsia" w:ascii="宋体" w:hAnsi="宋体" w:eastAsia="宋体" w:cs="宋体"/>
              <w:color w:val="auto"/>
            </w:rPr>
            <w:fldChar w:fldCharType="separate"/>
          </w:r>
          <w:r>
            <w:rPr>
              <w:rFonts w:hint="eastAsia" w:ascii="宋体" w:hAnsi="宋体" w:eastAsia="宋体" w:cs="宋体"/>
              <w:color w:val="auto"/>
            </w:rPr>
            <w:t>42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2A01602">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"_Toc21465" </w:instrText>
          </w:r>
          <w:r>
            <w:rPr>
              <w:rFonts w:hint="eastAsia" w:ascii="宋体" w:hAnsi="宋体" w:eastAsia="宋体" w:cs="宋体"/>
              <w:color w:val="auto"/>
            </w:rPr>
            <w:fldChar w:fldCharType="separate"/>
          </w:r>
          <w:r>
            <w:rPr>
              <w:rFonts w:hint="eastAsia" w:ascii="宋体" w:hAnsi="宋体" w:eastAsia="宋体" w:cs="宋体"/>
              <w:color w:val="auto"/>
              <w:szCs w:val="32"/>
            </w:rPr>
            <w:t>五、技术/商务响应与偏离表</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_Toc21465 \h </w:instrText>
          </w:r>
          <w:r>
            <w:rPr>
              <w:rFonts w:hint="eastAsia" w:ascii="宋体" w:hAnsi="宋体" w:eastAsia="宋体" w:cs="宋体"/>
              <w:color w:val="auto"/>
            </w:rPr>
            <w:fldChar w:fldCharType="separate"/>
          </w:r>
          <w:r>
            <w:rPr>
              <w:rFonts w:hint="eastAsia" w:ascii="宋体" w:hAnsi="宋体" w:eastAsia="宋体" w:cs="宋体"/>
              <w:color w:val="auto"/>
            </w:rPr>
            <w:t>45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5B89E46">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"_Toc608" </w:instrText>
          </w:r>
          <w:r>
            <w:rPr>
              <w:rFonts w:hint="eastAsia" w:ascii="宋体" w:hAnsi="宋体" w:eastAsia="宋体" w:cs="宋体"/>
              <w:color w:val="auto"/>
            </w:rPr>
            <w:fldChar w:fldCharType="separate"/>
          </w:r>
          <w:r>
            <w:rPr>
              <w:rFonts w:hint="eastAsia" w:ascii="宋体" w:hAnsi="宋体" w:eastAsia="宋体" w:cs="宋体"/>
              <w:color w:val="auto"/>
              <w:szCs w:val="32"/>
            </w:rPr>
            <w:t>六、提供政府采购政策产品等证明材料</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_Toc608 \h </w:instrText>
          </w:r>
          <w:r>
            <w:rPr>
              <w:rFonts w:hint="eastAsia" w:ascii="宋体" w:hAnsi="宋体" w:eastAsia="宋体" w:cs="宋体"/>
              <w:color w:val="auto"/>
            </w:rPr>
            <w:fldChar w:fldCharType="separate"/>
          </w:r>
          <w:r>
            <w:rPr>
              <w:rFonts w:hint="eastAsia" w:ascii="宋体" w:hAnsi="宋体" w:eastAsia="宋体" w:cs="宋体"/>
              <w:color w:val="auto"/>
            </w:rPr>
            <w:t>46</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8D1734A">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"_Toc20552" </w:instrText>
          </w:r>
          <w:r>
            <w:rPr>
              <w:rFonts w:hint="eastAsia" w:ascii="宋体" w:hAnsi="宋体" w:eastAsia="宋体" w:cs="宋体"/>
              <w:color w:val="auto"/>
            </w:rPr>
            <w:fldChar w:fldCharType="separate"/>
          </w:r>
          <w:r>
            <w:rPr>
              <w:rFonts w:hint="eastAsia" w:ascii="宋体" w:hAnsi="宋体" w:eastAsia="宋体" w:cs="宋体"/>
              <w:bCs/>
              <w:color w:val="auto"/>
              <w:szCs w:val="32"/>
            </w:rPr>
            <w:t>七、</w:t>
          </w:r>
          <w:r>
            <w:rPr>
              <w:rFonts w:hint="eastAsia" w:ascii="宋体" w:hAnsi="宋体" w:eastAsia="宋体" w:cs="宋体"/>
              <w:color w:val="auto"/>
              <w:szCs w:val="32"/>
            </w:rPr>
            <w:t>报价一览表及报价文件</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_Toc20552 \h </w:instrText>
          </w:r>
          <w:r>
            <w:rPr>
              <w:rFonts w:hint="eastAsia" w:ascii="宋体" w:hAnsi="宋体" w:eastAsia="宋体" w:cs="宋体"/>
              <w:color w:val="auto"/>
            </w:rPr>
            <w:fldChar w:fldCharType="separate"/>
          </w:r>
          <w:r>
            <w:rPr>
              <w:rFonts w:hint="eastAsia" w:ascii="宋体" w:hAnsi="宋体" w:eastAsia="宋体" w:cs="宋体"/>
              <w:color w:val="auto"/>
            </w:rPr>
            <w:t>49</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6837C6B3">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"_Toc31691" </w:instrText>
          </w:r>
          <w:r>
            <w:rPr>
              <w:rFonts w:hint="eastAsia" w:ascii="宋体" w:hAnsi="宋体" w:eastAsia="宋体" w:cs="宋体"/>
              <w:color w:val="auto"/>
            </w:rPr>
            <w:fldChar w:fldCharType="separate"/>
          </w:r>
          <w:r>
            <w:rPr>
              <w:rFonts w:hint="eastAsia" w:ascii="宋体" w:hAnsi="宋体" w:eastAsia="宋体" w:cs="宋体"/>
              <w:color w:val="auto"/>
              <w:szCs w:val="32"/>
            </w:rPr>
            <w:t>八</w:t>
          </w:r>
          <w:r>
            <w:rPr>
              <w:rFonts w:hint="eastAsia" w:ascii="宋体" w:hAnsi="宋体" w:eastAsia="宋体" w:cs="宋体"/>
              <w:bCs/>
              <w:color w:val="auto"/>
              <w:szCs w:val="32"/>
            </w:rPr>
            <w:t>、供应商认为需要提供的其它资料</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_Toc31691 \h </w:instrText>
          </w:r>
          <w:r>
            <w:rPr>
              <w:rFonts w:hint="eastAsia" w:ascii="宋体" w:hAnsi="宋体" w:eastAsia="宋体" w:cs="宋体"/>
              <w:color w:val="auto"/>
            </w:rPr>
            <w:fldChar w:fldCharType="separate"/>
          </w:r>
          <w:r>
            <w:rPr>
              <w:rFonts w:hint="eastAsia" w:ascii="宋体" w:hAnsi="宋体" w:eastAsia="宋体" w:cs="宋体"/>
              <w:color w:val="auto"/>
            </w:rPr>
            <w:t>51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28C7C49">
          <w:pPr>
            <w:pStyle w:val="20"/>
            <w:tabs>
              <w:tab w:val="right" w:leader="dot" w:pos="88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"_Toc5252" </w:instrText>
          </w:r>
          <w:r>
            <w:rPr>
              <w:rFonts w:hint="eastAsia" w:ascii="宋体" w:hAnsi="宋体" w:eastAsia="宋体" w:cs="宋体"/>
              <w:color w:val="auto"/>
            </w:rPr>
            <w:fldChar w:fldCharType="separate"/>
          </w:r>
          <w:r>
            <w:rPr>
              <w:rFonts w:hint="eastAsia" w:ascii="宋体" w:hAnsi="宋体" w:eastAsia="宋体" w:cs="宋体"/>
              <w:color w:val="auto"/>
              <w:szCs w:val="32"/>
            </w:rPr>
            <w:t>九、最后报价</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_Toc5252 \h </w:instrText>
          </w:r>
          <w:r>
            <w:rPr>
              <w:rFonts w:hint="eastAsia" w:ascii="宋体" w:hAnsi="宋体" w:eastAsia="宋体" w:cs="宋体"/>
              <w:color w:val="auto"/>
            </w:rPr>
            <w:fldChar w:fldCharType="separate"/>
          </w:r>
          <w:r>
            <w:rPr>
              <w:rFonts w:hint="eastAsia" w:ascii="宋体" w:hAnsi="宋体" w:eastAsia="宋体" w:cs="宋体"/>
              <w:color w:val="auto"/>
            </w:rPr>
            <w:t>52</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20FF75B7">
          <w:pPr>
            <w:pStyle w:val="60"/>
            <w:tabs>
              <w:tab w:val="right" w:leader="dot" w:pos="8844"/>
            </w:tabs>
            <w:rPr>
              <w:rFonts w:hint="eastAsia" w:ascii="宋体" w:hAnsi="宋体" w:eastAsia="宋体" w:cs="宋体"/>
              <w:color w:val="auto"/>
              <w:szCs w:val="21"/>
            </w:rPr>
          </w:pPr>
          <w:r>
            <w:rPr>
              <w:rFonts w:hint="eastAsia" w:ascii="宋体" w:hAnsi="宋体" w:eastAsia="宋体" w:cs="宋体"/>
              <w:color w:val="auto"/>
              <w:szCs w:val="32"/>
            </w:rPr>
            <w:fldChar w:fldCharType="end"/>
          </w:r>
        </w:p>
      </w:sdtContent>
    </w:sdt>
    <w:p w14:paraId="11F8FD3A">
      <w:pPr>
        <w:adjustRightInd w:val="0"/>
        <w:snapToGrid w:val="0"/>
        <w:spacing w:line="360" w:lineRule="auto"/>
        <w:ind w:firstLine="420" w:firstLineChars="200"/>
        <w:rPr>
          <w:rFonts w:hint="eastAsia" w:ascii="宋体" w:hAnsi="宋体" w:eastAsia="宋体" w:cs="宋体"/>
          <w:color w:val="auto"/>
          <w:szCs w:val="21"/>
          <w:u w:val="single"/>
        </w:rPr>
      </w:pPr>
      <w:bookmarkStart w:id="2" w:name="OLE_LINK2"/>
    </w:p>
    <w:p w14:paraId="087B140E">
      <w:pPr>
        <w:adjustRightInd w:val="0"/>
        <w:snapToGrid w:val="0"/>
        <w:spacing w:line="360" w:lineRule="auto"/>
        <w:ind w:firstLine="420" w:firstLineChars="200"/>
        <w:rPr>
          <w:rFonts w:hint="eastAsia" w:ascii="宋体" w:hAnsi="宋体" w:eastAsia="宋体" w:cs="宋体"/>
          <w:color w:val="auto"/>
          <w:szCs w:val="21"/>
          <w:u w:val="single"/>
        </w:rPr>
      </w:pPr>
    </w:p>
    <w:p w14:paraId="47125E36">
      <w:pPr>
        <w:adjustRightInd w:val="0"/>
        <w:snapToGrid w:val="0"/>
        <w:spacing w:line="360" w:lineRule="auto"/>
        <w:ind w:firstLine="420" w:firstLineChars="200"/>
        <w:rPr>
          <w:rFonts w:hint="eastAsia" w:ascii="宋体" w:hAnsi="宋体" w:eastAsia="宋体" w:cs="宋体"/>
          <w:color w:val="auto"/>
          <w:szCs w:val="21"/>
          <w:u w:val="single"/>
        </w:rPr>
      </w:pPr>
    </w:p>
    <w:p w14:paraId="573EA81B">
      <w:pPr>
        <w:adjustRightInd w:val="0"/>
        <w:snapToGrid w:val="0"/>
        <w:spacing w:line="360" w:lineRule="auto"/>
        <w:ind w:firstLine="420" w:firstLineChars="200"/>
        <w:rPr>
          <w:rFonts w:hint="eastAsia" w:ascii="宋体" w:hAnsi="宋体" w:eastAsia="宋体" w:cs="宋体"/>
          <w:color w:val="auto"/>
          <w:szCs w:val="21"/>
          <w:u w:val="single"/>
        </w:rPr>
      </w:pPr>
    </w:p>
    <w:p w14:paraId="2EB285F8">
      <w:pPr>
        <w:adjustRightInd w:val="0"/>
        <w:snapToGrid w:val="0"/>
        <w:spacing w:line="360" w:lineRule="auto"/>
        <w:ind w:firstLine="420" w:firstLineChars="200"/>
        <w:rPr>
          <w:rFonts w:hint="eastAsia" w:ascii="宋体" w:hAnsi="宋体" w:eastAsia="宋体" w:cs="宋体"/>
          <w:color w:val="auto"/>
          <w:szCs w:val="21"/>
          <w:u w:val="single"/>
        </w:rPr>
      </w:pPr>
    </w:p>
    <w:p w14:paraId="408EDDD6">
      <w:pPr>
        <w:adjustRightInd w:val="0"/>
        <w:snapToGrid w:val="0"/>
        <w:spacing w:line="360" w:lineRule="auto"/>
        <w:ind w:firstLine="420" w:firstLineChars="200"/>
        <w:rPr>
          <w:rFonts w:hint="eastAsia" w:ascii="宋体" w:hAnsi="宋体" w:eastAsia="宋体" w:cs="宋体"/>
          <w:color w:val="auto"/>
          <w:szCs w:val="21"/>
          <w:u w:val="single"/>
        </w:rPr>
      </w:pPr>
    </w:p>
    <w:p w14:paraId="305E7051">
      <w:pPr>
        <w:adjustRightInd w:val="0"/>
        <w:snapToGrid w:val="0"/>
        <w:spacing w:line="360" w:lineRule="auto"/>
        <w:ind w:firstLine="420" w:firstLineChars="200"/>
        <w:rPr>
          <w:rFonts w:hint="eastAsia" w:ascii="宋体" w:hAnsi="宋体" w:eastAsia="宋体" w:cs="宋体"/>
          <w:color w:val="auto"/>
          <w:szCs w:val="21"/>
          <w:u w:val="single"/>
        </w:rPr>
      </w:pPr>
    </w:p>
    <w:p w14:paraId="6EF22911">
      <w:pPr>
        <w:adjustRightInd w:val="0"/>
        <w:snapToGrid w:val="0"/>
        <w:spacing w:line="360" w:lineRule="auto"/>
        <w:ind w:firstLine="420" w:firstLineChars="200"/>
        <w:rPr>
          <w:rFonts w:hint="eastAsia" w:ascii="宋体" w:hAnsi="宋体" w:eastAsia="宋体" w:cs="宋体"/>
          <w:color w:val="auto"/>
          <w:szCs w:val="21"/>
          <w:u w:val="single"/>
        </w:rPr>
      </w:pPr>
    </w:p>
    <w:p w14:paraId="3F2C6845">
      <w:pPr>
        <w:adjustRightInd w:val="0"/>
        <w:snapToGrid w:val="0"/>
        <w:spacing w:line="360" w:lineRule="auto"/>
        <w:rPr>
          <w:rFonts w:hint="eastAsia" w:ascii="宋体" w:hAnsi="宋体" w:eastAsia="宋体" w:cs="宋体"/>
          <w:color w:val="auto"/>
          <w:szCs w:val="21"/>
          <w:u w:val="single"/>
        </w:rPr>
      </w:pPr>
    </w:p>
    <w:p w14:paraId="3EED74D2">
      <w:pPr>
        <w:adjustRightInd w:val="0"/>
        <w:snapToGrid w:val="0"/>
        <w:spacing w:line="360" w:lineRule="auto"/>
        <w:rPr>
          <w:rFonts w:hint="eastAsia" w:ascii="宋体" w:hAnsi="宋体" w:eastAsia="宋体" w:cs="宋体"/>
          <w:color w:val="auto"/>
          <w:szCs w:val="21"/>
          <w:u w:val="single"/>
        </w:rPr>
      </w:pPr>
    </w:p>
    <w:p w14:paraId="502FFB19">
      <w:pPr>
        <w:adjustRightInd w:val="0"/>
        <w:snapToGrid w:val="0"/>
        <w:spacing w:line="360" w:lineRule="auto"/>
        <w:rPr>
          <w:rFonts w:hint="eastAsia" w:ascii="宋体" w:hAnsi="宋体" w:eastAsia="宋体" w:cs="宋体"/>
          <w:color w:val="auto"/>
          <w:szCs w:val="21"/>
          <w:u w:val="single"/>
        </w:rPr>
      </w:pPr>
    </w:p>
    <w:p w14:paraId="401BF95F">
      <w:pPr>
        <w:adjustRightInd w:val="0"/>
        <w:snapToGrid w:val="0"/>
        <w:spacing w:line="360" w:lineRule="auto"/>
        <w:rPr>
          <w:rFonts w:hint="eastAsia" w:ascii="宋体" w:hAnsi="宋体" w:eastAsia="宋体" w:cs="宋体"/>
          <w:color w:val="auto"/>
          <w:szCs w:val="21"/>
          <w:u w:val="single"/>
        </w:rPr>
      </w:pPr>
    </w:p>
    <w:p w14:paraId="5CB4F7C2">
      <w:pPr>
        <w:pStyle w:val="10"/>
        <w:rPr>
          <w:rFonts w:hint="eastAsia" w:ascii="宋体" w:hAnsi="宋体" w:eastAsia="宋体" w:cs="宋体"/>
          <w:color w:val="auto"/>
        </w:rPr>
      </w:pPr>
    </w:p>
    <w:p w14:paraId="3DE63CCD">
      <w:pPr>
        <w:pStyle w:val="13"/>
        <w:spacing w:line="360" w:lineRule="auto"/>
        <w:jc w:val="center"/>
        <w:outlineLvl w:val="0"/>
        <w:rPr>
          <w:rFonts w:hint="eastAsia" w:ascii="宋体" w:hAnsi="宋体" w:eastAsia="宋体" w:cs="宋体"/>
          <w:color w:val="auto"/>
          <w:u w:val="single"/>
        </w:rPr>
      </w:pPr>
      <w:bookmarkStart w:id="3" w:name="_Toc18699"/>
      <w:r>
        <w:rPr>
          <w:rFonts w:hint="eastAsia" w:ascii="宋体" w:hAnsi="宋体" w:eastAsia="宋体" w:cs="宋体"/>
          <w:b/>
          <w:color w:val="auto"/>
          <w:sz w:val="32"/>
          <w:szCs w:val="32"/>
        </w:rPr>
        <w:t>第一章 磋商公告</w:t>
      </w:r>
      <w:bookmarkEnd w:id="3"/>
    </w:p>
    <w:p w14:paraId="3B58EABA">
      <w:pPr>
        <w:adjustRightInd w:val="0"/>
        <w:snapToGrid w:val="0"/>
        <w:spacing w:line="360" w:lineRule="auto"/>
        <w:ind w:firstLine="420" w:firstLineChars="200"/>
        <w:rPr>
          <w:rFonts w:hint="eastAsia" w:ascii="宋体" w:hAnsi="宋体" w:eastAsia="宋体" w:cs="宋体"/>
          <w:color w:val="auto"/>
          <w:szCs w:val="21"/>
        </w:rPr>
      </w:pPr>
      <w:bookmarkStart w:id="255" w:name="_GoBack"/>
      <w:r>
        <w:rPr>
          <w:rFonts w:hint="eastAsia" w:ascii="宋体" w:hAnsi="宋体" w:cs="宋体"/>
          <w:color w:val="auto"/>
          <w:szCs w:val="21"/>
          <w:u w:val="single"/>
          <w:lang w:eastAsia="zh-CN"/>
        </w:rPr>
        <w:t>攸县自然资源局</w:t>
      </w:r>
      <w:r>
        <w:rPr>
          <w:rFonts w:hint="eastAsia" w:ascii="宋体" w:hAnsi="宋体" w:eastAsia="宋体" w:cs="宋体"/>
          <w:color w:val="auto"/>
          <w:szCs w:val="21"/>
        </w:rPr>
        <w:t>（采购人名称）的</w:t>
      </w:r>
      <w:r>
        <w:rPr>
          <w:rFonts w:hint="eastAsia" w:ascii="宋体" w:hAnsi="宋体" w:cs="宋体"/>
          <w:color w:val="auto"/>
          <w:szCs w:val="21"/>
          <w:u w:val="single"/>
          <w:lang w:eastAsia="zh-CN"/>
        </w:rPr>
        <w:t>攸县国土空间总体规划动态维护项目</w:t>
      </w:r>
      <w:r>
        <w:rPr>
          <w:rFonts w:hint="eastAsia" w:ascii="宋体" w:hAnsi="宋体" w:eastAsia="宋体" w:cs="宋体"/>
          <w:color w:val="auto"/>
          <w:szCs w:val="21"/>
        </w:rPr>
        <w:t xml:space="preserve"> (项目名称)进行竞争性磋商采购，现邀请合格</w:t>
      </w:r>
      <w:r>
        <w:rPr>
          <w:rFonts w:hint="eastAsia" w:ascii="宋体" w:hAnsi="宋体" w:eastAsia="宋体" w:cs="宋体"/>
          <w:color w:val="auto"/>
          <w:szCs w:val="21"/>
          <w:lang w:eastAsia="zh-CN"/>
        </w:rPr>
        <w:t>供应商</w:t>
      </w:r>
      <w:r>
        <w:rPr>
          <w:rFonts w:hint="eastAsia" w:ascii="宋体" w:hAnsi="宋体" w:eastAsia="宋体" w:cs="宋体"/>
          <w:color w:val="auto"/>
          <w:szCs w:val="21"/>
        </w:rPr>
        <w:t>参加投标。</w:t>
      </w:r>
    </w:p>
    <w:p w14:paraId="22AE812D">
      <w:pPr>
        <w:adjustRightInd w:val="0"/>
        <w:snapToGrid w:val="0"/>
        <w:spacing w:line="360" w:lineRule="auto"/>
        <w:ind w:firstLine="422" w:firstLineChars="200"/>
        <w:rPr>
          <w:rFonts w:hint="eastAsia" w:ascii="宋体" w:hAnsi="宋体" w:eastAsia="宋体" w:cs="宋体"/>
          <w:b/>
          <w:color w:val="auto"/>
          <w:szCs w:val="21"/>
        </w:rPr>
      </w:pPr>
      <w:bookmarkStart w:id="4" w:name="_Toc26548"/>
      <w:bookmarkStart w:id="5" w:name="_Toc6935_WPSOffice_Level1"/>
      <w:r>
        <w:rPr>
          <w:rFonts w:hint="eastAsia" w:ascii="宋体" w:hAnsi="宋体" w:eastAsia="宋体" w:cs="宋体"/>
          <w:b/>
          <w:color w:val="auto"/>
          <w:szCs w:val="21"/>
        </w:rPr>
        <w:t>一、采购项目基本信息</w:t>
      </w:r>
      <w:bookmarkEnd w:id="4"/>
      <w:bookmarkEnd w:id="5"/>
    </w:p>
    <w:p w14:paraId="45583A34">
      <w:pPr>
        <w:adjustRightInd w:val="0"/>
        <w:snapToGrid w:val="0"/>
        <w:spacing w:line="360" w:lineRule="auto"/>
        <w:ind w:firstLine="420" w:firstLineChars="200"/>
        <w:rPr>
          <w:rFonts w:hint="eastAsia" w:ascii="宋体" w:hAnsi="宋体" w:eastAsia="宋体" w:cs="宋体"/>
          <w:color w:val="auto"/>
          <w:szCs w:val="21"/>
          <w:lang w:eastAsia="zh-CN"/>
        </w:rPr>
      </w:pPr>
      <w:bookmarkStart w:id="6" w:name="_Toc20001_WPSOffice_Level2"/>
      <w:r>
        <w:rPr>
          <w:rFonts w:hint="eastAsia" w:ascii="宋体" w:hAnsi="宋体" w:eastAsia="宋体" w:cs="宋体"/>
          <w:color w:val="auto"/>
          <w:szCs w:val="21"/>
        </w:rPr>
        <w:t>1、采购项目名称：</w:t>
      </w:r>
      <w:bookmarkEnd w:id="6"/>
      <w:r>
        <w:rPr>
          <w:rFonts w:hint="eastAsia" w:ascii="宋体" w:hAnsi="宋体" w:cs="宋体"/>
          <w:color w:val="auto"/>
          <w:szCs w:val="21"/>
          <w:u w:val="single"/>
          <w:lang w:eastAsia="zh-CN"/>
        </w:rPr>
        <w:t>攸县国土空间总体规划动态维护项目</w:t>
      </w:r>
    </w:p>
    <w:p w14:paraId="2C18F1E3">
      <w:pPr>
        <w:adjustRightInd w:val="0"/>
        <w:snapToGrid w:val="0"/>
        <w:spacing w:line="360" w:lineRule="auto"/>
        <w:ind w:firstLine="420" w:firstLineChars="200"/>
        <w:rPr>
          <w:rFonts w:hint="eastAsia" w:ascii="宋体" w:hAnsi="宋体" w:eastAsia="宋体" w:cs="宋体"/>
          <w:color w:val="auto"/>
          <w:szCs w:val="21"/>
          <w:lang w:eastAsia="zh-CN"/>
        </w:rPr>
      </w:pPr>
      <w:bookmarkStart w:id="7" w:name="_Toc29133_WPSOffice_Level2"/>
      <w:r>
        <w:rPr>
          <w:rFonts w:hint="eastAsia" w:ascii="宋体" w:hAnsi="宋体" w:eastAsia="宋体" w:cs="宋体"/>
          <w:color w:val="auto"/>
          <w:szCs w:val="21"/>
        </w:rPr>
        <w:t>2、政府采购计划编号：</w:t>
      </w:r>
      <w:bookmarkEnd w:id="7"/>
      <w:r>
        <w:rPr>
          <w:rFonts w:hint="eastAsia" w:ascii="宋体" w:hAnsi="宋体" w:cs="宋体"/>
          <w:color w:val="auto"/>
          <w:szCs w:val="21"/>
          <w:u w:val="single"/>
          <w:lang w:eastAsia="zh-CN"/>
        </w:rPr>
        <w:t>攸财采计【2026】000081号</w:t>
      </w:r>
    </w:p>
    <w:p w14:paraId="5E396B87">
      <w:pPr>
        <w:adjustRightInd w:val="0"/>
        <w:snapToGrid w:val="0"/>
        <w:spacing w:line="360" w:lineRule="auto"/>
        <w:ind w:firstLine="420" w:firstLineChars="200"/>
        <w:rPr>
          <w:rFonts w:hint="eastAsia" w:ascii="宋体" w:hAnsi="宋体" w:eastAsia="宋体" w:cs="宋体"/>
          <w:i/>
          <w:color w:val="auto"/>
          <w:szCs w:val="21"/>
          <w:lang w:eastAsia="zh-CN"/>
        </w:rPr>
      </w:pPr>
      <w:bookmarkStart w:id="8" w:name="_Toc13165_WPSOffice_Level2"/>
      <w:r>
        <w:rPr>
          <w:rFonts w:hint="eastAsia" w:ascii="宋体" w:hAnsi="宋体" w:eastAsia="宋体" w:cs="宋体"/>
          <w:color w:val="auto"/>
          <w:szCs w:val="21"/>
        </w:rPr>
        <w:t>3、委托代理编号：</w:t>
      </w:r>
      <w:bookmarkEnd w:id="8"/>
      <w:r>
        <w:rPr>
          <w:rFonts w:hint="eastAsia" w:ascii="宋体" w:hAnsi="宋体" w:cs="宋体"/>
          <w:color w:val="auto"/>
          <w:szCs w:val="21"/>
          <w:u w:val="single"/>
          <w:lang w:eastAsia="zh-CN"/>
        </w:rPr>
        <w:t>HNTD-ZFCG-2026-17</w:t>
      </w:r>
    </w:p>
    <w:p w14:paraId="37AB76FB">
      <w:pPr>
        <w:adjustRightInd w:val="0"/>
        <w:snapToGrid w:val="0"/>
        <w:spacing w:line="360" w:lineRule="auto"/>
        <w:ind w:firstLine="420" w:firstLineChars="200"/>
        <w:rPr>
          <w:rFonts w:hint="eastAsia" w:ascii="宋体" w:hAnsi="宋体" w:eastAsia="宋体" w:cs="宋体"/>
          <w:bCs/>
          <w:color w:val="auto"/>
          <w:szCs w:val="21"/>
          <w:lang w:eastAsia="zh-CN"/>
        </w:rPr>
      </w:pPr>
      <w:bookmarkStart w:id="9" w:name="_Toc22864_WPSOffice_Level2"/>
      <w:r>
        <w:rPr>
          <w:rFonts w:hint="eastAsia" w:ascii="宋体" w:hAnsi="宋体" w:eastAsia="宋体" w:cs="宋体"/>
          <w:bCs/>
          <w:color w:val="auto"/>
          <w:szCs w:val="21"/>
        </w:rPr>
        <w:t>4、采购项目预算：</w:t>
      </w:r>
      <w:r>
        <w:rPr>
          <w:rFonts w:hint="eastAsia" w:ascii="宋体" w:hAnsi="宋体" w:cs="宋体"/>
          <w:color w:val="auto"/>
          <w:szCs w:val="21"/>
          <w:u w:val="single"/>
          <w:lang w:val="en-US" w:eastAsia="zh-CN"/>
        </w:rPr>
        <w:t>600000</w:t>
      </w:r>
      <w:r>
        <w:rPr>
          <w:rFonts w:hint="eastAsia" w:ascii="宋体" w:hAnsi="宋体" w:eastAsia="宋体" w:cs="宋体"/>
          <w:bCs/>
          <w:color w:val="auto"/>
          <w:szCs w:val="21"/>
          <w:u w:val="single"/>
        </w:rPr>
        <w:t>元</w:t>
      </w:r>
      <w:bookmarkEnd w:id="9"/>
    </w:p>
    <w:p w14:paraId="021BE738">
      <w:pPr>
        <w:adjustRightInd w:val="0"/>
        <w:snapToGrid w:val="0"/>
        <w:spacing w:line="360" w:lineRule="auto"/>
        <w:ind w:firstLine="630" w:firstLineChars="300"/>
        <w:rPr>
          <w:rFonts w:hint="eastAsia" w:ascii="宋体" w:hAnsi="宋体" w:eastAsia="宋体" w:cs="宋体"/>
          <w:bCs/>
          <w:color w:val="auto"/>
          <w:szCs w:val="21"/>
          <w:u w:val="single"/>
        </w:rPr>
      </w:pPr>
      <w:r>
        <w:rPr>
          <w:rFonts w:hint="eastAsia" w:ascii="宋体" w:hAnsi="宋体" w:eastAsia="宋体" w:cs="宋体"/>
          <w:color w:val="auto"/>
          <w:szCs w:val="21"/>
          <w:lang w:eastAsia="zh-CN"/>
        </w:rPr>
        <w:t>□</w:t>
      </w:r>
      <w:r>
        <w:rPr>
          <w:rFonts w:hint="eastAsia" w:ascii="宋体" w:hAnsi="宋体" w:eastAsia="宋体" w:cs="宋体"/>
          <w:iCs/>
          <w:color w:val="auto"/>
          <w:szCs w:val="21"/>
        </w:rPr>
        <w:t>支持</w:t>
      </w:r>
      <w:r>
        <w:rPr>
          <w:rFonts w:hint="eastAsia" w:ascii="宋体" w:hAnsi="宋体" w:eastAsia="宋体" w:cs="宋体"/>
          <w:bCs/>
          <w:color w:val="auto"/>
          <w:szCs w:val="21"/>
        </w:rPr>
        <w:t>预付款，预付比例：</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u w:val="single"/>
          <w:lang w:val="en-US" w:eastAsia="zh-CN"/>
        </w:rPr>
        <w:t>/</w:t>
      </w:r>
      <w:r>
        <w:rPr>
          <w:rFonts w:hint="eastAsia" w:ascii="宋体" w:hAnsi="宋体" w:eastAsia="宋体" w:cs="宋体"/>
          <w:bCs/>
          <w:color w:val="auto"/>
          <w:szCs w:val="21"/>
          <w:u w:val="single"/>
        </w:rPr>
        <w:t xml:space="preserve">  </w:t>
      </w:r>
    </w:p>
    <w:p w14:paraId="34103EAC">
      <w:pPr>
        <w:adjustRightInd w:val="0"/>
        <w:snapToGrid w:val="0"/>
        <w:spacing w:line="360" w:lineRule="auto"/>
        <w:ind w:firstLine="420" w:firstLineChars="200"/>
        <w:rPr>
          <w:rFonts w:hint="eastAsia" w:ascii="宋体" w:hAnsi="宋体" w:eastAsia="宋体" w:cs="宋体"/>
          <w:b/>
          <w:bCs/>
          <w:color w:val="auto"/>
          <w:szCs w:val="21"/>
          <w:u w:val="single"/>
          <w:lang w:eastAsia="zh-CN"/>
        </w:rPr>
      </w:pPr>
      <w:bookmarkStart w:id="10" w:name="_Toc5455_WPSOffice_Level2"/>
      <w:r>
        <w:rPr>
          <w:rFonts w:hint="eastAsia" w:ascii="宋体" w:hAnsi="宋体" w:eastAsia="宋体" w:cs="宋体"/>
          <w:bCs/>
          <w:color w:val="auto"/>
          <w:szCs w:val="21"/>
        </w:rPr>
        <w:t>5、本项目</w:t>
      </w:r>
      <w:r>
        <w:rPr>
          <w:rFonts w:hint="eastAsia" w:ascii="宋体" w:hAnsi="宋体" w:eastAsia="宋体" w:cs="宋体"/>
          <w:color w:val="auto"/>
          <w:szCs w:val="21"/>
        </w:rPr>
        <w:t>对应的中小企业划分标准所属行业：</w:t>
      </w:r>
      <w:bookmarkEnd w:id="10"/>
      <w:r>
        <w:rPr>
          <w:rFonts w:hint="eastAsia" w:ascii="宋体" w:hAnsi="宋体" w:eastAsia="宋体" w:cs="宋体"/>
          <w:color w:val="auto"/>
          <w:szCs w:val="21"/>
          <w:u w:val="single"/>
          <w:lang w:eastAsia="zh-CN"/>
        </w:rPr>
        <w:t>其他未列明行业</w:t>
      </w:r>
    </w:p>
    <w:p w14:paraId="798E5184">
      <w:pPr>
        <w:adjustRightInd w:val="0"/>
        <w:snapToGrid w:val="0"/>
        <w:spacing w:line="360" w:lineRule="auto"/>
        <w:ind w:firstLine="420" w:firstLineChars="200"/>
        <w:rPr>
          <w:rFonts w:hint="eastAsia" w:ascii="宋体" w:hAnsi="宋体" w:eastAsia="宋体" w:cs="宋体"/>
          <w:bCs/>
          <w:color w:val="auto"/>
          <w:szCs w:val="21"/>
          <w:u w:val="single"/>
        </w:rPr>
      </w:pPr>
      <w:bookmarkStart w:id="11" w:name="_Toc20106_WPSOffice_Level2"/>
      <w:r>
        <w:rPr>
          <w:rFonts w:hint="eastAsia" w:ascii="宋体" w:hAnsi="宋体" w:eastAsia="宋体" w:cs="宋体"/>
          <w:bCs/>
          <w:color w:val="auto"/>
          <w:szCs w:val="21"/>
        </w:rPr>
        <w:t>6、评标方法：</w:t>
      </w:r>
      <w:r>
        <w:rPr>
          <w:rFonts w:hint="eastAsia" w:ascii="宋体" w:hAnsi="宋体" w:eastAsia="宋体" w:cs="宋体"/>
          <w:color w:val="auto"/>
          <w:kern w:val="2"/>
          <w:sz w:val="21"/>
          <w:szCs w:val="21"/>
          <w:lang w:val="en-US" w:eastAsia="zh-CN" w:bidi="ar"/>
        </w:rPr>
        <w:t>■</w:t>
      </w:r>
      <w:r>
        <w:rPr>
          <w:rFonts w:hint="eastAsia" w:ascii="宋体" w:hAnsi="宋体" w:eastAsia="宋体" w:cs="宋体"/>
          <w:iCs/>
          <w:color w:val="auto"/>
          <w:szCs w:val="21"/>
        </w:rPr>
        <w:t xml:space="preserve">综合评分法 </w:t>
      </w:r>
      <w:r>
        <w:rPr>
          <w:rFonts w:hint="eastAsia" w:ascii="宋体" w:hAnsi="宋体" w:eastAsia="宋体" w:cs="宋体"/>
          <w:color w:val="auto"/>
          <w:szCs w:val="21"/>
          <w:lang w:eastAsia="zh-CN"/>
        </w:rPr>
        <w:t>□</w:t>
      </w:r>
      <w:r>
        <w:rPr>
          <w:rFonts w:hint="eastAsia" w:ascii="宋体" w:hAnsi="宋体" w:eastAsia="宋体" w:cs="宋体"/>
          <w:iCs/>
          <w:color w:val="auto"/>
          <w:szCs w:val="21"/>
        </w:rPr>
        <w:t>最低评标价法</w:t>
      </w:r>
      <w:bookmarkEnd w:id="11"/>
    </w:p>
    <w:p w14:paraId="30709C1F">
      <w:pPr>
        <w:adjustRightInd w:val="0"/>
        <w:snapToGrid w:val="0"/>
        <w:spacing w:line="360" w:lineRule="auto"/>
        <w:ind w:firstLine="420" w:firstLineChars="200"/>
        <w:rPr>
          <w:rFonts w:hint="eastAsia" w:ascii="宋体" w:hAnsi="宋体" w:eastAsia="宋体" w:cs="宋体"/>
          <w:bCs/>
          <w:color w:val="auto"/>
          <w:szCs w:val="21"/>
          <w:u w:val="single"/>
        </w:rPr>
      </w:pPr>
      <w:bookmarkStart w:id="12" w:name="_Toc14497_WPSOffice_Level2"/>
      <w:r>
        <w:rPr>
          <w:rFonts w:hint="eastAsia" w:ascii="宋体" w:hAnsi="宋体" w:eastAsia="宋体" w:cs="宋体"/>
          <w:bCs/>
          <w:color w:val="auto"/>
          <w:szCs w:val="21"/>
        </w:rPr>
        <w:t>7、合同定价方式：</w:t>
      </w:r>
      <w:r>
        <w:rPr>
          <w:rFonts w:hint="eastAsia" w:ascii="宋体" w:hAnsi="宋体" w:eastAsia="宋体" w:cs="宋体"/>
          <w:color w:val="auto"/>
          <w:kern w:val="2"/>
          <w:sz w:val="21"/>
          <w:szCs w:val="21"/>
          <w:lang w:val="en-US" w:eastAsia="zh-CN" w:bidi="ar"/>
        </w:rPr>
        <w:t>■</w:t>
      </w:r>
      <w:r>
        <w:rPr>
          <w:rFonts w:hint="eastAsia" w:ascii="宋体" w:hAnsi="宋体" w:eastAsia="宋体" w:cs="宋体"/>
          <w:iCs/>
          <w:color w:val="auto"/>
          <w:szCs w:val="21"/>
        </w:rPr>
        <w:t xml:space="preserve">固定总价 </w:t>
      </w:r>
      <w:r>
        <w:rPr>
          <w:rFonts w:hint="eastAsia" w:ascii="宋体" w:hAnsi="宋体" w:eastAsia="宋体" w:cs="宋体"/>
          <w:color w:val="auto"/>
          <w:szCs w:val="21"/>
          <w:lang w:eastAsia="zh-CN"/>
        </w:rPr>
        <w:t>□</w:t>
      </w:r>
      <w:r>
        <w:rPr>
          <w:rFonts w:hint="eastAsia" w:ascii="宋体" w:hAnsi="宋体" w:eastAsia="宋体" w:cs="宋体"/>
          <w:iCs/>
          <w:color w:val="auto"/>
          <w:szCs w:val="21"/>
        </w:rPr>
        <w:t xml:space="preserve">固定单价 </w:t>
      </w:r>
      <w:r>
        <w:rPr>
          <w:rFonts w:hint="eastAsia" w:ascii="宋体" w:hAnsi="宋体" w:eastAsia="宋体" w:cs="宋体"/>
          <w:color w:val="auto"/>
          <w:szCs w:val="21"/>
          <w:lang w:eastAsia="zh-CN"/>
        </w:rPr>
        <w:t>□</w:t>
      </w:r>
      <w:r>
        <w:rPr>
          <w:rFonts w:hint="eastAsia" w:ascii="宋体" w:hAnsi="宋体" w:eastAsia="宋体" w:cs="宋体"/>
          <w:iCs/>
          <w:color w:val="auto"/>
          <w:szCs w:val="21"/>
        </w:rPr>
        <w:t xml:space="preserve">成本补偿 </w:t>
      </w:r>
      <w:r>
        <w:rPr>
          <w:rFonts w:hint="eastAsia" w:ascii="宋体" w:hAnsi="宋体" w:eastAsia="宋体" w:cs="宋体"/>
          <w:color w:val="auto"/>
          <w:szCs w:val="21"/>
          <w:lang w:eastAsia="zh-CN"/>
        </w:rPr>
        <w:t>□</w:t>
      </w:r>
      <w:r>
        <w:rPr>
          <w:rFonts w:hint="eastAsia" w:ascii="宋体" w:hAnsi="宋体" w:eastAsia="宋体" w:cs="宋体"/>
          <w:iCs/>
          <w:color w:val="auto"/>
          <w:szCs w:val="21"/>
        </w:rPr>
        <w:t>绩效激励</w:t>
      </w:r>
      <w:bookmarkEnd w:id="12"/>
    </w:p>
    <w:p w14:paraId="19724D3A">
      <w:pPr>
        <w:adjustRightInd w:val="0"/>
        <w:snapToGrid w:val="0"/>
        <w:spacing w:line="360" w:lineRule="auto"/>
        <w:ind w:firstLine="420" w:firstLineChars="200"/>
        <w:rPr>
          <w:rFonts w:hint="eastAsia" w:ascii="宋体" w:hAnsi="宋体" w:eastAsia="宋体" w:cs="宋体"/>
          <w:color w:val="auto"/>
          <w:szCs w:val="21"/>
          <w:u w:val="single"/>
          <w:lang w:val="en-US" w:eastAsia="zh-CN"/>
        </w:rPr>
      </w:pPr>
      <w:bookmarkStart w:id="13" w:name="_Toc24762_WPSOffice_Level2"/>
      <w:r>
        <w:rPr>
          <w:rFonts w:hint="eastAsia" w:ascii="宋体" w:hAnsi="宋体" w:eastAsia="宋体" w:cs="宋体"/>
          <w:bCs/>
          <w:color w:val="auto"/>
          <w:szCs w:val="21"/>
        </w:rPr>
        <w:t>8、合同履行期限</w:t>
      </w:r>
      <w:bookmarkEnd w:id="13"/>
      <w:r>
        <w:rPr>
          <w:rFonts w:hint="eastAsia" w:ascii="宋体" w:hAnsi="宋体" w:eastAsia="宋体" w:cs="宋体"/>
          <w:bCs/>
          <w:color w:val="auto"/>
          <w:szCs w:val="21"/>
          <w:lang w:eastAsia="zh-CN"/>
        </w:rPr>
        <w:t>：</w:t>
      </w:r>
      <w:r>
        <w:rPr>
          <w:rFonts w:hint="eastAsia" w:ascii="宋体" w:hAnsi="宋体" w:eastAsia="宋体" w:cs="宋体"/>
          <w:bCs/>
          <w:color w:val="auto"/>
          <w:szCs w:val="21"/>
          <w:u w:val="single"/>
          <w:lang w:eastAsia="zh-CN"/>
        </w:rPr>
        <w:t>详见第五章采购需求</w:t>
      </w:r>
    </w:p>
    <w:p w14:paraId="7AEE71CC">
      <w:pPr>
        <w:pStyle w:val="49"/>
        <w:rPr>
          <w:rFonts w:hint="eastAsia" w:ascii="宋体" w:hAnsi="宋体" w:eastAsia="宋体" w:cs="宋体"/>
          <w:color w:val="auto"/>
        </w:rPr>
      </w:pPr>
      <w:bookmarkStart w:id="14" w:name="_Toc32325_WPSOffice_Level2"/>
      <w:r>
        <w:rPr>
          <w:rFonts w:hint="eastAsia" w:ascii="宋体" w:hAnsi="宋体" w:eastAsia="宋体" w:cs="宋体"/>
          <w:bCs/>
          <w:color w:val="auto"/>
        </w:rPr>
        <w:t>9、</w:t>
      </w:r>
      <w:r>
        <w:rPr>
          <w:rFonts w:hint="eastAsia" w:ascii="宋体" w:hAnsi="宋体" w:eastAsia="宋体" w:cs="宋体"/>
          <w:color w:val="auto"/>
        </w:rPr>
        <w:t>本项目分阶段要求</w:t>
      </w:r>
      <w:r>
        <w:rPr>
          <w:rFonts w:hint="eastAsia" w:ascii="宋体" w:hAnsi="宋体" w:eastAsia="宋体" w:cs="宋体"/>
          <w:color w:val="auto"/>
          <w:lang w:eastAsia="zh-CN"/>
        </w:rPr>
        <w:t>供应商</w:t>
      </w:r>
      <w:r>
        <w:rPr>
          <w:rFonts w:hint="eastAsia" w:ascii="宋体" w:hAnsi="宋体" w:eastAsia="宋体" w:cs="宋体"/>
          <w:color w:val="auto"/>
        </w:rPr>
        <w:t>提供以下保证：</w:t>
      </w:r>
      <w:bookmarkEnd w:id="14"/>
    </w:p>
    <w:p w14:paraId="0557CAA9">
      <w:pPr>
        <w:pStyle w:val="49"/>
        <w:spacing w:line="360" w:lineRule="auto"/>
        <w:rPr>
          <w:rFonts w:hint="eastAsia" w:ascii="宋体" w:hAnsi="宋体" w:eastAsia="宋体" w:cs="宋体"/>
          <w:iCs/>
          <w:color w:val="auto"/>
        </w:rPr>
      </w:pPr>
      <w:r>
        <w:rPr>
          <w:rFonts w:hint="eastAsia" w:ascii="宋体" w:hAnsi="宋体" w:eastAsia="宋体" w:cs="宋体"/>
          <w:color w:val="auto"/>
          <w:szCs w:val="21"/>
          <w:lang w:eastAsia="zh-CN"/>
        </w:rPr>
        <w:t>□</w:t>
      </w:r>
      <w:r>
        <w:rPr>
          <w:rFonts w:hint="eastAsia" w:ascii="宋体" w:hAnsi="宋体" w:eastAsia="宋体" w:cs="宋体"/>
          <w:color w:val="auto"/>
        </w:rPr>
        <w:t>磋商保证金：</w:t>
      </w:r>
      <w:r>
        <w:rPr>
          <w:rFonts w:hint="eastAsia" w:ascii="宋体" w:hAnsi="宋体" w:eastAsia="宋体" w:cs="宋体"/>
          <w:iCs/>
          <w:color w:val="auto"/>
        </w:rPr>
        <w:t>采购项目预算的</w:t>
      </w:r>
      <w:r>
        <w:rPr>
          <w:rFonts w:hint="eastAsia" w:ascii="宋体" w:hAnsi="宋体" w:eastAsia="宋体" w:cs="宋体"/>
          <w:iCs/>
          <w:color w:val="auto"/>
          <w:u w:val="single"/>
        </w:rPr>
        <w:t xml:space="preserve">  </w:t>
      </w:r>
      <w:r>
        <w:rPr>
          <w:rFonts w:hint="eastAsia" w:ascii="宋体" w:hAnsi="宋体" w:eastAsia="宋体" w:cs="宋体"/>
          <w:iCs/>
          <w:color w:val="auto"/>
          <w:u w:val="single"/>
          <w:lang w:val="en-US" w:eastAsia="zh-CN"/>
        </w:rPr>
        <w:t>/</w:t>
      </w:r>
      <w:r>
        <w:rPr>
          <w:rFonts w:hint="eastAsia" w:ascii="宋体" w:hAnsi="宋体" w:eastAsia="宋体" w:cs="宋体"/>
          <w:iCs/>
          <w:color w:val="auto"/>
          <w:u w:val="single"/>
        </w:rPr>
        <w:t xml:space="preserve">  </w:t>
      </w:r>
      <w:r>
        <w:rPr>
          <w:rFonts w:hint="eastAsia" w:ascii="宋体" w:hAnsi="宋体" w:eastAsia="宋体" w:cs="宋体"/>
          <w:iCs/>
          <w:color w:val="auto"/>
        </w:rPr>
        <w:t>%</w:t>
      </w:r>
      <w:r>
        <w:rPr>
          <w:rFonts w:hint="eastAsia" w:ascii="宋体" w:hAnsi="宋体" w:eastAsia="宋体" w:cs="宋体"/>
          <w:color w:val="auto"/>
        </w:rPr>
        <w:t>；</w:t>
      </w:r>
    </w:p>
    <w:p w14:paraId="4C37F16D">
      <w:pPr>
        <w:pStyle w:val="49"/>
        <w:spacing w:line="360" w:lineRule="auto"/>
        <w:rPr>
          <w:rFonts w:hint="eastAsia" w:ascii="宋体" w:hAnsi="宋体" w:eastAsia="宋体" w:cs="宋体"/>
          <w:iCs/>
          <w:color w:val="auto"/>
        </w:rPr>
      </w:pPr>
      <w:r>
        <w:rPr>
          <w:rFonts w:hint="eastAsia" w:ascii="宋体" w:hAnsi="宋体" w:eastAsia="宋体" w:cs="宋体"/>
          <w:color w:val="auto"/>
          <w:szCs w:val="21"/>
          <w:lang w:eastAsia="zh-CN"/>
        </w:rPr>
        <w:t>□</w:t>
      </w:r>
      <w:r>
        <w:rPr>
          <w:rFonts w:hint="eastAsia" w:ascii="宋体" w:hAnsi="宋体" w:eastAsia="宋体" w:cs="宋体"/>
          <w:color w:val="auto"/>
        </w:rPr>
        <w:t>履约保证金：</w:t>
      </w:r>
      <w:r>
        <w:rPr>
          <w:rFonts w:hint="eastAsia" w:ascii="宋体" w:hAnsi="宋体" w:eastAsia="宋体" w:cs="宋体"/>
          <w:iCs/>
          <w:color w:val="auto"/>
        </w:rPr>
        <w:t>中标金额的</w:t>
      </w:r>
      <w:r>
        <w:rPr>
          <w:rFonts w:hint="eastAsia" w:ascii="宋体" w:hAnsi="宋体" w:eastAsia="宋体" w:cs="宋体"/>
          <w:iCs/>
          <w:color w:val="auto"/>
          <w:u w:val="single"/>
        </w:rPr>
        <w:t xml:space="preserve">  </w:t>
      </w:r>
      <w:r>
        <w:rPr>
          <w:rFonts w:hint="eastAsia" w:ascii="宋体" w:hAnsi="宋体" w:eastAsia="宋体" w:cs="宋体"/>
          <w:iCs/>
          <w:color w:val="auto"/>
          <w:u w:val="single"/>
          <w:lang w:val="en-US" w:eastAsia="zh-CN"/>
        </w:rPr>
        <w:t>/</w:t>
      </w:r>
      <w:r>
        <w:rPr>
          <w:rFonts w:hint="eastAsia" w:ascii="宋体" w:hAnsi="宋体" w:eastAsia="宋体" w:cs="宋体"/>
          <w:iCs/>
          <w:color w:val="auto"/>
          <w:u w:val="single"/>
        </w:rPr>
        <w:t xml:space="preserve">  </w:t>
      </w:r>
      <w:r>
        <w:rPr>
          <w:rFonts w:hint="eastAsia" w:ascii="宋体" w:hAnsi="宋体" w:eastAsia="宋体" w:cs="宋体"/>
          <w:iCs/>
          <w:color w:val="auto"/>
        </w:rPr>
        <w:t>%</w:t>
      </w:r>
      <w:r>
        <w:rPr>
          <w:rFonts w:hint="eastAsia" w:ascii="宋体" w:hAnsi="宋体" w:eastAsia="宋体" w:cs="宋体"/>
          <w:color w:val="auto"/>
        </w:rPr>
        <w:t>；</w:t>
      </w:r>
    </w:p>
    <w:p w14:paraId="221EABD4">
      <w:pPr>
        <w:pStyle w:val="49"/>
        <w:spacing w:line="360" w:lineRule="auto"/>
        <w:rPr>
          <w:rFonts w:hint="eastAsia" w:ascii="宋体" w:hAnsi="宋体" w:eastAsia="宋体" w:cs="宋体"/>
          <w:iCs/>
          <w:color w:val="auto"/>
        </w:rPr>
      </w:pPr>
      <w:r>
        <w:rPr>
          <w:rFonts w:hint="eastAsia" w:ascii="宋体" w:hAnsi="宋体" w:eastAsia="宋体" w:cs="宋体"/>
          <w:color w:val="auto"/>
          <w:szCs w:val="21"/>
          <w:lang w:eastAsia="zh-CN"/>
        </w:rPr>
        <w:t>□</w:t>
      </w:r>
      <w:r>
        <w:rPr>
          <w:rFonts w:hint="eastAsia" w:ascii="宋体" w:hAnsi="宋体" w:eastAsia="宋体" w:cs="宋体"/>
          <w:iCs/>
          <w:color w:val="auto"/>
        </w:rPr>
        <w:t>预付款保证金：预付款的</w:t>
      </w:r>
      <w:r>
        <w:rPr>
          <w:rFonts w:hint="eastAsia" w:ascii="宋体" w:hAnsi="宋体" w:eastAsia="宋体" w:cs="宋体"/>
          <w:iCs/>
          <w:color w:val="auto"/>
          <w:u w:val="single"/>
        </w:rPr>
        <w:t xml:space="preserve"> </w:t>
      </w:r>
      <w:r>
        <w:rPr>
          <w:rFonts w:hint="eastAsia" w:ascii="宋体" w:hAnsi="宋体" w:eastAsia="宋体" w:cs="宋体"/>
          <w:iCs/>
          <w:color w:val="auto"/>
          <w:u w:val="single"/>
          <w:lang w:val="en-US" w:eastAsia="zh-CN"/>
        </w:rPr>
        <w:t xml:space="preserve"> /</w:t>
      </w:r>
      <w:r>
        <w:rPr>
          <w:rFonts w:hint="eastAsia" w:ascii="宋体" w:hAnsi="宋体" w:eastAsia="宋体" w:cs="宋体"/>
          <w:iCs/>
          <w:color w:val="auto"/>
          <w:u w:val="single"/>
        </w:rPr>
        <w:t xml:space="preserve">  </w:t>
      </w:r>
      <w:r>
        <w:rPr>
          <w:rFonts w:hint="eastAsia" w:ascii="宋体" w:hAnsi="宋体" w:eastAsia="宋体" w:cs="宋体"/>
          <w:iCs/>
          <w:color w:val="auto"/>
        </w:rPr>
        <w:t>%；</w:t>
      </w:r>
    </w:p>
    <w:p w14:paraId="22F7054B">
      <w:pPr>
        <w:pStyle w:val="49"/>
        <w:spacing w:line="360" w:lineRule="auto"/>
        <w:rPr>
          <w:rFonts w:hint="eastAsia" w:ascii="宋体" w:hAnsi="宋体" w:eastAsia="宋体" w:cs="宋体"/>
          <w:iCs/>
          <w:color w:val="auto"/>
        </w:rPr>
      </w:pPr>
      <w:r>
        <w:rPr>
          <w:rFonts w:hint="eastAsia" w:ascii="宋体" w:hAnsi="宋体" w:eastAsia="宋体" w:cs="宋体"/>
          <w:color w:val="auto"/>
          <w:szCs w:val="21"/>
          <w:lang w:eastAsia="zh-CN"/>
        </w:rPr>
        <w:t>□</w:t>
      </w:r>
      <w:r>
        <w:rPr>
          <w:rFonts w:hint="eastAsia" w:ascii="宋体" w:hAnsi="宋体" w:eastAsia="宋体" w:cs="宋体"/>
          <w:iCs/>
          <w:color w:val="auto"/>
        </w:rPr>
        <w:t>质量保证金：合同金额的</w:t>
      </w:r>
      <w:r>
        <w:rPr>
          <w:rFonts w:hint="eastAsia" w:ascii="宋体" w:hAnsi="宋体" w:eastAsia="宋体" w:cs="宋体"/>
          <w:iCs/>
          <w:color w:val="auto"/>
          <w:u w:val="single"/>
        </w:rPr>
        <w:t xml:space="preserve">  </w:t>
      </w:r>
      <w:r>
        <w:rPr>
          <w:rFonts w:hint="eastAsia" w:ascii="宋体" w:hAnsi="宋体" w:eastAsia="宋体" w:cs="宋体"/>
          <w:iCs/>
          <w:color w:val="auto"/>
          <w:u w:val="single"/>
          <w:lang w:val="en-US" w:eastAsia="zh-CN"/>
        </w:rPr>
        <w:t>/</w:t>
      </w:r>
      <w:r>
        <w:rPr>
          <w:rFonts w:hint="eastAsia" w:ascii="宋体" w:hAnsi="宋体" w:eastAsia="宋体" w:cs="宋体"/>
          <w:iCs/>
          <w:color w:val="auto"/>
          <w:u w:val="single"/>
        </w:rPr>
        <w:t xml:space="preserve"> </w:t>
      </w:r>
      <w:r>
        <w:rPr>
          <w:rFonts w:hint="eastAsia" w:ascii="宋体" w:hAnsi="宋体" w:eastAsia="宋体" w:cs="宋体"/>
          <w:iCs/>
          <w:color w:val="auto"/>
        </w:rPr>
        <w:t>%。</w:t>
      </w:r>
    </w:p>
    <w:p w14:paraId="796ACB8B">
      <w:pPr>
        <w:adjustRightInd w:val="0"/>
        <w:snapToGrid w:val="0"/>
        <w:spacing w:line="360" w:lineRule="auto"/>
        <w:ind w:firstLine="422" w:firstLineChars="200"/>
        <w:rPr>
          <w:rFonts w:hint="eastAsia" w:ascii="宋体" w:hAnsi="宋体" w:eastAsia="宋体" w:cs="宋体"/>
          <w:b/>
          <w:color w:val="auto"/>
          <w:szCs w:val="21"/>
        </w:rPr>
      </w:pPr>
      <w:bookmarkStart w:id="15" w:name="_Toc15985"/>
      <w:bookmarkStart w:id="16" w:name="_Toc20001_WPSOffice_Level1"/>
      <w:r>
        <w:rPr>
          <w:rFonts w:hint="eastAsia" w:ascii="宋体" w:hAnsi="宋体" w:eastAsia="宋体" w:cs="宋体"/>
          <w:b/>
          <w:color w:val="auto"/>
          <w:szCs w:val="21"/>
        </w:rPr>
        <w:t>二、采购人的采购需求</w:t>
      </w:r>
      <w:bookmarkEnd w:id="15"/>
      <w:bookmarkEnd w:id="16"/>
    </w:p>
    <w:tbl>
      <w:tblPr>
        <w:tblStyle w:val="26"/>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11"/>
        <w:gridCol w:w="1800"/>
        <w:gridCol w:w="1405"/>
        <w:gridCol w:w="1051"/>
        <w:gridCol w:w="1320"/>
        <w:gridCol w:w="1319"/>
      </w:tblGrid>
      <w:tr w14:paraId="5020B5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26" w:hRule="atLeast"/>
        </w:trPr>
        <w:tc>
          <w:tcPr>
            <w:tcW w:w="671" w:type="dxa"/>
            <w:vAlign w:val="center"/>
          </w:tcPr>
          <w:p w14:paraId="1ABD153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 xml:space="preserve">包号 </w:t>
            </w:r>
          </w:p>
        </w:tc>
        <w:tc>
          <w:tcPr>
            <w:tcW w:w="1711" w:type="dxa"/>
            <w:vAlign w:val="center"/>
          </w:tcPr>
          <w:p w14:paraId="2472AC1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包名称</w:t>
            </w:r>
          </w:p>
        </w:tc>
        <w:tc>
          <w:tcPr>
            <w:tcW w:w="1800" w:type="dxa"/>
            <w:vAlign w:val="center"/>
          </w:tcPr>
          <w:p w14:paraId="4871521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标的名称</w:t>
            </w:r>
          </w:p>
        </w:tc>
        <w:tc>
          <w:tcPr>
            <w:tcW w:w="1405" w:type="dxa"/>
            <w:tcBorders>
              <w:left w:val="single" w:color="auto" w:sz="4" w:space="0"/>
            </w:tcBorders>
            <w:vAlign w:val="center"/>
          </w:tcPr>
          <w:p w14:paraId="518AC77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简要技术要求</w:t>
            </w:r>
          </w:p>
        </w:tc>
        <w:tc>
          <w:tcPr>
            <w:tcW w:w="1051" w:type="dxa"/>
            <w:tcBorders>
              <w:left w:val="single" w:color="auto" w:sz="4" w:space="0"/>
            </w:tcBorders>
            <w:vAlign w:val="center"/>
          </w:tcPr>
          <w:p w14:paraId="743E5964">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szCs w:val="21"/>
              </w:rPr>
              <w:t>数量</w:t>
            </w:r>
          </w:p>
        </w:tc>
        <w:tc>
          <w:tcPr>
            <w:tcW w:w="1320" w:type="dxa"/>
            <w:vAlign w:val="center"/>
          </w:tcPr>
          <w:p w14:paraId="48FC68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标的预算（元）</w:t>
            </w:r>
          </w:p>
        </w:tc>
        <w:tc>
          <w:tcPr>
            <w:tcW w:w="1319" w:type="dxa"/>
            <w:vAlign w:val="center"/>
          </w:tcPr>
          <w:p w14:paraId="5200A8C4">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最高限价（元）</w:t>
            </w:r>
          </w:p>
        </w:tc>
      </w:tr>
      <w:tr w14:paraId="37F5E5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671" w:type="dxa"/>
            <w:vAlign w:val="center"/>
          </w:tcPr>
          <w:p w14:paraId="3B4BE64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711" w:type="dxa"/>
            <w:vAlign w:val="center"/>
          </w:tcPr>
          <w:p w14:paraId="4317D133">
            <w:pPr>
              <w:adjustRightInd w:val="0"/>
              <w:snapToGrid w:val="0"/>
              <w:jc w:val="center"/>
              <w:rPr>
                <w:rFonts w:hint="eastAsia" w:ascii="宋体" w:hAnsi="宋体" w:eastAsia="宋体" w:cs="宋体"/>
                <w:color w:val="auto"/>
                <w:szCs w:val="21"/>
                <w:u w:val="none"/>
                <w:lang w:eastAsia="zh-CN"/>
              </w:rPr>
            </w:pPr>
            <w:r>
              <w:rPr>
                <w:rFonts w:hint="eastAsia" w:ascii="宋体" w:hAnsi="宋体" w:cs="宋体"/>
                <w:color w:val="auto"/>
                <w:szCs w:val="21"/>
                <w:u w:val="none"/>
                <w:lang w:eastAsia="zh-CN"/>
              </w:rPr>
              <w:t>攸县国土空间总体规划动态维护项目</w:t>
            </w:r>
          </w:p>
        </w:tc>
        <w:tc>
          <w:tcPr>
            <w:tcW w:w="1800" w:type="dxa"/>
            <w:vAlign w:val="center"/>
          </w:tcPr>
          <w:p w14:paraId="566C7EF1">
            <w:pPr>
              <w:adjustRightInd w:val="0"/>
              <w:snapToGrid w:val="0"/>
              <w:jc w:val="center"/>
              <w:rPr>
                <w:rFonts w:hint="eastAsia" w:ascii="宋体" w:hAnsi="宋体" w:eastAsia="宋体" w:cs="宋体"/>
                <w:color w:val="auto"/>
                <w:szCs w:val="21"/>
                <w:u w:val="none"/>
                <w:lang w:eastAsia="zh-CN"/>
              </w:rPr>
            </w:pPr>
            <w:r>
              <w:rPr>
                <w:rFonts w:hint="eastAsia" w:ascii="宋体" w:hAnsi="宋体" w:cs="宋体"/>
                <w:color w:val="auto"/>
                <w:szCs w:val="21"/>
                <w:u w:val="none"/>
                <w:lang w:eastAsia="zh-CN"/>
              </w:rPr>
              <w:t>攸县国土空间总体规划动态维护项目</w:t>
            </w:r>
          </w:p>
        </w:tc>
        <w:tc>
          <w:tcPr>
            <w:tcW w:w="1405" w:type="dxa"/>
            <w:tcBorders>
              <w:left w:val="single" w:color="auto" w:sz="4" w:space="0"/>
            </w:tcBorders>
            <w:vAlign w:val="center"/>
          </w:tcPr>
          <w:p w14:paraId="592235A5">
            <w:pPr>
              <w:adjustRightInd w:val="0"/>
              <w:snapToGrid w:val="0"/>
              <w:jc w:val="center"/>
              <w:rPr>
                <w:rFonts w:hint="eastAsia" w:ascii="宋体" w:hAnsi="宋体" w:eastAsia="宋体" w:cs="宋体"/>
                <w:color w:val="auto"/>
                <w:szCs w:val="21"/>
                <w:u w:val="none"/>
                <w:lang w:eastAsia="zh-CN"/>
              </w:rPr>
            </w:pPr>
            <w:r>
              <w:rPr>
                <w:rFonts w:hint="eastAsia" w:ascii="宋体" w:hAnsi="宋体" w:eastAsia="宋体" w:cs="宋体"/>
                <w:bCs/>
                <w:color w:val="auto"/>
                <w:szCs w:val="21"/>
                <w:u w:val="none"/>
                <w:lang w:eastAsia="zh-CN"/>
              </w:rPr>
              <w:t>详见第五章采购需求</w:t>
            </w:r>
          </w:p>
        </w:tc>
        <w:tc>
          <w:tcPr>
            <w:tcW w:w="1051" w:type="dxa"/>
            <w:tcBorders>
              <w:left w:val="single" w:color="auto" w:sz="4" w:space="0"/>
            </w:tcBorders>
            <w:vAlign w:val="center"/>
          </w:tcPr>
          <w:p w14:paraId="07A59741">
            <w:pPr>
              <w:adjustRightInd w:val="0"/>
              <w:snapToGrid w:val="0"/>
              <w:jc w:val="center"/>
              <w:rPr>
                <w:rFonts w:hint="eastAsia" w:ascii="宋体" w:hAnsi="宋体" w:eastAsia="宋体" w:cs="宋体"/>
                <w:color w:val="auto"/>
                <w:szCs w:val="21"/>
                <w:u w:val="none"/>
                <w:lang w:val="en-US" w:eastAsia="zh-CN"/>
              </w:rPr>
            </w:pPr>
            <w:r>
              <w:rPr>
                <w:rFonts w:hint="eastAsia" w:ascii="宋体" w:hAnsi="宋体" w:eastAsia="宋体" w:cs="宋体"/>
                <w:color w:val="auto"/>
                <w:szCs w:val="21"/>
                <w:u w:val="none"/>
                <w:lang w:val="en-US" w:eastAsia="zh-CN"/>
              </w:rPr>
              <w:t>1项</w:t>
            </w:r>
          </w:p>
        </w:tc>
        <w:tc>
          <w:tcPr>
            <w:tcW w:w="1320" w:type="dxa"/>
            <w:vAlign w:val="center"/>
          </w:tcPr>
          <w:p w14:paraId="2CF638AA">
            <w:pPr>
              <w:adjustRightInd w:val="0"/>
              <w:snapToGrid w:val="0"/>
              <w:jc w:val="center"/>
              <w:rPr>
                <w:rFonts w:hint="eastAsia" w:ascii="宋体" w:hAnsi="宋体" w:eastAsia="宋体" w:cs="宋体"/>
                <w:color w:val="auto"/>
                <w:szCs w:val="21"/>
                <w:u w:val="none"/>
                <w:lang w:val="en-US" w:eastAsia="zh-CN"/>
              </w:rPr>
            </w:pPr>
            <w:r>
              <w:rPr>
                <w:rFonts w:hint="eastAsia" w:ascii="宋体" w:hAnsi="宋体" w:cs="宋体"/>
                <w:color w:val="auto"/>
                <w:szCs w:val="21"/>
                <w:u w:val="none"/>
                <w:lang w:val="en-US" w:eastAsia="zh-CN"/>
              </w:rPr>
              <w:t>600000</w:t>
            </w:r>
          </w:p>
        </w:tc>
        <w:tc>
          <w:tcPr>
            <w:tcW w:w="1319" w:type="dxa"/>
            <w:vAlign w:val="center"/>
          </w:tcPr>
          <w:p w14:paraId="3BDFDE2C">
            <w:pPr>
              <w:adjustRightInd w:val="0"/>
              <w:snapToGrid w:val="0"/>
              <w:jc w:val="center"/>
              <w:rPr>
                <w:rFonts w:hint="eastAsia" w:ascii="宋体" w:hAnsi="宋体" w:eastAsia="宋体" w:cs="宋体"/>
                <w:color w:val="auto"/>
                <w:szCs w:val="21"/>
                <w:u w:val="none"/>
                <w:lang w:val="en-US" w:eastAsia="zh-CN"/>
              </w:rPr>
            </w:pPr>
            <w:r>
              <w:rPr>
                <w:rFonts w:hint="eastAsia" w:ascii="宋体" w:hAnsi="宋体" w:cs="宋体"/>
                <w:color w:val="auto"/>
                <w:szCs w:val="21"/>
                <w:u w:val="none"/>
                <w:lang w:val="en-US" w:eastAsia="zh-CN"/>
              </w:rPr>
              <w:t>600000</w:t>
            </w:r>
          </w:p>
        </w:tc>
      </w:tr>
    </w:tbl>
    <w:p w14:paraId="538C4261">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说明：</w:t>
      </w:r>
    </w:p>
    <w:p w14:paraId="6308193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1.节能产品实行</w:t>
      </w:r>
      <w:r>
        <w:rPr>
          <w:rFonts w:hint="eastAsia" w:ascii="宋体" w:hAnsi="宋体" w:eastAsia="宋体" w:cs="宋体"/>
          <w:iCs/>
          <w:color w:val="auto"/>
          <w:szCs w:val="21"/>
        </w:rPr>
        <w:t>强制采购的</w:t>
      </w:r>
      <w:r>
        <w:rPr>
          <w:rFonts w:hint="eastAsia" w:ascii="宋体" w:hAnsi="宋体" w:eastAsia="宋体" w:cs="宋体"/>
          <w:color w:val="auto"/>
          <w:szCs w:val="21"/>
        </w:rPr>
        <w:t>，需提供国家认证机构出具的、处于有效期内的节能产品证书。</w:t>
      </w:r>
    </w:p>
    <w:p w14:paraId="7556E3F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2.同意购买进口产品的，不限制满足采购需求的国内产品参与投标。</w:t>
      </w:r>
    </w:p>
    <w:p w14:paraId="23E6D247">
      <w:pPr>
        <w:adjustRightInd w:val="0"/>
        <w:snapToGrid w:val="0"/>
        <w:spacing w:line="360" w:lineRule="auto"/>
        <w:ind w:firstLine="422" w:firstLineChars="200"/>
        <w:rPr>
          <w:rFonts w:hint="eastAsia" w:ascii="宋体" w:hAnsi="宋体" w:eastAsia="宋体" w:cs="宋体"/>
          <w:b/>
          <w:color w:val="auto"/>
          <w:szCs w:val="21"/>
        </w:rPr>
      </w:pPr>
      <w:bookmarkStart w:id="17" w:name="_Toc29133_WPSOffice_Level1"/>
      <w:bookmarkStart w:id="18" w:name="_Toc16979"/>
      <w:r>
        <w:rPr>
          <w:rFonts w:hint="eastAsia" w:ascii="宋体" w:hAnsi="宋体" w:eastAsia="宋体" w:cs="宋体"/>
          <w:b/>
          <w:color w:val="auto"/>
          <w:szCs w:val="21"/>
        </w:rPr>
        <w:t>三、采购项目需落实的政府采购政策</w:t>
      </w:r>
      <w:bookmarkEnd w:id="17"/>
      <w:bookmarkEnd w:id="18"/>
    </w:p>
    <w:p w14:paraId="51DCD6E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1、优先采购：节能产品、环境标志产品、两型产品享受加分或价格折扣。</w:t>
      </w:r>
    </w:p>
    <w:p w14:paraId="2D5EB8D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2、支持中小企业：中小企业享受预留采购份额或价格折扣。</w:t>
      </w:r>
    </w:p>
    <w:p w14:paraId="06925B81">
      <w:pPr>
        <w:adjustRightInd w:val="0"/>
        <w:snapToGrid w:val="0"/>
        <w:spacing w:line="360" w:lineRule="auto"/>
        <w:ind w:firstLine="422" w:firstLineChars="200"/>
        <w:rPr>
          <w:rFonts w:hint="eastAsia" w:ascii="宋体" w:hAnsi="宋体" w:eastAsia="宋体" w:cs="宋体"/>
          <w:color w:val="auto"/>
          <w:szCs w:val="21"/>
        </w:rPr>
      </w:pPr>
      <w:bookmarkStart w:id="19" w:name="_Toc2961"/>
      <w:bookmarkStart w:id="20" w:name="_Toc13165_WPSOffice_Level1"/>
      <w:r>
        <w:rPr>
          <w:rFonts w:hint="eastAsia" w:ascii="宋体" w:hAnsi="宋体" w:eastAsia="宋体" w:cs="宋体"/>
          <w:b/>
          <w:color w:val="auto"/>
          <w:szCs w:val="21"/>
        </w:rPr>
        <w:t>四、供应商的资格要求</w:t>
      </w:r>
      <w:bookmarkEnd w:id="19"/>
      <w:bookmarkEnd w:id="20"/>
    </w:p>
    <w:p w14:paraId="5F0CA98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1、供应商的基本资格条件：供应商必须是在中华人民共和国境内注册登记的法人、其他组织或者分支机构，且应当符合《政府采购法》第二十二条第一款的规定。</w:t>
      </w:r>
    </w:p>
    <w:p w14:paraId="2F93C5F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2、落实政府采购政策需满足的资格要求：</w:t>
      </w:r>
    </w:p>
    <w:p w14:paraId="6755F4D1">
      <w:pPr>
        <w:adjustRightInd w:val="0"/>
        <w:snapToGrid w:val="0"/>
        <w:spacing w:line="360" w:lineRule="auto"/>
        <w:ind w:firstLine="630" w:firstLineChars="300"/>
        <w:rPr>
          <w:rFonts w:hint="eastAsia" w:ascii="宋体" w:hAnsi="宋体" w:eastAsia="宋体" w:cs="宋体"/>
          <w:iCs/>
          <w:color w:val="auto"/>
          <w:szCs w:val="21"/>
        </w:rPr>
      </w:pPr>
      <w:r>
        <w:rPr>
          <w:rFonts w:hint="eastAsia" w:ascii="宋体" w:hAnsi="宋体" w:eastAsia="宋体" w:cs="宋体"/>
          <w:color w:val="auto"/>
          <w:szCs w:val="21"/>
          <w:lang w:eastAsia="zh-CN"/>
        </w:rPr>
        <w:t>□</w:t>
      </w:r>
      <w:r>
        <w:rPr>
          <w:rFonts w:hint="eastAsia" w:ascii="宋体" w:hAnsi="宋体" w:eastAsia="宋体" w:cs="宋体"/>
          <w:iCs/>
          <w:color w:val="auto"/>
          <w:szCs w:val="21"/>
        </w:rPr>
        <w:t>专门面向：</w:t>
      </w:r>
      <w:r>
        <w:rPr>
          <w:rFonts w:hint="eastAsia" w:ascii="宋体" w:hAnsi="宋体" w:eastAsia="宋体" w:cs="宋体"/>
          <w:color w:val="auto"/>
          <w:szCs w:val="21"/>
          <w:lang w:eastAsia="zh-CN"/>
        </w:rPr>
        <w:t>□</w:t>
      </w:r>
      <w:r>
        <w:rPr>
          <w:rFonts w:hint="eastAsia" w:ascii="宋体" w:hAnsi="宋体" w:eastAsia="宋体" w:cs="宋体"/>
          <w:iCs/>
          <w:color w:val="auto"/>
          <w:szCs w:val="21"/>
        </w:rPr>
        <w:t xml:space="preserve">中小企业  </w:t>
      </w:r>
      <w:r>
        <w:rPr>
          <w:rFonts w:hint="eastAsia" w:ascii="宋体" w:hAnsi="宋体" w:eastAsia="宋体" w:cs="宋体"/>
          <w:color w:val="auto"/>
          <w:szCs w:val="21"/>
          <w:lang w:eastAsia="zh-CN"/>
        </w:rPr>
        <w:t>□</w:t>
      </w:r>
      <w:r>
        <w:rPr>
          <w:rFonts w:hint="eastAsia" w:ascii="宋体" w:hAnsi="宋体" w:eastAsia="宋体" w:cs="宋体"/>
          <w:iCs/>
          <w:color w:val="auto"/>
          <w:szCs w:val="21"/>
        </w:rPr>
        <w:t xml:space="preserve">小微企业 </w:t>
      </w:r>
      <w:r>
        <w:rPr>
          <w:rFonts w:hint="eastAsia" w:ascii="宋体" w:hAnsi="宋体" w:eastAsia="宋体" w:cs="宋体"/>
          <w:color w:val="auto"/>
          <w:szCs w:val="21"/>
          <w:lang w:eastAsia="zh-CN"/>
        </w:rPr>
        <w:t>□</w:t>
      </w:r>
      <w:r>
        <w:rPr>
          <w:rFonts w:hint="eastAsia" w:ascii="宋体" w:hAnsi="宋体" w:eastAsia="宋体" w:cs="宋体"/>
          <w:iCs/>
          <w:color w:val="auto"/>
          <w:szCs w:val="21"/>
        </w:rPr>
        <w:t xml:space="preserve">监狱企业 </w:t>
      </w:r>
      <w:r>
        <w:rPr>
          <w:rFonts w:hint="eastAsia" w:ascii="宋体" w:hAnsi="宋体" w:eastAsia="宋体" w:cs="宋体"/>
          <w:color w:val="auto"/>
          <w:szCs w:val="21"/>
          <w:lang w:eastAsia="zh-CN"/>
        </w:rPr>
        <w:t>□</w:t>
      </w:r>
      <w:r>
        <w:rPr>
          <w:rFonts w:hint="eastAsia" w:ascii="宋体" w:hAnsi="宋体" w:eastAsia="宋体" w:cs="宋体"/>
          <w:iCs/>
          <w:color w:val="auto"/>
          <w:szCs w:val="21"/>
        </w:rPr>
        <w:t>福利性单位。</w:t>
      </w:r>
    </w:p>
    <w:p w14:paraId="33BF3483">
      <w:pPr>
        <w:adjustRightInd w:val="0"/>
        <w:snapToGrid w:val="0"/>
        <w:spacing w:line="360" w:lineRule="auto"/>
        <w:ind w:firstLine="630" w:firstLineChars="300"/>
        <w:rPr>
          <w:rFonts w:hint="eastAsia" w:ascii="宋体" w:hAnsi="宋体" w:eastAsia="宋体" w:cs="宋体"/>
          <w:bCs/>
          <w:color w:val="auto"/>
          <w:szCs w:val="21"/>
        </w:rPr>
      </w:pPr>
      <w:r>
        <w:rPr>
          <w:rFonts w:hint="eastAsia" w:ascii="宋体" w:hAnsi="宋体" w:eastAsia="宋体" w:cs="宋体"/>
          <w:color w:val="auto"/>
          <w:szCs w:val="21"/>
          <w:lang w:eastAsia="zh-CN"/>
        </w:rPr>
        <w:t>□</w:t>
      </w:r>
      <w:r>
        <w:rPr>
          <w:rFonts w:hint="eastAsia" w:ascii="宋体" w:hAnsi="宋体" w:eastAsia="宋体" w:cs="宋体"/>
          <w:iCs/>
          <w:color w:val="auto"/>
          <w:szCs w:val="21"/>
        </w:rPr>
        <w:t>强制</w:t>
      </w:r>
      <w:r>
        <w:rPr>
          <w:rFonts w:hint="eastAsia" w:ascii="宋体" w:hAnsi="宋体" w:eastAsia="宋体" w:cs="宋体"/>
          <w:bCs/>
          <w:color w:val="auto"/>
          <w:szCs w:val="21"/>
        </w:rPr>
        <w:t>分包：大型企业应将采购份额的</w:t>
      </w:r>
      <w:r>
        <w:rPr>
          <w:rFonts w:hint="eastAsia" w:ascii="宋体" w:hAnsi="宋体" w:eastAsia="宋体" w:cs="宋体"/>
          <w:bCs/>
          <w:color w:val="auto"/>
          <w:szCs w:val="21"/>
          <w:u w:val="single"/>
        </w:rPr>
        <w:t xml:space="preserve">   /   </w:t>
      </w:r>
      <w:r>
        <w:rPr>
          <w:rFonts w:hint="eastAsia" w:ascii="宋体" w:hAnsi="宋体" w:eastAsia="宋体" w:cs="宋体"/>
          <w:bCs/>
          <w:color w:val="auto"/>
          <w:szCs w:val="21"/>
        </w:rPr>
        <w:t>%分包给中小企业。</w:t>
      </w:r>
    </w:p>
    <w:p w14:paraId="03990BC3">
      <w:pPr>
        <w:numPr>
          <w:ilvl w:val="0"/>
          <w:numId w:val="0"/>
        </w:num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采购项目的特定资格条件：</w:t>
      </w:r>
      <w:r>
        <w:rPr>
          <w:rFonts w:hint="eastAsia" w:ascii="宋体" w:hAnsi="宋体" w:cs="宋体"/>
          <w:color w:val="auto"/>
          <w:szCs w:val="21"/>
          <w:lang w:eastAsia="zh-CN"/>
        </w:rPr>
        <w:t>供应商具有行政管理部门颁发的城乡规划（国土空间规划）编制乙级及以上证书，资质证书处于有效期</w:t>
      </w:r>
      <w:r>
        <w:rPr>
          <w:rFonts w:hint="eastAsia" w:ascii="宋体" w:hAnsi="宋体" w:eastAsia="宋体" w:cs="宋体"/>
          <w:color w:val="auto"/>
          <w:szCs w:val="21"/>
          <w:lang w:eastAsia="zh-CN"/>
        </w:rPr>
        <w:t>。</w:t>
      </w:r>
    </w:p>
    <w:p w14:paraId="724B8BF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4、单位负责人为同一人或者存在直接控股、管理关系的不同</w:t>
      </w:r>
      <w:r>
        <w:rPr>
          <w:rFonts w:hint="eastAsia" w:ascii="宋体" w:hAnsi="宋体" w:eastAsia="宋体" w:cs="宋体"/>
          <w:color w:val="auto"/>
          <w:szCs w:val="21"/>
          <w:lang w:eastAsia="zh-CN"/>
        </w:rPr>
        <w:t>供应商</w:t>
      </w:r>
      <w:r>
        <w:rPr>
          <w:rFonts w:hint="eastAsia" w:ascii="宋体" w:hAnsi="宋体" w:eastAsia="宋体" w:cs="宋体"/>
          <w:color w:val="auto"/>
          <w:szCs w:val="21"/>
        </w:rPr>
        <w:t>，不得参加同一合同项下的政府采购活动。</w:t>
      </w:r>
    </w:p>
    <w:p w14:paraId="469A6E4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5、为本采购项目提供整体设计、规范编制或者项目管理、监理、检测等服务的，不得再参加此项目的其他采购活动。</w:t>
      </w:r>
    </w:p>
    <w:p w14:paraId="5F37E2F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6、列入失信被执行人、重大税收违法失信主体名单、政府采购严重违法失信行为记录名单的，拒绝其参与政府采购活动。</w:t>
      </w:r>
    </w:p>
    <w:p w14:paraId="3123816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7、联合体投标。本次招标</w:t>
      </w:r>
      <w:r>
        <w:rPr>
          <w:rFonts w:hint="eastAsia" w:ascii="宋体" w:hAnsi="宋体" w:eastAsia="宋体" w:cs="宋体"/>
          <w:color w:val="auto"/>
          <w:szCs w:val="21"/>
          <w:u w:val="single"/>
        </w:rPr>
        <w:t xml:space="preserve"> 不接受 </w:t>
      </w:r>
      <w:r>
        <w:rPr>
          <w:rFonts w:hint="eastAsia" w:ascii="宋体" w:hAnsi="宋体" w:eastAsia="宋体" w:cs="宋体"/>
          <w:color w:val="auto"/>
          <w:szCs w:val="21"/>
        </w:rPr>
        <w:t>联合体投标。</w:t>
      </w:r>
    </w:p>
    <w:p w14:paraId="61CA1691">
      <w:pPr>
        <w:adjustRightInd w:val="0"/>
        <w:snapToGrid w:val="0"/>
        <w:spacing w:line="360" w:lineRule="auto"/>
        <w:ind w:firstLine="422" w:firstLineChars="200"/>
        <w:rPr>
          <w:rFonts w:hint="eastAsia" w:ascii="宋体" w:hAnsi="宋体" w:eastAsia="宋体" w:cs="宋体"/>
          <w:b/>
          <w:color w:val="auto"/>
          <w:szCs w:val="21"/>
        </w:rPr>
      </w:pPr>
      <w:bookmarkStart w:id="21" w:name="_Toc10653"/>
      <w:bookmarkStart w:id="22" w:name="_Toc22864_WPSOffice_Level1"/>
      <w:r>
        <w:rPr>
          <w:rFonts w:hint="eastAsia" w:ascii="宋体" w:hAnsi="宋体" w:eastAsia="宋体" w:cs="宋体"/>
          <w:b/>
          <w:color w:val="auto"/>
          <w:szCs w:val="21"/>
        </w:rPr>
        <w:t>五、获取磋商文件的时间、期限、地点及方式</w:t>
      </w:r>
      <w:bookmarkEnd w:id="21"/>
      <w:bookmarkEnd w:id="22"/>
    </w:p>
    <w:p w14:paraId="3D4AC1C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获取磋商文件：有意参加投标者，于</w:t>
      </w:r>
      <w:r>
        <w:rPr>
          <w:rFonts w:hint="eastAsia" w:ascii="宋体" w:hAnsi="宋体" w:eastAsia="宋体" w:cs="宋体"/>
          <w:color w:val="auto"/>
          <w:szCs w:val="21"/>
          <w:lang w:val="en-US" w:eastAsia="zh-CN"/>
        </w:rPr>
        <w:t>2026</w:t>
      </w:r>
      <w:r>
        <w:rPr>
          <w:rFonts w:hint="eastAsia" w:ascii="宋体" w:hAnsi="宋体" w:eastAsia="宋体" w:cs="宋体"/>
          <w:color w:val="auto"/>
          <w:szCs w:val="21"/>
        </w:rPr>
        <w:t>年</w:t>
      </w:r>
      <w:r>
        <w:rPr>
          <w:rFonts w:hint="eastAsia" w:ascii="宋体" w:hAnsi="宋体" w:cs="宋体"/>
          <w:color w:val="auto"/>
          <w:szCs w:val="21"/>
          <w:lang w:val="en-US" w:eastAsia="zh-CN"/>
        </w:rPr>
        <w:t>7</w:t>
      </w:r>
      <w:r>
        <w:rPr>
          <w:rFonts w:hint="eastAsia" w:ascii="宋体" w:hAnsi="宋体" w:eastAsia="宋体" w:cs="宋体"/>
          <w:color w:val="auto"/>
          <w:szCs w:val="21"/>
        </w:rPr>
        <w:t>月</w:t>
      </w:r>
      <w:r>
        <w:rPr>
          <w:rFonts w:hint="eastAsia" w:ascii="宋体" w:hAnsi="宋体" w:cs="宋体"/>
          <w:color w:val="auto"/>
          <w:szCs w:val="21"/>
          <w:lang w:val="en-US" w:eastAsia="zh-CN"/>
        </w:rPr>
        <w:t>21</w:t>
      </w:r>
      <w:r>
        <w:rPr>
          <w:rFonts w:hint="eastAsia" w:ascii="宋体" w:hAnsi="宋体" w:eastAsia="宋体" w:cs="宋体"/>
          <w:color w:val="auto"/>
          <w:szCs w:val="21"/>
        </w:rPr>
        <w:t>日至</w:t>
      </w:r>
      <w:r>
        <w:rPr>
          <w:rFonts w:hint="eastAsia" w:ascii="宋体" w:hAnsi="宋体" w:eastAsia="宋体" w:cs="宋体"/>
          <w:color w:val="auto"/>
          <w:szCs w:val="21"/>
          <w:lang w:val="en-US" w:eastAsia="zh-CN"/>
        </w:rPr>
        <w:t>2026</w:t>
      </w:r>
      <w:r>
        <w:rPr>
          <w:rFonts w:hint="eastAsia" w:ascii="宋体" w:hAnsi="宋体" w:eastAsia="宋体" w:cs="宋体"/>
          <w:color w:val="auto"/>
          <w:szCs w:val="21"/>
        </w:rPr>
        <w:t>年</w:t>
      </w:r>
      <w:r>
        <w:rPr>
          <w:rFonts w:hint="eastAsia" w:ascii="宋体" w:hAnsi="宋体" w:cs="宋体"/>
          <w:color w:val="auto"/>
          <w:szCs w:val="21"/>
          <w:lang w:val="en-US" w:eastAsia="zh-CN"/>
        </w:rPr>
        <w:t>7</w:t>
      </w:r>
      <w:r>
        <w:rPr>
          <w:rFonts w:hint="eastAsia" w:ascii="宋体" w:hAnsi="宋体" w:eastAsia="宋体" w:cs="宋体"/>
          <w:color w:val="auto"/>
          <w:szCs w:val="21"/>
        </w:rPr>
        <w:t>月</w:t>
      </w:r>
      <w:r>
        <w:rPr>
          <w:rFonts w:hint="eastAsia" w:ascii="宋体" w:hAnsi="宋体" w:cs="宋体"/>
          <w:color w:val="auto"/>
          <w:szCs w:val="21"/>
          <w:lang w:val="en-US" w:eastAsia="zh-CN"/>
        </w:rPr>
        <w:t>28</w:t>
      </w:r>
      <w:r>
        <w:rPr>
          <w:rFonts w:hint="eastAsia" w:ascii="宋体" w:hAnsi="宋体" w:eastAsia="宋体" w:cs="宋体"/>
          <w:color w:val="auto"/>
          <w:szCs w:val="21"/>
        </w:rPr>
        <w:t>日在《湖南省株洲市政府采购网》（网址：http://www.ccgp-hunan.gov.cn/portal_city.jsp?areaCode=zzs）进行网上下载磋商文件及其相关附件获取电子版</w:t>
      </w:r>
      <w:r>
        <w:rPr>
          <w:rFonts w:hint="eastAsia" w:ascii="宋体" w:hAnsi="宋体" w:eastAsia="宋体" w:cs="宋体"/>
          <w:color w:val="auto"/>
          <w:szCs w:val="21"/>
          <w:lang w:eastAsia="zh-CN"/>
        </w:rPr>
        <w:t>采购文件</w:t>
      </w:r>
      <w:r>
        <w:rPr>
          <w:rFonts w:hint="eastAsia" w:ascii="宋体" w:hAnsi="宋体" w:eastAsia="宋体" w:cs="宋体"/>
          <w:color w:val="auto"/>
          <w:szCs w:val="21"/>
        </w:rPr>
        <w:t xml:space="preserve">。 </w:t>
      </w:r>
    </w:p>
    <w:p w14:paraId="4DE87957">
      <w:pPr>
        <w:adjustRightInd w:val="0"/>
        <w:snapToGrid w:val="0"/>
        <w:spacing w:line="360" w:lineRule="auto"/>
        <w:ind w:firstLine="422" w:firstLineChars="200"/>
        <w:rPr>
          <w:rFonts w:hint="eastAsia" w:ascii="宋体" w:hAnsi="宋体" w:eastAsia="宋体" w:cs="宋体"/>
          <w:b/>
          <w:color w:val="auto"/>
          <w:szCs w:val="21"/>
        </w:rPr>
      </w:pPr>
      <w:bookmarkStart w:id="23" w:name="_Toc5455_WPSOffice_Level1"/>
      <w:bookmarkStart w:id="24" w:name="_Toc14551"/>
      <w:r>
        <w:rPr>
          <w:rFonts w:hint="eastAsia" w:ascii="宋体" w:hAnsi="宋体" w:eastAsia="宋体" w:cs="宋体"/>
          <w:b/>
          <w:color w:val="auto"/>
          <w:szCs w:val="21"/>
        </w:rPr>
        <w:t>六、投标截止时间、开标时间及地点</w:t>
      </w:r>
      <w:bookmarkEnd w:id="23"/>
      <w:bookmarkEnd w:id="24"/>
    </w:p>
    <w:p w14:paraId="399B4AAF">
      <w:pPr>
        <w:adjustRightInd w:val="0"/>
        <w:snapToGrid w:val="0"/>
        <w:spacing w:line="360" w:lineRule="auto"/>
        <w:ind w:firstLine="420" w:firstLineChars="200"/>
        <w:rPr>
          <w:rFonts w:hint="eastAsia" w:ascii="宋体" w:hAnsi="宋体" w:eastAsia="宋体" w:cs="宋体"/>
          <w:color w:val="auto"/>
          <w:szCs w:val="21"/>
        </w:rPr>
      </w:pPr>
      <w:bookmarkStart w:id="25" w:name="_Toc18766_WPSOffice_Level2"/>
      <w:r>
        <w:rPr>
          <w:rFonts w:hint="eastAsia" w:ascii="宋体" w:hAnsi="宋体" w:eastAsia="宋体" w:cs="宋体"/>
          <w:color w:val="auto"/>
          <w:szCs w:val="21"/>
        </w:rPr>
        <w:t>1、提交响应文件的截止时间：</w:t>
      </w:r>
      <w:r>
        <w:rPr>
          <w:rFonts w:hint="eastAsia" w:ascii="宋体" w:hAnsi="宋体" w:eastAsia="宋体" w:cs="宋体"/>
          <w:color w:val="auto"/>
          <w:szCs w:val="21"/>
          <w:lang w:val="en-US" w:eastAsia="zh-CN"/>
        </w:rPr>
        <w:t>2026</w:t>
      </w:r>
      <w:r>
        <w:rPr>
          <w:rFonts w:hint="eastAsia" w:ascii="宋体" w:hAnsi="宋体" w:eastAsia="宋体" w:cs="宋体"/>
          <w:color w:val="auto"/>
          <w:szCs w:val="21"/>
        </w:rPr>
        <w:t>年</w:t>
      </w:r>
      <w:r>
        <w:rPr>
          <w:rFonts w:hint="eastAsia" w:ascii="宋体" w:hAnsi="宋体" w:cs="宋体"/>
          <w:color w:val="auto"/>
          <w:szCs w:val="21"/>
          <w:lang w:val="en-US" w:eastAsia="zh-CN"/>
        </w:rPr>
        <w:t>7</w:t>
      </w:r>
      <w:r>
        <w:rPr>
          <w:rFonts w:hint="eastAsia" w:ascii="宋体" w:hAnsi="宋体" w:eastAsia="宋体" w:cs="宋体"/>
          <w:color w:val="auto"/>
          <w:szCs w:val="21"/>
        </w:rPr>
        <w:t>月</w:t>
      </w:r>
      <w:r>
        <w:rPr>
          <w:rFonts w:hint="eastAsia" w:ascii="宋体" w:hAnsi="宋体" w:cs="宋体"/>
          <w:color w:val="auto"/>
          <w:szCs w:val="21"/>
          <w:lang w:val="en-US" w:eastAsia="zh-CN"/>
        </w:rPr>
        <w:t>31</w:t>
      </w:r>
      <w:r>
        <w:rPr>
          <w:rFonts w:hint="eastAsia" w:ascii="宋体" w:hAnsi="宋体" w:eastAsia="宋体" w:cs="宋体"/>
          <w:color w:val="auto"/>
          <w:szCs w:val="21"/>
        </w:rPr>
        <w:t>日</w:t>
      </w:r>
      <w:r>
        <w:rPr>
          <w:rFonts w:hint="eastAsia" w:ascii="宋体" w:hAnsi="宋体" w:cs="宋体"/>
          <w:color w:val="auto"/>
          <w:szCs w:val="21"/>
          <w:lang w:val="en-US" w:eastAsia="zh-CN"/>
        </w:rPr>
        <w:t>15</w:t>
      </w:r>
      <w:r>
        <w:rPr>
          <w:rFonts w:hint="eastAsia" w:ascii="宋体" w:hAnsi="宋体" w:eastAsia="宋体" w:cs="宋体"/>
          <w:color w:val="auto"/>
          <w:szCs w:val="21"/>
        </w:rPr>
        <w:t>时</w:t>
      </w:r>
      <w:r>
        <w:rPr>
          <w:rFonts w:hint="eastAsia" w:ascii="宋体" w:hAnsi="宋体" w:cs="宋体"/>
          <w:color w:val="auto"/>
          <w:szCs w:val="21"/>
          <w:lang w:val="en-US" w:eastAsia="zh-CN"/>
        </w:rPr>
        <w:t>00</w:t>
      </w:r>
      <w:r>
        <w:rPr>
          <w:rFonts w:hint="eastAsia" w:ascii="宋体" w:hAnsi="宋体" w:eastAsia="宋体" w:cs="宋体"/>
          <w:color w:val="auto"/>
          <w:szCs w:val="21"/>
        </w:rPr>
        <w:t>分（北京时间）</w:t>
      </w:r>
      <w:bookmarkEnd w:id="25"/>
      <w:r>
        <w:rPr>
          <w:rFonts w:hint="eastAsia" w:ascii="宋体" w:hAnsi="宋体" w:eastAsia="宋体" w:cs="宋体"/>
          <w:color w:val="auto"/>
          <w:szCs w:val="21"/>
        </w:rPr>
        <w:t xml:space="preserve"> </w:t>
      </w:r>
    </w:p>
    <w:p w14:paraId="30AD9291">
      <w:pPr>
        <w:adjustRightInd w:val="0"/>
        <w:snapToGrid w:val="0"/>
        <w:spacing w:line="360" w:lineRule="auto"/>
        <w:ind w:firstLine="420" w:firstLineChars="200"/>
        <w:rPr>
          <w:rFonts w:hint="eastAsia" w:ascii="宋体" w:hAnsi="宋体" w:eastAsia="宋体" w:cs="宋体"/>
          <w:color w:val="auto"/>
          <w:szCs w:val="21"/>
        </w:rPr>
      </w:pPr>
      <w:bookmarkStart w:id="26" w:name="_Toc3495_WPSOffice_Level2"/>
      <w:r>
        <w:rPr>
          <w:rFonts w:hint="eastAsia" w:ascii="宋体" w:hAnsi="宋体" w:eastAsia="宋体" w:cs="宋体"/>
          <w:color w:val="auto"/>
          <w:szCs w:val="21"/>
        </w:rPr>
        <w:t>2、提交响应文件地点：</w:t>
      </w:r>
      <w:bookmarkEnd w:id="26"/>
      <w:r>
        <w:rPr>
          <w:rFonts w:hint="eastAsia" w:ascii="宋体" w:hAnsi="宋体" w:eastAsia="宋体" w:cs="宋体"/>
          <w:color w:val="auto"/>
          <w:szCs w:val="21"/>
          <w:lang w:eastAsia="zh-CN"/>
        </w:rPr>
        <w:t>攸县发展中心主楼11楼1169室。</w:t>
      </w:r>
      <w:r>
        <w:rPr>
          <w:rFonts w:hint="eastAsia" w:ascii="宋体" w:hAnsi="宋体" w:eastAsia="宋体" w:cs="宋体"/>
          <w:color w:val="auto"/>
          <w:szCs w:val="21"/>
        </w:rPr>
        <w:t xml:space="preserve"> </w:t>
      </w:r>
    </w:p>
    <w:p w14:paraId="7FA752B9">
      <w:pPr>
        <w:adjustRightInd w:val="0"/>
        <w:snapToGrid w:val="0"/>
        <w:spacing w:line="360" w:lineRule="auto"/>
        <w:ind w:firstLine="420" w:firstLineChars="200"/>
        <w:rPr>
          <w:rFonts w:hint="eastAsia" w:ascii="宋体" w:hAnsi="宋体" w:eastAsia="宋体" w:cs="宋体"/>
          <w:color w:val="auto"/>
          <w:szCs w:val="21"/>
        </w:rPr>
      </w:pPr>
      <w:bookmarkStart w:id="27" w:name="_Toc24305_WPSOffice_Level2"/>
      <w:r>
        <w:rPr>
          <w:rFonts w:hint="eastAsia" w:ascii="宋体" w:hAnsi="宋体" w:eastAsia="宋体" w:cs="宋体"/>
          <w:color w:val="auto"/>
          <w:szCs w:val="21"/>
        </w:rPr>
        <w:t>3、开标时间：</w:t>
      </w:r>
      <w:r>
        <w:rPr>
          <w:rFonts w:hint="eastAsia" w:ascii="宋体" w:hAnsi="宋体" w:eastAsia="宋体" w:cs="宋体"/>
          <w:color w:val="auto"/>
          <w:szCs w:val="21"/>
          <w:lang w:val="en-US" w:eastAsia="zh-CN"/>
        </w:rPr>
        <w:t>2026</w:t>
      </w:r>
      <w:r>
        <w:rPr>
          <w:rFonts w:hint="eastAsia" w:ascii="宋体" w:hAnsi="宋体" w:eastAsia="宋体" w:cs="宋体"/>
          <w:color w:val="auto"/>
          <w:szCs w:val="21"/>
        </w:rPr>
        <w:t>年</w:t>
      </w:r>
      <w:r>
        <w:rPr>
          <w:rFonts w:hint="eastAsia" w:ascii="宋体" w:hAnsi="宋体" w:cs="宋体"/>
          <w:color w:val="auto"/>
          <w:szCs w:val="21"/>
          <w:lang w:val="en-US" w:eastAsia="zh-CN"/>
        </w:rPr>
        <w:t>7</w:t>
      </w:r>
      <w:r>
        <w:rPr>
          <w:rFonts w:hint="eastAsia" w:ascii="宋体" w:hAnsi="宋体" w:eastAsia="宋体" w:cs="宋体"/>
          <w:color w:val="auto"/>
          <w:szCs w:val="21"/>
        </w:rPr>
        <w:t>月</w:t>
      </w:r>
      <w:r>
        <w:rPr>
          <w:rFonts w:hint="eastAsia" w:ascii="宋体" w:hAnsi="宋体" w:cs="宋体"/>
          <w:color w:val="auto"/>
          <w:szCs w:val="21"/>
          <w:lang w:val="en-US" w:eastAsia="zh-CN"/>
        </w:rPr>
        <w:t>31</w:t>
      </w:r>
      <w:r>
        <w:rPr>
          <w:rFonts w:hint="eastAsia" w:ascii="宋体" w:hAnsi="宋体" w:eastAsia="宋体" w:cs="宋体"/>
          <w:color w:val="auto"/>
          <w:szCs w:val="21"/>
        </w:rPr>
        <w:t>日</w:t>
      </w:r>
      <w:r>
        <w:rPr>
          <w:rFonts w:hint="eastAsia" w:ascii="宋体" w:hAnsi="宋体" w:cs="宋体"/>
          <w:color w:val="auto"/>
          <w:szCs w:val="21"/>
          <w:lang w:val="en-US" w:eastAsia="zh-CN"/>
        </w:rPr>
        <w:t>15</w:t>
      </w:r>
      <w:r>
        <w:rPr>
          <w:rFonts w:hint="eastAsia" w:ascii="宋体" w:hAnsi="宋体" w:eastAsia="宋体" w:cs="宋体"/>
          <w:color w:val="auto"/>
          <w:szCs w:val="21"/>
        </w:rPr>
        <w:t>时</w:t>
      </w:r>
      <w:r>
        <w:rPr>
          <w:rFonts w:hint="eastAsia" w:ascii="宋体" w:hAnsi="宋体" w:cs="宋体"/>
          <w:color w:val="auto"/>
          <w:szCs w:val="21"/>
          <w:lang w:val="en-US" w:eastAsia="zh-CN"/>
        </w:rPr>
        <w:t>00</w:t>
      </w:r>
      <w:r>
        <w:rPr>
          <w:rFonts w:hint="eastAsia" w:ascii="宋体" w:hAnsi="宋体" w:eastAsia="宋体" w:cs="宋体"/>
          <w:color w:val="auto"/>
          <w:szCs w:val="21"/>
        </w:rPr>
        <w:t>分。</w:t>
      </w:r>
      <w:bookmarkEnd w:id="27"/>
    </w:p>
    <w:p w14:paraId="6B028EC4">
      <w:pPr>
        <w:adjustRightInd w:val="0"/>
        <w:snapToGrid w:val="0"/>
        <w:spacing w:line="360" w:lineRule="auto"/>
        <w:ind w:firstLine="420" w:firstLineChars="200"/>
        <w:rPr>
          <w:rFonts w:hint="eastAsia" w:ascii="宋体" w:hAnsi="宋体" w:eastAsia="宋体" w:cs="宋体"/>
          <w:b/>
          <w:color w:val="auto"/>
          <w:szCs w:val="21"/>
        </w:rPr>
      </w:pPr>
      <w:bookmarkStart w:id="28" w:name="_Toc9222_WPSOffice_Level2"/>
      <w:r>
        <w:rPr>
          <w:rFonts w:hint="eastAsia" w:ascii="宋体" w:hAnsi="宋体" w:eastAsia="宋体" w:cs="宋体"/>
          <w:color w:val="auto"/>
          <w:szCs w:val="21"/>
        </w:rPr>
        <w:t>4、开标地点：</w:t>
      </w:r>
      <w:r>
        <w:rPr>
          <w:rFonts w:hint="eastAsia" w:ascii="宋体" w:hAnsi="宋体" w:eastAsia="宋体" w:cs="宋体"/>
          <w:color w:val="auto"/>
          <w:szCs w:val="21"/>
          <w:lang w:eastAsia="zh-CN"/>
        </w:rPr>
        <w:t>攸县发展中心主楼11楼1169室</w:t>
      </w:r>
      <w:r>
        <w:rPr>
          <w:rFonts w:hint="eastAsia" w:ascii="宋体" w:hAnsi="宋体" w:eastAsia="宋体" w:cs="宋体"/>
          <w:color w:val="auto"/>
          <w:szCs w:val="21"/>
        </w:rPr>
        <w:t>。</w:t>
      </w:r>
      <w:bookmarkEnd w:id="28"/>
    </w:p>
    <w:p w14:paraId="42AC01EF">
      <w:pPr>
        <w:adjustRightInd w:val="0"/>
        <w:snapToGrid w:val="0"/>
        <w:spacing w:line="360" w:lineRule="auto"/>
        <w:ind w:firstLine="422" w:firstLineChars="200"/>
        <w:rPr>
          <w:rFonts w:hint="eastAsia" w:ascii="宋体" w:hAnsi="宋体" w:eastAsia="宋体" w:cs="宋体"/>
          <w:color w:val="auto"/>
          <w:szCs w:val="21"/>
        </w:rPr>
      </w:pPr>
      <w:bookmarkStart w:id="29" w:name="_Toc2813"/>
      <w:bookmarkStart w:id="30" w:name="_Toc20106_WPSOffice_Level1"/>
      <w:r>
        <w:rPr>
          <w:rFonts w:hint="eastAsia" w:ascii="宋体" w:hAnsi="宋体" w:eastAsia="宋体" w:cs="宋体"/>
          <w:b/>
          <w:color w:val="auto"/>
          <w:szCs w:val="21"/>
        </w:rPr>
        <w:t>七、公告期限</w:t>
      </w:r>
      <w:bookmarkEnd w:id="29"/>
      <w:bookmarkEnd w:id="30"/>
    </w:p>
    <w:p w14:paraId="7318128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1、本招标公告在中国湖南政府采购网（www.ccgp-hunan.gov.cn）发布。公告期限从本招标公告发布之日起5个工作日。</w:t>
      </w:r>
    </w:p>
    <w:p w14:paraId="21564A9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2、在其他媒体发布的招标公告，公告内容以本招标公告指定媒体发布的公告为准；公告期限自本招标公告指定媒体最先发布公告之日起算。</w:t>
      </w:r>
    </w:p>
    <w:p w14:paraId="0C20F819">
      <w:pPr>
        <w:adjustRightInd w:val="0"/>
        <w:snapToGrid w:val="0"/>
        <w:spacing w:line="360" w:lineRule="auto"/>
        <w:ind w:firstLine="422" w:firstLineChars="200"/>
        <w:rPr>
          <w:rFonts w:hint="eastAsia" w:ascii="宋体" w:hAnsi="宋体" w:eastAsia="宋体" w:cs="宋体"/>
          <w:color w:val="auto"/>
          <w:szCs w:val="21"/>
        </w:rPr>
      </w:pPr>
      <w:bookmarkStart w:id="31" w:name="_Toc8507"/>
      <w:bookmarkStart w:id="32" w:name="_Toc14497_WPSOffice_Level1"/>
      <w:r>
        <w:rPr>
          <w:rFonts w:hint="eastAsia" w:ascii="宋体" w:hAnsi="宋体" w:eastAsia="宋体" w:cs="宋体"/>
          <w:b/>
          <w:color w:val="auto"/>
          <w:szCs w:val="21"/>
        </w:rPr>
        <w:t>八、询问及质疑</w:t>
      </w:r>
      <w:bookmarkEnd w:id="31"/>
      <w:bookmarkEnd w:id="32"/>
    </w:p>
    <w:p w14:paraId="566A7E7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1、供应商对政府采购活动事项如有疑问的，可以向采购人、采购代理机构提出询问。采购人、采购代理机构将在3个工作日内作出答复。</w:t>
      </w:r>
    </w:p>
    <w:p w14:paraId="2E7EF42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潜在供应商认为磋商文件或磋商公告使自己的合法权益受到损害的，可以在收到磋商文件之日或磋商公告期限届满之日起7个工作日内，按《湖南省财政厅关于印发＜政府采购质疑答复和投诉处理操作规程＞的通知》(</w:t>
      </w:r>
      <w:r>
        <w:rPr>
          <w:rFonts w:hint="eastAsia" w:ascii="宋体" w:hAnsi="宋体" w:eastAsia="宋体" w:cs="宋体"/>
          <w:color w:val="auto"/>
          <w:szCs w:val="21"/>
          <w:lang w:eastAsia="zh-CN"/>
        </w:rPr>
        <w:t>湘财购〔2024〕67号</w:t>
      </w:r>
      <w:r>
        <w:rPr>
          <w:rFonts w:hint="eastAsia" w:ascii="宋体" w:hAnsi="宋体" w:eastAsia="宋体" w:cs="宋体"/>
          <w:color w:val="auto"/>
          <w:szCs w:val="21"/>
        </w:rPr>
        <w:t>)规定，以纸质书面形式向采购人、采购代理机构提出质疑。</w:t>
      </w:r>
    </w:p>
    <w:p w14:paraId="115767D3">
      <w:pPr>
        <w:adjustRightInd w:val="0"/>
        <w:snapToGrid w:val="0"/>
        <w:spacing w:line="360" w:lineRule="auto"/>
        <w:ind w:firstLine="422" w:firstLineChars="200"/>
        <w:rPr>
          <w:rFonts w:hint="eastAsia" w:ascii="宋体" w:hAnsi="宋体" w:eastAsia="宋体" w:cs="宋体"/>
          <w:b/>
          <w:color w:val="auto"/>
          <w:szCs w:val="21"/>
        </w:rPr>
      </w:pPr>
      <w:bookmarkStart w:id="33" w:name="_Toc21471"/>
      <w:bookmarkStart w:id="34" w:name="_Toc24762_WPSOffice_Level1"/>
      <w:r>
        <w:rPr>
          <w:rFonts w:hint="eastAsia" w:ascii="宋体" w:hAnsi="宋体" w:eastAsia="宋体" w:cs="宋体"/>
          <w:b/>
          <w:color w:val="auto"/>
          <w:szCs w:val="21"/>
        </w:rPr>
        <w:t>九、投标说明</w:t>
      </w:r>
      <w:bookmarkEnd w:id="33"/>
      <w:bookmarkEnd w:id="34"/>
    </w:p>
    <w:p w14:paraId="56FD32CC">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1、本公告选项：</w:t>
      </w:r>
      <w:r>
        <w:rPr>
          <w:rFonts w:hint="eastAsia" w:ascii="宋体" w:hAnsi="宋体" w:eastAsia="宋体" w:cs="宋体"/>
          <w:color w:val="auto"/>
          <w:kern w:val="2"/>
          <w:sz w:val="21"/>
          <w:szCs w:val="21"/>
          <w:lang w:val="en-US" w:eastAsia="zh-CN" w:bidi="ar"/>
        </w:rPr>
        <w:t>■</w:t>
      </w:r>
      <w:r>
        <w:rPr>
          <w:rFonts w:hint="eastAsia" w:ascii="宋体" w:hAnsi="宋体" w:eastAsia="宋体" w:cs="宋体"/>
          <w:color w:val="auto"/>
          <w:szCs w:val="21"/>
        </w:rPr>
        <w:t>表示选择，</w:t>
      </w:r>
      <w:r>
        <w:rPr>
          <w:rFonts w:hint="eastAsia" w:ascii="宋体" w:hAnsi="宋体" w:eastAsia="宋体" w:cs="宋体"/>
          <w:color w:val="auto"/>
          <w:szCs w:val="21"/>
          <w:lang w:eastAsia="zh-CN"/>
        </w:rPr>
        <w:t>□</w:t>
      </w:r>
      <w:r>
        <w:rPr>
          <w:rFonts w:hint="eastAsia" w:ascii="宋体" w:hAnsi="宋体" w:eastAsia="宋体" w:cs="宋体"/>
          <w:color w:val="auto"/>
          <w:szCs w:val="21"/>
        </w:rPr>
        <w:t>表示未选择。</w:t>
      </w:r>
    </w:p>
    <w:p w14:paraId="10D844A9">
      <w:pPr>
        <w:adjustRightInd w:val="0"/>
        <w:snapToGrid w:val="0"/>
        <w:spacing w:line="360" w:lineRule="auto"/>
        <w:ind w:firstLine="422" w:firstLineChars="200"/>
        <w:rPr>
          <w:rFonts w:hint="eastAsia" w:ascii="宋体" w:hAnsi="宋体" w:eastAsia="宋体" w:cs="宋体"/>
          <w:b/>
          <w:color w:val="auto"/>
          <w:szCs w:val="21"/>
        </w:rPr>
      </w:pPr>
      <w:bookmarkStart w:id="35" w:name="_Toc18821"/>
      <w:bookmarkStart w:id="36" w:name="_Toc32325_WPSOffice_Level1"/>
      <w:r>
        <w:rPr>
          <w:rFonts w:hint="eastAsia" w:ascii="宋体" w:hAnsi="宋体" w:eastAsia="宋体" w:cs="宋体"/>
          <w:b/>
          <w:color w:val="auto"/>
          <w:szCs w:val="21"/>
        </w:rPr>
        <w:t>十、采购项目联系人姓名和电话</w:t>
      </w:r>
      <w:bookmarkEnd w:id="35"/>
      <w:bookmarkEnd w:id="36"/>
    </w:p>
    <w:p w14:paraId="50B177D0">
      <w:pPr>
        <w:adjustRightInd w:val="0"/>
        <w:snapToGrid w:val="0"/>
        <w:spacing w:line="360" w:lineRule="auto"/>
        <w:ind w:firstLine="420" w:firstLineChars="200"/>
        <w:jc w:val="left"/>
        <w:rPr>
          <w:rFonts w:hint="eastAsia" w:ascii="宋体" w:hAnsi="宋体" w:eastAsia="宋体" w:cs="宋体"/>
          <w:color w:val="auto"/>
          <w:szCs w:val="21"/>
        </w:rPr>
      </w:pPr>
      <w:bookmarkStart w:id="37" w:name="_Toc11805_WPSOffice_Level2"/>
      <w:r>
        <w:rPr>
          <w:rFonts w:hint="eastAsia" w:ascii="宋体" w:hAnsi="宋体" w:eastAsia="宋体" w:cs="宋体"/>
          <w:color w:val="auto"/>
          <w:szCs w:val="21"/>
        </w:rPr>
        <w:t>1、联系人姓名：</w:t>
      </w:r>
      <w:bookmarkEnd w:id="37"/>
      <w:r>
        <w:rPr>
          <w:rFonts w:hint="eastAsia" w:ascii="宋体" w:hAnsi="宋体" w:cs="宋体"/>
          <w:color w:val="auto"/>
          <w:szCs w:val="21"/>
          <w:lang w:eastAsia="zh-CN"/>
        </w:rPr>
        <w:t>皮奇志</w:t>
      </w:r>
      <w:r>
        <w:rPr>
          <w:rFonts w:hint="eastAsia" w:ascii="宋体" w:hAnsi="宋体" w:eastAsia="宋体" w:cs="宋体"/>
          <w:color w:val="auto"/>
          <w:szCs w:val="21"/>
        </w:rPr>
        <w:t xml:space="preserve"> </w:t>
      </w:r>
    </w:p>
    <w:p w14:paraId="792A1264">
      <w:pPr>
        <w:adjustRightInd w:val="0"/>
        <w:snapToGrid w:val="0"/>
        <w:spacing w:line="360" w:lineRule="auto"/>
        <w:ind w:firstLine="420" w:firstLineChars="200"/>
        <w:jc w:val="left"/>
        <w:rPr>
          <w:rFonts w:hint="eastAsia" w:ascii="宋体" w:hAnsi="宋体" w:eastAsia="宋体" w:cs="宋体"/>
          <w:color w:val="auto"/>
          <w:szCs w:val="21"/>
        </w:rPr>
      </w:pPr>
      <w:bookmarkStart w:id="38" w:name="_Toc14148_WPSOffice_Level2"/>
      <w:r>
        <w:rPr>
          <w:rFonts w:hint="eastAsia" w:ascii="宋体" w:hAnsi="宋体" w:eastAsia="宋体" w:cs="宋体"/>
          <w:color w:val="auto"/>
          <w:szCs w:val="21"/>
        </w:rPr>
        <w:t>2、电话：</w:t>
      </w:r>
      <w:bookmarkEnd w:id="38"/>
      <w:r>
        <w:rPr>
          <w:rFonts w:hint="eastAsia" w:ascii="宋体" w:hAnsi="宋体" w:cs="宋体"/>
          <w:color w:val="auto"/>
          <w:szCs w:val="21"/>
          <w:lang w:eastAsia="zh-CN"/>
        </w:rPr>
        <w:t>13469009388</w:t>
      </w:r>
      <w:r>
        <w:rPr>
          <w:rFonts w:hint="eastAsia" w:ascii="宋体" w:hAnsi="宋体" w:eastAsia="宋体" w:cs="宋体"/>
          <w:color w:val="auto"/>
          <w:szCs w:val="21"/>
        </w:rPr>
        <w:t xml:space="preserve"> </w:t>
      </w:r>
    </w:p>
    <w:p w14:paraId="24C924F4">
      <w:pPr>
        <w:adjustRightInd w:val="0"/>
        <w:snapToGrid w:val="0"/>
        <w:spacing w:line="360" w:lineRule="auto"/>
        <w:ind w:firstLine="422" w:firstLineChars="200"/>
        <w:jc w:val="left"/>
        <w:rPr>
          <w:rFonts w:hint="eastAsia" w:ascii="宋体" w:hAnsi="宋体" w:eastAsia="宋体" w:cs="宋体"/>
          <w:b/>
          <w:bCs/>
          <w:color w:val="auto"/>
          <w:szCs w:val="21"/>
        </w:rPr>
      </w:pPr>
      <w:bookmarkStart w:id="39" w:name="_Toc14033"/>
      <w:bookmarkStart w:id="40" w:name="_Toc18766_WPSOffice_Level1"/>
      <w:r>
        <w:rPr>
          <w:rFonts w:hint="eastAsia" w:ascii="宋体" w:hAnsi="宋体" w:eastAsia="宋体" w:cs="宋体"/>
          <w:b/>
          <w:bCs/>
          <w:color w:val="auto"/>
          <w:szCs w:val="21"/>
        </w:rPr>
        <w:t>十一、采购人、采购代理机构的名称、地址和联系方法</w:t>
      </w:r>
      <w:bookmarkEnd w:id="39"/>
      <w:bookmarkEnd w:id="40"/>
    </w:p>
    <w:p w14:paraId="5FB907A5">
      <w:pPr>
        <w:adjustRightInd w:val="0"/>
        <w:snapToGrid w:val="0"/>
        <w:spacing w:line="360" w:lineRule="auto"/>
        <w:ind w:firstLine="422" w:firstLineChars="200"/>
        <w:jc w:val="left"/>
        <w:rPr>
          <w:rFonts w:hint="eastAsia" w:ascii="宋体" w:hAnsi="宋体" w:eastAsia="宋体" w:cs="宋体"/>
          <w:b/>
          <w:bCs/>
          <w:color w:val="auto"/>
          <w:szCs w:val="21"/>
        </w:rPr>
      </w:pPr>
      <w:bookmarkStart w:id="41" w:name="_Toc19256_WPSOffice_Level2"/>
      <w:r>
        <w:rPr>
          <w:rFonts w:hint="eastAsia" w:ascii="宋体" w:hAnsi="宋体" w:eastAsia="宋体" w:cs="宋体"/>
          <w:b/>
          <w:bCs/>
          <w:color w:val="auto"/>
          <w:szCs w:val="21"/>
        </w:rPr>
        <w:t>1、采购人信息</w:t>
      </w:r>
      <w:bookmarkEnd w:id="41"/>
    </w:p>
    <w:p w14:paraId="13ACBDD4">
      <w:pPr>
        <w:adjustRightInd w:val="0"/>
        <w:snapToGrid w:val="0"/>
        <w:spacing w:line="360" w:lineRule="auto"/>
        <w:ind w:firstLine="420" w:firstLineChars="200"/>
        <w:jc w:val="left"/>
        <w:rPr>
          <w:rFonts w:hint="eastAsia" w:ascii="宋体" w:hAnsi="宋体" w:eastAsia="宋体" w:cs="宋体"/>
          <w:color w:val="auto"/>
          <w:szCs w:val="21"/>
        </w:rPr>
      </w:pPr>
      <w:bookmarkStart w:id="42" w:name="_Toc20001_WPSOffice_Level3"/>
      <w:r>
        <w:rPr>
          <w:rFonts w:hint="eastAsia" w:ascii="宋体" w:hAnsi="宋体" w:eastAsia="宋体" w:cs="宋体"/>
          <w:color w:val="auto"/>
          <w:szCs w:val="21"/>
        </w:rPr>
        <w:t>（1）名 称：</w:t>
      </w:r>
      <w:bookmarkEnd w:id="42"/>
      <w:r>
        <w:rPr>
          <w:rFonts w:hint="eastAsia" w:ascii="宋体" w:hAnsi="宋体" w:cs="宋体"/>
          <w:color w:val="auto"/>
          <w:szCs w:val="21"/>
          <w:lang w:eastAsia="zh-CN"/>
        </w:rPr>
        <w:t>攸县自然资源局</w:t>
      </w:r>
      <w:r>
        <w:rPr>
          <w:rFonts w:hint="eastAsia" w:ascii="宋体" w:hAnsi="宋体" w:eastAsia="宋体" w:cs="宋体"/>
          <w:color w:val="auto"/>
          <w:szCs w:val="21"/>
        </w:rPr>
        <w:t xml:space="preserve"> </w:t>
      </w:r>
    </w:p>
    <w:p w14:paraId="73B956F8">
      <w:pPr>
        <w:adjustRightInd w:val="0"/>
        <w:snapToGrid w:val="0"/>
        <w:spacing w:line="360" w:lineRule="auto"/>
        <w:ind w:firstLine="420" w:firstLineChars="200"/>
        <w:jc w:val="left"/>
        <w:rPr>
          <w:rFonts w:hint="eastAsia" w:ascii="宋体" w:hAnsi="宋体" w:eastAsia="宋体" w:cs="宋体"/>
          <w:color w:val="auto"/>
          <w:szCs w:val="21"/>
        </w:rPr>
      </w:pPr>
      <w:bookmarkStart w:id="43" w:name="_Toc29133_WPSOffice_Level3"/>
      <w:r>
        <w:rPr>
          <w:rFonts w:hint="eastAsia" w:ascii="宋体" w:hAnsi="宋体" w:eastAsia="宋体" w:cs="宋体"/>
          <w:color w:val="auto"/>
          <w:szCs w:val="21"/>
        </w:rPr>
        <w:t>（2）地 址：</w:t>
      </w:r>
      <w:bookmarkEnd w:id="43"/>
      <w:r>
        <w:rPr>
          <w:rFonts w:hint="eastAsia" w:ascii="宋体" w:hAnsi="宋体" w:eastAsia="宋体" w:cs="宋体"/>
          <w:color w:val="auto"/>
          <w:szCs w:val="21"/>
          <w:lang w:eastAsia="zh-CN"/>
        </w:rPr>
        <w:t>攸县发展中心主楼</w:t>
      </w:r>
      <w:r>
        <w:rPr>
          <w:rFonts w:hint="eastAsia" w:ascii="宋体" w:hAnsi="宋体" w:cs="宋体"/>
          <w:color w:val="auto"/>
          <w:szCs w:val="21"/>
          <w:lang w:val="en-US" w:eastAsia="zh-CN"/>
        </w:rPr>
        <w:t>13</w:t>
      </w:r>
      <w:r>
        <w:rPr>
          <w:rFonts w:hint="eastAsia" w:ascii="宋体" w:hAnsi="宋体" w:eastAsia="宋体" w:cs="宋体"/>
          <w:color w:val="auto"/>
          <w:szCs w:val="21"/>
          <w:lang w:eastAsia="zh-CN"/>
        </w:rPr>
        <w:t>楼</w:t>
      </w:r>
      <w:r>
        <w:rPr>
          <w:rFonts w:hint="eastAsia" w:ascii="宋体" w:hAnsi="宋体" w:eastAsia="宋体" w:cs="宋体"/>
          <w:color w:val="auto"/>
          <w:szCs w:val="21"/>
        </w:rPr>
        <w:t xml:space="preserve"> </w:t>
      </w:r>
    </w:p>
    <w:p w14:paraId="5827ACC0">
      <w:pPr>
        <w:adjustRightInd w:val="0"/>
        <w:snapToGrid w:val="0"/>
        <w:spacing w:line="360" w:lineRule="auto"/>
        <w:ind w:firstLine="420" w:firstLineChars="200"/>
        <w:jc w:val="left"/>
        <w:rPr>
          <w:rFonts w:hint="eastAsia" w:ascii="宋体" w:hAnsi="宋体" w:eastAsia="宋体" w:cs="宋体"/>
          <w:color w:val="auto"/>
          <w:szCs w:val="21"/>
        </w:rPr>
      </w:pPr>
      <w:bookmarkStart w:id="44" w:name="_Toc13165_WPSOffice_Level3"/>
      <w:r>
        <w:rPr>
          <w:rFonts w:hint="eastAsia" w:ascii="宋体" w:hAnsi="宋体" w:eastAsia="宋体" w:cs="宋体"/>
          <w:color w:val="auto"/>
          <w:szCs w:val="21"/>
        </w:rPr>
        <w:t>（3）联系人：</w:t>
      </w:r>
      <w:bookmarkEnd w:id="44"/>
      <w:r>
        <w:rPr>
          <w:rFonts w:hint="eastAsia" w:ascii="宋体" w:hAnsi="宋体" w:cs="宋体"/>
          <w:color w:val="auto"/>
          <w:szCs w:val="21"/>
          <w:lang w:eastAsia="zh-CN"/>
        </w:rPr>
        <w:t>皮奇志</w:t>
      </w:r>
      <w:r>
        <w:rPr>
          <w:rFonts w:hint="eastAsia" w:ascii="宋体" w:hAnsi="宋体" w:eastAsia="宋体" w:cs="宋体"/>
          <w:color w:val="auto"/>
          <w:szCs w:val="21"/>
        </w:rPr>
        <w:t xml:space="preserve">       </w:t>
      </w:r>
    </w:p>
    <w:p w14:paraId="0FEF2DC4">
      <w:pPr>
        <w:adjustRightInd w:val="0"/>
        <w:snapToGrid w:val="0"/>
        <w:spacing w:line="360" w:lineRule="auto"/>
        <w:ind w:firstLine="420" w:firstLineChars="200"/>
        <w:jc w:val="left"/>
        <w:rPr>
          <w:rFonts w:hint="eastAsia" w:ascii="宋体" w:hAnsi="宋体" w:eastAsia="宋体" w:cs="宋体"/>
          <w:color w:val="auto"/>
          <w:szCs w:val="21"/>
        </w:rPr>
      </w:pPr>
      <w:bookmarkStart w:id="45" w:name="_Toc22864_WPSOffice_Level3"/>
      <w:r>
        <w:rPr>
          <w:rFonts w:hint="eastAsia" w:ascii="宋体" w:hAnsi="宋体" w:eastAsia="宋体" w:cs="宋体"/>
          <w:color w:val="auto"/>
          <w:szCs w:val="21"/>
        </w:rPr>
        <w:t>（4）邮 编：412300</w:t>
      </w:r>
      <w:bookmarkEnd w:id="45"/>
      <w:r>
        <w:rPr>
          <w:rFonts w:hint="eastAsia" w:ascii="宋体" w:hAnsi="宋体" w:eastAsia="宋体" w:cs="宋体"/>
          <w:color w:val="auto"/>
          <w:szCs w:val="21"/>
        </w:rPr>
        <w:t xml:space="preserve">                        </w:t>
      </w:r>
    </w:p>
    <w:p w14:paraId="1395CD18">
      <w:pPr>
        <w:adjustRightInd w:val="0"/>
        <w:snapToGrid w:val="0"/>
        <w:spacing w:line="360" w:lineRule="auto"/>
        <w:ind w:firstLine="420" w:firstLineChars="200"/>
        <w:jc w:val="left"/>
        <w:rPr>
          <w:rFonts w:hint="eastAsia" w:ascii="宋体" w:hAnsi="宋体" w:eastAsia="宋体" w:cs="宋体"/>
          <w:color w:val="auto"/>
          <w:szCs w:val="21"/>
          <w:lang w:eastAsia="zh-CN"/>
        </w:rPr>
      </w:pPr>
      <w:bookmarkStart w:id="46" w:name="_Toc5455_WPSOffice_Level3"/>
      <w:r>
        <w:rPr>
          <w:rFonts w:hint="eastAsia" w:ascii="宋体" w:hAnsi="宋体" w:eastAsia="宋体" w:cs="宋体"/>
          <w:color w:val="auto"/>
          <w:szCs w:val="21"/>
        </w:rPr>
        <w:t>（5）电 话：</w:t>
      </w:r>
      <w:bookmarkEnd w:id="46"/>
      <w:r>
        <w:rPr>
          <w:rFonts w:hint="eastAsia" w:ascii="宋体" w:hAnsi="宋体" w:cs="宋体"/>
          <w:color w:val="auto"/>
          <w:szCs w:val="21"/>
          <w:lang w:eastAsia="zh-CN"/>
        </w:rPr>
        <w:t>13469009388</w:t>
      </w:r>
    </w:p>
    <w:p w14:paraId="66083948">
      <w:pPr>
        <w:adjustRightInd w:val="0"/>
        <w:snapToGrid w:val="0"/>
        <w:spacing w:line="360" w:lineRule="auto"/>
        <w:ind w:firstLine="413" w:firstLineChars="196"/>
        <w:rPr>
          <w:rFonts w:hint="eastAsia" w:ascii="宋体" w:hAnsi="宋体" w:eastAsia="宋体" w:cs="宋体"/>
          <w:b/>
          <w:bCs/>
          <w:color w:val="auto"/>
          <w:szCs w:val="21"/>
        </w:rPr>
      </w:pPr>
      <w:bookmarkStart w:id="47" w:name="_Toc20503_WPSOffice_Level2"/>
      <w:r>
        <w:rPr>
          <w:rFonts w:hint="eastAsia" w:ascii="宋体" w:hAnsi="宋体" w:eastAsia="宋体" w:cs="宋体"/>
          <w:b/>
          <w:bCs/>
          <w:color w:val="auto"/>
          <w:szCs w:val="21"/>
        </w:rPr>
        <w:t>2</w:t>
      </w:r>
      <w:r>
        <w:rPr>
          <w:rFonts w:hint="eastAsia" w:ascii="宋体" w:hAnsi="宋体" w:eastAsia="宋体" w:cs="宋体"/>
          <w:color w:val="auto"/>
          <w:szCs w:val="21"/>
        </w:rPr>
        <w:t>、</w:t>
      </w:r>
      <w:r>
        <w:rPr>
          <w:rFonts w:hint="eastAsia" w:ascii="宋体" w:hAnsi="宋体" w:eastAsia="宋体" w:cs="宋体"/>
          <w:b/>
          <w:bCs/>
          <w:color w:val="auto"/>
          <w:szCs w:val="21"/>
        </w:rPr>
        <w:t>采购代理机构信息</w:t>
      </w:r>
      <w:bookmarkEnd w:id="47"/>
    </w:p>
    <w:p w14:paraId="107DF988">
      <w:pPr>
        <w:adjustRightInd w:val="0"/>
        <w:snapToGrid w:val="0"/>
        <w:spacing w:line="360" w:lineRule="auto"/>
        <w:ind w:firstLine="411" w:firstLineChars="196"/>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bCs/>
          <w:color w:val="auto"/>
          <w:szCs w:val="21"/>
        </w:rPr>
        <w:t>名  称：</w:t>
      </w:r>
      <w:r>
        <w:rPr>
          <w:rFonts w:hint="eastAsia" w:ascii="宋体" w:hAnsi="宋体" w:eastAsia="宋体" w:cs="宋体"/>
          <w:color w:val="auto"/>
          <w:kern w:val="0"/>
          <w:szCs w:val="21"/>
        </w:rPr>
        <w:t>湖南泰斗招标代理有限公司</w:t>
      </w:r>
    </w:p>
    <w:p w14:paraId="7231832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（2）地  址：</w:t>
      </w:r>
      <w:r>
        <w:rPr>
          <w:rFonts w:hint="eastAsia" w:ascii="宋体" w:hAnsi="宋体" w:eastAsia="宋体" w:cs="宋体"/>
          <w:color w:val="auto"/>
          <w:kern w:val="0"/>
          <w:szCs w:val="21"/>
        </w:rPr>
        <w:t>攸县联星街道枫岭大道景秀家园门面房3C栋103</w:t>
      </w:r>
    </w:p>
    <w:p w14:paraId="0AC16EEA">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szCs w:val="21"/>
        </w:rPr>
        <w:t>（3）联系人：</w:t>
      </w:r>
      <w:r>
        <w:rPr>
          <w:rFonts w:hint="eastAsia" w:ascii="宋体" w:hAnsi="宋体" w:eastAsia="宋体" w:cs="宋体"/>
          <w:color w:val="auto"/>
          <w:kern w:val="0"/>
          <w:szCs w:val="21"/>
        </w:rPr>
        <w:t>艾先生</w:t>
      </w:r>
      <w:r>
        <w:rPr>
          <w:rFonts w:hint="eastAsia" w:ascii="宋体" w:hAnsi="宋体" w:eastAsia="宋体" w:cs="宋体"/>
          <w:color w:val="auto"/>
        </w:rPr>
        <w:t xml:space="preserve">          </w:t>
      </w:r>
    </w:p>
    <w:p w14:paraId="33474DD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（4）邮  编：</w:t>
      </w:r>
      <w:r>
        <w:rPr>
          <w:rFonts w:hint="eastAsia" w:ascii="宋体" w:hAnsi="宋体" w:eastAsia="宋体" w:cs="宋体"/>
          <w:color w:val="auto"/>
          <w:kern w:val="0"/>
          <w:szCs w:val="21"/>
        </w:rPr>
        <w:t>412300</w:t>
      </w:r>
    </w:p>
    <w:p w14:paraId="6753605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（5）电  话：</w:t>
      </w:r>
      <w:r>
        <w:rPr>
          <w:rFonts w:hint="eastAsia" w:ascii="宋体" w:hAnsi="宋体" w:eastAsia="宋体" w:cs="宋体"/>
          <w:color w:val="auto"/>
          <w:kern w:val="0"/>
          <w:szCs w:val="21"/>
        </w:rPr>
        <w:t>0731-24259173  13077099477</w:t>
      </w:r>
      <w:r>
        <w:rPr>
          <w:rFonts w:hint="eastAsia" w:ascii="宋体" w:hAnsi="宋体" w:eastAsia="宋体" w:cs="宋体"/>
          <w:color w:val="auto"/>
          <w:szCs w:val="21"/>
        </w:rPr>
        <w:t xml:space="preserve">    </w:t>
      </w:r>
    </w:p>
    <w:p w14:paraId="25CC4481">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（6）电子邮箱：</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"mailto:350808618@qq.com" </w:instrText>
      </w:r>
      <w:r>
        <w:rPr>
          <w:rFonts w:hint="eastAsia" w:ascii="宋体" w:hAnsi="宋体" w:eastAsia="宋体" w:cs="宋体"/>
          <w:color w:val="auto"/>
        </w:rPr>
        <w:fldChar w:fldCharType="separate"/>
      </w:r>
      <w:r>
        <w:rPr>
          <w:rStyle w:val="37"/>
          <w:rFonts w:hint="eastAsia" w:ascii="宋体" w:hAnsi="宋体" w:eastAsia="宋体" w:cs="宋体"/>
          <w:color w:val="auto"/>
          <w:kern w:val="0"/>
          <w:szCs w:val="21"/>
          <w:u w:val="none"/>
        </w:rPr>
        <w:t>251320275@qq.com</w:t>
      </w:r>
      <w:r>
        <w:rPr>
          <w:rStyle w:val="37"/>
          <w:rFonts w:hint="eastAsia" w:ascii="宋体" w:hAnsi="宋体" w:eastAsia="宋体" w:cs="宋体"/>
          <w:color w:val="auto"/>
          <w:kern w:val="0"/>
          <w:szCs w:val="21"/>
          <w:u w:val="none"/>
        </w:rPr>
        <w:fldChar w:fldCharType="end"/>
      </w:r>
      <w:bookmarkEnd w:id="2"/>
    </w:p>
    <w:bookmarkEnd w:id="255"/>
    <w:p w14:paraId="3D60A79C">
      <w:pPr>
        <w:rPr>
          <w:rFonts w:hint="eastAsia" w:ascii="宋体" w:hAnsi="宋体" w:eastAsia="宋体" w:cs="宋体"/>
          <w:b/>
          <w:color w:val="auto"/>
          <w:sz w:val="32"/>
          <w:szCs w:val="32"/>
        </w:rPr>
      </w:pPr>
      <w:r>
        <w:rPr>
          <w:rFonts w:hint="eastAsia" w:ascii="宋体" w:hAnsi="宋体" w:eastAsia="宋体" w:cs="宋体"/>
          <w:b/>
          <w:color w:val="auto"/>
          <w:kern w:val="0"/>
          <w:sz w:val="24"/>
          <w:shd w:val="clear" w:color="auto" w:fill="FFFFFF"/>
        </w:rPr>
        <w:br w:type="page"/>
      </w:r>
    </w:p>
    <w:p w14:paraId="15900384">
      <w:pPr>
        <w:pStyle w:val="13"/>
        <w:spacing w:line="360" w:lineRule="auto"/>
        <w:jc w:val="center"/>
        <w:outlineLvl w:val="0"/>
        <w:rPr>
          <w:rFonts w:hint="eastAsia" w:ascii="宋体" w:hAnsi="宋体" w:eastAsia="宋体" w:cs="宋体"/>
          <w:b/>
          <w:color w:val="auto"/>
          <w:sz w:val="24"/>
          <w:szCs w:val="24"/>
        </w:rPr>
      </w:pPr>
      <w:bookmarkStart w:id="48" w:name="_Toc24420"/>
      <w:bookmarkStart w:id="49" w:name="_Toc3495_WPSOffice_Level1"/>
      <w:bookmarkStart w:id="50" w:name="_Toc20036"/>
      <w:r>
        <w:rPr>
          <w:rFonts w:hint="eastAsia" w:ascii="宋体" w:hAnsi="宋体" w:eastAsia="宋体" w:cs="宋体"/>
          <w:b/>
          <w:color w:val="auto"/>
          <w:sz w:val="32"/>
          <w:szCs w:val="32"/>
        </w:rPr>
        <w:t>第二章 磋商须知</w:t>
      </w:r>
      <w:bookmarkEnd w:id="48"/>
      <w:bookmarkEnd w:id="49"/>
      <w:bookmarkEnd w:id="50"/>
    </w:p>
    <w:p w14:paraId="17EF2EEB">
      <w:pPr>
        <w:pStyle w:val="13"/>
        <w:jc w:val="center"/>
        <w:outlineLvl w:val="1"/>
        <w:rPr>
          <w:rFonts w:hint="eastAsia" w:ascii="宋体" w:hAnsi="宋体" w:eastAsia="宋体" w:cs="宋体"/>
          <w:b/>
          <w:color w:val="auto"/>
          <w:sz w:val="24"/>
          <w:szCs w:val="24"/>
        </w:rPr>
      </w:pPr>
      <w:bookmarkStart w:id="51" w:name="_Toc21112_WPSOffice_Level2"/>
      <w:bookmarkStart w:id="52" w:name="_Toc17073"/>
      <w:bookmarkStart w:id="53" w:name="_Toc1645"/>
      <w:r>
        <w:rPr>
          <w:rFonts w:hint="eastAsia" w:ascii="宋体" w:hAnsi="宋体" w:eastAsia="宋体" w:cs="宋体"/>
          <w:b/>
          <w:color w:val="auto"/>
          <w:sz w:val="24"/>
          <w:szCs w:val="24"/>
        </w:rPr>
        <w:t>磋商须知前附表</w:t>
      </w:r>
      <w:bookmarkEnd w:id="51"/>
      <w:bookmarkEnd w:id="52"/>
      <w:bookmarkEnd w:id="53"/>
    </w:p>
    <w:tbl>
      <w:tblPr>
        <w:tblStyle w:val="26"/>
        <w:tblW w:w="925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19"/>
        <w:gridCol w:w="1848"/>
        <w:gridCol w:w="3115"/>
        <w:gridCol w:w="2377"/>
      </w:tblGrid>
      <w:tr w14:paraId="67C33C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9" w:hRule="atLeast"/>
          <w:tblHeader/>
        </w:trPr>
        <w:tc>
          <w:tcPr>
            <w:tcW w:w="1919" w:type="dxa"/>
            <w:vAlign w:val="center"/>
          </w:tcPr>
          <w:p w14:paraId="3A1AB1D6">
            <w:pPr>
              <w:adjustRightInd w:val="0"/>
              <w:snapToGrid w:val="0"/>
              <w:spacing w:line="340" w:lineRule="exact"/>
              <w:jc w:val="center"/>
              <w:rPr>
                <w:rFonts w:hint="eastAsia" w:ascii="宋体" w:hAnsi="宋体" w:eastAsia="宋体" w:cs="宋体"/>
                <w:b/>
                <w:color w:val="auto"/>
                <w:szCs w:val="21"/>
              </w:rPr>
            </w:pPr>
            <w:r>
              <w:rPr>
                <w:rFonts w:hint="eastAsia" w:ascii="宋体" w:hAnsi="宋体" w:eastAsia="宋体" w:cs="宋体"/>
                <w:b/>
                <w:color w:val="auto"/>
                <w:szCs w:val="21"/>
              </w:rPr>
              <w:t>条款号</w:t>
            </w:r>
          </w:p>
        </w:tc>
        <w:tc>
          <w:tcPr>
            <w:tcW w:w="1848" w:type="dxa"/>
            <w:vAlign w:val="center"/>
          </w:tcPr>
          <w:p w14:paraId="322ECD2B">
            <w:pPr>
              <w:adjustRightInd w:val="0"/>
              <w:snapToGrid w:val="0"/>
              <w:spacing w:line="340" w:lineRule="exact"/>
              <w:jc w:val="center"/>
              <w:rPr>
                <w:rFonts w:hint="eastAsia" w:ascii="宋体" w:hAnsi="宋体" w:eastAsia="宋体" w:cs="宋体"/>
                <w:b/>
                <w:color w:val="auto"/>
                <w:szCs w:val="21"/>
              </w:rPr>
            </w:pPr>
            <w:r>
              <w:rPr>
                <w:rFonts w:hint="eastAsia" w:ascii="宋体" w:hAnsi="宋体" w:eastAsia="宋体" w:cs="宋体"/>
                <w:b/>
                <w:color w:val="auto"/>
                <w:szCs w:val="21"/>
              </w:rPr>
              <w:t>条款名称</w:t>
            </w:r>
          </w:p>
        </w:tc>
        <w:tc>
          <w:tcPr>
            <w:tcW w:w="5492" w:type="dxa"/>
            <w:gridSpan w:val="2"/>
            <w:vAlign w:val="center"/>
          </w:tcPr>
          <w:p w14:paraId="0EEB5EBF">
            <w:pPr>
              <w:adjustRightInd w:val="0"/>
              <w:snapToGrid w:val="0"/>
              <w:spacing w:line="340" w:lineRule="exact"/>
              <w:jc w:val="center"/>
              <w:rPr>
                <w:rFonts w:hint="eastAsia" w:ascii="宋体" w:hAnsi="宋体" w:eastAsia="宋体" w:cs="宋体"/>
                <w:b/>
                <w:color w:val="auto"/>
                <w:szCs w:val="21"/>
              </w:rPr>
            </w:pPr>
            <w:r>
              <w:rPr>
                <w:rFonts w:hint="eastAsia" w:ascii="宋体" w:hAnsi="宋体" w:eastAsia="宋体" w:cs="宋体"/>
                <w:b/>
                <w:color w:val="auto"/>
                <w:szCs w:val="21"/>
              </w:rPr>
              <w:t>编列内容规定</w:t>
            </w:r>
          </w:p>
        </w:tc>
      </w:tr>
      <w:tr w14:paraId="3EF0D1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9259" w:type="dxa"/>
            <w:gridSpan w:val="4"/>
            <w:vAlign w:val="center"/>
          </w:tcPr>
          <w:p w14:paraId="5C457D88">
            <w:pPr>
              <w:adjustRightInd w:val="0"/>
              <w:snapToGrid w:val="0"/>
              <w:spacing w:line="340" w:lineRule="exact"/>
              <w:jc w:val="center"/>
              <w:rPr>
                <w:rFonts w:hint="eastAsia" w:ascii="宋体" w:hAnsi="宋体" w:eastAsia="宋体" w:cs="宋体"/>
                <w:b/>
                <w:color w:val="auto"/>
                <w:szCs w:val="21"/>
              </w:rPr>
            </w:pPr>
            <w:r>
              <w:rPr>
                <w:rFonts w:hint="eastAsia" w:ascii="宋体" w:hAnsi="宋体" w:eastAsia="宋体" w:cs="宋体"/>
                <w:b/>
                <w:color w:val="auto"/>
                <w:szCs w:val="21"/>
              </w:rPr>
              <w:t>第二章 磋商须知（前附表）</w:t>
            </w:r>
          </w:p>
        </w:tc>
      </w:tr>
      <w:tr w14:paraId="4A82F5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9259" w:type="dxa"/>
            <w:gridSpan w:val="4"/>
            <w:vAlign w:val="center"/>
          </w:tcPr>
          <w:p w14:paraId="228781BF">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b/>
                <w:color w:val="auto"/>
                <w:szCs w:val="21"/>
              </w:rPr>
              <w:t>一、说明</w:t>
            </w:r>
          </w:p>
        </w:tc>
      </w:tr>
      <w:tr w14:paraId="3BA354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919" w:type="dxa"/>
            <w:vAlign w:val="center"/>
          </w:tcPr>
          <w:p w14:paraId="75DF38E3">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 第1.1</w:t>
            </w:r>
            <w:r>
              <w:rPr>
                <w:rFonts w:hint="eastAsia" w:ascii="宋体" w:hAnsi="宋体" w:eastAsia="宋体" w:cs="宋体"/>
                <w:color w:val="auto"/>
                <w:kern w:val="0"/>
                <w:szCs w:val="21"/>
                <w:lang w:val="zh-CN"/>
              </w:rPr>
              <w:t>款</w:t>
            </w:r>
          </w:p>
        </w:tc>
        <w:tc>
          <w:tcPr>
            <w:tcW w:w="1848" w:type="dxa"/>
            <w:vAlign w:val="center"/>
          </w:tcPr>
          <w:p w14:paraId="1E74C080">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采购项目</w:t>
            </w:r>
          </w:p>
        </w:tc>
        <w:tc>
          <w:tcPr>
            <w:tcW w:w="5492" w:type="dxa"/>
            <w:gridSpan w:val="2"/>
            <w:vAlign w:val="center"/>
          </w:tcPr>
          <w:p w14:paraId="799251B5">
            <w:pPr>
              <w:adjustRightInd w:val="0"/>
              <w:snapToGrid w:val="0"/>
              <w:spacing w:line="340" w:lineRule="exact"/>
              <w:rPr>
                <w:rFonts w:hint="eastAsia" w:ascii="宋体" w:hAnsi="宋体" w:eastAsia="宋体" w:cs="宋体"/>
                <w:color w:val="auto"/>
                <w:szCs w:val="21"/>
              </w:rPr>
            </w:pPr>
            <w:r>
              <w:rPr>
                <w:rFonts w:hint="eastAsia" w:ascii="宋体" w:hAnsi="宋体" w:cs="宋体"/>
                <w:color w:val="auto"/>
                <w:szCs w:val="21"/>
                <w:lang w:eastAsia="zh-CN"/>
              </w:rPr>
              <w:t>攸县国土空间总体规划动态维护项目</w:t>
            </w:r>
            <w:r>
              <w:rPr>
                <w:rFonts w:hint="eastAsia" w:ascii="宋体" w:hAnsi="宋体" w:eastAsia="宋体" w:cs="宋体"/>
                <w:color w:val="auto"/>
                <w:szCs w:val="21"/>
              </w:rPr>
              <w:t xml:space="preserve"> </w:t>
            </w:r>
          </w:p>
        </w:tc>
      </w:tr>
      <w:tr w14:paraId="005C4E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6" w:hRule="atLeast"/>
        </w:trPr>
        <w:tc>
          <w:tcPr>
            <w:tcW w:w="1919" w:type="dxa"/>
            <w:vAlign w:val="center"/>
          </w:tcPr>
          <w:p w14:paraId="0B53A986">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第二章第2.1</w:t>
            </w:r>
            <w:r>
              <w:rPr>
                <w:rFonts w:hint="eastAsia" w:ascii="宋体" w:hAnsi="宋体" w:eastAsia="宋体" w:cs="宋体"/>
                <w:color w:val="auto"/>
                <w:kern w:val="0"/>
                <w:szCs w:val="21"/>
                <w:lang w:val="zh-CN"/>
              </w:rPr>
              <w:t>款</w:t>
            </w:r>
          </w:p>
        </w:tc>
        <w:tc>
          <w:tcPr>
            <w:tcW w:w="1848" w:type="dxa"/>
            <w:vAlign w:val="center"/>
          </w:tcPr>
          <w:p w14:paraId="0692FF1C">
            <w:pPr>
              <w:adjustRightInd w:val="0"/>
              <w:snapToGrid w:val="0"/>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采购人</w:t>
            </w:r>
          </w:p>
        </w:tc>
        <w:tc>
          <w:tcPr>
            <w:tcW w:w="5492" w:type="dxa"/>
            <w:gridSpan w:val="2"/>
            <w:vAlign w:val="center"/>
          </w:tcPr>
          <w:p w14:paraId="59DB00D1">
            <w:pPr>
              <w:adjustRightInd w:val="0"/>
              <w:snapToGrid w:val="0"/>
              <w:spacing w:line="340" w:lineRule="exac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名 称：</w:t>
            </w:r>
            <w:r>
              <w:rPr>
                <w:rFonts w:hint="eastAsia" w:ascii="宋体" w:hAnsi="宋体" w:cs="宋体"/>
                <w:color w:val="auto"/>
                <w:kern w:val="0"/>
                <w:szCs w:val="21"/>
                <w:lang w:eastAsia="zh-CN"/>
              </w:rPr>
              <w:t>攸县自然资源局</w:t>
            </w:r>
          </w:p>
          <w:p w14:paraId="3C00B386">
            <w:pPr>
              <w:adjustRightInd w:val="0"/>
              <w:snapToGrid w:val="0"/>
              <w:spacing w:line="340" w:lineRule="exac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地 址：</w:t>
            </w:r>
            <w:r>
              <w:rPr>
                <w:rFonts w:hint="eastAsia" w:ascii="宋体" w:hAnsi="宋体" w:eastAsia="宋体" w:cs="宋体"/>
                <w:color w:val="auto"/>
                <w:kern w:val="0"/>
                <w:szCs w:val="21"/>
                <w:lang w:eastAsia="zh-CN"/>
              </w:rPr>
              <w:t>攸县发展中心主楼4楼</w:t>
            </w:r>
          </w:p>
          <w:p w14:paraId="16A1C95A">
            <w:pPr>
              <w:adjustRightInd w:val="0"/>
              <w:snapToGrid w:val="0"/>
              <w:spacing w:line="340" w:lineRule="exac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联系人：</w:t>
            </w:r>
            <w:r>
              <w:rPr>
                <w:rFonts w:hint="eastAsia" w:ascii="宋体" w:hAnsi="宋体" w:cs="宋体"/>
                <w:color w:val="auto"/>
                <w:kern w:val="0"/>
                <w:szCs w:val="21"/>
                <w:lang w:eastAsia="zh-CN"/>
              </w:rPr>
              <w:t>皮奇志</w:t>
            </w:r>
          </w:p>
          <w:p w14:paraId="35BF5A0E">
            <w:pPr>
              <w:adjustRightInd w:val="0"/>
              <w:snapToGrid w:val="0"/>
              <w:spacing w:line="340" w:lineRule="exac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电  话：</w:t>
            </w:r>
            <w:r>
              <w:rPr>
                <w:rFonts w:hint="eastAsia" w:ascii="宋体" w:hAnsi="宋体" w:cs="宋体"/>
                <w:color w:val="auto"/>
                <w:kern w:val="0"/>
                <w:szCs w:val="21"/>
                <w:lang w:eastAsia="zh-CN"/>
              </w:rPr>
              <w:t>13469009388</w:t>
            </w:r>
          </w:p>
        </w:tc>
      </w:tr>
      <w:tr w14:paraId="019E4D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8" w:hRule="atLeast"/>
        </w:trPr>
        <w:tc>
          <w:tcPr>
            <w:tcW w:w="1919" w:type="dxa"/>
            <w:vAlign w:val="center"/>
          </w:tcPr>
          <w:p w14:paraId="71F43F68">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第二章第2.2</w:t>
            </w:r>
            <w:r>
              <w:rPr>
                <w:rFonts w:hint="eastAsia" w:ascii="宋体" w:hAnsi="宋体" w:eastAsia="宋体" w:cs="宋体"/>
                <w:color w:val="auto"/>
                <w:kern w:val="0"/>
                <w:szCs w:val="21"/>
                <w:lang w:val="zh-CN"/>
              </w:rPr>
              <w:t>款</w:t>
            </w:r>
          </w:p>
        </w:tc>
        <w:tc>
          <w:tcPr>
            <w:tcW w:w="1848" w:type="dxa"/>
            <w:vAlign w:val="center"/>
          </w:tcPr>
          <w:p w14:paraId="48D8ED06">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采购代理机构</w:t>
            </w:r>
          </w:p>
        </w:tc>
        <w:tc>
          <w:tcPr>
            <w:tcW w:w="5492" w:type="dxa"/>
            <w:gridSpan w:val="2"/>
            <w:vAlign w:val="center"/>
          </w:tcPr>
          <w:p w14:paraId="6C9A8954">
            <w:pPr>
              <w:adjustRightInd w:val="0"/>
              <w:snapToGrid w:val="0"/>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名  称：湖南泰斗招标代理有限公司</w:t>
            </w:r>
          </w:p>
          <w:p w14:paraId="244D2A90">
            <w:pPr>
              <w:adjustRightInd w:val="0"/>
              <w:snapToGrid w:val="0"/>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地  址：攸县联星街道枫岭大道景秀家园门面房3C栋103</w:t>
            </w:r>
          </w:p>
          <w:p w14:paraId="76BD8E24">
            <w:pPr>
              <w:adjustRightInd w:val="0"/>
              <w:snapToGrid w:val="0"/>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联系人：艾先生</w:t>
            </w:r>
          </w:p>
          <w:p w14:paraId="7858C5C9">
            <w:pPr>
              <w:adjustRightInd w:val="0"/>
              <w:snapToGrid w:val="0"/>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电  话：0731-24259173  13077099477</w:t>
            </w:r>
          </w:p>
        </w:tc>
      </w:tr>
      <w:tr w14:paraId="1B7BEF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919" w:type="dxa"/>
            <w:vAlign w:val="center"/>
          </w:tcPr>
          <w:p w14:paraId="27894C43">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第二章第3.1</w:t>
            </w:r>
            <w:r>
              <w:rPr>
                <w:rFonts w:hint="eastAsia" w:ascii="宋体" w:hAnsi="宋体" w:eastAsia="宋体" w:cs="宋体"/>
                <w:color w:val="auto"/>
                <w:kern w:val="0"/>
                <w:szCs w:val="21"/>
                <w:lang w:val="zh-CN"/>
              </w:rPr>
              <w:t>款</w:t>
            </w:r>
          </w:p>
        </w:tc>
        <w:tc>
          <w:tcPr>
            <w:tcW w:w="1848" w:type="dxa"/>
            <w:vAlign w:val="center"/>
          </w:tcPr>
          <w:p w14:paraId="2B88C2A6">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bCs/>
                <w:color w:val="auto"/>
                <w:szCs w:val="21"/>
              </w:rPr>
              <w:t>供应商</w:t>
            </w:r>
            <w:r>
              <w:rPr>
                <w:rFonts w:hint="eastAsia" w:ascii="宋体" w:hAnsi="宋体" w:eastAsia="宋体" w:cs="宋体"/>
                <w:color w:val="auto"/>
                <w:szCs w:val="21"/>
              </w:rPr>
              <w:t>资格条件</w:t>
            </w:r>
          </w:p>
        </w:tc>
        <w:tc>
          <w:tcPr>
            <w:tcW w:w="5492" w:type="dxa"/>
            <w:gridSpan w:val="2"/>
            <w:vAlign w:val="center"/>
          </w:tcPr>
          <w:p w14:paraId="22BDCEBD">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1、供应商的基本资格条件：</w:t>
            </w:r>
            <w:r>
              <w:rPr>
                <w:rFonts w:hint="eastAsia" w:ascii="宋体" w:hAnsi="宋体" w:eastAsia="宋体" w:cs="宋体"/>
                <w:color w:val="auto"/>
                <w:szCs w:val="21"/>
              </w:rPr>
              <w:t>供应商必须是在中华人民共和国境内注册登记的法人、其他组织或者分支机构，且应当符合《政府采购法》第二十二条第一款的规定，</w:t>
            </w:r>
            <w:r>
              <w:rPr>
                <w:rFonts w:hint="eastAsia" w:ascii="宋体" w:hAnsi="宋体" w:eastAsia="宋体" w:cs="宋体"/>
                <w:color w:val="auto"/>
                <w:kern w:val="0"/>
                <w:szCs w:val="21"/>
              </w:rPr>
              <w:t>即：</w:t>
            </w:r>
          </w:p>
          <w:p w14:paraId="63F252FF">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（1）具有独立承担民事责任的能力；</w:t>
            </w:r>
          </w:p>
          <w:p w14:paraId="5E928228">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（2）具有良好的商业信誉和健全的财务会计制度；</w:t>
            </w:r>
          </w:p>
          <w:p w14:paraId="0D4FFAC5">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（3）具有履行合同所必需的设备和专业技术能力；</w:t>
            </w:r>
          </w:p>
          <w:p w14:paraId="25274367">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（4）有依法缴纳税收的良好记录。</w:t>
            </w:r>
          </w:p>
          <w:p w14:paraId="4ECC0E90">
            <w:pPr>
              <w:spacing w:line="340" w:lineRule="exact"/>
              <w:jc w:val="left"/>
              <w:rPr>
                <w:rFonts w:hint="eastAsia" w:ascii="宋体" w:hAnsi="宋体" w:eastAsia="宋体" w:cs="宋体"/>
                <w:color w:val="auto"/>
                <w:kern w:val="0"/>
                <w:szCs w:val="21"/>
              </w:rPr>
            </w:pPr>
            <w:r>
              <w:rPr>
                <w:rFonts w:hint="eastAsia" w:ascii="宋体" w:hAnsi="宋体" w:eastAsia="宋体" w:cs="宋体"/>
                <w:color w:val="auto"/>
                <w:kern w:val="0"/>
                <w:szCs w:val="21"/>
              </w:rPr>
              <w:t>（5）参加政府采购活动前三年内，在经营活动中没有重大违法记录。</w:t>
            </w:r>
          </w:p>
          <w:p w14:paraId="163E963A">
            <w:pPr>
              <w:spacing w:line="340" w:lineRule="exact"/>
              <w:jc w:val="left"/>
              <w:rPr>
                <w:rFonts w:hint="eastAsia" w:ascii="宋体" w:hAnsi="宋体" w:eastAsia="宋体" w:cs="宋体"/>
                <w:color w:val="auto"/>
                <w:szCs w:val="21"/>
              </w:rPr>
            </w:pPr>
            <w:r>
              <w:rPr>
                <w:rFonts w:hint="eastAsia" w:ascii="宋体" w:hAnsi="宋体" w:eastAsia="宋体" w:cs="宋体"/>
                <w:color w:val="auto"/>
                <w:kern w:val="0"/>
                <w:szCs w:val="21"/>
              </w:rPr>
              <w:t>（6）法律、行政法规规定的其他条件。</w:t>
            </w:r>
          </w:p>
          <w:p w14:paraId="01446DEE">
            <w:pPr>
              <w:spacing w:line="340" w:lineRule="exact"/>
              <w:jc w:val="left"/>
              <w:rPr>
                <w:rFonts w:hint="eastAsia" w:ascii="宋体" w:hAnsi="宋体" w:eastAsia="宋体" w:cs="宋体"/>
                <w:color w:val="auto"/>
                <w:szCs w:val="21"/>
                <w:lang w:eastAsia="zh-CN"/>
              </w:rPr>
            </w:pPr>
            <w:r>
              <w:rPr>
                <w:rFonts w:hint="eastAsia" w:ascii="宋体" w:hAnsi="宋体" w:eastAsia="宋体" w:cs="宋体"/>
                <w:color w:val="auto"/>
                <w:kern w:val="0"/>
                <w:szCs w:val="21"/>
              </w:rPr>
              <w:t>2、供应商特定资格条件：</w:t>
            </w:r>
            <w:r>
              <w:rPr>
                <w:rFonts w:hint="eastAsia" w:ascii="宋体" w:hAnsi="宋体" w:cs="宋体"/>
                <w:color w:val="auto"/>
                <w:szCs w:val="21"/>
                <w:lang w:eastAsia="zh-CN"/>
              </w:rPr>
              <w:t>供应商具有行政管理部门颁发的城乡规划（国土空间规划）编制乙级及以上证书，资质证书处于有效期</w:t>
            </w:r>
            <w:r>
              <w:rPr>
                <w:rFonts w:hint="eastAsia" w:ascii="宋体" w:hAnsi="宋体" w:eastAsia="宋体" w:cs="宋体"/>
                <w:color w:val="auto"/>
                <w:szCs w:val="21"/>
                <w:lang w:eastAsia="zh-CN"/>
              </w:rPr>
              <w:t>。</w:t>
            </w:r>
          </w:p>
          <w:p w14:paraId="5BC65DB2">
            <w:pPr>
              <w:spacing w:line="340" w:lineRule="exact"/>
              <w:jc w:val="left"/>
              <w:rPr>
                <w:rFonts w:hint="eastAsia" w:ascii="宋体" w:hAnsi="宋体" w:eastAsia="宋体" w:cs="宋体"/>
                <w:color w:val="auto"/>
                <w:kern w:val="0"/>
                <w:szCs w:val="21"/>
              </w:rPr>
            </w:pPr>
            <w:r>
              <w:rPr>
                <w:rFonts w:hint="eastAsia" w:ascii="宋体" w:hAnsi="宋体" w:eastAsia="宋体" w:cs="宋体"/>
                <w:color w:val="auto"/>
                <w:kern w:val="0"/>
                <w:szCs w:val="21"/>
              </w:rPr>
              <w:t>3、单位负责人为同一人或者存在直接控股、管理关系的不同</w:t>
            </w:r>
            <w:r>
              <w:rPr>
                <w:rFonts w:hint="eastAsia" w:ascii="宋体" w:hAnsi="宋体" w:eastAsia="宋体" w:cs="宋体"/>
                <w:color w:val="auto"/>
                <w:kern w:val="0"/>
                <w:szCs w:val="21"/>
                <w:lang w:eastAsia="zh-CN"/>
              </w:rPr>
              <w:t>供应商</w:t>
            </w:r>
            <w:r>
              <w:rPr>
                <w:rFonts w:hint="eastAsia" w:ascii="宋体" w:hAnsi="宋体" w:eastAsia="宋体" w:cs="宋体"/>
                <w:color w:val="auto"/>
                <w:kern w:val="0"/>
                <w:szCs w:val="21"/>
              </w:rPr>
              <w:t>，不得参加本项目同一合同项下的政府采购活动。</w:t>
            </w:r>
          </w:p>
          <w:p w14:paraId="0A64C4D8">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4、为本采购项目提供整体设计、规范编制或者项目管理、监理、检测等服务的，不得再参加本项目的招标采购活动。</w:t>
            </w:r>
          </w:p>
          <w:p w14:paraId="590DF13C">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 xml:space="preserve">5、未被列入失信被执行人、重大税收违法失信主体名单，未被列入政府采购严重违法失信行为记录名单。 </w:t>
            </w:r>
          </w:p>
          <w:p w14:paraId="3FA27575">
            <w:pPr>
              <w:adjustRightInd w:val="0"/>
              <w:snapToGrid w:val="0"/>
              <w:spacing w:line="340" w:lineRule="exact"/>
              <w:rPr>
                <w:rFonts w:hint="eastAsia" w:ascii="宋体" w:hAnsi="宋体" w:eastAsia="宋体" w:cs="宋体"/>
                <w:color w:val="auto"/>
              </w:rPr>
            </w:pPr>
            <w:r>
              <w:rPr>
                <w:rFonts w:hint="eastAsia" w:ascii="宋体" w:hAnsi="宋体" w:eastAsia="宋体" w:cs="宋体"/>
                <w:color w:val="auto"/>
                <w:szCs w:val="21"/>
              </w:rPr>
              <w:t>6、本次招标</w:t>
            </w:r>
            <w:r>
              <w:rPr>
                <w:rFonts w:hint="eastAsia" w:ascii="宋体" w:hAnsi="宋体" w:eastAsia="宋体" w:cs="宋体"/>
                <w:color w:val="auto"/>
                <w:szCs w:val="21"/>
                <w:u w:val="single"/>
              </w:rPr>
              <w:t xml:space="preserve"> 不接受 </w:t>
            </w:r>
            <w:r>
              <w:rPr>
                <w:rFonts w:hint="eastAsia" w:ascii="宋体" w:hAnsi="宋体" w:eastAsia="宋体" w:cs="宋体"/>
                <w:color w:val="auto"/>
                <w:szCs w:val="21"/>
              </w:rPr>
              <w:t>联合体投标。</w:t>
            </w:r>
          </w:p>
        </w:tc>
      </w:tr>
      <w:tr w14:paraId="4D165A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1" w:hRule="atLeast"/>
        </w:trPr>
        <w:tc>
          <w:tcPr>
            <w:tcW w:w="1919" w:type="dxa"/>
            <w:vMerge w:val="restart"/>
            <w:vAlign w:val="center"/>
          </w:tcPr>
          <w:p w14:paraId="6D828CEF">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第二章第2.3款</w:t>
            </w:r>
          </w:p>
        </w:tc>
        <w:tc>
          <w:tcPr>
            <w:tcW w:w="1848" w:type="dxa"/>
            <w:vAlign w:val="center"/>
          </w:tcPr>
          <w:p w14:paraId="781AF273">
            <w:pPr>
              <w:adjustRightInd w:val="0"/>
              <w:snapToGrid w:val="0"/>
              <w:spacing w:line="340" w:lineRule="exact"/>
              <w:rPr>
                <w:rFonts w:hint="eastAsia" w:ascii="宋体" w:hAnsi="宋体" w:eastAsia="宋体" w:cs="宋体"/>
                <w:bCs/>
                <w:color w:val="auto"/>
                <w:szCs w:val="21"/>
              </w:rPr>
            </w:pPr>
            <w:r>
              <w:rPr>
                <w:rFonts w:hint="eastAsia" w:ascii="宋体" w:hAnsi="宋体" w:eastAsia="宋体" w:cs="宋体"/>
                <w:color w:val="auto"/>
                <w:kern w:val="0"/>
                <w:szCs w:val="21"/>
              </w:rPr>
              <w:t>供应商的</w:t>
            </w:r>
            <w:r>
              <w:rPr>
                <w:rFonts w:hint="eastAsia" w:ascii="宋体" w:hAnsi="宋体" w:eastAsia="宋体" w:cs="宋体"/>
                <w:color w:val="auto"/>
                <w:szCs w:val="21"/>
              </w:rPr>
              <w:t>邀请方式</w:t>
            </w:r>
          </w:p>
        </w:tc>
        <w:tc>
          <w:tcPr>
            <w:tcW w:w="5492" w:type="dxa"/>
            <w:gridSpan w:val="2"/>
            <w:vAlign w:val="center"/>
          </w:tcPr>
          <w:p w14:paraId="2244EF8B">
            <w:pPr>
              <w:pStyle w:val="23"/>
              <w:adjustRightInd w:val="0"/>
              <w:snapToGrid w:val="0"/>
              <w:spacing w:before="0" w:beforeAutospacing="0" w:after="0" w:afterAutospacing="0"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采用公告邀请方式。</w:t>
            </w:r>
          </w:p>
        </w:tc>
      </w:tr>
      <w:tr w14:paraId="3E085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6" w:hRule="atLeast"/>
        </w:trPr>
        <w:tc>
          <w:tcPr>
            <w:tcW w:w="1919" w:type="dxa"/>
            <w:vMerge w:val="continue"/>
            <w:vAlign w:val="center"/>
          </w:tcPr>
          <w:p w14:paraId="7600DE48">
            <w:pPr>
              <w:adjustRightInd w:val="0"/>
              <w:snapToGrid w:val="0"/>
              <w:spacing w:line="340" w:lineRule="exact"/>
              <w:jc w:val="center"/>
              <w:rPr>
                <w:rFonts w:hint="eastAsia" w:ascii="宋体" w:hAnsi="宋体" w:eastAsia="宋体" w:cs="宋体"/>
                <w:color w:val="auto"/>
                <w:szCs w:val="21"/>
              </w:rPr>
            </w:pPr>
          </w:p>
        </w:tc>
        <w:tc>
          <w:tcPr>
            <w:tcW w:w="1848" w:type="dxa"/>
            <w:vAlign w:val="center"/>
          </w:tcPr>
          <w:p w14:paraId="00533921">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领取磋商文件</w:t>
            </w:r>
          </w:p>
        </w:tc>
        <w:tc>
          <w:tcPr>
            <w:tcW w:w="5492" w:type="dxa"/>
            <w:gridSpan w:val="2"/>
            <w:vAlign w:val="center"/>
          </w:tcPr>
          <w:p w14:paraId="578E7780">
            <w:pPr>
              <w:pStyle w:val="23"/>
              <w:adjustRightInd w:val="0"/>
              <w:snapToGrid w:val="0"/>
              <w:spacing w:before="0" w:beforeAutospacing="0" w:after="0" w:afterAutospacing="0"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湖南省株洲市政府采购网（网址：http://www.ccgp-hunan.gov.cn/portal_city.jsp?areaCode=zzs）上自行下载</w:t>
            </w:r>
            <w:r>
              <w:rPr>
                <w:rFonts w:hint="eastAsia" w:ascii="宋体" w:hAnsi="宋体" w:eastAsia="宋体" w:cs="宋体"/>
                <w:color w:val="auto"/>
                <w:sz w:val="21"/>
                <w:szCs w:val="21"/>
                <w:lang w:eastAsia="zh-CN"/>
              </w:rPr>
              <w:t>采购文件</w:t>
            </w:r>
            <w:r>
              <w:rPr>
                <w:rFonts w:hint="eastAsia" w:ascii="宋体" w:hAnsi="宋体" w:eastAsia="宋体" w:cs="宋体"/>
                <w:color w:val="auto"/>
                <w:sz w:val="21"/>
                <w:szCs w:val="21"/>
              </w:rPr>
              <w:t>及其相关附件</w:t>
            </w:r>
          </w:p>
        </w:tc>
      </w:tr>
      <w:tr w14:paraId="5D27B9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919" w:type="dxa"/>
            <w:vAlign w:val="center"/>
          </w:tcPr>
          <w:p w14:paraId="18738218">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第二章第6.1</w:t>
            </w:r>
            <w:r>
              <w:rPr>
                <w:rFonts w:hint="eastAsia" w:ascii="宋体" w:hAnsi="宋体" w:eastAsia="宋体" w:cs="宋体"/>
                <w:color w:val="auto"/>
                <w:kern w:val="0"/>
                <w:szCs w:val="21"/>
                <w:lang w:val="zh-CN"/>
              </w:rPr>
              <w:t>款</w:t>
            </w:r>
          </w:p>
        </w:tc>
        <w:tc>
          <w:tcPr>
            <w:tcW w:w="1848" w:type="dxa"/>
            <w:vAlign w:val="center"/>
          </w:tcPr>
          <w:p w14:paraId="172C87AE">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联合体磋商</w:t>
            </w:r>
          </w:p>
        </w:tc>
        <w:tc>
          <w:tcPr>
            <w:tcW w:w="5492" w:type="dxa"/>
            <w:gridSpan w:val="2"/>
            <w:vAlign w:val="center"/>
          </w:tcPr>
          <w:p w14:paraId="730811E6">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本项目不接受联合体。</w:t>
            </w:r>
          </w:p>
        </w:tc>
      </w:tr>
      <w:tr w14:paraId="5264C1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6712BE1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第二章第6.2款</w:t>
            </w:r>
          </w:p>
        </w:tc>
        <w:tc>
          <w:tcPr>
            <w:tcW w:w="1848" w:type="dxa"/>
            <w:vAlign w:val="center"/>
          </w:tcPr>
          <w:p w14:paraId="32B064DC">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对联合体各方的要求</w:t>
            </w:r>
          </w:p>
        </w:tc>
        <w:tc>
          <w:tcPr>
            <w:tcW w:w="5492" w:type="dxa"/>
            <w:gridSpan w:val="2"/>
            <w:vAlign w:val="center"/>
          </w:tcPr>
          <w:p w14:paraId="0ABDD2EE">
            <w:pPr>
              <w:adjustRightInd w:val="0"/>
              <w:snapToGrid w:val="0"/>
              <w:spacing w:line="340" w:lineRule="exact"/>
              <w:rPr>
                <w:rFonts w:hint="eastAsia" w:ascii="宋体" w:hAnsi="宋体" w:eastAsia="宋体" w:cs="宋体"/>
                <w:color w:val="auto"/>
                <w:szCs w:val="21"/>
              </w:rPr>
            </w:pPr>
            <w:bookmarkStart w:id="54" w:name="OLE_LINK4"/>
            <w:r>
              <w:rPr>
                <w:rFonts w:hint="eastAsia" w:ascii="宋体" w:hAnsi="宋体" w:eastAsia="宋体" w:cs="宋体"/>
                <w:color w:val="auto"/>
                <w:szCs w:val="21"/>
              </w:rPr>
              <w:t>本项目不接受联合体。</w:t>
            </w:r>
            <w:bookmarkEnd w:id="54"/>
          </w:p>
        </w:tc>
      </w:tr>
      <w:tr w14:paraId="781627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7" w:hRule="atLeast"/>
        </w:trPr>
        <w:tc>
          <w:tcPr>
            <w:tcW w:w="1919" w:type="dxa"/>
            <w:vAlign w:val="center"/>
          </w:tcPr>
          <w:p w14:paraId="6340C528">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第二章第8.1</w:t>
            </w:r>
            <w:r>
              <w:rPr>
                <w:rFonts w:hint="eastAsia" w:ascii="宋体" w:hAnsi="宋体" w:eastAsia="宋体" w:cs="宋体"/>
                <w:color w:val="auto"/>
                <w:kern w:val="0"/>
                <w:szCs w:val="21"/>
                <w:lang w:val="zh-CN"/>
              </w:rPr>
              <w:t>款</w:t>
            </w:r>
          </w:p>
        </w:tc>
        <w:tc>
          <w:tcPr>
            <w:tcW w:w="1848" w:type="dxa"/>
            <w:vAlign w:val="center"/>
          </w:tcPr>
          <w:p w14:paraId="6774FB7F">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采购进口产品</w:t>
            </w:r>
          </w:p>
        </w:tc>
        <w:tc>
          <w:tcPr>
            <w:tcW w:w="5492" w:type="dxa"/>
            <w:gridSpan w:val="2"/>
          </w:tcPr>
          <w:p w14:paraId="43B5C5BE">
            <w:pPr>
              <w:adjustRightInd w:val="0"/>
              <w:snapToGrid w:val="0"/>
              <w:spacing w:line="340" w:lineRule="exact"/>
              <w:rPr>
                <w:rFonts w:hint="eastAsia" w:ascii="宋体" w:hAnsi="宋体" w:eastAsia="宋体" w:cs="宋体"/>
                <w:snapToGrid w:val="0"/>
                <w:color w:val="auto"/>
                <w:kern w:val="0"/>
                <w:szCs w:val="21"/>
                <w:shd w:val="clear" w:color="auto" w:fill="FFFFFF"/>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snapToGrid w:val="0"/>
                <w:color w:val="auto"/>
                <w:kern w:val="0"/>
                <w:szCs w:val="21"/>
                <w:shd w:val="clear" w:color="auto" w:fill="FFFFFF"/>
              </w:rPr>
              <w:t xml:space="preserve"> 本采购项目拒绝进口产品参加投标。</w:t>
            </w:r>
          </w:p>
          <w:p w14:paraId="25309A6E">
            <w:pPr>
              <w:adjustRightInd w:val="0"/>
              <w:snapToGrid w:val="0"/>
              <w:spacing w:line="340" w:lineRule="exac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 xml:space="preserve">□ </w:t>
            </w:r>
            <w:r>
              <w:rPr>
                <w:rFonts w:hint="eastAsia" w:ascii="宋体" w:hAnsi="宋体" w:eastAsia="宋体" w:cs="宋体"/>
                <w:snapToGrid w:val="0"/>
                <w:color w:val="auto"/>
                <w:kern w:val="0"/>
                <w:szCs w:val="21"/>
                <w:shd w:val="clear" w:color="auto" w:fill="FFFFFF"/>
              </w:rPr>
              <w:t>本采购项目已经财政部门审核同意购买进口产品。</w:t>
            </w:r>
          </w:p>
        </w:tc>
      </w:tr>
      <w:tr w14:paraId="7615AA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4" w:hRule="atLeast"/>
        </w:trPr>
        <w:tc>
          <w:tcPr>
            <w:tcW w:w="9259" w:type="dxa"/>
            <w:gridSpan w:val="4"/>
            <w:vAlign w:val="center"/>
          </w:tcPr>
          <w:p w14:paraId="7737744E">
            <w:pPr>
              <w:adjustRightInd w:val="0"/>
              <w:snapToGrid w:val="0"/>
              <w:spacing w:line="340" w:lineRule="exact"/>
              <w:rPr>
                <w:rFonts w:hint="eastAsia" w:ascii="宋体" w:hAnsi="宋体" w:eastAsia="宋体" w:cs="宋体"/>
                <w:b/>
                <w:color w:val="auto"/>
                <w:szCs w:val="21"/>
              </w:rPr>
            </w:pPr>
            <w:r>
              <w:rPr>
                <w:rFonts w:hint="eastAsia" w:ascii="宋体" w:hAnsi="宋体" w:eastAsia="宋体" w:cs="宋体"/>
                <w:b/>
                <w:color w:val="auto"/>
                <w:szCs w:val="21"/>
              </w:rPr>
              <w:t>二、磋商文件</w:t>
            </w:r>
          </w:p>
        </w:tc>
      </w:tr>
      <w:tr w14:paraId="418602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7F563750">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第二章第10.3款</w:t>
            </w:r>
          </w:p>
        </w:tc>
        <w:tc>
          <w:tcPr>
            <w:tcW w:w="1848" w:type="dxa"/>
            <w:vAlign w:val="center"/>
          </w:tcPr>
          <w:p w14:paraId="2E358E36">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磋商文件的可能实质性变动内容</w:t>
            </w:r>
          </w:p>
        </w:tc>
        <w:tc>
          <w:tcPr>
            <w:tcW w:w="5492" w:type="dxa"/>
            <w:gridSpan w:val="2"/>
            <w:vAlign w:val="center"/>
          </w:tcPr>
          <w:p w14:paraId="3B51B43C">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1.技术；2.服务；3.合同条款。</w:t>
            </w:r>
          </w:p>
        </w:tc>
      </w:tr>
      <w:tr w14:paraId="570B84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04A5E7A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第二章第11.1款</w:t>
            </w:r>
          </w:p>
        </w:tc>
        <w:tc>
          <w:tcPr>
            <w:tcW w:w="1848" w:type="dxa"/>
            <w:vAlign w:val="center"/>
          </w:tcPr>
          <w:p w14:paraId="0A281E01">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提交首次响应文件的截止时间</w:t>
            </w:r>
          </w:p>
        </w:tc>
        <w:tc>
          <w:tcPr>
            <w:tcW w:w="5492" w:type="dxa"/>
            <w:gridSpan w:val="2"/>
            <w:vAlign w:val="center"/>
          </w:tcPr>
          <w:p w14:paraId="4E4F1258">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见磋商公告</w:t>
            </w:r>
          </w:p>
        </w:tc>
      </w:tr>
      <w:tr w14:paraId="76184F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1FB93FF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第二章第26.3</w:t>
            </w:r>
            <w:r>
              <w:rPr>
                <w:rFonts w:hint="eastAsia" w:ascii="宋体" w:hAnsi="宋体" w:eastAsia="宋体" w:cs="宋体"/>
                <w:color w:val="auto"/>
                <w:kern w:val="0"/>
                <w:szCs w:val="21"/>
                <w:lang w:val="zh-CN"/>
              </w:rPr>
              <w:t>款</w:t>
            </w:r>
          </w:p>
        </w:tc>
        <w:tc>
          <w:tcPr>
            <w:tcW w:w="1848" w:type="dxa"/>
            <w:vAlign w:val="center"/>
          </w:tcPr>
          <w:p w14:paraId="1A23B2AA">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一般条款允许偏离的最高项数</w:t>
            </w:r>
          </w:p>
        </w:tc>
        <w:tc>
          <w:tcPr>
            <w:tcW w:w="5492" w:type="dxa"/>
            <w:gridSpan w:val="2"/>
            <w:vAlign w:val="center"/>
          </w:tcPr>
          <w:p w14:paraId="5BC10010">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一般商务</w:t>
            </w:r>
            <w:r>
              <w:rPr>
                <w:rFonts w:hint="eastAsia" w:ascii="宋体" w:hAnsi="宋体" w:eastAsia="宋体" w:cs="宋体"/>
                <w:color w:val="auto"/>
                <w:spacing w:val="4"/>
                <w:szCs w:val="21"/>
              </w:rPr>
              <w:t>和</w:t>
            </w:r>
            <w:r>
              <w:rPr>
                <w:rFonts w:hint="eastAsia" w:ascii="宋体" w:hAnsi="宋体" w:eastAsia="宋体" w:cs="宋体"/>
                <w:color w:val="auto"/>
                <w:szCs w:val="21"/>
              </w:rPr>
              <w:t>技术条款偏离项数之和≥</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项将导致无效响应。</w:t>
            </w:r>
          </w:p>
        </w:tc>
      </w:tr>
      <w:tr w14:paraId="06AD86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1D167FD7">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第二章第26.4</w:t>
            </w:r>
            <w:r>
              <w:rPr>
                <w:rFonts w:hint="eastAsia" w:ascii="宋体" w:hAnsi="宋体" w:eastAsia="宋体" w:cs="宋体"/>
                <w:color w:val="auto"/>
                <w:kern w:val="0"/>
                <w:szCs w:val="21"/>
                <w:lang w:val="zh-CN"/>
              </w:rPr>
              <w:t>款</w:t>
            </w:r>
          </w:p>
        </w:tc>
        <w:tc>
          <w:tcPr>
            <w:tcW w:w="1848" w:type="dxa"/>
            <w:vAlign w:val="center"/>
          </w:tcPr>
          <w:p w14:paraId="4D816D6C">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条款数（最高项数）的统计方法</w:t>
            </w:r>
          </w:p>
        </w:tc>
        <w:tc>
          <w:tcPr>
            <w:tcW w:w="5492" w:type="dxa"/>
            <w:gridSpan w:val="2"/>
            <w:vAlign w:val="center"/>
          </w:tcPr>
          <w:p w14:paraId="0535DAB0">
            <w:pPr>
              <w:adjustRightInd w:val="0"/>
              <w:snapToGrid w:val="0"/>
              <w:spacing w:line="340" w:lineRule="exact"/>
              <w:rPr>
                <w:rFonts w:hint="eastAsia" w:ascii="宋体" w:hAnsi="宋体" w:eastAsia="宋体" w:cs="宋体"/>
                <w:color w:val="auto"/>
                <w:szCs w:val="21"/>
                <w:u w:val="single"/>
              </w:rPr>
            </w:pPr>
            <w:r>
              <w:rPr>
                <w:rFonts w:hint="eastAsia" w:ascii="宋体" w:hAnsi="宋体" w:eastAsia="宋体" w:cs="宋体"/>
                <w:color w:val="auto"/>
                <w:szCs w:val="21"/>
              </w:rPr>
              <w:t>按编号的商务</w:t>
            </w:r>
            <w:r>
              <w:rPr>
                <w:rFonts w:hint="eastAsia" w:ascii="宋体" w:hAnsi="宋体" w:eastAsia="宋体" w:cs="宋体"/>
                <w:color w:val="auto"/>
                <w:spacing w:val="4"/>
                <w:szCs w:val="21"/>
              </w:rPr>
              <w:t>和</w:t>
            </w:r>
            <w:r>
              <w:rPr>
                <w:rFonts w:hint="eastAsia" w:ascii="宋体" w:hAnsi="宋体" w:eastAsia="宋体" w:cs="宋体"/>
                <w:color w:val="auto"/>
                <w:szCs w:val="21"/>
              </w:rPr>
              <w:t>技术条款进行统计。</w:t>
            </w:r>
          </w:p>
        </w:tc>
      </w:tr>
      <w:tr w14:paraId="146ABD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9259" w:type="dxa"/>
            <w:gridSpan w:val="4"/>
            <w:vAlign w:val="center"/>
          </w:tcPr>
          <w:p w14:paraId="3FD0816D">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b/>
                <w:color w:val="auto"/>
                <w:szCs w:val="21"/>
              </w:rPr>
              <w:t>三、响应文件的编写</w:t>
            </w:r>
          </w:p>
        </w:tc>
      </w:tr>
      <w:tr w14:paraId="404632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4" w:hRule="atLeast"/>
        </w:trPr>
        <w:tc>
          <w:tcPr>
            <w:tcW w:w="1919" w:type="dxa"/>
            <w:vAlign w:val="center"/>
          </w:tcPr>
          <w:p w14:paraId="64DBC36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第二章第15.4款</w:t>
            </w:r>
          </w:p>
        </w:tc>
        <w:tc>
          <w:tcPr>
            <w:tcW w:w="1848" w:type="dxa"/>
            <w:vAlign w:val="center"/>
          </w:tcPr>
          <w:p w14:paraId="6A99C30F">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采购项目预算</w:t>
            </w:r>
          </w:p>
        </w:tc>
        <w:tc>
          <w:tcPr>
            <w:tcW w:w="5492" w:type="dxa"/>
            <w:gridSpan w:val="2"/>
            <w:vAlign w:val="center"/>
          </w:tcPr>
          <w:p w14:paraId="29A7B09C">
            <w:pPr>
              <w:adjustRightInd w:val="0"/>
              <w:snapToGrid w:val="0"/>
              <w:spacing w:line="340" w:lineRule="exact"/>
              <w:rPr>
                <w:rFonts w:hint="eastAsia" w:ascii="宋体" w:hAnsi="宋体" w:eastAsia="宋体" w:cs="宋体"/>
                <w:color w:val="auto"/>
                <w:szCs w:val="21"/>
                <w:lang w:val="en-US" w:eastAsia="zh-CN"/>
              </w:rPr>
            </w:pPr>
            <w:r>
              <w:rPr>
                <w:rFonts w:hint="eastAsia" w:ascii="宋体" w:hAnsi="宋体" w:eastAsia="宋体" w:cs="宋体"/>
                <w:color w:val="auto"/>
                <w:szCs w:val="21"/>
              </w:rPr>
              <w:t>人民币</w:t>
            </w:r>
            <w:r>
              <w:rPr>
                <w:rFonts w:hint="eastAsia" w:ascii="宋体" w:hAnsi="宋体" w:cs="宋体"/>
                <w:color w:val="auto"/>
                <w:szCs w:val="21"/>
                <w:lang w:val="en-US" w:eastAsia="zh-CN"/>
              </w:rPr>
              <w:t>600000</w:t>
            </w:r>
            <w:r>
              <w:rPr>
                <w:rFonts w:hint="eastAsia" w:ascii="宋体" w:hAnsi="宋体" w:eastAsia="宋体" w:cs="宋体"/>
                <w:color w:val="auto"/>
                <w:szCs w:val="21"/>
              </w:rPr>
              <w:t>元</w:t>
            </w:r>
            <w:r>
              <w:rPr>
                <w:rFonts w:hint="eastAsia" w:ascii="宋体" w:hAnsi="宋体" w:eastAsia="宋体" w:cs="宋体"/>
                <w:color w:val="auto"/>
                <w:szCs w:val="21"/>
                <w:lang w:val="en-US" w:eastAsia="zh-CN"/>
              </w:rPr>
              <w:t>。</w:t>
            </w:r>
          </w:p>
        </w:tc>
      </w:tr>
      <w:tr w14:paraId="740E6E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919" w:type="dxa"/>
            <w:vAlign w:val="center"/>
          </w:tcPr>
          <w:p w14:paraId="66D735F0">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第二章第17.1</w:t>
            </w:r>
            <w:r>
              <w:rPr>
                <w:rFonts w:hint="eastAsia" w:ascii="宋体" w:hAnsi="宋体" w:eastAsia="宋体" w:cs="宋体"/>
                <w:color w:val="auto"/>
                <w:kern w:val="0"/>
                <w:szCs w:val="21"/>
                <w:lang w:val="zh-CN"/>
              </w:rPr>
              <w:t>款</w:t>
            </w:r>
          </w:p>
        </w:tc>
        <w:tc>
          <w:tcPr>
            <w:tcW w:w="1848" w:type="dxa"/>
            <w:vAlign w:val="center"/>
          </w:tcPr>
          <w:p w14:paraId="1D4A08B6">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保证金</w:t>
            </w:r>
          </w:p>
        </w:tc>
        <w:tc>
          <w:tcPr>
            <w:tcW w:w="5492" w:type="dxa"/>
            <w:gridSpan w:val="2"/>
            <w:vAlign w:val="center"/>
          </w:tcPr>
          <w:p w14:paraId="46E6787A">
            <w:pPr>
              <w:adjustRightInd w:val="0"/>
              <w:snapToGrid w:val="0"/>
              <w:spacing w:line="340" w:lineRule="exact"/>
              <w:rPr>
                <w:rFonts w:hint="eastAsia" w:ascii="宋体" w:hAnsi="宋体" w:eastAsia="宋体" w:cs="宋体"/>
                <w:color w:val="auto"/>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b/>
                <w:bCs/>
                <w:color w:val="auto"/>
                <w:szCs w:val="21"/>
              </w:rPr>
              <w:t xml:space="preserve"> 不要求提供</w:t>
            </w:r>
          </w:p>
        </w:tc>
      </w:tr>
      <w:tr w14:paraId="613EC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1919" w:type="dxa"/>
            <w:vAlign w:val="center"/>
          </w:tcPr>
          <w:p w14:paraId="38AB545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第二章第18.1款</w:t>
            </w:r>
          </w:p>
        </w:tc>
        <w:tc>
          <w:tcPr>
            <w:tcW w:w="1848" w:type="dxa"/>
            <w:vAlign w:val="center"/>
          </w:tcPr>
          <w:p w14:paraId="52918A13">
            <w:pPr>
              <w:adjustRightInd w:val="0"/>
              <w:snapToGrid w:val="0"/>
              <w:spacing w:line="340" w:lineRule="exact"/>
              <w:rPr>
                <w:rFonts w:hint="eastAsia" w:ascii="宋体" w:hAnsi="宋体" w:eastAsia="宋体" w:cs="宋体"/>
                <w:bCs/>
                <w:color w:val="auto"/>
                <w:szCs w:val="21"/>
              </w:rPr>
            </w:pPr>
            <w:r>
              <w:rPr>
                <w:rFonts w:hint="eastAsia" w:ascii="宋体" w:hAnsi="宋体" w:eastAsia="宋体" w:cs="宋体"/>
                <w:bCs/>
                <w:color w:val="auto"/>
                <w:szCs w:val="21"/>
              </w:rPr>
              <w:t>响应文件有效期</w:t>
            </w:r>
          </w:p>
        </w:tc>
        <w:tc>
          <w:tcPr>
            <w:tcW w:w="5492" w:type="dxa"/>
            <w:gridSpan w:val="2"/>
            <w:vAlign w:val="center"/>
          </w:tcPr>
          <w:p w14:paraId="5F51C36F">
            <w:pPr>
              <w:adjustRightInd w:val="0"/>
              <w:snapToGrid w:val="0"/>
              <w:spacing w:line="340" w:lineRule="exact"/>
              <w:rPr>
                <w:rFonts w:hint="eastAsia" w:ascii="宋体" w:hAnsi="宋体" w:eastAsia="宋体" w:cs="宋体"/>
                <w:bCs/>
                <w:color w:val="auto"/>
                <w:szCs w:val="21"/>
              </w:rPr>
            </w:pPr>
            <w:r>
              <w:rPr>
                <w:rFonts w:hint="eastAsia" w:ascii="宋体" w:hAnsi="宋体" w:eastAsia="宋体" w:cs="宋体"/>
                <w:color w:val="auto"/>
                <w:szCs w:val="21"/>
                <w:u w:val="single"/>
              </w:rPr>
              <w:t xml:space="preserve">  90 </w:t>
            </w:r>
            <w:r>
              <w:rPr>
                <w:rFonts w:hint="eastAsia" w:ascii="宋体" w:hAnsi="宋体" w:eastAsia="宋体" w:cs="宋体"/>
                <w:color w:val="auto"/>
                <w:szCs w:val="21"/>
              </w:rPr>
              <w:t>日（日历日）。</w:t>
            </w:r>
          </w:p>
        </w:tc>
      </w:tr>
      <w:tr w14:paraId="2895A7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5536C9B7">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第二章第19.1款</w:t>
            </w:r>
          </w:p>
        </w:tc>
        <w:tc>
          <w:tcPr>
            <w:tcW w:w="1848" w:type="dxa"/>
            <w:vAlign w:val="center"/>
          </w:tcPr>
          <w:p w14:paraId="78C74807">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响应文件份数</w:t>
            </w:r>
          </w:p>
        </w:tc>
        <w:tc>
          <w:tcPr>
            <w:tcW w:w="5492" w:type="dxa"/>
            <w:gridSpan w:val="2"/>
            <w:vAlign w:val="center"/>
          </w:tcPr>
          <w:p w14:paraId="039A18C2">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纸质档：一正二副，胶装</w:t>
            </w:r>
          </w:p>
          <w:p w14:paraId="79388E13">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电子文档：一份（建议存储于U盘，小信封单独封装）。</w:t>
            </w:r>
          </w:p>
        </w:tc>
      </w:tr>
      <w:tr w14:paraId="1BA1FD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9259" w:type="dxa"/>
            <w:gridSpan w:val="4"/>
            <w:vAlign w:val="center"/>
          </w:tcPr>
          <w:p w14:paraId="03218753">
            <w:pPr>
              <w:adjustRightInd w:val="0"/>
              <w:snapToGrid w:val="0"/>
              <w:spacing w:line="340" w:lineRule="exact"/>
              <w:rPr>
                <w:rFonts w:hint="eastAsia" w:ascii="宋体" w:hAnsi="宋体" w:eastAsia="宋体" w:cs="宋体"/>
                <w:b/>
                <w:bCs/>
                <w:color w:val="auto"/>
                <w:szCs w:val="21"/>
              </w:rPr>
            </w:pPr>
            <w:r>
              <w:rPr>
                <w:rFonts w:hint="eastAsia" w:ascii="宋体" w:hAnsi="宋体" w:eastAsia="宋体" w:cs="宋体"/>
                <w:b/>
                <w:color w:val="auto"/>
                <w:szCs w:val="21"/>
              </w:rPr>
              <w:t>四、响应文件的递交</w:t>
            </w:r>
          </w:p>
        </w:tc>
      </w:tr>
      <w:tr w14:paraId="06B3E4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25" w:hRule="atLeast"/>
        </w:trPr>
        <w:tc>
          <w:tcPr>
            <w:tcW w:w="1919" w:type="dxa"/>
            <w:vAlign w:val="center"/>
          </w:tcPr>
          <w:p w14:paraId="429D7591">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第二章第20.2款</w:t>
            </w:r>
          </w:p>
        </w:tc>
        <w:tc>
          <w:tcPr>
            <w:tcW w:w="1848" w:type="dxa"/>
            <w:vAlign w:val="center"/>
          </w:tcPr>
          <w:p w14:paraId="478142B6">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封套上应载明的信息</w:t>
            </w:r>
          </w:p>
        </w:tc>
        <w:tc>
          <w:tcPr>
            <w:tcW w:w="5492" w:type="dxa"/>
            <w:gridSpan w:val="2"/>
            <w:vAlign w:val="center"/>
          </w:tcPr>
          <w:p w14:paraId="0BDDC66A">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u w:val="single"/>
              </w:rPr>
              <w:t xml:space="preserve">       （项目名称）      </w:t>
            </w:r>
            <w:r>
              <w:rPr>
                <w:rFonts w:hint="eastAsia" w:ascii="宋体" w:hAnsi="宋体" w:eastAsia="宋体" w:cs="宋体"/>
                <w:color w:val="auto"/>
                <w:szCs w:val="21"/>
              </w:rPr>
              <w:t>响应文件</w:t>
            </w:r>
          </w:p>
          <w:p w14:paraId="70552D01">
            <w:pPr>
              <w:adjustRightInd w:val="0"/>
              <w:snapToGrid w:val="0"/>
              <w:spacing w:line="340" w:lineRule="exact"/>
              <w:rPr>
                <w:rFonts w:hint="eastAsia" w:ascii="宋体" w:hAnsi="宋体" w:eastAsia="宋体" w:cs="宋体"/>
                <w:color w:val="auto"/>
                <w:szCs w:val="21"/>
                <w:u w:val="single"/>
              </w:rPr>
            </w:pPr>
            <w:r>
              <w:rPr>
                <w:rFonts w:hint="eastAsia" w:ascii="宋体" w:hAnsi="宋体" w:eastAsia="宋体" w:cs="宋体"/>
                <w:color w:val="auto"/>
                <w:szCs w:val="21"/>
              </w:rPr>
              <w:t>政府采购计划编号：</w:t>
            </w:r>
            <w:r>
              <w:rPr>
                <w:rFonts w:hint="eastAsia" w:ascii="宋体" w:hAnsi="宋体" w:eastAsia="宋体" w:cs="宋体"/>
                <w:snapToGrid w:val="0"/>
                <w:color w:val="auto"/>
                <w:kern w:val="0"/>
                <w:szCs w:val="21"/>
                <w:u w:val="single"/>
              </w:rPr>
              <w:t xml:space="preserve">                                </w:t>
            </w:r>
          </w:p>
          <w:p w14:paraId="5F835098">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委托代理编号：</w:t>
            </w:r>
            <w:r>
              <w:rPr>
                <w:rFonts w:hint="eastAsia" w:ascii="宋体" w:hAnsi="宋体" w:eastAsia="宋体" w:cs="宋体"/>
                <w:color w:val="auto"/>
                <w:szCs w:val="21"/>
                <w:u w:val="single"/>
              </w:rPr>
              <w:t xml:space="preserve">                                </w:t>
            </w:r>
          </w:p>
          <w:p w14:paraId="6B4EA70F">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包或品目名：</w:t>
            </w:r>
            <w:r>
              <w:rPr>
                <w:rFonts w:hint="eastAsia" w:ascii="宋体" w:hAnsi="宋体" w:eastAsia="宋体" w:cs="宋体"/>
                <w:snapToGrid w:val="0"/>
                <w:color w:val="auto"/>
                <w:kern w:val="0"/>
                <w:szCs w:val="21"/>
                <w:u w:val="single"/>
              </w:rPr>
              <w:t xml:space="preserve">  </w:t>
            </w:r>
            <w:r>
              <w:rPr>
                <w:rFonts w:hint="eastAsia" w:ascii="宋体" w:hAnsi="宋体" w:eastAsia="宋体" w:cs="宋体"/>
                <w:color w:val="auto"/>
                <w:szCs w:val="21"/>
                <w:u w:val="single"/>
              </w:rPr>
              <w:t xml:space="preserve">                                </w:t>
            </w:r>
          </w:p>
          <w:p w14:paraId="7254D5E0">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在</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时</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分之前不得启封 </w:t>
            </w:r>
          </w:p>
          <w:p w14:paraId="31833CBB">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供应商法人或授权代表签字：</w:t>
            </w:r>
            <w:r>
              <w:rPr>
                <w:rFonts w:hint="eastAsia" w:ascii="宋体" w:hAnsi="宋体" w:eastAsia="宋体" w:cs="宋体"/>
                <w:color w:val="auto"/>
                <w:szCs w:val="21"/>
                <w:u w:val="single"/>
              </w:rPr>
              <w:t xml:space="preserve">              </w:t>
            </w:r>
          </w:p>
        </w:tc>
      </w:tr>
      <w:tr w14:paraId="210F99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1C8A0226">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第二章第22.1款</w:t>
            </w:r>
          </w:p>
        </w:tc>
        <w:tc>
          <w:tcPr>
            <w:tcW w:w="1848" w:type="dxa"/>
            <w:vAlign w:val="center"/>
          </w:tcPr>
          <w:p w14:paraId="582E4922">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响应文件的递交地点</w:t>
            </w:r>
          </w:p>
        </w:tc>
        <w:tc>
          <w:tcPr>
            <w:tcW w:w="5492" w:type="dxa"/>
            <w:gridSpan w:val="2"/>
            <w:vAlign w:val="center"/>
          </w:tcPr>
          <w:p w14:paraId="61EEE9D1">
            <w:pPr>
              <w:adjustRightInd w:val="0"/>
              <w:snapToGrid w:val="0"/>
              <w:spacing w:line="340" w:lineRule="exact"/>
              <w:rPr>
                <w:rFonts w:hint="eastAsia" w:ascii="宋体" w:hAnsi="宋体" w:eastAsia="宋体" w:cs="宋体"/>
                <w:b/>
                <w:bCs/>
                <w:color w:val="auto"/>
                <w:szCs w:val="21"/>
                <w:lang w:eastAsia="zh-CN"/>
              </w:rPr>
            </w:pPr>
            <w:r>
              <w:rPr>
                <w:rFonts w:hint="eastAsia" w:ascii="宋体" w:hAnsi="宋体" w:eastAsia="宋体" w:cs="宋体"/>
                <w:color w:val="auto"/>
                <w:kern w:val="0"/>
                <w:szCs w:val="21"/>
                <w:lang w:eastAsia="zh-CN"/>
              </w:rPr>
              <w:t>攸县发展中心主楼11楼1169室</w:t>
            </w:r>
          </w:p>
        </w:tc>
      </w:tr>
      <w:tr w14:paraId="3F1CD0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9259" w:type="dxa"/>
            <w:gridSpan w:val="4"/>
            <w:vAlign w:val="center"/>
          </w:tcPr>
          <w:p w14:paraId="361FF555">
            <w:pPr>
              <w:adjustRightInd w:val="0"/>
              <w:snapToGrid w:val="0"/>
              <w:spacing w:line="340" w:lineRule="exact"/>
              <w:rPr>
                <w:rFonts w:hint="eastAsia" w:ascii="宋体" w:hAnsi="宋体" w:eastAsia="宋体" w:cs="宋体"/>
                <w:b/>
                <w:color w:val="auto"/>
                <w:szCs w:val="21"/>
              </w:rPr>
            </w:pPr>
            <w:r>
              <w:rPr>
                <w:rFonts w:hint="eastAsia" w:ascii="宋体" w:hAnsi="宋体" w:eastAsia="宋体" w:cs="宋体"/>
                <w:b/>
                <w:color w:val="auto"/>
                <w:szCs w:val="21"/>
              </w:rPr>
              <w:t>五、其他规定</w:t>
            </w:r>
          </w:p>
        </w:tc>
      </w:tr>
      <w:tr w14:paraId="55FE18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919" w:type="dxa"/>
            <w:vMerge w:val="restart"/>
            <w:vAlign w:val="center"/>
          </w:tcPr>
          <w:p w14:paraId="1CD8D1F3">
            <w:pPr>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第二章第9.1款</w:t>
            </w:r>
          </w:p>
          <w:p w14:paraId="40053A24">
            <w:pPr>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（请关注中国政府采购网相关信息）</w:t>
            </w:r>
          </w:p>
        </w:tc>
        <w:tc>
          <w:tcPr>
            <w:tcW w:w="1848" w:type="dxa"/>
            <w:vAlign w:val="center"/>
          </w:tcPr>
          <w:p w14:paraId="1805493B">
            <w:pPr>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政府采购强制采购节能产品</w:t>
            </w:r>
          </w:p>
        </w:tc>
        <w:tc>
          <w:tcPr>
            <w:tcW w:w="5492" w:type="dxa"/>
            <w:gridSpan w:val="2"/>
            <w:vAlign w:val="center"/>
          </w:tcPr>
          <w:p w14:paraId="66430B2A">
            <w:pPr>
              <w:spacing w:line="340" w:lineRule="exact"/>
              <w:rPr>
                <w:rFonts w:hint="eastAsia" w:ascii="宋体" w:hAnsi="宋体" w:eastAsia="宋体" w:cs="宋体"/>
                <w:b/>
                <w:bCs/>
                <w:color w:val="auto"/>
                <w:szCs w:val="21"/>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snapToGrid w:val="0"/>
                <w:color w:val="auto"/>
                <w:kern w:val="0"/>
                <w:szCs w:val="21"/>
                <w:shd w:val="clear" w:color="auto" w:fill="FFFFFF"/>
              </w:rPr>
              <w:t xml:space="preserve"> </w:t>
            </w:r>
            <w:r>
              <w:rPr>
                <w:rFonts w:hint="eastAsia" w:ascii="宋体" w:hAnsi="宋体" w:eastAsia="宋体" w:cs="宋体"/>
                <w:b/>
                <w:bCs/>
                <w:color w:val="auto"/>
                <w:szCs w:val="21"/>
              </w:rPr>
              <w:t>否。</w:t>
            </w:r>
          </w:p>
          <w:p w14:paraId="587ABE65">
            <w:pPr>
              <w:spacing w:line="340" w:lineRule="exact"/>
              <w:rPr>
                <w:rFonts w:hint="eastAsia" w:ascii="宋体" w:hAnsi="宋体" w:eastAsia="宋体" w:cs="宋体"/>
                <w:color w:val="auto"/>
                <w:szCs w:val="21"/>
              </w:rPr>
            </w:pPr>
            <w:r>
              <w:rPr>
                <w:rFonts w:hint="eastAsia" w:ascii="宋体" w:hAnsi="宋体" w:eastAsia="宋体" w:cs="宋体"/>
                <w:color w:val="auto"/>
                <w:szCs w:val="21"/>
              </w:rPr>
              <w:t>□ 是，采购《节能产品政府采购清单》(第</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期) 内的产品（应同时在采购公告中注明）。</w:t>
            </w:r>
          </w:p>
        </w:tc>
      </w:tr>
      <w:tr w14:paraId="79B8CD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1919" w:type="dxa"/>
            <w:vMerge w:val="continue"/>
            <w:vAlign w:val="center"/>
          </w:tcPr>
          <w:p w14:paraId="1E5C4DEE">
            <w:pPr>
              <w:spacing w:line="340" w:lineRule="exact"/>
              <w:jc w:val="center"/>
              <w:rPr>
                <w:rFonts w:hint="eastAsia" w:ascii="宋体" w:hAnsi="宋体" w:eastAsia="宋体" w:cs="宋体"/>
                <w:color w:val="auto"/>
                <w:szCs w:val="21"/>
              </w:rPr>
            </w:pPr>
          </w:p>
        </w:tc>
        <w:tc>
          <w:tcPr>
            <w:tcW w:w="1848" w:type="dxa"/>
            <w:vAlign w:val="center"/>
          </w:tcPr>
          <w:p w14:paraId="7023692A">
            <w:pPr>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政府采购优先采购环境标志产品</w:t>
            </w:r>
          </w:p>
        </w:tc>
        <w:tc>
          <w:tcPr>
            <w:tcW w:w="5492" w:type="dxa"/>
            <w:gridSpan w:val="2"/>
            <w:vAlign w:val="center"/>
          </w:tcPr>
          <w:p w14:paraId="43A7D165">
            <w:pPr>
              <w:spacing w:line="340" w:lineRule="exact"/>
              <w:rPr>
                <w:rFonts w:hint="eastAsia" w:ascii="宋体" w:hAnsi="宋体" w:eastAsia="宋体" w:cs="宋体"/>
                <w:b/>
                <w:bCs/>
                <w:color w:val="auto"/>
                <w:szCs w:val="21"/>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snapToGrid w:val="0"/>
                <w:color w:val="auto"/>
                <w:kern w:val="0"/>
                <w:szCs w:val="21"/>
                <w:shd w:val="clear" w:color="auto" w:fill="FFFFFF"/>
              </w:rPr>
              <w:t xml:space="preserve"> </w:t>
            </w:r>
            <w:r>
              <w:rPr>
                <w:rFonts w:hint="eastAsia" w:ascii="宋体" w:hAnsi="宋体" w:eastAsia="宋体" w:cs="宋体"/>
                <w:b/>
                <w:bCs/>
                <w:color w:val="auto"/>
                <w:szCs w:val="21"/>
              </w:rPr>
              <w:t>否。</w:t>
            </w:r>
          </w:p>
          <w:p w14:paraId="63708F68">
            <w:pPr>
              <w:spacing w:line="340" w:lineRule="exact"/>
              <w:rPr>
                <w:rFonts w:hint="eastAsia" w:ascii="宋体" w:hAnsi="宋体" w:eastAsia="宋体" w:cs="宋体"/>
                <w:color w:val="auto"/>
                <w:szCs w:val="21"/>
              </w:rPr>
            </w:pPr>
            <w:r>
              <w:rPr>
                <w:rFonts w:hint="eastAsia" w:ascii="宋体" w:hAnsi="宋体" w:eastAsia="宋体" w:cs="宋体"/>
                <w:color w:val="auto"/>
                <w:szCs w:val="21"/>
              </w:rPr>
              <w:t>□ 是，采购产品为《环境标志产品政府采购清单》(第</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期)内的：</w:t>
            </w:r>
          </w:p>
          <w:p w14:paraId="19DE59D4">
            <w:pPr>
              <w:spacing w:line="340" w:lineRule="exact"/>
              <w:rPr>
                <w:rFonts w:hint="eastAsia" w:ascii="宋体" w:hAnsi="宋体" w:eastAsia="宋体" w:cs="宋体"/>
                <w:color w:val="auto"/>
                <w:szCs w:val="21"/>
              </w:rPr>
            </w:pPr>
            <w:r>
              <w:rPr>
                <w:rFonts w:hint="eastAsia" w:ascii="宋体" w:hAnsi="宋体" w:eastAsia="宋体" w:cs="宋体"/>
                <w:color w:val="auto"/>
                <w:szCs w:val="21"/>
              </w:rPr>
              <w:t>在采用综合评审时，对于技术和价格分，应分别给予总分值4%-8%的加分。本项目具体加分比例分别为 ：技术</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分4%、价格4%、商务</w:t>
            </w:r>
            <w:r>
              <w:rPr>
                <w:rFonts w:hint="eastAsia" w:ascii="宋体" w:hAnsi="宋体" w:eastAsia="宋体" w:cs="宋体"/>
                <w:color w:val="auto"/>
                <w:szCs w:val="21"/>
                <w:u w:val="single"/>
              </w:rPr>
              <w:t xml:space="preserve"> 4% </w:t>
            </w:r>
            <w:r>
              <w:rPr>
                <w:rFonts w:hint="eastAsia" w:ascii="宋体" w:hAnsi="宋体" w:eastAsia="宋体" w:cs="宋体"/>
                <w:color w:val="auto"/>
                <w:szCs w:val="21"/>
              </w:rPr>
              <w:t>分；</w:t>
            </w:r>
          </w:p>
        </w:tc>
      </w:tr>
      <w:tr w14:paraId="452DDB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65" w:hRule="atLeast"/>
        </w:trPr>
        <w:tc>
          <w:tcPr>
            <w:tcW w:w="1919" w:type="dxa"/>
            <w:vMerge w:val="continue"/>
            <w:vAlign w:val="center"/>
          </w:tcPr>
          <w:p w14:paraId="4283ECDC">
            <w:pPr>
              <w:spacing w:line="340" w:lineRule="exact"/>
              <w:jc w:val="center"/>
              <w:rPr>
                <w:rFonts w:hint="eastAsia" w:ascii="宋体" w:hAnsi="宋体" w:eastAsia="宋体" w:cs="宋体"/>
                <w:color w:val="auto"/>
                <w:szCs w:val="21"/>
              </w:rPr>
            </w:pPr>
          </w:p>
        </w:tc>
        <w:tc>
          <w:tcPr>
            <w:tcW w:w="1848" w:type="dxa"/>
            <w:vAlign w:val="center"/>
          </w:tcPr>
          <w:p w14:paraId="4207E21F">
            <w:pPr>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政府采购</w:t>
            </w:r>
            <w:r>
              <w:rPr>
                <w:rFonts w:hint="eastAsia" w:ascii="宋体" w:hAnsi="宋体" w:eastAsia="宋体" w:cs="宋体"/>
                <w:bCs/>
                <w:color w:val="auto"/>
                <w:kern w:val="0"/>
                <w:szCs w:val="21"/>
              </w:rPr>
              <w:t>支持</w:t>
            </w:r>
            <w:r>
              <w:rPr>
                <w:rFonts w:hint="eastAsia" w:ascii="宋体" w:hAnsi="宋体" w:eastAsia="宋体" w:cs="宋体"/>
                <w:color w:val="auto"/>
                <w:szCs w:val="21"/>
              </w:rPr>
              <w:t>中小企业发展</w:t>
            </w:r>
          </w:p>
        </w:tc>
        <w:tc>
          <w:tcPr>
            <w:tcW w:w="5492" w:type="dxa"/>
            <w:gridSpan w:val="2"/>
            <w:vAlign w:val="center"/>
          </w:tcPr>
          <w:p w14:paraId="46B897C3">
            <w:pPr>
              <w:spacing w:line="340" w:lineRule="exact"/>
              <w:rPr>
                <w:rFonts w:hint="eastAsia" w:ascii="宋体" w:hAnsi="宋体" w:eastAsia="宋体" w:cs="宋体"/>
                <w:b/>
                <w:bCs/>
                <w:color w:val="auto"/>
                <w:szCs w:val="21"/>
              </w:rPr>
            </w:pPr>
            <w:r>
              <w:rPr>
                <w:rFonts w:hint="eastAsia" w:ascii="宋体" w:hAnsi="宋体" w:eastAsia="宋体" w:cs="宋体"/>
                <w:color w:val="auto"/>
                <w:szCs w:val="21"/>
              </w:rPr>
              <w:t>□ 专门面向中小企业采购（应同时在采购公告中注明）。</w:t>
            </w:r>
          </w:p>
          <w:p w14:paraId="642A4FFA">
            <w:pPr>
              <w:spacing w:line="340" w:lineRule="exact"/>
              <w:rPr>
                <w:rFonts w:hint="eastAsia" w:ascii="宋体" w:hAnsi="宋体" w:eastAsia="宋体" w:cs="宋体"/>
                <w:b/>
                <w:bCs/>
                <w:color w:val="auto"/>
                <w:szCs w:val="21"/>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snapToGrid w:val="0"/>
                <w:color w:val="auto"/>
                <w:kern w:val="0"/>
                <w:szCs w:val="21"/>
                <w:shd w:val="clear" w:color="auto" w:fill="FFFFFF"/>
              </w:rPr>
              <w:t xml:space="preserve"> </w:t>
            </w:r>
            <w:r>
              <w:rPr>
                <w:rFonts w:hint="eastAsia" w:ascii="宋体" w:hAnsi="宋体" w:eastAsia="宋体" w:cs="宋体"/>
                <w:b/>
                <w:bCs/>
                <w:color w:val="auto"/>
                <w:szCs w:val="21"/>
              </w:rPr>
              <w:t>非专门面向小微型企业采购：</w:t>
            </w:r>
          </w:p>
          <w:p w14:paraId="462AE2E2">
            <w:pPr>
              <w:spacing w:line="340" w:lineRule="exact"/>
              <w:rPr>
                <w:rFonts w:hint="eastAsia" w:ascii="宋体" w:hAnsi="宋体" w:eastAsia="宋体" w:cs="宋体"/>
                <w:color w:val="auto"/>
                <w:szCs w:val="21"/>
              </w:rPr>
            </w:pPr>
            <w:r>
              <w:rPr>
                <w:rFonts w:hint="eastAsia" w:ascii="宋体" w:hAnsi="宋体" w:eastAsia="宋体" w:cs="宋体"/>
                <w:color w:val="auto"/>
                <w:szCs w:val="21"/>
              </w:rPr>
              <w:t xml:space="preserve">1、给予小型和微型企业产品的价格给予10%-20%的扣除，用扣除后的价格参与评审，本项目具体扣除比例为  </w:t>
            </w:r>
            <w:r>
              <w:rPr>
                <w:rFonts w:hint="eastAsia" w:ascii="宋体" w:hAnsi="宋体" w:eastAsia="宋体" w:cs="宋体"/>
                <w:b/>
                <w:bCs/>
                <w:color w:val="auto"/>
                <w:szCs w:val="21"/>
                <w:u w:val="single"/>
              </w:rPr>
              <w:t>10</w:t>
            </w:r>
            <w:r>
              <w:rPr>
                <w:rFonts w:hint="eastAsia" w:ascii="宋体" w:hAnsi="宋体" w:eastAsia="宋体" w:cs="宋体"/>
                <w:b/>
                <w:bCs/>
                <w:color w:val="auto"/>
                <w:szCs w:val="21"/>
              </w:rPr>
              <w:t xml:space="preserve"> ％</w:t>
            </w:r>
            <w:r>
              <w:rPr>
                <w:rFonts w:hint="eastAsia" w:ascii="宋体" w:hAnsi="宋体" w:eastAsia="宋体" w:cs="宋体"/>
                <w:color w:val="auto"/>
                <w:szCs w:val="21"/>
              </w:rPr>
              <w:t>。</w:t>
            </w:r>
          </w:p>
          <w:p w14:paraId="224059C8">
            <w:pPr>
              <w:spacing w:line="340" w:lineRule="exact"/>
              <w:rPr>
                <w:rFonts w:hint="eastAsia" w:ascii="宋体" w:hAnsi="宋体" w:eastAsia="宋体" w:cs="宋体"/>
                <w:color w:val="auto"/>
                <w:szCs w:val="21"/>
              </w:rPr>
            </w:pPr>
            <w:r>
              <w:rPr>
                <w:rFonts w:hint="eastAsia" w:ascii="宋体" w:hAnsi="宋体" w:eastAsia="宋体" w:cs="宋体"/>
                <w:color w:val="auto"/>
                <w:szCs w:val="21"/>
              </w:rPr>
              <w:t xml:space="preserve">2、给予联合体4%-6%的价格扣除。本项目具体扣除比例为 </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lang w:val="en-US" w:eastAsia="zh-CN"/>
              </w:rPr>
              <w:t>/</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rPr>
              <w:t>％</w:t>
            </w:r>
            <w:r>
              <w:rPr>
                <w:rFonts w:hint="eastAsia" w:ascii="宋体" w:hAnsi="宋体" w:eastAsia="宋体" w:cs="宋体"/>
                <w:color w:val="auto"/>
                <w:szCs w:val="21"/>
              </w:rPr>
              <w:t>。</w:t>
            </w:r>
          </w:p>
          <w:p w14:paraId="0928BAF9">
            <w:pPr>
              <w:widowControl/>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3、本项目所属行业为</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lang w:eastAsia="zh-CN"/>
              </w:rPr>
              <w:t>其他未列明行业</w:t>
            </w:r>
            <w:r>
              <w:rPr>
                <w:rFonts w:hint="eastAsia" w:ascii="宋体" w:hAnsi="宋体" w:eastAsia="宋体" w:cs="宋体"/>
                <w:color w:val="auto"/>
                <w:szCs w:val="21"/>
              </w:rPr>
              <w:t>，其小微企规模认定按照《中小企业划型标准规定》（工信部联企业〔2011〕300号）执行。</w:t>
            </w:r>
          </w:p>
        </w:tc>
      </w:tr>
      <w:tr w14:paraId="18E1B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60" w:hRule="atLeast"/>
        </w:trPr>
        <w:tc>
          <w:tcPr>
            <w:tcW w:w="1919" w:type="dxa"/>
            <w:vMerge w:val="continue"/>
            <w:vAlign w:val="center"/>
          </w:tcPr>
          <w:p w14:paraId="4DB9618C">
            <w:pPr>
              <w:spacing w:line="340" w:lineRule="exact"/>
              <w:jc w:val="center"/>
              <w:rPr>
                <w:rFonts w:hint="eastAsia" w:ascii="宋体" w:hAnsi="宋体" w:eastAsia="宋体" w:cs="宋体"/>
                <w:color w:val="auto"/>
                <w:szCs w:val="21"/>
              </w:rPr>
            </w:pPr>
          </w:p>
        </w:tc>
        <w:tc>
          <w:tcPr>
            <w:tcW w:w="1848" w:type="dxa"/>
            <w:vAlign w:val="center"/>
          </w:tcPr>
          <w:p w14:paraId="43A62965">
            <w:pPr>
              <w:adjustRightInd w:val="0"/>
              <w:snapToGrid w:val="0"/>
              <w:spacing w:line="340" w:lineRule="exact"/>
              <w:jc w:val="center"/>
              <w:rPr>
                <w:rFonts w:hint="eastAsia" w:ascii="宋体" w:hAnsi="宋体" w:eastAsia="宋体" w:cs="宋体"/>
                <w:bCs/>
                <w:color w:val="auto"/>
                <w:kern w:val="0"/>
                <w:szCs w:val="21"/>
              </w:rPr>
            </w:pPr>
            <w:r>
              <w:rPr>
                <w:rFonts w:hint="eastAsia" w:ascii="宋体" w:hAnsi="宋体" w:eastAsia="宋体" w:cs="宋体"/>
                <w:color w:val="auto"/>
                <w:szCs w:val="21"/>
              </w:rPr>
              <w:t>监狱企业</w:t>
            </w:r>
          </w:p>
        </w:tc>
        <w:tc>
          <w:tcPr>
            <w:tcW w:w="5492" w:type="dxa"/>
            <w:gridSpan w:val="2"/>
            <w:vAlign w:val="center"/>
          </w:tcPr>
          <w:p w14:paraId="52FBC28F">
            <w:pPr>
              <w:pStyle w:val="23"/>
              <w:adjustRightInd w:val="0"/>
              <w:snapToGrid w:val="0"/>
              <w:spacing w:before="0" w:beforeAutospacing="0" w:after="0" w:afterAutospacing="0"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在政府采购活动中，监狱企业视同小型、微型企业，享受预留份额、评审中价格扣除等政府采购促进中小企业发展的政府采购政策。向监狱企业采购的金额，计入面向中小企业采购的统计数据。监狱企业参加政府采购活动时，应当提供由省级以上监狱管理局、戒毒管理局(含新疆生产建设兵团)出具的属于监狱企业的证明文件。（监狱企业属于小型、微型企业的，不重复享受政策）。</w:t>
            </w:r>
          </w:p>
        </w:tc>
      </w:tr>
      <w:tr w14:paraId="7FFFF5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987" w:hRule="atLeast"/>
        </w:trPr>
        <w:tc>
          <w:tcPr>
            <w:tcW w:w="1919" w:type="dxa"/>
            <w:vMerge w:val="continue"/>
            <w:vAlign w:val="center"/>
          </w:tcPr>
          <w:p w14:paraId="576B9B37">
            <w:pPr>
              <w:spacing w:line="340" w:lineRule="exact"/>
              <w:jc w:val="center"/>
              <w:rPr>
                <w:rFonts w:hint="eastAsia" w:ascii="宋体" w:hAnsi="宋体" w:eastAsia="宋体" w:cs="宋体"/>
                <w:color w:val="auto"/>
                <w:szCs w:val="21"/>
              </w:rPr>
            </w:pPr>
          </w:p>
        </w:tc>
        <w:tc>
          <w:tcPr>
            <w:tcW w:w="1848" w:type="dxa"/>
            <w:vAlign w:val="center"/>
          </w:tcPr>
          <w:p w14:paraId="793CEFB7">
            <w:pPr>
              <w:adjustRightInd w:val="0"/>
              <w:snapToGrid w:val="0"/>
              <w:spacing w:line="340" w:lineRule="exact"/>
              <w:jc w:val="center"/>
              <w:rPr>
                <w:rFonts w:hint="eastAsia" w:ascii="宋体" w:hAnsi="宋体" w:eastAsia="宋体" w:cs="宋体"/>
                <w:bCs/>
                <w:color w:val="auto"/>
                <w:kern w:val="0"/>
                <w:szCs w:val="21"/>
              </w:rPr>
            </w:pPr>
            <w:r>
              <w:rPr>
                <w:rFonts w:hint="eastAsia" w:ascii="宋体" w:hAnsi="宋体" w:eastAsia="宋体" w:cs="宋体"/>
                <w:color w:val="auto"/>
                <w:szCs w:val="21"/>
              </w:rPr>
              <w:t>残疾人福利性单位</w:t>
            </w:r>
          </w:p>
        </w:tc>
        <w:tc>
          <w:tcPr>
            <w:tcW w:w="5492" w:type="dxa"/>
            <w:gridSpan w:val="2"/>
            <w:vAlign w:val="center"/>
          </w:tcPr>
          <w:p w14:paraId="36CBFD8E">
            <w:pPr>
              <w:pStyle w:val="23"/>
              <w:adjustRightInd w:val="0"/>
              <w:snapToGrid w:val="0"/>
              <w:spacing w:before="0" w:beforeAutospacing="0" w:after="0" w:afterAutospacing="0"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tc>
      </w:tr>
      <w:tr w14:paraId="181F1C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919" w:type="dxa"/>
            <w:vMerge w:val="continue"/>
            <w:vAlign w:val="center"/>
          </w:tcPr>
          <w:p w14:paraId="2723C84A">
            <w:pPr>
              <w:spacing w:line="340" w:lineRule="exact"/>
              <w:jc w:val="center"/>
              <w:rPr>
                <w:rFonts w:hint="eastAsia" w:ascii="宋体" w:hAnsi="宋体" w:eastAsia="宋体" w:cs="宋体"/>
                <w:color w:val="auto"/>
                <w:szCs w:val="21"/>
              </w:rPr>
            </w:pPr>
          </w:p>
        </w:tc>
        <w:tc>
          <w:tcPr>
            <w:tcW w:w="1848" w:type="dxa"/>
            <w:vAlign w:val="center"/>
          </w:tcPr>
          <w:p w14:paraId="3F8F1171">
            <w:pPr>
              <w:spacing w:line="340" w:lineRule="exact"/>
              <w:jc w:val="left"/>
              <w:rPr>
                <w:rFonts w:hint="eastAsia" w:ascii="宋体" w:hAnsi="宋体" w:eastAsia="宋体" w:cs="宋体"/>
                <w:color w:val="auto"/>
                <w:szCs w:val="21"/>
              </w:rPr>
            </w:pPr>
            <w:r>
              <w:rPr>
                <w:rFonts w:hint="eastAsia" w:ascii="宋体" w:hAnsi="宋体" w:eastAsia="宋体" w:cs="宋体"/>
                <w:bCs/>
                <w:color w:val="auto"/>
                <w:kern w:val="0"/>
                <w:szCs w:val="21"/>
              </w:rPr>
              <w:t>政府采购支持中小企业融资</w:t>
            </w:r>
          </w:p>
        </w:tc>
        <w:tc>
          <w:tcPr>
            <w:tcW w:w="5492" w:type="dxa"/>
            <w:gridSpan w:val="2"/>
            <w:vAlign w:val="center"/>
          </w:tcPr>
          <w:p w14:paraId="540B6B73">
            <w:pPr>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有融资需求的，可登陆中国政府采购网查询。</w:t>
            </w:r>
          </w:p>
        </w:tc>
      </w:tr>
      <w:tr w14:paraId="1C2A3E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919" w:type="dxa"/>
            <w:vMerge w:val="continue"/>
            <w:vAlign w:val="center"/>
          </w:tcPr>
          <w:p w14:paraId="62869E85">
            <w:pPr>
              <w:spacing w:line="340" w:lineRule="exact"/>
              <w:jc w:val="center"/>
              <w:rPr>
                <w:rFonts w:hint="eastAsia" w:ascii="宋体" w:hAnsi="宋体" w:eastAsia="宋体" w:cs="宋体"/>
                <w:color w:val="auto"/>
                <w:szCs w:val="21"/>
              </w:rPr>
            </w:pPr>
          </w:p>
        </w:tc>
        <w:tc>
          <w:tcPr>
            <w:tcW w:w="1848" w:type="dxa"/>
            <w:vAlign w:val="center"/>
          </w:tcPr>
          <w:p w14:paraId="6B5989AC">
            <w:pPr>
              <w:spacing w:line="340" w:lineRule="exact"/>
              <w:jc w:val="left"/>
              <w:rPr>
                <w:rFonts w:hint="eastAsia" w:ascii="宋体" w:hAnsi="宋体" w:eastAsia="宋体" w:cs="宋体"/>
                <w:bCs/>
                <w:color w:val="auto"/>
                <w:kern w:val="0"/>
                <w:szCs w:val="21"/>
              </w:rPr>
            </w:pPr>
            <w:r>
              <w:rPr>
                <w:rFonts w:hint="eastAsia" w:ascii="宋体" w:hAnsi="宋体" w:eastAsia="宋体" w:cs="宋体"/>
                <w:bCs/>
                <w:color w:val="auto"/>
                <w:kern w:val="0"/>
                <w:szCs w:val="21"/>
              </w:rPr>
              <w:t>政府采购信用担保</w:t>
            </w:r>
          </w:p>
        </w:tc>
        <w:tc>
          <w:tcPr>
            <w:tcW w:w="5492" w:type="dxa"/>
            <w:gridSpan w:val="2"/>
            <w:vAlign w:val="center"/>
          </w:tcPr>
          <w:p w14:paraId="38D05104">
            <w:pPr>
              <w:spacing w:line="340" w:lineRule="exact"/>
              <w:rPr>
                <w:rFonts w:hint="eastAsia" w:ascii="宋体" w:hAnsi="宋体" w:eastAsia="宋体" w:cs="宋体"/>
                <w:color w:val="auto"/>
                <w:szCs w:val="21"/>
              </w:rPr>
            </w:pPr>
            <w:r>
              <w:rPr>
                <w:rFonts w:hint="eastAsia" w:ascii="宋体" w:hAnsi="宋体" w:eastAsia="宋体" w:cs="宋体"/>
                <w:color w:val="auto"/>
                <w:szCs w:val="21"/>
              </w:rPr>
              <w:t>有保证金担保、履约担保需求的，可登陆中国政府采购网查询。</w:t>
            </w:r>
          </w:p>
        </w:tc>
      </w:tr>
      <w:tr w14:paraId="7CA24D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93" w:hRule="atLeast"/>
        </w:trPr>
        <w:tc>
          <w:tcPr>
            <w:tcW w:w="1919" w:type="dxa"/>
            <w:vMerge w:val="continue"/>
            <w:vAlign w:val="center"/>
          </w:tcPr>
          <w:p w14:paraId="7B8ED96B">
            <w:pPr>
              <w:spacing w:line="340" w:lineRule="exact"/>
              <w:jc w:val="center"/>
              <w:rPr>
                <w:rFonts w:hint="eastAsia" w:ascii="宋体" w:hAnsi="宋体" w:eastAsia="宋体" w:cs="宋体"/>
                <w:color w:val="auto"/>
                <w:szCs w:val="21"/>
              </w:rPr>
            </w:pPr>
          </w:p>
        </w:tc>
        <w:tc>
          <w:tcPr>
            <w:tcW w:w="1848" w:type="dxa"/>
            <w:vAlign w:val="center"/>
          </w:tcPr>
          <w:p w14:paraId="1791A31D">
            <w:pPr>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法律、法规、规章和省级以上财政部门规定的其他内容</w:t>
            </w:r>
          </w:p>
        </w:tc>
        <w:tc>
          <w:tcPr>
            <w:tcW w:w="5492" w:type="dxa"/>
            <w:gridSpan w:val="2"/>
            <w:vAlign w:val="center"/>
          </w:tcPr>
          <w:p w14:paraId="38F9F87E">
            <w:pPr>
              <w:spacing w:line="340" w:lineRule="exact"/>
              <w:rPr>
                <w:rFonts w:hint="eastAsia" w:ascii="宋体" w:hAnsi="宋体" w:eastAsia="宋体" w:cs="宋体"/>
                <w:color w:val="auto"/>
                <w:szCs w:val="21"/>
              </w:rPr>
            </w:pPr>
            <w:r>
              <w:rPr>
                <w:rFonts w:hint="eastAsia" w:ascii="宋体" w:hAnsi="宋体" w:eastAsia="宋体" w:cs="宋体"/>
                <w:color w:val="auto"/>
                <w:szCs w:val="21"/>
              </w:rPr>
              <w:t>请在财政部门指定媒体上查阅相关信息并及时填写。</w:t>
            </w:r>
          </w:p>
        </w:tc>
      </w:tr>
      <w:tr w14:paraId="14EC57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6" w:hRule="atLeast"/>
        </w:trPr>
        <w:tc>
          <w:tcPr>
            <w:tcW w:w="1919" w:type="dxa"/>
            <w:vAlign w:val="center"/>
          </w:tcPr>
          <w:p w14:paraId="73CFBC73">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第二章第41</w:t>
            </w:r>
            <w:r>
              <w:rPr>
                <w:rFonts w:hint="eastAsia" w:ascii="宋体" w:hAnsi="宋体" w:eastAsia="宋体" w:cs="宋体"/>
                <w:color w:val="auto"/>
                <w:kern w:val="0"/>
                <w:szCs w:val="21"/>
                <w:lang w:val="zh-CN"/>
              </w:rPr>
              <w:t>款</w:t>
            </w:r>
          </w:p>
        </w:tc>
        <w:tc>
          <w:tcPr>
            <w:tcW w:w="1848" w:type="dxa"/>
            <w:vAlign w:val="center"/>
          </w:tcPr>
          <w:p w14:paraId="72ECDBCF">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其他规定</w:t>
            </w:r>
          </w:p>
        </w:tc>
        <w:tc>
          <w:tcPr>
            <w:tcW w:w="5492" w:type="dxa"/>
            <w:gridSpan w:val="2"/>
            <w:vAlign w:val="center"/>
          </w:tcPr>
          <w:p w14:paraId="728E426A">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无。</w:t>
            </w:r>
          </w:p>
        </w:tc>
      </w:tr>
      <w:tr w14:paraId="14153F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9259" w:type="dxa"/>
            <w:gridSpan w:val="4"/>
            <w:vAlign w:val="center"/>
          </w:tcPr>
          <w:p w14:paraId="64A3DC66">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b/>
                <w:bCs/>
                <w:color w:val="auto"/>
                <w:szCs w:val="21"/>
              </w:rPr>
              <w:t>第三章  评审方法及标准</w:t>
            </w:r>
            <w:r>
              <w:rPr>
                <w:rFonts w:hint="eastAsia" w:ascii="宋体" w:hAnsi="宋体" w:eastAsia="宋体" w:cs="宋体"/>
                <w:b/>
                <w:color w:val="auto"/>
                <w:szCs w:val="21"/>
              </w:rPr>
              <w:t>（前附表）</w:t>
            </w:r>
          </w:p>
        </w:tc>
      </w:tr>
      <w:tr w14:paraId="6C424E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1919" w:type="dxa"/>
            <w:vAlign w:val="center"/>
          </w:tcPr>
          <w:p w14:paraId="15029013">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第三章第2.2</w:t>
            </w:r>
            <w:r>
              <w:rPr>
                <w:rFonts w:hint="eastAsia" w:ascii="宋体" w:hAnsi="宋体" w:eastAsia="宋体" w:cs="宋体"/>
                <w:color w:val="auto"/>
                <w:kern w:val="0"/>
                <w:szCs w:val="21"/>
                <w:lang w:val="zh-CN"/>
              </w:rPr>
              <w:t>款</w:t>
            </w:r>
          </w:p>
        </w:tc>
        <w:tc>
          <w:tcPr>
            <w:tcW w:w="1848" w:type="dxa"/>
            <w:vAlign w:val="center"/>
          </w:tcPr>
          <w:p w14:paraId="56B61C62">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评审因素和标准</w:t>
            </w:r>
          </w:p>
        </w:tc>
        <w:tc>
          <w:tcPr>
            <w:tcW w:w="5492" w:type="dxa"/>
            <w:gridSpan w:val="2"/>
            <w:vAlign w:val="center"/>
          </w:tcPr>
          <w:p w14:paraId="44F99483">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(提示：评审标因素“技术”项涉及政府采购政策优惠，为便于计算，应与其他评审因素分列)</w:t>
            </w:r>
          </w:p>
        </w:tc>
      </w:tr>
      <w:tr w14:paraId="3B64F2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919" w:type="dxa"/>
            <w:vMerge w:val="restart"/>
            <w:vAlign w:val="center"/>
          </w:tcPr>
          <w:p w14:paraId="2213E0F4">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第三章第2.3</w:t>
            </w:r>
            <w:r>
              <w:rPr>
                <w:rFonts w:hint="eastAsia" w:ascii="宋体" w:hAnsi="宋体" w:eastAsia="宋体" w:cs="宋体"/>
                <w:color w:val="auto"/>
                <w:kern w:val="0"/>
                <w:szCs w:val="21"/>
                <w:lang w:val="zh-CN"/>
              </w:rPr>
              <w:t>款</w:t>
            </w:r>
          </w:p>
        </w:tc>
        <w:tc>
          <w:tcPr>
            <w:tcW w:w="1848" w:type="dxa"/>
            <w:vMerge w:val="restart"/>
            <w:vAlign w:val="center"/>
          </w:tcPr>
          <w:p w14:paraId="0F50901A">
            <w:pPr>
              <w:adjustRightInd w:val="0"/>
              <w:snapToGrid w:val="0"/>
              <w:spacing w:line="340" w:lineRule="exact"/>
              <w:jc w:val="left"/>
              <w:rPr>
                <w:rFonts w:hint="eastAsia" w:ascii="宋体" w:hAnsi="宋体" w:eastAsia="宋体" w:cs="宋体"/>
                <w:color w:val="auto"/>
                <w:szCs w:val="21"/>
              </w:rPr>
            </w:pPr>
            <w:r>
              <w:rPr>
                <w:rFonts w:hint="eastAsia" w:ascii="宋体" w:hAnsi="宋体" w:eastAsia="宋体" w:cs="宋体"/>
                <w:color w:val="auto"/>
                <w:szCs w:val="21"/>
              </w:rPr>
              <w:t>权值</w:t>
            </w:r>
          </w:p>
        </w:tc>
        <w:tc>
          <w:tcPr>
            <w:tcW w:w="3115" w:type="dxa"/>
            <w:tcBorders>
              <w:bottom w:val="single" w:color="auto" w:sz="4" w:space="0"/>
              <w:right w:val="single" w:color="auto" w:sz="4" w:space="0"/>
            </w:tcBorders>
            <w:vAlign w:val="center"/>
          </w:tcPr>
          <w:p w14:paraId="3EC4FE5E">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评审因素</w:t>
            </w:r>
          </w:p>
        </w:tc>
        <w:tc>
          <w:tcPr>
            <w:tcW w:w="2377" w:type="dxa"/>
            <w:tcBorders>
              <w:left w:val="single" w:color="auto" w:sz="4" w:space="0"/>
              <w:bottom w:val="single" w:color="auto" w:sz="4" w:space="0"/>
            </w:tcBorders>
            <w:vAlign w:val="center"/>
          </w:tcPr>
          <w:p w14:paraId="2463FE25">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权值</w:t>
            </w:r>
          </w:p>
        </w:tc>
      </w:tr>
      <w:tr w14:paraId="602643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919" w:type="dxa"/>
            <w:vMerge w:val="continue"/>
            <w:vAlign w:val="center"/>
          </w:tcPr>
          <w:p w14:paraId="66F855C3">
            <w:pPr>
              <w:adjustRightInd w:val="0"/>
              <w:snapToGrid w:val="0"/>
              <w:spacing w:line="340" w:lineRule="exact"/>
              <w:jc w:val="center"/>
              <w:rPr>
                <w:rFonts w:hint="eastAsia" w:ascii="宋体" w:hAnsi="宋体" w:eastAsia="宋体" w:cs="宋体"/>
                <w:color w:val="auto"/>
                <w:szCs w:val="21"/>
              </w:rPr>
            </w:pPr>
          </w:p>
        </w:tc>
        <w:tc>
          <w:tcPr>
            <w:tcW w:w="1848" w:type="dxa"/>
            <w:vMerge w:val="continue"/>
            <w:vAlign w:val="center"/>
          </w:tcPr>
          <w:p w14:paraId="6515254A">
            <w:pPr>
              <w:adjustRightInd w:val="0"/>
              <w:snapToGrid w:val="0"/>
              <w:spacing w:line="340" w:lineRule="exact"/>
              <w:jc w:val="center"/>
              <w:rPr>
                <w:rFonts w:hint="eastAsia" w:ascii="宋体" w:hAnsi="宋体" w:eastAsia="宋体" w:cs="宋体"/>
                <w:color w:val="auto"/>
                <w:szCs w:val="21"/>
              </w:rPr>
            </w:pPr>
          </w:p>
        </w:tc>
        <w:tc>
          <w:tcPr>
            <w:tcW w:w="3115" w:type="dxa"/>
            <w:tcBorders>
              <w:bottom w:val="single" w:color="auto" w:sz="4" w:space="0"/>
              <w:right w:val="single" w:color="auto" w:sz="4" w:space="0"/>
            </w:tcBorders>
            <w:vAlign w:val="center"/>
          </w:tcPr>
          <w:p w14:paraId="4A6FD13D">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lang w:val="zh-CN"/>
              </w:rPr>
              <w:t>报  价</w:t>
            </w:r>
          </w:p>
        </w:tc>
        <w:tc>
          <w:tcPr>
            <w:tcW w:w="2377" w:type="dxa"/>
            <w:vMerge w:val="restart"/>
            <w:tcBorders>
              <w:left w:val="single" w:color="auto" w:sz="4" w:space="0"/>
            </w:tcBorders>
            <w:vAlign w:val="center"/>
          </w:tcPr>
          <w:p w14:paraId="25A62AE3">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详见评分细则</w:t>
            </w:r>
          </w:p>
        </w:tc>
      </w:tr>
      <w:tr w14:paraId="48BAC4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919" w:type="dxa"/>
            <w:vMerge w:val="continue"/>
            <w:vAlign w:val="center"/>
          </w:tcPr>
          <w:p w14:paraId="299F3799">
            <w:pPr>
              <w:adjustRightInd w:val="0"/>
              <w:snapToGrid w:val="0"/>
              <w:spacing w:line="340" w:lineRule="exact"/>
              <w:jc w:val="center"/>
              <w:rPr>
                <w:rFonts w:hint="eastAsia" w:ascii="宋体" w:hAnsi="宋体" w:eastAsia="宋体" w:cs="宋体"/>
                <w:color w:val="auto"/>
                <w:szCs w:val="21"/>
              </w:rPr>
            </w:pPr>
          </w:p>
        </w:tc>
        <w:tc>
          <w:tcPr>
            <w:tcW w:w="1848" w:type="dxa"/>
            <w:vMerge w:val="continue"/>
            <w:vAlign w:val="center"/>
          </w:tcPr>
          <w:p w14:paraId="1EDF2F53">
            <w:pPr>
              <w:adjustRightInd w:val="0"/>
              <w:snapToGrid w:val="0"/>
              <w:spacing w:line="340" w:lineRule="exact"/>
              <w:jc w:val="center"/>
              <w:rPr>
                <w:rFonts w:hint="eastAsia" w:ascii="宋体" w:hAnsi="宋体" w:eastAsia="宋体" w:cs="宋体"/>
                <w:color w:val="auto"/>
                <w:szCs w:val="21"/>
              </w:rPr>
            </w:pPr>
          </w:p>
        </w:tc>
        <w:tc>
          <w:tcPr>
            <w:tcW w:w="3115" w:type="dxa"/>
            <w:tcBorders>
              <w:top w:val="single" w:color="auto" w:sz="4" w:space="0"/>
              <w:bottom w:val="single" w:color="auto" w:sz="4" w:space="0"/>
              <w:right w:val="single" w:color="auto" w:sz="4" w:space="0"/>
            </w:tcBorders>
            <w:vAlign w:val="center"/>
          </w:tcPr>
          <w:p w14:paraId="6CD9F021">
            <w:pPr>
              <w:spacing w:line="340" w:lineRule="exact"/>
              <w:jc w:val="center"/>
              <w:rPr>
                <w:rFonts w:hint="eastAsia" w:ascii="宋体" w:hAnsi="宋体" w:eastAsia="宋体" w:cs="宋体"/>
                <w:color w:val="auto"/>
                <w:szCs w:val="21"/>
              </w:rPr>
            </w:pPr>
            <w:r>
              <w:rPr>
                <w:rFonts w:hint="eastAsia" w:ascii="宋体" w:hAnsi="宋体" w:eastAsia="宋体" w:cs="宋体"/>
                <w:color w:val="auto"/>
                <w:szCs w:val="21"/>
                <w:lang w:val="zh-CN"/>
              </w:rPr>
              <w:t>技  术</w:t>
            </w:r>
          </w:p>
        </w:tc>
        <w:tc>
          <w:tcPr>
            <w:tcW w:w="2377" w:type="dxa"/>
            <w:vMerge w:val="continue"/>
            <w:tcBorders>
              <w:left w:val="single" w:color="auto" w:sz="4" w:space="0"/>
            </w:tcBorders>
            <w:vAlign w:val="center"/>
          </w:tcPr>
          <w:p w14:paraId="7DC525C4">
            <w:pPr>
              <w:adjustRightInd w:val="0"/>
              <w:snapToGrid w:val="0"/>
              <w:spacing w:line="340" w:lineRule="exact"/>
              <w:jc w:val="center"/>
              <w:rPr>
                <w:rFonts w:hint="eastAsia" w:ascii="宋体" w:hAnsi="宋体" w:eastAsia="宋体" w:cs="宋体"/>
                <w:color w:val="auto"/>
                <w:szCs w:val="21"/>
              </w:rPr>
            </w:pPr>
          </w:p>
        </w:tc>
      </w:tr>
      <w:tr w14:paraId="15C15B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919" w:type="dxa"/>
            <w:vMerge w:val="continue"/>
            <w:vAlign w:val="center"/>
          </w:tcPr>
          <w:p w14:paraId="310D037B">
            <w:pPr>
              <w:adjustRightInd w:val="0"/>
              <w:snapToGrid w:val="0"/>
              <w:spacing w:line="340" w:lineRule="exact"/>
              <w:jc w:val="center"/>
              <w:rPr>
                <w:rFonts w:hint="eastAsia" w:ascii="宋体" w:hAnsi="宋体" w:eastAsia="宋体" w:cs="宋体"/>
                <w:color w:val="auto"/>
                <w:szCs w:val="21"/>
              </w:rPr>
            </w:pPr>
          </w:p>
        </w:tc>
        <w:tc>
          <w:tcPr>
            <w:tcW w:w="1848" w:type="dxa"/>
            <w:vMerge w:val="continue"/>
            <w:vAlign w:val="center"/>
          </w:tcPr>
          <w:p w14:paraId="0CD224B3">
            <w:pPr>
              <w:adjustRightInd w:val="0"/>
              <w:snapToGrid w:val="0"/>
              <w:spacing w:line="340" w:lineRule="exact"/>
              <w:jc w:val="center"/>
              <w:rPr>
                <w:rFonts w:hint="eastAsia" w:ascii="宋体" w:hAnsi="宋体" w:eastAsia="宋体" w:cs="宋体"/>
                <w:color w:val="auto"/>
                <w:szCs w:val="21"/>
              </w:rPr>
            </w:pPr>
          </w:p>
        </w:tc>
        <w:tc>
          <w:tcPr>
            <w:tcW w:w="3115" w:type="dxa"/>
            <w:tcBorders>
              <w:top w:val="single" w:color="auto" w:sz="4" w:space="0"/>
              <w:right w:val="single" w:color="auto" w:sz="4" w:space="0"/>
            </w:tcBorders>
            <w:vAlign w:val="center"/>
          </w:tcPr>
          <w:p w14:paraId="66798E44">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lang w:val="zh-CN"/>
              </w:rPr>
              <w:t>商  务</w:t>
            </w:r>
          </w:p>
        </w:tc>
        <w:tc>
          <w:tcPr>
            <w:tcW w:w="2377" w:type="dxa"/>
            <w:vMerge w:val="continue"/>
            <w:tcBorders>
              <w:left w:val="single" w:color="auto" w:sz="4" w:space="0"/>
            </w:tcBorders>
            <w:vAlign w:val="center"/>
          </w:tcPr>
          <w:p w14:paraId="6AC05251">
            <w:pPr>
              <w:adjustRightInd w:val="0"/>
              <w:snapToGrid w:val="0"/>
              <w:spacing w:line="340" w:lineRule="exact"/>
              <w:jc w:val="center"/>
              <w:rPr>
                <w:rFonts w:hint="eastAsia" w:ascii="宋体" w:hAnsi="宋体" w:eastAsia="宋体" w:cs="宋体"/>
                <w:color w:val="auto"/>
                <w:szCs w:val="21"/>
              </w:rPr>
            </w:pPr>
          </w:p>
        </w:tc>
      </w:tr>
      <w:tr w14:paraId="61E1FC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3A00FA16">
            <w:pPr>
              <w:adjustRightInd w:val="0"/>
              <w:snapToGrid w:val="0"/>
              <w:spacing w:line="340" w:lineRule="exact"/>
              <w:jc w:val="center"/>
              <w:rPr>
                <w:rFonts w:hint="eastAsia" w:ascii="宋体" w:hAnsi="宋体" w:eastAsia="宋体" w:cs="宋体"/>
                <w:bCs/>
                <w:color w:val="auto"/>
                <w:szCs w:val="21"/>
              </w:rPr>
            </w:pPr>
            <w:r>
              <w:rPr>
                <w:rFonts w:hint="eastAsia" w:ascii="宋体" w:hAnsi="宋体" w:eastAsia="宋体" w:cs="宋体"/>
                <w:color w:val="auto"/>
                <w:szCs w:val="21"/>
              </w:rPr>
              <w:t>第三章第4.2</w:t>
            </w:r>
            <w:r>
              <w:rPr>
                <w:rFonts w:hint="eastAsia" w:ascii="宋体" w:hAnsi="宋体" w:eastAsia="宋体" w:cs="宋体"/>
                <w:color w:val="auto"/>
                <w:kern w:val="0"/>
                <w:szCs w:val="21"/>
                <w:lang w:val="zh-CN"/>
              </w:rPr>
              <w:t>款</w:t>
            </w:r>
          </w:p>
        </w:tc>
        <w:tc>
          <w:tcPr>
            <w:tcW w:w="1848" w:type="dxa"/>
            <w:vAlign w:val="center"/>
          </w:tcPr>
          <w:p w14:paraId="61C779F6">
            <w:pPr>
              <w:adjustRightInd w:val="0"/>
              <w:snapToGrid w:val="0"/>
              <w:spacing w:line="340" w:lineRule="exact"/>
              <w:jc w:val="left"/>
              <w:rPr>
                <w:rFonts w:hint="eastAsia" w:ascii="宋体" w:hAnsi="宋体" w:eastAsia="宋体" w:cs="宋体"/>
                <w:bCs/>
                <w:color w:val="auto"/>
                <w:szCs w:val="21"/>
              </w:rPr>
            </w:pPr>
            <w:r>
              <w:rPr>
                <w:rFonts w:hint="eastAsia" w:ascii="宋体" w:hAnsi="宋体" w:eastAsia="宋体" w:cs="宋体"/>
                <w:color w:val="auto"/>
                <w:szCs w:val="21"/>
              </w:rPr>
              <w:t>推荐的成交候选人数量</w:t>
            </w:r>
          </w:p>
        </w:tc>
        <w:tc>
          <w:tcPr>
            <w:tcW w:w="5492" w:type="dxa"/>
            <w:gridSpan w:val="2"/>
            <w:vAlign w:val="center"/>
          </w:tcPr>
          <w:p w14:paraId="2AB7CB2C">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3家。</w:t>
            </w:r>
          </w:p>
        </w:tc>
      </w:tr>
      <w:tr w14:paraId="0D1563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9259" w:type="dxa"/>
            <w:gridSpan w:val="4"/>
            <w:vAlign w:val="center"/>
          </w:tcPr>
          <w:p w14:paraId="6EB9F680">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b/>
                <w:color w:val="auto"/>
                <w:szCs w:val="21"/>
              </w:rPr>
              <w:t>六、成交结果信息公布与供应商质疑</w:t>
            </w:r>
          </w:p>
        </w:tc>
      </w:tr>
      <w:tr w14:paraId="09811D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1919" w:type="dxa"/>
            <w:vAlign w:val="center"/>
          </w:tcPr>
          <w:p w14:paraId="06119AE6">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第二章第36.1款</w:t>
            </w:r>
          </w:p>
        </w:tc>
        <w:tc>
          <w:tcPr>
            <w:tcW w:w="1848" w:type="dxa"/>
            <w:vAlign w:val="center"/>
          </w:tcPr>
          <w:p w14:paraId="35793073">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财政部门指定的媒体</w:t>
            </w:r>
          </w:p>
        </w:tc>
        <w:tc>
          <w:tcPr>
            <w:tcW w:w="5492" w:type="dxa"/>
            <w:gridSpan w:val="2"/>
            <w:vAlign w:val="center"/>
          </w:tcPr>
          <w:p w14:paraId="50337C60">
            <w:pPr>
              <w:adjustRightInd w:val="0"/>
              <w:snapToGrid w:val="0"/>
              <w:spacing w:line="340" w:lineRule="exact"/>
              <w:jc w:val="left"/>
              <w:rPr>
                <w:rFonts w:hint="eastAsia" w:ascii="宋体" w:hAnsi="宋体" w:eastAsia="宋体" w:cs="宋体"/>
                <w:color w:val="auto"/>
                <w:szCs w:val="21"/>
                <w:u w:val="single"/>
              </w:rPr>
            </w:pPr>
            <w:r>
              <w:rPr>
                <w:rFonts w:hint="eastAsia" w:ascii="宋体" w:hAnsi="宋体" w:eastAsia="宋体" w:cs="宋体"/>
                <w:color w:val="auto"/>
                <w:szCs w:val="21"/>
              </w:rPr>
              <w:t>湖南政府采购网(http://www.ccgp-hunan.gov.cn)。</w:t>
            </w:r>
          </w:p>
        </w:tc>
      </w:tr>
      <w:tr w14:paraId="66A850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8" w:hRule="atLeast"/>
        </w:trPr>
        <w:tc>
          <w:tcPr>
            <w:tcW w:w="1919" w:type="dxa"/>
            <w:vAlign w:val="center"/>
          </w:tcPr>
          <w:p w14:paraId="588D4334">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第二章第38.3款</w:t>
            </w:r>
          </w:p>
        </w:tc>
        <w:tc>
          <w:tcPr>
            <w:tcW w:w="1848" w:type="dxa"/>
            <w:vAlign w:val="center"/>
          </w:tcPr>
          <w:p w14:paraId="55B2CD90">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履约担保</w:t>
            </w:r>
          </w:p>
        </w:tc>
        <w:tc>
          <w:tcPr>
            <w:tcW w:w="5492" w:type="dxa"/>
            <w:gridSpan w:val="2"/>
            <w:vAlign w:val="center"/>
          </w:tcPr>
          <w:p w14:paraId="352A2C7C">
            <w:pPr>
              <w:adjustRightInd w:val="0"/>
              <w:snapToGrid w:val="0"/>
              <w:spacing w:line="340" w:lineRule="exact"/>
              <w:rPr>
                <w:rFonts w:hint="eastAsia" w:ascii="宋体" w:hAnsi="宋体" w:eastAsia="宋体" w:cs="宋体"/>
                <w:b/>
                <w:bCs/>
                <w:color w:val="auto"/>
                <w:szCs w:val="21"/>
              </w:rPr>
            </w:pPr>
            <w:r>
              <w:rPr>
                <w:rFonts w:hint="eastAsia" w:ascii="宋体" w:hAnsi="宋体" w:eastAsia="宋体" w:cs="宋体"/>
                <w:b/>
                <w:bCs/>
                <w:snapToGrid w:val="0"/>
                <w:color w:val="auto"/>
                <w:kern w:val="0"/>
                <w:sz w:val="18"/>
                <w:szCs w:val="18"/>
                <w:bdr w:val="single" w:color="auto" w:sz="4" w:space="0"/>
              </w:rPr>
              <w:t>√</w:t>
            </w:r>
            <w:r>
              <w:rPr>
                <w:rFonts w:hint="eastAsia" w:ascii="宋体" w:hAnsi="宋体" w:eastAsia="宋体" w:cs="宋体"/>
                <w:b/>
                <w:bCs/>
                <w:color w:val="auto"/>
                <w:szCs w:val="21"/>
              </w:rPr>
              <w:t>不要求提供。</w:t>
            </w:r>
          </w:p>
          <w:p w14:paraId="1B875470">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 要求提供，履约担保的金额为：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tc>
      </w:tr>
      <w:tr w14:paraId="5DE4A5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trPr>
        <w:tc>
          <w:tcPr>
            <w:tcW w:w="1919" w:type="dxa"/>
            <w:vAlign w:val="center"/>
          </w:tcPr>
          <w:p w14:paraId="03EDF388">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第四章第4款</w:t>
            </w:r>
          </w:p>
        </w:tc>
        <w:tc>
          <w:tcPr>
            <w:tcW w:w="1848" w:type="dxa"/>
            <w:vAlign w:val="center"/>
          </w:tcPr>
          <w:p w14:paraId="13AF9A76">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付款方式</w:t>
            </w:r>
          </w:p>
        </w:tc>
        <w:tc>
          <w:tcPr>
            <w:tcW w:w="5492" w:type="dxa"/>
            <w:gridSpan w:val="2"/>
            <w:vAlign w:val="center"/>
          </w:tcPr>
          <w:p w14:paraId="3EDE2722">
            <w:pPr>
              <w:spacing w:line="340" w:lineRule="exact"/>
              <w:rPr>
                <w:rFonts w:hint="eastAsia" w:ascii="宋体" w:hAnsi="宋体" w:eastAsia="宋体" w:cs="宋体"/>
                <w:color w:val="auto"/>
                <w:kern w:val="0"/>
                <w:szCs w:val="21"/>
              </w:rPr>
            </w:pPr>
            <w:r>
              <w:rPr>
                <w:rFonts w:hint="eastAsia" w:ascii="宋体" w:hAnsi="宋体" w:eastAsia="宋体" w:cs="宋体"/>
                <w:color w:val="auto"/>
                <w:kern w:val="0"/>
                <w:szCs w:val="21"/>
              </w:rPr>
              <w:t>1、按合同签订的方式支付。</w:t>
            </w:r>
          </w:p>
          <w:p w14:paraId="0941DF6A">
            <w:pPr>
              <w:spacing w:line="340" w:lineRule="exact"/>
              <w:rPr>
                <w:rFonts w:hint="eastAsia" w:ascii="宋体" w:hAnsi="宋体" w:eastAsia="宋体" w:cs="宋体"/>
                <w:color w:val="auto"/>
                <w:szCs w:val="21"/>
              </w:rPr>
            </w:pPr>
            <w:r>
              <w:rPr>
                <w:rFonts w:hint="eastAsia" w:ascii="宋体" w:hAnsi="宋体" w:eastAsia="宋体" w:cs="宋体"/>
                <w:color w:val="auto"/>
                <w:kern w:val="0"/>
                <w:szCs w:val="21"/>
              </w:rPr>
              <w:t>2、付款时成交单位须开具合法税务发票办理付款手续。</w:t>
            </w:r>
          </w:p>
        </w:tc>
      </w:tr>
      <w:tr w14:paraId="5FF81A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5" w:hRule="atLeast"/>
        </w:trPr>
        <w:tc>
          <w:tcPr>
            <w:tcW w:w="1919" w:type="dxa"/>
            <w:vAlign w:val="center"/>
          </w:tcPr>
          <w:p w14:paraId="79606EA8">
            <w:pPr>
              <w:adjustRightInd w:val="0"/>
              <w:snapToGrid w:val="0"/>
              <w:spacing w:line="340" w:lineRule="exact"/>
              <w:jc w:val="center"/>
              <w:rPr>
                <w:rFonts w:hint="eastAsia" w:ascii="宋体" w:hAnsi="宋体" w:eastAsia="宋体" w:cs="宋体"/>
                <w:color w:val="auto"/>
                <w:szCs w:val="21"/>
              </w:rPr>
            </w:pPr>
            <w:r>
              <w:rPr>
                <w:rFonts w:hint="eastAsia" w:ascii="宋体" w:hAnsi="宋体" w:eastAsia="宋体" w:cs="宋体"/>
                <w:color w:val="auto"/>
                <w:szCs w:val="21"/>
              </w:rPr>
              <w:t>第二章第41.1款</w:t>
            </w:r>
          </w:p>
        </w:tc>
        <w:tc>
          <w:tcPr>
            <w:tcW w:w="1848" w:type="dxa"/>
            <w:vAlign w:val="center"/>
          </w:tcPr>
          <w:p w14:paraId="1E5E131B">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其他规定</w:t>
            </w:r>
          </w:p>
        </w:tc>
        <w:tc>
          <w:tcPr>
            <w:tcW w:w="5492" w:type="dxa"/>
            <w:gridSpan w:val="2"/>
            <w:vAlign w:val="center"/>
          </w:tcPr>
          <w:p w14:paraId="0F1F19FF">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1、采购人或采购代理机构在对供应商进行资格审查时，还应对供应商信用记录进行甄别，对列入失信被执行人、重大税收违法失信主体名单 、政府采购严重违法失信行为记录名单的供应商，应拒绝其参与政府采购活动。</w:t>
            </w:r>
          </w:p>
          <w:p w14:paraId="7742D4C2">
            <w:pPr>
              <w:pStyle w:val="21"/>
              <w:spacing w:line="340" w:lineRule="exact"/>
              <w:ind w:left="0" w:leftChars="0"/>
              <w:rPr>
                <w:rFonts w:hint="eastAsia" w:ascii="宋体" w:hAnsi="宋体" w:eastAsia="宋体" w:cs="宋体"/>
                <w:color w:val="auto"/>
                <w:szCs w:val="21"/>
              </w:rPr>
            </w:pPr>
            <w:r>
              <w:rPr>
                <w:rFonts w:hint="eastAsia" w:ascii="宋体" w:hAnsi="宋体" w:eastAsia="宋体" w:cs="宋体"/>
                <w:color w:val="auto"/>
                <w:szCs w:val="21"/>
              </w:rPr>
              <w:t>2、信用信息查询的截止时点：至本项目投标截止时间止。</w:t>
            </w:r>
          </w:p>
          <w:p w14:paraId="6F0B29C9">
            <w:pPr>
              <w:pStyle w:val="21"/>
              <w:spacing w:line="340" w:lineRule="exact"/>
              <w:ind w:left="0" w:leftChars="0"/>
              <w:rPr>
                <w:rFonts w:hint="eastAsia" w:ascii="宋体" w:hAnsi="宋体" w:eastAsia="宋体" w:cs="宋体"/>
                <w:color w:val="auto"/>
                <w:szCs w:val="21"/>
              </w:rPr>
            </w:pPr>
            <w:r>
              <w:rPr>
                <w:rFonts w:hint="eastAsia" w:ascii="宋体" w:hAnsi="宋体" w:eastAsia="宋体" w:cs="宋体"/>
                <w:color w:val="auto"/>
                <w:szCs w:val="21"/>
              </w:rPr>
              <w:t>3、信用信息查询记录的具体方式：采购人或采购代理机构在开标后在规定的查询渠道进行查询。</w:t>
            </w:r>
          </w:p>
          <w:p w14:paraId="15F34C66">
            <w:pPr>
              <w:pStyle w:val="21"/>
              <w:spacing w:line="340" w:lineRule="exact"/>
              <w:ind w:left="0" w:leftChars="0"/>
              <w:rPr>
                <w:rFonts w:hint="eastAsia" w:ascii="宋体" w:hAnsi="宋体" w:eastAsia="宋体" w:cs="宋体"/>
                <w:color w:val="auto"/>
                <w:szCs w:val="21"/>
              </w:rPr>
            </w:pPr>
            <w:r>
              <w:rPr>
                <w:rFonts w:hint="eastAsia" w:ascii="宋体" w:hAnsi="宋体" w:eastAsia="宋体" w:cs="宋体"/>
                <w:color w:val="auto"/>
                <w:szCs w:val="21"/>
              </w:rPr>
              <w:t>4、信用信息查询记录证据留存的具体方式：查询记录的网上打印件。</w:t>
            </w:r>
          </w:p>
          <w:p w14:paraId="3DC304E4">
            <w:pPr>
              <w:adjustRightInd w:val="0"/>
              <w:snapToGrid w:val="0"/>
              <w:spacing w:line="340" w:lineRule="exact"/>
              <w:rPr>
                <w:rFonts w:hint="eastAsia" w:ascii="宋体" w:hAnsi="宋体" w:eastAsia="宋体" w:cs="宋体"/>
                <w:color w:val="auto"/>
                <w:szCs w:val="21"/>
              </w:rPr>
            </w:pPr>
            <w:r>
              <w:rPr>
                <w:rFonts w:hint="eastAsia" w:ascii="宋体" w:hAnsi="宋体" w:eastAsia="宋体" w:cs="宋体"/>
                <w:color w:val="auto"/>
                <w:szCs w:val="21"/>
              </w:rPr>
              <w:t>5、</w:t>
            </w:r>
            <w:r>
              <w:rPr>
                <w:rFonts w:hint="eastAsia" w:ascii="宋体" w:hAnsi="宋体" w:eastAsia="宋体" w:cs="宋体"/>
                <w:b/>
                <w:bCs/>
                <w:color w:val="auto"/>
                <w:szCs w:val="21"/>
              </w:rPr>
              <w:t>参加磋商的供应商在提交响应文件时应同时提交以下资料（单独提交）：</w:t>
            </w:r>
          </w:p>
          <w:p w14:paraId="7856CFC2">
            <w:pPr>
              <w:pStyle w:val="59"/>
              <w:numPr>
                <w:ilvl w:val="0"/>
                <w:numId w:val="1"/>
              </w:numPr>
              <w:adjustRightInd w:val="0"/>
              <w:snapToGrid w:val="0"/>
              <w:spacing w:line="340" w:lineRule="exact"/>
              <w:ind w:left="0" w:firstLineChars="0"/>
              <w:rPr>
                <w:rFonts w:hint="eastAsia" w:ascii="宋体" w:hAnsi="宋体" w:eastAsia="宋体" w:cs="宋体"/>
                <w:color w:val="auto"/>
                <w:szCs w:val="21"/>
              </w:rPr>
            </w:pPr>
            <w:r>
              <w:rPr>
                <w:rFonts w:hint="eastAsia" w:ascii="宋体" w:hAnsi="宋体" w:eastAsia="宋体" w:cs="宋体"/>
                <w:color w:val="auto"/>
                <w:szCs w:val="21"/>
              </w:rPr>
              <w:t>1）法定代表人身份证明或附法定代表人身份证明的法定代表人授权书原件；</w:t>
            </w:r>
          </w:p>
          <w:p w14:paraId="089B5E56">
            <w:pPr>
              <w:pStyle w:val="59"/>
              <w:numPr>
                <w:ilvl w:val="0"/>
                <w:numId w:val="1"/>
              </w:numPr>
              <w:adjustRightInd w:val="0"/>
              <w:snapToGrid w:val="0"/>
              <w:spacing w:line="340" w:lineRule="exact"/>
              <w:ind w:left="0" w:firstLineChars="0"/>
              <w:rPr>
                <w:rFonts w:hint="eastAsia" w:ascii="宋体" w:hAnsi="宋体" w:eastAsia="宋体" w:cs="宋体"/>
                <w:color w:val="auto"/>
                <w:szCs w:val="21"/>
              </w:rPr>
            </w:pPr>
            <w:r>
              <w:rPr>
                <w:rFonts w:hint="eastAsia" w:ascii="宋体" w:hAnsi="宋体" w:eastAsia="宋体" w:cs="宋体"/>
                <w:color w:val="auto"/>
                <w:szCs w:val="21"/>
              </w:rPr>
              <w:t>2）投标代表身份证原件；</w:t>
            </w:r>
          </w:p>
          <w:p w14:paraId="03D0398A">
            <w:pPr>
              <w:pStyle w:val="59"/>
              <w:numPr>
                <w:ilvl w:val="0"/>
                <w:numId w:val="1"/>
              </w:numPr>
              <w:adjustRightInd w:val="0"/>
              <w:snapToGrid w:val="0"/>
              <w:spacing w:line="340" w:lineRule="exact"/>
              <w:ind w:left="0" w:firstLineChars="0"/>
              <w:rPr>
                <w:rFonts w:hint="eastAsia" w:ascii="宋体" w:hAnsi="宋体" w:eastAsia="宋体" w:cs="宋体"/>
                <w:color w:val="auto"/>
                <w:szCs w:val="21"/>
              </w:rPr>
            </w:pPr>
            <w:r>
              <w:rPr>
                <w:rFonts w:hint="eastAsia" w:ascii="宋体" w:hAnsi="宋体" w:eastAsia="宋体" w:cs="宋体"/>
                <w:bCs/>
                <w:color w:val="auto"/>
                <w:szCs w:val="21"/>
              </w:rPr>
              <w:t>6、</w:t>
            </w:r>
            <w:r>
              <w:rPr>
                <w:rFonts w:hint="eastAsia" w:ascii="宋体" w:hAnsi="宋体" w:eastAsia="宋体" w:cs="宋体"/>
                <w:color w:val="auto"/>
                <w:szCs w:val="21"/>
              </w:rPr>
              <w:t>采购代理服务费</w:t>
            </w:r>
            <w:r>
              <w:rPr>
                <w:rFonts w:hint="eastAsia" w:ascii="宋体" w:hAnsi="宋体" w:cs="宋体"/>
                <w:color w:val="auto"/>
                <w:szCs w:val="21"/>
                <w:lang w:eastAsia="zh-CN"/>
              </w:rPr>
              <w:t>及</w:t>
            </w:r>
            <w:r>
              <w:rPr>
                <w:rFonts w:hint="eastAsia" w:ascii="宋体" w:hAnsi="宋体" w:eastAsia="宋体" w:cs="宋体"/>
                <w:color w:val="auto"/>
                <w:szCs w:val="21"/>
              </w:rPr>
              <w:t>专家评审费按采购人与采购代理机构签署的委托代理协议履行。</w:t>
            </w:r>
          </w:p>
        </w:tc>
      </w:tr>
    </w:tbl>
    <w:p w14:paraId="1628C1F6">
      <w:pPr>
        <w:rPr>
          <w:rFonts w:hint="eastAsia" w:ascii="宋体" w:hAnsi="宋体" w:eastAsia="宋体" w:cs="宋体"/>
          <w:bCs/>
          <w:color w:val="auto"/>
          <w:szCs w:val="21"/>
        </w:rPr>
      </w:pPr>
      <w:r>
        <w:rPr>
          <w:rFonts w:hint="eastAsia" w:ascii="宋体" w:hAnsi="宋体" w:eastAsia="宋体" w:cs="宋体"/>
          <w:bCs/>
          <w:color w:val="auto"/>
          <w:szCs w:val="21"/>
        </w:rPr>
        <w:br w:type="page"/>
      </w:r>
    </w:p>
    <w:p w14:paraId="224BD322">
      <w:pPr>
        <w:adjustRightInd w:val="0"/>
        <w:snapToGrid w:val="0"/>
        <w:spacing w:line="360" w:lineRule="auto"/>
        <w:jc w:val="center"/>
        <w:outlineLvl w:val="1"/>
        <w:rPr>
          <w:rFonts w:hint="eastAsia" w:ascii="宋体" w:hAnsi="宋体" w:eastAsia="宋体" w:cs="宋体"/>
          <w:b/>
          <w:color w:val="auto"/>
          <w:sz w:val="28"/>
          <w:szCs w:val="28"/>
        </w:rPr>
      </w:pPr>
      <w:bookmarkStart w:id="55" w:name="_Toc14828_WPSOffice_Level2"/>
      <w:bookmarkStart w:id="56" w:name="_Toc10569"/>
      <w:bookmarkStart w:id="57" w:name="_Toc14117"/>
      <w:r>
        <w:rPr>
          <w:rFonts w:hint="eastAsia" w:ascii="宋体" w:hAnsi="宋体" w:eastAsia="宋体" w:cs="宋体"/>
          <w:b/>
          <w:color w:val="auto"/>
          <w:sz w:val="28"/>
          <w:szCs w:val="28"/>
        </w:rPr>
        <w:t>磋商须知正文</w:t>
      </w:r>
      <w:bookmarkEnd w:id="55"/>
      <w:bookmarkEnd w:id="56"/>
      <w:bookmarkEnd w:id="57"/>
    </w:p>
    <w:p w14:paraId="4881FF46">
      <w:pPr>
        <w:adjustRightInd w:val="0"/>
        <w:snapToGrid w:val="0"/>
        <w:spacing w:line="360" w:lineRule="auto"/>
        <w:outlineLvl w:val="2"/>
        <w:rPr>
          <w:rFonts w:hint="eastAsia" w:ascii="宋体" w:hAnsi="宋体" w:eastAsia="宋体" w:cs="宋体"/>
          <w:b/>
          <w:color w:val="auto"/>
          <w:szCs w:val="21"/>
        </w:rPr>
      </w:pPr>
      <w:bookmarkStart w:id="58" w:name="_Toc18260"/>
      <w:bookmarkStart w:id="59" w:name="_Toc11077_WPSOffice_Level2"/>
      <w:bookmarkStart w:id="60" w:name="_Toc28233"/>
      <w:bookmarkStart w:id="61" w:name="_Toc11690"/>
      <w:r>
        <w:rPr>
          <w:rFonts w:hint="eastAsia" w:ascii="宋体" w:hAnsi="宋体" w:eastAsia="宋体" w:cs="宋体"/>
          <w:b/>
          <w:color w:val="auto"/>
          <w:szCs w:val="21"/>
        </w:rPr>
        <w:t>一、说明</w:t>
      </w:r>
      <w:bookmarkEnd w:id="58"/>
      <w:bookmarkEnd w:id="59"/>
      <w:bookmarkEnd w:id="60"/>
      <w:bookmarkEnd w:id="61"/>
    </w:p>
    <w:p w14:paraId="21DA4B71">
      <w:pPr>
        <w:adjustRightInd w:val="0"/>
        <w:snapToGrid w:val="0"/>
        <w:spacing w:line="360" w:lineRule="auto"/>
        <w:rPr>
          <w:rFonts w:hint="eastAsia" w:ascii="宋体" w:hAnsi="宋体" w:eastAsia="宋体" w:cs="宋体"/>
          <w:b/>
          <w:bCs/>
          <w:color w:val="auto"/>
          <w:szCs w:val="21"/>
        </w:rPr>
      </w:pPr>
      <w:bookmarkStart w:id="62" w:name="_Toc20106_WPSOffice_Level3"/>
      <w:r>
        <w:rPr>
          <w:rFonts w:hint="eastAsia" w:ascii="宋体" w:hAnsi="宋体" w:eastAsia="宋体" w:cs="宋体"/>
          <w:b/>
          <w:bCs/>
          <w:color w:val="auto"/>
          <w:szCs w:val="21"/>
        </w:rPr>
        <w:t>1.适用范围</w:t>
      </w:r>
      <w:bookmarkEnd w:id="62"/>
    </w:p>
    <w:p w14:paraId="6633A8A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 本磋商文件仅适用于磋商须知前附表(以下简称</w:t>
      </w:r>
      <w:r>
        <w:rPr>
          <w:rFonts w:hint="eastAsia" w:ascii="宋体" w:hAnsi="宋体" w:eastAsia="宋体" w:cs="宋体"/>
          <w:b/>
          <w:color w:val="auto"/>
          <w:szCs w:val="21"/>
        </w:rPr>
        <w:t>磋商须知前附表)</w:t>
      </w:r>
      <w:r>
        <w:rPr>
          <w:rFonts w:hint="eastAsia" w:ascii="宋体" w:hAnsi="宋体" w:eastAsia="宋体" w:cs="宋体"/>
          <w:color w:val="auto"/>
          <w:szCs w:val="21"/>
        </w:rPr>
        <w:t>中所叙述的采购项目。</w:t>
      </w:r>
    </w:p>
    <w:p w14:paraId="10EE1225">
      <w:pPr>
        <w:adjustRightInd w:val="0"/>
        <w:snapToGrid w:val="0"/>
        <w:spacing w:line="360" w:lineRule="auto"/>
        <w:rPr>
          <w:rFonts w:hint="eastAsia" w:ascii="宋体" w:hAnsi="宋体" w:eastAsia="宋体" w:cs="宋体"/>
          <w:b/>
          <w:bCs/>
          <w:color w:val="auto"/>
          <w:szCs w:val="21"/>
        </w:rPr>
      </w:pPr>
      <w:bookmarkStart w:id="63" w:name="_Toc14497_WPSOffice_Level3"/>
      <w:r>
        <w:rPr>
          <w:rFonts w:hint="eastAsia" w:ascii="宋体" w:hAnsi="宋体" w:eastAsia="宋体" w:cs="宋体"/>
          <w:b/>
          <w:bCs/>
          <w:color w:val="auto"/>
          <w:szCs w:val="21"/>
        </w:rPr>
        <w:t>2.定义</w:t>
      </w:r>
      <w:bookmarkEnd w:id="63"/>
    </w:p>
    <w:p w14:paraId="76670DA3">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2.1 “采购人”是指依法进行政府采购的国家机关、事业单位、团体组织。本次政府采购的采购人名称、地址、电话、联系人见</w:t>
      </w:r>
      <w:r>
        <w:rPr>
          <w:rFonts w:hint="eastAsia" w:ascii="宋体" w:hAnsi="宋体" w:eastAsia="宋体" w:cs="宋体"/>
          <w:b/>
          <w:color w:val="auto"/>
          <w:szCs w:val="21"/>
        </w:rPr>
        <w:t>磋商须知前附表</w:t>
      </w:r>
      <w:r>
        <w:rPr>
          <w:rFonts w:hint="eastAsia" w:ascii="宋体" w:hAnsi="宋体" w:eastAsia="宋体" w:cs="宋体"/>
          <w:color w:val="auto"/>
          <w:szCs w:val="21"/>
        </w:rPr>
        <w:t>。</w:t>
      </w:r>
    </w:p>
    <w:p w14:paraId="55C4B2D5">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color w:val="auto"/>
          <w:szCs w:val="21"/>
        </w:rPr>
        <w:t>磋商须知前附表。</w:t>
      </w:r>
    </w:p>
    <w:p w14:paraId="338913D2">
      <w:pPr>
        <w:adjustRightInd w:val="0"/>
        <w:snapToGrid w:val="0"/>
        <w:spacing w:line="360" w:lineRule="auto"/>
        <w:ind w:firstLine="420" w:firstLineChars="200"/>
        <w:rPr>
          <w:rFonts w:hint="eastAsia" w:ascii="宋体" w:hAnsi="宋体" w:eastAsia="宋体" w:cs="宋体"/>
          <w:bCs/>
          <w:color w:val="auto"/>
          <w:kern w:val="36"/>
          <w:szCs w:val="21"/>
        </w:rPr>
      </w:pPr>
      <w:r>
        <w:rPr>
          <w:rFonts w:hint="eastAsia" w:ascii="宋体" w:hAnsi="宋体" w:eastAsia="宋体" w:cs="宋体"/>
          <w:color w:val="auto"/>
          <w:szCs w:val="21"/>
        </w:rPr>
        <w:t>2.3 “供应商”是指响应磋商文件要求、参加竞争性磋商采购的法人、其他组织或者自然人。本次政府采购项目</w:t>
      </w:r>
      <w:r>
        <w:rPr>
          <w:rFonts w:hint="eastAsia" w:ascii="宋体" w:hAnsi="宋体" w:eastAsia="宋体" w:cs="宋体"/>
          <w:color w:val="auto"/>
          <w:kern w:val="0"/>
          <w:szCs w:val="21"/>
        </w:rPr>
        <w:t>邀请</w:t>
      </w:r>
      <w:r>
        <w:rPr>
          <w:rFonts w:hint="eastAsia" w:ascii="宋体" w:hAnsi="宋体" w:eastAsia="宋体" w:cs="宋体"/>
          <w:color w:val="auto"/>
          <w:szCs w:val="21"/>
        </w:rPr>
        <w:t>的</w:t>
      </w:r>
      <w:r>
        <w:rPr>
          <w:rFonts w:hint="eastAsia" w:ascii="宋体" w:hAnsi="宋体" w:eastAsia="宋体" w:cs="宋体"/>
          <w:color w:val="auto"/>
          <w:kern w:val="0"/>
          <w:szCs w:val="21"/>
        </w:rPr>
        <w:t>供应商通过</w:t>
      </w:r>
      <w:r>
        <w:rPr>
          <w:rFonts w:hint="eastAsia" w:ascii="宋体" w:hAnsi="宋体" w:eastAsia="宋体" w:cs="宋体"/>
          <w:b/>
          <w:color w:val="auto"/>
          <w:szCs w:val="21"/>
        </w:rPr>
        <w:t>磋商须知前附表</w:t>
      </w:r>
      <w:r>
        <w:rPr>
          <w:rFonts w:hint="eastAsia" w:ascii="宋体" w:hAnsi="宋体" w:eastAsia="宋体" w:cs="宋体"/>
          <w:color w:val="auto"/>
          <w:szCs w:val="21"/>
        </w:rPr>
        <w:t>所述方式</w:t>
      </w:r>
      <w:r>
        <w:rPr>
          <w:rFonts w:hint="eastAsia" w:ascii="宋体" w:hAnsi="宋体" w:eastAsia="宋体" w:cs="宋体"/>
          <w:color w:val="auto"/>
          <w:kern w:val="0"/>
          <w:szCs w:val="21"/>
        </w:rPr>
        <w:t>，经</w:t>
      </w:r>
      <w:r>
        <w:rPr>
          <w:rFonts w:hint="eastAsia" w:ascii="宋体" w:hAnsi="宋体" w:eastAsia="宋体" w:cs="宋体"/>
          <w:bCs/>
          <w:color w:val="auto"/>
          <w:kern w:val="36"/>
          <w:szCs w:val="21"/>
        </w:rPr>
        <w:t>磋商小组确定。</w:t>
      </w:r>
      <w:r>
        <w:rPr>
          <w:rFonts w:hint="eastAsia" w:ascii="宋体" w:hAnsi="宋体" w:eastAsia="宋体" w:cs="宋体"/>
          <w:color w:val="auto"/>
          <w:szCs w:val="21"/>
        </w:rPr>
        <w:t>据此，采购人或采购代理机构</w:t>
      </w:r>
      <w:r>
        <w:rPr>
          <w:rFonts w:hint="eastAsia" w:ascii="宋体" w:hAnsi="宋体" w:eastAsia="宋体" w:cs="宋体"/>
          <w:bCs/>
          <w:color w:val="auto"/>
          <w:kern w:val="36"/>
          <w:szCs w:val="21"/>
        </w:rPr>
        <w:t>己向其</w:t>
      </w:r>
      <w:r>
        <w:rPr>
          <w:rFonts w:hint="eastAsia" w:ascii="宋体" w:hAnsi="宋体" w:eastAsia="宋体" w:cs="宋体"/>
          <w:color w:val="auto"/>
          <w:szCs w:val="21"/>
        </w:rPr>
        <w:t>发出磋商通知，供应商应持</w:t>
      </w:r>
      <w:r>
        <w:rPr>
          <w:rFonts w:hint="eastAsia" w:ascii="宋体" w:hAnsi="宋体" w:eastAsia="宋体" w:cs="宋体"/>
          <w:b/>
          <w:color w:val="auto"/>
          <w:szCs w:val="21"/>
        </w:rPr>
        <w:t>磋商须知前附表</w:t>
      </w:r>
      <w:r>
        <w:rPr>
          <w:rFonts w:hint="eastAsia" w:ascii="宋体" w:hAnsi="宋体" w:eastAsia="宋体" w:cs="宋体"/>
          <w:color w:val="auto"/>
          <w:szCs w:val="21"/>
        </w:rPr>
        <w:t>规定的资料领取或购买磋商文件。</w:t>
      </w:r>
    </w:p>
    <w:p w14:paraId="6F593CCD">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2.4 “磋商小组”是指</w:t>
      </w:r>
      <w:r>
        <w:rPr>
          <w:rFonts w:hint="eastAsia" w:ascii="宋体" w:hAnsi="宋体" w:eastAsia="宋体" w:cs="宋体"/>
          <w:color w:val="auto"/>
          <w:kern w:val="0"/>
          <w:szCs w:val="21"/>
        </w:rPr>
        <w:t>依据《中华人民共和国政府采购法》和财政部</w:t>
      </w:r>
      <w:r>
        <w:rPr>
          <w:rFonts w:hint="eastAsia" w:ascii="宋体" w:hAnsi="宋体" w:eastAsia="宋体" w:cs="宋体"/>
          <w:bCs/>
          <w:color w:val="auto"/>
          <w:kern w:val="36"/>
          <w:szCs w:val="21"/>
        </w:rPr>
        <w:t>《</w:t>
      </w:r>
      <w:r>
        <w:rPr>
          <w:rFonts w:hint="eastAsia" w:ascii="宋体" w:hAnsi="宋体" w:eastAsia="宋体" w:cs="宋体"/>
          <w:color w:val="auto"/>
          <w:kern w:val="0"/>
          <w:szCs w:val="21"/>
        </w:rPr>
        <w:t>政府采购竞争性磋商采购方式管理暂行办法</w:t>
      </w:r>
      <w:r>
        <w:rPr>
          <w:rFonts w:hint="eastAsia" w:ascii="宋体" w:hAnsi="宋体" w:eastAsia="宋体" w:cs="宋体"/>
          <w:bCs/>
          <w:color w:val="auto"/>
          <w:kern w:val="36"/>
          <w:szCs w:val="21"/>
        </w:rPr>
        <w:t>》有关规定组建，依法依规</w:t>
      </w:r>
      <w:r>
        <w:rPr>
          <w:rFonts w:hint="eastAsia" w:ascii="宋体" w:hAnsi="宋体" w:eastAsia="宋体" w:cs="宋体"/>
          <w:color w:val="auto"/>
          <w:kern w:val="0"/>
          <w:szCs w:val="21"/>
        </w:rPr>
        <w:t>履行其职责和义务的机构。</w:t>
      </w:r>
    </w:p>
    <w:p w14:paraId="012F5A7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2.5 “货物”是指各种形态和种类的物品，包括原材料、燃料、设备、产品等，详见《政府采购品目分类目录》(</w:t>
      </w:r>
      <w:r>
        <w:rPr>
          <w:rStyle w:val="29"/>
          <w:rFonts w:hint="eastAsia" w:ascii="宋体" w:hAnsi="宋体" w:eastAsia="宋体" w:cs="宋体"/>
          <w:b w:val="0"/>
          <w:color w:val="auto"/>
          <w:szCs w:val="21"/>
        </w:rPr>
        <w:t>财库[2022]31号</w:t>
      </w:r>
      <w:r>
        <w:rPr>
          <w:rFonts w:hint="eastAsia" w:ascii="宋体" w:hAnsi="宋体" w:eastAsia="宋体" w:cs="宋体"/>
          <w:color w:val="auto"/>
          <w:szCs w:val="21"/>
        </w:rPr>
        <w:t>)。</w:t>
      </w:r>
    </w:p>
    <w:p w14:paraId="0E39B00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2.6 “工程”是指建设工程，包括建筑物和构筑物的新建、改建、扩建、装修、拆除、修缮等，详见《政府采购品目分类目录》(</w:t>
      </w:r>
      <w:r>
        <w:rPr>
          <w:rStyle w:val="29"/>
          <w:rFonts w:hint="eastAsia" w:ascii="宋体" w:hAnsi="宋体" w:eastAsia="宋体" w:cs="宋体"/>
          <w:b w:val="0"/>
          <w:color w:val="auto"/>
          <w:szCs w:val="21"/>
        </w:rPr>
        <w:t>财库[2022]31号</w:t>
      </w:r>
      <w:r>
        <w:rPr>
          <w:rFonts w:hint="eastAsia" w:ascii="宋体" w:hAnsi="宋体" w:eastAsia="宋体" w:cs="宋体"/>
          <w:color w:val="auto"/>
          <w:szCs w:val="21"/>
        </w:rPr>
        <w:t>)。</w:t>
      </w:r>
    </w:p>
    <w:p w14:paraId="7C5F9FE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2.7 “服务”是指除货物和工程以外的其他政府采购对象，详见《政府采购品目分类目录》(</w:t>
      </w:r>
      <w:r>
        <w:rPr>
          <w:rStyle w:val="29"/>
          <w:rFonts w:hint="eastAsia" w:ascii="宋体" w:hAnsi="宋体" w:eastAsia="宋体" w:cs="宋体"/>
          <w:b w:val="0"/>
          <w:color w:val="auto"/>
          <w:szCs w:val="21"/>
        </w:rPr>
        <w:t>财库[2022]31号</w:t>
      </w:r>
      <w:r>
        <w:rPr>
          <w:rFonts w:hint="eastAsia" w:ascii="宋体" w:hAnsi="宋体" w:eastAsia="宋体" w:cs="宋体"/>
          <w:color w:val="auto"/>
          <w:szCs w:val="21"/>
        </w:rPr>
        <w:t>)。</w:t>
      </w:r>
    </w:p>
    <w:p w14:paraId="15DDDDC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2.8 “节能产品”或者“环保产品”是指财政部发布的《节能产品政府采购清单》或者《环境标志产品政府采购清单》的产品。</w:t>
      </w:r>
    </w:p>
    <w:p w14:paraId="4826F5FE">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2.9 “进口产品”是指通过中国海关报关验放进入中国境内且产自关境外的产品，详见《关于政府采购进口产品管理有关问题的通知》(财库[2007]119号)。</w:t>
      </w:r>
    </w:p>
    <w:p w14:paraId="25CD547C">
      <w:pPr>
        <w:adjustRightInd w:val="0"/>
        <w:snapToGrid w:val="0"/>
        <w:spacing w:line="360" w:lineRule="auto"/>
        <w:rPr>
          <w:rFonts w:hint="eastAsia" w:ascii="宋体" w:hAnsi="宋体" w:eastAsia="宋体" w:cs="宋体"/>
          <w:b/>
          <w:bCs/>
          <w:color w:val="auto"/>
          <w:szCs w:val="21"/>
        </w:rPr>
      </w:pPr>
      <w:bookmarkStart w:id="64" w:name="_Toc24762_WPSOffice_Level3"/>
      <w:r>
        <w:rPr>
          <w:rFonts w:hint="eastAsia" w:ascii="宋体" w:hAnsi="宋体" w:eastAsia="宋体" w:cs="宋体"/>
          <w:b/>
          <w:bCs/>
          <w:color w:val="auto"/>
          <w:szCs w:val="21"/>
        </w:rPr>
        <w:t>3.供应商的资格要求</w:t>
      </w:r>
      <w:bookmarkEnd w:id="64"/>
    </w:p>
    <w:p w14:paraId="16C778A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3.1 供应商应当符合</w:t>
      </w:r>
      <w:r>
        <w:rPr>
          <w:rFonts w:hint="eastAsia" w:ascii="宋体" w:hAnsi="宋体" w:eastAsia="宋体" w:cs="宋体"/>
          <w:b/>
          <w:color w:val="auto"/>
          <w:szCs w:val="21"/>
        </w:rPr>
        <w:t>磋商须知前附表</w:t>
      </w:r>
      <w:r>
        <w:rPr>
          <w:rFonts w:hint="eastAsia" w:ascii="宋体" w:hAnsi="宋体" w:eastAsia="宋体" w:cs="宋体"/>
          <w:color w:val="auto"/>
          <w:szCs w:val="21"/>
        </w:rPr>
        <w:t>中规定的资格条件要求；</w:t>
      </w:r>
    </w:p>
    <w:p w14:paraId="1C3CD99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（l）</w:t>
      </w:r>
      <w:r>
        <w:rPr>
          <w:rFonts w:hint="eastAsia" w:ascii="宋体" w:hAnsi="宋体" w:eastAsia="宋体" w:cs="宋体"/>
          <w:color w:val="auto"/>
          <w:kern w:val="0"/>
          <w:szCs w:val="21"/>
          <w:lang w:val="zh-CN"/>
        </w:rPr>
        <w:t>《政府采购法》第二十二条第一款规定的</w:t>
      </w:r>
      <w:r>
        <w:rPr>
          <w:rFonts w:hint="eastAsia" w:ascii="宋体" w:hAnsi="宋体" w:eastAsia="宋体" w:cs="宋体"/>
          <w:color w:val="auto"/>
          <w:szCs w:val="21"/>
        </w:rPr>
        <w:t>供应商基本资格条件</w:t>
      </w:r>
      <w:r>
        <w:rPr>
          <w:rFonts w:hint="eastAsia" w:ascii="宋体" w:hAnsi="宋体" w:eastAsia="宋体" w:cs="宋体"/>
          <w:color w:val="auto"/>
          <w:kern w:val="0"/>
          <w:szCs w:val="21"/>
          <w:lang w:val="zh-CN"/>
        </w:rPr>
        <w:t>；</w:t>
      </w:r>
    </w:p>
    <w:p w14:paraId="0F05B46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 磋商文件</w:t>
      </w:r>
      <w:r>
        <w:rPr>
          <w:rFonts w:hint="eastAsia" w:ascii="宋体" w:hAnsi="宋体" w:eastAsia="宋体" w:cs="宋体"/>
          <w:color w:val="auto"/>
          <w:kern w:val="0"/>
          <w:szCs w:val="21"/>
          <w:lang w:val="zh-CN"/>
        </w:rPr>
        <w:t>规定的</w:t>
      </w:r>
      <w:r>
        <w:rPr>
          <w:rFonts w:hint="eastAsia" w:ascii="宋体" w:hAnsi="宋体" w:eastAsia="宋体" w:cs="宋体"/>
          <w:color w:val="auto"/>
          <w:szCs w:val="21"/>
        </w:rPr>
        <w:t xml:space="preserve">供应商特定资格条件。 </w:t>
      </w:r>
    </w:p>
    <w:p w14:paraId="1FE25591">
      <w:pPr>
        <w:adjustRightInd w:val="0"/>
        <w:snapToGrid w:val="0"/>
        <w:spacing w:line="360" w:lineRule="auto"/>
        <w:rPr>
          <w:rFonts w:hint="eastAsia" w:ascii="宋体" w:hAnsi="宋体" w:eastAsia="宋体" w:cs="宋体"/>
          <w:b/>
          <w:bCs/>
          <w:color w:val="auto"/>
          <w:szCs w:val="21"/>
        </w:rPr>
      </w:pPr>
      <w:bookmarkStart w:id="65" w:name="_Toc32325_WPSOffice_Level3"/>
      <w:r>
        <w:rPr>
          <w:rFonts w:hint="eastAsia" w:ascii="宋体" w:hAnsi="宋体" w:eastAsia="宋体" w:cs="宋体"/>
          <w:b/>
          <w:bCs/>
          <w:color w:val="auto"/>
          <w:szCs w:val="21"/>
        </w:rPr>
        <w:t>4.参与磋商的费用</w:t>
      </w:r>
      <w:bookmarkEnd w:id="65"/>
      <w:r>
        <w:rPr>
          <w:rFonts w:hint="eastAsia" w:ascii="宋体" w:hAnsi="宋体" w:eastAsia="宋体" w:cs="宋体"/>
          <w:b/>
          <w:bCs/>
          <w:color w:val="auto"/>
          <w:szCs w:val="21"/>
        </w:rPr>
        <w:t xml:space="preserve"> </w:t>
      </w:r>
    </w:p>
    <w:p w14:paraId="5D03F86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4.1 无论磋商的结果如何，供应商应自行承担所有与竞争性磋商采购活动有关的全部费用。</w:t>
      </w:r>
    </w:p>
    <w:p w14:paraId="5ED36074">
      <w:pPr>
        <w:pStyle w:val="13"/>
        <w:adjustRightInd w:val="0"/>
        <w:snapToGrid w:val="0"/>
        <w:spacing w:line="360" w:lineRule="auto"/>
        <w:rPr>
          <w:rFonts w:hint="eastAsia" w:ascii="宋体" w:hAnsi="宋体" w:eastAsia="宋体" w:cs="宋体"/>
          <w:b/>
          <w:bCs/>
          <w:color w:val="auto"/>
          <w:sz w:val="21"/>
        </w:rPr>
      </w:pPr>
      <w:bookmarkStart w:id="66" w:name="_Toc18766_WPSOffice_Level3"/>
      <w:r>
        <w:rPr>
          <w:rFonts w:hint="eastAsia" w:ascii="宋体" w:hAnsi="宋体" w:eastAsia="宋体" w:cs="宋体"/>
          <w:b/>
          <w:color w:val="auto"/>
          <w:sz w:val="21"/>
        </w:rPr>
        <w:t>5．</w:t>
      </w:r>
      <w:r>
        <w:rPr>
          <w:rFonts w:hint="eastAsia" w:ascii="宋体" w:hAnsi="宋体" w:eastAsia="宋体" w:cs="宋体"/>
          <w:b/>
          <w:bCs/>
          <w:color w:val="auto"/>
          <w:sz w:val="21"/>
        </w:rPr>
        <w:t>授权委托</w:t>
      </w:r>
      <w:bookmarkEnd w:id="66"/>
    </w:p>
    <w:p w14:paraId="30702D85">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5.1供应商代表为供应商法定代表人的，应持有法定代表人身份证明。供应商代表不是供应商法定代表人的，应持有法定代表人授权书，并附法定代表人身份证明。</w:t>
      </w:r>
    </w:p>
    <w:p w14:paraId="1EDA56C0">
      <w:pPr>
        <w:pStyle w:val="13"/>
        <w:adjustRightInd w:val="0"/>
        <w:snapToGrid w:val="0"/>
        <w:spacing w:line="360" w:lineRule="auto"/>
        <w:rPr>
          <w:rFonts w:hint="eastAsia" w:ascii="宋体" w:hAnsi="宋体" w:eastAsia="宋体" w:cs="宋体"/>
          <w:b/>
          <w:color w:val="auto"/>
          <w:sz w:val="21"/>
        </w:rPr>
      </w:pPr>
      <w:bookmarkStart w:id="67" w:name="_Toc3495_WPSOffice_Level3"/>
      <w:r>
        <w:rPr>
          <w:rFonts w:hint="eastAsia" w:ascii="宋体" w:hAnsi="宋体" w:eastAsia="宋体" w:cs="宋体"/>
          <w:b/>
          <w:color w:val="auto"/>
          <w:sz w:val="21"/>
        </w:rPr>
        <w:t>6．联合体形式</w:t>
      </w:r>
      <w:bookmarkEnd w:id="67"/>
    </w:p>
    <w:p w14:paraId="0732E8BD">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6.1除</w:t>
      </w:r>
      <w:r>
        <w:rPr>
          <w:rFonts w:hint="eastAsia" w:ascii="宋体" w:hAnsi="宋体" w:eastAsia="宋体" w:cs="宋体"/>
          <w:b/>
          <w:color w:val="auto"/>
          <w:sz w:val="21"/>
        </w:rPr>
        <w:t>磋商须知前附表</w:t>
      </w:r>
      <w:r>
        <w:rPr>
          <w:rFonts w:hint="eastAsia" w:ascii="宋体" w:hAnsi="宋体" w:eastAsia="宋体" w:cs="宋体"/>
          <w:color w:val="auto"/>
          <w:sz w:val="21"/>
        </w:rPr>
        <w:t>中另有规定，本次磋商采购不接受为联合体形式的供应商。</w:t>
      </w:r>
    </w:p>
    <w:p w14:paraId="2334E395">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6.2供应商为联合体形式的，除应符合本章第3条规定外，还应遵守以下规定：</w:t>
      </w:r>
    </w:p>
    <w:p w14:paraId="3C7EF554">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（l）联合体各方必须签订联合体协议书，明确联合体牵头人和各方的义务、工作、合同工作量比例；</w:t>
      </w:r>
    </w:p>
    <w:p w14:paraId="4249FAAC">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（2）联合体各方均应当符合本章第3.1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规定的供应商基本资格条件；</w:t>
      </w:r>
    </w:p>
    <w:p w14:paraId="43D9F7B4">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（3）除</w:t>
      </w:r>
      <w:r>
        <w:rPr>
          <w:rFonts w:hint="eastAsia" w:ascii="宋体" w:hAnsi="宋体" w:eastAsia="宋体" w:cs="宋体"/>
          <w:b/>
          <w:color w:val="auto"/>
          <w:szCs w:val="21"/>
        </w:rPr>
        <w:t>磋商须知前附表</w:t>
      </w:r>
      <w:r>
        <w:rPr>
          <w:rFonts w:hint="eastAsia" w:ascii="宋体" w:hAnsi="宋体" w:eastAsia="宋体" w:cs="宋体"/>
          <w:color w:val="auto"/>
          <w:szCs w:val="21"/>
        </w:rPr>
        <w:t>中另有规定，联合体各方中至少有一方应当符合本章第3.1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规定的供应商特定资格条件；</w:t>
      </w:r>
    </w:p>
    <w:p w14:paraId="089CAEF4">
      <w:pPr>
        <w:adjustRightInd w:val="0"/>
        <w:snapToGrid w:val="0"/>
        <w:spacing w:line="360" w:lineRule="auto"/>
        <w:ind w:firstLine="420" w:firstLineChars="200"/>
        <w:jc w:val="left"/>
        <w:rPr>
          <w:rFonts w:hint="eastAsia" w:ascii="宋体" w:hAnsi="宋体" w:eastAsia="宋体" w:cs="宋体"/>
          <w:color w:val="auto"/>
          <w:kern w:val="0"/>
          <w:szCs w:val="21"/>
          <w:lang w:val="zh-CN"/>
        </w:rPr>
      </w:pPr>
      <w:r>
        <w:rPr>
          <w:rFonts w:hint="eastAsia" w:ascii="宋体" w:hAnsi="宋体" w:eastAsia="宋体" w:cs="宋体"/>
          <w:color w:val="auto"/>
          <w:szCs w:val="21"/>
        </w:rPr>
        <w:t>（4）</w:t>
      </w:r>
      <w:r>
        <w:rPr>
          <w:rFonts w:hint="eastAsia" w:ascii="宋体" w:hAnsi="宋体" w:eastAsia="宋体" w:cs="宋体"/>
          <w:color w:val="auto"/>
          <w:kern w:val="0"/>
          <w:szCs w:val="21"/>
          <w:lang w:val="zh-CN"/>
        </w:rPr>
        <w:t>联合体各方不得再单独或与其他供应商组成新的联合体参加同一项目的采购活动。</w:t>
      </w:r>
    </w:p>
    <w:p w14:paraId="53B61349">
      <w:pPr>
        <w:adjustRightInd w:val="0"/>
        <w:snapToGrid w:val="0"/>
        <w:spacing w:line="360" w:lineRule="auto"/>
        <w:rPr>
          <w:rFonts w:hint="eastAsia" w:ascii="宋体" w:hAnsi="宋体" w:eastAsia="宋体" w:cs="宋体"/>
          <w:b/>
          <w:color w:val="auto"/>
          <w:szCs w:val="21"/>
        </w:rPr>
      </w:pPr>
      <w:bookmarkStart w:id="68" w:name="_Toc24305_WPSOffice_Level3"/>
      <w:r>
        <w:rPr>
          <w:rFonts w:hint="eastAsia" w:ascii="宋体" w:hAnsi="宋体" w:eastAsia="宋体" w:cs="宋体"/>
          <w:b/>
          <w:color w:val="auto"/>
          <w:szCs w:val="21"/>
        </w:rPr>
        <w:t>7.现场勘察</w:t>
      </w:r>
      <w:bookmarkEnd w:id="68"/>
    </w:p>
    <w:p w14:paraId="2B6ADC5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7.1供应商应按</w:t>
      </w:r>
      <w:r>
        <w:rPr>
          <w:rFonts w:hint="eastAsia" w:ascii="宋体" w:hAnsi="宋体" w:eastAsia="宋体" w:cs="宋体"/>
          <w:b/>
          <w:color w:val="auto"/>
          <w:szCs w:val="21"/>
        </w:rPr>
        <w:t>磋商须知前附表</w:t>
      </w:r>
      <w:r>
        <w:rPr>
          <w:rFonts w:hint="eastAsia" w:ascii="宋体" w:hAnsi="宋体" w:eastAsia="宋体" w:cs="宋体"/>
          <w:color w:val="auto"/>
          <w:szCs w:val="21"/>
        </w:rPr>
        <w:t>中规定对采购项目现场和周围环境的现场考察。</w:t>
      </w:r>
    </w:p>
    <w:p w14:paraId="69BC330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7.2勘察现场的费用由供应商自己承担，勘察期间所发生的人身伤害及财产损失由供应商自己负责。</w:t>
      </w:r>
    </w:p>
    <w:p w14:paraId="5120487D">
      <w:pPr>
        <w:adjustRightInd w:val="0"/>
        <w:snapToGrid w:val="0"/>
        <w:spacing w:line="360" w:lineRule="auto"/>
        <w:ind w:firstLine="420" w:firstLineChars="200"/>
        <w:jc w:val="left"/>
        <w:rPr>
          <w:rFonts w:hint="eastAsia" w:ascii="宋体" w:hAnsi="宋体" w:eastAsia="宋体" w:cs="宋体"/>
          <w:b/>
          <w:color w:val="auto"/>
          <w:szCs w:val="21"/>
        </w:rPr>
      </w:pPr>
      <w:r>
        <w:rPr>
          <w:rFonts w:hint="eastAsia" w:ascii="宋体" w:hAnsi="宋体" w:eastAsia="宋体" w:cs="宋体"/>
          <w:color w:val="auto"/>
          <w:szCs w:val="21"/>
        </w:rPr>
        <w:t>7.3采购人不对供应商据此而做出的推论、理解和结论负责。一旦成交，供应商不得以任何借口，提出额外补偿，或延长合同期限的要求。</w:t>
      </w:r>
    </w:p>
    <w:p w14:paraId="62B26A3F">
      <w:pPr>
        <w:adjustRightInd w:val="0"/>
        <w:snapToGrid w:val="0"/>
        <w:spacing w:line="360" w:lineRule="auto"/>
        <w:jc w:val="left"/>
        <w:rPr>
          <w:rFonts w:hint="eastAsia" w:ascii="宋体" w:hAnsi="宋体" w:eastAsia="宋体" w:cs="宋体"/>
          <w:b/>
          <w:color w:val="auto"/>
          <w:szCs w:val="21"/>
        </w:rPr>
      </w:pPr>
      <w:bookmarkStart w:id="69" w:name="_Toc9222_WPSOffice_Level3"/>
      <w:r>
        <w:rPr>
          <w:rFonts w:hint="eastAsia" w:ascii="宋体" w:hAnsi="宋体" w:eastAsia="宋体" w:cs="宋体"/>
          <w:b/>
          <w:color w:val="auto"/>
          <w:szCs w:val="21"/>
        </w:rPr>
        <w:t>8.采购进口产品</w:t>
      </w:r>
      <w:bookmarkEnd w:id="69"/>
    </w:p>
    <w:p w14:paraId="09825B18">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szCs w:val="21"/>
        </w:rPr>
        <w:t>8.1除</w:t>
      </w:r>
      <w:r>
        <w:rPr>
          <w:rFonts w:hint="eastAsia" w:ascii="宋体" w:hAnsi="宋体" w:eastAsia="宋体" w:cs="宋体"/>
          <w:b/>
          <w:color w:val="auto"/>
          <w:szCs w:val="21"/>
        </w:rPr>
        <w:t>磋商文件前附表</w:t>
      </w:r>
      <w:r>
        <w:rPr>
          <w:rFonts w:hint="eastAsia" w:ascii="宋体" w:hAnsi="宋体" w:eastAsia="宋体" w:cs="宋体"/>
          <w:color w:val="auto"/>
          <w:szCs w:val="21"/>
        </w:rPr>
        <w:t>另有规定外，本项目</w:t>
      </w:r>
      <w:r>
        <w:rPr>
          <w:rFonts w:hint="eastAsia" w:ascii="宋体" w:hAnsi="宋体" w:eastAsia="宋体" w:cs="宋体"/>
          <w:color w:val="auto"/>
          <w:kern w:val="0"/>
          <w:szCs w:val="21"/>
        </w:rPr>
        <w:t>拒绝进口产品参加</w:t>
      </w:r>
      <w:r>
        <w:rPr>
          <w:rFonts w:hint="eastAsia" w:ascii="宋体" w:hAnsi="宋体" w:eastAsia="宋体" w:cs="宋体"/>
          <w:color w:val="auto"/>
          <w:szCs w:val="21"/>
        </w:rPr>
        <w:t>竞争性磋商采购活动</w:t>
      </w:r>
      <w:r>
        <w:rPr>
          <w:rFonts w:hint="eastAsia" w:ascii="宋体" w:hAnsi="宋体" w:eastAsia="宋体" w:cs="宋体"/>
          <w:color w:val="auto"/>
          <w:kern w:val="0"/>
          <w:szCs w:val="21"/>
        </w:rPr>
        <w:t>。</w:t>
      </w:r>
    </w:p>
    <w:p w14:paraId="58F55204">
      <w:pPr>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8.2</w:t>
      </w:r>
      <w:r>
        <w:rPr>
          <w:rFonts w:hint="eastAsia" w:ascii="宋体" w:hAnsi="宋体" w:eastAsia="宋体" w:cs="宋体"/>
          <w:color w:val="auto"/>
          <w:szCs w:val="21"/>
        </w:rPr>
        <w:t>本章第8.1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同意购买进口产品的，</w:t>
      </w:r>
      <w:r>
        <w:rPr>
          <w:rFonts w:hint="eastAsia" w:ascii="宋体" w:hAnsi="宋体" w:eastAsia="宋体" w:cs="宋体"/>
          <w:color w:val="auto"/>
          <w:szCs w:val="21"/>
        </w:rPr>
        <w:t>本项目</w:t>
      </w:r>
      <w:r>
        <w:rPr>
          <w:rFonts w:hint="eastAsia" w:ascii="宋体" w:hAnsi="宋体" w:eastAsia="宋体" w:cs="宋体"/>
          <w:color w:val="auto"/>
          <w:kern w:val="0"/>
          <w:szCs w:val="21"/>
          <w:lang w:val="zh-CN"/>
        </w:rPr>
        <w:t>采购活动</w:t>
      </w:r>
      <w:r>
        <w:rPr>
          <w:rFonts w:hint="eastAsia" w:ascii="宋体" w:hAnsi="宋体" w:eastAsia="宋体" w:cs="宋体"/>
          <w:color w:val="auto"/>
          <w:kern w:val="0"/>
          <w:szCs w:val="21"/>
        </w:rPr>
        <w:t>不限制满足</w:t>
      </w:r>
      <w:r>
        <w:rPr>
          <w:rFonts w:hint="eastAsia" w:ascii="宋体" w:hAnsi="宋体" w:eastAsia="宋体" w:cs="宋体"/>
          <w:color w:val="auto"/>
          <w:szCs w:val="21"/>
        </w:rPr>
        <w:t>磋商文件要求</w:t>
      </w:r>
      <w:r>
        <w:rPr>
          <w:rFonts w:hint="eastAsia" w:ascii="宋体" w:hAnsi="宋体" w:eastAsia="宋体" w:cs="宋体"/>
          <w:color w:val="auto"/>
          <w:kern w:val="0"/>
          <w:szCs w:val="21"/>
        </w:rPr>
        <w:t>的国内产品参与</w:t>
      </w:r>
      <w:r>
        <w:rPr>
          <w:rFonts w:hint="eastAsia" w:ascii="宋体" w:hAnsi="宋体" w:eastAsia="宋体" w:cs="宋体"/>
          <w:color w:val="auto"/>
          <w:szCs w:val="21"/>
        </w:rPr>
        <w:t>竞争性磋商</w:t>
      </w:r>
      <w:r>
        <w:rPr>
          <w:rFonts w:hint="eastAsia" w:ascii="宋体" w:hAnsi="宋体" w:eastAsia="宋体" w:cs="宋体"/>
          <w:color w:val="auto"/>
          <w:kern w:val="0"/>
          <w:szCs w:val="21"/>
        </w:rPr>
        <w:t>。</w:t>
      </w:r>
    </w:p>
    <w:p w14:paraId="003737AA">
      <w:pPr>
        <w:adjustRightInd w:val="0"/>
        <w:snapToGrid w:val="0"/>
        <w:spacing w:line="360" w:lineRule="auto"/>
        <w:jc w:val="left"/>
        <w:rPr>
          <w:rFonts w:hint="eastAsia" w:ascii="宋体" w:hAnsi="宋体" w:eastAsia="宋体" w:cs="宋体"/>
          <w:b/>
          <w:color w:val="auto"/>
          <w:szCs w:val="21"/>
        </w:rPr>
      </w:pPr>
      <w:bookmarkStart w:id="70" w:name="_Toc11805_WPSOffice_Level3"/>
      <w:r>
        <w:rPr>
          <w:rFonts w:hint="eastAsia" w:ascii="宋体" w:hAnsi="宋体" w:eastAsia="宋体" w:cs="宋体"/>
          <w:b/>
          <w:bCs/>
          <w:color w:val="auto"/>
          <w:szCs w:val="21"/>
        </w:rPr>
        <w:t>9.</w:t>
      </w:r>
      <w:r>
        <w:rPr>
          <w:rFonts w:hint="eastAsia" w:ascii="宋体" w:hAnsi="宋体" w:eastAsia="宋体" w:cs="宋体"/>
          <w:b/>
          <w:color w:val="auto"/>
          <w:szCs w:val="21"/>
        </w:rPr>
        <w:t xml:space="preserve"> 政府采购政策支持</w:t>
      </w:r>
      <w:bookmarkEnd w:id="70"/>
    </w:p>
    <w:p w14:paraId="6F4990CA">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9.1产品符合政府采购强制采购政策的，实行强制采购；符合政府采购优先采购政策的，产品只能享受节能产品、环境标志等产品政策支持中的一项(由供应商在报价文件中选择并填报政策功能编码)；供应商享受</w:t>
      </w:r>
      <w:r>
        <w:rPr>
          <w:rFonts w:hint="eastAsia" w:ascii="宋体" w:hAnsi="宋体" w:eastAsia="宋体" w:cs="宋体"/>
          <w:bCs/>
          <w:color w:val="auto"/>
          <w:sz w:val="21"/>
        </w:rPr>
        <w:t>支持</w:t>
      </w:r>
      <w:r>
        <w:rPr>
          <w:rFonts w:hint="eastAsia" w:ascii="宋体" w:hAnsi="宋体" w:eastAsia="宋体" w:cs="宋体"/>
          <w:color w:val="auto"/>
          <w:sz w:val="21"/>
        </w:rPr>
        <w:t>中小企业发展政策支持的，可以与同时享受节能产品、环境标志产品政策支持中的一项累加。省级以上财政部门关于政府采购强制采购、优先采购的政策规定可在本章《磋商须知（前附表）》和中国政府采购网(www.ccgp.gov.cn)查询。本项目价格扣除比例见</w:t>
      </w:r>
      <w:r>
        <w:rPr>
          <w:rFonts w:hint="eastAsia" w:ascii="宋体" w:hAnsi="宋体" w:eastAsia="宋体" w:cs="宋体"/>
          <w:b/>
          <w:color w:val="auto"/>
          <w:sz w:val="21"/>
        </w:rPr>
        <w:t>磋商须知前附表</w:t>
      </w:r>
      <w:r>
        <w:rPr>
          <w:rFonts w:hint="eastAsia" w:ascii="宋体" w:hAnsi="宋体" w:eastAsia="宋体" w:cs="宋体"/>
          <w:color w:val="auto"/>
          <w:sz w:val="21"/>
        </w:rPr>
        <w:t>。</w:t>
      </w:r>
    </w:p>
    <w:p w14:paraId="0E3562EC">
      <w:pPr>
        <w:adjustRightInd w:val="0"/>
        <w:snapToGrid w:val="0"/>
        <w:spacing w:line="360" w:lineRule="auto"/>
        <w:ind w:left="793" w:hanging="793" w:hangingChars="376"/>
        <w:outlineLvl w:val="2"/>
        <w:rPr>
          <w:rFonts w:hint="eastAsia" w:ascii="宋体" w:hAnsi="宋体" w:eastAsia="宋体" w:cs="宋体"/>
          <w:b/>
          <w:color w:val="auto"/>
          <w:szCs w:val="21"/>
        </w:rPr>
      </w:pPr>
      <w:bookmarkStart w:id="71" w:name="_Toc30277"/>
      <w:bookmarkStart w:id="72" w:name="_Toc26096"/>
      <w:bookmarkStart w:id="73" w:name="_Toc9405_WPSOffice_Level2"/>
      <w:bookmarkStart w:id="74" w:name="_Toc17395"/>
      <w:r>
        <w:rPr>
          <w:rFonts w:hint="eastAsia" w:ascii="宋体" w:hAnsi="宋体" w:eastAsia="宋体" w:cs="宋体"/>
          <w:b/>
          <w:color w:val="auto"/>
          <w:szCs w:val="21"/>
        </w:rPr>
        <w:t>二、磋商文件</w:t>
      </w:r>
      <w:bookmarkEnd w:id="71"/>
      <w:bookmarkEnd w:id="72"/>
      <w:bookmarkEnd w:id="73"/>
      <w:bookmarkEnd w:id="74"/>
    </w:p>
    <w:p w14:paraId="06F39461">
      <w:pPr>
        <w:adjustRightInd w:val="0"/>
        <w:snapToGrid w:val="0"/>
        <w:spacing w:line="360" w:lineRule="auto"/>
        <w:rPr>
          <w:rFonts w:hint="eastAsia" w:ascii="宋体" w:hAnsi="宋体" w:eastAsia="宋体" w:cs="宋体"/>
          <w:b/>
          <w:bCs/>
          <w:color w:val="auto"/>
          <w:szCs w:val="21"/>
        </w:rPr>
      </w:pPr>
      <w:bookmarkStart w:id="75" w:name="_Toc14148_WPSOffice_Level3"/>
      <w:r>
        <w:rPr>
          <w:rFonts w:hint="eastAsia" w:ascii="宋体" w:hAnsi="宋体" w:eastAsia="宋体" w:cs="宋体"/>
          <w:b/>
          <w:bCs/>
          <w:color w:val="auto"/>
          <w:szCs w:val="21"/>
        </w:rPr>
        <w:t>10．磋商文件的组成</w:t>
      </w:r>
      <w:bookmarkEnd w:id="75"/>
    </w:p>
    <w:p w14:paraId="30342323">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10.1 磋商文件由下列文件组成：</w:t>
      </w:r>
    </w:p>
    <w:p w14:paraId="2E45DF3A">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第一章 磋商公告</w:t>
      </w:r>
    </w:p>
    <w:p w14:paraId="2395BCC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第二章 磋商须知</w:t>
      </w:r>
    </w:p>
    <w:p w14:paraId="4F962076">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第三章 评审方法及标准</w:t>
      </w:r>
    </w:p>
    <w:p w14:paraId="27A469A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第四章 政府采购合同格式条款</w:t>
      </w:r>
    </w:p>
    <w:p w14:paraId="640AFDFE">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第五章 采购需求</w:t>
      </w:r>
    </w:p>
    <w:p w14:paraId="0F9E46E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第六章 响应文件组成</w:t>
      </w:r>
    </w:p>
    <w:p w14:paraId="58CB21C9">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10.2</w:t>
      </w:r>
      <w:r>
        <w:rPr>
          <w:rFonts w:hint="eastAsia" w:ascii="宋体" w:hAnsi="宋体" w:eastAsia="宋体" w:cs="宋体"/>
          <w:bCs/>
          <w:color w:val="auto"/>
          <w:sz w:val="21"/>
        </w:rPr>
        <w:t>本章第11.1</w:t>
      </w:r>
      <w:r>
        <w:rPr>
          <w:rFonts w:hint="eastAsia" w:ascii="宋体" w:hAnsi="宋体" w:eastAsia="宋体" w:cs="宋体"/>
          <w:color w:val="auto"/>
          <w:sz w:val="21"/>
          <w:lang w:val="zh-CN"/>
        </w:rPr>
        <w:t>款</w:t>
      </w:r>
      <w:r>
        <w:rPr>
          <w:rFonts w:hint="eastAsia" w:ascii="宋体" w:hAnsi="宋体" w:eastAsia="宋体" w:cs="宋体"/>
          <w:bCs/>
          <w:color w:val="auto"/>
          <w:sz w:val="21"/>
        </w:rPr>
        <w:t>规定的</w:t>
      </w:r>
      <w:r>
        <w:rPr>
          <w:rFonts w:hint="eastAsia" w:ascii="宋体" w:hAnsi="宋体" w:eastAsia="宋体" w:cs="宋体"/>
          <w:color w:val="auto"/>
          <w:sz w:val="21"/>
        </w:rPr>
        <w:t>提交首次响应文件截止时间前对磋商文件澄清或者修改内容，为磋商文件的组成部分。</w:t>
      </w:r>
    </w:p>
    <w:p w14:paraId="3FFAF34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10.3磋商小组根据与供应商磋商情况可能实质性变动的内容，包括采购需求中的技术、服务要求以及合同条款，在</w:t>
      </w:r>
      <w:r>
        <w:rPr>
          <w:rFonts w:hint="eastAsia" w:ascii="宋体" w:hAnsi="宋体" w:eastAsia="宋体" w:cs="宋体"/>
          <w:b/>
          <w:color w:val="auto"/>
          <w:sz w:val="21"/>
        </w:rPr>
        <w:t>磋商须知前附表</w:t>
      </w:r>
      <w:r>
        <w:rPr>
          <w:rFonts w:hint="eastAsia" w:ascii="宋体" w:hAnsi="宋体" w:eastAsia="宋体" w:cs="宋体"/>
          <w:color w:val="auto"/>
          <w:sz w:val="21"/>
        </w:rPr>
        <w:t>中明确。</w:t>
      </w:r>
    </w:p>
    <w:p w14:paraId="6F8CAE9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10.4供应商应仔细阅读</w:t>
      </w:r>
      <w:r>
        <w:rPr>
          <w:rFonts w:hint="eastAsia" w:ascii="宋体" w:hAnsi="宋体" w:eastAsia="宋体" w:cs="宋体"/>
          <w:bCs/>
          <w:color w:val="auto"/>
          <w:szCs w:val="21"/>
        </w:rPr>
        <w:t>磋商</w:t>
      </w:r>
      <w:r>
        <w:rPr>
          <w:rFonts w:hint="eastAsia" w:ascii="宋体" w:hAnsi="宋体" w:eastAsia="宋体" w:cs="宋体"/>
          <w:color w:val="auto"/>
          <w:szCs w:val="21"/>
        </w:rPr>
        <w:t>文件的全部内容，按照</w:t>
      </w:r>
      <w:r>
        <w:rPr>
          <w:rFonts w:hint="eastAsia" w:ascii="宋体" w:hAnsi="宋体" w:eastAsia="宋体" w:cs="宋体"/>
          <w:bCs/>
          <w:color w:val="auto"/>
          <w:szCs w:val="21"/>
        </w:rPr>
        <w:t>磋商</w:t>
      </w:r>
      <w:r>
        <w:rPr>
          <w:rFonts w:hint="eastAsia" w:ascii="宋体" w:hAnsi="宋体" w:eastAsia="宋体" w:cs="宋体"/>
          <w:color w:val="auto"/>
          <w:szCs w:val="21"/>
        </w:rPr>
        <w:t>文件要求编制响应文件。任何对</w:t>
      </w:r>
      <w:r>
        <w:rPr>
          <w:rFonts w:hint="eastAsia" w:ascii="宋体" w:hAnsi="宋体" w:eastAsia="宋体" w:cs="宋体"/>
          <w:bCs/>
          <w:color w:val="auto"/>
          <w:szCs w:val="21"/>
        </w:rPr>
        <w:t>磋商</w:t>
      </w:r>
      <w:r>
        <w:rPr>
          <w:rFonts w:hint="eastAsia" w:ascii="宋体" w:hAnsi="宋体" w:eastAsia="宋体" w:cs="宋体"/>
          <w:color w:val="auto"/>
          <w:szCs w:val="21"/>
        </w:rPr>
        <w:t>文件的忽略或误解不能作为响应文件存在缺陷或瑕疵的理由，其风险由供应商承担。</w:t>
      </w:r>
    </w:p>
    <w:p w14:paraId="05145E50">
      <w:pPr>
        <w:pStyle w:val="13"/>
        <w:adjustRightInd w:val="0"/>
        <w:snapToGrid w:val="0"/>
        <w:spacing w:line="360" w:lineRule="auto"/>
        <w:rPr>
          <w:rFonts w:hint="eastAsia" w:ascii="宋体" w:hAnsi="宋体" w:eastAsia="宋体" w:cs="宋体"/>
          <w:color w:val="auto"/>
          <w:sz w:val="21"/>
        </w:rPr>
      </w:pPr>
      <w:bookmarkStart w:id="76" w:name="_Toc19256_WPSOffice_Level3"/>
      <w:r>
        <w:rPr>
          <w:rFonts w:hint="eastAsia" w:ascii="宋体" w:hAnsi="宋体" w:eastAsia="宋体" w:cs="宋体"/>
          <w:b/>
          <w:color w:val="auto"/>
          <w:sz w:val="21"/>
        </w:rPr>
        <w:t>11.提交首次响应文件的截止时间</w:t>
      </w:r>
      <w:bookmarkEnd w:id="76"/>
    </w:p>
    <w:p w14:paraId="54E36832">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11.1供应商提交首次响应文件截止时间见</w:t>
      </w:r>
      <w:r>
        <w:rPr>
          <w:rFonts w:hint="eastAsia" w:ascii="宋体" w:hAnsi="宋体" w:eastAsia="宋体" w:cs="宋体"/>
          <w:b/>
          <w:color w:val="auto"/>
          <w:sz w:val="21"/>
        </w:rPr>
        <w:t>磋商须知前附表</w:t>
      </w:r>
      <w:r>
        <w:rPr>
          <w:rFonts w:hint="eastAsia" w:ascii="宋体" w:hAnsi="宋体" w:eastAsia="宋体" w:cs="宋体"/>
          <w:color w:val="auto"/>
          <w:sz w:val="21"/>
        </w:rPr>
        <w:t>。</w:t>
      </w:r>
    </w:p>
    <w:p w14:paraId="51C12FDF">
      <w:pPr>
        <w:adjustRightInd w:val="0"/>
        <w:snapToGrid w:val="0"/>
        <w:spacing w:line="360" w:lineRule="auto"/>
        <w:rPr>
          <w:rFonts w:hint="eastAsia" w:ascii="宋体" w:hAnsi="宋体" w:eastAsia="宋体" w:cs="宋体"/>
          <w:b/>
          <w:bCs/>
          <w:color w:val="auto"/>
          <w:szCs w:val="21"/>
        </w:rPr>
      </w:pPr>
      <w:bookmarkStart w:id="77" w:name="_Toc20503_WPSOffice_Level3"/>
      <w:r>
        <w:rPr>
          <w:rFonts w:hint="eastAsia" w:ascii="宋体" w:hAnsi="宋体" w:eastAsia="宋体" w:cs="宋体"/>
          <w:b/>
          <w:bCs/>
          <w:color w:val="auto"/>
          <w:szCs w:val="21"/>
        </w:rPr>
        <w:t>12.磋商文件的澄清</w:t>
      </w:r>
      <w:r>
        <w:rPr>
          <w:rFonts w:hint="eastAsia" w:ascii="宋体" w:hAnsi="宋体" w:eastAsia="宋体" w:cs="宋体"/>
          <w:b/>
          <w:color w:val="auto"/>
          <w:kern w:val="0"/>
          <w:szCs w:val="21"/>
          <w:lang w:val="zh-CN"/>
        </w:rPr>
        <w:t>或者</w:t>
      </w:r>
      <w:r>
        <w:rPr>
          <w:rFonts w:hint="eastAsia" w:ascii="宋体" w:hAnsi="宋体" w:eastAsia="宋体" w:cs="宋体"/>
          <w:b/>
          <w:bCs/>
          <w:color w:val="auto"/>
          <w:szCs w:val="21"/>
        </w:rPr>
        <w:t>修改</w:t>
      </w:r>
      <w:bookmarkEnd w:id="77"/>
    </w:p>
    <w:p w14:paraId="7030A166">
      <w:pPr>
        <w:adjustRightInd w:val="0"/>
        <w:snapToGrid w:val="0"/>
        <w:spacing w:line="360" w:lineRule="auto"/>
        <w:ind w:right="-105" w:rightChars="-50"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12.1在</w:t>
      </w:r>
      <w:r>
        <w:rPr>
          <w:rFonts w:hint="eastAsia" w:ascii="宋体" w:hAnsi="宋体" w:eastAsia="宋体" w:cs="宋体"/>
          <w:bCs/>
          <w:color w:val="auto"/>
          <w:szCs w:val="21"/>
        </w:rPr>
        <w:t>本章第11.1</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规定的</w:t>
      </w:r>
      <w:r>
        <w:rPr>
          <w:rFonts w:hint="eastAsia" w:ascii="宋体" w:hAnsi="宋体" w:eastAsia="宋体" w:cs="宋体"/>
          <w:color w:val="auto"/>
          <w:kern w:val="0"/>
          <w:szCs w:val="21"/>
        </w:rPr>
        <w:t xml:space="preserve">提交首次响应文件截止之日前，采购人、采购代理机构或者磋商小组可以对已发出的磋商文件进行必要的澄清或者修改。 </w:t>
      </w:r>
    </w:p>
    <w:p w14:paraId="7C673DE5">
      <w:pPr>
        <w:adjustRightInd w:val="0"/>
        <w:snapToGrid w:val="0"/>
        <w:spacing w:line="360" w:lineRule="auto"/>
        <w:ind w:right="-105" w:rightChars="-50"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12.2</w:t>
      </w:r>
      <w:r>
        <w:rPr>
          <w:rFonts w:hint="eastAsia" w:ascii="宋体" w:hAnsi="宋体" w:eastAsia="宋体" w:cs="宋体"/>
          <w:color w:val="auto"/>
          <w:kern w:val="0"/>
          <w:szCs w:val="21"/>
        </w:rPr>
        <w:t>澄清或者修改的内容可能影响响应文件编制的，采购人、采购代理机构或者磋商小组应当在</w:t>
      </w:r>
      <w:r>
        <w:rPr>
          <w:rFonts w:hint="eastAsia" w:ascii="宋体" w:hAnsi="宋体" w:eastAsia="宋体" w:cs="宋体"/>
          <w:bCs/>
          <w:color w:val="auto"/>
          <w:szCs w:val="21"/>
        </w:rPr>
        <w:t>本章第11.1</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规定的</w:t>
      </w:r>
      <w:r>
        <w:rPr>
          <w:rFonts w:hint="eastAsia" w:ascii="宋体" w:hAnsi="宋体" w:eastAsia="宋体" w:cs="宋体"/>
          <w:color w:val="auto"/>
          <w:kern w:val="0"/>
          <w:szCs w:val="21"/>
        </w:rPr>
        <w:t>提交首次响应文件截止之日5日前，以书面形式通知所有接收磋商文件的供应商，不足5日的，顺延供应商提交首次响应文件截止时间。</w:t>
      </w:r>
    </w:p>
    <w:p w14:paraId="0077D83E">
      <w:pPr>
        <w:adjustRightInd w:val="0"/>
        <w:snapToGrid w:val="0"/>
        <w:spacing w:line="360" w:lineRule="auto"/>
        <w:outlineLvl w:val="2"/>
        <w:rPr>
          <w:rFonts w:hint="eastAsia" w:ascii="宋体" w:hAnsi="宋体" w:eastAsia="宋体" w:cs="宋体"/>
          <w:b/>
          <w:color w:val="auto"/>
          <w:szCs w:val="21"/>
        </w:rPr>
      </w:pPr>
      <w:bookmarkStart w:id="78" w:name="_Toc28536_WPSOffice_Level2"/>
      <w:bookmarkStart w:id="79" w:name="_Toc14868"/>
      <w:r>
        <w:rPr>
          <w:rFonts w:hint="eastAsia" w:ascii="宋体" w:hAnsi="宋体" w:eastAsia="宋体" w:cs="宋体"/>
          <w:b/>
          <w:color w:val="auto"/>
          <w:szCs w:val="21"/>
        </w:rPr>
        <w:t>三、响应文件</w:t>
      </w:r>
      <w:bookmarkEnd w:id="78"/>
      <w:bookmarkEnd w:id="79"/>
    </w:p>
    <w:p w14:paraId="6D956941">
      <w:pPr>
        <w:adjustRightInd w:val="0"/>
        <w:snapToGrid w:val="0"/>
        <w:spacing w:line="360" w:lineRule="auto"/>
        <w:rPr>
          <w:rFonts w:hint="eastAsia" w:ascii="宋体" w:hAnsi="宋体" w:eastAsia="宋体" w:cs="宋体"/>
          <w:b/>
          <w:bCs/>
          <w:color w:val="auto"/>
          <w:szCs w:val="21"/>
        </w:rPr>
      </w:pPr>
      <w:bookmarkStart w:id="80" w:name="_Toc21112_WPSOffice_Level3"/>
      <w:r>
        <w:rPr>
          <w:rFonts w:hint="eastAsia" w:ascii="宋体" w:hAnsi="宋体" w:eastAsia="宋体" w:cs="宋体"/>
          <w:b/>
          <w:bCs/>
          <w:color w:val="auto"/>
          <w:szCs w:val="21"/>
        </w:rPr>
        <w:t>13.一般要求</w:t>
      </w:r>
      <w:bookmarkEnd w:id="80"/>
    </w:p>
    <w:p w14:paraId="192C3524">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13.1 供应商应仔细阅读磋商文件的所有内容，按磋商文件的要求编制响应文件，并保证所提供的全部资料的真实性，以使其响应文件对磋商文件做出实质性的响应。</w:t>
      </w:r>
    </w:p>
    <w:p w14:paraId="0A5810FD">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 xml:space="preserve">13.2 </w:t>
      </w:r>
      <w:r>
        <w:rPr>
          <w:rFonts w:hint="eastAsia" w:ascii="宋体" w:hAnsi="宋体" w:eastAsia="宋体" w:cs="宋体"/>
          <w:color w:val="auto"/>
          <w:szCs w:val="21"/>
        </w:rPr>
        <w:t>供应商提交的响应文件及供应商与采购人或采购代理机构、磋商小组就有关磋商的所有来往函电均使用中文。供应商可以提交其它语言的资料，但应附中文注释，在有差异时以中文为准。</w:t>
      </w:r>
    </w:p>
    <w:p w14:paraId="139AE464">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bCs/>
          <w:color w:val="auto"/>
          <w:sz w:val="21"/>
        </w:rPr>
        <w:t xml:space="preserve">13.3 </w:t>
      </w:r>
      <w:r>
        <w:rPr>
          <w:rFonts w:hint="eastAsia" w:ascii="宋体" w:hAnsi="宋体" w:eastAsia="宋体" w:cs="宋体"/>
          <w:color w:val="auto"/>
          <w:sz w:val="21"/>
        </w:rPr>
        <w:t>计量单位应使用我国法定计量单位，未列明时应默认为我国法定计量单位。</w:t>
      </w:r>
    </w:p>
    <w:p w14:paraId="58E8B66D">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13.4 响应文件应采用书面形式，电报、传真、电子邮件形式的响应文件概不接受。</w:t>
      </w:r>
    </w:p>
    <w:p w14:paraId="7CD0372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13.5 供应商应按磋商文件中提供的响应文件格式填写。</w:t>
      </w:r>
    </w:p>
    <w:p w14:paraId="0F7A5EAC">
      <w:pPr>
        <w:adjustRightInd w:val="0"/>
        <w:snapToGrid w:val="0"/>
        <w:spacing w:line="360" w:lineRule="auto"/>
        <w:rPr>
          <w:rFonts w:hint="eastAsia" w:ascii="宋体" w:hAnsi="宋体" w:eastAsia="宋体" w:cs="宋体"/>
          <w:b/>
          <w:bCs/>
          <w:color w:val="auto"/>
          <w:szCs w:val="21"/>
        </w:rPr>
      </w:pPr>
      <w:bookmarkStart w:id="81" w:name="_Toc24263_WPSOffice_Level3"/>
      <w:r>
        <w:rPr>
          <w:rFonts w:hint="eastAsia" w:ascii="宋体" w:hAnsi="宋体" w:eastAsia="宋体" w:cs="宋体"/>
          <w:b/>
          <w:bCs/>
          <w:color w:val="auto"/>
          <w:szCs w:val="21"/>
        </w:rPr>
        <w:t>14.</w:t>
      </w:r>
      <w:r>
        <w:rPr>
          <w:rFonts w:hint="eastAsia" w:ascii="宋体" w:hAnsi="宋体" w:eastAsia="宋体" w:cs="宋体"/>
          <w:b/>
          <w:color w:val="auto"/>
          <w:szCs w:val="21"/>
        </w:rPr>
        <w:t>响应文件</w:t>
      </w:r>
      <w:r>
        <w:rPr>
          <w:rFonts w:hint="eastAsia" w:ascii="宋体" w:hAnsi="宋体" w:eastAsia="宋体" w:cs="宋体"/>
          <w:b/>
          <w:bCs/>
          <w:color w:val="auto"/>
          <w:szCs w:val="21"/>
        </w:rPr>
        <w:t>的组成</w:t>
      </w:r>
      <w:bookmarkEnd w:id="81"/>
    </w:p>
    <w:p w14:paraId="2B767B5D">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 xml:space="preserve">14.1 响应文件包括下列内容： </w:t>
      </w:r>
    </w:p>
    <w:p w14:paraId="4A97BE9E">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（1）磋商响应声明</w:t>
      </w:r>
    </w:p>
    <w:p w14:paraId="7F7AC61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2</w:t>
      </w:r>
      <w:r>
        <w:rPr>
          <w:rFonts w:hint="eastAsia" w:ascii="宋体" w:hAnsi="宋体" w:eastAsia="宋体" w:cs="宋体"/>
          <w:color w:val="auto"/>
          <w:sz w:val="21"/>
        </w:rPr>
        <w:t>）供应商的资格证明文件</w:t>
      </w:r>
    </w:p>
    <w:p w14:paraId="2F7FCB1E">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3</w:t>
      </w:r>
      <w:r>
        <w:rPr>
          <w:rFonts w:hint="eastAsia" w:ascii="宋体" w:hAnsi="宋体" w:eastAsia="宋体" w:cs="宋体"/>
          <w:color w:val="auto"/>
          <w:sz w:val="21"/>
        </w:rPr>
        <w:t>）服务方案</w:t>
      </w:r>
    </w:p>
    <w:p w14:paraId="536BBE84">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4</w:t>
      </w:r>
      <w:r>
        <w:rPr>
          <w:rFonts w:hint="eastAsia" w:ascii="宋体" w:hAnsi="宋体" w:eastAsia="宋体" w:cs="宋体"/>
          <w:color w:val="auto"/>
          <w:sz w:val="21"/>
        </w:rPr>
        <w:t>）技术/商务响应与偏离表</w:t>
      </w:r>
    </w:p>
    <w:p w14:paraId="1CA7A6D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5</w:t>
      </w:r>
      <w:r>
        <w:rPr>
          <w:rFonts w:hint="eastAsia" w:ascii="宋体" w:hAnsi="宋体" w:eastAsia="宋体" w:cs="宋体"/>
          <w:color w:val="auto"/>
          <w:sz w:val="21"/>
        </w:rPr>
        <w:t>）提供政府采购政策产品清单及有关证明材料</w:t>
      </w:r>
    </w:p>
    <w:p w14:paraId="2A7CA4C6">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6</w:t>
      </w:r>
      <w:r>
        <w:rPr>
          <w:rFonts w:hint="eastAsia" w:ascii="宋体" w:hAnsi="宋体" w:eastAsia="宋体" w:cs="宋体"/>
          <w:color w:val="auto"/>
          <w:sz w:val="21"/>
        </w:rPr>
        <w:t>）报价一览表及报价文件，以及规定格式的首次报价的报价一览表及报价文件的电子文件</w:t>
      </w:r>
    </w:p>
    <w:p w14:paraId="781A79B6">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US" w:eastAsia="zh-CN"/>
        </w:rPr>
        <w:t>7</w:t>
      </w:r>
      <w:r>
        <w:rPr>
          <w:rFonts w:hint="eastAsia" w:ascii="宋体" w:hAnsi="宋体" w:eastAsia="宋体" w:cs="宋体"/>
          <w:color w:val="auto"/>
          <w:sz w:val="21"/>
        </w:rPr>
        <w:t>）供应商认为需提供的其他资料</w:t>
      </w:r>
    </w:p>
    <w:p w14:paraId="500F1275">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14.2除</w:t>
      </w:r>
      <w:r>
        <w:rPr>
          <w:rFonts w:hint="eastAsia" w:ascii="宋体" w:hAnsi="宋体" w:eastAsia="宋体" w:cs="宋体"/>
          <w:b/>
          <w:color w:val="auto"/>
          <w:sz w:val="21"/>
        </w:rPr>
        <w:t>磋商文件前附表</w:t>
      </w:r>
      <w:r>
        <w:rPr>
          <w:rFonts w:hint="eastAsia" w:ascii="宋体" w:hAnsi="宋体" w:eastAsia="宋体" w:cs="宋体"/>
          <w:color w:val="auto"/>
          <w:sz w:val="21"/>
        </w:rPr>
        <w:t>另有规定外，供应商提供的货物及服务不是供应商制造或拥有的,则应当提供经销、或代理磋商货物、或为磋商货物提供售后服务的证明文件。否则，在磋商时将其视为无效响应文件。</w:t>
      </w:r>
    </w:p>
    <w:p w14:paraId="01460E15">
      <w:pPr>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14.3</w:t>
      </w:r>
      <w:r>
        <w:rPr>
          <w:rFonts w:hint="eastAsia" w:ascii="宋体" w:hAnsi="宋体" w:eastAsia="宋体" w:cs="宋体"/>
          <w:b/>
          <w:color w:val="auto"/>
          <w:szCs w:val="21"/>
        </w:rPr>
        <w:t>磋商文件前附表</w:t>
      </w:r>
      <w:r>
        <w:rPr>
          <w:rFonts w:hint="eastAsia" w:ascii="宋体" w:hAnsi="宋体" w:eastAsia="宋体" w:cs="宋体"/>
          <w:color w:val="auto"/>
          <w:szCs w:val="21"/>
        </w:rPr>
        <w:t>规定供应商在磋商时提供样品的，供应商有以下情形之一的，在磋商时将其视为无效响应文件。</w:t>
      </w:r>
    </w:p>
    <w:p w14:paraId="5825234C">
      <w:pPr>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（1）未在</w:t>
      </w:r>
      <w:r>
        <w:rPr>
          <w:rFonts w:hint="eastAsia" w:ascii="宋体" w:hAnsi="宋体" w:eastAsia="宋体" w:cs="宋体"/>
          <w:b/>
          <w:color w:val="auto"/>
          <w:szCs w:val="21"/>
        </w:rPr>
        <w:t>磋商文件前附表</w:t>
      </w:r>
      <w:r>
        <w:rPr>
          <w:rFonts w:hint="eastAsia" w:ascii="宋体" w:hAnsi="宋体" w:eastAsia="宋体" w:cs="宋体"/>
          <w:color w:val="auto"/>
          <w:szCs w:val="21"/>
        </w:rPr>
        <w:t>规定的提交时间、地点提交的；</w:t>
      </w:r>
    </w:p>
    <w:p w14:paraId="1F36BA20">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（2）供应商提供的样品与响应文件中型号、规格不一致的。</w:t>
      </w:r>
    </w:p>
    <w:p w14:paraId="5351939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14.4在磋商过程中，供应商根据</w:t>
      </w:r>
      <w:r>
        <w:rPr>
          <w:rFonts w:hint="eastAsia" w:ascii="宋体" w:hAnsi="宋体" w:eastAsia="宋体" w:cs="宋体"/>
          <w:color w:val="auto"/>
          <w:kern w:val="0"/>
          <w:szCs w:val="21"/>
        </w:rPr>
        <w:t>磋商小组</w:t>
      </w:r>
      <w:r>
        <w:rPr>
          <w:rFonts w:hint="eastAsia" w:ascii="宋体" w:hAnsi="宋体" w:eastAsia="宋体" w:cs="宋体"/>
          <w:bCs/>
          <w:color w:val="auto"/>
          <w:szCs w:val="21"/>
        </w:rPr>
        <w:t>书面形式要求</w:t>
      </w:r>
      <w:r>
        <w:rPr>
          <w:rFonts w:hint="eastAsia" w:ascii="宋体" w:hAnsi="宋体" w:eastAsia="宋体" w:cs="宋体"/>
          <w:color w:val="auto"/>
          <w:kern w:val="0"/>
          <w:szCs w:val="21"/>
        </w:rPr>
        <w:t>提交的</w:t>
      </w:r>
      <w:r>
        <w:rPr>
          <w:rFonts w:hint="eastAsia" w:ascii="宋体" w:hAnsi="宋体" w:eastAsia="宋体" w:cs="宋体"/>
          <w:color w:val="auto"/>
          <w:szCs w:val="21"/>
        </w:rPr>
        <w:t>最后报价(或者</w:t>
      </w:r>
      <w:r>
        <w:rPr>
          <w:rFonts w:hint="eastAsia" w:ascii="宋体" w:hAnsi="宋体" w:eastAsia="宋体" w:cs="宋体"/>
          <w:bCs/>
          <w:color w:val="auto"/>
          <w:szCs w:val="21"/>
        </w:rPr>
        <w:t>重</w:t>
      </w:r>
      <w:r>
        <w:rPr>
          <w:rFonts w:hint="eastAsia" w:ascii="宋体" w:hAnsi="宋体" w:eastAsia="宋体" w:cs="宋体"/>
          <w:color w:val="auto"/>
          <w:kern w:val="0"/>
          <w:szCs w:val="21"/>
        </w:rPr>
        <w:t>新提交的响应文件和</w:t>
      </w:r>
      <w:r>
        <w:rPr>
          <w:rFonts w:hint="eastAsia" w:ascii="宋体" w:hAnsi="宋体" w:eastAsia="宋体" w:cs="宋体"/>
          <w:color w:val="auto"/>
          <w:szCs w:val="21"/>
        </w:rPr>
        <w:t>最后报价)是响应文件的有效组成部分。</w:t>
      </w:r>
    </w:p>
    <w:p w14:paraId="3EF724B8">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14.5</w:t>
      </w:r>
      <w:r>
        <w:rPr>
          <w:rFonts w:hint="eastAsia" w:ascii="宋体" w:hAnsi="宋体" w:eastAsia="宋体" w:cs="宋体"/>
          <w:color w:val="auto"/>
          <w:kern w:val="0"/>
          <w:szCs w:val="21"/>
        </w:rPr>
        <w:t>磋商文件规定可能发生实质性变动的，供应商应当在</w:t>
      </w:r>
      <w:r>
        <w:rPr>
          <w:rFonts w:hint="eastAsia" w:ascii="宋体" w:hAnsi="宋体" w:eastAsia="宋体" w:cs="宋体"/>
          <w:color w:val="auto"/>
          <w:szCs w:val="21"/>
        </w:rPr>
        <w:t>《技术/商务响应与偏离表》中对应内容注明。</w:t>
      </w:r>
    </w:p>
    <w:p w14:paraId="33E0762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14.6根据《政府采购法》第四十二条的规定，供应商无论成交与否，其响应文件不予退还。</w:t>
      </w:r>
    </w:p>
    <w:p w14:paraId="134136D8">
      <w:pPr>
        <w:adjustRightInd w:val="0"/>
        <w:snapToGrid w:val="0"/>
        <w:spacing w:line="360" w:lineRule="auto"/>
        <w:rPr>
          <w:rFonts w:hint="eastAsia" w:ascii="宋体" w:hAnsi="宋体" w:eastAsia="宋体" w:cs="宋体"/>
          <w:b/>
          <w:bCs/>
          <w:color w:val="auto"/>
          <w:szCs w:val="21"/>
        </w:rPr>
      </w:pPr>
      <w:bookmarkStart w:id="82" w:name="_Toc27697_WPSOffice_Level3"/>
      <w:r>
        <w:rPr>
          <w:rFonts w:hint="eastAsia" w:ascii="宋体" w:hAnsi="宋体" w:eastAsia="宋体" w:cs="宋体"/>
          <w:b/>
          <w:bCs/>
          <w:color w:val="auto"/>
          <w:szCs w:val="21"/>
        </w:rPr>
        <w:t>15.报价</w:t>
      </w:r>
      <w:bookmarkEnd w:id="82"/>
    </w:p>
    <w:p w14:paraId="6D8A9BE8">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15.1供应商应当根据磋商文件要求和范围，以</w:t>
      </w:r>
      <w:r>
        <w:rPr>
          <w:rFonts w:hint="eastAsia" w:ascii="宋体" w:hAnsi="宋体" w:eastAsia="宋体" w:cs="宋体"/>
          <w:bCs/>
          <w:color w:val="auto"/>
          <w:szCs w:val="21"/>
        </w:rPr>
        <w:t>人民币</w:t>
      </w:r>
      <w:r>
        <w:rPr>
          <w:rFonts w:hint="eastAsia" w:ascii="宋体" w:hAnsi="宋体" w:eastAsia="宋体" w:cs="宋体"/>
          <w:color w:val="auto"/>
          <w:szCs w:val="21"/>
        </w:rPr>
        <w:t>报价，以元为单位，保留小数点后两位。</w:t>
      </w:r>
    </w:p>
    <w:p w14:paraId="6730FC6A">
      <w:pPr>
        <w:pStyle w:val="55"/>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15.2供应商应按第五章“采购需求”要求及第五章“响应文件组成”格式填写。供应商在</w:t>
      </w:r>
      <w:r>
        <w:rPr>
          <w:rFonts w:hint="eastAsia" w:ascii="宋体" w:hAnsi="宋体" w:eastAsia="宋体" w:cs="宋体"/>
          <w:bCs/>
          <w:color w:val="auto"/>
          <w:sz w:val="21"/>
        </w:rPr>
        <w:t>本章第11.1</w:t>
      </w:r>
      <w:r>
        <w:rPr>
          <w:rFonts w:hint="eastAsia" w:ascii="宋体" w:hAnsi="宋体" w:eastAsia="宋体" w:cs="宋体"/>
          <w:color w:val="auto"/>
          <w:sz w:val="21"/>
          <w:lang w:val="zh-CN"/>
        </w:rPr>
        <w:t>款</w:t>
      </w:r>
      <w:r>
        <w:rPr>
          <w:rFonts w:hint="eastAsia" w:ascii="宋体" w:hAnsi="宋体" w:eastAsia="宋体" w:cs="宋体"/>
          <w:bCs/>
          <w:color w:val="auto"/>
          <w:sz w:val="21"/>
        </w:rPr>
        <w:t>规定的</w:t>
      </w:r>
      <w:r>
        <w:rPr>
          <w:rFonts w:hint="eastAsia" w:ascii="宋体" w:hAnsi="宋体" w:eastAsia="宋体" w:cs="宋体"/>
          <w:color w:val="auto"/>
          <w:sz w:val="21"/>
        </w:rPr>
        <w:t>提交首次响应文件截止之日前修改报价一览表中的报价，应同时修改其按第六章要求填写的相应表格中的报价。此修改须符合本章第21.1款的有关要求。</w:t>
      </w:r>
    </w:p>
    <w:p w14:paraId="3865CC35">
      <w:pPr>
        <w:pStyle w:val="13"/>
        <w:adjustRightInd w:val="0"/>
        <w:snapToGrid w:val="0"/>
        <w:spacing w:line="360" w:lineRule="auto"/>
        <w:ind w:firstLine="422" w:firstLineChars="200"/>
        <w:rPr>
          <w:rFonts w:hint="eastAsia" w:ascii="宋体" w:hAnsi="宋体" w:eastAsia="宋体" w:cs="宋体"/>
          <w:b/>
          <w:color w:val="auto"/>
          <w:sz w:val="21"/>
        </w:rPr>
      </w:pPr>
      <w:r>
        <w:rPr>
          <w:rFonts w:hint="eastAsia" w:ascii="宋体" w:hAnsi="宋体" w:eastAsia="宋体" w:cs="宋体"/>
          <w:b/>
          <w:color w:val="auto"/>
          <w:sz w:val="21"/>
        </w:rPr>
        <w:t>15.3响应文件中标明的价格在合同执行过程中是固定不变的，不得以任何理由予以变更。以可变动价格提交的报价将被认为是非实质响应而被拒绝。</w:t>
      </w:r>
    </w:p>
    <w:p w14:paraId="01FCD2F6">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15.4</w:t>
      </w:r>
      <w:r>
        <w:rPr>
          <w:rFonts w:hint="eastAsia" w:ascii="宋体" w:hAnsi="宋体" w:eastAsia="宋体" w:cs="宋体"/>
          <w:color w:val="auto"/>
          <w:sz w:val="21"/>
          <w:lang w:val="zh-CN"/>
        </w:rPr>
        <w:t>供应商</w:t>
      </w:r>
      <w:r>
        <w:rPr>
          <w:rFonts w:hint="eastAsia" w:ascii="宋体" w:hAnsi="宋体" w:eastAsia="宋体" w:cs="宋体"/>
          <w:color w:val="auto"/>
          <w:sz w:val="21"/>
        </w:rPr>
        <w:t>的报价不得超过采购项目预算，采购项目预算或其计算方法见</w:t>
      </w:r>
      <w:r>
        <w:rPr>
          <w:rFonts w:hint="eastAsia" w:ascii="宋体" w:hAnsi="宋体" w:eastAsia="宋体" w:cs="宋体"/>
          <w:b/>
          <w:color w:val="auto"/>
          <w:sz w:val="21"/>
        </w:rPr>
        <w:t>磋商须知前附表</w:t>
      </w:r>
      <w:r>
        <w:rPr>
          <w:rFonts w:hint="eastAsia" w:ascii="宋体" w:hAnsi="宋体" w:eastAsia="宋体" w:cs="宋体"/>
          <w:color w:val="auto"/>
          <w:sz w:val="21"/>
        </w:rPr>
        <w:t>。</w:t>
      </w:r>
    </w:p>
    <w:p w14:paraId="133A46AD">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val="en-US" w:eastAsia="zh-CN"/>
        </w:rPr>
        <w:t>15.5</w:t>
      </w:r>
      <w:r>
        <w:rPr>
          <w:rFonts w:hint="eastAsia" w:ascii="宋体" w:hAnsi="宋体" w:eastAsia="宋体" w:cs="宋体"/>
          <w:color w:val="FF0000"/>
          <w:szCs w:val="21"/>
        </w:rPr>
        <w:t>政府采购评审中出现下列情形之一的，评审委员会应当启动异常低价投标（响应）审查程序： </w:t>
      </w:r>
    </w:p>
    <w:p w14:paraId="6CB07A09">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eastAsia="zh-CN"/>
        </w:rPr>
        <w:t>（</w:t>
      </w:r>
      <w:r>
        <w:rPr>
          <w:rFonts w:hint="eastAsia" w:ascii="宋体" w:hAnsi="宋体" w:eastAsia="宋体" w:cs="宋体"/>
          <w:color w:val="FF0000"/>
          <w:szCs w:val="21"/>
          <w:lang w:val="en-US" w:eastAsia="zh-CN"/>
        </w:rPr>
        <w:t>1</w:t>
      </w:r>
      <w:r>
        <w:rPr>
          <w:rFonts w:hint="eastAsia" w:ascii="宋体" w:hAnsi="宋体" w:eastAsia="宋体" w:cs="宋体"/>
          <w:color w:val="FF0000"/>
          <w:szCs w:val="21"/>
          <w:lang w:eastAsia="zh-CN"/>
        </w:rPr>
        <w:t>）</w:t>
      </w:r>
      <w:r>
        <w:rPr>
          <w:rFonts w:hint="eastAsia" w:ascii="宋体" w:hAnsi="宋体" w:eastAsia="宋体" w:cs="宋体"/>
          <w:color w:val="FF0000"/>
          <w:szCs w:val="21"/>
        </w:rPr>
        <w:t>投标（响应）报价低于全部通过符合性审查供应商投标（响应）报价平均值50%的，即投标（响应）报价&lt;全部通过符合性审查供应商投标（响应）报价平均值×50%； </w:t>
      </w:r>
    </w:p>
    <w:p w14:paraId="53C0E4A8">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eastAsia="zh-CN"/>
        </w:rPr>
        <w:t>（</w:t>
      </w:r>
      <w:r>
        <w:rPr>
          <w:rFonts w:hint="eastAsia" w:ascii="宋体" w:hAnsi="宋体" w:eastAsia="宋体" w:cs="宋体"/>
          <w:color w:val="FF0000"/>
          <w:szCs w:val="21"/>
          <w:lang w:val="en-US" w:eastAsia="zh-CN"/>
        </w:rPr>
        <w:t>2</w:t>
      </w:r>
      <w:r>
        <w:rPr>
          <w:rFonts w:hint="eastAsia" w:ascii="宋体" w:hAnsi="宋体" w:eastAsia="宋体" w:cs="宋体"/>
          <w:color w:val="FF0000"/>
          <w:szCs w:val="21"/>
          <w:lang w:eastAsia="zh-CN"/>
        </w:rPr>
        <w:t>）</w:t>
      </w:r>
      <w:r>
        <w:rPr>
          <w:rFonts w:hint="eastAsia" w:ascii="宋体" w:hAnsi="宋体" w:eastAsia="宋体" w:cs="宋体"/>
          <w:color w:val="FF0000"/>
          <w:szCs w:val="21"/>
        </w:rPr>
        <w:t>投标（响应）报价低于通过符合性审查的次低报价供应商投标（响应）报价50%的，即投标（响应）报价&lt;通过符合性审查的次低报价供应商投标（响应）报价×50%； </w:t>
      </w:r>
    </w:p>
    <w:p w14:paraId="1B7FBDA6">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eastAsia="zh-CN"/>
        </w:rPr>
        <w:t>（</w:t>
      </w:r>
      <w:r>
        <w:rPr>
          <w:rFonts w:hint="eastAsia" w:ascii="宋体" w:hAnsi="宋体" w:eastAsia="宋体" w:cs="宋体"/>
          <w:color w:val="FF0000"/>
          <w:szCs w:val="21"/>
          <w:lang w:val="en-US" w:eastAsia="zh-CN"/>
        </w:rPr>
        <w:t>3</w:t>
      </w:r>
      <w:r>
        <w:rPr>
          <w:rFonts w:hint="eastAsia" w:ascii="宋体" w:hAnsi="宋体" w:eastAsia="宋体" w:cs="宋体"/>
          <w:color w:val="FF0000"/>
          <w:szCs w:val="21"/>
          <w:lang w:eastAsia="zh-CN"/>
        </w:rPr>
        <w:t>）</w:t>
      </w:r>
      <w:r>
        <w:rPr>
          <w:rFonts w:hint="eastAsia" w:ascii="宋体" w:hAnsi="宋体" w:eastAsia="宋体" w:cs="宋体"/>
          <w:color w:val="FF0000"/>
          <w:szCs w:val="21"/>
        </w:rPr>
        <w:t>投标（响应）报价低于采购项目最高限价45%的，即投标（响应）报价&lt;采购项目最高限价×45%； </w:t>
      </w:r>
    </w:p>
    <w:p w14:paraId="25168189">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eastAsia="zh-CN"/>
        </w:rPr>
        <w:t>（</w:t>
      </w:r>
      <w:r>
        <w:rPr>
          <w:rFonts w:hint="eastAsia" w:ascii="宋体" w:hAnsi="宋体" w:eastAsia="宋体" w:cs="宋体"/>
          <w:color w:val="FF0000"/>
          <w:szCs w:val="21"/>
          <w:lang w:val="en-US" w:eastAsia="zh-CN"/>
        </w:rPr>
        <w:t>4</w:t>
      </w:r>
      <w:r>
        <w:rPr>
          <w:rFonts w:hint="eastAsia" w:ascii="宋体" w:hAnsi="宋体" w:eastAsia="宋体" w:cs="宋体"/>
          <w:color w:val="FF0000"/>
          <w:szCs w:val="21"/>
          <w:lang w:eastAsia="zh-CN"/>
        </w:rPr>
        <w:t>）</w:t>
      </w:r>
      <w:r>
        <w:rPr>
          <w:rFonts w:hint="eastAsia" w:ascii="宋体" w:hAnsi="宋体" w:eastAsia="宋体" w:cs="宋体"/>
          <w:color w:val="FF0000"/>
          <w:szCs w:val="21"/>
        </w:rPr>
        <w:t>评审委员会基于专业判断，认为供应商报价过低，有可能影响产品质量或者不能诚信履约的其他情形。 </w:t>
      </w:r>
    </w:p>
    <w:p w14:paraId="5239F3E6">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val="en-US" w:eastAsia="zh-CN"/>
        </w:rPr>
        <w:t>15.6</w:t>
      </w:r>
      <w:r>
        <w:rPr>
          <w:rFonts w:hint="eastAsia" w:ascii="宋体" w:hAnsi="宋体" w:eastAsia="宋体" w:cs="宋体"/>
          <w:color w:val="FF0000"/>
          <w:szCs w:val="21"/>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宋体" w:hAnsi="宋体" w:eastAsia="宋体" w:cs="宋体"/>
          <w:color w:val="FF0000"/>
          <w:szCs w:val="21"/>
          <w:lang w:eastAsia="zh-CN"/>
        </w:rPr>
        <w:t>（具体以评标委员会规定为准）</w:t>
      </w:r>
      <w:r>
        <w:rPr>
          <w:rFonts w:hint="eastAsia" w:ascii="宋体" w:hAnsi="宋体" w:eastAsia="宋体" w:cs="宋体"/>
          <w:color w:val="FF0000"/>
          <w:szCs w:val="21"/>
        </w:rPr>
        <w:t>。其中，属于第3项情形，供应商已随投标（响应）文件一并提交相关书面说明及必要的证明材料的，在评审现场可不再重复提交。 </w:t>
      </w:r>
    </w:p>
    <w:p w14:paraId="3578149E">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eastAsia" w:ascii="宋体" w:hAnsi="宋体" w:eastAsia="宋体" w:cs="宋体"/>
          <w:color w:val="FF0000"/>
          <w:szCs w:val="21"/>
        </w:rPr>
      </w:pPr>
      <w:r>
        <w:rPr>
          <w:rFonts w:hint="eastAsia" w:ascii="宋体" w:hAnsi="宋体" w:eastAsia="宋体" w:cs="宋体"/>
          <w:color w:val="FF0000"/>
          <w:szCs w:val="21"/>
          <w:lang w:val="en-US" w:eastAsia="zh-CN"/>
        </w:rPr>
        <w:t>15.7</w:t>
      </w:r>
      <w:r>
        <w:rPr>
          <w:rFonts w:hint="eastAsia" w:ascii="宋体" w:hAnsi="宋体" w:eastAsia="宋体" w:cs="宋体"/>
          <w:color w:val="FF0000"/>
          <w:szCs w:val="21"/>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91BED60">
      <w:pPr>
        <w:pageBreakBefore w:val="0"/>
        <w:widowControl w:val="0"/>
        <w:kinsoku/>
        <w:wordWrap/>
        <w:overflowPunct/>
        <w:topLinePunct w:val="0"/>
        <w:autoSpaceDE/>
        <w:autoSpaceDN/>
        <w:bidi w:val="0"/>
        <w:adjustRightInd w:val="0"/>
        <w:snapToGrid w:val="0"/>
        <w:spacing w:before="156" w:beforeLines="50" w:line="360" w:lineRule="exact"/>
        <w:ind w:firstLine="420" w:firstLineChars="200"/>
        <w:jc w:val="left"/>
        <w:textAlignment w:val="auto"/>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15.8异常低价投标（响应）审查的启动原因、审查意见和审查结果应当在评审报告中记录，并随供应商提供的相关书面说明及证明材料，以及评审委员会有关互联网浏览、查询历史一并归档。 </w:t>
      </w:r>
    </w:p>
    <w:p w14:paraId="5F2C0749">
      <w:pPr>
        <w:rPr>
          <w:rFonts w:hint="eastAsia"/>
        </w:rPr>
      </w:pPr>
    </w:p>
    <w:p w14:paraId="24CD6744">
      <w:pPr>
        <w:pStyle w:val="13"/>
        <w:adjustRightInd w:val="0"/>
        <w:snapToGrid w:val="0"/>
        <w:spacing w:line="360" w:lineRule="auto"/>
        <w:rPr>
          <w:rFonts w:hint="eastAsia" w:ascii="宋体" w:hAnsi="宋体" w:eastAsia="宋体" w:cs="宋体"/>
          <w:b/>
          <w:color w:val="auto"/>
          <w:sz w:val="21"/>
        </w:rPr>
      </w:pPr>
      <w:bookmarkStart w:id="83" w:name="_Toc9955_WPSOffice_Level3"/>
      <w:r>
        <w:rPr>
          <w:rFonts w:hint="eastAsia" w:ascii="宋体" w:hAnsi="宋体" w:eastAsia="宋体" w:cs="宋体"/>
          <w:b/>
          <w:color w:val="auto"/>
          <w:sz w:val="21"/>
        </w:rPr>
        <w:t>16.供应商符合磋商文件规定的证明文件</w:t>
      </w:r>
      <w:bookmarkEnd w:id="83"/>
    </w:p>
    <w:p w14:paraId="246E9B5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lang w:val="zh-CN"/>
        </w:rPr>
        <w:t>16.1</w:t>
      </w:r>
      <w:r>
        <w:rPr>
          <w:rFonts w:hint="eastAsia" w:ascii="宋体" w:hAnsi="宋体" w:eastAsia="宋体" w:cs="宋体"/>
          <w:color w:val="auto"/>
          <w:szCs w:val="21"/>
        </w:rPr>
        <w:t>已进行资格预审的，可以不再对</w:t>
      </w:r>
      <w:r>
        <w:rPr>
          <w:rFonts w:hint="eastAsia" w:ascii="宋体" w:hAnsi="宋体" w:eastAsia="宋体" w:cs="宋体"/>
          <w:color w:val="auto"/>
          <w:szCs w:val="21"/>
          <w:lang w:eastAsia="zh-CN"/>
        </w:rPr>
        <w:t>供应商</w:t>
      </w:r>
      <w:r>
        <w:rPr>
          <w:rFonts w:hint="eastAsia" w:ascii="宋体" w:hAnsi="宋体" w:eastAsia="宋体" w:cs="宋体"/>
          <w:color w:val="auto"/>
          <w:szCs w:val="21"/>
        </w:rPr>
        <w:t>资格进行审查，资格审查合格供应商的资格条件发生重大变化，影响或者可能影响资格条件的，供应商应更新或者补充提供的资格证明材料，以证实其各项条件仍能继续满足本章第3.1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规定的供应商资格条件要求。</w:t>
      </w:r>
    </w:p>
    <w:p w14:paraId="074FE202">
      <w:pPr>
        <w:adjustRightInd w:val="0"/>
        <w:snapToGrid w:val="0"/>
        <w:spacing w:line="360" w:lineRule="auto"/>
        <w:ind w:firstLine="420" w:firstLineChars="200"/>
        <w:jc w:val="left"/>
        <w:rPr>
          <w:rFonts w:hint="eastAsia" w:ascii="宋体" w:hAnsi="宋体" w:eastAsia="宋体" w:cs="宋体"/>
          <w:color w:val="auto"/>
          <w:kern w:val="0"/>
          <w:szCs w:val="21"/>
          <w:lang w:val="zh-CN"/>
        </w:rPr>
      </w:pPr>
      <w:r>
        <w:rPr>
          <w:rFonts w:hint="eastAsia" w:ascii="宋体" w:hAnsi="宋体" w:eastAsia="宋体" w:cs="宋体"/>
          <w:color w:val="auto"/>
          <w:szCs w:val="21"/>
        </w:rPr>
        <w:t>16.2</w:t>
      </w:r>
      <w:r>
        <w:rPr>
          <w:rFonts w:hint="eastAsia" w:ascii="宋体" w:hAnsi="宋体" w:eastAsia="宋体" w:cs="宋体"/>
          <w:color w:val="auto"/>
          <w:kern w:val="0"/>
          <w:szCs w:val="21"/>
          <w:lang w:val="zh-CN"/>
        </w:rPr>
        <w:t>供应商</w:t>
      </w:r>
      <w:r>
        <w:rPr>
          <w:rFonts w:hint="eastAsia" w:ascii="宋体" w:hAnsi="宋体" w:eastAsia="宋体" w:cs="宋体"/>
          <w:color w:val="auto"/>
          <w:szCs w:val="21"/>
        </w:rPr>
        <w:t>为联合体形式的，则应提交联合体各方资格文件、联合体协议，否则将视为非实质响应而被拒绝。</w:t>
      </w:r>
    </w:p>
    <w:p w14:paraId="4348FAE5">
      <w:pPr>
        <w:adjustRightInd w:val="0"/>
        <w:snapToGrid w:val="0"/>
        <w:spacing w:line="360" w:lineRule="auto"/>
        <w:rPr>
          <w:rFonts w:hint="eastAsia" w:ascii="宋体" w:hAnsi="宋体" w:eastAsia="宋体" w:cs="宋体"/>
          <w:b/>
          <w:bCs/>
          <w:color w:val="auto"/>
          <w:szCs w:val="21"/>
        </w:rPr>
      </w:pPr>
      <w:bookmarkStart w:id="84" w:name="_Toc8239_WPSOffice_Level3"/>
      <w:r>
        <w:rPr>
          <w:rFonts w:hint="eastAsia" w:ascii="宋体" w:hAnsi="宋体" w:eastAsia="宋体" w:cs="宋体"/>
          <w:b/>
          <w:bCs/>
          <w:color w:val="auto"/>
          <w:szCs w:val="21"/>
        </w:rPr>
        <w:t>17.保证金</w:t>
      </w:r>
      <w:bookmarkEnd w:id="84"/>
    </w:p>
    <w:p w14:paraId="1BD42691">
      <w:pPr>
        <w:pStyle w:val="13"/>
        <w:adjustRightInd w:val="0"/>
        <w:snapToGrid w:val="0"/>
        <w:spacing w:line="360" w:lineRule="auto"/>
        <w:ind w:firstLine="420" w:firstLineChars="200"/>
        <w:rPr>
          <w:rFonts w:hint="eastAsia" w:ascii="宋体" w:hAnsi="宋体" w:eastAsia="宋体" w:cs="宋体"/>
          <w:bCs/>
          <w:color w:val="auto"/>
          <w:sz w:val="21"/>
        </w:rPr>
      </w:pPr>
      <w:r>
        <w:rPr>
          <w:rFonts w:hint="eastAsia" w:ascii="宋体" w:hAnsi="宋体" w:eastAsia="宋体" w:cs="宋体"/>
          <w:color w:val="auto"/>
          <w:sz w:val="21"/>
        </w:rPr>
        <w:t>17.1</w:t>
      </w:r>
      <w:r>
        <w:rPr>
          <w:rFonts w:hint="eastAsia" w:ascii="宋体" w:hAnsi="宋体" w:eastAsia="宋体" w:cs="宋体"/>
          <w:b/>
          <w:color w:val="auto"/>
          <w:sz w:val="21"/>
        </w:rPr>
        <w:t>磋商须知前附表</w:t>
      </w:r>
      <w:r>
        <w:rPr>
          <w:rFonts w:hint="eastAsia" w:ascii="宋体" w:hAnsi="宋体" w:eastAsia="宋体" w:cs="宋体"/>
          <w:color w:val="auto"/>
          <w:sz w:val="21"/>
        </w:rPr>
        <w:t>规定交纳</w:t>
      </w:r>
      <w:r>
        <w:rPr>
          <w:rFonts w:hint="eastAsia" w:ascii="宋体" w:hAnsi="宋体" w:eastAsia="宋体" w:cs="宋体"/>
          <w:bCs/>
          <w:color w:val="auto"/>
          <w:sz w:val="21"/>
        </w:rPr>
        <w:t>保证金的</w:t>
      </w:r>
      <w:r>
        <w:rPr>
          <w:rFonts w:hint="eastAsia" w:ascii="宋体" w:hAnsi="宋体" w:eastAsia="宋体" w:cs="宋体"/>
          <w:color w:val="auto"/>
          <w:sz w:val="21"/>
        </w:rPr>
        <w:t>，应按</w:t>
      </w:r>
      <w:r>
        <w:rPr>
          <w:rFonts w:hint="eastAsia" w:ascii="宋体" w:hAnsi="宋体" w:eastAsia="宋体" w:cs="宋体"/>
          <w:b/>
          <w:color w:val="auto"/>
          <w:sz w:val="21"/>
        </w:rPr>
        <w:t>磋商须知前附表</w:t>
      </w:r>
      <w:r>
        <w:rPr>
          <w:rFonts w:hint="eastAsia" w:ascii="宋体" w:hAnsi="宋体" w:eastAsia="宋体" w:cs="宋体"/>
          <w:color w:val="auto"/>
          <w:sz w:val="21"/>
        </w:rPr>
        <w:t>规定的</w:t>
      </w:r>
      <w:r>
        <w:rPr>
          <w:rFonts w:hint="eastAsia" w:ascii="宋体" w:hAnsi="宋体" w:eastAsia="宋体" w:cs="宋体"/>
          <w:bCs/>
          <w:color w:val="auto"/>
          <w:sz w:val="21"/>
        </w:rPr>
        <w:t>保证金形式交纳，不得以现金方式交纳</w:t>
      </w:r>
      <w:r>
        <w:rPr>
          <w:rFonts w:hint="eastAsia" w:ascii="宋体" w:hAnsi="宋体" w:eastAsia="宋体" w:cs="宋体"/>
          <w:color w:val="auto"/>
          <w:sz w:val="21"/>
        </w:rPr>
        <w:t>，在本章第11.1</w:t>
      </w:r>
      <w:r>
        <w:rPr>
          <w:rFonts w:hint="eastAsia" w:ascii="宋体" w:hAnsi="宋体" w:eastAsia="宋体" w:cs="宋体"/>
          <w:color w:val="auto"/>
          <w:sz w:val="21"/>
          <w:lang w:val="zh-CN"/>
        </w:rPr>
        <w:t>款</w:t>
      </w:r>
      <w:r>
        <w:rPr>
          <w:rFonts w:hint="eastAsia" w:ascii="宋体" w:hAnsi="宋体" w:eastAsia="宋体" w:cs="宋体"/>
          <w:color w:val="auto"/>
          <w:sz w:val="21"/>
        </w:rPr>
        <w:t>规定的提交首次响应文件截止时间前，</w:t>
      </w:r>
      <w:r>
        <w:rPr>
          <w:rFonts w:hint="eastAsia" w:ascii="宋体" w:hAnsi="宋体" w:eastAsia="宋体" w:cs="宋体"/>
          <w:bCs/>
          <w:color w:val="auto"/>
          <w:sz w:val="21"/>
        </w:rPr>
        <w:t>向采购代理机构交纳不超过</w:t>
      </w:r>
      <w:r>
        <w:rPr>
          <w:rFonts w:hint="eastAsia" w:ascii="宋体" w:hAnsi="宋体" w:eastAsia="宋体" w:cs="宋体"/>
          <w:color w:val="auto"/>
          <w:sz w:val="21"/>
          <w:lang w:val="zh-CN"/>
        </w:rPr>
        <w:t>采购项目预算2﹪</w:t>
      </w:r>
      <w:r>
        <w:rPr>
          <w:rFonts w:hint="eastAsia" w:ascii="宋体" w:hAnsi="宋体" w:eastAsia="宋体" w:cs="宋体"/>
          <w:bCs/>
          <w:color w:val="auto"/>
          <w:sz w:val="21"/>
        </w:rPr>
        <w:t>的保证金(数额采用四舍五入，计算至元)</w:t>
      </w:r>
      <w:r>
        <w:rPr>
          <w:rFonts w:hint="eastAsia" w:ascii="宋体" w:hAnsi="宋体" w:eastAsia="宋体" w:cs="宋体"/>
          <w:color w:val="auto"/>
          <w:sz w:val="21"/>
        </w:rPr>
        <w:t>。</w:t>
      </w:r>
      <w:r>
        <w:rPr>
          <w:rFonts w:hint="eastAsia" w:ascii="宋体" w:hAnsi="宋体" w:eastAsia="宋体" w:cs="宋体"/>
          <w:bCs/>
          <w:color w:val="auto"/>
          <w:sz w:val="21"/>
        </w:rPr>
        <w:t>保证金有效期应当与</w:t>
      </w:r>
      <w:r>
        <w:rPr>
          <w:rFonts w:hint="eastAsia" w:ascii="宋体" w:hAnsi="宋体" w:eastAsia="宋体" w:cs="宋体"/>
          <w:color w:val="auto"/>
          <w:sz w:val="21"/>
        </w:rPr>
        <w:t>本章第18.1</w:t>
      </w:r>
      <w:r>
        <w:rPr>
          <w:rFonts w:hint="eastAsia" w:ascii="宋体" w:hAnsi="宋体" w:eastAsia="宋体" w:cs="宋体"/>
          <w:color w:val="auto"/>
          <w:sz w:val="21"/>
          <w:lang w:val="zh-CN"/>
        </w:rPr>
        <w:t>款</w:t>
      </w:r>
      <w:r>
        <w:rPr>
          <w:rFonts w:hint="eastAsia" w:ascii="宋体" w:hAnsi="宋体" w:eastAsia="宋体" w:cs="宋体"/>
          <w:color w:val="auto"/>
          <w:sz w:val="21"/>
        </w:rPr>
        <w:t>规定的</w:t>
      </w:r>
      <w:r>
        <w:rPr>
          <w:rFonts w:hint="eastAsia" w:ascii="宋体" w:hAnsi="宋体" w:eastAsia="宋体" w:cs="宋体"/>
          <w:bCs/>
          <w:color w:val="auto"/>
          <w:sz w:val="21"/>
        </w:rPr>
        <w:t>响应文件有效期一致。</w:t>
      </w:r>
    </w:p>
    <w:p w14:paraId="3C7DD12C">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17.2</w:t>
      </w:r>
      <w:r>
        <w:rPr>
          <w:rFonts w:hint="eastAsia" w:ascii="宋体" w:hAnsi="宋体" w:eastAsia="宋体" w:cs="宋体"/>
          <w:color w:val="auto"/>
          <w:kern w:val="0"/>
          <w:szCs w:val="21"/>
          <w:lang w:val="zh-CN"/>
        </w:rPr>
        <w:t>供应商为联合体的，可以由联合体中的一方或者共同交纳保证金，其交纳的保证金，对联合体各方均具有约束力。</w:t>
      </w:r>
    </w:p>
    <w:p w14:paraId="764B842A">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17.3 未按磋商文件规定提交保证金的，</w:t>
      </w:r>
      <w:r>
        <w:rPr>
          <w:rFonts w:hint="eastAsia" w:ascii="宋体" w:hAnsi="宋体" w:eastAsia="宋体" w:cs="宋体"/>
          <w:bCs/>
          <w:color w:val="auto"/>
          <w:sz w:val="21"/>
        </w:rPr>
        <w:t>采购人或采购代理机构应当拒绝接收供应商的响应文件</w:t>
      </w:r>
      <w:r>
        <w:rPr>
          <w:rFonts w:hint="eastAsia" w:ascii="宋体" w:hAnsi="宋体" w:eastAsia="宋体" w:cs="宋体"/>
          <w:color w:val="auto"/>
          <w:sz w:val="21"/>
        </w:rPr>
        <w:t>。</w:t>
      </w:r>
    </w:p>
    <w:p w14:paraId="13594F92">
      <w:pPr>
        <w:pStyle w:val="13"/>
        <w:tabs>
          <w:tab w:val="left" w:pos="6300"/>
        </w:tabs>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17.4采购代理机构在成交通知书发出后5个工作日内退还未成交供应商的保证金；在采购合同签定后5个工作日内退还成交供应商的保证金，但因供应商自身原因导致无法及时退还的除外。</w:t>
      </w:r>
    </w:p>
    <w:p w14:paraId="1CE62DBC">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17.5 有下列情形之一的，保证金不予退还，并上缴</w:t>
      </w:r>
      <w:r>
        <w:rPr>
          <w:rFonts w:hint="eastAsia" w:ascii="宋体" w:hAnsi="宋体" w:eastAsia="宋体" w:cs="宋体"/>
          <w:color w:val="auto"/>
          <w:sz w:val="21"/>
          <w:lang w:eastAsia="zh-CN"/>
        </w:rPr>
        <w:t>财政部门</w:t>
      </w:r>
      <w:r>
        <w:rPr>
          <w:rFonts w:hint="eastAsia" w:ascii="宋体" w:hAnsi="宋体" w:eastAsia="宋体" w:cs="宋体"/>
          <w:color w:val="auto"/>
          <w:sz w:val="21"/>
        </w:rPr>
        <w:t>：</w:t>
      </w:r>
    </w:p>
    <w:p w14:paraId="2862AFDF">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（1）供应商在</w:t>
      </w:r>
      <w:r>
        <w:rPr>
          <w:rFonts w:hint="eastAsia" w:ascii="宋体" w:hAnsi="宋体" w:eastAsia="宋体" w:cs="宋体"/>
          <w:bCs/>
          <w:color w:val="auto"/>
          <w:szCs w:val="21"/>
        </w:rPr>
        <w:t>本章第11.1</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规定的</w:t>
      </w:r>
      <w:r>
        <w:rPr>
          <w:rFonts w:hint="eastAsia" w:ascii="宋体" w:hAnsi="宋体" w:eastAsia="宋体" w:cs="宋体"/>
          <w:color w:val="auto"/>
          <w:kern w:val="0"/>
          <w:szCs w:val="21"/>
        </w:rPr>
        <w:t>提交首次响应文件截止时间后撤回响应文件的；</w:t>
      </w:r>
    </w:p>
    <w:p w14:paraId="22974F24">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（2）供应商在响应文件中提供虚假材料的；</w:t>
      </w:r>
    </w:p>
    <w:p w14:paraId="50993335">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（3）除因不可抗力或磋商文件认可的情形以外，成交供应商不与采购人签订合同的；</w:t>
      </w:r>
    </w:p>
    <w:p w14:paraId="7C4372E2">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（4）供应商与采购人、其他供应商或者采购代理机构恶意串通的；</w:t>
      </w:r>
    </w:p>
    <w:p w14:paraId="16A9C3A5">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（5）磋商文件规定的其他情形。</w:t>
      </w:r>
    </w:p>
    <w:p w14:paraId="438F3B9B">
      <w:pPr>
        <w:adjustRightInd w:val="0"/>
        <w:snapToGrid w:val="0"/>
        <w:spacing w:line="360" w:lineRule="auto"/>
        <w:rPr>
          <w:rFonts w:hint="eastAsia" w:ascii="宋体" w:hAnsi="宋体" w:eastAsia="宋体" w:cs="宋体"/>
          <w:b/>
          <w:bCs/>
          <w:color w:val="auto"/>
          <w:szCs w:val="21"/>
        </w:rPr>
      </w:pPr>
      <w:bookmarkStart w:id="85" w:name="_Toc400_WPSOffice_Level3"/>
      <w:r>
        <w:rPr>
          <w:rFonts w:hint="eastAsia" w:ascii="宋体" w:hAnsi="宋体" w:eastAsia="宋体" w:cs="宋体"/>
          <w:b/>
          <w:bCs/>
          <w:color w:val="auto"/>
          <w:szCs w:val="21"/>
        </w:rPr>
        <w:t>18.</w:t>
      </w:r>
      <w:r>
        <w:rPr>
          <w:rFonts w:hint="eastAsia" w:ascii="宋体" w:hAnsi="宋体" w:eastAsia="宋体" w:cs="宋体"/>
          <w:color w:val="auto"/>
          <w:szCs w:val="21"/>
        </w:rPr>
        <w:t xml:space="preserve"> </w:t>
      </w:r>
      <w:r>
        <w:rPr>
          <w:rFonts w:hint="eastAsia" w:ascii="宋体" w:hAnsi="宋体" w:eastAsia="宋体" w:cs="宋体"/>
          <w:b/>
          <w:color w:val="auto"/>
          <w:szCs w:val="21"/>
        </w:rPr>
        <w:t>响应文件有效期</w:t>
      </w:r>
      <w:bookmarkEnd w:id="85"/>
    </w:p>
    <w:p w14:paraId="4A23BD58">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18.1响应文件有效期见</w:t>
      </w:r>
      <w:r>
        <w:rPr>
          <w:rFonts w:hint="eastAsia" w:ascii="宋体" w:hAnsi="宋体" w:eastAsia="宋体" w:cs="宋体"/>
          <w:b/>
          <w:color w:val="auto"/>
          <w:szCs w:val="21"/>
        </w:rPr>
        <w:t>磋商须知前附表</w:t>
      </w:r>
      <w:r>
        <w:rPr>
          <w:rFonts w:hint="eastAsia" w:ascii="宋体" w:hAnsi="宋体" w:eastAsia="宋体" w:cs="宋体"/>
          <w:color w:val="auto"/>
          <w:szCs w:val="21"/>
        </w:rPr>
        <w:t>，在此期间响应文件对供应商具有法律约束力，从本章第11.1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w:t>
      </w:r>
      <w:r>
        <w:rPr>
          <w:rFonts w:hint="eastAsia" w:ascii="宋体" w:hAnsi="宋体" w:eastAsia="宋体" w:cs="宋体"/>
          <w:color w:val="auto"/>
          <w:kern w:val="0"/>
          <w:szCs w:val="21"/>
        </w:rPr>
        <w:t>提交首次响应文件截止时间</w:t>
      </w:r>
      <w:r>
        <w:rPr>
          <w:rFonts w:hint="eastAsia" w:ascii="宋体" w:hAnsi="宋体" w:eastAsia="宋体" w:cs="宋体"/>
          <w:color w:val="auto"/>
          <w:szCs w:val="21"/>
        </w:rPr>
        <w:t>之日起计算。响应文件有效期不足的将被视为无效响应。</w:t>
      </w:r>
    </w:p>
    <w:p w14:paraId="41AEDC86">
      <w:pPr>
        <w:adjustRightInd w:val="0"/>
        <w:snapToGrid w:val="0"/>
        <w:spacing w:line="360" w:lineRule="auto"/>
        <w:rPr>
          <w:rFonts w:hint="eastAsia" w:ascii="宋体" w:hAnsi="宋体" w:eastAsia="宋体" w:cs="宋体"/>
          <w:b/>
          <w:bCs/>
          <w:color w:val="auto"/>
          <w:szCs w:val="21"/>
        </w:rPr>
      </w:pPr>
      <w:bookmarkStart w:id="86" w:name="_Toc29534_WPSOffice_Level3"/>
      <w:r>
        <w:rPr>
          <w:rFonts w:hint="eastAsia" w:ascii="宋体" w:hAnsi="宋体" w:eastAsia="宋体" w:cs="宋体"/>
          <w:b/>
          <w:bCs/>
          <w:color w:val="auto"/>
          <w:szCs w:val="21"/>
        </w:rPr>
        <w:t>19.响应文件的签署及规定</w:t>
      </w:r>
      <w:bookmarkEnd w:id="86"/>
    </w:p>
    <w:p w14:paraId="5867D6C6">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19.1响应文件的正本和副本应装订成册，正本一份，副本份数见</w:t>
      </w:r>
      <w:r>
        <w:rPr>
          <w:rFonts w:hint="eastAsia" w:ascii="宋体" w:hAnsi="宋体" w:eastAsia="宋体" w:cs="宋体"/>
          <w:b/>
          <w:color w:val="auto"/>
          <w:sz w:val="21"/>
        </w:rPr>
        <w:t>磋商须知前附表</w:t>
      </w:r>
      <w:r>
        <w:rPr>
          <w:rFonts w:hint="eastAsia" w:ascii="宋体" w:hAnsi="宋体" w:eastAsia="宋体" w:cs="宋体"/>
          <w:color w:val="auto"/>
          <w:sz w:val="21"/>
        </w:rPr>
        <w:t>。正本和副本的封面上应标记“正本”或“副本”的字样，当正本和副本有差异时，以正本为准。</w:t>
      </w:r>
    </w:p>
    <w:p w14:paraId="4C8992C1">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19.2 响应文件正本和副本应按磋商文件要求签章处盖单位章和由法定代表人或其委托代理人签字；任何加行、涂改、增删，应有法定代表人或其委托代理人在旁边签字。否则，将导致响应文件无效。</w:t>
      </w:r>
    </w:p>
    <w:p w14:paraId="2412A2F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19.3 在磋商过程中，供应商按磋商文件规定和磋商小组要求提交的最后报价(或者</w:t>
      </w:r>
      <w:r>
        <w:rPr>
          <w:rFonts w:hint="eastAsia" w:ascii="宋体" w:hAnsi="宋体" w:eastAsia="宋体" w:cs="宋体"/>
          <w:bCs/>
          <w:color w:val="auto"/>
          <w:sz w:val="21"/>
        </w:rPr>
        <w:t>重</w:t>
      </w:r>
      <w:r>
        <w:rPr>
          <w:rFonts w:hint="eastAsia" w:ascii="宋体" w:hAnsi="宋体" w:eastAsia="宋体" w:cs="宋体"/>
          <w:color w:val="auto"/>
          <w:sz w:val="21"/>
        </w:rPr>
        <w:t>新提交的响应文件和最后报价)，一式两份，可打印或用不退色墨水书写，但需经法定代表人或其委托代理人签字，或者加盖供应商单位章。否则，将导致响应文件无效。</w:t>
      </w:r>
    </w:p>
    <w:p w14:paraId="46B77E0F">
      <w:pPr>
        <w:adjustRightInd w:val="0"/>
        <w:snapToGrid w:val="0"/>
        <w:spacing w:line="360" w:lineRule="auto"/>
        <w:outlineLvl w:val="2"/>
        <w:rPr>
          <w:rFonts w:hint="eastAsia" w:ascii="宋体" w:hAnsi="宋体" w:eastAsia="宋体" w:cs="宋体"/>
          <w:b/>
          <w:color w:val="auto"/>
          <w:szCs w:val="21"/>
        </w:rPr>
      </w:pPr>
      <w:bookmarkStart w:id="87" w:name="_Toc19149_WPSOffice_Level2"/>
      <w:bookmarkStart w:id="88" w:name="_Toc5493"/>
      <w:r>
        <w:rPr>
          <w:rFonts w:hint="eastAsia" w:ascii="宋体" w:hAnsi="宋体" w:eastAsia="宋体" w:cs="宋体"/>
          <w:b/>
          <w:color w:val="auto"/>
          <w:szCs w:val="21"/>
        </w:rPr>
        <w:t>四、响应文件的递交</w:t>
      </w:r>
      <w:bookmarkEnd w:id="87"/>
      <w:bookmarkEnd w:id="88"/>
    </w:p>
    <w:p w14:paraId="0846F578">
      <w:pPr>
        <w:adjustRightInd w:val="0"/>
        <w:snapToGrid w:val="0"/>
        <w:spacing w:line="360" w:lineRule="auto"/>
        <w:rPr>
          <w:rFonts w:hint="eastAsia" w:ascii="宋体" w:hAnsi="宋体" w:eastAsia="宋体" w:cs="宋体"/>
          <w:b/>
          <w:bCs/>
          <w:color w:val="auto"/>
          <w:szCs w:val="21"/>
        </w:rPr>
      </w:pPr>
      <w:bookmarkStart w:id="89" w:name="_Toc17015_WPSOffice_Level3"/>
      <w:r>
        <w:rPr>
          <w:rFonts w:hint="eastAsia" w:ascii="宋体" w:hAnsi="宋体" w:eastAsia="宋体" w:cs="宋体"/>
          <w:b/>
          <w:bCs/>
          <w:color w:val="auto"/>
          <w:szCs w:val="21"/>
        </w:rPr>
        <w:t>20.</w:t>
      </w:r>
      <w:r>
        <w:rPr>
          <w:rFonts w:hint="eastAsia" w:ascii="宋体" w:hAnsi="宋体" w:eastAsia="宋体" w:cs="宋体"/>
          <w:b/>
          <w:color w:val="auto"/>
          <w:szCs w:val="21"/>
        </w:rPr>
        <w:t>响应文件</w:t>
      </w:r>
      <w:r>
        <w:rPr>
          <w:rFonts w:hint="eastAsia" w:ascii="宋体" w:hAnsi="宋体" w:eastAsia="宋体" w:cs="宋体"/>
          <w:b/>
          <w:bCs/>
          <w:color w:val="auto"/>
          <w:szCs w:val="21"/>
        </w:rPr>
        <w:t>的密封和标记</w:t>
      </w:r>
      <w:bookmarkEnd w:id="89"/>
    </w:p>
    <w:p w14:paraId="60D7E801">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20.1响应文件应密封包装，加贴封条，并在封套的封口处盖供应商单位章或者由法定代表人或其委托代理人签字。</w:t>
      </w:r>
    </w:p>
    <w:p w14:paraId="39EF5DF5">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20.2响应文件封套上应写明的内容见</w:t>
      </w:r>
      <w:r>
        <w:rPr>
          <w:rFonts w:hint="eastAsia" w:ascii="宋体" w:hAnsi="宋体" w:eastAsia="宋体" w:cs="宋体"/>
          <w:b/>
          <w:color w:val="auto"/>
          <w:szCs w:val="21"/>
        </w:rPr>
        <w:t>磋商须知前附表。</w:t>
      </w:r>
    </w:p>
    <w:p w14:paraId="7E0F6BFF">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20.3响应文件如果未按上述规定密封和加写标记，采购人或采购代理机构将拒绝接收。</w:t>
      </w:r>
    </w:p>
    <w:p w14:paraId="1A5DEF69">
      <w:pPr>
        <w:adjustRightInd w:val="0"/>
        <w:snapToGrid w:val="0"/>
        <w:spacing w:line="360" w:lineRule="auto"/>
        <w:rPr>
          <w:rFonts w:hint="eastAsia" w:ascii="宋体" w:hAnsi="宋体" w:eastAsia="宋体" w:cs="宋体"/>
          <w:b/>
          <w:bCs/>
          <w:color w:val="auto"/>
          <w:szCs w:val="21"/>
        </w:rPr>
      </w:pPr>
      <w:bookmarkStart w:id="90" w:name="_Toc14799_WPSOffice_Level3"/>
      <w:r>
        <w:rPr>
          <w:rFonts w:hint="eastAsia" w:ascii="宋体" w:hAnsi="宋体" w:eastAsia="宋体" w:cs="宋体"/>
          <w:b/>
          <w:bCs/>
          <w:color w:val="auto"/>
          <w:szCs w:val="21"/>
        </w:rPr>
        <w:t>21.响应文件的</w:t>
      </w:r>
      <w:r>
        <w:rPr>
          <w:rFonts w:hint="eastAsia" w:ascii="宋体" w:hAnsi="宋体" w:eastAsia="宋体" w:cs="宋体"/>
          <w:b/>
          <w:color w:val="auto"/>
          <w:kern w:val="0"/>
          <w:szCs w:val="21"/>
          <w:lang w:val="zh-CN"/>
        </w:rPr>
        <w:t>补充、修改或者撤回</w:t>
      </w:r>
      <w:bookmarkEnd w:id="90"/>
    </w:p>
    <w:p w14:paraId="572D8800">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21.1供应商在本章第11.1</w:t>
      </w:r>
      <w:r>
        <w:rPr>
          <w:rFonts w:hint="eastAsia" w:ascii="宋体" w:hAnsi="宋体" w:eastAsia="宋体" w:cs="宋体"/>
          <w:color w:val="auto"/>
          <w:sz w:val="21"/>
          <w:lang w:val="zh-CN"/>
        </w:rPr>
        <w:t>款</w:t>
      </w:r>
      <w:r>
        <w:rPr>
          <w:rFonts w:hint="eastAsia" w:ascii="宋体" w:hAnsi="宋体" w:eastAsia="宋体" w:cs="宋体"/>
          <w:color w:val="auto"/>
          <w:sz w:val="21"/>
        </w:rPr>
        <w:t>规定的提交首次响应文件截止时间前，可以对所提交的首次响应文件进行补充、修改或者撤回，并书面通知采购人、采购代理机构。该通知应有供应商法定代表人或其委托代理人签字。</w:t>
      </w:r>
    </w:p>
    <w:p w14:paraId="5C9BF00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21.2</w:t>
      </w:r>
      <w:r>
        <w:rPr>
          <w:rFonts w:hint="eastAsia" w:ascii="宋体" w:hAnsi="宋体" w:eastAsia="宋体" w:cs="宋体"/>
          <w:color w:val="auto"/>
          <w:sz w:val="21"/>
          <w:lang w:val="zh-CN"/>
        </w:rPr>
        <w:t>补充、修改的内容与响应文件不一致时，以补充、修改的内容为准。</w:t>
      </w:r>
    </w:p>
    <w:p w14:paraId="205D9D7E">
      <w:pPr>
        <w:adjustRightInd w:val="0"/>
        <w:snapToGrid w:val="0"/>
        <w:spacing w:line="360" w:lineRule="auto"/>
        <w:rPr>
          <w:rFonts w:hint="eastAsia" w:ascii="宋体" w:hAnsi="宋体" w:eastAsia="宋体" w:cs="宋体"/>
          <w:b/>
          <w:bCs/>
          <w:color w:val="auto"/>
          <w:szCs w:val="21"/>
        </w:rPr>
      </w:pPr>
      <w:bookmarkStart w:id="91" w:name="_Toc12431_WPSOffice_Level3"/>
      <w:r>
        <w:rPr>
          <w:rFonts w:hint="eastAsia" w:ascii="宋体" w:hAnsi="宋体" w:eastAsia="宋体" w:cs="宋体"/>
          <w:b/>
          <w:bCs/>
          <w:color w:val="auto"/>
          <w:szCs w:val="21"/>
        </w:rPr>
        <w:t>22.响应文件的递交与接收</w:t>
      </w:r>
      <w:bookmarkEnd w:id="91"/>
    </w:p>
    <w:p w14:paraId="3DBFAF0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22.1 供应商应在本章第11.1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w:t>
      </w:r>
      <w:r>
        <w:rPr>
          <w:rFonts w:hint="eastAsia" w:ascii="宋体" w:hAnsi="宋体" w:eastAsia="宋体" w:cs="宋体"/>
          <w:color w:val="auto"/>
          <w:kern w:val="0"/>
          <w:szCs w:val="21"/>
        </w:rPr>
        <w:t>提交首次响应文件截止时间</w:t>
      </w:r>
      <w:r>
        <w:rPr>
          <w:rFonts w:hint="eastAsia" w:ascii="宋体" w:hAnsi="宋体" w:eastAsia="宋体" w:cs="宋体"/>
          <w:color w:val="auto"/>
          <w:szCs w:val="21"/>
        </w:rPr>
        <w:t>前，将响应文件送达</w:t>
      </w:r>
      <w:r>
        <w:rPr>
          <w:rFonts w:hint="eastAsia" w:ascii="宋体" w:hAnsi="宋体" w:eastAsia="宋体" w:cs="宋体"/>
          <w:b/>
          <w:color w:val="auto"/>
          <w:szCs w:val="21"/>
        </w:rPr>
        <w:t>磋商须知前附表</w:t>
      </w:r>
      <w:r>
        <w:rPr>
          <w:rFonts w:hint="eastAsia" w:ascii="宋体" w:hAnsi="宋体" w:eastAsia="宋体" w:cs="宋体"/>
          <w:color w:val="auto"/>
          <w:szCs w:val="21"/>
        </w:rPr>
        <w:t>中指定的地点。</w:t>
      </w:r>
      <w:r>
        <w:rPr>
          <w:rFonts w:hint="eastAsia" w:ascii="宋体" w:hAnsi="宋体" w:eastAsia="宋体" w:cs="宋体"/>
          <w:color w:val="auto"/>
          <w:kern w:val="0"/>
          <w:szCs w:val="21"/>
        </w:rPr>
        <w:t>在截止时间后送达的响应文件，采购人、采购代理机构或者磋商小组应当拒收。</w:t>
      </w:r>
    </w:p>
    <w:p w14:paraId="0D240E85">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22.2在本章第11.1</w:t>
      </w:r>
      <w:r>
        <w:rPr>
          <w:rFonts w:hint="eastAsia" w:ascii="宋体" w:hAnsi="宋体" w:eastAsia="宋体" w:cs="宋体"/>
          <w:color w:val="auto"/>
          <w:sz w:val="21"/>
          <w:lang w:val="zh-CN"/>
        </w:rPr>
        <w:t>款</w:t>
      </w:r>
      <w:r>
        <w:rPr>
          <w:rFonts w:hint="eastAsia" w:ascii="宋体" w:hAnsi="宋体" w:eastAsia="宋体" w:cs="宋体"/>
          <w:color w:val="auto"/>
          <w:sz w:val="21"/>
        </w:rPr>
        <w:t>规定的提交首次响应文件截止时间后，由</w:t>
      </w:r>
      <w:r>
        <w:rPr>
          <w:rFonts w:hint="eastAsia" w:ascii="宋体" w:hAnsi="宋体" w:eastAsia="宋体" w:cs="宋体"/>
          <w:bCs/>
          <w:color w:val="auto"/>
          <w:sz w:val="21"/>
        </w:rPr>
        <w:t>供应商代表</w:t>
      </w:r>
      <w:r>
        <w:rPr>
          <w:rFonts w:hint="eastAsia" w:ascii="宋体" w:hAnsi="宋体" w:eastAsia="宋体" w:cs="宋体"/>
          <w:color w:val="auto"/>
          <w:sz w:val="21"/>
        </w:rPr>
        <w:t>当场查验</w:t>
      </w:r>
      <w:r>
        <w:rPr>
          <w:rFonts w:hint="eastAsia" w:ascii="宋体" w:hAnsi="宋体" w:eastAsia="宋体" w:cs="宋体"/>
          <w:bCs/>
          <w:color w:val="auto"/>
          <w:sz w:val="21"/>
        </w:rPr>
        <w:t>响应文件</w:t>
      </w:r>
      <w:r>
        <w:rPr>
          <w:rFonts w:hint="eastAsia" w:ascii="宋体" w:hAnsi="宋体" w:eastAsia="宋体" w:cs="宋体"/>
          <w:color w:val="auto"/>
          <w:sz w:val="21"/>
        </w:rPr>
        <w:t>的密封状况，采购人或</w:t>
      </w:r>
      <w:r>
        <w:rPr>
          <w:rFonts w:hint="eastAsia" w:ascii="宋体" w:hAnsi="宋体" w:eastAsia="宋体" w:cs="宋体"/>
          <w:bCs/>
          <w:color w:val="auto"/>
          <w:sz w:val="21"/>
        </w:rPr>
        <w:t>采购代理机构</w:t>
      </w:r>
      <w:r>
        <w:rPr>
          <w:rFonts w:hint="eastAsia" w:ascii="宋体" w:hAnsi="宋体" w:eastAsia="宋体" w:cs="宋体"/>
          <w:color w:val="auto"/>
          <w:sz w:val="21"/>
        </w:rPr>
        <w:t>不当场拆封</w:t>
      </w:r>
      <w:r>
        <w:rPr>
          <w:rFonts w:hint="eastAsia" w:ascii="宋体" w:hAnsi="宋体" w:eastAsia="宋体" w:cs="宋体"/>
          <w:bCs/>
          <w:color w:val="auto"/>
          <w:sz w:val="21"/>
        </w:rPr>
        <w:t>响应文件</w:t>
      </w:r>
      <w:r>
        <w:rPr>
          <w:rFonts w:hint="eastAsia" w:ascii="宋体" w:hAnsi="宋体" w:eastAsia="宋体" w:cs="宋体"/>
          <w:color w:val="auto"/>
          <w:sz w:val="21"/>
        </w:rPr>
        <w:t>。</w:t>
      </w:r>
    </w:p>
    <w:p w14:paraId="0DC73B97">
      <w:pPr>
        <w:adjustRightInd w:val="0"/>
        <w:snapToGrid w:val="0"/>
        <w:spacing w:line="360" w:lineRule="auto"/>
        <w:ind w:left="632" w:hanging="632" w:hangingChars="300"/>
        <w:outlineLvl w:val="2"/>
        <w:rPr>
          <w:rFonts w:hint="eastAsia" w:ascii="宋体" w:hAnsi="宋体" w:eastAsia="宋体" w:cs="宋体"/>
          <w:b/>
          <w:bCs/>
          <w:color w:val="auto"/>
          <w:szCs w:val="21"/>
        </w:rPr>
      </w:pPr>
      <w:bookmarkStart w:id="92" w:name="_Toc1242"/>
      <w:bookmarkStart w:id="93" w:name="_Toc9072_WPSOffice_Level2"/>
      <w:r>
        <w:rPr>
          <w:rFonts w:hint="eastAsia" w:ascii="宋体" w:hAnsi="宋体" w:eastAsia="宋体" w:cs="宋体"/>
          <w:b/>
          <w:bCs/>
          <w:color w:val="auto"/>
          <w:szCs w:val="21"/>
        </w:rPr>
        <w:t>五、响应文件的</w:t>
      </w:r>
      <w:r>
        <w:rPr>
          <w:rFonts w:hint="eastAsia" w:ascii="宋体" w:hAnsi="宋体" w:eastAsia="宋体" w:cs="宋体"/>
          <w:b/>
          <w:color w:val="auto"/>
          <w:szCs w:val="21"/>
        </w:rPr>
        <w:t>评审与磋商</w:t>
      </w:r>
      <w:bookmarkEnd w:id="92"/>
      <w:bookmarkEnd w:id="93"/>
    </w:p>
    <w:p w14:paraId="6EC425C3">
      <w:pPr>
        <w:tabs>
          <w:tab w:val="left" w:pos="0"/>
        </w:tabs>
        <w:adjustRightInd w:val="0"/>
        <w:snapToGrid w:val="0"/>
        <w:spacing w:line="360" w:lineRule="auto"/>
        <w:rPr>
          <w:rFonts w:hint="eastAsia" w:ascii="宋体" w:hAnsi="宋体" w:eastAsia="宋体" w:cs="宋体"/>
          <w:b/>
          <w:color w:val="auto"/>
          <w:szCs w:val="21"/>
        </w:rPr>
      </w:pPr>
      <w:bookmarkStart w:id="94" w:name="_Toc21993_WPSOffice_Level3"/>
      <w:r>
        <w:rPr>
          <w:rFonts w:hint="eastAsia" w:ascii="宋体" w:hAnsi="宋体" w:eastAsia="宋体" w:cs="宋体"/>
          <w:b/>
          <w:color w:val="auto"/>
          <w:szCs w:val="21"/>
        </w:rPr>
        <w:t>23.供应商资格审查</w:t>
      </w:r>
      <w:bookmarkEnd w:id="94"/>
    </w:p>
    <w:p w14:paraId="4F3D2B1C">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23.1磋商小组将根据本章第3.1款规定的供应商资格条件要求对所有供应商进行资格审查，供应商存在下列情况之一的，投标无效:</w:t>
      </w:r>
    </w:p>
    <w:p w14:paraId="4D334370">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（1）未按照采购文件的规定提交投标保证金的；</w:t>
      </w:r>
    </w:p>
    <w:p w14:paraId="6A6AAB50">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（2）响应文件未按采购文件要求签署、盖章的；</w:t>
      </w:r>
    </w:p>
    <w:p w14:paraId="33FB5AD2">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（3）不具备采购文件中规定的资格要求的；</w:t>
      </w:r>
    </w:p>
    <w:p w14:paraId="43F075DF">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（4）报价超过采购文件中规定的预算金额的；</w:t>
      </w:r>
    </w:p>
    <w:p w14:paraId="765032AC">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（5）响应文件含有采购人不能接受的附加条件的;</w:t>
      </w:r>
    </w:p>
    <w:p w14:paraId="10FDFC41">
      <w:pPr>
        <w:adjustRightInd w:val="0"/>
        <w:snapToGrid w:val="0"/>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kern w:val="0"/>
          <w:szCs w:val="21"/>
          <w:lang w:val="zh-CN"/>
        </w:rPr>
        <w:t>（6）法律、法规和采购文件规定的其他无效情形。</w:t>
      </w:r>
    </w:p>
    <w:p w14:paraId="012B101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23.2对未通过资格审查的</w:t>
      </w:r>
      <w:r>
        <w:rPr>
          <w:rFonts w:hint="eastAsia" w:ascii="宋体" w:hAnsi="宋体" w:eastAsia="宋体" w:cs="宋体"/>
          <w:color w:val="auto"/>
          <w:szCs w:val="21"/>
          <w:lang w:eastAsia="zh-CN"/>
        </w:rPr>
        <w:t>供应商</w:t>
      </w:r>
      <w:r>
        <w:rPr>
          <w:rFonts w:hint="eastAsia" w:ascii="宋体" w:hAnsi="宋体" w:eastAsia="宋体" w:cs="宋体"/>
          <w:color w:val="auto"/>
          <w:szCs w:val="21"/>
        </w:rPr>
        <w:t>，采购代理机构应当告知其未通过的原因，合格</w:t>
      </w:r>
      <w:r>
        <w:rPr>
          <w:rFonts w:hint="eastAsia" w:ascii="宋体" w:hAnsi="宋体" w:eastAsia="宋体" w:cs="宋体"/>
          <w:color w:val="auto"/>
          <w:szCs w:val="21"/>
          <w:lang w:eastAsia="zh-CN"/>
        </w:rPr>
        <w:t>供应商</w:t>
      </w:r>
      <w:r>
        <w:rPr>
          <w:rFonts w:hint="eastAsia" w:ascii="宋体" w:hAnsi="宋体" w:eastAsia="宋体" w:cs="宋体"/>
          <w:color w:val="auto"/>
          <w:szCs w:val="21"/>
        </w:rPr>
        <w:t>不足3家的，不得进入符合性评审环节。</w:t>
      </w:r>
    </w:p>
    <w:p w14:paraId="26C1DCCB">
      <w:pPr>
        <w:adjustRightInd w:val="0"/>
        <w:snapToGrid w:val="0"/>
        <w:spacing w:line="360" w:lineRule="auto"/>
        <w:ind w:firstLine="420" w:firstLineChars="200"/>
        <w:jc w:val="left"/>
        <w:rPr>
          <w:rFonts w:hint="eastAsia" w:ascii="宋体" w:hAnsi="宋体" w:eastAsia="宋体" w:cs="宋体"/>
          <w:color w:val="auto"/>
          <w:kern w:val="0"/>
          <w:szCs w:val="21"/>
          <w:lang w:val="zh-CN"/>
        </w:rPr>
      </w:pPr>
      <w:r>
        <w:rPr>
          <w:rFonts w:hint="eastAsia" w:ascii="宋体" w:hAnsi="宋体" w:eastAsia="宋体" w:cs="宋体"/>
          <w:color w:val="auto"/>
          <w:szCs w:val="21"/>
        </w:rPr>
        <w:t>23.3供应商有本章第16.1</w:t>
      </w:r>
      <w:r>
        <w:rPr>
          <w:rFonts w:hint="eastAsia" w:ascii="宋体" w:hAnsi="宋体" w:eastAsia="宋体" w:cs="宋体"/>
          <w:color w:val="auto"/>
          <w:kern w:val="0"/>
          <w:szCs w:val="21"/>
          <w:lang w:val="zh-CN"/>
        </w:rPr>
        <w:t>款</w:t>
      </w:r>
      <w:r>
        <w:rPr>
          <w:rFonts w:hint="eastAsia" w:ascii="宋体" w:hAnsi="宋体" w:eastAsia="宋体" w:cs="宋体"/>
          <w:color w:val="auto"/>
          <w:szCs w:val="21"/>
        </w:rPr>
        <w:t>情形的，磋商</w:t>
      </w:r>
      <w:r>
        <w:rPr>
          <w:rFonts w:hint="eastAsia" w:ascii="宋体" w:hAnsi="宋体" w:eastAsia="宋体" w:cs="宋体"/>
          <w:bCs/>
          <w:color w:val="auto"/>
          <w:szCs w:val="21"/>
        </w:rPr>
        <w:t>小组将</w:t>
      </w:r>
      <w:r>
        <w:rPr>
          <w:rFonts w:hint="eastAsia" w:ascii="宋体" w:hAnsi="宋体" w:eastAsia="宋体" w:cs="宋体"/>
          <w:color w:val="auto"/>
          <w:szCs w:val="21"/>
        </w:rPr>
        <w:t>根据本章第3.1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规定的供应商资格条件要求，对更新或补充提供的资格证明材料进行审查。不满足资格条件的，视为无效响应。</w:t>
      </w:r>
    </w:p>
    <w:p w14:paraId="2857337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23.4供应商</w:t>
      </w:r>
      <w:r>
        <w:rPr>
          <w:rFonts w:hint="eastAsia" w:ascii="宋体" w:hAnsi="宋体" w:eastAsia="宋体" w:cs="宋体"/>
          <w:color w:val="auto"/>
          <w:kern w:val="0"/>
          <w:szCs w:val="21"/>
          <w:lang w:val="zh-CN"/>
        </w:rPr>
        <w:t>为联合体的，</w:t>
      </w:r>
      <w:r>
        <w:rPr>
          <w:rFonts w:hint="eastAsia" w:ascii="宋体" w:hAnsi="宋体" w:eastAsia="宋体" w:cs="宋体"/>
          <w:color w:val="auto"/>
          <w:szCs w:val="21"/>
        </w:rPr>
        <w:t>磋商</w:t>
      </w:r>
      <w:r>
        <w:rPr>
          <w:rFonts w:hint="eastAsia" w:ascii="宋体" w:hAnsi="宋体" w:eastAsia="宋体" w:cs="宋体"/>
          <w:bCs/>
          <w:color w:val="auto"/>
          <w:szCs w:val="21"/>
        </w:rPr>
        <w:t>小组将</w:t>
      </w:r>
      <w:r>
        <w:rPr>
          <w:rFonts w:hint="eastAsia" w:ascii="宋体" w:hAnsi="宋体" w:eastAsia="宋体" w:cs="宋体"/>
          <w:color w:val="auto"/>
          <w:szCs w:val="21"/>
        </w:rPr>
        <w:t>根据本章第6.2</w:t>
      </w:r>
      <w:r>
        <w:rPr>
          <w:rFonts w:hint="eastAsia" w:ascii="宋体" w:hAnsi="宋体" w:eastAsia="宋体" w:cs="宋体"/>
          <w:color w:val="auto"/>
          <w:kern w:val="0"/>
          <w:szCs w:val="21"/>
          <w:lang w:val="zh-CN"/>
        </w:rPr>
        <w:t>款</w:t>
      </w:r>
      <w:r>
        <w:rPr>
          <w:rFonts w:hint="eastAsia" w:ascii="宋体" w:hAnsi="宋体" w:eastAsia="宋体" w:cs="宋体"/>
          <w:color w:val="auto"/>
          <w:szCs w:val="21"/>
        </w:rPr>
        <w:t>的规定对联合体各方资格文件、联合体协议进行审查，不满足资格条件的，视为无效响应。</w:t>
      </w:r>
    </w:p>
    <w:p w14:paraId="3BDE0302">
      <w:pPr>
        <w:tabs>
          <w:tab w:val="left" w:pos="0"/>
        </w:tabs>
        <w:adjustRightInd w:val="0"/>
        <w:snapToGrid w:val="0"/>
        <w:spacing w:line="360" w:lineRule="auto"/>
        <w:rPr>
          <w:rFonts w:hint="eastAsia" w:ascii="宋体" w:hAnsi="宋体" w:eastAsia="宋体" w:cs="宋体"/>
          <w:b/>
          <w:bCs/>
          <w:color w:val="auto"/>
          <w:szCs w:val="21"/>
        </w:rPr>
      </w:pPr>
      <w:bookmarkStart w:id="95" w:name="_Toc10556_WPSOffice_Level3"/>
      <w:r>
        <w:rPr>
          <w:rFonts w:hint="eastAsia" w:ascii="宋体" w:hAnsi="宋体" w:eastAsia="宋体" w:cs="宋体"/>
          <w:b/>
          <w:bCs/>
          <w:color w:val="auto"/>
          <w:szCs w:val="21"/>
        </w:rPr>
        <w:t>24.磋商程序</w:t>
      </w:r>
      <w:bookmarkEnd w:id="95"/>
    </w:p>
    <w:p w14:paraId="11DF6817">
      <w:pPr>
        <w:widowControl/>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color w:val="auto"/>
          <w:kern w:val="0"/>
          <w:szCs w:val="21"/>
        </w:rPr>
        <w:t>24.1磋商程序：初步审查、磋商（包括澄清、符合性评审查）、</w:t>
      </w:r>
      <w:r>
        <w:rPr>
          <w:rFonts w:hint="eastAsia" w:ascii="宋体" w:hAnsi="宋体" w:eastAsia="宋体" w:cs="宋体"/>
          <w:bCs/>
          <w:color w:val="auto"/>
          <w:szCs w:val="21"/>
        </w:rPr>
        <w:t>提出成交供应商。其中，</w:t>
      </w:r>
      <w:r>
        <w:rPr>
          <w:rFonts w:hint="eastAsia" w:ascii="宋体" w:hAnsi="宋体" w:eastAsia="宋体" w:cs="宋体"/>
          <w:color w:val="auto"/>
          <w:kern w:val="0"/>
          <w:szCs w:val="21"/>
        </w:rPr>
        <w:t>磋商按</w:t>
      </w:r>
      <w:r>
        <w:rPr>
          <w:rFonts w:hint="eastAsia" w:ascii="宋体" w:hAnsi="宋体" w:eastAsia="宋体" w:cs="宋体"/>
          <w:color w:val="auto"/>
          <w:szCs w:val="21"/>
        </w:rPr>
        <w:t>本章第29.1</w:t>
      </w:r>
      <w:r>
        <w:rPr>
          <w:rFonts w:hint="eastAsia" w:ascii="宋体" w:hAnsi="宋体" w:eastAsia="宋体" w:cs="宋体"/>
          <w:color w:val="auto"/>
          <w:kern w:val="0"/>
          <w:szCs w:val="21"/>
          <w:lang w:val="zh-CN"/>
        </w:rPr>
        <w:t>款或者</w:t>
      </w:r>
      <w:r>
        <w:rPr>
          <w:rFonts w:hint="eastAsia" w:ascii="宋体" w:hAnsi="宋体" w:eastAsia="宋体" w:cs="宋体"/>
          <w:color w:val="auto"/>
          <w:szCs w:val="21"/>
        </w:rPr>
        <w:t>第29.2</w:t>
      </w:r>
      <w:r>
        <w:rPr>
          <w:rFonts w:hint="eastAsia" w:ascii="宋体" w:hAnsi="宋体" w:eastAsia="宋体" w:cs="宋体"/>
          <w:color w:val="auto"/>
          <w:kern w:val="0"/>
          <w:szCs w:val="21"/>
          <w:lang w:val="zh-CN"/>
        </w:rPr>
        <w:t>款</w:t>
      </w:r>
      <w:r>
        <w:rPr>
          <w:rFonts w:hint="eastAsia" w:ascii="宋体" w:hAnsi="宋体" w:eastAsia="宋体" w:cs="宋体"/>
          <w:color w:val="auto"/>
          <w:szCs w:val="21"/>
        </w:rPr>
        <w:t>情形</w:t>
      </w:r>
      <w:r>
        <w:rPr>
          <w:rFonts w:hint="eastAsia" w:ascii="宋体" w:hAnsi="宋体" w:eastAsia="宋体" w:cs="宋体"/>
          <w:bCs/>
          <w:color w:val="auto"/>
          <w:szCs w:val="21"/>
        </w:rPr>
        <w:t>进行。</w:t>
      </w:r>
    </w:p>
    <w:p w14:paraId="519790AD">
      <w:pPr>
        <w:widowControl/>
        <w:adjustRightInd w:val="0"/>
        <w:snapToGrid w:val="0"/>
        <w:spacing w:line="360" w:lineRule="auto"/>
        <w:rPr>
          <w:rFonts w:hint="eastAsia" w:ascii="宋体" w:hAnsi="宋体" w:eastAsia="宋体" w:cs="宋体"/>
          <w:b/>
          <w:color w:val="auto"/>
          <w:kern w:val="0"/>
          <w:szCs w:val="21"/>
        </w:rPr>
      </w:pPr>
      <w:bookmarkStart w:id="96" w:name="_Toc1166_WPSOffice_Level3"/>
      <w:r>
        <w:rPr>
          <w:rFonts w:hint="eastAsia" w:ascii="宋体" w:hAnsi="宋体" w:eastAsia="宋体" w:cs="宋体"/>
          <w:b/>
          <w:color w:val="auto"/>
          <w:kern w:val="0"/>
          <w:szCs w:val="21"/>
        </w:rPr>
        <w:t>25.初步审查</w:t>
      </w:r>
      <w:bookmarkEnd w:id="96"/>
    </w:p>
    <w:p w14:paraId="471C7C65">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25.1磋商小组应当对供应商提交的首次响应文件进行初步审查。</w:t>
      </w:r>
      <w:r>
        <w:rPr>
          <w:rFonts w:hint="eastAsia" w:ascii="宋体" w:hAnsi="宋体" w:eastAsia="宋体" w:cs="宋体"/>
          <w:bCs/>
          <w:color w:val="auto"/>
          <w:szCs w:val="21"/>
        </w:rPr>
        <w:t>响应文件有下列情况之一，</w:t>
      </w:r>
      <w:r>
        <w:rPr>
          <w:rFonts w:hint="eastAsia" w:ascii="宋体" w:hAnsi="宋体" w:eastAsia="宋体" w:cs="宋体"/>
          <w:color w:val="auto"/>
          <w:kern w:val="0"/>
          <w:szCs w:val="21"/>
          <w:lang w:val="zh-CN"/>
        </w:rPr>
        <w:t>其响应文件无效，</w:t>
      </w:r>
      <w:r>
        <w:rPr>
          <w:rFonts w:hint="eastAsia" w:ascii="宋体" w:hAnsi="宋体" w:eastAsia="宋体" w:cs="宋体"/>
          <w:color w:val="auto"/>
          <w:kern w:val="0"/>
          <w:szCs w:val="21"/>
        </w:rPr>
        <w:t>磋商小组应当告知有关供应商。</w:t>
      </w:r>
    </w:p>
    <w:p w14:paraId="056F80B1">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color w:val="auto"/>
          <w:kern w:val="0"/>
          <w:szCs w:val="21"/>
        </w:rPr>
        <w:t>（1）</w:t>
      </w:r>
      <w:r>
        <w:rPr>
          <w:rFonts w:hint="eastAsia" w:ascii="宋体" w:hAnsi="宋体" w:eastAsia="宋体" w:cs="宋体"/>
          <w:color w:val="auto"/>
          <w:szCs w:val="21"/>
        </w:rPr>
        <w:t>应交未交保证金或金额不足、保函有效期不足、保证金形式或保函出证机构不符合磋商文件要求的；</w:t>
      </w:r>
    </w:p>
    <w:p w14:paraId="273481F3">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（2）</w:t>
      </w:r>
      <w:r>
        <w:rPr>
          <w:rFonts w:hint="eastAsia" w:ascii="宋体" w:hAnsi="宋体" w:eastAsia="宋体" w:cs="宋体"/>
          <w:color w:val="auto"/>
          <w:szCs w:val="21"/>
        </w:rPr>
        <w:t>未按照磋商文件规定要求签署、盖章的；</w:t>
      </w:r>
    </w:p>
    <w:p w14:paraId="659E6694">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eastAsia="宋体" w:cs="宋体"/>
          <w:color w:val="auto"/>
          <w:szCs w:val="21"/>
        </w:rPr>
        <w:t>响应</w:t>
      </w:r>
      <w:r>
        <w:rPr>
          <w:rFonts w:hint="eastAsia" w:ascii="宋体" w:hAnsi="宋体" w:eastAsia="宋体" w:cs="宋体"/>
          <w:color w:val="auto"/>
          <w:kern w:val="0"/>
          <w:szCs w:val="21"/>
        </w:rPr>
        <w:t>文件有效期不足的；</w:t>
      </w:r>
    </w:p>
    <w:p w14:paraId="6A06D4A8">
      <w:pPr>
        <w:widowControl/>
        <w:adjustRightInd w:val="0"/>
        <w:snapToGrid w:val="0"/>
        <w:spacing w:line="360" w:lineRule="auto"/>
        <w:ind w:firstLine="420"/>
        <w:jc w:val="left"/>
        <w:rPr>
          <w:rFonts w:hint="eastAsia" w:ascii="宋体" w:hAnsi="宋体" w:eastAsia="宋体" w:cs="宋体"/>
          <w:color w:val="auto"/>
          <w:kern w:val="0"/>
          <w:szCs w:val="21"/>
          <w:vertAlign w:val="baseline"/>
        </w:rPr>
      </w:pPr>
      <w:r>
        <w:rPr>
          <w:rFonts w:hint="eastAsia" w:ascii="宋体" w:hAnsi="宋体" w:eastAsia="宋体" w:cs="宋体"/>
          <w:color w:val="auto"/>
          <w:kern w:val="0"/>
          <w:szCs w:val="21"/>
        </w:rPr>
        <w:t>（4）不符合法律、规章、规范性文件和磋商文件规定的。</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5128"/>
        <w:gridCol w:w="3020"/>
      </w:tblGrid>
      <w:tr w14:paraId="06F1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194C1759">
            <w:pPr>
              <w:spacing w:line="400" w:lineRule="exact"/>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序号</w:t>
            </w:r>
          </w:p>
        </w:tc>
        <w:tc>
          <w:tcPr>
            <w:tcW w:w="5128" w:type="dxa"/>
            <w:vAlign w:val="center"/>
          </w:tcPr>
          <w:p w14:paraId="483217D5">
            <w:pPr>
              <w:spacing w:line="400" w:lineRule="exact"/>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供应商</w:t>
            </w:r>
          </w:p>
        </w:tc>
        <w:tc>
          <w:tcPr>
            <w:tcW w:w="3020" w:type="dxa"/>
          </w:tcPr>
          <w:p w14:paraId="016B8F82">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5953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3C74F9FB">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1</w:t>
            </w:r>
          </w:p>
        </w:tc>
        <w:tc>
          <w:tcPr>
            <w:tcW w:w="5128" w:type="dxa"/>
            <w:vAlign w:val="center"/>
          </w:tcPr>
          <w:p w14:paraId="62612FAD">
            <w:pPr>
              <w:rPr>
                <w:rFonts w:hint="eastAsia" w:ascii="宋体" w:hAnsi="宋体" w:eastAsia="宋体" w:cs="宋体"/>
                <w:color w:val="auto"/>
                <w:kern w:val="0"/>
                <w:szCs w:val="21"/>
                <w:vertAlign w:val="baseline"/>
              </w:rPr>
            </w:pPr>
            <w:r>
              <w:rPr>
                <w:rFonts w:hint="eastAsia" w:ascii="宋体" w:hAnsi="宋体" w:eastAsia="宋体" w:cs="宋体"/>
                <w:color w:val="auto"/>
                <w:szCs w:val="21"/>
              </w:rPr>
              <w:t>响应文件是否正确签署</w:t>
            </w:r>
          </w:p>
        </w:tc>
        <w:tc>
          <w:tcPr>
            <w:tcW w:w="3020" w:type="dxa"/>
          </w:tcPr>
          <w:p w14:paraId="503A2DA9">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245B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480A1271">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2</w:t>
            </w:r>
          </w:p>
        </w:tc>
        <w:tc>
          <w:tcPr>
            <w:tcW w:w="5128" w:type="dxa"/>
            <w:vAlign w:val="center"/>
          </w:tcPr>
          <w:p w14:paraId="769723D2">
            <w:pPr>
              <w:rPr>
                <w:rFonts w:hint="eastAsia" w:ascii="宋体" w:hAnsi="宋体" w:eastAsia="宋体" w:cs="宋体"/>
                <w:color w:val="auto"/>
                <w:kern w:val="0"/>
                <w:szCs w:val="21"/>
                <w:vertAlign w:val="baseline"/>
              </w:rPr>
            </w:pPr>
            <w:r>
              <w:rPr>
                <w:rFonts w:hint="eastAsia" w:ascii="宋体" w:hAnsi="宋体" w:eastAsia="宋体" w:cs="宋体"/>
                <w:color w:val="auto"/>
                <w:szCs w:val="21"/>
              </w:rPr>
              <w:t>法人提交企业法人营业执照副本(</w:t>
            </w:r>
            <w:r>
              <w:rPr>
                <w:rFonts w:hint="eastAsia" w:ascii="宋体" w:hAnsi="宋体" w:eastAsia="宋体" w:cs="宋体"/>
                <w:color w:val="auto"/>
                <w:kern w:val="0"/>
                <w:szCs w:val="21"/>
              </w:rPr>
              <w:t>或民办非企业单位登记证书</w:t>
            </w:r>
            <w:r>
              <w:rPr>
                <w:rFonts w:hint="eastAsia" w:ascii="宋体" w:hAnsi="宋体" w:eastAsia="宋体" w:cs="宋体"/>
                <w:color w:val="auto"/>
                <w:szCs w:val="21"/>
              </w:rPr>
              <w:t>)以及组织机构代码证副本复印件；</w:t>
            </w:r>
          </w:p>
        </w:tc>
        <w:tc>
          <w:tcPr>
            <w:tcW w:w="3020" w:type="dxa"/>
          </w:tcPr>
          <w:p w14:paraId="22D328D3">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2B7B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7792503D">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3</w:t>
            </w:r>
          </w:p>
        </w:tc>
        <w:tc>
          <w:tcPr>
            <w:tcW w:w="5128" w:type="dxa"/>
            <w:vAlign w:val="center"/>
          </w:tcPr>
          <w:p w14:paraId="3B3B409B">
            <w:pPr>
              <w:rPr>
                <w:rFonts w:hint="eastAsia" w:ascii="宋体" w:hAnsi="宋体" w:eastAsia="宋体" w:cs="宋体"/>
                <w:color w:val="auto"/>
                <w:kern w:val="0"/>
                <w:szCs w:val="21"/>
                <w:vertAlign w:val="baseline"/>
              </w:rPr>
            </w:pPr>
            <w:r>
              <w:rPr>
                <w:rFonts w:hint="eastAsia" w:ascii="宋体" w:hAnsi="宋体" w:eastAsia="宋体" w:cs="宋体"/>
                <w:color w:val="auto"/>
                <w:szCs w:val="21"/>
              </w:rPr>
              <w:t>法人提交法定代表人身份证明原件或者法定代表人授权委托书原件并附法定代表人身份证明原件，自然人提交身份证复印件；</w:t>
            </w:r>
          </w:p>
        </w:tc>
        <w:tc>
          <w:tcPr>
            <w:tcW w:w="3020" w:type="dxa"/>
          </w:tcPr>
          <w:p w14:paraId="7FC33147">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4D1D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45A4B6E2">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4</w:t>
            </w:r>
          </w:p>
        </w:tc>
        <w:tc>
          <w:tcPr>
            <w:tcW w:w="5128" w:type="dxa"/>
            <w:vAlign w:val="center"/>
          </w:tcPr>
          <w:p w14:paraId="58F58D37">
            <w:pPr>
              <w:spacing w:line="360" w:lineRule="exact"/>
              <w:rPr>
                <w:rFonts w:hint="eastAsia" w:ascii="宋体" w:hAnsi="宋体" w:eastAsia="宋体" w:cs="宋体"/>
                <w:color w:val="auto"/>
                <w:kern w:val="0"/>
                <w:szCs w:val="21"/>
                <w:vertAlign w:val="baseline"/>
              </w:rPr>
            </w:pPr>
            <w:r>
              <w:rPr>
                <w:rFonts w:hint="eastAsia" w:ascii="宋体" w:hAnsi="宋体" w:eastAsia="宋体" w:cs="宋体"/>
                <w:color w:val="auto"/>
                <w:szCs w:val="21"/>
              </w:rPr>
              <w:t>提供本单位《湖南省政府采购供应商资格承诺函》、</w:t>
            </w:r>
            <w:r>
              <w:rPr>
                <w:rFonts w:hint="eastAsia" w:ascii="宋体" w:hAnsi="宋体" w:eastAsia="宋体" w:cs="宋体"/>
                <w:color w:val="auto"/>
                <w:kern w:val="0"/>
                <w:szCs w:val="21"/>
              </w:rPr>
              <w:t>《中小企业声明函》</w:t>
            </w:r>
          </w:p>
        </w:tc>
        <w:tc>
          <w:tcPr>
            <w:tcW w:w="3020" w:type="dxa"/>
          </w:tcPr>
          <w:p w14:paraId="58975A60">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45A3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67FFF862">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5</w:t>
            </w:r>
          </w:p>
        </w:tc>
        <w:tc>
          <w:tcPr>
            <w:tcW w:w="5128" w:type="dxa"/>
            <w:vAlign w:val="center"/>
          </w:tcPr>
          <w:p w14:paraId="22A22150">
            <w:pPr>
              <w:spacing w:line="360" w:lineRule="exact"/>
              <w:rPr>
                <w:rFonts w:hint="eastAsia" w:ascii="宋体" w:hAnsi="宋体" w:eastAsia="宋体" w:cs="宋体"/>
                <w:color w:val="auto"/>
                <w:kern w:val="0"/>
                <w:szCs w:val="21"/>
                <w:vertAlign w:val="baseline"/>
              </w:rPr>
            </w:pPr>
            <w:r>
              <w:rPr>
                <w:rFonts w:hint="eastAsia" w:ascii="宋体" w:hAnsi="宋体" w:eastAsia="宋体" w:cs="宋体"/>
                <w:color w:val="auto"/>
                <w:szCs w:val="21"/>
              </w:rPr>
              <w:t>供应商特定资格（如有）</w:t>
            </w:r>
          </w:p>
        </w:tc>
        <w:tc>
          <w:tcPr>
            <w:tcW w:w="3020" w:type="dxa"/>
          </w:tcPr>
          <w:p w14:paraId="4D16E8CC">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191B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170C4E32">
            <w:pPr>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6</w:t>
            </w:r>
          </w:p>
        </w:tc>
        <w:tc>
          <w:tcPr>
            <w:tcW w:w="5128" w:type="dxa"/>
            <w:vAlign w:val="center"/>
          </w:tcPr>
          <w:p w14:paraId="0D5016CA">
            <w:pPr>
              <w:spacing w:line="360" w:lineRule="exact"/>
              <w:rPr>
                <w:rFonts w:hint="eastAsia" w:ascii="宋体" w:hAnsi="宋体" w:eastAsia="宋体" w:cs="宋体"/>
                <w:color w:val="auto"/>
                <w:kern w:val="0"/>
                <w:szCs w:val="21"/>
                <w:vertAlign w:val="baseline"/>
              </w:rPr>
            </w:pPr>
            <w:r>
              <w:rPr>
                <w:rFonts w:hint="eastAsia" w:ascii="宋体" w:hAnsi="宋体" w:eastAsia="宋体" w:cs="宋体"/>
                <w:color w:val="auto"/>
                <w:szCs w:val="21"/>
              </w:rPr>
              <w:t>信用信息查询结果</w:t>
            </w:r>
          </w:p>
        </w:tc>
        <w:tc>
          <w:tcPr>
            <w:tcW w:w="3020" w:type="dxa"/>
          </w:tcPr>
          <w:p w14:paraId="0C650F47">
            <w:pPr>
              <w:widowControl/>
              <w:adjustRightInd w:val="0"/>
              <w:snapToGrid w:val="0"/>
              <w:spacing w:line="360" w:lineRule="auto"/>
              <w:jc w:val="left"/>
              <w:rPr>
                <w:rFonts w:hint="eastAsia" w:ascii="宋体" w:hAnsi="宋体" w:eastAsia="宋体" w:cs="宋体"/>
                <w:color w:val="auto"/>
                <w:kern w:val="0"/>
                <w:szCs w:val="21"/>
                <w:vertAlign w:val="baseline"/>
              </w:rPr>
            </w:pPr>
          </w:p>
        </w:tc>
      </w:tr>
      <w:tr w14:paraId="369C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0" w:type="dxa"/>
            <w:gridSpan w:val="2"/>
          </w:tcPr>
          <w:p w14:paraId="70703890">
            <w:pPr>
              <w:widowControl/>
              <w:adjustRightInd w:val="0"/>
              <w:snapToGrid w:val="0"/>
              <w:spacing w:line="360" w:lineRule="auto"/>
              <w:jc w:val="center"/>
              <w:rPr>
                <w:rFonts w:hint="eastAsia" w:ascii="宋体" w:hAnsi="宋体" w:eastAsia="宋体" w:cs="宋体"/>
                <w:color w:val="auto"/>
                <w:kern w:val="0"/>
                <w:szCs w:val="21"/>
                <w:vertAlign w:val="baseline"/>
              </w:rPr>
            </w:pPr>
            <w:r>
              <w:rPr>
                <w:rFonts w:hint="eastAsia" w:ascii="宋体" w:hAnsi="宋体" w:eastAsia="宋体" w:cs="宋体"/>
                <w:color w:val="auto"/>
                <w:szCs w:val="21"/>
              </w:rPr>
              <w:t>结论：（合格或不合格）</w:t>
            </w:r>
          </w:p>
        </w:tc>
        <w:tc>
          <w:tcPr>
            <w:tcW w:w="3020" w:type="dxa"/>
          </w:tcPr>
          <w:p w14:paraId="534B676B">
            <w:pPr>
              <w:widowControl/>
              <w:adjustRightInd w:val="0"/>
              <w:snapToGrid w:val="0"/>
              <w:spacing w:line="360" w:lineRule="auto"/>
              <w:jc w:val="left"/>
              <w:rPr>
                <w:rFonts w:hint="eastAsia" w:ascii="宋体" w:hAnsi="宋体" w:eastAsia="宋体" w:cs="宋体"/>
                <w:color w:val="auto"/>
                <w:kern w:val="0"/>
                <w:szCs w:val="21"/>
                <w:vertAlign w:val="baseline"/>
              </w:rPr>
            </w:pPr>
          </w:p>
        </w:tc>
      </w:tr>
    </w:tbl>
    <w:p w14:paraId="5B04B51F">
      <w:pPr>
        <w:widowControl/>
        <w:adjustRightInd w:val="0"/>
        <w:snapToGrid w:val="0"/>
        <w:spacing w:line="360" w:lineRule="auto"/>
        <w:ind w:firstLine="420"/>
        <w:jc w:val="left"/>
        <w:rPr>
          <w:rFonts w:hint="eastAsia" w:ascii="宋体" w:hAnsi="宋体" w:eastAsia="宋体" w:cs="宋体"/>
          <w:color w:val="auto"/>
          <w:kern w:val="0"/>
          <w:szCs w:val="21"/>
        </w:rPr>
      </w:pPr>
    </w:p>
    <w:p w14:paraId="40CB1C82">
      <w:pPr>
        <w:widowControl/>
        <w:adjustRightInd w:val="0"/>
        <w:snapToGrid w:val="0"/>
        <w:spacing w:line="360" w:lineRule="auto"/>
        <w:ind w:firstLine="420"/>
        <w:jc w:val="left"/>
        <w:rPr>
          <w:rFonts w:hint="eastAsia" w:ascii="宋体" w:hAnsi="宋体" w:eastAsia="宋体" w:cs="宋体"/>
          <w:color w:val="auto"/>
          <w:kern w:val="0"/>
          <w:szCs w:val="21"/>
        </w:rPr>
      </w:pPr>
    </w:p>
    <w:p w14:paraId="7E1E33C6">
      <w:pPr>
        <w:pStyle w:val="13"/>
        <w:tabs>
          <w:tab w:val="center" w:pos="4422"/>
        </w:tabs>
        <w:adjustRightInd w:val="0"/>
        <w:snapToGrid w:val="0"/>
        <w:spacing w:beforeLines="50" w:line="360" w:lineRule="auto"/>
        <w:rPr>
          <w:rFonts w:hint="eastAsia" w:ascii="宋体" w:hAnsi="宋体" w:eastAsia="宋体" w:cs="宋体"/>
          <w:b/>
          <w:color w:val="auto"/>
          <w:sz w:val="21"/>
        </w:rPr>
      </w:pPr>
      <w:bookmarkStart w:id="97" w:name="_Toc21603_WPSOffice_Level3"/>
      <w:r>
        <w:rPr>
          <w:rFonts w:hint="eastAsia" w:ascii="宋体" w:hAnsi="宋体" w:eastAsia="宋体" w:cs="宋体"/>
          <w:b/>
          <w:color w:val="auto"/>
          <w:sz w:val="21"/>
        </w:rPr>
        <w:t>26. 偏离</w:t>
      </w:r>
      <w:bookmarkEnd w:id="97"/>
      <w:r>
        <w:rPr>
          <w:rFonts w:hint="eastAsia" w:ascii="宋体" w:hAnsi="宋体" w:eastAsia="宋体" w:cs="宋体"/>
          <w:b/>
          <w:color w:val="auto"/>
          <w:sz w:val="21"/>
        </w:rPr>
        <w:tab/>
      </w:r>
    </w:p>
    <w:p w14:paraId="6CDD277B">
      <w:pPr>
        <w:pStyle w:val="23"/>
        <w:adjustRightInd w:val="0"/>
        <w:snapToGrid w:val="0"/>
        <w:spacing w:before="0" w:beforeAutospacing="0" w:after="0" w:afterAutospacing="0" w:line="360" w:lineRule="auto"/>
        <w:ind w:right="97" w:rightChars="46" w:firstLine="420" w:firstLineChars="200"/>
        <w:jc w:val="both"/>
        <w:rPr>
          <w:rFonts w:hint="eastAsia" w:ascii="宋体" w:hAnsi="宋体" w:eastAsia="宋体" w:cs="宋体"/>
          <w:color w:val="auto"/>
          <w:sz w:val="21"/>
          <w:szCs w:val="21"/>
        </w:rPr>
      </w:pPr>
      <w:r>
        <w:rPr>
          <w:rFonts w:hint="eastAsia" w:ascii="宋体" w:hAnsi="宋体" w:eastAsia="宋体" w:cs="宋体"/>
          <w:bCs/>
          <w:color w:val="auto"/>
          <w:sz w:val="21"/>
          <w:szCs w:val="21"/>
        </w:rPr>
        <w:t>26.1本条所称</w:t>
      </w:r>
      <w:r>
        <w:rPr>
          <w:rFonts w:hint="eastAsia" w:ascii="宋体" w:hAnsi="宋体" w:eastAsia="宋体" w:cs="宋体"/>
          <w:color w:val="auto"/>
          <w:sz w:val="21"/>
          <w:szCs w:val="21"/>
        </w:rPr>
        <w:t>偏离为</w:t>
      </w:r>
      <w:r>
        <w:rPr>
          <w:rFonts w:hint="eastAsia" w:ascii="宋体" w:hAnsi="宋体" w:eastAsia="宋体" w:cs="宋体"/>
          <w:bCs/>
          <w:color w:val="auto"/>
          <w:sz w:val="21"/>
          <w:szCs w:val="21"/>
        </w:rPr>
        <w:t>响应文件</w:t>
      </w:r>
      <w:r>
        <w:rPr>
          <w:rFonts w:hint="eastAsia" w:ascii="宋体" w:hAnsi="宋体" w:eastAsia="宋体" w:cs="宋体"/>
          <w:color w:val="auto"/>
          <w:sz w:val="21"/>
          <w:szCs w:val="21"/>
        </w:rPr>
        <w:t>对磋商文件的偏离，即不满足、或不响应磋商文件的要求。偏离分为对磋商文件的实质性要求条款偏离和对磋商文件的一般商务</w:t>
      </w:r>
      <w:r>
        <w:rPr>
          <w:rFonts w:hint="eastAsia" w:ascii="宋体" w:hAnsi="宋体" w:eastAsia="宋体" w:cs="宋体"/>
          <w:color w:val="auto"/>
          <w:spacing w:val="4"/>
          <w:sz w:val="21"/>
          <w:szCs w:val="21"/>
        </w:rPr>
        <w:t>和</w:t>
      </w:r>
      <w:r>
        <w:rPr>
          <w:rFonts w:hint="eastAsia" w:ascii="宋体" w:hAnsi="宋体" w:eastAsia="宋体" w:cs="宋体"/>
          <w:color w:val="auto"/>
          <w:sz w:val="21"/>
          <w:szCs w:val="21"/>
        </w:rPr>
        <w:t>技术条款（参数）偏离。</w:t>
      </w:r>
    </w:p>
    <w:p w14:paraId="308C39D1">
      <w:pPr>
        <w:tabs>
          <w:tab w:val="left" w:pos="0"/>
        </w:tabs>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bCs/>
          <w:color w:val="auto"/>
          <w:szCs w:val="21"/>
        </w:rPr>
        <w:t>26.2除法律、法规和规章规定外，</w:t>
      </w:r>
      <w:r>
        <w:rPr>
          <w:rFonts w:hint="eastAsia" w:ascii="宋体" w:hAnsi="宋体" w:eastAsia="宋体" w:cs="宋体"/>
          <w:color w:val="auto"/>
          <w:szCs w:val="21"/>
        </w:rPr>
        <w:t>磋商文件中用“拒绝”、“不接受”、“无效”、“不得”等文字规定或标注“★”符号的条款为实质性要求条款（即重要条款），对其中任何一条的偏离，在磋商时将其视为无效响应文件。未用上述文字规定或符号标注的条款为非实质性要求条款(即一般条款)。</w:t>
      </w:r>
    </w:p>
    <w:p w14:paraId="0A2C8183">
      <w:pPr>
        <w:tabs>
          <w:tab w:val="left" w:pos="0"/>
        </w:tabs>
        <w:adjustRightInd w:val="0"/>
        <w:snapToGrid w:val="0"/>
        <w:spacing w:beforeLines="50"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26.3 “磋商文件前附表”中和 “技术规格、参数及要求”中的一般商务</w:t>
      </w:r>
      <w:r>
        <w:rPr>
          <w:rFonts w:hint="eastAsia" w:ascii="宋体" w:hAnsi="宋体" w:eastAsia="宋体" w:cs="宋体"/>
          <w:color w:val="auto"/>
          <w:spacing w:val="4"/>
          <w:szCs w:val="21"/>
        </w:rPr>
        <w:t>和</w:t>
      </w:r>
      <w:r>
        <w:rPr>
          <w:rFonts w:hint="eastAsia" w:ascii="宋体" w:hAnsi="宋体" w:eastAsia="宋体" w:cs="宋体"/>
          <w:color w:val="auto"/>
          <w:szCs w:val="21"/>
        </w:rPr>
        <w:t>技术条款（参数），在超出允许偏离的条款数（最高项数）时，在磋商时将其视为无效响应文件。前述章节中一般商务</w:t>
      </w:r>
      <w:r>
        <w:rPr>
          <w:rFonts w:hint="eastAsia" w:ascii="宋体" w:hAnsi="宋体" w:eastAsia="宋体" w:cs="宋体"/>
          <w:color w:val="auto"/>
          <w:spacing w:val="4"/>
          <w:szCs w:val="21"/>
        </w:rPr>
        <w:t>和</w:t>
      </w:r>
      <w:r>
        <w:rPr>
          <w:rFonts w:hint="eastAsia" w:ascii="宋体" w:hAnsi="宋体" w:eastAsia="宋体" w:cs="宋体"/>
          <w:color w:val="auto"/>
          <w:szCs w:val="21"/>
        </w:rPr>
        <w:t>技术条款允许偏离的最高项数见</w:t>
      </w:r>
      <w:r>
        <w:rPr>
          <w:rFonts w:hint="eastAsia" w:ascii="宋体" w:hAnsi="宋体" w:eastAsia="宋体" w:cs="宋体"/>
          <w:b/>
          <w:color w:val="auto"/>
          <w:szCs w:val="21"/>
        </w:rPr>
        <w:t>磋商文件前附表。</w:t>
      </w:r>
    </w:p>
    <w:p w14:paraId="4EB4C318">
      <w:pPr>
        <w:pStyle w:val="13"/>
        <w:adjustRightInd w:val="0"/>
        <w:snapToGrid w:val="0"/>
        <w:spacing w:line="360" w:lineRule="auto"/>
        <w:ind w:firstLine="210" w:firstLineChars="100"/>
        <w:rPr>
          <w:rFonts w:hint="eastAsia" w:ascii="宋体" w:hAnsi="宋体" w:eastAsia="宋体" w:cs="宋体"/>
          <w:color w:val="auto"/>
          <w:sz w:val="21"/>
        </w:rPr>
      </w:pPr>
      <w:r>
        <w:rPr>
          <w:rFonts w:hint="eastAsia" w:ascii="宋体" w:hAnsi="宋体" w:eastAsia="宋体" w:cs="宋体"/>
          <w:color w:val="auto"/>
          <w:sz w:val="21"/>
        </w:rPr>
        <w:t>26.4本章第26.3</w:t>
      </w:r>
      <w:r>
        <w:rPr>
          <w:rFonts w:hint="eastAsia" w:ascii="宋体" w:hAnsi="宋体" w:eastAsia="宋体" w:cs="宋体"/>
          <w:color w:val="auto"/>
          <w:sz w:val="21"/>
          <w:lang w:val="zh-CN"/>
        </w:rPr>
        <w:t>款</w:t>
      </w:r>
      <w:r>
        <w:rPr>
          <w:rFonts w:hint="eastAsia" w:ascii="宋体" w:hAnsi="宋体" w:eastAsia="宋体" w:cs="宋体"/>
          <w:color w:val="auto"/>
          <w:sz w:val="21"/>
        </w:rPr>
        <w:t>所称条款数（最高项数）的统计方法见</w:t>
      </w:r>
      <w:r>
        <w:rPr>
          <w:rFonts w:hint="eastAsia" w:ascii="宋体" w:hAnsi="宋体" w:eastAsia="宋体" w:cs="宋体"/>
          <w:b/>
          <w:color w:val="auto"/>
          <w:sz w:val="21"/>
        </w:rPr>
        <w:t>磋商文件前附表。</w:t>
      </w:r>
    </w:p>
    <w:p w14:paraId="683DE752">
      <w:pPr>
        <w:widowControl/>
        <w:adjustRightInd w:val="0"/>
        <w:snapToGrid w:val="0"/>
        <w:spacing w:line="360" w:lineRule="auto"/>
        <w:jc w:val="left"/>
        <w:rPr>
          <w:rFonts w:hint="eastAsia" w:ascii="宋体" w:hAnsi="宋体" w:eastAsia="宋体" w:cs="宋体"/>
          <w:b/>
          <w:color w:val="auto"/>
          <w:kern w:val="0"/>
          <w:szCs w:val="21"/>
        </w:rPr>
      </w:pPr>
      <w:bookmarkStart w:id="98" w:name="_Toc23158_WPSOffice_Level3"/>
      <w:r>
        <w:rPr>
          <w:rFonts w:hint="eastAsia" w:ascii="宋体" w:hAnsi="宋体" w:eastAsia="宋体" w:cs="宋体"/>
          <w:b/>
          <w:color w:val="auto"/>
          <w:kern w:val="0"/>
          <w:szCs w:val="21"/>
        </w:rPr>
        <w:t>27.澄清</w:t>
      </w:r>
      <w:bookmarkEnd w:id="98"/>
    </w:p>
    <w:p w14:paraId="2003E325">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27.1 磋商小组在对响应文件(包括首次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磋商文件的范围或者改变响应文件的实质性内容。</w:t>
      </w:r>
    </w:p>
    <w:p w14:paraId="33D4DEF9">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351513C9">
      <w:pPr>
        <w:widowControl/>
        <w:adjustRightInd w:val="0"/>
        <w:snapToGrid w:val="0"/>
        <w:spacing w:line="360" w:lineRule="auto"/>
        <w:jc w:val="left"/>
        <w:rPr>
          <w:rFonts w:hint="eastAsia" w:ascii="宋体" w:hAnsi="宋体" w:eastAsia="宋体" w:cs="宋体"/>
          <w:b/>
          <w:color w:val="auto"/>
          <w:kern w:val="0"/>
          <w:szCs w:val="21"/>
        </w:rPr>
      </w:pPr>
      <w:bookmarkStart w:id="99" w:name="_Toc22201_WPSOffice_Level3"/>
      <w:r>
        <w:rPr>
          <w:rFonts w:hint="eastAsia" w:ascii="宋体" w:hAnsi="宋体" w:eastAsia="宋体" w:cs="宋体"/>
          <w:b/>
          <w:color w:val="auto"/>
          <w:kern w:val="0"/>
          <w:szCs w:val="21"/>
        </w:rPr>
        <w:t>28.符合性审查</w:t>
      </w:r>
      <w:bookmarkEnd w:id="99"/>
    </w:p>
    <w:p w14:paraId="6E39E1F7">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28.1对响应文件(包括首次</w:t>
      </w:r>
      <w:r>
        <w:rPr>
          <w:rFonts w:hint="eastAsia" w:ascii="宋体" w:hAnsi="宋体" w:eastAsia="宋体" w:cs="宋体"/>
          <w:color w:val="auto"/>
          <w:szCs w:val="21"/>
        </w:rPr>
        <w:t>提交的</w:t>
      </w:r>
      <w:r>
        <w:rPr>
          <w:rFonts w:hint="eastAsia" w:ascii="宋体" w:hAnsi="宋体" w:eastAsia="宋体" w:cs="宋体"/>
          <w:color w:val="auto"/>
          <w:kern w:val="0"/>
          <w:szCs w:val="21"/>
        </w:rPr>
        <w:t>响应文件、重新提交的响应文件)的符合性审查。磋商小组应当对响应文件进行符合性审查，供应商响应文件有下列情况之一，其响应文件无效（供应商不参加磋商），磋商小组应当告知有关供应商：</w:t>
      </w:r>
    </w:p>
    <w:p w14:paraId="14302A87">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（1）不满足本章第26.1</w:t>
      </w:r>
      <w:r>
        <w:rPr>
          <w:rFonts w:hint="eastAsia" w:ascii="宋体" w:hAnsi="宋体" w:eastAsia="宋体" w:cs="宋体"/>
          <w:color w:val="auto"/>
          <w:kern w:val="0"/>
          <w:szCs w:val="21"/>
          <w:lang w:val="zh-CN"/>
        </w:rPr>
        <w:t>款</w:t>
      </w:r>
      <w:r>
        <w:rPr>
          <w:rFonts w:hint="eastAsia" w:ascii="宋体" w:hAnsi="宋体" w:eastAsia="宋体" w:cs="宋体"/>
          <w:color w:val="auto"/>
          <w:kern w:val="0"/>
          <w:szCs w:val="21"/>
        </w:rPr>
        <w:t>规定的实质性要求的；</w:t>
      </w:r>
    </w:p>
    <w:p w14:paraId="65D85F65">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（2）不符合法律、规章、规范性文件和磋商文件规定的。</w:t>
      </w:r>
    </w:p>
    <w:p w14:paraId="47137AFA">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bCs/>
          <w:color w:val="auto"/>
          <w:szCs w:val="21"/>
        </w:rPr>
        <w:t>28.2</w:t>
      </w:r>
      <w:r>
        <w:rPr>
          <w:rFonts w:hint="eastAsia" w:ascii="宋体" w:hAnsi="宋体" w:eastAsia="宋体" w:cs="宋体"/>
          <w:color w:val="auto"/>
          <w:kern w:val="0"/>
          <w:szCs w:val="21"/>
        </w:rPr>
        <w:t>符合性审查结束后</w:t>
      </w:r>
      <w:r>
        <w:rPr>
          <w:rFonts w:hint="eastAsia" w:ascii="宋体" w:hAnsi="宋体" w:eastAsia="宋体" w:cs="宋体"/>
          <w:bCs/>
          <w:color w:val="auto"/>
          <w:szCs w:val="21"/>
        </w:rPr>
        <w:t>，</w:t>
      </w:r>
      <w:r>
        <w:rPr>
          <w:rFonts w:hint="eastAsia" w:ascii="宋体" w:hAnsi="宋体" w:eastAsia="宋体" w:cs="宋体"/>
          <w:color w:val="auto"/>
          <w:kern w:val="0"/>
          <w:szCs w:val="21"/>
        </w:rPr>
        <w:t>磋商小组所有成员集中与单一供应商分别进行磋商，并给予所有参加磋商的供应商平等的磋商机会。供应商应派其法定代表人或委托代理人参加磋商。</w:t>
      </w:r>
    </w:p>
    <w:tbl>
      <w:tblPr>
        <w:tblStyle w:val="26"/>
        <w:tblW w:w="90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200"/>
        <w:gridCol w:w="1246"/>
        <w:gridCol w:w="1180"/>
        <w:gridCol w:w="1124"/>
        <w:gridCol w:w="716"/>
        <w:gridCol w:w="2034"/>
        <w:gridCol w:w="924"/>
      </w:tblGrid>
      <w:tr w14:paraId="01298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655" w:type="dxa"/>
            <w:vMerge w:val="restart"/>
            <w:vAlign w:val="center"/>
          </w:tcPr>
          <w:p w14:paraId="08C1B125">
            <w:pPr>
              <w:spacing w:line="280" w:lineRule="exact"/>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00" w:type="dxa"/>
            <w:vMerge w:val="restart"/>
            <w:vAlign w:val="center"/>
          </w:tcPr>
          <w:p w14:paraId="2786779D">
            <w:pPr>
              <w:spacing w:line="460" w:lineRule="exact"/>
              <w:jc w:val="center"/>
              <w:rPr>
                <w:rFonts w:hint="eastAsia" w:ascii="宋体" w:hAnsi="宋体" w:eastAsia="宋体" w:cs="宋体"/>
                <w:color w:val="auto"/>
                <w:szCs w:val="21"/>
              </w:rPr>
            </w:pPr>
            <w:r>
              <w:rPr>
                <w:rFonts w:hint="eastAsia" w:ascii="宋体" w:hAnsi="宋体" w:eastAsia="宋体" w:cs="宋体"/>
                <w:color w:val="auto"/>
                <w:szCs w:val="21"/>
              </w:rPr>
              <w:t>供应商</w:t>
            </w:r>
          </w:p>
        </w:tc>
        <w:tc>
          <w:tcPr>
            <w:tcW w:w="2426" w:type="dxa"/>
            <w:gridSpan w:val="2"/>
            <w:vAlign w:val="center"/>
          </w:tcPr>
          <w:p w14:paraId="626B01B3">
            <w:pPr>
              <w:spacing w:line="460" w:lineRule="exact"/>
              <w:jc w:val="center"/>
              <w:rPr>
                <w:rFonts w:hint="eastAsia" w:ascii="宋体" w:hAnsi="宋体" w:eastAsia="宋体" w:cs="宋体"/>
                <w:color w:val="auto"/>
                <w:szCs w:val="21"/>
              </w:rPr>
            </w:pPr>
            <w:r>
              <w:rPr>
                <w:rFonts w:hint="eastAsia" w:ascii="宋体" w:hAnsi="宋体" w:eastAsia="宋体" w:cs="宋体"/>
                <w:color w:val="auto"/>
                <w:szCs w:val="21"/>
              </w:rPr>
              <w:t>完整性</w:t>
            </w:r>
          </w:p>
        </w:tc>
        <w:tc>
          <w:tcPr>
            <w:tcW w:w="3874" w:type="dxa"/>
            <w:gridSpan w:val="3"/>
            <w:vAlign w:val="center"/>
          </w:tcPr>
          <w:p w14:paraId="68158A14">
            <w:pPr>
              <w:spacing w:line="460" w:lineRule="exact"/>
              <w:jc w:val="center"/>
              <w:rPr>
                <w:rFonts w:hint="eastAsia" w:ascii="宋体" w:hAnsi="宋体" w:eastAsia="宋体" w:cs="宋体"/>
                <w:color w:val="auto"/>
                <w:szCs w:val="21"/>
              </w:rPr>
            </w:pPr>
            <w:r>
              <w:rPr>
                <w:rFonts w:hint="eastAsia" w:ascii="宋体" w:hAnsi="宋体" w:eastAsia="宋体" w:cs="宋体"/>
                <w:color w:val="auto"/>
                <w:szCs w:val="21"/>
              </w:rPr>
              <w:t>实质性响应</w:t>
            </w:r>
          </w:p>
        </w:tc>
        <w:tc>
          <w:tcPr>
            <w:tcW w:w="924" w:type="dxa"/>
            <w:vMerge w:val="restart"/>
            <w:vAlign w:val="center"/>
          </w:tcPr>
          <w:p w14:paraId="15B7EEB7">
            <w:pPr>
              <w:spacing w:line="460" w:lineRule="exact"/>
              <w:jc w:val="center"/>
              <w:rPr>
                <w:rFonts w:hint="eastAsia" w:ascii="宋体" w:hAnsi="宋体" w:eastAsia="宋体" w:cs="宋体"/>
                <w:color w:val="auto"/>
                <w:szCs w:val="21"/>
              </w:rPr>
            </w:pPr>
            <w:r>
              <w:rPr>
                <w:rFonts w:hint="eastAsia" w:ascii="宋体" w:hAnsi="宋体" w:eastAsia="宋体" w:cs="宋体"/>
                <w:color w:val="auto"/>
                <w:szCs w:val="21"/>
              </w:rPr>
              <w:t>结论</w:t>
            </w:r>
          </w:p>
        </w:tc>
      </w:tr>
      <w:tr w14:paraId="4576B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93" w:hRule="atLeast"/>
          <w:jc w:val="center"/>
        </w:trPr>
        <w:tc>
          <w:tcPr>
            <w:tcW w:w="655" w:type="dxa"/>
            <w:vMerge w:val="continue"/>
            <w:vAlign w:val="center"/>
          </w:tcPr>
          <w:p w14:paraId="15209BF6">
            <w:pPr>
              <w:widowControl/>
              <w:spacing w:line="460" w:lineRule="exact"/>
              <w:jc w:val="left"/>
              <w:rPr>
                <w:rFonts w:hint="eastAsia" w:ascii="宋体" w:hAnsi="宋体" w:eastAsia="宋体" w:cs="宋体"/>
                <w:color w:val="auto"/>
                <w:sz w:val="18"/>
                <w:szCs w:val="21"/>
              </w:rPr>
            </w:pPr>
          </w:p>
        </w:tc>
        <w:tc>
          <w:tcPr>
            <w:tcW w:w="1200" w:type="dxa"/>
            <w:vMerge w:val="continue"/>
            <w:vAlign w:val="center"/>
          </w:tcPr>
          <w:p w14:paraId="3FDB5DA0">
            <w:pPr>
              <w:widowControl/>
              <w:spacing w:line="460" w:lineRule="exact"/>
              <w:jc w:val="left"/>
              <w:rPr>
                <w:rFonts w:hint="eastAsia" w:ascii="宋体" w:hAnsi="宋体" w:eastAsia="宋体" w:cs="宋体"/>
                <w:color w:val="auto"/>
                <w:sz w:val="18"/>
                <w:szCs w:val="21"/>
              </w:rPr>
            </w:pPr>
          </w:p>
        </w:tc>
        <w:tc>
          <w:tcPr>
            <w:tcW w:w="1246" w:type="dxa"/>
            <w:vAlign w:val="center"/>
          </w:tcPr>
          <w:p w14:paraId="6521FFC8">
            <w:pPr>
              <w:jc w:val="center"/>
              <w:rPr>
                <w:rFonts w:hint="eastAsia" w:ascii="宋体" w:hAnsi="宋体" w:eastAsia="宋体" w:cs="宋体"/>
                <w:color w:val="auto"/>
                <w:szCs w:val="21"/>
              </w:rPr>
            </w:pPr>
            <w:r>
              <w:rPr>
                <w:rFonts w:hint="eastAsia" w:ascii="宋体" w:hAnsi="宋体" w:eastAsia="宋体" w:cs="宋体"/>
                <w:color w:val="auto"/>
                <w:szCs w:val="21"/>
              </w:rPr>
              <w:t>响应文件</w:t>
            </w:r>
          </w:p>
          <w:p w14:paraId="647F5C25">
            <w:pPr>
              <w:jc w:val="center"/>
              <w:rPr>
                <w:rFonts w:hint="eastAsia" w:ascii="宋体" w:hAnsi="宋体" w:eastAsia="宋体" w:cs="宋体"/>
                <w:color w:val="auto"/>
                <w:szCs w:val="21"/>
              </w:rPr>
            </w:pPr>
            <w:r>
              <w:rPr>
                <w:rFonts w:hint="eastAsia" w:ascii="宋体" w:hAnsi="宋体" w:eastAsia="宋体" w:cs="宋体"/>
                <w:color w:val="auto"/>
                <w:szCs w:val="21"/>
              </w:rPr>
              <w:t>的组成</w:t>
            </w:r>
          </w:p>
        </w:tc>
        <w:tc>
          <w:tcPr>
            <w:tcW w:w="1180" w:type="dxa"/>
            <w:vAlign w:val="center"/>
          </w:tcPr>
          <w:p w14:paraId="3E326D6C">
            <w:pPr>
              <w:jc w:val="center"/>
              <w:rPr>
                <w:rFonts w:hint="eastAsia" w:ascii="宋体" w:hAnsi="宋体" w:eastAsia="宋体" w:cs="宋体"/>
                <w:color w:val="auto"/>
                <w:szCs w:val="21"/>
              </w:rPr>
            </w:pPr>
            <w:r>
              <w:rPr>
                <w:rFonts w:hint="eastAsia" w:ascii="宋体" w:hAnsi="宋体" w:eastAsia="宋体" w:cs="宋体"/>
                <w:color w:val="auto"/>
                <w:szCs w:val="21"/>
              </w:rPr>
              <w:t>响应文件的格式</w:t>
            </w:r>
          </w:p>
        </w:tc>
        <w:tc>
          <w:tcPr>
            <w:tcW w:w="1124" w:type="dxa"/>
            <w:vAlign w:val="center"/>
          </w:tcPr>
          <w:p w14:paraId="5A9D190C">
            <w:pPr>
              <w:jc w:val="center"/>
              <w:rPr>
                <w:rFonts w:hint="eastAsia" w:ascii="宋体" w:hAnsi="宋体" w:eastAsia="宋体" w:cs="宋体"/>
                <w:color w:val="auto"/>
                <w:szCs w:val="21"/>
              </w:rPr>
            </w:pPr>
            <w:r>
              <w:rPr>
                <w:rFonts w:hint="eastAsia" w:ascii="宋体" w:hAnsi="宋体" w:eastAsia="宋体" w:cs="宋体"/>
                <w:color w:val="auto"/>
                <w:szCs w:val="21"/>
              </w:rPr>
              <w:t>服务承诺的范围</w:t>
            </w:r>
          </w:p>
        </w:tc>
        <w:tc>
          <w:tcPr>
            <w:tcW w:w="716" w:type="dxa"/>
            <w:vAlign w:val="center"/>
          </w:tcPr>
          <w:p w14:paraId="1DF099F7">
            <w:pPr>
              <w:jc w:val="center"/>
              <w:rPr>
                <w:rFonts w:hint="eastAsia" w:ascii="宋体" w:hAnsi="宋体" w:eastAsia="宋体" w:cs="宋体"/>
                <w:color w:val="auto"/>
                <w:szCs w:val="21"/>
              </w:rPr>
            </w:pPr>
            <w:r>
              <w:rPr>
                <w:rFonts w:hint="eastAsia" w:ascii="宋体" w:hAnsi="宋体" w:eastAsia="宋体" w:cs="宋体"/>
                <w:color w:val="auto"/>
                <w:szCs w:val="21"/>
              </w:rPr>
              <w:t>报价</w:t>
            </w:r>
          </w:p>
          <w:p w14:paraId="09448874">
            <w:pPr>
              <w:jc w:val="center"/>
              <w:rPr>
                <w:rFonts w:hint="eastAsia" w:ascii="宋体" w:hAnsi="宋体" w:eastAsia="宋体" w:cs="宋体"/>
                <w:color w:val="auto"/>
                <w:szCs w:val="21"/>
              </w:rPr>
            </w:pPr>
            <w:r>
              <w:rPr>
                <w:rFonts w:hint="eastAsia" w:ascii="宋体" w:hAnsi="宋体" w:eastAsia="宋体" w:cs="宋体"/>
                <w:color w:val="auto"/>
                <w:szCs w:val="21"/>
              </w:rPr>
              <w:t>范围</w:t>
            </w:r>
          </w:p>
        </w:tc>
        <w:tc>
          <w:tcPr>
            <w:tcW w:w="2034" w:type="dxa"/>
            <w:vAlign w:val="center"/>
          </w:tcPr>
          <w:p w14:paraId="50E4664E">
            <w:pPr>
              <w:spacing w:line="240" w:lineRule="exact"/>
              <w:jc w:val="center"/>
              <w:rPr>
                <w:rFonts w:hint="eastAsia" w:ascii="宋体" w:hAnsi="宋体" w:eastAsia="宋体" w:cs="宋体"/>
                <w:color w:val="auto"/>
                <w:szCs w:val="21"/>
              </w:rPr>
            </w:pPr>
            <w:r>
              <w:rPr>
                <w:rFonts w:hint="eastAsia" w:ascii="宋体" w:hAnsi="宋体" w:eastAsia="宋体" w:cs="宋体"/>
                <w:color w:val="auto"/>
                <w:szCs w:val="21"/>
              </w:rPr>
              <w:t>符合磋商文件所有条款、条件且没有重大偏离或保留</w:t>
            </w:r>
          </w:p>
        </w:tc>
        <w:tc>
          <w:tcPr>
            <w:tcW w:w="924" w:type="dxa"/>
            <w:vMerge w:val="continue"/>
            <w:vAlign w:val="center"/>
          </w:tcPr>
          <w:p w14:paraId="73311606">
            <w:pPr>
              <w:widowControl/>
              <w:spacing w:line="460" w:lineRule="exact"/>
              <w:jc w:val="left"/>
              <w:rPr>
                <w:rFonts w:hint="eastAsia" w:ascii="宋体" w:hAnsi="宋体" w:eastAsia="宋体" w:cs="宋体"/>
                <w:color w:val="auto"/>
                <w:sz w:val="18"/>
                <w:szCs w:val="21"/>
              </w:rPr>
            </w:pPr>
          </w:p>
        </w:tc>
      </w:tr>
      <w:tr w14:paraId="7E5B6E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655" w:type="dxa"/>
            <w:vAlign w:val="center"/>
          </w:tcPr>
          <w:p w14:paraId="30AF58D1">
            <w:pPr>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200" w:type="dxa"/>
            <w:vAlign w:val="center"/>
          </w:tcPr>
          <w:p w14:paraId="5F696492">
            <w:pPr>
              <w:spacing w:line="400" w:lineRule="exact"/>
              <w:jc w:val="left"/>
              <w:rPr>
                <w:rFonts w:hint="eastAsia" w:ascii="宋体" w:hAnsi="宋体" w:eastAsia="宋体" w:cs="宋体"/>
                <w:color w:val="auto"/>
                <w:szCs w:val="21"/>
              </w:rPr>
            </w:pPr>
          </w:p>
        </w:tc>
        <w:tc>
          <w:tcPr>
            <w:tcW w:w="1246" w:type="dxa"/>
            <w:vAlign w:val="center"/>
          </w:tcPr>
          <w:p w14:paraId="61AEF6A7">
            <w:pPr>
              <w:autoSpaceDN w:val="0"/>
              <w:jc w:val="center"/>
              <w:textAlignment w:val="center"/>
              <w:rPr>
                <w:rFonts w:hint="eastAsia" w:ascii="宋体" w:hAnsi="宋体" w:eastAsia="宋体" w:cs="宋体"/>
                <w:bCs/>
                <w:color w:val="auto"/>
                <w:szCs w:val="21"/>
              </w:rPr>
            </w:pPr>
          </w:p>
        </w:tc>
        <w:tc>
          <w:tcPr>
            <w:tcW w:w="1180" w:type="dxa"/>
            <w:vAlign w:val="center"/>
          </w:tcPr>
          <w:p w14:paraId="748FFEFB">
            <w:pPr>
              <w:autoSpaceDN w:val="0"/>
              <w:jc w:val="center"/>
              <w:textAlignment w:val="center"/>
              <w:rPr>
                <w:rFonts w:hint="eastAsia" w:ascii="宋体" w:hAnsi="宋体" w:eastAsia="宋体" w:cs="宋体"/>
                <w:bCs/>
                <w:color w:val="auto"/>
                <w:szCs w:val="21"/>
              </w:rPr>
            </w:pPr>
          </w:p>
        </w:tc>
        <w:tc>
          <w:tcPr>
            <w:tcW w:w="1124" w:type="dxa"/>
            <w:vAlign w:val="center"/>
          </w:tcPr>
          <w:p w14:paraId="5C1A1E9F">
            <w:pPr>
              <w:spacing w:line="400" w:lineRule="exact"/>
              <w:jc w:val="center"/>
              <w:rPr>
                <w:rFonts w:hint="eastAsia" w:ascii="宋体" w:hAnsi="宋体" w:eastAsia="宋体" w:cs="宋体"/>
                <w:color w:val="auto"/>
                <w:szCs w:val="21"/>
              </w:rPr>
            </w:pPr>
          </w:p>
        </w:tc>
        <w:tc>
          <w:tcPr>
            <w:tcW w:w="716" w:type="dxa"/>
            <w:vAlign w:val="center"/>
          </w:tcPr>
          <w:p w14:paraId="27963A63">
            <w:pPr>
              <w:spacing w:line="400" w:lineRule="exact"/>
              <w:jc w:val="center"/>
              <w:rPr>
                <w:rFonts w:hint="eastAsia" w:ascii="宋体" w:hAnsi="宋体" w:eastAsia="宋体" w:cs="宋体"/>
                <w:color w:val="auto"/>
                <w:szCs w:val="21"/>
              </w:rPr>
            </w:pPr>
          </w:p>
        </w:tc>
        <w:tc>
          <w:tcPr>
            <w:tcW w:w="2034" w:type="dxa"/>
            <w:vAlign w:val="center"/>
          </w:tcPr>
          <w:p w14:paraId="7BD0F4C3">
            <w:pPr>
              <w:spacing w:line="400" w:lineRule="exact"/>
              <w:jc w:val="center"/>
              <w:rPr>
                <w:rFonts w:hint="eastAsia" w:ascii="宋体" w:hAnsi="宋体" w:eastAsia="宋体" w:cs="宋体"/>
                <w:color w:val="auto"/>
                <w:szCs w:val="21"/>
              </w:rPr>
            </w:pPr>
          </w:p>
        </w:tc>
        <w:tc>
          <w:tcPr>
            <w:tcW w:w="924" w:type="dxa"/>
            <w:vAlign w:val="center"/>
          </w:tcPr>
          <w:p w14:paraId="3F6D5B60">
            <w:pPr>
              <w:spacing w:line="460" w:lineRule="exact"/>
              <w:jc w:val="center"/>
              <w:rPr>
                <w:rFonts w:hint="eastAsia" w:ascii="宋体" w:hAnsi="宋体" w:eastAsia="宋体" w:cs="宋体"/>
                <w:color w:val="auto"/>
                <w:sz w:val="18"/>
                <w:szCs w:val="21"/>
              </w:rPr>
            </w:pPr>
          </w:p>
        </w:tc>
      </w:tr>
      <w:tr w14:paraId="081352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655" w:type="dxa"/>
            <w:vAlign w:val="center"/>
          </w:tcPr>
          <w:p w14:paraId="5AFDD07A">
            <w:pPr>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200" w:type="dxa"/>
            <w:vAlign w:val="center"/>
          </w:tcPr>
          <w:p w14:paraId="18D3DA31">
            <w:pPr>
              <w:spacing w:line="400" w:lineRule="exact"/>
              <w:jc w:val="left"/>
              <w:rPr>
                <w:rFonts w:hint="eastAsia" w:ascii="宋体" w:hAnsi="宋体" w:eastAsia="宋体" w:cs="宋体"/>
                <w:color w:val="auto"/>
                <w:szCs w:val="21"/>
              </w:rPr>
            </w:pPr>
          </w:p>
        </w:tc>
        <w:tc>
          <w:tcPr>
            <w:tcW w:w="1246" w:type="dxa"/>
            <w:vAlign w:val="center"/>
          </w:tcPr>
          <w:p w14:paraId="6C0747B0">
            <w:pPr>
              <w:spacing w:line="460" w:lineRule="exact"/>
              <w:jc w:val="center"/>
              <w:rPr>
                <w:rFonts w:hint="eastAsia" w:ascii="宋体" w:hAnsi="宋体" w:eastAsia="宋体" w:cs="宋体"/>
                <w:color w:val="auto"/>
                <w:sz w:val="18"/>
                <w:szCs w:val="21"/>
              </w:rPr>
            </w:pPr>
          </w:p>
        </w:tc>
        <w:tc>
          <w:tcPr>
            <w:tcW w:w="1180" w:type="dxa"/>
            <w:vAlign w:val="center"/>
          </w:tcPr>
          <w:p w14:paraId="368738DD">
            <w:pPr>
              <w:spacing w:line="460" w:lineRule="exact"/>
              <w:jc w:val="center"/>
              <w:rPr>
                <w:rFonts w:hint="eastAsia" w:ascii="宋体" w:hAnsi="宋体" w:eastAsia="宋体" w:cs="宋体"/>
                <w:color w:val="auto"/>
                <w:sz w:val="18"/>
                <w:szCs w:val="21"/>
              </w:rPr>
            </w:pPr>
          </w:p>
        </w:tc>
        <w:tc>
          <w:tcPr>
            <w:tcW w:w="1124" w:type="dxa"/>
            <w:vAlign w:val="center"/>
          </w:tcPr>
          <w:p w14:paraId="43A87434">
            <w:pPr>
              <w:spacing w:line="460" w:lineRule="exact"/>
              <w:jc w:val="center"/>
              <w:rPr>
                <w:rFonts w:hint="eastAsia" w:ascii="宋体" w:hAnsi="宋体" w:eastAsia="宋体" w:cs="宋体"/>
                <w:color w:val="auto"/>
                <w:sz w:val="18"/>
                <w:szCs w:val="21"/>
              </w:rPr>
            </w:pPr>
          </w:p>
        </w:tc>
        <w:tc>
          <w:tcPr>
            <w:tcW w:w="716" w:type="dxa"/>
            <w:vAlign w:val="center"/>
          </w:tcPr>
          <w:p w14:paraId="0278F8B8">
            <w:pPr>
              <w:spacing w:line="460" w:lineRule="exact"/>
              <w:jc w:val="center"/>
              <w:rPr>
                <w:rFonts w:hint="eastAsia" w:ascii="宋体" w:hAnsi="宋体" w:eastAsia="宋体" w:cs="宋体"/>
                <w:color w:val="auto"/>
                <w:sz w:val="18"/>
                <w:szCs w:val="21"/>
              </w:rPr>
            </w:pPr>
          </w:p>
        </w:tc>
        <w:tc>
          <w:tcPr>
            <w:tcW w:w="2034" w:type="dxa"/>
            <w:vAlign w:val="center"/>
          </w:tcPr>
          <w:p w14:paraId="3E725945">
            <w:pPr>
              <w:spacing w:line="460" w:lineRule="exact"/>
              <w:jc w:val="center"/>
              <w:rPr>
                <w:rFonts w:hint="eastAsia" w:ascii="宋体" w:hAnsi="宋体" w:eastAsia="宋体" w:cs="宋体"/>
                <w:color w:val="auto"/>
                <w:sz w:val="18"/>
                <w:szCs w:val="21"/>
              </w:rPr>
            </w:pPr>
          </w:p>
        </w:tc>
        <w:tc>
          <w:tcPr>
            <w:tcW w:w="924" w:type="dxa"/>
            <w:vAlign w:val="center"/>
          </w:tcPr>
          <w:p w14:paraId="06416C6B">
            <w:pPr>
              <w:spacing w:line="460" w:lineRule="exact"/>
              <w:jc w:val="center"/>
              <w:rPr>
                <w:rFonts w:hint="eastAsia" w:ascii="宋体" w:hAnsi="宋体" w:eastAsia="宋体" w:cs="宋体"/>
                <w:color w:val="auto"/>
                <w:sz w:val="18"/>
                <w:szCs w:val="21"/>
              </w:rPr>
            </w:pPr>
          </w:p>
        </w:tc>
      </w:tr>
      <w:tr w14:paraId="22E17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655" w:type="dxa"/>
            <w:vAlign w:val="center"/>
          </w:tcPr>
          <w:p w14:paraId="0676AAEA">
            <w:pPr>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200" w:type="dxa"/>
            <w:vAlign w:val="center"/>
          </w:tcPr>
          <w:p w14:paraId="507AA2B3">
            <w:pPr>
              <w:spacing w:line="400" w:lineRule="exact"/>
              <w:jc w:val="left"/>
              <w:rPr>
                <w:rFonts w:hint="eastAsia" w:ascii="宋体" w:hAnsi="宋体" w:eastAsia="宋体" w:cs="宋体"/>
                <w:color w:val="auto"/>
                <w:szCs w:val="21"/>
              </w:rPr>
            </w:pPr>
          </w:p>
        </w:tc>
        <w:tc>
          <w:tcPr>
            <w:tcW w:w="1246" w:type="dxa"/>
            <w:vAlign w:val="center"/>
          </w:tcPr>
          <w:p w14:paraId="0ACCA7B0">
            <w:pPr>
              <w:spacing w:line="460" w:lineRule="exact"/>
              <w:jc w:val="center"/>
              <w:rPr>
                <w:rFonts w:hint="eastAsia" w:ascii="宋体" w:hAnsi="宋体" w:eastAsia="宋体" w:cs="宋体"/>
                <w:color w:val="auto"/>
                <w:sz w:val="18"/>
                <w:szCs w:val="21"/>
              </w:rPr>
            </w:pPr>
          </w:p>
        </w:tc>
        <w:tc>
          <w:tcPr>
            <w:tcW w:w="1180" w:type="dxa"/>
            <w:vAlign w:val="center"/>
          </w:tcPr>
          <w:p w14:paraId="60D21358">
            <w:pPr>
              <w:spacing w:line="460" w:lineRule="exact"/>
              <w:jc w:val="center"/>
              <w:rPr>
                <w:rFonts w:hint="eastAsia" w:ascii="宋体" w:hAnsi="宋体" w:eastAsia="宋体" w:cs="宋体"/>
                <w:color w:val="auto"/>
                <w:sz w:val="18"/>
                <w:szCs w:val="21"/>
              </w:rPr>
            </w:pPr>
          </w:p>
        </w:tc>
        <w:tc>
          <w:tcPr>
            <w:tcW w:w="1124" w:type="dxa"/>
            <w:vAlign w:val="center"/>
          </w:tcPr>
          <w:p w14:paraId="40EFC6B5">
            <w:pPr>
              <w:spacing w:line="460" w:lineRule="exact"/>
              <w:jc w:val="center"/>
              <w:rPr>
                <w:rFonts w:hint="eastAsia" w:ascii="宋体" w:hAnsi="宋体" w:eastAsia="宋体" w:cs="宋体"/>
                <w:color w:val="auto"/>
                <w:sz w:val="18"/>
                <w:szCs w:val="21"/>
              </w:rPr>
            </w:pPr>
          </w:p>
        </w:tc>
        <w:tc>
          <w:tcPr>
            <w:tcW w:w="716" w:type="dxa"/>
            <w:vAlign w:val="center"/>
          </w:tcPr>
          <w:p w14:paraId="71556DC3">
            <w:pPr>
              <w:spacing w:line="460" w:lineRule="exact"/>
              <w:jc w:val="center"/>
              <w:rPr>
                <w:rFonts w:hint="eastAsia" w:ascii="宋体" w:hAnsi="宋体" w:eastAsia="宋体" w:cs="宋体"/>
                <w:color w:val="auto"/>
                <w:sz w:val="18"/>
                <w:szCs w:val="21"/>
              </w:rPr>
            </w:pPr>
          </w:p>
        </w:tc>
        <w:tc>
          <w:tcPr>
            <w:tcW w:w="2034" w:type="dxa"/>
            <w:vAlign w:val="center"/>
          </w:tcPr>
          <w:p w14:paraId="7BCF9727">
            <w:pPr>
              <w:spacing w:line="460" w:lineRule="exact"/>
              <w:jc w:val="center"/>
              <w:rPr>
                <w:rFonts w:hint="eastAsia" w:ascii="宋体" w:hAnsi="宋体" w:eastAsia="宋体" w:cs="宋体"/>
                <w:color w:val="auto"/>
                <w:sz w:val="18"/>
                <w:szCs w:val="21"/>
              </w:rPr>
            </w:pPr>
          </w:p>
        </w:tc>
        <w:tc>
          <w:tcPr>
            <w:tcW w:w="924" w:type="dxa"/>
            <w:vAlign w:val="center"/>
          </w:tcPr>
          <w:p w14:paraId="3773506B">
            <w:pPr>
              <w:spacing w:line="460" w:lineRule="exact"/>
              <w:jc w:val="center"/>
              <w:rPr>
                <w:rFonts w:hint="eastAsia" w:ascii="宋体" w:hAnsi="宋体" w:eastAsia="宋体" w:cs="宋体"/>
                <w:color w:val="auto"/>
                <w:sz w:val="18"/>
                <w:szCs w:val="21"/>
              </w:rPr>
            </w:pPr>
          </w:p>
        </w:tc>
      </w:tr>
    </w:tbl>
    <w:p w14:paraId="77C85FA3">
      <w:pPr>
        <w:widowControl/>
        <w:adjustRightInd w:val="0"/>
        <w:snapToGrid w:val="0"/>
        <w:spacing w:line="360" w:lineRule="auto"/>
        <w:jc w:val="left"/>
        <w:rPr>
          <w:rFonts w:hint="eastAsia" w:ascii="宋体" w:hAnsi="宋体" w:eastAsia="宋体" w:cs="宋体"/>
          <w:b/>
          <w:color w:val="auto"/>
          <w:kern w:val="0"/>
          <w:szCs w:val="21"/>
        </w:rPr>
      </w:pPr>
      <w:bookmarkStart w:id="100" w:name="_Toc10482_WPSOffice_Level3"/>
      <w:r>
        <w:rPr>
          <w:rFonts w:hint="eastAsia" w:ascii="宋体" w:hAnsi="宋体" w:eastAsia="宋体" w:cs="宋体"/>
          <w:b/>
          <w:color w:val="auto"/>
          <w:kern w:val="0"/>
          <w:szCs w:val="21"/>
        </w:rPr>
        <w:t>29.磋商</w:t>
      </w:r>
      <w:bookmarkEnd w:id="100"/>
    </w:p>
    <w:p w14:paraId="48020E5B">
      <w:pPr>
        <w:widowControl/>
        <w:adjustRightInd w:val="0"/>
        <w:snapToGrid w:val="0"/>
        <w:spacing w:line="360" w:lineRule="auto"/>
        <w:ind w:firstLine="420"/>
        <w:jc w:val="left"/>
        <w:rPr>
          <w:rFonts w:hint="eastAsia" w:ascii="宋体" w:hAnsi="宋体" w:eastAsia="宋体" w:cs="宋体"/>
          <w:color w:val="auto"/>
          <w:kern w:val="0"/>
          <w:szCs w:val="21"/>
          <w:lang w:val="zh-CN"/>
        </w:rPr>
      </w:pPr>
      <w:r>
        <w:rPr>
          <w:rFonts w:hint="eastAsia" w:ascii="宋体" w:hAnsi="宋体" w:eastAsia="宋体" w:cs="宋体"/>
          <w:color w:val="auto"/>
          <w:kern w:val="0"/>
          <w:szCs w:val="21"/>
        </w:rPr>
        <w:t>29.1对于</w:t>
      </w:r>
      <w:r>
        <w:rPr>
          <w:rFonts w:hint="eastAsia" w:ascii="宋体" w:hAnsi="宋体" w:eastAsia="宋体" w:cs="宋体"/>
          <w:color w:val="auto"/>
          <w:szCs w:val="21"/>
        </w:rPr>
        <w:t>本章第10.3项</w:t>
      </w:r>
      <w:r>
        <w:rPr>
          <w:rFonts w:hint="eastAsia" w:ascii="宋体" w:hAnsi="宋体" w:eastAsia="宋体" w:cs="宋体"/>
          <w:color w:val="auto"/>
          <w:kern w:val="0"/>
          <w:szCs w:val="21"/>
        </w:rPr>
        <w:t>未明确磋商文件实质性变动内容，或者磋商文件明确了可能发生实质性变动内容，但在磋商过程中，</w:t>
      </w:r>
      <w:r>
        <w:rPr>
          <w:rFonts w:hint="eastAsia" w:ascii="宋体" w:hAnsi="宋体" w:eastAsia="宋体" w:cs="宋体"/>
          <w:bCs/>
          <w:color w:val="auto"/>
          <w:szCs w:val="21"/>
        </w:rPr>
        <w:t>磋商小组</w:t>
      </w:r>
      <w:r>
        <w:rPr>
          <w:rFonts w:hint="eastAsia" w:ascii="宋体" w:hAnsi="宋体" w:eastAsia="宋体" w:cs="宋体"/>
          <w:color w:val="auto"/>
          <w:kern w:val="0"/>
          <w:szCs w:val="21"/>
        </w:rPr>
        <w:t>根据磋商情况</w:t>
      </w:r>
      <w:r>
        <w:rPr>
          <w:rFonts w:hint="eastAsia" w:ascii="宋体" w:hAnsi="宋体" w:eastAsia="宋体" w:cs="宋体"/>
          <w:bCs/>
          <w:color w:val="auto"/>
          <w:szCs w:val="21"/>
        </w:rPr>
        <w:t>认为</w:t>
      </w:r>
      <w:r>
        <w:rPr>
          <w:rFonts w:hint="eastAsia" w:ascii="宋体" w:hAnsi="宋体" w:eastAsia="宋体" w:cs="宋体"/>
          <w:color w:val="auto"/>
          <w:kern w:val="0"/>
          <w:szCs w:val="21"/>
        </w:rPr>
        <w:t>磋商文件无需发生实质性变动的，磋商小组应当</w:t>
      </w:r>
      <w:r>
        <w:rPr>
          <w:rFonts w:hint="eastAsia" w:ascii="宋体" w:hAnsi="宋体" w:eastAsia="宋体" w:cs="宋体"/>
          <w:color w:val="auto"/>
          <w:szCs w:val="21"/>
        </w:rPr>
        <w:t>根据本章第28.1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对供应商提交的首次响应文件进行符合性审查，直接与实质性响应磋商文件要求的供应商就价格组织多轮磋商。</w:t>
      </w:r>
    </w:p>
    <w:p w14:paraId="4377A92F">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（1）磋商结束后，磋商小组应当要求所有继续参加磋商的供应商在磋商小组规定时间内提交最后报价。</w:t>
      </w:r>
    </w:p>
    <w:p w14:paraId="24E43CE4">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（2）磋商文件明确可能发生实质性变动，但在磋商过程中</w:t>
      </w:r>
      <w:r>
        <w:rPr>
          <w:rFonts w:hint="eastAsia" w:ascii="宋体" w:hAnsi="宋体" w:eastAsia="宋体" w:cs="宋体"/>
          <w:bCs/>
          <w:color w:val="auto"/>
          <w:szCs w:val="21"/>
        </w:rPr>
        <w:t>磋商小组</w:t>
      </w:r>
      <w:r>
        <w:rPr>
          <w:rFonts w:hint="eastAsia" w:ascii="宋体" w:hAnsi="宋体" w:eastAsia="宋体" w:cs="宋体"/>
          <w:color w:val="auto"/>
          <w:kern w:val="0"/>
          <w:szCs w:val="21"/>
        </w:rPr>
        <w:t>根据磋商情况</w:t>
      </w:r>
      <w:r>
        <w:rPr>
          <w:rFonts w:hint="eastAsia" w:ascii="宋体" w:hAnsi="宋体" w:eastAsia="宋体" w:cs="宋体"/>
          <w:bCs/>
          <w:color w:val="auto"/>
          <w:szCs w:val="21"/>
        </w:rPr>
        <w:t>认为</w:t>
      </w:r>
      <w:r>
        <w:rPr>
          <w:rFonts w:hint="eastAsia" w:ascii="宋体" w:hAnsi="宋体" w:eastAsia="宋体" w:cs="宋体"/>
          <w:color w:val="auto"/>
          <w:kern w:val="0"/>
          <w:szCs w:val="21"/>
        </w:rPr>
        <w:t>磋商文件无需发生实质性变动的，磋商小组不另行通知。</w:t>
      </w:r>
    </w:p>
    <w:p w14:paraId="42CFDDB4">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29.2对于</w:t>
      </w:r>
      <w:r>
        <w:rPr>
          <w:rFonts w:hint="eastAsia" w:ascii="宋体" w:hAnsi="宋体" w:eastAsia="宋体" w:cs="宋体"/>
          <w:color w:val="auto"/>
          <w:szCs w:val="21"/>
        </w:rPr>
        <w:t>本章第10.3</w:t>
      </w:r>
      <w:r>
        <w:rPr>
          <w:rFonts w:hint="eastAsia" w:ascii="宋体" w:hAnsi="宋体" w:eastAsia="宋体" w:cs="宋体"/>
          <w:color w:val="auto"/>
          <w:kern w:val="0"/>
          <w:szCs w:val="21"/>
          <w:lang w:val="zh-CN"/>
        </w:rPr>
        <w:t>款</w:t>
      </w:r>
      <w:r>
        <w:rPr>
          <w:rFonts w:hint="eastAsia" w:ascii="宋体" w:hAnsi="宋体" w:eastAsia="宋体" w:cs="宋体"/>
          <w:color w:val="auto"/>
          <w:kern w:val="0"/>
          <w:szCs w:val="21"/>
        </w:rPr>
        <w:t>明确磋商文件实质性变动内容，且在磋商过程中磋商文件实质性内容发生变动的，</w:t>
      </w:r>
      <w:r>
        <w:rPr>
          <w:rFonts w:hint="eastAsia" w:ascii="宋体" w:hAnsi="宋体" w:eastAsia="宋体" w:cs="宋体"/>
          <w:bCs/>
          <w:color w:val="auto"/>
          <w:szCs w:val="21"/>
        </w:rPr>
        <w:t>磋商小组</w:t>
      </w:r>
      <w:r>
        <w:rPr>
          <w:rFonts w:hint="eastAsia" w:ascii="宋体" w:hAnsi="宋体" w:eastAsia="宋体" w:cs="宋体"/>
          <w:color w:val="auto"/>
          <w:kern w:val="0"/>
          <w:szCs w:val="21"/>
        </w:rPr>
        <w:t>可以组织多轮磋商。</w:t>
      </w:r>
      <w:r>
        <w:rPr>
          <w:rFonts w:hint="eastAsia" w:ascii="宋体" w:hAnsi="宋体" w:eastAsia="宋体" w:cs="宋体"/>
          <w:bCs/>
          <w:color w:val="auto"/>
          <w:szCs w:val="21"/>
        </w:rPr>
        <w:t>在每一轮磋商中，磋商小组</w:t>
      </w:r>
      <w:r>
        <w:rPr>
          <w:rFonts w:hint="eastAsia" w:ascii="宋体" w:hAnsi="宋体" w:eastAsia="宋体" w:cs="宋体"/>
          <w:color w:val="auto"/>
          <w:kern w:val="0"/>
          <w:szCs w:val="21"/>
        </w:rPr>
        <w:t>可以根据磋商文件规定和磋商情况，</w:t>
      </w:r>
      <w:r>
        <w:rPr>
          <w:rFonts w:hint="eastAsia" w:ascii="宋体" w:hAnsi="宋体" w:eastAsia="宋体" w:cs="宋体"/>
          <w:bCs/>
          <w:color w:val="auto"/>
          <w:szCs w:val="21"/>
        </w:rPr>
        <w:t>对磋商文件的</w:t>
      </w:r>
      <w:r>
        <w:rPr>
          <w:rFonts w:hint="eastAsia" w:ascii="宋体" w:hAnsi="宋体" w:eastAsia="宋体" w:cs="宋体"/>
          <w:color w:val="auto"/>
          <w:kern w:val="0"/>
          <w:szCs w:val="21"/>
        </w:rPr>
        <w:t>采购需求中的技术、服务要求以及合同草案条款</w:t>
      </w:r>
      <w:r>
        <w:rPr>
          <w:rFonts w:hint="eastAsia" w:ascii="宋体" w:hAnsi="宋体" w:eastAsia="宋体" w:cs="宋体"/>
          <w:bCs/>
          <w:color w:val="auto"/>
          <w:szCs w:val="21"/>
        </w:rPr>
        <w:t>作实质性变动(磋商文件的实质性变动内容为磋商文件的组成部分)，并以书面形式要求</w:t>
      </w:r>
      <w:r>
        <w:rPr>
          <w:rFonts w:hint="eastAsia" w:ascii="宋体" w:hAnsi="宋体" w:eastAsia="宋体" w:cs="宋体"/>
          <w:color w:val="auto"/>
          <w:kern w:val="0"/>
          <w:szCs w:val="21"/>
        </w:rPr>
        <w:t>符合性审查合格</w:t>
      </w:r>
      <w:r>
        <w:rPr>
          <w:rFonts w:hint="eastAsia" w:ascii="宋体" w:hAnsi="宋体" w:eastAsia="宋体" w:cs="宋体"/>
          <w:bCs/>
          <w:color w:val="auto"/>
          <w:szCs w:val="21"/>
        </w:rPr>
        <w:t>的供应商，在规定的</w:t>
      </w:r>
      <w:r>
        <w:rPr>
          <w:rFonts w:hint="eastAsia" w:ascii="宋体" w:hAnsi="宋体" w:eastAsia="宋体" w:cs="宋体"/>
          <w:color w:val="auto"/>
          <w:kern w:val="0"/>
          <w:szCs w:val="21"/>
        </w:rPr>
        <w:t>截止时间前</w:t>
      </w:r>
      <w:r>
        <w:rPr>
          <w:rFonts w:hint="eastAsia" w:ascii="宋体" w:hAnsi="宋体" w:eastAsia="宋体" w:cs="宋体"/>
          <w:bCs/>
          <w:color w:val="auto"/>
          <w:szCs w:val="21"/>
        </w:rPr>
        <w:t>重</w:t>
      </w:r>
      <w:r>
        <w:rPr>
          <w:rFonts w:hint="eastAsia" w:ascii="宋体" w:hAnsi="宋体" w:eastAsia="宋体" w:cs="宋体"/>
          <w:color w:val="auto"/>
          <w:kern w:val="0"/>
          <w:szCs w:val="21"/>
        </w:rPr>
        <w:t>新提交响应文件</w:t>
      </w:r>
      <w:r>
        <w:rPr>
          <w:rFonts w:hint="eastAsia" w:ascii="宋体" w:hAnsi="宋体" w:eastAsia="宋体" w:cs="宋体"/>
          <w:bCs/>
          <w:color w:val="auto"/>
          <w:szCs w:val="21"/>
        </w:rPr>
        <w:t>。</w:t>
      </w:r>
      <w:r>
        <w:rPr>
          <w:rFonts w:hint="eastAsia" w:ascii="宋体" w:hAnsi="宋体" w:eastAsia="宋体" w:cs="宋体"/>
          <w:color w:val="auto"/>
          <w:kern w:val="0"/>
          <w:szCs w:val="21"/>
        </w:rPr>
        <w:t>磋商小组应当</w:t>
      </w:r>
      <w:r>
        <w:rPr>
          <w:rFonts w:hint="eastAsia" w:ascii="宋体" w:hAnsi="宋体" w:eastAsia="宋体" w:cs="宋体"/>
          <w:color w:val="auto"/>
          <w:szCs w:val="21"/>
        </w:rPr>
        <w:t>根据本章第28.1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对供应商重新提交的响应文件进行符合性审查。供应商重新提交的响应文件未通过符合性审查的，不得进入下一轮磋商，也不得要求提交最后报价。</w:t>
      </w:r>
    </w:p>
    <w:p w14:paraId="79AF56D5">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（1）磋商文件能够详细列明采购需求的技术、服务要求的，磋商结束后，磋商小组应当要求所有继续参加磋商的供应商在规定时间内提交最后报价。</w:t>
      </w:r>
    </w:p>
    <w:p w14:paraId="36F80E00">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6C6F6281">
      <w:pPr>
        <w:widowControl/>
        <w:adjustRightInd w:val="0"/>
        <w:snapToGrid w:val="0"/>
        <w:spacing w:line="360" w:lineRule="auto"/>
        <w:ind w:firstLine="420"/>
        <w:jc w:val="left"/>
        <w:rPr>
          <w:rFonts w:hint="eastAsia" w:ascii="宋体" w:hAnsi="宋体" w:eastAsia="宋体" w:cs="宋体"/>
          <w:bCs/>
          <w:color w:val="auto"/>
          <w:szCs w:val="21"/>
        </w:rPr>
      </w:pPr>
      <w:r>
        <w:rPr>
          <w:rFonts w:hint="eastAsia" w:ascii="宋体" w:hAnsi="宋体" w:eastAsia="宋体" w:cs="宋体"/>
          <w:bCs/>
          <w:color w:val="auto"/>
          <w:szCs w:val="21"/>
        </w:rPr>
        <w:t>29.3</w:t>
      </w:r>
      <w:r>
        <w:rPr>
          <w:rFonts w:hint="eastAsia" w:ascii="宋体" w:hAnsi="宋体" w:eastAsia="宋体" w:cs="宋体"/>
          <w:color w:val="auto"/>
          <w:szCs w:val="21"/>
        </w:rPr>
        <w:t xml:space="preserve"> </w:t>
      </w:r>
      <w:r>
        <w:rPr>
          <w:rFonts w:hint="eastAsia" w:ascii="宋体" w:hAnsi="宋体" w:eastAsia="宋体" w:cs="宋体"/>
          <w:bCs/>
          <w:color w:val="auto"/>
          <w:szCs w:val="21"/>
        </w:rPr>
        <w:t>重</w:t>
      </w:r>
      <w:r>
        <w:rPr>
          <w:rFonts w:hint="eastAsia" w:ascii="宋体" w:hAnsi="宋体" w:eastAsia="宋体" w:cs="宋体"/>
          <w:color w:val="auto"/>
          <w:kern w:val="0"/>
          <w:szCs w:val="21"/>
        </w:rPr>
        <w:t>新提交的响应文件</w:t>
      </w:r>
      <w:r>
        <w:rPr>
          <w:rFonts w:hint="eastAsia" w:ascii="宋体" w:hAnsi="宋体" w:eastAsia="宋体" w:cs="宋体"/>
          <w:color w:val="auto"/>
          <w:szCs w:val="21"/>
        </w:rPr>
        <w:t>或者最后报价应按</w:t>
      </w:r>
      <w:r>
        <w:rPr>
          <w:rFonts w:hint="eastAsia" w:ascii="宋体" w:hAnsi="宋体" w:eastAsia="宋体" w:cs="宋体"/>
          <w:color w:val="auto"/>
          <w:kern w:val="0"/>
          <w:szCs w:val="21"/>
        </w:rPr>
        <w:t>本章第</w:t>
      </w:r>
      <w:r>
        <w:rPr>
          <w:rFonts w:hint="eastAsia" w:ascii="宋体" w:hAnsi="宋体" w:eastAsia="宋体" w:cs="宋体"/>
          <w:color w:val="auto"/>
          <w:szCs w:val="21"/>
        </w:rPr>
        <w:t>19.3</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由其法定代表人或其委托代理人签字或者加盖供应商单位章，在规定时间内密封递交给磋商小组</w:t>
      </w:r>
      <w:r>
        <w:rPr>
          <w:rFonts w:hint="eastAsia" w:ascii="宋体" w:hAnsi="宋体" w:eastAsia="宋体" w:cs="宋体"/>
          <w:bCs/>
          <w:color w:val="auto"/>
          <w:szCs w:val="21"/>
        </w:rPr>
        <w:t>。</w:t>
      </w:r>
    </w:p>
    <w:p w14:paraId="03CA98D9">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29.4</w:t>
      </w:r>
      <w:r>
        <w:rPr>
          <w:rFonts w:hint="eastAsia" w:ascii="宋体" w:hAnsi="宋体" w:eastAsia="宋体" w:cs="宋体"/>
          <w:color w:val="auto"/>
          <w:kern w:val="0"/>
          <w:szCs w:val="21"/>
          <w:lang w:val="zh-CN"/>
        </w:rPr>
        <w:t>供应商的</w:t>
      </w:r>
      <w:r>
        <w:rPr>
          <w:rFonts w:hint="eastAsia" w:ascii="宋体" w:hAnsi="宋体" w:eastAsia="宋体" w:cs="宋体"/>
          <w:bCs/>
          <w:color w:val="auto"/>
          <w:szCs w:val="21"/>
        </w:rPr>
        <w:t>最</w:t>
      </w:r>
      <w:r>
        <w:rPr>
          <w:rFonts w:hint="eastAsia" w:ascii="宋体" w:hAnsi="宋体" w:eastAsia="宋体" w:cs="宋体"/>
          <w:color w:val="auto"/>
          <w:kern w:val="0"/>
          <w:szCs w:val="21"/>
          <w:lang w:val="zh-CN"/>
        </w:rPr>
        <w:t>后</w:t>
      </w:r>
      <w:r>
        <w:rPr>
          <w:rFonts w:hint="eastAsia" w:ascii="宋体" w:hAnsi="宋体" w:eastAsia="宋体" w:cs="宋体"/>
          <w:bCs/>
          <w:color w:val="auto"/>
          <w:szCs w:val="21"/>
        </w:rPr>
        <w:t>报价及</w:t>
      </w:r>
      <w:r>
        <w:rPr>
          <w:rFonts w:hint="eastAsia" w:ascii="宋体" w:hAnsi="宋体" w:eastAsia="宋体" w:cs="宋体"/>
          <w:color w:val="auto"/>
          <w:kern w:val="0"/>
          <w:szCs w:val="21"/>
        </w:rPr>
        <w:t>政府采购政策规定的价格扣除情况，磋商小组应召集所有参加最后报价的供应商当场开封</w:t>
      </w:r>
      <w:r>
        <w:rPr>
          <w:rFonts w:hint="eastAsia" w:ascii="宋体" w:hAnsi="宋体" w:eastAsia="宋体" w:cs="宋体"/>
          <w:bCs/>
          <w:color w:val="auto"/>
          <w:szCs w:val="21"/>
        </w:rPr>
        <w:t>公布，并由供应商代表签字确认。</w:t>
      </w:r>
    </w:p>
    <w:p w14:paraId="7775DC2B">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29.5提交首次响应文件的供应商，在提交最后报价之前，可以根据磋商情况退出磋商，并书面通知采购代理机构或者磋商小组。</w:t>
      </w:r>
      <w:r>
        <w:rPr>
          <w:rFonts w:hint="eastAsia" w:ascii="宋体" w:hAnsi="宋体" w:eastAsia="宋体" w:cs="宋体"/>
          <w:color w:val="auto"/>
          <w:szCs w:val="21"/>
        </w:rPr>
        <w:t>该通知由供应商法定代表人或其委托代理人签字。</w:t>
      </w:r>
      <w:r>
        <w:rPr>
          <w:rFonts w:hint="eastAsia" w:ascii="宋体" w:hAnsi="宋体" w:eastAsia="宋体" w:cs="宋体"/>
          <w:color w:val="auto"/>
          <w:kern w:val="0"/>
          <w:szCs w:val="21"/>
        </w:rPr>
        <w:t>采购代理机构按本章第</w:t>
      </w:r>
      <w:r>
        <w:rPr>
          <w:rFonts w:hint="eastAsia" w:ascii="宋体" w:hAnsi="宋体" w:eastAsia="宋体" w:cs="宋体"/>
          <w:color w:val="auto"/>
          <w:szCs w:val="21"/>
        </w:rPr>
        <w:t>17.4</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退还退出磋商的供应商的保证金。</w:t>
      </w:r>
    </w:p>
    <w:p w14:paraId="3463D2C6">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bCs/>
          <w:color w:val="auto"/>
          <w:szCs w:val="21"/>
        </w:rPr>
        <w:t>29.6</w:t>
      </w:r>
      <w:r>
        <w:rPr>
          <w:rFonts w:hint="eastAsia" w:ascii="宋体" w:hAnsi="宋体" w:eastAsia="宋体" w:cs="宋体"/>
          <w:color w:val="auto"/>
          <w:kern w:val="0"/>
          <w:szCs w:val="21"/>
        </w:rPr>
        <w:t>提交首次响应文件的供应商，未按磋商文件规定及磋商小组要求提交最后报价(或者</w:t>
      </w:r>
      <w:r>
        <w:rPr>
          <w:rFonts w:hint="eastAsia" w:ascii="宋体" w:hAnsi="宋体" w:eastAsia="宋体" w:cs="宋体"/>
          <w:bCs/>
          <w:color w:val="auto"/>
          <w:szCs w:val="21"/>
        </w:rPr>
        <w:t>重</w:t>
      </w:r>
      <w:r>
        <w:rPr>
          <w:rFonts w:hint="eastAsia" w:ascii="宋体" w:hAnsi="宋体" w:eastAsia="宋体" w:cs="宋体"/>
          <w:color w:val="auto"/>
          <w:kern w:val="0"/>
          <w:szCs w:val="21"/>
        </w:rPr>
        <w:t>新提交的响应文件和最后报价)，且又未按本章第</w:t>
      </w:r>
      <w:r>
        <w:rPr>
          <w:rFonts w:hint="eastAsia" w:ascii="宋体" w:hAnsi="宋体" w:eastAsia="宋体" w:cs="宋体"/>
          <w:color w:val="auto"/>
          <w:szCs w:val="21"/>
        </w:rPr>
        <w:t>29.5</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w:t>
      </w:r>
      <w:r>
        <w:rPr>
          <w:rFonts w:hint="eastAsia" w:ascii="宋体" w:hAnsi="宋体" w:eastAsia="宋体" w:cs="宋体"/>
          <w:color w:val="auto"/>
          <w:kern w:val="0"/>
          <w:szCs w:val="21"/>
        </w:rPr>
        <w:t>退出磋商的，供应商的保证金不予退还。</w:t>
      </w:r>
    </w:p>
    <w:p w14:paraId="03174FDC">
      <w:pPr>
        <w:widowControl/>
        <w:adjustRightInd w:val="0"/>
        <w:snapToGrid w:val="0"/>
        <w:spacing w:line="360" w:lineRule="auto"/>
        <w:jc w:val="left"/>
        <w:rPr>
          <w:rFonts w:hint="eastAsia" w:ascii="宋体" w:hAnsi="宋体" w:eastAsia="宋体" w:cs="宋体"/>
          <w:b/>
          <w:bCs/>
          <w:color w:val="auto"/>
          <w:szCs w:val="21"/>
        </w:rPr>
      </w:pPr>
      <w:bookmarkStart w:id="101" w:name="_Toc17903_WPSOffice_Level3"/>
      <w:r>
        <w:rPr>
          <w:rFonts w:hint="eastAsia" w:ascii="宋体" w:hAnsi="宋体" w:eastAsia="宋体" w:cs="宋体"/>
          <w:color w:val="auto"/>
          <w:kern w:val="0"/>
          <w:szCs w:val="21"/>
        </w:rPr>
        <w:t>30</w:t>
      </w:r>
      <w:r>
        <w:rPr>
          <w:rFonts w:hint="eastAsia" w:ascii="宋体" w:hAnsi="宋体" w:eastAsia="宋体" w:cs="宋体"/>
          <w:b/>
          <w:color w:val="auto"/>
          <w:kern w:val="0"/>
          <w:szCs w:val="21"/>
        </w:rPr>
        <w:t>.</w:t>
      </w:r>
      <w:r>
        <w:rPr>
          <w:rFonts w:hint="eastAsia" w:ascii="宋体" w:hAnsi="宋体" w:eastAsia="宋体" w:cs="宋体"/>
          <w:b/>
          <w:bCs/>
          <w:color w:val="auto"/>
          <w:szCs w:val="21"/>
        </w:rPr>
        <w:t>提出成交供应商</w:t>
      </w:r>
      <w:bookmarkEnd w:id="101"/>
    </w:p>
    <w:p w14:paraId="452AE3F6">
      <w:pPr>
        <w:widowControl/>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bCs/>
          <w:color w:val="auto"/>
          <w:szCs w:val="21"/>
        </w:rPr>
        <w:t>30.1</w:t>
      </w:r>
      <w:r>
        <w:rPr>
          <w:rFonts w:hint="eastAsia" w:ascii="宋体" w:hAnsi="宋体" w:eastAsia="宋体" w:cs="宋体"/>
          <w:color w:val="auto"/>
          <w:kern w:val="0"/>
          <w:szCs w:val="21"/>
        </w:rPr>
        <w:t>磋商小组应当按照综合评分由高到低的顺序提出3名以上成交候选人，并编写评审报告。</w:t>
      </w:r>
    </w:p>
    <w:p w14:paraId="2A446608">
      <w:pPr>
        <w:tabs>
          <w:tab w:val="left" w:pos="0"/>
        </w:tabs>
        <w:adjustRightInd w:val="0"/>
        <w:snapToGrid w:val="0"/>
        <w:spacing w:line="360" w:lineRule="auto"/>
        <w:rPr>
          <w:rFonts w:hint="eastAsia" w:ascii="宋体" w:hAnsi="宋体" w:eastAsia="宋体" w:cs="宋体"/>
          <w:b/>
          <w:bCs/>
          <w:color w:val="auto"/>
          <w:szCs w:val="21"/>
        </w:rPr>
      </w:pPr>
      <w:bookmarkStart w:id="102" w:name="_Toc14828_WPSOffice_Level3"/>
      <w:r>
        <w:rPr>
          <w:rFonts w:hint="eastAsia" w:ascii="宋体" w:hAnsi="宋体" w:eastAsia="宋体" w:cs="宋体"/>
          <w:b/>
          <w:bCs/>
          <w:color w:val="auto"/>
          <w:szCs w:val="21"/>
        </w:rPr>
        <w:t>31.确定成交供应商</w:t>
      </w:r>
      <w:bookmarkEnd w:id="102"/>
    </w:p>
    <w:p w14:paraId="40B5DE7C">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31.1采购代理机构应当在评审结束后2个工作日内将评审报告送采购人确认。</w:t>
      </w:r>
    </w:p>
    <w:p w14:paraId="2C8885D4">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31.2采购人应当在收到评审报告后5个工作日内，从评审报告提出的成交候选人中，根据综合评分得分最高的原则确定成交供应商，也可以书面授权磋商小组直接确定成交供应商。</w:t>
      </w:r>
    </w:p>
    <w:p w14:paraId="49CDB001">
      <w:pPr>
        <w:pStyle w:val="13"/>
        <w:adjustRightInd w:val="0"/>
        <w:snapToGrid w:val="0"/>
        <w:spacing w:line="360" w:lineRule="auto"/>
        <w:ind w:left="632" w:hanging="632" w:hangingChars="300"/>
        <w:rPr>
          <w:rFonts w:hint="eastAsia" w:ascii="宋体" w:hAnsi="宋体" w:eastAsia="宋体" w:cs="宋体"/>
          <w:b/>
          <w:color w:val="auto"/>
          <w:sz w:val="21"/>
        </w:rPr>
      </w:pPr>
      <w:bookmarkStart w:id="103" w:name="_Toc11077_WPSOffice_Level3"/>
      <w:r>
        <w:rPr>
          <w:rFonts w:hint="eastAsia" w:ascii="宋体" w:hAnsi="宋体" w:eastAsia="宋体" w:cs="宋体"/>
          <w:b/>
          <w:color w:val="auto"/>
          <w:sz w:val="21"/>
        </w:rPr>
        <w:t>32.磋商的特殊情形</w:t>
      </w:r>
      <w:bookmarkEnd w:id="103"/>
    </w:p>
    <w:p w14:paraId="5F344BE2">
      <w:pPr>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lang w:val="zh-CN"/>
        </w:rPr>
        <w:t>32.1</w:t>
      </w:r>
      <w:r>
        <w:rPr>
          <w:rFonts w:hint="eastAsia" w:ascii="宋体" w:hAnsi="宋体" w:eastAsia="宋体" w:cs="宋体"/>
          <w:color w:val="auto"/>
          <w:kern w:val="0"/>
          <w:szCs w:val="21"/>
        </w:rPr>
        <w:t>公开招标的货物、服务采购项目，招标过程中提交响应文件或者经评审实质性响应采购文件要求的供应商只有两家时，采购人、采购代理机构按照</w:t>
      </w:r>
      <w:r>
        <w:rPr>
          <w:rFonts w:hint="eastAsia" w:ascii="宋体" w:hAnsi="宋体" w:eastAsia="宋体" w:cs="宋体"/>
          <w:color w:val="auto"/>
          <w:szCs w:val="21"/>
        </w:rPr>
        <w:t>省级以上财政部门相关规定，</w:t>
      </w:r>
      <w:r>
        <w:rPr>
          <w:rFonts w:hint="eastAsia" w:ascii="宋体" w:hAnsi="宋体" w:eastAsia="宋体" w:cs="宋体"/>
          <w:color w:val="auto"/>
          <w:kern w:val="0"/>
          <w:szCs w:val="21"/>
        </w:rPr>
        <w:t>经</w:t>
      </w:r>
      <w:r>
        <w:rPr>
          <w:rFonts w:hint="eastAsia" w:ascii="宋体" w:hAnsi="宋体" w:eastAsia="宋体" w:cs="宋体"/>
          <w:color w:val="auto"/>
          <w:kern w:val="0"/>
          <w:szCs w:val="21"/>
          <w:lang w:eastAsia="zh-CN"/>
        </w:rPr>
        <w:t>财政部门</w:t>
      </w:r>
      <w:r>
        <w:rPr>
          <w:rFonts w:hint="eastAsia" w:ascii="宋体" w:hAnsi="宋体" w:eastAsia="宋体" w:cs="宋体"/>
          <w:color w:val="auto"/>
          <w:kern w:val="0"/>
          <w:szCs w:val="21"/>
        </w:rPr>
        <w:t>批准后可以与该两家供应商进行竞争性磋商采购。符合本款情形的，本章第</w:t>
      </w:r>
      <w:r>
        <w:rPr>
          <w:rFonts w:hint="eastAsia" w:ascii="宋体" w:hAnsi="宋体" w:eastAsia="宋体" w:cs="宋体"/>
          <w:color w:val="auto"/>
          <w:kern w:val="0"/>
          <w:szCs w:val="21"/>
          <w:lang w:val="zh-CN"/>
        </w:rPr>
        <w:t>29.1款、第29.2款、第30.1款、第33.1款</w:t>
      </w:r>
      <w:r>
        <w:rPr>
          <w:rFonts w:hint="eastAsia" w:ascii="宋体" w:hAnsi="宋体" w:eastAsia="宋体" w:cs="宋体"/>
          <w:color w:val="auto"/>
          <w:kern w:val="0"/>
          <w:szCs w:val="21"/>
        </w:rPr>
        <w:t>中规定的供应商最低数量可以为两家。</w:t>
      </w:r>
    </w:p>
    <w:p w14:paraId="6336B7FB">
      <w:pPr>
        <w:pStyle w:val="13"/>
        <w:adjustRightInd w:val="0"/>
        <w:snapToGrid w:val="0"/>
        <w:spacing w:line="360" w:lineRule="auto"/>
        <w:ind w:left="632" w:hanging="632" w:hangingChars="300"/>
        <w:rPr>
          <w:rFonts w:hint="eastAsia" w:ascii="宋体" w:hAnsi="宋体" w:eastAsia="宋体" w:cs="宋体"/>
          <w:b/>
          <w:color w:val="auto"/>
          <w:sz w:val="21"/>
        </w:rPr>
      </w:pPr>
      <w:bookmarkStart w:id="104" w:name="_Toc9405_WPSOffice_Level3"/>
      <w:r>
        <w:rPr>
          <w:rFonts w:hint="eastAsia" w:ascii="宋体" w:hAnsi="宋体" w:eastAsia="宋体" w:cs="宋体"/>
          <w:b/>
          <w:color w:val="auto"/>
          <w:sz w:val="21"/>
        </w:rPr>
        <w:t>33.磋商终止</w:t>
      </w:r>
      <w:bookmarkEnd w:id="104"/>
    </w:p>
    <w:p w14:paraId="16CA1DCA">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bCs/>
          <w:color w:val="auto"/>
          <w:szCs w:val="21"/>
        </w:rPr>
        <w:t>33.1</w:t>
      </w:r>
      <w:r>
        <w:rPr>
          <w:rFonts w:hint="eastAsia" w:ascii="宋体" w:hAnsi="宋体" w:eastAsia="宋体" w:cs="宋体"/>
          <w:color w:val="auto"/>
          <w:kern w:val="0"/>
          <w:szCs w:val="21"/>
        </w:rPr>
        <w:t>出现下列情形之一的，采购人或者采购代理机构应当终止竞争性磋商采购活动，</w:t>
      </w:r>
      <w:r>
        <w:rPr>
          <w:rFonts w:hint="eastAsia" w:ascii="宋体" w:hAnsi="宋体" w:eastAsia="宋体" w:cs="宋体"/>
          <w:color w:val="auto"/>
          <w:szCs w:val="21"/>
        </w:rPr>
        <w:t>在省级以上财政部门指定的媒体上</w:t>
      </w:r>
      <w:r>
        <w:rPr>
          <w:rFonts w:hint="eastAsia" w:ascii="宋体" w:hAnsi="宋体" w:eastAsia="宋体" w:cs="宋体"/>
          <w:color w:val="auto"/>
          <w:kern w:val="0"/>
          <w:szCs w:val="21"/>
        </w:rPr>
        <w:t xml:space="preserve">发布项目终止公告并说明原因，重新开展采购活动： </w:t>
      </w:r>
    </w:p>
    <w:p w14:paraId="7D7BD1DB">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（1）因情况变化，不再符合规定的竞争性磋商采购方式适用情形的；</w:t>
      </w:r>
    </w:p>
    <w:p w14:paraId="35936A66">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（2）出现影响采购公正的违法、违规行为的；</w:t>
      </w:r>
    </w:p>
    <w:p w14:paraId="0FDB2777">
      <w:pPr>
        <w:widowControl/>
        <w:adjustRightInd w:val="0"/>
        <w:snapToGrid w:val="0"/>
        <w:spacing w:line="36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（3）在采购过程中符合竞争要求的供应商或者报价未超过采购预算的供应商不足3家的，或者提交最后报价的供应商少于3家的；</w:t>
      </w:r>
    </w:p>
    <w:p w14:paraId="50F4506B">
      <w:pPr>
        <w:widowControl/>
        <w:adjustRightInd w:val="0"/>
        <w:snapToGrid w:val="0"/>
        <w:spacing w:line="360" w:lineRule="auto"/>
        <w:ind w:firstLine="420"/>
        <w:jc w:val="left"/>
        <w:rPr>
          <w:rFonts w:hint="eastAsia" w:ascii="宋体" w:hAnsi="宋体" w:eastAsia="宋体" w:cs="宋体"/>
          <w:b/>
          <w:bCs/>
          <w:color w:val="auto"/>
          <w:szCs w:val="21"/>
        </w:rPr>
      </w:pPr>
      <w:r>
        <w:rPr>
          <w:rFonts w:hint="eastAsia" w:ascii="宋体" w:hAnsi="宋体" w:eastAsia="宋体" w:cs="宋体"/>
          <w:color w:val="auto"/>
          <w:kern w:val="0"/>
          <w:szCs w:val="21"/>
        </w:rPr>
        <w:t>（4）</w:t>
      </w:r>
      <w:r>
        <w:rPr>
          <w:rFonts w:hint="eastAsia" w:ascii="宋体" w:hAnsi="宋体" w:eastAsia="宋体" w:cs="宋体"/>
          <w:bCs/>
          <w:color w:val="auto"/>
          <w:szCs w:val="21"/>
        </w:rPr>
        <w:t>因重大变故，采购任务取消的。</w:t>
      </w:r>
    </w:p>
    <w:p w14:paraId="773DD0A6">
      <w:pPr>
        <w:widowControl/>
        <w:adjustRightInd w:val="0"/>
        <w:snapToGrid w:val="0"/>
        <w:spacing w:line="360" w:lineRule="auto"/>
        <w:jc w:val="left"/>
        <w:rPr>
          <w:rFonts w:hint="eastAsia" w:ascii="宋体" w:hAnsi="宋体" w:eastAsia="宋体" w:cs="宋体"/>
          <w:b/>
          <w:color w:val="auto"/>
          <w:kern w:val="0"/>
          <w:szCs w:val="21"/>
        </w:rPr>
      </w:pPr>
      <w:bookmarkStart w:id="105" w:name="_Toc28536_WPSOffice_Level3"/>
      <w:r>
        <w:rPr>
          <w:rFonts w:hint="eastAsia" w:ascii="宋体" w:hAnsi="宋体" w:eastAsia="宋体" w:cs="宋体"/>
          <w:b/>
          <w:color w:val="auto"/>
          <w:kern w:val="0"/>
          <w:szCs w:val="21"/>
        </w:rPr>
        <w:t>34．重新评审</w:t>
      </w:r>
      <w:bookmarkEnd w:id="105"/>
    </w:p>
    <w:p w14:paraId="56DC683E">
      <w:pPr>
        <w:widowControl/>
        <w:adjustRightInd w:val="0"/>
        <w:snapToGri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34.1除资格性审查认定错误和价格计算错误外，采购人或者采购代理机构不以任何理由组织重新评审。采购人、采购代理机构发现磋商小组未按照采购文件规定的评定成交的标准进行评审的，应当重新开展采购活动，并同时书面报告</w:t>
      </w:r>
      <w:r>
        <w:rPr>
          <w:rFonts w:hint="eastAsia" w:ascii="宋体" w:hAnsi="宋体" w:eastAsia="宋体" w:cs="宋体"/>
          <w:color w:val="auto"/>
          <w:kern w:val="0"/>
          <w:szCs w:val="21"/>
          <w:lang w:eastAsia="zh-CN"/>
        </w:rPr>
        <w:t>财政部门</w:t>
      </w:r>
      <w:r>
        <w:rPr>
          <w:rFonts w:hint="eastAsia" w:ascii="宋体" w:hAnsi="宋体" w:eastAsia="宋体" w:cs="宋体"/>
          <w:color w:val="auto"/>
          <w:kern w:val="0"/>
          <w:szCs w:val="21"/>
        </w:rPr>
        <w:t>。</w:t>
      </w:r>
    </w:p>
    <w:p w14:paraId="70012672">
      <w:pPr>
        <w:adjustRightInd w:val="0"/>
        <w:snapToGrid w:val="0"/>
        <w:spacing w:line="360" w:lineRule="auto"/>
        <w:rPr>
          <w:rFonts w:hint="eastAsia" w:ascii="宋体" w:hAnsi="宋体" w:eastAsia="宋体" w:cs="宋体"/>
          <w:b/>
          <w:bCs/>
          <w:color w:val="auto"/>
          <w:szCs w:val="21"/>
        </w:rPr>
      </w:pPr>
      <w:bookmarkStart w:id="106" w:name="_Toc19149_WPSOffice_Level3"/>
      <w:r>
        <w:rPr>
          <w:rFonts w:hint="eastAsia" w:ascii="宋体" w:hAnsi="宋体" w:eastAsia="宋体" w:cs="宋体"/>
          <w:b/>
          <w:bCs/>
          <w:color w:val="auto"/>
          <w:szCs w:val="21"/>
        </w:rPr>
        <w:t>35.保密及串通行为</w:t>
      </w:r>
      <w:bookmarkEnd w:id="106"/>
    </w:p>
    <w:p w14:paraId="2ADF02B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35.1磋商小组成员以及与评审工作有关的人员不得泄露评审情况以及评审过程中获悉的国家秘密、商业秘密。</w:t>
      </w:r>
    </w:p>
    <w:p w14:paraId="001AB5B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35.2</w:t>
      </w:r>
      <w:r>
        <w:rPr>
          <w:rFonts w:hint="eastAsia" w:ascii="宋体" w:hAnsi="宋体" w:eastAsia="宋体" w:cs="宋体"/>
          <w:color w:val="auto"/>
          <w:kern w:val="0"/>
          <w:szCs w:val="21"/>
        </w:rPr>
        <w:t>供应商</w:t>
      </w:r>
      <w:r>
        <w:rPr>
          <w:rFonts w:hint="eastAsia" w:ascii="宋体" w:hAnsi="宋体" w:eastAsia="宋体" w:cs="宋体"/>
          <w:color w:val="auto"/>
          <w:szCs w:val="21"/>
        </w:rPr>
        <w:t>不得与</w:t>
      </w:r>
      <w:r>
        <w:rPr>
          <w:rFonts w:hint="eastAsia" w:ascii="宋体" w:hAnsi="宋体" w:eastAsia="宋体" w:cs="宋体"/>
          <w:color w:val="auto"/>
          <w:kern w:val="0"/>
          <w:szCs w:val="21"/>
        </w:rPr>
        <w:t>采购人、采购代理机构、其他供应商恶意</w:t>
      </w:r>
      <w:r>
        <w:rPr>
          <w:rFonts w:hint="eastAsia" w:ascii="宋体" w:hAnsi="宋体" w:eastAsia="宋体" w:cs="宋体"/>
          <w:color w:val="auto"/>
          <w:szCs w:val="21"/>
        </w:rPr>
        <w:t>串通；不得向</w:t>
      </w:r>
      <w:r>
        <w:rPr>
          <w:rFonts w:hint="eastAsia" w:ascii="宋体" w:hAnsi="宋体" w:eastAsia="宋体" w:cs="宋体"/>
          <w:color w:val="auto"/>
          <w:kern w:val="0"/>
          <w:szCs w:val="21"/>
        </w:rPr>
        <w:t>采购人、采购代理机构</w:t>
      </w:r>
      <w:r>
        <w:rPr>
          <w:rFonts w:hint="eastAsia" w:ascii="宋体" w:hAnsi="宋体" w:eastAsia="宋体" w:cs="宋体"/>
          <w:color w:val="auto"/>
          <w:szCs w:val="21"/>
        </w:rPr>
        <w:t>或者磋商小组成员行贿或者提供其他不正当利益；不得提供虚假材料谋取成交；不得以任何方式干扰、影响采购工作。</w:t>
      </w:r>
    </w:p>
    <w:p w14:paraId="257EB134">
      <w:pPr>
        <w:pStyle w:val="23"/>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rPr>
        <w:t>35.3有下列情形之一的，</w:t>
      </w:r>
      <w:r>
        <w:rPr>
          <w:rFonts w:hint="eastAsia" w:ascii="宋体" w:hAnsi="宋体" w:eastAsia="宋体" w:cs="宋体"/>
          <w:color w:val="auto"/>
          <w:sz w:val="21"/>
          <w:szCs w:val="21"/>
          <w:lang w:val="zh-CN"/>
        </w:rPr>
        <w:t>属于恶意串通，</w:t>
      </w:r>
      <w:r>
        <w:rPr>
          <w:rFonts w:hint="eastAsia" w:ascii="宋体" w:hAnsi="宋体" w:eastAsia="宋体" w:cs="宋体"/>
          <w:color w:val="auto"/>
          <w:sz w:val="21"/>
          <w:szCs w:val="21"/>
        </w:rPr>
        <w:t>成交无效，并</w:t>
      </w:r>
      <w:r>
        <w:rPr>
          <w:rFonts w:hint="eastAsia" w:ascii="宋体" w:hAnsi="宋体" w:eastAsia="宋体" w:cs="宋体"/>
          <w:color w:val="auto"/>
          <w:sz w:val="21"/>
          <w:szCs w:val="21"/>
          <w:lang w:val="zh-CN"/>
        </w:rPr>
        <w:t>依照《政府采购法》第七十七条的规定追究法律责任：</w:t>
      </w:r>
    </w:p>
    <w:p w14:paraId="2AACF1A1">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（1）供应商直接或者间接从</w:t>
      </w:r>
      <w:r>
        <w:rPr>
          <w:rFonts w:hint="eastAsia" w:ascii="宋体" w:hAnsi="宋体" w:eastAsia="宋体" w:cs="宋体"/>
          <w:bCs/>
          <w:color w:val="auto"/>
          <w:szCs w:val="21"/>
        </w:rPr>
        <w:t>采购人、采购代理机构</w:t>
      </w:r>
      <w:r>
        <w:rPr>
          <w:rFonts w:hint="eastAsia" w:ascii="宋体" w:hAnsi="宋体" w:eastAsia="宋体" w:cs="宋体"/>
          <w:color w:val="auto"/>
          <w:szCs w:val="21"/>
        </w:rPr>
        <w:t>获得其他供应商的响应情况，并修改其响应文件的；</w:t>
      </w:r>
    </w:p>
    <w:p w14:paraId="7A80C89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bCs/>
          <w:color w:val="auto"/>
          <w:szCs w:val="21"/>
        </w:rPr>
        <w:t>采购人、采购代理机构</w:t>
      </w:r>
      <w:r>
        <w:rPr>
          <w:rFonts w:hint="eastAsia" w:ascii="宋体" w:hAnsi="宋体" w:eastAsia="宋体" w:cs="宋体"/>
          <w:color w:val="auto"/>
          <w:szCs w:val="21"/>
        </w:rPr>
        <w:t>授意供应商撤换、修改响应文件的；</w:t>
      </w:r>
    </w:p>
    <w:p w14:paraId="7FC0427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（3）供应商之间协商技术方案、合同条款以及报价等响应文件实质性内容的；</w:t>
      </w:r>
    </w:p>
    <w:p w14:paraId="6EF9D8B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（4）属于同一集团、协会、商会等组织成员的供应商按照该组织要求协同参加竞争性磋商政府采购活动的；</w:t>
      </w:r>
    </w:p>
    <w:p w14:paraId="7537C1D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（5）供应商之间事先约定由某一特定供应商成交的；</w:t>
      </w:r>
    </w:p>
    <w:p w14:paraId="1384112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（6）供应商之间商定部分供应商放弃提交响应文件或者退出磋商或者放弃成交的；</w:t>
      </w:r>
    </w:p>
    <w:p w14:paraId="3C1D2942">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（7）供应商与</w:t>
      </w:r>
      <w:r>
        <w:rPr>
          <w:rFonts w:hint="eastAsia" w:ascii="宋体" w:hAnsi="宋体" w:eastAsia="宋体" w:cs="宋体"/>
          <w:bCs/>
          <w:color w:val="auto"/>
          <w:szCs w:val="21"/>
        </w:rPr>
        <w:t>采购人、采购代理机构以及</w:t>
      </w:r>
      <w:r>
        <w:rPr>
          <w:rFonts w:hint="eastAsia" w:ascii="宋体" w:hAnsi="宋体" w:eastAsia="宋体" w:cs="宋体"/>
          <w:color w:val="auto"/>
          <w:szCs w:val="21"/>
        </w:rPr>
        <w:t>磋商小组成员之间、供应商相互之间，为谋求特定供应商成交或者排斥其他供应商的其他串通行为的。</w:t>
      </w:r>
    </w:p>
    <w:p w14:paraId="5F2969A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（8）法律、行政法规或规章规定的其他串通行为。</w:t>
      </w:r>
    </w:p>
    <w:p w14:paraId="08391B76">
      <w:pPr>
        <w:adjustRightInd w:val="0"/>
        <w:snapToGrid w:val="0"/>
        <w:spacing w:line="360" w:lineRule="auto"/>
        <w:outlineLvl w:val="2"/>
        <w:rPr>
          <w:rFonts w:hint="eastAsia" w:ascii="宋体" w:hAnsi="宋体" w:eastAsia="宋体" w:cs="宋体"/>
          <w:b/>
          <w:color w:val="auto"/>
          <w:szCs w:val="21"/>
        </w:rPr>
      </w:pPr>
      <w:bookmarkStart w:id="107" w:name="_Toc22339"/>
      <w:bookmarkStart w:id="108" w:name="_Toc16920_WPSOffice_Level2"/>
      <w:r>
        <w:rPr>
          <w:rFonts w:hint="eastAsia" w:ascii="宋体" w:hAnsi="宋体" w:eastAsia="宋体" w:cs="宋体"/>
          <w:b/>
          <w:color w:val="auto"/>
          <w:szCs w:val="21"/>
        </w:rPr>
        <w:t>六、成交结果信息公布与授予合同</w:t>
      </w:r>
      <w:bookmarkEnd w:id="107"/>
      <w:bookmarkEnd w:id="108"/>
    </w:p>
    <w:p w14:paraId="5C03155E">
      <w:pPr>
        <w:adjustRightInd w:val="0"/>
        <w:snapToGrid w:val="0"/>
        <w:spacing w:line="360" w:lineRule="auto"/>
        <w:rPr>
          <w:rFonts w:hint="eastAsia" w:ascii="宋体" w:hAnsi="宋体" w:eastAsia="宋体" w:cs="宋体"/>
          <w:b/>
          <w:bCs/>
          <w:color w:val="auto"/>
          <w:szCs w:val="21"/>
        </w:rPr>
      </w:pPr>
      <w:bookmarkStart w:id="109" w:name="_Toc9072_WPSOffice_Level3"/>
      <w:r>
        <w:rPr>
          <w:rFonts w:hint="eastAsia" w:ascii="宋体" w:hAnsi="宋体" w:eastAsia="宋体" w:cs="宋体"/>
          <w:b/>
          <w:bCs/>
          <w:color w:val="auto"/>
          <w:szCs w:val="21"/>
        </w:rPr>
        <w:t>36.成交信息的公布</w:t>
      </w:r>
      <w:bookmarkEnd w:id="109"/>
    </w:p>
    <w:p w14:paraId="22A7135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36.1成交供应商确定后2个工作日内，采购人或者采购代理机构应将成交结果信息在</w:t>
      </w:r>
      <w:r>
        <w:rPr>
          <w:rFonts w:hint="eastAsia" w:ascii="宋体" w:hAnsi="宋体" w:eastAsia="宋体" w:cs="宋体"/>
          <w:b/>
          <w:color w:val="auto"/>
          <w:sz w:val="21"/>
        </w:rPr>
        <w:t>磋商须知前附表</w:t>
      </w:r>
      <w:r>
        <w:rPr>
          <w:rFonts w:hint="eastAsia" w:ascii="宋体" w:hAnsi="宋体" w:eastAsia="宋体" w:cs="宋体"/>
          <w:color w:val="auto"/>
          <w:sz w:val="21"/>
        </w:rPr>
        <w:t>指定的媒体上公布。</w:t>
      </w:r>
    </w:p>
    <w:p w14:paraId="7E1FFC7B">
      <w:pPr>
        <w:adjustRightInd w:val="0"/>
        <w:snapToGrid w:val="0"/>
        <w:spacing w:line="360" w:lineRule="auto"/>
        <w:rPr>
          <w:rFonts w:hint="eastAsia" w:ascii="宋体" w:hAnsi="宋体" w:eastAsia="宋体" w:cs="宋体"/>
          <w:b/>
          <w:bCs/>
          <w:color w:val="auto"/>
          <w:szCs w:val="21"/>
        </w:rPr>
      </w:pPr>
      <w:bookmarkStart w:id="110" w:name="_Toc16920_WPSOffice_Level3"/>
      <w:r>
        <w:rPr>
          <w:rFonts w:hint="eastAsia" w:ascii="宋体" w:hAnsi="宋体" w:eastAsia="宋体" w:cs="宋体"/>
          <w:b/>
          <w:bCs/>
          <w:color w:val="auto"/>
          <w:szCs w:val="21"/>
        </w:rPr>
        <w:t>37.询问及质疑</w:t>
      </w:r>
      <w:bookmarkEnd w:id="110"/>
    </w:p>
    <w:p w14:paraId="27DD3276">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37.1供应商对政府采购活动事项有疑问的，可以向采购人或采购代理机构提出询问。</w:t>
      </w:r>
    </w:p>
    <w:p w14:paraId="271C97BE">
      <w:pPr>
        <w:adjustRightInd w:val="0"/>
        <w:snapToGri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37.2供应商若认为磋商文件、采购过程和成交结果使自己的权益受到损害，可以按法律、规章及</w:t>
      </w:r>
      <w:r>
        <w:rPr>
          <w:rFonts w:hint="eastAsia" w:ascii="宋体" w:hAnsi="宋体" w:eastAsia="宋体" w:cs="宋体"/>
          <w:color w:val="auto"/>
          <w:szCs w:val="21"/>
          <w:lang w:eastAsia="zh-CN"/>
        </w:rPr>
        <w:t>财政部门</w:t>
      </w:r>
      <w:r>
        <w:rPr>
          <w:rFonts w:hint="eastAsia" w:ascii="宋体" w:hAnsi="宋体" w:eastAsia="宋体" w:cs="宋体"/>
          <w:color w:val="auto"/>
          <w:szCs w:val="21"/>
        </w:rPr>
        <w:t>相关文件规定向采购人或采购代理机构提出质疑。</w:t>
      </w:r>
    </w:p>
    <w:p w14:paraId="79B00941">
      <w:pPr>
        <w:adjustRightInd w:val="0"/>
        <w:snapToGrid w:val="0"/>
        <w:spacing w:line="360" w:lineRule="auto"/>
        <w:rPr>
          <w:rFonts w:hint="eastAsia" w:ascii="宋体" w:hAnsi="宋体" w:eastAsia="宋体" w:cs="宋体"/>
          <w:b/>
          <w:bCs/>
          <w:color w:val="auto"/>
          <w:szCs w:val="21"/>
        </w:rPr>
      </w:pPr>
      <w:bookmarkStart w:id="111" w:name="_Toc29466_WPSOffice_Level3"/>
      <w:r>
        <w:rPr>
          <w:rFonts w:hint="eastAsia" w:ascii="宋体" w:hAnsi="宋体" w:eastAsia="宋体" w:cs="宋体"/>
          <w:b/>
          <w:bCs/>
          <w:color w:val="auto"/>
          <w:szCs w:val="21"/>
        </w:rPr>
        <w:t>38.成交通知</w:t>
      </w:r>
      <w:bookmarkEnd w:id="111"/>
    </w:p>
    <w:p w14:paraId="11AB7C39">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38.1成交供应商确定后，采购人或采购代理机构将以书面形式向成交供应商发出成交通知书。成交通知书对采购人和成交供应商具有同等法律效力。</w:t>
      </w:r>
    </w:p>
    <w:p w14:paraId="2A33E511">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38.2 成交通知书是合同文件的组成部分。</w:t>
      </w:r>
    </w:p>
    <w:p w14:paraId="359BE548">
      <w:pPr>
        <w:tabs>
          <w:tab w:val="left" w:pos="7560"/>
          <w:tab w:val="left" w:pos="7740"/>
          <w:tab w:val="left" w:pos="7920"/>
        </w:tabs>
        <w:autoSpaceDN w:val="0"/>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 xml:space="preserve">38.3 </w:t>
      </w:r>
      <w:r>
        <w:rPr>
          <w:rFonts w:hint="eastAsia" w:ascii="宋体" w:hAnsi="宋体" w:eastAsia="宋体" w:cs="宋体"/>
          <w:color w:val="auto"/>
          <w:szCs w:val="21"/>
        </w:rPr>
        <w:t>成交供应商在收到采购代理机构的成交通知书后10日内，应按照</w:t>
      </w:r>
      <w:r>
        <w:rPr>
          <w:rFonts w:hint="eastAsia" w:ascii="宋体" w:hAnsi="宋体" w:eastAsia="宋体" w:cs="宋体"/>
          <w:b/>
          <w:color w:val="auto"/>
          <w:szCs w:val="21"/>
        </w:rPr>
        <w:t>磋商须知前附表</w:t>
      </w:r>
      <w:r>
        <w:rPr>
          <w:rFonts w:hint="eastAsia" w:ascii="宋体" w:hAnsi="宋体" w:eastAsia="宋体" w:cs="宋体"/>
          <w:color w:val="auto"/>
          <w:szCs w:val="21"/>
        </w:rPr>
        <w:t>的规定，向采购人提交履约担保。联合体成交的，履约担保由联合体各方或联合体中牵头人的名义提交。</w:t>
      </w:r>
    </w:p>
    <w:p w14:paraId="7255553E">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38.4 成交供应商</w:t>
      </w:r>
      <w:r>
        <w:rPr>
          <w:rFonts w:hint="eastAsia" w:ascii="宋体" w:hAnsi="宋体" w:eastAsia="宋体" w:cs="宋体"/>
          <w:color w:val="auto"/>
          <w:spacing w:val="4"/>
          <w:sz w:val="21"/>
        </w:rPr>
        <w:t>没有按照本章第38.3</w:t>
      </w:r>
      <w:r>
        <w:rPr>
          <w:rFonts w:hint="eastAsia" w:ascii="宋体" w:hAnsi="宋体" w:eastAsia="宋体" w:cs="宋体"/>
          <w:color w:val="auto"/>
          <w:sz w:val="21"/>
          <w:lang w:val="zh-CN"/>
        </w:rPr>
        <w:t>款</w:t>
      </w:r>
      <w:r>
        <w:rPr>
          <w:rFonts w:hint="eastAsia" w:ascii="宋体" w:hAnsi="宋体" w:eastAsia="宋体" w:cs="宋体"/>
          <w:color w:val="auto"/>
          <w:spacing w:val="4"/>
          <w:sz w:val="21"/>
        </w:rPr>
        <w:t>规定</w:t>
      </w:r>
      <w:r>
        <w:rPr>
          <w:rFonts w:hint="eastAsia" w:ascii="宋体" w:hAnsi="宋体" w:eastAsia="宋体" w:cs="宋体"/>
          <w:color w:val="auto"/>
          <w:sz w:val="21"/>
        </w:rPr>
        <w:t>提交履约担保的</w:t>
      </w:r>
      <w:r>
        <w:rPr>
          <w:rFonts w:hint="eastAsia" w:ascii="宋体" w:hAnsi="宋体" w:eastAsia="宋体" w:cs="宋体"/>
          <w:color w:val="auto"/>
          <w:spacing w:val="4"/>
          <w:sz w:val="21"/>
        </w:rPr>
        <w:t>，视为放弃</w:t>
      </w:r>
      <w:r>
        <w:rPr>
          <w:rFonts w:hint="eastAsia" w:ascii="宋体" w:hAnsi="宋体" w:eastAsia="宋体" w:cs="宋体"/>
          <w:color w:val="auto"/>
          <w:sz w:val="21"/>
        </w:rPr>
        <w:t>成交资格</w:t>
      </w:r>
      <w:r>
        <w:rPr>
          <w:rFonts w:hint="eastAsia" w:ascii="宋体" w:hAnsi="宋体" w:eastAsia="宋体" w:cs="宋体"/>
          <w:color w:val="auto"/>
          <w:spacing w:val="4"/>
          <w:sz w:val="21"/>
        </w:rPr>
        <w:t>，</w:t>
      </w:r>
      <w:r>
        <w:rPr>
          <w:rFonts w:hint="eastAsia" w:ascii="宋体" w:hAnsi="宋体" w:eastAsia="宋体" w:cs="宋体"/>
          <w:color w:val="auto"/>
          <w:spacing w:val="2"/>
          <w:sz w:val="21"/>
        </w:rPr>
        <w:t>其保证金不予退还。</w:t>
      </w:r>
    </w:p>
    <w:p w14:paraId="74AC9CBD">
      <w:pPr>
        <w:adjustRightInd w:val="0"/>
        <w:snapToGrid w:val="0"/>
        <w:spacing w:line="360" w:lineRule="auto"/>
        <w:rPr>
          <w:rFonts w:hint="eastAsia" w:ascii="宋体" w:hAnsi="宋体" w:eastAsia="宋体" w:cs="宋体"/>
          <w:b/>
          <w:bCs/>
          <w:color w:val="auto"/>
          <w:szCs w:val="21"/>
        </w:rPr>
      </w:pPr>
      <w:bookmarkStart w:id="112" w:name="_Toc25878_WPSOffice_Level3"/>
      <w:r>
        <w:rPr>
          <w:rFonts w:hint="eastAsia" w:ascii="宋体" w:hAnsi="宋体" w:eastAsia="宋体" w:cs="宋体"/>
          <w:b/>
          <w:bCs/>
          <w:color w:val="auto"/>
          <w:szCs w:val="21"/>
        </w:rPr>
        <w:t>39.签订合同</w:t>
      </w:r>
      <w:bookmarkEnd w:id="112"/>
    </w:p>
    <w:p w14:paraId="6FD7AAD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39.1 磋商文件、成交供应商的响应文件及其补充的响应文件等均为签订政府采购合同的依据。</w:t>
      </w:r>
    </w:p>
    <w:p w14:paraId="5CB4F31B">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39.2 成交供应商应当在成交通知书发出之日起30日内与采购人签订政府采购合同。</w:t>
      </w:r>
    </w:p>
    <w:p w14:paraId="1A4ED17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39.3 成交供应商应当按照合同约定履行义务。成交供应商不得向他人转让成交项目，也不得将成交项目分包后分别向他人转让。</w:t>
      </w:r>
    </w:p>
    <w:p w14:paraId="4BEDEA10">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39.4 成交供应商有下列情形之一的，责令限期改正，情节严重的，列入不良行为记录名单，在1至3年内禁止参加政府采购活动，并予以通报：</w:t>
      </w:r>
    </w:p>
    <w:p w14:paraId="39E8FBAF">
      <w:pPr>
        <w:pStyle w:val="13"/>
        <w:adjustRightInd w:val="0"/>
        <w:snapToGrid w:val="0"/>
        <w:spacing w:line="360" w:lineRule="auto"/>
        <w:ind w:firstLine="420" w:firstLineChars="200"/>
        <w:rPr>
          <w:rFonts w:hint="eastAsia" w:ascii="宋体" w:hAnsi="宋体" w:eastAsia="宋体" w:cs="宋体"/>
          <w:color w:val="auto"/>
          <w:sz w:val="21"/>
        </w:rPr>
      </w:pPr>
      <w:bookmarkStart w:id="113" w:name="_Toc24666"/>
      <w:bookmarkStart w:id="114" w:name="_Toc16780"/>
      <w:r>
        <w:rPr>
          <w:rFonts w:hint="eastAsia" w:ascii="宋体" w:hAnsi="宋体" w:eastAsia="宋体" w:cs="宋体"/>
          <w:color w:val="auto"/>
          <w:sz w:val="21"/>
        </w:rPr>
        <w:t>（一）成交后无正当理由不与采购人签订合同的；</w:t>
      </w:r>
      <w:bookmarkEnd w:id="113"/>
      <w:bookmarkEnd w:id="114"/>
    </w:p>
    <w:p w14:paraId="78D6BC97">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（二）未按照采购文件确定的事项签订政府采购合同，或者与采购人另行订立背离合同实质性内容的协议的；</w:t>
      </w:r>
    </w:p>
    <w:p w14:paraId="323B7133">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（三）拒绝履行合同义务的；</w:t>
      </w:r>
    </w:p>
    <w:p w14:paraId="1E466E15">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（四）违反法律、规章、规范性文件规定的。</w:t>
      </w:r>
    </w:p>
    <w:p w14:paraId="0222A50E">
      <w:pPr>
        <w:pStyle w:val="13"/>
        <w:adjustRightInd w:val="0"/>
        <w:snapToGrid w:val="0"/>
        <w:spacing w:line="360" w:lineRule="auto"/>
        <w:jc w:val="left"/>
        <w:outlineLvl w:val="2"/>
        <w:rPr>
          <w:rFonts w:hint="eastAsia" w:ascii="宋体" w:hAnsi="宋体" w:eastAsia="宋体" w:cs="宋体"/>
          <w:b/>
          <w:color w:val="auto"/>
          <w:sz w:val="21"/>
        </w:rPr>
      </w:pPr>
      <w:bookmarkStart w:id="115" w:name="_Toc29466_WPSOffice_Level2"/>
      <w:bookmarkStart w:id="116" w:name="_Toc20138"/>
      <w:r>
        <w:rPr>
          <w:rFonts w:hint="eastAsia" w:ascii="宋体" w:hAnsi="宋体" w:eastAsia="宋体" w:cs="宋体"/>
          <w:b/>
          <w:color w:val="auto"/>
          <w:sz w:val="21"/>
        </w:rPr>
        <w:t>七、其他规定</w:t>
      </w:r>
      <w:bookmarkEnd w:id="115"/>
      <w:bookmarkEnd w:id="116"/>
    </w:p>
    <w:p w14:paraId="24DE233C">
      <w:pPr>
        <w:adjustRightInd w:val="0"/>
        <w:snapToGrid w:val="0"/>
        <w:spacing w:line="360" w:lineRule="auto"/>
        <w:jc w:val="left"/>
        <w:rPr>
          <w:rFonts w:hint="eastAsia" w:ascii="宋体" w:hAnsi="宋体" w:eastAsia="宋体" w:cs="宋体"/>
          <w:b/>
          <w:color w:val="auto"/>
          <w:szCs w:val="21"/>
        </w:rPr>
      </w:pPr>
      <w:bookmarkStart w:id="117" w:name="_Toc15438_WPSOffice_Level3"/>
      <w:r>
        <w:rPr>
          <w:rFonts w:hint="eastAsia" w:ascii="宋体" w:hAnsi="宋体" w:eastAsia="宋体" w:cs="宋体"/>
          <w:b/>
          <w:color w:val="auto"/>
          <w:szCs w:val="21"/>
        </w:rPr>
        <w:t>40.采购代理服务费</w:t>
      </w:r>
      <w:bookmarkEnd w:id="117"/>
    </w:p>
    <w:p w14:paraId="2476BA19">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40.1采购代理机构应按有关规定（或约定）收取采购代理服务费。</w:t>
      </w:r>
    </w:p>
    <w:p w14:paraId="6C3BA88B">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40.2集中采购机构不得收取采购代理服务费。</w:t>
      </w:r>
    </w:p>
    <w:p w14:paraId="6BB226A2">
      <w:pPr>
        <w:tabs>
          <w:tab w:val="left" w:pos="420"/>
          <w:tab w:val="left" w:pos="7560"/>
          <w:tab w:val="left" w:pos="7740"/>
          <w:tab w:val="left" w:pos="7920"/>
        </w:tabs>
        <w:adjustRightInd w:val="0"/>
        <w:snapToGrid w:val="0"/>
        <w:spacing w:line="360" w:lineRule="auto"/>
        <w:rPr>
          <w:rFonts w:hint="eastAsia" w:ascii="宋体" w:hAnsi="宋体" w:eastAsia="宋体" w:cs="宋体"/>
          <w:b/>
          <w:color w:val="auto"/>
          <w:szCs w:val="21"/>
        </w:rPr>
      </w:pPr>
      <w:bookmarkStart w:id="118" w:name="_Toc14992_WPSOffice_Level3"/>
      <w:r>
        <w:rPr>
          <w:rFonts w:hint="eastAsia" w:ascii="宋体" w:hAnsi="宋体" w:eastAsia="宋体" w:cs="宋体"/>
          <w:b/>
          <w:color w:val="auto"/>
          <w:szCs w:val="21"/>
        </w:rPr>
        <w:t>41. 其他规定</w:t>
      </w:r>
      <w:bookmarkEnd w:id="118"/>
    </w:p>
    <w:p w14:paraId="0A19CBD8">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41.1磋商文件的其他规定见</w:t>
      </w:r>
      <w:r>
        <w:rPr>
          <w:rFonts w:hint="eastAsia" w:ascii="宋体" w:hAnsi="宋体" w:eastAsia="宋体" w:cs="宋体"/>
          <w:b/>
          <w:color w:val="auto"/>
          <w:szCs w:val="21"/>
        </w:rPr>
        <w:t>磋商须知前附表</w:t>
      </w:r>
      <w:r>
        <w:rPr>
          <w:rFonts w:hint="eastAsia" w:ascii="宋体" w:hAnsi="宋体" w:eastAsia="宋体" w:cs="宋体"/>
          <w:color w:val="auto"/>
          <w:szCs w:val="21"/>
        </w:rPr>
        <w:t>。</w:t>
      </w:r>
    </w:p>
    <w:p w14:paraId="1F07364D">
      <w:pPr>
        <w:adjustRightInd w:val="0"/>
        <w:snapToGrid w:val="0"/>
        <w:spacing w:beforeLines="50" w:line="360" w:lineRule="auto"/>
        <w:jc w:val="center"/>
        <w:outlineLvl w:val="0"/>
        <w:rPr>
          <w:rFonts w:hint="eastAsia" w:ascii="宋体" w:hAnsi="宋体" w:eastAsia="宋体" w:cs="宋体"/>
          <w:b/>
          <w:bCs/>
          <w:color w:val="auto"/>
          <w:sz w:val="32"/>
          <w:szCs w:val="32"/>
        </w:rPr>
      </w:pPr>
      <w:r>
        <w:rPr>
          <w:rFonts w:hint="eastAsia" w:ascii="宋体" w:hAnsi="宋体" w:eastAsia="宋体" w:cs="宋体"/>
          <w:color w:val="auto"/>
          <w:szCs w:val="21"/>
        </w:rPr>
        <w:br w:type="page"/>
      </w:r>
      <w:bookmarkStart w:id="119" w:name="_Toc24305_WPSOffice_Level1"/>
      <w:bookmarkStart w:id="120" w:name="_Toc15733"/>
      <w:bookmarkStart w:id="121" w:name="_Toc27450"/>
      <w:r>
        <w:rPr>
          <w:rFonts w:hint="eastAsia" w:ascii="宋体" w:hAnsi="宋体" w:eastAsia="宋体" w:cs="宋体"/>
          <w:b/>
          <w:bCs/>
          <w:color w:val="auto"/>
          <w:sz w:val="32"/>
          <w:szCs w:val="32"/>
        </w:rPr>
        <w:t>第三章 评审办法及标准</w:t>
      </w:r>
      <w:bookmarkEnd w:id="119"/>
      <w:bookmarkEnd w:id="120"/>
      <w:bookmarkEnd w:id="121"/>
    </w:p>
    <w:p w14:paraId="6A10B2BE">
      <w:pPr>
        <w:adjustRightInd w:val="0"/>
        <w:snapToGrid w:val="0"/>
        <w:spacing w:beforeLines="50" w:line="360" w:lineRule="auto"/>
        <w:outlineLvl w:val="1"/>
        <w:rPr>
          <w:rFonts w:hint="eastAsia" w:ascii="宋体" w:hAnsi="宋体" w:eastAsia="宋体" w:cs="宋体"/>
          <w:b/>
          <w:color w:val="auto"/>
          <w:szCs w:val="21"/>
        </w:rPr>
      </w:pPr>
      <w:bookmarkStart w:id="122" w:name="_Toc25878_WPSOffice_Level2"/>
      <w:bookmarkStart w:id="123" w:name="_Toc23085"/>
      <w:bookmarkStart w:id="124" w:name="_Toc24880"/>
      <w:r>
        <w:rPr>
          <w:rFonts w:hint="eastAsia" w:ascii="宋体" w:hAnsi="宋体" w:eastAsia="宋体" w:cs="宋体"/>
          <w:b/>
          <w:color w:val="auto"/>
          <w:szCs w:val="21"/>
        </w:rPr>
        <w:t>1.磋商小组</w:t>
      </w:r>
      <w:bookmarkEnd w:id="122"/>
      <w:bookmarkEnd w:id="123"/>
      <w:bookmarkEnd w:id="124"/>
    </w:p>
    <w:p w14:paraId="460A5BF4">
      <w:pPr>
        <w:adjustRightInd w:val="0"/>
        <w:snapToGrid w:val="0"/>
        <w:spacing w:beforeLines="50" w:line="360" w:lineRule="auto"/>
        <w:ind w:firstLine="420" w:firstLineChars="200"/>
        <w:rPr>
          <w:rFonts w:hint="eastAsia" w:ascii="宋体" w:hAnsi="宋体" w:eastAsia="宋体" w:cs="宋体"/>
          <w:color w:val="auto"/>
          <w:szCs w:val="21"/>
        </w:rPr>
      </w:pPr>
      <w:bookmarkStart w:id="125" w:name="_Toc20921_WPSOffice_Level3"/>
      <w:r>
        <w:rPr>
          <w:rFonts w:hint="eastAsia" w:ascii="宋体" w:hAnsi="宋体" w:eastAsia="宋体" w:cs="宋体"/>
          <w:color w:val="auto"/>
          <w:szCs w:val="21"/>
        </w:rPr>
        <w:t>1.1评审由依法组成的磋商小组负责。</w:t>
      </w:r>
      <w:bookmarkEnd w:id="125"/>
    </w:p>
    <w:p w14:paraId="4AEA2E98">
      <w:pPr>
        <w:adjustRightInd w:val="0"/>
        <w:snapToGrid w:val="0"/>
        <w:spacing w:beforeLines="50" w:line="360" w:lineRule="auto"/>
        <w:outlineLvl w:val="1"/>
        <w:rPr>
          <w:rFonts w:hint="eastAsia" w:ascii="宋体" w:hAnsi="宋体" w:eastAsia="宋体" w:cs="宋体"/>
          <w:b/>
          <w:color w:val="auto"/>
          <w:szCs w:val="21"/>
        </w:rPr>
      </w:pPr>
      <w:bookmarkStart w:id="126" w:name="_Toc15438_WPSOffice_Level2"/>
      <w:bookmarkStart w:id="127" w:name="_Toc24724"/>
      <w:bookmarkStart w:id="128" w:name="_Toc5528"/>
      <w:r>
        <w:rPr>
          <w:rFonts w:hint="eastAsia" w:ascii="宋体" w:hAnsi="宋体" w:eastAsia="宋体" w:cs="宋体"/>
          <w:b/>
          <w:bCs/>
          <w:color w:val="auto"/>
          <w:szCs w:val="21"/>
        </w:rPr>
        <w:t>2.</w:t>
      </w:r>
      <w:r>
        <w:rPr>
          <w:rFonts w:hint="eastAsia" w:ascii="宋体" w:hAnsi="宋体" w:eastAsia="宋体" w:cs="宋体"/>
          <w:b/>
          <w:color w:val="auto"/>
          <w:szCs w:val="21"/>
        </w:rPr>
        <w:t>评审方法</w:t>
      </w:r>
      <w:bookmarkEnd w:id="126"/>
      <w:bookmarkEnd w:id="127"/>
      <w:bookmarkEnd w:id="128"/>
    </w:p>
    <w:p w14:paraId="19F410C2">
      <w:pPr>
        <w:tabs>
          <w:tab w:val="left" w:pos="0"/>
        </w:tabs>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2.1评审方法：综合评分法，即响应文件能够最大限度的满足磋商文件规定的各项综合评价标准且经评审得分最高的供应商为成交供应商的评标方法。</w:t>
      </w:r>
    </w:p>
    <w:p w14:paraId="2BA8DFDD">
      <w:pPr>
        <w:tabs>
          <w:tab w:val="left" w:pos="0"/>
        </w:tabs>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bCs/>
          <w:color w:val="auto"/>
          <w:szCs w:val="21"/>
        </w:rPr>
        <w:t>2.2本采购项目</w:t>
      </w:r>
      <w:r>
        <w:rPr>
          <w:rFonts w:hint="eastAsia" w:ascii="宋体" w:hAnsi="宋体" w:eastAsia="宋体" w:cs="宋体"/>
          <w:color w:val="auto"/>
          <w:szCs w:val="21"/>
        </w:rPr>
        <w:t>的评审因素和标准见</w:t>
      </w:r>
      <w:r>
        <w:rPr>
          <w:rFonts w:hint="eastAsia" w:ascii="宋体" w:hAnsi="宋体" w:eastAsia="宋体" w:cs="宋体"/>
          <w:b/>
          <w:color w:val="auto"/>
          <w:szCs w:val="21"/>
        </w:rPr>
        <w:t>磋商文件前附表，</w:t>
      </w:r>
      <w:r>
        <w:rPr>
          <w:rFonts w:hint="eastAsia" w:ascii="宋体" w:hAnsi="宋体" w:eastAsia="宋体" w:cs="宋体"/>
          <w:color w:val="auto"/>
          <w:szCs w:val="21"/>
        </w:rPr>
        <w:t>不得对响应文件优于磋商文件要求的评审因素给予加分。</w:t>
      </w:r>
    </w:p>
    <w:p w14:paraId="54A87E90">
      <w:pPr>
        <w:tabs>
          <w:tab w:val="left" w:pos="0"/>
        </w:tabs>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评审因素：价格、技术、财务状况、信誉、业绩、方案、服务、对磋商文件的响应程度，以及相应的比重或者权值等，但不包括第二章“磋商须知”第3.1</w:t>
      </w:r>
      <w:r>
        <w:rPr>
          <w:rFonts w:hint="eastAsia" w:ascii="宋体" w:hAnsi="宋体" w:eastAsia="宋体" w:cs="宋体"/>
          <w:color w:val="auto"/>
          <w:kern w:val="0"/>
          <w:szCs w:val="21"/>
          <w:lang w:val="zh-CN"/>
        </w:rPr>
        <w:t>款</w:t>
      </w:r>
      <w:r>
        <w:rPr>
          <w:rFonts w:hint="eastAsia" w:ascii="宋体" w:hAnsi="宋体" w:eastAsia="宋体" w:cs="宋体"/>
          <w:color w:val="auto"/>
          <w:szCs w:val="21"/>
        </w:rPr>
        <w:t>规定的供应商资格条件。</w:t>
      </w:r>
    </w:p>
    <w:p w14:paraId="49543058">
      <w:pPr>
        <w:tabs>
          <w:tab w:val="left" w:pos="0"/>
        </w:tabs>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bCs/>
          <w:color w:val="auto"/>
          <w:szCs w:val="21"/>
        </w:rPr>
        <w:t>2.3</w:t>
      </w:r>
      <w:r>
        <w:rPr>
          <w:rFonts w:hint="eastAsia" w:ascii="宋体" w:hAnsi="宋体" w:eastAsia="宋体" w:cs="宋体"/>
          <w:color w:val="auto"/>
          <w:szCs w:val="21"/>
        </w:rPr>
        <w:t>权值的取值范围见下表，本采购项目的权值见</w:t>
      </w:r>
      <w:r>
        <w:rPr>
          <w:rFonts w:hint="eastAsia" w:ascii="宋体" w:hAnsi="宋体" w:eastAsia="宋体" w:cs="宋体"/>
          <w:b/>
          <w:color w:val="auto"/>
          <w:szCs w:val="21"/>
        </w:rPr>
        <w:t>磋商文件前附表。</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3900"/>
        <w:gridCol w:w="4003"/>
      </w:tblGrid>
      <w:tr w14:paraId="6CB48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35" w:type="dxa"/>
            <w:vAlign w:val="center"/>
          </w:tcPr>
          <w:p w14:paraId="6A72EF6C">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序号</w:t>
            </w:r>
          </w:p>
        </w:tc>
        <w:tc>
          <w:tcPr>
            <w:tcW w:w="3900" w:type="dxa"/>
            <w:vAlign w:val="center"/>
          </w:tcPr>
          <w:p w14:paraId="08FBB458">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项     目</w:t>
            </w:r>
          </w:p>
        </w:tc>
        <w:tc>
          <w:tcPr>
            <w:tcW w:w="4003" w:type="dxa"/>
            <w:vAlign w:val="center"/>
          </w:tcPr>
          <w:p w14:paraId="2BD19054">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权值的取值</w:t>
            </w:r>
          </w:p>
        </w:tc>
      </w:tr>
      <w:tr w14:paraId="192EB2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735" w:type="dxa"/>
            <w:vAlign w:val="center"/>
          </w:tcPr>
          <w:p w14:paraId="398EB50D">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3900" w:type="dxa"/>
            <w:vAlign w:val="center"/>
          </w:tcPr>
          <w:p w14:paraId="2CB0A08E">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szCs w:val="21"/>
                <w:lang w:val="zh-CN"/>
              </w:rPr>
              <w:t>报  价</w:t>
            </w:r>
          </w:p>
        </w:tc>
        <w:tc>
          <w:tcPr>
            <w:tcW w:w="4003" w:type="dxa"/>
            <w:vMerge w:val="restart"/>
            <w:vAlign w:val="center"/>
          </w:tcPr>
          <w:p w14:paraId="7218BAE1">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szCs w:val="21"/>
              </w:rPr>
              <w:t>具体权值见评分细则</w:t>
            </w:r>
          </w:p>
        </w:tc>
      </w:tr>
      <w:tr w14:paraId="4243C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735" w:type="dxa"/>
            <w:tcBorders>
              <w:bottom w:val="single" w:color="auto" w:sz="4" w:space="0"/>
            </w:tcBorders>
            <w:vAlign w:val="center"/>
          </w:tcPr>
          <w:p w14:paraId="425FC3EA">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3900" w:type="dxa"/>
            <w:tcBorders>
              <w:bottom w:val="single" w:color="auto" w:sz="4" w:space="0"/>
            </w:tcBorders>
            <w:vAlign w:val="center"/>
          </w:tcPr>
          <w:p w14:paraId="76AA708E">
            <w:pPr>
              <w:jc w:val="center"/>
              <w:rPr>
                <w:rFonts w:hint="eastAsia" w:ascii="宋体" w:hAnsi="宋体" w:eastAsia="宋体" w:cs="宋体"/>
                <w:color w:val="auto"/>
                <w:szCs w:val="21"/>
                <w:lang w:val="zh-CN"/>
              </w:rPr>
            </w:pPr>
            <w:r>
              <w:rPr>
                <w:rFonts w:hint="eastAsia" w:ascii="宋体" w:hAnsi="宋体" w:eastAsia="宋体" w:cs="宋体"/>
                <w:color w:val="auto"/>
                <w:szCs w:val="21"/>
                <w:lang w:val="zh-CN"/>
              </w:rPr>
              <w:t>技  术</w:t>
            </w:r>
          </w:p>
        </w:tc>
        <w:tc>
          <w:tcPr>
            <w:tcW w:w="4003" w:type="dxa"/>
            <w:vMerge w:val="continue"/>
            <w:vAlign w:val="center"/>
          </w:tcPr>
          <w:p w14:paraId="6B332B81">
            <w:pPr>
              <w:adjustRightInd w:val="0"/>
              <w:snapToGrid w:val="0"/>
              <w:jc w:val="center"/>
              <w:rPr>
                <w:rFonts w:hint="eastAsia" w:ascii="宋体" w:hAnsi="宋体" w:eastAsia="宋体" w:cs="宋体"/>
                <w:color w:val="auto"/>
                <w:kern w:val="0"/>
                <w:szCs w:val="21"/>
              </w:rPr>
            </w:pPr>
          </w:p>
        </w:tc>
      </w:tr>
      <w:tr w14:paraId="33F1D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735" w:type="dxa"/>
            <w:tcBorders>
              <w:top w:val="single" w:color="auto" w:sz="4" w:space="0"/>
            </w:tcBorders>
            <w:vAlign w:val="center"/>
          </w:tcPr>
          <w:p w14:paraId="1F18B81C">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3900" w:type="dxa"/>
            <w:tcBorders>
              <w:top w:val="single" w:color="auto" w:sz="4" w:space="0"/>
            </w:tcBorders>
            <w:vAlign w:val="center"/>
          </w:tcPr>
          <w:p w14:paraId="009097D8">
            <w:pPr>
              <w:adjustRightInd w:val="0"/>
              <w:snapToGrid w:val="0"/>
              <w:jc w:val="center"/>
              <w:rPr>
                <w:rFonts w:hint="eastAsia" w:ascii="宋体" w:hAnsi="宋体" w:eastAsia="宋体" w:cs="宋体"/>
                <w:color w:val="auto"/>
                <w:szCs w:val="21"/>
                <w:lang w:val="zh-CN"/>
              </w:rPr>
            </w:pPr>
            <w:r>
              <w:rPr>
                <w:rFonts w:hint="eastAsia" w:ascii="宋体" w:hAnsi="宋体" w:eastAsia="宋体" w:cs="宋体"/>
                <w:color w:val="auto"/>
                <w:szCs w:val="21"/>
                <w:lang w:val="zh-CN"/>
              </w:rPr>
              <w:t>商  务</w:t>
            </w:r>
          </w:p>
        </w:tc>
        <w:tc>
          <w:tcPr>
            <w:tcW w:w="4003" w:type="dxa"/>
            <w:vMerge w:val="continue"/>
            <w:vAlign w:val="center"/>
          </w:tcPr>
          <w:p w14:paraId="77FC280A">
            <w:pPr>
              <w:adjustRightInd w:val="0"/>
              <w:snapToGrid w:val="0"/>
              <w:jc w:val="center"/>
              <w:rPr>
                <w:rFonts w:hint="eastAsia" w:ascii="宋体" w:hAnsi="宋体" w:eastAsia="宋体" w:cs="宋体"/>
                <w:color w:val="auto"/>
                <w:kern w:val="0"/>
                <w:szCs w:val="21"/>
              </w:rPr>
            </w:pPr>
          </w:p>
        </w:tc>
      </w:tr>
    </w:tbl>
    <w:p w14:paraId="5997DF53">
      <w:pPr>
        <w:tabs>
          <w:tab w:val="left" w:pos="0"/>
        </w:tabs>
        <w:adjustRightInd w:val="0"/>
        <w:snapToGrid w:val="0"/>
        <w:spacing w:beforeLines="50" w:line="360" w:lineRule="auto"/>
        <w:outlineLvl w:val="1"/>
        <w:rPr>
          <w:rFonts w:hint="eastAsia" w:ascii="宋体" w:hAnsi="宋体" w:eastAsia="宋体" w:cs="宋体"/>
          <w:b/>
          <w:bCs/>
          <w:color w:val="auto"/>
          <w:szCs w:val="21"/>
        </w:rPr>
      </w:pPr>
      <w:bookmarkStart w:id="129" w:name="_Toc14992_WPSOffice_Level2"/>
      <w:bookmarkStart w:id="130" w:name="_Toc9675"/>
      <w:bookmarkStart w:id="131" w:name="_Toc12805"/>
      <w:r>
        <w:rPr>
          <w:rFonts w:hint="eastAsia" w:ascii="宋体" w:hAnsi="宋体" w:eastAsia="宋体" w:cs="宋体"/>
          <w:b/>
          <w:bCs/>
          <w:color w:val="auto"/>
          <w:szCs w:val="21"/>
        </w:rPr>
        <w:t>3.比较与评价</w:t>
      </w:r>
      <w:bookmarkEnd w:id="129"/>
      <w:bookmarkEnd w:id="130"/>
      <w:bookmarkEnd w:id="131"/>
    </w:p>
    <w:p w14:paraId="63B92CF1">
      <w:pPr>
        <w:tabs>
          <w:tab w:val="left" w:pos="0"/>
        </w:tabs>
        <w:adjustRightInd w:val="0"/>
        <w:snapToGrid w:val="0"/>
        <w:spacing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3.1磋商小组应按照磋商文件中规定的评审方法、</w:t>
      </w:r>
      <w:r>
        <w:rPr>
          <w:rFonts w:hint="eastAsia" w:ascii="宋体" w:hAnsi="宋体" w:eastAsia="宋体" w:cs="宋体"/>
          <w:color w:val="auto"/>
          <w:szCs w:val="21"/>
        </w:rPr>
        <w:t>标准和评标因素，</w:t>
      </w:r>
      <w:r>
        <w:rPr>
          <w:rFonts w:hint="eastAsia" w:ascii="宋体" w:hAnsi="宋体" w:eastAsia="宋体" w:cs="宋体"/>
          <w:bCs/>
          <w:color w:val="auto"/>
          <w:szCs w:val="21"/>
        </w:rPr>
        <w:t>对</w:t>
      </w:r>
      <w:r>
        <w:rPr>
          <w:rFonts w:hint="eastAsia" w:ascii="宋体" w:hAnsi="宋体" w:eastAsia="宋体" w:cs="宋体"/>
          <w:color w:val="auto"/>
          <w:szCs w:val="21"/>
        </w:rPr>
        <w:t>资格性检查和符合性检查</w:t>
      </w:r>
      <w:r>
        <w:rPr>
          <w:rFonts w:hint="eastAsia" w:ascii="宋体" w:hAnsi="宋体" w:eastAsia="宋体" w:cs="宋体"/>
          <w:bCs/>
          <w:color w:val="auto"/>
          <w:szCs w:val="21"/>
        </w:rPr>
        <w:t>合格的响应文件进行评估，综合比较与评价。</w:t>
      </w:r>
    </w:p>
    <w:p w14:paraId="2605E6D5">
      <w:pPr>
        <w:widowControl/>
        <w:adjustRightInd w:val="0"/>
        <w:snapToGrid w:val="0"/>
        <w:spacing w:beforeLines="50" w:line="360" w:lineRule="auto"/>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3.2最终</w:t>
      </w:r>
      <w:r>
        <w:rPr>
          <w:rFonts w:hint="eastAsia" w:ascii="宋体" w:hAnsi="宋体" w:eastAsia="宋体" w:cs="宋体"/>
          <w:color w:val="auto"/>
          <w:szCs w:val="21"/>
        </w:rPr>
        <w:t>报价评价。磋商小组以最终报价为基础，</w:t>
      </w:r>
      <w:r>
        <w:rPr>
          <w:rFonts w:hint="eastAsia" w:ascii="宋体" w:hAnsi="宋体" w:eastAsia="宋体" w:cs="宋体"/>
          <w:color w:val="auto"/>
          <w:kern w:val="0"/>
          <w:szCs w:val="21"/>
        </w:rPr>
        <w:t>依次</w:t>
      </w:r>
      <w:r>
        <w:rPr>
          <w:rFonts w:hint="eastAsia" w:ascii="宋体" w:hAnsi="宋体" w:eastAsia="宋体" w:cs="宋体"/>
          <w:color w:val="auto"/>
          <w:szCs w:val="21"/>
        </w:rPr>
        <w:t>对最终报价进行</w:t>
      </w:r>
      <w:r>
        <w:rPr>
          <w:rFonts w:hint="eastAsia" w:ascii="宋体" w:hAnsi="宋体" w:eastAsia="宋体" w:cs="宋体"/>
          <w:color w:val="auto"/>
          <w:kern w:val="0"/>
          <w:szCs w:val="21"/>
        </w:rPr>
        <w:t>算术</w:t>
      </w:r>
      <w:r>
        <w:rPr>
          <w:rFonts w:hint="eastAsia" w:ascii="宋体" w:hAnsi="宋体" w:eastAsia="宋体" w:cs="宋体"/>
          <w:color w:val="auto"/>
          <w:szCs w:val="21"/>
        </w:rPr>
        <w:t>修正和政府采购政策优惠价格扣除计算。</w:t>
      </w:r>
    </w:p>
    <w:p w14:paraId="781C1CBB">
      <w:pPr>
        <w:widowControl/>
        <w:adjustRightInd w:val="0"/>
        <w:snapToGrid w:val="0"/>
        <w:spacing w:beforeLines="50"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bCs/>
          <w:color w:val="auto"/>
          <w:szCs w:val="21"/>
        </w:rPr>
        <w:t>3.3</w:t>
      </w:r>
      <w:r>
        <w:rPr>
          <w:rFonts w:hint="eastAsia" w:ascii="宋体" w:hAnsi="宋体" w:eastAsia="宋体" w:cs="宋体"/>
          <w:color w:val="auto"/>
          <w:kern w:val="0"/>
          <w:szCs w:val="21"/>
        </w:rPr>
        <w:t>价格分采用低价优先法计算，即满足磋商文件要求且最终报价最低的价格为评审基准价，其价格分为满分，其他</w:t>
      </w:r>
      <w:r>
        <w:rPr>
          <w:rFonts w:hint="eastAsia" w:ascii="宋体" w:hAnsi="宋体" w:eastAsia="宋体" w:cs="宋体"/>
          <w:color w:val="auto"/>
          <w:szCs w:val="21"/>
        </w:rPr>
        <w:t>有效</w:t>
      </w:r>
      <w:r>
        <w:rPr>
          <w:rFonts w:hint="eastAsia" w:ascii="宋体" w:hAnsi="宋体" w:eastAsia="宋体" w:cs="宋体"/>
          <w:color w:val="auto"/>
          <w:kern w:val="0"/>
          <w:szCs w:val="21"/>
        </w:rPr>
        <w:t>供应商的价格分按照下列公式计算：</w:t>
      </w:r>
    </w:p>
    <w:p w14:paraId="27AEEF22">
      <w:pPr>
        <w:widowControl/>
        <w:adjustRightInd w:val="0"/>
        <w:snapToGrid w:val="0"/>
        <w:spacing w:beforeLines="50"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最终报价得分=(评审基准价／最终报价)×价格权值×100</w:t>
      </w:r>
    </w:p>
    <w:p w14:paraId="71B13E71">
      <w:pPr>
        <w:widowControl/>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本项所称最终报价为按</w:t>
      </w:r>
      <w:r>
        <w:rPr>
          <w:rFonts w:hint="eastAsia" w:ascii="宋体" w:hAnsi="宋体" w:eastAsia="宋体" w:cs="宋体"/>
          <w:bCs/>
          <w:color w:val="auto"/>
          <w:szCs w:val="21"/>
        </w:rPr>
        <w:t>本章第3.2</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w:t>
      </w:r>
      <w:r>
        <w:rPr>
          <w:rFonts w:hint="eastAsia" w:ascii="宋体" w:hAnsi="宋体" w:eastAsia="宋体" w:cs="宋体"/>
          <w:color w:val="auto"/>
          <w:szCs w:val="21"/>
        </w:rPr>
        <w:t>价值扣除后的最终报价。</w:t>
      </w:r>
    </w:p>
    <w:p w14:paraId="5C694380">
      <w:pPr>
        <w:widowControl/>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bCs/>
          <w:color w:val="auto"/>
          <w:szCs w:val="21"/>
        </w:rPr>
        <w:t>3.4</w:t>
      </w:r>
      <w:r>
        <w:rPr>
          <w:rFonts w:hint="eastAsia" w:ascii="宋体" w:hAnsi="宋体" w:eastAsia="宋体" w:cs="宋体"/>
          <w:color w:val="auto"/>
          <w:szCs w:val="21"/>
        </w:rPr>
        <w:t>涉及政府采购政策优惠的，</w:t>
      </w:r>
      <w:r>
        <w:rPr>
          <w:rFonts w:hint="eastAsia" w:ascii="宋体" w:hAnsi="宋体" w:eastAsia="宋体" w:cs="宋体"/>
          <w:bCs/>
          <w:color w:val="auto"/>
          <w:szCs w:val="21"/>
        </w:rPr>
        <w:t>按</w:t>
      </w:r>
      <w:r>
        <w:rPr>
          <w:rFonts w:hint="eastAsia" w:ascii="宋体" w:hAnsi="宋体" w:eastAsia="宋体" w:cs="宋体"/>
          <w:b/>
          <w:color w:val="auto"/>
          <w:szCs w:val="21"/>
        </w:rPr>
        <w:t>磋商文件前附表</w:t>
      </w:r>
      <w:r>
        <w:rPr>
          <w:rFonts w:hint="eastAsia" w:ascii="宋体" w:hAnsi="宋体" w:eastAsia="宋体" w:cs="宋体"/>
          <w:bCs/>
          <w:color w:val="auto"/>
          <w:szCs w:val="21"/>
        </w:rPr>
        <w:t>规定</w:t>
      </w:r>
      <w:r>
        <w:rPr>
          <w:rFonts w:hint="eastAsia" w:ascii="宋体" w:hAnsi="宋体" w:eastAsia="宋体" w:cs="宋体"/>
          <w:color w:val="auto"/>
          <w:szCs w:val="21"/>
        </w:rPr>
        <w:t>调整供应商的技术、价格</w:t>
      </w:r>
      <w:r>
        <w:rPr>
          <w:rFonts w:hint="eastAsia" w:ascii="宋体" w:hAnsi="宋体" w:eastAsia="宋体" w:cs="宋体"/>
          <w:color w:val="auto"/>
          <w:kern w:val="0"/>
          <w:szCs w:val="21"/>
        </w:rPr>
        <w:t>得分或总得分</w:t>
      </w:r>
      <w:r>
        <w:rPr>
          <w:rFonts w:hint="eastAsia" w:ascii="宋体" w:hAnsi="宋体" w:eastAsia="宋体" w:cs="宋体"/>
          <w:color w:val="auto"/>
          <w:szCs w:val="21"/>
        </w:rPr>
        <w:t>。</w:t>
      </w:r>
    </w:p>
    <w:p w14:paraId="357CBDF1">
      <w:pPr>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3.5涉及多处获得政府采购政策优惠的，涉及调整得分的，</w:t>
      </w:r>
      <w:r>
        <w:rPr>
          <w:rFonts w:hint="eastAsia" w:ascii="宋体" w:hAnsi="宋体" w:eastAsia="宋体" w:cs="宋体"/>
          <w:color w:val="auto"/>
          <w:kern w:val="0"/>
          <w:szCs w:val="21"/>
        </w:rPr>
        <w:t>按</w:t>
      </w:r>
      <w:r>
        <w:rPr>
          <w:rFonts w:hint="eastAsia" w:ascii="宋体" w:hAnsi="宋体" w:eastAsia="宋体" w:cs="宋体"/>
          <w:bCs/>
          <w:color w:val="auto"/>
          <w:szCs w:val="21"/>
        </w:rPr>
        <w:t>本章第3.4</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w:t>
      </w:r>
      <w:r>
        <w:rPr>
          <w:rFonts w:hint="eastAsia" w:ascii="宋体" w:hAnsi="宋体" w:eastAsia="宋体" w:cs="宋体"/>
          <w:color w:val="auto"/>
          <w:szCs w:val="21"/>
        </w:rPr>
        <w:t>调整得分；涉及调整价格的，</w:t>
      </w:r>
      <w:r>
        <w:rPr>
          <w:rFonts w:hint="eastAsia" w:ascii="宋体" w:hAnsi="宋体" w:eastAsia="宋体" w:cs="宋体"/>
          <w:color w:val="auto"/>
          <w:kern w:val="0"/>
          <w:szCs w:val="21"/>
        </w:rPr>
        <w:t>按</w:t>
      </w:r>
      <w:r>
        <w:rPr>
          <w:rFonts w:hint="eastAsia" w:ascii="宋体" w:hAnsi="宋体" w:eastAsia="宋体" w:cs="宋体"/>
          <w:bCs/>
          <w:color w:val="auto"/>
          <w:szCs w:val="21"/>
        </w:rPr>
        <w:t>本章第3.2</w:t>
      </w:r>
      <w:r>
        <w:rPr>
          <w:rFonts w:hint="eastAsia" w:ascii="宋体" w:hAnsi="宋体" w:eastAsia="宋体" w:cs="宋体"/>
          <w:color w:val="auto"/>
          <w:kern w:val="0"/>
          <w:szCs w:val="21"/>
          <w:lang w:val="zh-CN"/>
        </w:rPr>
        <w:t>款</w:t>
      </w:r>
      <w:r>
        <w:rPr>
          <w:rFonts w:hint="eastAsia" w:ascii="宋体" w:hAnsi="宋体" w:eastAsia="宋体" w:cs="宋体"/>
          <w:bCs/>
          <w:color w:val="auto"/>
          <w:szCs w:val="21"/>
        </w:rPr>
        <w:t>规定</w:t>
      </w:r>
      <w:r>
        <w:rPr>
          <w:rFonts w:hint="eastAsia" w:ascii="宋体" w:hAnsi="宋体" w:eastAsia="宋体" w:cs="宋体"/>
          <w:color w:val="auto"/>
          <w:szCs w:val="21"/>
        </w:rPr>
        <w:t>调整价格。综合调整见</w:t>
      </w:r>
      <w:r>
        <w:rPr>
          <w:rFonts w:hint="eastAsia" w:ascii="宋体" w:hAnsi="宋体" w:eastAsia="宋体" w:cs="宋体"/>
          <w:b/>
          <w:color w:val="auto"/>
          <w:szCs w:val="21"/>
        </w:rPr>
        <w:t>磋商文件前附表</w:t>
      </w:r>
      <w:r>
        <w:rPr>
          <w:rFonts w:hint="eastAsia" w:ascii="宋体" w:hAnsi="宋体" w:eastAsia="宋体" w:cs="宋体"/>
          <w:color w:val="auto"/>
          <w:szCs w:val="21"/>
        </w:rPr>
        <w:t>相关规定。</w:t>
      </w:r>
    </w:p>
    <w:p w14:paraId="2B3D0876">
      <w:pPr>
        <w:widowControl/>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3.6</w:t>
      </w:r>
      <w:r>
        <w:rPr>
          <w:rFonts w:hint="eastAsia" w:ascii="宋体" w:hAnsi="宋体" w:eastAsia="宋体" w:cs="宋体"/>
          <w:color w:val="auto"/>
          <w:szCs w:val="21"/>
        </w:rPr>
        <w:t>评审时，磋商小组各成员应当独立对每个供应商的</w:t>
      </w:r>
      <w:r>
        <w:rPr>
          <w:rFonts w:hint="eastAsia" w:ascii="宋体" w:hAnsi="宋体" w:eastAsia="宋体" w:cs="宋体"/>
          <w:bCs/>
          <w:color w:val="auto"/>
          <w:szCs w:val="21"/>
        </w:rPr>
        <w:t>响应文件</w:t>
      </w:r>
      <w:r>
        <w:rPr>
          <w:rFonts w:hint="eastAsia" w:ascii="宋体" w:hAnsi="宋体" w:eastAsia="宋体" w:cs="宋体"/>
          <w:color w:val="auto"/>
          <w:szCs w:val="21"/>
        </w:rPr>
        <w:t>进行评价、评分，然后汇总每个供应商项评分因素的得分。</w:t>
      </w:r>
    </w:p>
    <w:p w14:paraId="4EC0054D">
      <w:pPr>
        <w:rPr>
          <w:rFonts w:hint="eastAsia" w:ascii="宋体" w:hAnsi="宋体" w:eastAsia="宋体" w:cs="宋体"/>
          <w:color w:val="auto"/>
          <w:szCs w:val="21"/>
        </w:rPr>
      </w:pPr>
      <w:r>
        <w:rPr>
          <w:rFonts w:hint="eastAsia" w:ascii="宋体" w:hAnsi="宋体" w:eastAsia="宋体" w:cs="宋体"/>
          <w:color w:val="auto"/>
          <w:szCs w:val="21"/>
        </w:rPr>
        <w:br w:type="page"/>
      </w:r>
    </w:p>
    <w:p w14:paraId="4023FABB">
      <w:pPr>
        <w:widowControl/>
        <w:adjustRightInd w:val="0"/>
        <w:snapToGrid w:val="0"/>
        <w:spacing w:beforeLines="50"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3.7评分细则</w:t>
      </w:r>
    </w:p>
    <w:p w14:paraId="5778D9F3">
      <w:pPr>
        <w:pStyle w:val="8"/>
        <w:ind w:firstLine="0" w:firstLineChars="0"/>
        <w:jc w:val="center"/>
        <w:rPr>
          <w:rFonts w:hint="eastAsia" w:ascii="宋体" w:hAnsi="宋体" w:eastAsia="宋体" w:cs="宋体"/>
          <w:b/>
          <w:bCs/>
          <w:color w:val="auto"/>
          <w:sz w:val="28"/>
          <w:szCs w:val="28"/>
        </w:rPr>
      </w:pPr>
      <w:bookmarkStart w:id="132" w:name="_Toc2119"/>
      <w:r>
        <w:rPr>
          <w:rFonts w:hint="eastAsia" w:ascii="宋体" w:hAnsi="宋体" w:eastAsia="宋体" w:cs="宋体"/>
          <w:b/>
          <w:bCs/>
          <w:color w:val="auto"/>
          <w:sz w:val="28"/>
          <w:szCs w:val="28"/>
          <w:lang w:val="en-US" w:eastAsia="zh-CN"/>
        </w:rPr>
        <w:t>1包</w:t>
      </w:r>
      <w:r>
        <w:rPr>
          <w:rFonts w:hint="eastAsia" w:ascii="宋体" w:hAnsi="宋体" w:eastAsia="宋体" w:cs="宋体"/>
          <w:b/>
          <w:bCs/>
          <w:color w:val="auto"/>
          <w:sz w:val="28"/>
          <w:szCs w:val="28"/>
        </w:rPr>
        <w:t>评分细则表</w:t>
      </w:r>
    </w:p>
    <w:tbl>
      <w:tblPr>
        <w:tblStyle w:val="26"/>
        <w:tblW w:w="9570"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321"/>
        <w:gridCol w:w="6870"/>
        <w:gridCol w:w="629"/>
      </w:tblGrid>
      <w:tr w14:paraId="4DB5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50" w:type="dxa"/>
            <w:tcBorders>
              <w:tl2br w:val="nil"/>
              <w:tr2bl w:val="nil"/>
            </w:tcBorders>
            <w:vAlign w:val="center"/>
          </w:tcPr>
          <w:p w14:paraId="2A4BFAF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序号</w:t>
            </w:r>
          </w:p>
        </w:tc>
        <w:tc>
          <w:tcPr>
            <w:tcW w:w="1321" w:type="dxa"/>
            <w:tcBorders>
              <w:tl2br w:val="nil"/>
              <w:tr2bl w:val="nil"/>
            </w:tcBorders>
            <w:vAlign w:val="center"/>
          </w:tcPr>
          <w:p w14:paraId="71091CC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评审内容</w:t>
            </w:r>
          </w:p>
        </w:tc>
        <w:tc>
          <w:tcPr>
            <w:tcW w:w="6870" w:type="dxa"/>
            <w:tcBorders>
              <w:tl2br w:val="nil"/>
              <w:tr2bl w:val="nil"/>
            </w:tcBorders>
            <w:vAlign w:val="center"/>
          </w:tcPr>
          <w:p w14:paraId="712833D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评分细则</w:t>
            </w:r>
          </w:p>
        </w:tc>
        <w:tc>
          <w:tcPr>
            <w:tcW w:w="629" w:type="dxa"/>
            <w:tcBorders>
              <w:tl2br w:val="nil"/>
              <w:tr2bl w:val="nil"/>
            </w:tcBorders>
            <w:vAlign w:val="center"/>
          </w:tcPr>
          <w:p w14:paraId="61471DE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分值</w:t>
            </w:r>
          </w:p>
        </w:tc>
      </w:tr>
      <w:tr w14:paraId="12D0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0" w:type="dxa"/>
            <w:tcBorders>
              <w:tl2br w:val="nil"/>
              <w:tr2bl w:val="nil"/>
            </w:tcBorders>
            <w:vAlign w:val="center"/>
          </w:tcPr>
          <w:p w14:paraId="0A8B625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w:t>
            </w:r>
          </w:p>
        </w:tc>
        <w:tc>
          <w:tcPr>
            <w:tcW w:w="1321" w:type="dxa"/>
            <w:tcBorders>
              <w:tl2br w:val="nil"/>
              <w:tr2bl w:val="nil"/>
            </w:tcBorders>
            <w:vAlign w:val="center"/>
          </w:tcPr>
          <w:p w14:paraId="66CD8CE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价格部分</w:t>
            </w:r>
          </w:p>
        </w:tc>
        <w:tc>
          <w:tcPr>
            <w:tcW w:w="6870" w:type="dxa"/>
            <w:tcBorders>
              <w:tl2br w:val="nil"/>
              <w:tr2bl w:val="nil"/>
            </w:tcBorders>
            <w:vAlign w:val="center"/>
          </w:tcPr>
          <w:p w14:paraId="3FEA7227">
            <w:pPr>
              <w:keepNext w:val="0"/>
              <w:keepLines w:val="0"/>
              <w:pageBreakBefore w:val="0"/>
              <w:widowControl/>
              <w:numPr>
                <w:ilvl w:val="0"/>
                <w:numId w:val="2"/>
              </w:numPr>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以经磋商小组一致认定满足磋商文件要求且投标价格最低的投标报价为评标基准价，其价格得分计</w:t>
            </w:r>
            <w:r>
              <w:rPr>
                <w:rFonts w:hint="eastAsia" w:ascii="宋体" w:hAnsi="宋体" w:cs="宋体"/>
                <w:color w:val="auto"/>
                <w:kern w:val="0"/>
                <w:szCs w:val="21"/>
                <w:lang w:val="en-US" w:eastAsia="zh-CN"/>
              </w:rPr>
              <w:t>10</w:t>
            </w:r>
            <w:r>
              <w:rPr>
                <w:rFonts w:hint="eastAsia" w:ascii="宋体" w:hAnsi="宋体" w:eastAsia="宋体" w:cs="宋体"/>
                <w:color w:val="auto"/>
                <w:kern w:val="0"/>
                <w:szCs w:val="21"/>
              </w:rPr>
              <w:t>分。其他供应商的价格得分统一按公式计算：报价得分＝评标基准价÷投标报价×</w:t>
            </w:r>
            <w:r>
              <w:rPr>
                <w:rFonts w:hint="eastAsia" w:ascii="宋体" w:hAnsi="宋体" w:cs="宋体"/>
                <w:color w:val="auto"/>
                <w:kern w:val="0"/>
                <w:szCs w:val="21"/>
                <w:lang w:val="en-US" w:eastAsia="zh-CN"/>
              </w:rPr>
              <w:t>10</w:t>
            </w:r>
            <w:r>
              <w:rPr>
                <w:rFonts w:hint="eastAsia" w:ascii="宋体" w:hAnsi="宋体" w:eastAsia="宋体" w:cs="宋体"/>
                <w:color w:val="auto"/>
                <w:kern w:val="0"/>
                <w:szCs w:val="21"/>
              </w:rPr>
              <w:t>。</w:t>
            </w:r>
          </w:p>
          <w:p w14:paraId="3F750503">
            <w:pPr>
              <w:keepNext w:val="0"/>
              <w:keepLines w:val="0"/>
              <w:pageBreakBefore w:val="0"/>
              <w:widowControl/>
              <w:numPr>
                <w:ilvl w:val="0"/>
                <w:numId w:val="2"/>
              </w:numPr>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供应商符合《政府采购促进中小企业发展暂行办法》规定的，用扣除后的价格参与评审。</w:t>
            </w:r>
          </w:p>
          <w:p w14:paraId="1DA57602">
            <w:pPr>
              <w:keepNext w:val="0"/>
              <w:keepLines w:val="0"/>
              <w:pageBreakBefore w:val="0"/>
              <w:widowControl/>
              <w:numPr>
                <w:ilvl w:val="0"/>
                <w:numId w:val="2"/>
              </w:numPr>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auto"/>
              </w:rPr>
            </w:pPr>
            <w:r>
              <w:rPr>
                <w:rFonts w:hint="eastAsia" w:ascii="宋体" w:hAnsi="宋体" w:eastAsia="宋体" w:cs="宋体"/>
                <w:color w:val="auto"/>
                <w:kern w:val="0"/>
                <w:szCs w:val="21"/>
              </w:rPr>
              <w:t>价格评审过程中，不得去掉最后报价中的最高报价和最低报价。</w:t>
            </w:r>
          </w:p>
        </w:tc>
        <w:tc>
          <w:tcPr>
            <w:tcW w:w="629" w:type="dxa"/>
            <w:tcBorders>
              <w:tl2br w:val="nil"/>
              <w:tr2bl w:val="nil"/>
            </w:tcBorders>
            <w:vAlign w:val="center"/>
          </w:tcPr>
          <w:p w14:paraId="6B76357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10</w:t>
            </w:r>
          </w:p>
        </w:tc>
      </w:tr>
      <w:tr w14:paraId="0E43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9570" w:type="dxa"/>
            <w:gridSpan w:val="4"/>
            <w:tcBorders>
              <w:tl2br w:val="nil"/>
              <w:tr2bl w:val="nil"/>
            </w:tcBorders>
            <w:vAlign w:val="center"/>
          </w:tcPr>
          <w:p w14:paraId="08302E32">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szCs w:val="21"/>
              </w:rPr>
              <w:t>商务</w:t>
            </w:r>
            <w:r>
              <w:rPr>
                <w:rFonts w:hint="eastAsia" w:ascii="宋体" w:hAnsi="宋体" w:cs="宋体"/>
                <w:color w:val="auto"/>
                <w:szCs w:val="21"/>
                <w:lang w:eastAsia="zh-CN"/>
              </w:rPr>
              <w:t>部分</w:t>
            </w:r>
            <w:r>
              <w:rPr>
                <w:rFonts w:hint="eastAsia" w:ascii="宋体" w:hAnsi="宋体" w:eastAsia="宋体" w:cs="宋体"/>
                <w:color w:val="auto"/>
                <w:szCs w:val="21"/>
              </w:rPr>
              <w:t>（</w:t>
            </w:r>
            <w:r>
              <w:rPr>
                <w:rFonts w:hint="eastAsia" w:ascii="宋体" w:hAnsi="宋体" w:eastAsia="宋体" w:cs="宋体"/>
                <w:color w:val="auto"/>
                <w:szCs w:val="21"/>
                <w:lang w:val="en-US" w:eastAsia="zh-CN"/>
              </w:rPr>
              <w:t>40</w:t>
            </w:r>
            <w:r>
              <w:rPr>
                <w:rFonts w:hint="eastAsia" w:ascii="宋体" w:hAnsi="宋体" w:eastAsia="宋体" w:cs="宋体"/>
                <w:color w:val="auto"/>
                <w:szCs w:val="21"/>
              </w:rPr>
              <w:t>分）</w:t>
            </w:r>
          </w:p>
        </w:tc>
      </w:tr>
      <w:tr w14:paraId="265B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50" w:type="dxa"/>
            <w:vMerge w:val="restart"/>
            <w:tcBorders>
              <w:tl2br w:val="nil"/>
              <w:tr2bl w:val="nil"/>
            </w:tcBorders>
            <w:vAlign w:val="center"/>
          </w:tcPr>
          <w:p w14:paraId="4F98F4C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二</w:t>
            </w:r>
          </w:p>
        </w:tc>
        <w:tc>
          <w:tcPr>
            <w:tcW w:w="1321" w:type="dxa"/>
            <w:tcBorders>
              <w:tl2br w:val="nil"/>
              <w:tr2bl w:val="nil"/>
            </w:tcBorders>
            <w:shd w:val="clear" w:color="auto" w:fill="auto"/>
            <w:vAlign w:val="center"/>
          </w:tcPr>
          <w:p w14:paraId="0EA354C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spacing w:val="-1"/>
                <w:sz w:val="21"/>
                <w:szCs w:val="21"/>
              </w:rPr>
              <w:t>类似项目业绩</w:t>
            </w:r>
          </w:p>
        </w:tc>
        <w:tc>
          <w:tcPr>
            <w:tcW w:w="6870" w:type="dxa"/>
            <w:tcBorders>
              <w:tl2br w:val="nil"/>
              <w:tr2bl w:val="nil"/>
            </w:tcBorders>
            <w:shd w:val="clear" w:color="auto" w:fill="auto"/>
            <w:vAlign w:val="center"/>
          </w:tcPr>
          <w:p w14:paraId="705FCD6A">
            <w:pPr>
              <w:pStyle w:val="76"/>
              <w:keepNext w:val="0"/>
              <w:keepLines w:val="0"/>
              <w:pageBreakBefore w:val="0"/>
              <w:widowControl/>
              <w:kinsoku/>
              <w:wordWrap/>
              <w:overflowPunct/>
              <w:topLinePunct w:val="0"/>
              <w:autoSpaceDE/>
              <w:autoSpaceDN/>
              <w:bidi w:val="0"/>
              <w:adjustRightInd/>
              <w:snapToGrid/>
              <w:spacing w:before="87" w:line="340" w:lineRule="exact"/>
              <w:ind w:left="111" w:right="114" w:firstLine="2"/>
              <w:jc w:val="both"/>
              <w:textAlignment w:val="auto"/>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000000"/>
                <w:kern w:val="2"/>
                <w:sz w:val="21"/>
                <w:szCs w:val="21"/>
                <w:lang w:val="en-US" w:eastAsia="zh-CN" w:bidi="ar-SA"/>
              </w:rPr>
              <w:t>供应商</w:t>
            </w:r>
            <w:r>
              <w:rPr>
                <w:rFonts w:hint="eastAsia" w:cs="宋体"/>
                <w:b w:val="0"/>
                <w:bCs w:val="0"/>
                <w:color w:val="000000"/>
                <w:kern w:val="2"/>
                <w:sz w:val="21"/>
                <w:szCs w:val="21"/>
                <w:lang w:val="en-US" w:eastAsia="zh-CN" w:bidi="ar-SA"/>
              </w:rPr>
              <w:t>2019</w:t>
            </w:r>
            <w:r>
              <w:rPr>
                <w:rFonts w:hint="eastAsia" w:ascii="宋体" w:hAnsi="宋体" w:eastAsia="宋体" w:cs="宋体"/>
                <w:b w:val="0"/>
                <w:bCs w:val="0"/>
                <w:color w:val="000000"/>
                <w:kern w:val="2"/>
                <w:sz w:val="21"/>
                <w:szCs w:val="21"/>
                <w:lang w:val="en-US" w:eastAsia="zh-CN" w:bidi="ar-SA"/>
              </w:rPr>
              <w:t>年</w:t>
            </w:r>
            <w:r>
              <w:rPr>
                <w:rFonts w:hint="eastAsia" w:cs="宋体"/>
                <w:b w:val="0"/>
                <w:bCs w:val="0"/>
                <w:color w:val="000000"/>
                <w:kern w:val="2"/>
                <w:sz w:val="21"/>
                <w:szCs w:val="21"/>
                <w:lang w:val="en-US" w:eastAsia="zh-CN" w:bidi="ar-SA"/>
              </w:rPr>
              <w:t>以来</w:t>
            </w:r>
            <w:r>
              <w:rPr>
                <w:rFonts w:hint="eastAsia" w:ascii="宋体" w:hAnsi="宋体" w:eastAsia="宋体" w:cs="宋体"/>
                <w:b w:val="0"/>
                <w:bCs w:val="0"/>
                <w:color w:val="000000"/>
                <w:kern w:val="2"/>
                <w:sz w:val="21"/>
                <w:szCs w:val="21"/>
                <w:lang w:val="en-US" w:eastAsia="zh-CN" w:bidi="ar-SA"/>
              </w:rPr>
              <w:t>（以合同签订时间为准）承担过</w:t>
            </w:r>
            <w:r>
              <w:rPr>
                <w:rFonts w:hint="eastAsia" w:cs="宋体"/>
                <w:b w:val="0"/>
                <w:bCs w:val="0"/>
                <w:color w:val="000000"/>
                <w:kern w:val="2"/>
                <w:sz w:val="21"/>
                <w:szCs w:val="21"/>
                <w:lang w:val="en-US" w:eastAsia="zh-CN" w:bidi="ar-SA"/>
              </w:rPr>
              <w:t>县级及以上的</w:t>
            </w:r>
            <w:r>
              <w:rPr>
                <w:rFonts w:hint="eastAsia" w:ascii="宋体" w:hAnsi="宋体" w:eastAsia="宋体" w:cs="宋体"/>
                <w:b w:val="0"/>
                <w:bCs w:val="0"/>
                <w:color w:val="000000"/>
                <w:kern w:val="2"/>
                <w:sz w:val="21"/>
                <w:szCs w:val="21"/>
                <w:lang w:val="en-US" w:eastAsia="zh-CN" w:bidi="ar-SA"/>
              </w:rPr>
              <w:t>国土空间</w:t>
            </w:r>
            <w:r>
              <w:rPr>
                <w:rFonts w:hint="eastAsia" w:cs="宋体"/>
                <w:b w:val="0"/>
                <w:bCs w:val="0"/>
                <w:color w:val="000000"/>
                <w:kern w:val="2"/>
                <w:sz w:val="21"/>
                <w:szCs w:val="21"/>
                <w:lang w:val="en-US" w:eastAsia="zh-CN" w:bidi="ar-SA"/>
              </w:rPr>
              <w:t>总体</w:t>
            </w:r>
            <w:r>
              <w:rPr>
                <w:rFonts w:hint="eastAsia" w:ascii="宋体" w:hAnsi="宋体" w:eastAsia="宋体" w:cs="宋体"/>
                <w:b w:val="0"/>
                <w:bCs w:val="0"/>
                <w:color w:val="000000"/>
                <w:kern w:val="2"/>
                <w:sz w:val="21"/>
                <w:szCs w:val="21"/>
                <w:lang w:val="en-US" w:eastAsia="zh-CN" w:bidi="ar-SA"/>
              </w:rPr>
              <w:t>规划</w:t>
            </w:r>
            <w:r>
              <w:rPr>
                <w:rFonts w:hint="eastAsia" w:cs="宋体"/>
                <w:b w:val="0"/>
                <w:bCs w:val="0"/>
                <w:color w:val="000000"/>
                <w:kern w:val="2"/>
                <w:sz w:val="21"/>
                <w:szCs w:val="21"/>
                <w:lang w:val="en-US" w:eastAsia="zh-CN" w:bidi="ar-SA"/>
              </w:rPr>
              <w:t>或</w:t>
            </w:r>
            <w:r>
              <w:rPr>
                <w:rFonts w:hint="eastAsia" w:ascii="宋体" w:hAnsi="宋体" w:eastAsia="宋体" w:cs="宋体"/>
                <w:b w:val="0"/>
                <w:bCs w:val="0"/>
                <w:color w:val="000000"/>
                <w:kern w:val="2"/>
                <w:sz w:val="21"/>
                <w:szCs w:val="21"/>
                <w:lang w:val="en-US" w:eastAsia="zh-CN" w:bidi="ar-SA"/>
              </w:rPr>
              <w:t>镇（街道）</w:t>
            </w:r>
            <w:r>
              <w:rPr>
                <w:rFonts w:hint="eastAsia" w:cs="宋体"/>
                <w:b w:val="0"/>
                <w:bCs w:val="0"/>
                <w:color w:val="000000"/>
                <w:kern w:val="2"/>
                <w:sz w:val="21"/>
                <w:szCs w:val="21"/>
                <w:lang w:val="en-US" w:eastAsia="zh-CN" w:bidi="ar-SA"/>
              </w:rPr>
              <w:t>的</w:t>
            </w:r>
            <w:r>
              <w:rPr>
                <w:rFonts w:hint="eastAsia" w:ascii="宋体" w:hAnsi="宋体" w:eastAsia="宋体" w:cs="宋体"/>
                <w:b w:val="0"/>
                <w:bCs w:val="0"/>
                <w:color w:val="000000"/>
                <w:kern w:val="2"/>
                <w:sz w:val="21"/>
                <w:szCs w:val="21"/>
                <w:lang w:val="en-US" w:eastAsia="zh-CN" w:bidi="ar-SA"/>
              </w:rPr>
              <w:t>国土空间规划或国土空间总体规划动态维护项目的，每提供1个计</w:t>
            </w:r>
            <w:r>
              <w:rPr>
                <w:rFonts w:hint="eastAsia" w:cs="宋体"/>
                <w:b w:val="0"/>
                <w:bCs w:val="0"/>
                <w:color w:val="000000"/>
                <w:kern w:val="2"/>
                <w:sz w:val="21"/>
                <w:szCs w:val="21"/>
                <w:lang w:val="en-US" w:eastAsia="zh-CN" w:bidi="ar-SA"/>
              </w:rPr>
              <w:t>3</w:t>
            </w:r>
            <w:r>
              <w:rPr>
                <w:rFonts w:hint="eastAsia" w:ascii="宋体" w:hAnsi="宋体" w:eastAsia="宋体" w:cs="宋体"/>
                <w:b w:val="0"/>
                <w:bCs w:val="0"/>
                <w:color w:val="000000"/>
                <w:kern w:val="2"/>
                <w:sz w:val="21"/>
                <w:szCs w:val="21"/>
                <w:lang w:val="en-US" w:eastAsia="zh-CN" w:bidi="ar-SA"/>
              </w:rPr>
              <w:t>分，最高计</w:t>
            </w:r>
            <w:r>
              <w:rPr>
                <w:rFonts w:hint="eastAsia" w:cs="宋体"/>
                <w:b w:val="0"/>
                <w:bCs w:val="0"/>
                <w:color w:val="000000"/>
                <w:kern w:val="2"/>
                <w:sz w:val="21"/>
                <w:szCs w:val="21"/>
                <w:lang w:val="en-US" w:eastAsia="zh-CN" w:bidi="ar-SA"/>
              </w:rPr>
              <w:t>15</w:t>
            </w:r>
            <w:r>
              <w:rPr>
                <w:rFonts w:hint="eastAsia" w:ascii="宋体" w:hAnsi="宋体" w:eastAsia="宋体" w:cs="宋体"/>
                <w:b w:val="0"/>
                <w:bCs w:val="0"/>
                <w:color w:val="000000"/>
                <w:kern w:val="2"/>
                <w:sz w:val="21"/>
                <w:szCs w:val="21"/>
                <w:lang w:val="en-US" w:eastAsia="zh-CN" w:bidi="ar-SA"/>
              </w:rPr>
              <w:t>分。</w:t>
            </w:r>
            <w:r>
              <w:rPr>
                <w:rFonts w:hint="eastAsia" w:ascii="宋体" w:hAnsi="宋体" w:eastAsia="宋体" w:cs="宋体"/>
                <w:b/>
                <w:bCs/>
                <w:spacing w:val="1"/>
                <w:sz w:val="21"/>
                <w:szCs w:val="21"/>
              </w:rPr>
              <w:t>提供中标通知书或合同协议书扫描件并</w:t>
            </w:r>
            <w:r>
              <w:rPr>
                <w:rFonts w:hint="eastAsia" w:ascii="宋体" w:hAnsi="宋体" w:eastAsia="宋体" w:cs="宋体"/>
                <w:b/>
                <w:bCs/>
                <w:spacing w:val="-1"/>
                <w:sz w:val="21"/>
                <w:szCs w:val="21"/>
              </w:rPr>
              <w:t>加盖</w:t>
            </w:r>
            <w:r>
              <w:rPr>
                <w:rFonts w:hint="eastAsia" w:cs="宋体"/>
                <w:b/>
                <w:bCs/>
                <w:spacing w:val="-1"/>
                <w:sz w:val="21"/>
                <w:szCs w:val="21"/>
                <w:lang w:eastAsia="zh-CN"/>
              </w:rPr>
              <w:t>供应商</w:t>
            </w:r>
            <w:r>
              <w:rPr>
                <w:rFonts w:hint="eastAsia" w:ascii="宋体" w:hAnsi="宋体" w:eastAsia="宋体" w:cs="宋体"/>
                <w:b/>
                <w:bCs/>
                <w:spacing w:val="-1"/>
                <w:sz w:val="21"/>
                <w:szCs w:val="21"/>
              </w:rPr>
              <w:t>公章，否则不计分。</w:t>
            </w:r>
          </w:p>
        </w:tc>
        <w:tc>
          <w:tcPr>
            <w:tcW w:w="629" w:type="dxa"/>
            <w:tcBorders>
              <w:tl2br w:val="nil"/>
              <w:tr2bl w:val="nil"/>
            </w:tcBorders>
            <w:shd w:val="clear" w:color="auto" w:fill="auto"/>
            <w:vAlign w:val="center"/>
          </w:tcPr>
          <w:p w14:paraId="498E813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宋体" w:hAnsi="宋体" w:eastAsia="宋体" w:cs="宋体"/>
                <w:b w:val="0"/>
                <w:bCs w:val="0"/>
                <w:color w:val="auto"/>
                <w:kern w:val="0"/>
                <w:sz w:val="21"/>
                <w:szCs w:val="21"/>
                <w:lang w:val="en-US" w:eastAsia="zh-CN"/>
              </w:rPr>
            </w:pPr>
            <w:r>
              <w:rPr>
                <w:rFonts w:hint="eastAsia" w:ascii="宋体" w:hAnsi="宋体" w:cs="宋体"/>
                <w:b w:val="0"/>
                <w:bCs w:val="0"/>
                <w:sz w:val="21"/>
                <w:szCs w:val="21"/>
                <w:lang w:val="en-US" w:eastAsia="zh-CN"/>
              </w:rPr>
              <w:t>15</w:t>
            </w:r>
          </w:p>
        </w:tc>
      </w:tr>
      <w:tr w14:paraId="69DD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50" w:type="dxa"/>
            <w:vMerge w:val="continue"/>
            <w:tcBorders>
              <w:tl2br w:val="nil"/>
              <w:tr2bl w:val="nil"/>
            </w:tcBorders>
            <w:vAlign w:val="center"/>
          </w:tcPr>
          <w:p w14:paraId="2B31DFB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lang w:val="en-US" w:eastAsia="zh-CN"/>
              </w:rPr>
            </w:pPr>
          </w:p>
        </w:tc>
        <w:tc>
          <w:tcPr>
            <w:tcW w:w="1321" w:type="dxa"/>
            <w:tcBorders>
              <w:tl2br w:val="nil"/>
              <w:tr2bl w:val="nil"/>
            </w:tcBorders>
            <w:shd w:val="clear" w:color="auto" w:fill="auto"/>
            <w:vAlign w:val="center"/>
          </w:tcPr>
          <w:p w14:paraId="27485F8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pacing w:val="-2"/>
                <w:sz w:val="21"/>
                <w:szCs w:val="21"/>
              </w:rPr>
              <w:t>项目团队</w:t>
            </w:r>
          </w:p>
        </w:tc>
        <w:tc>
          <w:tcPr>
            <w:tcW w:w="6870" w:type="dxa"/>
            <w:tcBorders>
              <w:tl2br w:val="nil"/>
              <w:tr2bl w:val="nil"/>
            </w:tcBorders>
            <w:shd w:val="clear" w:color="auto" w:fill="auto"/>
            <w:vAlign w:val="center"/>
          </w:tcPr>
          <w:p w14:paraId="639C9B7B">
            <w:pPr>
              <w:pStyle w:val="76"/>
              <w:keepNext w:val="0"/>
              <w:keepLines w:val="0"/>
              <w:pageBreakBefore w:val="0"/>
              <w:widowControl/>
              <w:kinsoku/>
              <w:wordWrap/>
              <w:overflowPunct/>
              <w:topLinePunct w:val="0"/>
              <w:autoSpaceDE/>
              <w:autoSpaceDN/>
              <w:bidi w:val="0"/>
              <w:adjustRightInd/>
              <w:snapToGrid/>
              <w:spacing w:before="87" w:line="340" w:lineRule="exact"/>
              <w:ind w:left="111" w:right="39" w:firstLine="15"/>
              <w:textAlignment w:val="auto"/>
              <w:rPr>
                <w:rFonts w:hint="eastAsia" w:ascii="宋体" w:hAnsi="宋体" w:eastAsia="宋体" w:cs="宋体"/>
                <w:b w:val="0"/>
                <w:bCs w:val="0"/>
                <w:spacing w:val="-2"/>
                <w:sz w:val="21"/>
                <w:szCs w:val="21"/>
              </w:rPr>
            </w:pPr>
            <w:r>
              <w:rPr>
                <w:rFonts w:hint="eastAsia" w:ascii="宋体" w:hAnsi="宋体" w:eastAsia="宋体" w:cs="宋体"/>
                <w:b w:val="0"/>
                <w:bCs w:val="0"/>
                <w:spacing w:val="-2"/>
                <w:sz w:val="21"/>
                <w:szCs w:val="21"/>
              </w:rPr>
              <w:t>1、拟任本项目的项目负责人：具备</w:t>
            </w:r>
            <w:r>
              <w:rPr>
                <w:rFonts w:hint="eastAsia" w:ascii="宋体" w:hAnsi="宋体" w:eastAsia="宋体" w:cs="宋体"/>
                <w:b w:val="0"/>
                <w:bCs w:val="0"/>
                <w:spacing w:val="-2"/>
                <w:sz w:val="21"/>
                <w:szCs w:val="21"/>
                <w:lang w:val="en-US" w:eastAsia="zh-CN"/>
              </w:rPr>
              <w:t>规划相关</w:t>
            </w:r>
            <w:r>
              <w:rPr>
                <w:rFonts w:hint="eastAsia" w:ascii="宋体" w:hAnsi="宋体" w:eastAsia="宋体" w:cs="宋体"/>
                <w:b w:val="0"/>
                <w:bCs w:val="0"/>
                <w:spacing w:val="-2"/>
                <w:sz w:val="21"/>
                <w:szCs w:val="21"/>
              </w:rPr>
              <w:t>专业高级</w:t>
            </w:r>
            <w:r>
              <w:rPr>
                <w:rFonts w:hint="eastAsia" w:cs="宋体"/>
                <w:b w:val="0"/>
                <w:bCs w:val="0"/>
                <w:spacing w:val="-2"/>
                <w:sz w:val="21"/>
                <w:szCs w:val="21"/>
                <w:lang w:eastAsia="zh-CN"/>
              </w:rPr>
              <w:t>及以上</w:t>
            </w:r>
            <w:r>
              <w:rPr>
                <w:rFonts w:hint="eastAsia" w:ascii="宋体" w:hAnsi="宋体" w:eastAsia="宋体" w:cs="宋体"/>
                <w:b w:val="0"/>
                <w:bCs w:val="0"/>
                <w:spacing w:val="-2"/>
                <w:sz w:val="21"/>
                <w:szCs w:val="21"/>
              </w:rPr>
              <w:t>职称的，计</w:t>
            </w:r>
            <w:r>
              <w:rPr>
                <w:rFonts w:hint="eastAsia" w:ascii="宋体" w:hAnsi="宋体" w:eastAsia="宋体" w:cs="宋体"/>
                <w:b w:val="0"/>
                <w:bCs w:val="0"/>
                <w:spacing w:val="-2"/>
                <w:sz w:val="21"/>
                <w:szCs w:val="21"/>
                <w:lang w:val="en-US" w:eastAsia="zh-CN"/>
              </w:rPr>
              <w:t>5</w:t>
            </w:r>
            <w:r>
              <w:rPr>
                <w:rFonts w:hint="eastAsia" w:ascii="宋体" w:hAnsi="宋体" w:eastAsia="宋体" w:cs="宋体"/>
                <w:b w:val="0"/>
                <w:bCs w:val="0"/>
                <w:spacing w:val="-2"/>
                <w:sz w:val="21"/>
                <w:szCs w:val="21"/>
              </w:rPr>
              <w:t>分，具备</w:t>
            </w:r>
            <w:r>
              <w:rPr>
                <w:rFonts w:hint="eastAsia" w:ascii="宋体" w:hAnsi="宋体" w:eastAsia="宋体" w:cs="宋体"/>
                <w:b w:val="0"/>
                <w:bCs w:val="0"/>
                <w:spacing w:val="-2"/>
                <w:sz w:val="21"/>
                <w:szCs w:val="21"/>
                <w:lang w:val="en-US" w:eastAsia="zh-CN"/>
              </w:rPr>
              <w:t>注册城乡规划师</w:t>
            </w:r>
            <w:r>
              <w:rPr>
                <w:rFonts w:hint="eastAsia" w:ascii="宋体" w:hAnsi="宋体" w:eastAsia="宋体" w:cs="宋体"/>
                <w:b w:val="0"/>
                <w:bCs w:val="0"/>
                <w:spacing w:val="-2"/>
                <w:sz w:val="21"/>
                <w:szCs w:val="21"/>
              </w:rPr>
              <w:t>的，计</w:t>
            </w:r>
            <w:r>
              <w:rPr>
                <w:rFonts w:hint="eastAsia" w:ascii="宋体" w:hAnsi="宋体" w:eastAsia="宋体" w:cs="宋体"/>
                <w:b w:val="0"/>
                <w:bCs w:val="0"/>
                <w:spacing w:val="-2"/>
                <w:sz w:val="21"/>
                <w:szCs w:val="21"/>
                <w:lang w:val="en-US" w:eastAsia="zh-CN"/>
              </w:rPr>
              <w:t>3</w:t>
            </w:r>
            <w:r>
              <w:rPr>
                <w:rFonts w:hint="eastAsia" w:ascii="宋体" w:hAnsi="宋体" w:eastAsia="宋体" w:cs="宋体"/>
                <w:b w:val="0"/>
                <w:bCs w:val="0"/>
                <w:spacing w:val="-2"/>
                <w:sz w:val="21"/>
                <w:szCs w:val="21"/>
              </w:rPr>
              <w:t>分。本项最多计</w:t>
            </w:r>
            <w:r>
              <w:rPr>
                <w:rFonts w:hint="eastAsia" w:ascii="宋体" w:hAnsi="宋体" w:eastAsia="宋体" w:cs="宋体"/>
                <w:b w:val="0"/>
                <w:bCs w:val="0"/>
                <w:spacing w:val="-2"/>
                <w:sz w:val="21"/>
                <w:szCs w:val="21"/>
                <w:lang w:val="en-US" w:eastAsia="zh-CN"/>
              </w:rPr>
              <w:t>8</w:t>
            </w:r>
            <w:r>
              <w:rPr>
                <w:rFonts w:hint="eastAsia" w:ascii="宋体" w:hAnsi="宋体" w:eastAsia="宋体" w:cs="宋体"/>
                <w:b w:val="0"/>
                <w:bCs w:val="0"/>
                <w:spacing w:val="-2"/>
                <w:sz w:val="21"/>
                <w:szCs w:val="21"/>
              </w:rPr>
              <w:t xml:space="preserve">分。 </w:t>
            </w:r>
          </w:p>
          <w:p w14:paraId="45378F6F">
            <w:pPr>
              <w:pStyle w:val="76"/>
              <w:keepNext w:val="0"/>
              <w:keepLines w:val="0"/>
              <w:pageBreakBefore w:val="0"/>
              <w:widowControl/>
              <w:kinsoku/>
              <w:wordWrap/>
              <w:overflowPunct/>
              <w:topLinePunct w:val="0"/>
              <w:autoSpaceDE/>
              <w:autoSpaceDN/>
              <w:bidi w:val="0"/>
              <w:adjustRightInd/>
              <w:snapToGrid/>
              <w:spacing w:before="87" w:line="340" w:lineRule="exact"/>
              <w:ind w:left="111" w:right="39" w:firstLine="15"/>
              <w:textAlignment w:val="auto"/>
              <w:rPr>
                <w:rFonts w:hint="eastAsia" w:ascii="宋体" w:hAnsi="宋体" w:eastAsia="宋体" w:cs="宋体"/>
                <w:b w:val="0"/>
                <w:bCs w:val="0"/>
                <w:spacing w:val="-2"/>
                <w:sz w:val="21"/>
                <w:szCs w:val="21"/>
              </w:rPr>
            </w:pPr>
            <w:r>
              <w:rPr>
                <w:rFonts w:hint="eastAsia" w:ascii="宋体" w:hAnsi="宋体" w:eastAsia="宋体" w:cs="宋体"/>
                <w:b w:val="0"/>
                <w:bCs w:val="0"/>
                <w:spacing w:val="-2"/>
                <w:sz w:val="21"/>
                <w:szCs w:val="21"/>
                <w:lang w:val="en-US" w:eastAsia="zh-CN"/>
              </w:rPr>
              <w:t>2、</w:t>
            </w:r>
            <w:r>
              <w:rPr>
                <w:rFonts w:hint="eastAsia" w:ascii="宋体" w:hAnsi="宋体" w:eastAsia="宋体" w:cs="宋体"/>
                <w:b w:val="0"/>
                <w:bCs w:val="0"/>
                <w:spacing w:val="-2"/>
                <w:sz w:val="21"/>
                <w:szCs w:val="21"/>
              </w:rPr>
              <w:t>拟投入本项目的团队成员（项目负责人除外）：具备规划相关专业高级</w:t>
            </w:r>
            <w:r>
              <w:rPr>
                <w:rFonts w:hint="eastAsia" w:cs="宋体"/>
                <w:b w:val="0"/>
                <w:bCs w:val="0"/>
                <w:spacing w:val="-2"/>
                <w:sz w:val="21"/>
                <w:szCs w:val="21"/>
                <w:lang w:eastAsia="zh-CN"/>
              </w:rPr>
              <w:t>及以上</w:t>
            </w:r>
            <w:r>
              <w:rPr>
                <w:rFonts w:hint="eastAsia" w:ascii="宋体" w:hAnsi="宋体" w:eastAsia="宋体" w:cs="宋体"/>
                <w:b w:val="0"/>
                <w:bCs w:val="0"/>
                <w:spacing w:val="-2"/>
                <w:sz w:val="21"/>
                <w:szCs w:val="21"/>
              </w:rPr>
              <w:t>职称的，每一人计</w:t>
            </w:r>
            <w:r>
              <w:rPr>
                <w:rFonts w:hint="eastAsia" w:ascii="宋体" w:hAnsi="宋体" w:eastAsia="宋体" w:cs="宋体"/>
                <w:b w:val="0"/>
                <w:bCs w:val="0"/>
                <w:spacing w:val="-2"/>
                <w:sz w:val="21"/>
                <w:szCs w:val="21"/>
                <w:lang w:val="en-US" w:eastAsia="zh-CN"/>
              </w:rPr>
              <w:t>1</w:t>
            </w:r>
            <w:r>
              <w:rPr>
                <w:rFonts w:hint="eastAsia" w:ascii="宋体" w:hAnsi="宋体" w:eastAsia="宋体" w:cs="宋体"/>
                <w:b w:val="0"/>
                <w:bCs w:val="0"/>
                <w:spacing w:val="-2"/>
                <w:sz w:val="21"/>
                <w:szCs w:val="21"/>
              </w:rPr>
              <w:t>分；具备中级职称的，每一人计</w:t>
            </w:r>
            <w:r>
              <w:rPr>
                <w:rFonts w:hint="eastAsia" w:ascii="宋体" w:hAnsi="宋体" w:eastAsia="宋体" w:cs="宋体"/>
                <w:b w:val="0"/>
                <w:bCs w:val="0"/>
                <w:spacing w:val="-2"/>
                <w:sz w:val="21"/>
                <w:szCs w:val="21"/>
                <w:lang w:val="en-US" w:eastAsia="zh-CN"/>
              </w:rPr>
              <w:t>0.5</w:t>
            </w:r>
            <w:r>
              <w:rPr>
                <w:rFonts w:hint="eastAsia" w:ascii="宋体" w:hAnsi="宋体" w:eastAsia="宋体" w:cs="宋体"/>
                <w:b w:val="0"/>
                <w:bCs w:val="0"/>
                <w:spacing w:val="-2"/>
                <w:sz w:val="21"/>
                <w:szCs w:val="21"/>
              </w:rPr>
              <w:t>分，本项最高计</w:t>
            </w:r>
            <w:r>
              <w:rPr>
                <w:rFonts w:hint="eastAsia" w:ascii="宋体" w:hAnsi="宋体" w:eastAsia="宋体" w:cs="宋体"/>
                <w:b w:val="0"/>
                <w:bCs w:val="0"/>
                <w:spacing w:val="-2"/>
                <w:sz w:val="21"/>
                <w:szCs w:val="21"/>
                <w:lang w:val="en-US" w:eastAsia="zh-CN"/>
              </w:rPr>
              <w:t>9</w:t>
            </w:r>
            <w:r>
              <w:rPr>
                <w:rFonts w:hint="eastAsia" w:ascii="宋体" w:hAnsi="宋体" w:eastAsia="宋体" w:cs="宋体"/>
                <w:b w:val="0"/>
                <w:bCs w:val="0"/>
                <w:spacing w:val="-2"/>
                <w:sz w:val="21"/>
                <w:szCs w:val="21"/>
              </w:rPr>
              <w:t xml:space="preserve">分。 </w:t>
            </w:r>
          </w:p>
          <w:p w14:paraId="3ABA9507">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spacing w:val="-3"/>
                <w:sz w:val="21"/>
                <w:szCs w:val="21"/>
                <w:lang w:val="en-US" w:eastAsia="zh-CN"/>
              </w:rPr>
              <w:t>同一人员不重复计分，</w:t>
            </w:r>
            <w:r>
              <w:rPr>
                <w:rFonts w:hint="eastAsia" w:ascii="宋体" w:hAnsi="宋体" w:cs="宋体"/>
                <w:b/>
                <w:bCs/>
                <w:spacing w:val="-3"/>
                <w:sz w:val="21"/>
                <w:szCs w:val="21"/>
                <w:lang w:val="en-US" w:eastAsia="zh-CN"/>
              </w:rPr>
              <w:t>响应</w:t>
            </w:r>
            <w:r>
              <w:rPr>
                <w:rFonts w:hint="eastAsia" w:ascii="宋体" w:hAnsi="宋体" w:eastAsia="宋体" w:cs="宋体"/>
                <w:b/>
                <w:bCs/>
                <w:spacing w:val="-3"/>
                <w:sz w:val="21"/>
                <w:szCs w:val="21"/>
                <w:lang w:val="en-US" w:eastAsia="zh-CN"/>
              </w:rPr>
              <w:t>文件</w:t>
            </w:r>
            <w:r>
              <w:rPr>
                <w:rFonts w:hint="eastAsia" w:ascii="宋体" w:hAnsi="宋体" w:eastAsia="宋体" w:cs="宋体"/>
                <w:b/>
                <w:bCs/>
                <w:spacing w:val="-2"/>
                <w:sz w:val="21"/>
                <w:szCs w:val="21"/>
                <w:lang w:val="en-US" w:eastAsia="zh-CN"/>
              </w:rPr>
              <w:t>中需附人员证书扫描件和截止时间前3个月的参保证明</w:t>
            </w:r>
            <w:r>
              <w:rPr>
                <w:rFonts w:hint="eastAsia" w:ascii="宋体" w:hAnsi="宋体" w:cs="宋体"/>
                <w:b/>
                <w:bCs/>
                <w:spacing w:val="-2"/>
                <w:sz w:val="21"/>
                <w:szCs w:val="21"/>
                <w:lang w:val="en-US" w:eastAsia="zh-CN"/>
              </w:rPr>
              <w:t>，</w:t>
            </w:r>
            <w:r>
              <w:rPr>
                <w:rFonts w:hint="eastAsia" w:ascii="宋体" w:hAnsi="宋体" w:eastAsia="宋体" w:cs="宋体"/>
                <w:b/>
                <w:bCs/>
                <w:spacing w:val="-1"/>
                <w:sz w:val="21"/>
                <w:szCs w:val="21"/>
              </w:rPr>
              <w:t>否则不计分</w:t>
            </w:r>
            <w:r>
              <w:rPr>
                <w:rFonts w:hint="eastAsia" w:ascii="宋体" w:hAnsi="宋体" w:eastAsia="宋体" w:cs="宋体"/>
                <w:b/>
                <w:bCs/>
                <w:spacing w:val="-2"/>
                <w:sz w:val="21"/>
                <w:szCs w:val="21"/>
                <w:lang w:val="en-US" w:eastAsia="zh-CN"/>
              </w:rPr>
              <w:t>。</w:t>
            </w:r>
          </w:p>
        </w:tc>
        <w:tc>
          <w:tcPr>
            <w:tcW w:w="629" w:type="dxa"/>
            <w:tcBorders>
              <w:tl2br w:val="nil"/>
              <w:tr2bl w:val="nil"/>
            </w:tcBorders>
            <w:shd w:val="clear" w:color="auto" w:fill="auto"/>
            <w:vAlign w:val="center"/>
          </w:tcPr>
          <w:p w14:paraId="22432C3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lang w:val="en-US" w:eastAsia="zh-CN"/>
              </w:rPr>
              <w:t>17</w:t>
            </w:r>
          </w:p>
        </w:tc>
      </w:tr>
      <w:tr w14:paraId="2E52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50" w:type="dxa"/>
            <w:vMerge w:val="continue"/>
            <w:tcBorders>
              <w:tl2br w:val="nil"/>
              <w:tr2bl w:val="nil"/>
            </w:tcBorders>
            <w:vAlign w:val="center"/>
          </w:tcPr>
          <w:p w14:paraId="3F752AF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lang w:val="en-US" w:eastAsia="zh-CN"/>
              </w:rPr>
            </w:pPr>
          </w:p>
        </w:tc>
        <w:tc>
          <w:tcPr>
            <w:tcW w:w="1321" w:type="dxa"/>
            <w:tcBorders>
              <w:tl2br w:val="nil"/>
              <w:tr2bl w:val="nil"/>
            </w:tcBorders>
            <w:shd w:val="clear" w:color="auto" w:fill="auto"/>
            <w:vAlign w:val="center"/>
          </w:tcPr>
          <w:p w14:paraId="092848F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pacing w:val="-2"/>
                <w:sz w:val="21"/>
                <w:szCs w:val="21"/>
              </w:rPr>
              <w:t>综合实力</w:t>
            </w:r>
          </w:p>
        </w:tc>
        <w:tc>
          <w:tcPr>
            <w:tcW w:w="6870" w:type="dxa"/>
            <w:tcBorders>
              <w:tl2br w:val="nil"/>
              <w:tr2bl w:val="nil"/>
            </w:tcBorders>
            <w:shd w:val="clear" w:color="auto" w:fill="auto"/>
            <w:vAlign w:val="top"/>
          </w:tcPr>
          <w:p w14:paraId="5E5B7E07">
            <w:pPr>
              <w:pStyle w:val="76"/>
              <w:keepNext w:val="0"/>
              <w:keepLines w:val="0"/>
              <w:pageBreakBefore w:val="0"/>
              <w:widowControl/>
              <w:kinsoku/>
              <w:wordWrap/>
              <w:overflowPunct/>
              <w:topLinePunct w:val="0"/>
              <w:autoSpaceDE/>
              <w:autoSpaceDN/>
              <w:bidi w:val="0"/>
              <w:adjustRightInd/>
              <w:snapToGrid/>
              <w:spacing w:before="83" w:line="340" w:lineRule="exact"/>
              <w:ind w:left="111" w:right="114" w:firstLine="15"/>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cs="宋体"/>
                <w:b w:val="0"/>
                <w:bCs w:val="0"/>
                <w:sz w:val="21"/>
                <w:szCs w:val="21"/>
                <w:lang w:eastAsia="zh-CN"/>
              </w:rPr>
              <w:t>供应商</w:t>
            </w:r>
            <w:r>
              <w:rPr>
                <w:rFonts w:hint="eastAsia" w:ascii="宋体" w:hAnsi="宋体" w:eastAsia="宋体" w:cs="宋体"/>
                <w:b w:val="0"/>
                <w:bCs w:val="0"/>
                <w:sz w:val="21"/>
                <w:szCs w:val="21"/>
              </w:rPr>
              <w:t>具有</w:t>
            </w:r>
            <w:r>
              <w:rPr>
                <w:rFonts w:hint="eastAsia" w:cs="宋体"/>
                <w:b w:val="0"/>
                <w:bCs w:val="0"/>
                <w:sz w:val="21"/>
                <w:szCs w:val="21"/>
                <w:lang w:eastAsia="zh-CN"/>
              </w:rPr>
              <w:t>有效的</w:t>
            </w:r>
            <w:r>
              <w:rPr>
                <w:rFonts w:hint="eastAsia" w:ascii="宋体" w:hAnsi="宋体" w:eastAsia="宋体" w:cs="宋体"/>
                <w:b w:val="0"/>
                <w:bCs w:val="0"/>
                <w:spacing w:val="1"/>
                <w:sz w:val="21"/>
                <w:szCs w:val="21"/>
              </w:rPr>
              <w:t>信息安全管理体系认证</w:t>
            </w:r>
            <w:r>
              <w:rPr>
                <w:rFonts w:hint="eastAsia" w:cs="宋体"/>
                <w:b w:val="0"/>
                <w:bCs w:val="0"/>
                <w:spacing w:val="-3"/>
                <w:sz w:val="21"/>
                <w:szCs w:val="21"/>
                <w:lang w:eastAsia="zh-CN"/>
              </w:rPr>
              <w:t>的</w:t>
            </w:r>
            <w:r>
              <w:rPr>
                <w:rFonts w:hint="eastAsia" w:ascii="宋体" w:hAnsi="宋体" w:eastAsia="宋体" w:cs="宋体"/>
                <w:b w:val="0"/>
                <w:bCs w:val="0"/>
                <w:spacing w:val="-4"/>
                <w:sz w:val="21"/>
                <w:szCs w:val="21"/>
                <w:lang w:val="en-US" w:eastAsia="zh-CN"/>
              </w:rPr>
              <w:t>计</w:t>
            </w:r>
            <w:r>
              <w:rPr>
                <w:rFonts w:hint="eastAsia" w:cs="宋体"/>
                <w:b w:val="0"/>
                <w:bCs w:val="0"/>
                <w:spacing w:val="-4"/>
                <w:sz w:val="21"/>
                <w:szCs w:val="21"/>
                <w:lang w:val="en-US" w:eastAsia="zh-CN"/>
              </w:rPr>
              <w:t>2</w:t>
            </w:r>
            <w:r>
              <w:rPr>
                <w:rFonts w:hint="eastAsia" w:ascii="宋体" w:hAnsi="宋体" w:eastAsia="宋体" w:cs="宋体"/>
                <w:b w:val="0"/>
                <w:bCs w:val="0"/>
                <w:spacing w:val="-4"/>
                <w:sz w:val="21"/>
                <w:szCs w:val="21"/>
                <w:lang w:val="en-US" w:eastAsia="zh-CN"/>
              </w:rPr>
              <w:t>分</w:t>
            </w:r>
            <w:r>
              <w:rPr>
                <w:rFonts w:hint="eastAsia" w:ascii="宋体" w:hAnsi="宋体" w:eastAsia="宋体" w:cs="宋体"/>
                <w:b w:val="0"/>
                <w:bCs w:val="0"/>
                <w:spacing w:val="-7"/>
                <w:sz w:val="21"/>
                <w:szCs w:val="21"/>
              </w:rPr>
              <w:t>。</w:t>
            </w:r>
          </w:p>
          <w:p w14:paraId="00712BE2">
            <w:pPr>
              <w:pStyle w:val="76"/>
              <w:keepNext w:val="0"/>
              <w:keepLines w:val="0"/>
              <w:pageBreakBefore w:val="0"/>
              <w:widowControl/>
              <w:kinsoku/>
              <w:wordWrap/>
              <w:overflowPunct/>
              <w:topLinePunct w:val="0"/>
              <w:autoSpaceDE/>
              <w:autoSpaceDN/>
              <w:bidi w:val="0"/>
              <w:adjustRightInd/>
              <w:snapToGrid/>
              <w:spacing w:line="340" w:lineRule="exact"/>
              <w:ind w:left="111" w:right="114" w:firstLine="4"/>
              <w:textAlignment w:val="auto"/>
              <w:rPr>
                <w:rFonts w:hint="eastAsia" w:ascii="宋体" w:hAnsi="宋体" w:eastAsia="宋体" w:cs="宋体"/>
                <w:b w:val="0"/>
                <w:bCs w:val="0"/>
                <w:sz w:val="21"/>
                <w:szCs w:val="21"/>
              </w:rPr>
            </w:pPr>
            <w:r>
              <w:rPr>
                <w:rFonts w:hint="eastAsia" w:ascii="宋体" w:hAnsi="宋体" w:eastAsia="宋体" w:cs="宋体"/>
                <w:b w:val="0"/>
                <w:bCs w:val="0"/>
                <w:spacing w:val="1"/>
                <w:sz w:val="21"/>
                <w:szCs w:val="21"/>
              </w:rPr>
              <w:t>2、</w:t>
            </w:r>
            <w:r>
              <w:rPr>
                <w:rFonts w:hint="eastAsia" w:cs="宋体"/>
                <w:b w:val="0"/>
                <w:bCs w:val="0"/>
                <w:spacing w:val="1"/>
                <w:sz w:val="21"/>
                <w:szCs w:val="21"/>
                <w:lang w:eastAsia="zh-CN"/>
              </w:rPr>
              <w:t>供应商</w:t>
            </w:r>
            <w:r>
              <w:rPr>
                <w:rFonts w:hint="eastAsia" w:ascii="宋体" w:hAnsi="宋体" w:eastAsia="宋体" w:cs="宋体"/>
                <w:b w:val="0"/>
                <w:bCs w:val="0"/>
                <w:spacing w:val="1"/>
                <w:sz w:val="21"/>
                <w:szCs w:val="21"/>
              </w:rPr>
              <w:t>具有国土空间规划、实景三维辅助规划</w:t>
            </w:r>
            <w:r>
              <w:rPr>
                <w:rFonts w:hint="eastAsia" w:ascii="宋体" w:hAnsi="宋体" w:eastAsia="宋体" w:cs="宋体"/>
                <w:b w:val="0"/>
                <w:bCs w:val="0"/>
                <w:spacing w:val="-4"/>
                <w:sz w:val="21"/>
                <w:szCs w:val="21"/>
              </w:rPr>
              <w:t>相关计算机软件著作权证书，每有一个计</w:t>
            </w:r>
            <w:r>
              <w:rPr>
                <w:rFonts w:hint="eastAsia" w:cs="宋体"/>
                <w:b w:val="0"/>
                <w:bCs w:val="0"/>
                <w:spacing w:val="-39"/>
                <w:sz w:val="21"/>
                <w:szCs w:val="21"/>
                <w:lang w:val="en-US" w:eastAsia="zh-CN"/>
              </w:rPr>
              <w:t>3</w:t>
            </w:r>
            <w:r>
              <w:rPr>
                <w:rFonts w:hint="eastAsia" w:ascii="宋体" w:hAnsi="宋体" w:eastAsia="宋体" w:cs="宋体"/>
                <w:b w:val="0"/>
                <w:bCs w:val="0"/>
                <w:spacing w:val="-4"/>
                <w:sz w:val="21"/>
                <w:szCs w:val="21"/>
              </w:rPr>
              <w:t>分，最</w:t>
            </w:r>
            <w:r>
              <w:rPr>
                <w:rFonts w:hint="eastAsia" w:ascii="宋体" w:hAnsi="宋体" w:eastAsia="宋体" w:cs="宋体"/>
                <w:b w:val="0"/>
                <w:bCs w:val="0"/>
                <w:spacing w:val="-9"/>
                <w:sz w:val="21"/>
                <w:szCs w:val="21"/>
              </w:rPr>
              <w:t>高计</w:t>
            </w:r>
            <w:r>
              <w:rPr>
                <w:rFonts w:hint="eastAsia" w:cs="宋体"/>
                <w:b w:val="0"/>
                <w:bCs w:val="0"/>
                <w:spacing w:val="-24"/>
                <w:sz w:val="21"/>
                <w:szCs w:val="21"/>
                <w:lang w:val="en-US" w:eastAsia="zh-CN"/>
              </w:rPr>
              <w:t>6</w:t>
            </w:r>
            <w:r>
              <w:rPr>
                <w:rFonts w:hint="eastAsia" w:ascii="宋体" w:hAnsi="宋体" w:eastAsia="宋体" w:cs="宋体"/>
                <w:b w:val="0"/>
                <w:bCs w:val="0"/>
                <w:spacing w:val="-9"/>
                <w:sz w:val="21"/>
                <w:szCs w:val="21"/>
              </w:rPr>
              <w:t>分。</w:t>
            </w:r>
          </w:p>
          <w:p w14:paraId="79D9D77F">
            <w:pPr>
              <w:pStyle w:val="76"/>
              <w:keepNext w:val="0"/>
              <w:keepLines w:val="0"/>
              <w:pageBreakBefore w:val="0"/>
              <w:widowControl/>
              <w:kinsoku/>
              <w:wordWrap/>
              <w:overflowPunct/>
              <w:topLinePunct w:val="0"/>
              <w:autoSpaceDE/>
              <w:autoSpaceDN/>
              <w:bidi w:val="0"/>
              <w:adjustRightInd/>
              <w:snapToGrid/>
              <w:spacing w:before="2" w:line="340" w:lineRule="exact"/>
              <w:ind w:left="114" w:leftChars="0" w:right="114" w:rightChars="0" w:hanging="3"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spacing w:val="-3"/>
                <w:sz w:val="21"/>
                <w:szCs w:val="21"/>
              </w:rPr>
              <w:t>提供相关证书扫描件并加盖</w:t>
            </w:r>
            <w:r>
              <w:rPr>
                <w:rFonts w:hint="eastAsia" w:cs="宋体"/>
                <w:b/>
                <w:bCs/>
                <w:spacing w:val="-3"/>
                <w:sz w:val="21"/>
                <w:szCs w:val="21"/>
                <w:lang w:eastAsia="zh-CN"/>
              </w:rPr>
              <w:t>供应商</w:t>
            </w:r>
            <w:r>
              <w:rPr>
                <w:rFonts w:hint="eastAsia" w:ascii="宋体" w:hAnsi="宋体" w:eastAsia="宋体" w:cs="宋体"/>
                <w:b/>
                <w:bCs/>
                <w:spacing w:val="-3"/>
                <w:sz w:val="21"/>
                <w:szCs w:val="21"/>
              </w:rPr>
              <w:t>公章，</w:t>
            </w:r>
            <w:r>
              <w:rPr>
                <w:rFonts w:hint="eastAsia" w:ascii="宋体" w:hAnsi="宋体" w:eastAsia="宋体" w:cs="宋体"/>
                <w:b/>
                <w:bCs/>
                <w:spacing w:val="-4"/>
                <w:sz w:val="21"/>
                <w:szCs w:val="21"/>
              </w:rPr>
              <w:t>否则</w:t>
            </w:r>
            <w:r>
              <w:rPr>
                <w:rFonts w:hint="eastAsia" w:ascii="宋体" w:hAnsi="宋体" w:eastAsia="宋体" w:cs="宋体"/>
                <w:b/>
                <w:bCs/>
                <w:spacing w:val="-8"/>
                <w:sz w:val="21"/>
                <w:szCs w:val="21"/>
              </w:rPr>
              <w:t>不计分。</w:t>
            </w:r>
          </w:p>
        </w:tc>
        <w:tc>
          <w:tcPr>
            <w:tcW w:w="629" w:type="dxa"/>
            <w:tcBorders>
              <w:tl2br w:val="nil"/>
              <w:tr2bl w:val="nil"/>
            </w:tcBorders>
            <w:shd w:val="clear" w:color="auto" w:fill="auto"/>
            <w:vAlign w:val="center"/>
          </w:tcPr>
          <w:p w14:paraId="30E7372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lang w:val="en-US" w:eastAsia="zh-CN"/>
              </w:rPr>
              <w:t>8</w:t>
            </w:r>
          </w:p>
        </w:tc>
      </w:tr>
      <w:tr w14:paraId="56B9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570" w:type="dxa"/>
            <w:gridSpan w:val="4"/>
            <w:tcBorders>
              <w:tl2br w:val="nil"/>
              <w:tr2bl w:val="nil"/>
            </w:tcBorders>
            <w:vAlign w:val="center"/>
          </w:tcPr>
          <w:p w14:paraId="207FD32D">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技术</w:t>
            </w:r>
            <w:r>
              <w:rPr>
                <w:rFonts w:hint="eastAsia" w:ascii="宋体" w:hAnsi="宋体" w:eastAsia="宋体" w:cs="宋体"/>
                <w:b w:val="0"/>
                <w:bCs w:val="0"/>
                <w:color w:val="auto"/>
                <w:kern w:val="0"/>
                <w:sz w:val="21"/>
                <w:szCs w:val="21"/>
                <w:lang w:val="en-US" w:eastAsia="zh-CN"/>
              </w:rPr>
              <w:t>部分</w:t>
            </w:r>
            <w:r>
              <w:rPr>
                <w:rFonts w:hint="eastAsia" w:ascii="宋体" w:hAnsi="宋体" w:eastAsia="宋体" w:cs="宋体"/>
                <w:b w:val="0"/>
                <w:bCs w:val="0"/>
                <w:color w:val="auto"/>
                <w:kern w:val="0"/>
                <w:sz w:val="21"/>
                <w:szCs w:val="21"/>
              </w:rPr>
              <w:t>（</w:t>
            </w:r>
            <w:r>
              <w:rPr>
                <w:rFonts w:hint="eastAsia" w:ascii="宋体" w:hAnsi="宋体" w:cs="宋体"/>
                <w:b w:val="0"/>
                <w:bCs w:val="0"/>
                <w:color w:val="auto"/>
                <w:kern w:val="0"/>
                <w:sz w:val="21"/>
                <w:szCs w:val="21"/>
                <w:lang w:val="en-US" w:eastAsia="zh-CN"/>
              </w:rPr>
              <w:t>50</w:t>
            </w:r>
            <w:r>
              <w:rPr>
                <w:rFonts w:hint="eastAsia" w:ascii="宋体" w:hAnsi="宋体" w:eastAsia="宋体" w:cs="宋体"/>
                <w:b w:val="0"/>
                <w:bCs w:val="0"/>
                <w:color w:val="auto"/>
                <w:kern w:val="0"/>
                <w:sz w:val="21"/>
                <w:szCs w:val="21"/>
              </w:rPr>
              <w:t>分）</w:t>
            </w:r>
          </w:p>
        </w:tc>
      </w:tr>
      <w:tr w14:paraId="6DC9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restart"/>
            <w:tcBorders>
              <w:tl2br w:val="nil"/>
              <w:tr2bl w:val="nil"/>
            </w:tcBorders>
            <w:vAlign w:val="center"/>
          </w:tcPr>
          <w:p w14:paraId="13C5067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三</w:t>
            </w:r>
          </w:p>
        </w:tc>
        <w:tc>
          <w:tcPr>
            <w:tcW w:w="1321" w:type="dxa"/>
            <w:tcBorders>
              <w:tl2br w:val="nil"/>
              <w:tr2bl w:val="nil"/>
            </w:tcBorders>
            <w:shd w:val="clear" w:color="auto" w:fill="auto"/>
            <w:vAlign w:val="center"/>
          </w:tcPr>
          <w:p w14:paraId="4DAF034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rPr>
              <w:t>对项目整体需求的理解</w:t>
            </w:r>
          </w:p>
        </w:tc>
        <w:tc>
          <w:tcPr>
            <w:tcW w:w="6870" w:type="dxa"/>
            <w:tcBorders>
              <w:tl2br w:val="nil"/>
              <w:tr2bl w:val="nil"/>
            </w:tcBorders>
            <w:shd w:val="clear" w:color="auto" w:fill="auto"/>
            <w:vAlign w:val="center"/>
          </w:tcPr>
          <w:p w14:paraId="47595B16">
            <w:pPr>
              <w:pStyle w:val="75"/>
              <w:keepNext w:val="0"/>
              <w:keepLines w:val="0"/>
              <w:pageBreakBefore w:val="0"/>
              <w:widowControl/>
              <w:kinsoku/>
              <w:wordWrap/>
              <w:overflowPunct/>
              <w:topLinePunct w:val="0"/>
              <w:autoSpaceDE/>
              <w:autoSpaceDN/>
              <w:bidi w:val="0"/>
              <w:adjustRightInd/>
              <w:snapToGrid/>
              <w:spacing w:before="52" w:line="340" w:lineRule="exact"/>
              <w:ind w:right="19"/>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根据本项目采购需求的实际情况，对项目整体需求的理解</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包括但不限于从背景、工作任务、</w:t>
            </w:r>
            <w:r>
              <w:rPr>
                <w:rFonts w:hint="eastAsia" w:ascii="宋体" w:hAnsi="宋体" w:eastAsia="宋体" w:cs="宋体"/>
                <w:b w:val="0"/>
                <w:bCs w:val="0"/>
                <w:color w:val="auto"/>
                <w:sz w:val="21"/>
                <w:szCs w:val="21"/>
                <w:lang w:val="en-US" w:eastAsia="zh-CN"/>
              </w:rPr>
              <w:t>现状分析、</w:t>
            </w:r>
            <w:r>
              <w:rPr>
                <w:rFonts w:hint="eastAsia" w:ascii="宋体" w:hAnsi="宋体" w:eastAsia="宋体" w:cs="宋体"/>
                <w:b w:val="0"/>
                <w:bCs w:val="0"/>
                <w:color w:val="auto"/>
                <w:sz w:val="21"/>
                <w:szCs w:val="21"/>
              </w:rPr>
              <w:t>服务要求等方面。对项目整体需要的理解透彻、阐述内容完善、切合实际且科学合理的，计</w:t>
            </w:r>
            <w:r>
              <w:rPr>
                <w:rFonts w:hint="eastAsia" w:ascii="宋体" w:hAnsi="宋体" w:cs="宋体"/>
                <w:b w:val="0"/>
                <w:bCs w:val="0"/>
                <w:color w:val="auto"/>
                <w:sz w:val="21"/>
                <w:szCs w:val="21"/>
                <w:lang w:val="en-US" w:eastAsia="zh-CN"/>
              </w:rPr>
              <w:t>10</w:t>
            </w:r>
            <w:r>
              <w:rPr>
                <w:rFonts w:hint="eastAsia" w:ascii="宋体" w:hAnsi="宋体" w:eastAsia="宋体" w:cs="宋体"/>
                <w:b w:val="0"/>
                <w:bCs w:val="0"/>
                <w:color w:val="auto"/>
                <w:sz w:val="21"/>
                <w:szCs w:val="21"/>
              </w:rPr>
              <w:t>分；</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2.5</w:t>
            </w:r>
            <w:r>
              <w:rPr>
                <w:rFonts w:hint="eastAsia" w:ascii="宋体" w:hAnsi="宋体" w:eastAsia="宋体" w:cs="宋体"/>
              </w:rPr>
              <w:t>分</w:t>
            </w:r>
            <w:r>
              <w:rPr>
                <w:rFonts w:hint="eastAsia" w:ascii="宋体" w:hAnsi="宋体" w:eastAsia="宋体" w:cs="宋体"/>
                <w:b w:val="0"/>
                <w:bCs w:val="0"/>
                <w:color w:val="auto"/>
                <w:sz w:val="21"/>
                <w:szCs w:val="21"/>
              </w:rPr>
              <w:t>，扣完为止</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未提供不计分。</w:t>
            </w:r>
          </w:p>
          <w:p w14:paraId="17CF3B72">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rPr>
              <w:t>【注：欠合理指内容逻辑混乱、存在科学原理错误以及内容过于简单无实质性内容等情况;欠完整指内容具有明显缺陷，存在逻辑漏洞、前后内容无法连贯</w:t>
            </w:r>
            <w:r>
              <w:rPr>
                <w:rFonts w:hint="eastAsia" w:ascii="宋体" w:hAnsi="宋体" w:eastAsia="宋体" w:cs="宋体"/>
                <w:lang w:eastAsia="zh-CN"/>
              </w:rPr>
              <w:t>；</w:t>
            </w:r>
            <w:r>
              <w:rPr>
                <w:rFonts w:hint="eastAsia" w:ascii="宋体" w:hAnsi="宋体" w:eastAsia="宋体" w:cs="宋体"/>
              </w:rPr>
              <w:t>不符合项目实际情况指内容脱离了实际情况，不具备实施的可能性以及涉及的规范、标准与本项目要求不一致等情形。</w:t>
            </w:r>
            <w:r>
              <w:rPr>
                <w:rFonts w:hint="eastAsia" w:ascii="宋体" w:hAnsi="宋体" w:eastAsia="宋体" w:cs="宋体"/>
                <w:lang w:eastAsia="zh-CN"/>
              </w:rPr>
              <w:t>下同</w:t>
            </w:r>
            <w:r>
              <w:rPr>
                <w:rFonts w:hint="eastAsia" w:ascii="宋体" w:hAnsi="宋体" w:eastAsia="宋体" w:cs="宋体"/>
              </w:rPr>
              <w:t>】</w:t>
            </w:r>
          </w:p>
        </w:tc>
        <w:tc>
          <w:tcPr>
            <w:tcW w:w="629" w:type="dxa"/>
            <w:tcBorders>
              <w:tl2br w:val="nil"/>
              <w:tr2bl w:val="nil"/>
            </w:tcBorders>
            <w:vAlign w:val="center"/>
          </w:tcPr>
          <w:p w14:paraId="7D3BE56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10</w:t>
            </w:r>
          </w:p>
        </w:tc>
      </w:tr>
      <w:tr w14:paraId="0ED3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continue"/>
            <w:tcBorders>
              <w:tl2br w:val="nil"/>
              <w:tr2bl w:val="nil"/>
            </w:tcBorders>
            <w:vAlign w:val="center"/>
          </w:tcPr>
          <w:p w14:paraId="3251024D">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p>
        </w:tc>
        <w:tc>
          <w:tcPr>
            <w:tcW w:w="1321" w:type="dxa"/>
            <w:tcBorders>
              <w:tl2br w:val="nil"/>
              <w:tr2bl w:val="nil"/>
            </w:tcBorders>
            <w:shd w:val="clear" w:color="auto" w:fill="auto"/>
            <w:vAlign w:val="center"/>
          </w:tcPr>
          <w:p w14:paraId="089914D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rPr>
              <w:t>技术路线与方法</w:t>
            </w:r>
          </w:p>
        </w:tc>
        <w:tc>
          <w:tcPr>
            <w:tcW w:w="6870" w:type="dxa"/>
            <w:tcBorders>
              <w:tl2br w:val="nil"/>
              <w:tr2bl w:val="nil"/>
            </w:tcBorders>
            <w:shd w:val="clear" w:color="auto" w:fill="auto"/>
            <w:vAlign w:val="center"/>
          </w:tcPr>
          <w:p w14:paraId="5027451C">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根据</w:t>
            </w:r>
            <w:r>
              <w:rPr>
                <w:rFonts w:hint="eastAsia" w:ascii="宋体" w:hAnsi="宋体" w:eastAsia="宋体" w:cs="宋体"/>
                <w:b w:val="0"/>
                <w:bCs w:val="0"/>
                <w:color w:val="auto"/>
                <w:sz w:val="21"/>
                <w:szCs w:val="21"/>
                <w:lang w:val="zh-CN" w:bidi="zh-CN"/>
              </w:rPr>
              <w:t>本项目采购需求的实际情况，提出的技术路线与方法</w:t>
            </w:r>
            <w:r>
              <w:rPr>
                <w:rFonts w:hint="eastAsia" w:ascii="宋体" w:hAnsi="宋体" w:eastAsia="宋体" w:cs="宋体"/>
                <w:b w:val="0"/>
                <w:bCs w:val="0"/>
                <w:color w:val="auto"/>
                <w:sz w:val="21"/>
                <w:szCs w:val="21"/>
              </w:rPr>
              <w:t>包括但不限于从技术规范、工作流程等方面。技术路线与方法</w:t>
            </w:r>
            <w:r>
              <w:rPr>
                <w:rFonts w:hint="eastAsia" w:ascii="宋体" w:hAnsi="宋体" w:eastAsia="宋体" w:cs="宋体"/>
                <w:b w:val="0"/>
                <w:bCs w:val="0"/>
                <w:color w:val="auto"/>
                <w:sz w:val="21"/>
                <w:szCs w:val="21"/>
                <w:lang w:val="zh-CN" w:bidi="zh-CN"/>
              </w:rPr>
              <w:t>先进、合理、完整，思路清晰，符合现行国家、省、市相关标准和规范，任务和目标完全满足用户要求的，计</w:t>
            </w:r>
            <w:r>
              <w:rPr>
                <w:rFonts w:hint="eastAsia" w:ascii="宋体" w:hAnsi="宋体" w:cs="宋体"/>
                <w:b w:val="0"/>
                <w:bCs w:val="0"/>
                <w:color w:val="auto"/>
                <w:sz w:val="21"/>
                <w:szCs w:val="21"/>
                <w:lang w:val="en-US" w:bidi="zh-CN"/>
              </w:rPr>
              <w:t>12</w:t>
            </w:r>
            <w:r>
              <w:rPr>
                <w:rFonts w:hint="eastAsia" w:ascii="宋体" w:hAnsi="宋体" w:eastAsia="宋体" w:cs="宋体"/>
                <w:b w:val="0"/>
                <w:bCs w:val="0"/>
                <w:color w:val="auto"/>
                <w:sz w:val="21"/>
                <w:szCs w:val="21"/>
                <w:lang w:val="zh-CN" w:bidi="zh-CN"/>
              </w:rPr>
              <w:t>分；技术路线与方法</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3</w:t>
            </w:r>
            <w:r>
              <w:rPr>
                <w:rFonts w:hint="eastAsia" w:ascii="宋体" w:hAnsi="宋体" w:eastAsia="宋体" w:cs="宋体"/>
              </w:rPr>
              <w:t>分</w:t>
            </w:r>
            <w:r>
              <w:rPr>
                <w:rFonts w:hint="eastAsia" w:ascii="宋体" w:hAnsi="宋体" w:eastAsia="宋体" w:cs="宋体"/>
                <w:b w:val="0"/>
                <w:bCs w:val="0"/>
                <w:color w:val="auto"/>
                <w:sz w:val="21"/>
                <w:szCs w:val="21"/>
                <w:lang w:val="zh-CN" w:bidi="zh-CN"/>
              </w:rPr>
              <w:t>，</w:t>
            </w:r>
            <w:r>
              <w:rPr>
                <w:rFonts w:hint="eastAsia" w:ascii="宋体" w:hAnsi="宋体" w:eastAsia="宋体" w:cs="宋体"/>
                <w:b w:val="0"/>
                <w:bCs w:val="0"/>
                <w:color w:val="auto"/>
                <w:sz w:val="21"/>
                <w:szCs w:val="21"/>
              </w:rPr>
              <w:t>扣完为止</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lang w:val="zh-CN" w:bidi="zh-CN"/>
              </w:rPr>
              <w:t>未提供不计分。</w:t>
            </w:r>
          </w:p>
        </w:tc>
        <w:tc>
          <w:tcPr>
            <w:tcW w:w="629" w:type="dxa"/>
            <w:tcBorders>
              <w:tl2br w:val="nil"/>
              <w:tr2bl w:val="nil"/>
            </w:tcBorders>
            <w:vAlign w:val="center"/>
          </w:tcPr>
          <w:p w14:paraId="03F3E71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12</w:t>
            </w:r>
          </w:p>
        </w:tc>
      </w:tr>
      <w:tr w14:paraId="15C0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continue"/>
            <w:tcBorders>
              <w:tl2br w:val="nil"/>
              <w:tr2bl w:val="nil"/>
            </w:tcBorders>
            <w:vAlign w:val="center"/>
          </w:tcPr>
          <w:p w14:paraId="2AFE97C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p>
        </w:tc>
        <w:tc>
          <w:tcPr>
            <w:tcW w:w="1321" w:type="dxa"/>
            <w:tcBorders>
              <w:tl2br w:val="nil"/>
              <w:tr2bl w:val="nil"/>
            </w:tcBorders>
            <w:shd w:val="clear" w:color="auto" w:fill="auto"/>
            <w:vAlign w:val="center"/>
          </w:tcPr>
          <w:p w14:paraId="602DD81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2"/>
                <w:sz w:val="21"/>
                <w:szCs w:val="21"/>
                <w:lang w:val="en-US" w:eastAsia="zh-CN" w:bidi="ar-SA"/>
              </w:rPr>
              <w:t>重难点分析</w:t>
            </w:r>
          </w:p>
        </w:tc>
        <w:tc>
          <w:tcPr>
            <w:tcW w:w="6870" w:type="dxa"/>
            <w:tcBorders>
              <w:tl2br w:val="nil"/>
              <w:tr2bl w:val="nil"/>
            </w:tcBorders>
            <w:shd w:val="clear" w:color="auto" w:fill="auto"/>
            <w:vAlign w:val="center"/>
          </w:tcPr>
          <w:p w14:paraId="060538CF">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eastAsia="zh-CN"/>
              </w:rPr>
              <w:t>供应商</w:t>
            </w:r>
            <w:r>
              <w:rPr>
                <w:rFonts w:hint="eastAsia" w:ascii="宋体" w:hAnsi="宋体" w:eastAsia="宋体" w:cs="宋体"/>
                <w:b w:val="0"/>
                <w:bCs w:val="0"/>
                <w:color w:val="auto"/>
                <w:sz w:val="21"/>
                <w:szCs w:val="21"/>
              </w:rPr>
              <w:t>根据项目</w:t>
            </w:r>
            <w:r>
              <w:rPr>
                <w:rFonts w:hint="eastAsia" w:ascii="宋体" w:hAnsi="宋体" w:eastAsia="宋体" w:cs="宋体"/>
                <w:b w:val="0"/>
                <w:bCs w:val="0"/>
                <w:color w:val="auto"/>
                <w:sz w:val="21"/>
                <w:szCs w:val="21"/>
                <w:lang w:val="en-US" w:eastAsia="zh-CN"/>
              </w:rPr>
              <w:t>要求</w:t>
            </w:r>
            <w:r>
              <w:rPr>
                <w:rFonts w:hint="eastAsia" w:ascii="宋体" w:hAnsi="宋体" w:eastAsia="宋体" w:cs="宋体"/>
                <w:b w:val="0"/>
                <w:bCs w:val="0"/>
                <w:color w:val="auto"/>
                <w:sz w:val="21"/>
                <w:szCs w:val="21"/>
              </w:rPr>
              <w:t>，结合实际情况能充分理解本次</w:t>
            </w:r>
            <w:r>
              <w:rPr>
                <w:rFonts w:hint="eastAsia" w:ascii="宋体" w:hAnsi="宋体" w:eastAsia="宋体" w:cs="宋体"/>
                <w:b w:val="0"/>
                <w:bCs w:val="0"/>
                <w:color w:val="auto"/>
                <w:sz w:val="21"/>
                <w:szCs w:val="21"/>
                <w:lang w:val="en-US" w:eastAsia="zh-CN"/>
              </w:rPr>
              <w:t>工作</w:t>
            </w:r>
            <w:r>
              <w:rPr>
                <w:rFonts w:hint="eastAsia" w:ascii="宋体" w:hAnsi="宋体" w:eastAsia="宋体" w:cs="宋体"/>
                <w:b w:val="0"/>
                <w:bCs w:val="0"/>
                <w:color w:val="auto"/>
                <w:sz w:val="21"/>
                <w:szCs w:val="21"/>
              </w:rPr>
              <w:t>的意义和要求；可准确把握本次方案编制的重点及难点</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并能提出切实可行的</w:t>
            </w:r>
            <w:r>
              <w:rPr>
                <w:rFonts w:hint="eastAsia" w:ascii="宋体" w:hAnsi="宋体" w:eastAsia="宋体" w:cs="宋体"/>
                <w:b w:val="0"/>
                <w:bCs w:val="0"/>
                <w:color w:val="auto"/>
                <w:sz w:val="21"/>
                <w:szCs w:val="21"/>
                <w:lang w:val="en-US" w:eastAsia="zh-CN"/>
              </w:rPr>
              <w:t>解决思路</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val="en-US" w:eastAsia="zh-CN"/>
              </w:rPr>
              <w:t>内容完善、合理、切合实际的，计</w:t>
            </w:r>
            <w:r>
              <w:rPr>
                <w:rFonts w:hint="eastAsia" w:ascii="宋体" w:hAnsi="宋体" w:cs="宋体"/>
                <w:b w:val="0"/>
                <w:bCs w:val="0"/>
                <w:color w:val="auto"/>
                <w:sz w:val="21"/>
                <w:szCs w:val="21"/>
                <w:lang w:val="en-US" w:eastAsia="zh-CN"/>
              </w:rPr>
              <w:t>10</w:t>
            </w:r>
            <w:r>
              <w:rPr>
                <w:rFonts w:hint="eastAsia" w:ascii="宋体" w:hAnsi="宋体" w:eastAsia="宋体" w:cs="宋体"/>
                <w:b w:val="0"/>
                <w:bCs w:val="0"/>
                <w:color w:val="auto"/>
                <w:sz w:val="21"/>
                <w:szCs w:val="21"/>
              </w:rPr>
              <w:t>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内容</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2.5</w:t>
            </w:r>
            <w:r>
              <w:rPr>
                <w:rFonts w:hint="eastAsia" w:ascii="宋体" w:hAnsi="宋体" w:eastAsia="宋体" w:cs="宋体"/>
              </w:rPr>
              <w:t>分</w:t>
            </w:r>
            <w:r>
              <w:rPr>
                <w:rFonts w:hint="eastAsia" w:ascii="宋体" w:hAnsi="宋体" w:eastAsia="宋体" w:cs="宋体"/>
                <w:b w:val="0"/>
                <w:bCs w:val="0"/>
                <w:color w:val="auto"/>
                <w:sz w:val="21"/>
                <w:szCs w:val="21"/>
              </w:rPr>
              <w:t>，扣完为止</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未提供的不计分。</w:t>
            </w:r>
          </w:p>
        </w:tc>
        <w:tc>
          <w:tcPr>
            <w:tcW w:w="629" w:type="dxa"/>
            <w:tcBorders>
              <w:tl2br w:val="nil"/>
              <w:tr2bl w:val="nil"/>
            </w:tcBorders>
            <w:vAlign w:val="center"/>
          </w:tcPr>
          <w:p w14:paraId="38D47D7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w:t>
            </w:r>
          </w:p>
        </w:tc>
      </w:tr>
      <w:tr w14:paraId="01C2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continue"/>
            <w:tcBorders>
              <w:tl2br w:val="nil"/>
              <w:tr2bl w:val="nil"/>
            </w:tcBorders>
            <w:vAlign w:val="center"/>
          </w:tcPr>
          <w:p w14:paraId="3EAA075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p>
        </w:tc>
        <w:tc>
          <w:tcPr>
            <w:tcW w:w="1321" w:type="dxa"/>
            <w:tcBorders>
              <w:tl2br w:val="nil"/>
              <w:tr2bl w:val="nil"/>
            </w:tcBorders>
            <w:shd w:val="clear" w:color="auto" w:fill="auto"/>
            <w:vAlign w:val="center"/>
          </w:tcPr>
          <w:p w14:paraId="5ECC34F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质量控制</w:t>
            </w:r>
          </w:p>
          <w:p w14:paraId="1A5C041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rPr>
              <w:t>措施</w:t>
            </w:r>
          </w:p>
        </w:tc>
        <w:tc>
          <w:tcPr>
            <w:tcW w:w="6870" w:type="dxa"/>
            <w:tcBorders>
              <w:tl2br w:val="nil"/>
              <w:tr2bl w:val="nil"/>
            </w:tcBorders>
            <w:shd w:val="clear" w:color="auto" w:fill="auto"/>
            <w:vAlign w:val="center"/>
          </w:tcPr>
          <w:p w14:paraId="3A9A7C09">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rPr>
              <w:t>根据本项目采购需求的实际情况，提出的质量控制措施包括但不限于从制度、措施等方面。质量控制措施完整、合理、可操作性强，计</w:t>
            </w:r>
            <w:r>
              <w:rPr>
                <w:rFonts w:hint="eastAsia" w:ascii="宋体" w:hAnsi="宋体" w:cs="宋体"/>
                <w:b w:val="0"/>
                <w:bCs w:val="0"/>
                <w:sz w:val="21"/>
                <w:szCs w:val="21"/>
                <w:lang w:val="en-US" w:eastAsia="zh-CN"/>
              </w:rPr>
              <w:t>6</w:t>
            </w:r>
            <w:r>
              <w:rPr>
                <w:rFonts w:hint="eastAsia" w:ascii="宋体" w:hAnsi="宋体" w:eastAsia="宋体" w:cs="宋体"/>
                <w:b w:val="0"/>
                <w:bCs w:val="0"/>
                <w:sz w:val="21"/>
                <w:szCs w:val="21"/>
              </w:rPr>
              <w:t>分；质量控制措施</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2</w:t>
            </w:r>
            <w:r>
              <w:rPr>
                <w:rFonts w:hint="eastAsia" w:ascii="宋体" w:hAnsi="宋体" w:eastAsia="宋体" w:cs="宋体"/>
              </w:rPr>
              <w:t>分</w:t>
            </w:r>
            <w:r>
              <w:rPr>
                <w:rFonts w:hint="eastAsia" w:ascii="宋体" w:hAnsi="宋体" w:eastAsia="宋体" w:cs="宋体"/>
                <w:b w:val="0"/>
                <w:bCs w:val="0"/>
                <w:sz w:val="21"/>
                <w:szCs w:val="21"/>
              </w:rPr>
              <w:t>，扣完为止</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 xml:space="preserve">未提供不计分。 </w:t>
            </w:r>
          </w:p>
        </w:tc>
        <w:tc>
          <w:tcPr>
            <w:tcW w:w="629" w:type="dxa"/>
            <w:tcBorders>
              <w:tl2br w:val="nil"/>
              <w:tr2bl w:val="nil"/>
            </w:tcBorders>
            <w:vAlign w:val="center"/>
          </w:tcPr>
          <w:p w14:paraId="5E02C86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6</w:t>
            </w:r>
          </w:p>
        </w:tc>
      </w:tr>
      <w:tr w14:paraId="1665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continue"/>
            <w:tcBorders>
              <w:tl2br w:val="nil"/>
              <w:tr2bl w:val="nil"/>
            </w:tcBorders>
            <w:vAlign w:val="center"/>
          </w:tcPr>
          <w:p w14:paraId="6C2114B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p>
        </w:tc>
        <w:tc>
          <w:tcPr>
            <w:tcW w:w="1321" w:type="dxa"/>
            <w:tcBorders>
              <w:tl2br w:val="nil"/>
              <w:tr2bl w:val="nil"/>
            </w:tcBorders>
            <w:shd w:val="clear" w:color="auto" w:fill="auto"/>
            <w:vAlign w:val="center"/>
          </w:tcPr>
          <w:p w14:paraId="11ED47D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rPr>
              <w:t>保密措施</w:t>
            </w:r>
          </w:p>
        </w:tc>
        <w:tc>
          <w:tcPr>
            <w:tcW w:w="6870" w:type="dxa"/>
            <w:tcBorders>
              <w:tl2br w:val="nil"/>
              <w:tr2bl w:val="nil"/>
            </w:tcBorders>
            <w:shd w:val="clear" w:color="auto" w:fill="auto"/>
            <w:vAlign w:val="center"/>
          </w:tcPr>
          <w:p w14:paraId="3F83BA92">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000000"/>
                <w:sz w:val="21"/>
                <w:szCs w:val="21"/>
              </w:rPr>
              <w:t>根据本项目采购需求的实际情况，提出的保密措施包括但不限于从保密原则、保密内容、保密实施细则等方面。保密措施完整、合理、操作性强，计</w:t>
            </w:r>
            <w:r>
              <w:rPr>
                <w:rFonts w:hint="eastAsia" w:ascii="宋体"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分；保密措施</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2</w:t>
            </w:r>
            <w:r>
              <w:rPr>
                <w:rFonts w:hint="eastAsia" w:ascii="宋体" w:hAnsi="宋体" w:eastAsia="宋体" w:cs="宋体"/>
              </w:rPr>
              <w:t>分</w:t>
            </w:r>
            <w:r>
              <w:rPr>
                <w:rFonts w:hint="eastAsia" w:ascii="宋体" w:hAnsi="宋体" w:eastAsia="宋体" w:cs="宋体"/>
                <w:b w:val="0"/>
                <w:bCs w:val="0"/>
                <w:color w:val="000000"/>
                <w:sz w:val="21"/>
                <w:szCs w:val="21"/>
              </w:rPr>
              <w:t>，扣完为止</w:t>
            </w:r>
            <w:r>
              <w:rPr>
                <w:rFonts w:hint="eastAsia" w:ascii="宋体" w:hAnsi="宋体" w:cs="宋体"/>
                <w:b w:val="0"/>
                <w:bCs w:val="0"/>
                <w:color w:val="000000"/>
                <w:sz w:val="21"/>
                <w:szCs w:val="21"/>
                <w:lang w:eastAsia="zh-CN"/>
              </w:rPr>
              <w:t>；</w:t>
            </w:r>
            <w:r>
              <w:rPr>
                <w:rFonts w:hint="eastAsia" w:ascii="宋体" w:hAnsi="宋体" w:eastAsia="宋体" w:cs="宋体"/>
                <w:b w:val="0"/>
                <w:bCs w:val="0"/>
                <w:color w:val="000000"/>
                <w:sz w:val="21"/>
                <w:szCs w:val="21"/>
              </w:rPr>
              <w:t>未提供不计分。</w:t>
            </w:r>
          </w:p>
        </w:tc>
        <w:tc>
          <w:tcPr>
            <w:tcW w:w="629" w:type="dxa"/>
            <w:tcBorders>
              <w:tl2br w:val="nil"/>
              <w:tr2bl w:val="nil"/>
            </w:tcBorders>
            <w:vAlign w:val="center"/>
          </w:tcPr>
          <w:p w14:paraId="108F8F0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6</w:t>
            </w:r>
          </w:p>
        </w:tc>
      </w:tr>
      <w:tr w14:paraId="7435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Merge w:val="continue"/>
            <w:tcBorders>
              <w:tl2br w:val="nil"/>
              <w:tr2bl w:val="nil"/>
            </w:tcBorders>
            <w:vAlign w:val="center"/>
          </w:tcPr>
          <w:p w14:paraId="04390FE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auto"/>
                <w:kern w:val="0"/>
                <w:szCs w:val="21"/>
              </w:rPr>
            </w:pPr>
          </w:p>
        </w:tc>
        <w:tc>
          <w:tcPr>
            <w:tcW w:w="1321" w:type="dxa"/>
            <w:tcBorders>
              <w:tl2br w:val="nil"/>
              <w:tr2bl w:val="nil"/>
            </w:tcBorders>
            <w:shd w:val="clear" w:color="auto" w:fill="auto"/>
            <w:vAlign w:val="center"/>
          </w:tcPr>
          <w:p w14:paraId="196F40E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进度计划</w:t>
            </w:r>
          </w:p>
          <w:p w14:paraId="775ED44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sz w:val="21"/>
                <w:szCs w:val="21"/>
              </w:rPr>
              <w:t>安排</w:t>
            </w:r>
          </w:p>
        </w:tc>
        <w:tc>
          <w:tcPr>
            <w:tcW w:w="6870" w:type="dxa"/>
            <w:tcBorders>
              <w:tl2br w:val="nil"/>
              <w:tr2bl w:val="nil"/>
            </w:tcBorders>
            <w:shd w:val="clear" w:color="auto" w:fill="auto"/>
            <w:vAlign w:val="center"/>
          </w:tcPr>
          <w:p w14:paraId="36A60A60">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000000"/>
                <w:sz w:val="21"/>
                <w:szCs w:val="21"/>
              </w:rPr>
              <w:t>根据本项目采购需求的实际情况，提出的进度计划包括但不限于进度计划、进度安排等方面。</w:t>
            </w:r>
            <w:r>
              <w:rPr>
                <w:rFonts w:hint="eastAsia" w:ascii="宋体" w:hAnsi="宋体" w:eastAsia="宋体" w:cs="宋体"/>
                <w:b w:val="0"/>
                <w:bCs w:val="0"/>
                <w:sz w:val="21"/>
                <w:szCs w:val="21"/>
              </w:rPr>
              <w:t>进度计划安排</w:t>
            </w:r>
            <w:r>
              <w:rPr>
                <w:rFonts w:hint="eastAsia" w:ascii="宋体" w:hAnsi="宋体" w:eastAsia="宋体" w:cs="宋体"/>
                <w:b w:val="0"/>
                <w:bCs w:val="0"/>
                <w:color w:val="000000"/>
                <w:sz w:val="21"/>
                <w:szCs w:val="21"/>
              </w:rPr>
              <w:t>完整、合理、操作性强，计</w:t>
            </w:r>
            <w:r>
              <w:rPr>
                <w:rFonts w:hint="eastAsia" w:ascii="宋体"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分；进度计划</w:t>
            </w:r>
            <w:r>
              <w:rPr>
                <w:rFonts w:hint="eastAsia" w:ascii="宋体" w:hAnsi="宋体" w:eastAsia="宋体" w:cs="宋体"/>
                <w:lang w:eastAsia="zh-CN"/>
              </w:rPr>
              <w:t>欠合理、欠完整或不符合项目实际情况</w:t>
            </w:r>
            <w:r>
              <w:rPr>
                <w:rFonts w:hint="eastAsia" w:ascii="宋体" w:hAnsi="宋体" w:eastAsia="宋体" w:cs="宋体"/>
              </w:rPr>
              <w:t>的每处扣</w:t>
            </w:r>
            <w:r>
              <w:rPr>
                <w:rFonts w:hint="eastAsia" w:ascii="宋体" w:hAnsi="宋体" w:eastAsia="宋体" w:cs="宋体"/>
                <w:lang w:val="en-US" w:eastAsia="zh-CN"/>
              </w:rPr>
              <w:t>2</w:t>
            </w:r>
            <w:r>
              <w:rPr>
                <w:rFonts w:hint="eastAsia" w:ascii="宋体" w:hAnsi="宋体" w:eastAsia="宋体" w:cs="宋体"/>
              </w:rPr>
              <w:t>分</w:t>
            </w:r>
            <w:r>
              <w:rPr>
                <w:rFonts w:hint="eastAsia" w:ascii="宋体" w:hAnsi="宋体" w:eastAsia="宋体" w:cs="宋体"/>
                <w:b w:val="0"/>
                <w:bCs w:val="0"/>
                <w:color w:val="000000"/>
                <w:sz w:val="21"/>
                <w:szCs w:val="21"/>
              </w:rPr>
              <w:t>，扣完为止</w:t>
            </w:r>
            <w:r>
              <w:rPr>
                <w:rFonts w:hint="eastAsia" w:ascii="宋体" w:hAnsi="宋体" w:cs="宋体"/>
                <w:b w:val="0"/>
                <w:bCs w:val="0"/>
                <w:color w:val="000000"/>
                <w:sz w:val="21"/>
                <w:szCs w:val="21"/>
                <w:lang w:eastAsia="zh-CN"/>
              </w:rPr>
              <w:t>；</w:t>
            </w:r>
            <w:r>
              <w:rPr>
                <w:rFonts w:hint="eastAsia" w:ascii="宋体" w:hAnsi="宋体" w:eastAsia="宋体" w:cs="宋体"/>
                <w:b w:val="0"/>
                <w:bCs w:val="0"/>
                <w:color w:val="000000"/>
                <w:sz w:val="21"/>
                <w:szCs w:val="21"/>
              </w:rPr>
              <w:t>未提供不计分。</w:t>
            </w:r>
          </w:p>
        </w:tc>
        <w:tc>
          <w:tcPr>
            <w:tcW w:w="629" w:type="dxa"/>
            <w:tcBorders>
              <w:tl2br w:val="nil"/>
              <w:tr2bl w:val="nil"/>
            </w:tcBorders>
            <w:vAlign w:val="center"/>
          </w:tcPr>
          <w:p w14:paraId="28903ED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6</w:t>
            </w:r>
          </w:p>
        </w:tc>
      </w:tr>
    </w:tbl>
    <w:p w14:paraId="44E130A7">
      <w:pPr>
        <w:jc w:val="left"/>
        <w:rPr>
          <w:rFonts w:hint="eastAsia" w:ascii="宋体" w:hAnsi="宋体" w:eastAsia="宋体" w:cs="宋体"/>
          <w:color w:val="auto"/>
        </w:rPr>
      </w:pPr>
    </w:p>
    <w:p w14:paraId="6CD227E6">
      <w:pPr>
        <w:jc w:val="left"/>
        <w:rPr>
          <w:rFonts w:hint="eastAsia" w:ascii="宋体" w:hAnsi="宋体" w:eastAsia="宋体" w:cs="宋体"/>
          <w:color w:val="auto"/>
        </w:rPr>
      </w:pPr>
      <w:r>
        <w:rPr>
          <w:rFonts w:hint="eastAsia" w:ascii="宋体" w:hAnsi="宋体" w:eastAsia="宋体" w:cs="宋体"/>
          <w:color w:val="auto"/>
        </w:rPr>
        <w:t>注：每次评分计算保留2位小数（百分比亦取2位小数），第三位小数四舍五入。</w:t>
      </w:r>
    </w:p>
    <w:p w14:paraId="61D2A0FD">
      <w:pPr>
        <w:jc w:val="left"/>
        <w:rPr>
          <w:rFonts w:hint="eastAsia" w:ascii="宋体" w:hAnsi="宋体" w:eastAsia="宋体" w:cs="宋体"/>
          <w:color w:val="auto"/>
        </w:rPr>
      </w:pPr>
      <w:r>
        <w:rPr>
          <w:rFonts w:hint="eastAsia" w:ascii="宋体" w:hAnsi="宋体" w:eastAsia="宋体" w:cs="宋体"/>
          <w:color w:val="auto"/>
        </w:rPr>
        <w:t>有下列情况之一者单项评分为无效分，评委须作出解释，并重新打分：</w:t>
      </w:r>
    </w:p>
    <w:p w14:paraId="154CD17D">
      <w:pPr>
        <w:jc w:val="left"/>
        <w:rPr>
          <w:rFonts w:hint="eastAsia" w:ascii="宋体" w:hAnsi="宋体" w:eastAsia="宋体" w:cs="宋体"/>
          <w:color w:val="auto"/>
        </w:rPr>
      </w:pPr>
      <w:bookmarkStart w:id="133" w:name="_Toc15718_WPSOffice_Level2"/>
      <w:r>
        <w:rPr>
          <w:rFonts w:hint="eastAsia" w:ascii="宋体" w:hAnsi="宋体" w:eastAsia="宋体" w:cs="宋体"/>
          <w:color w:val="auto"/>
        </w:rPr>
        <w:t>2.1评分高出规定最高分或低于规定最低分的；</w:t>
      </w:r>
      <w:bookmarkEnd w:id="133"/>
    </w:p>
    <w:p w14:paraId="44CB6BE5">
      <w:pPr>
        <w:jc w:val="left"/>
        <w:rPr>
          <w:rFonts w:hint="eastAsia" w:ascii="宋体" w:hAnsi="宋体" w:eastAsia="宋体" w:cs="宋体"/>
          <w:color w:val="auto"/>
        </w:rPr>
      </w:pPr>
      <w:bookmarkStart w:id="134" w:name="_Toc29203_WPSOffice_Level2"/>
      <w:r>
        <w:rPr>
          <w:rFonts w:hint="eastAsia" w:ascii="宋体" w:hAnsi="宋体" w:eastAsia="宋体" w:cs="宋体"/>
          <w:color w:val="auto"/>
        </w:rPr>
        <w:t>2.2一个计分内容有2个或2个以上计分的；</w:t>
      </w:r>
      <w:bookmarkEnd w:id="134"/>
    </w:p>
    <w:p w14:paraId="23838185">
      <w:pPr>
        <w:jc w:val="left"/>
        <w:rPr>
          <w:rFonts w:hint="eastAsia" w:ascii="宋体" w:hAnsi="宋体" w:eastAsia="宋体" w:cs="宋体"/>
          <w:color w:val="auto"/>
        </w:rPr>
      </w:pPr>
      <w:bookmarkStart w:id="135" w:name="_Toc2910_WPSOffice_Level2"/>
      <w:r>
        <w:rPr>
          <w:rFonts w:hint="eastAsia" w:ascii="宋体" w:hAnsi="宋体" w:eastAsia="宋体" w:cs="宋体"/>
          <w:color w:val="auto"/>
        </w:rPr>
        <w:t>2.3无记分；</w:t>
      </w:r>
      <w:bookmarkEnd w:id="135"/>
    </w:p>
    <w:p w14:paraId="439284F5">
      <w:pPr>
        <w:jc w:val="left"/>
        <w:rPr>
          <w:rFonts w:hint="eastAsia" w:ascii="宋体" w:hAnsi="宋体" w:eastAsia="宋体" w:cs="宋体"/>
          <w:b/>
          <w:color w:val="auto"/>
          <w:sz w:val="11"/>
          <w:szCs w:val="11"/>
        </w:rPr>
      </w:pPr>
      <w:bookmarkStart w:id="136" w:name="_Toc32314_WPSOffice_Level2"/>
      <w:r>
        <w:rPr>
          <w:rFonts w:hint="eastAsia" w:ascii="宋体" w:hAnsi="宋体" w:eastAsia="宋体" w:cs="宋体"/>
          <w:color w:val="auto"/>
        </w:rPr>
        <w:t>2.4其它明显不合理记分。</w:t>
      </w:r>
      <w:bookmarkEnd w:id="136"/>
    </w:p>
    <w:p w14:paraId="51ABC57F">
      <w:pPr>
        <w:tabs>
          <w:tab w:val="left" w:pos="0"/>
        </w:tabs>
        <w:adjustRightInd w:val="0"/>
        <w:snapToGrid w:val="0"/>
        <w:spacing w:beforeLines="50" w:line="360" w:lineRule="auto"/>
        <w:outlineLvl w:val="1"/>
        <w:rPr>
          <w:rFonts w:hint="eastAsia" w:ascii="宋体" w:hAnsi="宋体" w:eastAsia="宋体" w:cs="宋体"/>
          <w:b/>
          <w:color w:val="auto"/>
          <w:szCs w:val="21"/>
        </w:rPr>
      </w:pPr>
      <w:bookmarkStart w:id="137" w:name="_Toc15718_WPSOffice_Level3"/>
      <w:bookmarkStart w:id="138" w:name="_Toc13448"/>
      <w:r>
        <w:rPr>
          <w:rFonts w:hint="eastAsia" w:ascii="宋体" w:hAnsi="宋体" w:eastAsia="宋体" w:cs="宋体"/>
          <w:b/>
          <w:color w:val="auto"/>
          <w:szCs w:val="21"/>
        </w:rPr>
        <w:t>4.推荐成交候选人名单</w:t>
      </w:r>
      <w:bookmarkEnd w:id="132"/>
      <w:bookmarkEnd w:id="137"/>
      <w:bookmarkEnd w:id="138"/>
    </w:p>
    <w:p w14:paraId="14D1DB8F">
      <w:pPr>
        <w:tabs>
          <w:tab w:val="left" w:pos="0"/>
        </w:tabs>
        <w:adjustRightInd w:val="0"/>
        <w:snapToGrid w:val="0"/>
        <w:spacing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color w:val="auto"/>
          <w:szCs w:val="21"/>
        </w:rPr>
        <w:t>4.1</w:t>
      </w:r>
      <w:r>
        <w:rPr>
          <w:rFonts w:hint="eastAsia" w:ascii="宋体" w:hAnsi="宋体" w:eastAsia="宋体" w:cs="宋体"/>
          <w:bCs/>
          <w:color w:val="auto"/>
          <w:szCs w:val="21"/>
        </w:rPr>
        <w:t>按评审后得分由高到低顺序排列。得分相同的，按最终报价由低到高顺序排列。得分且最终报价相同的，按技术指标优劣顺序排列。</w:t>
      </w:r>
    </w:p>
    <w:p w14:paraId="002FA11C">
      <w:pPr>
        <w:tabs>
          <w:tab w:val="left" w:pos="0"/>
        </w:tabs>
        <w:adjustRightInd w:val="0"/>
        <w:snapToGrid w:val="0"/>
        <w:spacing w:beforeLines="50" w:line="360" w:lineRule="auto"/>
        <w:ind w:firstLine="420" w:firstLineChars="200"/>
        <w:rPr>
          <w:rFonts w:hint="eastAsia" w:ascii="宋体" w:hAnsi="宋体" w:eastAsia="宋体" w:cs="宋体"/>
          <w:b/>
          <w:color w:val="auto"/>
          <w:szCs w:val="21"/>
        </w:rPr>
        <w:sectPr>
          <w:footerReference r:id="rId3" w:type="default"/>
          <w:pgSz w:w="11906" w:h="16838"/>
          <w:pgMar w:top="1474" w:right="1531" w:bottom="1474" w:left="1531"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eastAsia="宋体" w:cs="宋体"/>
          <w:bCs/>
          <w:color w:val="auto"/>
          <w:szCs w:val="21"/>
        </w:rPr>
        <w:t>4.2</w:t>
      </w:r>
      <w:r>
        <w:rPr>
          <w:rFonts w:hint="eastAsia" w:ascii="宋体" w:hAnsi="宋体" w:eastAsia="宋体" w:cs="宋体"/>
          <w:color w:val="auto"/>
          <w:szCs w:val="21"/>
        </w:rPr>
        <w:t>成交候选人数量为1-3名，本次磋商采购推荐的成交候选人数量见</w:t>
      </w:r>
      <w:r>
        <w:rPr>
          <w:rFonts w:hint="eastAsia" w:ascii="宋体" w:hAnsi="宋体" w:eastAsia="宋体" w:cs="宋体"/>
          <w:b/>
          <w:color w:val="auto"/>
          <w:szCs w:val="21"/>
        </w:rPr>
        <w:t>磋商文件前附表。</w:t>
      </w:r>
    </w:p>
    <w:p w14:paraId="7965CCB8">
      <w:pPr>
        <w:adjustRightInd w:val="0"/>
        <w:snapToGrid w:val="0"/>
        <w:spacing w:beforeLines="50" w:line="360" w:lineRule="auto"/>
        <w:jc w:val="center"/>
        <w:outlineLvl w:val="0"/>
        <w:rPr>
          <w:rFonts w:hint="eastAsia" w:ascii="宋体" w:hAnsi="宋体" w:eastAsia="宋体" w:cs="宋体"/>
          <w:b/>
          <w:bCs/>
          <w:color w:val="auto"/>
          <w:sz w:val="32"/>
          <w:szCs w:val="32"/>
        </w:rPr>
      </w:pPr>
      <w:bookmarkStart w:id="139" w:name="_Toc22379"/>
      <w:bookmarkStart w:id="140" w:name="_Toc9222_WPSOffice_Level1"/>
      <w:bookmarkStart w:id="141" w:name="_Toc22599"/>
      <w:r>
        <w:rPr>
          <w:rFonts w:hint="eastAsia" w:ascii="宋体" w:hAnsi="宋体" w:eastAsia="宋体" w:cs="宋体"/>
          <w:b/>
          <w:color w:val="auto"/>
          <w:sz w:val="32"/>
          <w:szCs w:val="32"/>
        </w:rPr>
        <w:t xml:space="preserve">第四章 </w:t>
      </w:r>
      <w:r>
        <w:rPr>
          <w:rFonts w:hint="eastAsia" w:ascii="宋体" w:hAnsi="宋体" w:eastAsia="宋体" w:cs="宋体"/>
          <w:b/>
          <w:bCs/>
          <w:color w:val="auto"/>
          <w:sz w:val="32"/>
          <w:szCs w:val="32"/>
        </w:rPr>
        <w:t>政府采购合同格式</w:t>
      </w:r>
      <w:bookmarkEnd w:id="139"/>
      <w:bookmarkEnd w:id="140"/>
      <w:bookmarkEnd w:id="141"/>
    </w:p>
    <w:p w14:paraId="51E5377B">
      <w:pPr>
        <w:adjustRightInd w:val="0"/>
        <w:snapToGrid w:val="0"/>
        <w:spacing w:line="440" w:lineRule="exact"/>
        <w:rPr>
          <w:rFonts w:hint="eastAsia" w:ascii="宋体" w:hAnsi="宋体" w:eastAsia="宋体" w:cs="宋体"/>
          <w:bCs/>
          <w:color w:val="auto"/>
          <w:szCs w:val="21"/>
        </w:rPr>
      </w:pPr>
    </w:p>
    <w:p w14:paraId="71AC0642">
      <w:pPr>
        <w:adjustRightInd w:val="0"/>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bCs/>
          <w:color w:val="auto"/>
          <w:szCs w:val="21"/>
        </w:rPr>
        <w:t>服务类政府采购合同格式文本</w:t>
      </w:r>
      <w:r>
        <w:rPr>
          <w:rFonts w:hint="eastAsia" w:ascii="宋体" w:hAnsi="宋体" w:eastAsia="宋体" w:cs="宋体"/>
          <w:color w:val="auto"/>
          <w:szCs w:val="21"/>
        </w:rPr>
        <w:t>省级以上政府部门或行业组织有标准或示范文本的，应按照其文本确定</w:t>
      </w:r>
      <w:r>
        <w:rPr>
          <w:rFonts w:hint="eastAsia" w:ascii="宋体" w:hAnsi="宋体" w:eastAsia="宋体" w:cs="宋体"/>
          <w:bCs/>
          <w:color w:val="auto"/>
          <w:szCs w:val="21"/>
        </w:rPr>
        <w:t>合同格式</w:t>
      </w:r>
      <w:r>
        <w:rPr>
          <w:rFonts w:hint="eastAsia" w:ascii="宋体" w:hAnsi="宋体" w:eastAsia="宋体" w:cs="宋体"/>
          <w:color w:val="auto"/>
          <w:szCs w:val="21"/>
        </w:rPr>
        <w:t>。没有文本的，按照《中华人民共和国民法典》及采购项目特点自行拟定特定文本确定</w:t>
      </w:r>
      <w:r>
        <w:rPr>
          <w:rFonts w:hint="eastAsia" w:ascii="宋体" w:hAnsi="宋体" w:eastAsia="宋体" w:cs="宋体"/>
          <w:bCs/>
          <w:color w:val="auto"/>
          <w:szCs w:val="21"/>
        </w:rPr>
        <w:t>合同格式</w:t>
      </w:r>
      <w:r>
        <w:rPr>
          <w:rFonts w:hint="eastAsia" w:ascii="宋体" w:hAnsi="宋体" w:eastAsia="宋体" w:cs="宋体"/>
          <w:color w:val="auto"/>
          <w:szCs w:val="21"/>
        </w:rPr>
        <w:t>。</w:t>
      </w:r>
    </w:p>
    <w:p w14:paraId="4EF2F481">
      <w:pPr>
        <w:adjustRightInd w:val="0"/>
        <w:snapToGrid w:val="0"/>
        <w:spacing w:beforeLines="50" w:line="360" w:lineRule="auto"/>
        <w:rPr>
          <w:rFonts w:hint="eastAsia" w:ascii="宋体" w:hAnsi="宋体" w:eastAsia="宋体" w:cs="宋体"/>
          <w:b/>
          <w:color w:val="auto"/>
          <w:sz w:val="32"/>
          <w:szCs w:val="32"/>
        </w:rPr>
      </w:pPr>
    </w:p>
    <w:p w14:paraId="30727821">
      <w:pPr>
        <w:adjustRightInd w:val="0"/>
        <w:snapToGrid w:val="0"/>
        <w:spacing w:beforeLines="50" w:line="360" w:lineRule="auto"/>
        <w:jc w:val="center"/>
        <w:rPr>
          <w:rFonts w:hint="eastAsia" w:ascii="宋体" w:hAnsi="宋体" w:eastAsia="宋体" w:cs="宋体"/>
          <w:b/>
          <w:bCs/>
          <w:color w:val="auto"/>
          <w:sz w:val="32"/>
          <w:szCs w:val="32"/>
        </w:rPr>
      </w:pPr>
    </w:p>
    <w:p w14:paraId="38BAC310">
      <w:pPr>
        <w:adjustRightInd w:val="0"/>
        <w:snapToGrid w:val="0"/>
        <w:spacing w:beforeLines="50" w:line="360" w:lineRule="auto"/>
        <w:jc w:val="center"/>
        <w:rPr>
          <w:rFonts w:hint="eastAsia" w:ascii="宋体" w:hAnsi="宋体" w:eastAsia="宋体" w:cs="宋体"/>
          <w:b/>
          <w:bCs/>
          <w:color w:val="auto"/>
          <w:sz w:val="32"/>
          <w:szCs w:val="32"/>
        </w:rPr>
      </w:pPr>
    </w:p>
    <w:p w14:paraId="0132A92C">
      <w:pPr>
        <w:adjustRightInd w:val="0"/>
        <w:snapToGrid w:val="0"/>
        <w:spacing w:beforeLines="50" w:line="360" w:lineRule="auto"/>
        <w:jc w:val="center"/>
        <w:rPr>
          <w:rFonts w:hint="eastAsia" w:ascii="宋体" w:hAnsi="宋体" w:eastAsia="宋体" w:cs="宋体"/>
          <w:b/>
          <w:bCs/>
          <w:color w:val="auto"/>
          <w:sz w:val="32"/>
          <w:szCs w:val="32"/>
        </w:rPr>
      </w:pPr>
    </w:p>
    <w:p w14:paraId="6A38D167">
      <w:pPr>
        <w:adjustRightInd w:val="0"/>
        <w:snapToGrid w:val="0"/>
        <w:spacing w:beforeLines="50" w:line="360" w:lineRule="auto"/>
        <w:jc w:val="center"/>
        <w:rPr>
          <w:rFonts w:hint="eastAsia" w:ascii="宋体" w:hAnsi="宋体" w:eastAsia="宋体" w:cs="宋体"/>
          <w:b/>
          <w:bCs/>
          <w:color w:val="auto"/>
          <w:sz w:val="32"/>
          <w:szCs w:val="32"/>
        </w:rPr>
      </w:pPr>
    </w:p>
    <w:p w14:paraId="389C582E">
      <w:pPr>
        <w:adjustRightInd w:val="0"/>
        <w:snapToGrid w:val="0"/>
        <w:spacing w:beforeLines="50" w:line="360" w:lineRule="auto"/>
        <w:jc w:val="center"/>
        <w:rPr>
          <w:rFonts w:hint="eastAsia" w:ascii="宋体" w:hAnsi="宋体" w:eastAsia="宋体" w:cs="宋体"/>
          <w:b/>
          <w:bCs/>
          <w:color w:val="auto"/>
          <w:sz w:val="32"/>
          <w:szCs w:val="32"/>
        </w:rPr>
      </w:pPr>
    </w:p>
    <w:p w14:paraId="6D2A291F">
      <w:pPr>
        <w:adjustRightInd w:val="0"/>
        <w:snapToGrid w:val="0"/>
        <w:spacing w:beforeLines="50" w:line="360" w:lineRule="auto"/>
        <w:jc w:val="center"/>
        <w:rPr>
          <w:rFonts w:hint="eastAsia" w:ascii="宋体" w:hAnsi="宋体" w:eastAsia="宋体" w:cs="宋体"/>
          <w:b/>
          <w:bCs/>
          <w:color w:val="auto"/>
          <w:sz w:val="32"/>
          <w:szCs w:val="32"/>
        </w:rPr>
      </w:pPr>
    </w:p>
    <w:p w14:paraId="7A136E06">
      <w:pPr>
        <w:adjustRightInd w:val="0"/>
        <w:snapToGrid w:val="0"/>
        <w:spacing w:beforeLines="50" w:line="360" w:lineRule="auto"/>
        <w:jc w:val="center"/>
        <w:rPr>
          <w:rFonts w:hint="eastAsia" w:ascii="宋体" w:hAnsi="宋体" w:eastAsia="宋体" w:cs="宋体"/>
          <w:b/>
          <w:bCs/>
          <w:color w:val="auto"/>
          <w:sz w:val="32"/>
          <w:szCs w:val="32"/>
        </w:rPr>
      </w:pPr>
    </w:p>
    <w:p w14:paraId="488F6E24">
      <w:pPr>
        <w:adjustRightInd w:val="0"/>
        <w:snapToGrid w:val="0"/>
        <w:spacing w:beforeLines="50" w:line="360" w:lineRule="auto"/>
        <w:jc w:val="center"/>
        <w:rPr>
          <w:rFonts w:hint="eastAsia" w:ascii="宋体" w:hAnsi="宋体" w:eastAsia="宋体" w:cs="宋体"/>
          <w:b/>
          <w:bCs/>
          <w:color w:val="auto"/>
          <w:sz w:val="32"/>
          <w:szCs w:val="32"/>
        </w:rPr>
      </w:pPr>
    </w:p>
    <w:p w14:paraId="6C6B3FAB">
      <w:pPr>
        <w:adjustRightInd w:val="0"/>
        <w:snapToGrid w:val="0"/>
        <w:spacing w:beforeLines="50" w:line="360" w:lineRule="auto"/>
        <w:jc w:val="center"/>
        <w:rPr>
          <w:rFonts w:hint="eastAsia" w:ascii="宋体" w:hAnsi="宋体" w:eastAsia="宋体" w:cs="宋体"/>
          <w:b/>
          <w:bCs/>
          <w:color w:val="auto"/>
          <w:sz w:val="32"/>
          <w:szCs w:val="32"/>
        </w:rPr>
      </w:pPr>
    </w:p>
    <w:p w14:paraId="02B47C7B">
      <w:pPr>
        <w:adjustRightInd w:val="0"/>
        <w:snapToGrid w:val="0"/>
        <w:spacing w:beforeLines="50" w:line="360" w:lineRule="auto"/>
        <w:jc w:val="center"/>
        <w:rPr>
          <w:rFonts w:hint="eastAsia" w:ascii="宋体" w:hAnsi="宋体" w:eastAsia="宋体" w:cs="宋体"/>
          <w:b/>
          <w:bCs/>
          <w:color w:val="auto"/>
          <w:sz w:val="32"/>
          <w:szCs w:val="32"/>
        </w:rPr>
      </w:pPr>
    </w:p>
    <w:p w14:paraId="33C258C5">
      <w:pPr>
        <w:adjustRightInd w:val="0"/>
        <w:snapToGrid w:val="0"/>
        <w:spacing w:beforeLines="50" w:line="360" w:lineRule="auto"/>
        <w:jc w:val="center"/>
        <w:rPr>
          <w:rFonts w:hint="eastAsia" w:ascii="宋体" w:hAnsi="宋体" w:eastAsia="宋体" w:cs="宋体"/>
          <w:b/>
          <w:bCs/>
          <w:color w:val="auto"/>
          <w:sz w:val="32"/>
          <w:szCs w:val="32"/>
        </w:rPr>
      </w:pPr>
    </w:p>
    <w:p w14:paraId="4FD5BF1C">
      <w:pPr>
        <w:adjustRightInd w:val="0"/>
        <w:snapToGrid w:val="0"/>
        <w:spacing w:beforeLines="50" w:line="360" w:lineRule="auto"/>
        <w:jc w:val="center"/>
        <w:rPr>
          <w:rFonts w:hint="eastAsia" w:ascii="宋体" w:hAnsi="宋体" w:eastAsia="宋体" w:cs="宋体"/>
          <w:b/>
          <w:bCs/>
          <w:color w:val="auto"/>
          <w:sz w:val="32"/>
          <w:szCs w:val="32"/>
        </w:rPr>
      </w:pPr>
    </w:p>
    <w:p w14:paraId="20EE5A4E">
      <w:pPr>
        <w:adjustRightInd w:val="0"/>
        <w:snapToGrid w:val="0"/>
        <w:spacing w:beforeLines="50" w:line="360" w:lineRule="auto"/>
        <w:rPr>
          <w:rFonts w:hint="eastAsia" w:ascii="宋体" w:hAnsi="宋体" w:eastAsia="宋体" w:cs="宋体"/>
          <w:b/>
          <w:color w:val="auto"/>
          <w:sz w:val="32"/>
          <w:szCs w:val="32"/>
        </w:rPr>
      </w:pPr>
    </w:p>
    <w:p w14:paraId="1AFAF4EF">
      <w:pPr>
        <w:numPr>
          <w:ilvl w:val="0"/>
          <w:numId w:val="3"/>
        </w:numPr>
        <w:adjustRightInd w:val="0"/>
        <w:snapToGrid w:val="0"/>
        <w:spacing w:beforeLines="50" w:line="360" w:lineRule="auto"/>
        <w:jc w:val="center"/>
        <w:outlineLvl w:val="0"/>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bookmarkStart w:id="142" w:name="_Toc11805_WPSOffice_Level1"/>
      <w:bookmarkStart w:id="143" w:name="_Toc688"/>
      <w:bookmarkStart w:id="144" w:name="_Toc20492"/>
      <w:r>
        <w:rPr>
          <w:rFonts w:hint="eastAsia" w:ascii="宋体" w:hAnsi="宋体" w:eastAsia="宋体" w:cs="宋体"/>
          <w:b/>
          <w:color w:val="auto"/>
          <w:sz w:val="32"/>
          <w:szCs w:val="32"/>
        </w:rPr>
        <w:t>采购需求</w:t>
      </w:r>
      <w:bookmarkEnd w:id="142"/>
      <w:bookmarkEnd w:id="143"/>
      <w:bookmarkEnd w:id="144"/>
    </w:p>
    <w:p w14:paraId="4CB0BEBB">
      <w:pPr>
        <w:pStyle w:val="69"/>
        <w:adjustRightInd w:val="0"/>
        <w:snapToGrid w:val="0"/>
        <w:spacing w:before="156" w:beforeLines="50"/>
        <w:jc w:val="center"/>
        <w:rPr>
          <w:rStyle w:val="28"/>
          <w:rFonts w:hint="eastAsia" w:ascii="宋体" w:hAnsi="宋体" w:eastAsia="宋体" w:cs="宋体"/>
          <w:color w:val="auto"/>
          <w:sz w:val="28"/>
          <w:szCs w:val="28"/>
        </w:rPr>
      </w:pPr>
      <w:bookmarkStart w:id="145" w:name="_Toc20839"/>
      <w:bookmarkStart w:id="146" w:name="_Toc256000038"/>
      <w:r>
        <w:rPr>
          <w:rStyle w:val="28"/>
          <w:rFonts w:hint="eastAsia" w:ascii="宋体" w:hAnsi="宋体" w:eastAsia="宋体" w:cs="宋体"/>
          <w:color w:val="auto"/>
          <w:sz w:val="28"/>
          <w:szCs w:val="28"/>
        </w:rPr>
        <w:t>第一节 采购清单一览表</w:t>
      </w:r>
      <w:bookmarkEnd w:id="145"/>
      <w:bookmarkEnd w:id="146"/>
    </w:p>
    <w:tbl>
      <w:tblPr>
        <w:tblStyle w:val="26"/>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11"/>
        <w:gridCol w:w="1800"/>
        <w:gridCol w:w="1405"/>
        <w:gridCol w:w="1051"/>
        <w:gridCol w:w="1320"/>
        <w:gridCol w:w="1319"/>
      </w:tblGrid>
      <w:tr w14:paraId="55A175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26" w:hRule="atLeast"/>
        </w:trPr>
        <w:tc>
          <w:tcPr>
            <w:tcW w:w="671" w:type="dxa"/>
            <w:vAlign w:val="center"/>
          </w:tcPr>
          <w:p w14:paraId="6037609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 xml:space="preserve">包号 </w:t>
            </w:r>
          </w:p>
        </w:tc>
        <w:tc>
          <w:tcPr>
            <w:tcW w:w="1711" w:type="dxa"/>
            <w:vAlign w:val="center"/>
          </w:tcPr>
          <w:p w14:paraId="3CF248E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包名称</w:t>
            </w:r>
          </w:p>
        </w:tc>
        <w:tc>
          <w:tcPr>
            <w:tcW w:w="1800" w:type="dxa"/>
            <w:vAlign w:val="center"/>
          </w:tcPr>
          <w:p w14:paraId="0AC9BAC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标的名称</w:t>
            </w:r>
          </w:p>
        </w:tc>
        <w:tc>
          <w:tcPr>
            <w:tcW w:w="1405" w:type="dxa"/>
            <w:tcBorders>
              <w:left w:val="single" w:color="auto" w:sz="4" w:space="0"/>
            </w:tcBorders>
            <w:vAlign w:val="center"/>
          </w:tcPr>
          <w:p w14:paraId="5E82533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简要技术要求</w:t>
            </w:r>
          </w:p>
        </w:tc>
        <w:tc>
          <w:tcPr>
            <w:tcW w:w="1051" w:type="dxa"/>
            <w:tcBorders>
              <w:left w:val="single" w:color="auto" w:sz="4" w:space="0"/>
            </w:tcBorders>
            <w:vAlign w:val="center"/>
          </w:tcPr>
          <w:p w14:paraId="7DCA2BFE">
            <w:pPr>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szCs w:val="21"/>
              </w:rPr>
              <w:t>数量</w:t>
            </w:r>
          </w:p>
        </w:tc>
        <w:tc>
          <w:tcPr>
            <w:tcW w:w="1320" w:type="dxa"/>
            <w:vAlign w:val="center"/>
          </w:tcPr>
          <w:p w14:paraId="6A10CB5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标的预算（元）</w:t>
            </w:r>
          </w:p>
        </w:tc>
        <w:tc>
          <w:tcPr>
            <w:tcW w:w="1319" w:type="dxa"/>
            <w:vAlign w:val="center"/>
          </w:tcPr>
          <w:p w14:paraId="01BCD9CF">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最高限价（元）</w:t>
            </w:r>
          </w:p>
        </w:tc>
      </w:tr>
      <w:tr w14:paraId="7407EF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671" w:type="dxa"/>
            <w:vAlign w:val="center"/>
          </w:tcPr>
          <w:p w14:paraId="038D7B6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711" w:type="dxa"/>
            <w:vAlign w:val="center"/>
          </w:tcPr>
          <w:p w14:paraId="1335952D">
            <w:pPr>
              <w:adjustRightInd w:val="0"/>
              <w:snapToGrid w:val="0"/>
              <w:jc w:val="center"/>
              <w:rPr>
                <w:rFonts w:hint="eastAsia" w:ascii="宋体" w:hAnsi="宋体" w:eastAsia="宋体" w:cs="宋体"/>
                <w:color w:val="auto"/>
                <w:szCs w:val="21"/>
                <w:u w:val="none"/>
                <w:lang w:eastAsia="zh-CN"/>
              </w:rPr>
            </w:pPr>
            <w:r>
              <w:rPr>
                <w:rFonts w:hint="eastAsia" w:ascii="宋体" w:hAnsi="宋体" w:cs="宋体"/>
                <w:color w:val="auto"/>
                <w:szCs w:val="21"/>
                <w:u w:val="none"/>
                <w:lang w:eastAsia="zh-CN"/>
              </w:rPr>
              <w:t>攸县国土空间总体规划动态维护项目</w:t>
            </w:r>
          </w:p>
        </w:tc>
        <w:tc>
          <w:tcPr>
            <w:tcW w:w="1800" w:type="dxa"/>
            <w:vAlign w:val="center"/>
          </w:tcPr>
          <w:p w14:paraId="205C242E">
            <w:pPr>
              <w:adjustRightInd w:val="0"/>
              <w:snapToGrid w:val="0"/>
              <w:jc w:val="center"/>
              <w:rPr>
                <w:rFonts w:hint="eastAsia" w:ascii="宋体" w:hAnsi="宋体" w:eastAsia="宋体" w:cs="宋体"/>
                <w:color w:val="auto"/>
                <w:szCs w:val="21"/>
                <w:u w:val="none"/>
                <w:lang w:eastAsia="zh-CN"/>
              </w:rPr>
            </w:pPr>
            <w:r>
              <w:rPr>
                <w:rFonts w:hint="eastAsia" w:ascii="宋体" w:hAnsi="宋体" w:cs="宋体"/>
                <w:color w:val="auto"/>
                <w:szCs w:val="21"/>
                <w:u w:val="none"/>
                <w:lang w:eastAsia="zh-CN"/>
              </w:rPr>
              <w:t>攸县国土空间总体规划动态维护项目</w:t>
            </w:r>
          </w:p>
        </w:tc>
        <w:tc>
          <w:tcPr>
            <w:tcW w:w="1405" w:type="dxa"/>
            <w:tcBorders>
              <w:left w:val="single" w:color="auto" w:sz="4" w:space="0"/>
            </w:tcBorders>
            <w:vAlign w:val="center"/>
          </w:tcPr>
          <w:p w14:paraId="561DA675">
            <w:pPr>
              <w:adjustRightInd w:val="0"/>
              <w:snapToGrid w:val="0"/>
              <w:jc w:val="center"/>
              <w:rPr>
                <w:rFonts w:hint="eastAsia" w:ascii="宋体" w:hAnsi="宋体" w:eastAsia="宋体" w:cs="宋体"/>
                <w:color w:val="auto"/>
                <w:szCs w:val="21"/>
                <w:u w:val="none"/>
                <w:lang w:eastAsia="zh-CN"/>
              </w:rPr>
            </w:pPr>
            <w:r>
              <w:rPr>
                <w:rFonts w:hint="eastAsia" w:ascii="宋体" w:hAnsi="宋体" w:eastAsia="宋体" w:cs="宋体"/>
                <w:bCs/>
                <w:color w:val="auto"/>
                <w:szCs w:val="21"/>
                <w:u w:val="none"/>
                <w:lang w:eastAsia="zh-CN"/>
              </w:rPr>
              <w:t>详见第五章采购需求</w:t>
            </w:r>
          </w:p>
        </w:tc>
        <w:tc>
          <w:tcPr>
            <w:tcW w:w="1051" w:type="dxa"/>
            <w:tcBorders>
              <w:left w:val="single" w:color="auto" w:sz="4" w:space="0"/>
            </w:tcBorders>
            <w:vAlign w:val="center"/>
          </w:tcPr>
          <w:p w14:paraId="20EA22D5">
            <w:pPr>
              <w:adjustRightInd w:val="0"/>
              <w:snapToGrid w:val="0"/>
              <w:jc w:val="center"/>
              <w:rPr>
                <w:rFonts w:hint="eastAsia" w:ascii="宋体" w:hAnsi="宋体" w:eastAsia="宋体" w:cs="宋体"/>
                <w:color w:val="auto"/>
                <w:szCs w:val="21"/>
                <w:u w:val="none"/>
                <w:lang w:val="en-US" w:eastAsia="zh-CN"/>
              </w:rPr>
            </w:pPr>
            <w:r>
              <w:rPr>
                <w:rFonts w:hint="eastAsia" w:ascii="宋体" w:hAnsi="宋体" w:eastAsia="宋体" w:cs="宋体"/>
                <w:color w:val="auto"/>
                <w:szCs w:val="21"/>
                <w:u w:val="none"/>
                <w:lang w:val="en-US" w:eastAsia="zh-CN"/>
              </w:rPr>
              <w:t>1项</w:t>
            </w:r>
          </w:p>
        </w:tc>
        <w:tc>
          <w:tcPr>
            <w:tcW w:w="1320" w:type="dxa"/>
            <w:vAlign w:val="center"/>
          </w:tcPr>
          <w:p w14:paraId="3E3C4629">
            <w:pPr>
              <w:adjustRightInd w:val="0"/>
              <w:snapToGrid w:val="0"/>
              <w:jc w:val="center"/>
              <w:rPr>
                <w:rFonts w:hint="eastAsia" w:ascii="宋体" w:hAnsi="宋体" w:eastAsia="宋体" w:cs="宋体"/>
                <w:color w:val="auto"/>
                <w:szCs w:val="21"/>
                <w:u w:val="none"/>
                <w:lang w:val="en-US" w:eastAsia="zh-CN"/>
              </w:rPr>
            </w:pPr>
            <w:r>
              <w:rPr>
                <w:rFonts w:hint="eastAsia" w:ascii="宋体" w:hAnsi="宋体" w:cs="宋体"/>
                <w:color w:val="auto"/>
                <w:szCs w:val="21"/>
                <w:u w:val="none"/>
                <w:lang w:val="en-US" w:eastAsia="zh-CN"/>
              </w:rPr>
              <w:t>600000</w:t>
            </w:r>
          </w:p>
        </w:tc>
        <w:tc>
          <w:tcPr>
            <w:tcW w:w="1319" w:type="dxa"/>
            <w:vAlign w:val="center"/>
          </w:tcPr>
          <w:p w14:paraId="534EF10D">
            <w:pPr>
              <w:adjustRightInd w:val="0"/>
              <w:snapToGrid w:val="0"/>
              <w:jc w:val="center"/>
              <w:rPr>
                <w:rFonts w:hint="eastAsia" w:ascii="宋体" w:hAnsi="宋体" w:eastAsia="宋体" w:cs="宋体"/>
                <w:color w:val="auto"/>
                <w:szCs w:val="21"/>
                <w:u w:val="none"/>
                <w:lang w:val="en-US" w:eastAsia="zh-CN"/>
              </w:rPr>
            </w:pPr>
            <w:r>
              <w:rPr>
                <w:rFonts w:hint="eastAsia" w:ascii="宋体" w:hAnsi="宋体" w:cs="宋体"/>
                <w:color w:val="auto"/>
                <w:szCs w:val="21"/>
                <w:u w:val="none"/>
                <w:lang w:val="en-US" w:eastAsia="zh-CN"/>
              </w:rPr>
              <w:t>600000</w:t>
            </w:r>
          </w:p>
        </w:tc>
      </w:tr>
    </w:tbl>
    <w:p w14:paraId="2CCC41D8">
      <w:pPr>
        <w:pStyle w:val="70"/>
        <w:adjustRightInd w:val="0"/>
        <w:snapToGrid w:val="0"/>
        <w:spacing w:before="156" w:beforeLines="50" w:line="360" w:lineRule="auto"/>
        <w:rPr>
          <w:rStyle w:val="28"/>
          <w:rFonts w:hint="eastAsia" w:ascii="宋体" w:hAnsi="宋体" w:eastAsia="宋体" w:cs="宋体"/>
          <w:color w:val="auto"/>
          <w:szCs w:val="21"/>
        </w:rPr>
      </w:pPr>
      <w:r>
        <w:rPr>
          <w:rStyle w:val="28"/>
          <w:rFonts w:hint="eastAsia" w:ascii="宋体" w:hAnsi="宋体" w:eastAsia="宋体" w:cs="宋体"/>
          <w:color w:val="auto"/>
          <w:szCs w:val="21"/>
        </w:rPr>
        <w:t>注：1、“包”为最小合同单位（最小投标单位）。每“包”内容应细化到“品目”（如果分品目的）。</w:t>
      </w:r>
    </w:p>
    <w:p w14:paraId="50B080A3">
      <w:pPr>
        <w:pStyle w:val="70"/>
        <w:adjustRightInd w:val="0"/>
        <w:snapToGrid w:val="0"/>
        <w:spacing w:before="156" w:beforeLines="50" w:line="360" w:lineRule="auto"/>
        <w:ind w:firstLine="420" w:firstLineChars="200"/>
        <w:rPr>
          <w:rStyle w:val="28"/>
          <w:rFonts w:hint="eastAsia" w:ascii="宋体" w:hAnsi="宋体" w:eastAsia="宋体" w:cs="宋体"/>
          <w:color w:val="auto"/>
          <w:szCs w:val="21"/>
        </w:rPr>
      </w:pPr>
      <w:r>
        <w:rPr>
          <w:rStyle w:val="28"/>
          <w:rFonts w:hint="eastAsia" w:ascii="宋体" w:hAnsi="宋体" w:eastAsia="宋体" w:cs="宋体"/>
          <w:color w:val="auto"/>
          <w:szCs w:val="21"/>
        </w:rPr>
        <w:t>2、</w:t>
      </w:r>
      <w:r>
        <w:rPr>
          <w:rStyle w:val="28"/>
          <w:rFonts w:hint="eastAsia" w:ascii="宋体" w:hAnsi="宋体" w:eastAsia="宋体" w:cs="宋体"/>
          <w:color w:val="auto"/>
          <w:szCs w:val="21"/>
          <w:lang w:eastAsia="zh-CN"/>
        </w:rPr>
        <w:t>供应商</w:t>
      </w:r>
      <w:r>
        <w:rPr>
          <w:rStyle w:val="28"/>
          <w:rFonts w:hint="eastAsia" w:ascii="宋体" w:hAnsi="宋体" w:eastAsia="宋体" w:cs="宋体"/>
          <w:color w:val="auto"/>
          <w:szCs w:val="21"/>
        </w:rPr>
        <w:t>必须对一个完整、独立的包进行投标，不得仅对一个包中的部分品目投标，否则</w:t>
      </w:r>
      <w:r>
        <w:rPr>
          <w:rStyle w:val="28"/>
          <w:rFonts w:hint="eastAsia" w:ascii="宋体" w:hAnsi="宋体" w:eastAsia="宋体" w:cs="宋体"/>
          <w:b/>
          <w:color w:val="auto"/>
          <w:szCs w:val="21"/>
        </w:rPr>
        <w:t>投标无效。</w:t>
      </w:r>
    </w:p>
    <w:p w14:paraId="39342B5A">
      <w:pPr>
        <w:pStyle w:val="70"/>
        <w:adjustRightInd w:val="0"/>
        <w:snapToGrid w:val="0"/>
        <w:spacing w:before="156" w:beforeLines="50" w:line="360" w:lineRule="auto"/>
        <w:ind w:firstLine="420" w:firstLineChars="200"/>
        <w:rPr>
          <w:rStyle w:val="28"/>
          <w:rFonts w:hint="eastAsia" w:ascii="宋体" w:hAnsi="宋体" w:eastAsia="宋体" w:cs="宋体"/>
          <w:color w:val="auto"/>
          <w:kern w:val="0"/>
          <w:szCs w:val="21"/>
        </w:rPr>
      </w:pPr>
      <w:r>
        <w:rPr>
          <w:rStyle w:val="28"/>
          <w:rFonts w:hint="eastAsia" w:ascii="宋体" w:hAnsi="宋体" w:eastAsia="宋体" w:cs="宋体"/>
          <w:color w:val="auto"/>
          <w:szCs w:val="21"/>
        </w:rPr>
        <w:t>3、货物的主要技术参数或规格：</w:t>
      </w:r>
      <w:r>
        <w:rPr>
          <w:rStyle w:val="28"/>
          <w:rFonts w:hint="eastAsia" w:ascii="宋体" w:hAnsi="宋体" w:eastAsia="宋体" w:cs="宋体"/>
          <w:color w:val="auto"/>
          <w:kern w:val="0"/>
          <w:szCs w:val="21"/>
        </w:rPr>
        <w:t>详见“技术要求”中的具体技术参数。</w:t>
      </w:r>
    </w:p>
    <w:p w14:paraId="27A0A0AF">
      <w:pPr>
        <w:pStyle w:val="70"/>
        <w:adjustRightInd w:val="0"/>
        <w:snapToGrid w:val="0"/>
        <w:spacing w:before="156" w:beforeLines="50" w:line="360" w:lineRule="auto"/>
        <w:ind w:firstLine="420" w:firstLineChars="200"/>
        <w:rPr>
          <w:rStyle w:val="28"/>
          <w:rFonts w:hint="eastAsia" w:ascii="宋体" w:hAnsi="宋体" w:eastAsia="宋体" w:cs="宋体"/>
          <w:color w:val="auto"/>
          <w:kern w:val="0"/>
          <w:szCs w:val="21"/>
        </w:rPr>
      </w:pPr>
      <w:r>
        <w:rPr>
          <w:rStyle w:val="28"/>
          <w:rFonts w:hint="eastAsia" w:ascii="宋体" w:hAnsi="宋体" w:eastAsia="宋体" w:cs="宋体"/>
          <w:bCs/>
          <w:color w:val="auto"/>
          <w:kern w:val="0"/>
          <w:szCs w:val="21"/>
        </w:rPr>
        <w:t>4、</w:t>
      </w:r>
      <w:r>
        <w:rPr>
          <w:rStyle w:val="28"/>
          <w:rFonts w:hint="eastAsia" w:ascii="宋体" w:hAnsi="宋体" w:eastAsia="宋体" w:cs="宋体"/>
          <w:bCs/>
          <w:color w:val="auto"/>
          <w:kern w:val="0"/>
          <w:szCs w:val="21"/>
          <w:lang w:eastAsia="zh-CN"/>
        </w:rPr>
        <w:t>供应商</w:t>
      </w:r>
      <w:r>
        <w:rPr>
          <w:rStyle w:val="28"/>
          <w:rFonts w:hint="eastAsia" w:ascii="宋体" w:hAnsi="宋体" w:eastAsia="宋体" w:cs="宋体"/>
          <w:bCs/>
          <w:color w:val="auto"/>
          <w:kern w:val="0"/>
          <w:szCs w:val="21"/>
        </w:rPr>
        <w:t>应</w:t>
      </w:r>
      <w:r>
        <w:rPr>
          <w:rStyle w:val="28"/>
          <w:rFonts w:hint="eastAsia" w:ascii="宋体" w:hAnsi="宋体" w:eastAsia="宋体" w:cs="宋体"/>
          <w:color w:val="auto"/>
          <w:kern w:val="0"/>
          <w:szCs w:val="21"/>
        </w:rPr>
        <w:t>在投标文件《分项报价明细表》中按</w:t>
      </w:r>
      <w:r>
        <w:rPr>
          <w:rStyle w:val="28"/>
          <w:rFonts w:hint="eastAsia" w:ascii="宋体" w:hAnsi="宋体" w:eastAsia="宋体" w:cs="宋体"/>
          <w:color w:val="auto"/>
          <w:szCs w:val="21"/>
        </w:rPr>
        <w:t>分项项目名称（包括</w:t>
      </w:r>
      <w:r>
        <w:rPr>
          <w:rStyle w:val="28"/>
          <w:rFonts w:hint="eastAsia" w:ascii="宋体" w:hAnsi="宋体" w:eastAsia="宋体" w:cs="宋体"/>
          <w:color w:val="auto"/>
          <w:kern w:val="0"/>
          <w:szCs w:val="21"/>
        </w:rPr>
        <w:t>条目号/品目名称）顺序逐项填写，且每个品目中的条目均需按</w:t>
      </w:r>
      <w:r>
        <w:rPr>
          <w:rStyle w:val="28"/>
          <w:rFonts w:hint="eastAsia" w:ascii="宋体" w:hAnsi="宋体" w:eastAsia="宋体" w:cs="宋体"/>
          <w:color w:val="auto"/>
          <w:kern w:val="0"/>
          <w:szCs w:val="21"/>
          <w:lang w:eastAsia="zh-CN"/>
        </w:rPr>
        <w:t>磋商</w:t>
      </w:r>
      <w:r>
        <w:rPr>
          <w:rStyle w:val="28"/>
          <w:rFonts w:hint="eastAsia" w:ascii="宋体" w:hAnsi="宋体" w:eastAsia="宋体" w:cs="宋体"/>
          <w:color w:val="auto"/>
          <w:kern w:val="0"/>
          <w:szCs w:val="21"/>
        </w:rPr>
        <w:t>文件规定报价。如有缺项、漏项，其</w:t>
      </w:r>
      <w:r>
        <w:rPr>
          <w:rStyle w:val="28"/>
          <w:rFonts w:hint="eastAsia" w:ascii="宋体" w:hAnsi="宋体" w:eastAsia="宋体" w:cs="宋体"/>
          <w:b/>
          <w:color w:val="auto"/>
          <w:kern w:val="0"/>
          <w:szCs w:val="21"/>
        </w:rPr>
        <w:t>投标无效</w:t>
      </w:r>
      <w:r>
        <w:rPr>
          <w:rStyle w:val="28"/>
          <w:rFonts w:hint="eastAsia" w:ascii="宋体" w:hAnsi="宋体" w:eastAsia="宋体" w:cs="宋体"/>
          <w:color w:val="auto"/>
          <w:kern w:val="0"/>
          <w:szCs w:val="21"/>
        </w:rPr>
        <w:t>。</w:t>
      </w:r>
    </w:p>
    <w:p w14:paraId="61F03A4C">
      <w:pPr>
        <w:pStyle w:val="70"/>
        <w:adjustRightInd w:val="0"/>
        <w:snapToGrid w:val="0"/>
        <w:spacing w:before="156" w:beforeLines="50" w:line="360" w:lineRule="auto"/>
        <w:rPr>
          <w:rStyle w:val="28"/>
          <w:rFonts w:hint="eastAsia" w:ascii="宋体" w:hAnsi="宋体" w:eastAsia="宋体" w:cs="宋体"/>
          <w:color w:val="auto"/>
          <w:kern w:val="0"/>
          <w:szCs w:val="21"/>
        </w:rPr>
      </w:pPr>
      <w:r>
        <w:rPr>
          <w:rStyle w:val="28"/>
          <w:rFonts w:hint="eastAsia" w:ascii="宋体" w:hAnsi="宋体" w:eastAsia="宋体" w:cs="宋体"/>
          <w:color w:val="auto"/>
          <w:kern w:val="0"/>
          <w:szCs w:val="21"/>
        </w:rPr>
        <w:br w:type="page"/>
      </w:r>
    </w:p>
    <w:p w14:paraId="7105782F">
      <w:pPr>
        <w:pStyle w:val="70"/>
        <w:numPr>
          <w:ilvl w:val="0"/>
          <w:numId w:val="4"/>
        </w:numPr>
        <w:adjustRightInd w:val="0"/>
        <w:snapToGrid w:val="0"/>
        <w:spacing w:before="156" w:beforeLines="50" w:line="360" w:lineRule="auto"/>
        <w:jc w:val="center"/>
        <w:rPr>
          <w:rStyle w:val="28"/>
          <w:rFonts w:hint="eastAsia" w:ascii="宋体" w:hAnsi="宋体" w:eastAsia="宋体" w:cs="宋体"/>
          <w:b/>
          <w:bCs/>
          <w:color w:val="auto"/>
          <w:sz w:val="28"/>
          <w:szCs w:val="28"/>
        </w:rPr>
      </w:pPr>
      <w:r>
        <w:rPr>
          <w:rStyle w:val="28"/>
          <w:rFonts w:hint="eastAsia" w:ascii="宋体" w:hAnsi="宋体" w:eastAsia="宋体" w:cs="宋体"/>
          <w:b/>
          <w:bCs/>
          <w:color w:val="auto"/>
          <w:sz w:val="28"/>
          <w:szCs w:val="28"/>
        </w:rPr>
        <w:t>技术要求</w:t>
      </w:r>
    </w:p>
    <w:p w14:paraId="14F90661">
      <w:pPr>
        <w:keepNext w:val="0"/>
        <w:keepLines w:val="0"/>
        <w:widowControl/>
        <w:suppressLineNumbers w:val="0"/>
        <w:spacing w:line="360" w:lineRule="auto"/>
        <w:jc w:val="left"/>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一、工作背景</w:t>
      </w:r>
    </w:p>
    <w:p w14:paraId="121D98E7">
      <w:pPr>
        <w:keepNext w:val="0"/>
        <w:keepLines w:val="0"/>
        <w:widowControl/>
        <w:suppressLineNumbers w:val="0"/>
        <w:spacing w:line="360" w:lineRule="auto"/>
        <w:ind w:firstLine="420" w:firstLineChars="200"/>
        <w:jc w:val="left"/>
        <w:rPr>
          <w:rFonts w:ascii="Calibri" w:hAnsi="Calibri" w:eastAsia="宋体" w:cs="Times New Roman"/>
          <w:sz w:val="21"/>
          <w:szCs w:val="21"/>
        </w:rPr>
      </w:pPr>
      <w:r>
        <w:rPr>
          <w:rFonts w:hint="eastAsia" w:ascii="宋体" w:hAnsi="宋体" w:eastAsia="宋体" w:cs="宋体"/>
          <w:color w:val="000000"/>
          <w:kern w:val="0"/>
          <w:sz w:val="21"/>
          <w:szCs w:val="21"/>
          <w:lang w:val="en-US" w:eastAsia="zh-CN" w:bidi="ar"/>
        </w:rPr>
        <w:t>为深入贯彻自然资源部办公厅《关于对接“十五五”规划开展国土空间总体规划动态调整完善的通知》及湖南省自然资源厅办公室《关于开展国土空间总体规划动态调整完善工作的通知》文件精神，立足攸县作为湘赣边区域南部中心城市、株洲市域副中心城市的功能定位，精准对接“十五五”规划编制需求，切实保障县域产业升级、城乡融合发展等重大战略项目落地，结合2025年度国土空间规划实施体检评估，开展2026年度攸县国土空间总体规划动态维护工作。</w:t>
      </w:r>
    </w:p>
    <w:p w14:paraId="11E469B6">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二、工作内容</w:t>
      </w:r>
      <w:r>
        <w:rPr>
          <w:rFonts w:hint="eastAsia" w:ascii="宋体" w:hAnsi="宋体" w:eastAsia="宋体" w:cs="宋体"/>
          <w:color w:val="000000"/>
          <w:kern w:val="0"/>
          <w:sz w:val="21"/>
          <w:szCs w:val="21"/>
          <w:lang w:val="en-US" w:eastAsia="zh-CN" w:bidi="ar"/>
        </w:rPr>
        <w:t xml:space="preserve"> </w:t>
      </w:r>
    </w:p>
    <w:p w14:paraId="651143F6">
      <w:pPr>
        <w:keepNext w:val="0"/>
        <w:keepLines w:val="0"/>
        <w:widowControl/>
        <w:suppressLineNumbers w:val="0"/>
        <w:spacing w:line="360" w:lineRule="auto"/>
        <w:jc w:val="left"/>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 xml:space="preserve">1、工作范围 </w:t>
      </w:r>
    </w:p>
    <w:p w14:paraId="7BBBC18F">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本次规划范围为攸县全域。</w:t>
      </w:r>
    </w:p>
    <w:p w14:paraId="680E0F2E">
      <w:pPr>
        <w:keepNext w:val="0"/>
        <w:keepLines w:val="0"/>
        <w:widowControl/>
        <w:suppressLineNumbers w:val="0"/>
        <w:spacing w:line="360" w:lineRule="auto"/>
        <w:jc w:val="left"/>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 xml:space="preserve">2、基本原则 </w:t>
      </w:r>
    </w:p>
    <w:p w14:paraId="28DC53F3">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（1）落实重大战略。紧密衔接国家、省、市重大战略部署以及“十五五”时期发展需求，聚焦国土空间规划实施监测评估揭示的突出问题以及重大项目落地空间诉求，以调整促优化、解难题。 </w:t>
      </w:r>
    </w:p>
    <w:p w14:paraId="714723B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（2）注重正向优化。基于国土空间规划体检评估结果，通过理念更新、机制完善、举措创新，优化发展路径、提升发展质效、增强发展韧性，确保既守住底线又增强保障能力，推动规划“提质增效”。</w:t>
      </w:r>
    </w:p>
    <w:p w14:paraId="044330E6">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（3）坚持依法依规。严格遵守相关法律法规和技术规范，完善从需求梳理、方案编制、论证审查到审批备案的全流程管理，维护规划的严肃性和权威性。 </w:t>
      </w:r>
    </w:p>
    <w:p w14:paraId="2BD44706">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严守安全底线。以总体国家安全观为统领，把安全作为发展的前提与生命线，将安全要求嵌入规划编制、审批、实施、监管全链条，通过底线思维、系统防控、源头治理，实现发展与安全动态平衡、良性互动。 </w:t>
      </w:r>
    </w:p>
    <w:p w14:paraId="00896EFA">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3、主要任务</w:t>
      </w:r>
      <w:r>
        <w:rPr>
          <w:rFonts w:hint="eastAsia" w:ascii="宋体" w:hAnsi="宋体" w:eastAsia="宋体" w:cs="宋体"/>
          <w:color w:val="000000"/>
          <w:kern w:val="0"/>
          <w:sz w:val="21"/>
          <w:szCs w:val="21"/>
          <w:lang w:val="en-US" w:eastAsia="zh-CN" w:bidi="ar"/>
        </w:rPr>
        <w:t xml:space="preserve"> </w:t>
      </w:r>
    </w:p>
    <w:p w14:paraId="6270B7AF">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合攸县发展实际，衔接“十五五”重大任务和空间需求，重点对三条控制线、规划分区、重点项目清单等开展动态维护，优化国土空间格局，推动城市高质量发展。乡镇国土空间规划涉及三条控制线、规划分区、村庄建设边界等的维护需求，纳入本次总体规划一并维护。 </w:t>
      </w:r>
    </w:p>
    <w:p w14:paraId="15DA7A78">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三条控制线。主要包括：耕地和永久基本农田数量不减少、质量生态有提高、布局更优化；生态保护红线任务不减少、功能有提升、布局更完善；城镇开发边界扩展倍数不增加、布局更集聚、功能更优化、安全韧性有提高、节约集约利用等。 </w:t>
      </w:r>
    </w:p>
    <w:p w14:paraId="1954978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（2）规划分区。在符合规划分区主导功能基本稳定、布局更加集聚的前提下，对全域规划一级分区和中心城区规划二级分区进行布局优化。可根据实际情况，补划其他城镇建设区。 </w:t>
      </w:r>
    </w:p>
    <w:p w14:paraId="386E80E7">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中心城区用地规划布局。在不涉及规划强制性内容、确保用地结构和空间布局基本稳定的前提下，按照规划分区确定的主导功能和管控要求，统筹生产、生活、生态空间，优化中心城区用地规划布局，优先保障教育、医疗、养老等民生公共服务设施用地，提升中心城区综合承载能力和宜居水平。 </w:t>
      </w:r>
    </w:p>
    <w:p w14:paraId="0782489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城市“四线”。在确保城市绿线、蓝线总量不减少，黄线规模稳中有控，且功能都不降低、布局基本稳定的前提下，充分衔接相关专项规划，优化布局，增强城市绿线、蓝线、黄线与城市功能、安全韧性的适配性。城市紫线应在有效保护历史文化资源的前提下，依据确定的保护范围、建设控制地带，细化落实边界。确保营造高品质城市生活空间，促进城市繁荣发展，提升人民生活幸福成色。 </w:t>
      </w:r>
    </w:p>
    <w:p w14:paraId="3E126615">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其他重要控制线。历史文化保护线、洪涝风险控制线等其他各类重要控制线，根据相关主管部门最新确定的管控范围线，相应进行细化落实。历史文化保护线要与全国文物普查和历史文化遗产保护名录等变化联动调整，统筹包括城市紫线在内的各类历史文化保护线，提升自然和历史文化资源的保护和利用水平。洪涝风险控制线要与防洪排涝通道和蓄滞洪区变化联动调整，提升防洪排涝系统的完整性和通达性。 </w:t>
      </w:r>
    </w:p>
    <w:p w14:paraId="28E7A183">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6）省级及以上产业园区发展边界。在确保产业园区发展边界全部位于城镇开发边界范围内、规模和布局基本稳定的前提下，充分考虑环境保护、城镇建设、园区产业发展和邻避要求等多项因素，优化调整产业园区发展边界。 </w:t>
      </w:r>
    </w:p>
    <w:p w14:paraId="217A51CB">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7）详细规划编制单元。在确保城市功能与开发强度基本稳定的前提下，立足规划管理实际，进一步衔接管理事权与产权地界，协调规划分区、城乡生活圈及城市更新重点区域，优化完善详细规划编制单元具体边界和传导要求，提升实施管理适应性与规划传导精准性。 </w:t>
      </w:r>
    </w:p>
    <w:p w14:paraId="17BB763A">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（8）村庄建设边界。在不突破村庄建设用地规模指标的前提下，结合乡村产业发展、乡村公共设施和公益事业建设、村民建房等需求，优化村庄建设用地具体布局。 </w:t>
      </w:r>
    </w:p>
    <w:p w14:paraId="67B3244E">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9）规划建设用地规模留白。在严守城镇开发边界扩展倍数不增加的前提下，可预留一定比例的新增城镇建设用地、新增村庄建设用地规模不具体落位，在规划实施中逐步上图落位，用以保障重大战略实施、重大项目、城镇开发边界外有特殊选址要求的零星城镇建设用地以及农村基础设施、公共服务设施、村民建房、乡村产业用地等。 可在城镇开发边界外、中心城区范围内划定城镇有条件建设区，运用留白指标保障重大项目、重要设施等重点工作有序推进，实现空间资源的精准配置与高效利用。城镇有条件建设区的划定应符合城市总体战略发展方向以及园区发展需求等，须避让集中连片耕地、地质灾害高易发区等不适宜建设区，原则上应与现有城镇开发边界连绵成片。 </w:t>
      </w:r>
    </w:p>
    <w:p w14:paraId="17B86287">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10）重点建设项目清单。主动对接“十五五”发展规划及相关专项规划，动态更新交通、能源、水利、采矿、殡葬等规划重点建设项目列表。对于空间位置已明确的，应落图；暂无法精准落位的，可采用示意上图或列表方式纳入。 </w:t>
      </w:r>
    </w:p>
    <w:p w14:paraId="678AE6B9">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其他涉及规划动态维护的情形。将耕地保护和国土绿化空间专项规划等有关专项规划内容纳入攸县国土空间总体规划，修订攸县国土空间总体规划有关内容，调整不涉及规划强制性内容的攸县国土空间总体规划相关文本内容、表格、图件等。 </w:t>
      </w:r>
    </w:p>
    <w:p w14:paraId="6C14913B">
      <w:pPr>
        <w:keepNext w:val="0"/>
        <w:keepLines w:val="0"/>
        <w:widowControl/>
        <w:suppressLineNumbers w:val="0"/>
        <w:spacing w:line="360" w:lineRule="auto"/>
        <w:jc w:val="left"/>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 xml:space="preserve">三、相关标准 </w:t>
      </w:r>
    </w:p>
    <w:p w14:paraId="1F21BCDE">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1、《中共中央 国务院关于建立国土空间规划体系并监督实施的若干意见》(中发〔2019〕18号)； </w:t>
      </w:r>
    </w:p>
    <w:p w14:paraId="1C60378C">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2.《中共湖南省委 湖南省人民政府关于加强国土空间规划体系建设并监督实施的意见》(湘发〔2020 〕9号) ； </w:t>
      </w:r>
    </w:p>
    <w:p w14:paraId="78F0F76A">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3.《国土空间总体规划三条控制线正向优化标准（试行）》； </w:t>
      </w:r>
    </w:p>
    <w:p w14:paraId="0031628E">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4.《湖南省市县级国土空间总体规划动态调整完善工作方案》； </w:t>
      </w:r>
    </w:p>
    <w:p w14:paraId="0CABD777">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5.《湖南省市县国土空间总体规划动态维护方案编制指南(征求意见稿）》； </w:t>
      </w:r>
    </w:p>
    <w:p w14:paraId="5D0FBDF8">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6.《市县国土空间总体规划动态维护方案框架(征求意见稿）》； </w:t>
      </w:r>
    </w:p>
    <w:p w14:paraId="559A6825">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7.《株洲市国土空间总体规划（2021—2035年）》； </w:t>
      </w:r>
    </w:p>
    <w:p w14:paraId="6777DC5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8.《攸县国土空间总体规划（2021—2035年）》； </w:t>
      </w:r>
    </w:p>
    <w:p w14:paraId="75AAD69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9.《攸县国民经济和社会发展第十五个五年规划纲要》； </w:t>
      </w:r>
    </w:p>
    <w:p w14:paraId="4477C44F">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10.攸县各乡镇（街道）国土空间规划； </w:t>
      </w:r>
    </w:p>
    <w:p w14:paraId="2E1ECBD1">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11.其他法律法规、政策文件、标准规范及相关规划。 </w:t>
      </w:r>
    </w:p>
    <w:p w14:paraId="2A09CC68">
      <w:pPr>
        <w:keepNext w:val="0"/>
        <w:keepLines w:val="0"/>
        <w:widowControl/>
        <w:suppressLineNumbers w:val="0"/>
        <w:spacing w:line="360" w:lineRule="auto"/>
        <w:jc w:val="left"/>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四、成果资料</w:t>
      </w:r>
    </w:p>
    <w:p w14:paraId="570D9512">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成果主要包括攸县国土空间总体规划动态维护方案、攸县国土空间总体规划数据库更新包、相关附件资料以及攸县国土空间总体规划文本、图纸的调整说明及数据库等相关成果资料。确保材料完整、符合规则要求、优化后成效明显，程序规范到位。</w:t>
      </w:r>
    </w:p>
    <w:p w14:paraId="03B3FBA3">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16FD69BE">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5A376D90">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2BA0DD7A">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4ACC1F22">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56008578">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1FA08E64">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1B1A289B">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2509C013">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0329B8F9">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620D8674">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4AD875F4">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2649D22A">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ind w:firstLine="420" w:firstLineChars="200"/>
        <w:textAlignment w:val="center"/>
        <w:rPr>
          <w:rFonts w:hint="eastAsia" w:ascii="宋体" w:hAnsi="宋体" w:eastAsia="宋体" w:cs="宋体"/>
          <w:color w:val="auto"/>
          <w:kern w:val="0"/>
          <w:sz w:val="21"/>
          <w:szCs w:val="21"/>
          <w:lang w:val="en-US" w:eastAsia="zh-CN" w:bidi="ar-SA"/>
        </w:rPr>
      </w:pPr>
    </w:p>
    <w:p w14:paraId="25A3B9DB">
      <w:pPr>
        <w:pStyle w:val="70"/>
        <w:numPr>
          <w:ilvl w:val="0"/>
          <w:numId w:val="5"/>
        </w:numPr>
        <w:adjustRightInd w:val="0"/>
        <w:snapToGrid w:val="0"/>
        <w:spacing w:before="156" w:beforeLines="50" w:line="360" w:lineRule="auto"/>
        <w:jc w:val="center"/>
        <w:rPr>
          <w:rStyle w:val="28"/>
          <w:rFonts w:hint="eastAsia" w:ascii="宋体" w:hAnsi="宋体" w:eastAsia="宋体" w:cs="宋体"/>
          <w:b/>
          <w:bCs/>
          <w:color w:val="auto"/>
          <w:sz w:val="28"/>
          <w:szCs w:val="28"/>
        </w:rPr>
      </w:pPr>
      <w:r>
        <w:rPr>
          <w:rStyle w:val="28"/>
          <w:rFonts w:hint="eastAsia" w:ascii="宋体" w:hAnsi="宋体" w:eastAsia="宋体" w:cs="宋体"/>
          <w:b/>
          <w:bCs/>
          <w:color w:val="auto"/>
          <w:sz w:val="28"/>
          <w:szCs w:val="28"/>
          <w:lang w:eastAsia="zh-CN"/>
        </w:rPr>
        <w:t>商务</w:t>
      </w:r>
      <w:r>
        <w:rPr>
          <w:rStyle w:val="28"/>
          <w:rFonts w:hint="eastAsia" w:ascii="宋体" w:hAnsi="宋体" w:eastAsia="宋体" w:cs="宋体"/>
          <w:b/>
          <w:bCs/>
          <w:color w:val="auto"/>
          <w:sz w:val="28"/>
          <w:szCs w:val="28"/>
        </w:rPr>
        <w:t>要求</w:t>
      </w:r>
    </w:p>
    <w:p w14:paraId="2DD28C0D">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400" w:lineRule="exact"/>
        <w:textAlignment w:val="center"/>
        <w:rPr>
          <w:rFonts w:hint="eastAsia" w:ascii="宋体" w:hAnsi="宋体" w:eastAsia="宋体" w:cs="宋体"/>
          <w:color w:val="auto"/>
          <w:kern w:val="0"/>
          <w:sz w:val="21"/>
          <w:szCs w:val="21"/>
          <w:lang w:val="en-US" w:eastAsia="zh-CN" w:bidi="ar-SA"/>
        </w:rPr>
      </w:pPr>
    </w:p>
    <w:p w14:paraId="716CC2BD">
      <w:pPr>
        <w:pStyle w:val="23"/>
        <w:keepNext w:val="0"/>
        <w:keepLines w:val="0"/>
        <w:pageBreakBefore w:val="0"/>
        <w:numPr>
          <w:ilvl w:val="0"/>
          <w:numId w:val="6"/>
        </w:numPr>
        <w:kinsoku/>
        <w:wordWrap/>
        <w:overflowPunct/>
        <w:topLinePunct w:val="0"/>
        <w:bidi w:val="0"/>
        <w:adjustRightInd/>
        <w:snapToGrid/>
        <w:spacing w:before="0" w:beforeAutospacing="0" w:after="0" w:afterAutospacing="0" w:line="360" w:lineRule="auto"/>
        <w:ind w:firstLine="420" w:firstLineChars="200"/>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eastAsia="zh-CN"/>
        </w:rPr>
        <w:t>服务期限：</w:t>
      </w:r>
      <w:r>
        <w:rPr>
          <w:rFonts w:hint="eastAsia" w:cs="宋体"/>
          <w:b w:val="0"/>
          <w:bCs w:val="0"/>
          <w:color w:val="auto"/>
          <w:sz w:val="21"/>
          <w:szCs w:val="21"/>
          <w:lang w:eastAsia="zh-CN"/>
        </w:rPr>
        <w:t>按《湖南省自然资源厅办公室关于开展国土空间总体规划动态调整完善工作的通知》及采购人要求执行</w:t>
      </w:r>
      <w:r>
        <w:rPr>
          <w:rFonts w:hint="eastAsia" w:ascii="宋体" w:hAnsi="宋体" w:eastAsia="宋体" w:cs="宋体"/>
          <w:b w:val="0"/>
          <w:bCs w:val="0"/>
          <w:color w:val="auto"/>
          <w:sz w:val="21"/>
          <w:szCs w:val="21"/>
          <w:lang w:eastAsia="zh-CN"/>
        </w:rPr>
        <w:t>，具体以合同签订时间为准。</w:t>
      </w:r>
    </w:p>
    <w:p w14:paraId="4E28BBBD">
      <w:pPr>
        <w:pStyle w:val="23"/>
        <w:keepNext w:val="0"/>
        <w:keepLines w:val="0"/>
        <w:pageBreakBefore w:val="0"/>
        <w:numPr>
          <w:ilvl w:val="0"/>
          <w:numId w:val="6"/>
        </w:numPr>
        <w:kinsoku/>
        <w:wordWrap/>
        <w:overflowPunct/>
        <w:topLinePunct w:val="0"/>
        <w:bidi w:val="0"/>
        <w:adjustRightInd/>
        <w:snapToGrid/>
        <w:spacing w:before="0" w:beforeAutospacing="0" w:after="0" w:afterAutospacing="0" w:line="360" w:lineRule="auto"/>
        <w:ind w:firstLine="420" w:firstLineChars="200"/>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付款方式：</w:t>
      </w:r>
      <w:r>
        <w:rPr>
          <w:rFonts w:hint="eastAsia" w:ascii="宋体" w:hAnsi="宋体" w:eastAsia="宋体" w:cs="宋体"/>
          <w:b w:val="0"/>
          <w:bCs w:val="0"/>
          <w:color w:val="auto"/>
          <w:sz w:val="21"/>
          <w:szCs w:val="21"/>
          <w:lang w:eastAsia="zh-CN"/>
        </w:rPr>
        <w:t>签订合同</w:t>
      </w:r>
      <w:r>
        <w:rPr>
          <w:rFonts w:hint="eastAsia" w:cs="宋体"/>
          <w:b w:val="0"/>
          <w:bCs w:val="0"/>
          <w:color w:val="auto"/>
          <w:sz w:val="21"/>
          <w:szCs w:val="21"/>
          <w:lang w:eastAsia="zh-CN"/>
        </w:rPr>
        <w:t>时双方协商确定</w:t>
      </w:r>
      <w:r>
        <w:rPr>
          <w:rFonts w:hint="eastAsia" w:ascii="宋体" w:hAnsi="宋体" w:eastAsia="宋体" w:cs="宋体"/>
          <w:b w:val="0"/>
          <w:bCs w:val="0"/>
          <w:color w:val="auto"/>
          <w:sz w:val="21"/>
          <w:szCs w:val="21"/>
        </w:rPr>
        <w:t xml:space="preserve">。 </w:t>
      </w:r>
    </w:p>
    <w:p w14:paraId="46E0A242">
      <w:pPr>
        <w:pStyle w:val="23"/>
        <w:keepNext w:val="0"/>
        <w:keepLines w:val="0"/>
        <w:pageBreakBefore w:val="0"/>
        <w:numPr>
          <w:ilvl w:val="0"/>
          <w:numId w:val="6"/>
        </w:numPr>
        <w:kinsoku/>
        <w:wordWrap/>
        <w:overflowPunct/>
        <w:topLinePunct w:val="0"/>
        <w:bidi w:val="0"/>
        <w:adjustRightInd/>
        <w:snapToGrid/>
        <w:spacing w:before="0" w:beforeAutospacing="0" w:after="0" w:afterAutospacing="0" w:line="360" w:lineRule="auto"/>
        <w:ind w:firstLine="420" w:firstLineChars="200"/>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本项目采用费用包干方式建设，供应商应根据项目要求和现场情况，详细列明项目所需的人工、管理、财务、食宿等所有费用，如一旦成交，因成交人原因在项目实施中出现任何遗漏，均由成交人免费提供，采购人不再支付任何费用。</w:t>
      </w:r>
    </w:p>
    <w:p w14:paraId="5FEFFA85">
      <w:pPr>
        <w:pStyle w:val="23"/>
        <w:keepNext w:val="0"/>
        <w:keepLines w:val="0"/>
        <w:pageBreakBefore w:val="0"/>
        <w:numPr>
          <w:ilvl w:val="0"/>
          <w:numId w:val="6"/>
        </w:numPr>
        <w:kinsoku/>
        <w:wordWrap/>
        <w:overflowPunct/>
        <w:topLinePunct w:val="0"/>
        <w:bidi w:val="0"/>
        <w:adjustRightInd/>
        <w:snapToGrid/>
        <w:spacing w:before="0" w:beforeAutospacing="0" w:after="0" w:afterAutospacing="0" w:line="360" w:lineRule="auto"/>
        <w:ind w:firstLine="420" w:firstLineChars="200"/>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成交供应商应按要求完成本项目全部服务内容，如项目验收不合格，由成交供应商返工直至合格，有关返工、再行验收，以及给采购人造成的损失等费用由成交供应商承担。连续两次项目验收不合格的，采购人可终止合同，另行按规定选择其他供应商采购，由此带来的一切损失由成交供应商承担。</w:t>
      </w:r>
    </w:p>
    <w:p w14:paraId="1E397CB6">
      <w:pPr>
        <w:widowControl/>
        <w:spacing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b w:val="0"/>
          <w:bCs w:val="0"/>
          <w:color w:val="auto"/>
          <w:spacing w:val="0"/>
          <w:w w:val="100"/>
          <w:position w:val="0"/>
          <w:sz w:val="21"/>
          <w:szCs w:val="21"/>
          <w:highlight w:val="none"/>
          <w:shd w:val="clear" w:color="auto" w:fill="auto"/>
          <w:lang w:val="en-US" w:eastAsia="zh-CN" w:bidi="en-US"/>
        </w:rPr>
        <w:t>5、违</w:t>
      </w:r>
      <w:r>
        <w:rPr>
          <w:rFonts w:hint="eastAsia" w:ascii="宋体" w:hAnsi="宋体" w:eastAsia="宋体" w:cs="宋体"/>
          <w:b w:val="0"/>
          <w:bCs/>
          <w:color w:val="auto"/>
          <w:sz w:val="21"/>
          <w:szCs w:val="21"/>
        </w:rPr>
        <w:t>对于本章所有要求，供应商应在响应文件中进行回应，作出承诺及说明，如有负偏离的，其响应文件按无效处理。</w:t>
      </w:r>
    </w:p>
    <w:p w14:paraId="4326D742">
      <w:pPr>
        <w:pStyle w:val="23"/>
        <w:keepNext w:val="0"/>
        <w:keepLines w:val="0"/>
        <w:pageBreakBefore w:val="0"/>
        <w:numPr>
          <w:ilvl w:val="0"/>
          <w:numId w:val="0"/>
        </w:numPr>
        <w:kinsoku/>
        <w:wordWrap/>
        <w:overflowPunct/>
        <w:topLinePunct w:val="0"/>
        <w:bidi w:val="0"/>
        <w:adjustRightInd/>
        <w:snapToGrid/>
        <w:spacing w:before="0" w:beforeAutospacing="0" w:after="0" w:afterAutospacing="0" w:line="360" w:lineRule="auto"/>
        <w:ind w:firstLine="420" w:firstLineChars="200"/>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6、未尽事宜按国家相关法律及行业标准执行，于双方合同中补充。</w:t>
      </w:r>
    </w:p>
    <w:p w14:paraId="33B70509">
      <w:pPr>
        <w:pageBreakBefore/>
        <w:adjustRightInd w:val="0"/>
        <w:snapToGrid w:val="0"/>
        <w:jc w:val="center"/>
        <w:outlineLvl w:val="0"/>
        <w:rPr>
          <w:rFonts w:hint="eastAsia" w:ascii="宋体" w:hAnsi="宋体" w:eastAsia="宋体" w:cs="宋体"/>
          <w:b/>
          <w:color w:val="auto"/>
          <w:sz w:val="32"/>
          <w:szCs w:val="32"/>
        </w:rPr>
      </w:pPr>
      <w:bookmarkStart w:id="147" w:name="_Toc15251"/>
      <w:bookmarkStart w:id="148" w:name="_Toc2214"/>
      <w:bookmarkStart w:id="149" w:name="_Toc14148_WPSOffice_Level1"/>
      <w:r>
        <w:rPr>
          <w:rFonts w:hint="eastAsia" w:ascii="宋体" w:hAnsi="宋体" w:eastAsia="宋体" w:cs="宋体"/>
          <w:b/>
          <w:color w:val="auto"/>
          <w:sz w:val="32"/>
          <w:szCs w:val="32"/>
        </w:rPr>
        <w:t>第六章 响应文件组成</w:t>
      </w:r>
      <w:bookmarkEnd w:id="147"/>
      <w:bookmarkEnd w:id="148"/>
      <w:bookmarkEnd w:id="149"/>
    </w:p>
    <w:p w14:paraId="3B679C8D">
      <w:pPr>
        <w:spacing w:line="360" w:lineRule="exact"/>
        <w:rPr>
          <w:rFonts w:hint="eastAsia" w:ascii="宋体" w:hAnsi="宋体" w:eastAsia="宋体" w:cs="宋体"/>
          <w:color w:val="auto"/>
          <w:sz w:val="20"/>
          <w:szCs w:val="20"/>
        </w:rPr>
      </w:pPr>
    </w:p>
    <w:p w14:paraId="6DCCB55A">
      <w:pPr>
        <w:spacing w:line="360" w:lineRule="exact"/>
        <w:rPr>
          <w:rFonts w:hint="eastAsia" w:ascii="宋体" w:hAnsi="宋体" w:eastAsia="宋体" w:cs="宋体"/>
          <w:color w:val="auto"/>
          <w:szCs w:val="21"/>
        </w:rPr>
      </w:pPr>
      <w:r>
        <w:rPr>
          <w:rFonts w:hint="eastAsia" w:ascii="宋体" w:hAnsi="宋体" w:eastAsia="宋体" w:cs="宋体"/>
          <w:color w:val="auto"/>
          <w:szCs w:val="21"/>
        </w:rPr>
        <w:t>供应商的响应文件应包含以下九个部分：</w:t>
      </w:r>
    </w:p>
    <w:p w14:paraId="5556F05C">
      <w:pPr>
        <w:spacing w:line="360" w:lineRule="exact"/>
        <w:rPr>
          <w:rFonts w:hint="eastAsia" w:ascii="宋体" w:hAnsi="宋体" w:eastAsia="宋体" w:cs="宋体"/>
          <w:color w:val="auto"/>
          <w:szCs w:val="21"/>
        </w:rPr>
      </w:pPr>
    </w:p>
    <w:p w14:paraId="5AA548A0">
      <w:pPr>
        <w:adjustRightInd w:val="0"/>
        <w:snapToGrid w:val="0"/>
        <w:spacing w:line="360" w:lineRule="auto"/>
        <w:jc w:val="left"/>
        <w:rPr>
          <w:rFonts w:hint="eastAsia" w:ascii="宋体" w:hAnsi="宋体" w:eastAsia="宋体" w:cs="宋体"/>
          <w:b/>
          <w:color w:val="auto"/>
          <w:szCs w:val="21"/>
        </w:rPr>
      </w:pPr>
      <w:bookmarkStart w:id="150" w:name="_Toc2001"/>
      <w:bookmarkStart w:id="151" w:name="_Toc12530_WPSOffice_Level2"/>
      <w:r>
        <w:rPr>
          <w:rFonts w:hint="eastAsia" w:ascii="宋体" w:hAnsi="宋体" w:eastAsia="宋体" w:cs="宋体"/>
          <w:b/>
          <w:color w:val="auto"/>
          <w:szCs w:val="21"/>
        </w:rPr>
        <w:t>一、磋商响应声明</w:t>
      </w:r>
      <w:bookmarkEnd w:id="150"/>
      <w:bookmarkEnd w:id="151"/>
    </w:p>
    <w:p w14:paraId="6DD53CE0">
      <w:pPr>
        <w:adjustRightInd w:val="0"/>
        <w:snapToGrid w:val="0"/>
        <w:spacing w:line="360" w:lineRule="auto"/>
        <w:ind w:firstLine="420" w:firstLineChars="200"/>
        <w:jc w:val="left"/>
        <w:rPr>
          <w:rFonts w:hint="eastAsia" w:ascii="宋体" w:hAnsi="宋体" w:eastAsia="宋体" w:cs="宋体"/>
          <w:color w:val="auto"/>
          <w:szCs w:val="21"/>
        </w:rPr>
      </w:pPr>
      <w:bookmarkStart w:id="152" w:name="_Toc3929_WPSOffice_Level2"/>
      <w:r>
        <w:rPr>
          <w:rFonts w:hint="eastAsia" w:ascii="宋体" w:hAnsi="宋体" w:eastAsia="宋体" w:cs="宋体"/>
          <w:color w:val="auto"/>
          <w:szCs w:val="21"/>
        </w:rPr>
        <w:t>附件1：法定代表人身份证明(法定代表人参加磋商)</w:t>
      </w:r>
      <w:bookmarkEnd w:id="152"/>
    </w:p>
    <w:p w14:paraId="4DE51C36">
      <w:pPr>
        <w:adjustRightInd w:val="0"/>
        <w:snapToGrid w:val="0"/>
        <w:spacing w:line="360" w:lineRule="auto"/>
        <w:ind w:firstLine="420" w:firstLineChars="200"/>
        <w:jc w:val="left"/>
        <w:rPr>
          <w:rFonts w:hint="eastAsia" w:ascii="宋体" w:hAnsi="宋体" w:eastAsia="宋体" w:cs="宋体"/>
          <w:color w:val="auto"/>
          <w:szCs w:val="21"/>
        </w:rPr>
      </w:pPr>
      <w:bookmarkStart w:id="153" w:name="_Toc12253_WPSOffice_Level2"/>
      <w:r>
        <w:rPr>
          <w:rFonts w:hint="eastAsia" w:ascii="宋体" w:hAnsi="宋体" w:eastAsia="宋体" w:cs="宋体"/>
          <w:color w:val="auto"/>
          <w:szCs w:val="21"/>
        </w:rPr>
        <w:t>附件2：法定代表人授权书(委托代理人参加磋商)</w:t>
      </w:r>
      <w:bookmarkEnd w:id="153"/>
    </w:p>
    <w:p w14:paraId="2096422A">
      <w:pPr>
        <w:adjustRightInd w:val="0"/>
        <w:snapToGrid w:val="0"/>
        <w:spacing w:line="360" w:lineRule="auto"/>
        <w:jc w:val="left"/>
        <w:rPr>
          <w:rFonts w:hint="eastAsia" w:ascii="宋体" w:hAnsi="宋体" w:eastAsia="宋体" w:cs="宋体"/>
          <w:b/>
          <w:color w:val="auto"/>
          <w:szCs w:val="21"/>
        </w:rPr>
      </w:pPr>
      <w:bookmarkStart w:id="154" w:name="_Toc11405"/>
      <w:bookmarkStart w:id="155" w:name="_Toc12179_WPSOffice_Level2"/>
      <w:r>
        <w:rPr>
          <w:rFonts w:hint="eastAsia" w:ascii="宋体" w:hAnsi="宋体" w:eastAsia="宋体" w:cs="宋体"/>
          <w:b/>
          <w:color w:val="auto"/>
          <w:szCs w:val="21"/>
        </w:rPr>
        <w:t>二、保证金</w:t>
      </w:r>
      <w:bookmarkEnd w:id="154"/>
      <w:bookmarkEnd w:id="155"/>
    </w:p>
    <w:p w14:paraId="3EC3F05F">
      <w:pPr>
        <w:adjustRightInd w:val="0"/>
        <w:snapToGrid w:val="0"/>
        <w:spacing w:line="360" w:lineRule="auto"/>
        <w:jc w:val="left"/>
        <w:rPr>
          <w:rFonts w:hint="eastAsia" w:ascii="宋体" w:hAnsi="宋体" w:eastAsia="宋体" w:cs="宋体"/>
          <w:b/>
          <w:color w:val="auto"/>
          <w:szCs w:val="21"/>
        </w:rPr>
      </w:pPr>
      <w:bookmarkStart w:id="156" w:name="_Toc2853_WPSOffice_Level2"/>
      <w:bookmarkStart w:id="157" w:name="_Toc6350"/>
      <w:r>
        <w:rPr>
          <w:rFonts w:hint="eastAsia" w:ascii="宋体" w:hAnsi="宋体" w:eastAsia="宋体" w:cs="宋体"/>
          <w:b/>
          <w:color w:val="auto"/>
          <w:szCs w:val="21"/>
        </w:rPr>
        <w:t>三、供应商的资格证明材料</w:t>
      </w:r>
      <w:bookmarkEnd w:id="156"/>
      <w:bookmarkEnd w:id="157"/>
    </w:p>
    <w:p w14:paraId="0E308C95">
      <w:pPr>
        <w:adjustRightInd w:val="0"/>
        <w:snapToGrid w:val="0"/>
        <w:spacing w:line="360" w:lineRule="auto"/>
        <w:ind w:firstLine="420" w:firstLineChars="200"/>
        <w:jc w:val="left"/>
        <w:rPr>
          <w:rFonts w:hint="eastAsia" w:ascii="宋体" w:hAnsi="宋体" w:eastAsia="宋体" w:cs="宋体"/>
          <w:color w:val="auto"/>
          <w:szCs w:val="21"/>
        </w:rPr>
      </w:pPr>
      <w:bookmarkStart w:id="158" w:name="_Toc24200_WPSOffice_Level2"/>
      <w:r>
        <w:rPr>
          <w:rFonts w:hint="eastAsia" w:ascii="宋体" w:hAnsi="宋体" w:eastAsia="宋体" w:cs="宋体"/>
          <w:color w:val="auto"/>
          <w:szCs w:val="21"/>
        </w:rPr>
        <w:t>附件3：供应商基本情况表</w:t>
      </w:r>
      <w:bookmarkEnd w:id="158"/>
    </w:p>
    <w:p w14:paraId="77B3DDDF">
      <w:pPr>
        <w:adjustRightInd w:val="0"/>
        <w:snapToGrid w:val="0"/>
        <w:spacing w:line="360" w:lineRule="auto"/>
        <w:ind w:firstLine="420" w:firstLineChars="200"/>
        <w:rPr>
          <w:rFonts w:hint="eastAsia" w:ascii="宋体" w:hAnsi="宋体" w:eastAsia="宋体" w:cs="宋体"/>
          <w:color w:val="auto"/>
          <w:szCs w:val="21"/>
        </w:rPr>
      </w:pPr>
      <w:bookmarkStart w:id="159" w:name="_Toc1961_WPSOffice_Level2"/>
      <w:r>
        <w:rPr>
          <w:rFonts w:hint="eastAsia" w:ascii="宋体" w:hAnsi="宋体" w:eastAsia="宋体" w:cs="宋体"/>
          <w:color w:val="auto"/>
          <w:szCs w:val="21"/>
        </w:rPr>
        <w:t>附件4：供应商资格承诺函及供应商的资格证明材料</w:t>
      </w:r>
      <w:bookmarkEnd w:id="159"/>
    </w:p>
    <w:p w14:paraId="734667E9">
      <w:pPr>
        <w:adjustRightInd w:val="0"/>
        <w:snapToGrid w:val="0"/>
        <w:spacing w:line="360" w:lineRule="auto"/>
        <w:ind w:firstLine="420" w:firstLineChars="200"/>
        <w:rPr>
          <w:rFonts w:hint="eastAsia" w:ascii="宋体" w:hAnsi="宋体" w:eastAsia="宋体" w:cs="宋体"/>
          <w:bCs/>
          <w:color w:val="auto"/>
          <w:szCs w:val="21"/>
        </w:rPr>
      </w:pPr>
      <w:bookmarkStart w:id="160" w:name="_Toc31765_WPSOffice_Level2"/>
      <w:r>
        <w:rPr>
          <w:rFonts w:hint="eastAsia" w:ascii="宋体" w:hAnsi="宋体" w:eastAsia="宋体" w:cs="宋体"/>
          <w:color w:val="auto"/>
          <w:szCs w:val="21"/>
        </w:rPr>
        <w:t>附件5：联合体协议(格式)</w:t>
      </w:r>
      <w:bookmarkEnd w:id="160"/>
    </w:p>
    <w:p w14:paraId="72080EA0">
      <w:pPr>
        <w:pStyle w:val="13"/>
        <w:adjustRightInd w:val="0"/>
        <w:snapToGrid w:val="0"/>
        <w:spacing w:line="360" w:lineRule="auto"/>
        <w:rPr>
          <w:rFonts w:hint="eastAsia" w:ascii="宋体" w:hAnsi="宋体" w:eastAsia="宋体" w:cs="宋体"/>
          <w:b/>
          <w:color w:val="auto"/>
          <w:sz w:val="21"/>
        </w:rPr>
      </w:pPr>
      <w:bookmarkStart w:id="161" w:name="_Toc594_WPSOffice_Level2"/>
      <w:bookmarkStart w:id="162" w:name="_Toc16671"/>
      <w:r>
        <w:rPr>
          <w:rFonts w:hint="eastAsia" w:ascii="宋体" w:hAnsi="宋体" w:eastAsia="宋体" w:cs="宋体"/>
          <w:b/>
          <w:color w:val="auto"/>
          <w:sz w:val="21"/>
        </w:rPr>
        <w:t>四、服务方案</w:t>
      </w:r>
      <w:bookmarkEnd w:id="161"/>
      <w:bookmarkEnd w:id="162"/>
    </w:p>
    <w:p w14:paraId="4545FD4B">
      <w:pPr>
        <w:adjustRightInd w:val="0"/>
        <w:snapToGrid w:val="0"/>
        <w:spacing w:line="360" w:lineRule="auto"/>
        <w:ind w:left="-88" w:leftChars="-42" w:firstLine="21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   </w:t>
      </w:r>
      <w:bookmarkStart w:id="163" w:name="_Toc27725_WPSOffice_Level2"/>
      <w:r>
        <w:rPr>
          <w:rFonts w:hint="eastAsia" w:ascii="宋体" w:hAnsi="宋体" w:eastAsia="宋体" w:cs="宋体"/>
          <w:color w:val="auto"/>
          <w:kern w:val="0"/>
          <w:szCs w:val="21"/>
        </w:rPr>
        <w:t>附件6：主要人员简历表</w:t>
      </w:r>
      <w:bookmarkEnd w:id="163"/>
    </w:p>
    <w:p w14:paraId="3455C695">
      <w:pPr>
        <w:pStyle w:val="13"/>
        <w:adjustRightInd w:val="0"/>
        <w:snapToGrid w:val="0"/>
        <w:spacing w:line="360" w:lineRule="auto"/>
        <w:rPr>
          <w:rFonts w:hint="eastAsia" w:ascii="宋体" w:hAnsi="宋体" w:eastAsia="宋体" w:cs="宋体"/>
          <w:b/>
          <w:color w:val="auto"/>
          <w:sz w:val="21"/>
        </w:rPr>
      </w:pPr>
      <w:bookmarkStart w:id="164" w:name="_Toc700_WPSOffice_Level2"/>
      <w:r>
        <w:rPr>
          <w:rFonts w:hint="eastAsia" w:ascii="宋体" w:hAnsi="宋体" w:eastAsia="宋体" w:cs="宋体"/>
          <w:b/>
          <w:color w:val="auto"/>
          <w:sz w:val="21"/>
        </w:rPr>
        <w:t>五、技术/商务响应与偏离表</w:t>
      </w:r>
      <w:bookmarkEnd w:id="164"/>
    </w:p>
    <w:p w14:paraId="4D00B762">
      <w:pPr>
        <w:pStyle w:val="13"/>
        <w:adjustRightInd w:val="0"/>
        <w:snapToGrid w:val="0"/>
        <w:spacing w:line="360" w:lineRule="auto"/>
        <w:rPr>
          <w:rFonts w:hint="eastAsia" w:ascii="宋体" w:hAnsi="宋体" w:eastAsia="宋体" w:cs="宋体"/>
          <w:b/>
          <w:color w:val="auto"/>
          <w:sz w:val="21"/>
        </w:rPr>
      </w:pPr>
      <w:bookmarkStart w:id="165" w:name="_Toc8956_WPSOffice_Level2"/>
      <w:r>
        <w:rPr>
          <w:rFonts w:hint="eastAsia" w:ascii="宋体" w:hAnsi="宋体" w:eastAsia="宋体" w:cs="宋体"/>
          <w:b/>
          <w:color w:val="auto"/>
          <w:sz w:val="21"/>
        </w:rPr>
        <w:t>六、提供政府采购政策产品等证明材料</w:t>
      </w:r>
      <w:bookmarkEnd w:id="165"/>
    </w:p>
    <w:p w14:paraId="71215385">
      <w:pPr>
        <w:pStyle w:val="13"/>
        <w:adjustRightInd w:val="0"/>
        <w:snapToGrid w:val="0"/>
        <w:spacing w:line="360" w:lineRule="auto"/>
        <w:ind w:firstLine="420" w:firstLineChars="200"/>
        <w:rPr>
          <w:rFonts w:hint="eastAsia" w:ascii="宋体" w:hAnsi="宋体" w:eastAsia="宋体" w:cs="宋体"/>
          <w:color w:val="auto"/>
          <w:sz w:val="21"/>
        </w:rPr>
      </w:pPr>
      <w:bookmarkStart w:id="166" w:name="_Toc13697_WPSOffice_Level2"/>
      <w:r>
        <w:rPr>
          <w:rFonts w:hint="eastAsia" w:ascii="宋体" w:hAnsi="宋体" w:eastAsia="宋体" w:cs="宋体"/>
          <w:color w:val="auto"/>
          <w:sz w:val="21"/>
        </w:rPr>
        <w:t>附件7-1：中小企业声明函</w:t>
      </w:r>
      <w:bookmarkEnd w:id="166"/>
    </w:p>
    <w:p w14:paraId="35555736">
      <w:pPr>
        <w:pStyle w:val="13"/>
        <w:adjustRightInd w:val="0"/>
        <w:snapToGrid w:val="0"/>
        <w:spacing w:line="360" w:lineRule="auto"/>
        <w:ind w:firstLine="420" w:firstLineChars="200"/>
        <w:rPr>
          <w:rFonts w:hint="eastAsia" w:ascii="宋体" w:hAnsi="宋体" w:eastAsia="宋体" w:cs="宋体"/>
          <w:color w:val="auto"/>
          <w:sz w:val="21"/>
        </w:rPr>
      </w:pPr>
      <w:bookmarkStart w:id="167" w:name="_Toc2646_WPSOffice_Level2"/>
      <w:r>
        <w:rPr>
          <w:rFonts w:hint="eastAsia" w:ascii="宋体" w:hAnsi="宋体" w:eastAsia="宋体" w:cs="宋体"/>
          <w:color w:val="auto"/>
          <w:sz w:val="21"/>
        </w:rPr>
        <w:t>附件7-2：残疾人福利性单位声明函</w:t>
      </w:r>
      <w:bookmarkEnd w:id="167"/>
    </w:p>
    <w:p w14:paraId="4813EA48">
      <w:pPr>
        <w:pStyle w:val="13"/>
        <w:adjustRightInd w:val="0"/>
        <w:snapToGrid w:val="0"/>
        <w:spacing w:line="360" w:lineRule="auto"/>
        <w:ind w:firstLine="420" w:firstLineChars="200"/>
        <w:rPr>
          <w:rFonts w:hint="eastAsia" w:ascii="宋体" w:hAnsi="宋体" w:eastAsia="宋体" w:cs="宋体"/>
          <w:color w:val="auto"/>
          <w:sz w:val="21"/>
        </w:rPr>
      </w:pPr>
      <w:bookmarkStart w:id="168" w:name="_Toc29721_WPSOffice_Level2"/>
      <w:r>
        <w:rPr>
          <w:rFonts w:hint="eastAsia" w:ascii="宋体" w:hAnsi="宋体" w:eastAsia="宋体" w:cs="宋体"/>
          <w:color w:val="auto"/>
          <w:sz w:val="21"/>
        </w:rPr>
        <w:t>附件7-3：监狱企业证明资料</w:t>
      </w:r>
      <w:bookmarkEnd w:id="168"/>
    </w:p>
    <w:p w14:paraId="1C08FB4E">
      <w:pPr>
        <w:pStyle w:val="13"/>
        <w:adjustRightInd w:val="0"/>
        <w:snapToGrid w:val="0"/>
        <w:spacing w:line="360" w:lineRule="auto"/>
        <w:rPr>
          <w:rFonts w:hint="eastAsia" w:ascii="宋体" w:hAnsi="宋体" w:eastAsia="宋体" w:cs="宋体"/>
          <w:b/>
          <w:color w:val="auto"/>
          <w:sz w:val="21"/>
        </w:rPr>
      </w:pPr>
      <w:bookmarkStart w:id="169" w:name="_Toc19362"/>
      <w:bookmarkStart w:id="170" w:name="_Toc5561_WPSOffice_Level2"/>
      <w:r>
        <w:rPr>
          <w:rFonts w:hint="eastAsia" w:ascii="宋体" w:hAnsi="宋体" w:eastAsia="宋体" w:cs="宋体"/>
          <w:b/>
          <w:color w:val="auto"/>
          <w:sz w:val="21"/>
        </w:rPr>
        <w:t>七、报价一览表及报价文件</w:t>
      </w:r>
      <w:bookmarkEnd w:id="169"/>
      <w:bookmarkEnd w:id="170"/>
    </w:p>
    <w:p w14:paraId="4888FBD5">
      <w:pPr>
        <w:adjustRightInd w:val="0"/>
        <w:snapToGrid w:val="0"/>
        <w:spacing w:line="360" w:lineRule="auto"/>
        <w:ind w:firstLine="420" w:firstLineChars="200"/>
        <w:jc w:val="left"/>
        <w:rPr>
          <w:rFonts w:hint="eastAsia" w:ascii="宋体" w:hAnsi="宋体" w:eastAsia="宋体" w:cs="宋体"/>
          <w:color w:val="auto"/>
          <w:szCs w:val="21"/>
        </w:rPr>
      </w:pPr>
      <w:bookmarkStart w:id="171" w:name="_Toc3342_WPSOffice_Level2"/>
      <w:r>
        <w:rPr>
          <w:rFonts w:hint="eastAsia" w:ascii="宋体" w:hAnsi="宋体" w:eastAsia="宋体" w:cs="宋体"/>
          <w:color w:val="auto"/>
          <w:szCs w:val="21"/>
        </w:rPr>
        <w:t>附件8：</w:t>
      </w:r>
      <w:r>
        <w:rPr>
          <w:rFonts w:hint="eastAsia" w:ascii="宋体" w:hAnsi="宋体" w:eastAsia="宋体" w:cs="宋体"/>
          <w:bCs/>
          <w:color w:val="auto"/>
          <w:szCs w:val="21"/>
        </w:rPr>
        <w:t>报价文件</w:t>
      </w:r>
      <w:bookmarkEnd w:id="171"/>
    </w:p>
    <w:p w14:paraId="54A1E15E">
      <w:pPr>
        <w:pStyle w:val="13"/>
        <w:adjustRightInd w:val="0"/>
        <w:snapToGrid w:val="0"/>
        <w:spacing w:line="360" w:lineRule="auto"/>
        <w:rPr>
          <w:rFonts w:hint="eastAsia" w:ascii="宋体" w:hAnsi="宋体" w:eastAsia="宋体" w:cs="宋体"/>
          <w:b/>
          <w:color w:val="auto"/>
          <w:sz w:val="21"/>
        </w:rPr>
      </w:pPr>
      <w:bookmarkStart w:id="172" w:name="_Toc26532_WPSOffice_Level2"/>
      <w:r>
        <w:rPr>
          <w:rFonts w:hint="eastAsia" w:ascii="宋体" w:hAnsi="宋体" w:eastAsia="宋体" w:cs="宋体"/>
          <w:b/>
          <w:color w:val="auto"/>
          <w:sz w:val="21"/>
        </w:rPr>
        <w:t>八、供应商认为需提供的其它资料</w:t>
      </w:r>
      <w:bookmarkEnd w:id="172"/>
    </w:p>
    <w:p w14:paraId="10459566">
      <w:pPr>
        <w:pStyle w:val="13"/>
        <w:adjustRightInd w:val="0"/>
        <w:snapToGrid w:val="0"/>
        <w:spacing w:line="360" w:lineRule="auto"/>
        <w:rPr>
          <w:rFonts w:hint="eastAsia" w:ascii="宋体" w:hAnsi="宋体" w:eastAsia="宋体" w:cs="宋体"/>
          <w:b/>
          <w:color w:val="auto"/>
          <w:sz w:val="21"/>
        </w:rPr>
      </w:pPr>
      <w:bookmarkStart w:id="173" w:name="_Toc22161_WPSOffice_Level2"/>
      <w:r>
        <w:rPr>
          <w:rFonts w:hint="eastAsia" w:ascii="宋体" w:hAnsi="宋体" w:eastAsia="宋体" w:cs="宋体"/>
          <w:b/>
          <w:color w:val="auto"/>
          <w:sz w:val="21"/>
        </w:rPr>
        <w:t>九、最后报价（开标现场填报，不需装订在响应文件中）</w:t>
      </w:r>
      <w:bookmarkEnd w:id="173"/>
    </w:p>
    <w:p w14:paraId="71857E1B">
      <w:pPr>
        <w:spacing w:line="360" w:lineRule="exact"/>
        <w:rPr>
          <w:rFonts w:hint="eastAsia" w:ascii="宋体" w:hAnsi="宋体" w:eastAsia="宋体" w:cs="宋体"/>
          <w:b/>
          <w:color w:val="auto"/>
        </w:rPr>
      </w:pPr>
      <w:r>
        <w:rPr>
          <w:rFonts w:hint="eastAsia" w:ascii="宋体" w:hAnsi="宋体" w:eastAsia="宋体" w:cs="宋体"/>
          <w:b/>
          <w:color w:val="auto"/>
          <w:sz w:val="20"/>
          <w:szCs w:val="20"/>
        </w:rPr>
        <w:br w:type="page"/>
      </w:r>
    </w:p>
    <w:p w14:paraId="107FD93C">
      <w:pPr>
        <w:pStyle w:val="13"/>
        <w:adjustRightInd w:val="0"/>
        <w:snapToGrid w:val="0"/>
        <w:spacing w:line="360" w:lineRule="auto"/>
        <w:jc w:val="both"/>
        <w:rPr>
          <w:rFonts w:hint="eastAsia" w:ascii="宋体" w:hAnsi="宋体" w:eastAsia="宋体" w:cs="宋体"/>
          <w:b/>
          <w:bCs/>
          <w:color w:val="auto"/>
          <w:sz w:val="72"/>
          <w:szCs w:val="72"/>
        </w:rPr>
      </w:pPr>
    </w:p>
    <w:p w14:paraId="5972210E">
      <w:pPr>
        <w:pStyle w:val="13"/>
        <w:adjustRightInd w:val="0"/>
        <w:snapToGrid w:val="0"/>
        <w:spacing w:line="360" w:lineRule="auto"/>
        <w:jc w:val="center"/>
        <w:rPr>
          <w:rFonts w:hint="eastAsia" w:ascii="宋体" w:hAnsi="宋体" w:eastAsia="宋体" w:cs="宋体"/>
          <w:b/>
          <w:bCs/>
          <w:color w:val="auto"/>
          <w:sz w:val="72"/>
          <w:szCs w:val="72"/>
        </w:rPr>
      </w:pPr>
      <w:bookmarkStart w:id="174" w:name="_Toc19256_WPSOffice_Level1"/>
      <w:r>
        <w:rPr>
          <w:rFonts w:hint="eastAsia" w:ascii="宋体" w:hAnsi="宋体" w:eastAsia="宋体" w:cs="宋体"/>
          <w:b/>
          <w:bCs/>
          <w:color w:val="auto"/>
          <w:sz w:val="72"/>
          <w:szCs w:val="72"/>
        </w:rPr>
        <w:t>政府采购</w:t>
      </w:r>
      <w:bookmarkEnd w:id="174"/>
    </w:p>
    <w:p w14:paraId="49075B19">
      <w:pPr>
        <w:adjustRightInd w:val="0"/>
        <w:snapToGrid w:val="0"/>
        <w:spacing w:line="360" w:lineRule="auto"/>
        <w:jc w:val="center"/>
        <w:rPr>
          <w:rFonts w:hint="eastAsia" w:ascii="宋体" w:hAnsi="宋体" w:eastAsia="宋体" w:cs="宋体"/>
          <w:b/>
          <w:bCs/>
          <w:color w:val="auto"/>
          <w:sz w:val="84"/>
          <w:szCs w:val="84"/>
        </w:rPr>
      </w:pPr>
      <w:bookmarkStart w:id="175" w:name="_Toc20503_WPSOffice_Level1"/>
      <w:r>
        <w:rPr>
          <w:rFonts w:hint="eastAsia" w:ascii="宋体" w:hAnsi="宋体" w:eastAsia="宋体" w:cs="宋体"/>
          <w:b/>
          <w:bCs/>
          <w:color w:val="auto"/>
          <w:sz w:val="84"/>
          <w:szCs w:val="84"/>
        </w:rPr>
        <w:t>响 应 文 件</w:t>
      </w:r>
      <w:bookmarkEnd w:id="175"/>
    </w:p>
    <w:p w14:paraId="3717CEB9">
      <w:pPr>
        <w:adjustRightInd w:val="0"/>
        <w:snapToGrid w:val="0"/>
        <w:spacing w:line="360" w:lineRule="auto"/>
        <w:rPr>
          <w:rFonts w:hint="eastAsia" w:ascii="宋体" w:hAnsi="宋体" w:eastAsia="宋体" w:cs="宋体"/>
          <w:b/>
          <w:color w:val="auto"/>
          <w:sz w:val="32"/>
          <w:szCs w:val="32"/>
        </w:rPr>
      </w:pPr>
    </w:p>
    <w:p w14:paraId="432D3D64">
      <w:pPr>
        <w:adjustRightInd w:val="0"/>
        <w:snapToGrid w:val="0"/>
        <w:spacing w:line="360" w:lineRule="auto"/>
        <w:rPr>
          <w:rFonts w:hint="eastAsia" w:ascii="宋体" w:hAnsi="宋体" w:eastAsia="宋体" w:cs="宋体"/>
          <w:b/>
          <w:color w:val="auto"/>
          <w:sz w:val="30"/>
          <w:szCs w:val="30"/>
        </w:rPr>
      </w:pPr>
      <w:r>
        <w:rPr>
          <w:rFonts w:hint="eastAsia" w:ascii="宋体" w:hAnsi="宋体" w:eastAsia="宋体" w:cs="宋体"/>
          <w:b/>
          <w:color w:val="auto"/>
          <w:sz w:val="32"/>
          <w:szCs w:val="32"/>
        </w:rPr>
        <w:t xml:space="preserve">                     </w:t>
      </w:r>
    </w:p>
    <w:p w14:paraId="23074B92">
      <w:pPr>
        <w:pStyle w:val="13"/>
        <w:adjustRightInd w:val="0"/>
        <w:snapToGrid w:val="0"/>
        <w:spacing w:line="360" w:lineRule="auto"/>
        <w:ind w:firstLine="840" w:firstLineChars="279"/>
        <w:rPr>
          <w:rFonts w:hint="eastAsia" w:ascii="宋体" w:hAnsi="宋体" w:eastAsia="宋体" w:cs="宋体"/>
          <w:b/>
          <w:bCs/>
          <w:color w:val="auto"/>
          <w:sz w:val="30"/>
          <w:szCs w:val="30"/>
          <w:u w:val="single"/>
        </w:rPr>
      </w:pPr>
      <w:bookmarkStart w:id="176" w:name="_Toc21112_WPSOffice_Level1"/>
      <w:r>
        <w:rPr>
          <w:rFonts w:hint="eastAsia" w:ascii="宋体" w:hAnsi="宋体" w:eastAsia="宋体" w:cs="宋体"/>
          <w:b/>
          <w:bCs/>
          <w:color w:val="auto"/>
          <w:sz w:val="30"/>
          <w:szCs w:val="30"/>
        </w:rPr>
        <w:t>采购项目名称:</w:t>
      </w:r>
      <w:bookmarkEnd w:id="176"/>
      <w:r>
        <w:rPr>
          <w:rFonts w:hint="eastAsia" w:ascii="宋体" w:hAnsi="宋体" w:eastAsia="宋体" w:cs="宋体"/>
          <w:b/>
          <w:bCs/>
          <w:color w:val="auto"/>
          <w:sz w:val="30"/>
          <w:szCs w:val="30"/>
          <w:u w:val="single"/>
        </w:rPr>
        <w:t xml:space="preserve">                       </w:t>
      </w:r>
    </w:p>
    <w:p w14:paraId="45458618">
      <w:pPr>
        <w:pStyle w:val="13"/>
        <w:adjustRightInd w:val="0"/>
        <w:snapToGrid w:val="0"/>
        <w:spacing w:line="360" w:lineRule="auto"/>
        <w:ind w:firstLine="840" w:firstLineChars="279"/>
        <w:rPr>
          <w:rFonts w:hint="eastAsia" w:ascii="宋体" w:hAnsi="宋体" w:eastAsia="宋体" w:cs="宋体"/>
          <w:b/>
          <w:bCs/>
          <w:color w:val="auto"/>
          <w:sz w:val="30"/>
          <w:szCs w:val="30"/>
        </w:rPr>
      </w:pPr>
      <w:bookmarkStart w:id="177" w:name="_Toc24263_WPSOffice_Level1"/>
      <w:r>
        <w:rPr>
          <w:rFonts w:hint="eastAsia" w:ascii="宋体" w:hAnsi="宋体" w:eastAsia="宋体" w:cs="宋体"/>
          <w:b/>
          <w:bCs/>
          <w:color w:val="auto"/>
          <w:sz w:val="30"/>
          <w:szCs w:val="30"/>
        </w:rPr>
        <w:t>采   购   人：</w:t>
      </w:r>
      <w:bookmarkEnd w:id="177"/>
      <w:r>
        <w:rPr>
          <w:rFonts w:hint="eastAsia" w:ascii="宋体" w:hAnsi="宋体" w:eastAsia="宋体" w:cs="宋体"/>
          <w:b/>
          <w:bCs/>
          <w:color w:val="auto"/>
          <w:sz w:val="30"/>
          <w:szCs w:val="30"/>
          <w:u w:val="single"/>
        </w:rPr>
        <w:t xml:space="preserve">                      </w:t>
      </w:r>
    </w:p>
    <w:p w14:paraId="57F30065">
      <w:pPr>
        <w:pStyle w:val="13"/>
        <w:adjustRightInd w:val="0"/>
        <w:snapToGrid w:val="0"/>
        <w:spacing w:line="360" w:lineRule="auto"/>
        <w:ind w:firstLine="840" w:firstLineChars="279"/>
        <w:rPr>
          <w:rFonts w:hint="eastAsia" w:ascii="宋体" w:hAnsi="宋体" w:eastAsia="宋体" w:cs="宋体"/>
          <w:b/>
          <w:bCs/>
          <w:color w:val="auto"/>
          <w:sz w:val="30"/>
          <w:szCs w:val="30"/>
          <w:u w:val="single"/>
        </w:rPr>
      </w:pPr>
      <w:bookmarkStart w:id="178" w:name="_Toc27697_WPSOffice_Level1"/>
      <w:r>
        <w:rPr>
          <w:rFonts w:hint="eastAsia" w:ascii="宋体" w:hAnsi="宋体" w:eastAsia="宋体" w:cs="宋体"/>
          <w:b/>
          <w:bCs/>
          <w:color w:val="auto"/>
          <w:sz w:val="30"/>
          <w:szCs w:val="30"/>
        </w:rPr>
        <w:t>政府采购计划编号:</w:t>
      </w:r>
      <w:bookmarkEnd w:id="178"/>
      <w:r>
        <w:rPr>
          <w:rFonts w:hint="eastAsia" w:ascii="宋体" w:hAnsi="宋体" w:eastAsia="宋体" w:cs="宋体"/>
          <w:b/>
          <w:bCs/>
          <w:color w:val="auto"/>
          <w:sz w:val="30"/>
          <w:szCs w:val="30"/>
          <w:u w:val="single"/>
        </w:rPr>
        <w:t xml:space="preserve">                   </w:t>
      </w:r>
    </w:p>
    <w:p w14:paraId="6197CCF7">
      <w:pPr>
        <w:pStyle w:val="13"/>
        <w:adjustRightInd w:val="0"/>
        <w:snapToGrid w:val="0"/>
        <w:spacing w:line="360" w:lineRule="auto"/>
        <w:ind w:firstLine="840" w:firstLineChars="279"/>
        <w:rPr>
          <w:rFonts w:hint="eastAsia" w:ascii="宋体" w:hAnsi="宋体" w:eastAsia="宋体" w:cs="宋体"/>
          <w:b/>
          <w:bCs/>
          <w:color w:val="auto"/>
          <w:sz w:val="30"/>
          <w:szCs w:val="30"/>
          <w:u w:val="single"/>
        </w:rPr>
      </w:pPr>
      <w:bookmarkStart w:id="179" w:name="_Toc9955_WPSOffice_Level1"/>
      <w:r>
        <w:rPr>
          <w:rFonts w:hint="eastAsia" w:ascii="宋体" w:hAnsi="宋体" w:eastAsia="宋体" w:cs="宋体"/>
          <w:b/>
          <w:bCs/>
          <w:color w:val="auto"/>
          <w:sz w:val="30"/>
          <w:szCs w:val="30"/>
        </w:rPr>
        <w:t>委托代理编号:</w:t>
      </w:r>
      <w:bookmarkEnd w:id="179"/>
      <w:r>
        <w:rPr>
          <w:rFonts w:hint="eastAsia" w:ascii="宋体" w:hAnsi="宋体" w:eastAsia="宋体" w:cs="宋体"/>
          <w:b/>
          <w:bCs/>
          <w:color w:val="auto"/>
          <w:sz w:val="30"/>
          <w:szCs w:val="30"/>
          <w:u w:val="single"/>
        </w:rPr>
        <w:t xml:space="preserve">                       </w:t>
      </w:r>
    </w:p>
    <w:p w14:paraId="0E0600A6">
      <w:pPr>
        <w:pStyle w:val="13"/>
        <w:adjustRightInd w:val="0"/>
        <w:snapToGrid w:val="0"/>
        <w:spacing w:line="360" w:lineRule="auto"/>
        <w:ind w:firstLine="840" w:firstLineChars="279"/>
        <w:rPr>
          <w:rFonts w:hint="eastAsia" w:ascii="宋体" w:hAnsi="宋体" w:eastAsia="宋体" w:cs="宋体"/>
          <w:color w:val="auto"/>
          <w:sz w:val="30"/>
          <w:szCs w:val="30"/>
        </w:rPr>
      </w:pPr>
      <w:bookmarkStart w:id="180" w:name="_Toc8239_WPSOffice_Level1"/>
      <w:r>
        <w:rPr>
          <w:rFonts w:hint="eastAsia" w:ascii="宋体" w:hAnsi="宋体" w:eastAsia="宋体" w:cs="宋体"/>
          <w:b/>
          <w:bCs/>
          <w:color w:val="auto"/>
          <w:sz w:val="30"/>
          <w:szCs w:val="30"/>
        </w:rPr>
        <w:t>采购代理机构：</w:t>
      </w:r>
      <w:bookmarkEnd w:id="180"/>
      <w:r>
        <w:rPr>
          <w:rFonts w:hint="eastAsia" w:ascii="宋体" w:hAnsi="宋体" w:eastAsia="宋体" w:cs="宋体"/>
          <w:b/>
          <w:bCs/>
          <w:color w:val="auto"/>
          <w:sz w:val="30"/>
          <w:szCs w:val="30"/>
          <w:u w:val="single"/>
        </w:rPr>
        <w:t xml:space="preserve">                      </w:t>
      </w:r>
    </w:p>
    <w:p w14:paraId="1D53319A">
      <w:pPr>
        <w:adjustRightInd w:val="0"/>
        <w:snapToGrid w:val="0"/>
        <w:spacing w:line="360" w:lineRule="auto"/>
        <w:ind w:firstLine="840" w:firstLineChars="279"/>
        <w:rPr>
          <w:rFonts w:hint="eastAsia" w:ascii="宋体" w:hAnsi="宋体" w:eastAsia="宋体" w:cs="宋体"/>
          <w:color w:val="auto"/>
          <w:sz w:val="32"/>
          <w:szCs w:val="32"/>
          <w:u w:val="single"/>
        </w:rPr>
      </w:pPr>
      <w:bookmarkStart w:id="181" w:name="_Toc400_WPSOffice_Level1"/>
      <w:r>
        <w:rPr>
          <w:rFonts w:hint="eastAsia" w:ascii="宋体" w:hAnsi="宋体" w:eastAsia="宋体" w:cs="宋体"/>
          <w:b/>
          <w:bCs/>
          <w:color w:val="auto"/>
          <w:kern w:val="0"/>
          <w:sz w:val="30"/>
          <w:szCs w:val="30"/>
        </w:rPr>
        <w:t>供应商：</w:t>
      </w:r>
      <w:bookmarkEnd w:id="181"/>
      <w:r>
        <w:rPr>
          <w:rFonts w:hint="eastAsia" w:ascii="宋体" w:hAnsi="宋体" w:eastAsia="宋体" w:cs="宋体"/>
          <w:color w:val="auto"/>
          <w:sz w:val="32"/>
          <w:szCs w:val="32"/>
          <w:u w:val="single"/>
        </w:rPr>
        <w:t xml:space="preserve">                           </w:t>
      </w:r>
    </w:p>
    <w:p w14:paraId="704FA610">
      <w:pPr>
        <w:adjustRightInd w:val="0"/>
        <w:snapToGrid w:val="0"/>
        <w:spacing w:line="360" w:lineRule="auto"/>
        <w:jc w:val="center"/>
        <w:rPr>
          <w:rFonts w:hint="eastAsia" w:ascii="宋体" w:hAnsi="宋体" w:eastAsia="宋体" w:cs="宋体"/>
          <w:color w:val="auto"/>
          <w:sz w:val="32"/>
          <w:szCs w:val="32"/>
        </w:rPr>
      </w:pPr>
      <w:bookmarkStart w:id="182" w:name="_Toc29534_WPSOffice_Level1"/>
      <w:bookmarkStart w:id="183" w:name="_Toc17898"/>
      <w:bookmarkStart w:id="184" w:name="_Toc421"/>
      <w:r>
        <w:rPr>
          <w:rFonts w:hint="eastAsia" w:ascii="宋体" w:hAnsi="宋体" w:eastAsia="宋体" w:cs="宋体"/>
          <w:color w:val="auto"/>
          <w:sz w:val="32"/>
          <w:szCs w:val="32"/>
        </w:rPr>
        <w:t>年  月  日</w:t>
      </w:r>
      <w:bookmarkEnd w:id="182"/>
    </w:p>
    <w:p w14:paraId="4BB617A4">
      <w:pPr>
        <w:adjustRightInd w:val="0"/>
        <w:snapToGrid w:val="0"/>
        <w:spacing w:line="360" w:lineRule="auto"/>
        <w:jc w:val="center"/>
        <w:outlineLvl w:val="1"/>
        <w:rPr>
          <w:rFonts w:hint="eastAsia" w:ascii="宋体" w:hAnsi="宋体" w:eastAsia="宋体" w:cs="宋体"/>
          <w:b/>
          <w:color w:val="auto"/>
          <w:sz w:val="32"/>
          <w:szCs w:val="32"/>
        </w:rPr>
      </w:pPr>
      <w:r>
        <w:rPr>
          <w:rFonts w:hint="eastAsia" w:ascii="宋体" w:hAnsi="宋体" w:eastAsia="宋体" w:cs="宋体"/>
          <w:color w:val="auto"/>
          <w:sz w:val="28"/>
          <w:szCs w:val="28"/>
        </w:rPr>
        <w:br w:type="page"/>
      </w:r>
      <w:bookmarkStart w:id="185" w:name="_Toc30041"/>
      <w:bookmarkStart w:id="186" w:name="_Toc17015_WPSOffice_Level1"/>
      <w:r>
        <w:rPr>
          <w:rFonts w:hint="eastAsia" w:ascii="宋体" w:hAnsi="宋体" w:eastAsia="宋体" w:cs="宋体"/>
          <w:b/>
          <w:color w:val="auto"/>
          <w:sz w:val="32"/>
          <w:szCs w:val="32"/>
        </w:rPr>
        <w:t>一、磋商响应声明</w:t>
      </w:r>
      <w:bookmarkEnd w:id="183"/>
      <w:bookmarkEnd w:id="184"/>
      <w:bookmarkEnd w:id="185"/>
      <w:bookmarkEnd w:id="186"/>
    </w:p>
    <w:p w14:paraId="49E5A5E7">
      <w:pPr>
        <w:adjustRightInd w:val="0"/>
        <w:snapToGrid w:val="0"/>
        <w:spacing w:line="360" w:lineRule="auto"/>
        <w:rPr>
          <w:rFonts w:hint="eastAsia" w:ascii="宋体" w:hAnsi="宋体" w:eastAsia="宋体" w:cs="宋体"/>
          <w:color w:val="auto"/>
          <w:sz w:val="24"/>
        </w:rPr>
      </w:pPr>
    </w:p>
    <w:p w14:paraId="296A7101">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(采购人或采购代理机构)：</w:t>
      </w:r>
    </w:p>
    <w:p w14:paraId="52067B9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我方已仔细研究了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项目名称)的竞争性磋商文件（政府采购计划编号：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；采购代理编号：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）的全部内容，知悉参加竞争性磋商的风险，我方承诺接受磋商文件的全部条款且无任何异议。</w:t>
      </w:r>
    </w:p>
    <w:p w14:paraId="726D538F">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一、我方同意在磋商文件中规定的提交首次响应文件截止时间起</w:t>
      </w:r>
      <w:r>
        <w:rPr>
          <w:rFonts w:hint="eastAsia" w:ascii="宋体" w:hAnsi="宋体" w:eastAsia="宋体" w:cs="宋体"/>
          <w:color w:val="auto"/>
          <w:sz w:val="21"/>
          <w:u w:val="single"/>
        </w:rPr>
        <w:t xml:space="preserve">    </w:t>
      </w:r>
      <w:r>
        <w:rPr>
          <w:rFonts w:hint="eastAsia" w:ascii="宋体" w:hAnsi="宋体" w:eastAsia="宋体" w:cs="宋体"/>
          <w:color w:val="auto"/>
          <w:sz w:val="21"/>
        </w:rPr>
        <w:t>日内(响应文件有效期)遵守本响应文件中的承诺且在此期限期满之前均具有法律约束力。</w:t>
      </w:r>
    </w:p>
    <w:p w14:paraId="06554631">
      <w:pPr>
        <w:pStyle w:val="13"/>
        <w:adjustRightInd w:val="0"/>
        <w:snapToGrid w:val="0"/>
        <w:spacing w:line="360" w:lineRule="auto"/>
        <w:ind w:firstLine="420" w:firstLineChars="200"/>
        <w:rPr>
          <w:rFonts w:hint="eastAsia" w:ascii="宋体" w:hAnsi="宋体" w:eastAsia="宋体" w:cs="宋体"/>
          <w:bCs/>
          <w:color w:val="auto"/>
          <w:sz w:val="21"/>
        </w:rPr>
      </w:pPr>
      <w:r>
        <w:rPr>
          <w:rFonts w:hint="eastAsia" w:ascii="宋体" w:hAnsi="宋体" w:eastAsia="宋体" w:cs="宋体"/>
          <w:color w:val="auto"/>
          <w:sz w:val="21"/>
        </w:rPr>
        <w:t>二、我方提交响应文件正本一份和副本一式</w:t>
      </w:r>
      <w:r>
        <w:rPr>
          <w:rFonts w:hint="eastAsia" w:ascii="宋体" w:hAnsi="宋体" w:eastAsia="宋体" w:cs="宋体"/>
          <w:color w:val="auto"/>
          <w:sz w:val="21"/>
          <w:u w:val="single"/>
        </w:rPr>
        <w:t xml:space="preserve">     </w:t>
      </w:r>
      <w:r>
        <w:rPr>
          <w:rFonts w:hint="eastAsia" w:ascii="宋体" w:hAnsi="宋体" w:eastAsia="宋体" w:cs="宋体"/>
          <w:color w:val="auto"/>
          <w:sz w:val="21"/>
        </w:rPr>
        <w:t>份，电子档</w:t>
      </w:r>
      <w:r>
        <w:rPr>
          <w:rFonts w:hint="eastAsia" w:ascii="宋体" w:hAnsi="宋体" w:eastAsia="宋体" w:cs="宋体"/>
          <w:color w:val="auto"/>
          <w:sz w:val="21"/>
          <w:u w:val="single"/>
        </w:rPr>
        <w:t xml:space="preserve">    </w:t>
      </w:r>
      <w:r>
        <w:rPr>
          <w:rFonts w:hint="eastAsia" w:ascii="宋体" w:hAnsi="宋体" w:eastAsia="宋体" w:cs="宋体"/>
          <w:color w:val="auto"/>
          <w:sz w:val="21"/>
        </w:rPr>
        <w:t>份，并保证响应文件提供的数据和材料是真实、准确的。否则，愿承担《政府采购法》</w:t>
      </w:r>
      <w:r>
        <w:rPr>
          <w:rFonts w:hint="eastAsia" w:ascii="宋体" w:hAnsi="宋体" w:eastAsia="宋体" w:cs="宋体"/>
          <w:bCs/>
          <w:color w:val="auto"/>
          <w:sz w:val="21"/>
        </w:rPr>
        <w:t>第七十七条规定的法律责任。</w:t>
      </w:r>
    </w:p>
    <w:p w14:paraId="60165295">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三、我方愿意向贵方提供任何与本项采购有关的数据、情况和技术资料。若贵方需要，我方愿意提供我方作出的一切承诺的证明材料。</w:t>
      </w:r>
    </w:p>
    <w:p w14:paraId="4BFBB2E9">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四、我方愿意按磋商文件规定和磋商小组要求重新提交响应文件和最后报价。</w:t>
      </w:r>
    </w:p>
    <w:p w14:paraId="3530F52C">
      <w:pPr>
        <w:pStyle w:val="13"/>
        <w:adjustRightInd w:val="0"/>
        <w:snapToGrid w:val="0"/>
        <w:spacing w:line="360"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五、我方承诺遵守《中华人民共和国政府采购法》的有关规定，保证在获得成交资格后，按照磋商文件确定的事项签订政府采购合同，履行双方所签订的合同，并承担合同规定的责任和义务。</w:t>
      </w:r>
    </w:p>
    <w:p w14:paraId="56FE9BF1">
      <w:pPr>
        <w:adjustRightInd w:val="0"/>
        <w:snapToGrid w:val="0"/>
        <w:spacing w:beforeLines="50" w:line="360" w:lineRule="auto"/>
        <w:ind w:firstLine="420" w:firstLineChars="200"/>
        <w:rPr>
          <w:rFonts w:hint="eastAsia" w:ascii="宋体" w:hAnsi="宋体" w:eastAsia="宋体" w:cs="宋体"/>
          <w:color w:val="auto"/>
          <w:szCs w:val="21"/>
        </w:rPr>
      </w:pPr>
      <w:bookmarkStart w:id="187" w:name="_Toc32557"/>
      <w:r>
        <w:rPr>
          <w:rFonts w:hint="eastAsia" w:ascii="宋体" w:hAnsi="宋体" w:eastAsia="宋体" w:cs="宋体"/>
          <w:color w:val="auto"/>
        </w:rPr>
        <w:t>六、</w:t>
      </w:r>
      <w:bookmarkEnd w:id="187"/>
      <w:r>
        <w:rPr>
          <w:rFonts w:hint="eastAsia" w:ascii="宋体" w:hAnsi="宋体" w:eastAsia="宋体" w:cs="宋体"/>
          <w:color w:val="auto"/>
          <w:szCs w:val="21"/>
        </w:rPr>
        <w:t>我方承诺在参与竞争性磋商过程中，若出现《政府采购法》第七十七条、《政府采购法实施条例》第七十二条和《政府采购非招标方式管理办法》第五十四条规定之情形，我方同意接受条款规定作出的处罚。</w:t>
      </w:r>
    </w:p>
    <w:p w14:paraId="19BE1243">
      <w:pPr>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七、我方的联系方式：</w:t>
      </w:r>
    </w:p>
    <w:p w14:paraId="7DFD751A">
      <w:pPr>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地址：</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；邮编：</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；电话：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；电子邮箱：</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103D8993">
      <w:pPr>
        <w:pStyle w:val="13"/>
        <w:adjustRightInd w:val="0"/>
        <w:snapToGrid w:val="0"/>
        <w:spacing w:line="360" w:lineRule="auto"/>
        <w:ind w:firstLine="420" w:firstLineChars="200"/>
        <w:rPr>
          <w:rFonts w:hint="eastAsia" w:ascii="宋体" w:hAnsi="宋体" w:eastAsia="宋体" w:cs="宋体"/>
          <w:color w:val="auto"/>
          <w:sz w:val="21"/>
        </w:rPr>
      </w:pPr>
    </w:p>
    <w:p w14:paraId="56386035">
      <w:pPr>
        <w:adjustRightInd w:val="0"/>
        <w:snapToGrid w:val="0"/>
        <w:spacing w:line="360" w:lineRule="auto"/>
        <w:ind w:right="24" w:firstLine="630" w:firstLineChars="300"/>
        <w:rPr>
          <w:rFonts w:hint="eastAsia" w:ascii="宋体" w:hAnsi="宋体" w:eastAsia="宋体" w:cs="宋体"/>
          <w:color w:val="auto"/>
          <w:szCs w:val="21"/>
        </w:rPr>
      </w:pPr>
      <w:bookmarkStart w:id="188" w:name="_Toc3178_WPSOffice_Level2"/>
      <w:bookmarkStart w:id="189" w:name="_Toc1874"/>
      <w:r>
        <w:rPr>
          <w:rFonts w:hint="eastAsia" w:ascii="宋体" w:hAnsi="宋体" w:eastAsia="宋体" w:cs="宋体"/>
          <w:bCs/>
          <w:color w:val="auto"/>
          <w:szCs w:val="21"/>
        </w:rPr>
        <w:t>附件1：</w:t>
      </w:r>
      <w:r>
        <w:rPr>
          <w:rFonts w:hint="eastAsia" w:ascii="宋体" w:hAnsi="宋体" w:eastAsia="宋体" w:cs="宋体"/>
          <w:color w:val="auto"/>
          <w:szCs w:val="21"/>
        </w:rPr>
        <w:t>法定代表人身份证明(法定代表人参加磋商)</w:t>
      </w:r>
      <w:bookmarkEnd w:id="188"/>
      <w:bookmarkEnd w:id="189"/>
    </w:p>
    <w:p w14:paraId="6CB598B6">
      <w:pPr>
        <w:adjustRightInd w:val="0"/>
        <w:snapToGrid w:val="0"/>
        <w:spacing w:line="360" w:lineRule="auto"/>
        <w:ind w:right="24" w:firstLine="630" w:firstLineChars="300"/>
        <w:rPr>
          <w:rFonts w:hint="eastAsia" w:ascii="宋体" w:hAnsi="宋体" w:eastAsia="宋体" w:cs="宋体"/>
          <w:color w:val="auto"/>
          <w:szCs w:val="21"/>
        </w:rPr>
      </w:pPr>
      <w:bookmarkStart w:id="190" w:name="_Toc9968_WPSOffice_Level2"/>
      <w:r>
        <w:rPr>
          <w:rFonts w:hint="eastAsia" w:ascii="宋体" w:hAnsi="宋体" w:eastAsia="宋体" w:cs="宋体"/>
          <w:bCs/>
          <w:color w:val="auto"/>
          <w:szCs w:val="21"/>
        </w:rPr>
        <w:t>附件2</w:t>
      </w:r>
      <w:r>
        <w:rPr>
          <w:rFonts w:hint="eastAsia" w:ascii="宋体" w:hAnsi="宋体" w:eastAsia="宋体" w:cs="宋体"/>
          <w:color w:val="auto"/>
          <w:szCs w:val="21"/>
        </w:rPr>
        <w:t>：法定代表人授权书(委托代理人参加磋商)</w:t>
      </w:r>
      <w:bookmarkEnd w:id="190"/>
    </w:p>
    <w:p w14:paraId="6B6E28CB">
      <w:pPr>
        <w:pStyle w:val="13"/>
        <w:adjustRightInd w:val="0"/>
        <w:snapToGrid w:val="0"/>
        <w:spacing w:line="360" w:lineRule="auto"/>
        <w:rPr>
          <w:rFonts w:hint="eastAsia" w:ascii="宋体" w:hAnsi="宋体" w:eastAsia="宋体" w:cs="宋体"/>
          <w:color w:val="auto"/>
          <w:sz w:val="21"/>
        </w:rPr>
      </w:pPr>
    </w:p>
    <w:p w14:paraId="5153F0DA">
      <w:pPr>
        <w:pStyle w:val="13"/>
        <w:adjustRightInd w:val="0"/>
        <w:snapToGrid w:val="0"/>
        <w:spacing w:line="360" w:lineRule="auto"/>
        <w:rPr>
          <w:rFonts w:hint="eastAsia" w:ascii="宋体" w:hAnsi="宋体" w:eastAsia="宋体" w:cs="宋体"/>
          <w:color w:val="auto"/>
          <w:sz w:val="21"/>
        </w:rPr>
      </w:pPr>
    </w:p>
    <w:p w14:paraId="543AEB3E">
      <w:pPr>
        <w:pStyle w:val="13"/>
        <w:adjustRightInd w:val="0"/>
        <w:snapToGrid w:val="0"/>
        <w:spacing w:line="360" w:lineRule="auto"/>
        <w:rPr>
          <w:rFonts w:hint="eastAsia" w:ascii="宋体" w:hAnsi="宋体" w:eastAsia="宋体" w:cs="宋体"/>
          <w:color w:val="auto"/>
          <w:sz w:val="21"/>
        </w:rPr>
      </w:pPr>
      <w:r>
        <w:rPr>
          <w:rFonts w:hint="eastAsia" w:ascii="宋体" w:hAnsi="宋体" w:eastAsia="宋体" w:cs="宋体"/>
          <w:color w:val="auto"/>
          <w:sz w:val="21"/>
        </w:rPr>
        <w:t>供应商名称(盖单位章)：</w:t>
      </w:r>
    </w:p>
    <w:p w14:paraId="292889A8">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 (签字)：</w:t>
      </w:r>
      <w:r>
        <w:rPr>
          <w:rFonts w:hint="eastAsia" w:ascii="宋体" w:hAnsi="宋体" w:eastAsia="宋体" w:cs="宋体"/>
          <w:color w:val="auto"/>
          <w:szCs w:val="21"/>
          <w:u w:val="single"/>
        </w:rPr>
        <w:t xml:space="preserve">            </w:t>
      </w:r>
    </w:p>
    <w:p w14:paraId="4BBD4510">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0F135EAE">
      <w:pPr>
        <w:adjustRightInd w:val="0"/>
        <w:snapToGrid w:val="0"/>
        <w:spacing w:line="360" w:lineRule="auto"/>
        <w:ind w:right="24"/>
        <w:rPr>
          <w:rFonts w:hint="eastAsia" w:ascii="宋体" w:hAnsi="宋体" w:eastAsia="宋体" w:cs="宋体"/>
          <w:color w:val="auto"/>
          <w:spacing w:val="6"/>
          <w:kern w:val="0"/>
          <w:szCs w:val="21"/>
        </w:rPr>
      </w:pPr>
    </w:p>
    <w:p w14:paraId="0A4D1A41">
      <w:pPr>
        <w:adjustRightInd w:val="0"/>
        <w:snapToGrid w:val="0"/>
        <w:spacing w:line="360" w:lineRule="auto"/>
        <w:ind w:right="24"/>
        <w:rPr>
          <w:rFonts w:hint="eastAsia" w:ascii="宋体" w:hAnsi="宋体" w:eastAsia="宋体" w:cs="宋体"/>
          <w:color w:val="auto"/>
          <w:spacing w:val="6"/>
          <w:kern w:val="0"/>
          <w:szCs w:val="21"/>
        </w:rPr>
      </w:pPr>
    </w:p>
    <w:p w14:paraId="65224866">
      <w:pPr>
        <w:adjustRightInd w:val="0"/>
        <w:snapToGrid w:val="0"/>
        <w:spacing w:line="360" w:lineRule="auto"/>
        <w:ind w:right="24"/>
        <w:rPr>
          <w:rFonts w:hint="eastAsia" w:ascii="宋体" w:hAnsi="宋体" w:eastAsia="宋体" w:cs="宋体"/>
          <w:color w:val="auto"/>
          <w:spacing w:val="6"/>
          <w:kern w:val="0"/>
          <w:szCs w:val="21"/>
        </w:rPr>
      </w:pPr>
    </w:p>
    <w:p w14:paraId="5C578B03">
      <w:pPr>
        <w:adjustRightInd w:val="0"/>
        <w:snapToGrid w:val="0"/>
        <w:spacing w:line="360" w:lineRule="auto"/>
        <w:ind w:right="24"/>
        <w:rPr>
          <w:rFonts w:hint="eastAsia" w:ascii="宋体" w:hAnsi="宋体" w:eastAsia="宋体" w:cs="宋体"/>
          <w:color w:val="auto"/>
          <w:spacing w:val="6"/>
          <w:kern w:val="0"/>
          <w:szCs w:val="21"/>
        </w:rPr>
      </w:pPr>
      <w:bookmarkStart w:id="191" w:name="_Toc5983_WPSOffice_Level2"/>
      <w:r>
        <w:rPr>
          <w:rFonts w:hint="eastAsia" w:ascii="宋体" w:hAnsi="宋体" w:eastAsia="宋体" w:cs="宋体"/>
          <w:color w:val="auto"/>
          <w:spacing w:val="6"/>
          <w:kern w:val="0"/>
          <w:szCs w:val="21"/>
        </w:rPr>
        <w:t>附件1：法定代表人身份证明</w:t>
      </w:r>
      <w:bookmarkEnd w:id="191"/>
    </w:p>
    <w:p w14:paraId="3AFA91CC">
      <w:pPr>
        <w:adjustRightInd w:val="0"/>
        <w:snapToGrid w:val="0"/>
        <w:spacing w:line="360" w:lineRule="auto"/>
        <w:ind w:right="24"/>
        <w:jc w:val="center"/>
        <w:rPr>
          <w:rFonts w:hint="eastAsia" w:ascii="宋体" w:hAnsi="宋体" w:eastAsia="宋体" w:cs="宋体"/>
          <w:b/>
          <w:color w:val="auto"/>
          <w:sz w:val="28"/>
          <w:szCs w:val="28"/>
        </w:rPr>
      </w:pPr>
      <w:bookmarkStart w:id="192" w:name="_Toc27005_WPSOffice_Level2"/>
      <w:r>
        <w:rPr>
          <w:rFonts w:hint="eastAsia" w:ascii="宋体" w:hAnsi="宋体" w:eastAsia="宋体" w:cs="宋体"/>
          <w:b/>
          <w:color w:val="auto"/>
          <w:sz w:val="28"/>
          <w:szCs w:val="28"/>
        </w:rPr>
        <w:t>法定代表人身份证明(法定代表人参加磋商)</w:t>
      </w:r>
      <w:bookmarkEnd w:id="192"/>
    </w:p>
    <w:p w14:paraId="19643929">
      <w:pPr>
        <w:snapToGrid w:val="0"/>
        <w:spacing w:line="480" w:lineRule="auto"/>
        <w:rPr>
          <w:rFonts w:hint="eastAsia" w:ascii="宋体" w:hAnsi="宋体" w:eastAsia="宋体" w:cs="宋体"/>
          <w:color w:val="auto"/>
          <w:szCs w:val="21"/>
        </w:rPr>
      </w:pPr>
    </w:p>
    <w:p w14:paraId="66B3FF18">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045F0619">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注册号：</w:t>
      </w:r>
      <w:r>
        <w:rPr>
          <w:rFonts w:hint="eastAsia" w:ascii="宋体" w:hAnsi="宋体" w:eastAsia="宋体" w:cs="宋体"/>
          <w:color w:val="auto"/>
          <w:kern w:val="0"/>
          <w:szCs w:val="21"/>
          <w:u w:val="single"/>
        </w:rPr>
        <w:t xml:space="preserve">                  </w:t>
      </w:r>
    </w:p>
    <w:p w14:paraId="5C599F2E">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注册地址：</w:t>
      </w:r>
      <w:r>
        <w:rPr>
          <w:rFonts w:hint="eastAsia" w:ascii="宋体" w:hAnsi="宋体" w:eastAsia="宋体" w:cs="宋体"/>
          <w:color w:val="auto"/>
          <w:kern w:val="0"/>
          <w:szCs w:val="21"/>
          <w:u w:val="single"/>
        </w:rPr>
        <w:t xml:space="preserve">                                    </w:t>
      </w:r>
    </w:p>
    <w:p w14:paraId="50BD8F2E">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 xml:space="preserve">成立时间：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年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日</w:t>
      </w:r>
    </w:p>
    <w:p w14:paraId="279C9CA3">
      <w:pPr>
        <w:autoSpaceDE w:val="0"/>
        <w:autoSpaceDN w:val="0"/>
        <w:adjustRightInd w:val="0"/>
        <w:snapToGrid w:val="0"/>
        <w:spacing w:beforeLines="50" w:line="360" w:lineRule="auto"/>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经营期限：</w:t>
      </w:r>
      <w:r>
        <w:rPr>
          <w:rFonts w:hint="eastAsia" w:ascii="宋体" w:hAnsi="宋体" w:eastAsia="宋体" w:cs="宋体"/>
          <w:color w:val="auto"/>
          <w:kern w:val="0"/>
          <w:szCs w:val="21"/>
          <w:u w:val="single"/>
        </w:rPr>
        <w:t xml:space="preserve">                  </w:t>
      </w:r>
    </w:p>
    <w:p w14:paraId="17540733">
      <w:pPr>
        <w:autoSpaceDE w:val="0"/>
        <w:autoSpaceDN w:val="0"/>
        <w:adjustRightInd w:val="0"/>
        <w:snapToGrid w:val="0"/>
        <w:spacing w:beforeLines="50" w:line="360" w:lineRule="auto"/>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经营范围：主营：</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；兼营：</w:t>
      </w:r>
      <w:r>
        <w:rPr>
          <w:rFonts w:hint="eastAsia" w:ascii="宋体" w:hAnsi="宋体" w:eastAsia="宋体" w:cs="宋体"/>
          <w:color w:val="auto"/>
          <w:kern w:val="0"/>
          <w:szCs w:val="21"/>
          <w:u w:val="single"/>
        </w:rPr>
        <w:t xml:space="preserve">              </w:t>
      </w:r>
    </w:p>
    <w:p w14:paraId="4E14E056">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szCs w:val="21"/>
        </w:rPr>
        <w:t>供应商</w:t>
      </w:r>
      <w:r>
        <w:rPr>
          <w:rFonts w:hint="eastAsia" w:ascii="宋体" w:hAnsi="宋体" w:eastAsia="宋体" w:cs="宋体"/>
          <w:color w:val="auto"/>
          <w:kern w:val="0"/>
          <w:szCs w:val="21"/>
        </w:rPr>
        <w:t>名称）的法定代表人。</w:t>
      </w:r>
    </w:p>
    <w:p w14:paraId="0B75E3CB">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1E35380B">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4C406AE2">
      <w:pPr>
        <w:snapToGrid w:val="0"/>
        <w:spacing w:line="480" w:lineRule="auto"/>
        <w:rPr>
          <w:rFonts w:hint="eastAsia" w:ascii="宋体" w:hAnsi="宋体" w:eastAsia="宋体" w:cs="宋体"/>
          <w:color w:val="auto"/>
          <w:szCs w:val="21"/>
        </w:rPr>
      </w:pPr>
    </w:p>
    <w:p w14:paraId="5463F128">
      <w:pPr>
        <w:snapToGrid w:val="0"/>
        <w:rPr>
          <w:rFonts w:hint="eastAsia" w:ascii="宋体" w:hAnsi="宋体" w:eastAsia="宋体" w:cs="宋体"/>
          <w:color w:val="auto"/>
          <w:szCs w:val="21"/>
        </w:rPr>
      </w:pPr>
    </w:p>
    <w:p w14:paraId="71E68281">
      <w:pPr>
        <w:snapToGrid w:val="0"/>
        <w:rPr>
          <w:rFonts w:hint="eastAsia" w:ascii="宋体" w:hAnsi="宋体" w:eastAsia="宋体" w:cs="宋体"/>
          <w:color w:val="auto"/>
          <w:szCs w:val="21"/>
        </w:rPr>
      </w:pPr>
    </w:p>
    <w:p w14:paraId="311FFC4B">
      <w:pPr>
        <w:pStyle w:val="7"/>
        <w:rPr>
          <w:rFonts w:hint="eastAsia" w:ascii="宋体" w:hAnsi="宋体" w:eastAsia="宋体" w:cs="宋体"/>
          <w:color w:val="auto"/>
        </w:rPr>
      </w:pPr>
    </w:p>
    <w:p w14:paraId="0947A5D5">
      <w:pPr>
        <w:snapToGrid w:val="0"/>
        <w:rPr>
          <w:rFonts w:hint="eastAsia" w:ascii="宋体" w:hAnsi="宋体" w:eastAsia="宋体" w:cs="宋体"/>
          <w:color w:val="auto"/>
          <w:szCs w:val="21"/>
        </w:rPr>
      </w:pPr>
    </w:p>
    <w:p w14:paraId="2024F0D0">
      <w:pPr>
        <w:snapToGrid w:val="0"/>
        <w:rPr>
          <w:rFonts w:hint="eastAsia" w:ascii="宋体" w:hAnsi="宋体" w:eastAsia="宋体" w:cs="宋体"/>
          <w:color w:val="auto"/>
          <w:szCs w:val="21"/>
        </w:rPr>
      </w:pPr>
    </w:p>
    <w:p w14:paraId="453D73D4">
      <w:pPr>
        <w:adjustRightInd w:val="0"/>
        <w:snapToGrid w:val="0"/>
        <w:spacing w:line="360" w:lineRule="auto"/>
        <w:rPr>
          <w:rFonts w:hint="eastAsia" w:ascii="宋体" w:hAnsi="宋体" w:eastAsia="宋体" w:cs="宋体"/>
          <w:color w:val="auto"/>
          <w:szCs w:val="21"/>
        </w:rPr>
      </w:pPr>
    </w:p>
    <w:p w14:paraId="70ABFD24">
      <w:pPr>
        <w:adjustRightInd w:val="0"/>
        <w:snapToGrid w:val="0"/>
        <w:spacing w:line="360" w:lineRule="auto"/>
        <w:ind w:right="420"/>
        <w:rPr>
          <w:rFonts w:hint="eastAsia" w:ascii="宋体" w:hAnsi="宋体" w:eastAsia="宋体" w:cs="宋体"/>
          <w:color w:val="auto"/>
          <w:szCs w:val="21"/>
        </w:rPr>
      </w:pPr>
    </w:p>
    <w:p w14:paraId="219B338F">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t>供应商名称（盖单位章）：</w:t>
      </w:r>
    </w:p>
    <w:p w14:paraId="344A222D">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日      </w:t>
      </w:r>
    </w:p>
    <w:p w14:paraId="6E050E71">
      <w:pPr>
        <w:adjustRightInd w:val="0"/>
        <w:snapToGrid w:val="0"/>
        <w:spacing w:beforeLines="50" w:line="360" w:lineRule="auto"/>
        <w:rPr>
          <w:rFonts w:hint="eastAsia" w:ascii="宋体" w:hAnsi="宋体" w:eastAsia="宋体" w:cs="宋体"/>
          <w:color w:val="auto"/>
          <w:szCs w:val="21"/>
        </w:rPr>
      </w:pPr>
    </w:p>
    <w:p w14:paraId="7814A151">
      <w:pPr>
        <w:adjustRightInd w:val="0"/>
        <w:snapToGrid w:val="0"/>
        <w:spacing w:beforeLines="50" w:line="360" w:lineRule="auto"/>
        <w:rPr>
          <w:rFonts w:hint="eastAsia" w:ascii="宋体" w:hAnsi="宋体" w:eastAsia="宋体" w:cs="宋体"/>
          <w:color w:val="auto"/>
          <w:szCs w:val="21"/>
        </w:rPr>
      </w:pPr>
    </w:p>
    <w:p w14:paraId="5BFB1452">
      <w:pPr>
        <w:adjustRightInd w:val="0"/>
        <w:snapToGrid w:val="0"/>
        <w:spacing w:beforeLines="50" w:line="360" w:lineRule="auto"/>
        <w:rPr>
          <w:rFonts w:hint="eastAsia" w:ascii="宋体" w:hAnsi="宋体" w:eastAsia="宋体" w:cs="宋体"/>
          <w:color w:val="auto"/>
          <w:szCs w:val="21"/>
        </w:rPr>
      </w:pPr>
    </w:p>
    <w:p w14:paraId="7A91D200">
      <w:pPr>
        <w:adjustRightInd w:val="0"/>
        <w:snapToGrid w:val="0"/>
        <w:spacing w:beforeLines="50" w:line="360" w:lineRule="auto"/>
        <w:rPr>
          <w:rFonts w:hint="eastAsia" w:ascii="宋体" w:hAnsi="宋体" w:eastAsia="宋体" w:cs="宋体"/>
          <w:color w:val="auto"/>
          <w:szCs w:val="21"/>
        </w:rPr>
      </w:pPr>
    </w:p>
    <w:p w14:paraId="27EFBC37">
      <w:pPr>
        <w:adjustRightInd w:val="0"/>
        <w:snapToGrid w:val="0"/>
        <w:spacing w:beforeLines="50" w:line="360" w:lineRule="auto"/>
        <w:rPr>
          <w:rFonts w:hint="eastAsia" w:ascii="宋体" w:hAnsi="宋体" w:eastAsia="宋体" w:cs="宋体"/>
          <w:color w:val="auto"/>
          <w:szCs w:val="21"/>
        </w:rPr>
      </w:pPr>
    </w:p>
    <w:p w14:paraId="6586C30F">
      <w:pPr>
        <w:adjustRightInd w:val="0"/>
        <w:snapToGrid w:val="0"/>
        <w:spacing w:beforeLines="50" w:line="360" w:lineRule="auto"/>
        <w:rPr>
          <w:rFonts w:hint="eastAsia" w:ascii="宋体" w:hAnsi="宋体" w:eastAsia="宋体" w:cs="宋体"/>
          <w:color w:val="auto"/>
          <w:szCs w:val="21"/>
        </w:rPr>
      </w:pPr>
    </w:p>
    <w:p w14:paraId="40C6729C">
      <w:pPr>
        <w:adjustRightInd w:val="0"/>
        <w:snapToGrid w:val="0"/>
        <w:spacing w:beforeLines="50" w:line="360" w:lineRule="auto"/>
        <w:rPr>
          <w:rFonts w:hint="eastAsia" w:ascii="宋体" w:hAnsi="宋体" w:eastAsia="宋体" w:cs="宋体"/>
          <w:color w:val="auto"/>
          <w:szCs w:val="21"/>
        </w:rPr>
      </w:pPr>
    </w:p>
    <w:p w14:paraId="48AB2AEE">
      <w:pPr>
        <w:adjustRightInd w:val="0"/>
        <w:snapToGrid w:val="0"/>
        <w:spacing w:line="360" w:lineRule="auto"/>
        <w:ind w:right="24"/>
        <w:rPr>
          <w:rFonts w:hint="eastAsia" w:ascii="宋体" w:hAnsi="宋体" w:eastAsia="宋体" w:cs="宋体"/>
          <w:bCs/>
          <w:color w:val="auto"/>
          <w:sz w:val="24"/>
        </w:rPr>
      </w:pPr>
    </w:p>
    <w:p w14:paraId="72505BB7">
      <w:pPr>
        <w:spacing w:line="480" w:lineRule="exact"/>
        <w:rPr>
          <w:rFonts w:hint="eastAsia" w:ascii="宋体" w:hAnsi="宋体" w:eastAsia="宋体" w:cs="宋体"/>
          <w:color w:val="auto"/>
          <w:spacing w:val="6"/>
          <w:kern w:val="0"/>
          <w:szCs w:val="21"/>
        </w:rPr>
      </w:pPr>
      <w:bookmarkStart w:id="193" w:name="_Toc7830_WPSOffice_Level2"/>
      <w:r>
        <w:rPr>
          <w:rFonts w:hint="eastAsia" w:ascii="宋体" w:hAnsi="宋体" w:eastAsia="宋体" w:cs="宋体"/>
          <w:color w:val="auto"/>
          <w:spacing w:val="6"/>
          <w:kern w:val="0"/>
          <w:szCs w:val="21"/>
        </w:rPr>
        <w:t>附件2：法定代表人授权书</w:t>
      </w:r>
      <w:bookmarkEnd w:id="193"/>
    </w:p>
    <w:p w14:paraId="176DC6B5">
      <w:pPr>
        <w:pStyle w:val="49"/>
        <w:rPr>
          <w:rFonts w:hint="eastAsia" w:ascii="宋体" w:hAnsi="宋体" w:eastAsia="宋体" w:cs="宋体"/>
          <w:color w:val="auto"/>
        </w:rPr>
      </w:pPr>
    </w:p>
    <w:p w14:paraId="0F75573F">
      <w:pPr>
        <w:adjustRightInd w:val="0"/>
        <w:snapToGrid w:val="0"/>
        <w:spacing w:line="360" w:lineRule="auto"/>
        <w:ind w:right="24"/>
        <w:jc w:val="center"/>
        <w:rPr>
          <w:rFonts w:hint="eastAsia" w:ascii="宋体" w:hAnsi="宋体" w:eastAsia="宋体" w:cs="宋体"/>
          <w:b/>
          <w:color w:val="auto"/>
          <w:sz w:val="28"/>
          <w:szCs w:val="28"/>
        </w:rPr>
      </w:pPr>
      <w:bookmarkStart w:id="194" w:name="_Toc31713_WPSOffice_Level2"/>
      <w:r>
        <w:rPr>
          <w:rFonts w:hint="eastAsia" w:ascii="宋体" w:hAnsi="宋体" w:eastAsia="宋体" w:cs="宋体"/>
          <w:b/>
          <w:color w:val="auto"/>
          <w:sz w:val="28"/>
          <w:szCs w:val="28"/>
        </w:rPr>
        <w:t>法定代表人授权书(委托代理人参加磋商)</w:t>
      </w:r>
      <w:bookmarkEnd w:id="194"/>
    </w:p>
    <w:p w14:paraId="594DB225">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 xml:space="preserve">本人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（姓名、职务）系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（供应商名称）的法定代表人，现授权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（姓名、职务）为我方代理人。代理人根据授权，以我方名义：(1)签署、澄清、补正、修改、撤回、提交</w:t>
      </w:r>
      <w:r>
        <w:rPr>
          <w:rFonts w:hint="eastAsia" w:ascii="宋体" w:hAnsi="宋体" w:eastAsia="宋体" w:cs="宋体"/>
          <w:color w:val="auto"/>
          <w:kern w:val="0"/>
          <w:szCs w:val="21"/>
          <w:u w:val="single"/>
        </w:rPr>
        <w:t xml:space="preserve">                                           </w:t>
      </w:r>
    </w:p>
    <w:p w14:paraId="577096DA">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（项目名称、</w:t>
      </w:r>
      <w:r>
        <w:rPr>
          <w:rFonts w:hint="eastAsia" w:ascii="宋体" w:hAnsi="宋体" w:eastAsia="宋体" w:cs="宋体"/>
          <w:color w:val="auto"/>
          <w:szCs w:val="21"/>
        </w:rPr>
        <w:t>政府采购计划编号</w:t>
      </w:r>
      <w:r>
        <w:rPr>
          <w:rFonts w:hint="eastAsia" w:ascii="宋体" w:hAnsi="宋体" w:eastAsia="宋体" w:cs="宋体"/>
          <w:color w:val="auto"/>
          <w:kern w:val="0"/>
          <w:szCs w:val="21"/>
        </w:rPr>
        <w:t>、项目编号：）响应文件；(2)签署并重新提交响应文件及最后报价；(3)退出磋商；(4)签订合同和处理有关事宜，其法律后果由我方承担。</w:t>
      </w:r>
    </w:p>
    <w:p w14:paraId="41904787">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委托期限：</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7AAC103A">
      <w:pPr>
        <w:spacing w:line="360" w:lineRule="auto"/>
        <w:ind w:firstLine="435"/>
        <w:rPr>
          <w:rFonts w:hint="eastAsia" w:ascii="宋体" w:hAnsi="宋体" w:eastAsia="宋体" w:cs="宋体"/>
          <w:color w:val="auto"/>
          <w:kern w:val="0"/>
          <w:szCs w:val="21"/>
        </w:rPr>
      </w:pPr>
      <w:r>
        <w:rPr>
          <w:rFonts w:hint="eastAsia" w:ascii="宋体" w:hAnsi="宋体" w:eastAsia="宋体" w:cs="宋体"/>
          <w:color w:val="auto"/>
          <w:kern w:val="0"/>
          <w:szCs w:val="21"/>
        </w:rPr>
        <w:t>代理人无转委托权。</w:t>
      </w:r>
    </w:p>
    <w:p w14:paraId="46603824">
      <w:pPr>
        <w:spacing w:line="360" w:lineRule="auto"/>
        <w:ind w:firstLine="435"/>
        <w:rPr>
          <w:rFonts w:hint="eastAsia" w:ascii="宋体" w:hAnsi="宋体" w:eastAsia="宋体" w:cs="宋体"/>
          <w:color w:val="auto"/>
          <w:szCs w:val="21"/>
        </w:rPr>
      </w:pPr>
      <w:r>
        <w:rPr>
          <w:rFonts w:hint="eastAsia" w:ascii="宋体" w:hAnsi="宋体" w:eastAsia="宋体" w:cs="宋体"/>
          <w:color w:val="auto"/>
          <w:szCs w:val="21"/>
        </w:rPr>
        <w:t>本授权书于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日签字生效，特此声明。</w:t>
      </w:r>
    </w:p>
    <w:p w14:paraId="1D90F73C">
      <w:pPr>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附：委托代理人身份证复印件及法定代表人身份证明(附件1，原件)</w:t>
      </w:r>
    </w:p>
    <w:p w14:paraId="732DB310">
      <w:pPr>
        <w:adjustRightInd w:val="0"/>
        <w:snapToGrid w:val="0"/>
        <w:spacing w:line="360" w:lineRule="auto"/>
        <w:ind w:right="420"/>
        <w:rPr>
          <w:rFonts w:hint="eastAsia" w:ascii="宋体" w:hAnsi="宋体" w:eastAsia="宋体" w:cs="宋体"/>
          <w:color w:val="auto"/>
          <w:szCs w:val="21"/>
        </w:rPr>
      </w:pPr>
    </w:p>
    <w:p w14:paraId="0E1C0C33">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t xml:space="preserve">                                    </w:t>
      </w:r>
    </w:p>
    <w:p w14:paraId="76B44DD4">
      <w:pPr>
        <w:adjustRightInd w:val="0"/>
        <w:snapToGrid w:val="0"/>
        <w:spacing w:line="360" w:lineRule="auto"/>
        <w:ind w:right="420"/>
        <w:rPr>
          <w:rFonts w:hint="eastAsia" w:ascii="宋体" w:hAnsi="宋体" w:eastAsia="宋体" w:cs="宋体"/>
          <w:color w:val="auto"/>
          <w:szCs w:val="21"/>
        </w:rPr>
      </w:pPr>
    </w:p>
    <w:p w14:paraId="1D0DB2F5">
      <w:pPr>
        <w:adjustRightInd w:val="0"/>
        <w:snapToGrid w:val="0"/>
        <w:spacing w:line="360" w:lineRule="auto"/>
        <w:ind w:right="420"/>
        <w:rPr>
          <w:rFonts w:hint="eastAsia" w:ascii="宋体" w:hAnsi="宋体" w:eastAsia="宋体" w:cs="宋体"/>
          <w:color w:val="auto"/>
          <w:szCs w:val="21"/>
        </w:rPr>
      </w:pPr>
    </w:p>
    <w:p w14:paraId="7B592369">
      <w:pPr>
        <w:adjustRightInd w:val="0"/>
        <w:snapToGrid w:val="0"/>
        <w:spacing w:line="360" w:lineRule="auto"/>
        <w:ind w:right="420"/>
        <w:rPr>
          <w:rFonts w:hint="eastAsia" w:ascii="宋体" w:hAnsi="宋体" w:eastAsia="宋体" w:cs="宋体"/>
          <w:color w:val="auto"/>
          <w:szCs w:val="21"/>
        </w:rPr>
      </w:pPr>
    </w:p>
    <w:p w14:paraId="529756C7">
      <w:pPr>
        <w:adjustRightInd w:val="0"/>
        <w:snapToGrid w:val="0"/>
        <w:spacing w:line="360" w:lineRule="auto"/>
        <w:ind w:right="420"/>
        <w:rPr>
          <w:rFonts w:hint="eastAsia" w:ascii="宋体" w:hAnsi="宋体" w:eastAsia="宋体" w:cs="宋体"/>
          <w:color w:val="auto"/>
          <w:szCs w:val="21"/>
        </w:rPr>
      </w:pPr>
    </w:p>
    <w:p w14:paraId="0BAD7FA3">
      <w:pPr>
        <w:adjustRightInd w:val="0"/>
        <w:snapToGrid w:val="0"/>
        <w:spacing w:line="360" w:lineRule="auto"/>
        <w:ind w:right="420"/>
        <w:rPr>
          <w:rFonts w:hint="eastAsia" w:ascii="宋体" w:hAnsi="宋体" w:eastAsia="宋体" w:cs="宋体"/>
          <w:color w:val="auto"/>
          <w:szCs w:val="21"/>
        </w:rPr>
      </w:pPr>
    </w:p>
    <w:p w14:paraId="072117C6">
      <w:pPr>
        <w:adjustRightInd w:val="0"/>
        <w:snapToGrid w:val="0"/>
        <w:spacing w:line="360" w:lineRule="auto"/>
        <w:ind w:right="420"/>
        <w:rPr>
          <w:rFonts w:hint="eastAsia" w:ascii="宋体" w:hAnsi="宋体" w:eastAsia="宋体" w:cs="宋体"/>
          <w:color w:val="auto"/>
          <w:szCs w:val="21"/>
        </w:rPr>
      </w:pPr>
    </w:p>
    <w:p w14:paraId="764DD45F">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t>法定代表人（签字）：</w:t>
      </w:r>
      <w:r>
        <w:rPr>
          <w:rFonts w:hint="eastAsia" w:ascii="宋体" w:hAnsi="宋体" w:eastAsia="宋体" w:cs="宋体"/>
          <w:color w:val="auto"/>
          <w:szCs w:val="21"/>
          <w:u w:val="single"/>
        </w:rPr>
        <w:t xml:space="preserve">                     </w:t>
      </w:r>
    </w:p>
    <w:p w14:paraId="5D25F0C0">
      <w:pPr>
        <w:adjustRightInd w:val="0"/>
        <w:snapToGrid w:val="0"/>
        <w:spacing w:line="360" w:lineRule="auto"/>
        <w:ind w:right="420"/>
        <w:rPr>
          <w:rFonts w:hint="eastAsia" w:ascii="宋体" w:hAnsi="宋体" w:eastAsia="宋体" w:cs="宋体"/>
          <w:color w:val="auto"/>
          <w:szCs w:val="21"/>
          <w:u w:val="single"/>
        </w:rPr>
      </w:pPr>
      <w:r>
        <w:rPr>
          <w:rFonts w:hint="eastAsia" w:ascii="宋体" w:hAnsi="宋体" w:eastAsia="宋体" w:cs="宋体"/>
          <w:color w:val="auto"/>
          <w:szCs w:val="21"/>
        </w:rPr>
        <w:t>委托代理人（签字）：</w:t>
      </w:r>
      <w:r>
        <w:rPr>
          <w:rFonts w:hint="eastAsia" w:ascii="宋体" w:hAnsi="宋体" w:eastAsia="宋体" w:cs="宋体"/>
          <w:color w:val="auto"/>
          <w:szCs w:val="21"/>
          <w:u w:val="single"/>
        </w:rPr>
        <w:t xml:space="preserve">                     </w:t>
      </w:r>
    </w:p>
    <w:p w14:paraId="5242906F">
      <w:pPr>
        <w:pStyle w:val="7"/>
        <w:spacing w:line="360" w:lineRule="auto"/>
        <w:rPr>
          <w:rFonts w:hint="eastAsia" w:ascii="宋体" w:hAnsi="宋体" w:eastAsia="宋体" w:cs="宋体"/>
          <w:color w:val="auto"/>
        </w:rPr>
      </w:pPr>
      <w:r>
        <w:rPr>
          <w:rFonts w:hint="eastAsia" w:ascii="宋体" w:hAnsi="宋体" w:eastAsia="宋体" w:cs="宋体"/>
          <w:color w:val="auto"/>
        </w:rPr>
        <w:t>联 系 电 话：</w:t>
      </w:r>
      <w:r>
        <w:rPr>
          <w:rFonts w:hint="eastAsia" w:ascii="宋体" w:hAnsi="宋体" w:eastAsia="宋体" w:cs="宋体"/>
          <w:color w:val="auto"/>
          <w:u w:val="single"/>
        </w:rPr>
        <w:t xml:space="preserve">                     </w:t>
      </w:r>
    </w:p>
    <w:p w14:paraId="543B389D">
      <w:pPr>
        <w:adjustRightInd w:val="0"/>
        <w:snapToGrid w:val="0"/>
        <w:spacing w:line="360" w:lineRule="auto"/>
        <w:ind w:right="24"/>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5B8AC8E">
      <w:pPr>
        <w:spacing w:line="360" w:lineRule="auto"/>
        <w:rPr>
          <w:rFonts w:hint="eastAsia" w:ascii="宋体" w:hAnsi="宋体" w:eastAsia="宋体" w:cs="宋体"/>
          <w:b/>
          <w:color w:val="auto"/>
          <w:szCs w:val="21"/>
        </w:rPr>
      </w:pPr>
    </w:p>
    <w:p w14:paraId="740870E1">
      <w:pPr>
        <w:spacing w:line="360" w:lineRule="exact"/>
        <w:rPr>
          <w:rFonts w:hint="eastAsia" w:ascii="宋体" w:hAnsi="宋体" w:eastAsia="宋体" w:cs="宋体"/>
          <w:b/>
          <w:color w:val="auto"/>
          <w:sz w:val="20"/>
          <w:szCs w:val="20"/>
        </w:rPr>
      </w:pPr>
    </w:p>
    <w:p w14:paraId="5856E391">
      <w:pPr>
        <w:spacing w:line="360" w:lineRule="exact"/>
        <w:rPr>
          <w:rFonts w:hint="eastAsia" w:ascii="宋体" w:hAnsi="宋体" w:eastAsia="宋体" w:cs="宋体"/>
          <w:b/>
          <w:color w:val="auto"/>
        </w:rPr>
      </w:pPr>
    </w:p>
    <w:p w14:paraId="369C95A7">
      <w:pPr>
        <w:spacing w:line="360" w:lineRule="exact"/>
        <w:rPr>
          <w:rFonts w:hint="eastAsia" w:ascii="宋体" w:hAnsi="宋体" w:eastAsia="宋体" w:cs="宋体"/>
          <w:b/>
          <w:color w:val="auto"/>
        </w:rPr>
      </w:pPr>
    </w:p>
    <w:p w14:paraId="18219F45">
      <w:pPr>
        <w:spacing w:line="360" w:lineRule="exact"/>
        <w:rPr>
          <w:rFonts w:hint="eastAsia" w:ascii="宋体" w:hAnsi="宋体" w:eastAsia="宋体" w:cs="宋体"/>
          <w:b/>
          <w:color w:val="auto"/>
        </w:rPr>
      </w:pPr>
    </w:p>
    <w:p w14:paraId="361ADF38">
      <w:pPr>
        <w:spacing w:line="360" w:lineRule="exact"/>
        <w:rPr>
          <w:rFonts w:hint="eastAsia" w:ascii="宋体" w:hAnsi="宋体" w:eastAsia="宋体" w:cs="宋体"/>
          <w:b/>
          <w:color w:val="auto"/>
        </w:rPr>
      </w:pPr>
    </w:p>
    <w:p w14:paraId="554C4271">
      <w:pPr>
        <w:spacing w:line="360" w:lineRule="exact"/>
        <w:rPr>
          <w:rFonts w:hint="eastAsia" w:ascii="宋体" w:hAnsi="宋体" w:eastAsia="宋体" w:cs="宋体"/>
          <w:b/>
          <w:color w:val="auto"/>
        </w:rPr>
      </w:pPr>
    </w:p>
    <w:p w14:paraId="4CA814D1">
      <w:pPr>
        <w:spacing w:line="360" w:lineRule="exact"/>
        <w:rPr>
          <w:rFonts w:hint="eastAsia" w:ascii="宋体" w:hAnsi="宋体" w:eastAsia="宋体" w:cs="宋体"/>
          <w:b/>
          <w:color w:val="auto"/>
        </w:rPr>
      </w:pPr>
    </w:p>
    <w:p w14:paraId="36CBD0AD">
      <w:pPr>
        <w:spacing w:line="360" w:lineRule="exact"/>
        <w:rPr>
          <w:rFonts w:hint="eastAsia" w:ascii="宋体" w:hAnsi="宋体" w:eastAsia="宋体" w:cs="宋体"/>
          <w:b/>
          <w:color w:val="auto"/>
        </w:rPr>
      </w:pPr>
    </w:p>
    <w:p w14:paraId="30482261">
      <w:pPr>
        <w:spacing w:line="360" w:lineRule="exact"/>
        <w:rPr>
          <w:rFonts w:hint="eastAsia" w:ascii="宋体" w:hAnsi="宋体" w:eastAsia="宋体" w:cs="宋体"/>
          <w:b/>
          <w:color w:val="auto"/>
        </w:rPr>
      </w:pPr>
    </w:p>
    <w:p w14:paraId="18E56348">
      <w:pPr>
        <w:pStyle w:val="13"/>
        <w:adjustRightInd w:val="0"/>
        <w:snapToGrid w:val="0"/>
        <w:spacing w:line="360" w:lineRule="auto"/>
        <w:jc w:val="center"/>
        <w:outlineLvl w:val="1"/>
        <w:rPr>
          <w:rFonts w:hint="eastAsia" w:ascii="宋体" w:hAnsi="宋体" w:eastAsia="宋体" w:cs="宋体"/>
          <w:b/>
          <w:color w:val="auto"/>
          <w:sz w:val="32"/>
          <w:szCs w:val="32"/>
        </w:rPr>
      </w:pPr>
      <w:bookmarkStart w:id="195" w:name="_Toc4357"/>
      <w:bookmarkStart w:id="196" w:name="_Toc14799_WPSOffice_Level1"/>
      <w:bookmarkStart w:id="197" w:name="_Toc3676"/>
      <w:r>
        <w:rPr>
          <w:rFonts w:hint="eastAsia" w:ascii="宋体" w:hAnsi="宋体" w:eastAsia="宋体" w:cs="宋体"/>
          <w:b/>
          <w:color w:val="auto"/>
          <w:sz w:val="32"/>
          <w:szCs w:val="32"/>
        </w:rPr>
        <w:t>二、保证金</w:t>
      </w:r>
      <w:bookmarkEnd w:id="195"/>
      <w:bookmarkEnd w:id="196"/>
      <w:bookmarkEnd w:id="197"/>
    </w:p>
    <w:p w14:paraId="382DA6B6">
      <w:pPr>
        <w:adjustRightInd w:val="0"/>
        <w:snapToGrid w:val="0"/>
        <w:spacing w:beforeLines="50" w:line="360" w:lineRule="auto"/>
        <w:ind w:firstLine="422" w:firstLineChars="200"/>
        <w:jc w:val="left"/>
        <w:rPr>
          <w:rFonts w:hint="eastAsia" w:ascii="宋体" w:hAnsi="宋体" w:eastAsia="宋体" w:cs="宋体"/>
          <w:color w:val="auto"/>
          <w:szCs w:val="21"/>
        </w:rPr>
      </w:pPr>
      <w:bookmarkStart w:id="198" w:name="_Toc12650_WPSOffice_Level2"/>
      <w:r>
        <w:rPr>
          <w:rFonts w:hint="eastAsia" w:ascii="宋体" w:hAnsi="宋体" w:eastAsia="宋体" w:cs="宋体"/>
          <w:b/>
          <w:color w:val="auto"/>
          <w:szCs w:val="21"/>
        </w:rPr>
        <w:t>备注</w:t>
      </w:r>
      <w:r>
        <w:rPr>
          <w:rFonts w:hint="eastAsia" w:ascii="宋体" w:hAnsi="宋体" w:eastAsia="宋体" w:cs="宋体"/>
          <w:color w:val="auto"/>
          <w:szCs w:val="21"/>
        </w:rPr>
        <w:t>：</w:t>
      </w:r>
      <w:r>
        <w:rPr>
          <w:rFonts w:hint="eastAsia" w:ascii="宋体" w:hAnsi="宋体" w:eastAsia="宋体" w:cs="宋体"/>
          <w:color w:val="auto"/>
          <w:szCs w:val="21"/>
          <w:lang w:eastAsia="zh-CN"/>
        </w:rPr>
        <w:t>本项目不需提交保证金</w:t>
      </w:r>
      <w:r>
        <w:rPr>
          <w:rFonts w:hint="eastAsia" w:ascii="宋体" w:hAnsi="宋体" w:eastAsia="宋体" w:cs="宋体"/>
          <w:color w:val="auto"/>
          <w:szCs w:val="21"/>
        </w:rPr>
        <w:t>。</w:t>
      </w:r>
      <w:bookmarkEnd w:id="198"/>
    </w:p>
    <w:p w14:paraId="5AD89599">
      <w:pPr>
        <w:adjustRightInd w:val="0"/>
        <w:snapToGrid w:val="0"/>
        <w:spacing w:line="360" w:lineRule="auto"/>
        <w:jc w:val="center"/>
        <w:rPr>
          <w:rFonts w:hint="eastAsia" w:ascii="宋体" w:hAnsi="宋体" w:eastAsia="宋体" w:cs="宋体"/>
          <w:b/>
          <w:color w:val="auto"/>
          <w:sz w:val="32"/>
          <w:szCs w:val="32"/>
        </w:rPr>
      </w:pPr>
      <w:bookmarkStart w:id="199" w:name="_Toc30143"/>
    </w:p>
    <w:p w14:paraId="45AA687C">
      <w:pPr>
        <w:adjustRightInd w:val="0"/>
        <w:snapToGrid w:val="0"/>
        <w:spacing w:line="360" w:lineRule="auto"/>
        <w:jc w:val="center"/>
        <w:rPr>
          <w:rFonts w:hint="eastAsia" w:ascii="宋体" w:hAnsi="宋体" w:eastAsia="宋体" w:cs="宋体"/>
          <w:b/>
          <w:color w:val="auto"/>
          <w:sz w:val="32"/>
          <w:szCs w:val="32"/>
        </w:rPr>
      </w:pPr>
    </w:p>
    <w:p w14:paraId="0D8A2D0F">
      <w:pPr>
        <w:adjustRightInd w:val="0"/>
        <w:snapToGrid w:val="0"/>
        <w:spacing w:line="360" w:lineRule="auto"/>
        <w:jc w:val="center"/>
        <w:rPr>
          <w:rFonts w:hint="eastAsia" w:ascii="宋体" w:hAnsi="宋体" w:eastAsia="宋体" w:cs="宋体"/>
          <w:b/>
          <w:color w:val="auto"/>
          <w:sz w:val="32"/>
          <w:szCs w:val="32"/>
        </w:rPr>
      </w:pPr>
    </w:p>
    <w:p w14:paraId="6B410DF5">
      <w:pPr>
        <w:adjustRightInd w:val="0"/>
        <w:snapToGrid w:val="0"/>
        <w:spacing w:line="360" w:lineRule="auto"/>
        <w:jc w:val="center"/>
        <w:rPr>
          <w:rFonts w:hint="eastAsia" w:ascii="宋体" w:hAnsi="宋体" w:eastAsia="宋体" w:cs="宋体"/>
          <w:b/>
          <w:color w:val="auto"/>
          <w:sz w:val="32"/>
          <w:szCs w:val="32"/>
        </w:rPr>
      </w:pPr>
    </w:p>
    <w:p w14:paraId="5ACAB592">
      <w:pPr>
        <w:adjustRightInd w:val="0"/>
        <w:snapToGrid w:val="0"/>
        <w:spacing w:line="360" w:lineRule="auto"/>
        <w:jc w:val="center"/>
        <w:rPr>
          <w:rFonts w:hint="eastAsia" w:ascii="宋体" w:hAnsi="宋体" w:eastAsia="宋体" w:cs="宋体"/>
          <w:b/>
          <w:color w:val="auto"/>
          <w:sz w:val="32"/>
          <w:szCs w:val="32"/>
        </w:rPr>
      </w:pPr>
    </w:p>
    <w:p w14:paraId="5764DEA8">
      <w:pPr>
        <w:adjustRightInd w:val="0"/>
        <w:snapToGrid w:val="0"/>
        <w:spacing w:line="360" w:lineRule="auto"/>
        <w:jc w:val="center"/>
        <w:rPr>
          <w:rFonts w:hint="eastAsia" w:ascii="宋体" w:hAnsi="宋体" w:eastAsia="宋体" w:cs="宋体"/>
          <w:b/>
          <w:color w:val="auto"/>
          <w:sz w:val="32"/>
          <w:szCs w:val="32"/>
        </w:rPr>
      </w:pPr>
    </w:p>
    <w:p w14:paraId="508F9E73">
      <w:pPr>
        <w:adjustRightInd w:val="0"/>
        <w:snapToGrid w:val="0"/>
        <w:spacing w:line="360" w:lineRule="auto"/>
        <w:jc w:val="center"/>
        <w:rPr>
          <w:rFonts w:hint="eastAsia" w:ascii="宋体" w:hAnsi="宋体" w:eastAsia="宋体" w:cs="宋体"/>
          <w:b/>
          <w:color w:val="auto"/>
          <w:sz w:val="32"/>
          <w:szCs w:val="32"/>
        </w:rPr>
      </w:pPr>
    </w:p>
    <w:p w14:paraId="7943A00E">
      <w:pPr>
        <w:adjustRightInd w:val="0"/>
        <w:snapToGrid w:val="0"/>
        <w:spacing w:line="360" w:lineRule="auto"/>
        <w:jc w:val="center"/>
        <w:rPr>
          <w:rFonts w:hint="eastAsia" w:ascii="宋体" w:hAnsi="宋体" w:eastAsia="宋体" w:cs="宋体"/>
          <w:b/>
          <w:color w:val="auto"/>
          <w:sz w:val="32"/>
          <w:szCs w:val="32"/>
        </w:rPr>
      </w:pPr>
    </w:p>
    <w:p w14:paraId="38F92AB1">
      <w:pPr>
        <w:adjustRightInd w:val="0"/>
        <w:snapToGrid w:val="0"/>
        <w:spacing w:line="360" w:lineRule="auto"/>
        <w:jc w:val="center"/>
        <w:rPr>
          <w:rFonts w:hint="eastAsia" w:ascii="宋体" w:hAnsi="宋体" w:eastAsia="宋体" w:cs="宋体"/>
          <w:b/>
          <w:color w:val="auto"/>
          <w:sz w:val="32"/>
          <w:szCs w:val="32"/>
        </w:rPr>
      </w:pPr>
    </w:p>
    <w:p w14:paraId="04DE2E3E">
      <w:pPr>
        <w:adjustRightInd w:val="0"/>
        <w:snapToGrid w:val="0"/>
        <w:spacing w:line="360" w:lineRule="auto"/>
        <w:jc w:val="center"/>
        <w:rPr>
          <w:rFonts w:hint="eastAsia" w:ascii="宋体" w:hAnsi="宋体" w:eastAsia="宋体" w:cs="宋体"/>
          <w:b/>
          <w:color w:val="auto"/>
          <w:sz w:val="32"/>
          <w:szCs w:val="32"/>
        </w:rPr>
      </w:pPr>
    </w:p>
    <w:p w14:paraId="62E63115">
      <w:pPr>
        <w:adjustRightInd w:val="0"/>
        <w:snapToGrid w:val="0"/>
        <w:spacing w:line="360" w:lineRule="auto"/>
        <w:jc w:val="center"/>
        <w:rPr>
          <w:rFonts w:hint="eastAsia" w:ascii="宋体" w:hAnsi="宋体" w:eastAsia="宋体" w:cs="宋体"/>
          <w:b/>
          <w:color w:val="auto"/>
          <w:sz w:val="32"/>
          <w:szCs w:val="32"/>
        </w:rPr>
      </w:pPr>
    </w:p>
    <w:p w14:paraId="4C0A1055">
      <w:pPr>
        <w:adjustRightInd w:val="0"/>
        <w:snapToGrid w:val="0"/>
        <w:spacing w:line="360" w:lineRule="auto"/>
        <w:jc w:val="center"/>
        <w:rPr>
          <w:rFonts w:hint="eastAsia" w:ascii="宋体" w:hAnsi="宋体" w:eastAsia="宋体" w:cs="宋体"/>
          <w:b/>
          <w:color w:val="auto"/>
          <w:sz w:val="32"/>
          <w:szCs w:val="32"/>
        </w:rPr>
      </w:pPr>
    </w:p>
    <w:p w14:paraId="18160C30">
      <w:pPr>
        <w:adjustRightInd w:val="0"/>
        <w:snapToGrid w:val="0"/>
        <w:spacing w:line="360" w:lineRule="auto"/>
        <w:jc w:val="center"/>
        <w:rPr>
          <w:rFonts w:hint="eastAsia" w:ascii="宋体" w:hAnsi="宋体" w:eastAsia="宋体" w:cs="宋体"/>
          <w:b/>
          <w:color w:val="auto"/>
          <w:sz w:val="32"/>
          <w:szCs w:val="32"/>
        </w:rPr>
      </w:pPr>
    </w:p>
    <w:p w14:paraId="441C18BF">
      <w:pPr>
        <w:adjustRightInd w:val="0"/>
        <w:snapToGrid w:val="0"/>
        <w:spacing w:line="360" w:lineRule="auto"/>
        <w:jc w:val="center"/>
        <w:rPr>
          <w:rFonts w:hint="eastAsia" w:ascii="宋体" w:hAnsi="宋体" w:eastAsia="宋体" w:cs="宋体"/>
          <w:b/>
          <w:color w:val="auto"/>
          <w:sz w:val="32"/>
          <w:szCs w:val="32"/>
        </w:rPr>
      </w:pPr>
    </w:p>
    <w:p w14:paraId="14A7AE08">
      <w:pPr>
        <w:adjustRightInd w:val="0"/>
        <w:snapToGrid w:val="0"/>
        <w:spacing w:line="360" w:lineRule="auto"/>
        <w:jc w:val="center"/>
        <w:rPr>
          <w:rFonts w:hint="eastAsia" w:ascii="宋体" w:hAnsi="宋体" w:eastAsia="宋体" w:cs="宋体"/>
          <w:b/>
          <w:color w:val="auto"/>
          <w:sz w:val="32"/>
          <w:szCs w:val="32"/>
        </w:rPr>
      </w:pPr>
    </w:p>
    <w:p w14:paraId="2CFC16C4">
      <w:pPr>
        <w:adjustRightInd w:val="0"/>
        <w:snapToGrid w:val="0"/>
        <w:spacing w:line="360" w:lineRule="auto"/>
        <w:jc w:val="center"/>
        <w:rPr>
          <w:rFonts w:hint="eastAsia" w:ascii="宋体" w:hAnsi="宋体" w:eastAsia="宋体" w:cs="宋体"/>
          <w:b/>
          <w:color w:val="auto"/>
          <w:sz w:val="32"/>
          <w:szCs w:val="32"/>
        </w:rPr>
      </w:pPr>
    </w:p>
    <w:p w14:paraId="69EBB522">
      <w:pPr>
        <w:adjustRightInd w:val="0"/>
        <w:snapToGrid w:val="0"/>
        <w:spacing w:line="360" w:lineRule="auto"/>
        <w:jc w:val="center"/>
        <w:rPr>
          <w:rFonts w:hint="eastAsia" w:ascii="宋体" w:hAnsi="宋体" w:eastAsia="宋体" w:cs="宋体"/>
          <w:b/>
          <w:color w:val="auto"/>
          <w:sz w:val="32"/>
          <w:szCs w:val="32"/>
        </w:rPr>
      </w:pPr>
    </w:p>
    <w:p w14:paraId="17374F53">
      <w:pPr>
        <w:adjustRightInd w:val="0"/>
        <w:snapToGrid w:val="0"/>
        <w:spacing w:line="360" w:lineRule="auto"/>
        <w:jc w:val="center"/>
        <w:rPr>
          <w:rFonts w:hint="eastAsia" w:ascii="宋体" w:hAnsi="宋体" w:eastAsia="宋体" w:cs="宋体"/>
          <w:b/>
          <w:color w:val="auto"/>
          <w:sz w:val="32"/>
          <w:szCs w:val="32"/>
        </w:rPr>
      </w:pPr>
    </w:p>
    <w:p w14:paraId="68F51073">
      <w:pPr>
        <w:adjustRightInd w:val="0"/>
        <w:snapToGrid w:val="0"/>
        <w:spacing w:line="360" w:lineRule="auto"/>
        <w:jc w:val="center"/>
        <w:rPr>
          <w:rFonts w:hint="eastAsia" w:ascii="宋体" w:hAnsi="宋体" w:eastAsia="宋体" w:cs="宋体"/>
          <w:b/>
          <w:color w:val="auto"/>
          <w:sz w:val="32"/>
          <w:szCs w:val="32"/>
        </w:rPr>
      </w:pPr>
    </w:p>
    <w:p w14:paraId="40F14462">
      <w:pPr>
        <w:adjustRightInd w:val="0"/>
        <w:snapToGrid w:val="0"/>
        <w:spacing w:line="360" w:lineRule="auto"/>
        <w:jc w:val="center"/>
        <w:rPr>
          <w:rFonts w:hint="eastAsia" w:ascii="宋体" w:hAnsi="宋体" w:eastAsia="宋体" w:cs="宋体"/>
          <w:b/>
          <w:color w:val="auto"/>
          <w:sz w:val="32"/>
          <w:szCs w:val="32"/>
        </w:rPr>
      </w:pPr>
    </w:p>
    <w:p w14:paraId="6CE5FF79">
      <w:pPr>
        <w:adjustRightInd w:val="0"/>
        <w:snapToGrid w:val="0"/>
        <w:spacing w:line="360" w:lineRule="auto"/>
        <w:jc w:val="center"/>
        <w:outlineLvl w:val="1"/>
        <w:rPr>
          <w:rFonts w:hint="eastAsia" w:ascii="宋体" w:hAnsi="宋体" w:eastAsia="宋体" w:cs="宋体"/>
          <w:b/>
          <w:bCs/>
          <w:color w:val="auto"/>
          <w:sz w:val="32"/>
          <w:szCs w:val="32"/>
        </w:rPr>
      </w:pPr>
      <w:bookmarkStart w:id="200" w:name="_Toc9270"/>
      <w:bookmarkStart w:id="201" w:name="_Toc12431_WPSOffice_Level1"/>
      <w:r>
        <w:rPr>
          <w:rFonts w:hint="eastAsia" w:ascii="宋体" w:hAnsi="宋体" w:eastAsia="宋体" w:cs="宋体"/>
          <w:b/>
          <w:color w:val="auto"/>
          <w:sz w:val="32"/>
          <w:szCs w:val="32"/>
        </w:rPr>
        <w:t>三、供应商</w:t>
      </w:r>
      <w:r>
        <w:rPr>
          <w:rFonts w:hint="eastAsia" w:ascii="宋体" w:hAnsi="宋体" w:eastAsia="宋体" w:cs="宋体"/>
          <w:b/>
          <w:bCs/>
          <w:color w:val="auto"/>
          <w:sz w:val="32"/>
          <w:szCs w:val="32"/>
        </w:rPr>
        <w:t>的资格证明材料</w:t>
      </w:r>
      <w:bookmarkEnd w:id="199"/>
      <w:bookmarkEnd w:id="200"/>
      <w:bookmarkEnd w:id="201"/>
    </w:p>
    <w:p w14:paraId="3D4D05DC">
      <w:pPr>
        <w:spacing w:line="480" w:lineRule="exact"/>
        <w:rPr>
          <w:rFonts w:hint="eastAsia" w:ascii="宋体" w:hAnsi="宋体" w:eastAsia="宋体" w:cs="宋体"/>
          <w:color w:val="auto"/>
          <w:spacing w:val="6"/>
          <w:kern w:val="0"/>
          <w:szCs w:val="21"/>
        </w:rPr>
      </w:pPr>
      <w:bookmarkStart w:id="202" w:name="_Toc7935_WPSOffice_Level2"/>
    </w:p>
    <w:p w14:paraId="4051CAC4">
      <w:pPr>
        <w:spacing w:line="480" w:lineRule="exact"/>
        <w:rPr>
          <w:rFonts w:hint="eastAsia" w:ascii="宋体" w:hAnsi="宋体" w:eastAsia="宋体" w:cs="宋体"/>
          <w:color w:val="auto"/>
          <w:spacing w:val="6"/>
          <w:kern w:val="0"/>
          <w:szCs w:val="21"/>
        </w:rPr>
      </w:pPr>
      <w:r>
        <w:rPr>
          <w:rFonts w:hint="eastAsia" w:ascii="宋体" w:hAnsi="宋体" w:eastAsia="宋体" w:cs="宋体"/>
          <w:color w:val="auto"/>
          <w:spacing w:val="6"/>
          <w:kern w:val="0"/>
          <w:szCs w:val="21"/>
        </w:rPr>
        <w:t>附件3：供应商基本情况表</w:t>
      </w:r>
      <w:bookmarkEnd w:id="202"/>
    </w:p>
    <w:p w14:paraId="77C0A173">
      <w:pPr>
        <w:adjustRightInd w:val="0"/>
        <w:snapToGrid w:val="0"/>
        <w:spacing w:line="360" w:lineRule="auto"/>
        <w:jc w:val="center"/>
        <w:rPr>
          <w:rFonts w:hint="eastAsia" w:ascii="宋体" w:hAnsi="宋体" w:eastAsia="宋体" w:cs="宋体"/>
          <w:b/>
          <w:color w:val="auto"/>
          <w:sz w:val="28"/>
          <w:szCs w:val="28"/>
        </w:rPr>
      </w:pPr>
      <w:bookmarkStart w:id="203" w:name="_Toc2147_WPSOffice_Level2"/>
      <w:r>
        <w:rPr>
          <w:rFonts w:hint="eastAsia" w:ascii="宋体" w:hAnsi="宋体" w:eastAsia="宋体" w:cs="宋体"/>
          <w:b/>
          <w:color w:val="auto"/>
          <w:sz w:val="28"/>
          <w:szCs w:val="28"/>
        </w:rPr>
        <w:t>供应商基本情况表</w:t>
      </w:r>
      <w:bookmarkEnd w:id="203"/>
    </w:p>
    <w:p w14:paraId="5C458F6D">
      <w:pPr>
        <w:adjustRightInd w:val="0"/>
        <w:snapToGrid w:val="0"/>
        <w:spacing w:line="360" w:lineRule="auto"/>
        <w:rPr>
          <w:rFonts w:hint="eastAsia" w:ascii="宋体" w:hAnsi="宋体" w:eastAsia="宋体" w:cs="宋体"/>
          <w:b/>
          <w:bCs/>
          <w:color w:val="auto"/>
          <w:szCs w:val="21"/>
        </w:rPr>
      </w:pPr>
      <w:bookmarkStart w:id="204" w:name="_Toc24512_WPSOffice_Level2"/>
      <w:r>
        <w:rPr>
          <w:rFonts w:hint="eastAsia" w:ascii="宋体" w:hAnsi="宋体" w:eastAsia="宋体" w:cs="宋体"/>
          <w:b/>
          <w:bCs/>
          <w:color w:val="auto"/>
          <w:szCs w:val="21"/>
        </w:rPr>
        <w:t>盖供应商单位章</w:t>
      </w:r>
      <w:bookmarkEnd w:id="204"/>
    </w:p>
    <w:tbl>
      <w:tblPr>
        <w:tblStyle w:val="26"/>
        <w:tblW w:w="893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22"/>
      </w:tblGrid>
      <w:tr w14:paraId="73E36B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14:paraId="466CEBDE">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14:paraId="6238E28E">
            <w:pPr>
              <w:topLinePunct/>
              <w:spacing w:line="440" w:lineRule="exact"/>
              <w:jc w:val="center"/>
              <w:rPr>
                <w:rFonts w:hint="eastAsia" w:ascii="宋体" w:hAnsi="宋体" w:eastAsia="宋体" w:cs="宋体"/>
                <w:color w:val="auto"/>
                <w:szCs w:val="21"/>
              </w:rPr>
            </w:pPr>
          </w:p>
        </w:tc>
        <w:tc>
          <w:tcPr>
            <w:tcW w:w="1329" w:type="dxa"/>
            <w:tcBorders>
              <w:top w:val="double" w:color="auto" w:sz="4" w:space="0"/>
              <w:left w:val="single" w:color="auto" w:sz="6" w:space="0"/>
              <w:bottom w:val="single" w:color="auto" w:sz="6" w:space="0"/>
              <w:right w:val="single" w:color="auto" w:sz="6" w:space="0"/>
            </w:tcBorders>
            <w:vAlign w:val="center"/>
          </w:tcPr>
          <w:p w14:paraId="5C1BC577">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tc>
        <w:tc>
          <w:tcPr>
            <w:tcW w:w="2022" w:type="dxa"/>
            <w:tcBorders>
              <w:top w:val="double" w:color="auto" w:sz="4" w:space="0"/>
              <w:left w:val="single" w:color="auto" w:sz="6" w:space="0"/>
              <w:bottom w:val="single" w:color="auto" w:sz="6" w:space="0"/>
              <w:right w:val="double" w:color="auto" w:sz="4" w:space="0"/>
            </w:tcBorders>
            <w:vAlign w:val="center"/>
          </w:tcPr>
          <w:p w14:paraId="3900AD1C">
            <w:pPr>
              <w:topLinePunct/>
              <w:spacing w:line="440" w:lineRule="exact"/>
              <w:jc w:val="center"/>
              <w:rPr>
                <w:rFonts w:hint="eastAsia" w:ascii="宋体" w:hAnsi="宋体" w:eastAsia="宋体" w:cs="宋体"/>
                <w:color w:val="auto"/>
                <w:szCs w:val="21"/>
              </w:rPr>
            </w:pPr>
          </w:p>
        </w:tc>
      </w:tr>
      <w:tr w14:paraId="065BE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298ABC42">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1BCD0AD2">
            <w:pPr>
              <w:topLinePunct/>
              <w:spacing w:line="440" w:lineRule="exact"/>
              <w:jc w:val="center"/>
              <w:rPr>
                <w:rFonts w:hint="eastAsia" w:ascii="宋体" w:hAnsi="宋体" w:eastAsia="宋体" w:cs="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14:paraId="6330477F">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2022" w:type="dxa"/>
            <w:tcBorders>
              <w:top w:val="single" w:color="auto" w:sz="6" w:space="0"/>
              <w:left w:val="single" w:color="auto" w:sz="6" w:space="0"/>
              <w:bottom w:val="single" w:color="auto" w:sz="6" w:space="0"/>
              <w:right w:val="double" w:color="auto" w:sz="4" w:space="0"/>
            </w:tcBorders>
            <w:vAlign w:val="center"/>
          </w:tcPr>
          <w:p w14:paraId="057AFB22">
            <w:pPr>
              <w:topLinePunct/>
              <w:spacing w:line="440" w:lineRule="exact"/>
              <w:jc w:val="center"/>
              <w:rPr>
                <w:rFonts w:hint="eastAsia" w:ascii="宋体" w:hAnsi="宋体" w:eastAsia="宋体" w:cs="宋体"/>
                <w:color w:val="auto"/>
                <w:szCs w:val="21"/>
              </w:rPr>
            </w:pPr>
          </w:p>
        </w:tc>
      </w:tr>
      <w:tr w14:paraId="61F0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353455B5">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49BC29AC">
            <w:pPr>
              <w:topLinePunct/>
              <w:spacing w:line="440" w:lineRule="exact"/>
              <w:jc w:val="center"/>
              <w:rPr>
                <w:rFonts w:hint="eastAsia" w:ascii="宋体" w:hAnsi="宋体" w:eastAsia="宋体" w:cs="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14:paraId="4287E9BA">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2022" w:type="dxa"/>
            <w:tcBorders>
              <w:top w:val="single" w:color="auto" w:sz="6" w:space="0"/>
              <w:left w:val="single" w:color="auto" w:sz="6" w:space="0"/>
              <w:bottom w:val="single" w:color="auto" w:sz="6" w:space="0"/>
              <w:right w:val="double" w:color="auto" w:sz="4" w:space="0"/>
            </w:tcBorders>
            <w:vAlign w:val="center"/>
          </w:tcPr>
          <w:p w14:paraId="00F7070B">
            <w:pPr>
              <w:topLinePunct/>
              <w:spacing w:line="440" w:lineRule="exact"/>
              <w:jc w:val="center"/>
              <w:rPr>
                <w:rFonts w:hint="eastAsia" w:ascii="宋体" w:hAnsi="宋体" w:eastAsia="宋体" w:cs="宋体"/>
                <w:color w:val="auto"/>
                <w:szCs w:val="21"/>
              </w:rPr>
            </w:pPr>
          </w:p>
        </w:tc>
      </w:tr>
      <w:tr w14:paraId="4AEA3B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4AB41D5F">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7DAD68D3">
            <w:pPr>
              <w:topLinePunct/>
              <w:spacing w:line="440" w:lineRule="exact"/>
              <w:jc w:val="center"/>
              <w:rPr>
                <w:rFonts w:hint="eastAsia" w:ascii="宋体" w:hAnsi="宋体" w:eastAsia="宋体" w:cs="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14:paraId="05A8A2C9">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2022" w:type="dxa"/>
            <w:tcBorders>
              <w:top w:val="single" w:color="auto" w:sz="6" w:space="0"/>
              <w:left w:val="single" w:color="auto" w:sz="6" w:space="0"/>
              <w:bottom w:val="single" w:color="auto" w:sz="6" w:space="0"/>
              <w:right w:val="double" w:color="auto" w:sz="4" w:space="0"/>
            </w:tcBorders>
            <w:vAlign w:val="center"/>
          </w:tcPr>
          <w:p w14:paraId="5BCD0210">
            <w:pPr>
              <w:topLinePunct/>
              <w:spacing w:line="440" w:lineRule="exact"/>
              <w:jc w:val="center"/>
              <w:rPr>
                <w:rFonts w:hint="eastAsia" w:ascii="宋体" w:hAnsi="宋体" w:eastAsia="宋体" w:cs="宋体"/>
                <w:color w:val="auto"/>
                <w:szCs w:val="21"/>
              </w:rPr>
            </w:pPr>
          </w:p>
        </w:tc>
      </w:tr>
      <w:tr w14:paraId="44AAB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14:paraId="04337108">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44422DD3">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0669A977">
            <w:pPr>
              <w:topLinePunct/>
              <w:spacing w:line="440" w:lineRule="exact"/>
              <w:jc w:val="center"/>
              <w:rPr>
                <w:rFonts w:hint="eastAsia" w:ascii="宋体" w:hAnsi="宋体" w:eastAsia="宋体" w:cs="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2BB7C4E3">
            <w:pPr>
              <w:topLinePunct/>
              <w:spacing w:line="440" w:lineRule="exact"/>
              <w:ind w:firstLine="105" w:firstLineChars="50"/>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4B33B765">
            <w:pPr>
              <w:topLinePunct/>
              <w:spacing w:line="440" w:lineRule="exact"/>
              <w:ind w:firstLine="105" w:firstLineChars="50"/>
              <w:jc w:val="center"/>
              <w:rPr>
                <w:rFonts w:hint="eastAsia" w:ascii="宋体" w:hAnsi="宋体" w:eastAsia="宋体" w:cs="宋体"/>
                <w:color w:val="auto"/>
                <w:szCs w:val="21"/>
              </w:rPr>
            </w:pPr>
          </w:p>
        </w:tc>
      </w:tr>
      <w:tr w14:paraId="7EA7F8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398DA22C">
            <w:pPr>
              <w:topLinePunct/>
              <w:spacing w:line="440" w:lineRule="exact"/>
              <w:jc w:val="center"/>
              <w:rPr>
                <w:rFonts w:hint="eastAsia" w:ascii="宋体" w:hAnsi="宋体" w:eastAsia="宋体" w:cs="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727768B0">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45AB8D1D">
            <w:pPr>
              <w:topLinePunct/>
              <w:spacing w:line="440" w:lineRule="exact"/>
              <w:jc w:val="center"/>
              <w:rPr>
                <w:rFonts w:hint="eastAsia" w:ascii="宋体" w:hAnsi="宋体" w:eastAsia="宋体" w:cs="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5F184C56">
            <w:pPr>
              <w:topLinePunct/>
              <w:spacing w:line="440" w:lineRule="exact"/>
              <w:ind w:firstLine="105" w:firstLineChars="50"/>
              <w:jc w:val="center"/>
              <w:rPr>
                <w:rFonts w:hint="eastAsia" w:ascii="宋体" w:hAnsi="宋体" w:eastAsia="宋体" w:cs="宋体"/>
                <w:color w:val="auto"/>
                <w:szCs w:val="21"/>
              </w:rPr>
            </w:pPr>
            <w:r>
              <w:rPr>
                <w:rFonts w:hint="eastAsia" w:ascii="宋体" w:hAnsi="宋体" w:eastAsia="宋体" w:cs="宋体"/>
                <w:color w:val="auto"/>
                <w:szCs w:val="21"/>
              </w:rPr>
              <w:t>发证日期</w:t>
            </w: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66BF8A40">
            <w:pPr>
              <w:topLinePunct/>
              <w:spacing w:line="440" w:lineRule="exact"/>
              <w:ind w:firstLine="105" w:firstLineChars="50"/>
              <w:jc w:val="center"/>
              <w:rPr>
                <w:rFonts w:hint="eastAsia" w:ascii="宋体" w:hAnsi="宋体" w:eastAsia="宋体" w:cs="宋体"/>
                <w:color w:val="auto"/>
                <w:szCs w:val="21"/>
              </w:rPr>
            </w:pPr>
          </w:p>
        </w:tc>
      </w:tr>
      <w:tr w14:paraId="1720F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700C65F0">
            <w:pPr>
              <w:topLinePunct/>
              <w:spacing w:line="440" w:lineRule="exact"/>
              <w:jc w:val="center"/>
              <w:rPr>
                <w:rFonts w:hint="eastAsia" w:ascii="宋体" w:hAnsi="宋体" w:eastAsia="宋体" w:cs="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7939224D">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营业范围</w:t>
            </w:r>
          </w:p>
        </w:tc>
        <w:tc>
          <w:tcPr>
            <w:tcW w:w="6168" w:type="dxa"/>
            <w:gridSpan w:val="6"/>
            <w:tcBorders>
              <w:top w:val="single" w:color="auto" w:sz="6" w:space="0"/>
              <w:left w:val="single" w:color="auto" w:sz="6" w:space="0"/>
              <w:bottom w:val="single" w:color="auto" w:sz="6" w:space="0"/>
              <w:right w:val="double" w:color="auto" w:sz="4" w:space="0"/>
            </w:tcBorders>
            <w:vAlign w:val="center"/>
          </w:tcPr>
          <w:p w14:paraId="62D9BF86">
            <w:pPr>
              <w:topLinePunct/>
              <w:spacing w:line="440" w:lineRule="exact"/>
              <w:ind w:firstLine="105" w:firstLineChars="50"/>
              <w:jc w:val="center"/>
              <w:rPr>
                <w:rFonts w:hint="eastAsia" w:ascii="宋体" w:hAnsi="宋体" w:eastAsia="宋体" w:cs="宋体"/>
                <w:color w:val="auto"/>
                <w:szCs w:val="21"/>
              </w:rPr>
            </w:pPr>
          </w:p>
        </w:tc>
      </w:tr>
      <w:tr w14:paraId="4F2169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14:paraId="6E77E0F7">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基本账户开户行及帐号</w:t>
            </w:r>
          </w:p>
        </w:tc>
        <w:tc>
          <w:tcPr>
            <w:tcW w:w="6168" w:type="dxa"/>
            <w:gridSpan w:val="6"/>
            <w:tcBorders>
              <w:top w:val="single" w:color="auto" w:sz="6" w:space="0"/>
              <w:left w:val="single" w:color="auto" w:sz="6" w:space="0"/>
              <w:bottom w:val="single" w:color="auto" w:sz="6" w:space="0"/>
              <w:right w:val="double" w:color="auto" w:sz="4" w:space="0"/>
            </w:tcBorders>
            <w:vAlign w:val="center"/>
          </w:tcPr>
          <w:p w14:paraId="309AFF7B">
            <w:pPr>
              <w:topLinePunct/>
              <w:spacing w:line="440" w:lineRule="exact"/>
              <w:jc w:val="center"/>
              <w:rPr>
                <w:rFonts w:hint="eastAsia" w:ascii="宋体" w:hAnsi="宋体" w:eastAsia="宋体" w:cs="宋体"/>
                <w:color w:val="auto"/>
                <w:szCs w:val="21"/>
              </w:rPr>
            </w:pPr>
          </w:p>
        </w:tc>
      </w:tr>
      <w:tr w14:paraId="5C749B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14:paraId="674B3F6F">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税务登记机关</w:t>
            </w:r>
          </w:p>
        </w:tc>
        <w:tc>
          <w:tcPr>
            <w:tcW w:w="6168" w:type="dxa"/>
            <w:gridSpan w:val="6"/>
            <w:tcBorders>
              <w:top w:val="single" w:color="auto" w:sz="6" w:space="0"/>
              <w:left w:val="single" w:color="auto" w:sz="6" w:space="0"/>
              <w:bottom w:val="single" w:color="auto" w:sz="6" w:space="0"/>
              <w:right w:val="double" w:color="auto" w:sz="4" w:space="0"/>
            </w:tcBorders>
            <w:vAlign w:val="center"/>
          </w:tcPr>
          <w:p w14:paraId="1C9E2780">
            <w:pPr>
              <w:topLinePunct/>
              <w:spacing w:line="440" w:lineRule="exact"/>
              <w:jc w:val="center"/>
              <w:rPr>
                <w:rFonts w:hint="eastAsia" w:ascii="宋体" w:hAnsi="宋体" w:eastAsia="宋体" w:cs="宋体"/>
                <w:color w:val="auto"/>
                <w:szCs w:val="21"/>
              </w:rPr>
            </w:pPr>
          </w:p>
        </w:tc>
      </w:tr>
      <w:tr w14:paraId="1390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076C4442">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6B4591DC">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14:paraId="2ADD5946">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发证机关</w:t>
            </w: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52847D95">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有效期</w:t>
            </w:r>
          </w:p>
        </w:tc>
      </w:tr>
      <w:tr w14:paraId="7BDDE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45C2790B">
            <w:pPr>
              <w:topLinePunct/>
              <w:spacing w:line="440" w:lineRule="exact"/>
              <w:jc w:val="center"/>
              <w:rPr>
                <w:rFonts w:hint="eastAsia" w:ascii="宋体" w:hAnsi="宋体" w:eastAsia="宋体" w:cs="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107F9BDB">
            <w:pPr>
              <w:topLinePunct/>
              <w:spacing w:line="440" w:lineRule="exact"/>
              <w:jc w:val="center"/>
              <w:rPr>
                <w:rFonts w:hint="eastAsia" w:ascii="宋体" w:hAnsi="宋体" w:eastAsia="宋体" w:cs="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14:paraId="714496EA">
            <w:pPr>
              <w:topLinePunct/>
              <w:spacing w:line="440" w:lineRule="exact"/>
              <w:jc w:val="center"/>
              <w:rPr>
                <w:rFonts w:hint="eastAsia" w:ascii="宋体" w:hAnsi="宋体" w:eastAsia="宋体" w:cs="宋体"/>
                <w:color w:val="auto"/>
                <w:szCs w:val="21"/>
              </w:rPr>
            </w:pP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1FB23776">
            <w:pPr>
              <w:topLinePunct/>
              <w:spacing w:line="440" w:lineRule="exact"/>
              <w:jc w:val="center"/>
              <w:rPr>
                <w:rFonts w:hint="eastAsia" w:ascii="宋体" w:hAnsi="宋体" w:eastAsia="宋体" w:cs="宋体"/>
                <w:color w:val="auto"/>
                <w:szCs w:val="21"/>
              </w:rPr>
            </w:pPr>
          </w:p>
        </w:tc>
      </w:tr>
      <w:tr w14:paraId="3FABF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6352A5F5">
            <w:pPr>
              <w:topLinePunct/>
              <w:spacing w:line="440" w:lineRule="exact"/>
              <w:jc w:val="center"/>
              <w:rPr>
                <w:rFonts w:hint="eastAsia" w:ascii="宋体" w:hAnsi="宋体" w:eastAsia="宋体" w:cs="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0981CFD3">
            <w:pPr>
              <w:topLinePunct/>
              <w:spacing w:line="440" w:lineRule="exact"/>
              <w:jc w:val="center"/>
              <w:rPr>
                <w:rFonts w:hint="eastAsia" w:ascii="宋体" w:hAnsi="宋体" w:eastAsia="宋体" w:cs="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14:paraId="6FFE40A1">
            <w:pPr>
              <w:topLinePunct/>
              <w:spacing w:line="440" w:lineRule="exact"/>
              <w:jc w:val="center"/>
              <w:rPr>
                <w:rFonts w:hint="eastAsia" w:ascii="宋体" w:hAnsi="宋体" w:eastAsia="宋体" w:cs="宋体"/>
                <w:color w:val="auto"/>
                <w:szCs w:val="21"/>
              </w:rPr>
            </w:pP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755DD21C">
            <w:pPr>
              <w:topLinePunct/>
              <w:spacing w:line="440" w:lineRule="exact"/>
              <w:jc w:val="center"/>
              <w:rPr>
                <w:rFonts w:hint="eastAsia" w:ascii="宋体" w:hAnsi="宋体" w:eastAsia="宋体" w:cs="宋体"/>
                <w:color w:val="auto"/>
                <w:szCs w:val="21"/>
              </w:rPr>
            </w:pPr>
          </w:p>
        </w:tc>
      </w:tr>
      <w:tr w14:paraId="154011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68F12512">
            <w:pPr>
              <w:topLinePunct/>
              <w:spacing w:line="440" w:lineRule="exact"/>
              <w:jc w:val="center"/>
              <w:rPr>
                <w:rFonts w:hint="eastAsia" w:ascii="宋体" w:hAnsi="宋体" w:eastAsia="宋体" w:cs="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72C557F5">
            <w:pPr>
              <w:topLinePunct/>
              <w:spacing w:line="440" w:lineRule="exact"/>
              <w:jc w:val="center"/>
              <w:rPr>
                <w:rFonts w:hint="eastAsia" w:ascii="宋体" w:hAnsi="宋体" w:eastAsia="宋体" w:cs="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14:paraId="4F4AFFF9">
            <w:pPr>
              <w:topLinePunct/>
              <w:spacing w:line="440" w:lineRule="exact"/>
              <w:jc w:val="center"/>
              <w:rPr>
                <w:rFonts w:hint="eastAsia" w:ascii="宋体" w:hAnsi="宋体" w:eastAsia="宋体" w:cs="宋体"/>
                <w:color w:val="auto"/>
                <w:szCs w:val="21"/>
              </w:rPr>
            </w:pP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3D38C45C">
            <w:pPr>
              <w:topLinePunct/>
              <w:spacing w:line="440" w:lineRule="exact"/>
              <w:jc w:val="center"/>
              <w:rPr>
                <w:rFonts w:hint="eastAsia" w:ascii="宋体" w:hAnsi="宋体" w:eastAsia="宋体" w:cs="宋体"/>
                <w:color w:val="auto"/>
                <w:szCs w:val="21"/>
              </w:rPr>
            </w:pPr>
          </w:p>
        </w:tc>
      </w:tr>
      <w:tr w14:paraId="66527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31CDCAB4">
            <w:pPr>
              <w:topLinePunct/>
              <w:spacing w:line="440" w:lineRule="exact"/>
              <w:jc w:val="center"/>
              <w:rPr>
                <w:rFonts w:hint="eastAsia" w:ascii="宋体" w:hAnsi="宋体" w:eastAsia="宋体" w:cs="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614486D2">
            <w:pPr>
              <w:topLinePunct/>
              <w:spacing w:line="440" w:lineRule="exact"/>
              <w:jc w:val="center"/>
              <w:rPr>
                <w:rFonts w:hint="eastAsia" w:ascii="宋体" w:hAnsi="宋体" w:eastAsia="宋体" w:cs="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14:paraId="6B4AABE2">
            <w:pPr>
              <w:topLinePunct/>
              <w:spacing w:line="440" w:lineRule="exact"/>
              <w:jc w:val="center"/>
              <w:rPr>
                <w:rFonts w:hint="eastAsia" w:ascii="宋体" w:hAnsi="宋体" w:eastAsia="宋体" w:cs="宋体"/>
                <w:color w:val="auto"/>
                <w:szCs w:val="21"/>
              </w:rPr>
            </w:pPr>
          </w:p>
        </w:tc>
        <w:tc>
          <w:tcPr>
            <w:tcW w:w="3351" w:type="dxa"/>
            <w:gridSpan w:val="2"/>
            <w:tcBorders>
              <w:top w:val="single" w:color="auto" w:sz="6" w:space="0"/>
              <w:left w:val="single" w:color="auto" w:sz="6" w:space="0"/>
              <w:bottom w:val="single" w:color="auto" w:sz="6" w:space="0"/>
              <w:right w:val="double" w:color="auto" w:sz="4" w:space="0"/>
            </w:tcBorders>
            <w:vAlign w:val="center"/>
          </w:tcPr>
          <w:p w14:paraId="58E048B7">
            <w:pPr>
              <w:topLinePunct/>
              <w:spacing w:line="440" w:lineRule="exact"/>
              <w:jc w:val="center"/>
              <w:rPr>
                <w:rFonts w:hint="eastAsia" w:ascii="宋体" w:hAnsi="宋体" w:eastAsia="宋体" w:cs="宋体"/>
                <w:color w:val="auto"/>
                <w:szCs w:val="21"/>
              </w:rPr>
            </w:pPr>
          </w:p>
        </w:tc>
      </w:tr>
      <w:tr w14:paraId="5A019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2"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14:paraId="0E698E36">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备注</w:t>
            </w:r>
          </w:p>
        </w:tc>
        <w:tc>
          <w:tcPr>
            <w:tcW w:w="7673" w:type="dxa"/>
            <w:gridSpan w:val="8"/>
            <w:tcBorders>
              <w:top w:val="single" w:color="auto" w:sz="6" w:space="0"/>
              <w:left w:val="single" w:color="auto" w:sz="6" w:space="0"/>
              <w:bottom w:val="double" w:color="auto" w:sz="4" w:space="0"/>
              <w:right w:val="double" w:color="auto" w:sz="4" w:space="0"/>
            </w:tcBorders>
            <w:vAlign w:val="center"/>
          </w:tcPr>
          <w:p w14:paraId="799688EF">
            <w:pPr>
              <w:topLinePunct/>
              <w:spacing w:line="440" w:lineRule="exact"/>
              <w:rPr>
                <w:rFonts w:hint="eastAsia" w:ascii="宋体" w:hAnsi="宋体" w:eastAsia="宋体" w:cs="宋体"/>
                <w:color w:val="auto"/>
                <w:szCs w:val="21"/>
              </w:rPr>
            </w:pPr>
            <w:r>
              <w:rPr>
                <w:rFonts w:hint="eastAsia" w:ascii="宋体" w:hAnsi="宋体" w:eastAsia="宋体" w:cs="宋体"/>
                <w:color w:val="auto"/>
                <w:szCs w:val="21"/>
              </w:rPr>
              <w:t>提供营业执照(</w:t>
            </w:r>
            <w:r>
              <w:rPr>
                <w:rFonts w:hint="eastAsia" w:ascii="宋体" w:hAnsi="宋体" w:eastAsia="宋体" w:cs="宋体"/>
                <w:color w:val="auto"/>
                <w:kern w:val="0"/>
                <w:szCs w:val="21"/>
              </w:rPr>
              <w:t>或民办非企业单位登记证书）</w:t>
            </w:r>
            <w:r>
              <w:rPr>
                <w:rFonts w:hint="eastAsia" w:ascii="宋体" w:hAnsi="宋体" w:eastAsia="宋体" w:cs="宋体"/>
                <w:color w:val="auto"/>
                <w:szCs w:val="21"/>
              </w:rPr>
              <w:t>和组织机构代码证(副本复印件)，其他资料按第二章第41.1款或第四章要求提供。</w:t>
            </w:r>
          </w:p>
        </w:tc>
      </w:tr>
    </w:tbl>
    <w:p w14:paraId="1D116E21">
      <w:pPr>
        <w:spacing w:line="480" w:lineRule="exact"/>
        <w:rPr>
          <w:rFonts w:hint="eastAsia" w:ascii="宋体" w:hAnsi="宋体" w:eastAsia="宋体" w:cs="宋体"/>
          <w:color w:val="auto"/>
          <w:spacing w:val="6"/>
          <w:kern w:val="0"/>
          <w:szCs w:val="21"/>
        </w:rPr>
      </w:pPr>
      <w:r>
        <w:rPr>
          <w:rFonts w:hint="eastAsia" w:ascii="宋体" w:hAnsi="宋体" w:eastAsia="宋体" w:cs="宋体"/>
          <w:color w:val="auto"/>
          <w:sz w:val="24"/>
        </w:rPr>
        <w:br w:type="page"/>
      </w:r>
      <w:bookmarkStart w:id="205" w:name="_Toc24891_WPSOffice_Level2"/>
      <w:r>
        <w:rPr>
          <w:rFonts w:hint="eastAsia" w:ascii="宋体" w:hAnsi="宋体" w:eastAsia="宋体" w:cs="宋体"/>
          <w:color w:val="auto"/>
          <w:spacing w:val="6"/>
          <w:kern w:val="0"/>
          <w:szCs w:val="21"/>
        </w:rPr>
        <w:t>附件4：湖南省政府采购供应商资格承诺函</w:t>
      </w:r>
      <w:bookmarkEnd w:id="205"/>
    </w:p>
    <w:p w14:paraId="7AC09E9D">
      <w:pPr>
        <w:adjustRightInd w:val="0"/>
        <w:snapToGrid w:val="0"/>
        <w:spacing w:line="360" w:lineRule="auto"/>
        <w:jc w:val="center"/>
        <w:rPr>
          <w:rFonts w:hint="eastAsia" w:ascii="宋体" w:hAnsi="宋体" w:eastAsia="宋体" w:cs="宋体"/>
          <w:b/>
          <w:color w:val="auto"/>
          <w:sz w:val="32"/>
          <w:szCs w:val="32"/>
        </w:rPr>
      </w:pPr>
    </w:p>
    <w:p w14:paraId="5B1E2AB3">
      <w:pPr>
        <w:adjustRightInd w:val="0"/>
        <w:snapToGrid w:val="0"/>
        <w:spacing w:line="360" w:lineRule="auto"/>
        <w:jc w:val="center"/>
        <w:rPr>
          <w:rFonts w:hint="eastAsia" w:ascii="宋体" w:hAnsi="宋体" w:eastAsia="宋体" w:cs="宋体"/>
          <w:b/>
          <w:color w:val="auto"/>
          <w:sz w:val="28"/>
          <w:szCs w:val="28"/>
        </w:rPr>
      </w:pPr>
      <w:bookmarkStart w:id="206" w:name="_Toc16266_WPSOffice_Level2"/>
      <w:r>
        <w:rPr>
          <w:rFonts w:hint="eastAsia" w:ascii="宋体" w:hAnsi="宋体" w:eastAsia="宋体" w:cs="宋体"/>
          <w:b/>
          <w:color w:val="auto"/>
          <w:sz w:val="32"/>
          <w:szCs w:val="32"/>
        </w:rPr>
        <w:t>湖南省政府采购供应商资格承诺函</w:t>
      </w:r>
      <w:bookmarkEnd w:id="206"/>
    </w:p>
    <w:p w14:paraId="1EDFE330">
      <w:pPr>
        <w:adjustRightInd w:val="0"/>
        <w:snapToGrid w:val="0"/>
        <w:spacing w:line="360" w:lineRule="auto"/>
        <w:rPr>
          <w:rFonts w:hint="eastAsia" w:ascii="宋体" w:hAnsi="宋体" w:eastAsia="宋体" w:cs="宋体"/>
          <w:b/>
          <w:color w:val="auto"/>
          <w:sz w:val="28"/>
          <w:szCs w:val="28"/>
        </w:rPr>
      </w:pPr>
    </w:p>
    <w:p w14:paraId="53D33EB6">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本公司独立承担民事责任、具有良好的商业信誉和健全的财务会计制度、依法缴纳税收，在前三年的经营活动中无重大违法记录，未列入严重失信行为名单，符合政府采购供应商的基本资格要求。</w:t>
      </w:r>
    </w:p>
    <w:p w14:paraId="120DFA27">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按照《政府采购促进中小企业发展管理办法》(财库[2020〕46号)，本公司企业规模为:大型口  中型口  小型口  微型口</w:t>
      </w:r>
    </w:p>
    <w:p w14:paraId="0DBE583C">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口本公司自愿入驻湖南省政府采购电子卖场，遵守《湖南省政府采购电子卖场管理办法》(湘财购〔2019〕27号)，如违反承诺，同意金融机构将增信保证划缴国库(非电子卖场采购活动项目不需勾选)。</w:t>
      </w:r>
    </w:p>
    <w:p w14:paraId="5F24EB81">
      <w:pPr>
        <w:adjustRightInd w:val="0"/>
        <w:snapToGrid w:val="0"/>
        <w:spacing w:line="360" w:lineRule="auto"/>
        <w:rPr>
          <w:rFonts w:hint="eastAsia" w:ascii="宋体" w:hAnsi="宋体" w:eastAsia="宋体" w:cs="宋体"/>
          <w:bCs/>
          <w:color w:val="auto"/>
          <w:szCs w:val="21"/>
        </w:rPr>
      </w:pPr>
    </w:p>
    <w:p w14:paraId="3083297D">
      <w:pPr>
        <w:adjustRightInd w:val="0"/>
        <w:snapToGrid w:val="0"/>
        <w:spacing w:line="360" w:lineRule="auto"/>
        <w:jc w:val="right"/>
        <w:rPr>
          <w:rFonts w:hint="eastAsia" w:ascii="宋体" w:hAnsi="宋体" w:eastAsia="宋体" w:cs="宋体"/>
          <w:bCs/>
          <w:color w:val="auto"/>
          <w:szCs w:val="21"/>
        </w:rPr>
      </w:pPr>
    </w:p>
    <w:p w14:paraId="6D889A5C">
      <w:pPr>
        <w:adjustRightInd w:val="0"/>
        <w:snapToGrid w:val="0"/>
        <w:spacing w:line="360" w:lineRule="auto"/>
        <w:jc w:val="right"/>
        <w:rPr>
          <w:rFonts w:hint="eastAsia" w:ascii="宋体" w:hAnsi="宋体" w:eastAsia="宋体" w:cs="宋体"/>
          <w:bCs/>
          <w:color w:val="auto"/>
          <w:szCs w:val="21"/>
        </w:rPr>
      </w:pPr>
    </w:p>
    <w:p w14:paraId="2E339A00">
      <w:pPr>
        <w:adjustRightInd w:val="0"/>
        <w:snapToGrid w:val="0"/>
        <w:spacing w:line="360" w:lineRule="auto"/>
        <w:jc w:val="right"/>
        <w:rPr>
          <w:rFonts w:hint="eastAsia" w:ascii="宋体" w:hAnsi="宋体" w:eastAsia="宋体" w:cs="宋体"/>
          <w:bCs/>
          <w:color w:val="auto"/>
          <w:szCs w:val="21"/>
        </w:rPr>
      </w:pPr>
      <w:r>
        <w:rPr>
          <w:rFonts w:hint="eastAsia" w:ascii="宋体" w:hAnsi="宋体" w:eastAsia="宋体" w:cs="宋体"/>
          <w:bCs/>
          <w:color w:val="auto"/>
          <w:szCs w:val="21"/>
        </w:rPr>
        <w:t>公司(单位)名称(盖章)</w:t>
      </w:r>
    </w:p>
    <w:p w14:paraId="7B5CF1E1">
      <w:pPr>
        <w:adjustRightInd w:val="0"/>
        <w:snapToGrid w:val="0"/>
        <w:spacing w:line="360" w:lineRule="auto"/>
        <w:jc w:val="right"/>
        <w:rPr>
          <w:rFonts w:hint="eastAsia" w:ascii="宋体" w:hAnsi="宋体" w:eastAsia="宋体" w:cs="宋体"/>
          <w:bCs/>
          <w:color w:val="auto"/>
          <w:szCs w:val="21"/>
        </w:rPr>
      </w:pP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年__月__日</w:t>
      </w:r>
    </w:p>
    <w:p w14:paraId="75064BDF">
      <w:pPr>
        <w:adjustRightInd w:val="0"/>
        <w:snapToGrid w:val="0"/>
        <w:spacing w:line="360" w:lineRule="auto"/>
        <w:rPr>
          <w:rFonts w:hint="eastAsia" w:ascii="宋体" w:hAnsi="宋体" w:eastAsia="宋体" w:cs="宋体"/>
          <w:bCs/>
          <w:color w:val="auto"/>
          <w:szCs w:val="21"/>
        </w:rPr>
      </w:pPr>
    </w:p>
    <w:p w14:paraId="7F55CD4A">
      <w:pPr>
        <w:adjustRightInd w:val="0"/>
        <w:snapToGrid w:val="0"/>
        <w:spacing w:line="360" w:lineRule="auto"/>
        <w:ind w:left="420" w:leftChars="200"/>
        <w:rPr>
          <w:rFonts w:hint="eastAsia" w:ascii="宋体" w:hAnsi="宋体" w:eastAsia="宋体" w:cs="宋体"/>
          <w:color w:val="auto"/>
          <w:szCs w:val="21"/>
        </w:rPr>
      </w:pPr>
      <w:r>
        <w:rPr>
          <w:rFonts w:hint="eastAsia" w:ascii="宋体" w:hAnsi="宋体" w:eastAsia="宋体" w:cs="宋体"/>
          <w:color w:val="auto"/>
          <w:szCs w:val="21"/>
        </w:rPr>
        <w:t>机构代码：</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注册登记机构：</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有效期：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6BC1B1A2">
      <w:pPr>
        <w:adjustRightInd w:val="0"/>
        <w:snapToGrid w:val="0"/>
        <w:spacing w:line="360" w:lineRule="auto"/>
        <w:ind w:left="420" w:leftChars="200"/>
        <w:rPr>
          <w:rFonts w:hint="eastAsia" w:ascii="宋体" w:hAnsi="宋体" w:eastAsia="宋体" w:cs="宋体"/>
          <w:color w:val="auto"/>
          <w:szCs w:val="21"/>
        </w:rPr>
      </w:pPr>
      <w:r>
        <w:rPr>
          <w:rFonts w:hint="eastAsia" w:ascii="宋体" w:hAnsi="宋体" w:eastAsia="宋体" w:cs="宋体"/>
          <w:color w:val="auto"/>
          <w:szCs w:val="21"/>
        </w:rPr>
        <w:t>注册资本：</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地 址：</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经济行业：</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经济性质：</w:t>
      </w:r>
      <w:r>
        <w:rPr>
          <w:rFonts w:hint="eastAsia" w:ascii="宋体" w:hAnsi="宋体" w:eastAsia="宋体" w:cs="宋体"/>
          <w:color w:val="auto"/>
          <w:szCs w:val="21"/>
          <w:u w:val="single"/>
        </w:rPr>
        <w:t xml:space="preserve">        </w:t>
      </w:r>
    </w:p>
    <w:p w14:paraId="73EB3B18">
      <w:pPr>
        <w:adjustRightInd w:val="0"/>
        <w:snapToGrid w:val="0"/>
        <w:spacing w:line="360" w:lineRule="auto"/>
        <w:ind w:firstLine="420" w:firstLineChars="200"/>
        <w:rPr>
          <w:rFonts w:hint="eastAsia" w:ascii="宋体" w:hAnsi="宋体" w:eastAsia="宋体" w:cs="宋体"/>
          <w:color w:val="auto"/>
          <w:szCs w:val="21"/>
        </w:rPr>
      </w:pPr>
    </w:p>
    <w:p w14:paraId="4D09CC3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法定代表人(负责人)姓名(签字)：</w:t>
      </w:r>
    </w:p>
    <w:p w14:paraId="52521B7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身份证号：</w:t>
      </w:r>
    </w:p>
    <w:p w14:paraId="3AE62C6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手机号:</w:t>
      </w:r>
    </w:p>
    <w:p w14:paraId="1F879B4B">
      <w:pPr>
        <w:adjustRightInd w:val="0"/>
        <w:snapToGrid w:val="0"/>
        <w:spacing w:line="360" w:lineRule="auto"/>
        <w:ind w:firstLine="420" w:firstLineChars="200"/>
        <w:rPr>
          <w:rFonts w:hint="eastAsia" w:ascii="宋体" w:hAnsi="宋体" w:eastAsia="宋体" w:cs="宋体"/>
          <w:color w:val="auto"/>
          <w:szCs w:val="21"/>
        </w:rPr>
      </w:pPr>
    </w:p>
    <w:p w14:paraId="131E1F0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授权代表人姓名(签字)：</w:t>
      </w:r>
    </w:p>
    <w:p w14:paraId="15670EC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身份证号：</w:t>
      </w:r>
    </w:p>
    <w:p w14:paraId="000406F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手机号:</w:t>
      </w:r>
    </w:p>
    <w:p w14:paraId="7758CFA3">
      <w:pPr>
        <w:adjustRightInd w:val="0"/>
        <w:snapToGrid w:val="0"/>
        <w:spacing w:line="360" w:lineRule="auto"/>
        <w:ind w:firstLine="643" w:firstLineChars="200"/>
        <w:rPr>
          <w:rStyle w:val="57"/>
          <w:rFonts w:hint="eastAsia" w:ascii="宋体" w:hAnsi="宋体" w:eastAsia="宋体" w:cs="宋体"/>
          <w:color w:val="auto"/>
        </w:rPr>
      </w:pPr>
      <w:r>
        <w:rPr>
          <w:rFonts w:hint="eastAsia" w:ascii="宋体" w:hAnsi="宋体" w:eastAsia="宋体" w:cs="宋体"/>
          <w:b/>
          <w:color w:val="auto"/>
          <w:sz w:val="32"/>
          <w:szCs w:val="32"/>
        </w:rPr>
        <w:br w:type="page"/>
      </w:r>
    </w:p>
    <w:p w14:paraId="299487CA">
      <w:pPr>
        <w:spacing w:line="480" w:lineRule="exact"/>
        <w:jc w:val="center"/>
        <w:rPr>
          <w:rStyle w:val="57"/>
          <w:rFonts w:hint="eastAsia" w:ascii="宋体" w:hAnsi="宋体" w:eastAsia="宋体" w:cs="宋体"/>
          <w:color w:val="auto"/>
          <w:sz w:val="24"/>
          <w:szCs w:val="24"/>
        </w:rPr>
      </w:pPr>
      <w:bookmarkStart w:id="207" w:name="_Toc20490_WPSOffice_Level2"/>
      <w:bookmarkStart w:id="208" w:name="_Toc13431"/>
      <w:bookmarkStart w:id="209" w:name="_Toc5343"/>
      <w:r>
        <w:rPr>
          <w:rStyle w:val="57"/>
          <w:rFonts w:hint="eastAsia" w:ascii="宋体" w:hAnsi="宋体" w:eastAsia="宋体" w:cs="宋体"/>
          <w:color w:val="auto"/>
        </w:rPr>
        <w:t>磋商文件规定的基本资格条件证明资料</w:t>
      </w:r>
      <w:bookmarkEnd w:id="207"/>
    </w:p>
    <w:bookmarkEnd w:id="208"/>
    <w:bookmarkEnd w:id="209"/>
    <w:p w14:paraId="2595EDFC">
      <w:pPr>
        <w:spacing w:line="480" w:lineRule="exact"/>
        <w:rPr>
          <w:rFonts w:hint="eastAsia" w:ascii="宋体" w:hAnsi="宋体" w:eastAsia="宋体" w:cs="宋体"/>
          <w:color w:val="auto"/>
          <w:szCs w:val="21"/>
        </w:rPr>
      </w:pPr>
      <w:r>
        <w:rPr>
          <w:rFonts w:hint="eastAsia" w:ascii="宋体" w:hAnsi="宋体" w:eastAsia="宋体" w:cs="宋体"/>
          <w:color w:val="auto"/>
          <w:szCs w:val="21"/>
        </w:rPr>
        <w:t>备注：</w:t>
      </w:r>
    </w:p>
    <w:p w14:paraId="11EE23A7">
      <w:pPr>
        <w:spacing w:line="48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1、提供第二章 磋商须知第3.1款供应商基本资格条件的证明资料复印件。</w:t>
      </w:r>
    </w:p>
    <w:p w14:paraId="7290DF07">
      <w:pPr>
        <w:adjustRightInd w:val="0"/>
        <w:snapToGrid w:val="0"/>
        <w:spacing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eastAsia="zh-CN"/>
        </w:rPr>
        <w:t>供应商</w:t>
      </w:r>
      <w:r>
        <w:rPr>
          <w:rFonts w:hint="eastAsia" w:ascii="宋体" w:hAnsi="宋体" w:eastAsia="宋体" w:cs="宋体"/>
          <w:color w:val="auto"/>
          <w:szCs w:val="21"/>
        </w:rPr>
        <w:t>未列入失信被执行人、重大税收违法失信主体名单 、政府采购严重违法失信行为记录名单的书面承诺（格式自拟），并附经“信用中国”网（http://www.creditchina.gov.cn/）信用报告和“中国政府采购网网站”（http://www.ccgp.gov.cn/）查询截图。</w:t>
      </w:r>
    </w:p>
    <w:p w14:paraId="45BFD47E">
      <w:pPr>
        <w:adjustRightInd w:val="0"/>
        <w:snapToGrid w:val="0"/>
        <w:spacing w:line="360" w:lineRule="auto"/>
        <w:rPr>
          <w:rFonts w:hint="eastAsia" w:ascii="宋体" w:hAnsi="宋体" w:eastAsia="宋体" w:cs="宋体"/>
          <w:color w:val="auto"/>
          <w:szCs w:val="21"/>
        </w:rPr>
      </w:pPr>
    </w:p>
    <w:p w14:paraId="3FA69AE7">
      <w:pPr>
        <w:adjustRightInd w:val="0"/>
        <w:snapToGrid w:val="0"/>
        <w:spacing w:line="360" w:lineRule="auto"/>
        <w:rPr>
          <w:rFonts w:hint="eastAsia" w:ascii="宋体" w:hAnsi="宋体" w:eastAsia="宋体" w:cs="宋体"/>
          <w:color w:val="auto"/>
          <w:szCs w:val="21"/>
        </w:rPr>
      </w:pPr>
    </w:p>
    <w:p w14:paraId="29FEDDAD">
      <w:pPr>
        <w:adjustRightInd w:val="0"/>
        <w:snapToGrid w:val="0"/>
        <w:spacing w:line="360" w:lineRule="auto"/>
        <w:rPr>
          <w:rFonts w:hint="eastAsia" w:ascii="宋体" w:hAnsi="宋体" w:eastAsia="宋体" w:cs="宋体"/>
          <w:color w:val="auto"/>
          <w:szCs w:val="21"/>
        </w:rPr>
      </w:pPr>
    </w:p>
    <w:p w14:paraId="588740DE">
      <w:pPr>
        <w:adjustRightInd w:val="0"/>
        <w:snapToGrid w:val="0"/>
        <w:spacing w:line="360" w:lineRule="auto"/>
        <w:rPr>
          <w:rFonts w:hint="eastAsia" w:ascii="宋体" w:hAnsi="宋体" w:eastAsia="宋体" w:cs="宋体"/>
          <w:color w:val="auto"/>
          <w:szCs w:val="21"/>
        </w:rPr>
      </w:pPr>
    </w:p>
    <w:p w14:paraId="17A4EEE2">
      <w:pPr>
        <w:adjustRightInd w:val="0"/>
        <w:snapToGrid w:val="0"/>
        <w:spacing w:line="360" w:lineRule="auto"/>
        <w:rPr>
          <w:rFonts w:hint="eastAsia" w:ascii="宋体" w:hAnsi="宋体" w:eastAsia="宋体" w:cs="宋体"/>
          <w:color w:val="auto"/>
          <w:szCs w:val="21"/>
        </w:rPr>
      </w:pPr>
    </w:p>
    <w:p w14:paraId="49E220A2">
      <w:pPr>
        <w:adjustRightInd w:val="0"/>
        <w:snapToGrid w:val="0"/>
        <w:spacing w:line="360" w:lineRule="auto"/>
        <w:rPr>
          <w:rFonts w:hint="eastAsia" w:ascii="宋体" w:hAnsi="宋体" w:eastAsia="宋体" w:cs="宋体"/>
          <w:color w:val="auto"/>
          <w:szCs w:val="21"/>
        </w:rPr>
      </w:pPr>
    </w:p>
    <w:p w14:paraId="2EACC380">
      <w:pPr>
        <w:adjustRightInd w:val="0"/>
        <w:snapToGrid w:val="0"/>
        <w:spacing w:line="360" w:lineRule="auto"/>
        <w:rPr>
          <w:rFonts w:hint="eastAsia" w:ascii="宋体" w:hAnsi="宋体" w:eastAsia="宋体" w:cs="宋体"/>
          <w:color w:val="auto"/>
          <w:szCs w:val="21"/>
        </w:rPr>
      </w:pPr>
    </w:p>
    <w:p w14:paraId="34CD02A2">
      <w:pPr>
        <w:pStyle w:val="52"/>
        <w:ind w:firstLine="420"/>
        <w:rPr>
          <w:rFonts w:hint="eastAsia" w:ascii="宋体" w:hAnsi="宋体" w:eastAsia="宋体" w:cs="宋体"/>
          <w:color w:val="auto"/>
          <w:szCs w:val="21"/>
        </w:rPr>
      </w:pPr>
    </w:p>
    <w:p w14:paraId="3BF58807">
      <w:pPr>
        <w:pStyle w:val="52"/>
        <w:ind w:firstLine="420"/>
        <w:rPr>
          <w:rFonts w:hint="eastAsia" w:ascii="宋体" w:hAnsi="宋体" w:eastAsia="宋体" w:cs="宋体"/>
          <w:color w:val="auto"/>
          <w:szCs w:val="21"/>
        </w:rPr>
      </w:pPr>
    </w:p>
    <w:p w14:paraId="59CBC36F">
      <w:pPr>
        <w:pStyle w:val="52"/>
        <w:ind w:firstLine="420"/>
        <w:rPr>
          <w:rFonts w:hint="eastAsia" w:ascii="宋体" w:hAnsi="宋体" w:eastAsia="宋体" w:cs="宋体"/>
          <w:color w:val="auto"/>
          <w:szCs w:val="21"/>
        </w:rPr>
      </w:pPr>
    </w:p>
    <w:p w14:paraId="2D9850A1">
      <w:pPr>
        <w:pStyle w:val="52"/>
        <w:ind w:firstLine="420"/>
        <w:rPr>
          <w:rFonts w:hint="eastAsia" w:ascii="宋体" w:hAnsi="宋体" w:eastAsia="宋体" w:cs="宋体"/>
          <w:color w:val="auto"/>
          <w:szCs w:val="21"/>
        </w:rPr>
      </w:pPr>
    </w:p>
    <w:p w14:paraId="5141A5DD">
      <w:pPr>
        <w:pStyle w:val="52"/>
        <w:ind w:firstLine="420"/>
        <w:rPr>
          <w:rFonts w:hint="eastAsia" w:ascii="宋体" w:hAnsi="宋体" w:eastAsia="宋体" w:cs="宋体"/>
          <w:color w:val="auto"/>
          <w:szCs w:val="21"/>
        </w:rPr>
      </w:pPr>
    </w:p>
    <w:p w14:paraId="72290C9F">
      <w:pPr>
        <w:pStyle w:val="52"/>
        <w:ind w:firstLine="420"/>
        <w:rPr>
          <w:rFonts w:hint="eastAsia" w:ascii="宋体" w:hAnsi="宋体" w:eastAsia="宋体" w:cs="宋体"/>
          <w:color w:val="auto"/>
          <w:szCs w:val="21"/>
        </w:rPr>
      </w:pPr>
    </w:p>
    <w:p w14:paraId="2775A86C">
      <w:pPr>
        <w:pStyle w:val="52"/>
        <w:ind w:firstLine="420"/>
        <w:rPr>
          <w:rFonts w:hint="eastAsia" w:ascii="宋体" w:hAnsi="宋体" w:eastAsia="宋体" w:cs="宋体"/>
          <w:color w:val="auto"/>
          <w:szCs w:val="21"/>
        </w:rPr>
      </w:pPr>
    </w:p>
    <w:p w14:paraId="120F177C">
      <w:pPr>
        <w:pStyle w:val="52"/>
        <w:ind w:firstLine="420"/>
        <w:rPr>
          <w:rFonts w:hint="eastAsia" w:ascii="宋体" w:hAnsi="宋体" w:eastAsia="宋体" w:cs="宋体"/>
          <w:color w:val="auto"/>
          <w:szCs w:val="21"/>
        </w:rPr>
      </w:pPr>
    </w:p>
    <w:p w14:paraId="29EEB3EB">
      <w:pPr>
        <w:pStyle w:val="52"/>
        <w:ind w:firstLine="420"/>
        <w:rPr>
          <w:rFonts w:hint="eastAsia" w:ascii="宋体" w:hAnsi="宋体" w:eastAsia="宋体" w:cs="宋体"/>
          <w:color w:val="auto"/>
          <w:szCs w:val="21"/>
        </w:rPr>
      </w:pPr>
    </w:p>
    <w:p w14:paraId="7AD0BFBA">
      <w:pPr>
        <w:pStyle w:val="52"/>
        <w:ind w:firstLine="420"/>
        <w:rPr>
          <w:rFonts w:hint="eastAsia" w:ascii="宋体" w:hAnsi="宋体" w:eastAsia="宋体" w:cs="宋体"/>
          <w:color w:val="auto"/>
          <w:szCs w:val="21"/>
        </w:rPr>
      </w:pPr>
    </w:p>
    <w:p w14:paraId="12D38CEA">
      <w:pPr>
        <w:pStyle w:val="52"/>
        <w:ind w:firstLine="420"/>
        <w:rPr>
          <w:rFonts w:hint="eastAsia" w:ascii="宋体" w:hAnsi="宋体" w:eastAsia="宋体" w:cs="宋体"/>
          <w:color w:val="auto"/>
          <w:szCs w:val="21"/>
        </w:rPr>
      </w:pPr>
    </w:p>
    <w:p w14:paraId="58A0E62A">
      <w:pPr>
        <w:pStyle w:val="52"/>
        <w:ind w:firstLine="420"/>
        <w:rPr>
          <w:rFonts w:hint="eastAsia" w:ascii="宋体" w:hAnsi="宋体" w:eastAsia="宋体" w:cs="宋体"/>
          <w:color w:val="auto"/>
          <w:szCs w:val="21"/>
        </w:rPr>
      </w:pPr>
    </w:p>
    <w:p w14:paraId="6ACAB0B2">
      <w:pPr>
        <w:pStyle w:val="52"/>
        <w:ind w:firstLine="420"/>
        <w:rPr>
          <w:rFonts w:hint="eastAsia" w:ascii="宋体" w:hAnsi="宋体" w:eastAsia="宋体" w:cs="宋体"/>
          <w:color w:val="auto"/>
          <w:szCs w:val="21"/>
        </w:rPr>
      </w:pPr>
    </w:p>
    <w:p w14:paraId="6442E4A4">
      <w:pPr>
        <w:pStyle w:val="52"/>
        <w:ind w:firstLine="420"/>
        <w:rPr>
          <w:rFonts w:hint="eastAsia" w:ascii="宋体" w:hAnsi="宋体" w:eastAsia="宋体" w:cs="宋体"/>
          <w:color w:val="auto"/>
          <w:szCs w:val="21"/>
        </w:rPr>
      </w:pPr>
    </w:p>
    <w:p w14:paraId="33E1C51C">
      <w:pPr>
        <w:adjustRightInd w:val="0"/>
        <w:snapToGrid w:val="0"/>
        <w:spacing w:line="360" w:lineRule="auto"/>
        <w:rPr>
          <w:rFonts w:hint="eastAsia" w:ascii="宋体" w:hAnsi="宋体" w:eastAsia="宋体" w:cs="宋体"/>
          <w:color w:val="auto"/>
          <w:szCs w:val="21"/>
        </w:rPr>
      </w:pPr>
    </w:p>
    <w:p w14:paraId="46C1D997">
      <w:pPr>
        <w:adjustRightInd w:val="0"/>
        <w:snapToGrid w:val="0"/>
        <w:spacing w:line="360" w:lineRule="auto"/>
        <w:rPr>
          <w:rFonts w:hint="eastAsia" w:ascii="宋体" w:hAnsi="宋体" w:eastAsia="宋体" w:cs="宋体"/>
          <w:color w:val="auto"/>
          <w:szCs w:val="21"/>
        </w:rPr>
      </w:pPr>
    </w:p>
    <w:p w14:paraId="79EE637D">
      <w:pPr>
        <w:adjustRightInd w:val="0"/>
        <w:snapToGrid w:val="0"/>
        <w:spacing w:line="360" w:lineRule="auto"/>
        <w:rPr>
          <w:rFonts w:hint="eastAsia" w:ascii="宋体" w:hAnsi="宋体" w:eastAsia="宋体" w:cs="宋体"/>
          <w:color w:val="auto"/>
          <w:szCs w:val="21"/>
        </w:rPr>
      </w:pPr>
    </w:p>
    <w:p w14:paraId="7686B123">
      <w:pPr>
        <w:adjustRightInd w:val="0"/>
        <w:snapToGrid w:val="0"/>
        <w:spacing w:line="360" w:lineRule="auto"/>
        <w:rPr>
          <w:rFonts w:hint="eastAsia" w:ascii="宋体" w:hAnsi="宋体" w:eastAsia="宋体" w:cs="宋体"/>
          <w:color w:val="auto"/>
          <w:szCs w:val="21"/>
        </w:rPr>
      </w:pPr>
    </w:p>
    <w:p w14:paraId="35992200">
      <w:pPr>
        <w:adjustRightInd w:val="0"/>
        <w:snapToGrid w:val="0"/>
        <w:spacing w:line="360" w:lineRule="auto"/>
        <w:rPr>
          <w:rFonts w:hint="eastAsia" w:ascii="宋体" w:hAnsi="宋体" w:eastAsia="宋体" w:cs="宋体"/>
          <w:color w:val="auto"/>
          <w:szCs w:val="21"/>
        </w:rPr>
      </w:pPr>
    </w:p>
    <w:p w14:paraId="25D714E9">
      <w:pPr>
        <w:adjustRightInd w:val="0"/>
        <w:snapToGrid w:val="0"/>
        <w:spacing w:line="360" w:lineRule="auto"/>
        <w:rPr>
          <w:rFonts w:hint="eastAsia" w:ascii="宋体" w:hAnsi="宋体" w:eastAsia="宋体" w:cs="宋体"/>
          <w:color w:val="auto"/>
          <w:szCs w:val="21"/>
        </w:rPr>
      </w:pPr>
    </w:p>
    <w:p w14:paraId="17B5849E">
      <w:pPr>
        <w:adjustRightInd w:val="0"/>
        <w:snapToGrid w:val="0"/>
        <w:spacing w:line="360" w:lineRule="auto"/>
        <w:rPr>
          <w:rFonts w:hint="eastAsia" w:ascii="宋体" w:hAnsi="宋体" w:eastAsia="宋体" w:cs="宋体"/>
          <w:color w:val="auto"/>
          <w:szCs w:val="21"/>
        </w:rPr>
      </w:pPr>
    </w:p>
    <w:p w14:paraId="289CF304">
      <w:pPr>
        <w:rPr>
          <w:rFonts w:hint="eastAsia" w:ascii="宋体" w:hAnsi="宋体" w:eastAsia="宋体" w:cs="宋体"/>
          <w:bCs/>
          <w:color w:val="auto"/>
          <w:sz w:val="24"/>
        </w:rPr>
      </w:pPr>
      <w:r>
        <w:rPr>
          <w:rFonts w:hint="eastAsia" w:ascii="宋体" w:hAnsi="宋体" w:eastAsia="宋体" w:cs="宋体"/>
          <w:bCs/>
          <w:color w:val="auto"/>
          <w:sz w:val="24"/>
        </w:rPr>
        <w:br w:type="page"/>
      </w:r>
    </w:p>
    <w:p w14:paraId="4E5A79DD">
      <w:pPr>
        <w:rPr>
          <w:rFonts w:hint="eastAsia" w:ascii="宋体" w:hAnsi="宋体" w:eastAsia="宋体" w:cs="宋体"/>
          <w:color w:val="auto"/>
          <w:spacing w:val="6"/>
          <w:kern w:val="0"/>
          <w:szCs w:val="21"/>
        </w:rPr>
      </w:pPr>
      <w:bookmarkStart w:id="210" w:name="_Toc24883_WPSOffice_Level2"/>
      <w:r>
        <w:rPr>
          <w:rFonts w:hint="eastAsia" w:ascii="宋体" w:hAnsi="宋体" w:eastAsia="宋体" w:cs="宋体"/>
          <w:color w:val="auto"/>
          <w:spacing w:val="6"/>
          <w:kern w:val="0"/>
          <w:szCs w:val="21"/>
        </w:rPr>
        <w:t>附件5：联合体协议</w:t>
      </w:r>
      <w:bookmarkEnd w:id="210"/>
    </w:p>
    <w:p w14:paraId="787706BD">
      <w:pPr>
        <w:adjustRightInd w:val="0"/>
        <w:snapToGrid w:val="0"/>
        <w:spacing w:line="360" w:lineRule="auto"/>
        <w:jc w:val="center"/>
        <w:rPr>
          <w:rFonts w:hint="eastAsia" w:ascii="宋体" w:hAnsi="宋体" w:eastAsia="宋体" w:cs="宋体"/>
          <w:b/>
          <w:bCs/>
          <w:color w:val="auto"/>
          <w:sz w:val="28"/>
          <w:szCs w:val="28"/>
        </w:rPr>
      </w:pPr>
      <w:bookmarkStart w:id="211" w:name="_Toc22250_WPSOffice_Level2"/>
      <w:r>
        <w:rPr>
          <w:rFonts w:hint="eastAsia" w:ascii="宋体" w:hAnsi="宋体" w:eastAsia="宋体" w:cs="宋体"/>
          <w:b/>
          <w:color w:val="auto"/>
          <w:sz w:val="28"/>
          <w:szCs w:val="28"/>
        </w:rPr>
        <w:t>联合体协议(格式)</w:t>
      </w:r>
      <w:bookmarkEnd w:id="211"/>
    </w:p>
    <w:p w14:paraId="3902E20A">
      <w:pPr>
        <w:adjustRightInd w:val="0"/>
        <w:snapToGrid w:val="0"/>
        <w:spacing w:line="360" w:lineRule="auto"/>
        <w:rPr>
          <w:rFonts w:hint="eastAsia" w:ascii="宋体" w:hAnsi="宋体" w:eastAsia="宋体" w:cs="宋体"/>
          <w:color w:val="auto"/>
          <w:sz w:val="24"/>
          <w:szCs w:val="21"/>
        </w:rPr>
      </w:pPr>
    </w:p>
    <w:p w14:paraId="32EBB5B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(采购人或采购代理机构)：</w:t>
      </w:r>
    </w:p>
    <w:p w14:paraId="091A883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经研究，我们决定自愿组成联合体共同申请参加</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（政府采购计划编号、采购代理编号）的竞争性磋商。现就联合体事宜订立如下协议：</w:t>
      </w:r>
    </w:p>
    <w:p w14:paraId="216F9CAE">
      <w:pPr>
        <w:adjustRightInd w:val="0"/>
        <w:snapToGrid w:val="0"/>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一、联合体基本信息：</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（各方公司名称、地址、营业执照、法定代表人姓名）。</w:t>
      </w:r>
    </w:p>
    <w:p w14:paraId="226AFD5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（某成员单位名称）为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（联合体名称）牵头人。</w:t>
      </w:r>
    </w:p>
    <w:p w14:paraId="146AA1E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联合体牵头人合法代表联合体各成员负责本项目响应文件编制活动，代表联合体提交和接收相关的资料、信息及指示，并处理与磋商和成交有关的一切事务；联合体成交后，联合体牵头人负责合同订立和合同实施阶段的主办、组织和协调工作。</w:t>
      </w:r>
    </w:p>
    <w:p w14:paraId="0755F85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四．联合体将严格按照磋商文件的各项要求，递交响应文件，参加磋商，履行成交义务和成交后的合同，并向采购人承担连带责任。</w:t>
      </w:r>
    </w:p>
    <w:p w14:paraId="5A07C066">
      <w:pPr>
        <w:adjustRightInd w:val="0"/>
        <w:snapToGrid w:val="0"/>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五、联合体各成员单位内部的职责分工如下：</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。按照本条上述分工，联合体成员单位各自所承担的合同工作量比例如下：</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7481CDBE">
      <w:pPr>
        <w:adjustRightInd w:val="0"/>
        <w:snapToGrid w:val="0"/>
        <w:spacing w:line="360" w:lineRule="auto"/>
        <w:ind w:firstLine="420" w:firstLineChars="200"/>
        <w:rPr>
          <w:rFonts w:hint="eastAsia" w:ascii="宋体" w:hAnsi="宋体" w:eastAsia="宋体" w:cs="宋体"/>
          <w:color w:val="auto"/>
          <w:szCs w:val="21"/>
        </w:rPr>
      </w:pPr>
      <w:bookmarkStart w:id="212" w:name="_Toc31039"/>
      <w:r>
        <w:rPr>
          <w:rFonts w:hint="eastAsia" w:ascii="宋体" w:hAnsi="宋体" w:eastAsia="宋体" w:cs="宋体"/>
          <w:color w:val="auto"/>
          <w:szCs w:val="21"/>
        </w:rPr>
        <w:t>六、本协议书自签署之日起生效，合同履行完毕后自动失效。</w:t>
      </w:r>
      <w:bookmarkEnd w:id="212"/>
    </w:p>
    <w:p w14:paraId="1FD4AA10">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七、本协议书一式</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份，联合体成员和采购人各执一份。</w:t>
      </w:r>
    </w:p>
    <w:p w14:paraId="76195C2C">
      <w:pPr>
        <w:adjustRightInd w:val="0"/>
        <w:snapToGrid w:val="0"/>
        <w:spacing w:line="360" w:lineRule="auto"/>
        <w:rPr>
          <w:rFonts w:hint="eastAsia" w:ascii="宋体" w:hAnsi="宋体" w:eastAsia="宋体" w:cs="宋体"/>
          <w:color w:val="auto"/>
          <w:szCs w:val="21"/>
        </w:rPr>
      </w:pPr>
    </w:p>
    <w:p w14:paraId="1D0792F0">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牵头人名称（盖单位章）：</w:t>
      </w:r>
    </w:p>
    <w:p w14:paraId="480E085F">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1115F821">
      <w:pPr>
        <w:adjustRightInd w:val="0"/>
        <w:snapToGrid w:val="0"/>
        <w:spacing w:line="360" w:lineRule="auto"/>
        <w:rPr>
          <w:rFonts w:hint="eastAsia" w:ascii="宋体" w:hAnsi="宋体" w:eastAsia="宋体" w:cs="宋体"/>
          <w:color w:val="auto"/>
          <w:szCs w:val="21"/>
        </w:rPr>
      </w:pPr>
    </w:p>
    <w:p w14:paraId="3A2EBEDE">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成员二名称（盖单位章）：</w:t>
      </w:r>
    </w:p>
    <w:p w14:paraId="01E05BC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0F2EB7A3">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日  </w:t>
      </w:r>
    </w:p>
    <w:p w14:paraId="1CF2A986">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说明：1、本协议书由委托代理人签字的，应附法定代表人签字的授权委托书。</w:t>
      </w:r>
    </w:p>
    <w:p w14:paraId="0F51F75C">
      <w:pPr>
        <w:adjustRightInd w:val="0"/>
        <w:snapToGrid w:val="0"/>
        <w:spacing w:line="360" w:lineRule="auto"/>
        <w:ind w:firstLine="630" w:firstLineChars="300"/>
        <w:rPr>
          <w:rFonts w:hint="eastAsia" w:ascii="宋体" w:hAnsi="宋体" w:eastAsia="宋体" w:cs="宋体"/>
          <w:color w:val="auto"/>
          <w:kern w:val="0"/>
          <w:szCs w:val="21"/>
        </w:rPr>
      </w:pPr>
      <w:r>
        <w:rPr>
          <w:rFonts w:hint="eastAsia" w:ascii="宋体" w:hAnsi="宋体" w:eastAsia="宋体" w:cs="宋体"/>
          <w:color w:val="auto"/>
          <w:szCs w:val="21"/>
        </w:rPr>
        <w:t>2、联合体符合</w:t>
      </w:r>
      <w:r>
        <w:rPr>
          <w:rFonts w:hint="eastAsia" w:ascii="宋体" w:hAnsi="宋体" w:eastAsia="宋体" w:cs="宋体"/>
          <w:color w:val="auto"/>
          <w:spacing w:val="6"/>
          <w:kern w:val="0"/>
          <w:szCs w:val="21"/>
        </w:rPr>
        <w:t>《工业和信息化部、国家统计局、国家发展和改革委员会、财政部关于印发中小企业划型标准规定的通知》（工信部联企业[2011]300号）和</w:t>
      </w:r>
      <w:r>
        <w:rPr>
          <w:rFonts w:hint="eastAsia" w:ascii="宋体" w:hAnsi="宋体" w:eastAsia="宋体" w:cs="宋体"/>
          <w:color w:val="auto"/>
          <w:spacing w:val="6"/>
          <w:szCs w:val="21"/>
        </w:rPr>
        <w:t>《财政部</w:t>
      </w:r>
      <w:r>
        <w:rPr>
          <w:rFonts w:hint="eastAsia" w:ascii="宋体" w:hAnsi="宋体" w:eastAsia="宋体" w:cs="宋体"/>
          <w:color w:val="auto"/>
          <w:szCs w:val="21"/>
        </w:rPr>
        <w:t xml:space="preserve"> </w:t>
      </w:r>
      <w:r>
        <w:rPr>
          <w:rFonts w:hint="eastAsia" w:ascii="宋体" w:hAnsi="宋体" w:eastAsia="宋体" w:cs="宋体"/>
          <w:color w:val="auto"/>
          <w:spacing w:val="6"/>
          <w:szCs w:val="21"/>
        </w:rPr>
        <w:t>工业和信息化部</w:t>
      </w:r>
      <w:r>
        <w:rPr>
          <w:rFonts w:hint="eastAsia" w:ascii="宋体" w:hAnsi="宋体" w:eastAsia="宋体" w:cs="宋体"/>
          <w:bCs/>
          <w:color w:val="auto"/>
          <w:szCs w:val="21"/>
        </w:rPr>
        <w:t>关于印发《政府采购促进中小企业发展管理办法》(财库[2020〕46号)</w:t>
      </w:r>
      <w:r>
        <w:rPr>
          <w:rFonts w:hint="eastAsia" w:ascii="宋体" w:hAnsi="宋体" w:eastAsia="宋体" w:cs="宋体"/>
          <w:color w:val="auto"/>
          <w:szCs w:val="21"/>
        </w:rPr>
        <w:t>相关规定的，提交《附件7：</w:t>
      </w:r>
      <w:r>
        <w:rPr>
          <w:rFonts w:hint="eastAsia" w:ascii="宋体" w:hAnsi="宋体" w:eastAsia="宋体" w:cs="宋体"/>
          <w:bCs/>
          <w:color w:val="auto"/>
          <w:spacing w:val="6"/>
          <w:kern w:val="0"/>
          <w:szCs w:val="21"/>
        </w:rPr>
        <w:t>中小企业声明函》。</w:t>
      </w:r>
    </w:p>
    <w:p w14:paraId="2DEC647F">
      <w:pPr>
        <w:adjustRightInd w:val="0"/>
        <w:snapToGrid w:val="0"/>
        <w:spacing w:line="360" w:lineRule="auto"/>
        <w:jc w:val="center"/>
        <w:rPr>
          <w:rFonts w:hint="eastAsia" w:ascii="宋体" w:hAnsi="宋体" w:eastAsia="宋体" w:cs="宋体"/>
          <w:b/>
          <w:color w:val="auto"/>
          <w:sz w:val="32"/>
          <w:szCs w:val="32"/>
        </w:rPr>
      </w:pPr>
    </w:p>
    <w:p w14:paraId="79A199E7">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6C607634">
      <w:pPr>
        <w:adjustRightInd w:val="0"/>
        <w:snapToGrid w:val="0"/>
        <w:spacing w:line="360" w:lineRule="auto"/>
        <w:jc w:val="center"/>
        <w:outlineLvl w:val="1"/>
        <w:rPr>
          <w:rFonts w:hint="eastAsia" w:ascii="宋体" w:hAnsi="宋体" w:eastAsia="宋体" w:cs="宋体"/>
          <w:b/>
          <w:color w:val="auto"/>
          <w:sz w:val="32"/>
          <w:szCs w:val="32"/>
        </w:rPr>
      </w:pPr>
      <w:bookmarkStart w:id="213" w:name="_Toc29746"/>
      <w:bookmarkStart w:id="214" w:name="_Toc21993_WPSOffice_Level1"/>
      <w:bookmarkStart w:id="215" w:name="_Toc28907"/>
      <w:r>
        <w:rPr>
          <w:rFonts w:hint="eastAsia" w:ascii="宋体" w:hAnsi="宋体" w:eastAsia="宋体" w:cs="宋体"/>
          <w:b/>
          <w:color w:val="auto"/>
          <w:sz w:val="32"/>
          <w:szCs w:val="32"/>
        </w:rPr>
        <w:t>四、服务方案</w:t>
      </w:r>
      <w:bookmarkEnd w:id="213"/>
      <w:bookmarkEnd w:id="214"/>
      <w:bookmarkEnd w:id="215"/>
    </w:p>
    <w:p w14:paraId="74DED119">
      <w:pPr>
        <w:spacing w:before="240" w:after="240" w:line="200" w:lineRule="atLeast"/>
        <w:rPr>
          <w:rFonts w:hint="eastAsia" w:ascii="宋体" w:hAnsi="宋体" w:eastAsia="宋体" w:cs="宋体"/>
          <w:color w:val="auto"/>
        </w:rPr>
      </w:pPr>
      <w:r>
        <w:rPr>
          <w:rFonts w:hint="eastAsia" w:ascii="宋体" w:hAnsi="宋体" w:eastAsia="宋体" w:cs="宋体"/>
          <w:color w:val="auto"/>
        </w:rPr>
        <w:t>服务方案按照采购需求及评分标准编制，格式自拟。</w:t>
      </w:r>
    </w:p>
    <w:p w14:paraId="15121A2C">
      <w:pPr>
        <w:adjustRightInd w:val="0"/>
        <w:snapToGrid w:val="0"/>
        <w:spacing w:line="360" w:lineRule="auto"/>
        <w:rPr>
          <w:rFonts w:hint="eastAsia" w:ascii="宋体" w:hAnsi="宋体" w:eastAsia="宋体" w:cs="宋体"/>
          <w:color w:val="auto"/>
          <w:sz w:val="24"/>
        </w:rPr>
      </w:pPr>
    </w:p>
    <w:p w14:paraId="4247D33F">
      <w:pPr>
        <w:adjustRightInd w:val="0"/>
        <w:snapToGrid w:val="0"/>
        <w:spacing w:line="360" w:lineRule="auto"/>
        <w:rPr>
          <w:rFonts w:hint="eastAsia" w:ascii="宋体" w:hAnsi="宋体" w:eastAsia="宋体" w:cs="宋体"/>
          <w:color w:val="auto"/>
          <w:sz w:val="24"/>
        </w:rPr>
      </w:pPr>
    </w:p>
    <w:p w14:paraId="1B48EE97">
      <w:pPr>
        <w:adjustRightInd w:val="0"/>
        <w:snapToGrid w:val="0"/>
        <w:spacing w:line="360" w:lineRule="auto"/>
        <w:rPr>
          <w:rFonts w:hint="eastAsia" w:ascii="宋体" w:hAnsi="宋体" w:eastAsia="宋体" w:cs="宋体"/>
          <w:color w:val="auto"/>
          <w:sz w:val="24"/>
        </w:rPr>
      </w:pPr>
    </w:p>
    <w:p w14:paraId="7B000E23">
      <w:pPr>
        <w:adjustRightInd w:val="0"/>
        <w:snapToGrid w:val="0"/>
        <w:spacing w:line="360" w:lineRule="auto"/>
        <w:rPr>
          <w:rFonts w:hint="eastAsia" w:ascii="宋体" w:hAnsi="宋体" w:eastAsia="宋体" w:cs="宋体"/>
          <w:color w:val="auto"/>
          <w:sz w:val="24"/>
        </w:rPr>
      </w:pPr>
    </w:p>
    <w:p w14:paraId="1436B179">
      <w:pPr>
        <w:adjustRightInd w:val="0"/>
        <w:snapToGrid w:val="0"/>
        <w:spacing w:line="360" w:lineRule="auto"/>
        <w:rPr>
          <w:rFonts w:hint="eastAsia" w:ascii="宋体" w:hAnsi="宋体" w:eastAsia="宋体" w:cs="宋体"/>
          <w:color w:val="auto"/>
          <w:sz w:val="24"/>
        </w:rPr>
      </w:pPr>
    </w:p>
    <w:p w14:paraId="78531B6B">
      <w:pPr>
        <w:adjustRightInd w:val="0"/>
        <w:snapToGrid w:val="0"/>
        <w:spacing w:line="360" w:lineRule="auto"/>
        <w:rPr>
          <w:rFonts w:hint="eastAsia" w:ascii="宋体" w:hAnsi="宋体" w:eastAsia="宋体" w:cs="宋体"/>
          <w:color w:val="auto"/>
          <w:sz w:val="24"/>
        </w:rPr>
      </w:pPr>
    </w:p>
    <w:p w14:paraId="486492DB">
      <w:pPr>
        <w:adjustRightInd w:val="0"/>
        <w:snapToGrid w:val="0"/>
        <w:spacing w:line="360" w:lineRule="auto"/>
        <w:rPr>
          <w:rFonts w:hint="eastAsia" w:ascii="宋体" w:hAnsi="宋体" w:eastAsia="宋体" w:cs="宋体"/>
          <w:color w:val="auto"/>
          <w:sz w:val="24"/>
        </w:rPr>
      </w:pPr>
    </w:p>
    <w:p w14:paraId="7E26849F">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br w:type="page"/>
      </w:r>
    </w:p>
    <w:p w14:paraId="16208EEA">
      <w:pPr>
        <w:rPr>
          <w:rFonts w:hint="eastAsia" w:ascii="宋体" w:hAnsi="宋体" w:eastAsia="宋体" w:cs="宋体"/>
          <w:color w:val="auto"/>
          <w:spacing w:val="6"/>
          <w:kern w:val="0"/>
          <w:szCs w:val="21"/>
        </w:rPr>
      </w:pPr>
      <w:bookmarkStart w:id="216" w:name="_Toc26276_WPSOffice_Level2"/>
      <w:r>
        <w:rPr>
          <w:rFonts w:hint="eastAsia" w:ascii="宋体" w:hAnsi="宋体" w:eastAsia="宋体" w:cs="宋体"/>
          <w:color w:val="auto"/>
          <w:spacing w:val="6"/>
          <w:kern w:val="0"/>
          <w:szCs w:val="21"/>
        </w:rPr>
        <w:t>附件6-1：主要人员简历表</w:t>
      </w:r>
      <w:bookmarkEnd w:id="216"/>
    </w:p>
    <w:p w14:paraId="163742C9">
      <w:pPr>
        <w:spacing w:line="360" w:lineRule="auto"/>
        <w:jc w:val="center"/>
        <w:rPr>
          <w:rFonts w:hint="eastAsia" w:ascii="宋体" w:hAnsi="宋体" w:eastAsia="宋体" w:cs="宋体"/>
          <w:color w:val="auto"/>
          <w:sz w:val="28"/>
          <w:szCs w:val="28"/>
        </w:rPr>
      </w:pPr>
      <w:bookmarkStart w:id="217" w:name="_Toc24457_WPSOffice_Level2"/>
      <w:r>
        <w:rPr>
          <w:rFonts w:hint="eastAsia" w:ascii="宋体" w:hAnsi="宋体" w:eastAsia="宋体" w:cs="宋体"/>
          <w:bCs/>
          <w:color w:val="auto"/>
          <w:sz w:val="28"/>
          <w:szCs w:val="28"/>
        </w:rPr>
        <w:t>主要人员简历表</w:t>
      </w:r>
      <w:bookmarkEnd w:id="217"/>
    </w:p>
    <w:tbl>
      <w:tblPr>
        <w:tblStyle w:val="26"/>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062177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vAlign w:val="center"/>
          </w:tcPr>
          <w:p w14:paraId="7DCB3E63">
            <w:pPr>
              <w:spacing w:line="360" w:lineRule="atLeast"/>
              <w:jc w:val="center"/>
              <w:rPr>
                <w:rFonts w:hint="eastAsia" w:ascii="宋体" w:hAnsi="宋体" w:eastAsia="宋体" w:cs="宋体"/>
                <w:color w:val="auto"/>
              </w:rPr>
            </w:pPr>
            <w:r>
              <w:rPr>
                <w:rFonts w:hint="eastAsia" w:ascii="宋体" w:hAnsi="宋体" w:eastAsia="宋体" w:cs="宋体"/>
                <w:color w:val="auto"/>
              </w:rPr>
              <w:t>姓   名</w:t>
            </w:r>
          </w:p>
        </w:tc>
        <w:tc>
          <w:tcPr>
            <w:tcW w:w="2468" w:type="dxa"/>
            <w:vAlign w:val="center"/>
          </w:tcPr>
          <w:p w14:paraId="6C24F6F2">
            <w:pPr>
              <w:spacing w:line="360" w:lineRule="atLeast"/>
              <w:jc w:val="center"/>
              <w:rPr>
                <w:rFonts w:hint="eastAsia" w:ascii="宋体" w:hAnsi="宋体" w:eastAsia="宋体" w:cs="宋体"/>
                <w:color w:val="auto"/>
              </w:rPr>
            </w:pPr>
          </w:p>
        </w:tc>
        <w:tc>
          <w:tcPr>
            <w:tcW w:w="2340" w:type="dxa"/>
            <w:gridSpan w:val="3"/>
            <w:vAlign w:val="center"/>
          </w:tcPr>
          <w:p w14:paraId="753BBF1B">
            <w:pPr>
              <w:spacing w:line="360" w:lineRule="atLeast"/>
              <w:jc w:val="center"/>
              <w:rPr>
                <w:rFonts w:hint="eastAsia" w:ascii="宋体" w:hAnsi="宋体" w:eastAsia="宋体" w:cs="宋体"/>
                <w:color w:val="auto"/>
              </w:rPr>
            </w:pPr>
            <w:r>
              <w:rPr>
                <w:rFonts w:hint="eastAsia" w:ascii="宋体" w:hAnsi="宋体" w:eastAsia="宋体" w:cs="宋体"/>
                <w:color w:val="auto"/>
              </w:rPr>
              <w:t>性  别</w:t>
            </w:r>
          </w:p>
        </w:tc>
        <w:tc>
          <w:tcPr>
            <w:tcW w:w="1663" w:type="dxa"/>
            <w:vAlign w:val="center"/>
          </w:tcPr>
          <w:p w14:paraId="2633DB20">
            <w:pPr>
              <w:spacing w:line="360" w:lineRule="atLeast"/>
              <w:jc w:val="center"/>
              <w:rPr>
                <w:rFonts w:hint="eastAsia" w:ascii="宋体" w:hAnsi="宋体" w:eastAsia="宋体" w:cs="宋体"/>
                <w:color w:val="auto"/>
              </w:rPr>
            </w:pPr>
          </w:p>
        </w:tc>
      </w:tr>
      <w:tr w14:paraId="0A8E12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vAlign w:val="center"/>
          </w:tcPr>
          <w:p w14:paraId="30AAFD13">
            <w:pPr>
              <w:spacing w:line="360" w:lineRule="atLeast"/>
              <w:jc w:val="center"/>
              <w:rPr>
                <w:rFonts w:hint="eastAsia" w:ascii="宋体" w:hAnsi="宋体" w:eastAsia="宋体" w:cs="宋体"/>
                <w:color w:val="auto"/>
              </w:rPr>
            </w:pPr>
            <w:r>
              <w:rPr>
                <w:rFonts w:hint="eastAsia" w:ascii="宋体" w:hAnsi="宋体" w:eastAsia="宋体" w:cs="宋体"/>
                <w:color w:val="auto"/>
              </w:rPr>
              <w:t>职   务</w:t>
            </w:r>
          </w:p>
        </w:tc>
        <w:tc>
          <w:tcPr>
            <w:tcW w:w="2468" w:type="dxa"/>
            <w:vAlign w:val="center"/>
          </w:tcPr>
          <w:p w14:paraId="11AC4455">
            <w:pPr>
              <w:spacing w:line="360" w:lineRule="atLeast"/>
              <w:jc w:val="center"/>
              <w:rPr>
                <w:rFonts w:hint="eastAsia" w:ascii="宋体" w:hAnsi="宋体" w:eastAsia="宋体" w:cs="宋体"/>
                <w:color w:val="auto"/>
              </w:rPr>
            </w:pPr>
          </w:p>
        </w:tc>
        <w:tc>
          <w:tcPr>
            <w:tcW w:w="2340" w:type="dxa"/>
            <w:gridSpan w:val="3"/>
            <w:vAlign w:val="center"/>
          </w:tcPr>
          <w:p w14:paraId="60B6E084">
            <w:pPr>
              <w:spacing w:line="360" w:lineRule="atLeast"/>
              <w:jc w:val="center"/>
              <w:rPr>
                <w:rFonts w:hint="eastAsia" w:ascii="宋体" w:hAnsi="宋体" w:eastAsia="宋体" w:cs="宋体"/>
                <w:color w:val="auto"/>
              </w:rPr>
            </w:pPr>
            <w:r>
              <w:rPr>
                <w:rFonts w:hint="eastAsia" w:ascii="宋体" w:hAnsi="宋体" w:eastAsia="宋体" w:cs="宋体"/>
                <w:color w:val="auto"/>
              </w:rPr>
              <w:t>职  称</w:t>
            </w:r>
          </w:p>
        </w:tc>
        <w:tc>
          <w:tcPr>
            <w:tcW w:w="1663" w:type="dxa"/>
            <w:vAlign w:val="center"/>
          </w:tcPr>
          <w:p w14:paraId="467DCDB8">
            <w:pPr>
              <w:spacing w:line="360" w:lineRule="atLeast"/>
              <w:jc w:val="center"/>
              <w:rPr>
                <w:rFonts w:hint="eastAsia" w:ascii="宋体" w:hAnsi="宋体" w:eastAsia="宋体" w:cs="宋体"/>
                <w:color w:val="auto"/>
              </w:rPr>
            </w:pPr>
          </w:p>
        </w:tc>
      </w:tr>
      <w:tr w14:paraId="59E8E1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vAlign w:val="center"/>
          </w:tcPr>
          <w:p w14:paraId="5EFBF711">
            <w:pPr>
              <w:spacing w:line="360" w:lineRule="atLeast"/>
              <w:jc w:val="center"/>
              <w:rPr>
                <w:rFonts w:hint="eastAsia" w:ascii="宋体" w:hAnsi="宋体" w:eastAsia="宋体" w:cs="宋体"/>
                <w:color w:val="auto"/>
              </w:rPr>
            </w:pPr>
            <w:r>
              <w:rPr>
                <w:rFonts w:hint="eastAsia" w:ascii="宋体" w:hAnsi="宋体" w:eastAsia="宋体" w:cs="宋体"/>
                <w:color w:val="auto"/>
              </w:rPr>
              <w:t>毕业学校、专业</w:t>
            </w:r>
          </w:p>
        </w:tc>
        <w:tc>
          <w:tcPr>
            <w:tcW w:w="6471" w:type="dxa"/>
            <w:gridSpan w:val="5"/>
            <w:vAlign w:val="center"/>
          </w:tcPr>
          <w:p w14:paraId="7D067407">
            <w:pPr>
              <w:spacing w:line="360" w:lineRule="atLeast"/>
              <w:jc w:val="center"/>
              <w:rPr>
                <w:rFonts w:hint="eastAsia" w:ascii="宋体" w:hAnsi="宋体" w:eastAsia="宋体" w:cs="宋体"/>
                <w:color w:val="auto"/>
              </w:rPr>
            </w:pPr>
          </w:p>
        </w:tc>
      </w:tr>
      <w:tr w14:paraId="2ED54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57FE5B30">
            <w:pPr>
              <w:spacing w:line="360" w:lineRule="atLeast"/>
              <w:jc w:val="center"/>
              <w:rPr>
                <w:rFonts w:hint="eastAsia" w:ascii="宋体" w:hAnsi="宋体" w:eastAsia="宋体" w:cs="宋体"/>
                <w:color w:val="auto"/>
              </w:rPr>
            </w:pPr>
            <w:r>
              <w:rPr>
                <w:rFonts w:hint="eastAsia" w:ascii="宋体" w:hAnsi="宋体" w:eastAsia="宋体" w:cs="宋体"/>
                <w:color w:val="auto"/>
              </w:rPr>
              <w:t>身份证号</w:t>
            </w:r>
          </w:p>
        </w:tc>
        <w:tc>
          <w:tcPr>
            <w:tcW w:w="2468" w:type="dxa"/>
            <w:vAlign w:val="center"/>
          </w:tcPr>
          <w:p w14:paraId="7C0DE697">
            <w:pPr>
              <w:spacing w:line="360" w:lineRule="atLeast"/>
              <w:jc w:val="center"/>
              <w:rPr>
                <w:rFonts w:hint="eastAsia" w:ascii="宋体" w:hAnsi="宋体" w:eastAsia="宋体" w:cs="宋体"/>
                <w:color w:val="auto"/>
              </w:rPr>
            </w:pPr>
          </w:p>
        </w:tc>
        <w:tc>
          <w:tcPr>
            <w:tcW w:w="2340" w:type="dxa"/>
            <w:gridSpan w:val="3"/>
            <w:vAlign w:val="center"/>
          </w:tcPr>
          <w:p w14:paraId="703CA477">
            <w:pPr>
              <w:spacing w:line="360" w:lineRule="atLeast"/>
              <w:jc w:val="center"/>
              <w:rPr>
                <w:rFonts w:hint="eastAsia" w:ascii="宋体" w:hAnsi="宋体" w:eastAsia="宋体" w:cs="宋体"/>
                <w:color w:val="auto"/>
              </w:rPr>
            </w:pPr>
            <w:r>
              <w:rPr>
                <w:rFonts w:hint="eastAsia" w:ascii="宋体" w:hAnsi="宋体" w:eastAsia="宋体" w:cs="宋体"/>
                <w:color w:val="auto"/>
              </w:rPr>
              <w:t>拟在本合同任职</w:t>
            </w:r>
          </w:p>
        </w:tc>
        <w:tc>
          <w:tcPr>
            <w:tcW w:w="1663" w:type="dxa"/>
            <w:vAlign w:val="center"/>
          </w:tcPr>
          <w:p w14:paraId="3C15A769">
            <w:pPr>
              <w:spacing w:line="360" w:lineRule="atLeast"/>
              <w:ind w:right="-105" w:rightChars="-50"/>
              <w:jc w:val="center"/>
              <w:rPr>
                <w:rFonts w:hint="eastAsia" w:ascii="宋体" w:hAnsi="宋体" w:eastAsia="宋体" w:cs="宋体"/>
                <w:color w:val="auto"/>
              </w:rPr>
            </w:pPr>
          </w:p>
        </w:tc>
      </w:tr>
      <w:tr w14:paraId="48146D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29D76E20">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w:t>
            </w:r>
          </w:p>
        </w:tc>
        <w:tc>
          <w:tcPr>
            <w:tcW w:w="2468" w:type="dxa"/>
            <w:vAlign w:val="center"/>
          </w:tcPr>
          <w:p w14:paraId="619DDCBF">
            <w:pPr>
              <w:spacing w:line="360" w:lineRule="atLeast"/>
              <w:jc w:val="center"/>
              <w:rPr>
                <w:rFonts w:hint="eastAsia" w:ascii="宋体" w:hAnsi="宋体" w:eastAsia="宋体" w:cs="宋体"/>
                <w:color w:val="auto"/>
              </w:rPr>
            </w:pPr>
          </w:p>
        </w:tc>
        <w:tc>
          <w:tcPr>
            <w:tcW w:w="2340" w:type="dxa"/>
            <w:gridSpan w:val="3"/>
            <w:vAlign w:val="center"/>
          </w:tcPr>
          <w:p w14:paraId="2B12DDA7">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执业资格证书号</w:t>
            </w:r>
          </w:p>
        </w:tc>
        <w:tc>
          <w:tcPr>
            <w:tcW w:w="1663" w:type="dxa"/>
            <w:vAlign w:val="center"/>
          </w:tcPr>
          <w:p w14:paraId="42B7680C">
            <w:pPr>
              <w:rPr>
                <w:rFonts w:hint="eastAsia" w:ascii="宋体" w:hAnsi="宋体" w:eastAsia="宋体" w:cs="宋体"/>
                <w:color w:val="auto"/>
              </w:rPr>
            </w:pPr>
          </w:p>
        </w:tc>
      </w:tr>
      <w:tr w14:paraId="6A1E35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vAlign w:val="center"/>
          </w:tcPr>
          <w:p w14:paraId="69DEE23B">
            <w:pPr>
              <w:spacing w:line="360" w:lineRule="atLeast"/>
              <w:rPr>
                <w:rFonts w:hint="eastAsia" w:ascii="宋体" w:hAnsi="宋体" w:eastAsia="宋体" w:cs="宋体"/>
                <w:color w:val="auto"/>
              </w:rPr>
            </w:pPr>
            <w:r>
              <w:rPr>
                <w:rFonts w:hint="eastAsia" w:ascii="宋体" w:hAnsi="宋体" w:eastAsia="宋体" w:cs="宋体"/>
                <w:color w:val="auto"/>
              </w:rPr>
              <w:t>承担项目情况</w:t>
            </w:r>
          </w:p>
        </w:tc>
      </w:tr>
      <w:tr w14:paraId="7A3F5A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2C92B27">
            <w:pPr>
              <w:spacing w:line="360" w:lineRule="atLeast"/>
              <w:jc w:val="center"/>
              <w:rPr>
                <w:rFonts w:hint="eastAsia" w:ascii="宋体" w:hAnsi="宋体" w:eastAsia="宋体" w:cs="宋体"/>
                <w:color w:val="auto"/>
              </w:rPr>
            </w:pPr>
            <w:r>
              <w:rPr>
                <w:rFonts w:hint="eastAsia" w:ascii="宋体" w:hAnsi="宋体" w:eastAsia="宋体" w:cs="宋体"/>
                <w:color w:val="auto"/>
              </w:rPr>
              <w:t>时间</w:t>
            </w:r>
          </w:p>
        </w:tc>
        <w:tc>
          <w:tcPr>
            <w:tcW w:w="3636" w:type="dxa"/>
            <w:gridSpan w:val="3"/>
            <w:vAlign w:val="center"/>
          </w:tcPr>
          <w:p w14:paraId="668151BA">
            <w:pPr>
              <w:spacing w:line="360" w:lineRule="atLeast"/>
              <w:jc w:val="center"/>
              <w:rPr>
                <w:rFonts w:hint="eastAsia" w:ascii="宋体" w:hAnsi="宋体" w:eastAsia="宋体" w:cs="宋体"/>
                <w:color w:val="auto"/>
              </w:rPr>
            </w:pPr>
            <w:r>
              <w:rPr>
                <w:rFonts w:hint="eastAsia" w:ascii="宋体" w:hAnsi="宋体" w:eastAsia="宋体" w:cs="宋体"/>
                <w:color w:val="auto"/>
              </w:rPr>
              <w:t>类似项目名称</w:t>
            </w:r>
          </w:p>
        </w:tc>
        <w:tc>
          <w:tcPr>
            <w:tcW w:w="1404" w:type="dxa"/>
            <w:vAlign w:val="center"/>
          </w:tcPr>
          <w:p w14:paraId="02DD996A">
            <w:pPr>
              <w:spacing w:line="360" w:lineRule="atLeast"/>
              <w:jc w:val="center"/>
              <w:rPr>
                <w:rFonts w:hint="eastAsia" w:ascii="宋体" w:hAnsi="宋体" w:eastAsia="宋体" w:cs="宋体"/>
                <w:color w:val="auto"/>
              </w:rPr>
            </w:pPr>
            <w:r>
              <w:rPr>
                <w:rFonts w:hint="eastAsia" w:ascii="宋体" w:hAnsi="宋体" w:eastAsia="宋体" w:cs="宋体"/>
                <w:color w:val="auto"/>
              </w:rPr>
              <w:t>担任职务</w:t>
            </w:r>
          </w:p>
        </w:tc>
        <w:tc>
          <w:tcPr>
            <w:tcW w:w="2203" w:type="dxa"/>
            <w:gridSpan w:val="2"/>
            <w:vAlign w:val="center"/>
          </w:tcPr>
          <w:p w14:paraId="45A9E121">
            <w:pPr>
              <w:spacing w:line="360" w:lineRule="atLeast"/>
              <w:jc w:val="center"/>
              <w:rPr>
                <w:rFonts w:hint="eastAsia" w:ascii="宋体" w:hAnsi="宋体" w:eastAsia="宋体" w:cs="宋体"/>
                <w:color w:val="auto"/>
              </w:rPr>
            </w:pPr>
            <w:r>
              <w:rPr>
                <w:rFonts w:hint="eastAsia" w:ascii="宋体" w:hAnsi="宋体" w:eastAsia="宋体" w:cs="宋体"/>
                <w:color w:val="auto"/>
              </w:rPr>
              <w:t>项目单位名称及电话</w:t>
            </w:r>
          </w:p>
        </w:tc>
      </w:tr>
      <w:tr w14:paraId="75EC6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20B7E14">
            <w:pPr>
              <w:spacing w:line="360" w:lineRule="atLeast"/>
              <w:jc w:val="center"/>
              <w:rPr>
                <w:rFonts w:hint="eastAsia" w:ascii="宋体" w:hAnsi="宋体" w:eastAsia="宋体" w:cs="宋体"/>
                <w:color w:val="auto"/>
              </w:rPr>
            </w:pPr>
          </w:p>
        </w:tc>
        <w:tc>
          <w:tcPr>
            <w:tcW w:w="3636" w:type="dxa"/>
            <w:gridSpan w:val="3"/>
            <w:vAlign w:val="center"/>
          </w:tcPr>
          <w:p w14:paraId="77E74DD0">
            <w:pPr>
              <w:spacing w:line="360" w:lineRule="atLeast"/>
              <w:jc w:val="center"/>
              <w:rPr>
                <w:rFonts w:hint="eastAsia" w:ascii="宋体" w:hAnsi="宋体" w:eastAsia="宋体" w:cs="宋体"/>
                <w:color w:val="auto"/>
              </w:rPr>
            </w:pPr>
          </w:p>
        </w:tc>
        <w:tc>
          <w:tcPr>
            <w:tcW w:w="1404" w:type="dxa"/>
            <w:vAlign w:val="center"/>
          </w:tcPr>
          <w:p w14:paraId="4D4C678B">
            <w:pPr>
              <w:spacing w:line="360" w:lineRule="atLeast"/>
              <w:jc w:val="center"/>
              <w:rPr>
                <w:rFonts w:hint="eastAsia" w:ascii="宋体" w:hAnsi="宋体" w:eastAsia="宋体" w:cs="宋体"/>
                <w:color w:val="auto"/>
              </w:rPr>
            </w:pPr>
          </w:p>
        </w:tc>
        <w:tc>
          <w:tcPr>
            <w:tcW w:w="2203" w:type="dxa"/>
            <w:gridSpan w:val="2"/>
            <w:vAlign w:val="center"/>
          </w:tcPr>
          <w:p w14:paraId="6D94BADE">
            <w:pPr>
              <w:spacing w:line="360" w:lineRule="atLeast"/>
              <w:jc w:val="center"/>
              <w:rPr>
                <w:rFonts w:hint="eastAsia" w:ascii="宋体" w:hAnsi="宋体" w:eastAsia="宋体" w:cs="宋体"/>
                <w:color w:val="auto"/>
              </w:rPr>
            </w:pPr>
          </w:p>
        </w:tc>
      </w:tr>
      <w:tr w14:paraId="47F965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BFF332C">
            <w:pPr>
              <w:spacing w:line="360" w:lineRule="atLeast"/>
              <w:jc w:val="center"/>
              <w:rPr>
                <w:rFonts w:hint="eastAsia" w:ascii="宋体" w:hAnsi="宋体" w:eastAsia="宋体" w:cs="宋体"/>
                <w:color w:val="auto"/>
              </w:rPr>
            </w:pPr>
          </w:p>
        </w:tc>
        <w:tc>
          <w:tcPr>
            <w:tcW w:w="3636" w:type="dxa"/>
            <w:gridSpan w:val="3"/>
            <w:vAlign w:val="center"/>
          </w:tcPr>
          <w:p w14:paraId="0FFBB669">
            <w:pPr>
              <w:spacing w:line="360" w:lineRule="atLeast"/>
              <w:jc w:val="center"/>
              <w:rPr>
                <w:rFonts w:hint="eastAsia" w:ascii="宋体" w:hAnsi="宋体" w:eastAsia="宋体" w:cs="宋体"/>
                <w:color w:val="auto"/>
              </w:rPr>
            </w:pPr>
          </w:p>
        </w:tc>
        <w:tc>
          <w:tcPr>
            <w:tcW w:w="1404" w:type="dxa"/>
            <w:vAlign w:val="center"/>
          </w:tcPr>
          <w:p w14:paraId="212FAA2D">
            <w:pPr>
              <w:spacing w:line="360" w:lineRule="atLeast"/>
              <w:jc w:val="center"/>
              <w:rPr>
                <w:rFonts w:hint="eastAsia" w:ascii="宋体" w:hAnsi="宋体" w:eastAsia="宋体" w:cs="宋体"/>
                <w:color w:val="auto"/>
              </w:rPr>
            </w:pPr>
          </w:p>
        </w:tc>
        <w:tc>
          <w:tcPr>
            <w:tcW w:w="2203" w:type="dxa"/>
            <w:gridSpan w:val="2"/>
            <w:vAlign w:val="center"/>
          </w:tcPr>
          <w:p w14:paraId="46C80F8E">
            <w:pPr>
              <w:spacing w:line="360" w:lineRule="atLeast"/>
              <w:jc w:val="center"/>
              <w:rPr>
                <w:rFonts w:hint="eastAsia" w:ascii="宋体" w:hAnsi="宋体" w:eastAsia="宋体" w:cs="宋体"/>
                <w:color w:val="auto"/>
              </w:rPr>
            </w:pPr>
          </w:p>
        </w:tc>
      </w:tr>
      <w:tr w14:paraId="232E61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014B3C1B">
            <w:pPr>
              <w:spacing w:line="360" w:lineRule="atLeast"/>
              <w:jc w:val="center"/>
              <w:rPr>
                <w:rFonts w:hint="eastAsia" w:ascii="宋体" w:hAnsi="宋体" w:eastAsia="宋体" w:cs="宋体"/>
                <w:color w:val="auto"/>
              </w:rPr>
            </w:pPr>
          </w:p>
        </w:tc>
        <w:tc>
          <w:tcPr>
            <w:tcW w:w="3636" w:type="dxa"/>
            <w:gridSpan w:val="3"/>
            <w:vAlign w:val="center"/>
          </w:tcPr>
          <w:p w14:paraId="5CE77C2B">
            <w:pPr>
              <w:spacing w:line="360" w:lineRule="atLeast"/>
              <w:jc w:val="center"/>
              <w:rPr>
                <w:rFonts w:hint="eastAsia" w:ascii="宋体" w:hAnsi="宋体" w:eastAsia="宋体" w:cs="宋体"/>
                <w:color w:val="auto"/>
              </w:rPr>
            </w:pPr>
          </w:p>
        </w:tc>
        <w:tc>
          <w:tcPr>
            <w:tcW w:w="1404" w:type="dxa"/>
            <w:vAlign w:val="center"/>
          </w:tcPr>
          <w:p w14:paraId="15F7034E">
            <w:pPr>
              <w:spacing w:line="360" w:lineRule="atLeast"/>
              <w:jc w:val="center"/>
              <w:rPr>
                <w:rFonts w:hint="eastAsia" w:ascii="宋体" w:hAnsi="宋体" w:eastAsia="宋体" w:cs="宋体"/>
                <w:color w:val="auto"/>
              </w:rPr>
            </w:pPr>
          </w:p>
        </w:tc>
        <w:tc>
          <w:tcPr>
            <w:tcW w:w="2203" w:type="dxa"/>
            <w:gridSpan w:val="2"/>
            <w:vAlign w:val="center"/>
          </w:tcPr>
          <w:p w14:paraId="40E0874D">
            <w:pPr>
              <w:spacing w:line="360" w:lineRule="atLeast"/>
              <w:jc w:val="center"/>
              <w:rPr>
                <w:rFonts w:hint="eastAsia" w:ascii="宋体" w:hAnsi="宋体" w:eastAsia="宋体" w:cs="宋体"/>
                <w:color w:val="auto"/>
              </w:rPr>
            </w:pPr>
          </w:p>
        </w:tc>
      </w:tr>
      <w:tr w14:paraId="5F7512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EFC247C">
            <w:pPr>
              <w:spacing w:line="360" w:lineRule="atLeast"/>
              <w:jc w:val="center"/>
              <w:rPr>
                <w:rFonts w:hint="eastAsia" w:ascii="宋体" w:hAnsi="宋体" w:eastAsia="宋体" w:cs="宋体"/>
                <w:color w:val="auto"/>
              </w:rPr>
            </w:pPr>
          </w:p>
        </w:tc>
        <w:tc>
          <w:tcPr>
            <w:tcW w:w="3636" w:type="dxa"/>
            <w:gridSpan w:val="3"/>
            <w:vAlign w:val="center"/>
          </w:tcPr>
          <w:p w14:paraId="7B609735">
            <w:pPr>
              <w:spacing w:line="360" w:lineRule="atLeast"/>
              <w:jc w:val="center"/>
              <w:rPr>
                <w:rFonts w:hint="eastAsia" w:ascii="宋体" w:hAnsi="宋体" w:eastAsia="宋体" w:cs="宋体"/>
                <w:color w:val="auto"/>
              </w:rPr>
            </w:pPr>
          </w:p>
        </w:tc>
        <w:tc>
          <w:tcPr>
            <w:tcW w:w="1404" w:type="dxa"/>
            <w:vAlign w:val="center"/>
          </w:tcPr>
          <w:p w14:paraId="1EF87DEE">
            <w:pPr>
              <w:spacing w:line="360" w:lineRule="atLeast"/>
              <w:jc w:val="center"/>
              <w:rPr>
                <w:rFonts w:hint="eastAsia" w:ascii="宋体" w:hAnsi="宋体" w:eastAsia="宋体" w:cs="宋体"/>
                <w:color w:val="auto"/>
              </w:rPr>
            </w:pPr>
          </w:p>
        </w:tc>
        <w:tc>
          <w:tcPr>
            <w:tcW w:w="2203" w:type="dxa"/>
            <w:gridSpan w:val="2"/>
            <w:vAlign w:val="center"/>
          </w:tcPr>
          <w:p w14:paraId="378F520E">
            <w:pPr>
              <w:spacing w:line="360" w:lineRule="atLeast"/>
              <w:jc w:val="center"/>
              <w:rPr>
                <w:rFonts w:hint="eastAsia" w:ascii="宋体" w:hAnsi="宋体" w:eastAsia="宋体" w:cs="宋体"/>
                <w:color w:val="auto"/>
              </w:rPr>
            </w:pPr>
          </w:p>
        </w:tc>
      </w:tr>
      <w:tr w14:paraId="3F4324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5A3DCB70">
            <w:pPr>
              <w:spacing w:line="360" w:lineRule="atLeast"/>
              <w:jc w:val="center"/>
              <w:rPr>
                <w:rFonts w:hint="eastAsia" w:ascii="宋体" w:hAnsi="宋体" w:eastAsia="宋体" w:cs="宋体"/>
                <w:color w:val="auto"/>
              </w:rPr>
            </w:pPr>
          </w:p>
        </w:tc>
        <w:tc>
          <w:tcPr>
            <w:tcW w:w="3636" w:type="dxa"/>
            <w:gridSpan w:val="3"/>
            <w:vAlign w:val="center"/>
          </w:tcPr>
          <w:p w14:paraId="0594CB32">
            <w:pPr>
              <w:spacing w:line="360" w:lineRule="atLeast"/>
              <w:jc w:val="center"/>
              <w:rPr>
                <w:rFonts w:hint="eastAsia" w:ascii="宋体" w:hAnsi="宋体" w:eastAsia="宋体" w:cs="宋体"/>
                <w:color w:val="auto"/>
              </w:rPr>
            </w:pPr>
          </w:p>
        </w:tc>
        <w:tc>
          <w:tcPr>
            <w:tcW w:w="1404" w:type="dxa"/>
            <w:vAlign w:val="center"/>
          </w:tcPr>
          <w:p w14:paraId="4E5FAFD4">
            <w:pPr>
              <w:spacing w:line="360" w:lineRule="atLeast"/>
              <w:jc w:val="center"/>
              <w:rPr>
                <w:rFonts w:hint="eastAsia" w:ascii="宋体" w:hAnsi="宋体" w:eastAsia="宋体" w:cs="宋体"/>
                <w:color w:val="auto"/>
              </w:rPr>
            </w:pPr>
          </w:p>
        </w:tc>
        <w:tc>
          <w:tcPr>
            <w:tcW w:w="2203" w:type="dxa"/>
            <w:gridSpan w:val="2"/>
            <w:vAlign w:val="center"/>
          </w:tcPr>
          <w:p w14:paraId="60667C47">
            <w:pPr>
              <w:spacing w:line="360" w:lineRule="atLeast"/>
              <w:jc w:val="center"/>
              <w:rPr>
                <w:rFonts w:hint="eastAsia" w:ascii="宋体" w:hAnsi="宋体" w:eastAsia="宋体" w:cs="宋体"/>
                <w:color w:val="auto"/>
              </w:rPr>
            </w:pPr>
          </w:p>
        </w:tc>
      </w:tr>
      <w:tr w14:paraId="218315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E8ECC42">
            <w:pPr>
              <w:spacing w:line="360" w:lineRule="atLeast"/>
              <w:jc w:val="center"/>
              <w:rPr>
                <w:rFonts w:hint="eastAsia" w:ascii="宋体" w:hAnsi="宋体" w:eastAsia="宋体" w:cs="宋体"/>
                <w:color w:val="auto"/>
              </w:rPr>
            </w:pPr>
          </w:p>
        </w:tc>
        <w:tc>
          <w:tcPr>
            <w:tcW w:w="3636" w:type="dxa"/>
            <w:gridSpan w:val="3"/>
            <w:vAlign w:val="center"/>
          </w:tcPr>
          <w:p w14:paraId="5531C9FA">
            <w:pPr>
              <w:spacing w:line="360" w:lineRule="atLeast"/>
              <w:jc w:val="center"/>
              <w:rPr>
                <w:rFonts w:hint="eastAsia" w:ascii="宋体" w:hAnsi="宋体" w:eastAsia="宋体" w:cs="宋体"/>
                <w:color w:val="auto"/>
              </w:rPr>
            </w:pPr>
          </w:p>
        </w:tc>
        <w:tc>
          <w:tcPr>
            <w:tcW w:w="1404" w:type="dxa"/>
            <w:vAlign w:val="center"/>
          </w:tcPr>
          <w:p w14:paraId="44E970CA">
            <w:pPr>
              <w:spacing w:line="360" w:lineRule="atLeast"/>
              <w:jc w:val="center"/>
              <w:rPr>
                <w:rFonts w:hint="eastAsia" w:ascii="宋体" w:hAnsi="宋体" w:eastAsia="宋体" w:cs="宋体"/>
                <w:color w:val="auto"/>
              </w:rPr>
            </w:pPr>
          </w:p>
        </w:tc>
        <w:tc>
          <w:tcPr>
            <w:tcW w:w="2203" w:type="dxa"/>
            <w:gridSpan w:val="2"/>
            <w:vAlign w:val="center"/>
          </w:tcPr>
          <w:p w14:paraId="0EFB0119">
            <w:pPr>
              <w:spacing w:line="360" w:lineRule="atLeast"/>
              <w:jc w:val="center"/>
              <w:rPr>
                <w:rFonts w:hint="eastAsia" w:ascii="宋体" w:hAnsi="宋体" w:eastAsia="宋体" w:cs="宋体"/>
                <w:color w:val="auto"/>
              </w:rPr>
            </w:pPr>
          </w:p>
        </w:tc>
      </w:tr>
      <w:tr w14:paraId="1CF8A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5224263E">
            <w:pPr>
              <w:spacing w:line="360" w:lineRule="atLeast"/>
              <w:jc w:val="center"/>
              <w:rPr>
                <w:rFonts w:hint="eastAsia" w:ascii="宋体" w:hAnsi="宋体" w:eastAsia="宋体" w:cs="宋体"/>
                <w:color w:val="auto"/>
              </w:rPr>
            </w:pPr>
          </w:p>
        </w:tc>
        <w:tc>
          <w:tcPr>
            <w:tcW w:w="3636" w:type="dxa"/>
            <w:gridSpan w:val="3"/>
            <w:vAlign w:val="center"/>
          </w:tcPr>
          <w:p w14:paraId="6A68EB12">
            <w:pPr>
              <w:spacing w:line="360" w:lineRule="atLeast"/>
              <w:jc w:val="center"/>
              <w:rPr>
                <w:rFonts w:hint="eastAsia" w:ascii="宋体" w:hAnsi="宋体" w:eastAsia="宋体" w:cs="宋体"/>
                <w:color w:val="auto"/>
              </w:rPr>
            </w:pPr>
          </w:p>
        </w:tc>
        <w:tc>
          <w:tcPr>
            <w:tcW w:w="1404" w:type="dxa"/>
            <w:vAlign w:val="center"/>
          </w:tcPr>
          <w:p w14:paraId="6DC5B880">
            <w:pPr>
              <w:spacing w:line="360" w:lineRule="atLeast"/>
              <w:jc w:val="center"/>
              <w:rPr>
                <w:rFonts w:hint="eastAsia" w:ascii="宋体" w:hAnsi="宋体" w:eastAsia="宋体" w:cs="宋体"/>
                <w:color w:val="auto"/>
              </w:rPr>
            </w:pPr>
          </w:p>
        </w:tc>
        <w:tc>
          <w:tcPr>
            <w:tcW w:w="2203" w:type="dxa"/>
            <w:gridSpan w:val="2"/>
            <w:vAlign w:val="center"/>
          </w:tcPr>
          <w:p w14:paraId="096CE4CA">
            <w:pPr>
              <w:spacing w:line="360" w:lineRule="atLeast"/>
              <w:jc w:val="center"/>
              <w:rPr>
                <w:rFonts w:hint="eastAsia" w:ascii="宋体" w:hAnsi="宋体" w:eastAsia="宋体" w:cs="宋体"/>
                <w:color w:val="auto"/>
              </w:rPr>
            </w:pPr>
          </w:p>
        </w:tc>
      </w:tr>
      <w:tr w14:paraId="52909A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6EA81B59">
            <w:pPr>
              <w:spacing w:line="360" w:lineRule="atLeast"/>
              <w:jc w:val="center"/>
              <w:rPr>
                <w:rFonts w:hint="eastAsia" w:ascii="宋体" w:hAnsi="宋体" w:eastAsia="宋体" w:cs="宋体"/>
                <w:color w:val="auto"/>
              </w:rPr>
            </w:pPr>
          </w:p>
        </w:tc>
        <w:tc>
          <w:tcPr>
            <w:tcW w:w="3636" w:type="dxa"/>
            <w:gridSpan w:val="3"/>
            <w:vAlign w:val="center"/>
          </w:tcPr>
          <w:p w14:paraId="0228C1F0">
            <w:pPr>
              <w:spacing w:line="360" w:lineRule="atLeast"/>
              <w:jc w:val="center"/>
              <w:rPr>
                <w:rFonts w:hint="eastAsia" w:ascii="宋体" w:hAnsi="宋体" w:eastAsia="宋体" w:cs="宋体"/>
                <w:color w:val="auto"/>
              </w:rPr>
            </w:pPr>
          </w:p>
        </w:tc>
        <w:tc>
          <w:tcPr>
            <w:tcW w:w="1404" w:type="dxa"/>
            <w:vAlign w:val="center"/>
          </w:tcPr>
          <w:p w14:paraId="1770917E">
            <w:pPr>
              <w:spacing w:line="360" w:lineRule="atLeast"/>
              <w:jc w:val="center"/>
              <w:rPr>
                <w:rFonts w:hint="eastAsia" w:ascii="宋体" w:hAnsi="宋体" w:eastAsia="宋体" w:cs="宋体"/>
                <w:color w:val="auto"/>
              </w:rPr>
            </w:pPr>
          </w:p>
        </w:tc>
        <w:tc>
          <w:tcPr>
            <w:tcW w:w="2203" w:type="dxa"/>
            <w:gridSpan w:val="2"/>
            <w:vAlign w:val="center"/>
          </w:tcPr>
          <w:p w14:paraId="21826E50">
            <w:pPr>
              <w:spacing w:line="360" w:lineRule="atLeast"/>
              <w:jc w:val="center"/>
              <w:rPr>
                <w:rFonts w:hint="eastAsia" w:ascii="宋体" w:hAnsi="宋体" w:eastAsia="宋体" w:cs="宋体"/>
                <w:color w:val="auto"/>
              </w:rPr>
            </w:pPr>
          </w:p>
        </w:tc>
      </w:tr>
      <w:tr w14:paraId="02D6A7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DC4EFC4">
            <w:pPr>
              <w:spacing w:line="360" w:lineRule="atLeast"/>
              <w:jc w:val="center"/>
              <w:rPr>
                <w:rFonts w:hint="eastAsia" w:ascii="宋体" w:hAnsi="宋体" w:eastAsia="宋体" w:cs="宋体"/>
                <w:color w:val="auto"/>
              </w:rPr>
            </w:pPr>
          </w:p>
        </w:tc>
        <w:tc>
          <w:tcPr>
            <w:tcW w:w="3636" w:type="dxa"/>
            <w:gridSpan w:val="3"/>
            <w:vAlign w:val="center"/>
          </w:tcPr>
          <w:p w14:paraId="2034B921">
            <w:pPr>
              <w:spacing w:line="360" w:lineRule="atLeast"/>
              <w:jc w:val="center"/>
              <w:rPr>
                <w:rFonts w:hint="eastAsia" w:ascii="宋体" w:hAnsi="宋体" w:eastAsia="宋体" w:cs="宋体"/>
                <w:color w:val="auto"/>
              </w:rPr>
            </w:pPr>
          </w:p>
        </w:tc>
        <w:tc>
          <w:tcPr>
            <w:tcW w:w="1404" w:type="dxa"/>
            <w:vAlign w:val="center"/>
          </w:tcPr>
          <w:p w14:paraId="33D3D42E">
            <w:pPr>
              <w:spacing w:line="360" w:lineRule="atLeast"/>
              <w:jc w:val="center"/>
              <w:rPr>
                <w:rFonts w:hint="eastAsia" w:ascii="宋体" w:hAnsi="宋体" w:eastAsia="宋体" w:cs="宋体"/>
                <w:color w:val="auto"/>
              </w:rPr>
            </w:pPr>
          </w:p>
        </w:tc>
        <w:tc>
          <w:tcPr>
            <w:tcW w:w="2203" w:type="dxa"/>
            <w:gridSpan w:val="2"/>
            <w:vAlign w:val="center"/>
          </w:tcPr>
          <w:p w14:paraId="48EC2AFF">
            <w:pPr>
              <w:spacing w:line="360" w:lineRule="atLeast"/>
              <w:jc w:val="center"/>
              <w:rPr>
                <w:rFonts w:hint="eastAsia" w:ascii="宋体" w:hAnsi="宋体" w:eastAsia="宋体" w:cs="宋体"/>
                <w:color w:val="auto"/>
              </w:rPr>
            </w:pPr>
          </w:p>
        </w:tc>
      </w:tr>
    </w:tbl>
    <w:p w14:paraId="1AB9F475">
      <w:pPr>
        <w:spacing w:line="360" w:lineRule="atLeast"/>
        <w:rPr>
          <w:rFonts w:hint="eastAsia" w:ascii="宋体" w:hAnsi="宋体" w:eastAsia="宋体" w:cs="宋体"/>
          <w:color w:val="auto"/>
        </w:rPr>
      </w:pPr>
      <w:r>
        <w:rPr>
          <w:rFonts w:hint="eastAsia" w:ascii="宋体" w:hAnsi="宋体" w:eastAsia="宋体" w:cs="宋体"/>
          <w:color w:val="auto"/>
          <w:szCs w:val="21"/>
        </w:rPr>
        <w:t>说明</w:t>
      </w:r>
      <w:r>
        <w:rPr>
          <w:rFonts w:hint="eastAsia" w:ascii="宋体" w:hAnsi="宋体" w:eastAsia="宋体" w:cs="宋体"/>
          <w:color w:val="auto"/>
        </w:rPr>
        <w:t>：</w:t>
      </w:r>
      <w:r>
        <w:rPr>
          <w:rFonts w:hint="eastAsia" w:ascii="宋体" w:hAnsi="宋体" w:eastAsia="宋体" w:cs="宋体"/>
          <w:color w:val="auto"/>
          <w:szCs w:val="21"/>
        </w:rPr>
        <w:t>主要人员证书、</w:t>
      </w:r>
      <w:r>
        <w:rPr>
          <w:rFonts w:hint="eastAsia" w:ascii="宋体" w:hAnsi="宋体" w:eastAsia="宋体" w:cs="宋体"/>
          <w:color w:val="auto"/>
        </w:rPr>
        <w:t>类似项目证明资料等按第二章第41.1款或第</w:t>
      </w:r>
      <w:r>
        <w:rPr>
          <w:rFonts w:hint="eastAsia" w:ascii="宋体" w:hAnsi="宋体" w:eastAsia="宋体" w:cs="宋体"/>
          <w:color w:val="auto"/>
          <w:lang w:eastAsia="zh-CN"/>
        </w:rPr>
        <w:t>三</w:t>
      </w:r>
      <w:r>
        <w:rPr>
          <w:rFonts w:hint="eastAsia" w:ascii="宋体" w:hAnsi="宋体" w:eastAsia="宋体" w:cs="宋体"/>
          <w:color w:val="auto"/>
        </w:rPr>
        <w:t>章</w:t>
      </w:r>
      <w:r>
        <w:rPr>
          <w:rFonts w:hint="eastAsia" w:ascii="宋体" w:hAnsi="宋体" w:eastAsia="宋体" w:cs="宋体"/>
          <w:color w:val="auto"/>
          <w:lang w:eastAsia="zh-CN"/>
        </w:rPr>
        <w:t>评分细则</w:t>
      </w:r>
      <w:r>
        <w:rPr>
          <w:rFonts w:hint="eastAsia" w:ascii="宋体" w:hAnsi="宋体" w:eastAsia="宋体" w:cs="宋体"/>
          <w:color w:val="auto"/>
        </w:rPr>
        <w:t>要求提供。</w:t>
      </w:r>
    </w:p>
    <w:p w14:paraId="669BD478">
      <w:pPr>
        <w:adjustRightInd w:val="0"/>
        <w:snapToGrid w:val="0"/>
        <w:spacing w:line="360" w:lineRule="auto"/>
        <w:rPr>
          <w:rFonts w:hint="eastAsia" w:ascii="宋体" w:hAnsi="宋体" w:eastAsia="宋体" w:cs="宋体"/>
          <w:color w:val="auto"/>
          <w:szCs w:val="21"/>
        </w:rPr>
      </w:pPr>
    </w:p>
    <w:p w14:paraId="47B3369D">
      <w:pPr>
        <w:rPr>
          <w:rFonts w:hint="eastAsia" w:ascii="宋体" w:hAnsi="宋体" w:eastAsia="宋体" w:cs="宋体"/>
          <w:color w:val="auto"/>
          <w:szCs w:val="21"/>
        </w:rPr>
      </w:pPr>
    </w:p>
    <w:p w14:paraId="546CCB74">
      <w:pPr>
        <w:pStyle w:val="14"/>
        <w:adjustRightInd w:val="0"/>
        <w:snapToGrid w:val="0"/>
        <w:spacing w:line="360" w:lineRule="auto"/>
        <w:rPr>
          <w:rFonts w:hint="eastAsia" w:ascii="宋体" w:hAnsi="宋体" w:eastAsia="宋体" w:cs="宋体"/>
          <w:bCs/>
          <w:color w:val="auto"/>
          <w:sz w:val="21"/>
          <w:szCs w:val="21"/>
        </w:rPr>
      </w:pPr>
      <w:r>
        <w:rPr>
          <w:rFonts w:hint="eastAsia" w:ascii="宋体" w:hAnsi="宋体" w:eastAsia="宋体" w:cs="宋体"/>
          <w:color w:val="auto"/>
          <w:sz w:val="21"/>
          <w:szCs w:val="21"/>
        </w:rPr>
        <w:t>供应商名称：</w:t>
      </w:r>
      <w:r>
        <w:rPr>
          <w:rFonts w:hint="eastAsia" w:ascii="宋体" w:hAnsi="宋体" w:eastAsia="宋体" w:cs="宋体"/>
          <w:color w:val="auto"/>
          <w:sz w:val="21"/>
          <w:szCs w:val="21"/>
          <w:u w:val="single"/>
        </w:rPr>
        <w:t xml:space="preserve">                </w:t>
      </w:r>
    </w:p>
    <w:p w14:paraId="36E0A152">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2F37C1D3">
      <w:pPr>
        <w:spacing w:line="360" w:lineRule="exact"/>
        <w:rPr>
          <w:rFonts w:hint="eastAsia" w:ascii="宋体" w:hAnsi="宋体" w:eastAsia="宋体" w:cs="宋体"/>
          <w:color w:val="auto"/>
          <w:szCs w:val="21"/>
        </w:rPr>
      </w:pPr>
      <w:r>
        <w:rPr>
          <w:rFonts w:hint="eastAsia" w:ascii="宋体" w:hAnsi="宋体" w:eastAsia="宋体" w:cs="宋体"/>
          <w:color w:val="auto"/>
          <w:szCs w:val="21"/>
        </w:rPr>
        <w:t xml:space="preserve">日期：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7D94495D">
      <w:pPr>
        <w:rPr>
          <w:rFonts w:hint="eastAsia" w:ascii="宋体" w:hAnsi="宋体" w:eastAsia="宋体" w:cs="宋体"/>
          <w:color w:val="auto"/>
          <w:spacing w:val="6"/>
          <w:kern w:val="0"/>
          <w:szCs w:val="21"/>
        </w:rPr>
      </w:pPr>
      <w:r>
        <w:rPr>
          <w:rFonts w:hint="eastAsia" w:ascii="宋体" w:hAnsi="宋体" w:eastAsia="宋体" w:cs="宋体"/>
          <w:color w:val="auto"/>
          <w:szCs w:val="21"/>
        </w:rPr>
        <w:br w:type="page"/>
      </w:r>
      <w:bookmarkStart w:id="218" w:name="_Toc19600_WPSOffice_Level2"/>
      <w:r>
        <w:rPr>
          <w:rFonts w:hint="eastAsia" w:ascii="宋体" w:hAnsi="宋体" w:eastAsia="宋体" w:cs="宋体"/>
          <w:color w:val="auto"/>
          <w:spacing w:val="6"/>
          <w:kern w:val="0"/>
          <w:szCs w:val="21"/>
        </w:rPr>
        <w:t>附件6-2：拟投入本项目人员一览表</w:t>
      </w:r>
      <w:bookmarkEnd w:id="218"/>
    </w:p>
    <w:p w14:paraId="3AC6B680">
      <w:pPr>
        <w:pStyle w:val="49"/>
        <w:rPr>
          <w:rFonts w:hint="eastAsia" w:ascii="宋体" w:hAnsi="宋体" w:eastAsia="宋体" w:cs="宋体"/>
          <w:color w:val="auto"/>
        </w:rPr>
      </w:pPr>
    </w:p>
    <w:p w14:paraId="20122A4B">
      <w:pPr>
        <w:spacing w:line="360" w:lineRule="auto"/>
        <w:jc w:val="center"/>
        <w:rPr>
          <w:rFonts w:hint="eastAsia" w:ascii="宋体" w:hAnsi="宋体" w:eastAsia="宋体" w:cs="宋体"/>
          <w:bCs/>
          <w:color w:val="auto"/>
          <w:sz w:val="28"/>
          <w:szCs w:val="28"/>
        </w:rPr>
      </w:pPr>
      <w:bookmarkStart w:id="219" w:name="_Toc20103_WPSOffice_Level2"/>
      <w:r>
        <w:rPr>
          <w:rFonts w:hint="eastAsia" w:ascii="宋体" w:hAnsi="宋体" w:eastAsia="宋体" w:cs="宋体"/>
          <w:bCs/>
          <w:color w:val="auto"/>
          <w:sz w:val="28"/>
          <w:szCs w:val="28"/>
        </w:rPr>
        <w:t>拟投入本项目人员一览表</w:t>
      </w:r>
      <w:bookmarkEnd w:id="219"/>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280"/>
        <w:gridCol w:w="1280"/>
        <w:gridCol w:w="1279"/>
        <w:gridCol w:w="1280"/>
        <w:gridCol w:w="1280"/>
        <w:gridCol w:w="1280"/>
      </w:tblGrid>
      <w:tr w14:paraId="291C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atLeast"/>
          <w:jc w:val="center"/>
        </w:trPr>
        <w:tc>
          <w:tcPr>
            <w:tcW w:w="1279" w:type="dxa"/>
            <w:vAlign w:val="center"/>
          </w:tcPr>
          <w:p w14:paraId="443AAFEA">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280" w:type="dxa"/>
            <w:vAlign w:val="center"/>
          </w:tcPr>
          <w:p w14:paraId="1B598329">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专业</w:t>
            </w:r>
          </w:p>
          <w:p w14:paraId="55C45703">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学历</w:t>
            </w:r>
          </w:p>
        </w:tc>
        <w:tc>
          <w:tcPr>
            <w:tcW w:w="1280" w:type="dxa"/>
            <w:vAlign w:val="center"/>
          </w:tcPr>
          <w:p w14:paraId="2BE600BC">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性别</w:t>
            </w:r>
          </w:p>
        </w:tc>
        <w:tc>
          <w:tcPr>
            <w:tcW w:w="1279" w:type="dxa"/>
            <w:vAlign w:val="center"/>
          </w:tcPr>
          <w:p w14:paraId="3CD765E9">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280" w:type="dxa"/>
            <w:vAlign w:val="center"/>
          </w:tcPr>
          <w:p w14:paraId="51CAAF1E">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职称/执业资格</w:t>
            </w:r>
          </w:p>
        </w:tc>
        <w:tc>
          <w:tcPr>
            <w:tcW w:w="1280" w:type="dxa"/>
            <w:vAlign w:val="center"/>
          </w:tcPr>
          <w:p w14:paraId="616D8936">
            <w:pPr>
              <w:spacing w:line="360" w:lineRule="exact"/>
              <w:ind w:firstLine="105" w:firstLineChars="50"/>
              <w:jc w:val="center"/>
              <w:rPr>
                <w:rFonts w:hint="eastAsia" w:ascii="宋体" w:hAnsi="宋体" w:eastAsia="宋体" w:cs="宋体"/>
                <w:color w:val="auto"/>
                <w:szCs w:val="21"/>
              </w:rPr>
            </w:pPr>
            <w:r>
              <w:rPr>
                <w:rFonts w:hint="eastAsia" w:ascii="宋体" w:hAnsi="宋体" w:eastAsia="宋体" w:cs="宋体"/>
                <w:color w:val="auto"/>
                <w:szCs w:val="21"/>
              </w:rPr>
              <w:t>专业工作年限</w:t>
            </w:r>
          </w:p>
        </w:tc>
        <w:tc>
          <w:tcPr>
            <w:tcW w:w="1280" w:type="dxa"/>
            <w:vAlign w:val="center"/>
          </w:tcPr>
          <w:p w14:paraId="1A01D85A">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2777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78C3B40E">
            <w:pPr>
              <w:spacing w:line="360" w:lineRule="exact"/>
              <w:jc w:val="center"/>
              <w:rPr>
                <w:rFonts w:hint="eastAsia" w:ascii="宋体" w:hAnsi="宋体" w:eastAsia="宋体" w:cs="宋体"/>
                <w:color w:val="auto"/>
                <w:szCs w:val="21"/>
              </w:rPr>
            </w:pPr>
          </w:p>
        </w:tc>
        <w:tc>
          <w:tcPr>
            <w:tcW w:w="1280" w:type="dxa"/>
            <w:vAlign w:val="center"/>
          </w:tcPr>
          <w:p w14:paraId="08221CBB">
            <w:pPr>
              <w:spacing w:line="360" w:lineRule="exact"/>
              <w:jc w:val="center"/>
              <w:rPr>
                <w:rFonts w:hint="eastAsia" w:ascii="宋体" w:hAnsi="宋体" w:eastAsia="宋体" w:cs="宋体"/>
                <w:color w:val="auto"/>
                <w:szCs w:val="21"/>
              </w:rPr>
            </w:pPr>
          </w:p>
        </w:tc>
        <w:tc>
          <w:tcPr>
            <w:tcW w:w="1280" w:type="dxa"/>
            <w:vAlign w:val="center"/>
          </w:tcPr>
          <w:p w14:paraId="7D731C03">
            <w:pPr>
              <w:spacing w:line="360" w:lineRule="exact"/>
              <w:jc w:val="center"/>
              <w:rPr>
                <w:rFonts w:hint="eastAsia" w:ascii="宋体" w:hAnsi="宋体" w:eastAsia="宋体" w:cs="宋体"/>
                <w:color w:val="auto"/>
                <w:szCs w:val="21"/>
              </w:rPr>
            </w:pPr>
          </w:p>
        </w:tc>
        <w:tc>
          <w:tcPr>
            <w:tcW w:w="1279" w:type="dxa"/>
            <w:vAlign w:val="center"/>
          </w:tcPr>
          <w:p w14:paraId="5BC4523F">
            <w:pPr>
              <w:spacing w:line="360" w:lineRule="exact"/>
              <w:jc w:val="center"/>
              <w:rPr>
                <w:rFonts w:hint="eastAsia" w:ascii="宋体" w:hAnsi="宋体" w:eastAsia="宋体" w:cs="宋体"/>
                <w:color w:val="auto"/>
                <w:szCs w:val="21"/>
              </w:rPr>
            </w:pPr>
          </w:p>
        </w:tc>
        <w:tc>
          <w:tcPr>
            <w:tcW w:w="1280" w:type="dxa"/>
            <w:vAlign w:val="center"/>
          </w:tcPr>
          <w:p w14:paraId="0A961DD4">
            <w:pPr>
              <w:spacing w:line="360" w:lineRule="exact"/>
              <w:jc w:val="center"/>
              <w:rPr>
                <w:rFonts w:hint="eastAsia" w:ascii="宋体" w:hAnsi="宋体" w:eastAsia="宋体" w:cs="宋体"/>
                <w:color w:val="auto"/>
                <w:szCs w:val="21"/>
              </w:rPr>
            </w:pPr>
          </w:p>
        </w:tc>
        <w:tc>
          <w:tcPr>
            <w:tcW w:w="1280" w:type="dxa"/>
            <w:vAlign w:val="center"/>
          </w:tcPr>
          <w:p w14:paraId="1F4D958C">
            <w:pPr>
              <w:spacing w:line="360" w:lineRule="exact"/>
              <w:jc w:val="center"/>
              <w:rPr>
                <w:rFonts w:hint="eastAsia" w:ascii="宋体" w:hAnsi="宋体" w:eastAsia="宋体" w:cs="宋体"/>
                <w:color w:val="auto"/>
                <w:szCs w:val="21"/>
              </w:rPr>
            </w:pPr>
          </w:p>
        </w:tc>
        <w:tc>
          <w:tcPr>
            <w:tcW w:w="1280" w:type="dxa"/>
            <w:vAlign w:val="center"/>
          </w:tcPr>
          <w:p w14:paraId="34A29BBD">
            <w:pPr>
              <w:spacing w:line="360" w:lineRule="exact"/>
              <w:jc w:val="center"/>
              <w:rPr>
                <w:rFonts w:hint="eastAsia" w:ascii="宋体" w:hAnsi="宋体" w:eastAsia="宋体" w:cs="宋体"/>
                <w:color w:val="auto"/>
                <w:szCs w:val="21"/>
              </w:rPr>
            </w:pPr>
          </w:p>
        </w:tc>
      </w:tr>
      <w:tr w14:paraId="021C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43F3C1CF">
            <w:pPr>
              <w:spacing w:line="360" w:lineRule="exact"/>
              <w:jc w:val="center"/>
              <w:rPr>
                <w:rFonts w:hint="eastAsia" w:ascii="宋体" w:hAnsi="宋体" w:eastAsia="宋体" w:cs="宋体"/>
                <w:color w:val="auto"/>
                <w:szCs w:val="21"/>
              </w:rPr>
            </w:pPr>
          </w:p>
        </w:tc>
        <w:tc>
          <w:tcPr>
            <w:tcW w:w="1280" w:type="dxa"/>
            <w:vAlign w:val="center"/>
          </w:tcPr>
          <w:p w14:paraId="333851E5">
            <w:pPr>
              <w:spacing w:line="360" w:lineRule="exact"/>
              <w:jc w:val="center"/>
              <w:rPr>
                <w:rFonts w:hint="eastAsia" w:ascii="宋体" w:hAnsi="宋体" w:eastAsia="宋体" w:cs="宋体"/>
                <w:color w:val="auto"/>
                <w:szCs w:val="21"/>
              </w:rPr>
            </w:pPr>
          </w:p>
        </w:tc>
        <w:tc>
          <w:tcPr>
            <w:tcW w:w="1280" w:type="dxa"/>
            <w:vAlign w:val="center"/>
          </w:tcPr>
          <w:p w14:paraId="3E3A346D">
            <w:pPr>
              <w:spacing w:line="360" w:lineRule="exact"/>
              <w:jc w:val="center"/>
              <w:rPr>
                <w:rFonts w:hint="eastAsia" w:ascii="宋体" w:hAnsi="宋体" w:eastAsia="宋体" w:cs="宋体"/>
                <w:color w:val="auto"/>
                <w:szCs w:val="21"/>
              </w:rPr>
            </w:pPr>
          </w:p>
        </w:tc>
        <w:tc>
          <w:tcPr>
            <w:tcW w:w="1279" w:type="dxa"/>
            <w:vAlign w:val="center"/>
          </w:tcPr>
          <w:p w14:paraId="193C62C7">
            <w:pPr>
              <w:spacing w:line="360" w:lineRule="exact"/>
              <w:jc w:val="center"/>
              <w:rPr>
                <w:rFonts w:hint="eastAsia" w:ascii="宋体" w:hAnsi="宋体" w:eastAsia="宋体" w:cs="宋体"/>
                <w:color w:val="auto"/>
                <w:szCs w:val="21"/>
              </w:rPr>
            </w:pPr>
          </w:p>
        </w:tc>
        <w:tc>
          <w:tcPr>
            <w:tcW w:w="1280" w:type="dxa"/>
            <w:vAlign w:val="center"/>
          </w:tcPr>
          <w:p w14:paraId="55094081">
            <w:pPr>
              <w:spacing w:line="360" w:lineRule="exact"/>
              <w:jc w:val="center"/>
              <w:rPr>
                <w:rFonts w:hint="eastAsia" w:ascii="宋体" w:hAnsi="宋体" w:eastAsia="宋体" w:cs="宋体"/>
                <w:color w:val="auto"/>
                <w:szCs w:val="21"/>
              </w:rPr>
            </w:pPr>
          </w:p>
        </w:tc>
        <w:tc>
          <w:tcPr>
            <w:tcW w:w="1280" w:type="dxa"/>
            <w:vAlign w:val="center"/>
          </w:tcPr>
          <w:p w14:paraId="0B0E67F3">
            <w:pPr>
              <w:spacing w:line="360" w:lineRule="exact"/>
              <w:jc w:val="center"/>
              <w:rPr>
                <w:rFonts w:hint="eastAsia" w:ascii="宋体" w:hAnsi="宋体" w:eastAsia="宋体" w:cs="宋体"/>
                <w:color w:val="auto"/>
                <w:szCs w:val="21"/>
              </w:rPr>
            </w:pPr>
          </w:p>
        </w:tc>
        <w:tc>
          <w:tcPr>
            <w:tcW w:w="1280" w:type="dxa"/>
            <w:vAlign w:val="center"/>
          </w:tcPr>
          <w:p w14:paraId="7F0E363E">
            <w:pPr>
              <w:spacing w:line="360" w:lineRule="exact"/>
              <w:jc w:val="center"/>
              <w:rPr>
                <w:rFonts w:hint="eastAsia" w:ascii="宋体" w:hAnsi="宋体" w:eastAsia="宋体" w:cs="宋体"/>
                <w:color w:val="auto"/>
                <w:szCs w:val="21"/>
              </w:rPr>
            </w:pPr>
          </w:p>
        </w:tc>
      </w:tr>
      <w:tr w14:paraId="77E3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15EA6ADD">
            <w:pPr>
              <w:spacing w:line="360" w:lineRule="exact"/>
              <w:jc w:val="center"/>
              <w:rPr>
                <w:rFonts w:hint="eastAsia" w:ascii="宋体" w:hAnsi="宋体" w:eastAsia="宋体" w:cs="宋体"/>
                <w:color w:val="auto"/>
                <w:szCs w:val="21"/>
              </w:rPr>
            </w:pPr>
          </w:p>
        </w:tc>
        <w:tc>
          <w:tcPr>
            <w:tcW w:w="1280" w:type="dxa"/>
            <w:vAlign w:val="center"/>
          </w:tcPr>
          <w:p w14:paraId="56C9856F">
            <w:pPr>
              <w:spacing w:line="360" w:lineRule="exact"/>
              <w:jc w:val="center"/>
              <w:rPr>
                <w:rFonts w:hint="eastAsia" w:ascii="宋体" w:hAnsi="宋体" w:eastAsia="宋体" w:cs="宋体"/>
                <w:color w:val="auto"/>
                <w:szCs w:val="21"/>
              </w:rPr>
            </w:pPr>
          </w:p>
        </w:tc>
        <w:tc>
          <w:tcPr>
            <w:tcW w:w="1280" w:type="dxa"/>
            <w:vAlign w:val="center"/>
          </w:tcPr>
          <w:p w14:paraId="2DB83DED">
            <w:pPr>
              <w:spacing w:line="360" w:lineRule="exact"/>
              <w:jc w:val="center"/>
              <w:rPr>
                <w:rFonts w:hint="eastAsia" w:ascii="宋体" w:hAnsi="宋体" w:eastAsia="宋体" w:cs="宋体"/>
                <w:color w:val="auto"/>
                <w:szCs w:val="21"/>
              </w:rPr>
            </w:pPr>
          </w:p>
        </w:tc>
        <w:tc>
          <w:tcPr>
            <w:tcW w:w="1279" w:type="dxa"/>
            <w:vAlign w:val="center"/>
          </w:tcPr>
          <w:p w14:paraId="737730CD">
            <w:pPr>
              <w:spacing w:line="360" w:lineRule="exact"/>
              <w:jc w:val="center"/>
              <w:rPr>
                <w:rFonts w:hint="eastAsia" w:ascii="宋体" w:hAnsi="宋体" w:eastAsia="宋体" w:cs="宋体"/>
                <w:color w:val="auto"/>
                <w:szCs w:val="21"/>
              </w:rPr>
            </w:pPr>
          </w:p>
        </w:tc>
        <w:tc>
          <w:tcPr>
            <w:tcW w:w="1280" w:type="dxa"/>
            <w:vAlign w:val="center"/>
          </w:tcPr>
          <w:p w14:paraId="71A8FD63">
            <w:pPr>
              <w:spacing w:line="360" w:lineRule="exact"/>
              <w:jc w:val="center"/>
              <w:rPr>
                <w:rFonts w:hint="eastAsia" w:ascii="宋体" w:hAnsi="宋体" w:eastAsia="宋体" w:cs="宋体"/>
                <w:color w:val="auto"/>
                <w:szCs w:val="21"/>
              </w:rPr>
            </w:pPr>
          </w:p>
        </w:tc>
        <w:tc>
          <w:tcPr>
            <w:tcW w:w="1280" w:type="dxa"/>
            <w:vAlign w:val="center"/>
          </w:tcPr>
          <w:p w14:paraId="15B841E7">
            <w:pPr>
              <w:spacing w:line="360" w:lineRule="exact"/>
              <w:jc w:val="center"/>
              <w:rPr>
                <w:rFonts w:hint="eastAsia" w:ascii="宋体" w:hAnsi="宋体" w:eastAsia="宋体" w:cs="宋体"/>
                <w:color w:val="auto"/>
                <w:szCs w:val="21"/>
              </w:rPr>
            </w:pPr>
          </w:p>
        </w:tc>
        <w:tc>
          <w:tcPr>
            <w:tcW w:w="1280" w:type="dxa"/>
            <w:vAlign w:val="center"/>
          </w:tcPr>
          <w:p w14:paraId="0D7A0BFC">
            <w:pPr>
              <w:spacing w:line="360" w:lineRule="exact"/>
              <w:jc w:val="center"/>
              <w:rPr>
                <w:rFonts w:hint="eastAsia" w:ascii="宋体" w:hAnsi="宋体" w:eastAsia="宋体" w:cs="宋体"/>
                <w:color w:val="auto"/>
                <w:szCs w:val="21"/>
              </w:rPr>
            </w:pPr>
          </w:p>
        </w:tc>
      </w:tr>
      <w:tr w14:paraId="1765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6EA01876">
            <w:pPr>
              <w:spacing w:line="360" w:lineRule="exact"/>
              <w:jc w:val="center"/>
              <w:rPr>
                <w:rFonts w:hint="eastAsia" w:ascii="宋体" w:hAnsi="宋体" w:eastAsia="宋体" w:cs="宋体"/>
                <w:color w:val="auto"/>
                <w:szCs w:val="21"/>
              </w:rPr>
            </w:pPr>
          </w:p>
        </w:tc>
        <w:tc>
          <w:tcPr>
            <w:tcW w:w="1280" w:type="dxa"/>
            <w:vAlign w:val="center"/>
          </w:tcPr>
          <w:p w14:paraId="7D18F3B2">
            <w:pPr>
              <w:spacing w:line="360" w:lineRule="exact"/>
              <w:jc w:val="center"/>
              <w:rPr>
                <w:rFonts w:hint="eastAsia" w:ascii="宋体" w:hAnsi="宋体" w:eastAsia="宋体" w:cs="宋体"/>
                <w:color w:val="auto"/>
                <w:szCs w:val="21"/>
              </w:rPr>
            </w:pPr>
          </w:p>
        </w:tc>
        <w:tc>
          <w:tcPr>
            <w:tcW w:w="1280" w:type="dxa"/>
            <w:vAlign w:val="center"/>
          </w:tcPr>
          <w:p w14:paraId="1E211CEB">
            <w:pPr>
              <w:spacing w:line="360" w:lineRule="exact"/>
              <w:jc w:val="center"/>
              <w:rPr>
                <w:rFonts w:hint="eastAsia" w:ascii="宋体" w:hAnsi="宋体" w:eastAsia="宋体" w:cs="宋体"/>
                <w:color w:val="auto"/>
                <w:szCs w:val="21"/>
              </w:rPr>
            </w:pPr>
          </w:p>
        </w:tc>
        <w:tc>
          <w:tcPr>
            <w:tcW w:w="1279" w:type="dxa"/>
            <w:vAlign w:val="center"/>
          </w:tcPr>
          <w:p w14:paraId="4E8E92F7">
            <w:pPr>
              <w:spacing w:line="360" w:lineRule="exact"/>
              <w:jc w:val="center"/>
              <w:rPr>
                <w:rFonts w:hint="eastAsia" w:ascii="宋体" w:hAnsi="宋体" w:eastAsia="宋体" w:cs="宋体"/>
                <w:color w:val="auto"/>
                <w:szCs w:val="21"/>
              </w:rPr>
            </w:pPr>
          </w:p>
        </w:tc>
        <w:tc>
          <w:tcPr>
            <w:tcW w:w="1280" w:type="dxa"/>
            <w:vAlign w:val="center"/>
          </w:tcPr>
          <w:p w14:paraId="043E544C">
            <w:pPr>
              <w:spacing w:line="360" w:lineRule="exact"/>
              <w:jc w:val="center"/>
              <w:rPr>
                <w:rFonts w:hint="eastAsia" w:ascii="宋体" w:hAnsi="宋体" w:eastAsia="宋体" w:cs="宋体"/>
                <w:color w:val="auto"/>
                <w:szCs w:val="21"/>
              </w:rPr>
            </w:pPr>
          </w:p>
        </w:tc>
        <w:tc>
          <w:tcPr>
            <w:tcW w:w="1280" w:type="dxa"/>
            <w:vAlign w:val="center"/>
          </w:tcPr>
          <w:p w14:paraId="5DEEECAD">
            <w:pPr>
              <w:spacing w:line="360" w:lineRule="exact"/>
              <w:jc w:val="center"/>
              <w:rPr>
                <w:rFonts w:hint="eastAsia" w:ascii="宋体" w:hAnsi="宋体" w:eastAsia="宋体" w:cs="宋体"/>
                <w:color w:val="auto"/>
                <w:szCs w:val="21"/>
              </w:rPr>
            </w:pPr>
          </w:p>
        </w:tc>
        <w:tc>
          <w:tcPr>
            <w:tcW w:w="1280" w:type="dxa"/>
            <w:vAlign w:val="center"/>
          </w:tcPr>
          <w:p w14:paraId="613012F6">
            <w:pPr>
              <w:spacing w:line="360" w:lineRule="exact"/>
              <w:jc w:val="center"/>
              <w:rPr>
                <w:rFonts w:hint="eastAsia" w:ascii="宋体" w:hAnsi="宋体" w:eastAsia="宋体" w:cs="宋体"/>
                <w:color w:val="auto"/>
                <w:szCs w:val="21"/>
              </w:rPr>
            </w:pPr>
          </w:p>
        </w:tc>
      </w:tr>
      <w:tr w14:paraId="7BB5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09D8A325">
            <w:pPr>
              <w:spacing w:line="360" w:lineRule="exact"/>
              <w:jc w:val="center"/>
              <w:rPr>
                <w:rFonts w:hint="eastAsia" w:ascii="宋体" w:hAnsi="宋体" w:eastAsia="宋体" w:cs="宋体"/>
                <w:color w:val="auto"/>
                <w:szCs w:val="21"/>
              </w:rPr>
            </w:pPr>
          </w:p>
        </w:tc>
        <w:tc>
          <w:tcPr>
            <w:tcW w:w="1280" w:type="dxa"/>
            <w:vAlign w:val="center"/>
          </w:tcPr>
          <w:p w14:paraId="622B12C8">
            <w:pPr>
              <w:spacing w:line="360" w:lineRule="exact"/>
              <w:jc w:val="center"/>
              <w:rPr>
                <w:rFonts w:hint="eastAsia" w:ascii="宋体" w:hAnsi="宋体" w:eastAsia="宋体" w:cs="宋体"/>
                <w:color w:val="auto"/>
                <w:szCs w:val="21"/>
              </w:rPr>
            </w:pPr>
          </w:p>
        </w:tc>
        <w:tc>
          <w:tcPr>
            <w:tcW w:w="1280" w:type="dxa"/>
            <w:vAlign w:val="center"/>
          </w:tcPr>
          <w:p w14:paraId="5FAEC94D">
            <w:pPr>
              <w:spacing w:line="360" w:lineRule="exact"/>
              <w:jc w:val="center"/>
              <w:rPr>
                <w:rFonts w:hint="eastAsia" w:ascii="宋体" w:hAnsi="宋体" w:eastAsia="宋体" w:cs="宋体"/>
                <w:color w:val="auto"/>
                <w:szCs w:val="21"/>
              </w:rPr>
            </w:pPr>
          </w:p>
        </w:tc>
        <w:tc>
          <w:tcPr>
            <w:tcW w:w="1279" w:type="dxa"/>
            <w:vAlign w:val="center"/>
          </w:tcPr>
          <w:p w14:paraId="7261CD2F">
            <w:pPr>
              <w:spacing w:line="360" w:lineRule="exact"/>
              <w:jc w:val="center"/>
              <w:rPr>
                <w:rFonts w:hint="eastAsia" w:ascii="宋体" w:hAnsi="宋体" w:eastAsia="宋体" w:cs="宋体"/>
                <w:color w:val="auto"/>
                <w:szCs w:val="21"/>
              </w:rPr>
            </w:pPr>
          </w:p>
        </w:tc>
        <w:tc>
          <w:tcPr>
            <w:tcW w:w="1280" w:type="dxa"/>
            <w:vAlign w:val="center"/>
          </w:tcPr>
          <w:p w14:paraId="6BA982E1">
            <w:pPr>
              <w:spacing w:line="360" w:lineRule="exact"/>
              <w:jc w:val="center"/>
              <w:rPr>
                <w:rFonts w:hint="eastAsia" w:ascii="宋体" w:hAnsi="宋体" w:eastAsia="宋体" w:cs="宋体"/>
                <w:color w:val="auto"/>
                <w:szCs w:val="21"/>
              </w:rPr>
            </w:pPr>
          </w:p>
        </w:tc>
        <w:tc>
          <w:tcPr>
            <w:tcW w:w="1280" w:type="dxa"/>
            <w:vAlign w:val="center"/>
          </w:tcPr>
          <w:p w14:paraId="50F54EC7">
            <w:pPr>
              <w:spacing w:line="360" w:lineRule="exact"/>
              <w:jc w:val="center"/>
              <w:rPr>
                <w:rFonts w:hint="eastAsia" w:ascii="宋体" w:hAnsi="宋体" w:eastAsia="宋体" w:cs="宋体"/>
                <w:color w:val="auto"/>
                <w:szCs w:val="21"/>
              </w:rPr>
            </w:pPr>
          </w:p>
        </w:tc>
        <w:tc>
          <w:tcPr>
            <w:tcW w:w="1280" w:type="dxa"/>
            <w:vAlign w:val="center"/>
          </w:tcPr>
          <w:p w14:paraId="6A7C2E1C">
            <w:pPr>
              <w:spacing w:line="360" w:lineRule="exact"/>
              <w:jc w:val="center"/>
              <w:rPr>
                <w:rFonts w:hint="eastAsia" w:ascii="宋体" w:hAnsi="宋体" w:eastAsia="宋体" w:cs="宋体"/>
                <w:color w:val="auto"/>
                <w:szCs w:val="21"/>
              </w:rPr>
            </w:pPr>
          </w:p>
        </w:tc>
      </w:tr>
      <w:tr w14:paraId="0F83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3C4ED346">
            <w:pPr>
              <w:spacing w:line="360" w:lineRule="exact"/>
              <w:jc w:val="center"/>
              <w:rPr>
                <w:rFonts w:hint="eastAsia" w:ascii="宋体" w:hAnsi="宋体" w:eastAsia="宋体" w:cs="宋体"/>
                <w:color w:val="auto"/>
                <w:szCs w:val="21"/>
              </w:rPr>
            </w:pPr>
          </w:p>
        </w:tc>
        <w:tc>
          <w:tcPr>
            <w:tcW w:w="1280" w:type="dxa"/>
            <w:vAlign w:val="center"/>
          </w:tcPr>
          <w:p w14:paraId="322EC130">
            <w:pPr>
              <w:spacing w:line="360" w:lineRule="exact"/>
              <w:jc w:val="center"/>
              <w:rPr>
                <w:rFonts w:hint="eastAsia" w:ascii="宋体" w:hAnsi="宋体" w:eastAsia="宋体" w:cs="宋体"/>
                <w:color w:val="auto"/>
                <w:szCs w:val="21"/>
              </w:rPr>
            </w:pPr>
          </w:p>
        </w:tc>
        <w:tc>
          <w:tcPr>
            <w:tcW w:w="1280" w:type="dxa"/>
            <w:vAlign w:val="center"/>
          </w:tcPr>
          <w:p w14:paraId="39DE7F71">
            <w:pPr>
              <w:spacing w:line="360" w:lineRule="exact"/>
              <w:jc w:val="center"/>
              <w:rPr>
                <w:rFonts w:hint="eastAsia" w:ascii="宋体" w:hAnsi="宋体" w:eastAsia="宋体" w:cs="宋体"/>
                <w:color w:val="auto"/>
                <w:szCs w:val="21"/>
              </w:rPr>
            </w:pPr>
          </w:p>
        </w:tc>
        <w:tc>
          <w:tcPr>
            <w:tcW w:w="1279" w:type="dxa"/>
            <w:vAlign w:val="center"/>
          </w:tcPr>
          <w:p w14:paraId="698F6FA7">
            <w:pPr>
              <w:spacing w:line="360" w:lineRule="exact"/>
              <w:jc w:val="center"/>
              <w:rPr>
                <w:rFonts w:hint="eastAsia" w:ascii="宋体" w:hAnsi="宋体" w:eastAsia="宋体" w:cs="宋体"/>
                <w:color w:val="auto"/>
                <w:szCs w:val="21"/>
              </w:rPr>
            </w:pPr>
          </w:p>
        </w:tc>
        <w:tc>
          <w:tcPr>
            <w:tcW w:w="1280" w:type="dxa"/>
            <w:vAlign w:val="center"/>
          </w:tcPr>
          <w:p w14:paraId="654B994E">
            <w:pPr>
              <w:spacing w:line="360" w:lineRule="exact"/>
              <w:jc w:val="center"/>
              <w:rPr>
                <w:rFonts w:hint="eastAsia" w:ascii="宋体" w:hAnsi="宋体" w:eastAsia="宋体" w:cs="宋体"/>
                <w:color w:val="auto"/>
                <w:szCs w:val="21"/>
              </w:rPr>
            </w:pPr>
          </w:p>
        </w:tc>
        <w:tc>
          <w:tcPr>
            <w:tcW w:w="1280" w:type="dxa"/>
            <w:vAlign w:val="center"/>
          </w:tcPr>
          <w:p w14:paraId="29C4B837">
            <w:pPr>
              <w:spacing w:line="360" w:lineRule="exact"/>
              <w:jc w:val="center"/>
              <w:rPr>
                <w:rFonts w:hint="eastAsia" w:ascii="宋体" w:hAnsi="宋体" w:eastAsia="宋体" w:cs="宋体"/>
                <w:color w:val="auto"/>
                <w:szCs w:val="21"/>
              </w:rPr>
            </w:pPr>
          </w:p>
        </w:tc>
        <w:tc>
          <w:tcPr>
            <w:tcW w:w="1280" w:type="dxa"/>
            <w:vAlign w:val="center"/>
          </w:tcPr>
          <w:p w14:paraId="1FEEEFBD">
            <w:pPr>
              <w:spacing w:line="360" w:lineRule="exact"/>
              <w:jc w:val="center"/>
              <w:rPr>
                <w:rFonts w:hint="eastAsia" w:ascii="宋体" w:hAnsi="宋体" w:eastAsia="宋体" w:cs="宋体"/>
                <w:color w:val="auto"/>
                <w:szCs w:val="21"/>
              </w:rPr>
            </w:pPr>
          </w:p>
        </w:tc>
      </w:tr>
      <w:tr w14:paraId="34869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1279" w:type="dxa"/>
            <w:vAlign w:val="center"/>
          </w:tcPr>
          <w:p w14:paraId="3F307F78">
            <w:pPr>
              <w:spacing w:line="360" w:lineRule="exact"/>
              <w:jc w:val="center"/>
              <w:rPr>
                <w:rFonts w:hint="eastAsia" w:ascii="宋体" w:hAnsi="宋体" w:eastAsia="宋体" w:cs="宋体"/>
                <w:color w:val="auto"/>
                <w:szCs w:val="21"/>
              </w:rPr>
            </w:pPr>
          </w:p>
        </w:tc>
        <w:tc>
          <w:tcPr>
            <w:tcW w:w="1280" w:type="dxa"/>
            <w:vAlign w:val="center"/>
          </w:tcPr>
          <w:p w14:paraId="42BB9524">
            <w:pPr>
              <w:spacing w:line="360" w:lineRule="exact"/>
              <w:jc w:val="center"/>
              <w:rPr>
                <w:rFonts w:hint="eastAsia" w:ascii="宋体" w:hAnsi="宋体" w:eastAsia="宋体" w:cs="宋体"/>
                <w:color w:val="auto"/>
                <w:szCs w:val="21"/>
              </w:rPr>
            </w:pPr>
          </w:p>
        </w:tc>
        <w:tc>
          <w:tcPr>
            <w:tcW w:w="1280" w:type="dxa"/>
            <w:vAlign w:val="center"/>
          </w:tcPr>
          <w:p w14:paraId="48963C0F">
            <w:pPr>
              <w:spacing w:line="360" w:lineRule="exact"/>
              <w:jc w:val="center"/>
              <w:rPr>
                <w:rFonts w:hint="eastAsia" w:ascii="宋体" w:hAnsi="宋体" w:eastAsia="宋体" w:cs="宋体"/>
                <w:color w:val="auto"/>
                <w:szCs w:val="21"/>
              </w:rPr>
            </w:pPr>
          </w:p>
        </w:tc>
        <w:tc>
          <w:tcPr>
            <w:tcW w:w="1279" w:type="dxa"/>
            <w:vAlign w:val="center"/>
          </w:tcPr>
          <w:p w14:paraId="419B809B">
            <w:pPr>
              <w:spacing w:line="360" w:lineRule="exact"/>
              <w:jc w:val="center"/>
              <w:rPr>
                <w:rFonts w:hint="eastAsia" w:ascii="宋体" w:hAnsi="宋体" w:eastAsia="宋体" w:cs="宋体"/>
                <w:color w:val="auto"/>
                <w:szCs w:val="21"/>
              </w:rPr>
            </w:pPr>
          </w:p>
        </w:tc>
        <w:tc>
          <w:tcPr>
            <w:tcW w:w="1280" w:type="dxa"/>
            <w:vAlign w:val="center"/>
          </w:tcPr>
          <w:p w14:paraId="314991E2">
            <w:pPr>
              <w:spacing w:line="360" w:lineRule="exact"/>
              <w:jc w:val="center"/>
              <w:rPr>
                <w:rFonts w:hint="eastAsia" w:ascii="宋体" w:hAnsi="宋体" w:eastAsia="宋体" w:cs="宋体"/>
                <w:color w:val="auto"/>
                <w:szCs w:val="21"/>
              </w:rPr>
            </w:pPr>
          </w:p>
        </w:tc>
        <w:tc>
          <w:tcPr>
            <w:tcW w:w="1280" w:type="dxa"/>
            <w:vAlign w:val="center"/>
          </w:tcPr>
          <w:p w14:paraId="16855951">
            <w:pPr>
              <w:spacing w:line="360" w:lineRule="exact"/>
              <w:jc w:val="center"/>
              <w:rPr>
                <w:rFonts w:hint="eastAsia" w:ascii="宋体" w:hAnsi="宋体" w:eastAsia="宋体" w:cs="宋体"/>
                <w:color w:val="auto"/>
                <w:szCs w:val="21"/>
              </w:rPr>
            </w:pPr>
          </w:p>
        </w:tc>
        <w:tc>
          <w:tcPr>
            <w:tcW w:w="1280" w:type="dxa"/>
            <w:vAlign w:val="center"/>
          </w:tcPr>
          <w:p w14:paraId="41CE663B">
            <w:pPr>
              <w:spacing w:line="360" w:lineRule="exact"/>
              <w:jc w:val="center"/>
              <w:rPr>
                <w:rFonts w:hint="eastAsia" w:ascii="宋体" w:hAnsi="宋体" w:eastAsia="宋体" w:cs="宋体"/>
                <w:color w:val="auto"/>
                <w:szCs w:val="21"/>
              </w:rPr>
            </w:pPr>
          </w:p>
        </w:tc>
      </w:tr>
    </w:tbl>
    <w:p w14:paraId="771910E0">
      <w:pPr>
        <w:spacing w:line="480" w:lineRule="exact"/>
        <w:ind w:left="422" w:hanging="422" w:hangingChars="200"/>
        <w:rPr>
          <w:rFonts w:hint="eastAsia" w:ascii="宋体" w:hAnsi="宋体" w:eastAsia="宋体" w:cs="宋体"/>
          <w:b/>
          <w:bCs/>
          <w:color w:val="auto"/>
          <w:szCs w:val="21"/>
        </w:rPr>
      </w:pPr>
      <w:bookmarkStart w:id="220" w:name="_Toc15594_WPSOffice_Level2"/>
      <w:r>
        <w:rPr>
          <w:rFonts w:hint="eastAsia" w:ascii="宋体" w:hAnsi="宋体" w:eastAsia="宋体" w:cs="宋体"/>
          <w:b/>
          <w:bCs/>
          <w:color w:val="auto"/>
          <w:szCs w:val="21"/>
        </w:rPr>
        <w:t>注：附身份证等证明文件。</w:t>
      </w:r>
      <w:bookmarkEnd w:id="220"/>
    </w:p>
    <w:p w14:paraId="2D64DCC5">
      <w:pPr>
        <w:spacing w:line="360" w:lineRule="exact"/>
        <w:rPr>
          <w:rFonts w:hint="eastAsia" w:ascii="宋体" w:hAnsi="宋体" w:eastAsia="宋体" w:cs="宋体"/>
          <w:color w:val="auto"/>
        </w:rPr>
      </w:pPr>
    </w:p>
    <w:p w14:paraId="5493E454">
      <w:pPr>
        <w:rPr>
          <w:rFonts w:hint="eastAsia" w:ascii="宋体" w:hAnsi="宋体" w:eastAsia="宋体" w:cs="宋体"/>
          <w:color w:val="auto"/>
          <w:szCs w:val="21"/>
        </w:rPr>
      </w:pPr>
    </w:p>
    <w:p w14:paraId="0A111CD8">
      <w:pPr>
        <w:pStyle w:val="14"/>
        <w:adjustRightInd w:val="0"/>
        <w:snapToGrid w:val="0"/>
        <w:spacing w:line="360" w:lineRule="auto"/>
        <w:rPr>
          <w:rFonts w:hint="eastAsia" w:ascii="宋体" w:hAnsi="宋体" w:eastAsia="宋体" w:cs="宋体"/>
          <w:bCs/>
          <w:color w:val="auto"/>
          <w:sz w:val="21"/>
          <w:szCs w:val="21"/>
        </w:rPr>
      </w:pPr>
      <w:r>
        <w:rPr>
          <w:rFonts w:hint="eastAsia" w:ascii="宋体" w:hAnsi="宋体" w:eastAsia="宋体" w:cs="宋体"/>
          <w:color w:val="auto"/>
          <w:sz w:val="21"/>
          <w:szCs w:val="21"/>
        </w:rPr>
        <w:t>供应商名称：</w:t>
      </w:r>
      <w:r>
        <w:rPr>
          <w:rFonts w:hint="eastAsia" w:ascii="宋体" w:hAnsi="宋体" w:eastAsia="宋体" w:cs="宋体"/>
          <w:color w:val="auto"/>
          <w:sz w:val="21"/>
          <w:szCs w:val="21"/>
          <w:u w:val="single"/>
        </w:rPr>
        <w:t xml:space="preserve">                </w:t>
      </w:r>
    </w:p>
    <w:p w14:paraId="687535D9">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1C32DCB1">
      <w:pPr>
        <w:spacing w:line="360" w:lineRule="exact"/>
        <w:rPr>
          <w:rFonts w:hint="eastAsia" w:ascii="宋体" w:hAnsi="宋体" w:eastAsia="宋体" w:cs="宋体"/>
          <w:color w:val="auto"/>
          <w:szCs w:val="21"/>
        </w:rPr>
      </w:pPr>
      <w:r>
        <w:rPr>
          <w:rFonts w:hint="eastAsia" w:ascii="宋体" w:hAnsi="宋体" w:eastAsia="宋体" w:cs="宋体"/>
          <w:color w:val="auto"/>
          <w:szCs w:val="21"/>
        </w:rPr>
        <w:t xml:space="preserve">日期：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02CF5A01">
      <w:pPr>
        <w:tabs>
          <w:tab w:val="left" w:pos="2011"/>
          <w:tab w:val="center" w:pos="4213"/>
        </w:tabs>
        <w:adjustRightInd w:val="0"/>
        <w:snapToGrid w:val="0"/>
        <w:jc w:val="left"/>
        <w:rPr>
          <w:rFonts w:hint="eastAsia" w:ascii="宋体" w:hAnsi="宋体" w:eastAsia="宋体" w:cs="宋体"/>
          <w:color w:val="auto"/>
          <w:szCs w:val="21"/>
        </w:rPr>
        <w:sectPr>
          <w:footerReference r:id="rId5" w:type="first"/>
          <w:footerReference r:id="rId4" w:type="default"/>
          <w:pgSz w:w="11906" w:h="16838"/>
          <w:pgMar w:top="1440" w:right="1800" w:bottom="1118" w:left="1800" w:header="851" w:footer="992" w:gutter="0"/>
          <w:pgBorders>
            <w:top w:val="none" w:sz="0" w:space="0"/>
            <w:left w:val="none" w:sz="0" w:space="0"/>
            <w:bottom w:val="none" w:sz="0" w:space="0"/>
            <w:right w:val="none" w:sz="0" w:space="0"/>
          </w:pgBorders>
          <w:cols w:space="720" w:num="1"/>
          <w:titlePg/>
          <w:docGrid w:linePitch="312" w:charSpace="0"/>
        </w:sectPr>
      </w:pPr>
      <w:r>
        <w:rPr>
          <w:rFonts w:hint="eastAsia" w:ascii="宋体" w:hAnsi="宋体" w:eastAsia="宋体" w:cs="宋体"/>
          <w:color w:val="auto"/>
          <w:szCs w:val="21"/>
        </w:rPr>
        <w:br w:type="page"/>
      </w:r>
    </w:p>
    <w:p w14:paraId="57D24D5C">
      <w:pPr>
        <w:tabs>
          <w:tab w:val="left" w:pos="2011"/>
          <w:tab w:val="center" w:pos="4213"/>
        </w:tabs>
        <w:adjustRightInd w:val="0"/>
        <w:snapToGrid w:val="0"/>
        <w:jc w:val="center"/>
        <w:outlineLvl w:val="1"/>
        <w:rPr>
          <w:rFonts w:hint="eastAsia" w:ascii="宋体" w:hAnsi="宋体" w:eastAsia="宋体" w:cs="宋体"/>
          <w:b/>
          <w:color w:val="auto"/>
          <w:sz w:val="32"/>
          <w:szCs w:val="32"/>
        </w:rPr>
      </w:pPr>
      <w:bookmarkStart w:id="221" w:name="_Toc21465"/>
      <w:bookmarkStart w:id="222" w:name="_Toc7091"/>
      <w:bookmarkStart w:id="223" w:name="_Toc10556_WPSOffice_Level1"/>
      <w:r>
        <w:rPr>
          <w:rFonts w:hint="eastAsia" w:ascii="宋体" w:hAnsi="宋体" w:eastAsia="宋体" w:cs="宋体"/>
          <w:b/>
          <w:color w:val="auto"/>
          <w:sz w:val="32"/>
          <w:szCs w:val="32"/>
        </w:rPr>
        <w:t>五、技术/商务响应与偏离表</w:t>
      </w:r>
      <w:bookmarkEnd w:id="221"/>
      <w:bookmarkEnd w:id="222"/>
      <w:bookmarkEnd w:id="223"/>
    </w:p>
    <w:p w14:paraId="1986A286">
      <w:pPr>
        <w:adjustRightInd w:val="0"/>
        <w:snapToGrid w:val="0"/>
        <w:ind w:firstLine="420" w:firstLineChars="200"/>
        <w:rPr>
          <w:rFonts w:hint="eastAsia" w:ascii="宋体" w:hAnsi="宋体" w:eastAsia="宋体" w:cs="宋体"/>
          <w:color w:val="auto"/>
          <w:szCs w:val="21"/>
          <w:u w:val="single"/>
        </w:rPr>
      </w:pPr>
    </w:p>
    <w:tbl>
      <w:tblPr>
        <w:tblStyle w:val="2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1015"/>
        <w:gridCol w:w="2700"/>
        <w:gridCol w:w="3123"/>
        <w:gridCol w:w="4168"/>
        <w:gridCol w:w="1858"/>
        <w:gridCol w:w="1154"/>
      </w:tblGrid>
      <w:tr w14:paraId="1C09AE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6" w:hRule="atLeast"/>
          <w:jc w:val="center"/>
        </w:trPr>
        <w:tc>
          <w:tcPr>
            <w:tcW w:w="1015" w:type="dxa"/>
            <w:vAlign w:val="center"/>
          </w:tcPr>
          <w:p w14:paraId="63AC1C17">
            <w:pPr>
              <w:adjustRightInd w:val="0"/>
              <w:snapToGrid w:val="0"/>
              <w:jc w:val="center"/>
              <w:rPr>
                <w:rFonts w:hint="eastAsia" w:ascii="宋体" w:hAnsi="宋体" w:eastAsia="宋体" w:cs="宋体"/>
                <w:bCs/>
                <w:color w:val="auto"/>
                <w:szCs w:val="21"/>
              </w:rPr>
            </w:pPr>
            <w:r>
              <w:rPr>
                <w:rFonts w:hint="eastAsia" w:ascii="宋体" w:hAnsi="宋体" w:eastAsia="宋体" w:cs="宋体"/>
                <w:bCs/>
                <w:color w:val="auto"/>
                <w:szCs w:val="21"/>
              </w:rPr>
              <w:t>序号</w:t>
            </w:r>
          </w:p>
        </w:tc>
        <w:tc>
          <w:tcPr>
            <w:tcW w:w="2700" w:type="dxa"/>
            <w:vAlign w:val="center"/>
          </w:tcPr>
          <w:p w14:paraId="4292B19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磋商文件</w:t>
            </w:r>
            <w:r>
              <w:rPr>
                <w:rFonts w:hint="eastAsia" w:ascii="宋体" w:hAnsi="宋体" w:eastAsia="宋体" w:cs="宋体"/>
                <w:color w:val="auto"/>
                <w:szCs w:val="21"/>
              </w:rPr>
              <w:t>条目号</w:t>
            </w:r>
          </w:p>
        </w:tc>
        <w:tc>
          <w:tcPr>
            <w:tcW w:w="3123" w:type="dxa"/>
            <w:vAlign w:val="center"/>
          </w:tcPr>
          <w:p w14:paraId="4C50379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磋商文件</w:t>
            </w:r>
            <w:r>
              <w:rPr>
                <w:rFonts w:hint="eastAsia" w:ascii="宋体" w:hAnsi="宋体" w:eastAsia="宋体" w:cs="宋体"/>
                <w:color w:val="auto"/>
                <w:szCs w:val="21"/>
              </w:rPr>
              <w:t>的技术要求/商务条款</w:t>
            </w:r>
          </w:p>
        </w:tc>
        <w:tc>
          <w:tcPr>
            <w:tcW w:w="4168" w:type="dxa"/>
            <w:vAlign w:val="center"/>
          </w:tcPr>
          <w:p w14:paraId="4D87DFDF">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响应文件的技术响应/商务条款</w:t>
            </w:r>
          </w:p>
        </w:tc>
        <w:tc>
          <w:tcPr>
            <w:tcW w:w="1858" w:type="dxa"/>
            <w:vAlign w:val="center"/>
          </w:tcPr>
          <w:p w14:paraId="7CE362A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响应与偏离</w:t>
            </w:r>
          </w:p>
        </w:tc>
        <w:tc>
          <w:tcPr>
            <w:tcW w:w="1154" w:type="dxa"/>
            <w:vAlign w:val="center"/>
          </w:tcPr>
          <w:p w14:paraId="0969504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说明</w:t>
            </w:r>
          </w:p>
        </w:tc>
      </w:tr>
      <w:tr w14:paraId="02413D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39" w:hRule="atLeast"/>
          <w:jc w:val="center"/>
        </w:trPr>
        <w:tc>
          <w:tcPr>
            <w:tcW w:w="1015" w:type="dxa"/>
          </w:tcPr>
          <w:p w14:paraId="17BC76AF">
            <w:pPr>
              <w:adjustRightInd w:val="0"/>
              <w:snapToGrid w:val="0"/>
              <w:ind w:firstLine="420" w:firstLineChars="200"/>
              <w:jc w:val="center"/>
              <w:rPr>
                <w:rFonts w:hint="eastAsia" w:ascii="宋体" w:hAnsi="宋体" w:eastAsia="宋体" w:cs="宋体"/>
                <w:color w:val="auto"/>
                <w:szCs w:val="21"/>
              </w:rPr>
            </w:pPr>
          </w:p>
        </w:tc>
        <w:tc>
          <w:tcPr>
            <w:tcW w:w="2700" w:type="dxa"/>
            <w:vAlign w:val="center"/>
          </w:tcPr>
          <w:p w14:paraId="13000C66">
            <w:pPr>
              <w:adjustRightInd w:val="0"/>
              <w:snapToGrid w:val="0"/>
              <w:ind w:firstLine="420" w:firstLineChars="200"/>
              <w:jc w:val="center"/>
              <w:rPr>
                <w:rFonts w:hint="eastAsia" w:ascii="宋体" w:hAnsi="宋体" w:eastAsia="宋体" w:cs="宋体"/>
                <w:color w:val="auto"/>
                <w:szCs w:val="21"/>
              </w:rPr>
            </w:pPr>
          </w:p>
        </w:tc>
        <w:tc>
          <w:tcPr>
            <w:tcW w:w="3123" w:type="dxa"/>
            <w:vAlign w:val="center"/>
          </w:tcPr>
          <w:p w14:paraId="4DF77FD5">
            <w:pPr>
              <w:adjustRightInd w:val="0"/>
              <w:snapToGrid w:val="0"/>
              <w:ind w:firstLine="420" w:firstLineChars="200"/>
              <w:jc w:val="center"/>
              <w:rPr>
                <w:rFonts w:hint="eastAsia" w:ascii="宋体" w:hAnsi="宋体" w:eastAsia="宋体" w:cs="宋体"/>
                <w:color w:val="auto"/>
                <w:szCs w:val="21"/>
              </w:rPr>
            </w:pPr>
          </w:p>
        </w:tc>
        <w:tc>
          <w:tcPr>
            <w:tcW w:w="4168" w:type="dxa"/>
            <w:vAlign w:val="center"/>
          </w:tcPr>
          <w:p w14:paraId="503F7321">
            <w:pPr>
              <w:adjustRightInd w:val="0"/>
              <w:snapToGrid w:val="0"/>
              <w:ind w:firstLine="420" w:firstLineChars="200"/>
              <w:jc w:val="center"/>
              <w:rPr>
                <w:rFonts w:hint="eastAsia" w:ascii="宋体" w:hAnsi="宋体" w:eastAsia="宋体" w:cs="宋体"/>
                <w:color w:val="auto"/>
                <w:szCs w:val="21"/>
              </w:rPr>
            </w:pPr>
          </w:p>
        </w:tc>
        <w:tc>
          <w:tcPr>
            <w:tcW w:w="1858" w:type="dxa"/>
            <w:vAlign w:val="center"/>
          </w:tcPr>
          <w:p w14:paraId="57B49FD0">
            <w:pPr>
              <w:adjustRightInd w:val="0"/>
              <w:snapToGrid w:val="0"/>
              <w:ind w:firstLine="420" w:firstLineChars="200"/>
              <w:jc w:val="center"/>
              <w:rPr>
                <w:rFonts w:hint="eastAsia" w:ascii="宋体" w:hAnsi="宋体" w:eastAsia="宋体" w:cs="宋体"/>
                <w:color w:val="auto"/>
                <w:szCs w:val="21"/>
              </w:rPr>
            </w:pPr>
          </w:p>
        </w:tc>
        <w:tc>
          <w:tcPr>
            <w:tcW w:w="1154" w:type="dxa"/>
            <w:vAlign w:val="center"/>
          </w:tcPr>
          <w:p w14:paraId="2FB59494">
            <w:pPr>
              <w:adjustRightInd w:val="0"/>
              <w:snapToGrid w:val="0"/>
              <w:ind w:firstLine="420" w:firstLineChars="200"/>
              <w:jc w:val="center"/>
              <w:rPr>
                <w:rFonts w:hint="eastAsia" w:ascii="宋体" w:hAnsi="宋体" w:eastAsia="宋体" w:cs="宋体"/>
                <w:color w:val="auto"/>
                <w:szCs w:val="21"/>
              </w:rPr>
            </w:pPr>
          </w:p>
        </w:tc>
      </w:tr>
      <w:tr w14:paraId="1749A9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39" w:hRule="atLeast"/>
          <w:jc w:val="center"/>
        </w:trPr>
        <w:tc>
          <w:tcPr>
            <w:tcW w:w="1015" w:type="dxa"/>
          </w:tcPr>
          <w:p w14:paraId="635C8564">
            <w:pPr>
              <w:adjustRightInd w:val="0"/>
              <w:snapToGrid w:val="0"/>
              <w:ind w:firstLine="420" w:firstLineChars="200"/>
              <w:jc w:val="center"/>
              <w:rPr>
                <w:rFonts w:hint="eastAsia" w:ascii="宋体" w:hAnsi="宋体" w:eastAsia="宋体" w:cs="宋体"/>
                <w:color w:val="auto"/>
                <w:szCs w:val="21"/>
              </w:rPr>
            </w:pPr>
          </w:p>
        </w:tc>
        <w:tc>
          <w:tcPr>
            <w:tcW w:w="2700" w:type="dxa"/>
            <w:vAlign w:val="center"/>
          </w:tcPr>
          <w:p w14:paraId="52D94918">
            <w:pPr>
              <w:pStyle w:val="63"/>
              <w:jc w:val="center"/>
              <w:rPr>
                <w:rFonts w:hint="eastAsia" w:ascii="宋体" w:hAnsi="宋体" w:eastAsia="宋体" w:cs="宋体"/>
                <w:color w:val="auto"/>
                <w:szCs w:val="21"/>
              </w:rPr>
            </w:pPr>
            <w:r>
              <w:rPr>
                <w:rFonts w:hint="eastAsia" w:ascii="宋体" w:hAnsi="宋体" w:eastAsia="宋体" w:cs="宋体"/>
                <w:color w:val="auto"/>
                <w:kern w:val="2"/>
                <w:sz w:val="21"/>
                <w:szCs w:val="21"/>
              </w:rPr>
              <w:t xml:space="preserve"> </w:t>
            </w:r>
          </w:p>
        </w:tc>
        <w:tc>
          <w:tcPr>
            <w:tcW w:w="3123" w:type="dxa"/>
            <w:vAlign w:val="center"/>
          </w:tcPr>
          <w:p w14:paraId="56377A0C">
            <w:pPr>
              <w:pStyle w:val="63"/>
              <w:jc w:val="center"/>
              <w:rPr>
                <w:rFonts w:hint="eastAsia" w:ascii="宋体" w:hAnsi="宋体" w:eastAsia="宋体" w:cs="宋体"/>
                <w:color w:val="auto"/>
                <w:szCs w:val="21"/>
              </w:rPr>
            </w:pPr>
            <w:r>
              <w:rPr>
                <w:rFonts w:hint="eastAsia" w:ascii="宋体" w:hAnsi="宋体" w:eastAsia="宋体" w:cs="宋体"/>
                <w:color w:val="auto"/>
                <w:kern w:val="2"/>
                <w:sz w:val="21"/>
                <w:szCs w:val="21"/>
              </w:rPr>
              <w:t xml:space="preserve"> </w:t>
            </w:r>
          </w:p>
        </w:tc>
        <w:tc>
          <w:tcPr>
            <w:tcW w:w="4168" w:type="dxa"/>
            <w:vAlign w:val="center"/>
          </w:tcPr>
          <w:p w14:paraId="54036893">
            <w:pPr>
              <w:pStyle w:val="63"/>
              <w:jc w:val="center"/>
              <w:rPr>
                <w:rFonts w:hint="eastAsia" w:ascii="宋体" w:hAnsi="宋体" w:eastAsia="宋体" w:cs="宋体"/>
                <w:color w:val="auto"/>
                <w:szCs w:val="21"/>
              </w:rPr>
            </w:pPr>
          </w:p>
        </w:tc>
        <w:tc>
          <w:tcPr>
            <w:tcW w:w="1858" w:type="dxa"/>
            <w:vAlign w:val="center"/>
          </w:tcPr>
          <w:p w14:paraId="40D098AA">
            <w:pPr>
              <w:adjustRightInd w:val="0"/>
              <w:snapToGrid w:val="0"/>
              <w:ind w:firstLine="420" w:firstLineChars="200"/>
              <w:jc w:val="center"/>
              <w:rPr>
                <w:rFonts w:hint="eastAsia" w:ascii="宋体" w:hAnsi="宋体" w:eastAsia="宋体" w:cs="宋体"/>
                <w:color w:val="auto"/>
                <w:szCs w:val="21"/>
              </w:rPr>
            </w:pPr>
          </w:p>
        </w:tc>
        <w:tc>
          <w:tcPr>
            <w:tcW w:w="1154" w:type="dxa"/>
            <w:vAlign w:val="center"/>
          </w:tcPr>
          <w:p w14:paraId="5B3A5892">
            <w:pPr>
              <w:adjustRightInd w:val="0"/>
              <w:snapToGrid w:val="0"/>
              <w:ind w:firstLine="420" w:firstLineChars="200"/>
              <w:jc w:val="center"/>
              <w:rPr>
                <w:rFonts w:hint="eastAsia" w:ascii="宋体" w:hAnsi="宋体" w:eastAsia="宋体" w:cs="宋体"/>
                <w:color w:val="auto"/>
                <w:szCs w:val="21"/>
              </w:rPr>
            </w:pPr>
          </w:p>
        </w:tc>
      </w:tr>
      <w:tr w14:paraId="3298DD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39" w:hRule="atLeast"/>
          <w:jc w:val="center"/>
        </w:trPr>
        <w:tc>
          <w:tcPr>
            <w:tcW w:w="1015" w:type="dxa"/>
          </w:tcPr>
          <w:p w14:paraId="5E2F546E">
            <w:pPr>
              <w:adjustRightInd w:val="0"/>
              <w:snapToGrid w:val="0"/>
              <w:ind w:firstLine="420" w:firstLineChars="200"/>
              <w:jc w:val="center"/>
              <w:rPr>
                <w:rFonts w:hint="eastAsia" w:ascii="宋体" w:hAnsi="宋体" w:eastAsia="宋体" w:cs="宋体"/>
                <w:color w:val="auto"/>
                <w:szCs w:val="21"/>
              </w:rPr>
            </w:pPr>
          </w:p>
        </w:tc>
        <w:tc>
          <w:tcPr>
            <w:tcW w:w="2700" w:type="dxa"/>
            <w:vAlign w:val="center"/>
          </w:tcPr>
          <w:p w14:paraId="1A690625">
            <w:pPr>
              <w:adjustRightInd w:val="0"/>
              <w:snapToGrid w:val="0"/>
              <w:ind w:firstLine="420" w:firstLineChars="200"/>
              <w:jc w:val="center"/>
              <w:rPr>
                <w:rFonts w:hint="eastAsia" w:ascii="宋体" w:hAnsi="宋体" w:eastAsia="宋体" w:cs="宋体"/>
                <w:color w:val="auto"/>
                <w:szCs w:val="21"/>
              </w:rPr>
            </w:pPr>
          </w:p>
        </w:tc>
        <w:tc>
          <w:tcPr>
            <w:tcW w:w="3123" w:type="dxa"/>
            <w:vAlign w:val="center"/>
          </w:tcPr>
          <w:p w14:paraId="562A1A30">
            <w:pPr>
              <w:adjustRightInd w:val="0"/>
              <w:snapToGrid w:val="0"/>
              <w:ind w:firstLine="420" w:firstLineChars="200"/>
              <w:jc w:val="center"/>
              <w:rPr>
                <w:rFonts w:hint="eastAsia" w:ascii="宋体" w:hAnsi="宋体" w:eastAsia="宋体" w:cs="宋体"/>
                <w:color w:val="auto"/>
                <w:szCs w:val="21"/>
              </w:rPr>
            </w:pPr>
          </w:p>
        </w:tc>
        <w:tc>
          <w:tcPr>
            <w:tcW w:w="4168" w:type="dxa"/>
            <w:vAlign w:val="center"/>
          </w:tcPr>
          <w:p w14:paraId="4A408175">
            <w:pPr>
              <w:adjustRightInd w:val="0"/>
              <w:snapToGrid w:val="0"/>
              <w:ind w:firstLine="420" w:firstLineChars="200"/>
              <w:jc w:val="center"/>
              <w:rPr>
                <w:rFonts w:hint="eastAsia" w:ascii="宋体" w:hAnsi="宋体" w:eastAsia="宋体" w:cs="宋体"/>
                <w:color w:val="auto"/>
                <w:szCs w:val="21"/>
              </w:rPr>
            </w:pPr>
          </w:p>
        </w:tc>
        <w:tc>
          <w:tcPr>
            <w:tcW w:w="1858" w:type="dxa"/>
            <w:vAlign w:val="center"/>
          </w:tcPr>
          <w:p w14:paraId="2BB1869C">
            <w:pPr>
              <w:adjustRightInd w:val="0"/>
              <w:snapToGrid w:val="0"/>
              <w:ind w:firstLine="420" w:firstLineChars="200"/>
              <w:jc w:val="center"/>
              <w:rPr>
                <w:rFonts w:hint="eastAsia" w:ascii="宋体" w:hAnsi="宋体" w:eastAsia="宋体" w:cs="宋体"/>
                <w:color w:val="auto"/>
                <w:szCs w:val="21"/>
              </w:rPr>
            </w:pPr>
          </w:p>
        </w:tc>
        <w:tc>
          <w:tcPr>
            <w:tcW w:w="1154" w:type="dxa"/>
            <w:vAlign w:val="center"/>
          </w:tcPr>
          <w:p w14:paraId="6E380AC3">
            <w:pPr>
              <w:adjustRightInd w:val="0"/>
              <w:snapToGrid w:val="0"/>
              <w:ind w:firstLine="420" w:firstLineChars="200"/>
              <w:jc w:val="center"/>
              <w:rPr>
                <w:rFonts w:hint="eastAsia" w:ascii="宋体" w:hAnsi="宋体" w:eastAsia="宋体" w:cs="宋体"/>
                <w:color w:val="auto"/>
                <w:szCs w:val="21"/>
              </w:rPr>
            </w:pPr>
          </w:p>
        </w:tc>
      </w:tr>
      <w:tr w14:paraId="707C0D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39" w:hRule="atLeast"/>
          <w:jc w:val="center"/>
        </w:trPr>
        <w:tc>
          <w:tcPr>
            <w:tcW w:w="1015" w:type="dxa"/>
          </w:tcPr>
          <w:p w14:paraId="354526EF">
            <w:pPr>
              <w:adjustRightInd w:val="0"/>
              <w:snapToGrid w:val="0"/>
              <w:ind w:firstLine="420" w:firstLineChars="200"/>
              <w:jc w:val="center"/>
              <w:rPr>
                <w:rFonts w:hint="eastAsia" w:ascii="宋体" w:hAnsi="宋体" w:eastAsia="宋体" w:cs="宋体"/>
                <w:color w:val="auto"/>
                <w:szCs w:val="21"/>
              </w:rPr>
            </w:pPr>
          </w:p>
        </w:tc>
        <w:tc>
          <w:tcPr>
            <w:tcW w:w="2700" w:type="dxa"/>
            <w:vAlign w:val="center"/>
          </w:tcPr>
          <w:p w14:paraId="7EC67618">
            <w:pPr>
              <w:adjustRightInd w:val="0"/>
              <w:snapToGrid w:val="0"/>
              <w:ind w:firstLine="420" w:firstLineChars="200"/>
              <w:jc w:val="center"/>
              <w:rPr>
                <w:rFonts w:hint="eastAsia" w:ascii="宋体" w:hAnsi="宋体" w:eastAsia="宋体" w:cs="宋体"/>
                <w:color w:val="auto"/>
                <w:szCs w:val="21"/>
              </w:rPr>
            </w:pPr>
          </w:p>
        </w:tc>
        <w:tc>
          <w:tcPr>
            <w:tcW w:w="3123" w:type="dxa"/>
            <w:vAlign w:val="center"/>
          </w:tcPr>
          <w:p w14:paraId="7E0F1C75">
            <w:pPr>
              <w:adjustRightInd w:val="0"/>
              <w:snapToGrid w:val="0"/>
              <w:ind w:firstLine="420" w:firstLineChars="200"/>
              <w:jc w:val="center"/>
              <w:rPr>
                <w:rFonts w:hint="eastAsia" w:ascii="宋体" w:hAnsi="宋体" w:eastAsia="宋体" w:cs="宋体"/>
                <w:color w:val="auto"/>
                <w:szCs w:val="21"/>
              </w:rPr>
            </w:pPr>
          </w:p>
        </w:tc>
        <w:tc>
          <w:tcPr>
            <w:tcW w:w="4168" w:type="dxa"/>
            <w:vAlign w:val="center"/>
          </w:tcPr>
          <w:p w14:paraId="3075F737">
            <w:pPr>
              <w:adjustRightInd w:val="0"/>
              <w:snapToGrid w:val="0"/>
              <w:ind w:firstLine="420" w:firstLineChars="200"/>
              <w:jc w:val="center"/>
              <w:rPr>
                <w:rFonts w:hint="eastAsia" w:ascii="宋体" w:hAnsi="宋体" w:eastAsia="宋体" w:cs="宋体"/>
                <w:color w:val="auto"/>
                <w:szCs w:val="21"/>
              </w:rPr>
            </w:pPr>
          </w:p>
        </w:tc>
        <w:tc>
          <w:tcPr>
            <w:tcW w:w="1858" w:type="dxa"/>
            <w:vAlign w:val="center"/>
          </w:tcPr>
          <w:p w14:paraId="532BF423">
            <w:pPr>
              <w:adjustRightInd w:val="0"/>
              <w:snapToGrid w:val="0"/>
              <w:ind w:firstLine="420" w:firstLineChars="200"/>
              <w:jc w:val="center"/>
              <w:rPr>
                <w:rFonts w:hint="eastAsia" w:ascii="宋体" w:hAnsi="宋体" w:eastAsia="宋体" w:cs="宋体"/>
                <w:color w:val="auto"/>
                <w:szCs w:val="21"/>
              </w:rPr>
            </w:pPr>
          </w:p>
        </w:tc>
        <w:tc>
          <w:tcPr>
            <w:tcW w:w="1154" w:type="dxa"/>
            <w:vAlign w:val="center"/>
          </w:tcPr>
          <w:p w14:paraId="3BE921CE">
            <w:pPr>
              <w:adjustRightInd w:val="0"/>
              <w:snapToGrid w:val="0"/>
              <w:ind w:firstLine="420" w:firstLineChars="200"/>
              <w:jc w:val="center"/>
              <w:rPr>
                <w:rFonts w:hint="eastAsia" w:ascii="宋体" w:hAnsi="宋体" w:eastAsia="宋体" w:cs="宋体"/>
                <w:color w:val="auto"/>
                <w:szCs w:val="21"/>
              </w:rPr>
            </w:pPr>
          </w:p>
        </w:tc>
      </w:tr>
      <w:tr w14:paraId="553207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8" w:hRule="atLeast"/>
          <w:jc w:val="center"/>
        </w:trPr>
        <w:tc>
          <w:tcPr>
            <w:tcW w:w="1015" w:type="dxa"/>
          </w:tcPr>
          <w:p w14:paraId="0CCC6A74">
            <w:pPr>
              <w:adjustRightInd w:val="0"/>
              <w:snapToGrid w:val="0"/>
              <w:ind w:firstLine="420" w:firstLineChars="200"/>
              <w:jc w:val="center"/>
              <w:rPr>
                <w:rFonts w:hint="eastAsia" w:ascii="宋体" w:hAnsi="宋体" w:eastAsia="宋体" w:cs="宋体"/>
                <w:color w:val="auto"/>
                <w:szCs w:val="21"/>
              </w:rPr>
            </w:pPr>
          </w:p>
        </w:tc>
        <w:tc>
          <w:tcPr>
            <w:tcW w:w="2700" w:type="dxa"/>
            <w:vAlign w:val="center"/>
          </w:tcPr>
          <w:p w14:paraId="18BA82C5">
            <w:pPr>
              <w:adjustRightInd w:val="0"/>
              <w:snapToGrid w:val="0"/>
              <w:ind w:firstLine="420" w:firstLineChars="200"/>
              <w:jc w:val="center"/>
              <w:rPr>
                <w:rFonts w:hint="eastAsia" w:ascii="宋体" w:hAnsi="宋体" w:eastAsia="宋体" w:cs="宋体"/>
                <w:color w:val="auto"/>
                <w:szCs w:val="21"/>
              </w:rPr>
            </w:pPr>
          </w:p>
        </w:tc>
        <w:tc>
          <w:tcPr>
            <w:tcW w:w="3123" w:type="dxa"/>
            <w:vAlign w:val="center"/>
          </w:tcPr>
          <w:p w14:paraId="7F6A3B39">
            <w:pPr>
              <w:adjustRightInd w:val="0"/>
              <w:snapToGrid w:val="0"/>
              <w:ind w:firstLine="420" w:firstLineChars="200"/>
              <w:jc w:val="center"/>
              <w:rPr>
                <w:rFonts w:hint="eastAsia" w:ascii="宋体" w:hAnsi="宋体" w:eastAsia="宋体" w:cs="宋体"/>
                <w:color w:val="auto"/>
                <w:szCs w:val="21"/>
              </w:rPr>
            </w:pPr>
          </w:p>
        </w:tc>
        <w:tc>
          <w:tcPr>
            <w:tcW w:w="4168" w:type="dxa"/>
            <w:vAlign w:val="center"/>
          </w:tcPr>
          <w:p w14:paraId="7ADA0404">
            <w:pPr>
              <w:adjustRightInd w:val="0"/>
              <w:snapToGrid w:val="0"/>
              <w:ind w:firstLine="420" w:firstLineChars="200"/>
              <w:jc w:val="center"/>
              <w:rPr>
                <w:rFonts w:hint="eastAsia" w:ascii="宋体" w:hAnsi="宋体" w:eastAsia="宋体" w:cs="宋体"/>
                <w:color w:val="auto"/>
                <w:szCs w:val="21"/>
              </w:rPr>
            </w:pPr>
          </w:p>
        </w:tc>
        <w:tc>
          <w:tcPr>
            <w:tcW w:w="1858" w:type="dxa"/>
            <w:vAlign w:val="center"/>
          </w:tcPr>
          <w:p w14:paraId="739BC98A">
            <w:pPr>
              <w:adjustRightInd w:val="0"/>
              <w:snapToGrid w:val="0"/>
              <w:ind w:firstLine="420" w:firstLineChars="200"/>
              <w:jc w:val="center"/>
              <w:rPr>
                <w:rFonts w:hint="eastAsia" w:ascii="宋体" w:hAnsi="宋体" w:eastAsia="宋体" w:cs="宋体"/>
                <w:color w:val="auto"/>
                <w:szCs w:val="21"/>
              </w:rPr>
            </w:pPr>
          </w:p>
        </w:tc>
        <w:tc>
          <w:tcPr>
            <w:tcW w:w="1154" w:type="dxa"/>
            <w:vAlign w:val="center"/>
          </w:tcPr>
          <w:p w14:paraId="76AFD8C5">
            <w:pPr>
              <w:adjustRightInd w:val="0"/>
              <w:snapToGrid w:val="0"/>
              <w:ind w:firstLine="420" w:firstLineChars="200"/>
              <w:jc w:val="center"/>
              <w:rPr>
                <w:rFonts w:hint="eastAsia" w:ascii="宋体" w:hAnsi="宋体" w:eastAsia="宋体" w:cs="宋体"/>
                <w:color w:val="auto"/>
                <w:szCs w:val="21"/>
              </w:rPr>
            </w:pPr>
          </w:p>
        </w:tc>
      </w:tr>
    </w:tbl>
    <w:p w14:paraId="1DBC0880">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说明：1、“响应与偏离”应注明“响应”或“偏离”。</w:t>
      </w:r>
    </w:p>
    <w:p w14:paraId="6E03A003">
      <w:pPr>
        <w:adjustRightInd w:val="0"/>
        <w:snapToGrid w:val="0"/>
        <w:spacing w:line="360" w:lineRule="auto"/>
        <w:ind w:firstLine="422" w:firstLineChars="200"/>
        <w:rPr>
          <w:rFonts w:hint="eastAsia" w:ascii="宋体" w:hAnsi="宋体" w:eastAsia="宋体" w:cs="宋体"/>
          <w:color w:val="auto"/>
          <w:szCs w:val="21"/>
        </w:rPr>
      </w:pPr>
      <w:r>
        <w:rPr>
          <w:rFonts w:hint="eastAsia" w:ascii="宋体" w:hAnsi="宋体" w:eastAsia="宋体" w:cs="宋体"/>
          <w:b/>
          <w:color w:val="auto"/>
          <w:szCs w:val="21"/>
        </w:rPr>
        <w:t xml:space="preserve">  </w:t>
      </w:r>
      <w:bookmarkStart w:id="224" w:name="_Toc26264_WPSOffice_Level2"/>
      <w:r>
        <w:rPr>
          <w:rFonts w:hint="eastAsia" w:ascii="宋体" w:hAnsi="宋体" w:eastAsia="宋体" w:cs="宋体"/>
          <w:color w:val="auto"/>
          <w:szCs w:val="21"/>
        </w:rPr>
        <w:t>2、属谈判文件规定可能变动的内容在“说明”栏中注明。</w:t>
      </w:r>
      <w:bookmarkEnd w:id="224"/>
    </w:p>
    <w:p w14:paraId="5F68DBB7">
      <w:pPr>
        <w:pStyle w:val="14"/>
        <w:adjustRightInd w:val="0"/>
        <w:snapToGrid w:val="0"/>
        <w:spacing w:line="360" w:lineRule="auto"/>
        <w:ind w:firstLine="420" w:firstLineChars="200"/>
        <w:rPr>
          <w:rFonts w:hint="eastAsia" w:ascii="宋体" w:hAnsi="宋体" w:eastAsia="宋体" w:cs="宋体"/>
          <w:color w:val="auto"/>
          <w:sz w:val="21"/>
          <w:szCs w:val="21"/>
        </w:rPr>
      </w:pPr>
    </w:p>
    <w:p w14:paraId="4BE93226">
      <w:pPr>
        <w:pStyle w:val="14"/>
        <w:adjustRightInd w:val="0"/>
        <w:snapToGri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color w:val="auto"/>
          <w:sz w:val="21"/>
          <w:szCs w:val="21"/>
        </w:rPr>
        <w:t>供应商名称：</w:t>
      </w:r>
      <w:r>
        <w:rPr>
          <w:rFonts w:hint="eastAsia" w:ascii="宋体" w:hAnsi="宋体" w:eastAsia="宋体" w:cs="宋体"/>
          <w:color w:val="auto"/>
          <w:sz w:val="21"/>
          <w:szCs w:val="21"/>
          <w:u w:val="single"/>
        </w:rPr>
        <w:t xml:space="preserve">                   </w:t>
      </w:r>
    </w:p>
    <w:p w14:paraId="462453C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59C12C7C">
      <w:pPr>
        <w:tabs>
          <w:tab w:val="left" w:pos="2011"/>
          <w:tab w:val="center" w:pos="4213"/>
        </w:tabs>
        <w:adjustRightInd w:val="0"/>
        <w:snapToGrid w:val="0"/>
        <w:ind w:firstLine="420" w:firstLineChars="200"/>
        <w:jc w:val="left"/>
        <w:rPr>
          <w:rFonts w:hint="eastAsia" w:ascii="宋体" w:hAnsi="宋体" w:eastAsia="宋体" w:cs="宋体"/>
          <w:color w:val="auto"/>
          <w:szCs w:val="21"/>
        </w:rPr>
        <w:sectPr>
          <w:pgSz w:w="16838" w:h="11906" w:orient="landscape"/>
          <w:pgMar w:top="1800" w:right="1440" w:bottom="1800" w:left="1118" w:header="851" w:footer="992" w:gutter="0"/>
          <w:pgBorders>
            <w:top w:val="none" w:sz="0" w:space="0"/>
            <w:left w:val="none" w:sz="0" w:space="0"/>
            <w:bottom w:val="none" w:sz="0" w:space="0"/>
            <w:right w:val="none" w:sz="0" w:space="0"/>
          </w:pgBorders>
          <w:cols w:space="720" w:num="1"/>
          <w:titlePg/>
          <w:docGrid w:linePitch="312" w:charSpace="0"/>
        </w:sectPr>
      </w:pPr>
      <w:r>
        <w:rPr>
          <w:rFonts w:hint="eastAsia" w:ascii="宋体" w:hAnsi="宋体" w:eastAsia="宋体" w:cs="宋体"/>
          <w:color w:val="auto"/>
          <w:szCs w:val="21"/>
        </w:rPr>
        <w:t xml:space="preserve">日      期：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1006D2FE">
      <w:pPr>
        <w:jc w:val="center"/>
        <w:outlineLvl w:val="1"/>
        <w:rPr>
          <w:rFonts w:hint="eastAsia" w:ascii="宋体" w:hAnsi="宋体" w:eastAsia="宋体" w:cs="宋体"/>
          <w:b/>
          <w:color w:val="auto"/>
          <w:sz w:val="32"/>
          <w:szCs w:val="32"/>
        </w:rPr>
      </w:pPr>
      <w:bookmarkStart w:id="225" w:name="_Toc1166_WPSOffice_Level1"/>
      <w:bookmarkStart w:id="226" w:name="_Toc608"/>
      <w:bookmarkStart w:id="227" w:name="_Toc8724"/>
      <w:r>
        <w:rPr>
          <w:rFonts w:hint="eastAsia" w:ascii="宋体" w:hAnsi="宋体" w:eastAsia="宋体" w:cs="宋体"/>
          <w:b/>
          <w:color w:val="auto"/>
          <w:sz w:val="32"/>
          <w:szCs w:val="32"/>
        </w:rPr>
        <w:t>六、提供政府采购政策产品等证明材料</w:t>
      </w:r>
      <w:bookmarkEnd w:id="225"/>
      <w:bookmarkEnd w:id="226"/>
      <w:bookmarkEnd w:id="227"/>
    </w:p>
    <w:p w14:paraId="2D7C9A42">
      <w:pPr>
        <w:tabs>
          <w:tab w:val="left" w:pos="3600"/>
        </w:tabs>
        <w:adjustRightInd w:val="0"/>
        <w:snapToGrid w:val="0"/>
        <w:rPr>
          <w:rFonts w:hint="eastAsia" w:ascii="宋体" w:hAnsi="宋体" w:eastAsia="宋体" w:cs="宋体"/>
          <w:b/>
          <w:color w:val="auto"/>
          <w:sz w:val="32"/>
          <w:szCs w:val="32"/>
        </w:rPr>
      </w:pPr>
    </w:p>
    <w:p w14:paraId="0456B8E7">
      <w:pPr>
        <w:adjustRightInd w:val="0"/>
        <w:snapToGrid w:val="0"/>
        <w:spacing w:line="360" w:lineRule="auto"/>
        <w:rPr>
          <w:rFonts w:hint="eastAsia" w:ascii="宋体" w:hAnsi="宋体" w:eastAsia="宋体" w:cs="宋体"/>
          <w:color w:val="auto"/>
          <w:spacing w:val="6"/>
          <w:kern w:val="0"/>
          <w:szCs w:val="21"/>
        </w:rPr>
      </w:pPr>
      <w:bookmarkStart w:id="228" w:name="_Toc22014_WPSOffice_Level2"/>
      <w:r>
        <w:rPr>
          <w:rFonts w:hint="eastAsia" w:ascii="宋体" w:hAnsi="宋体" w:eastAsia="宋体" w:cs="宋体"/>
          <w:color w:val="auto"/>
          <w:spacing w:val="6"/>
          <w:kern w:val="0"/>
          <w:szCs w:val="21"/>
        </w:rPr>
        <w:t>附件7-1：中小企业声明函</w:t>
      </w:r>
      <w:bookmarkEnd w:id="228"/>
    </w:p>
    <w:p w14:paraId="44B401CB">
      <w:pPr>
        <w:adjustRightInd w:val="0"/>
        <w:snapToGrid w:val="0"/>
        <w:spacing w:line="360" w:lineRule="auto"/>
        <w:rPr>
          <w:rFonts w:hint="eastAsia" w:ascii="宋体" w:hAnsi="宋体" w:eastAsia="宋体" w:cs="宋体"/>
          <w:color w:val="auto"/>
          <w:szCs w:val="21"/>
        </w:rPr>
      </w:pPr>
    </w:p>
    <w:p w14:paraId="45FBCD15">
      <w:pPr>
        <w:widowControl/>
        <w:adjustRightInd w:val="0"/>
        <w:snapToGrid w:val="0"/>
        <w:spacing w:line="360" w:lineRule="auto"/>
        <w:jc w:val="center"/>
        <w:rPr>
          <w:rFonts w:hint="eastAsia" w:ascii="宋体" w:hAnsi="宋体" w:eastAsia="宋体" w:cs="宋体"/>
          <w:b/>
          <w:bCs/>
          <w:color w:val="auto"/>
          <w:spacing w:val="6"/>
          <w:kern w:val="0"/>
          <w:sz w:val="28"/>
          <w:szCs w:val="28"/>
        </w:rPr>
      </w:pPr>
      <w:bookmarkStart w:id="229" w:name="_Toc8625_WPSOffice_Level2"/>
      <w:r>
        <w:rPr>
          <w:rFonts w:hint="eastAsia" w:ascii="宋体" w:hAnsi="宋体" w:eastAsia="宋体" w:cs="宋体"/>
          <w:b/>
          <w:bCs/>
          <w:color w:val="auto"/>
          <w:spacing w:val="6"/>
          <w:kern w:val="0"/>
          <w:sz w:val="28"/>
          <w:szCs w:val="28"/>
        </w:rPr>
        <w:t>中小企业声明函（工程、服务）</w:t>
      </w:r>
      <w:bookmarkEnd w:id="229"/>
    </w:p>
    <w:p w14:paraId="65662706">
      <w:pPr>
        <w:widowControl/>
        <w:adjustRightInd w:val="0"/>
        <w:snapToGrid w:val="0"/>
        <w:spacing w:line="360" w:lineRule="auto"/>
        <w:jc w:val="center"/>
        <w:rPr>
          <w:rFonts w:hint="eastAsia" w:ascii="宋体" w:hAnsi="宋体" w:eastAsia="宋体" w:cs="宋体"/>
          <w:b/>
          <w:color w:val="auto"/>
          <w:spacing w:val="6"/>
          <w:kern w:val="0"/>
          <w:szCs w:val="21"/>
        </w:rPr>
      </w:pPr>
      <w:bookmarkStart w:id="230" w:name="_Toc29203_WPSOffice_Level3"/>
      <w:r>
        <w:rPr>
          <w:rFonts w:hint="eastAsia" w:ascii="宋体" w:hAnsi="宋体" w:eastAsia="宋体" w:cs="宋体"/>
          <w:b/>
          <w:color w:val="auto"/>
          <w:spacing w:val="6"/>
          <w:kern w:val="0"/>
          <w:szCs w:val="21"/>
        </w:rPr>
        <w:t>(不满足以下条件的无需填写)</w:t>
      </w:r>
      <w:bookmarkEnd w:id="230"/>
    </w:p>
    <w:p w14:paraId="09AFD88A">
      <w:pPr>
        <w:widowControl/>
        <w:adjustRightInd w:val="0"/>
        <w:snapToGrid w:val="0"/>
        <w:spacing w:line="360" w:lineRule="auto"/>
        <w:ind w:firstLine="444" w:firstLineChars="200"/>
        <w:jc w:val="left"/>
        <w:rPr>
          <w:rFonts w:hint="eastAsia" w:ascii="宋体" w:hAnsi="宋体" w:eastAsia="宋体" w:cs="宋体"/>
          <w:color w:val="auto"/>
          <w:spacing w:val="6"/>
          <w:kern w:val="0"/>
          <w:szCs w:val="21"/>
        </w:rPr>
      </w:pPr>
    </w:p>
    <w:p w14:paraId="0AE8A7D7">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本公司（联合体）郑重声明，根据《政府采购促进中小企业发展管理办法》（财库﹝2020﹞46 号）的规定，本公司 （联合体）参加</w:t>
      </w:r>
      <w:r>
        <w:rPr>
          <w:rFonts w:hint="eastAsia" w:ascii="宋体" w:hAnsi="宋体" w:eastAsia="宋体" w:cs="宋体"/>
          <w:bCs/>
          <w:color w:val="auto"/>
          <w:spacing w:val="6"/>
          <w:kern w:val="0"/>
          <w:szCs w:val="21"/>
          <w:u w:val="single"/>
        </w:rPr>
        <w:t xml:space="preserve">    （单位名称）   </w:t>
      </w:r>
      <w:r>
        <w:rPr>
          <w:rFonts w:hint="eastAsia" w:ascii="宋体" w:hAnsi="宋体" w:eastAsia="宋体" w:cs="宋体"/>
          <w:bCs/>
          <w:color w:val="auto"/>
          <w:spacing w:val="6"/>
          <w:kern w:val="0"/>
          <w:szCs w:val="21"/>
        </w:rPr>
        <w:t>的</w:t>
      </w:r>
      <w:r>
        <w:rPr>
          <w:rFonts w:hint="eastAsia" w:ascii="宋体" w:hAnsi="宋体" w:eastAsia="宋体" w:cs="宋体"/>
          <w:bCs/>
          <w:color w:val="auto"/>
          <w:spacing w:val="6"/>
          <w:kern w:val="0"/>
          <w:szCs w:val="21"/>
          <w:u w:val="single"/>
        </w:rPr>
        <w:t xml:space="preserve">    （项目名称）   </w:t>
      </w:r>
      <w:r>
        <w:rPr>
          <w:rFonts w:hint="eastAsia" w:ascii="宋体" w:hAnsi="宋体" w:eastAsia="宋体" w:cs="宋体"/>
          <w:bCs/>
          <w:color w:val="auto"/>
          <w:spacing w:val="6"/>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908797D">
      <w:pPr>
        <w:numPr>
          <w:ilvl w:val="0"/>
          <w:numId w:val="7"/>
        </w:numPr>
        <w:adjustRightInd w:val="0"/>
        <w:snapToGrid w:val="0"/>
        <w:spacing w:line="360" w:lineRule="auto"/>
        <w:ind w:firstLine="444" w:firstLineChars="200"/>
        <w:rPr>
          <w:rFonts w:hint="eastAsia" w:ascii="宋体" w:hAnsi="宋体" w:eastAsia="宋体" w:cs="宋体"/>
          <w:color w:val="auto"/>
        </w:rPr>
      </w:pPr>
      <w:r>
        <w:rPr>
          <w:rFonts w:hint="eastAsia" w:ascii="宋体" w:hAnsi="宋体" w:eastAsia="宋体" w:cs="宋体"/>
          <w:bCs/>
          <w:color w:val="auto"/>
          <w:spacing w:val="6"/>
          <w:kern w:val="0"/>
          <w:szCs w:val="21"/>
          <w:u w:val="single"/>
        </w:rPr>
        <w:t xml:space="preserve"> （标的名称）   </w:t>
      </w:r>
      <w:r>
        <w:rPr>
          <w:rFonts w:hint="eastAsia" w:ascii="宋体" w:hAnsi="宋体" w:eastAsia="宋体" w:cs="宋体"/>
          <w:bCs/>
          <w:color w:val="auto"/>
          <w:spacing w:val="6"/>
          <w:kern w:val="0"/>
          <w:szCs w:val="21"/>
        </w:rPr>
        <w:t>，属于</w:t>
      </w:r>
      <w:r>
        <w:rPr>
          <w:rFonts w:hint="eastAsia" w:ascii="宋体" w:hAnsi="宋体" w:eastAsia="宋体" w:cs="宋体"/>
          <w:bCs/>
          <w:color w:val="auto"/>
          <w:spacing w:val="6"/>
          <w:kern w:val="0"/>
          <w:szCs w:val="21"/>
          <w:u w:val="single"/>
        </w:rPr>
        <w:t xml:space="preserve">          （采购文件中明确的所属行业）</w:t>
      </w:r>
      <w:r>
        <w:rPr>
          <w:rFonts w:hint="eastAsia" w:ascii="宋体" w:hAnsi="宋体" w:eastAsia="宋体" w:cs="宋体"/>
          <w:bCs/>
          <w:color w:val="auto"/>
          <w:spacing w:val="6"/>
          <w:kern w:val="0"/>
          <w:szCs w:val="21"/>
        </w:rPr>
        <w:t>；承建（承接）企业为</w:t>
      </w:r>
      <w:r>
        <w:rPr>
          <w:rFonts w:hint="eastAsia" w:ascii="宋体" w:hAnsi="宋体" w:eastAsia="宋体" w:cs="宋体"/>
          <w:bCs/>
          <w:color w:val="auto"/>
          <w:spacing w:val="6"/>
          <w:kern w:val="0"/>
          <w:szCs w:val="21"/>
          <w:u w:val="single"/>
        </w:rPr>
        <w:t xml:space="preserve">   （企业名称）  </w:t>
      </w:r>
      <w:r>
        <w:rPr>
          <w:rFonts w:hint="eastAsia" w:ascii="宋体" w:hAnsi="宋体" w:eastAsia="宋体" w:cs="宋体"/>
          <w:bCs/>
          <w:color w:val="auto"/>
          <w:spacing w:val="6"/>
          <w:kern w:val="0"/>
          <w:szCs w:val="21"/>
        </w:rPr>
        <w:t>，从业人员</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人，营业收入为</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万元，资产总额为</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万元，属于</w:t>
      </w:r>
      <w:r>
        <w:rPr>
          <w:rFonts w:hint="eastAsia" w:ascii="宋体" w:hAnsi="宋体" w:eastAsia="宋体" w:cs="宋体"/>
          <w:bCs/>
          <w:color w:val="auto"/>
          <w:spacing w:val="6"/>
          <w:kern w:val="0"/>
          <w:szCs w:val="21"/>
          <w:u w:val="single"/>
        </w:rPr>
        <w:t xml:space="preserve">    （中型企业、小型企业、微型企业）</w:t>
      </w:r>
      <w:r>
        <w:rPr>
          <w:rFonts w:hint="eastAsia" w:ascii="宋体" w:hAnsi="宋体" w:eastAsia="宋体" w:cs="宋体"/>
          <w:bCs/>
          <w:color w:val="auto"/>
          <w:spacing w:val="6"/>
          <w:kern w:val="0"/>
          <w:szCs w:val="21"/>
        </w:rPr>
        <w:t>；</w:t>
      </w:r>
    </w:p>
    <w:p w14:paraId="643C68A0">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2、</w:t>
      </w:r>
      <w:r>
        <w:rPr>
          <w:rFonts w:hint="eastAsia" w:ascii="宋体" w:hAnsi="宋体" w:eastAsia="宋体" w:cs="宋体"/>
          <w:bCs/>
          <w:color w:val="auto"/>
          <w:spacing w:val="6"/>
          <w:kern w:val="0"/>
          <w:szCs w:val="21"/>
          <w:u w:val="single"/>
        </w:rPr>
        <w:t xml:space="preserve"> （标的名称）   </w:t>
      </w:r>
      <w:r>
        <w:rPr>
          <w:rFonts w:hint="eastAsia" w:ascii="宋体" w:hAnsi="宋体" w:eastAsia="宋体" w:cs="宋体"/>
          <w:bCs/>
          <w:color w:val="auto"/>
          <w:spacing w:val="6"/>
          <w:kern w:val="0"/>
          <w:szCs w:val="21"/>
        </w:rPr>
        <w:t>，属于</w:t>
      </w:r>
      <w:r>
        <w:rPr>
          <w:rFonts w:hint="eastAsia" w:ascii="宋体" w:hAnsi="宋体" w:eastAsia="宋体" w:cs="宋体"/>
          <w:bCs/>
          <w:color w:val="auto"/>
          <w:spacing w:val="6"/>
          <w:kern w:val="0"/>
          <w:szCs w:val="21"/>
          <w:u w:val="single"/>
        </w:rPr>
        <w:t xml:space="preserve">           （采购文件中明确的所属行业）</w:t>
      </w:r>
      <w:r>
        <w:rPr>
          <w:rFonts w:hint="eastAsia" w:ascii="宋体" w:hAnsi="宋体" w:eastAsia="宋体" w:cs="宋体"/>
          <w:bCs/>
          <w:color w:val="auto"/>
          <w:spacing w:val="6"/>
          <w:kern w:val="0"/>
          <w:szCs w:val="21"/>
        </w:rPr>
        <w:t>；承建（承接）企业为</w:t>
      </w:r>
      <w:r>
        <w:rPr>
          <w:rFonts w:hint="eastAsia" w:ascii="宋体" w:hAnsi="宋体" w:eastAsia="宋体" w:cs="宋体"/>
          <w:bCs/>
          <w:color w:val="auto"/>
          <w:spacing w:val="6"/>
          <w:kern w:val="0"/>
          <w:szCs w:val="21"/>
          <w:u w:val="single"/>
        </w:rPr>
        <w:t xml:space="preserve">   （企业名称）  </w:t>
      </w:r>
      <w:r>
        <w:rPr>
          <w:rFonts w:hint="eastAsia" w:ascii="宋体" w:hAnsi="宋体" w:eastAsia="宋体" w:cs="宋体"/>
          <w:bCs/>
          <w:color w:val="auto"/>
          <w:spacing w:val="6"/>
          <w:kern w:val="0"/>
          <w:szCs w:val="21"/>
        </w:rPr>
        <w:t>，从业人员</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人，营业收入为</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万元，资产总额为</w:t>
      </w:r>
      <w:r>
        <w:rPr>
          <w:rFonts w:hint="eastAsia" w:ascii="宋体" w:hAnsi="宋体" w:eastAsia="宋体" w:cs="宋体"/>
          <w:bCs/>
          <w:color w:val="auto"/>
          <w:spacing w:val="6"/>
          <w:kern w:val="0"/>
          <w:szCs w:val="21"/>
          <w:u w:val="single"/>
        </w:rPr>
        <w:t xml:space="preserve">    </w:t>
      </w:r>
      <w:r>
        <w:rPr>
          <w:rFonts w:hint="eastAsia" w:ascii="宋体" w:hAnsi="宋体" w:eastAsia="宋体" w:cs="宋体"/>
          <w:bCs/>
          <w:color w:val="auto"/>
          <w:spacing w:val="6"/>
          <w:kern w:val="0"/>
          <w:szCs w:val="21"/>
        </w:rPr>
        <w:t>万元，属于</w:t>
      </w:r>
      <w:r>
        <w:rPr>
          <w:rFonts w:hint="eastAsia" w:ascii="宋体" w:hAnsi="宋体" w:eastAsia="宋体" w:cs="宋体"/>
          <w:bCs/>
          <w:color w:val="auto"/>
          <w:spacing w:val="6"/>
          <w:kern w:val="0"/>
          <w:szCs w:val="21"/>
          <w:u w:val="single"/>
        </w:rPr>
        <w:t xml:space="preserve">    （中型企业、小型企业、微型企业）</w:t>
      </w:r>
      <w:r>
        <w:rPr>
          <w:rFonts w:hint="eastAsia" w:ascii="宋体" w:hAnsi="宋体" w:eastAsia="宋体" w:cs="宋体"/>
          <w:bCs/>
          <w:color w:val="auto"/>
          <w:spacing w:val="6"/>
          <w:kern w:val="0"/>
          <w:szCs w:val="21"/>
        </w:rPr>
        <w:t xml:space="preserve">； </w:t>
      </w:r>
    </w:p>
    <w:p w14:paraId="3C6CA5B6">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w:t>
      </w:r>
    </w:p>
    <w:p w14:paraId="4B1B4778">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以上企业，不属于大企业的分支机构，不存在控股股东为大企业的情形，也不存在与大企业的负责人为同一人的情形。</w:t>
      </w:r>
    </w:p>
    <w:p w14:paraId="29FF94B2">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 xml:space="preserve">本企业对上述声明内容的真实性负责。如有虚假，将依法承担相应责任。 </w:t>
      </w:r>
    </w:p>
    <w:p w14:paraId="6E3C2E33">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 xml:space="preserve">企业名称（盖章）： </w:t>
      </w:r>
    </w:p>
    <w:p w14:paraId="74484E1F">
      <w:pPr>
        <w:adjustRightInd w:val="0"/>
        <w:snapToGrid w:val="0"/>
        <w:spacing w:line="360" w:lineRule="auto"/>
        <w:ind w:firstLine="444" w:firstLineChars="200"/>
        <w:rPr>
          <w:rFonts w:hint="eastAsia" w:ascii="宋体" w:hAnsi="宋体" w:eastAsia="宋体" w:cs="宋体"/>
          <w:bCs/>
          <w:color w:val="auto"/>
          <w:spacing w:val="6"/>
          <w:kern w:val="0"/>
          <w:szCs w:val="21"/>
        </w:rPr>
      </w:pPr>
      <w:r>
        <w:rPr>
          <w:rFonts w:hint="eastAsia" w:ascii="宋体" w:hAnsi="宋体" w:eastAsia="宋体" w:cs="宋体"/>
          <w:bCs/>
          <w:color w:val="auto"/>
          <w:spacing w:val="6"/>
          <w:kern w:val="0"/>
          <w:szCs w:val="21"/>
        </w:rPr>
        <w:t xml:space="preserve">日 期： </w:t>
      </w:r>
    </w:p>
    <w:p w14:paraId="73FB1B72">
      <w:pPr>
        <w:widowControl/>
        <w:jc w:val="left"/>
        <w:rPr>
          <w:rFonts w:hint="eastAsia" w:ascii="宋体" w:hAnsi="宋体" w:eastAsia="宋体" w:cs="宋体"/>
          <w:color w:val="auto"/>
          <w:kern w:val="0"/>
          <w:sz w:val="18"/>
          <w:szCs w:val="18"/>
        </w:rPr>
      </w:pPr>
    </w:p>
    <w:p w14:paraId="6B09C1BF">
      <w:pPr>
        <w:widowControl/>
        <w:jc w:val="left"/>
        <w:rPr>
          <w:rFonts w:hint="eastAsia" w:ascii="宋体" w:hAnsi="宋体" w:eastAsia="宋体" w:cs="宋体"/>
          <w:color w:val="auto"/>
          <w:kern w:val="0"/>
          <w:sz w:val="18"/>
          <w:szCs w:val="18"/>
        </w:rPr>
      </w:pPr>
    </w:p>
    <w:p w14:paraId="76642026">
      <w:pPr>
        <w:widowControl/>
        <w:jc w:val="left"/>
        <w:rPr>
          <w:rFonts w:hint="eastAsia" w:ascii="宋体" w:hAnsi="宋体" w:eastAsia="宋体" w:cs="宋体"/>
          <w:b/>
          <w:bCs/>
          <w:color w:val="auto"/>
        </w:rPr>
      </w:pPr>
      <w:r>
        <w:rPr>
          <w:rFonts w:hint="eastAsia" w:ascii="宋体" w:hAnsi="宋体" w:eastAsia="宋体" w:cs="宋体"/>
          <w:b/>
          <w:bCs/>
          <w:color w:val="auto"/>
          <w:kern w:val="0"/>
          <w:sz w:val="18"/>
          <w:szCs w:val="18"/>
        </w:rPr>
        <w:t>备注：从业人员、营业收入、资产总额填报上一年度数据，无上一年度数据的新成立企业可不填报。</w:t>
      </w:r>
    </w:p>
    <w:p w14:paraId="76B47438">
      <w:pPr>
        <w:adjustRightInd w:val="0"/>
        <w:snapToGrid w:val="0"/>
        <w:spacing w:line="360" w:lineRule="auto"/>
        <w:ind w:firstLine="630" w:firstLineChars="300"/>
        <w:rPr>
          <w:rFonts w:hint="eastAsia" w:ascii="宋体" w:hAnsi="宋体" w:eastAsia="宋体" w:cs="宋体"/>
          <w:color w:val="auto"/>
          <w:szCs w:val="21"/>
        </w:rPr>
      </w:pPr>
    </w:p>
    <w:p w14:paraId="602ECB59">
      <w:pPr>
        <w:rPr>
          <w:rFonts w:hint="eastAsia" w:ascii="宋体" w:hAnsi="宋体" w:eastAsia="宋体" w:cs="宋体"/>
          <w:color w:val="auto"/>
          <w:spacing w:val="6"/>
          <w:szCs w:val="21"/>
        </w:rPr>
      </w:pPr>
      <w:r>
        <w:rPr>
          <w:rFonts w:hint="eastAsia" w:ascii="宋体" w:hAnsi="宋体" w:eastAsia="宋体" w:cs="宋体"/>
          <w:color w:val="auto"/>
          <w:sz w:val="18"/>
          <w:szCs w:val="18"/>
        </w:rPr>
        <w:br w:type="page"/>
      </w:r>
      <w:bookmarkStart w:id="231" w:name="_Toc4949_WPSOffice_Level2"/>
      <w:bookmarkStart w:id="232" w:name="_Toc20651267"/>
      <w:bookmarkStart w:id="233" w:name="_Toc31985"/>
      <w:r>
        <w:rPr>
          <w:rFonts w:hint="eastAsia" w:ascii="宋体" w:hAnsi="宋体" w:eastAsia="宋体" w:cs="宋体"/>
          <w:color w:val="auto"/>
          <w:spacing w:val="6"/>
          <w:kern w:val="0"/>
          <w:szCs w:val="21"/>
        </w:rPr>
        <w:t xml:space="preserve">附件7-2： </w:t>
      </w:r>
      <w:r>
        <w:rPr>
          <w:rFonts w:hint="eastAsia" w:ascii="宋体" w:hAnsi="宋体" w:eastAsia="宋体" w:cs="宋体"/>
          <w:color w:val="auto"/>
          <w:spacing w:val="6"/>
          <w:szCs w:val="21"/>
        </w:rPr>
        <w:t>残疾人福利性单位声明函</w:t>
      </w:r>
      <w:bookmarkEnd w:id="231"/>
      <w:bookmarkEnd w:id="232"/>
      <w:bookmarkEnd w:id="233"/>
    </w:p>
    <w:p w14:paraId="4A77562D">
      <w:pPr>
        <w:adjustRightInd w:val="0"/>
        <w:snapToGrid w:val="0"/>
        <w:spacing w:line="360" w:lineRule="auto"/>
        <w:jc w:val="center"/>
        <w:rPr>
          <w:rFonts w:hint="eastAsia" w:ascii="宋体" w:hAnsi="宋体" w:eastAsia="宋体" w:cs="宋体"/>
          <w:b/>
          <w:color w:val="auto"/>
          <w:spacing w:val="6"/>
          <w:sz w:val="28"/>
          <w:szCs w:val="28"/>
        </w:rPr>
      </w:pPr>
      <w:bookmarkStart w:id="234" w:name="_Toc6365_WPSOffice_Level2"/>
      <w:r>
        <w:rPr>
          <w:rFonts w:hint="eastAsia" w:ascii="宋体" w:hAnsi="宋体" w:eastAsia="宋体" w:cs="宋体"/>
          <w:b/>
          <w:color w:val="auto"/>
          <w:spacing w:val="6"/>
          <w:sz w:val="28"/>
          <w:szCs w:val="28"/>
        </w:rPr>
        <w:t>残疾人福利性单位声明函</w:t>
      </w:r>
      <w:bookmarkEnd w:id="234"/>
    </w:p>
    <w:p w14:paraId="75363308">
      <w:pPr>
        <w:adjustRightInd w:val="0"/>
        <w:snapToGrid w:val="0"/>
        <w:spacing w:line="360" w:lineRule="auto"/>
        <w:jc w:val="center"/>
        <w:rPr>
          <w:rFonts w:hint="eastAsia" w:ascii="宋体" w:hAnsi="宋体" w:eastAsia="宋体" w:cs="宋体"/>
          <w:b/>
          <w:color w:val="auto"/>
          <w:spacing w:val="6"/>
          <w:szCs w:val="21"/>
        </w:rPr>
      </w:pPr>
      <w:bookmarkStart w:id="235" w:name="_Toc2910_WPSOffice_Level3"/>
      <w:r>
        <w:rPr>
          <w:rFonts w:hint="eastAsia" w:ascii="宋体" w:hAnsi="宋体" w:eastAsia="宋体" w:cs="宋体"/>
          <w:b/>
          <w:color w:val="auto"/>
          <w:spacing w:val="6"/>
          <w:szCs w:val="21"/>
        </w:rPr>
        <w:t>(不属于残疾人福利性单位的无需填写)</w:t>
      </w:r>
      <w:bookmarkEnd w:id="235"/>
    </w:p>
    <w:p w14:paraId="720E928A">
      <w:pPr>
        <w:adjustRightInd w:val="0"/>
        <w:snapToGrid w:val="0"/>
        <w:spacing w:line="360" w:lineRule="auto"/>
        <w:ind w:firstLine="444" w:firstLineChars="200"/>
        <w:rPr>
          <w:rFonts w:hint="eastAsia" w:ascii="宋体" w:hAnsi="宋体" w:eastAsia="宋体" w:cs="宋体"/>
          <w:color w:val="auto"/>
          <w:spacing w:val="6"/>
          <w:szCs w:val="21"/>
        </w:rPr>
      </w:pPr>
    </w:p>
    <w:p w14:paraId="0C48A0A6">
      <w:pPr>
        <w:adjustRightInd w:val="0"/>
        <w:snapToGrid w:val="0"/>
        <w:spacing w:line="360" w:lineRule="auto"/>
        <w:ind w:firstLine="444" w:firstLineChars="200"/>
        <w:rPr>
          <w:rFonts w:hint="eastAsia" w:ascii="宋体" w:hAnsi="宋体" w:eastAsia="宋体" w:cs="宋体"/>
          <w:color w:val="auto"/>
          <w:spacing w:val="6"/>
          <w:szCs w:val="21"/>
        </w:rPr>
      </w:pPr>
      <w:r>
        <w:rPr>
          <w:rFonts w:hint="eastAsia" w:ascii="宋体" w:hAnsi="宋体" w:eastAsia="宋体" w:cs="宋体"/>
          <w:color w:val="auto"/>
          <w:spacing w:val="6"/>
          <w:szCs w:val="21"/>
        </w:rPr>
        <w:t>本单位郑重声明，根据《财政部 民政部 中国残疾人联合会关于促进残疾人就业政府采购政策的通知》（财库</w:t>
      </w:r>
      <w:r>
        <w:rPr>
          <w:rFonts w:hint="eastAsia" w:ascii="宋体" w:hAnsi="宋体" w:eastAsia="宋体" w:cs="宋体"/>
          <w:color w:val="auto"/>
          <w:szCs w:val="21"/>
        </w:rPr>
        <w:t>〔2017〕141</w:t>
      </w:r>
      <w:r>
        <w:rPr>
          <w:rFonts w:hint="eastAsia" w:ascii="宋体" w:hAnsi="宋体" w:eastAsia="宋体" w:cs="宋体"/>
          <w:color w:val="auto"/>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699DA4">
      <w:pPr>
        <w:adjustRightInd w:val="0"/>
        <w:snapToGrid w:val="0"/>
        <w:spacing w:line="360" w:lineRule="auto"/>
        <w:ind w:firstLine="444" w:firstLineChars="200"/>
        <w:rPr>
          <w:rFonts w:hint="eastAsia" w:ascii="宋体" w:hAnsi="宋体" w:eastAsia="宋体" w:cs="宋体"/>
          <w:color w:val="auto"/>
          <w:spacing w:val="6"/>
          <w:szCs w:val="21"/>
        </w:rPr>
      </w:pPr>
      <w:r>
        <w:rPr>
          <w:rFonts w:hint="eastAsia" w:ascii="宋体" w:hAnsi="宋体" w:eastAsia="宋体" w:cs="宋体"/>
          <w:color w:val="auto"/>
          <w:spacing w:val="6"/>
          <w:szCs w:val="21"/>
        </w:rPr>
        <w:t>本单位对上述声明的真实性负责。如有虚假，将依法承担相应责任。</w:t>
      </w:r>
    </w:p>
    <w:p w14:paraId="3E69E1AF">
      <w:pPr>
        <w:adjustRightInd w:val="0"/>
        <w:snapToGrid w:val="0"/>
        <w:spacing w:line="360" w:lineRule="auto"/>
        <w:ind w:firstLine="444" w:firstLineChars="200"/>
        <w:rPr>
          <w:rFonts w:hint="eastAsia" w:ascii="宋体" w:hAnsi="宋体" w:eastAsia="宋体" w:cs="宋体"/>
          <w:color w:val="auto"/>
          <w:spacing w:val="6"/>
          <w:szCs w:val="21"/>
        </w:rPr>
      </w:pPr>
    </w:p>
    <w:p w14:paraId="4B5DE67D">
      <w:pPr>
        <w:adjustRightInd w:val="0"/>
        <w:snapToGrid w:val="0"/>
        <w:spacing w:line="360" w:lineRule="auto"/>
        <w:ind w:firstLine="444" w:firstLineChars="200"/>
        <w:rPr>
          <w:rFonts w:hint="eastAsia" w:ascii="宋体" w:hAnsi="宋体" w:eastAsia="宋体" w:cs="宋体"/>
          <w:color w:val="auto"/>
          <w:spacing w:val="6"/>
          <w:szCs w:val="21"/>
        </w:rPr>
      </w:pPr>
    </w:p>
    <w:p w14:paraId="74CBF853">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szCs w:val="21"/>
        </w:rPr>
      </w:pPr>
      <w:r>
        <w:rPr>
          <w:rFonts w:hint="eastAsia" w:ascii="宋体" w:hAnsi="宋体" w:eastAsia="宋体" w:cs="宋体"/>
          <w:color w:val="auto"/>
          <w:spacing w:val="6"/>
          <w:szCs w:val="21"/>
        </w:rPr>
        <w:t xml:space="preserve">               单位名称（电子盖章）：</w:t>
      </w:r>
    </w:p>
    <w:p w14:paraId="56DA9C93">
      <w:pPr>
        <w:tabs>
          <w:tab w:val="left" w:pos="4860"/>
        </w:tabs>
        <w:adjustRightInd w:val="0"/>
        <w:snapToGrid w:val="0"/>
        <w:spacing w:line="360" w:lineRule="auto"/>
        <w:ind w:right="1560" w:firstLine="444" w:firstLineChars="200"/>
        <w:jc w:val="center"/>
        <w:rPr>
          <w:rFonts w:hint="eastAsia" w:ascii="宋体" w:hAnsi="宋体" w:eastAsia="宋体" w:cs="宋体"/>
          <w:color w:val="auto"/>
          <w:spacing w:val="6"/>
          <w:szCs w:val="21"/>
        </w:rPr>
      </w:pPr>
      <w:r>
        <w:rPr>
          <w:rFonts w:hint="eastAsia" w:ascii="宋体" w:hAnsi="宋体" w:eastAsia="宋体" w:cs="宋体"/>
          <w:color w:val="auto"/>
          <w:spacing w:val="6"/>
          <w:szCs w:val="21"/>
        </w:rPr>
        <w:t xml:space="preserve">       日  期：</w:t>
      </w: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0E1144F1">
      <w:pPr>
        <w:widowControl/>
        <w:adjustRightInd w:val="0"/>
        <w:snapToGrid w:val="0"/>
        <w:spacing w:line="360" w:lineRule="auto"/>
        <w:jc w:val="left"/>
        <w:rPr>
          <w:rFonts w:hint="eastAsia" w:ascii="宋体" w:hAnsi="宋体" w:eastAsia="宋体" w:cs="宋体"/>
          <w:color w:val="auto"/>
          <w:kern w:val="0"/>
          <w:szCs w:val="21"/>
        </w:rPr>
      </w:pPr>
    </w:p>
    <w:p w14:paraId="52907C8C">
      <w:pPr>
        <w:widowControl/>
        <w:jc w:val="left"/>
        <w:rPr>
          <w:rFonts w:hint="eastAsia" w:ascii="宋体" w:hAnsi="宋体" w:eastAsia="宋体" w:cs="宋体"/>
          <w:color w:val="auto"/>
          <w:spacing w:val="6"/>
          <w:kern w:val="0"/>
          <w:szCs w:val="21"/>
        </w:rPr>
      </w:pPr>
      <w:r>
        <w:rPr>
          <w:rFonts w:hint="eastAsia" w:ascii="宋体" w:hAnsi="宋体" w:eastAsia="宋体" w:cs="宋体"/>
          <w:b/>
          <w:bCs/>
          <w:color w:val="auto"/>
          <w:spacing w:val="6"/>
          <w:kern w:val="0"/>
          <w:szCs w:val="21"/>
        </w:rPr>
        <w:br w:type="page"/>
      </w:r>
    </w:p>
    <w:p w14:paraId="05D1D064">
      <w:pPr>
        <w:rPr>
          <w:rFonts w:hint="eastAsia" w:ascii="宋体" w:hAnsi="宋体" w:eastAsia="宋体" w:cs="宋体"/>
          <w:color w:val="auto"/>
          <w:szCs w:val="21"/>
        </w:rPr>
      </w:pPr>
      <w:bookmarkStart w:id="236" w:name="_Toc20651268"/>
      <w:bookmarkStart w:id="237" w:name="_Toc32314_WPSOffice_Level3"/>
      <w:bookmarkStart w:id="238" w:name="_Toc19570"/>
      <w:r>
        <w:rPr>
          <w:rFonts w:hint="eastAsia" w:ascii="宋体" w:hAnsi="宋体" w:eastAsia="宋体" w:cs="宋体"/>
          <w:color w:val="auto"/>
          <w:kern w:val="0"/>
          <w:szCs w:val="21"/>
        </w:rPr>
        <w:t>附件7-3 ：</w:t>
      </w:r>
      <w:r>
        <w:rPr>
          <w:rFonts w:hint="eastAsia" w:ascii="宋体" w:hAnsi="宋体" w:eastAsia="宋体" w:cs="宋体"/>
          <w:color w:val="auto"/>
          <w:szCs w:val="21"/>
        </w:rPr>
        <w:t>监狱企业证明资料</w:t>
      </w:r>
      <w:bookmarkEnd w:id="236"/>
      <w:bookmarkEnd w:id="237"/>
      <w:bookmarkEnd w:id="238"/>
    </w:p>
    <w:p w14:paraId="3ED237C9">
      <w:pPr>
        <w:adjustRightInd w:val="0"/>
        <w:snapToGrid w:val="0"/>
        <w:spacing w:line="360" w:lineRule="auto"/>
        <w:jc w:val="center"/>
        <w:rPr>
          <w:rFonts w:hint="eastAsia" w:ascii="宋体" w:hAnsi="宋体" w:eastAsia="宋体" w:cs="宋体"/>
          <w:b/>
          <w:color w:val="auto"/>
          <w:sz w:val="28"/>
          <w:szCs w:val="28"/>
        </w:rPr>
      </w:pPr>
      <w:bookmarkStart w:id="239" w:name="_Toc11991_WPSOffice_Level2"/>
      <w:r>
        <w:rPr>
          <w:rFonts w:hint="eastAsia" w:ascii="宋体" w:hAnsi="宋体" w:eastAsia="宋体" w:cs="宋体"/>
          <w:b/>
          <w:color w:val="auto"/>
          <w:sz w:val="28"/>
          <w:szCs w:val="28"/>
        </w:rPr>
        <w:t>监狱企业证明资料</w:t>
      </w:r>
      <w:bookmarkEnd w:id="239"/>
    </w:p>
    <w:p w14:paraId="4288C35A">
      <w:pPr>
        <w:adjustRightInd w:val="0"/>
        <w:snapToGrid w:val="0"/>
        <w:spacing w:line="360" w:lineRule="auto"/>
        <w:jc w:val="center"/>
        <w:rPr>
          <w:rFonts w:hint="eastAsia" w:ascii="宋体" w:hAnsi="宋体" w:eastAsia="宋体" w:cs="宋体"/>
          <w:b/>
          <w:color w:val="auto"/>
          <w:spacing w:val="6"/>
          <w:szCs w:val="21"/>
        </w:rPr>
      </w:pPr>
      <w:bookmarkStart w:id="240" w:name="_Toc31587_WPSOffice_Level3"/>
      <w:r>
        <w:rPr>
          <w:rFonts w:hint="eastAsia" w:ascii="宋体" w:hAnsi="宋体" w:eastAsia="宋体" w:cs="宋体"/>
          <w:b/>
          <w:color w:val="auto"/>
          <w:spacing w:val="6"/>
          <w:szCs w:val="21"/>
        </w:rPr>
        <w:t>(不属于监狱企业的无需提供)</w:t>
      </w:r>
      <w:bookmarkEnd w:id="240"/>
    </w:p>
    <w:p w14:paraId="56C74C63">
      <w:pPr>
        <w:adjustRightInd w:val="0"/>
        <w:snapToGrid w:val="0"/>
        <w:spacing w:line="360" w:lineRule="auto"/>
        <w:rPr>
          <w:rFonts w:hint="eastAsia" w:ascii="宋体" w:hAnsi="宋体" w:eastAsia="宋体" w:cs="宋体"/>
          <w:color w:val="auto"/>
          <w:szCs w:val="21"/>
        </w:rPr>
      </w:pPr>
    </w:p>
    <w:p w14:paraId="43C8139E">
      <w:pPr>
        <w:adjustRightInd w:val="0"/>
        <w:snapToGrid w:val="0"/>
        <w:spacing w:line="360" w:lineRule="auto"/>
        <w:ind w:firstLine="444" w:firstLineChars="200"/>
        <w:rPr>
          <w:rFonts w:hint="eastAsia" w:ascii="宋体" w:hAnsi="宋体" w:eastAsia="宋体" w:cs="宋体"/>
          <w:color w:val="auto"/>
          <w:szCs w:val="21"/>
        </w:rPr>
      </w:pPr>
      <w:r>
        <w:rPr>
          <w:rFonts w:hint="eastAsia" w:ascii="宋体" w:hAnsi="宋体" w:eastAsia="宋体" w:cs="宋体"/>
          <w:bCs/>
          <w:color w:val="auto"/>
          <w:spacing w:val="6"/>
          <w:kern w:val="0"/>
          <w:szCs w:val="21"/>
        </w:rPr>
        <w:t>备注：</w:t>
      </w:r>
      <w:r>
        <w:rPr>
          <w:rFonts w:hint="eastAsia" w:ascii="宋体" w:hAnsi="宋体" w:eastAsia="宋体" w:cs="宋体"/>
          <w:color w:val="auto"/>
          <w:szCs w:val="21"/>
        </w:rPr>
        <w:t>按</w:t>
      </w:r>
      <w:r>
        <w:rPr>
          <w:rFonts w:hint="eastAsia" w:ascii="宋体" w:hAnsi="宋体" w:eastAsia="宋体" w:cs="宋体"/>
          <w:color w:val="auto"/>
          <w:spacing w:val="6"/>
          <w:szCs w:val="21"/>
        </w:rPr>
        <w:t>《</w:t>
      </w:r>
      <w:r>
        <w:rPr>
          <w:rFonts w:hint="eastAsia" w:ascii="宋体" w:hAnsi="宋体" w:eastAsia="宋体" w:cs="宋体"/>
          <w:color w:val="auto"/>
          <w:szCs w:val="21"/>
        </w:rPr>
        <w:t>财政部 司法部关于政府采购支持监狱企业发展有关问题的通知</w:t>
      </w:r>
      <w:r>
        <w:rPr>
          <w:rFonts w:hint="eastAsia" w:ascii="宋体" w:hAnsi="宋体" w:eastAsia="宋体" w:cs="宋体"/>
          <w:color w:val="auto"/>
          <w:spacing w:val="6"/>
          <w:szCs w:val="21"/>
        </w:rPr>
        <w:t>》</w:t>
      </w:r>
      <w:r>
        <w:rPr>
          <w:rFonts w:hint="eastAsia" w:ascii="宋体" w:hAnsi="宋体" w:eastAsia="宋体" w:cs="宋体"/>
          <w:color w:val="auto"/>
          <w:szCs w:val="21"/>
        </w:rPr>
        <w:t>(财库〔2014〕68号)文件规定提供证明文件（复印件）。</w:t>
      </w:r>
    </w:p>
    <w:p w14:paraId="45404F0E">
      <w:pPr>
        <w:adjustRightInd w:val="0"/>
        <w:snapToGrid w:val="0"/>
        <w:spacing w:line="360" w:lineRule="auto"/>
        <w:jc w:val="center"/>
        <w:outlineLvl w:val="1"/>
        <w:rPr>
          <w:rFonts w:hint="eastAsia" w:ascii="宋体" w:hAnsi="宋体" w:eastAsia="宋体" w:cs="宋体"/>
          <w:color w:val="auto"/>
          <w:szCs w:val="21"/>
        </w:rPr>
      </w:pPr>
      <w:r>
        <w:rPr>
          <w:rFonts w:hint="eastAsia" w:ascii="宋体" w:hAnsi="宋体" w:eastAsia="宋体" w:cs="宋体"/>
          <w:b/>
          <w:bCs/>
          <w:color w:val="auto"/>
          <w:sz w:val="32"/>
          <w:szCs w:val="32"/>
        </w:rPr>
        <w:br w:type="page"/>
      </w:r>
      <w:bookmarkStart w:id="241" w:name="_Toc21603_WPSOffice_Level1"/>
      <w:bookmarkStart w:id="242" w:name="_Toc1647"/>
      <w:bookmarkStart w:id="243" w:name="_Toc20552"/>
      <w:r>
        <w:rPr>
          <w:rFonts w:hint="eastAsia" w:ascii="宋体" w:hAnsi="宋体" w:eastAsia="宋体" w:cs="宋体"/>
          <w:b/>
          <w:bCs/>
          <w:color w:val="auto"/>
          <w:sz w:val="32"/>
          <w:szCs w:val="32"/>
        </w:rPr>
        <w:t>七、</w:t>
      </w:r>
      <w:r>
        <w:rPr>
          <w:rFonts w:hint="eastAsia" w:ascii="宋体" w:hAnsi="宋体" w:eastAsia="宋体" w:cs="宋体"/>
          <w:b/>
          <w:color w:val="auto"/>
          <w:sz w:val="32"/>
          <w:szCs w:val="32"/>
        </w:rPr>
        <w:t>报价一览表及报价文件</w:t>
      </w:r>
      <w:bookmarkEnd w:id="241"/>
      <w:bookmarkEnd w:id="242"/>
      <w:bookmarkEnd w:id="243"/>
    </w:p>
    <w:p w14:paraId="14CBB758">
      <w:pPr>
        <w:adjustRightInd w:val="0"/>
        <w:snapToGrid w:val="0"/>
        <w:rPr>
          <w:rFonts w:hint="eastAsia" w:ascii="宋体" w:hAnsi="宋体" w:eastAsia="宋体" w:cs="宋体"/>
          <w:b/>
          <w:color w:val="auto"/>
          <w:sz w:val="24"/>
        </w:rPr>
      </w:pPr>
    </w:p>
    <w:p w14:paraId="6C094719">
      <w:pPr>
        <w:adjustRightInd w:val="0"/>
        <w:snapToGrid w:val="0"/>
        <w:rPr>
          <w:rFonts w:hint="eastAsia" w:ascii="宋体" w:hAnsi="宋体" w:eastAsia="宋体" w:cs="宋体"/>
          <w:b/>
          <w:color w:val="auto"/>
          <w:sz w:val="24"/>
        </w:rPr>
      </w:pPr>
      <w:bookmarkStart w:id="244" w:name="_Toc5988_WPSOffice_Level2"/>
      <w:r>
        <w:rPr>
          <w:rFonts w:hint="eastAsia" w:ascii="宋体" w:hAnsi="宋体" w:eastAsia="宋体" w:cs="宋体"/>
          <w:b/>
          <w:color w:val="auto"/>
          <w:sz w:val="24"/>
        </w:rPr>
        <w:t>附件8：报价一览表</w:t>
      </w:r>
      <w:bookmarkEnd w:id="244"/>
    </w:p>
    <w:p w14:paraId="7CB33628">
      <w:pPr>
        <w:jc w:val="center"/>
        <w:rPr>
          <w:rFonts w:hint="eastAsia" w:ascii="宋体" w:hAnsi="宋体" w:eastAsia="宋体" w:cs="宋体"/>
          <w:bCs/>
          <w:color w:val="auto"/>
          <w:sz w:val="28"/>
          <w:szCs w:val="28"/>
        </w:rPr>
      </w:pPr>
    </w:p>
    <w:p w14:paraId="69D0076E">
      <w:pPr>
        <w:jc w:val="center"/>
        <w:rPr>
          <w:rFonts w:hint="eastAsia" w:ascii="宋体" w:hAnsi="宋体" w:eastAsia="宋体" w:cs="宋体"/>
          <w:color w:val="auto"/>
          <w:sz w:val="28"/>
          <w:szCs w:val="28"/>
        </w:rPr>
      </w:pPr>
      <w:bookmarkStart w:id="245" w:name="_Toc17341_WPSOffice_Level2"/>
      <w:r>
        <w:rPr>
          <w:rFonts w:hint="eastAsia" w:ascii="宋体" w:hAnsi="宋体" w:eastAsia="宋体" w:cs="宋体"/>
          <w:bCs/>
          <w:color w:val="auto"/>
          <w:sz w:val="28"/>
          <w:szCs w:val="28"/>
        </w:rPr>
        <w:t>报价一览表</w:t>
      </w:r>
      <w:bookmarkEnd w:id="245"/>
    </w:p>
    <w:p w14:paraId="43A5A8C5">
      <w:pPr>
        <w:adjustRightInd w:val="0"/>
        <w:snapToGrid w:val="0"/>
        <w:spacing w:afterLines="50"/>
        <w:rPr>
          <w:rFonts w:hint="eastAsia" w:ascii="宋体" w:hAnsi="宋体" w:eastAsia="宋体" w:cs="宋体"/>
          <w:color w:val="auto"/>
          <w:sz w:val="24"/>
        </w:rPr>
      </w:pPr>
    </w:p>
    <w:tbl>
      <w:tblPr>
        <w:tblStyle w:val="26"/>
        <w:tblW w:w="9015"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060"/>
        <w:gridCol w:w="1620"/>
        <w:gridCol w:w="2715"/>
      </w:tblGrid>
      <w:tr w14:paraId="3FEBF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620" w:type="dxa"/>
            <w:vMerge w:val="restart"/>
            <w:tcBorders>
              <w:top w:val="double" w:color="auto" w:sz="4" w:space="0"/>
              <w:left w:val="double" w:color="auto" w:sz="4" w:space="0"/>
              <w:bottom w:val="single" w:color="auto" w:sz="6" w:space="0"/>
              <w:right w:val="single" w:color="auto" w:sz="6" w:space="0"/>
            </w:tcBorders>
            <w:vAlign w:val="center"/>
          </w:tcPr>
          <w:p w14:paraId="082A333D">
            <w:pPr>
              <w:tabs>
                <w:tab w:val="left" w:pos="403"/>
                <w:tab w:val="center" w:pos="3781"/>
              </w:tabs>
              <w:spacing w:line="420" w:lineRule="exact"/>
              <w:ind w:right="-5206" w:rightChars="-2479"/>
              <w:rPr>
                <w:rFonts w:hint="eastAsia" w:ascii="宋体" w:hAnsi="宋体" w:eastAsia="宋体" w:cs="宋体"/>
                <w:color w:val="auto"/>
                <w:szCs w:val="21"/>
              </w:rPr>
            </w:pPr>
            <w:r>
              <w:rPr>
                <w:rFonts w:hint="eastAsia" w:ascii="宋体" w:hAnsi="宋体" w:eastAsia="宋体" w:cs="宋体"/>
                <w:color w:val="auto"/>
                <w:szCs w:val="21"/>
              </w:rPr>
              <w:t>项目名称</w:t>
            </w:r>
            <w:r>
              <w:rPr>
                <w:rFonts w:hint="eastAsia" w:ascii="宋体" w:hAnsi="宋体" w:eastAsia="宋体" w:cs="宋体"/>
                <w:color w:val="auto"/>
                <w:szCs w:val="21"/>
                <w:lang w:eastAsia="zh-CN"/>
              </w:rPr>
              <w:t>及包号</w:t>
            </w:r>
            <w:r>
              <w:rPr>
                <w:rFonts w:hint="eastAsia" w:ascii="宋体" w:hAnsi="宋体" w:eastAsia="宋体" w:cs="宋体"/>
                <w:color w:val="auto"/>
                <w:szCs w:val="21"/>
              </w:rPr>
              <w:tab/>
            </w:r>
            <w:r>
              <w:rPr>
                <w:rFonts w:hint="eastAsia" w:ascii="宋体" w:hAnsi="宋体" w:eastAsia="宋体" w:cs="宋体"/>
                <w:color w:val="auto"/>
                <w:szCs w:val="21"/>
              </w:rPr>
              <w:t>项目名称</w:t>
            </w:r>
          </w:p>
        </w:tc>
        <w:tc>
          <w:tcPr>
            <w:tcW w:w="3060" w:type="dxa"/>
            <w:vMerge w:val="restart"/>
            <w:tcBorders>
              <w:top w:val="double" w:color="auto" w:sz="4" w:space="0"/>
              <w:left w:val="single" w:color="auto" w:sz="6" w:space="0"/>
              <w:bottom w:val="single" w:color="auto" w:sz="6" w:space="0"/>
              <w:right w:val="single" w:color="auto" w:sz="6" w:space="0"/>
            </w:tcBorders>
            <w:vAlign w:val="center"/>
          </w:tcPr>
          <w:p w14:paraId="558AEF5A">
            <w:pPr>
              <w:spacing w:line="420" w:lineRule="exact"/>
              <w:jc w:val="center"/>
              <w:rPr>
                <w:rFonts w:hint="eastAsia" w:ascii="宋体" w:hAnsi="宋体" w:eastAsia="宋体" w:cs="宋体"/>
                <w:color w:val="auto"/>
                <w:szCs w:val="21"/>
              </w:rPr>
            </w:pPr>
          </w:p>
        </w:tc>
        <w:tc>
          <w:tcPr>
            <w:tcW w:w="1620" w:type="dxa"/>
            <w:tcBorders>
              <w:top w:val="double" w:color="auto" w:sz="4" w:space="0"/>
              <w:left w:val="single" w:color="auto" w:sz="6" w:space="0"/>
              <w:bottom w:val="single" w:color="auto" w:sz="6" w:space="0"/>
              <w:right w:val="single" w:color="auto" w:sz="6" w:space="0"/>
            </w:tcBorders>
            <w:vAlign w:val="center"/>
          </w:tcPr>
          <w:p w14:paraId="067DB3C1">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政府采购计划编号</w:t>
            </w:r>
          </w:p>
        </w:tc>
        <w:tc>
          <w:tcPr>
            <w:tcW w:w="2715" w:type="dxa"/>
            <w:tcBorders>
              <w:top w:val="double" w:color="auto" w:sz="4" w:space="0"/>
              <w:left w:val="single" w:color="auto" w:sz="6" w:space="0"/>
              <w:bottom w:val="single" w:color="auto" w:sz="6" w:space="0"/>
              <w:right w:val="double" w:color="auto" w:sz="4" w:space="0"/>
            </w:tcBorders>
            <w:vAlign w:val="center"/>
          </w:tcPr>
          <w:p w14:paraId="7521D699">
            <w:pPr>
              <w:spacing w:line="420" w:lineRule="exact"/>
              <w:jc w:val="center"/>
              <w:rPr>
                <w:rFonts w:hint="eastAsia" w:ascii="宋体" w:hAnsi="宋体" w:eastAsia="宋体" w:cs="宋体"/>
                <w:color w:val="auto"/>
                <w:szCs w:val="21"/>
              </w:rPr>
            </w:pPr>
          </w:p>
        </w:tc>
      </w:tr>
      <w:tr w14:paraId="19C66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620" w:type="dxa"/>
            <w:vMerge w:val="continue"/>
            <w:tcBorders>
              <w:top w:val="single" w:color="auto" w:sz="6" w:space="0"/>
              <w:left w:val="double" w:color="auto" w:sz="4" w:space="0"/>
              <w:bottom w:val="single" w:color="auto" w:sz="6" w:space="0"/>
              <w:right w:val="single" w:color="auto" w:sz="6" w:space="0"/>
            </w:tcBorders>
            <w:vAlign w:val="center"/>
          </w:tcPr>
          <w:p w14:paraId="4A7F476F">
            <w:pPr>
              <w:tabs>
                <w:tab w:val="left" w:pos="403"/>
                <w:tab w:val="center" w:pos="3781"/>
              </w:tabs>
              <w:spacing w:line="420" w:lineRule="exact"/>
              <w:ind w:right="-5206" w:rightChars="-2479"/>
              <w:rPr>
                <w:rFonts w:hint="eastAsia" w:ascii="宋体" w:hAnsi="宋体" w:eastAsia="宋体" w:cs="宋体"/>
                <w:color w:val="auto"/>
                <w:szCs w:val="21"/>
              </w:rPr>
            </w:pPr>
          </w:p>
        </w:tc>
        <w:tc>
          <w:tcPr>
            <w:tcW w:w="3060" w:type="dxa"/>
            <w:vMerge w:val="continue"/>
            <w:tcBorders>
              <w:top w:val="single" w:color="auto" w:sz="6" w:space="0"/>
              <w:left w:val="single" w:color="auto" w:sz="6" w:space="0"/>
              <w:bottom w:val="single" w:color="auto" w:sz="6" w:space="0"/>
              <w:right w:val="single" w:color="auto" w:sz="6" w:space="0"/>
            </w:tcBorders>
            <w:vAlign w:val="center"/>
          </w:tcPr>
          <w:p w14:paraId="2DE1B226">
            <w:pPr>
              <w:spacing w:line="420" w:lineRule="exact"/>
              <w:jc w:val="center"/>
              <w:rPr>
                <w:rFonts w:hint="eastAsia" w:ascii="宋体" w:hAnsi="宋体" w:eastAsia="宋体" w:cs="宋体"/>
                <w:color w:val="auto"/>
                <w:szCs w:val="21"/>
              </w:rPr>
            </w:pPr>
          </w:p>
        </w:tc>
        <w:tc>
          <w:tcPr>
            <w:tcW w:w="1620" w:type="dxa"/>
            <w:tcBorders>
              <w:top w:val="single" w:color="auto" w:sz="6" w:space="0"/>
              <w:left w:val="single" w:color="auto" w:sz="6" w:space="0"/>
              <w:bottom w:val="single" w:color="auto" w:sz="6" w:space="0"/>
              <w:right w:val="single" w:color="auto" w:sz="6" w:space="0"/>
            </w:tcBorders>
            <w:vAlign w:val="center"/>
          </w:tcPr>
          <w:p w14:paraId="0B91818C">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采购代理编号</w:t>
            </w:r>
          </w:p>
        </w:tc>
        <w:tc>
          <w:tcPr>
            <w:tcW w:w="2715" w:type="dxa"/>
            <w:tcBorders>
              <w:top w:val="single" w:color="auto" w:sz="6" w:space="0"/>
              <w:left w:val="single" w:color="auto" w:sz="6" w:space="0"/>
              <w:bottom w:val="single" w:color="auto" w:sz="6" w:space="0"/>
              <w:right w:val="double" w:color="auto" w:sz="4" w:space="0"/>
            </w:tcBorders>
            <w:vAlign w:val="center"/>
          </w:tcPr>
          <w:p w14:paraId="3BF1271C">
            <w:pPr>
              <w:spacing w:line="420" w:lineRule="exact"/>
              <w:jc w:val="center"/>
              <w:rPr>
                <w:rFonts w:hint="eastAsia" w:ascii="宋体" w:hAnsi="宋体" w:eastAsia="宋体" w:cs="宋体"/>
                <w:color w:val="auto"/>
                <w:szCs w:val="21"/>
              </w:rPr>
            </w:pPr>
          </w:p>
        </w:tc>
      </w:tr>
      <w:tr w14:paraId="6F5011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620" w:type="dxa"/>
            <w:tcBorders>
              <w:top w:val="single" w:color="auto" w:sz="6" w:space="0"/>
              <w:left w:val="double" w:color="auto" w:sz="4" w:space="0"/>
              <w:bottom w:val="single" w:color="auto" w:sz="6" w:space="0"/>
              <w:right w:val="single" w:color="auto" w:sz="6" w:space="0"/>
            </w:tcBorders>
            <w:vAlign w:val="center"/>
          </w:tcPr>
          <w:p w14:paraId="7F0E47FC">
            <w:pPr>
              <w:spacing w:line="420" w:lineRule="exact"/>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投标报价</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117233F0">
            <w:pPr>
              <w:spacing w:line="420" w:lineRule="exact"/>
              <w:rPr>
                <w:rFonts w:hint="eastAsia" w:ascii="宋体" w:hAnsi="宋体" w:eastAsia="宋体" w:cs="宋体"/>
                <w:iCs/>
                <w:color w:val="auto"/>
                <w:szCs w:val="21"/>
              </w:rPr>
            </w:pPr>
            <w:r>
              <w:rPr>
                <w:rFonts w:hint="eastAsia" w:ascii="宋体" w:hAnsi="宋体" w:eastAsia="宋体" w:cs="宋体"/>
                <w:color w:val="auto"/>
                <w:szCs w:val="21"/>
              </w:rPr>
              <w:t>（小写）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元（大写：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元人民币）</w:t>
            </w:r>
          </w:p>
        </w:tc>
      </w:tr>
      <w:tr w14:paraId="1A16CE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620" w:type="dxa"/>
            <w:tcBorders>
              <w:top w:val="single" w:color="auto" w:sz="6" w:space="0"/>
              <w:left w:val="double" w:color="auto" w:sz="4" w:space="0"/>
              <w:bottom w:val="single" w:color="auto" w:sz="6" w:space="0"/>
              <w:right w:val="single" w:color="auto" w:sz="6" w:space="0"/>
            </w:tcBorders>
            <w:vAlign w:val="center"/>
          </w:tcPr>
          <w:p w14:paraId="3137794B">
            <w:pPr>
              <w:spacing w:line="42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服务期限</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61A99110">
            <w:pPr>
              <w:spacing w:line="420" w:lineRule="exact"/>
              <w:rPr>
                <w:rFonts w:hint="eastAsia" w:ascii="宋体" w:hAnsi="宋体" w:eastAsia="宋体" w:cs="宋体"/>
                <w:iCs/>
                <w:color w:val="auto"/>
                <w:szCs w:val="21"/>
              </w:rPr>
            </w:pPr>
          </w:p>
        </w:tc>
      </w:tr>
      <w:tr w14:paraId="2A846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620" w:type="dxa"/>
            <w:tcBorders>
              <w:top w:val="single" w:color="auto" w:sz="6" w:space="0"/>
              <w:left w:val="double" w:color="auto" w:sz="4" w:space="0"/>
              <w:bottom w:val="single" w:color="auto" w:sz="6" w:space="0"/>
              <w:right w:val="single" w:color="auto" w:sz="6" w:space="0"/>
            </w:tcBorders>
            <w:vAlign w:val="center"/>
          </w:tcPr>
          <w:p w14:paraId="41F7C4E1">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项目负责人</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1F40F729">
            <w:pPr>
              <w:spacing w:line="420" w:lineRule="exact"/>
              <w:ind w:firstLine="210" w:firstLineChars="100"/>
              <w:rPr>
                <w:rFonts w:hint="eastAsia" w:ascii="宋体" w:hAnsi="宋体" w:eastAsia="宋体" w:cs="宋体"/>
                <w:color w:val="auto"/>
                <w:szCs w:val="21"/>
              </w:rPr>
            </w:pPr>
          </w:p>
        </w:tc>
      </w:tr>
      <w:tr w14:paraId="0A77AC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20" w:type="dxa"/>
            <w:tcBorders>
              <w:top w:val="single" w:color="auto" w:sz="6" w:space="0"/>
              <w:left w:val="double" w:color="auto" w:sz="4" w:space="0"/>
              <w:bottom w:val="double" w:color="auto" w:sz="4" w:space="0"/>
              <w:right w:val="single" w:color="auto" w:sz="6" w:space="0"/>
            </w:tcBorders>
            <w:vAlign w:val="center"/>
          </w:tcPr>
          <w:p w14:paraId="64E8E6DB">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备  注</w:t>
            </w:r>
          </w:p>
        </w:tc>
        <w:tc>
          <w:tcPr>
            <w:tcW w:w="7395" w:type="dxa"/>
            <w:gridSpan w:val="3"/>
            <w:tcBorders>
              <w:top w:val="single" w:color="auto" w:sz="6" w:space="0"/>
              <w:left w:val="single" w:color="auto" w:sz="6" w:space="0"/>
              <w:bottom w:val="double" w:color="auto" w:sz="4" w:space="0"/>
              <w:right w:val="double" w:color="auto" w:sz="4" w:space="0"/>
            </w:tcBorders>
            <w:vAlign w:val="center"/>
          </w:tcPr>
          <w:p w14:paraId="3D869A78">
            <w:pPr>
              <w:spacing w:line="420" w:lineRule="exact"/>
              <w:rPr>
                <w:rFonts w:hint="eastAsia" w:ascii="宋体" w:hAnsi="宋体" w:eastAsia="宋体" w:cs="宋体"/>
                <w:color w:val="auto"/>
                <w:szCs w:val="21"/>
              </w:rPr>
            </w:pPr>
          </w:p>
        </w:tc>
      </w:tr>
    </w:tbl>
    <w:p w14:paraId="65CFFBD9">
      <w:pPr>
        <w:adjustRightInd w:val="0"/>
        <w:snapToGrid w:val="0"/>
        <w:spacing w:afterLines="50"/>
        <w:rPr>
          <w:rFonts w:hint="eastAsia" w:ascii="宋体" w:hAnsi="宋体" w:eastAsia="宋体" w:cs="宋体"/>
          <w:color w:val="auto"/>
          <w:sz w:val="20"/>
          <w:szCs w:val="20"/>
        </w:rPr>
      </w:pPr>
    </w:p>
    <w:p w14:paraId="72B2947F">
      <w:pPr>
        <w:adjustRightInd w:val="0"/>
        <w:snapToGrid w:val="0"/>
        <w:spacing w:afterLines="50"/>
        <w:rPr>
          <w:rFonts w:hint="eastAsia" w:ascii="宋体" w:hAnsi="宋体" w:eastAsia="宋体" w:cs="宋体"/>
          <w:color w:val="auto"/>
          <w:sz w:val="20"/>
          <w:szCs w:val="20"/>
        </w:rPr>
      </w:pPr>
    </w:p>
    <w:p w14:paraId="0617553D">
      <w:pPr>
        <w:adjustRightInd w:val="0"/>
        <w:snapToGrid w:val="0"/>
        <w:spacing w:line="360" w:lineRule="auto"/>
        <w:rPr>
          <w:rFonts w:hint="eastAsia" w:ascii="宋体" w:hAnsi="宋体" w:eastAsia="宋体" w:cs="宋体"/>
          <w:color w:val="auto"/>
          <w:szCs w:val="21"/>
        </w:rPr>
      </w:pPr>
    </w:p>
    <w:p w14:paraId="28DF72DF">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供应商（盖单位章）：</w:t>
      </w:r>
    </w:p>
    <w:p w14:paraId="7AB353CC">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49200782">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0C1DD3C9">
      <w:pPr>
        <w:widowControl/>
        <w:jc w:val="left"/>
        <w:rPr>
          <w:rFonts w:hint="eastAsia" w:ascii="宋体" w:hAnsi="宋体" w:eastAsia="宋体" w:cs="宋体"/>
          <w:color w:val="auto"/>
          <w:szCs w:val="21"/>
        </w:rPr>
      </w:pPr>
    </w:p>
    <w:p w14:paraId="2104AE2B">
      <w:pPr>
        <w:jc w:val="left"/>
        <w:rPr>
          <w:rFonts w:hint="eastAsia" w:ascii="宋体" w:hAnsi="宋体" w:eastAsia="宋体" w:cs="宋体"/>
          <w:color w:val="auto"/>
        </w:rPr>
      </w:pPr>
    </w:p>
    <w:p w14:paraId="2D1D64E5">
      <w:pPr>
        <w:adjustRightInd w:val="0"/>
        <w:snapToGrid w:val="0"/>
        <w:jc w:val="center"/>
        <w:rPr>
          <w:rFonts w:hint="eastAsia" w:ascii="宋体" w:hAnsi="宋体" w:eastAsia="宋体" w:cs="宋体"/>
          <w:color w:val="auto"/>
          <w:szCs w:val="21"/>
        </w:rPr>
        <w:sectPr>
          <w:pgSz w:w="11906" w:h="16838"/>
          <w:pgMar w:top="1440" w:right="1800" w:bottom="1118" w:left="1800" w:header="851" w:footer="992" w:gutter="0"/>
          <w:pgBorders>
            <w:top w:val="none" w:sz="0" w:space="0"/>
            <w:left w:val="none" w:sz="0" w:space="0"/>
            <w:bottom w:val="none" w:sz="0" w:space="0"/>
            <w:right w:val="none" w:sz="0" w:space="0"/>
          </w:pgBorders>
          <w:cols w:space="720" w:num="1"/>
          <w:titlePg/>
          <w:docGrid w:linePitch="312" w:charSpace="0"/>
        </w:sectPr>
      </w:pPr>
    </w:p>
    <w:p w14:paraId="1FEC3004">
      <w:pPr>
        <w:adjustRightInd w:val="0"/>
        <w:snapToGrid w:val="0"/>
        <w:jc w:val="center"/>
        <w:rPr>
          <w:rFonts w:hint="eastAsia" w:ascii="宋体" w:hAnsi="宋体" w:eastAsia="宋体" w:cs="宋体"/>
          <w:b/>
          <w:color w:val="auto"/>
          <w:sz w:val="28"/>
          <w:szCs w:val="28"/>
        </w:rPr>
      </w:pPr>
      <w:bookmarkStart w:id="246" w:name="_Toc7267_WPSOffice_Level2"/>
      <w:r>
        <w:rPr>
          <w:rFonts w:hint="eastAsia" w:ascii="宋体" w:hAnsi="宋体" w:eastAsia="宋体" w:cs="宋体"/>
          <w:b/>
          <w:color w:val="auto"/>
          <w:sz w:val="28"/>
          <w:szCs w:val="28"/>
        </w:rPr>
        <w:t>分项价格表</w:t>
      </w:r>
      <w:bookmarkEnd w:id="246"/>
      <w:r>
        <w:rPr>
          <w:rFonts w:hint="eastAsia" w:ascii="宋体" w:hAnsi="宋体" w:eastAsia="宋体" w:cs="宋体"/>
          <w:b/>
          <w:color w:val="auto"/>
          <w:sz w:val="28"/>
          <w:szCs w:val="28"/>
        </w:rPr>
        <w:t xml:space="preserve"> </w:t>
      </w:r>
    </w:p>
    <w:p w14:paraId="6CB693E5">
      <w:pPr>
        <w:spacing w:line="360" w:lineRule="exact"/>
        <w:ind w:firstLine="211" w:firstLineChars="100"/>
        <w:rPr>
          <w:rFonts w:hint="eastAsia" w:ascii="宋体" w:hAnsi="宋体" w:eastAsia="宋体" w:cs="宋体"/>
          <w:b/>
          <w:color w:val="auto"/>
        </w:rPr>
      </w:pPr>
    </w:p>
    <w:p w14:paraId="3891E36B">
      <w:pPr>
        <w:spacing w:line="360" w:lineRule="exact"/>
        <w:ind w:firstLine="211" w:firstLineChars="100"/>
        <w:rPr>
          <w:rFonts w:hint="eastAsia" w:ascii="宋体" w:hAnsi="宋体" w:eastAsia="宋体" w:cs="宋体"/>
          <w:b/>
          <w:color w:val="auto"/>
        </w:rPr>
      </w:pPr>
    </w:p>
    <w:p w14:paraId="241F934B">
      <w:pPr>
        <w:spacing w:line="360" w:lineRule="exact"/>
        <w:ind w:firstLine="211" w:firstLineChars="100"/>
        <w:jc w:val="left"/>
        <w:rPr>
          <w:rFonts w:hint="eastAsia" w:ascii="宋体" w:hAnsi="宋体" w:eastAsia="宋体" w:cs="宋体"/>
          <w:b/>
          <w:color w:val="auto"/>
        </w:rPr>
      </w:pPr>
      <w:bookmarkStart w:id="247" w:name="_Toc2641_WPSOffice_Level2"/>
      <w:r>
        <w:rPr>
          <w:rFonts w:hint="eastAsia" w:ascii="宋体" w:hAnsi="宋体" w:eastAsia="宋体" w:cs="宋体"/>
          <w:b/>
          <w:color w:val="auto"/>
        </w:rPr>
        <w:t>项目名称：</w:t>
      </w:r>
      <w:bookmarkEnd w:id="247"/>
    </w:p>
    <w:p w14:paraId="4A9296F3">
      <w:pPr>
        <w:spacing w:line="360" w:lineRule="exact"/>
        <w:ind w:firstLine="211" w:firstLineChars="100"/>
        <w:jc w:val="left"/>
        <w:rPr>
          <w:rFonts w:hint="eastAsia" w:ascii="宋体" w:hAnsi="宋体" w:eastAsia="宋体" w:cs="宋体"/>
          <w:b/>
          <w:color w:val="auto"/>
        </w:rPr>
      </w:pPr>
      <w:bookmarkStart w:id="248" w:name="_Toc26131_WPSOffice_Level2"/>
      <w:r>
        <w:rPr>
          <w:rFonts w:hint="eastAsia" w:ascii="宋体" w:hAnsi="宋体" w:eastAsia="宋体" w:cs="宋体"/>
          <w:b/>
          <w:color w:val="auto"/>
        </w:rPr>
        <w:t>包号：                                                           金额单位：元</w:t>
      </w:r>
      <w:bookmarkEnd w:id="248"/>
    </w:p>
    <w:tbl>
      <w:tblPr>
        <w:tblStyle w:val="26"/>
        <w:tblW w:w="91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182"/>
        <w:gridCol w:w="825"/>
        <w:gridCol w:w="783"/>
        <w:gridCol w:w="1221"/>
        <w:gridCol w:w="943"/>
        <w:gridCol w:w="825"/>
        <w:gridCol w:w="825"/>
        <w:gridCol w:w="1001"/>
        <w:gridCol w:w="904"/>
      </w:tblGrid>
      <w:tr w14:paraId="3F0D4E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0" w:type="dxa"/>
            <w:vAlign w:val="center"/>
          </w:tcPr>
          <w:p w14:paraId="21BB782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182" w:type="dxa"/>
            <w:vAlign w:val="center"/>
          </w:tcPr>
          <w:p w14:paraId="02326C1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服务名称</w:t>
            </w:r>
          </w:p>
        </w:tc>
        <w:tc>
          <w:tcPr>
            <w:tcW w:w="825" w:type="dxa"/>
            <w:vAlign w:val="center"/>
          </w:tcPr>
          <w:p w14:paraId="520EC92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品目代码</w:t>
            </w:r>
          </w:p>
        </w:tc>
        <w:tc>
          <w:tcPr>
            <w:tcW w:w="783" w:type="dxa"/>
            <w:vAlign w:val="center"/>
          </w:tcPr>
          <w:p w14:paraId="664334A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计量单位</w:t>
            </w:r>
          </w:p>
        </w:tc>
        <w:tc>
          <w:tcPr>
            <w:tcW w:w="1221" w:type="dxa"/>
            <w:vAlign w:val="center"/>
          </w:tcPr>
          <w:p w14:paraId="0E71BF4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具体要求说明</w:t>
            </w:r>
          </w:p>
        </w:tc>
        <w:tc>
          <w:tcPr>
            <w:tcW w:w="943" w:type="dxa"/>
            <w:vAlign w:val="center"/>
          </w:tcPr>
          <w:p w14:paraId="111115E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单价</w:t>
            </w:r>
          </w:p>
        </w:tc>
        <w:tc>
          <w:tcPr>
            <w:tcW w:w="825" w:type="dxa"/>
            <w:vAlign w:val="center"/>
          </w:tcPr>
          <w:p w14:paraId="091731E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25" w:type="dxa"/>
            <w:vAlign w:val="center"/>
          </w:tcPr>
          <w:p w14:paraId="56DA51C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合计</w:t>
            </w:r>
          </w:p>
        </w:tc>
        <w:tc>
          <w:tcPr>
            <w:tcW w:w="1001" w:type="dxa"/>
            <w:vAlign w:val="center"/>
          </w:tcPr>
          <w:p w14:paraId="036A564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政策功能编码</w:t>
            </w:r>
          </w:p>
        </w:tc>
        <w:tc>
          <w:tcPr>
            <w:tcW w:w="904" w:type="dxa"/>
            <w:vAlign w:val="center"/>
          </w:tcPr>
          <w:p w14:paraId="60A46BE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71EB15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0" w:type="dxa"/>
            <w:vAlign w:val="center"/>
          </w:tcPr>
          <w:p w14:paraId="7951AD41">
            <w:pPr>
              <w:adjustRightInd w:val="0"/>
              <w:snapToGrid w:val="0"/>
              <w:spacing w:line="360" w:lineRule="auto"/>
              <w:jc w:val="center"/>
              <w:rPr>
                <w:rFonts w:hint="eastAsia" w:ascii="宋体" w:hAnsi="宋体" w:eastAsia="宋体" w:cs="宋体"/>
                <w:color w:val="auto"/>
                <w:szCs w:val="21"/>
              </w:rPr>
            </w:pPr>
          </w:p>
        </w:tc>
        <w:tc>
          <w:tcPr>
            <w:tcW w:w="1182" w:type="dxa"/>
            <w:vAlign w:val="center"/>
          </w:tcPr>
          <w:p w14:paraId="41676207">
            <w:pPr>
              <w:adjustRightInd w:val="0"/>
              <w:snapToGrid w:val="0"/>
              <w:spacing w:line="360" w:lineRule="auto"/>
              <w:jc w:val="center"/>
              <w:rPr>
                <w:rFonts w:hint="eastAsia" w:ascii="宋体" w:hAnsi="宋体" w:eastAsia="宋体" w:cs="宋体"/>
                <w:color w:val="auto"/>
                <w:szCs w:val="21"/>
              </w:rPr>
            </w:pPr>
          </w:p>
        </w:tc>
        <w:tc>
          <w:tcPr>
            <w:tcW w:w="825" w:type="dxa"/>
          </w:tcPr>
          <w:p w14:paraId="4FFDAE03">
            <w:pPr>
              <w:adjustRightInd w:val="0"/>
              <w:snapToGrid w:val="0"/>
              <w:spacing w:line="360" w:lineRule="auto"/>
              <w:jc w:val="center"/>
              <w:rPr>
                <w:rFonts w:hint="eastAsia" w:ascii="宋体" w:hAnsi="宋体" w:eastAsia="宋体" w:cs="宋体"/>
                <w:color w:val="auto"/>
                <w:szCs w:val="21"/>
              </w:rPr>
            </w:pPr>
          </w:p>
        </w:tc>
        <w:tc>
          <w:tcPr>
            <w:tcW w:w="783" w:type="dxa"/>
          </w:tcPr>
          <w:p w14:paraId="39AC625A">
            <w:pPr>
              <w:adjustRightInd w:val="0"/>
              <w:snapToGrid w:val="0"/>
              <w:spacing w:line="360" w:lineRule="auto"/>
              <w:jc w:val="center"/>
              <w:rPr>
                <w:rFonts w:hint="eastAsia" w:ascii="宋体" w:hAnsi="宋体" w:eastAsia="宋体" w:cs="宋体"/>
                <w:color w:val="auto"/>
                <w:szCs w:val="21"/>
              </w:rPr>
            </w:pPr>
          </w:p>
        </w:tc>
        <w:tc>
          <w:tcPr>
            <w:tcW w:w="1221" w:type="dxa"/>
          </w:tcPr>
          <w:p w14:paraId="37DEFA38">
            <w:pPr>
              <w:adjustRightInd w:val="0"/>
              <w:snapToGrid w:val="0"/>
              <w:spacing w:line="360" w:lineRule="auto"/>
              <w:jc w:val="center"/>
              <w:rPr>
                <w:rFonts w:hint="eastAsia" w:ascii="宋体" w:hAnsi="宋体" w:eastAsia="宋体" w:cs="宋体"/>
                <w:color w:val="auto"/>
                <w:szCs w:val="21"/>
              </w:rPr>
            </w:pPr>
          </w:p>
        </w:tc>
        <w:tc>
          <w:tcPr>
            <w:tcW w:w="943" w:type="dxa"/>
            <w:vAlign w:val="center"/>
          </w:tcPr>
          <w:p w14:paraId="3B4F8BBE">
            <w:pPr>
              <w:adjustRightInd w:val="0"/>
              <w:snapToGrid w:val="0"/>
              <w:spacing w:line="360" w:lineRule="auto"/>
              <w:jc w:val="center"/>
              <w:rPr>
                <w:rFonts w:hint="eastAsia" w:ascii="宋体" w:hAnsi="宋体" w:eastAsia="宋体" w:cs="宋体"/>
                <w:color w:val="auto"/>
                <w:szCs w:val="21"/>
              </w:rPr>
            </w:pPr>
          </w:p>
        </w:tc>
        <w:tc>
          <w:tcPr>
            <w:tcW w:w="825" w:type="dxa"/>
            <w:vAlign w:val="center"/>
          </w:tcPr>
          <w:p w14:paraId="58E4C1A8">
            <w:pPr>
              <w:adjustRightInd w:val="0"/>
              <w:snapToGrid w:val="0"/>
              <w:spacing w:line="360" w:lineRule="auto"/>
              <w:jc w:val="center"/>
              <w:rPr>
                <w:rFonts w:hint="eastAsia" w:ascii="宋体" w:hAnsi="宋体" w:eastAsia="宋体" w:cs="宋体"/>
                <w:color w:val="auto"/>
                <w:szCs w:val="21"/>
              </w:rPr>
            </w:pPr>
          </w:p>
        </w:tc>
        <w:tc>
          <w:tcPr>
            <w:tcW w:w="825" w:type="dxa"/>
          </w:tcPr>
          <w:p w14:paraId="0365DBA2">
            <w:pPr>
              <w:adjustRightInd w:val="0"/>
              <w:snapToGrid w:val="0"/>
              <w:spacing w:line="360" w:lineRule="auto"/>
              <w:jc w:val="center"/>
              <w:rPr>
                <w:rFonts w:hint="eastAsia" w:ascii="宋体" w:hAnsi="宋体" w:eastAsia="宋体" w:cs="宋体"/>
                <w:color w:val="auto"/>
                <w:szCs w:val="21"/>
              </w:rPr>
            </w:pPr>
          </w:p>
        </w:tc>
        <w:tc>
          <w:tcPr>
            <w:tcW w:w="1001" w:type="dxa"/>
            <w:vAlign w:val="center"/>
          </w:tcPr>
          <w:p w14:paraId="7391CD4C">
            <w:pPr>
              <w:adjustRightInd w:val="0"/>
              <w:snapToGrid w:val="0"/>
              <w:spacing w:line="360" w:lineRule="auto"/>
              <w:jc w:val="center"/>
              <w:rPr>
                <w:rFonts w:hint="eastAsia" w:ascii="宋体" w:hAnsi="宋体" w:eastAsia="宋体" w:cs="宋体"/>
                <w:color w:val="auto"/>
                <w:szCs w:val="21"/>
              </w:rPr>
            </w:pPr>
          </w:p>
        </w:tc>
        <w:tc>
          <w:tcPr>
            <w:tcW w:w="904" w:type="dxa"/>
            <w:vAlign w:val="center"/>
          </w:tcPr>
          <w:p w14:paraId="49657F00">
            <w:pPr>
              <w:adjustRightInd w:val="0"/>
              <w:snapToGrid w:val="0"/>
              <w:spacing w:line="360" w:lineRule="auto"/>
              <w:jc w:val="center"/>
              <w:rPr>
                <w:rFonts w:hint="eastAsia" w:ascii="宋体" w:hAnsi="宋体" w:eastAsia="宋体" w:cs="宋体"/>
                <w:color w:val="auto"/>
                <w:szCs w:val="21"/>
              </w:rPr>
            </w:pPr>
          </w:p>
        </w:tc>
      </w:tr>
      <w:tr w14:paraId="1BA3D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0" w:type="dxa"/>
            <w:vAlign w:val="center"/>
          </w:tcPr>
          <w:p w14:paraId="4AF4144C">
            <w:pPr>
              <w:adjustRightInd w:val="0"/>
              <w:snapToGrid w:val="0"/>
              <w:spacing w:line="360" w:lineRule="auto"/>
              <w:jc w:val="center"/>
              <w:rPr>
                <w:rFonts w:hint="eastAsia" w:ascii="宋体" w:hAnsi="宋体" w:eastAsia="宋体" w:cs="宋体"/>
                <w:color w:val="auto"/>
                <w:szCs w:val="21"/>
              </w:rPr>
            </w:pPr>
          </w:p>
        </w:tc>
        <w:tc>
          <w:tcPr>
            <w:tcW w:w="1182" w:type="dxa"/>
            <w:vAlign w:val="center"/>
          </w:tcPr>
          <w:p w14:paraId="1ED2563B">
            <w:pPr>
              <w:adjustRightInd w:val="0"/>
              <w:snapToGrid w:val="0"/>
              <w:spacing w:line="360" w:lineRule="auto"/>
              <w:jc w:val="center"/>
              <w:rPr>
                <w:rFonts w:hint="eastAsia" w:ascii="宋体" w:hAnsi="宋体" w:eastAsia="宋体" w:cs="宋体"/>
                <w:color w:val="auto"/>
                <w:szCs w:val="21"/>
              </w:rPr>
            </w:pPr>
          </w:p>
        </w:tc>
        <w:tc>
          <w:tcPr>
            <w:tcW w:w="825" w:type="dxa"/>
          </w:tcPr>
          <w:p w14:paraId="65B99201">
            <w:pPr>
              <w:adjustRightInd w:val="0"/>
              <w:snapToGrid w:val="0"/>
              <w:spacing w:line="360" w:lineRule="auto"/>
              <w:jc w:val="center"/>
              <w:rPr>
                <w:rFonts w:hint="eastAsia" w:ascii="宋体" w:hAnsi="宋体" w:eastAsia="宋体" w:cs="宋体"/>
                <w:color w:val="auto"/>
                <w:szCs w:val="21"/>
              </w:rPr>
            </w:pPr>
          </w:p>
        </w:tc>
        <w:tc>
          <w:tcPr>
            <w:tcW w:w="783" w:type="dxa"/>
          </w:tcPr>
          <w:p w14:paraId="17678D44">
            <w:pPr>
              <w:adjustRightInd w:val="0"/>
              <w:snapToGrid w:val="0"/>
              <w:spacing w:line="360" w:lineRule="auto"/>
              <w:jc w:val="center"/>
              <w:rPr>
                <w:rFonts w:hint="eastAsia" w:ascii="宋体" w:hAnsi="宋体" w:eastAsia="宋体" w:cs="宋体"/>
                <w:color w:val="auto"/>
                <w:szCs w:val="21"/>
              </w:rPr>
            </w:pPr>
          </w:p>
        </w:tc>
        <w:tc>
          <w:tcPr>
            <w:tcW w:w="1221" w:type="dxa"/>
          </w:tcPr>
          <w:p w14:paraId="65849D57">
            <w:pPr>
              <w:adjustRightInd w:val="0"/>
              <w:snapToGrid w:val="0"/>
              <w:spacing w:line="360" w:lineRule="auto"/>
              <w:jc w:val="center"/>
              <w:rPr>
                <w:rFonts w:hint="eastAsia" w:ascii="宋体" w:hAnsi="宋体" w:eastAsia="宋体" w:cs="宋体"/>
                <w:color w:val="auto"/>
                <w:szCs w:val="21"/>
              </w:rPr>
            </w:pPr>
          </w:p>
        </w:tc>
        <w:tc>
          <w:tcPr>
            <w:tcW w:w="943" w:type="dxa"/>
            <w:vAlign w:val="center"/>
          </w:tcPr>
          <w:p w14:paraId="49E1CE0C">
            <w:pPr>
              <w:adjustRightInd w:val="0"/>
              <w:snapToGrid w:val="0"/>
              <w:spacing w:line="360" w:lineRule="auto"/>
              <w:jc w:val="center"/>
              <w:rPr>
                <w:rFonts w:hint="eastAsia" w:ascii="宋体" w:hAnsi="宋体" w:eastAsia="宋体" w:cs="宋体"/>
                <w:color w:val="auto"/>
                <w:szCs w:val="21"/>
              </w:rPr>
            </w:pPr>
          </w:p>
        </w:tc>
        <w:tc>
          <w:tcPr>
            <w:tcW w:w="825" w:type="dxa"/>
            <w:vAlign w:val="center"/>
          </w:tcPr>
          <w:p w14:paraId="1E87B676">
            <w:pPr>
              <w:adjustRightInd w:val="0"/>
              <w:snapToGrid w:val="0"/>
              <w:spacing w:line="360" w:lineRule="auto"/>
              <w:jc w:val="center"/>
              <w:rPr>
                <w:rFonts w:hint="eastAsia" w:ascii="宋体" w:hAnsi="宋体" w:eastAsia="宋体" w:cs="宋体"/>
                <w:color w:val="auto"/>
                <w:szCs w:val="21"/>
              </w:rPr>
            </w:pPr>
          </w:p>
        </w:tc>
        <w:tc>
          <w:tcPr>
            <w:tcW w:w="825" w:type="dxa"/>
          </w:tcPr>
          <w:p w14:paraId="5559B68D">
            <w:pPr>
              <w:adjustRightInd w:val="0"/>
              <w:snapToGrid w:val="0"/>
              <w:spacing w:line="360" w:lineRule="auto"/>
              <w:jc w:val="center"/>
              <w:rPr>
                <w:rFonts w:hint="eastAsia" w:ascii="宋体" w:hAnsi="宋体" w:eastAsia="宋体" w:cs="宋体"/>
                <w:color w:val="auto"/>
                <w:szCs w:val="21"/>
              </w:rPr>
            </w:pPr>
          </w:p>
        </w:tc>
        <w:tc>
          <w:tcPr>
            <w:tcW w:w="1001" w:type="dxa"/>
            <w:vAlign w:val="center"/>
          </w:tcPr>
          <w:p w14:paraId="24E5EA67">
            <w:pPr>
              <w:adjustRightInd w:val="0"/>
              <w:snapToGrid w:val="0"/>
              <w:spacing w:line="360" w:lineRule="auto"/>
              <w:jc w:val="center"/>
              <w:rPr>
                <w:rFonts w:hint="eastAsia" w:ascii="宋体" w:hAnsi="宋体" w:eastAsia="宋体" w:cs="宋体"/>
                <w:color w:val="auto"/>
                <w:szCs w:val="21"/>
              </w:rPr>
            </w:pPr>
          </w:p>
        </w:tc>
        <w:tc>
          <w:tcPr>
            <w:tcW w:w="904" w:type="dxa"/>
            <w:vAlign w:val="center"/>
          </w:tcPr>
          <w:p w14:paraId="65655F65">
            <w:pPr>
              <w:adjustRightInd w:val="0"/>
              <w:snapToGrid w:val="0"/>
              <w:spacing w:line="360" w:lineRule="auto"/>
              <w:jc w:val="center"/>
              <w:rPr>
                <w:rFonts w:hint="eastAsia" w:ascii="宋体" w:hAnsi="宋体" w:eastAsia="宋体" w:cs="宋体"/>
                <w:color w:val="auto"/>
                <w:szCs w:val="21"/>
              </w:rPr>
            </w:pPr>
          </w:p>
        </w:tc>
      </w:tr>
      <w:tr w14:paraId="38C4F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0" w:type="dxa"/>
            <w:vAlign w:val="center"/>
          </w:tcPr>
          <w:p w14:paraId="53E86640">
            <w:pPr>
              <w:adjustRightInd w:val="0"/>
              <w:snapToGrid w:val="0"/>
              <w:spacing w:line="360" w:lineRule="auto"/>
              <w:jc w:val="center"/>
              <w:rPr>
                <w:rFonts w:hint="eastAsia" w:ascii="宋体" w:hAnsi="宋体" w:eastAsia="宋体" w:cs="宋体"/>
                <w:color w:val="auto"/>
                <w:szCs w:val="21"/>
              </w:rPr>
            </w:pPr>
          </w:p>
        </w:tc>
        <w:tc>
          <w:tcPr>
            <w:tcW w:w="1182" w:type="dxa"/>
            <w:vAlign w:val="center"/>
          </w:tcPr>
          <w:p w14:paraId="25A8A5B1">
            <w:pPr>
              <w:adjustRightInd w:val="0"/>
              <w:snapToGrid w:val="0"/>
              <w:spacing w:line="360" w:lineRule="auto"/>
              <w:jc w:val="center"/>
              <w:rPr>
                <w:rFonts w:hint="eastAsia" w:ascii="宋体" w:hAnsi="宋体" w:eastAsia="宋体" w:cs="宋体"/>
                <w:color w:val="auto"/>
                <w:szCs w:val="21"/>
              </w:rPr>
            </w:pPr>
          </w:p>
        </w:tc>
        <w:tc>
          <w:tcPr>
            <w:tcW w:w="825" w:type="dxa"/>
          </w:tcPr>
          <w:p w14:paraId="2902FFF3">
            <w:pPr>
              <w:adjustRightInd w:val="0"/>
              <w:snapToGrid w:val="0"/>
              <w:spacing w:line="360" w:lineRule="auto"/>
              <w:jc w:val="center"/>
              <w:rPr>
                <w:rFonts w:hint="eastAsia" w:ascii="宋体" w:hAnsi="宋体" w:eastAsia="宋体" w:cs="宋体"/>
                <w:color w:val="auto"/>
                <w:szCs w:val="21"/>
              </w:rPr>
            </w:pPr>
          </w:p>
        </w:tc>
        <w:tc>
          <w:tcPr>
            <w:tcW w:w="783" w:type="dxa"/>
          </w:tcPr>
          <w:p w14:paraId="4C147C1E">
            <w:pPr>
              <w:adjustRightInd w:val="0"/>
              <w:snapToGrid w:val="0"/>
              <w:spacing w:line="360" w:lineRule="auto"/>
              <w:jc w:val="center"/>
              <w:rPr>
                <w:rFonts w:hint="eastAsia" w:ascii="宋体" w:hAnsi="宋体" w:eastAsia="宋体" w:cs="宋体"/>
                <w:color w:val="auto"/>
                <w:szCs w:val="21"/>
              </w:rPr>
            </w:pPr>
          </w:p>
        </w:tc>
        <w:tc>
          <w:tcPr>
            <w:tcW w:w="1221" w:type="dxa"/>
          </w:tcPr>
          <w:p w14:paraId="68AC33C5">
            <w:pPr>
              <w:adjustRightInd w:val="0"/>
              <w:snapToGrid w:val="0"/>
              <w:spacing w:line="360" w:lineRule="auto"/>
              <w:jc w:val="center"/>
              <w:rPr>
                <w:rFonts w:hint="eastAsia" w:ascii="宋体" w:hAnsi="宋体" w:eastAsia="宋体" w:cs="宋体"/>
                <w:color w:val="auto"/>
                <w:szCs w:val="21"/>
              </w:rPr>
            </w:pPr>
          </w:p>
        </w:tc>
        <w:tc>
          <w:tcPr>
            <w:tcW w:w="943" w:type="dxa"/>
            <w:vAlign w:val="center"/>
          </w:tcPr>
          <w:p w14:paraId="3DECAF88">
            <w:pPr>
              <w:adjustRightInd w:val="0"/>
              <w:snapToGrid w:val="0"/>
              <w:spacing w:line="360" w:lineRule="auto"/>
              <w:jc w:val="center"/>
              <w:rPr>
                <w:rFonts w:hint="eastAsia" w:ascii="宋体" w:hAnsi="宋体" w:eastAsia="宋体" w:cs="宋体"/>
                <w:color w:val="auto"/>
                <w:szCs w:val="21"/>
              </w:rPr>
            </w:pPr>
          </w:p>
        </w:tc>
        <w:tc>
          <w:tcPr>
            <w:tcW w:w="825" w:type="dxa"/>
            <w:vAlign w:val="center"/>
          </w:tcPr>
          <w:p w14:paraId="3F94A6AE">
            <w:pPr>
              <w:adjustRightInd w:val="0"/>
              <w:snapToGrid w:val="0"/>
              <w:spacing w:line="360" w:lineRule="auto"/>
              <w:jc w:val="center"/>
              <w:rPr>
                <w:rFonts w:hint="eastAsia" w:ascii="宋体" w:hAnsi="宋体" w:eastAsia="宋体" w:cs="宋体"/>
                <w:color w:val="auto"/>
                <w:szCs w:val="21"/>
              </w:rPr>
            </w:pPr>
          </w:p>
        </w:tc>
        <w:tc>
          <w:tcPr>
            <w:tcW w:w="825" w:type="dxa"/>
          </w:tcPr>
          <w:p w14:paraId="38D3E1E9">
            <w:pPr>
              <w:adjustRightInd w:val="0"/>
              <w:snapToGrid w:val="0"/>
              <w:spacing w:line="360" w:lineRule="auto"/>
              <w:jc w:val="center"/>
              <w:rPr>
                <w:rFonts w:hint="eastAsia" w:ascii="宋体" w:hAnsi="宋体" w:eastAsia="宋体" w:cs="宋体"/>
                <w:color w:val="auto"/>
                <w:szCs w:val="21"/>
              </w:rPr>
            </w:pPr>
          </w:p>
        </w:tc>
        <w:tc>
          <w:tcPr>
            <w:tcW w:w="1001" w:type="dxa"/>
            <w:vAlign w:val="center"/>
          </w:tcPr>
          <w:p w14:paraId="0CAF217E">
            <w:pPr>
              <w:adjustRightInd w:val="0"/>
              <w:snapToGrid w:val="0"/>
              <w:spacing w:line="360" w:lineRule="auto"/>
              <w:jc w:val="center"/>
              <w:rPr>
                <w:rFonts w:hint="eastAsia" w:ascii="宋体" w:hAnsi="宋体" w:eastAsia="宋体" w:cs="宋体"/>
                <w:color w:val="auto"/>
                <w:szCs w:val="21"/>
              </w:rPr>
            </w:pPr>
          </w:p>
        </w:tc>
        <w:tc>
          <w:tcPr>
            <w:tcW w:w="904" w:type="dxa"/>
            <w:vAlign w:val="center"/>
          </w:tcPr>
          <w:p w14:paraId="6967B2D9">
            <w:pPr>
              <w:adjustRightInd w:val="0"/>
              <w:snapToGrid w:val="0"/>
              <w:spacing w:line="360" w:lineRule="auto"/>
              <w:jc w:val="center"/>
              <w:rPr>
                <w:rFonts w:hint="eastAsia" w:ascii="宋体" w:hAnsi="宋体" w:eastAsia="宋体" w:cs="宋体"/>
                <w:color w:val="auto"/>
                <w:szCs w:val="21"/>
              </w:rPr>
            </w:pPr>
          </w:p>
        </w:tc>
      </w:tr>
      <w:tr w14:paraId="52FCDB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20" w:type="dxa"/>
            <w:vAlign w:val="center"/>
          </w:tcPr>
          <w:p w14:paraId="26DBEBDC">
            <w:pPr>
              <w:adjustRightInd w:val="0"/>
              <w:snapToGrid w:val="0"/>
              <w:spacing w:line="360" w:lineRule="auto"/>
              <w:jc w:val="center"/>
              <w:rPr>
                <w:rFonts w:hint="eastAsia" w:ascii="宋体" w:hAnsi="宋体" w:eastAsia="宋体" w:cs="宋体"/>
                <w:color w:val="auto"/>
                <w:szCs w:val="21"/>
              </w:rPr>
            </w:pPr>
          </w:p>
        </w:tc>
        <w:tc>
          <w:tcPr>
            <w:tcW w:w="1182" w:type="dxa"/>
            <w:vAlign w:val="center"/>
          </w:tcPr>
          <w:p w14:paraId="0E34AA4E">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合计</w:t>
            </w:r>
          </w:p>
        </w:tc>
        <w:tc>
          <w:tcPr>
            <w:tcW w:w="825" w:type="dxa"/>
          </w:tcPr>
          <w:p w14:paraId="33EBED3E">
            <w:pPr>
              <w:adjustRightInd w:val="0"/>
              <w:snapToGrid w:val="0"/>
              <w:spacing w:line="360" w:lineRule="auto"/>
              <w:jc w:val="center"/>
              <w:rPr>
                <w:rFonts w:hint="eastAsia" w:ascii="宋体" w:hAnsi="宋体" w:eastAsia="宋体" w:cs="宋体"/>
                <w:color w:val="auto"/>
                <w:szCs w:val="21"/>
              </w:rPr>
            </w:pPr>
          </w:p>
        </w:tc>
        <w:tc>
          <w:tcPr>
            <w:tcW w:w="783" w:type="dxa"/>
          </w:tcPr>
          <w:p w14:paraId="0B6E21FA">
            <w:pPr>
              <w:adjustRightInd w:val="0"/>
              <w:snapToGrid w:val="0"/>
              <w:spacing w:line="360" w:lineRule="auto"/>
              <w:jc w:val="center"/>
              <w:rPr>
                <w:rFonts w:hint="eastAsia" w:ascii="宋体" w:hAnsi="宋体" w:eastAsia="宋体" w:cs="宋体"/>
                <w:color w:val="auto"/>
                <w:szCs w:val="21"/>
              </w:rPr>
            </w:pPr>
          </w:p>
        </w:tc>
        <w:tc>
          <w:tcPr>
            <w:tcW w:w="1221" w:type="dxa"/>
          </w:tcPr>
          <w:p w14:paraId="6724D50A">
            <w:pPr>
              <w:adjustRightInd w:val="0"/>
              <w:snapToGrid w:val="0"/>
              <w:spacing w:line="360" w:lineRule="auto"/>
              <w:jc w:val="center"/>
              <w:rPr>
                <w:rFonts w:hint="eastAsia" w:ascii="宋体" w:hAnsi="宋体" w:eastAsia="宋体" w:cs="宋体"/>
                <w:color w:val="auto"/>
                <w:szCs w:val="21"/>
              </w:rPr>
            </w:pPr>
          </w:p>
        </w:tc>
        <w:tc>
          <w:tcPr>
            <w:tcW w:w="943" w:type="dxa"/>
            <w:vAlign w:val="center"/>
          </w:tcPr>
          <w:p w14:paraId="7585D08B">
            <w:pPr>
              <w:adjustRightInd w:val="0"/>
              <w:snapToGrid w:val="0"/>
              <w:spacing w:line="360" w:lineRule="auto"/>
              <w:jc w:val="center"/>
              <w:rPr>
                <w:rFonts w:hint="eastAsia" w:ascii="宋体" w:hAnsi="宋体" w:eastAsia="宋体" w:cs="宋体"/>
                <w:color w:val="auto"/>
                <w:szCs w:val="21"/>
              </w:rPr>
            </w:pPr>
          </w:p>
        </w:tc>
        <w:tc>
          <w:tcPr>
            <w:tcW w:w="825" w:type="dxa"/>
            <w:vAlign w:val="center"/>
          </w:tcPr>
          <w:p w14:paraId="4E25BAC0">
            <w:pPr>
              <w:adjustRightInd w:val="0"/>
              <w:snapToGrid w:val="0"/>
              <w:spacing w:line="360" w:lineRule="auto"/>
              <w:jc w:val="center"/>
              <w:rPr>
                <w:rFonts w:hint="eastAsia" w:ascii="宋体" w:hAnsi="宋体" w:eastAsia="宋体" w:cs="宋体"/>
                <w:color w:val="auto"/>
                <w:szCs w:val="21"/>
              </w:rPr>
            </w:pPr>
          </w:p>
        </w:tc>
        <w:tc>
          <w:tcPr>
            <w:tcW w:w="825" w:type="dxa"/>
          </w:tcPr>
          <w:p w14:paraId="7D201C84">
            <w:pPr>
              <w:adjustRightInd w:val="0"/>
              <w:snapToGrid w:val="0"/>
              <w:spacing w:line="360" w:lineRule="auto"/>
              <w:jc w:val="center"/>
              <w:rPr>
                <w:rFonts w:hint="eastAsia" w:ascii="宋体" w:hAnsi="宋体" w:eastAsia="宋体" w:cs="宋体"/>
                <w:color w:val="auto"/>
                <w:szCs w:val="21"/>
              </w:rPr>
            </w:pPr>
          </w:p>
        </w:tc>
        <w:tc>
          <w:tcPr>
            <w:tcW w:w="1001" w:type="dxa"/>
            <w:vAlign w:val="center"/>
          </w:tcPr>
          <w:p w14:paraId="1E18999B">
            <w:pPr>
              <w:adjustRightInd w:val="0"/>
              <w:snapToGrid w:val="0"/>
              <w:spacing w:line="360" w:lineRule="auto"/>
              <w:jc w:val="center"/>
              <w:rPr>
                <w:rFonts w:hint="eastAsia" w:ascii="宋体" w:hAnsi="宋体" w:eastAsia="宋体" w:cs="宋体"/>
                <w:color w:val="auto"/>
                <w:szCs w:val="21"/>
              </w:rPr>
            </w:pPr>
          </w:p>
        </w:tc>
        <w:tc>
          <w:tcPr>
            <w:tcW w:w="904" w:type="dxa"/>
            <w:vAlign w:val="center"/>
          </w:tcPr>
          <w:p w14:paraId="3790E6D3">
            <w:pPr>
              <w:adjustRightInd w:val="0"/>
              <w:snapToGrid w:val="0"/>
              <w:spacing w:line="360" w:lineRule="auto"/>
              <w:jc w:val="center"/>
              <w:rPr>
                <w:rFonts w:hint="eastAsia" w:ascii="宋体" w:hAnsi="宋体" w:eastAsia="宋体" w:cs="宋体"/>
                <w:color w:val="auto"/>
                <w:szCs w:val="21"/>
              </w:rPr>
            </w:pPr>
          </w:p>
        </w:tc>
      </w:tr>
    </w:tbl>
    <w:p w14:paraId="784AB7D7">
      <w:pPr>
        <w:spacing w:line="360" w:lineRule="exact"/>
        <w:ind w:firstLine="211" w:firstLineChars="100"/>
        <w:rPr>
          <w:rFonts w:hint="eastAsia" w:ascii="宋体" w:hAnsi="宋体" w:eastAsia="宋体" w:cs="宋体"/>
          <w:b/>
          <w:color w:val="auto"/>
        </w:rPr>
      </w:pPr>
    </w:p>
    <w:p w14:paraId="12BB8B6F">
      <w:pPr>
        <w:adjustRightInd w:val="0"/>
        <w:snapToGrid w:val="0"/>
        <w:spacing w:line="360" w:lineRule="auto"/>
        <w:rPr>
          <w:rFonts w:hint="eastAsia" w:ascii="宋体" w:hAnsi="宋体" w:eastAsia="宋体" w:cs="宋体"/>
          <w:color w:val="auto"/>
          <w:szCs w:val="21"/>
          <w:u w:val="single"/>
        </w:rPr>
      </w:pPr>
      <w:r>
        <w:rPr>
          <w:rFonts w:hint="eastAsia" w:ascii="宋体" w:hAnsi="宋体" w:eastAsia="宋体" w:cs="宋体"/>
          <w:color w:val="auto"/>
          <w:szCs w:val="21"/>
        </w:rPr>
        <w:t>报价金额合计：小写：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大写：</w:t>
      </w:r>
      <w:r>
        <w:rPr>
          <w:rFonts w:hint="eastAsia" w:ascii="宋体" w:hAnsi="宋体" w:eastAsia="宋体" w:cs="宋体"/>
          <w:color w:val="auto"/>
          <w:szCs w:val="21"/>
          <w:u w:val="single"/>
        </w:rPr>
        <w:t xml:space="preserve">                      </w:t>
      </w:r>
    </w:p>
    <w:p w14:paraId="5AD6A0BB">
      <w:pPr>
        <w:spacing w:line="360" w:lineRule="exact"/>
        <w:ind w:firstLine="1470" w:firstLineChars="700"/>
        <w:rPr>
          <w:rFonts w:hint="eastAsia" w:ascii="宋体" w:hAnsi="宋体" w:eastAsia="宋体" w:cs="宋体"/>
          <w:color w:val="auto"/>
          <w:szCs w:val="21"/>
          <w:u w:val="single"/>
        </w:rPr>
      </w:pPr>
    </w:p>
    <w:p w14:paraId="6764907F">
      <w:pPr>
        <w:adjustRightInd w:val="0"/>
        <w:snapToGrid w:val="0"/>
        <w:spacing w:line="360" w:lineRule="auto"/>
        <w:ind w:left="-88" w:leftChars="-42"/>
        <w:rPr>
          <w:rFonts w:hint="eastAsia" w:ascii="宋体" w:hAnsi="宋体" w:eastAsia="宋体" w:cs="宋体"/>
          <w:color w:val="auto"/>
          <w:szCs w:val="21"/>
        </w:rPr>
      </w:pPr>
      <w:r>
        <w:rPr>
          <w:rFonts w:hint="eastAsia" w:ascii="宋体" w:hAnsi="宋体" w:eastAsia="宋体" w:cs="宋体"/>
          <w:color w:val="auto"/>
          <w:szCs w:val="21"/>
        </w:rPr>
        <w:t>说明：品目代码是指货物或服务《政府采购品目分类目录》中的分类代码，应与采购文件的需求对应，否则报价有可能被拒绝。政策功能编码包括货物或服务的提供厂商为“</w:t>
      </w:r>
      <w:r>
        <w:rPr>
          <w:rFonts w:hint="eastAsia" w:ascii="宋体" w:hAnsi="宋体" w:eastAsia="宋体" w:cs="宋体"/>
          <w:color w:val="auto"/>
          <w:kern w:val="0"/>
          <w:szCs w:val="21"/>
        </w:rPr>
        <w:t>中型</w:t>
      </w:r>
      <w:r>
        <w:rPr>
          <w:rFonts w:hint="eastAsia" w:ascii="宋体" w:hAnsi="宋体" w:eastAsia="宋体" w:cs="宋体"/>
          <w:color w:val="auto"/>
          <w:szCs w:val="21"/>
        </w:rPr>
        <w:t>企业”</w:t>
      </w:r>
      <w:r>
        <w:rPr>
          <w:rFonts w:hint="eastAsia" w:ascii="宋体" w:hAnsi="宋体" w:eastAsia="宋体" w:cs="宋体"/>
          <w:color w:val="auto"/>
          <w:kern w:val="0"/>
          <w:szCs w:val="21"/>
        </w:rPr>
        <w:t>或者“小型、微型</w:t>
      </w:r>
      <w:r>
        <w:rPr>
          <w:rFonts w:hint="eastAsia" w:ascii="宋体" w:hAnsi="宋体" w:eastAsia="宋体" w:cs="宋体"/>
          <w:color w:val="auto"/>
          <w:szCs w:val="21"/>
        </w:rPr>
        <w:t>企业</w:t>
      </w:r>
      <w:r>
        <w:rPr>
          <w:rFonts w:hint="eastAsia" w:ascii="宋体" w:hAnsi="宋体" w:eastAsia="宋体" w:cs="宋体"/>
          <w:color w:val="auto"/>
          <w:kern w:val="0"/>
          <w:szCs w:val="21"/>
        </w:rPr>
        <w:t>”，以及提供的</w:t>
      </w:r>
      <w:r>
        <w:rPr>
          <w:rFonts w:hint="eastAsia" w:ascii="宋体" w:hAnsi="宋体" w:eastAsia="宋体" w:cs="宋体"/>
          <w:color w:val="auto"/>
          <w:szCs w:val="21"/>
        </w:rPr>
        <w:t>产品的中国环境标志认证证书编号、节能标志认证证书号、两型产品编号。</w:t>
      </w:r>
    </w:p>
    <w:p w14:paraId="1E9B8B49">
      <w:pPr>
        <w:adjustRightInd w:val="0"/>
        <w:snapToGrid w:val="0"/>
        <w:spacing w:line="360" w:lineRule="auto"/>
        <w:jc w:val="center"/>
        <w:rPr>
          <w:rFonts w:hint="eastAsia" w:ascii="宋体" w:hAnsi="宋体" w:eastAsia="宋体" w:cs="宋体"/>
          <w:b/>
          <w:color w:val="auto"/>
          <w:sz w:val="32"/>
          <w:szCs w:val="32"/>
        </w:rPr>
      </w:pPr>
    </w:p>
    <w:p w14:paraId="319D88C6">
      <w:pPr>
        <w:spacing w:line="360" w:lineRule="exact"/>
        <w:rPr>
          <w:rFonts w:hint="eastAsia" w:ascii="宋体" w:hAnsi="宋体" w:eastAsia="宋体" w:cs="宋体"/>
          <w:color w:val="auto"/>
        </w:rPr>
      </w:pPr>
    </w:p>
    <w:p w14:paraId="30BB05D9">
      <w:pPr>
        <w:spacing w:line="360" w:lineRule="exact"/>
        <w:rPr>
          <w:rFonts w:hint="eastAsia" w:ascii="宋体" w:hAnsi="宋体" w:eastAsia="宋体" w:cs="宋体"/>
          <w:color w:val="auto"/>
        </w:rPr>
      </w:pPr>
    </w:p>
    <w:p w14:paraId="7F1D0555">
      <w:pPr>
        <w:spacing w:line="360" w:lineRule="exact"/>
        <w:rPr>
          <w:rFonts w:hint="eastAsia" w:ascii="宋体" w:hAnsi="宋体" w:eastAsia="宋体" w:cs="宋体"/>
          <w:color w:val="auto"/>
        </w:rPr>
      </w:pPr>
    </w:p>
    <w:p w14:paraId="6B483B6F">
      <w:pPr>
        <w:spacing w:line="360" w:lineRule="exact"/>
        <w:rPr>
          <w:rFonts w:hint="eastAsia" w:ascii="宋体" w:hAnsi="宋体" w:eastAsia="宋体" w:cs="宋体"/>
          <w:color w:val="auto"/>
        </w:rPr>
      </w:pPr>
    </w:p>
    <w:p w14:paraId="5F10FA43">
      <w:pPr>
        <w:spacing w:line="360" w:lineRule="exact"/>
        <w:rPr>
          <w:rFonts w:hint="eastAsia" w:ascii="宋体" w:hAnsi="宋体" w:eastAsia="宋体" w:cs="宋体"/>
          <w:color w:val="auto"/>
        </w:rPr>
      </w:pPr>
    </w:p>
    <w:p w14:paraId="3C86BA39">
      <w:pPr>
        <w:spacing w:line="360" w:lineRule="exact"/>
        <w:rPr>
          <w:rFonts w:hint="eastAsia" w:ascii="宋体" w:hAnsi="宋体" w:eastAsia="宋体" w:cs="宋体"/>
          <w:color w:val="auto"/>
        </w:rPr>
      </w:pPr>
    </w:p>
    <w:p w14:paraId="5B201F7A">
      <w:pPr>
        <w:spacing w:line="360" w:lineRule="exact"/>
        <w:rPr>
          <w:rFonts w:hint="eastAsia" w:ascii="宋体" w:hAnsi="宋体" w:eastAsia="宋体" w:cs="宋体"/>
          <w:color w:val="auto"/>
        </w:rPr>
      </w:pPr>
    </w:p>
    <w:p w14:paraId="0675C1BF">
      <w:pPr>
        <w:spacing w:line="360" w:lineRule="exact"/>
        <w:rPr>
          <w:rFonts w:hint="eastAsia" w:ascii="宋体" w:hAnsi="宋体" w:eastAsia="宋体" w:cs="宋体"/>
          <w:color w:val="auto"/>
        </w:rPr>
      </w:pPr>
    </w:p>
    <w:p w14:paraId="756F8B5E">
      <w:pPr>
        <w:spacing w:line="360" w:lineRule="exact"/>
        <w:rPr>
          <w:rFonts w:hint="eastAsia" w:ascii="宋体" w:hAnsi="宋体" w:eastAsia="宋体" w:cs="宋体"/>
          <w:color w:val="auto"/>
        </w:rPr>
      </w:pPr>
    </w:p>
    <w:p w14:paraId="49D4B8C3">
      <w:pPr>
        <w:spacing w:line="360" w:lineRule="exact"/>
        <w:rPr>
          <w:rFonts w:hint="eastAsia" w:ascii="宋体" w:hAnsi="宋体" w:eastAsia="宋体" w:cs="宋体"/>
          <w:color w:val="auto"/>
        </w:rPr>
      </w:pPr>
    </w:p>
    <w:p w14:paraId="270AE9FF">
      <w:pPr>
        <w:spacing w:line="360" w:lineRule="exact"/>
        <w:rPr>
          <w:rFonts w:hint="eastAsia" w:ascii="宋体" w:hAnsi="宋体" w:eastAsia="宋体" w:cs="宋体"/>
          <w:color w:val="auto"/>
        </w:rPr>
      </w:pPr>
    </w:p>
    <w:p w14:paraId="7CBDB8F9">
      <w:pPr>
        <w:spacing w:line="360" w:lineRule="exact"/>
        <w:rPr>
          <w:rFonts w:hint="eastAsia" w:ascii="宋体" w:hAnsi="宋体" w:eastAsia="宋体" w:cs="宋体"/>
          <w:color w:val="auto"/>
        </w:rPr>
      </w:pPr>
    </w:p>
    <w:p w14:paraId="39741F63">
      <w:pPr>
        <w:adjustRightInd w:val="0"/>
        <w:snapToGrid w:val="0"/>
        <w:jc w:val="center"/>
        <w:rPr>
          <w:rFonts w:hint="eastAsia" w:ascii="宋体" w:hAnsi="宋体" w:eastAsia="宋体" w:cs="宋体"/>
          <w:b/>
          <w:color w:val="auto"/>
          <w:sz w:val="28"/>
          <w:szCs w:val="28"/>
        </w:rPr>
      </w:pPr>
    </w:p>
    <w:p w14:paraId="63539593">
      <w:pPr>
        <w:adjustRightInd w:val="0"/>
        <w:snapToGrid w:val="0"/>
        <w:jc w:val="center"/>
        <w:rPr>
          <w:rFonts w:hint="eastAsia" w:ascii="宋体" w:hAnsi="宋体" w:eastAsia="宋体" w:cs="宋体"/>
          <w:b/>
          <w:color w:val="auto"/>
          <w:sz w:val="28"/>
          <w:szCs w:val="28"/>
        </w:rPr>
      </w:pPr>
    </w:p>
    <w:p w14:paraId="0A61FEAD">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32E03228">
      <w:pPr>
        <w:adjustRightInd w:val="0"/>
        <w:snapToGrid w:val="0"/>
        <w:spacing w:line="360" w:lineRule="auto"/>
        <w:jc w:val="center"/>
        <w:outlineLvl w:val="1"/>
        <w:rPr>
          <w:rFonts w:hint="eastAsia" w:ascii="宋体" w:hAnsi="宋体" w:eastAsia="宋体" w:cs="宋体"/>
          <w:color w:val="auto"/>
          <w:sz w:val="28"/>
          <w:szCs w:val="28"/>
        </w:rPr>
      </w:pPr>
      <w:bookmarkStart w:id="249" w:name="_Toc26707"/>
      <w:bookmarkStart w:id="250" w:name="_Toc31691"/>
      <w:bookmarkStart w:id="251" w:name="_Toc23158_WPSOffice_Level1"/>
      <w:r>
        <w:rPr>
          <w:rFonts w:hint="eastAsia" w:ascii="宋体" w:hAnsi="宋体" w:eastAsia="宋体" w:cs="宋体"/>
          <w:b/>
          <w:color w:val="auto"/>
          <w:sz w:val="32"/>
          <w:szCs w:val="32"/>
        </w:rPr>
        <w:t>八</w:t>
      </w:r>
      <w:r>
        <w:rPr>
          <w:rFonts w:hint="eastAsia" w:ascii="宋体" w:hAnsi="宋体" w:eastAsia="宋体" w:cs="宋体"/>
          <w:b/>
          <w:bCs/>
          <w:color w:val="auto"/>
          <w:sz w:val="32"/>
          <w:szCs w:val="32"/>
        </w:rPr>
        <w:t>、供应商认为需要提供的其它资料</w:t>
      </w:r>
      <w:bookmarkEnd w:id="249"/>
      <w:bookmarkEnd w:id="250"/>
      <w:bookmarkEnd w:id="251"/>
    </w:p>
    <w:p w14:paraId="1824140B">
      <w:pPr>
        <w:pageBreakBefore/>
        <w:adjustRightInd w:val="0"/>
        <w:snapToGrid w:val="0"/>
        <w:spacing w:line="360" w:lineRule="auto"/>
        <w:ind w:left="-88" w:leftChars="-42"/>
        <w:jc w:val="center"/>
        <w:outlineLvl w:val="1"/>
        <w:rPr>
          <w:rFonts w:hint="eastAsia" w:ascii="宋体" w:hAnsi="宋体" w:eastAsia="宋体" w:cs="宋体"/>
          <w:b/>
          <w:color w:val="auto"/>
          <w:sz w:val="24"/>
        </w:rPr>
      </w:pPr>
      <w:bookmarkStart w:id="252" w:name="_Toc30076"/>
      <w:bookmarkStart w:id="253" w:name="_Toc5252"/>
      <w:bookmarkStart w:id="254" w:name="_Toc22201_WPSOffice_Level1"/>
      <w:r>
        <w:rPr>
          <w:rFonts w:hint="eastAsia" w:ascii="宋体" w:hAnsi="宋体" w:eastAsia="宋体" w:cs="宋体"/>
          <w:b/>
          <w:color w:val="auto"/>
          <w:sz w:val="32"/>
          <w:szCs w:val="32"/>
        </w:rPr>
        <w:t>九、最后报价</w:t>
      </w:r>
      <w:bookmarkEnd w:id="252"/>
      <w:bookmarkEnd w:id="253"/>
      <w:bookmarkEnd w:id="254"/>
    </w:p>
    <w:p w14:paraId="525A1091">
      <w:pPr>
        <w:adjustRightInd w:val="0"/>
        <w:snapToGrid w:val="0"/>
        <w:jc w:val="center"/>
        <w:rPr>
          <w:rFonts w:hint="eastAsia" w:ascii="宋体" w:hAnsi="宋体" w:eastAsia="宋体" w:cs="宋体"/>
          <w:b/>
          <w:bCs/>
          <w:color w:val="auto"/>
          <w:sz w:val="28"/>
          <w:szCs w:val="28"/>
        </w:rPr>
      </w:pPr>
    </w:p>
    <w:tbl>
      <w:tblPr>
        <w:tblStyle w:val="26"/>
        <w:tblW w:w="9015"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060"/>
        <w:gridCol w:w="1620"/>
        <w:gridCol w:w="2715"/>
      </w:tblGrid>
      <w:tr w14:paraId="49641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620" w:type="dxa"/>
            <w:vMerge w:val="restart"/>
            <w:tcBorders>
              <w:top w:val="double" w:color="auto" w:sz="4" w:space="0"/>
              <w:left w:val="double" w:color="auto" w:sz="4" w:space="0"/>
              <w:bottom w:val="single" w:color="auto" w:sz="6" w:space="0"/>
              <w:right w:val="single" w:color="auto" w:sz="6" w:space="0"/>
            </w:tcBorders>
            <w:vAlign w:val="center"/>
          </w:tcPr>
          <w:p w14:paraId="04380071">
            <w:pPr>
              <w:tabs>
                <w:tab w:val="left" w:pos="403"/>
                <w:tab w:val="center" w:pos="3781"/>
              </w:tabs>
              <w:spacing w:line="420" w:lineRule="exact"/>
              <w:ind w:right="-5206" w:rightChars="-2479"/>
              <w:rPr>
                <w:rFonts w:hint="eastAsia" w:ascii="宋体" w:hAnsi="宋体" w:eastAsia="宋体" w:cs="宋体"/>
                <w:color w:val="auto"/>
                <w:szCs w:val="21"/>
              </w:rPr>
            </w:pPr>
            <w:r>
              <w:rPr>
                <w:rFonts w:hint="eastAsia" w:ascii="宋体" w:hAnsi="宋体" w:eastAsia="宋体" w:cs="宋体"/>
                <w:color w:val="auto"/>
                <w:szCs w:val="21"/>
              </w:rPr>
              <w:t>项目名称</w:t>
            </w:r>
            <w:r>
              <w:rPr>
                <w:rFonts w:hint="eastAsia" w:ascii="宋体" w:hAnsi="宋体" w:eastAsia="宋体" w:cs="宋体"/>
                <w:color w:val="auto"/>
                <w:szCs w:val="21"/>
                <w:lang w:eastAsia="zh-CN"/>
              </w:rPr>
              <w:t>及包号</w:t>
            </w:r>
            <w:r>
              <w:rPr>
                <w:rFonts w:hint="eastAsia" w:ascii="宋体" w:hAnsi="宋体" w:eastAsia="宋体" w:cs="宋体"/>
                <w:color w:val="auto"/>
                <w:szCs w:val="21"/>
              </w:rPr>
              <w:tab/>
            </w:r>
            <w:r>
              <w:rPr>
                <w:rFonts w:hint="eastAsia" w:ascii="宋体" w:hAnsi="宋体" w:eastAsia="宋体" w:cs="宋体"/>
                <w:color w:val="auto"/>
                <w:szCs w:val="21"/>
              </w:rPr>
              <w:t>项目名称</w:t>
            </w:r>
          </w:p>
        </w:tc>
        <w:tc>
          <w:tcPr>
            <w:tcW w:w="3060" w:type="dxa"/>
            <w:vMerge w:val="restart"/>
            <w:tcBorders>
              <w:top w:val="double" w:color="auto" w:sz="4" w:space="0"/>
              <w:left w:val="single" w:color="auto" w:sz="6" w:space="0"/>
              <w:bottom w:val="single" w:color="auto" w:sz="6" w:space="0"/>
              <w:right w:val="single" w:color="auto" w:sz="6" w:space="0"/>
            </w:tcBorders>
            <w:vAlign w:val="center"/>
          </w:tcPr>
          <w:p w14:paraId="60806A7F">
            <w:pPr>
              <w:spacing w:line="420" w:lineRule="exact"/>
              <w:jc w:val="center"/>
              <w:rPr>
                <w:rFonts w:hint="eastAsia" w:ascii="宋体" w:hAnsi="宋体" w:eastAsia="宋体" w:cs="宋体"/>
                <w:color w:val="auto"/>
                <w:szCs w:val="21"/>
              </w:rPr>
            </w:pPr>
          </w:p>
        </w:tc>
        <w:tc>
          <w:tcPr>
            <w:tcW w:w="1620" w:type="dxa"/>
            <w:tcBorders>
              <w:top w:val="double" w:color="auto" w:sz="4" w:space="0"/>
              <w:left w:val="single" w:color="auto" w:sz="6" w:space="0"/>
              <w:bottom w:val="single" w:color="auto" w:sz="6" w:space="0"/>
              <w:right w:val="single" w:color="auto" w:sz="6" w:space="0"/>
            </w:tcBorders>
            <w:vAlign w:val="center"/>
          </w:tcPr>
          <w:p w14:paraId="6009D57C">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政府采购计划编号</w:t>
            </w:r>
          </w:p>
        </w:tc>
        <w:tc>
          <w:tcPr>
            <w:tcW w:w="2715" w:type="dxa"/>
            <w:tcBorders>
              <w:top w:val="double" w:color="auto" w:sz="4" w:space="0"/>
              <w:left w:val="single" w:color="auto" w:sz="6" w:space="0"/>
              <w:bottom w:val="single" w:color="auto" w:sz="6" w:space="0"/>
              <w:right w:val="double" w:color="auto" w:sz="4" w:space="0"/>
            </w:tcBorders>
            <w:vAlign w:val="center"/>
          </w:tcPr>
          <w:p w14:paraId="1494F0AC">
            <w:pPr>
              <w:spacing w:line="420" w:lineRule="exact"/>
              <w:jc w:val="center"/>
              <w:rPr>
                <w:rFonts w:hint="eastAsia" w:ascii="宋体" w:hAnsi="宋体" w:eastAsia="宋体" w:cs="宋体"/>
                <w:color w:val="auto"/>
                <w:szCs w:val="21"/>
              </w:rPr>
            </w:pPr>
          </w:p>
        </w:tc>
      </w:tr>
      <w:tr w14:paraId="784C50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620" w:type="dxa"/>
            <w:vMerge w:val="continue"/>
            <w:tcBorders>
              <w:top w:val="single" w:color="auto" w:sz="6" w:space="0"/>
              <w:left w:val="double" w:color="auto" w:sz="4" w:space="0"/>
              <w:bottom w:val="single" w:color="auto" w:sz="6" w:space="0"/>
              <w:right w:val="single" w:color="auto" w:sz="6" w:space="0"/>
            </w:tcBorders>
            <w:vAlign w:val="center"/>
          </w:tcPr>
          <w:p w14:paraId="0FCD59A0">
            <w:pPr>
              <w:tabs>
                <w:tab w:val="left" w:pos="403"/>
                <w:tab w:val="center" w:pos="3781"/>
              </w:tabs>
              <w:spacing w:line="420" w:lineRule="exact"/>
              <w:ind w:right="-5206" w:rightChars="-2479"/>
              <w:rPr>
                <w:rFonts w:hint="eastAsia" w:ascii="宋体" w:hAnsi="宋体" w:eastAsia="宋体" w:cs="宋体"/>
                <w:color w:val="auto"/>
                <w:szCs w:val="21"/>
              </w:rPr>
            </w:pPr>
          </w:p>
        </w:tc>
        <w:tc>
          <w:tcPr>
            <w:tcW w:w="3060" w:type="dxa"/>
            <w:vMerge w:val="continue"/>
            <w:tcBorders>
              <w:top w:val="single" w:color="auto" w:sz="6" w:space="0"/>
              <w:left w:val="single" w:color="auto" w:sz="6" w:space="0"/>
              <w:bottom w:val="single" w:color="auto" w:sz="6" w:space="0"/>
              <w:right w:val="single" w:color="auto" w:sz="6" w:space="0"/>
            </w:tcBorders>
            <w:vAlign w:val="center"/>
          </w:tcPr>
          <w:p w14:paraId="3FBC7C4A">
            <w:pPr>
              <w:spacing w:line="420" w:lineRule="exact"/>
              <w:jc w:val="center"/>
              <w:rPr>
                <w:rFonts w:hint="eastAsia" w:ascii="宋体" w:hAnsi="宋体" w:eastAsia="宋体" w:cs="宋体"/>
                <w:color w:val="auto"/>
                <w:szCs w:val="21"/>
              </w:rPr>
            </w:pPr>
          </w:p>
        </w:tc>
        <w:tc>
          <w:tcPr>
            <w:tcW w:w="1620" w:type="dxa"/>
            <w:tcBorders>
              <w:top w:val="single" w:color="auto" w:sz="6" w:space="0"/>
              <w:left w:val="single" w:color="auto" w:sz="6" w:space="0"/>
              <w:bottom w:val="single" w:color="auto" w:sz="6" w:space="0"/>
              <w:right w:val="single" w:color="auto" w:sz="6" w:space="0"/>
            </w:tcBorders>
            <w:vAlign w:val="center"/>
          </w:tcPr>
          <w:p w14:paraId="0FF370C1">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采购代理编号</w:t>
            </w:r>
          </w:p>
        </w:tc>
        <w:tc>
          <w:tcPr>
            <w:tcW w:w="2715" w:type="dxa"/>
            <w:tcBorders>
              <w:top w:val="single" w:color="auto" w:sz="6" w:space="0"/>
              <w:left w:val="single" w:color="auto" w:sz="6" w:space="0"/>
              <w:bottom w:val="single" w:color="auto" w:sz="6" w:space="0"/>
              <w:right w:val="double" w:color="auto" w:sz="4" w:space="0"/>
            </w:tcBorders>
            <w:vAlign w:val="center"/>
          </w:tcPr>
          <w:p w14:paraId="0593C695">
            <w:pPr>
              <w:spacing w:line="420" w:lineRule="exact"/>
              <w:jc w:val="center"/>
              <w:rPr>
                <w:rFonts w:hint="eastAsia" w:ascii="宋体" w:hAnsi="宋体" w:eastAsia="宋体" w:cs="宋体"/>
                <w:color w:val="auto"/>
                <w:szCs w:val="21"/>
              </w:rPr>
            </w:pPr>
          </w:p>
        </w:tc>
      </w:tr>
      <w:tr w14:paraId="5AB5F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620" w:type="dxa"/>
            <w:tcBorders>
              <w:top w:val="single" w:color="auto" w:sz="6" w:space="0"/>
              <w:left w:val="double" w:color="auto" w:sz="4" w:space="0"/>
              <w:bottom w:val="single" w:color="auto" w:sz="6" w:space="0"/>
              <w:right w:val="single" w:color="auto" w:sz="6" w:space="0"/>
            </w:tcBorders>
            <w:vAlign w:val="center"/>
          </w:tcPr>
          <w:p w14:paraId="661CD207">
            <w:pPr>
              <w:spacing w:line="420" w:lineRule="exact"/>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投标报价</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00C0858B">
            <w:pPr>
              <w:spacing w:line="420" w:lineRule="exact"/>
              <w:rPr>
                <w:rFonts w:hint="eastAsia" w:ascii="宋体" w:hAnsi="宋体" w:eastAsia="宋体" w:cs="宋体"/>
                <w:iCs/>
                <w:color w:val="auto"/>
                <w:szCs w:val="21"/>
              </w:rPr>
            </w:pPr>
            <w:r>
              <w:rPr>
                <w:rFonts w:hint="eastAsia" w:ascii="宋体" w:hAnsi="宋体" w:eastAsia="宋体" w:cs="宋体"/>
                <w:color w:val="auto"/>
                <w:szCs w:val="21"/>
              </w:rPr>
              <w:t>（小写）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元（大写：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元人民币）</w:t>
            </w:r>
          </w:p>
        </w:tc>
      </w:tr>
      <w:tr w14:paraId="1953FE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620" w:type="dxa"/>
            <w:tcBorders>
              <w:top w:val="single" w:color="auto" w:sz="6" w:space="0"/>
              <w:left w:val="double" w:color="auto" w:sz="4" w:space="0"/>
              <w:bottom w:val="single" w:color="auto" w:sz="6" w:space="0"/>
              <w:right w:val="single" w:color="auto" w:sz="6" w:space="0"/>
            </w:tcBorders>
            <w:vAlign w:val="center"/>
          </w:tcPr>
          <w:p w14:paraId="6BDD7362">
            <w:pPr>
              <w:spacing w:line="42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服务期限</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73FFA6E8">
            <w:pPr>
              <w:spacing w:line="420" w:lineRule="exact"/>
              <w:rPr>
                <w:rFonts w:hint="eastAsia" w:ascii="宋体" w:hAnsi="宋体" w:eastAsia="宋体" w:cs="宋体"/>
                <w:iCs/>
                <w:color w:val="auto"/>
                <w:szCs w:val="21"/>
              </w:rPr>
            </w:pPr>
          </w:p>
        </w:tc>
      </w:tr>
      <w:tr w14:paraId="1A29C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620" w:type="dxa"/>
            <w:tcBorders>
              <w:top w:val="single" w:color="auto" w:sz="6" w:space="0"/>
              <w:left w:val="double" w:color="auto" w:sz="4" w:space="0"/>
              <w:bottom w:val="single" w:color="auto" w:sz="6" w:space="0"/>
              <w:right w:val="single" w:color="auto" w:sz="6" w:space="0"/>
            </w:tcBorders>
            <w:vAlign w:val="center"/>
          </w:tcPr>
          <w:p w14:paraId="719AB260">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项目负责人</w:t>
            </w:r>
          </w:p>
        </w:tc>
        <w:tc>
          <w:tcPr>
            <w:tcW w:w="7395" w:type="dxa"/>
            <w:gridSpan w:val="3"/>
            <w:tcBorders>
              <w:top w:val="single" w:color="auto" w:sz="6" w:space="0"/>
              <w:left w:val="single" w:color="auto" w:sz="6" w:space="0"/>
              <w:bottom w:val="single" w:color="auto" w:sz="6" w:space="0"/>
              <w:right w:val="double" w:color="auto" w:sz="4" w:space="0"/>
            </w:tcBorders>
            <w:vAlign w:val="center"/>
          </w:tcPr>
          <w:p w14:paraId="51C76FF0">
            <w:pPr>
              <w:spacing w:line="420" w:lineRule="exact"/>
              <w:ind w:firstLine="210" w:firstLineChars="100"/>
              <w:rPr>
                <w:rFonts w:hint="eastAsia" w:ascii="宋体" w:hAnsi="宋体" w:eastAsia="宋体" w:cs="宋体"/>
                <w:color w:val="auto"/>
                <w:szCs w:val="21"/>
              </w:rPr>
            </w:pPr>
          </w:p>
        </w:tc>
      </w:tr>
      <w:tr w14:paraId="2B8C7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20" w:type="dxa"/>
            <w:tcBorders>
              <w:top w:val="single" w:color="auto" w:sz="6" w:space="0"/>
              <w:left w:val="double" w:color="auto" w:sz="4" w:space="0"/>
              <w:bottom w:val="double" w:color="auto" w:sz="4" w:space="0"/>
              <w:right w:val="single" w:color="auto" w:sz="6" w:space="0"/>
            </w:tcBorders>
            <w:vAlign w:val="center"/>
          </w:tcPr>
          <w:p w14:paraId="1ED60D7D">
            <w:pPr>
              <w:spacing w:line="420" w:lineRule="exact"/>
              <w:jc w:val="center"/>
              <w:rPr>
                <w:rFonts w:hint="eastAsia" w:ascii="宋体" w:hAnsi="宋体" w:eastAsia="宋体" w:cs="宋体"/>
                <w:color w:val="auto"/>
                <w:szCs w:val="21"/>
              </w:rPr>
            </w:pPr>
            <w:r>
              <w:rPr>
                <w:rFonts w:hint="eastAsia" w:ascii="宋体" w:hAnsi="宋体" w:eastAsia="宋体" w:cs="宋体"/>
                <w:color w:val="auto"/>
                <w:szCs w:val="21"/>
              </w:rPr>
              <w:t>备  注</w:t>
            </w:r>
          </w:p>
        </w:tc>
        <w:tc>
          <w:tcPr>
            <w:tcW w:w="7395" w:type="dxa"/>
            <w:gridSpan w:val="3"/>
            <w:tcBorders>
              <w:top w:val="single" w:color="auto" w:sz="6" w:space="0"/>
              <w:left w:val="single" w:color="auto" w:sz="6" w:space="0"/>
              <w:bottom w:val="double" w:color="auto" w:sz="4" w:space="0"/>
              <w:right w:val="double" w:color="auto" w:sz="4" w:space="0"/>
            </w:tcBorders>
            <w:vAlign w:val="center"/>
          </w:tcPr>
          <w:p w14:paraId="7BC80A9B">
            <w:pPr>
              <w:spacing w:line="420" w:lineRule="exact"/>
              <w:rPr>
                <w:rFonts w:hint="eastAsia" w:ascii="宋体" w:hAnsi="宋体" w:eastAsia="宋体" w:cs="宋体"/>
                <w:color w:val="auto"/>
                <w:szCs w:val="21"/>
              </w:rPr>
            </w:pPr>
          </w:p>
        </w:tc>
      </w:tr>
    </w:tbl>
    <w:p w14:paraId="27568C83">
      <w:pPr>
        <w:adjustRightInd w:val="0"/>
        <w:snapToGrid w:val="0"/>
        <w:rPr>
          <w:rFonts w:hint="eastAsia" w:ascii="宋体" w:hAnsi="宋体" w:eastAsia="宋体" w:cs="宋体"/>
          <w:b/>
          <w:bCs/>
          <w:color w:val="auto"/>
          <w:sz w:val="20"/>
          <w:szCs w:val="20"/>
        </w:rPr>
      </w:pPr>
    </w:p>
    <w:p w14:paraId="6CF60EC1">
      <w:pPr>
        <w:adjustRightInd w:val="0"/>
        <w:snapToGrid w:val="0"/>
        <w:jc w:val="center"/>
        <w:rPr>
          <w:rFonts w:hint="eastAsia" w:ascii="宋体" w:hAnsi="宋体" w:eastAsia="宋体" w:cs="宋体"/>
          <w:b/>
          <w:bCs/>
          <w:color w:val="auto"/>
          <w:sz w:val="20"/>
          <w:szCs w:val="20"/>
        </w:rPr>
      </w:pPr>
    </w:p>
    <w:p w14:paraId="789A7773">
      <w:pPr>
        <w:adjustRightInd w:val="0"/>
        <w:snapToGrid w:val="0"/>
        <w:jc w:val="center"/>
        <w:rPr>
          <w:rFonts w:hint="eastAsia" w:ascii="宋体" w:hAnsi="宋体" w:eastAsia="宋体" w:cs="宋体"/>
          <w:b/>
          <w:bCs/>
          <w:color w:val="auto"/>
          <w:sz w:val="20"/>
          <w:szCs w:val="20"/>
        </w:rPr>
      </w:pPr>
    </w:p>
    <w:p w14:paraId="2CA9355C">
      <w:pPr>
        <w:adjustRightInd w:val="0"/>
        <w:snapToGrid w:val="0"/>
        <w:spacing w:line="360" w:lineRule="auto"/>
        <w:rPr>
          <w:rFonts w:hint="eastAsia" w:ascii="宋体" w:hAnsi="宋体" w:eastAsia="宋体" w:cs="宋体"/>
          <w:color w:val="auto"/>
          <w:szCs w:val="21"/>
        </w:rPr>
      </w:pPr>
    </w:p>
    <w:p w14:paraId="63D3242E">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供应商（盖单位章）：</w:t>
      </w:r>
    </w:p>
    <w:p w14:paraId="0FDD6556">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法定代表人或其委托代理人签字：</w:t>
      </w:r>
      <w:r>
        <w:rPr>
          <w:rFonts w:hint="eastAsia" w:ascii="宋体" w:hAnsi="宋体" w:eastAsia="宋体" w:cs="宋体"/>
          <w:color w:val="auto"/>
          <w:szCs w:val="21"/>
          <w:u w:val="single"/>
        </w:rPr>
        <w:t xml:space="preserve">       </w:t>
      </w:r>
    </w:p>
    <w:p w14:paraId="2BCF6921">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2C86AD21">
      <w:pPr>
        <w:adjustRightInd w:val="0"/>
        <w:snapToGrid w:val="0"/>
        <w:rPr>
          <w:rFonts w:hint="eastAsia" w:ascii="宋体" w:hAnsi="宋体" w:eastAsia="宋体" w:cs="宋体"/>
          <w:color w:val="auto"/>
          <w:szCs w:val="21"/>
        </w:rPr>
      </w:pPr>
    </w:p>
    <w:p w14:paraId="07969067">
      <w:pPr>
        <w:spacing w:line="360" w:lineRule="exact"/>
        <w:rPr>
          <w:rFonts w:hint="eastAsia" w:ascii="宋体" w:hAnsi="宋体" w:eastAsia="宋体" w:cs="宋体"/>
          <w:color w:val="auto"/>
          <w:szCs w:val="21"/>
        </w:rPr>
      </w:pPr>
    </w:p>
    <w:p w14:paraId="72B22BE6">
      <w:pPr>
        <w:adjustRightInd w:val="0"/>
        <w:snapToGrid w:val="0"/>
        <w:ind w:left="-88" w:leftChars="-42"/>
        <w:rPr>
          <w:rFonts w:hint="eastAsia" w:ascii="宋体" w:hAnsi="宋体" w:eastAsia="宋体" w:cs="宋体"/>
          <w:color w:val="auto"/>
          <w:szCs w:val="21"/>
        </w:rPr>
      </w:pPr>
    </w:p>
    <w:p w14:paraId="5E510201">
      <w:pPr>
        <w:rPr>
          <w:rFonts w:hint="eastAsia" w:ascii="宋体" w:hAnsi="宋体" w:eastAsia="宋体" w:cs="宋体"/>
          <w:color w:val="auto"/>
          <w:szCs w:val="21"/>
        </w:rPr>
      </w:pPr>
    </w:p>
    <w:p w14:paraId="5D0C9494">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kern w:val="0"/>
          <w:szCs w:val="21"/>
        </w:rPr>
        <w:t>注：最后报价相关内容和表格不得装订在响应文件中，供应商需单独准备，磋商现场进行最后报价。</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华文仿宋"/>
    <w:panose1 w:val="00000000000000000000"/>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E49D0">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602DC9">
                          <w:pPr>
                            <w:pStyle w:val="1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3C602DC9">
                    <w:pPr>
                      <w:pStyle w:val="17"/>
                    </w:pPr>
                    <w:r>
                      <w:fldChar w:fldCharType="begin"/>
                    </w:r>
                    <w:r>
                      <w:instrText xml:space="preserve"> PAGE  \* MERGEFORMAT </w:instrText>
                    </w:r>
                    <w:r>
                      <w:fldChar w:fldCharType="separate"/>
                    </w:r>
                    <w:r>
                      <w:t>29</w:t>
                    </w:r>
                    <w:r>
                      <w:fldChar w:fldCharType="end"/>
                    </w:r>
                  </w:p>
                </w:txbxContent>
              </v:textbox>
            </v:shape>
          </w:pict>
        </mc:Fallback>
      </mc:AlternateContent>
    </w:r>
    <w:r>
      <w:rPr>
        <w:rFonts w:hint="eastAsia" w:ascii="华文新魏" w:hAnsi="宋体" w:eastAsia="华文新魏"/>
        <w:i/>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A1B2A">
    <w:pPr>
      <w:pStyle w:val="1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DC72BE">
                          <w:pPr>
                            <w:pStyle w:val="17"/>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38DC72BE">
                    <w:pPr>
                      <w:pStyle w:val="17"/>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1EF53">
    <w:pPr>
      <w:pStyle w:val="1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DC0831">
                          <w:pPr>
                            <w:pStyle w:val="17"/>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1BDC0831">
                    <w:pPr>
                      <w:pStyle w:val="17"/>
                    </w:pPr>
                    <w:r>
                      <w:fldChar w:fldCharType="begin"/>
                    </w:r>
                    <w:r>
                      <w:instrText xml:space="preserve"> PAGE  \* MERGEFORMAT </w:instrText>
                    </w:r>
                    <w:r>
                      <w:fldChar w:fldCharType="separate"/>
                    </w:r>
                    <w:r>
                      <w:t>46</w:t>
                    </w:r>
                    <w:r>
                      <w:fldChar w:fldCharType="end"/>
                    </w:r>
                  </w:p>
                </w:txbxContent>
              </v:textbox>
            </v:shape>
          </w:pict>
        </mc:Fallback>
      </mc:AlternateContent>
    </w:r>
  </w:p>
  <w:p w14:paraId="285E62B0">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1D96C5"/>
    <w:multiLevelType w:val="singleLevel"/>
    <w:tmpl w:val="A91D96C5"/>
    <w:lvl w:ilvl="0" w:tentative="0">
      <w:start w:val="1"/>
      <w:numFmt w:val="decimal"/>
      <w:suff w:val="nothing"/>
      <w:lvlText w:val="%1、"/>
      <w:lvlJc w:val="left"/>
    </w:lvl>
  </w:abstractNum>
  <w:abstractNum w:abstractNumId="1">
    <w:nsid w:val="B4D89C1D"/>
    <w:multiLevelType w:val="singleLevel"/>
    <w:tmpl w:val="B4D89C1D"/>
    <w:lvl w:ilvl="0" w:tentative="0">
      <w:start w:val="5"/>
      <w:numFmt w:val="chineseCounting"/>
      <w:suff w:val="space"/>
      <w:lvlText w:val="第%1章"/>
      <w:lvlJc w:val="left"/>
      <w:rPr>
        <w:rFonts w:hint="eastAsia"/>
      </w:rPr>
    </w:lvl>
  </w:abstractNum>
  <w:abstractNum w:abstractNumId="2">
    <w:nsid w:val="EE4577A4"/>
    <w:multiLevelType w:val="singleLevel"/>
    <w:tmpl w:val="EE4577A4"/>
    <w:lvl w:ilvl="0" w:tentative="0">
      <w:start w:val="2"/>
      <w:numFmt w:val="chineseCounting"/>
      <w:suff w:val="space"/>
      <w:lvlText w:val="第%1节"/>
      <w:lvlJc w:val="left"/>
      <w:rPr>
        <w:rFonts w:hint="eastAsia"/>
      </w:rPr>
    </w:lvl>
  </w:abstractNum>
  <w:abstractNum w:abstractNumId="3">
    <w:nsid w:val="FD2F9CEF"/>
    <w:multiLevelType w:val="singleLevel"/>
    <w:tmpl w:val="FD2F9CEF"/>
    <w:lvl w:ilvl="0" w:tentative="0">
      <w:start w:val="1"/>
      <w:numFmt w:val="decimal"/>
      <w:suff w:val="space"/>
      <w:lvlText w:val="%1、"/>
      <w:lvlJc w:val="left"/>
    </w:lvl>
  </w:abstractNum>
  <w:abstractNum w:abstractNumId="4">
    <w:nsid w:val="32B44E60"/>
    <w:multiLevelType w:val="multilevel"/>
    <w:tmpl w:val="32B44E6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D88F10C"/>
    <w:multiLevelType w:val="singleLevel"/>
    <w:tmpl w:val="5D88F10C"/>
    <w:lvl w:ilvl="0" w:tentative="0">
      <w:start w:val="3"/>
      <w:numFmt w:val="chineseCounting"/>
      <w:suff w:val="space"/>
      <w:lvlText w:val="第%1节"/>
      <w:lvlJc w:val="left"/>
      <w:rPr>
        <w:rFonts w:hint="eastAsia"/>
      </w:rPr>
    </w:lvl>
  </w:abstractNum>
  <w:abstractNum w:abstractNumId="6">
    <w:nsid w:val="64F88B35"/>
    <w:multiLevelType w:val="singleLevel"/>
    <w:tmpl w:val="64F88B35"/>
    <w:lvl w:ilvl="0" w:tentative="0">
      <w:start w:val="1"/>
      <w:numFmt w:val="decimal"/>
      <w:suff w:val="nothing"/>
      <w:lvlText w:val="%1、"/>
      <w:lvlJc w:val="left"/>
    </w:lvl>
  </w:abstractNum>
  <w:num w:numId="1">
    <w:abstractNumId w:val="4"/>
  </w:num>
  <w:num w:numId="2">
    <w:abstractNumId w:val="0"/>
  </w:num>
  <w:num w:numId="3">
    <w:abstractNumId w:val="1"/>
  </w:num>
  <w:num w:numId="4">
    <w:abstractNumId w:val="2"/>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Y2Q5NGJlYzU4NTkyZmVlNTJkOGMyNjQyNmVkNGUifQ=="/>
  </w:docVars>
  <w:rsids>
    <w:rsidRoot w:val="00D86D27"/>
    <w:rsid w:val="000A3877"/>
    <w:rsid w:val="00423EDF"/>
    <w:rsid w:val="00742528"/>
    <w:rsid w:val="00832F6F"/>
    <w:rsid w:val="00B30AA2"/>
    <w:rsid w:val="00C87A3F"/>
    <w:rsid w:val="00D86D27"/>
    <w:rsid w:val="00E61399"/>
    <w:rsid w:val="00E965AE"/>
    <w:rsid w:val="00F13D0C"/>
    <w:rsid w:val="00F62898"/>
    <w:rsid w:val="01772E96"/>
    <w:rsid w:val="017B11E4"/>
    <w:rsid w:val="02C820FF"/>
    <w:rsid w:val="02DA7730"/>
    <w:rsid w:val="032A4C70"/>
    <w:rsid w:val="03684410"/>
    <w:rsid w:val="036E550B"/>
    <w:rsid w:val="03A95E65"/>
    <w:rsid w:val="04043713"/>
    <w:rsid w:val="05241F60"/>
    <w:rsid w:val="05C7143E"/>
    <w:rsid w:val="05E07120"/>
    <w:rsid w:val="06F614B2"/>
    <w:rsid w:val="07B76CEE"/>
    <w:rsid w:val="080141EC"/>
    <w:rsid w:val="08083677"/>
    <w:rsid w:val="09DE0562"/>
    <w:rsid w:val="0A1857D1"/>
    <w:rsid w:val="0A191710"/>
    <w:rsid w:val="0ADF0289"/>
    <w:rsid w:val="0C3923C8"/>
    <w:rsid w:val="0CBD7F16"/>
    <w:rsid w:val="0CDA6FDD"/>
    <w:rsid w:val="0D0F4ED6"/>
    <w:rsid w:val="0DC9777B"/>
    <w:rsid w:val="0DF354AB"/>
    <w:rsid w:val="0E0F562B"/>
    <w:rsid w:val="0E241D61"/>
    <w:rsid w:val="107F49DF"/>
    <w:rsid w:val="11B14A9C"/>
    <w:rsid w:val="11BA4DE1"/>
    <w:rsid w:val="11D468AB"/>
    <w:rsid w:val="11F61DBB"/>
    <w:rsid w:val="121A05A5"/>
    <w:rsid w:val="133B4608"/>
    <w:rsid w:val="14135C4F"/>
    <w:rsid w:val="142C10D4"/>
    <w:rsid w:val="14357CE3"/>
    <w:rsid w:val="15282FD9"/>
    <w:rsid w:val="16D2291E"/>
    <w:rsid w:val="17185402"/>
    <w:rsid w:val="17594344"/>
    <w:rsid w:val="17B437F8"/>
    <w:rsid w:val="17FE0021"/>
    <w:rsid w:val="187A2818"/>
    <w:rsid w:val="18B56DE2"/>
    <w:rsid w:val="198B382E"/>
    <w:rsid w:val="19DD0928"/>
    <w:rsid w:val="19ED4732"/>
    <w:rsid w:val="1A483FCC"/>
    <w:rsid w:val="1BEC613E"/>
    <w:rsid w:val="1C5B336C"/>
    <w:rsid w:val="1D511FE3"/>
    <w:rsid w:val="1D882867"/>
    <w:rsid w:val="1DFE6FCD"/>
    <w:rsid w:val="1E786C04"/>
    <w:rsid w:val="1E7D6144"/>
    <w:rsid w:val="1F22127A"/>
    <w:rsid w:val="1FFC35D2"/>
    <w:rsid w:val="201E0BB9"/>
    <w:rsid w:val="20B963B5"/>
    <w:rsid w:val="213D03EE"/>
    <w:rsid w:val="216655B5"/>
    <w:rsid w:val="21980E22"/>
    <w:rsid w:val="22085751"/>
    <w:rsid w:val="223B6BD8"/>
    <w:rsid w:val="22C40934"/>
    <w:rsid w:val="230E2790"/>
    <w:rsid w:val="232273C6"/>
    <w:rsid w:val="23AE24FE"/>
    <w:rsid w:val="23B62435"/>
    <w:rsid w:val="240141E1"/>
    <w:rsid w:val="2406502D"/>
    <w:rsid w:val="246C2944"/>
    <w:rsid w:val="25FF38E2"/>
    <w:rsid w:val="274838B5"/>
    <w:rsid w:val="283E3579"/>
    <w:rsid w:val="286E6460"/>
    <w:rsid w:val="28B058CA"/>
    <w:rsid w:val="28CA01D8"/>
    <w:rsid w:val="2A542F97"/>
    <w:rsid w:val="2AA01709"/>
    <w:rsid w:val="2B22254D"/>
    <w:rsid w:val="2B430715"/>
    <w:rsid w:val="2BD80CAA"/>
    <w:rsid w:val="2C551DBE"/>
    <w:rsid w:val="2CF9108B"/>
    <w:rsid w:val="2D1D1C0F"/>
    <w:rsid w:val="2DB326FF"/>
    <w:rsid w:val="2E5A1FFE"/>
    <w:rsid w:val="2E761686"/>
    <w:rsid w:val="2E823302"/>
    <w:rsid w:val="2EA43B76"/>
    <w:rsid w:val="2FD3674B"/>
    <w:rsid w:val="30B877A0"/>
    <w:rsid w:val="319E3113"/>
    <w:rsid w:val="31CB57C2"/>
    <w:rsid w:val="31DB1150"/>
    <w:rsid w:val="324E1809"/>
    <w:rsid w:val="32C40BC7"/>
    <w:rsid w:val="32F156A4"/>
    <w:rsid w:val="331B4F25"/>
    <w:rsid w:val="33824154"/>
    <w:rsid w:val="33C958C9"/>
    <w:rsid w:val="33EE0B30"/>
    <w:rsid w:val="344221DF"/>
    <w:rsid w:val="34880A20"/>
    <w:rsid w:val="352B4510"/>
    <w:rsid w:val="360F448A"/>
    <w:rsid w:val="36846BAD"/>
    <w:rsid w:val="36A609FB"/>
    <w:rsid w:val="36B81FB7"/>
    <w:rsid w:val="36BB29BD"/>
    <w:rsid w:val="37546796"/>
    <w:rsid w:val="379E7846"/>
    <w:rsid w:val="37B44FC3"/>
    <w:rsid w:val="37EF7C5B"/>
    <w:rsid w:val="3816743F"/>
    <w:rsid w:val="38D13A7E"/>
    <w:rsid w:val="391B6C4C"/>
    <w:rsid w:val="39700927"/>
    <w:rsid w:val="39800123"/>
    <w:rsid w:val="39DC7D6B"/>
    <w:rsid w:val="3B2F491A"/>
    <w:rsid w:val="3BE5659E"/>
    <w:rsid w:val="3C077987"/>
    <w:rsid w:val="3C8E3CF4"/>
    <w:rsid w:val="3CC15CD6"/>
    <w:rsid w:val="3D1C6598"/>
    <w:rsid w:val="3E364322"/>
    <w:rsid w:val="3E4203B8"/>
    <w:rsid w:val="3FB87C67"/>
    <w:rsid w:val="41226DFB"/>
    <w:rsid w:val="42814EB7"/>
    <w:rsid w:val="42AE6739"/>
    <w:rsid w:val="42D36AA5"/>
    <w:rsid w:val="43AC2EA4"/>
    <w:rsid w:val="44E7112C"/>
    <w:rsid w:val="44FF678D"/>
    <w:rsid w:val="45CA25E8"/>
    <w:rsid w:val="46173D2C"/>
    <w:rsid w:val="49174888"/>
    <w:rsid w:val="491A3239"/>
    <w:rsid w:val="492B03C7"/>
    <w:rsid w:val="4A100B71"/>
    <w:rsid w:val="4ADF16B3"/>
    <w:rsid w:val="4B0E6E5C"/>
    <w:rsid w:val="4B622ACD"/>
    <w:rsid w:val="4B9D3D90"/>
    <w:rsid w:val="4BB56434"/>
    <w:rsid w:val="4BD91315"/>
    <w:rsid w:val="4BE77A6E"/>
    <w:rsid w:val="4C07336D"/>
    <w:rsid w:val="4CC17382"/>
    <w:rsid w:val="4CD373EC"/>
    <w:rsid w:val="4CF54E1D"/>
    <w:rsid w:val="4D2D38DC"/>
    <w:rsid w:val="4D7E5A7E"/>
    <w:rsid w:val="4DBA6B40"/>
    <w:rsid w:val="4E683E6B"/>
    <w:rsid w:val="4F3007C3"/>
    <w:rsid w:val="4FD061E7"/>
    <w:rsid w:val="517B6476"/>
    <w:rsid w:val="533641DA"/>
    <w:rsid w:val="54B47BBE"/>
    <w:rsid w:val="54CD1D23"/>
    <w:rsid w:val="557A075A"/>
    <w:rsid w:val="55E41B88"/>
    <w:rsid w:val="56064377"/>
    <w:rsid w:val="567A424E"/>
    <w:rsid w:val="568965D9"/>
    <w:rsid w:val="56F025FF"/>
    <w:rsid w:val="57A23490"/>
    <w:rsid w:val="57AA1374"/>
    <w:rsid w:val="57C1754D"/>
    <w:rsid w:val="58281D11"/>
    <w:rsid w:val="58F12781"/>
    <w:rsid w:val="591F65D8"/>
    <w:rsid w:val="5B1761D9"/>
    <w:rsid w:val="5B4B0800"/>
    <w:rsid w:val="5B8D1804"/>
    <w:rsid w:val="5C5429A5"/>
    <w:rsid w:val="5C551892"/>
    <w:rsid w:val="5DBD7404"/>
    <w:rsid w:val="5E82661B"/>
    <w:rsid w:val="5E872612"/>
    <w:rsid w:val="5EC0115A"/>
    <w:rsid w:val="600867D6"/>
    <w:rsid w:val="608E7761"/>
    <w:rsid w:val="622F530A"/>
    <w:rsid w:val="63A80518"/>
    <w:rsid w:val="65024493"/>
    <w:rsid w:val="65DC59FE"/>
    <w:rsid w:val="672E22BF"/>
    <w:rsid w:val="67E660D5"/>
    <w:rsid w:val="68FF2CAE"/>
    <w:rsid w:val="690E0D2E"/>
    <w:rsid w:val="698E074C"/>
    <w:rsid w:val="6AD0468F"/>
    <w:rsid w:val="6AD06BC8"/>
    <w:rsid w:val="6AD3724E"/>
    <w:rsid w:val="6AE619FB"/>
    <w:rsid w:val="6AFC2E9F"/>
    <w:rsid w:val="6B686A8A"/>
    <w:rsid w:val="6C120BF4"/>
    <w:rsid w:val="6CA3661A"/>
    <w:rsid w:val="6D581EDE"/>
    <w:rsid w:val="6DCC25CB"/>
    <w:rsid w:val="6DEA7FA1"/>
    <w:rsid w:val="6E2D56D1"/>
    <w:rsid w:val="6F337B8B"/>
    <w:rsid w:val="702A6D7B"/>
    <w:rsid w:val="70645DE9"/>
    <w:rsid w:val="70740671"/>
    <w:rsid w:val="707B142F"/>
    <w:rsid w:val="70823F42"/>
    <w:rsid w:val="73D9089C"/>
    <w:rsid w:val="742C54EA"/>
    <w:rsid w:val="746B181D"/>
    <w:rsid w:val="75CB596B"/>
    <w:rsid w:val="764A5A81"/>
    <w:rsid w:val="76B66832"/>
    <w:rsid w:val="76D71185"/>
    <w:rsid w:val="76D84AC2"/>
    <w:rsid w:val="775F56D8"/>
    <w:rsid w:val="77DE7F60"/>
    <w:rsid w:val="78237419"/>
    <w:rsid w:val="78C721BB"/>
    <w:rsid w:val="78CA60E9"/>
    <w:rsid w:val="799D1096"/>
    <w:rsid w:val="79D0605D"/>
    <w:rsid w:val="7A0E64F8"/>
    <w:rsid w:val="7B2E15FC"/>
    <w:rsid w:val="7BBC3BD6"/>
    <w:rsid w:val="7CC759B6"/>
    <w:rsid w:val="7CE16718"/>
    <w:rsid w:val="7D6B6A41"/>
    <w:rsid w:val="7D796241"/>
    <w:rsid w:val="7E3823AC"/>
    <w:rsid w:val="7E765206"/>
    <w:rsid w:val="7EAD7827"/>
    <w:rsid w:val="7F310A5D"/>
    <w:rsid w:val="7FDF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57"/>
    <w:qFormat/>
    <w:uiPriority w:val="0"/>
    <w:pPr>
      <w:keepNext/>
      <w:keepLines/>
      <w:spacing w:before="260" w:after="260" w:line="416" w:lineRule="auto"/>
      <w:outlineLvl w:val="2"/>
    </w:pPr>
    <w:rPr>
      <w:b/>
      <w:bCs/>
      <w:kern w:val="0"/>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qFormat/>
    <w:uiPriority w:val="0"/>
    <w:pPr>
      <w:keepNext/>
      <w:keepLines/>
      <w:adjustRightInd w:val="0"/>
      <w:spacing w:before="280" w:after="290" w:line="376" w:lineRule="atLeast"/>
      <w:jc w:val="left"/>
      <w:textAlignment w:val="baseline"/>
      <w:outlineLvl w:val="4"/>
    </w:pPr>
    <w:rPr>
      <w:b/>
      <w:bCs/>
      <w:kern w:val="0"/>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index 8"/>
    <w:basedOn w:val="1"/>
    <w:next w:val="1"/>
    <w:unhideWhenUsed/>
    <w:qFormat/>
    <w:uiPriority w:val="99"/>
    <w:pPr>
      <w:spacing w:line="276" w:lineRule="auto"/>
      <w:jc w:val="left"/>
    </w:pPr>
    <w:rPr>
      <w:rFonts w:ascii="宋体" w:hAnsi="宋体"/>
      <w:color w:val="FF0000"/>
      <w:szCs w:val="21"/>
    </w:rPr>
  </w:style>
  <w:style w:type="paragraph" w:styleId="8">
    <w:name w:val="Normal Indent"/>
    <w:basedOn w:val="1"/>
    <w:qFormat/>
    <w:uiPriority w:val="0"/>
    <w:pPr>
      <w:ind w:firstLine="420" w:firstLineChars="200"/>
    </w:pPr>
    <w:rPr>
      <w:rFonts w:hAnsi="宋体"/>
    </w:rPr>
  </w:style>
  <w:style w:type="paragraph" w:styleId="9">
    <w:name w:val="annotation text"/>
    <w:basedOn w:val="1"/>
    <w:semiHidden/>
    <w:qFormat/>
    <w:uiPriority w:val="0"/>
    <w:pPr>
      <w:jc w:val="left"/>
    </w:pPr>
    <w:rPr>
      <w:kern w:val="0"/>
      <w:sz w:val="20"/>
    </w:rPr>
  </w:style>
  <w:style w:type="paragraph" w:styleId="10">
    <w:name w:val="Body Text"/>
    <w:basedOn w:val="1"/>
    <w:qFormat/>
    <w:uiPriority w:val="0"/>
    <w:pPr>
      <w:spacing w:after="120"/>
    </w:pPr>
    <w:rPr>
      <w:kern w:val="0"/>
      <w:sz w:val="20"/>
    </w:rPr>
  </w:style>
  <w:style w:type="paragraph" w:styleId="11">
    <w:name w:val="Body Text Indent"/>
    <w:basedOn w:val="1"/>
    <w:next w:val="8"/>
    <w:qFormat/>
    <w:uiPriority w:val="0"/>
    <w:pPr>
      <w:spacing w:after="120"/>
      <w:ind w:left="420" w:leftChars="200"/>
    </w:pPr>
    <w:rPr>
      <w:kern w:val="0"/>
      <w:sz w:val="20"/>
    </w:rPr>
  </w:style>
  <w:style w:type="paragraph" w:styleId="12">
    <w:name w:val="toc 3"/>
    <w:basedOn w:val="1"/>
    <w:next w:val="1"/>
    <w:qFormat/>
    <w:uiPriority w:val="0"/>
    <w:pPr>
      <w:ind w:left="840" w:leftChars="400"/>
    </w:pPr>
  </w:style>
  <w:style w:type="paragraph" w:styleId="13">
    <w:name w:val="Plain Text"/>
    <w:basedOn w:val="1"/>
    <w:next w:val="1"/>
    <w:qFormat/>
    <w:uiPriority w:val="0"/>
    <w:rPr>
      <w:rFonts w:ascii="宋体" w:hAnsi="Courier New"/>
      <w:kern w:val="0"/>
      <w:sz w:val="20"/>
      <w:szCs w:val="21"/>
    </w:rPr>
  </w:style>
  <w:style w:type="paragraph" w:styleId="14">
    <w:name w:val="Date"/>
    <w:basedOn w:val="1"/>
    <w:next w:val="1"/>
    <w:qFormat/>
    <w:uiPriority w:val="0"/>
    <w:rPr>
      <w:kern w:val="0"/>
      <w:sz w:val="24"/>
      <w:szCs w:val="20"/>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67"/>
    <w:qFormat/>
    <w:uiPriority w:val="0"/>
    <w:rPr>
      <w:sz w:val="18"/>
      <w:szCs w:val="18"/>
    </w:rPr>
  </w:style>
  <w:style w:type="paragraph" w:styleId="17">
    <w:name w:val="footer"/>
    <w:basedOn w:val="1"/>
    <w:qFormat/>
    <w:uiPriority w:val="0"/>
    <w:pPr>
      <w:tabs>
        <w:tab w:val="center" w:pos="4153"/>
        <w:tab w:val="right" w:pos="8306"/>
      </w:tabs>
      <w:snapToGrid w:val="0"/>
      <w:jc w:val="left"/>
    </w:pPr>
    <w:rPr>
      <w:kern w:val="0"/>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9">
    <w:name w:val="toc 1"/>
    <w:basedOn w:val="1"/>
    <w:next w:val="1"/>
    <w:qFormat/>
    <w:uiPriority w:val="0"/>
  </w:style>
  <w:style w:type="paragraph" w:styleId="20">
    <w:name w:val="toc 2"/>
    <w:basedOn w:val="1"/>
    <w:next w:val="1"/>
    <w:qFormat/>
    <w:uiPriority w:val="0"/>
    <w:pPr>
      <w:ind w:left="420" w:leftChars="200"/>
    </w:pPr>
  </w:style>
  <w:style w:type="paragraph" w:styleId="21">
    <w:name w:val="toc 9"/>
    <w:basedOn w:val="1"/>
    <w:next w:val="1"/>
    <w:unhideWhenUsed/>
    <w:qFormat/>
    <w:uiPriority w:val="39"/>
    <w:pPr>
      <w:ind w:left="3360" w:leftChars="1600"/>
    </w:pPr>
    <w:rPr>
      <w:rFonts w:ascii="Calibri" w:hAnsi="Calibri"/>
      <w:szCs w:val="22"/>
    </w:rPr>
  </w:style>
  <w:style w:type="paragraph" w:styleId="22">
    <w:name w:val="HTML Preformatt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annotation subject"/>
    <w:basedOn w:val="9"/>
    <w:next w:val="1"/>
    <w:qFormat/>
    <w:uiPriority w:val="0"/>
    <w:rPr>
      <w:b/>
      <w:bCs/>
    </w:rPr>
  </w:style>
  <w:style w:type="paragraph" w:styleId="25">
    <w:name w:val="Body Text First Indent 2"/>
    <w:basedOn w:val="11"/>
    <w:next w:val="1"/>
    <w:unhideWhenUsed/>
    <w:qFormat/>
    <w:uiPriority w:val="99"/>
    <w:pPr>
      <w:ind w:firstLine="420" w:firstLineChars="200"/>
    </w:p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b/>
      <w:bCs/>
    </w:rPr>
  </w:style>
  <w:style w:type="character" w:styleId="30">
    <w:name w:val="page number"/>
    <w:basedOn w:val="28"/>
    <w:qFormat/>
    <w:uiPriority w:val="0"/>
  </w:style>
  <w:style w:type="character" w:styleId="31">
    <w:name w:val="FollowedHyperlink"/>
    <w:basedOn w:val="28"/>
    <w:qFormat/>
    <w:uiPriority w:val="0"/>
    <w:rPr>
      <w:color w:val="800080"/>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0000FF"/>
      <w:u w:val="single"/>
    </w:rPr>
  </w:style>
  <w:style w:type="character" w:styleId="38">
    <w:name w:val="HTML Code"/>
    <w:basedOn w:val="28"/>
    <w:qFormat/>
    <w:uiPriority w:val="0"/>
    <w:rPr>
      <w:rFonts w:hint="default" w:ascii="monospace" w:hAnsi="monospace" w:eastAsia="monospace" w:cs="monospace"/>
      <w:sz w:val="20"/>
    </w:rPr>
  </w:style>
  <w:style w:type="character" w:styleId="39">
    <w:name w:val="HTML Cite"/>
    <w:basedOn w:val="28"/>
    <w:qFormat/>
    <w:uiPriority w:val="0"/>
  </w:style>
  <w:style w:type="character" w:styleId="40">
    <w:name w:val="HTML Keyboard"/>
    <w:basedOn w:val="28"/>
    <w:qFormat/>
    <w:uiPriority w:val="0"/>
    <w:rPr>
      <w:rFonts w:hint="default" w:ascii="monospace" w:hAnsi="monospace" w:eastAsia="monospace" w:cs="monospace"/>
      <w:sz w:val="20"/>
    </w:rPr>
  </w:style>
  <w:style w:type="character" w:styleId="41">
    <w:name w:val="HTML Sample"/>
    <w:basedOn w:val="28"/>
    <w:qFormat/>
    <w:uiPriority w:val="0"/>
    <w:rPr>
      <w:rFonts w:hint="default" w:ascii="monospace" w:hAnsi="monospace" w:eastAsia="monospace" w:cs="monospace"/>
    </w:rPr>
  </w:style>
  <w:style w:type="paragraph" w:customStyle="1" w:styleId="4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43">
    <w:name w:val="正文文本缩进_0"/>
    <w:basedOn w:val="44"/>
    <w:next w:val="45"/>
    <w:qFormat/>
    <w:uiPriority w:val="0"/>
    <w:pPr>
      <w:spacing w:after="120"/>
      <w:ind w:left="420" w:leftChars="200"/>
    </w:pPr>
  </w:style>
  <w:style w:type="paragraph" w:customStyle="1" w:styleId="44">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批注主题_0"/>
    <w:basedOn w:val="46"/>
    <w:next w:val="44"/>
    <w:qFormat/>
    <w:uiPriority w:val="0"/>
    <w:rPr>
      <w:b/>
      <w:bCs/>
    </w:rPr>
  </w:style>
  <w:style w:type="paragraph" w:customStyle="1" w:styleId="46">
    <w:name w:val="批注文字_0"/>
    <w:basedOn w:val="44"/>
    <w:semiHidden/>
    <w:qFormat/>
    <w:uiPriority w:val="0"/>
    <w:pPr>
      <w:jc w:val="left"/>
    </w:pPr>
  </w:style>
  <w:style w:type="paragraph" w:customStyle="1" w:styleId="47">
    <w:name w:val="正文缩进_0"/>
    <w:basedOn w:val="44"/>
    <w:qFormat/>
    <w:uiPriority w:val="0"/>
    <w:pPr>
      <w:widowControl/>
      <w:ind w:firstLine="420"/>
      <w:jc w:val="left"/>
    </w:pPr>
    <w:rPr>
      <w:kern w:val="0"/>
      <w:sz w:val="20"/>
      <w:szCs w:val="20"/>
    </w:rPr>
  </w:style>
  <w:style w:type="paragraph" w:customStyle="1" w:styleId="48">
    <w:name w:val="表格文字"/>
    <w:basedOn w:val="1"/>
    <w:qFormat/>
    <w:uiPriority w:val="0"/>
    <w:pPr>
      <w:spacing w:before="25" w:beforeLines="0" w:after="25" w:afterLines="0" w:line="240" w:lineRule="auto"/>
      <w:ind w:firstLine="0"/>
      <w:jc w:val="left"/>
    </w:pPr>
    <w:rPr>
      <w:bCs/>
      <w:spacing w:val="10"/>
      <w:kern w:val="0"/>
      <w:sz w:val="24"/>
    </w:rPr>
  </w:style>
  <w:style w:type="paragraph" w:customStyle="1" w:styleId="49">
    <w:name w:val="列出段落1"/>
    <w:basedOn w:val="1"/>
    <w:qFormat/>
    <w:uiPriority w:val="0"/>
    <w:pPr>
      <w:ind w:firstLine="420" w:firstLineChars="200"/>
    </w:pPr>
    <w:rPr>
      <w:rFonts w:ascii="Calibri" w:hAnsi="Calibri" w:cs="Calibri"/>
      <w:szCs w:val="21"/>
    </w:rPr>
  </w:style>
  <w:style w:type="paragraph" w:customStyle="1" w:styleId="50">
    <w:name w:val="正文1"/>
    <w:unhideWhenUsed/>
    <w:qFormat/>
    <w:uiPriority w:val="0"/>
    <w:pPr>
      <w:widowControl w:val="0"/>
      <w:tabs>
        <w:tab w:val="left" w:pos="567"/>
      </w:tabs>
      <w:adjustRightInd w:val="0"/>
      <w:spacing w:line="360" w:lineRule="atLeast"/>
      <w:ind w:left="567" w:hanging="567"/>
      <w:textAlignment w:val="baseline"/>
    </w:pPr>
    <w:rPr>
      <w:rFonts w:hint="eastAsia" w:ascii="宋体" w:hAnsi="Times New Roman" w:eastAsia="宋体" w:cs="Times New Roman"/>
      <w:sz w:val="24"/>
      <w:lang w:val="en-US" w:eastAsia="zh-CN" w:bidi="ar-SA"/>
    </w:rPr>
  </w:style>
  <w:style w:type="paragraph" w:customStyle="1" w:styleId="51">
    <w:name w:val="1"/>
    <w:basedOn w:val="1"/>
    <w:qFormat/>
    <w:uiPriority w:val="0"/>
    <w:pPr>
      <w:spacing w:afterLines="50" w:line="360" w:lineRule="auto"/>
    </w:pPr>
    <w:rPr>
      <w:rFonts w:ascii="宋体" w:hAnsi="宋体"/>
      <w:b/>
      <w:sz w:val="30"/>
      <w:szCs w:val="21"/>
    </w:rPr>
  </w:style>
  <w:style w:type="paragraph" w:customStyle="1" w:styleId="52">
    <w:name w:val="首行缩进"/>
    <w:basedOn w:val="1"/>
    <w:qFormat/>
    <w:uiPriority w:val="0"/>
    <w:pPr>
      <w:ind w:firstLine="480" w:firstLineChars="200"/>
    </w:pPr>
    <w:rPr>
      <w:lang w:val="zh-CN"/>
    </w:rPr>
  </w:style>
  <w:style w:type="paragraph" w:customStyle="1" w:styleId="53">
    <w:name w:val="样式2"/>
    <w:basedOn w:val="54"/>
    <w:next w:val="1"/>
    <w:qFormat/>
    <w:uiPriority w:val="0"/>
  </w:style>
  <w:style w:type="paragraph" w:customStyle="1" w:styleId="54">
    <w:name w:val="_Style 6"/>
    <w:basedOn w:val="1"/>
    <w:qFormat/>
    <w:uiPriority w:val="34"/>
    <w:pPr>
      <w:ind w:firstLine="420" w:firstLineChars="200"/>
    </w:pPr>
    <w:rPr>
      <w:rFonts w:ascii="Calibri" w:hAnsi="Calibri"/>
      <w:szCs w:val="22"/>
    </w:rPr>
  </w:style>
  <w:style w:type="paragraph" w:customStyle="1" w:styleId="55">
    <w:name w:val="p0"/>
    <w:basedOn w:val="1"/>
    <w:qFormat/>
    <w:uiPriority w:val="0"/>
    <w:pPr>
      <w:widowControl/>
    </w:pPr>
    <w:rPr>
      <w:kern w:val="0"/>
      <w:sz w:val="20"/>
      <w:szCs w:val="21"/>
    </w:rPr>
  </w:style>
  <w:style w:type="paragraph" w:customStyle="1" w:styleId="56">
    <w:name w:val="_Style 1"/>
    <w:basedOn w:val="1"/>
    <w:qFormat/>
    <w:uiPriority w:val="99"/>
    <w:pPr>
      <w:ind w:firstLine="420" w:firstLineChars="200"/>
    </w:pPr>
    <w:rPr>
      <w:rFonts w:ascii="Calibri" w:hAnsi="Calibri"/>
    </w:rPr>
  </w:style>
  <w:style w:type="character" w:customStyle="1" w:styleId="57">
    <w:name w:val="标题 3 Char"/>
    <w:link w:val="4"/>
    <w:qFormat/>
    <w:uiPriority w:val="0"/>
    <w:rPr>
      <w:b/>
      <w:bCs/>
      <w:kern w:val="0"/>
      <w:sz w:val="32"/>
      <w:szCs w:val="32"/>
    </w:rPr>
  </w:style>
  <w:style w:type="paragraph" w:customStyle="1" w:styleId="58">
    <w:name w:val="列表段落1"/>
    <w:basedOn w:val="1"/>
    <w:qFormat/>
    <w:uiPriority w:val="34"/>
    <w:pPr>
      <w:adjustRightInd w:val="0"/>
      <w:spacing w:line="312" w:lineRule="auto"/>
      <w:ind w:firstLine="420" w:firstLineChars="200"/>
      <w:textAlignment w:val="baseline"/>
    </w:pPr>
    <w:rPr>
      <w:sz w:val="24"/>
    </w:rPr>
  </w:style>
  <w:style w:type="paragraph" w:styleId="59">
    <w:name w:val="List Paragraph"/>
    <w:basedOn w:val="1"/>
    <w:qFormat/>
    <w:uiPriority w:val="0"/>
    <w:pPr>
      <w:ind w:firstLine="420" w:firstLineChars="200"/>
    </w:pPr>
    <w:rPr>
      <w:rFonts w:ascii="Calibri" w:hAnsi="Calibri"/>
      <w:szCs w:val="22"/>
    </w:rPr>
  </w:style>
  <w:style w:type="paragraph" w:customStyle="1" w:styleId="60">
    <w:name w:val="WPSOffice手动目录 1"/>
    <w:qFormat/>
    <w:uiPriority w:val="0"/>
    <w:rPr>
      <w:rFonts w:ascii="Times New Roman" w:hAnsi="Times New Roman" w:eastAsia="宋体" w:cs="Times New Roman"/>
      <w:lang w:val="en-US" w:eastAsia="zh-CN" w:bidi="ar-SA"/>
    </w:rPr>
  </w:style>
  <w:style w:type="paragraph" w:customStyle="1" w:styleId="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2">
    <w:name w:val="Normal_1"/>
    <w:qFormat/>
    <w:uiPriority w:val="0"/>
    <w:rPr>
      <w:rFonts w:ascii="Calibri" w:hAnsi="Calibri" w:eastAsia="宋体" w:cs="Times New Roman"/>
      <w:sz w:val="24"/>
      <w:szCs w:val="24"/>
      <w:lang w:val="en-US" w:eastAsia="zh-CN" w:bidi="ar-SA"/>
    </w:rPr>
  </w:style>
  <w:style w:type="paragraph" w:customStyle="1" w:styleId="63">
    <w:name w:val="Normal_69"/>
    <w:qFormat/>
    <w:uiPriority w:val="0"/>
    <w:pPr>
      <w:widowControl w:val="0"/>
      <w:jc w:val="both"/>
    </w:pPr>
    <w:rPr>
      <w:rFonts w:ascii="Calibri" w:hAnsi="Calibri" w:eastAsia="宋体" w:cs="Times New Roman"/>
      <w:lang w:val="en-US" w:eastAsia="zh-CN" w:bidi="ar-SA"/>
    </w:rPr>
  </w:style>
  <w:style w:type="paragraph" w:customStyle="1" w:styleId="64">
    <w:name w:val="正文文字"/>
    <w:basedOn w:val="1"/>
    <w:next w:val="1"/>
    <w:qFormat/>
    <w:uiPriority w:val="0"/>
    <w:pPr>
      <w:spacing w:after="120"/>
    </w:pPr>
  </w:style>
  <w:style w:type="paragraph" w:customStyle="1" w:styleId="65">
    <w:name w:val="正文缩进1"/>
    <w:basedOn w:val="1"/>
    <w:qFormat/>
    <w:uiPriority w:val="0"/>
    <w:pPr>
      <w:widowControl/>
      <w:ind w:firstLine="420"/>
      <w:jc w:val="left"/>
    </w:pPr>
    <w:rPr>
      <w:kern w:val="0"/>
    </w:rPr>
  </w:style>
  <w:style w:type="paragraph" w:customStyle="1" w:styleId="6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67">
    <w:name w:val="批注框文本 Char"/>
    <w:basedOn w:val="28"/>
    <w:link w:val="16"/>
    <w:qFormat/>
    <w:uiPriority w:val="0"/>
    <w:rPr>
      <w:kern w:val="2"/>
      <w:sz w:val="18"/>
      <w:szCs w:val="18"/>
    </w:rPr>
  </w:style>
  <w:style w:type="paragraph" w:customStyle="1" w:styleId="68">
    <w:name w:val="null3"/>
    <w:hidden/>
    <w:qFormat/>
    <w:uiPriority w:val="0"/>
    <w:rPr>
      <w:rFonts w:hint="eastAsia" w:asciiTheme="minorHAnsi" w:hAnsiTheme="minorHAnsi" w:eastAsiaTheme="minorEastAsia" w:cstheme="minorBidi"/>
      <w:lang w:val="en-US" w:eastAsia="zh-Hans"/>
    </w:rPr>
  </w:style>
  <w:style w:type="paragraph" w:customStyle="1" w:styleId="69">
    <w:name w:val="标题 2_0"/>
    <w:basedOn w:val="70"/>
    <w:next w:val="70"/>
    <w:unhideWhenUsed/>
    <w:qFormat/>
    <w:uiPriority w:val="0"/>
    <w:pPr>
      <w:keepNext/>
      <w:keepLines/>
      <w:spacing w:line="360" w:lineRule="auto"/>
      <w:outlineLvl w:val="1"/>
    </w:pPr>
    <w:rPr>
      <w:rFonts w:ascii="Arial" w:hAnsi="Arial" w:eastAsia="宋体" w:cs="Times New Roman"/>
      <w:b/>
      <w:bCs/>
      <w:sz w:val="24"/>
      <w:szCs w:val="32"/>
    </w:rPr>
  </w:style>
  <w:style w:type="paragraph" w:customStyle="1" w:styleId="7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1">
    <w:name w:val="正文_0_0"/>
    <w:next w:val="25"/>
    <w:qFormat/>
    <w:uiPriority w:val="0"/>
    <w:pPr>
      <w:widowControl w:val="0"/>
      <w:jc w:val="both"/>
    </w:pPr>
    <w:rPr>
      <w:rFonts w:ascii="Calibri" w:hAnsi="Calibri" w:eastAsia="宋体" w:cs="Times New Roman"/>
      <w:kern w:val="2"/>
      <w:sz w:val="21"/>
      <w:szCs w:val="22"/>
      <w:lang w:val="en-US" w:eastAsia="zh-CN" w:bidi="ar-SA"/>
    </w:rPr>
  </w:style>
  <w:style w:type="paragraph" w:customStyle="1" w:styleId="72">
    <w:name w:val="标题 3_0"/>
    <w:basedOn w:val="70"/>
    <w:next w:val="70"/>
    <w:qFormat/>
    <w:uiPriority w:val="0"/>
    <w:pPr>
      <w:keepNext/>
      <w:keepLines/>
      <w:spacing w:before="260" w:after="260" w:line="416" w:lineRule="auto"/>
      <w:outlineLvl w:val="2"/>
    </w:pPr>
    <w:rPr>
      <w:b/>
      <w:bCs/>
      <w:sz w:val="32"/>
      <w:szCs w:val="32"/>
    </w:rPr>
  </w:style>
  <w:style w:type="paragraph" w:customStyle="1" w:styleId="73">
    <w:name w:val="表格内容"/>
    <w:qFormat/>
    <w:uiPriority w:val="0"/>
    <w:pPr>
      <w:spacing w:before="25" w:beforeLines="25" w:after="25" w:afterLines="25"/>
      <w:jc w:val="center"/>
    </w:pPr>
    <w:rPr>
      <w:rFonts w:ascii="Arial Unicode MS" w:hAnsi="Arial Unicode MS" w:eastAsia="仿宋" w:cs="Times New Roman"/>
      <w:kern w:val="2"/>
      <w:sz w:val="21"/>
      <w:szCs w:val="21"/>
      <w:lang w:val="en-US" w:eastAsia="zh-CN" w:bidi="ar-SA"/>
    </w:rPr>
  </w:style>
  <w:style w:type="table" w:customStyle="1" w:styleId="74">
    <w:name w:val="Table Normal"/>
    <w:unhideWhenUsed/>
    <w:qFormat/>
    <w:uiPriority w:val="2"/>
    <w:tblPr>
      <w:tblCellMar>
        <w:top w:w="0" w:type="dxa"/>
        <w:left w:w="0" w:type="dxa"/>
        <w:bottom w:w="0" w:type="dxa"/>
        <w:right w:w="0" w:type="dxa"/>
      </w:tblCellMar>
    </w:tblPr>
  </w:style>
  <w:style w:type="paragraph" w:customStyle="1" w:styleId="75">
    <w:name w:val="Table Paragraph"/>
    <w:basedOn w:val="1"/>
    <w:autoRedefine/>
    <w:qFormat/>
    <w:uiPriority w:val="0"/>
    <w:rPr>
      <w:rFonts w:ascii="Calibri" w:hAnsi="Calibri"/>
    </w:rPr>
  </w:style>
  <w:style w:type="paragraph" w:customStyle="1" w:styleId="76">
    <w:name w:val="Table Text"/>
    <w:basedOn w:val="1"/>
    <w:autoRedefine/>
    <w:semiHidden/>
    <w:qFormat/>
    <w:uiPriority w:val="0"/>
    <w:rPr>
      <w:rFonts w:ascii="宋体" w:hAnsi="宋体" w:cs="宋体"/>
      <w:sz w:val="36"/>
      <w:szCs w:val="36"/>
      <w:lang w:eastAsia="en-US"/>
    </w:rPr>
  </w:style>
  <w:style w:type="paragraph" w:customStyle="1" w:styleId="77">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52</Pages>
  <Words>4240</Words>
  <Characters>4727</Characters>
  <Lines>220</Lines>
  <Paragraphs>62</Paragraphs>
  <TotalTime>1</TotalTime>
  <ScaleCrop>false</ScaleCrop>
  <LinksUpToDate>false</LinksUpToDate>
  <CharactersWithSpaces>5196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2022-06-09T12:02:00Z</dcterms:created>
  <dc:creator>Administrator</dc:creator>
  <cp:lastModifiedBy>Administrator</cp:lastModifiedBy>
  <cp:lastPrinted>2025-07-01T09:59:00Z</cp:lastPrinted>
  <dcterms:modified xsi:type="dcterms:W3CDTF">2026-07-21T09:13:07Z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E55C1C5A94F8403EAF40D7CDBC7947D0_13</vt:lpwstr>
  </property>
  <property fmtid="{D5CDD505-2E9C-101B-9397-08002B2CF9AE}" pid="4" name="KSOTemplateDocerSaveRecord">
    <vt:lpwstr>eyJoZGlkIjoiZDk4YWRjMjJkMWE3OTJlYjE5NDhhMDYxMTJjZWU4NzMiLCJ1c2VySWQiOiI0NTk3NjExOTIifQ==</vt:lpwstr>
  </property>
</Properties>
</file>