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C4B7A">
      <w:pPr>
        <w:pageBreakBefore w:val="0"/>
        <w:kinsoku/>
        <w:overflowPunct/>
        <w:topLinePunct w:val="0"/>
        <w:bidi w:val="0"/>
        <w:spacing w:line="400" w:lineRule="exact"/>
        <w:rPr>
          <w:rFonts w:hint="eastAsia" w:ascii="仿宋" w:hAnsi="仿宋" w:eastAsia="仿宋_GB2312" w:cs="仿宋"/>
          <w:color w:val="auto"/>
          <w:highlight w:val="none"/>
        </w:rPr>
      </w:pPr>
      <w:r>
        <w:rPr>
          <w:rFonts w:hint="eastAsia" w:ascii="仿宋" w:hAnsi="仿宋" w:eastAsia="仿宋_GB2312" w:cs="仿宋"/>
          <w:color w:val="auto"/>
          <w:highlight w:val="none"/>
          <w:lang w:val="en-US" w:eastAsia="zh-CN"/>
        </w:rPr>
        <w:t xml:space="preserve"> </w:t>
      </w:r>
    </w:p>
    <w:p w14:paraId="23F68CC5">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_GB2312" w:cs="仿宋"/>
          <w:bCs/>
          <w:color w:val="auto"/>
          <w:sz w:val="72"/>
          <w:szCs w:val="72"/>
          <w:highlight w:val="none"/>
        </w:rPr>
      </w:pPr>
    </w:p>
    <w:p w14:paraId="44F61892">
      <w:pPr>
        <w:pStyle w:val="22"/>
        <w:keepNext w:val="0"/>
        <w:keepLines w:val="0"/>
        <w:pageBreakBefore w:val="0"/>
        <w:widowControl w:val="0"/>
        <w:kinsoku/>
        <w:wordWrap/>
        <w:overflowPunct/>
        <w:topLinePunct w:val="0"/>
        <w:autoSpaceDE/>
        <w:autoSpaceDN/>
        <w:bidi w:val="0"/>
        <w:adjustRightInd w:val="0"/>
        <w:snapToGrid w:val="0"/>
        <w:spacing w:line="1200" w:lineRule="exact"/>
        <w:jc w:val="center"/>
        <w:textAlignment w:val="auto"/>
        <w:rPr>
          <w:rFonts w:hint="eastAsia" w:ascii="方正小标宋简体" w:hAnsi="方正小标宋简体" w:eastAsia="方正小标宋简体" w:cs="方正小标宋简体"/>
          <w:bCs/>
          <w:color w:val="auto"/>
          <w:sz w:val="72"/>
          <w:szCs w:val="72"/>
          <w:highlight w:val="none"/>
          <w:lang w:eastAsia="zh-CN"/>
        </w:rPr>
      </w:pPr>
      <w:r>
        <w:rPr>
          <w:rFonts w:hint="eastAsia" w:ascii="方正小标宋简体" w:hAnsi="方正小标宋简体" w:eastAsia="方正小标宋简体" w:cs="方正小标宋简体"/>
          <w:bCs/>
          <w:color w:val="auto"/>
          <w:sz w:val="72"/>
          <w:szCs w:val="72"/>
          <w:highlight w:val="none"/>
        </w:rPr>
        <w:t>政府采购</w:t>
      </w:r>
      <w:r>
        <w:rPr>
          <w:rFonts w:hint="eastAsia" w:ascii="方正小标宋简体" w:hAnsi="方正小标宋简体" w:eastAsia="方正小标宋简体" w:cs="方正小标宋简体"/>
          <w:bCs/>
          <w:color w:val="auto"/>
          <w:sz w:val="72"/>
          <w:szCs w:val="72"/>
          <w:highlight w:val="none"/>
          <w:lang w:eastAsia="zh-CN"/>
        </w:rPr>
        <w:t>（服务）</w:t>
      </w:r>
    </w:p>
    <w:p w14:paraId="4FB2F1B9">
      <w:pPr>
        <w:pStyle w:val="22"/>
        <w:keepNext w:val="0"/>
        <w:keepLines w:val="0"/>
        <w:pageBreakBefore w:val="0"/>
        <w:widowControl w:val="0"/>
        <w:kinsoku/>
        <w:wordWrap/>
        <w:overflowPunct/>
        <w:topLinePunct w:val="0"/>
        <w:autoSpaceDE/>
        <w:autoSpaceDN/>
        <w:bidi w:val="0"/>
        <w:adjustRightInd w:val="0"/>
        <w:snapToGrid w:val="0"/>
        <w:spacing w:line="1200" w:lineRule="exact"/>
        <w:jc w:val="center"/>
        <w:textAlignment w:val="auto"/>
        <w:rPr>
          <w:rFonts w:hint="eastAsia" w:ascii="方正小标宋简体" w:hAnsi="方正小标宋简体" w:eastAsia="方正小标宋简体" w:cs="方正小标宋简体"/>
          <w:b/>
          <w:bCs/>
          <w:color w:val="auto"/>
          <w:sz w:val="84"/>
          <w:szCs w:val="84"/>
          <w:highlight w:val="none"/>
        </w:rPr>
      </w:pPr>
      <w:r>
        <w:rPr>
          <w:rFonts w:hint="eastAsia" w:ascii="方正小标宋简体" w:hAnsi="方正小标宋简体" w:eastAsia="方正小标宋简体" w:cs="方正小标宋简体"/>
          <w:b/>
          <w:bCs/>
          <w:color w:val="auto"/>
          <w:sz w:val="84"/>
          <w:szCs w:val="84"/>
          <w:highlight w:val="none"/>
        </w:rPr>
        <w:t>招标文件</w:t>
      </w:r>
    </w:p>
    <w:p w14:paraId="6E9BA75B">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_GB2312" w:cs="仿宋"/>
          <w:b/>
          <w:bCs/>
          <w:color w:val="auto"/>
          <w:sz w:val="44"/>
          <w:szCs w:val="44"/>
          <w:highlight w:val="none"/>
        </w:rPr>
      </w:pPr>
    </w:p>
    <w:p w14:paraId="063A6498">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_GB2312" w:cs="仿宋"/>
          <w:b/>
          <w:bCs/>
          <w:color w:val="auto"/>
          <w:sz w:val="44"/>
          <w:szCs w:val="44"/>
          <w:highlight w:val="none"/>
        </w:rPr>
      </w:pPr>
    </w:p>
    <w:p w14:paraId="37D2F8A2">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_GB2312" w:cs="仿宋"/>
          <w:bCs/>
          <w:color w:val="auto"/>
          <w:highlight w:val="none"/>
        </w:rPr>
      </w:pPr>
    </w:p>
    <w:p w14:paraId="2767F718">
      <w:pPr>
        <w:keepNext w:val="0"/>
        <w:keepLines w:val="0"/>
        <w:pageBreakBefore w:val="0"/>
        <w:widowControl w:val="0"/>
        <w:kinsoku/>
        <w:wordWrap/>
        <w:overflowPunct/>
        <w:topLinePunct w:val="0"/>
        <w:autoSpaceDE/>
        <w:autoSpaceDN/>
        <w:bidi w:val="0"/>
        <w:adjustRightInd w:val="0"/>
        <w:snapToGrid w:val="0"/>
        <w:spacing w:line="900" w:lineRule="exact"/>
        <w:ind w:firstLine="643" w:firstLineChars="200"/>
        <w:textAlignment w:val="auto"/>
        <w:rPr>
          <w:rFonts w:hint="eastAsia" w:ascii="仿宋" w:hAnsi="仿宋" w:eastAsia="仿宋_GB2312" w:cs="仿宋"/>
          <w:b/>
          <w:bCs w:val="0"/>
          <w:color w:val="auto"/>
          <w:sz w:val="32"/>
          <w:szCs w:val="32"/>
          <w:highlight w:val="none"/>
          <w:lang w:eastAsia="zh-CN"/>
        </w:rPr>
      </w:pPr>
      <w:r>
        <w:rPr>
          <w:rFonts w:hint="eastAsia" w:ascii="仿宋" w:hAnsi="仿宋" w:eastAsia="仿宋_GB2312" w:cs="仿宋"/>
          <w:b/>
          <w:bCs w:val="0"/>
          <w:color w:val="auto"/>
          <w:sz w:val="32"/>
          <w:szCs w:val="32"/>
          <w:highlight w:val="none"/>
        </w:rPr>
        <w:t>采购项目名称：</w:t>
      </w:r>
      <w:r>
        <w:rPr>
          <w:rFonts w:hint="eastAsia" w:ascii="仿宋" w:hAnsi="仿宋" w:eastAsia="仿宋_GB2312" w:cs="仿宋"/>
          <w:b/>
          <w:bCs w:val="0"/>
          <w:color w:val="auto"/>
          <w:sz w:val="32"/>
          <w:szCs w:val="32"/>
          <w:highlight w:val="none"/>
          <w:u w:val="single"/>
          <w:lang w:val="en-US" w:eastAsia="zh-CN"/>
        </w:rPr>
        <w:t>邵阳县平安城市网络租赁费采购项目</w:t>
      </w:r>
    </w:p>
    <w:p w14:paraId="09A7AD7E">
      <w:pPr>
        <w:keepNext w:val="0"/>
        <w:keepLines w:val="0"/>
        <w:pageBreakBefore w:val="0"/>
        <w:widowControl w:val="0"/>
        <w:kinsoku/>
        <w:wordWrap/>
        <w:overflowPunct/>
        <w:topLinePunct w:val="0"/>
        <w:autoSpaceDE/>
        <w:autoSpaceDN/>
        <w:bidi w:val="0"/>
        <w:adjustRightInd w:val="0"/>
        <w:snapToGrid w:val="0"/>
        <w:spacing w:line="900" w:lineRule="exact"/>
        <w:ind w:firstLine="643" w:firstLineChars="200"/>
        <w:textAlignment w:val="auto"/>
        <w:rPr>
          <w:rFonts w:hint="eastAsia" w:ascii="仿宋" w:hAnsi="仿宋" w:eastAsia="仿宋_GB2312" w:cs="仿宋"/>
          <w:b/>
          <w:bCs w:val="0"/>
          <w:color w:val="auto"/>
          <w:sz w:val="32"/>
          <w:szCs w:val="32"/>
          <w:highlight w:val="none"/>
          <w:u w:val="single"/>
          <w:lang w:val="en-US" w:eastAsia="zh-CN"/>
        </w:rPr>
      </w:pPr>
      <w:r>
        <w:rPr>
          <w:rFonts w:hint="eastAsia" w:ascii="仿宋" w:hAnsi="仿宋" w:eastAsia="仿宋_GB2312" w:cs="仿宋"/>
          <w:b/>
          <w:bCs w:val="0"/>
          <w:color w:val="auto"/>
          <w:sz w:val="32"/>
          <w:szCs w:val="32"/>
          <w:highlight w:val="none"/>
        </w:rPr>
        <w:t>政府采购编号：</w:t>
      </w:r>
      <w:r>
        <w:rPr>
          <w:rFonts w:hint="eastAsia" w:ascii="仿宋" w:hAnsi="仿宋" w:eastAsia="仿宋_GB2312" w:cs="仿宋"/>
          <w:b/>
          <w:bCs w:val="0"/>
          <w:color w:val="auto"/>
          <w:sz w:val="32"/>
          <w:szCs w:val="32"/>
          <w:highlight w:val="none"/>
          <w:u w:val="single"/>
          <w:lang w:val="en-US" w:eastAsia="zh-CN"/>
        </w:rPr>
        <w:t>邵阳财采计[2026]000090</w:t>
      </w:r>
    </w:p>
    <w:p w14:paraId="59205B1B">
      <w:pPr>
        <w:keepNext w:val="0"/>
        <w:keepLines w:val="0"/>
        <w:pageBreakBefore w:val="0"/>
        <w:widowControl w:val="0"/>
        <w:kinsoku/>
        <w:wordWrap/>
        <w:overflowPunct/>
        <w:topLinePunct w:val="0"/>
        <w:autoSpaceDE/>
        <w:autoSpaceDN/>
        <w:bidi w:val="0"/>
        <w:adjustRightInd w:val="0"/>
        <w:snapToGrid w:val="0"/>
        <w:spacing w:line="900" w:lineRule="exact"/>
        <w:ind w:firstLine="643" w:firstLineChars="200"/>
        <w:textAlignment w:val="auto"/>
        <w:rPr>
          <w:rFonts w:hint="eastAsia" w:ascii="仿宋" w:hAnsi="仿宋" w:eastAsia="仿宋_GB2312" w:cs="仿宋"/>
          <w:b/>
          <w:bCs w:val="0"/>
          <w:color w:val="auto"/>
          <w:sz w:val="32"/>
          <w:szCs w:val="32"/>
          <w:highlight w:val="none"/>
          <w:u w:val="single"/>
          <w:lang w:val="en-US" w:eastAsia="zh-CN"/>
        </w:rPr>
      </w:pPr>
      <w:r>
        <w:rPr>
          <w:rFonts w:hint="eastAsia" w:ascii="仿宋" w:hAnsi="仿宋" w:eastAsia="仿宋_GB2312" w:cs="仿宋"/>
          <w:b/>
          <w:bCs w:val="0"/>
          <w:color w:val="auto"/>
          <w:sz w:val="32"/>
          <w:szCs w:val="32"/>
          <w:highlight w:val="none"/>
        </w:rPr>
        <w:t xml:space="preserve">项 目  </w:t>
      </w:r>
      <w:r>
        <w:rPr>
          <w:rFonts w:hint="eastAsia" w:ascii="仿宋" w:hAnsi="仿宋" w:eastAsia="仿宋_GB2312" w:cs="仿宋"/>
          <w:b/>
          <w:bCs w:val="0"/>
          <w:color w:val="auto"/>
          <w:sz w:val="32"/>
          <w:szCs w:val="32"/>
          <w:highlight w:val="none"/>
          <w:u w:val="none"/>
        </w:rPr>
        <w:t xml:space="preserve">编 </w:t>
      </w:r>
      <w:r>
        <w:rPr>
          <w:rFonts w:hint="eastAsia" w:ascii="仿宋" w:hAnsi="仿宋" w:eastAsia="仿宋_GB2312" w:cs="仿宋"/>
          <w:b/>
          <w:bCs w:val="0"/>
          <w:color w:val="auto"/>
          <w:sz w:val="32"/>
          <w:szCs w:val="32"/>
          <w:highlight w:val="none"/>
          <w:u w:val="none"/>
          <w:lang w:eastAsia="zh-CN"/>
        </w:rPr>
        <w:t>号：</w:t>
      </w:r>
      <w:r>
        <w:rPr>
          <w:rFonts w:hint="eastAsia" w:ascii="仿宋" w:hAnsi="仿宋" w:eastAsia="仿宋_GB2312" w:cs="仿宋"/>
          <w:b/>
          <w:bCs w:val="0"/>
          <w:color w:val="auto"/>
          <w:sz w:val="32"/>
          <w:szCs w:val="32"/>
          <w:highlight w:val="none"/>
          <w:u w:val="single"/>
          <w:lang w:val="en-US" w:eastAsia="zh-CN"/>
        </w:rPr>
        <w:t>HNSZZFCG-2026-0484</w:t>
      </w:r>
    </w:p>
    <w:p w14:paraId="655CF6A3">
      <w:pPr>
        <w:keepNext w:val="0"/>
        <w:keepLines w:val="0"/>
        <w:pageBreakBefore w:val="0"/>
        <w:widowControl w:val="0"/>
        <w:kinsoku/>
        <w:wordWrap/>
        <w:overflowPunct/>
        <w:topLinePunct w:val="0"/>
        <w:autoSpaceDE/>
        <w:autoSpaceDN/>
        <w:bidi w:val="0"/>
        <w:adjustRightInd w:val="0"/>
        <w:snapToGrid w:val="0"/>
        <w:spacing w:line="900" w:lineRule="exact"/>
        <w:ind w:firstLine="643" w:firstLineChars="200"/>
        <w:textAlignment w:val="auto"/>
        <w:rPr>
          <w:rFonts w:hint="eastAsia" w:ascii="仿宋" w:hAnsi="仿宋" w:eastAsia="仿宋_GB2312" w:cs="仿宋"/>
          <w:b/>
          <w:bCs w:val="0"/>
          <w:color w:val="auto"/>
          <w:sz w:val="32"/>
          <w:szCs w:val="32"/>
          <w:highlight w:val="none"/>
          <w:u w:val="single"/>
          <w:lang w:val="en-US" w:eastAsia="zh-CN"/>
        </w:rPr>
      </w:pPr>
      <w:r>
        <w:rPr>
          <w:rFonts w:hint="eastAsia" w:ascii="仿宋" w:hAnsi="仿宋" w:eastAsia="仿宋_GB2312" w:cs="仿宋"/>
          <w:b/>
          <w:bCs w:val="0"/>
          <w:color w:val="auto"/>
          <w:sz w:val="32"/>
          <w:szCs w:val="32"/>
          <w:highlight w:val="none"/>
        </w:rPr>
        <w:t>采购代理编号：</w:t>
      </w:r>
      <w:r>
        <w:rPr>
          <w:rFonts w:hint="eastAsia" w:ascii="仿宋" w:hAnsi="仿宋" w:eastAsia="仿宋_GB2312" w:cs="仿宋"/>
          <w:b/>
          <w:bCs w:val="0"/>
          <w:color w:val="auto"/>
          <w:sz w:val="32"/>
          <w:szCs w:val="32"/>
          <w:highlight w:val="none"/>
          <w:u w:val="single"/>
          <w:lang w:val="en-US" w:eastAsia="zh-CN"/>
        </w:rPr>
        <w:t>SZC-2026-0068</w:t>
      </w:r>
    </w:p>
    <w:p w14:paraId="02ED76D6">
      <w:pPr>
        <w:keepNext w:val="0"/>
        <w:keepLines w:val="0"/>
        <w:pageBreakBefore w:val="0"/>
        <w:widowControl w:val="0"/>
        <w:kinsoku/>
        <w:wordWrap/>
        <w:overflowPunct/>
        <w:topLinePunct w:val="0"/>
        <w:autoSpaceDE/>
        <w:autoSpaceDN/>
        <w:bidi w:val="0"/>
        <w:adjustRightInd w:val="0"/>
        <w:snapToGrid w:val="0"/>
        <w:spacing w:line="900" w:lineRule="exact"/>
        <w:ind w:firstLine="643" w:firstLineChars="200"/>
        <w:textAlignment w:val="auto"/>
        <w:rPr>
          <w:rFonts w:hint="eastAsia" w:ascii="仿宋" w:hAnsi="仿宋" w:eastAsia="仿宋_GB2312" w:cs="仿宋"/>
          <w:b/>
          <w:bCs w:val="0"/>
          <w:color w:val="auto"/>
          <w:sz w:val="32"/>
          <w:szCs w:val="32"/>
          <w:highlight w:val="none"/>
          <w:u w:val="single"/>
          <w:lang w:val="en-US" w:eastAsia="zh-CN"/>
        </w:rPr>
      </w:pPr>
      <w:r>
        <w:rPr>
          <w:rFonts w:hint="eastAsia" w:ascii="仿宋" w:hAnsi="仿宋" w:eastAsia="仿宋_GB2312" w:cs="仿宋"/>
          <w:b/>
          <w:bCs w:val="0"/>
          <w:color w:val="auto"/>
          <w:sz w:val="32"/>
          <w:szCs w:val="32"/>
          <w:highlight w:val="none"/>
        </w:rPr>
        <w:t>采   购   人：</w:t>
      </w:r>
      <w:r>
        <w:rPr>
          <w:rFonts w:hint="eastAsia" w:ascii="仿宋" w:hAnsi="仿宋" w:eastAsia="仿宋_GB2312" w:cs="仿宋"/>
          <w:b/>
          <w:bCs w:val="0"/>
          <w:color w:val="auto"/>
          <w:sz w:val="32"/>
          <w:szCs w:val="32"/>
          <w:highlight w:val="none"/>
          <w:u w:val="single"/>
          <w:lang w:val="en-US" w:eastAsia="zh-CN"/>
        </w:rPr>
        <w:t>邵阳县公安局</w:t>
      </w:r>
    </w:p>
    <w:p w14:paraId="39E8F790">
      <w:pPr>
        <w:keepNext w:val="0"/>
        <w:keepLines w:val="0"/>
        <w:pageBreakBefore w:val="0"/>
        <w:widowControl w:val="0"/>
        <w:kinsoku/>
        <w:wordWrap/>
        <w:overflowPunct/>
        <w:topLinePunct w:val="0"/>
        <w:autoSpaceDE/>
        <w:autoSpaceDN/>
        <w:bidi w:val="0"/>
        <w:adjustRightInd w:val="0"/>
        <w:snapToGrid w:val="0"/>
        <w:spacing w:line="900" w:lineRule="exact"/>
        <w:ind w:firstLine="643" w:firstLineChars="200"/>
        <w:textAlignment w:val="auto"/>
        <w:rPr>
          <w:rFonts w:hint="eastAsia" w:ascii="仿宋" w:hAnsi="仿宋" w:eastAsia="仿宋_GB2312" w:cs="仿宋"/>
          <w:b/>
          <w:bCs w:val="0"/>
          <w:color w:val="auto"/>
          <w:sz w:val="32"/>
          <w:szCs w:val="21"/>
          <w:highlight w:val="none"/>
        </w:rPr>
      </w:pPr>
      <w:r>
        <w:rPr>
          <w:rFonts w:hint="eastAsia" w:ascii="仿宋" w:hAnsi="仿宋" w:eastAsia="仿宋_GB2312" w:cs="仿宋"/>
          <w:b/>
          <w:bCs w:val="0"/>
          <w:color w:val="auto"/>
          <w:sz w:val="32"/>
          <w:szCs w:val="21"/>
          <w:highlight w:val="none"/>
        </w:rPr>
        <w:t>采购代理机构：</w:t>
      </w:r>
      <w:r>
        <w:rPr>
          <w:rFonts w:hint="eastAsia" w:ascii="仿宋" w:hAnsi="仿宋" w:eastAsia="仿宋_GB2312" w:cs="仿宋"/>
          <w:b/>
          <w:bCs w:val="0"/>
          <w:color w:val="auto"/>
          <w:sz w:val="32"/>
          <w:szCs w:val="32"/>
          <w:highlight w:val="none"/>
          <w:u w:val="single"/>
        </w:rPr>
        <w:t>邵阳市政府采购中心</w:t>
      </w:r>
    </w:p>
    <w:p w14:paraId="4227921F">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_GB2312" w:cs="仿宋"/>
          <w:bCs/>
          <w:color w:val="auto"/>
          <w:sz w:val="32"/>
          <w:szCs w:val="32"/>
          <w:highlight w:val="none"/>
        </w:rPr>
      </w:pPr>
    </w:p>
    <w:p w14:paraId="4F93F9D6">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_GB2312" w:cs="仿宋"/>
          <w:bCs/>
          <w:color w:val="auto"/>
          <w:sz w:val="32"/>
          <w:szCs w:val="32"/>
          <w:highlight w:val="none"/>
        </w:rPr>
      </w:pPr>
    </w:p>
    <w:p w14:paraId="6953BADA">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_GB2312" w:cs="仿宋"/>
          <w:b/>
          <w:bCs/>
          <w:color w:val="auto"/>
          <w:sz w:val="32"/>
          <w:szCs w:val="32"/>
          <w:highlight w:val="none"/>
        </w:rPr>
      </w:pPr>
      <w:r>
        <w:rPr>
          <w:rFonts w:hint="eastAsia" w:ascii="仿宋" w:hAnsi="仿宋" w:eastAsia="仿宋_GB2312" w:cs="仿宋"/>
          <w:b/>
          <w:color w:val="auto"/>
          <w:sz w:val="32"/>
          <w:highlight w:val="none"/>
        </w:rPr>
        <w:t>202</w:t>
      </w:r>
      <w:r>
        <w:rPr>
          <w:rFonts w:hint="eastAsia" w:ascii="仿宋" w:hAnsi="仿宋" w:eastAsia="仿宋_GB2312" w:cs="仿宋"/>
          <w:b/>
          <w:color w:val="auto"/>
          <w:sz w:val="32"/>
          <w:highlight w:val="none"/>
          <w:lang w:val="en-US" w:eastAsia="zh-CN"/>
        </w:rPr>
        <w:t>6</w:t>
      </w:r>
      <w:r>
        <w:rPr>
          <w:rFonts w:hint="eastAsia" w:ascii="仿宋" w:hAnsi="仿宋" w:eastAsia="仿宋_GB2312" w:cs="仿宋"/>
          <w:b/>
          <w:color w:val="auto"/>
          <w:sz w:val="32"/>
          <w:highlight w:val="none"/>
        </w:rPr>
        <w:t>年</w:t>
      </w:r>
      <w:r>
        <w:rPr>
          <w:rFonts w:hint="eastAsia" w:ascii="仿宋" w:hAnsi="仿宋" w:eastAsia="仿宋_GB2312" w:cs="仿宋"/>
          <w:b/>
          <w:color w:val="auto"/>
          <w:sz w:val="32"/>
          <w:highlight w:val="none"/>
          <w:lang w:val="en-US" w:eastAsia="zh-CN"/>
        </w:rPr>
        <w:t>7</w:t>
      </w:r>
      <w:r>
        <w:rPr>
          <w:rFonts w:hint="eastAsia" w:ascii="仿宋" w:hAnsi="仿宋" w:eastAsia="仿宋_GB2312" w:cs="仿宋"/>
          <w:b/>
          <w:color w:val="auto"/>
          <w:sz w:val="32"/>
          <w:highlight w:val="none"/>
        </w:rPr>
        <w:t>月</w:t>
      </w:r>
    </w:p>
    <w:p w14:paraId="63CCD117">
      <w:pPr>
        <w:rPr>
          <w:rFonts w:hint="eastAsia" w:ascii="仿宋" w:hAnsi="仿宋" w:eastAsia="仿宋_GB2312" w:cs="仿宋"/>
          <w:b/>
          <w:bCs/>
          <w:color w:val="auto"/>
          <w:sz w:val="32"/>
          <w:szCs w:val="32"/>
          <w:highlight w:val="none"/>
        </w:rPr>
      </w:pPr>
      <w:r>
        <w:rPr>
          <w:rFonts w:hint="eastAsia" w:ascii="仿宋" w:hAnsi="仿宋" w:eastAsia="仿宋_GB2312" w:cs="仿宋"/>
          <w:b/>
          <w:bCs/>
          <w:color w:val="auto"/>
          <w:sz w:val="32"/>
          <w:szCs w:val="32"/>
          <w:highlight w:val="none"/>
        </w:rPr>
        <w:br w:type="page"/>
      </w:r>
    </w:p>
    <w:p w14:paraId="34B6B0FA">
      <w:pPr>
        <w:outlineLvl w:val="9"/>
        <w:rPr>
          <w:rFonts w:hint="eastAsia" w:ascii="仿宋" w:hAnsi="仿宋" w:eastAsia="仿宋_GB2312" w:cs="仿宋"/>
          <w:color w:val="auto"/>
          <w:highlight w:val="none"/>
        </w:rPr>
      </w:pPr>
    </w:p>
    <w:p w14:paraId="6D7388EC">
      <w:pPr>
        <w:pStyle w:val="22"/>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方正小标宋简体" w:hAnsi="方正小标宋简体" w:eastAsia="方正小标宋简体" w:cs="方正小标宋简体"/>
          <w:b w:val="0"/>
          <w:bCs/>
          <w:color w:val="auto"/>
          <w:spacing w:val="160"/>
          <w:sz w:val="44"/>
          <w:szCs w:val="44"/>
          <w:highlight w:val="none"/>
        </w:rPr>
      </w:pPr>
      <w:r>
        <w:rPr>
          <w:rFonts w:hint="eastAsia" w:ascii="方正小标宋简体" w:hAnsi="方正小标宋简体" w:eastAsia="方正小标宋简体" w:cs="方正小标宋简体"/>
          <w:b w:val="0"/>
          <w:bCs/>
          <w:color w:val="auto"/>
          <w:spacing w:val="160"/>
          <w:sz w:val="44"/>
          <w:szCs w:val="44"/>
          <w:highlight w:val="none"/>
        </w:rPr>
        <w:t>目录</w:t>
      </w:r>
    </w:p>
    <w:p w14:paraId="5412398E">
      <w:pPr>
        <w:pStyle w:val="22"/>
        <w:keepNext w:val="0"/>
        <w:keepLines w:val="0"/>
        <w:pageBreakBefore w:val="0"/>
        <w:widowControl w:val="0"/>
        <w:kinsoku/>
        <w:wordWrap/>
        <w:overflowPunct/>
        <w:topLinePunct w:val="0"/>
        <w:autoSpaceDE/>
        <w:autoSpaceDN/>
        <w:bidi w:val="0"/>
        <w:adjustRightInd w:val="0"/>
        <w:snapToGrid w:val="0"/>
        <w:spacing w:line="700" w:lineRule="exact"/>
        <w:jc w:val="center"/>
        <w:textAlignment w:val="auto"/>
        <w:rPr>
          <w:rFonts w:hint="eastAsia" w:ascii="方正小标宋简体" w:hAnsi="方正小标宋简体" w:eastAsia="方正小标宋简体" w:cs="方正小标宋简体"/>
          <w:b w:val="0"/>
          <w:bCs/>
          <w:color w:val="auto"/>
          <w:spacing w:val="160"/>
          <w:sz w:val="44"/>
          <w:szCs w:val="44"/>
          <w:highlight w:val="none"/>
        </w:rPr>
      </w:pPr>
    </w:p>
    <w:p w14:paraId="5C619EBE">
      <w:pPr>
        <w:pStyle w:val="30"/>
        <w:tabs>
          <w:tab w:val="right" w:leader="dot" w:pos="9461"/>
        </w:tabs>
      </w:pPr>
      <w:r>
        <w:rPr>
          <w:rStyle w:val="47"/>
          <w:rFonts w:hint="eastAsia" w:ascii="仿宋" w:hAnsi="仿宋" w:eastAsia="仿宋_GB2312" w:cs="仿宋"/>
          <w:b w:val="0"/>
          <w:color w:val="auto"/>
          <w:highlight w:val="none"/>
        </w:rPr>
        <w:fldChar w:fldCharType="begin"/>
      </w:r>
      <w:r>
        <w:rPr>
          <w:rStyle w:val="47"/>
          <w:rFonts w:hint="eastAsia" w:ascii="仿宋" w:hAnsi="仿宋" w:eastAsia="仿宋_GB2312" w:cs="仿宋"/>
          <w:b w:val="0"/>
          <w:color w:val="auto"/>
          <w:highlight w:val="none"/>
        </w:rPr>
        <w:instrText xml:space="preserve"> TOC \o "1-4" \h \z \u </w:instrText>
      </w:r>
      <w:r>
        <w:rPr>
          <w:rStyle w:val="47"/>
          <w:rFonts w:hint="eastAsia" w:ascii="仿宋" w:hAnsi="仿宋" w:eastAsia="仿宋_GB2312" w:cs="仿宋"/>
          <w:b w:val="0"/>
          <w:color w:val="auto"/>
          <w:highlight w:val="none"/>
        </w:rPr>
        <w:fldChar w:fldCharType="separate"/>
      </w: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_Toc26593 </w:instrText>
      </w:r>
      <w:r>
        <w:rPr>
          <w:rFonts w:hint="eastAsia" w:ascii="仿宋" w:hAnsi="仿宋" w:eastAsia="仿宋_GB2312" w:cs="仿宋"/>
          <w:highlight w:val="none"/>
        </w:rPr>
        <w:fldChar w:fldCharType="separate"/>
      </w:r>
      <w:r>
        <w:rPr>
          <w:rFonts w:hint="eastAsia" w:asciiTheme="minorEastAsia" w:hAnsiTheme="minorEastAsia" w:eastAsiaTheme="minorEastAsia" w:cstheme="minorEastAsia"/>
          <w:szCs w:val="32"/>
          <w:highlight w:val="none"/>
        </w:rPr>
        <w:t>第一章 投标邀请（公开招标）</w:t>
      </w:r>
      <w:r>
        <w:tab/>
      </w:r>
      <w:r>
        <w:fldChar w:fldCharType="begin"/>
      </w:r>
      <w:r>
        <w:instrText xml:space="preserve"> PAGEREF _Toc26593 \h </w:instrText>
      </w:r>
      <w:r>
        <w:fldChar w:fldCharType="separate"/>
      </w:r>
      <w:r>
        <w:t>3</w:t>
      </w:r>
      <w:r>
        <w:fldChar w:fldCharType="end"/>
      </w:r>
      <w:r>
        <w:rPr>
          <w:rFonts w:hint="eastAsia" w:ascii="仿宋" w:hAnsi="仿宋" w:eastAsia="仿宋_GB2312" w:cs="仿宋"/>
          <w:color w:val="auto"/>
          <w:highlight w:val="none"/>
        </w:rPr>
        <w:fldChar w:fldCharType="end"/>
      </w:r>
    </w:p>
    <w:p w14:paraId="2F1D4D41">
      <w:pPr>
        <w:pStyle w:val="30"/>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_Toc28752 </w:instrText>
      </w:r>
      <w:r>
        <w:rPr>
          <w:rFonts w:hint="eastAsia" w:ascii="仿宋" w:hAnsi="仿宋" w:eastAsia="仿宋_GB2312" w:cs="仿宋"/>
          <w:highlight w:val="none"/>
        </w:rPr>
        <w:fldChar w:fldCharType="separate"/>
      </w:r>
      <w:r>
        <w:rPr>
          <w:rFonts w:hint="eastAsia" w:ascii="仿宋" w:hAnsi="仿宋" w:eastAsia="仿宋_GB2312" w:cs="仿宋"/>
          <w:szCs w:val="32"/>
          <w:highlight w:val="none"/>
        </w:rPr>
        <w:t>第二章 投标须知</w:t>
      </w:r>
      <w:r>
        <w:tab/>
      </w:r>
      <w:r>
        <w:fldChar w:fldCharType="begin"/>
      </w:r>
      <w:r>
        <w:instrText xml:space="preserve"> PAGEREF _Toc28752 \h </w:instrText>
      </w:r>
      <w:r>
        <w:fldChar w:fldCharType="separate"/>
      </w:r>
      <w:r>
        <w:t>7</w:t>
      </w:r>
      <w:r>
        <w:fldChar w:fldCharType="end"/>
      </w:r>
      <w:r>
        <w:rPr>
          <w:rFonts w:hint="eastAsia" w:ascii="仿宋" w:hAnsi="仿宋" w:eastAsia="仿宋_GB2312" w:cs="仿宋"/>
          <w:color w:val="auto"/>
          <w:highlight w:val="none"/>
        </w:rPr>
        <w:fldChar w:fldCharType="end"/>
      </w:r>
    </w:p>
    <w:p w14:paraId="163678B7">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_Toc9679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第一节投标须知前附表</w:t>
      </w:r>
      <w:r>
        <w:tab/>
      </w:r>
      <w:r>
        <w:fldChar w:fldCharType="begin"/>
      </w:r>
      <w:r>
        <w:instrText xml:space="preserve"> PAGEREF _Toc9679 \h </w:instrText>
      </w:r>
      <w:r>
        <w:fldChar w:fldCharType="separate"/>
      </w:r>
      <w:r>
        <w:t>7</w:t>
      </w:r>
      <w:r>
        <w:fldChar w:fldCharType="end"/>
      </w:r>
      <w:r>
        <w:rPr>
          <w:rFonts w:hint="eastAsia" w:ascii="仿宋" w:hAnsi="仿宋" w:eastAsia="仿宋_GB2312" w:cs="仿宋"/>
          <w:color w:val="auto"/>
          <w:highlight w:val="none"/>
        </w:rPr>
        <w:fldChar w:fldCharType="end"/>
      </w:r>
    </w:p>
    <w:p w14:paraId="6C6C2CEF">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_Toc1250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第二节  投标须知</w:t>
      </w:r>
      <w:r>
        <w:tab/>
      </w:r>
      <w:r>
        <w:fldChar w:fldCharType="begin"/>
      </w:r>
      <w:r>
        <w:instrText xml:space="preserve"> PAGEREF _Toc1250 \h </w:instrText>
      </w:r>
      <w:r>
        <w:fldChar w:fldCharType="separate"/>
      </w:r>
      <w:r>
        <w:t>13</w:t>
      </w:r>
      <w:r>
        <w:fldChar w:fldCharType="end"/>
      </w:r>
      <w:r>
        <w:rPr>
          <w:rFonts w:hint="eastAsia" w:ascii="仿宋" w:hAnsi="仿宋" w:eastAsia="仿宋_GB2312" w:cs="仿宋"/>
          <w:color w:val="auto"/>
          <w:highlight w:val="none"/>
        </w:rPr>
        <w:fldChar w:fldCharType="end"/>
      </w:r>
    </w:p>
    <w:p w14:paraId="2C64CD8E">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_Toc25892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一、总则</w:t>
      </w:r>
      <w:r>
        <w:tab/>
      </w:r>
      <w:r>
        <w:fldChar w:fldCharType="begin"/>
      </w:r>
      <w:r>
        <w:instrText xml:space="preserve"> PAGEREF _Toc25892 \h </w:instrText>
      </w:r>
      <w:r>
        <w:fldChar w:fldCharType="separate"/>
      </w:r>
      <w:r>
        <w:t>13</w:t>
      </w:r>
      <w:r>
        <w:fldChar w:fldCharType="end"/>
      </w:r>
      <w:r>
        <w:rPr>
          <w:rFonts w:hint="eastAsia" w:ascii="仿宋" w:hAnsi="仿宋" w:eastAsia="仿宋_GB2312" w:cs="仿宋"/>
          <w:color w:val="auto"/>
          <w:highlight w:val="none"/>
        </w:rPr>
        <w:fldChar w:fldCharType="end"/>
      </w:r>
    </w:p>
    <w:p w14:paraId="7576F761">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_Toc5979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三、投标文件</w:t>
      </w:r>
      <w:r>
        <w:tab/>
      </w:r>
      <w:r>
        <w:fldChar w:fldCharType="begin"/>
      </w:r>
      <w:r>
        <w:instrText xml:space="preserve"> PAGEREF _Toc5979 \h </w:instrText>
      </w:r>
      <w:r>
        <w:fldChar w:fldCharType="separate"/>
      </w:r>
      <w:r>
        <w:t>15</w:t>
      </w:r>
      <w:r>
        <w:fldChar w:fldCharType="end"/>
      </w:r>
      <w:r>
        <w:rPr>
          <w:rFonts w:hint="eastAsia" w:ascii="仿宋" w:hAnsi="仿宋" w:eastAsia="仿宋_GB2312" w:cs="仿宋"/>
          <w:color w:val="auto"/>
          <w:highlight w:val="none"/>
        </w:rPr>
        <w:fldChar w:fldCharType="end"/>
      </w:r>
    </w:p>
    <w:p w14:paraId="0FFC14E5">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_Toc25969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四、投标</w:t>
      </w:r>
      <w:r>
        <w:tab/>
      </w:r>
      <w:r>
        <w:fldChar w:fldCharType="begin"/>
      </w:r>
      <w:r>
        <w:instrText xml:space="preserve"> PAGEREF _Toc25969 \h </w:instrText>
      </w:r>
      <w:r>
        <w:fldChar w:fldCharType="separate"/>
      </w:r>
      <w:r>
        <w:t>18</w:t>
      </w:r>
      <w:r>
        <w:fldChar w:fldCharType="end"/>
      </w:r>
      <w:r>
        <w:rPr>
          <w:rFonts w:hint="eastAsia" w:ascii="仿宋" w:hAnsi="仿宋" w:eastAsia="仿宋_GB2312" w:cs="仿宋"/>
          <w:color w:val="auto"/>
          <w:highlight w:val="none"/>
        </w:rPr>
        <w:fldChar w:fldCharType="end"/>
      </w:r>
    </w:p>
    <w:p w14:paraId="2D2A3ADB">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_Toc29673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五、开标，资格审查和评标</w:t>
      </w:r>
      <w:r>
        <w:tab/>
      </w:r>
      <w:r>
        <w:fldChar w:fldCharType="begin"/>
      </w:r>
      <w:r>
        <w:instrText xml:space="preserve"> PAGEREF _Toc29673 \h </w:instrText>
      </w:r>
      <w:r>
        <w:fldChar w:fldCharType="separate"/>
      </w:r>
      <w:r>
        <w:t>19</w:t>
      </w:r>
      <w:r>
        <w:fldChar w:fldCharType="end"/>
      </w:r>
      <w:r>
        <w:rPr>
          <w:rFonts w:hint="eastAsia" w:ascii="仿宋" w:hAnsi="仿宋" w:eastAsia="仿宋_GB2312" w:cs="仿宋"/>
          <w:color w:val="auto"/>
          <w:highlight w:val="none"/>
        </w:rPr>
        <w:fldChar w:fldCharType="end"/>
      </w:r>
    </w:p>
    <w:p w14:paraId="7593349F">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_Toc10631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六、中标信息公布</w:t>
      </w:r>
      <w:r>
        <w:tab/>
      </w:r>
      <w:r>
        <w:fldChar w:fldCharType="begin"/>
      </w:r>
      <w:r>
        <w:instrText xml:space="preserve"> PAGEREF _Toc10631 \h </w:instrText>
      </w:r>
      <w:r>
        <w:fldChar w:fldCharType="separate"/>
      </w:r>
      <w:r>
        <w:t>21</w:t>
      </w:r>
      <w:r>
        <w:fldChar w:fldCharType="end"/>
      </w:r>
      <w:r>
        <w:rPr>
          <w:rFonts w:hint="eastAsia" w:ascii="仿宋" w:hAnsi="仿宋" w:eastAsia="仿宋_GB2312" w:cs="仿宋"/>
          <w:color w:val="auto"/>
          <w:highlight w:val="none"/>
        </w:rPr>
        <w:fldChar w:fldCharType="end"/>
      </w:r>
    </w:p>
    <w:p w14:paraId="01C2BA2C">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_Toc17421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七、合同签订</w:t>
      </w:r>
      <w:r>
        <w:tab/>
      </w:r>
      <w:r>
        <w:fldChar w:fldCharType="begin"/>
      </w:r>
      <w:r>
        <w:instrText xml:space="preserve"> PAGEREF _Toc17421 \h </w:instrText>
      </w:r>
      <w:r>
        <w:fldChar w:fldCharType="separate"/>
      </w:r>
      <w:r>
        <w:t>22</w:t>
      </w:r>
      <w:r>
        <w:fldChar w:fldCharType="end"/>
      </w:r>
      <w:r>
        <w:rPr>
          <w:rFonts w:hint="eastAsia" w:ascii="仿宋" w:hAnsi="仿宋" w:eastAsia="仿宋_GB2312" w:cs="仿宋"/>
          <w:color w:val="auto"/>
          <w:highlight w:val="none"/>
        </w:rPr>
        <w:fldChar w:fldCharType="end"/>
      </w:r>
    </w:p>
    <w:p w14:paraId="475B5DF6">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_Toc26376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八、政府采购政策</w:t>
      </w:r>
      <w:r>
        <w:tab/>
      </w:r>
      <w:r>
        <w:fldChar w:fldCharType="begin"/>
      </w:r>
      <w:r>
        <w:instrText xml:space="preserve"> PAGEREF _Toc26376 \h </w:instrText>
      </w:r>
      <w:r>
        <w:fldChar w:fldCharType="separate"/>
      </w:r>
      <w:r>
        <w:t>23</w:t>
      </w:r>
      <w:r>
        <w:fldChar w:fldCharType="end"/>
      </w:r>
      <w:r>
        <w:rPr>
          <w:rFonts w:hint="eastAsia" w:ascii="仿宋" w:hAnsi="仿宋" w:eastAsia="仿宋_GB2312" w:cs="仿宋"/>
          <w:color w:val="auto"/>
          <w:highlight w:val="none"/>
        </w:rPr>
        <w:fldChar w:fldCharType="end"/>
      </w:r>
    </w:p>
    <w:p w14:paraId="5B63B2E3">
      <w:pPr>
        <w:pStyle w:val="21"/>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_Toc30818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九、其他规定</w:t>
      </w:r>
      <w:r>
        <w:tab/>
      </w:r>
      <w:r>
        <w:fldChar w:fldCharType="begin"/>
      </w:r>
      <w:r>
        <w:instrText xml:space="preserve"> PAGEREF _Toc30818 \h </w:instrText>
      </w:r>
      <w:r>
        <w:fldChar w:fldCharType="separate"/>
      </w:r>
      <w:r>
        <w:t>25</w:t>
      </w:r>
      <w:r>
        <w:fldChar w:fldCharType="end"/>
      </w:r>
      <w:r>
        <w:rPr>
          <w:rFonts w:hint="eastAsia" w:ascii="仿宋" w:hAnsi="仿宋" w:eastAsia="仿宋_GB2312" w:cs="仿宋"/>
          <w:color w:val="auto"/>
          <w:highlight w:val="none"/>
        </w:rPr>
        <w:fldChar w:fldCharType="end"/>
      </w:r>
    </w:p>
    <w:p w14:paraId="3636C8A6">
      <w:pPr>
        <w:pStyle w:val="30"/>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_Toc8095 </w:instrText>
      </w:r>
      <w:r>
        <w:rPr>
          <w:rFonts w:hint="eastAsia" w:ascii="仿宋" w:hAnsi="仿宋" w:eastAsia="仿宋_GB2312" w:cs="仿宋"/>
          <w:highlight w:val="none"/>
        </w:rPr>
        <w:fldChar w:fldCharType="separate"/>
      </w:r>
      <w:r>
        <w:rPr>
          <w:rFonts w:hint="eastAsia" w:ascii="仿宋" w:hAnsi="仿宋" w:eastAsia="仿宋_GB2312" w:cs="仿宋"/>
          <w:szCs w:val="32"/>
          <w:highlight w:val="none"/>
        </w:rPr>
        <w:t>第三章 资格审查</w:t>
      </w:r>
      <w:r>
        <w:tab/>
      </w:r>
      <w:r>
        <w:fldChar w:fldCharType="begin"/>
      </w:r>
      <w:r>
        <w:instrText xml:space="preserve"> PAGEREF _Toc8095 \h </w:instrText>
      </w:r>
      <w:r>
        <w:fldChar w:fldCharType="separate"/>
      </w:r>
      <w:r>
        <w:t>26</w:t>
      </w:r>
      <w:r>
        <w:fldChar w:fldCharType="end"/>
      </w:r>
      <w:r>
        <w:rPr>
          <w:rFonts w:hint="eastAsia" w:ascii="仿宋" w:hAnsi="仿宋" w:eastAsia="仿宋_GB2312" w:cs="仿宋"/>
          <w:color w:val="auto"/>
          <w:highlight w:val="none"/>
        </w:rPr>
        <w:fldChar w:fldCharType="end"/>
      </w:r>
    </w:p>
    <w:p w14:paraId="52D35A4B">
      <w:pPr>
        <w:pStyle w:val="30"/>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_Toc31100 </w:instrText>
      </w:r>
      <w:r>
        <w:rPr>
          <w:rFonts w:hint="eastAsia" w:ascii="仿宋" w:hAnsi="仿宋" w:eastAsia="仿宋_GB2312" w:cs="仿宋"/>
          <w:highlight w:val="none"/>
        </w:rPr>
        <w:fldChar w:fldCharType="separate"/>
      </w:r>
      <w:r>
        <w:rPr>
          <w:rFonts w:hint="eastAsia" w:ascii="仿宋" w:hAnsi="仿宋" w:eastAsia="仿宋_GB2312" w:cs="仿宋"/>
          <w:szCs w:val="32"/>
          <w:highlight w:val="none"/>
        </w:rPr>
        <w:t>第四章 评标方法及标准</w:t>
      </w:r>
      <w:r>
        <w:tab/>
      </w:r>
      <w:r>
        <w:fldChar w:fldCharType="begin"/>
      </w:r>
      <w:r>
        <w:instrText xml:space="preserve"> PAGEREF _Toc31100 \h </w:instrText>
      </w:r>
      <w:r>
        <w:fldChar w:fldCharType="separate"/>
      </w:r>
      <w:r>
        <w:t>30</w:t>
      </w:r>
      <w:r>
        <w:fldChar w:fldCharType="end"/>
      </w:r>
      <w:r>
        <w:rPr>
          <w:rFonts w:hint="eastAsia" w:ascii="仿宋" w:hAnsi="仿宋" w:eastAsia="仿宋_GB2312" w:cs="仿宋"/>
          <w:color w:val="auto"/>
          <w:highlight w:val="none"/>
        </w:rPr>
        <w:fldChar w:fldCharType="end"/>
      </w:r>
    </w:p>
    <w:p w14:paraId="0D32A87A">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_Toc6362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第一节  评标方法及标准前附表</w:t>
      </w:r>
      <w:r>
        <w:tab/>
      </w:r>
      <w:r>
        <w:fldChar w:fldCharType="begin"/>
      </w:r>
      <w:r>
        <w:instrText xml:space="preserve"> PAGEREF _Toc6362 \h </w:instrText>
      </w:r>
      <w:r>
        <w:fldChar w:fldCharType="separate"/>
      </w:r>
      <w:r>
        <w:t>30</w:t>
      </w:r>
      <w:r>
        <w:fldChar w:fldCharType="end"/>
      </w:r>
      <w:r>
        <w:rPr>
          <w:rFonts w:hint="eastAsia" w:ascii="仿宋" w:hAnsi="仿宋" w:eastAsia="仿宋_GB2312" w:cs="仿宋"/>
          <w:color w:val="auto"/>
          <w:highlight w:val="none"/>
        </w:rPr>
        <w:fldChar w:fldCharType="end"/>
      </w:r>
    </w:p>
    <w:p w14:paraId="2B47E849">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_Toc8396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第二节 评标方法及标准</w:t>
      </w:r>
      <w:r>
        <w:tab/>
      </w:r>
      <w:r>
        <w:fldChar w:fldCharType="begin"/>
      </w:r>
      <w:r>
        <w:instrText xml:space="preserve"> PAGEREF _Toc8396 \h </w:instrText>
      </w:r>
      <w:r>
        <w:fldChar w:fldCharType="separate"/>
      </w:r>
      <w:r>
        <w:t>31</w:t>
      </w:r>
      <w:r>
        <w:fldChar w:fldCharType="end"/>
      </w:r>
      <w:r>
        <w:rPr>
          <w:rFonts w:hint="eastAsia" w:ascii="仿宋" w:hAnsi="仿宋" w:eastAsia="仿宋_GB2312" w:cs="仿宋"/>
          <w:color w:val="auto"/>
          <w:highlight w:val="none"/>
        </w:rPr>
        <w:fldChar w:fldCharType="end"/>
      </w:r>
    </w:p>
    <w:p w14:paraId="22322B91">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_Toc20480 </w:instrText>
      </w:r>
      <w:r>
        <w:rPr>
          <w:rFonts w:hint="eastAsia" w:ascii="仿宋" w:hAnsi="仿宋" w:eastAsia="仿宋_GB2312" w:cs="仿宋"/>
          <w:highlight w:val="none"/>
        </w:rPr>
        <w:fldChar w:fldCharType="separate"/>
      </w:r>
      <w:r>
        <w:rPr>
          <w:rFonts w:hint="eastAsia" w:ascii="仿宋" w:hAnsi="仿宋" w:eastAsia="仿宋_GB2312" w:cs="仿宋"/>
          <w:szCs w:val="28"/>
          <w:highlight w:val="none"/>
        </w:rPr>
        <w:t>第三节 投标文件的符合性审查</w:t>
      </w:r>
      <w:r>
        <w:tab/>
      </w:r>
      <w:r>
        <w:fldChar w:fldCharType="begin"/>
      </w:r>
      <w:r>
        <w:instrText xml:space="preserve"> PAGEREF _Toc20480 \h </w:instrText>
      </w:r>
      <w:r>
        <w:fldChar w:fldCharType="separate"/>
      </w:r>
      <w:r>
        <w:t>35</w:t>
      </w:r>
      <w:r>
        <w:fldChar w:fldCharType="end"/>
      </w:r>
      <w:r>
        <w:rPr>
          <w:rFonts w:hint="eastAsia" w:ascii="仿宋" w:hAnsi="仿宋" w:eastAsia="仿宋_GB2312" w:cs="仿宋"/>
          <w:color w:val="auto"/>
          <w:highlight w:val="none"/>
        </w:rPr>
        <w:fldChar w:fldCharType="end"/>
      </w:r>
    </w:p>
    <w:p w14:paraId="145828B0">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_Toc16822 </w:instrText>
      </w:r>
      <w:r>
        <w:rPr>
          <w:rFonts w:hint="eastAsia" w:ascii="仿宋" w:hAnsi="仿宋" w:eastAsia="仿宋_GB2312" w:cs="仿宋"/>
          <w:highlight w:val="none"/>
        </w:rPr>
        <w:fldChar w:fldCharType="separate"/>
      </w:r>
      <w:r>
        <w:rPr>
          <w:rFonts w:hint="eastAsia" w:ascii="仿宋" w:hAnsi="仿宋" w:eastAsia="仿宋_GB2312" w:cs="仿宋"/>
          <w:bCs/>
          <w:szCs w:val="32"/>
          <w:highlight w:val="none"/>
        </w:rPr>
        <w:t>附页1评标方法及标准(综合评分法适用</w:t>
      </w:r>
      <w:r>
        <w:rPr>
          <w:rFonts w:hint="eastAsia" w:ascii="仿宋" w:hAnsi="仿宋" w:eastAsia="仿宋_GB2312" w:cs="仿宋"/>
          <w:szCs w:val="32"/>
          <w:highlight w:val="none"/>
        </w:rPr>
        <w:t>)</w:t>
      </w:r>
      <w:r>
        <w:tab/>
      </w:r>
      <w:r>
        <w:fldChar w:fldCharType="begin"/>
      </w:r>
      <w:r>
        <w:instrText xml:space="preserve"> PAGEREF _Toc16822 \h </w:instrText>
      </w:r>
      <w:r>
        <w:fldChar w:fldCharType="separate"/>
      </w:r>
      <w:r>
        <w:t>39</w:t>
      </w:r>
      <w:r>
        <w:fldChar w:fldCharType="end"/>
      </w:r>
      <w:r>
        <w:rPr>
          <w:rFonts w:hint="eastAsia" w:ascii="仿宋" w:hAnsi="仿宋" w:eastAsia="仿宋_GB2312" w:cs="仿宋"/>
          <w:color w:val="auto"/>
          <w:highlight w:val="none"/>
        </w:rPr>
        <w:fldChar w:fldCharType="end"/>
      </w:r>
    </w:p>
    <w:p w14:paraId="78C2982E">
      <w:pPr>
        <w:pStyle w:val="30"/>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_Toc12627 </w:instrText>
      </w:r>
      <w:r>
        <w:rPr>
          <w:rFonts w:hint="eastAsia" w:ascii="仿宋" w:hAnsi="仿宋" w:eastAsia="仿宋_GB2312" w:cs="仿宋"/>
          <w:highlight w:val="none"/>
        </w:rPr>
        <w:fldChar w:fldCharType="separate"/>
      </w:r>
      <w:r>
        <w:rPr>
          <w:rFonts w:hint="eastAsia" w:ascii="仿宋" w:hAnsi="仿宋" w:eastAsia="仿宋_GB2312" w:cs="仿宋"/>
          <w:szCs w:val="32"/>
          <w:highlight w:val="none"/>
          <w:lang w:eastAsia="zh-CN"/>
        </w:rPr>
        <w:t>第五章</w:t>
      </w:r>
      <w:r>
        <w:rPr>
          <w:rFonts w:hint="eastAsia" w:ascii="仿宋" w:hAnsi="仿宋" w:eastAsia="仿宋_GB2312" w:cs="仿宋"/>
          <w:szCs w:val="32"/>
          <w:highlight w:val="none"/>
        </w:rPr>
        <w:t xml:space="preserve"> 采购需求</w:t>
      </w:r>
      <w:r>
        <w:tab/>
      </w:r>
      <w:r>
        <w:fldChar w:fldCharType="begin"/>
      </w:r>
      <w:r>
        <w:instrText xml:space="preserve"> PAGEREF _Toc12627 \h </w:instrText>
      </w:r>
      <w:r>
        <w:fldChar w:fldCharType="separate"/>
      </w:r>
      <w:r>
        <w:t>42</w:t>
      </w:r>
      <w:r>
        <w:fldChar w:fldCharType="end"/>
      </w:r>
      <w:r>
        <w:rPr>
          <w:rFonts w:hint="eastAsia" w:ascii="仿宋" w:hAnsi="仿宋" w:eastAsia="仿宋_GB2312" w:cs="仿宋"/>
          <w:color w:val="auto"/>
          <w:highlight w:val="none"/>
        </w:rPr>
        <w:fldChar w:fldCharType="end"/>
      </w:r>
    </w:p>
    <w:p w14:paraId="578A1214">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_Toc3123 </w:instrText>
      </w:r>
      <w:r>
        <w:rPr>
          <w:rFonts w:hint="eastAsia" w:ascii="仿宋" w:hAnsi="仿宋" w:eastAsia="仿宋_GB2312" w:cs="仿宋"/>
          <w:highlight w:val="none"/>
        </w:rPr>
        <w:fldChar w:fldCharType="separate"/>
      </w:r>
      <w:r>
        <w:rPr>
          <w:rFonts w:hint="eastAsia"/>
        </w:rPr>
        <w:t>第一节 采购清单一览表</w:t>
      </w:r>
      <w:r>
        <w:tab/>
      </w:r>
      <w:r>
        <w:fldChar w:fldCharType="begin"/>
      </w:r>
      <w:r>
        <w:instrText xml:space="preserve"> PAGEREF _Toc3123 \h </w:instrText>
      </w:r>
      <w:r>
        <w:fldChar w:fldCharType="separate"/>
      </w:r>
      <w:r>
        <w:t>42</w:t>
      </w:r>
      <w:r>
        <w:fldChar w:fldCharType="end"/>
      </w:r>
      <w:r>
        <w:rPr>
          <w:rFonts w:hint="eastAsia" w:ascii="仿宋" w:hAnsi="仿宋" w:eastAsia="仿宋_GB2312" w:cs="仿宋"/>
          <w:color w:val="auto"/>
          <w:highlight w:val="none"/>
        </w:rPr>
        <w:fldChar w:fldCharType="end"/>
      </w:r>
    </w:p>
    <w:p w14:paraId="5F3CE117">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_Toc22171 </w:instrText>
      </w:r>
      <w:r>
        <w:rPr>
          <w:rFonts w:hint="eastAsia" w:ascii="仿宋" w:hAnsi="仿宋" w:eastAsia="仿宋_GB2312" w:cs="仿宋"/>
          <w:highlight w:val="none"/>
        </w:rPr>
        <w:fldChar w:fldCharType="separate"/>
      </w:r>
      <w:r>
        <w:rPr>
          <w:rFonts w:hint="eastAsia"/>
        </w:rPr>
        <w:t xml:space="preserve">第二节 </w:t>
      </w:r>
      <w:r>
        <w:rPr>
          <w:rFonts w:hint="eastAsia"/>
          <w:lang w:val="en-US" w:eastAsia="zh-CN"/>
        </w:rPr>
        <w:t>详细采购需求</w:t>
      </w:r>
      <w:r>
        <w:tab/>
      </w:r>
      <w:r>
        <w:fldChar w:fldCharType="begin"/>
      </w:r>
      <w:r>
        <w:instrText xml:space="preserve"> PAGEREF _Toc22171 \h </w:instrText>
      </w:r>
      <w:r>
        <w:fldChar w:fldCharType="separate"/>
      </w:r>
      <w:r>
        <w:t>43</w:t>
      </w:r>
      <w:r>
        <w:fldChar w:fldCharType="end"/>
      </w:r>
      <w:r>
        <w:rPr>
          <w:rFonts w:hint="eastAsia" w:ascii="仿宋" w:hAnsi="仿宋" w:eastAsia="仿宋_GB2312" w:cs="仿宋"/>
          <w:color w:val="auto"/>
          <w:highlight w:val="none"/>
        </w:rPr>
        <w:fldChar w:fldCharType="end"/>
      </w:r>
    </w:p>
    <w:p w14:paraId="00AC4ACF">
      <w:pPr>
        <w:pStyle w:val="30"/>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_Toc7612 </w:instrText>
      </w:r>
      <w:r>
        <w:rPr>
          <w:rFonts w:hint="eastAsia" w:ascii="仿宋" w:hAnsi="仿宋" w:eastAsia="仿宋_GB2312" w:cs="仿宋"/>
          <w:highlight w:val="none"/>
        </w:rPr>
        <w:fldChar w:fldCharType="separate"/>
      </w:r>
      <w:r>
        <w:rPr>
          <w:rFonts w:hint="eastAsia" w:ascii="黑体" w:hAnsi="华文中宋" w:eastAsia="黑体"/>
          <w:szCs w:val="32"/>
        </w:rPr>
        <w:t xml:space="preserve">第五章 </w:t>
      </w:r>
      <w:r>
        <w:rPr>
          <w:rFonts w:hint="eastAsia" w:ascii="仿宋" w:hAnsi="仿宋" w:eastAsia="仿宋_GB2312" w:cs="仿宋"/>
          <w:szCs w:val="32"/>
          <w:highlight w:val="none"/>
        </w:rPr>
        <w:t>政府采购合同</w:t>
      </w:r>
      <w:r>
        <w:tab/>
      </w:r>
      <w:r>
        <w:fldChar w:fldCharType="begin"/>
      </w:r>
      <w:r>
        <w:instrText xml:space="preserve"> PAGEREF _Toc7612 \h </w:instrText>
      </w:r>
      <w:r>
        <w:fldChar w:fldCharType="separate"/>
      </w:r>
      <w:r>
        <w:t>48</w:t>
      </w:r>
      <w:r>
        <w:fldChar w:fldCharType="end"/>
      </w:r>
      <w:r>
        <w:rPr>
          <w:rFonts w:hint="eastAsia" w:ascii="仿宋" w:hAnsi="仿宋" w:eastAsia="仿宋_GB2312" w:cs="仿宋"/>
          <w:color w:val="auto"/>
          <w:highlight w:val="none"/>
        </w:rPr>
        <w:fldChar w:fldCharType="end"/>
      </w:r>
    </w:p>
    <w:p w14:paraId="1D2BA4D8">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_Toc28410 </w:instrText>
      </w:r>
      <w:r>
        <w:rPr>
          <w:rFonts w:hint="eastAsia" w:ascii="仿宋" w:hAnsi="仿宋" w:eastAsia="仿宋_GB2312" w:cs="仿宋"/>
          <w:highlight w:val="none"/>
        </w:rPr>
        <w:fldChar w:fldCharType="separate"/>
      </w:r>
      <w:r>
        <w:rPr>
          <w:rFonts w:hint="eastAsia" w:ascii="仿宋" w:hAnsi="仿宋" w:eastAsia="仿宋" w:cs="仿宋"/>
          <w:szCs w:val="28"/>
          <w:highlight w:val="none"/>
        </w:rPr>
        <w:t>第一节 政府采购合同协议书</w:t>
      </w:r>
      <w:r>
        <w:tab/>
      </w:r>
      <w:r>
        <w:fldChar w:fldCharType="begin"/>
      </w:r>
      <w:r>
        <w:instrText xml:space="preserve"> PAGEREF _Toc28410 \h </w:instrText>
      </w:r>
      <w:r>
        <w:fldChar w:fldCharType="separate"/>
      </w:r>
      <w:r>
        <w:t>48</w:t>
      </w:r>
      <w:r>
        <w:fldChar w:fldCharType="end"/>
      </w:r>
      <w:r>
        <w:rPr>
          <w:rFonts w:hint="eastAsia" w:ascii="仿宋" w:hAnsi="仿宋" w:eastAsia="仿宋_GB2312" w:cs="仿宋"/>
          <w:color w:val="auto"/>
          <w:highlight w:val="none"/>
        </w:rPr>
        <w:fldChar w:fldCharType="end"/>
      </w:r>
    </w:p>
    <w:p w14:paraId="173BC891">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_Toc31313 </w:instrText>
      </w:r>
      <w:r>
        <w:rPr>
          <w:rFonts w:hint="eastAsia" w:ascii="仿宋" w:hAnsi="仿宋" w:eastAsia="仿宋_GB2312" w:cs="仿宋"/>
          <w:highlight w:val="none"/>
        </w:rPr>
        <w:fldChar w:fldCharType="separate"/>
      </w:r>
      <w:r>
        <w:rPr>
          <w:rFonts w:hint="eastAsia" w:ascii="仿宋" w:hAnsi="仿宋" w:eastAsia="仿宋" w:cs="仿宋"/>
          <w:szCs w:val="28"/>
          <w:highlight w:val="none"/>
        </w:rPr>
        <w:t>第二节 政府采购合同通用条款</w:t>
      </w:r>
      <w:r>
        <w:tab/>
      </w:r>
      <w:r>
        <w:fldChar w:fldCharType="begin"/>
      </w:r>
      <w:r>
        <w:instrText xml:space="preserve"> PAGEREF _Toc31313 \h </w:instrText>
      </w:r>
      <w:r>
        <w:fldChar w:fldCharType="separate"/>
      </w:r>
      <w:r>
        <w:t>50</w:t>
      </w:r>
      <w:r>
        <w:fldChar w:fldCharType="end"/>
      </w:r>
      <w:r>
        <w:rPr>
          <w:rFonts w:hint="eastAsia" w:ascii="仿宋" w:hAnsi="仿宋" w:eastAsia="仿宋_GB2312" w:cs="仿宋"/>
          <w:color w:val="auto"/>
          <w:highlight w:val="none"/>
        </w:rPr>
        <w:fldChar w:fldCharType="end"/>
      </w:r>
    </w:p>
    <w:p w14:paraId="095D9AAD">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_Toc16971 </w:instrText>
      </w:r>
      <w:r>
        <w:rPr>
          <w:rFonts w:hint="eastAsia" w:ascii="仿宋" w:hAnsi="仿宋" w:eastAsia="仿宋_GB2312" w:cs="仿宋"/>
          <w:highlight w:val="none"/>
        </w:rPr>
        <w:fldChar w:fldCharType="separate"/>
      </w:r>
      <w:r>
        <w:rPr>
          <w:rFonts w:hint="eastAsia" w:ascii="仿宋" w:hAnsi="仿宋" w:eastAsia="仿宋" w:cs="仿宋"/>
          <w:szCs w:val="21"/>
          <w:highlight w:val="none"/>
        </w:rPr>
        <w:t>24.1 本合同在合同双方签字盖章后生效。</w:t>
      </w:r>
      <w:r>
        <w:tab/>
      </w:r>
      <w:r>
        <w:fldChar w:fldCharType="begin"/>
      </w:r>
      <w:r>
        <w:instrText xml:space="preserve"> PAGEREF _Toc16971 \h </w:instrText>
      </w:r>
      <w:r>
        <w:fldChar w:fldCharType="separate"/>
      </w:r>
      <w:r>
        <w:t>55</w:t>
      </w:r>
      <w:r>
        <w:fldChar w:fldCharType="end"/>
      </w:r>
      <w:r>
        <w:rPr>
          <w:rFonts w:hint="eastAsia" w:ascii="仿宋" w:hAnsi="仿宋" w:eastAsia="仿宋_GB2312" w:cs="仿宋"/>
          <w:color w:val="auto"/>
          <w:highlight w:val="none"/>
        </w:rPr>
        <w:fldChar w:fldCharType="end"/>
      </w:r>
    </w:p>
    <w:p w14:paraId="189EFE98">
      <w:pPr>
        <w:pStyle w:val="34"/>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_Toc14030 </w:instrText>
      </w:r>
      <w:r>
        <w:rPr>
          <w:rFonts w:hint="eastAsia" w:ascii="仿宋" w:hAnsi="仿宋" w:eastAsia="仿宋_GB2312" w:cs="仿宋"/>
          <w:highlight w:val="none"/>
        </w:rPr>
        <w:fldChar w:fldCharType="separate"/>
      </w:r>
      <w:r>
        <w:rPr>
          <w:rFonts w:hint="eastAsia" w:ascii="仿宋" w:hAnsi="仿宋" w:eastAsia="仿宋" w:cs="仿宋"/>
          <w:szCs w:val="21"/>
          <w:highlight w:val="none"/>
        </w:rPr>
        <w:t>第三节 政府采购合同专用条款</w:t>
      </w:r>
      <w:r>
        <w:tab/>
      </w:r>
      <w:r>
        <w:fldChar w:fldCharType="begin"/>
      </w:r>
      <w:r>
        <w:instrText xml:space="preserve"> PAGEREF _Toc14030 \h </w:instrText>
      </w:r>
      <w:r>
        <w:fldChar w:fldCharType="separate"/>
      </w:r>
      <w:r>
        <w:t>55</w:t>
      </w:r>
      <w:r>
        <w:fldChar w:fldCharType="end"/>
      </w:r>
      <w:r>
        <w:rPr>
          <w:rFonts w:hint="eastAsia" w:ascii="仿宋" w:hAnsi="仿宋" w:eastAsia="仿宋_GB2312" w:cs="仿宋"/>
          <w:color w:val="auto"/>
          <w:highlight w:val="none"/>
        </w:rPr>
        <w:fldChar w:fldCharType="end"/>
      </w:r>
    </w:p>
    <w:p w14:paraId="121DF214">
      <w:pPr>
        <w:pStyle w:val="30"/>
        <w:tabs>
          <w:tab w:val="right" w:leader="dot" w:pos="9461"/>
        </w:tabs>
      </w:pPr>
      <w:r>
        <w:rPr>
          <w:rFonts w:hint="eastAsia" w:ascii="仿宋" w:hAnsi="仿宋" w:eastAsia="仿宋_GB2312" w:cs="仿宋"/>
          <w:color w:val="auto"/>
          <w:highlight w:val="none"/>
        </w:rPr>
        <w:fldChar w:fldCharType="begin"/>
      </w:r>
      <w:r>
        <w:rPr>
          <w:rFonts w:hint="eastAsia" w:ascii="仿宋" w:hAnsi="仿宋" w:eastAsia="仿宋_GB2312" w:cs="仿宋"/>
          <w:highlight w:val="none"/>
        </w:rPr>
        <w:instrText xml:space="preserve"> HYPERLINK \l _Toc5283 </w:instrText>
      </w:r>
      <w:r>
        <w:rPr>
          <w:rFonts w:hint="eastAsia" w:ascii="仿宋" w:hAnsi="仿宋" w:eastAsia="仿宋_GB2312" w:cs="仿宋"/>
          <w:highlight w:val="none"/>
        </w:rPr>
        <w:fldChar w:fldCharType="separate"/>
      </w:r>
      <w:r>
        <w:rPr>
          <w:rFonts w:hint="eastAsia" w:ascii="仿宋" w:hAnsi="仿宋" w:eastAsia="仿宋_GB2312" w:cs="仿宋"/>
          <w:szCs w:val="32"/>
          <w:highlight w:val="none"/>
        </w:rPr>
        <w:t>第七章  投标文件的组成</w:t>
      </w:r>
      <w:r>
        <w:tab/>
      </w:r>
      <w:r>
        <w:fldChar w:fldCharType="begin"/>
      </w:r>
      <w:r>
        <w:instrText xml:space="preserve"> PAGEREF _Toc5283 \h </w:instrText>
      </w:r>
      <w:r>
        <w:fldChar w:fldCharType="separate"/>
      </w:r>
      <w:r>
        <w:t>57</w:t>
      </w:r>
      <w:r>
        <w:fldChar w:fldCharType="end"/>
      </w:r>
      <w:r>
        <w:rPr>
          <w:rFonts w:hint="eastAsia" w:ascii="仿宋" w:hAnsi="仿宋" w:eastAsia="仿宋_GB2312" w:cs="仿宋"/>
          <w:color w:val="auto"/>
          <w:highlight w:val="none"/>
        </w:rPr>
        <w:fldChar w:fldCharType="end"/>
      </w:r>
    </w:p>
    <w:p w14:paraId="38CFABDE">
      <w:pPr>
        <w:pStyle w:val="22"/>
        <w:pageBreakBefore w:val="0"/>
        <w:kinsoku/>
        <w:overflowPunct/>
        <w:topLinePunct w:val="0"/>
        <w:bidi w:val="0"/>
        <w:adjustRightInd w:val="0"/>
        <w:snapToGrid w:val="0"/>
        <w:spacing w:line="400" w:lineRule="exact"/>
        <w:jc w:val="center"/>
        <w:outlineLvl w:val="0"/>
        <w:rPr>
          <w:rFonts w:hint="eastAsia" w:ascii="仿宋" w:hAnsi="仿宋" w:eastAsia="仿宋_GB2312" w:cs="仿宋"/>
          <w:color w:val="auto"/>
          <w:sz w:val="32"/>
          <w:szCs w:val="32"/>
          <w:highlight w:val="none"/>
        </w:rPr>
        <w:sectPr>
          <w:headerReference r:id="rId3" w:type="default"/>
          <w:footerReference r:id="rId4" w:type="default"/>
          <w:type w:val="continuous"/>
          <w:pgSz w:w="11905" w:h="16839"/>
          <w:pgMar w:top="1090" w:right="1162" w:bottom="1155" w:left="1282" w:header="1080" w:footer="993" w:gutter="0"/>
          <w:pgNumType w:fmt="decimal"/>
          <w:cols w:space="720" w:num="1"/>
        </w:sectPr>
      </w:pPr>
      <w:r>
        <w:rPr>
          <w:rFonts w:hint="eastAsia" w:ascii="仿宋" w:hAnsi="仿宋" w:eastAsia="仿宋_GB2312" w:cs="仿宋"/>
          <w:color w:val="auto"/>
          <w:highlight w:val="none"/>
        </w:rPr>
        <w:fldChar w:fldCharType="end"/>
      </w:r>
      <w:bookmarkStart w:id="0" w:name="_Toc21001314"/>
      <w:bookmarkStart w:id="1" w:name="_Toc20988241"/>
      <w:bookmarkStart w:id="2" w:name="_Toc20642243"/>
      <w:bookmarkStart w:id="3" w:name="_Toc35421027"/>
      <w:bookmarkStart w:id="4" w:name="_Toc53472201"/>
      <w:bookmarkStart w:id="5" w:name="_Toc20816073"/>
      <w:bookmarkStart w:id="6" w:name="_Toc34720698"/>
      <w:bookmarkStart w:id="7" w:name="_Toc21000471"/>
    </w:p>
    <w:p w14:paraId="0B0F2511">
      <w:pPr>
        <w:pStyle w:val="2"/>
        <w:numPr>
          <w:ilvl w:val="0"/>
          <w:numId w:val="3"/>
        </w:numPr>
        <w:bidi w:val="0"/>
        <w:rPr>
          <w:rFonts w:hint="eastAsia"/>
          <w:highlight w:val="none"/>
        </w:rPr>
      </w:pPr>
      <w:bookmarkStart w:id="8" w:name="_Toc26593"/>
      <w:r>
        <w:rPr>
          <w:rFonts w:hint="eastAsia"/>
          <w:highlight w:val="none"/>
          <w:lang w:val="en-US" w:eastAsia="zh-CN"/>
        </w:rPr>
        <w:t xml:space="preserve"> </w:t>
      </w:r>
      <w:r>
        <w:rPr>
          <w:rFonts w:hint="eastAsia"/>
          <w:highlight w:val="none"/>
        </w:rPr>
        <w:t>投标邀请（公开招标）</w:t>
      </w:r>
      <w:bookmarkEnd w:id="8"/>
    </w:p>
    <w:p w14:paraId="79B8153D">
      <w:pPr>
        <w:spacing w:line="360" w:lineRule="auto"/>
        <w:ind w:firstLine="420" w:firstLineChars="200"/>
        <w:rPr>
          <w:rFonts w:hint="eastAsia" w:ascii="宋体" w:hAnsi="宋体" w:eastAsia="宋体" w:cs="宋体"/>
          <w:color w:val="FF0000"/>
          <w:kern w:val="0"/>
          <w:sz w:val="21"/>
          <w:szCs w:val="21"/>
          <w:highlight w:val="none"/>
          <w:u w:val="single"/>
          <w:lang w:val="en-US" w:eastAsia="zh-CN" w:bidi="ar-SA"/>
        </w:rPr>
      </w:pPr>
      <w:r>
        <w:rPr>
          <w:rFonts w:hint="eastAsia" w:ascii="宋体" w:hAnsi="宋体" w:cs="宋体"/>
          <w:color w:val="auto"/>
          <w:kern w:val="0"/>
          <w:sz w:val="21"/>
          <w:szCs w:val="21"/>
          <w:highlight w:val="none"/>
          <w:u w:val="single"/>
          <w:lang w:val="en-US" w:eastAsia="zh-CN" w:bidi="ar-SA"/>
        </w:rPr>
        <w:t>邵阳县公安局</w:t>
      </w:r>
      <w:r>
        <w:rPr>
          <w:rFonts w:hint="eastAsia" w:ascii="宋体" w:hAnsi="宋体" w:eastAsia="宋体" w:cs="宋体"/>
          <w:color w:val="auto"/>
          <w:kern w:val="0"/>
          <w:sz w:val="21"/>
          <w:szCs w:val="21"/>
          <w:highlight w:val="none"/>
          <w:u w:val="single"/>
          <w:lang w:val="en-US" w:eastAsia="zh-CN" w:bidi="ar-SA"/>
        </w:rPr>
        <w:t>的</w:t>
      </w:r>
      <w:r>
        <w:rPr>
          <w:rFonts w:hint="eastAsia" w:ascii="宋体" w:hAnsi="宋体" w:cs="宋体"/>
          <w:color w:val="auto"/>
          <w:kern w:val="0"/>
          <w:sz w:val="21"/>
          <w:szCs w:val="21"/>
          <w:highlight w:val="none"/>
          <w:u w:val="single"/>
          <w:lang w:val="en-US" w:eastAsia="zh-CN" w:bidi="ar-SA"/>
        </w:rPr>
        <w:t>邵阳县平安城市网络租赁费采购项目</w:t>
      </w:r>
      <w:r>
        <w:rPr>
          <w:rFonts w:hint="eastAsia" w:ascii="宋体" w:hAnsi="宋体" w:eastAsia="宋体" w:cs="宋体"/>
          <w:color w:val="auto"/>
          <w:kern w:val="0"/>
          <w:sz w:val="21"/>
          <w:szCs w:val="21"/>
          <w:highlight w:val="none"/>
          <w:u w:val="single"/>
          <w:lang w:val="en-US" w:eastAsia="zh-CN" w:bidi="ar-SA"/>
        </w:rPr>
        <w:t>进行公开招标采购，</w:t>
      </w:r>
      <w:r>
        <w:rPr>
          <w:rFonts w:hint="eastAsia" w:ascii="宋体" w:hAnsi="宋体" w:eastAsia="宋体" w:cs="宋体"/>
          <w:color w:val="auto"/>
          <w:kern w:val="0"/>
          <w:sz w:val="21"/>
          <w:szCs w:val="21"/>
          <w:u w:val="none"/>
          <w:lang w:val="en-US" w:eastAsia="zh-CN" w:bidi="ar-SA"/>
        </w:rPr>
        <w:t>现邀请合格投标人参加投标。</w:t>
      </w:r>
    </w:p>
    <w:p w14:paraId="7568B57B">
      <w:pPr>
        <w:pBdr>
          <w:top w:val="single" w:color="auto" w:sz="4" w:space="1"/>
          <w:left w:val="single" w:color="auto" w:sz="4" w:space="4"/>
          <w:bottom w:val="single" w:color="auto" w:sz="4" w:space="1"/>
          <w:right w:val="single" w:color="auto" w:sz="4" w:space="4"/>
        </w:pBdr>
        <w:ind w:firstLine="420" w:firstLineChars="200"/>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color w:val="auto"/>
          <w:kern w:val="0"/>
          <w:sz w:val="21"/>
          <w:szCs w:val="21"/>
          <w:highlight w:val="none"/>
          <w:u w:val="single"/>
          <w:lang w:val="en-US" w:eastAsia="zh-CN" w:bidi="ar-SA"/>
        </w:rPr>
        <w:t>项目概况</w:t>
      </w:r>
    </w:p>
    <w:p w14:paraId="2F974216">
      <w:pPr>
        <w:pBdr>
          <w:top w:val="single" w:color="auto" w:sz="4" w:space="1"/>
          <w:left w:val="single" w:color="auto" w:sz="4" w:space="4"/>
          <w:bottom w:val="single" w:color="auto" w:sz="4" w:space="1"/>
          <w:right w:val="single" w:color="auto" w:sz="4" w:space="4"/>
        </w:pBdr>
        <w:ind w:firstLine="420" w:firstLineChars="200"/>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cs="宋体"/>
          <w:color w:val="auto"/>
          <w:kern w:val="0"/>
          <w:sz w:val="21"/>
          <w:szCs w:val="21"/>
          <w:highlight w:val="none"/>
          <w:u w:val="single"/>
          <w:lang w:val="en-US" w:eastAsia="zh-CN" w:bidi="ar-SA"/>
        </w:rPr>
        <w:t>邵阳县平安城市网络租赁费采购项目</w:t>
      </w:r>
      <w:r>
        <w:rPr>
          <w:rFonts w:hint="eastAsia" w:ascii="宋体" w:hAnsi="宋体" w:eastAsia="宋体" w:cs="宋体"/>
          <w:color w:val="auto"/>
          <w:kern w:val="0"/>
          <w:sz w:val="21"/>
          <w:szCs w:val="21"/>
          <w:highlight w:val="none"/>
          <w:u w:val="single"/>
          <w:lang w:val="en-US" w:eastAsia="zh-CN" w:bidi="ar-SA"/>
        </w:rPr>
        <w:t xml:space="preserve"> 采购项目的潜在投标人应在在邵阳市公共资源交易中心网站（http:// ggzy.shaoyang.gov.cn）获取采购文件，并于2026年</w:t>
      </w:r>
      <w:r>
        <w:rPr>
          <w:rFonts w:hint="eastAsia" w:ascii="宋体" w:hAnsi="宋体" w:cs="宋体"/>
          <w:color w:val="auto"/>
          <w:kern w:val="0"/>
          <w:sz w:val="21"/>
          <w:szCs w:val="21"/>
          <w:highlight w:val="none"/>
          <w:u w:val="single"/>
          <w:lang w:val="en-US" w:eastAsia="zh-CN" w:bidi="ar-SA"/>
        </w:rPr>
        <w:t>8</w:t>
      </w:r>
      <w:r>
        <w:rPr>
          <w:rFonts w:hint="eastAsia" w:ascii="宋体" w:hAnsi="宋体" w:eastAsia="宋体" w:cs="宋体"/>
          <w:color w:val="auto"/>
          <w:kern w:val="0"/>
          <w:sz w:val="21"/>
          <w:szCs w:val="21"/>
          <w:highlight w:val="none"/>
          <w:u w:val="single"/>
          <w:lang w:val="en-US" w:eastAsia="zh-CN" w:bidi="ar-SA"/>
        </w:rPr>
        <w:t>月</w:t>
      </w:r>
      <w:r>
        <w:rPr>
          <w:rFonts w:hint="eastAsia" w:ascii="宋体" w:hAnsi="宋体" w:cs="宋体"/>
          <w:color w:val="auto"/>
          <w:kern w:val="0"/>
          <w:sz w:val="21"/>
          <w:szCs w:val="21"/>
          <w:highlight w:val="none"/>
          <w:u w:val="single"/>
          <w:lang w:val="en-US" w:eastAsia="zh-CN" w:bidi="ar-SA"/>
        </w:rPr>
        <w:t>14</w:t>
      </w:r>
      <w:r>
        <w:rPr>
          <w:rFonts w:hint="eastAsia" w:ascii="宋体" w:hAnsi="宋体" w:eastAsia="宋体" w:cs="宋体"/>
          <w:color w:val="auto"/>
          <w:kern w:val="0"/>
          <w:sz w:val="21"/>
          <w:szCs w:val="21"/>
          <w:highlight w:val="none"/>
          <w:u w:val="single"/>
          <w:lang w:val="en-US" w:eastAsia="zh-CN" w:bidi="ar-SA"/>
        </w:rPr>
        <w:t>日 9点30分（北京时间）前提交投标文件。</w:t>
      </w:r>
    </w:p>
    <w:p w14:paraId="4B7DFA50">
      <w:pPr>
        <w:widowControl/>
        <w:spacing w:before="0" w:beforeAutospacing="0" w:after="158" w:afterAutospacing="0" w:line="260" w:lineRule="exact"/>
        <w:ind w:firstLine="525"/>
        <w:jc w:val="left"/>
        <w:rPr>
          <w:rFonts w:hint="eastAsia" w:ascii="宋体" w:hAnsi="宋体" w:eastAsia="宋体" w:cs="宋体"/>
          <w:color w:val="auto"/>
          <w:kern w:val="0"/>
          <w:sz w:val="21"/>
          <w:szCs w:val="21"/>
          <w:highlight w:val="none"/>
          <w:u w:val="single"/>
          <w:lang w:val="en-US" w:eastAsia="zh-CN" w:bidi="ar-SA"/>
        </w:rPr>
      </w:pPr>
    </w:p>
    <w:p w14:paraId="211FB35A">
      <w:pPr>
        <w:widowControl/>
        <w:spacing w:before="0" w:beforeAutospacing="0" w:after="158" w:afterAutospacing="0" w:line="260" w:lineRule="exact"/>
        <w:jc w:val="left"/>
        <w:rPr>
          <w:rFonts w:hint="eastAsia" w:ascii="宋体" w:hAnsi="宋体" w:eastAsia="宋体" w:cs="宋体"/>
          <w:kern w:val="0"/>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一、采购项目基本信息</w:t>
      </w:r>
    </w:p>
    <w:p w14:paraId="0220C7E3">
      <w:pPr>
        <w:widowControl/>
        <w:spacing w:before="0" w:beforeAutospacing="0" w:after="158" w:afterAutospacing="0"/>
        <w:ind w:firstLine="420" w:firstLineChars="200"/>
        <w:jc w:val="left"/>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kern w:val="0"/>
          <w:sz w:val="21"/>
          <w:szCs w:val="21"/>
          <w:highlight w:val="none"/>
          <w:lang w:val="en-US" w:eastAsia="zh-CN" w:bidi="ar-SA"/>
        </w:rPr>
        <w:t>1、</w:t>
      </w:r>
      <w:r>
        <w:rPr>
          <w:rFonts w:hint="eastAsia" w:ascii="宋体" w:hAnsi="宋体" w:eastAsia="宋体" w:cs="宋体"/>
          <w:color w:val="auto"/>
          <w:kern w:val="0"/>
          <w:sz w:val="21"/>
          <w:szCs w:val="21"/>
          <w:highlight w:val="none"/>
          <w:lang w:val="en-US" w:eastAsia="zh-CN" w:bidi="ar-SA"/>
        </w:rPr>
        <w:t>采购</w:t>
      </w:r>
      <w:r>
        <w:rPr>
          <w:rFonts w:hint="eastAsia" w:ascii="宋体" w:hAnsi="宋体" w:eastAsia="宋体" w:cs="宋体"/>
          <w:color w:val="auto"/>
          <w:kern w:val="0"/>
          <w:sz w:val="21"/>
          <w:szCs w:val="21"/>
          <w:highlight w:val="none"/>
          <w:shd w:val="clear" w:color="auto" w:fill="FFFFFF"/>
          <w:lang w:val="en-US" w:eastAsia="zh-CN" w:bidi="ar-SA"/>
        </w:rPr>
        <w:t>项目编号：</w:t>
      </w:r>
      <w:r>
        <w:rPr>
          <w:rFonts w:hint="eastAsia" w:ascii="宋体" w:hAnsi="宋体" w:cs="宋体"/>
          <w:color w:val="auto"/>
          <w:kern w:val="0"/>
          <w:sz w:val="21"/>
          <w:szCs w:val="21"/>
          <w:highlight w:val="none"/>
          <w:u w:val="single"/>
          <w:lang w:val="en-US" w:eastAsia="zh-CN" w:bidi="ar-SA"/>
        </w:rPr>
        <w:t>HNSZZFCG-2026-0484</w:t>
      </w:r>
    </w:p>
    <w:p w14:paraId="61420CC5">
      <w:pPr>
        <w:widowControl/>
        <w:spacing w:before="0" w:beforeAutospacing="0" w:after="158" w:afterAutospacing="0"/>
        <w:ind w:firstLine="420" w:firstLineChars="200"/>
        <w:jc w:val="left"/>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kern w:val="0"/>
          <w:sz w:val="21"/>
          <w:szCs w:val="21"/>
          <w:highlight w:val="none"/>
          <w:lang w:val="en-US" w:eastAsia="zh-CN" w:bidi="ar-SA"/>
        </w:rPr>
        <w:t>2、采购项目名称：</w:t>
      </w:r>
      <w:r>
        <w:rPr>
          <w:rFonts w:hint="eastAsia" w:ascii="宋体" w:hAnsi="宋体" w:cs="宋体"/>
          <w:color w:val="auto"/>
          <w:kern w:val="0"/>
          <w:sz w:val="21"/>
          <w:szCs w:val="21"/>
          <w:highlight w:val="none"/>
          <w:u w:val="single"/>
          <w:lang w:val="en-US" w:eastAsia="zh-CN" w:bidi="ar-SA"/>
        </w:rPr>
        <w:t>邵阳县平安城市网络租赁费采购项目</w:t>
      </w:r>
    </w:p>
    <w:p w14:paraId="48A0CA4A">
      <w:pPr>
        <w:widowControl/>
        <w:spacing w:before="0" w:beforeAutospacing="0" w:after="158" w:afterAutospacing="0"/>
        <w:ind w:firstLine="420" w:firstLineChars="200"/>
        <w:jc w:val="left"/>
        <w:rPr>
          <w:rFonts w:hint="eastAsia" w:ascii="宋体" w:hAnsi="宋体" w:eastAsia="宋体" w:cs="宋体"/>
          <w:color w:val="auto"/>
          <w:kern w:val="0"/>
          <w:sz w:val="21"/>
          <w:szCs w:val="21"/>
          <w:highlight w:val="none"/>
          <w:u w:val="single"/>
          <w:lang w:val="en-US" w:eastAsia="zh-CN" w:bidi="ar-SA"/>
        </w:rPr>
      </w:pPr>
      <w:r>
        <w:rPr>
          <w:rFonts w:hint="eastAsia" w:ascii="宋体" w:hAnsi="宋体" w:eastAsia="宋体" w:cs="宋体"/>
          <w:color w:val="auto"/>
          <w:kern w:val="0"/>
          <w:sz w:val="21"/>
          <w:szCs w:val="21"/>
          <w:highlight w:val="none"/>
          <w:lang w:val="en-US" w:eastAsia="zh-CN" w:bidi="ar-SA"/>
        </w:rPr>
        <w:t>3、政府采购计划编号：</w:t>
      </w:r>
      <w:r>
        <w:rPr>
          <w:rFonts w:hint="eastAsia" w:ascii="宋体" w:hAnsi="宋体" w:cs="宋体"/>
          <w:color w:val="auto"/>
          <w:kern w:val="0"/>
          <w:sz w:val="21"/>
          <w:szCs w:val="21"/>
          <w:highlight w:val="none"/>
          <w:u w:val="single"/>
          <w:lang w:val="en-US" w:eastAsia="zh-CN" w:bidi="ar-SA"/>
        </w:rPr>
        <w:t>邵阳财采计[2026]000090</w:t>
      </w:r>
    </w:p>
    <w:p w14:paraId="5ABC2F85">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lang w:val="en-US" w:eastAsia="zh-CN" w:bidi="ar-SA"/>
        </w:rPr>
        <w:t>4、合同履行期限：</w:t>
      </w:r>
      <w:r>
        <w:rPr>
          <w:rFonts w:hint="eastAsia" w:asciiTheme="minorEastAsia" w:hAnsiTheme="minorEastAsia" w:eastAsiaTheme="minorEastAsia" w:cstheme="minorEastAsia"/>
          <w:bCs/>
          <w:color w:val="auto"/>
          <w:szCs w:val="21"/>
          <w:highlight w:val="none"/>
          <w:u w:val="none"/>
          <w:lang w:eastAsia="zh-CN"/>
        </w:rPr>
        <w:t>服务期限</w:t>
      </w:r>
      <w:r>
        <w:rPr>
          <w:rFonts w:hint="eastAsia" w:asciiTheme="minorEastAsia" w:hAnsiTheme="minorEastAsia" w:eastAsiaTheme="minorEastAsia" w:cstheme="minorEastAsia"/>
          <w:bCs/>
          <w:color w:val="auto"/>
          <w:szCs w:val="21"/>
          <w:highlight w:val="none"/>
          <w:u w:val="none"/>
          <w:lang w:val="en-US" w:eastAsia="zh-CN"/>
        </w:rPr>
        <w:t>1年</w:t>
      </w:r>
    </w:p>
    <w:p w14:paraId="29D7E79B">
      <w:pPr>
        <w:widowControl/>
        <w:spacing w:before="0" w:beforeAutospacing="0" w:after="158" w:afterAutospacing="0"/>
        <w:ind w:firstLine="420" w:firstLineChars="200"/>
        <w:jc w:val="left"/>
        <w:rPr>
          <w:rFonts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lang w:val="en-US" w:eastAsia="zh-CN" w:bidi="ar-SA"/>
        </w:rPr>
        <w:t>5、本项目不接受联合体投标</w:t>
      </w:r>
    </w:p>
    <w:p w14:paraId="575F8359">
      <w:pPr>
        <w:widowControl/>
        <w:spacing w:before="0" w:beforeAutospacing="0" w:after="158" w:afterAutospacing="0" w:line="260" w:lineRule="exact"/>
        <w:jc w:val="left"/>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二、采购需求</w:t>
      </w:r>
    </w:p>
    <w:tbl>
      <w:tblPr>
        <w:tblStyle w:val="44"/>
        <w:tblpPr w:leftFromText="180" w:rightFromText="180" w:vertAnchor="text" w:horzAnchor="page" w:tblpX="1686" w:tblpY="383"/>
        <w:tblOverlap w:val="never"/>
        <w:tblW w:w="8794" w:type="dxa"/>
        <w:tblInd w:w="0"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285"/>
        <w:gridCol w:w="1285"/>
        <w:gridCol w:w="924"/>
        <w:gridCol w:w="2301"/>
        <w:gridCol w:w="1193"/>
        <w:gridCol w:w="714"/>
        <w:gridCol w:w="1092"/>
      </w:tblGrid>
      <w:tr w14:paraId="6D25DAFA">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938" w:hRule="atLeast"/>
        </w:trPr>
        <w:tc>
          <w:tcPr>
            <w:tcW w:w="1285" w:type="dxa"/>
            <w:tcBorders>
              <w:left w:val="single" w:color="auto" w:sz="4" w:space="0"/>
            </w:tcBorders>
            <w:noWrap w:val="0"/>
            <w:vAlign w:val="center"/>
          </w:tcPr>
          <w:p w14:paraId="33EE519B">
            <w:pPr>
              <w:widowControl/>
              <w:adjustRightInd w:val="0"/>
              <w:snapToGrid w:val="0"/>
              <w:spacing w:before="120" w:beforeLines="50"/>
              <w:jc w:val="center"/>
              <w:rPr>
                <w:rFonts w:hint="default" w:ascii="宋体" w:hAnsi="宋体" w:eastAsia="宋体" w:cs="宋体"/>
                <w:b/>
                <w:bCs/>
                <w:kern w:val="0"/>
                <w:sz w:val="18"/>
                <w:szCs w:val="18"/>
                <w:lang w:val="en-US" w:eastAsia="zh-CN"/>
              </w:rPr>
            </w:pPr>
            <w:r>
              <w:rPr>
                <w:rFonts w:hint="eastAsia" w:ascii="宋体" w:hAnsi="宋体" w:eastAsia="宋体" w:cs="宋体"/>
                <w:b/>
                <w:bCs/>
                <w:kern w:val="0"/>
                <w:sz w:val="18"/>
                <w:szCs w:val="18"/>
                <w:lang w:val="en-US" w:eastAsia="zh-CN"/>
              </w:rPr>
              <w:t>分包编号</w:t>
            </w:r>
          </w:p>
        </w:tc>
        <w:tc>
          <w:tcPr>
            <w:tcW w:w="1285" w:type="dxa"/>
            <w:tcBorders>
              <w:left w:val="single" w:color="auto" w:sz="4" w:space="0"/>
            </w:tcBorders>
            <w:noWrap w:val="0"/>
            <w:vAlign w:val="center"/>
          </w:tcPr>
          <w:p w14:paraId="7D6E96F8">
            <w:pPr>
              <w:widowControl/>
              <w:adjustRightInd w:val="0"/>
              <w:snapToGrid w:val="0"/>
              <w:spacing w:before="120" w:beforeLines="50"/>
              <w:jc w:val="center"/>
              <w:rPr>
                <w:rFonts w:ascii="宋体" w:hAnsi="宋体" w:eastAsia="宋体" w:cs="宋体"/>
                <w:b/>
                <w:bCs/>
                <w:kern w:val="0"/>
                <w:sz w:val="18"/>
                <w:szCs w:val="18"/>
              </w:rPr>
            </w:pPr>
            <w:r>
              <w:rPr>
                <w:rFonts w:hint="eastAsia" w:ascii="宋体" w:hAnsi="宋体" w:eastAsia="宋体" w:cs="宋体"/>
                <w:b/>
                <w:bCs/>
                <w:kern w:val="0"/>
                <w:sz w:val="18"/>
                <w:szCs w:val="18"/>
              </w:rPr>
              <w:t>包名称</w:t>
            </w:r>
          </w:p>
        </w:tc>
        <w:tc>
          <w:tcPr>
            <w:tcW w:w="924" w:type="dxa"/>
            <w:tcBorders>
              <w:right w:val="single" w:color="auto" w:sz="4" w:space="0"/>
            </w:tcBorders>
            <w:noWrap w:val="0"/>
            <w:vAlign w:val="center"/>
          </w:tcPr>
          <w:p w14:paraId="2DEF5477">
            <w:pPr>
              <w:widowControl/>
              <w:adjustRightInd w:val="0"/>
              <w:snapToGrid w:val="0"/>
              <w:spacing w:before="120" w:beforeLines="5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最高限价（元人民币）</w:t>
            </w:r>
          </w:p>
        </w:tc>
        <w:tc>
          <w:tcPr>
            <w:tcW w:w="2301" w:type="dxa"/>
            <w:tcBorders>
              <w:left w:val="single" w:color="auto" w:sz="4" w:space="0"/>
              <w:right w:val="single" w:color="auto" w:sz="4" w:space="0"/>
            </w:tcBorders>
            <w:noWrap w:val="0"/>
            <w:vAlign w:val="center"/>
          </w:tcPr>
          <w:p w14:paraId="6D9B3A9E">
            <w:pPr>
              <w:widowControl/>
              <w:adjustRightInd w:val="0"/>
              <w:snapToGrid w:val="0"/>
              <w:spacing w:before="120" w:beforeLines="50"/>
              <w:jc w:val="center"/>
              <w:rPr>
                <w:rFonts w:hint="default" w:ascii="宋体" w:hAnsi="宋体" w:eastAsia="宋体" w:cs="宋体"/>
                <w:b/>
                <w:bCs/>
                <w:kern w:val="0"/>
                <w:sz w:val="18"/>
                <w:szCs w:val="18"/>
                <w:lang w:val="en-US" w:eastAsia="zh-CN"/>
              </w:rPr>
            </w:pPr>
            <w:r>
              <w:rPr>
                <w:rFonts w:hint="eastAsia" w:ascii="宋体" w:hAnsi="宋体" w:eastAsia="宋体" w:cs="宋体"/>
                <w:b/>
                <w:bCs/>
                <w:kern w:val="0"/>
                <w:sz w:val="18"/>
                <w:szCs w:val="18"/>
                <w:lang w:val="en-US" w:eastAsia="zh-CN"/>
              </w:rPr>
              <w:t>标的名称</w:t>
            </w:r>
          </w:p>
        </w:tc>
        <w:tc>
          <w:tcPr>
            <w:tcW w:w="1193" w:type="dxa"/>
            <w:tcBorders>
              <w:left w:val="single" w:color="auto" w:sz="4" w:space="0"/>
              <w:right w:val="single" w:color="auto" w:sz="4" w:space="0"/>
            </w:tcBorders>
            <w:noWrap w:val="0"/>
            <w:vAlign w:val="center"/>
          </w:tcPr>
          <w:p w14:paraId="344DBA17">
            <w:pPr>
              <w:widowControl/>
              <w:adjustRightInd w:val="0"/>
              <w:snapToGrid w:val="0"/>
              <w:spacing w:before="120" w:beforeLines="5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简要需求</w:t>
            </w:r>
          </w:p>
        </w:tc>
        <w:tc>
          <w:tcPr>
            <w:tcW w:w="714" w:type="dxa"/>
            <w:tcBorders>
              <w:left w:val="single" w:color="auto" w:sz="4" w:space="0"/>
            </w:tcBorders>
            <w:noWrap w:val="0"/>
            <w:vAlign w:val="center"/>
          </w:tcPr>
          <w:p w14:paraId="172FF960">
            <w:pPr>
              <w:widowControl/>
              <w:adjustRightInd w:val="0"/>
              <w:snapToGrid w:val="0"/>
              <w:spacing w:before="120" w:beforeLines="50"/>
              <w:jc w:val="center"/>
              <w:rPr>
                <w:rFonts w:hint="eastAsia" w:ascii="宋体" w:hAnsi="宋体" w:eastAsia="宋体" w:cs="宋体"/>
                <w:b/>
                <w:bCs/>
                <w:kern w:val="0"/>
                <w:sz w:val="18"/>
                <w:szCs w:val="18"/>
                <w:lang w:eastAsia="zh-CN"/>
              </w:rPr>
            </w:pPr>
            <w:r>
              <w:rPr>
                <w:rFonts w:hint="eastAsia" w:ascii="宋体" w:hAnsi="宋体" w:eastAsia="宋体" w:cs="宋体"/>
                <w:b/>
                <w:bCs/>
                <w:kern w:val="0"/>
                <w:sz w:val="18"/>
                <w:szCs w:val="18"/>
                <w:lang w:val="en-US" w:eastAsia="zh-CN"/>
              </w:rPr>
              <w:t>数量</w:t>
            </w:r>
          </w:p>
        </w:tc>
        <w:tc>
          <w:tcPr>
            <w:tcW w:w="1092" w:type="dxa"/>
            <w:tcBorders>
              <w:left w:val="single" w:color="auto" w:sz="4" w:space="0"/>
            </w:tcBorders>
            <w:noWrap w:val="0"/>
            <w:vAlign w:val="center"/>
          </w:tcPr>
          <w:p w14:paraId="1B2A8CFD">
            <w:pPr>
              <w:widowControl/>
              <w:adjustRightInd w:val="0"/>
              <w:snapToGrid w:val="0"/>
              <w:spacing w:before="120" w:beforeLines="50"/>
              <w:jc w:val="center"/>
              <w:rPr>
                <w:rFonts w:hint="default" w:ascii="宋体" w:hAnsi="宋体" w:eastAsia="宋体" w:cs="宋体"/>
                <w:b/>
                <w:bCs/>
                <w:kern w:val="0"/>
                <w:sz w:val="18"/>
                <w:szCs w:val="18"/>
                <w:lang w:val="en-US" w:eastAsia="zh-CN"/>
              </w:rPr>
            </w:pPr>
            <w:r>
              <w:rPr>
                <w:rFonts w:hint="eastAsia" w:ascii="宋体" w:hAnsi="宋体" w:eastAsia="宋体" w:cs="宋体"/>
                <w:b/>
                <w:bCs/>
                <w:kern w:val="0"/>
                <w:sz w:val="18"/>
                <w:szCs w:val="18"/>
                <w:lang w:val="en-US" w:eastAsia="zh-CN"/>
              </w:rPr>
              <w:t>预算金额</w:t>
            </w:r>
            <w:r>
              <w:rPr>
                <w:rFonts w:hint="eastAsia" w:ascii="宋体" w:hAnsi="宋体" w:eastAsia="宋体" w:cs="宋体"/>
                <w:b/>
                <w:bCs/>
                <w:kern w:val="0"/>
                <w:sz w:val="18"/>
                <w:szCs w:val="18"/>
              </w:rPr>
              <w:t>（元人民币）</w:t>
            </w:r>
          </w:p>
        </w:tc>
      </w:tr>
      <w:tr w14:paraId="5D88717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75" w:hRule="atLeast"/>
        </w:trPr>
        <w:tc>
          <w:tcPr>
            <w:tcW w:w="1285" w:type="dxa"/>
            <w:tcBorders>
              <w:left w:val="single" w:color="auto" w:sz="4" w:space="0"/>
            </w:tcBorders>
            <w:shd w:val="clear" w:color="auto" w:fill="auto"/>
            <w:noWrap w:val="0"/>
            <w:vAlign w:val="center"/>
          </w:tcPr>
          <w:p w14:paraId="4D03D9C7">
            <w:pPr>
              <w:pageBreakBefore w:val="0"/>
              <w:widowControl w:val="0"/>
              <w:kinsoku/>
              <w:overflowPunct/>
              <w:topLinePunct w:val="0"/>
              <w:bidi w:val="0"/>
              <w:adjustRightInd w:val="0"/>
              <w:snapToGrid w:val="0"/>
              <w:spacing w:line="400" w:lineRule="exact"/>
              <w:jc w:val="both"/>
              <w:rPr>
                <w:rFonts w:hint="eastAsia" w:ascii="宋体" w:hAnsi="宋体" w:eastAsia="宋体" w:cs="宋体"/>
                <w:color w:val="auto"/>
                <w:kern w:val="2"/>
                <w:sz w:val="18"/>
                <w:szCs w:val="18"/>
                <w:highlight w:val="none"/>
                <w:u w:val="none"/>
                <w:lang w:val="en-US" w:eastAsia="zh-CN" w:bidi="ar-SA"/>
              </w:rPr>
            </w:pPr>
            <w:r>
              <w:rPr>
                <w:rFonts w:hint="eastAsia" w:ascii="宋体" w:hAnsi="宋体" w:cs="宋体"/>
                <w:color w:val="auto"/>
                <w:kern w:val="0"/>
                <w:sz w:val="18"/>
                <w:szCs w:val="18"/>
                <w:highlight w:val="none"/>
                <w:u w:val="single"/>
                <w:lang w:val="en-US" w:eastAsia="zh-CN" w:bidi="ar-SA"/>
              </w:rPr>
              <w:t>HNSZZFCG-2026-0484</w:t>
            </w:r>
            <w:r>
              <w:rPr>
                <w:rFonts w:hint="eastAsia" w:ascii="宋体" w:hAnsi="宋体" w:eastAsia="宋体" w:cs="宋体"/>
                <w:color w:val="auto"/>
                <w:kern w:val="0"/>
                <w:sz w:val="18"/>
                <w:szCs w:val="18"/>
                <w:highlight w:val="none"/>
                <w:u w:val="single"/>
                <w:lang w:val="en-US" w:eastAsia="zh-CN" w:bidi="ar-SA"/>
              </w:rPr>
              <w:t>-01</w:t>
            </w:r>
          </w:p>
        </w:tc>
        <w:tc>
          <w:tcPr>
            <w:tcW w:w="1285" w:type="dxa"/>
            <w:tcBorders>
              <w:left w:val="single" w:color="auto" w:sz="4" w:space="0"/>
            </w:tcBorders>
            <w:noWrap w:val="0"/>
            <w:vAlign w:val="center"/>
          </w:tcPr>
          <w:p w14:paraId="3AC5A080">
            <w:pPr>
              <w:pStyle w:val="22"/>
              <w:pageBreakBefore w:val="0"/>
              <w:kinsoku/>
              <w:overflowPunct/>
              <w:topLinePunct w:val="0"/>
              <w:bidi w:val="0"/>
              <w:adjustRightInd w:val="0"/>
              <w:snapToGrid w:val="0"/>
              <w:spacing w:line="400" w:lineRule="exact"/>
              <w:jc w:val="center"/>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邵阳县平安城市网络租赁费采购项目包1</w:t>
            </w:r>
          </w:p>
        </w:tc>
        <w:tc>
          <w:tcPr>
            <w:tcW w:w="924" w:type="dxa"/>
            <w:tcBorders>
              <w:right w:val="single" w:color="auto" w:sz="4" w:space="0"/>
            </w:tcBorders>
            <w:noWrap w:val="0"/>
            <w:vAlign w:val="center"/>
          </w:tcPr>
          <w:p w14:paraId="0070D80E">
            <w:pPr>
              <w:pStyle w:val="22"/>
              <w:pageBreakBefore w:val="0"/>
              <w:kinsoku/>
              <w:overflowPunct/>
              <w:topLinePunct w:val="0"/>
              <w:bidi w:val="0"/>
              <w:adjustRightInd w:val="0"/>
              <w:snapToGrid w:val="0"/>
              <w:spacing w:line="400" w:lineRule="exact"/>
              <w:jc w:val="center"/>
              <w:rPr>
                <w:rFonts w:ascii="宋体" w:hAnsi="宋体" w:eastAsia="宋体" w:cs="Courier New"/>
                <w:kern w:val="0"/>
                <w:sz w:val="21"/>
                <w:szCs w:val="21"/>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rPr>
              <w:t>1089900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c>
          <w:tcPr>
            <w:tcW w:w="2301" w:type="dxa"/>
            <w:tcBorders>
              <w:left w:val="single" w:color="auto" w:sz="4" w:space="0"/>
              <w:right w:val="single" w:color="auto" w:sz="4" w:space="0"/>
            </w:tcBorders>
            <w:noWrap w:val="0"/>
            <w:vAlign w:val="center"/>
          </w:tcPr>
          <w:p w14:paraId="0EF37714">
            <w:pPr>
              <w:pageBreakBefore w:val="0"/>
              <w:widowControl w:val="0"/>
              <w:kinsoku/>
              <w:overflowPunct/>
              <w:topLinePunct w:val="0"/>
              <w:bidi w:val="0"/>
              <w:adjustRightInd w:val="0"/>
              <w:snapToGrid w:val="0"/>
              <w:spacing w:line="400" w:lineRule="exact"/>
              <w:jc w:val="center"/>
              <w:rPr>
                <w:rFonts w:hint="default" w:ascii="宋体" w:hAnsi="宋体" w:eastAsia="宋体" w:cs="Courier New"/>
                <w:kern w:val="0"/>
                <w:sz w:val="21"/>
                <w:szCs w:val="21"/>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w:t>
            </w:r>
          </w:p>
        </w:tc>
        <w:tc>
          <w:tcPr>
            <w:tcW w:w="1193" w:type="dxa"/>
            <w:tcBorders>
              <w:left w:val="single" w:color="auto" w:sz="4" w:space="0"/>
              <w:right w:val="single" w:color="auto" w:sz="4" w:space="0"/>
            </w:tcBorders>
            <w:noWrap w:val="0"/>
            <w:vAlign w:val="center"/>
          </w:tcPr>
          <w:p w14:paraId="620551F6">
            <w:pPr>
              <w:widowControl w:val="0"/>
              <w:adjustRightInd w:val="0"/>
              <w:snapToGrid w:val="0"/>
              <w:spacing w:before="50"/>
              <w:jc w:val="both"/>
              <w:rPr>
                <w:rFonts w:hint="default" w:ascii="宋体" w:hAnsi="宋体" w:eastAsia="宋体" w:cs="Courier New"/>
                <w:color w:val="000000"/>
                <w:kern w:val="0"/>
                <w:sz w:val="21"/>
                <w:szCs w:val="21"/>
                <w:lang w:val="en-US" w:eastAsia="zh-CN" w:bidi="ar-SA"/>
              </w:rPr>
            </w:pPr>
            <w:r>
              <w:rPr>
                <w:rFonts w:hint="eastAsia" w:ascii="宋体" w:hAnsi="宋体" w:eastAsia="宋体" w:cs="Times New Roman"/>
                <w:kern w:val="0"/>
                <w:sz w:val="21"/>
                <w:szCs w:val="21"/>
                <w:lang w:val="en-US" w:eastAsia="zh-CN" w:bidi="ar-SA"/>
              </w:rPr>
              <w:t>详见采购需求</w:t>
            </w:r>
          </w:p>
        </w:tc>
        <w:tc>
          <w:tcPr>
            <w:tcW w:w="714" w:type="dxa"/>
            <w:tcBorders>
              <w:left w:val="single" w:color="auto" w:sz="4" w:space="0"/>
            </w:tcBorders>
            <w:noWrap w:val="0"/>
            <w:vAlign w:val="center"/>
          </w:tcPr>
          <w:p w14:paraId="60CA1A48">
            <w:pPr>
              <w:pStyle w:val="22"/>
              <w:pageBreakBefore w:val="0"/>
              <w:kinsoku/>
              <w:overflowPunct/>
              <w:topLinePunct w:val="0"/>
              <w:bidi w:val="0"/>
              <w:adjustRightInd w:val="0"/>
              <w:snapToGrid w:val="0"/>
              <w:spacing w:line="400" w:lineRule="exact"/>
              <w:jc w:val="center"/>
              <w:rPr>
                <w:rFonts w:hint="default"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0"/>
                <w:sz w:val="18"/>
                <w:szCs w:val="18"/>
                <w:highlight w:val="none"/>
                <w:u w:val="none"/>
                <w:lang w:eastAsia="zh-CN"/>
              </w:rPr>
              <w:t>1211</w:t>
            </w:r>
            <w:r>
              <w:rPr>
                <w:rFonts w:hint="eastAsia" w:asciiTheme="minorEastAsia" w:hAnsiTheme="minorEastAsia" w:eastAsiaTheme="minorEastAsia" w:cstheme="minorEastAsia"/>
                <w:color w:val="auto"/>
                <w:szCs w:val="21"/>
                <w:lang w:val="en-US" w:eastAsia="zh-CN"/>
              </w:rPr>
              <w:t>个点位</w:t>
            </w:r>
          </w:p>
        </w:tc>
        <w:tc>
          <w:tcPr>
            <w:tcW w:w="1092" w:type="dxa"/>
            <w:tcBorders>
              <w:left w:val="single" w:color="auto" w:sz="4" w:space="0"/>
            </w:tcBorders>
            <w:noWrap w:val="0"/>
            <w:vAlign w:val="center"/>
          </w:tcPr>
          <w:p w14:paraId="46C99F0A">
            <w:pPr>
              <w:pStyle w:val="22"/>
              <w:pageBreakBefore w:val="0"/>
              <w:kinsoku/>
              <w:overflowPunct/>
              <w:topLinePunct w:val="0"/>
              <w:bidi w:val="0"/>
              <w:adjustRightInd w:val="0"/>
              <w:snapToGrid w:val="0"/>
              <w:spacing w:line="400" w:lineRule="exact"/>
              <w:jc w:val="center"/>
              <w:rPr>
                <w:rFonts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rPr>
              <w:t>1089900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r>
      <w:tr w14:paraId="1BB75755">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75" w:hRule="atLeast"/>
        </w:trPr>
        <w:tc>
          <w:tcPr>
            <w:tcW w:w="1285" w:type="dxa"/>
            <w:tcBorders>
              <w:left w:val="single" w:color="auto" w:sz="4" w:space="0"/>
            </w:tcBorders>
            <w:shd w:val="clear" w:color="auto" w:fill="auto"/>
            <w:noWrap w:val="0"/>
            <w:vAlign w:val="center"/>
          </w:tcPr>
          <w:p w14:paraId="6A33DEF1">
            <w:pPr>
              <w:pageBreakBefore w:val="0"/>
              <w:widowControl w:val="0"/>
              <w:kinsoku/>
              <w:overflowPunct/>
              <w:topLinePunct w:val="0"/>
              <w:bidi w:val="0"/>
              <w:adjustRightInd w:val="0"/>
              <w:snapToGrid w:val="0"/>
              <w:spacing w:line="400" w:lineRule="exact"/>
              <w:jc w:val="center"/>
              <w:rPr>
                <w:rFonts w:hint="eastAsia" w:ascii="宋体" w:hAnsi="宋体" w:eastAsia="宋体" w:cs="宋体"/>
                <w:color w:val="FF0000"/>
                <w:kern w:val="0"/>
                <w:sz w:val="18"/>
                <w:szCs w:val="18"/>
                <w:highlight w:val="none"/>
                <w:u w:val="single"/>
                <w:lang w:val="en-US" w:eastAsia="zh-CN" w:bidi="ar-SA"/>
              </w:rPr>
            </w:pPr>
          </w:p>
          <w:p w14:paraId="4A0660F1">
            <w:pPr>
              <w:pageBreakBefore w:val="0"/>
              <w:widowControl w:val="0"/>
              <w:kinsoku/>
              <w:overflowPunct/>
              <w:topLinePunct w:val="0"/>
              <w:bidi w:val="0"/>
              <w:adjustRightInd w:val="0"/>
              <w:snapToGrid w:val="0"/>
              <w:spacing w:line="400" w:lineRule="exact"/>
              <w:jc w:val="center"/>
              <w:rPr>
                <w:rFonts w:hint="eastAsia" w:ascii="宋体" w:hAnsi="宋体" w:eastAsia="宋体" w:cs="宋体"/>
                <w:color w:val="auto"/>
                <w:kern w:val="2"/>
                <w:sz w:val="18"/>
                <w:szCs w:val="18"/>
                <w:highlight w:val="none"/>
                <w:u w:val="none"/>
                <w:lang w:val="en-US" w:eastAsia="zh-CN" w:bidi="ar-SA"/>
              </w:rPr>
            </w:pPr>
            <w:r>
              <w:rPr>
                <w:rFonts w:hint="eastAsia" w:ascii="宋体" w:hAnsi="宋体" w:cs="宋体"/>
                <w:color w:val="auto"/>
                <w:kern w:val="0"/>
                <w:sz w:val="18"/>
                <w:szCs w:val="18"/>
                <w:highlight w:val="none"/>
                <w:u w:val="single"/>
                <w:lang w:val="en-US" w:eastAsia="zh-CN" w:bidi="ar-SA"/>
              </w:rPr>
              <w:t>HNSZZFCG-2026-0484</w:t>
            </w:r>
            <w:r>
              <w:rPr>
                <w:rFonts w:hint="eastAsia" w:ascii="宋体" w:hAnsi="宋体" w:eastAsia="宋体" w:cs="宋体"/>
                <w:color w:val="auto"/>
                <w:kern w:val="0"/>
                <w:sz w:val="18"/>
                <w:szCs w:val="18"/>
                <w:highlight w:val="none"/>
                <w:u w:val="single"/>
                <w:lang w:val="en-US" w:eastAsia="zh-CN" w:bidi="ar-SA"/>
              </w:rPr>
              <w:t>-02</w:t>
            </w:r>
          </w:p>
        </w:tc>
        <w:tc>
          <w:tcPr>
            <w:tcW w:w="1285" w:type="dxa"/>
            <w:tcBorders>
              <w:left w:val="single" w:color="auto" w:sz="4" w:space="0"/>
            </w:tcBorders>
            <w:noWrap w:val="0"/>
            <w:vAlign w:val="center"/>
          </w:tcPr>
          <w:p w14:paraId="41222060">
            <w:pPr>
              <w:pStyle w:val="22"/>
              <w:pageBreakBefore w:val="0"/>
              <w:kinsoku/>
              <w:overflowPunct/>
              <w:topLinePunct w:val="0"/>
              <w:bidi w:val="0"/>
              <w:adjustRightInd w:val="0"/>
              <w:snapToGrid w:val="0"/>
              <w:spacing w:line="400" w:lineRule="exact"/>
              <w:jc w:val="center"/>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邵阳县平安城市网络租赁费采购项目包2</w:t>
            </w:r>
          </w:p>
        </w:tc>
        <w:tc>
          <w:tcPr>
            <w:tcW w:w="924" w:type="dxa"/>
            <w:tcBorders>
              <w:right w:val="single" w:color="auto" w:sz="4" w:space="0"/>
            </w:tcBorders>
            <w:noWrap w:val="0"/>
            <w:vAlign w:val="center"/>
          </w:tcPr>
          <w:p w14:paraId="0025799A">
            <w:pPr>
              <w:pStyle w:val="22"/>
              <w:pageBreakBefore w:val="0"/>
              <w:kinsoku/>
              <w:overflowPunct/>
              <w:topLinePunct w:val="0"/>
              <w:bidi w:val="0"/>
              <w:adjustRightInd w:val="0"/>
              <w:snapToGrid w:val="0"/>
              <w:spacing w:line="400" w:lineRule="exact"/>
              <w:jc w:val="center"/>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rPr>
              <w:t>533700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c>
          <w:tcPr>
            <w:tcW w:w="2301" w:type="dxa"/>
            <w:tcBorders>
              <w:left w:val="single" w:color="auto" w:sz="4" w:space="0"/>
              <w:right w:val="single" w:color="auto" w:sz="4" w:space="0"/>
            </w:tcBorders>
            <w:noWrap w:val="0"/>
            <w:vAlign w:val="center"/>
          </w:tcPr>
          <w:p w14:paraId="707D87D6">
            <w:pPr>
              <w:pageBreakBefore w:val="0"/>
              <w:widowControl w:val="0"/>
              <w:kinsoku/>
              <w:overflowPunct/>
              <w:topLinePunct w:val="0"/>
              <w:bidi w:val="0"/>
              <w:adjustRightInd w:val="0"/>
              <w:snapToGrid w:val="0"/>
              <w:spacing w:line="400" w:lineRule="exact"/>
              <w:jc w:val="center"/>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w:t>
            </w:r>
          </w:p>
        </w:tc>
        <w:tc>
          <w:tcPr>
            <w:tcW w:w="1193" w:type="dxa"/>
            <w:tcBorders>
              <w:left w:val="single" w:color="auto" w:sz="4" w:space="0"/>
              <w:right w:val="single" w:color="auto" w:sz="4" w:space="0"/>
            </w:tcBorders>
            <w:noWrap w:val="0"/>
            <w:vAlign w:val="center"/>
          </w:tcPr>
          <w:p w14:paraId="4A1EA086">
            <w:pPr>
              <w:widowControl w:val="0"/>
              <w:adjustRightInd w:val="0"/>
              <w:snapToGrid w:val="0"/>
              <w:spacing w:before="50"/>
              <w:jc w:val="both"/>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详见采购需求</w:t>
            </w:r>
          </w:p>
        </w:tc>
        <w:tc>
          <w:tcPr>
            <w:tcW w:w="714" w:type="dxa"/>
            <w:tcBorders>
              <w:left w:val="single" w:color="auto" w:sz="4" w:space="0"/>
            </w:tcBorders>
            <w:noWrap w:val="0"/>
            <w:vAlign w:val="center"/>
          </w:tcPr>
          <w:p w14:paraId="76008AE0">
            <w:pPr>
              <w:pStyle w:val="22"/>
              <w:pageBreakBefore w:val="0"/>
              <w:kinsoku/>
              <w:overflowPunct/>
              <w:topLinePunct w:val="0"/>
              <w:bidi w:val="0"/>
              <w:adjustRightInd w:val="0"/>
              <w:snapToGrid w:val="0"/>
              <w:spacing w:line="400" w:lineRule="exact"/>
              <w:jc w:val="center"/>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bidi="ar-SA"/>
              </w:rPr>
              <w:t>593</w:t>
            </w:r>
            <w:r>
              <w:rPr>
                <w:rFonts w:hint="eastAsia" w:asciiTheme="minorEastAsia" w:hAnsiTheme="minorEastAsia" w:eastAsiaTheme="minorEastAsia" w:cstheme="minorEastAsia"/>
                <w:color w:val="auto"/>
                <w:szCs w:val="21"/>
                <w:lang w:val="en-US" w:eastAsia="zh-CN"/>
              </w:rPr>
              <w:t>个点位</w:t>
            </w:r>
          </w:p>
        </w:tc>
        <w:tc>
          <w:tcPr>
            <w:tcW w:w="1092" w:type="dxa"/>
            <w:tcBorders>
              <w:left w:val="single" w:color="auto" w:sz="4" w:space="0"/>
            </w:tcBorders>
            <w:noWrap w:val="0"/>
            <w:vAlign w:val="center"/>
          </w:tcPr>
          <w:p w14:paraId="3A0442A2">
            <w:pPr>
              <w:pStyle w:val="22"/>
              <w:pageBreakBefore w:val="0"/>
              <w:kinsoku/>
              <w:overflowPunct/>
              <w:topLinePunct w:val="0"/>
              <w:bidi w:val="0"/>
              <w:adjustRightInd w:val="0"/>
              <w:snapToGrid w:val="0"/>
              <w:spacing w:line="400" w:lineRule="exact"/>
              <w:jc w:val="center"/>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rPr>
              <w:t>533700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r>
      <w:tr w14:paraId="189F97F7">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75" w:hRule="atLeast"/>
        </w:trPr>
        <w:tc>
          <w:tcPr>
            <w:tcW w:w="1285" w:type="dxa"/>
            <w:tcBorders>
              <w:left w:val="single" w:color="auto" w:sz="4" w:space="0"/>
            </w:tcBorders>
            <w:shd w:val="clear" w:color="auto" w:fill="auto"/>
            <w:noWrap w:val="0"/>
            <w:vAlign w:val="center"/>
          </w:tcPr>
          <w:p w14:paraId="63FBDB37">
            <w:pPr>
              <w:pageBreakBefore w:val="0"/>
              <w:widowControl w:val="0"/>
              <w:kinsoku/>
              <w:overflowPunct/>
              <w:topLinePunct w:val="0"/>
              <w:bidi w:val="0"/>
              <w:adjustRightInd w:val="0"/>
              <w:snapToGrid w:val="0"/>
              <w:spacing w:line="400" w:lineRule="exact"/>
              <w:jc w:val="center"/>
              <w:rPr>
                <w:rFonts w:hint="eastAsia" w:ascii="宋体" w:hAnsi="宋体" w:cs="宋体"/>
                <w:color w:val="auto"/>
                <w:kern w:val="0"/>
                <w:sz w:val="18"/>
                <w:szCs w:val="18"/>
                <w:highlight w:val="none"/>
                <w:u w:val="single"/>
                <w:lang w:val="en-US" w:eastAsia="zh-CN" w:bidi="ar-SA"/>
              </w:rPr>
            </w:pPr>
            <w:r>
              <w:rPr>
                <w:rFonts w:hint="eastAsia" w:ascii="宋体" w:hAnsi="宋体" w:cs="宋体"/>
                <w:color w:val="auto"/>
                <w:kern w:val="0"/>
                <w:sz w:val="18"/>
                <w:szCs w:val="18"/>
                <w:highlight w:val="none"/>
                <w:u w:val="single"/>
                <w:lang w:val="en-US" w:eastAsia="zh-CN" w:bidi="ar-SA"/>
              </w:rPr>
              <w:t>HNSZZFCG-2026-0484</w:t>
            </w:r>
            <w:r>
              <w:rPr>
                <w:rFonts w:hint="eastAsia" w:ascii="宋体" w:hAnsi="宋体" w:eastAsia="宋体" w:cs="宋体"/>
                <w:color w:val="auto"/>
                <w:kern w:val="0"/>
                <w:sz w:val="18"/>
                <w:szCs w:val="18"/>
                <w:highlight w:val="none"/>
                <w:u w:val="single"/>
                <w:lang w:val="en-US" w:eastAsia="zh-CN" w:bidi="ar-SA"/>
              </w:rPr>
              <w:t>-01</w:t>
            </w:r>
          </w:p>
        </w:tc>
        <w:tc>
          <w:tcPr>
            <w:tcW w:w="1285" w:type="dxa"/>
            <w:tcBorders>
              <w:left w:val="single" w:color="auto" w:sz="4" w:space="0"/>
            </w:tcBorders>
            <w:noWrap w:val="0"/>
            <w:vAlign w:val="center"/>
          </w:tcPr>
          <w:p w14:paraId="40922E31">
            <w:pPr>
              <w:pStyle w:val="22"/>
              <w:pageBreakBefore w:val="0"/>
              <w:kinsoku/>
              <w:overflowPunct/>
              <w:topLinePunct w:val="0"/>
              <w:bidi w:val="0"/>
              <w:adjustRightInd w:val="0"/>
              <w:snapToGrid w:val="0"/>
              <w:spacing w:line="400" w:lineRule="exact"/>
              <w:jc w:val="center"/>
              <w:rPr>
                <w:rFonts w:hint="eastAsia" w:ascii="宋体" w:hAnsi="宋体" w:cs="宋体"/>
                <w:color w:val="auto"/>
                <w:kern w:val="2"/>
                <w:sz w:val="18"/>
                <w:szCs w:val="18"/>
                <w:highlight w:val="none"/>
                <w:u w:val="none"/>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邵阳县平安城市网络租赁费采购项目包3</w:t>
            </w:r>
          </w:p>
        </w:tc>
        <w:tc>
          <w:tcPr>
            <w:tcW w:w="924" w:type="dxa"/>
            <w:tcBorders>
              <w:right w:val="single" w:color="auto" w:sz="4" w:space="0"/>
            </w:tcBorders>
            <w:noWrap w:val="0"/>
            <w:vAlign w:val="center"/>
          </w:tcPr>
          <w:p w14:paraId="0898590F">
            <w:pPr>
              <w:pStyle w:val="22"/>
              <w:pageBreakBefore w:val="0"/>
              <w:kinsoku/>
              <w:overflowPunct/>
              <w:topLinePunct w:val="0"/>
              <w:bidi w:val="0"/>
              <w:adjustRightInd w:val="0"/>
              <w:snapToGrid w:val="0"/>
              <w:spacing w:line="400" w:lineRule="exact"/>
              <w:jc w:val="center"/>
              <w:rPr>
                <w:rFonts w:hint="eastAsia" w:ascii="宋体" w:hAnsi="宋体" w:eastAsia="宋体" w:cs="宋体"/>
                <w:color w:val="0000FF"/>
                <w:kern w:val="0"/>
                <w:sz w:val="18"/>
                <w:szCs w:val="18"/>
                <w:highlight w:val="none"/>
                <w:u w:val="none"/>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rPr>
              <w:t>499500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c>
          <w:tcPr>
            <w:tcW w:w="2301" w:type="dxa"/>
            <w:tcBorders>
              <w:left w:val="single" w:color="auto" w:sz="4" w:space="0"/>
              <w:right w:val="single" w:color="auto" w:sz="4" w:space="0"/>
            </w:tcBorders>
            <w:noWrap w:val="0"/>
            <w:vAlign w:val="center"/>
          </w:tcPr>
          <w:p w14:paraId="07D97A36">
            <w:pPr>
              <w:pageBreakBefore w:val="0"/>
              <w:widowControl w:val="0"/>
              <w:kinsoku/>
              <w:overflowPunct/>
              <w:topLinePunct w:val="0"/>
              <w:bidi w:val="0"/>
              <w:adjustRightInd w:val="0"/>
              <w:snapToGrid w:val="0"/>
              <w:spacing w:line="400" w:lineRule="exact"/>
              <w:jc w:val="center"/>
              <w:rPr>
                <w:rFonts w:hint="eastAsia" w:ascii="宋体" w:hAnsi="宋体" w:cs="宋体"/>
                <w:color w:val="auto"/>
                <w:kern w:val="2"/>
                <w:sz w:val="18"/>
                <w:szCs w:val="18"/>
                <w:highlight w:val="none"/>
                <w:u w:val="none"/>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w:t>
            </w:r>
          </w:p>
        </w:tc>
        <w:tc>
          <w:tcPr>
            <w:tcW w:w="1193" w:type="dxa"/>
            <w:tcBorders>
              <w:left w:val="single" w:color="auto" w:sz="4" w:space="0"/>
              <w:right w:val="single" w:color="auto" w:sz="4" w:space="0"/>
            </w:tcBorders>
            <w:noWrap w:val="0"/>
            <w:vAlign w:val="center"/>
          </w:tcPr>
          <w:p w14:paraId="19893D09">
            <w:pPr>
              <w:widowControl w:val="0"/>
              <w:adjustRightInd w:val="0"/>
              <w:snapToGrid w:val="0"/>
              <w:spacing w:before="50"/>
              <w:jc w:val="both"/>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详见采购需求</w:t>
            </w:r>
          </w:p>
        </w:tc>
        <w:tc>
          <w:tcPr>
            <w:tcW w:w="714" w:type="dxa"/>
            <w:tcBorders>
              <w:left w:val="single" w:color="auto" w:sz="4" w:space="0"/>
            </w:tcBorders>
            <w:noWrap w:val="0"/>
            <w:vAlign w:val="center"/>
          </w:tcPr>
          <w:p w14:paraId="6C1701D4">
            <w:pPr>
              <w:pStyle w:val="22"/>
              <w:pageBreakBefore w:val="0"/>
              <w:kinsoku/>
              <w:overflowPunct/>
              <w:topLinePunct w:val="0"/>
              <w:bidi w:val="0"/>
              <w:adjustRightInd w:val="0"/>
              <w:snapToGrid w:val="0"/>
              <w:spacing w:line="400" w:lineRule="exact"/>
              <w:jc w:val="center"/>
              <w:rPr>
                <w:rFonts w:hint="eastAsia" w:ascii="宋体" w:hAnsi="宋体" w:eastAsia="宋体" w:cs="宋体"/>
                <w:kern w:val="2"/>
                <w:sz w:val="21"/>
                <w:szCs w:val="21"/>
                <w:lang w:val="en-US" w:eastAsia="zh-CN" w:bidi="ar-SA"/>
              </w:rPr>
            </w:pPr>
            <w:r>
              <w:rPr>
                <w:rFonts w:hint="eastAsia" w:asciiTheme="minorEastAsia" w:hAnsiTheme="minorEastAsia" w:eastAsiaTheme="minorEastAsia" w:cstheme="minorEastAsia"/>
                <w:color w:val="auto"/>
                <w:kern w:val="0"/>
                <w:sz w:val="18"/>
                <w:szCs w:val="18"/>
                <w:highlight w:val="none"/>
                <w:u w:val="none"/>
              </w:rPr>
              <w:t>555</w:t>
            </w:r>
            <w:r>
              <w:rPr>
                <w:rFonts w:hint="eastAsia" w:asciiTheme="minorEastAsia" w:hAnsiTheme="minorEastAsia" w:eastAsiaTheme="minorEastAsia" w:cstheme="minorEastAsia"/>
                <w:color w:val="auto"/>
                <w:szCs w:val="21"/>
                <w:lang w:val="en-US" w:eastAsia="zh-CN"/>
              </w:rPr>
              <w:t>个点位</w:t>
            </w:r>
          </w:p>
        </w:tc>
        <w:tc>
          <w:tcPr>
            <w:tcW w:w="1092" w:type="dxa"/>
            <w:tcBorders>
              <w:left w:val="single" w:color="auto" w:sz="4" w:space="0"/>
            </w:tcBorders>
            <w:noWrap w:val="0"/>
            <w:vAlign w:val="center"/>
          </w:tcPr>
          <w:p w14:paraId="26D66C32">
            <w:pPr>
              <w:pStyle w:val="22"/>
              <w:pageBreakBefore w:val="0"/>
              <w:kinsoku/>
              <w:overflowPunct/>
              <w:topLinePunct w:val="0"/>
              <w:bidi w:val="0"/>
              <w:adjustRightInd w:val="0"/>
              <w:snapToGrid w:val="0"/>
              <w:spacing w:line="400" w:lineRule="exact"/>
              <w:jc w:val="center"/>
              <w:rPr>
                <w:rFonts w:hint="eastAsia" w:ascii="宋体" w:hAnsi="宋体" w:eastAsia="宋体" w:cs="宋体"/>
                <w:color w:val="0000FF"/>
                <w:kern w:val="0"/>
                <w:sz w:val="18"/>
                <w:szCs w:val="18"/>
                <w:highlight w:val="none"/>
                <w:u w:val="none"/>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rPr>
              <w:t>499500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r>
    </w:tbl>
    <w:p w14:paraId="3ADE6B89">
      <w:pPr>
        <w:widowControl/>
        <w:spacing w:before="0" w:beforeAutospacing="0" w:after="158" w:afterAutospacing="0"/>
        <w:ind w:firstLine="8610" w:firstLineChars="41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 xml:space="preserve"> </w:t>
      </w:r>
    </w:p>
    <w:p w14:paraId="2B21BCF1">
      <w:pPr>
        <w:widowControl/>
        <w:spacing w:before="0" w:beforeAutospacing="0" w:after="158" w:afterAutospacing="0"/>
        <w:ind w:firstLine="8610" w:firstLineChars="4100"/>
        <w:jc w:val="left"/>
        <w:rPr>
          <w:rFonts w:hint="eastAsia" w:ascii="宋体" w:hAnsi="宋体" w:eastAsia="宋体" w:cs="宋体"/>
          <w:kern w:val="0"/>
          <w:sz w:val="21"/>
          <w:szCs w:val="21"/>
          <w:highlight w:val="none"/>
          <w:shd w:val="clear" w:color="auto" w:fill="FFFFFF"/>
          <w:lang w:val="en-US" w:eastAsia="zh-CN" w:bidi="ar-SA"/>
        </w:rPr>
      </w:pPr>
    </w:p>
    <w:p w14:paraId="6C2FCA0E">
      <w:pPr>
        <w:widowControl/>
        <w:numPr>
          <w:ilvl w:val="0"/>
          <w:numId w:val="4"/>
        </w:numPr>
        <w:spacing w:before="0" w:beforeAutospacing="0" w:after="158" w:afterAutospacing="0" w:line="260" w:lineRule="exact"/>
        <w:jc w:val="left"/>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投标人的资格要求</w:t>
      </w:r>
    </w:p>
    <w:p w14:paraId="5968133A">
      <w:pPr>
        <w:widowControl/>
        <w:numPr>
          <w:ilvl w:val="0"/>
          <w:numId w:val="0"/>
        </w:numPr>
        <w:spacing w:before="0" w:beforeAutospacing="0" w:after="158" w:afterAutospacing="0" w:line="260" w:lineRule="exact"/>
        <w:jc w:val="left"/>
        <w:rPr>
          <w:rFonts w:hint="default" w:ascii="Times New Roman" w:hAnsi="Times New Roman" w:eastAsia="宋体" w:cs="Times New Roman"/>
          <w:b w:val="0"/>
          <w:bCs w:val="0"/>
          <w:kern w:val="0"/>
          <w:sz w:val="21"/>
          <w:szCs w:val="21"/>
          <w:highlight w:val="none"/>
          <w:lang w:val="en-US" w:eastAsia="zh-CN" w:bidi="ar-SA"/>
        </w:rPr>
      </w:pPr>
      <w:r>
        <w:rPr>
          <w:rFonts w:hint="default" w:ascii="Times New Roman" w:hAnsi="Times New Roman" w:eastAsia="宋体" w:cs="Times New Roman"/>
          <w:b w:val="0"/>
          <w:bCs w:val="0"/>
          <w:kern w:val="2"/>
          <w:sz w:val="21"/>
          <w:szCs w:val="21"/>
          <w:highlight w:val="none"/>
          <w:lang w:val="en-US" w:eastAsia="zh-CN" w:bidi="ar-SA"/>
        </w:rPr>
        <w:t>1、</w:t>
      </w:r>
      <w:r>
        <w:rPr>
          <w:rFonts w:hint="eastAsia" w:ascii="Times New Roman" w:hAnsi="Times New Roman" w:eastAsia="宋体" w:cs="Times New Roman"/>
          <w:b w:val="0"/>
          <w:bCs w:val="0"/>
          <w:kern w:val="2"/>
          <w:sz w:val="21"/>
          <w:szCs w:val="21"/>
          <w:highlight w:val="none"/>
          <w:lang w:val="en-US" w:eastAsia="zh-CN" w:bidi="ar-SA"/>
        </w:rPr>
        <w:t>投标人</w:t>
      </w:r>
      <w:r>
        <w:rPr>
          <w:rFonts w:hint="default" w:ascii="Times New Roman" w:hAnsi="Times New Roman" w:eastAsia="宋体" w:cs="Times New Roman"/>
          <w:b w:val="0"/>
          <w:bCs w:val="0"/>
          <w:kern w:val="2"/>
          <w:sz w:val="21"/>
          <w:szCs w:val="21"/>
          <w:highlight w:val="none"/>
          <w:lang w:val="en-US" w:eastAsia="zh-CN" w:bidi="ar-SA"/>
        </w:rPr>
        <w:t>的基本资格条件：</w:t>
      </w:r>
    </w:p>
    <w:p w14:paraId="27CDD8A3">
      <w:pPr>
        <w:widowControl/>
        <w:numPr>
          <w:ilvl w:val="0"/>
          <w:numId w:val="0"/>
        </w:numPr>
        <w:spacing w:before="0" w:beforeAutospacing="0" w:after="158" w:afterAutospacing="0"/>
        <w:ind w:firstLine="420" w:firstLineChars="200"/>
        <w:jc w:val="left"/>
        <w:rPr>
          <w:rFonts w:hint="eastAsia" w:ascii="宋体" w:hAnsi="宋体" w:eastAsia="宋体" w:cs="宋体"/>
          <w:kern w:val="0"/>
          <w:sz w:val="21"/>
          <w:szCs w:val="21"/>
          <w:shd w:val="clear" w:fill="FFFFFF"/>
          <w:lang w:val="en-US" w:eastAsia="zh-CN" w:bidi="ar-SA"/>
        </w:rPr>
      </w:pPr>
      <w:r>
        <w:rPr>
          <w:rFonts w:hint="eastAsia" w:ascii="宋体" w:hAnsi="宋体" w:eastAsia="宋体" w:cs="宋体"/>
          <w:kern w:val="0"/>
          <w:sz w:val="21"/>
          <w:szCs w:val="21"/>
          <w:shd w:val="clear" w:fill="FFFFFF"/>
          <w:lang w:val="en-US" w:eastAsia="zh-CN" w:bidi="ar-SA"/>
        </w:rPr>
        <w:t>（1）投标人必须是在中华人民共和国境内注册登记的法人、其他组织或者自然人，且应当符合《政府采购法》第二十二条第一款的规定。</w:t>
      </w:r>
    </w:p>
    <w:p w14:paraId="06396A26">
      <w:pPr>
        <w:widowControl/>
        <w:numPr>
          <w:ilvl w:val="0"/>
          <w:numId w:val="0"/>
        </w:numPr>
        <w:spacing w:before="0" w:beforeAutospacing="0" w:after="158" w:afterAutospacing="0"/>
        <w:ind w:firstLine="420" w:firstLineChars="200"/>
        <w:jc w:val="left"/>
        <w:rPr>
          <w:rFonts w:hint="eastAsia" w:ascii="宋体" w:hAnsi="宋体" w:eastAsia="宋体" w:cs="宋体"/>
          <w:kern w:val="0"/>
          <w:sz w:val="21"/>
          <w:szCs w:val="21"/>
          <w:shd w:val="clear" w:fill="FFFFFF"/>
          <w:lang w:val="en-US" w:eastAsia="zh-CN" w:bidi="ar-SA"/>
        </w:rPr>
      </w:pPr>
      <w:r>
        <w:rPr>
          <w:rFonts w:hint="eastAsia" w:ascii="宋体" w:hAnsi="宋体" w:eastAsia="宋体" w:cs="宋体"/>
          <w:kern w:val="0"/>
          <w:sz w:val="21"/>
          <w:szCs w:val="21"/>
          <w:shd w:val="clear" w:fill="FFFFFF"/>
          <w:lang w:val="en-US" w:eastAsia="zh-CN" w:bidi="ar-SA"/>
        </w:rPr>
        <w:t>（2）单位负责人为同一人或者存在直接控股、管理关系的不同投标人，不得参加同一合同项下的政府采购活动。</w:t>
      </w:r>
    </w:p>
    <w:p w14:paraId="0C50A934">
      <w:pPr>
        <w:widowControl/>
        <w:numPr>
          <w:ilvl w:val="0"/>
          <w:numId w:val="0"/>
        </w:numPr>
        <w:spacing w:before="0" w:beforeAutospacing="0" w:after="158" w:afterAutospacing="0"/>
        <w:ind w:firstLine="420" w:firstLineChars="200"/>
        <w:jc w:val="left"/>
        <w:rPr>
          <w:rFonts w:hint="eastAsia" w:ascii="宋体" w:hAnsi="宋体" w:eastAsia="宋体" w:cs="宋体"/>
          <w:kern w:val="0"/>
          <w:sz w:val="21"/>
          <w:szCs w:val="21"/>
          <w:shd w:val="clear" w:fill="FFFFFF"/>
          <w:lang w:val="en-US" w:eastAsia="zh-CN" w:bidi="ar-SA"/>
        </w:rPr>
      </w:pPr>
      <w:r>
        <w:rPr>
          <w:rFonts w:hint="eastAsia" w:ascii="宋体" w:hAnsi="宋体" w:eastAsia="宋体" w:cs="宋体"/>
          <w:kern w:val="0"/>
          <w:sz w:val="21"/>
          <w:szCs w:val="21"/>
          <w:shd w:val="clear" w:fill="FFFFFF"/>
          <w:lang w:val="en-US" w:eastAsia="zh-CN" w:bidi="ar-SA"/>
        </w:rPr>
        <w:t>（3）为本采购项目提供整体设计、规范编制或者项目管理、监理、检测等服务的，不得再参加此项目的其他采购活动。</w:t>
      </w:r>
    </w:p>
    <w:p w14:paraId="76119C06">
      <w:pPr>
        <w:widowControl/>
        <w:numPr>
          <w:ilvl w:val="0"/>
          <w:numId w:val="0"/>
        </w:numPr>
        <w:spacing w:before="0" w:beforeAutospacing="0" w:after="158" w:afterAutospacing="0"/>
        <w:ind w:firstLine="420" w:firstLineChars="200"/>
        <w:jc w:val="left"/>
        <w:rPr>
          <w:rFonts w:hint="eastAsia" w:ascii="宋体" w:hAnsi="宋体" w:eastAsia="宋体" w:cs="宋体"/>
          <w:kern w:val="0"/>
          <w:sz w:val="21"/>
          <w:szCs w:val="21"/>
          <w:shd w:val="clear" w:fill="FFFFFF"/>
          <w:lang w:val="en-US" w:eastAsia="zh-CN" w:bidi="ar-SA"/>
        </w:rPr>
      </w:pPr>
      <w:r>
        <w:rPr>
          <w:rFonts w:hint="eastAsia" w:ascii="宋体" w:hAnsi="宋体" w:eastAsia="宋体" w:cs="宋体"/>
          <w:kern w:val="0"/>
          <w:sz w:val="21"/>
          <w:szCs w:val="21"/>
          <w:shd w:val="clear" w:fill="FFFFFF"/>
          <w:lang w:val="en-US" w:eastAsia="zh-CN" w:bidi="ar-SA"/>
        </w:rPr>
        <w:t>（4）列入失信被执行人、重大税收违法失信主体名单、政府采购严重违法失信行为记录名单的，拒绝其参与政府采购活动。</w:t>
      </w:r>
    </w:p>
    <w:p w14:paraId="3E9E015E">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2、采购项目需要落实的政府采购政策：</w:t>
      </w:r>
    </w:p>
    <w:p w14:paraId="7B7C9C3A">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包名称：</w:t>
      </w:r>
      <w:r>
        <w:rPr>
          <w:rFonts w:hint="eastAsia" w:ascii="宋体" w:hAnsi="宋体" w:cs="宋体"/>
          <w:kern w:val="0"/>
          <w:sz w:val="21"/>
          <w:szCs w:val="21"/>
          <w:highlight w:val="none"/>
          <w:shd w:val="clear" w:color="auto" w:fill="FFFFFF"/>
          <w:lang w:val="en-US" w:eastAsia="zh-CN" w:bidi="ar-SA"/>
        </w:rPr>
        <w:t>邵阳县平安城市网络租赁费采购项</w:t>
      </w:r>
      <w:r>
        <w:rPr>
          <w:rFonts w:hint="eastAsia" w:ascii="宋体" w:hAnsi="宋体" w:eastAsia="宋体" w:cs="宋体"/>
          <w:kern w:val="0"/>
          <w:sz w:val="21"/>
          <w:szCs w:val="21"/>
          <w:highlight w:val="none"/>
          <w:shd w:val="clear" w:color="auto" w:fill="FFFFFF"/>
          <w:lang w:val="en-US" w:eastAsia="zh-CN" w:bidi="ar-SA"/>
        </w:rPr>
        <w:t xml:space="preserve">目包1    </w:t>
      </w:r>
    </w:p>
    <w:p w14:paraId="0990A27D">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本项目非专门面向中小企业采购，参与投标的小微企业报价给予10 %的扣除，用扣除后的价格参与评审。</w:t>
      </w:r>
    </w:p>
    <w:p w14:paraId="5566E518">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包名称：</w:t>
      </w:r>
      <w:r>
        <w:rPr>
          <w:rFonts w:hint="eastAsia" w:ascii="宋体" w:hAnsi="宋体" w:cs="宋体"/>
          <w:kern w:val="0"/>
          <w:sz w:val="21"/>
          <w:szCs w:val="21"/>
          <w:highlight w:val="none"/>
          <w:shd w:val="clear" w:color="auto" w:fill="FFFFFF"/>
          <w:lang w:val="en-US" w:eastAsia="zh-CN" w:bidi="ar-SA"/>
        </w:rPr>
        <w:t>邵阳县平安城市网络租赁费采购项</w:t>
      </w:r>
      <w:r>
        <w:rPr>
          <w:rFonts w:hint="eastAsia" w:ascii="宋体" w:hAnsi="宋体" w:eastAsia="宋体" w:cs="宋体"/>
          <w:kern w:val="0"/>
          <w:sz w:val="21"/>
          <w:szCs w:val="21"/>
          <w:highlight w:val="none"/>
          <w:shd w:val="clear" w:color="auto" w:fill="FFFFFF"/>
          <w:lang w:val="en-US" w:eastAsia="zh-CN" w:bidi="ar-SA"/>
        </w:rPr>
        <w:t>目包</w:t>
      </w:r>
      <w:r>
        <w:rPr>
          <w:rFonts w:hint="eastAsia" w:ascii="宋体" w:hAnsi="宋体" w:cs="宋体"/>
          <w:kern w:val="0"/>
          <w:sz w:val="21"/>
          <w:szCs w:val="21"/>
          <w:highlight w:val="none"/>
          <w:shd w:val="clear" w:color="auto" w:fill="FFFFFF"/>
          <w:lang w:val="en-US" w:eastAsia="zh-CN" w:bidi="ar-SA"/>
        </w:rPr>
        <w:t>2</w:t>
      </w:r>
      <w:r>
        <w:rPr>
          <w:rFonts w:hint="eastAsia" w:ascii="宋体" w:hAnsi="宋体" w:eastAsia="宋体" w:cs="宋体"/>
          <w:kern w:val="0"/>
          <w:sz w:val="21"/>
          <w:szCs w:val="21"/>
          <w:highlight w:val="none"/>
          <w:shd w:val="clear" w:color="auto" w:fill="FFFFFF"/>
          <w:lang w:val="en-US" w:eastAsia="zh-CN" w:bidi="ar-SA"/>
        </w:rPr>
        <w:t xml:space="preserve">    </w:t>
      </w:r>
    </w:p>
    <w:p w14:paraId="0D15AA94">
      <w:pPr>
        <w:pStyle w:val="61"/>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本项目非专门面向中小企业采购，参与投标的小微企业报价给予10 %的扣除，用扣除后的价格参与评审。</w:t>
      </w:r>
    </w:p>
    <w:p w14:paraId="02F429BA">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包名称：</w:t>
      </w:r>
      <w:r>
        <w:rPr>
          <w:rFonts w:hint="eastAsia" w:ascii="宋体" w:hAnsi="宋体" w:cs="宋体"/>
          <w:kern w:val="0"/>
          <w:sz w:val="21"/>
          <w:szCs w:val="21"/>
          <w:highlight w:val="none"/>
          <w:shd w:val="clear" w:color="auto" w:fill="FFFFFF"/>
          <w:lang w:val="en-US" w:eastAsia="zh-CN" w:bidi="ar-SA"/>
        </w:rPr>
        <w:t>邵阳县平安城市网络租赁费采购项</w:t>
      </w:r>
      <w:r>
        <w:rPr>
          <w:rFonts w:hint="eastAsia" w:ascii="宋体" w:hAnsi="宋体" w:eastAsia="宋体" w:cs="宋体"/>
          <w:kern w:val="0"/>
          <w:sz w:val="21"/>
          <w:szCs w:val="21"/>
          <w:highlight w:val="none"/>
          <w:shd w:val="clear" w:color="auto" w:fill="FFFFFF"/>
          <w:lang w:val="en-US" w:eastAsia="zh-CN" w:bidi="ar-SA"/>
        </w:rPr>
        <w:t>目包</w:t>
      </w:r>
      <w:r>
        <w:rPr>
          <w:rFonts w:hint="eastAsia" w:ascii="宋体" w:hAnsi="宋体" w:cs="宋体"/>
          <w:kern w:val="0"/>
          <w:sz w:val="21"/>
          <w:szCs w:val="21"/>
          <w:highlight w:val="none"/>
          <w:shd w:val="clear" w:color="auto" w:fill="FFFFFF"/>
          <w:lang w:val="en-US" w:eastAsia="zh-CN" w:bidi="ar-SA"/>
        </w:rPr>
        <w:t>3</w:t>
      </w:r>
      <w:r>
        <w:rPr>
          <w:rFonts w:hint="eastAsia" w:ascii="宋体" w:hAnsi="宋体" w:eastAsia="宋体" w:cs="宋体"/>
          <w:kern w:val="0"/>
          <w:sz w:val="21"/>
          <w:szCs w:val="21"/>
          <w:highlight w:val="none"/>
          <w:shd w:val="clear" w:color="auto" w:fill="FFFFFF"/>
          <w:lang w:val="en-US" w:eastAsia="zh-CN" w:bidi="ar-SA"/>
        </w:rPr>
        <w:t xml:space="preserve">    </w:t>
      </w:r>
    </w:p>
    <w:p w14:paraId="782EB0B5">
      <w:pPr>
        <w:pStyle w:val="61"/>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本项目非专门面向中小企业采购，参与投标的小微企业报价给予10 %的扣除，用扣除后的价格参与评审。</w:t>
      </w:r>
    </w:p>
    <w:p w14:paraId="4B7A2E15">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3、特定资格条件：</w:t>
      </w:r>
    </w:p>
    <w:p w14:paraId="09A8C805">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包名称：</w:t>
      </w:r>
      <w:r>
        <w:rPr>
          <w:rFonts w:hint="eastAsia" w:ascii="宋体" w:hAnsi="宋体" w:cs="宋体"/>
          <w:kern w:val="0"/>
          <w:sz w:val="21"/>
          <w:szCs w:val="21"/>
          <w:highlight w:val="none"/>
          <w:shd w:val="clear" w:color="auto" w:fill="FFFFFF"/>
          <w:lang w:val="en-US" w:eastAsia="zh-CN" w:bidi="ar-SA"/>
        </w:rPr>
        <w:t>邵阳县平安城市网络租赁费采购项</w:t>
      </w:r>
      <w:r>
        <w:rPr>
          <w:rFonts w:hint="eastAsia" w:ascii="宋体" w:hAnsi="宋体" w:eastAsia="宋体" w:cs="宋体"/>
          <w:kern w:val="0"/>
          <w:sz w:val="21"/>
          <w:szCs w:val="21"/>
          <w:highlight w:val="none"/>
          <w:shd w:val="clear" w:color="auto" w:fill="FFFFFF"/>
          <w:lang w:val="en-US" w:eastAsia="zh-CN" w:bidi="ar-SA"/>
        </w:rPr>
        <w:t xml:space="preserve">目包1    </w:t>
      </w:r>
    </w:p>
    <w:p w14:paraId="0BF36848">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sz w:val="21"/>
          <w:szCs w:val="21"/>
          <w:highlight w:val="none"/>
          <w:shd w:val="clear" w:color="auto" w:fill="FFFFFF"/>
        </w:rPr>
        <w:t xml:space="preserve">特定资格条件： </w:t>
      </w:r>
      <w:r>
        <w:rPr>
          <w:rFonts w:hint="eastAsia" w:ascii="宋体" w:hAnsi="宋体" w:cs="宋体"/>
          <w:b/>
          <w:bCs/>
          <w:color w:val="auto"/>
          <w:sz w:val="21"/>
          <w:szCs w:val="21"/>
          <w:u w:val="single"/>
          <w:lang w:val="en-US" w:eastAsia="zh-CN"/>
        </w:rPr>
        <w:t>无</w:t>
      </w:r>
      <w:r>
        <w:rPr>
          <w:rFonts w:hint="eastAsia" w:ascii="宋体" w:hAnsi="宋体" w:eastAsia="宋体" w:cs="宋体"/>
          <w:kern w:val="0"/>
          <w:sz w:val="21"/>
          <w:szCs w:val="21"/>
          <w:highlight w:val="none"/>
          <w:shd w:val="clear" w:color="auto" w:fill="FFFFFF"/>
          <w:lang w:val="en-US" w:eastAsia="zh-CN" w:bidi="ar-SA"/>
        </w:rPr>
        <w:t xml:space="preserve"> </w:t>
      </w:r>
    </w:p>
    <w:p w14:paraId="089F6DD2">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包名称：</w:t>
      </w:r>
      <w:r>
        <w:rPr>
          <w:rFonts w:hint="eastAsia" w:ascii="宋体" w:hAnsi="宋体" w:cs="宋体"/>
          <w:kern w:val="0"/>
          <w:sz w:val="21"/>
          <w:szCs w:val="21"/>
          <w:highlight w:val="none"/>
          <w:shd w:val="clear" w:color="auto" w:fill="FFFFFF"/>
          <w:lang w:val="en-US" w:eastAsia="zh-CN" w:bidi="ar-SA"/>
        </w:rPr>
        <w:t>邵阳县平安城市网络租赁费采购项</w:t>
      </w:r>
      <w:r>
        <w:rPr>
          <w:rFonts w:hint="eastAsia" w:ascii="宋体" w:hAnsi="宋体" w:eastAsia="宋体" w:cs="宋体"/>
          <w:kern w:val="0"/>
          <w:sz w:val="21"/>
          <w:szCs w:val="21"/>
          <w:highlight w:val="none"/>
          <w:shd w:val="clear" w:color="auto" w:fill="FFFFFF"/>
          <w:lang w:val="en-US" w:eastAsia="zh-CN" w:bidi="ar-SA"/>
        </w:rPr>
        <w:t>目包</w:t>
      </w:r>
      <w:r>
        <w:rPr>
          <w:rFonts w:hint="eastAsia" w:ascii="宋体" w:hAnsi="宋体" w:cs="宋体"/>
          <w:kern w:val="0"/>
          <w:sz w:val="21"/>
          <w:szCs w:val="21"/>
          <w:highlight w:val="none"/>
          <w:shd w:val="clear" w:color="auto" w:fill="FFFFFF"/>
          <w:lang w:val="en-US" w:eastAsia="zh-CN" w:bidi="ar-SA"/>
        </w:rPr>
        <w:t>2</w:t>
      </w:r>
      <w:r>
        <w:rPr>
          <w:rFonts w:hint="eastAsia" w:ascii="宋体" w:hAnsi="宋体" w:eastAsia="宋体" w:cs="宋体"/>
          <w:kern w:val="0"/>
          <w:sz w:val="21"/>
          <w:szCs w:val="21"/>
          <w:highlight w:val="none"/>
          <w:shd w:val="clear" w:color="auto" w:fill="FFFFFF"/>
          <w:lang w:val="en-US" w:eastAsia="zh-CN" w:bidi="ar-SA"/>
        </w:rPr>
        <w:t xml:space="preserve">    </w:t>
      </w:r>
    </w:p>
    <w:p w14:paraId="06780FBF">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sz w:val="21"/>
          <w:szCs w:val="21"/>
          <w:highlight w:val="none"/>
          <w:shd w:val="clear" w:color="auto" w:fill="FFFFFF"/>
        </w:rPr>
        <w:t xml:space="preserve">特定资格条件： </w:t>
      </w:r>
      <w:r>
        <w:rPr>
          <w:rFonts w:hint="eastAsia" w:ascii="宋体" w:hAnsi="宋体" w:cs="宋体"/>
          <w:b/>
          <w:bCs/>
          <w:color w:val="auto"/>
          <w:sz w:val="21"/>
          <w:szCs w:val="21"/>
          <w:u w:val="single"/>
          <w:lang w:val="en-US" w:eastAsia="zh-CN"/>
        </w:rPr>
        <w:t>无</w:t>
      </w:r>
      <w:r>
        <w:rPr>
          <w:rFonts w:hint="eastAsia" w:ascii="宋体" w:hAnsi="宋体" w:eastAsia="宋体" w:cs="宋体"/>
          <w:kern w:val="0"/>
          <w:sz w:val="21"/>
          <w:szCs w:val="21"/>
          <w:highlight w:val="none"/>
          <w:shd w:val="clear" w:color="auto" w:fill="FFFFFF"/>
          <w:lang w:val="en-US" w:eastAsia="zh-CN" w:bidi="ar-SA"/>
        </w:rPr>
        <w:t xml:space="preserve"> </w:t>
      </w:r>
    </w:p>
    <w:p w14:paraId="2D7C496D">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包名称：</w:t>
      </w:r>
      <w:r>
        <w:rPr>
          <w:rFonts w:hint="eastAsia" w:ascii="宋体" w:hAnsi="宋体" w:cs="宋体"/>
          <w:kern w:val="0"/>
          <w:sz w:val="21"/>
          <w:szCs w:val="21"/>
          <w:highlight w:val="none"/>
          <w:shd w:val="clear" w:color="auto" w:fill="FFFFFF"/>
          <w:lang w:val="en-US" w:eastAsia="zh-CN" w:bidi="ar-SA"/>
        </w:rPr>
        <w:t>邵阳县平安城市网络租赁费采购项</w:t>
      </w:r>
      <w:r>
        <w:rPr>
          <w:rFonts w:hint="eastAsia" w:ascii="宋体" w:hAnsi="宋体" w:eastAsia="宋体" w:cs="宋体"/>
          <w:kern w:val="0"/>
          <w:sz w:val="21"/>
          <w:szCs w:val="21"/>
          <w:highlight w:val="none"/>
          <w:shd w:val="clear" w:color="auto" w:fill="FFFFFF"/>
          <w:lang w:val="en-US" w:eastAsia="zh-CN" w:bidi="ar-SA"/>
        </w:rPr>
        <w:t>目包</w:t>
      </w:r>
      <w:r>
        <w:rPr>
          <w:rFonts w:hint="eastAsia" w:ascii="宋体" w:hAnsi="宋体" w:cs="宋体"/>
          <w:kern w:val="0"/>
          <w:sz w:val="21"/>
          <w:szCs w:val="21"/>
          <w:highlight w:val="none"/>
          <w:shd w:val="clear" w:color="auto" w:fill="FFFFFF"/>
          <w:lang w:val="en-US" w:eastAsia="zh-CN" w:bidi="ar-SA"/>
        </w:rPr>
        <w:t>3</w:t>
      </w:r>
      <w:r>
        <w:rPr>
          <w:rFonts w:hint="eastAsia" w:ascii="宋体" w:hAnsi="宋体" w:eastAsia="宋体" w:cs="宋体"/>
          <w:kern w:val="0"/>
          <w:sz w:val="21"/>
          <w:szCs w:val="21"/>
          <w:highlight w:val="none"/>
          <w:shd w:val="clear" w:color="auto" w:fill="FFFFFF"/>
          <w:lang w:val="en-US" w:eastAsia="zh-CN" w:bidi="ar-SA"/>
        </w:rPr>
        <w:t xml:space="preserve">    </w:t>
      </w:r>
    </w:p>
    <w:p w14:paraId="09F61711">
      <w:pPr>
        <w:widowControl/>
        <w:spacing w:before="0" w:beforeAutospacing="0" w:after="158" w:afterAutospacing="0"/>
        <w:ind w:firstLine="420" w:firstLineChars="200"/>
        <w:jc w:val="left"/>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sz w:val="21"/>
          <w:szCs w:val="21"/>
          <w:highlight w:val="none"/>
          <w:shd w:val="clear" w:color="auto" w:fill="FFFFFF"/>
        </w:rPr>
        <w:t xml:space="preserve">特定资格条件： </w:t>
      </w:r>
      <w:r>
        <w:rPr>
          <w:rFonts w:hint="eastAsia" w:ascii="宋体" w:hAnsi="宋体" w:cs="宋体"/>
          <w:b/>
          <w:bCs/>
          <w:color w:val="auto"/>
          <w:sz w:val="21"/>
          <w:szCs w:val="21"/>
          <w:u w:val="single"/>
          <w:lang w:val="en-US" w:eastAsia="zh-CN"/>
        </w:rPr>
        <w:t>无</w:t>
      </w:r>
      <w:r>
        <w:rPr>
          <w:rFonts w:hint="eastAsia" w:ascii="宋体" w:hAnsi="宋体" w:eastAsia="宋体" w:cs="宋体"/>
          <w:kern w:val="0"/>
          <w:sz w:val="21"/>
          <w:szCs w:val="21"/>
          <w:highlight w:val="none"/>
          <w:shd w:val="clear" w:color="auto" w:fill="FFFFFF"/>
          <w:lang w:val="en-US" w:eastAsia="zh-CN" w:bidi="ar-SA"/>
        </w:rPr>
        <w:t xml:space="preserve"> </w:t>
      </w:r>
    </w:p>
    <w:p w14:paraId="5DD0D505">
      <w:pPr>
        <w:pageBreakBefore w:val="0"/>
        <w:kinsoku/>
        <w:overflowPunct/>
        <w:topLinePunct w:val="0"/>
        <w:bidi w:val="0"/>
        <w:adjustRightInd w:val="0"/>
        <w:snapToGrid w:val="0"/>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注：</w:t>
      </w:r>
      <w:r>
        <w:rPr>
          <w:rFonts w:hint="eastAsia" w:asciiTheme="minorEastAsia" w:hAnsiTheme="minorEastAsia" w:eastAsiaTheme="minorEastAsia" w:cstheme="minorEastAsia"/>
          <w:color w:val="auto"/>
          <w:szCs w:val="21"/>
          <w:highlight w:val="none"/>
        </w:rPr>
        <w:t>（1）投标人具有实行了“三证合一”登记制度改革的新证，视同为持有工商营业执照、组织机构代码证和税务登记证，符合基本资格条件的相关条款；投标人具有实行了“五证合一”登记制度改革的新政，视同持有工商营业执照、组织机构代码证、税务登记证、社会保险登记证和统计登记证，符合基本资格条件的相关条款；</w:t>
      </w:r>
    </w:p>
    <w:p w14:paraId="42D1735E">
      <w:pPr>
        <w:pStyle w:val="4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auto"/>
          <w:szCs w:val="21"/>
          <w:highlight w:val="none"/>
        </w:rPr>
        <w:t>（2）根据《〈政府采购法实施条例〉释义》，银行、保险、石油石化、电力、电信等有行业特殊情况的，取得营业执照的分支机构可以分公司名义参与投标，采购文件中涉及的“法定代表人”在前述特殊行业中即对应为“分支机构负责人”。</w:t>
      </w:r>
    </w:p>
    <w:p w14:paraId="57B3CA5A">
      <w:pPr>
        <w:keepNext w:val="0"/>
        <w:keepLines w:val="0"/>
        <w:pageBreakBefore w:val="0"/>
        <w:numPr>
          <w:ilvl w:val="0"/>
          <w:numId w:val="0"/>
        </w:numPr>
        <w:kinsoku/>
        <w:wordWrap/>
        <w:overflowPunct/>
        <w:topLinePunct w:val="0"/>
        <w:autoSpaceDE/>
        <w:autoSpaceDN/>
        <w:bidi w:val="0"/>
        <w:spacing w:line="360" w:lineRule="auto"/>
        <w:ind w:firstLine="482" w:firstLineChars="200"/>
        <w:textAlignment w:val="auto"/>
        <w:rPr>
          <w:rFonts w:hint="eastAsia" w:ascii="宋体" w:hAnsi="宋体" w:eastAsia="宋体" w:cs="Times New Roman"/>
          <w:b/>
          <w:color w:val="auto"/>
          <w:sz w:val="24"/>
          <w:szCs w:val="21"/>
          <w:lang w:val="en-US" w:eastAsia="zh-CN" w:bidi="ar-SA"/>
        </w:rPr>
      </w:pPr>
      <w:r>
        <w:rPr>
          <w:rFonts w:hint="eastAsia" w:ascii="宋体" w:hAnsi="宋体" w:eastAsia="宋体" w:cs="Times New Roman"/>
          <w:b/>
          <w:color w:val="auto"/>
          <w:sz w:val="24"/>
          <w:szCs w:val="21"/>
          <w:lang w:val="en-US" w:eastAsia="zh-CN" w:bidi="ar-SA"/>
        </w:rPr>
        <w:t>四、获取招标文件的时间、期限、地点及方式</w:t>
      </w:r>
    </w:p>
    <w:p w14:paraId="746CD101">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1、时间：2026年</w:t>
      </w:r>
      <w:r>
        <w:rPr>
          <w:rFonts w:hint="eastAsia" w:ascii="宋体" w:hAnsi="宋体" w:cs="Times New Roman"/>
          <w:color w:val="auto"/>
          <w:szCs w:val="21"/>
          <w:lang w:val="en-US" w:eastAsia="zh-CN"/>
        </w:rPr>
        <w:t>7</w:t>
      </w:r>
      <w:r>
        <w:rPr>
          <w:rFonts w:hint="eastAsia" w:ascii="宋体" w:hAnsi="宋体" w:eastAsia="宋体" w:cs="Times New Roman"/>
          <w:color w:val="auto"/>
          <w:szCs w:val="21"/>
          <w:lang w:val="en-US" w:eastAsia="zh-CN"/>
        </w:rPr>
        <w:t>月</w:t>
      </w:r>
      <w:r>
        <w:rPr>
          <w:rFonts w:hint="eastAsia" w:ascii="宋体" w:hAnsi="宋体" w:cs="Times New Roman"/>
          <w:color w:val="auto"/>
          <w:szCs w:val="21"/>
          <w:lang w:val="en-US" w:eastAsia="zh-CN"/>
        </w:rPr>
        <w:t>17</w:t>
      </w:r>
      <w:r>
        <w:rPr>
          <w:rFonts w:hint="eastAsia" w:ascii="宋体" w:hAnsi="宋体" w:eastAsia="宋体" w:cs="Times New Roman"/>
          <w:color w:val="auto"/>
          <w:szCs w:val="21"/>
          <w:lang w:val="en-US" w:eastAsia="zh-CN"/>
        </w:rPr>
        <w:t>日上午9：00至2026年</w:t>
      </w:r>
      <w:r>
        <w:rPr>
          <w:rFonts w:hint="eastAsia" w:ascii="宋体" w:hAnsi="宋体" w:cs="Times New Roman"/>
          <w:color w:val="auto"/>
          <w:szCs w:val="21"/>
          <w:lang w:val="en-US" w:eastAsia="zh-CN"/>
        </w:rPr>
        <w:t>7</w:t>
      </w:r>
      <w:r>
        <w:rPr>
          <w:rFonts w:hint="eastAsia" w:ascii="宋体" w:hAnsi="宋体" w:eastAsia="宋体" w:cs="Times New Roman"/>
          <w:color w:val="auto"/>
          <w:szCs w:val="21"/>
          <w:lang w:val="en-US" w:eastAsia="zh-CN"/>
        </w:rPr>
        <w:t>月</w:t>
      </w:r>
      <w:r>
        <w:rPr>
          <w:rFonts w:hint="eastAsia" w:ascii="宋体" w:hAnsi="宋体" w:cs="Times New Roman"/>
          <w:color w:val="auto"/>
          <w:szCs w:val="21"/>
          <w:lang w:val="en-US" w:eastAsia="zh-CN"/>
        </w:rPr>
        <w:t>24</w:t>
      </w:r>
      <w:r>
        <w:rPr>
          <w:rFonts w:hint="eastAsia" w:ascii="宋体" w:hAnsi="宋体" w:eastAsia="宋体" w:cs="Times New Roman"/>
          <w:color w:val="auto"/>
          <w:szCs w:val="21"/>
          <w:lang w:val="en-US" w:eastAsia="zh-CN"/>
        </w:rPr>
        <w:t>日 下午17：00（北京时间）</w:t>
      </w:r>
    </w:p>
    <w:p w14:paraId="75635DA6">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2、地点：本项目实行电子交易，有意参加投标者，在（http:// ggzy.shaoyang.gov.cn）获取电子版招标文件。</w:t>
      </w:r>
    </w:p>
    <w:p w14:paraId="21304725">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3、获取招标文件方式：在邵阳市公共资源交易中心网站（http:// ggzy.shaoyang.gov.cn）点击“交易主体入口”进入全流程电子交易平台-政府采购类”登录进入交易系统。</w:t>
      </w:r>
    </w:p>
    <w:p w14:paraId="60139D56">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4、售价： 0元</w:t>
      </w:r>
    </w:p>
    <w:p w14:paraId="11E0C567">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5、供应商按照《邵阳市公共资源交易中心政府采购交易系统投标人操作手册》（见邵阳市公共资源交易中心公告附件）所述方式和步骤进行文件下载。</w:t>
      </w:r>
    </w:p>
    <w:p w14:paraId="57E638C4">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注：邵阳市公共资源交易平台需使用数字证书登录进行操作，供应商须在邵阳市公共资源交易中心网站（http:// ggzy.shaoyang.gov.cn）的交易平台注册，办理CA证书并绑定邵阳市公共资源交易平台。</w:t>
      </w:r>
    </w:p>
    <w:p w14:paraId="410C9D86">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color w:val="auto"/>
          <w:szCs w:val="21"/>
          <w:lang w:eastAsia="zh-CN"/>
        </w:rPr>
      </w:pPr>
      <w:r>
        <w:rPr>
          <w:rFonts w:hint="eastAsia" w:ascii="宋体" w:hAnsi="宋体" w:eastAsia="宋体" w:cs="宋体"/>
          <w:b/>
          <w:color w:val="auto"/>
          <w:kern w:val="2"/>
          <w:sz w:val="21"/>
          <w:szCs w:val="21"/>
          <w:lang w:val="en-US" w:eastAsia="zh-CN" w:bidi="ar-SA"/>
        </w:rPr>
        <w:t>五、</w:t>
      </w:r>
      <w:r>
        <w:rPr>
          <w:rFonts w:hint="eastAsia" w:ascii="宋体" w:hAnsi="宋体" w:eastAsia="宋体" w:cs="宋体"/>
          <w:b/>
          <w:color w:val="auto"/>
          <w:szCs w:val="21"/>
          <w:lang w:eastAsia="zh-CN"/>
        </w:rPr>
        <w:t>提交投标文件截止时间、开标时间和地点</w:t>
      </w:r>
    </w:p>
    <w:p w14:paraId="04003030">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lang w:eastAsia="zh-CN"/>
        </w:rPr>
      </w:pPr>
      <w:r>
        <w:rPr>
          <w:rFonts w:hint="eastAsia" w:ascii="宋体" w:hAnsi="宋体" w:eastAsia="宋体" w:cs="Times New Roman"/>
          <w:color w:val="auto"/>
          <w:szCs w:val="21"/>
          <w:u w:val="none"/>
        </w:rPr>
        <w:t>1、</w:t>
      </w:r>
      <w:r>
        <w:rPr>
          <w:rFonts w:hint="eastAsia" w:ascii="宋体" w:hAnsi="宋体" w:eastAsia="宋体" w:cs="Times New Roman"/>
          <w:color w:val="auto"/>
          <w:szCs w:val="21"/>
          <w:u w:val="none"/>
          <w:lang w:val="en-US" w:eastAsia="zh-CN"/>
        </w:rPr>
        <w:t>提交投标文件的截止时间和文件解密开始时间：</w:t>
      </w:r>
      <w:r>
        <w:rPr>
          <w:rFonts w:hint="eastAsia" w:ascii="宋体" w:hAnsi="宋体" w:eastAsia="宋体" w:cs="Times New Roman"/>
          <w:b/>
          <w:bCs/>
          <w:color w:val="FF0000"/>
          <w:szCs w:val="21"/>
          <w:u w:val="none"/>
          <w:lang w:val="en-US" w:eastAsia="zh-CN"/>
        </w:rPr>
        <w:t>2026年</w:t>
      </w:r>
      <w:r>
        <w:rPr>
          <w:rFonts w:hint="eastAsia" w:ascii="宋体" w:hAnsi="宋体" w:cs="Times New Roman"/>
          <w:b/>
          <w:bCs/>
          <w:color w:val="FF0000"/>
          <w:szCs w:val="21"/>
          <w:u w:val="single"/>
          <w:lang w:val="en-US" w:eastAsia="zh-CN"/>
        </w:rPr>
        <w:t>8</w:t>
      </w:r>
      <w:r>
        <w:rPr>
          <w:rFonts w:hint="eastAsia" w:ascii="宋体" w:hAnsi="宋体" w:eastAsia="宋体" w:cs="Times New Roman"/>
          <w:b/>
          <w:bCs/>
          <w:color w:val="FF0000"/>
          <w:szCs w:val="21"/>
          <w:u w:val="none"/>
          <w:lang w:val="en-US" w:eastAsia="zh-CN"/>
        </w:rPr>
        <w:t>月</w:t>
      </w:r>
      <w:r>
        <w:rPr>
          <w:rFonts w:hint="eastAsia" w:ascii="宋体" w:hAnsi="宋体" w:cs="Times New Roman"/>
          <w:b/>
          <w:bCs/>
          <w:color w:val="FF0000"/>
          <w:szCs w:val="21"/>
          <w:u w:val="single"/>
          <w:lang w:val="en-US" w:eastAsia="zh-CN"/>
        </w:rPr>
        <w:t xml:space="preserve">14 </w:t>
      </w:r>
      <w:r>
        <w:rPr>
          <w:rFonts w:hint="eastAsia" w:ascii="宋体" w:hAnsi="宋体" w:eastAsia="宋体" w:cs="Times New Roman"/>
          <w:b/>
          <w:bCs/>
          <w:color w:val="FF0000"/>
          <w:szCs w:val="21"/>
          <w:lang w:val="en-US" w:eastAsia="zh-CN"/>
        </w:rPr>
        <w:t>日</w:t>
      </w:r>
      <w:r>
        <w:rPr>
          <w:rFonts w:hint="eastAsia" w:ascii="宋体" w:hAnsi="宋体" w:eastAsia="宋体" w:cs="Times New Roman"/>
          <w:b/>
          <w:bCs/>
          <w:color w:val="FF0000"/>
          <w:szCs w:val="21"/>
          <w:u w:val="single"/>
          <w:lang w:val="en-US" w:eastAsia="zh-CN"/>
        </w:rPr>
        <w:t>9</w:t>
      </w:r>
      <w:r>
        <w:rPr>
          <w:rFonts w:hint="eastAsia" w:ascii="宋体" w:hAnsi="宋体" w:eastAsia="宋体" w:cs="Times New Roman"/>
          <w:b/>
          <w:bCs/>
          <w:color w:val="FF0000"/>
          <w:szCs w:val="21"/>
          <w:lang w:val="en-US" w:eastAsia="zh-CN"/>
        </w:rPr>
        <w:t>:</w:t>
      </w:r>
      <w:r>
        <w:rPr>
          <w:rFonts w:hint="eastAsia" w:ascii="宋体" w:hAnsi="宋体" w:eastAsia="宋体" w:cs="Times New Roman"/>
          <w:b/>
          <w:bCs/>
          <w:color w:val="FF0000"/>
          <w:szCs w:val="21"/>
          <w:u w:val="single"/>
          <w:lang w:val="en-US" w:eastAsia="zh-CN"/>
        </w:rPr>
        <w:t>30</w:t>
      </w:r>
      <w:r>
        <w:rPr>
          <w:rFonts w:hint="eastAsia" w:ascii="宋体" w:hAnsi="宋体" w:eastAsia="宋体" w:cs="Times New Roman"/>
          <w:color w:val="auto"/>
          <w:szCs w:val="21"/>
          <w:lang w:val="en-US" w:eastAsia="zh-CN"/>
        </w:rPr>
        <w:t>（北京时间）解密时长：30分钟，未在规定时间内登录交易系统进行解密的视为放弃投标。</w:t>
      </w:r>
    </w:p>
    <w:p w14:paraId="4F99EF0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szCs w:val="21"/>
          <w:lang w:val="en-US" w:eastAsia="zh-CN"/>
        </w:rPr>
      </w:pPr>
      <w:r>
        <w:rPr>
          <w:rFonts w:hint="eastAsia" w:ascii="宋体" w:hAnsi="宋体" w:eastAsia="宋体" w:cs="宋体"/>
          <w:color w:val="auto"/>
          <w:szCs w:val="21"/>
        </w:rPr>
        <w:t>2</w:t>
      </w:r>
      <w:r>
        <w:rPr>
          <w:rFonts w:hint="eastAsia" w:ascii="宋体" w:hAnsi="宋体" w:eastAsia="宋体" w:cs="宋体"/>
          <w:color w:val="auto"/>
          <w:szCs w:val="21"/>
          <w:lang w:eastAsia="zh-CN"/>
        </w:rPr>
        <w:t>、</w:t>
      </w:r>
      <w:r>
        <w:rPr>
          <w:rFonts w:hint="eastAsia" w:ascii="宋体" w:hAnsi="宋体" w:eastAsia="宋体" w:cs="宋体"/>
          <w:color w:val="auto"/>
          <w:szCs w:val="21"/>
        </w:rPr>
        <w:t>提交投标文件地点：</w:t>
      </w:r>
      <w:r>
        <w:rPr>
          <w:rFonts w:hint="eastAsia" w:ascii="宋体" w:hAnsi="宋体" w:eastAsia="宋体" w:cs="宋体"/>
          <w:color w:val="auto"/>
          <w:szCs w:val="21"/>
          <w:lang w:val="en-US" w:eastAsia="zh-CN"/>
        </w:rPr>
        <w:t>本项目实行电子交易，在</w:t>
      </w:r>
      <w:r>
        <w:rPr>
          <w:rFonts w:hint="eastAsia" w:ascii="宋体" w:hAnsi="宋体" w:eastAsia="宋体" w:cs="宋体"/>
          <w:color w:val="auto"/>
          <w:szCs w:val="21"/>
        </w:rPr>
        <w:t>邵阳市公共资源交易中心网站（http:// ggzy.shaoyang.gov.cn）</w:t>
      </w:r>
      <w:r>
        <w:rPr>
          <w:rFonts w:hint="eastAsia" w:ascii="宋体" w:hAnsi="宋体" w:eastAsia="宋体" w:cs="宋体"/>
          <w:color w:val="auto"/>
          <w:szCs w:val="21"/>
          <w:lang w:val="en-US" w:eastAsia="zh-CN"/>
        </w:rPr>
        <w:t>进行投标</w:t>
      </w:r>
    </w:p>
    <w:p w14:paraId="2816604B">
      <w:pPr>
        <w:keepNext w:val="0"/>
        <w:keepLines w:val="0"/>
        <w:pageBreakBefore w:val="0"/>
        <w:numPr>
          <w:ilvl w:val="0"/>
          <w:numId w:val="5"/>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开标时间：</w:t>
      </w:r>
      <w:r>
        <w:rPr>
          <w:rFonts w:hint="eastAsia" w:ascii="宋体" w:hAnsi="宋体" w:eastAsia="宋体" w:cs="Times New Roman"/>
          <w:b/>
          <w:bCs/>
          <w:color w:val="FF0000"/>
          <w:szCs w:val="21"/>
          <w:u w:val="none"/>
          <w:lang w:val="en-US" w:eastAsia="zh-CN"/>
        </w:rPr>
        <w:t>2026年</w:t>
      </w:r>
      <w:r>
        <w:rPr>
          <w:rFonts w:hint="eastAsia" w:ascii="宋体" w:hAnsi="宋体" w:cs="Times New Roman"/>
          <w:b/>
          <w:bCs/>
          <w:color w:val="FF0000"/>
          <w:szCs w:val="21"/>
          <w:u w:val="single"/>
          <w:lang w:val="en-US" w:eastAsia="zh-CN"/>
        </w:rPr>
        <w:t>8</w:t>
      </w:r>
      <w:r>
        <w:rPr>
          <w:rFonts w:hint="eastAsia" w:ascii="宋体" w:hAnsi="宋体" w:eastAsia="宋体" w:cs="Times New Roman"/>
          <w:b/>
          <w:bCs/>
          <w:color w:val="FF0000"/>
          <w:szCs w:val="21"/>
          <w:u w:val="none"/>
          <w:lang w:val="en-US" w:eastAsia="zh-CN"/>
        </w:rPr>
        <w:t>月</w:t>
      </w:r>
      <w:r>
        <w:rPr>
          <w:rFonts w:hint="eastAsia" w:ascii="宋体" w:hAnsi="宋体" w:cs="Times New Roman"/>
          <w:b/>
          <w:bCs/>
          <w:color w:val="FF0000"/>
          <w:szCs w:val="21"/>
          <w:u w:val="single"/>
          <w:lang w:val="en-US" w:eastAsia="zh-CN"/>
        </w:rPr>
        <w:t xml:space="preserve"> 14</w:t>
      </w:r>
      <w:bookmarkStart w:id="63" w:name="_GoBack"/>
      <w:bookmarkEnd w:id="63"/>
      <w:r>
        <w:rPr>
          <w:rFonts w:hint="eastAsia" w:ascii="宋体" w:hAnsi="宋体" w:eastAsia="宋体" w:cs="Times New Roman"/>
          <w:b/>
          <w:bCs/>
          <w:color w:val="FF0000"/>
          <w:szCs w:val="21"/>
          <w:lang w:val="en-US" w:eastAsia="zh-CN"/>
        </w:rPr>
        <w:t>日</w:t>
      </w:r>
      <w:r>
        <w:rPr>
          <w:rFonts w:hint="eastAsia" w:ascii="宋体" w:hAnsi="宋体" w:eastAsia="宋体" w:cs="Times New Roman"/>
          <w:b/>
          <w:bCs/>
          <w:color w:val="FF0000"/>
          <w:szCs w:val="21"/>
          <w:u w:val="single"/>
          <w:lang w:val="en-US" w:eastAsia="zh-CN"/>
        </w:rPr>
        <w:t>9</w:t>
      </w:r>
      <w:r>
        <w:rPr>
          <w:rFonts w:hint="eastAsia" w:ascii="宋体" w:hAnsi="宋体" w:eastAsia="宋体" w:cs="Times New Roman"/>
          <w:b/>
          <w:bCs/>
          <w:color w:val="FF0000"/>
          <w:szCs w:val="21"/>
          <w:lang w:val="en-US" w:eastAsia="zh-CN"/>
        </w:rPr>
        <w:t>:</w:t>
      </w:r>
      <w:r>
        <w:rPr>
          <w:rFonts w:hint="eastAsia" w:ascii="宋体" w:hAnsi="宋体" w:eastAsia="宋体" w:cs="Times New Roman"/>
          <w:b/>
          <w:bCs/>
          <w:color w:val="FF0000"/>
          <w:szCs w:val="21"/>
          <w:u w:val="single"/>
          <w:lang w:val="en-US" w:eastAsia="zh-CN"/>
        </w:rPr>
        <w:t>30</w:t>
      </w:r>
      <w:r>
        <w:rPr>
          <w:rFonts w:hint="eastAsia" w:ascii="宋体" w:hAnsi="宋体" w:eastAsia="宋体" w:cs="Times New Roman"/>
          <w:color w:val="auto"/>
          <w:szCs w:val="21"/>
          <w:lang w:val="en-US" w:eastAsia="zh-CN"/>
        </w:rPr>
        <w:t>（北京时间）</w:t>
      </w:r>
      <w:r>
        <w:rPr>
          <w:rFonts w:hint="eastAsia" w:ascii="宋体" w:hAnsi="宋体" w:eastAsia="宋体" w:cs="Times New Roman"/>
          <w:color w:val="auto"/>
          <w:szCs w:val="21"/>
        </w:rPr>
        <w:t>与</w:t>
      </w:r>
      <w:r>
        <w:rPr>
          <w:rFonts w:hint="eastAsia" w:ascii="宋体" w:hAnsi="宋体" w:eastAsia="宋体" w:cs="宋体"/>
          <w:color w:val="auto"/>
          <w:szCs w:val="21"/>
        </w:rPr>
        <w:t>提交投标文件的截止时间一致</w:t>
      </w:r>
      <w:r>
        <w:rPr>
          <w:rFonts w:hint="eastAsia" w:ascii="宋体" w:hAnsi="宋体" w:eastAsia="宋体" w:cs="宋体"/>
          <w:color w:val="auto"/>
          <w:szCs w:val="21"/>
          <w:lang w:eastAsia="zh-CN"/>
        </w:rPr>
        <w:t>；投标人未在开标时间（提交投标文件截止时间）前在交易系统中提交电子投标文件的，其投标文件将被拒收。</w:t>
      </w:r>
      <w:r>
        <w:rPr>
          <w:rFonts w:hint="eastAsia" w:ascii="宋体" w:hAnsi="宋体" w:eastAsia="宋体" w:cs="Times New Roman"/>
          <w:color w:val="auto"/>
          <w:szCs w:val="21"/>
        </w:rPr>
        <w:t xml:space="preserve"> </w:t>
      </w:r>
    </w:p>
    <w:p w14:paraId="698BF268">
      <w:pPr>
        <w:widowControl/>
        <w:numPr>
          <w:ilvl w:val="0"/>
          <w:numId w:val="5"/>
        </w:numPr>
        <w:ind w:firstLine="420"/>
        <w:jc w:val="left"/>
        <w:rPr>
          <w:rFonts w:ascii="Times New Roman" w:hAnsi="Times New Roman" w:eastAsia="宋体" w:cs="Times New Roman"/>
          <w:kern w:val="0"/>
          <w:sz w:val="20"/>
          <w:szCs w:val="20"/>
          <w:highlight w:val="none"/>
          <w:lang w:val="en-US" w:eastAsia="zh-CN" w:bidi="ar-SA"/>
        </w:rPr>
      </w:pPr>
      <w:r>
        <w:rPr>
          <w:rFonts w:hint="eastAsia" w:ascii="宋体" w:hAnsi="宋体" w:eastAsia="宋体" w:cs="宋体"/>
          <w:color w:val="auto"/>
          <w:kern w:val="0"/>
          <w:sz w:val="20"/>
          <w:szCs w:val="21"/>
          <w:highlight w:val="none"/>
          <w:lang w:val="en-US" w:eastAsia="zh-CN" w:bidi="ar-SA"/>
        </w:rPr>
        <w:t>开标地点：邵阳市公共资源交易中心（邵阳市双清区邵阳大道邵阳市公</w:t>
      </w:r>
      <w:r>
        <w:rPr>
          <w:rFonts w:ascii="黑体" w:hAnsi="黑体" w:eastAsia="宋体" w:cs="Times New Roman"/>
          <w:color w:val="auto"/>
          <w:kern w:val="0"/>
          <w:sz w:val="20"/>
          <w:szCs w:val="21"/>
          <w:highlight w:val="none"/>
          <w:lang w:val="en-US" w:eastAsia="zh-CN" w:bidi="ar-SA"/>
        </w:rPr>
        <w:t>共资源交易中心，详见当天电子显示屏）</w:t>
      </w:r>
      <w:r>
        <w:rPr>
          <w:rFonts w:hint="eastAsia" w:ascii="宋体" w:hAnsi="宋体" w:eastAsia="宋体" w:cs="宋体"/>
          <w:color w:val="auto"/>
          <w:kern w:val="0"/>
          <w:sz w:val="20"/>
          <w:szCs w:val="20"/>
          <w:highlight w:val="none"/>
          <w:lang w:val="en-US" w:eastAsia="zh-CN" w:bidi="ar-SA"/>
        </w:rPr>
        <w:t>。</w:t>
      </w:r>
    </w:p>
    <w:p w14:paraId="1A5452DA">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Times New Roman"/>
          <w:b/>
          <w:color w:val="auto"/>
          <w:szCs w:val="21"/>
          <w:lang w:eastAsia="zh-CN"/>
        </w:rPr>
      </w:pPr>
      <w:r>
        <w:rPr>
          <w:rFonts w:hint="eastAsia" w:ascii="宋体" w:hAnsi="宋体" w:eastAsia="宋体" w:cs="Times New Roman"/>
          <w:b/>
          <w:color w:val="auto"/>
          <w:kern w:val="2"/>
          <w:sz w:val="21"/>
          <w:szCs w:val="21"/>
          <w:lang w:val="en-US" w:eastAsia="zh-CN" w:bidi="ar-SA"/>
        </w:rPr>
        <w:t>六、</w:t>
      </w:r>
      <w:r>
        <w:rPr>
          <w:rFonts w:hint="eastAsia" w:ascii="宋体" w:hAnsi="宋体" w:eastAsia="宋体" w:cs="Times New Roman"/>
          <w:b/>
          <w:color w:val="auto"/>
          <w:szCs w:val="21"/>
          <w:lang w:eastAsia="zh-CN"/>
        </w:rPr>
        <w:t>公告期限</w:t>
      </w:r>
    </w:p>
    <w:p w14:paraId="1D52D0F9">
      <w:pPr>
        <w:widowControl/>
        <w:ind w:firstLine="420"/>
        <w:jc w:val="left"/>
        <w:rPr>
          <w:rFonts w:hint="eastAsia" w:ascii="宋体" w:hAnsi="宋体" w:eastAsia="宋体" w:cs="Times New Roman"/>
          <w:color w:val="auto"/>
          <w:kern w:val="0"/>
          <w:sz w:val="20"/>
          <w:szCs w:val="21"/>
          <w:lang w:val="en-US" w:eastAsia="zh-CN" w:bidi="ar-SA"/>
        </w:rPr>
      </w:pPr>
      <w:r>
        <w:rPr>
          <w:rFonts w:hint="eastAsia" w:ascii="宋体" w:hAnsi="宋体" w:eastAsia="宋体" w:cs="Times New Roman"/>
          <w:color w:val="auto"/>
          <w:kern w:val="0"/>
          <w:sz w:val="20"/>
          <w:szCs w:val="21"/>
          <w:lang w:val="en-US" w:eastAsia="zh-CN" w:bidi="ar-SA"/>
        </w:rPr>
        <w:t>1、本招标公告在中国湖南政府采购网（www.ccgp-hunan.gov.cn）发布。公告期限从本招标公告发布之日起5个工作日。</w:t>
      </w:r>
    </w:p>
    <w:p w14:paraId="20D3FC12">
      <w:pPr>
        <w:widowControl/>
        <w:ind w:firstLine="420"/>
        <w:jc w:val="left"/>
        <w:rPr>
          <w:rFonts w:hint="eastAsia" w:ascii="宋体" w:hAnsi="宋体" w:eastAsia="宋体" w:cs="Times New Roman"/>
          <w:color w:val="auto"/>
          <w:kern w:val="0"/>
          <w:sz w:val="20"/>
          <w:szCs w:val="21"/>
          <w:lang w:val="en-US" w:eastAsia="zh-CN" w:bidi="ar-SA"/>
        </w:rPr>
      </w:pPr>
      <w:r>
        <w:rPr>
          <w:rFonts w:hint="eastAsia" w:ascii="宋体" w:hAnsi="宋体" w:eastAsia="宋体" w:cs="Times New Roman"/>
          <w:color w:val="auto"/>
          <w:kern w:val="0"/>
          <w:sz w:val="20"/>
          <w:szCs w:val="21"/>
          <w:lang w:val="en-US" w:eastAsia="zh-CN" w:bidi="ar-SA"/>
        </w:rPr>
        <w:t>2、在其他媒体发布的招标公告，公告内容以本招标公告指定媒体发布的公告为准；公告期限自本招标公告指定媒体最先发布公告之日起算。</w:t>
      </w:r>
    </w:p>
    <w:p w14:paraId="46680802">
      <w:pPr>
        <w:widowControl/>
        <w:ind w:firstLine="420"/>
        <w:jc w:val="left"/>
        <w:rPr>
          <w:rFonts w:hint="eastAsia" w:ascii="宋体" w:hAnsi="宋体" w:eastAsia="宋体" w:cs="Times New Roman"/>
          <w:b/>
          <w:color w:val="auto"/>
          <w:kern w:val="2"/>
          <w:sz w:val="21"/>
          <w:szCs w:val="21"/>
          <w:lang w:val="en-US" w:eastAsia="zh-CN" w:bidi="ar-SA"/>
        </w:rPr>
      </w:pPr>
      <w:r>
        <w:rPr>
          <w:rFonts w:hint="eastAsia" w:ascii="宋体" w:hAnsi="宋体" w:eastAsia="宋体" w:cs="Times New Roman"/>
          <w:b/>
          <w:color w:val="auto"/>
          <w:kern w:val="2"/>
          <w:sz w:val="21"/>
          <w:szCs w:val="21"/>
          <w:lang w:val="en-US" w:eastAsia="zh-CN" w:bidi="ar-SA"/>
        </w:rPr>
        <w:t>七、询问及质疑</w:t>
      </w:r>
    </w:p>
    <w:p w14:paraId="71F1D5E3">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1、投标人对政府采购活动事项如有疑问的，可以向采购人、采购代理机构提出询问。采购人、采购代理机构将在3个工作日内作出答复。</w:t>
      </w:r>
    </w:p>
    <w:p w14:paraId="38CC8727">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2、投标人对电子交易平台办理CA证书、操作等如有疑问，请咨询电子交易平台服务机构。</w:t>
      </w:r>
    </w:p>
    <w:p w14:paraId="247211D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Times New Roman"/>
          <w:color w:val="auto"/>
          <w:szCs w:val="21"/>
        </w:rPr>
      </w:pPr>
      <w:r>
        <w:rPr>
          <w:rFonts w:hint="eastAsia" w:ascii="宋体" w:hAnsi="宋体" w:eastAsia="宋体" w:cs="Times New Roman"/>
          <w:color w:val="auto"/>
          <w:szCs w:val="21"/>
        </w:rPr>
        <w:t>3、潜在投标人认为采购文件或本公告使自己的合法权益受到损害的，可以在收到采购文件之日或本公告期限届满之日起7个工作日内，按《湖南省财政厅关于印发＜政府采购质疑答复和投诉处理操作规程＞的通知》(湘财购〔2024〕67号)规定，以纸质书面形式向采购人、采购代理机构提出质疑。</w:t>
      </w:r>
      <w:r>
        <w:rPr>
          <w:rFonts w:hint="eastAsia" w:ascii="宋体" w:hAnsi="宋体" w:eastAsia="宋体" w:cs="Times New Roman"/>
          <w:color w:val="auto"/>
          <w:szCs w:val="21"/>
          <w:lang w:eastAsia="zh-CN"/>
        </w:rPr>
        <w:t>针对同一采购程序环节的质疑,供应商应在法定质疑期内一次性提出。</w:t>
      </w:r>
    </w:p>
    <w:p w14:paraId="68827487">
      <w:pPr>
        <w:widowControl/>
        <w:spacing w:before="0" w:beforeAutospacing="0" w:after="158" w:afterAutospacing="0" w:line="260" w:lineRule="exact"/>
        <w:ind w:firstLine="482" w:firstLineChars="200"/>
        <w:jc w:val="left"/>
        <w:outlineLvl w:val="1"/>
        <w:rPr>
          <w:rFonts w:hint="eastAsia" w:ascii="宋体" w:hAnsi="宋体" w:eastAsia="宋体" w:cs="宋体"/>
          <w:b/>
          <w:color w:val="auto"/>
          <w:kern w:val="0"/>
          <w:sz w:val="24"/>
          <w:szCs w:val="21"/>
          <w:lang w:val="en-US" w:eastAsia="zh-CN" w:bidi="ar-SA"/>
        </w:rPr>
      </w:pPr>
      <w:bookmarkStart w:id="9" w:name="_Toc26209"/>
      <w:bookmarkStart w:id="10" w:name="_Toc3687"/>
      <w:bookmarkStart w:id="11" w:name="_Toc2754"/>
      <w:r>
        <w:rPr>
          <w:rFonts w:hint="eastAsia" w:ascii="宋体" w:hAnsi="宋体" w:eastAsia="宋体" w:cs="宋体"/>
          <w:b/>
          <w:color w:val="auto"/>
          <w:kern w:val="0"/>
          <w:sz w:val="24"/>
          <w:szCs w:val="21"/>
          <w:lang w:val="en-US" w:eastAsia="zh-CN" w:bidi="ar-SA"/>
        </w:rPr>
        <w:t>八、投标说明</w:t>
      </w:r>
      <w:bookmarkEnd w:id="9"/>
    </w:p>
    <w:p w14:paraId="62AC1CB4">
      <w:pPr>
        <w:widowControl/>
        <w:spacing w:before="0" w:beforeAutospacing="0" w:after="158" w:afterAutospacing="0" w:line="260" w:lineRule="exact"/>
        <w:ind w:firstLine="420" w:firstLineChars="200"/>
        <w:jc w:val="left"/>
        <w:outlineLvl w:val="1"/>
        <w:rPr>
          <w:rFonts w:hint="eastAsia" w:ascii="宋体" w:hAnsi="宋体" w:eastAsia="宋体" w:cs="宋体"/>
          <w:kern w:val="0"/>
          <w:sz w:val="21"/>
          <w:szCs w:val="21"/>
          <w:lang w:val="en-US" w:eastAsia="zh-CN" w:bidi="ar-SA"/>
        </w:rPr>
      </w:pPr>
      <w:bookmarkStart w:id="12" w:name="_Toc16929"/>
      <w:r>
        <w:rPr>
          <w:rFonts w:hint="eastAsia" w:ascii="宋体" w:hAnsi="宋体" w:eastAsia="宋体" w:cs="宋体"/>
          <w:kern w:val="0"/>
          <w:sz w:val="21"/>
          <w:szCs w:val="21"/>
          <w:lang w:val="en-US" w:eastAsia="zh-CN" w:bidi="ar-SA"/>
        </w:rPr>
        <w:t>1、本公告选项：√表示选择，□表示未选择</w:t>
      </w:r>
      <w:bookmarkEnd w:id="10"/>
      <w:bookmarkEnd w:id="11"/>
      <w:bookmarkEnd w:id="12"/>
    </w:p>
    <w:p w14:paraId="567A6381">
      <w:pPr>
        <w:widowControl/>
        <w:spacing w:before="0" w:beforeAutospacing="0" w:after="158" w:afterAutospacing="0" w:line="260" w:lineRule="exact"/>
        <w:ind w:firstLine="420" w:firstLineChars="200"/>
        <w:jc w:val="left"/>
        <w:outlineLvl w:val="1"/>
        <w:rPr>
          <w:rFonts w:hint="eastAsia" w:ascii="宋体" w:hAnsi="宋体" w:eastAsia="宋体" w:cs="宋体"/>
          <w:kern w:val="0"/>
          <w:sz w:val="21"/>
          <w:szCs w:val="21"/>
          <w:lang w:val="en-US" w:eastAsia="zh-CN" w:bidi="ar-SA"/>
        </w:rPr>
      </w:pPr>
      <w:bookmarkStart w:id="13" w:name="_Toc32276"/>
      <w:r>
        <w:rPr>
          <w:rFonts w:hint="eastAsia" w:ascii="宋体" w:hAnsi="宋体" w:eastAsia="宋体" w:cs="宋体"/>
          <w:kern w:val="0"/>
          <w:sz w:val="21"/>
          <w:szCs w:val="21"/>
          <w:lang w:val="en-US" w:eastAsia="zh-CN" w:bidi="ar-SA"/>
        </w:rPr>
        <w:t>2、投标人参与政府采购活动，无需向采购人、代理机构、交易平台缴纳任何费用。</w:t>
      </w:r>
      <w:bookmarkEnd w:id="13"/>
    </w:p>
    <w:p w14:paraId="7C4C3C42">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kern w:val="0"/>
          <w:sz w:val="21"/>
          <w:szCs w:val="21"/>
          <w:highlight w:val="none"/>
          <w:lang w:val="en-US" w:eastAsia="zh-CN" w:bidi="ar-SA"/>
        </w:rPr>
      </w:pPr>
    </w:p>
    <w:p w14:paraId="384A7E58">
      <w:pPr>
        <w:keepNext w:val="0"/>
        <w:keepLines w:val="0"/>
        <w:pageBreakBefore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九、其他补充事宜</w:t>
      </w:r>
    </w:p>
    <w:p w14:paraId="1EE03DCF">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 xml:space="preserve"> 1.本项目对应的中小企业划分标准所属行业：</w:t>
      </w:r>
      <w:r>
        <w:rPr>
          <w:rFonts w:hint="eastAsia" w:asciiTheme="minorEastAsia" w:hAnsiTheme="minorEastAsia" w:eastAsiaTheme="minorEastAsia" w:cstheme="minorEastAsia"/>
          <w:color w:val="auto"/>
          <w:szCs w:val="21"/>
          <w:highlight w:val="none"/>
          <w:lang w:val="en-US" w:eastAsia="zh-CN"/>
        </w:rPr>
        <w:t>信息传输业</w:t>
      </w:r>
    </w:p>
    <w:p w14:paraId="4F311829">
      <w:pPr>
        <w:keepNext w:val="0"/>
        <w:keepLines w:val="0"/>
        <w:pageBreakBefore w:val="0"/>
        <w:kinsoku/>
        <w:wordWrap/>
        <w:overflowPunct/>
        <w:topLinePunct w:val="0"/>
        <w:autoSpaceDE/>
        <w:autoSpaceDN/>
        <w:bidi w:val="0"/>
        <w:adjustRightInd w:val="0"/>
        <w:snapToGrid w:val="0"/>
        <w:spacing w:line="360" w:lineRule="auto"/>
        <w:ind w:firstLine="630" w:firstLineChars="300"/>
        <w:textAlignment w:val="auto"/>
        <w:outlineLvl w:val="9"/>
        <w:rPr>
          <w:rFonts w:hint="eastAsia" w:ascii="宋体" w:hAnsi="宋体" w:eastAsia="宋体" w:cs="宋体"/>
          <w:kern w:val="0"/>
          <w:sz w:val="21"/>
          <w:szCs w:val="21"/>
          <w:highlight w:val="none"/>
          <w:lang w:val="en-US" w:eastAsia="zh-CN" w:bidi="ar-SA"/>
        </w:rPr>
      </w:pPr>
      <w:r>
        <w:rPr>
          <w:rFonts w:hint="eastAsia" w:ascii="宋体" w:hAnsi="宋体" w:eastAsia="宋体" w:cs="Times New Roman"/>
          <w:szCs w:val="21"/>
          <w:lang w:val="en-US" w:eastAsia="zh-CN"/>
        </w:rPr>
        <w:t>2.</w:t>
      </w:r>
      <w:r>
        <w:rPr>
          <w:rFonts w:hint="eastAsia" w:ascii="宋体" w:hAnsi="宋体" w:eastAsia="宋体" w:cs="Times New Roman"/>
          <w:szCs w:val="21"/>
        </w:rPr>
        <w:t>本采购项目</w:t>
      </w:r>
      <w:r>
        <w:rPr>
          <w:rFonts w:hint="eastAsia" w:ascii="宋体" w:hAnsi="宋体" w:eastAsia="宋体" w:cs="Times New Roman"/>
          <w:szCs w:val="21"/>
          <w:u w:val="single"/>
        </w:rPr>
        <w:t>拒绝</w:t>
      </w:r>
      <w:r>
        <w:rPr>
          <w:rFonts w:hint="eastAsia" w:ascii="宋体" w:hAnsi="宋体" w:eastAsia="宋体" w:cs="Times New Roman"/>
          <w:szCs w:val="21"/>
        </w:rPr>
        <w:t>进口产品投标。</w:t>
      </w:r>
    </w:p>
    <w:p w14:paraId="0E0DB873">
      <w:pPr>
        <w:widowControl/>
        <w:spacing w:before="0" w:beforeAutospacing="0" w:after="158" w:afterAutospacing="0" w:line="260" w:lineRule="exact"/>
        <w:jc w:val="left"/>
        <w:rPr>
          <w:rFonts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b/>
          <w:bCs/>
          <w:kern w:val="2"/>
          <w:sz w:val="21"/>
          <w:szCs w:val="21"/>
          <w:highlight w:val="none"/>
          <w:lang w:val="en-US" w:eastAsia="zh-CN" w:bidi="ar-SA"/>
        </w:rPr>
        <w:t>十、凡对本次采购提出询问，请按以下方式联系</w:t>
      </w:r>
    </w:p>
    <w:p w14:paraId="3DB5A798">
      <w:pPr>
        <w:adjustRightInd w:val="0"/>
        <w:snapToGrid w:val="0"/>
        <w:ind w:firstLine="422" w:firstLineChars="200"/>
        <w:rPr>
          <w:rFonts w:hint="eastAsia" w:ascii="宋体" w:hAnsi="宋体" w:eastAsia="宋体" w:cs="Times New Roman"/>
          <w:b/>
          <w:bCs/>
          <w:szCs w:val="21"/>
          <w:highlight w:val="none"/>
        </w:rPr>
      </w:pPr>
      <w:r>
        <w:rPr>
          <w:rFonts w:hint="eastAsia" w:ascii="宋体" w:hAnsi="宋体" w:eastAsia="宋体" w:cs="Times New Roman"/>
          <w:b/>
          <w:bCs/>
          <w:szCs w:val="21"/>
          <w:highlight w:val="none"/>
          <w:lang w:val="en-US" w:eastAsia="zh-CN"/>
        </w:rPr>
        <w:t>1、</w:t>
      </w:r>
      <w:r>
        <w:rPr>
          <w:rFonts w:hint="eastAsia" w:ascii="宋体" w:hAnsi="宋体" w:eastAsia="宋体" w:cs="Times New Roman"/>
          <w:b/>
          <w:bCs/>
          <w:szCs w:val="21"/>
          <w:highlight w:val="none"/>
        </w:rPr>
        <w:t>采购人信息</w:t>
      </w:r>
      <w:r>
        <w:rPr>
          <w:rFonts w:hint="eastAsia" w:ascii="宋体" w:hAnsi="宋体" w:eastAsia="宋体" w:cs="Times New Roman"/>
          <w:b/>
          <w:bCs/>
          <w:szCs w:val="21"/>
          <w:highlight w:val="none"/>
          <w:lang w:eastAsia="zh-CN"/>
        </w:rPr>
        <w:t>及</w:t>
      </w:r>
      <w:r>
        <w:rPr>
          <w:rFonts w:hint="eastAsia" w:ascii="宋体" w:hAnsi="宋体" w:eastAsia="宋体" w:cs="Times New Roman"/>
          <w:b/>
          <w:bCs/>
          <w:szCs w:val="21"/>
          <w:highlight w:val="none"/>
        </w:rPr>
        <w:t>联系方法</w:t>
      </w:r>
    </w:p>
    <w:p w14:paraId="290B25CB">
      <w:pPr>
        <w:adjustRightInd w:val="0"/>
        <w:snapToGrid w:val="0"/>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采购人名称：</w:t>
      </w:r>
      <w:r>
        <w:rPr>
          <w:rFonts w:hint="eastAsia" w:ascii="宋体" w:hAnsi="宋体" w:cs="Times New Roman"/>
          <w:szCs w:val="21"/>
          <w:highlight w:val="none"/>
          <w:lang w:eastAsia="zh-CN"/>
        </w:rPr>
        <w:t>邵阳县公安局</w:t>
      </w:r>
    </w:p>
    <w:p w14:paraId="42BF6266">
      <w:pPr>
        <w:adjustRightInd w:val="0"/>
        <w:snapToGrid w:val="0"/>
        <w:ind w:firstLine="420" w:firstLineChars="200"/>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rPr>
        <w:t>联  系  人：</w:t>
      </w:r>
      <w:r>
        <w:rPr>
          <w:rFonts w:hint="eastAsia" w:asciiTheme="minorEastAsia" w:hAnsiTheme="minorEastAsia" w:eastAsiaTheme="minorEastAsia" w:cstheme="minorEastAsia"/>
          <w:color w:val="auto"/>
          <w:szCs w:val="21"/>
          <w:highlight w:val="none"/>
          <w:lang w:val="en-US" w:eastAsia="zh-CN"/>
        </w:rPr>
        <w:t>粟义毓</w:t>
      </w:r>
    </w:p>
    <w:p w14:paraId="1204D0AB">
      <w:pPr>
        <w:adjustRightInd w:val="0"/>
        <w:snapToGrid w:val="0"/>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宋体" w:hAnsi="宋体" w:eastAsia="宋体" w:cs="Times New Roman"/>
          <w:szCs w:val="21"/>
          <w:highlight w:val="none"/>
        </w:rPr>
        <w:t>电      话：</w:t>
      </w:r>
      <w:r>
        <w:rPr>
          <w:rFonts w:hint="eastAsia" w:asciiTheme="minorEastAsia" w:hAnsiTheme="minorEastAsia" w:eastAsiaTheme="minorEastAsia" w:cstheme="minorEastAsia"/>
          <w:color w:val="auto"/>
          <w:szCs w:val="21"/>
          <w:highlight w:val="none"/>
          <w:lang w:val="en-US" w:eastAsia="zh-CN"/>
        </w:rPr>
        <w:t>13762879923</w:t>
      </w:r>
    </w:p>
    <w:p w14:paraId="628FD15A">
      <w:pPr>
        <w:adjustRightInd w:val="0"/>
        <w:snapToGrid w:val="0"/>
        <w:ind w:firstLine="420" w:firstLineChars="200"/>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rPr>
        <w:t>地      址：</w:t>
      </w:r>
      <w:r>
        <w:rPr>
          <w:rFonts w:hint="eastAsia" w:ascii="宋体" w:hAnsi="宋体" w:cs="Times New Roman"/>
          <w:szCs w:val="21"/>
          <w:highlight w:val="none"/>
          <w:lang w:eastAsia="zh-CN"/>
        </w:rPr>
        <w:t>邵阳县公安局</w:t>
      </w:r>
    </w:p>
    <w:p w14:paraId="2D02D07C">
      <w:pPr>
        <w:adjustRightInd w:val="0"/>
        <w:snapToGrid w:val="0"/>
        <w:ind w:firstLine="422" w:firstLineChars="200"/>
        <w:rPr>
          <w:rFonts w:hint="eastAsia" w:ascii="宋体" w:hAnsi="宋体" w:eastAsia="宋体" w:cs="Times New Roman"/>
          <w:b/>
          <w:bCs/>
          <w:szCs w:val="21"/>
          <w:highlight w:val="none"/>
        </w:rPr>
      </w:pPr>
      <w:r>
        <w:rPr>
          <w:rFonts w:hint="eastAsia" w:ascii="宋体" w:hAnsi="宋体" w:eastAsia="宋体" w:cs="Times New Roman"/>
          <w:b/>
          <w:bCs/>
          <w:szCs w:val="21"/>
          <w:highlight w:val="none"/>
          <w:lang w:val="en-US" w:eastAsia="zh-CN"/>
        </w:rPr>
        <w:t>2、</w:t>
      </w:r>
      <w:r>
        <w:rPr>
          <w:rFonts w:hint="eastAsia" w:ascii="宋体" w:hAnsi="宋体" w:eastAsia="宋体" w:cs="Times New Roman"/>
          <w:b/>
          <w:bCs/>
          <w:szCs w:val="21"/>
          <w:highlight w:val="none"/>
        </w:rPr>
        <w:t>采购代理机构信息</w:t>
      </w:r>
      <w:r>
        <w:rPr>
          <w:rFonts w:hint="eastAsia" w:ascii="宋体" w:hAnsi="宋体" w:eastAsia="宋体" w:cs="Times New Roman"/>
          <w:b/>
          <w:bCs/>
          <w:szCs w:val="21"/>
          <w:highlight w:val="none"/>
          <w:lang w:eastAsia="zh-CN"/>
        </w:rPr>
        <w:t>及</w:t>
      </w:r>
      <w:r>
        <w:rPr>
          <w:rFonts w:hint="eastAsia" w:ascii="宋体" w:hAnsi="宋体" w:eastAsia="宋体" w:cs="Times New Roman"/>
          <w:b/>
          <w:bCs/>
          <w:szCs w:val="21"/>
          <w:highlight w:val="none"/>
        </w:rPr>
        <w:t>联系方法</w:t>
      </w:r>
    </w:p>
    <w:p w14:paraId="6935FE63">
      <w:pPr>
        <w:adjustRightInd w:val="0"/>
        <w:snapToGrid w:val="0"/>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采购代理机构：邵阳市政府采购中心</w:t>
      </w:r>
    </w:p>
    <w:p w14:paraId="60EA4C7B">
      <w:pPr>
        <w:adjustRightInd w:val="0"/>
        <w:snapToGrid w:val="0"/>
        <w:ind w:firstLine="420" w:firstLineChars="200"/>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rPr>
        <w:t xml:space="preserve">联 系 </w:t>
      </w:r>
      <w:r>
        <w:rPr>
          <w:rFonts w:hint="eastAsia" w:ascii="宋体" w:hAnsi="宋体" w:eastAsia="宋体" w:cs="Times New Roman"/>
          <w:szCs w:val="21"/>
          <w:highlight w:val="none"/>
          <w:lang w:val="en-US" w:eastAsia="zh-CN"/>
        </w:rPr>
        <w:t>人：卿佳林</w:t>
      </w:r>
    </w:p>
    <w:p w14:paraId="6C0CA395">
      <w:pPr>
        <w:adjustRightInd w:val="0"/>
        <w:snapToGrid w:val="0"/>
        <w:ind w:firstLine="420" w:firstLineChars="200"/>
        <w:rPr>
          <w:rFonts w:hint="default" w:ascii="宋体" w:hAnsi="宋体" w:eastAsia="宋体" w:cs="Times New Roman"/>
          <w:szCs w:val="21"/>
          <w:highlight w:val="none"/>
          <w:lang w:val="en-US"/>
        </w:rPr>
      </w:pPr>
      <w:r>
        <w:rPr>
          <w:rFonts w:hint="eastAsia" w:ascii="宋体" w:hAnsi="宋体" w:eastAsia="宋体" w:cs="Times New Roman"/>
          <w:szCs w:val="21"/>
          <w:highlight w:val="none"/>
          <w:lang w:val="en-US" w:eastAsia="zh-CN"/>
        </w:rPr>
        <w:t>电话：17775682575</w:t>
      </w:r>
    </w:p>
    <w:p w14:paraId="6F5CB53A">
      <w:pPr>
        <w:adjustRightInd w:val="0"/>
        <w:snapToGrid w:val="0"/>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rPr>
        <w:t>地址：</w:t>
      </w:r>
      <w:r>
        <w:rPr>
          <w:rFonts w:hint="eastAsia" w:ascii="宋体" w:hAnsi="宋体" w:eastAsia="宋体" w:cs="Times New Roman"/>
          <w:szCs w:val="21"/>
          <w:highlight w:val="none"/>
          <w:lang w:eastAsia="zh-CN"/>
        </w:rPr>
        <w:t>邵阳市宝庆中路第437号4栋</w:t>
      </w:r>
    </w:p>
    <w:p w14:paraId="52AB00C8">
      <w:pPr>
        <w:tabs>
          <w:tab w:val="left" w:pos="7555"/>
        </w:tabs>
        <w:adjustRightInd w:val="0"/>
        <w:snapToGrid w:val="0"/>
        <w:ind w:firstLine="422" w:firstLineChars="200"/>
        <w:rPr>
          <w:rFonts w:hint="eastAsia"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3、项目联系方式</w:t>
      </w:r>
      <w:r>
        <w:rPr>
          <w:rFonts w:hint="eastAsia" w:ascii="宋体" w:hAnsi="宋体" w:eastAsia="宋体" w:cs="Times New Roman"/>
          <w:b/>
          <w:bCs/>
          <w:szCs w:val="21"/>
          <w:highlight w:val="none"/>
          <w:lang w:val="en-US" w:eastAsia="zh-CN"/>
        </w:rPr>
        <w:tab/>
      </w:r>
    </w:p>
    <w:p w14:paraId="00435B80">
      <w:pPr>
        <w:adjustRightInd w:val="0"/>
        <w:snapToGrid w:val="0"/>
        <w:ind w:firstLine="420" w:firstLineChars="200"/>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rPr>
        <w:t xml:space="preserve">联 系 </w:t>
      </w:r>
      <w:r>
        <w:rPr>
          <w:rFonts w:hint="eastAsia" w:ascii="宋体" w:hAnsi="宋体" w:eastAsia="宋体" w:cs="Times New Roman"/>
          <w:szCs w:val="21"/>
          <w:highlight w:val="none"/>
          <w:lang w:val="en-US" w:eastAsia="zh-CN"/>
        </w:rPr>
        <w:t>人：卿佳林</w:t>
      </w:r>
    </w:p>
    <w:p w14:paraId="04D40EC2">
      <w:pPr>
        <w:adjustRightInd w:val="0"/>
        <w:snapToGrid w:val="0"/>
        <w:ind w:firstLine="420" w:firstLineChars="200"/>
        <w:rPr>
          <w:rFonts w:hint="default" w:ascii="宋体" w:hAnsi="宋体" w:eastAsia="宋体" w:cs="Times New Roman"/>
          <w:szCs w:val="21"/>
          <w:highlight w:val="none"/>
          <w:lang w:val="en-US"/>
        </w:rPr>
      </w:pPr>
      <w:r>
        <w:rPr>
          <w:rFonts w:hint="eastAsia" w:ascii="宋体" w:hAnsi="宋体" w:eastAsia="宋体" w:cs="Times New Roman"/>
          <w:szCs w:val="21"/>
          <w:highlight w:val="none"/>
          <w:lang w:val="en-US" w:eastAsia="zh-CN"/>
        </w:rPr>
        <w:t>电话：17775682575</w:t>
      </w:r>
    </w:p>
    <w:p w14:paraId="0A3B08BA">
      <w:pPr>
        <w:spacing w:line="360" w:lineRule="auto"/>
        <w:ind w:firstLine="482" w:firstLineChars="200"/>
        <w:rPr>
          <w:rFonts w:ascii="宋体" w:hAnsi="宋体" w:eastAsia="宋体" w:cs="微软雅黑"/>
          <w:b/>
          <w:bCs/>
          <w:kern w:val="0"/>
          <w:position w:val="-1"/>
          <w:sz w:val="24"/>
          <w:szCs w:val="24"/>
          <w:highlight w:val="none"/>
          <w:lang w:val="en-US" w:eastAsia="zh-CN" w:bidi="ar-SA"/>
        </w:rPr>
      </w:pPr>
      <w:r>
        <w:rPr>
          <w:rFonts w:hint="eastAsia" w:ascii="宋体" w:hAnsi="宋体" w:eastAsia="宋体" w:cs="微软雅黑"/>
          <w:b/>
          <w:bCs/>
          <w:kern w:val="0"/>
          <w:position w:val="-1"/>
          <w:sz w:val="24"/>
          <w:szCs w:val="24"/>
          <w:highlight w:val="none"/>
          <w:lang w:val="en-US" w:eastAsia="zh-CN" w:bidi="ar-SA"/>
        </w:rPr>
        <w:t>4、电子交易平台服务机构信息</w:t>
      </w:r>
    </w:p>
    <w:p w14:paraId="20F545DD">
      <w:pPr>
        <w:adjustRightInd w:val="0"/>
        <w:snapToGrid w:val="0"/>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名  称：  国泰新点软件股份有限公司</w:t>
      </w:r>
    </w:p>
    <w:p w14:paraId="751CB560">
      <w:pPr>
        <w:adjustRightInd w:val="0"/>
        <w:snapToGrid w:val="0"/>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 xml:space="preserve">平台统一技术服务电话：4009980000 </w:t>
      </w:r>
    </w:p>
    <w:p w14:paraId="2D0C62F5">
      <w:pPr>
        <w:adjustRightInd w:val="0"/>
        <w:snapToGrid w:val="0"/>
        <w:ind w:firstLine="420" w:firstLineChars="200"/>
        <w:rPr>
          <w:rFonts w:ascii="宋体" w:hAnsi="宋体" w:eastAsia="宋体" w:cs="Times New Roman"/>
          <w:szCs w:val="21"/>
          <w:highlight w:val="none"/>
        </w:rPr>
      </w:pPr>
      <w:r>
        <w:rPr>
          <w:rFonts w:hint="eastAsia" w:ascii="宋体" w:hAnsi="宋体" w:eastAsia="宋体" w:cs="Times New Roman"/>
          <w:szCs w:val="21"/>
          <w:highlight w:val="none"/>
        </w:rPr>
        <w:t>服务时间：周一至周日8:00-17:30</w:t>
      </w:r>
    </w:p>
    <w:p w14:paraId="20D46A34">
      <w:pPr>
        <w:spacing w:after="120" w:line="360" w:lineRule="auto"/>
        <w:rPr>
          <w:rFonts w:ascii="宋体" w:hAnsi="宋体" w:eastAsia="宋体" w:cs="宋体"/>
          <w:szCs w:val="21"/>
        </w:rPr>
      </w:pPr>
    </w:p>
    <w:p w14:paraId="086E74B5">
      <w:pPr>
        <w:spacing w:after="120"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政府采购监管部门：</w:t>
      </w:r>
      <w:r>
        <w:rPr>
          <w:rFonts w:hint="eastAsia" w:ascii="宋体" w:hAnsi="宋体" w:cs="宋体"/>
          <w:szCs w:val="21"/>
          <w:lang w:val="en-US" w:eastAsia="zh-CN"/>
        </w:rPr>
        <w:t>邵阳</w:t>
      </w:r>
      <w:r>
        <w:rPr>
          <w:rFonts w:hint="eastAsia" w:ascii="宋体" w:hAnsi="宋体" w:eastAsia="宋体" w:cs="宋体"/>
          <w:szCs w:val="21"/>
          <w:lang w:eastAsia="zh-CN"/>
        </w:rPr>
        <w:t>县财政局</w:t>
      </w:r>
    </w:p>
    <w:p w14:paraId="41EFBCC8">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rPr>
      </w:pPr>
      <w:bookmarkStart w:id="14" w:name="_Toc28752"/>
    </w:p>
    <w:p w14:paraId="1CA4700C">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rPr>
      </w:pPr>
    </w:p>
    <w:p w14:paraId="0E74596B">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rPr>
      </w:pPr>
    </w:p>
    <w:p w14:paraId="036F7FF1">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rPr>
      </w:pPr>
    </w:p>
    <w:p w14:paraId="5C3103F9">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rPr>
      </w:pPr>
    </w:p>
    <w:p w14:paraId="030FCED4">
      <w:pPr>
        <w:pStyle w:val="2"/>
        <w:numPr>
          <w:ilvl w:val="0"/>
          <w:numId w:val="3"/>
        </w:numPr>
        <w:bidi w:val="0"/>
        <w:rPr>
          <w:rFonts w:hint="eastAsia" w:ascii="Times New Roman" w:hAnsi="Times New Roman" w:eastAsia="宋体"/>
        </w:rPr>
      </w:pPr>
      <w:r>
        <w:rPr>
          <w:rFonts w:hint="eastAsia" w:ascii="Times New Roman" w:hAnsi="Times New Roman" w:eastAsia="宋体"/>
        </w:rPr>
        <w:t xml:space="preserve"> 投标须知</w:t>
      </w:r>
      <w:bookmarkEnd w:id="0"/>
      <w:bookmarkEnd w:id="1"/>
      <w:bookmarkEnd w:id="2"/>
      <w:bookmarkEnd w:id="3"/>
      <w:bookmarkEnd w:id="4"/>
      <w:bookmarkEnd w:id="5"/>
      <w:bookmarkEnd w:id="6"/>
      <w:bookmarkEnd w:id="7"/>
      <w:bookmarkEnd w:id="14"/>
    </w:p>
    <w:p w14:paraId="1D32BE09">
      <w:pPr>
        <w:pStyle w:val="3"/>
        <w:pageBreakBefore w:val="0"/>
        <w:kinsoku/>
        <w:overflowPunct/>
        <w:topLinePunct w:val="0"/>
        <w:bidi w:val="0"/>
        <w:adjustRightInd w:val="0"/>
        <w:snapToGrid w:val="0"/>
        <w:spacing w:line="400" w:lineRule="exact"/>
        <w:jc w:val="center"/>
        <w:rPr>
          <w:rFonts w:hint="eastAsia" w:ascii="仿宋" w:hAnsi="仿宋" w:eastAsia="仿宋_GB2312" w:cs="仿宋"/>
          <w:color w:val="auto"/>
          <w:spacing w:val="100"/>
          <w:sz w:val="28"/>
          <w:szCs w:val="28"/>
          <w:highlight w:val="none"/>
        </w:rPr>
      </w:pPr>
      <w:bookmarkStart w:id="15" w:name="_Toc9679"/>
      <w:r>
        <w:rPr>
          <w:rFonts w:hint="eastAsia" w:ascii="仿宋" w:hAnsi="仿宋" w:eastAsia="仿宋_GB2312" w:cs="仿宋"/>
          <w:color w:val="auto"/>
          <w:sz w:val="28"/>
          <w:szCs w:val="28"/>
          <w:highlight w:val="none"/>
        </w:rPr>
        <w:t>第一节投标须知前附表</w:t>
      </w:r>
      <w:bookmarkEnd w:id="15"/>
    </w:p>
    <w:p w14:paraId="2D1033EC">
      <w:pPr>
        <w:pageBreakBefore w:val="0"/>
        <w:kinsoku/>
        <w:overflowPunct/>
        <w:topLinePunct w:val="0"/>
        <w:bidi w:val="0"/>
        <w:adjustRightInd w:val="0"/>
        <w:snapToGrid w:val="0"/>
        <w:spacing w:line="400" w:lineRule="exact"/>
        <w:ind w:right="31" w:rightChars="15"/>
        <w:jc w:val="right"/>
        <w:rPr>
          <w:rFonts w:hint="eastAsia" w:ascii="仿宋" w:hAnsi="仿宋" w:eastAsia="仿宋" w:cs="仿宋"/>
          <w:iCs/>
          <w:color w:val="auto"/>
          <w:szCs w:val="21"/>
          <w:highlight w:val="none"/>
        </w:rPr>
      </w:pPr>
      <w:r>
        <w:rPr>
          <w:rFonts w:hint="eastAsia" w:ascii="仿宋" w:hAnsi="仿宋" w:eastAsia="仿宋_GB2312" w:cs="仿宋"/>
          <w:iCs/>
          <w:color w:val="auto"/>
          <w:szCs w:val="21"/>
          <w:highlight w:val="none"/>
        </w:rPr>
        <w:t>注：本项目启用的条款在“编列内容规定”栏内以“■”标注。</w:t>
      </w:r>
    </w:p>
    <w:tbl>
      <w:tblPr>
        <w:tblStyle w:val="44"/>
        <w:tblW w:w="893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2003"/>
        <w:gridCol w:w="5368"/>
      </w:tblGrid>
      <w:tr w14:paraId="220C47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blHeader/>
        </w:trPr>
        <w:tc>
          <w:tcPr>
            <w:tcW w:w="1560" w:type="dxa"/>
            <w:vAlign w:val="center"/>
          </w:tcPr>
          <w:p w14:paraId="7EDC08F0">
            <w:pPr>
              <w:pageBreakBefore w:val="0"/>
              <w:kinsoku/>
              <w:overflowPunct/>
              <w:topLinePunct w:val="0"/>
              <w:bidi w:val="0"/>
              <w:adjustRightInd w:val="0"/>
              <w:snapToGrid w:val="0"/>
              <w:spacing w:line="400" w:lineRule="exact"/>
              <w:jc w:val="center"/>
              <w:rPr>
                <w:rFonts w:hint="eastAsia" w:ascii="仿宋" w:hAnsi="仿宋" w:eastAsia="仿宋" w:cs="仿宋"/>
                <w:b/>
                <w:color w:val="auto"/>
                <w:szCs w:val="21"/>
                <w:highlight w:val="none"/>
              </w:rPr>
            </w:pPr>
            <w:r>
              <w:rPr>
                <w:rFonts w:hint="eastAsia" w:ascii="仿宋" w:hAnsi="仿宋" w:eastAsia="仿宋_GB2312" w:cs="仿宋"/>
                <w:b/>
                <w:color w:val="auto"/>
                <w:szCs w:val="21"/>
                <w:highlight w:val="none"/>
              </w:rPr>
              <w:t>条款号</w:t>
            </w:r>
          </w:p>
        </w:tc>
        <w:tc>
          <w:tcPr>
            <w:tcW w:w="2003" w:type="dxa"/>
            <w:vAlign w:val="center"/>
          </w:tcPr>
          <w:p w14:paraId="142FD2AF">
            <w:pPr>
              <w:pageBreakBefore w:val="0"/>
              <w:kinsoku/>
              <w:overflowPunct/>
              <w:topLinePunct w:val="0"/>
              <w:bidi w:val="0"/>
              <w:adjustRightInd w:val="0"/>
              <w:snapToGrid w:val="0"/>
              <w:spacing w:line="400" w:lineRule="exact"/>
              <w:jc w:val="center"/>
              <w:rPr>
                <w:rFonts w:hint="eastAsia" w:ascii="仿宋" w:hAnsi="仿宋" w:eastAsia="仿宋" w:cs="仿宋"/>
                <w:b/>
                <w:color w:val="auto"/>
                <w:szCs w:val="21"/>
                <w:highlight w:val="none"/>
              </w:rPr>
            </w:pPr>
            <w:r>
              <w:rPr>
                <w:rFonts w:hint="eastAsia" w:ascii="仿宋" w:hAnsi="仿宋" w:eastAsia="仿宋_GB2312" w:cs="仿宋"/>
                <w:b/>
                <w:color w:val="auto"/>
                <w:szCs w:val="21"/>
                <w:highlight w:val="none"/>
              </w:rPr>
              <w:t>条款名称</w:t>
            </w:r>
          </w:p>
        </w:tc>
        <w:tc>
          <w:tcPr>
            <w:tcW w:w="5368" w:type="dxa"/>
            <w:vAlign w:val="center"/>
          </w:tcPr>
          <w:p w14:paraId="345D520C">
            <w:pPr>
              <w:pageBreakBefore w:val="0"/>
              <w:kinsoku/>
              <w:overflowPunct/>
              <w:topLinePunct w:val="0"/>
              <w:bidi w:val="0"/>
              <w:adjustRightInd w:val="0"/>
              <w:snapToGrid w:val="0"/>
              <w:spacing w:line="400" w:lineRule="exact"/>
              <w:jc w:val="center"/>
              <w:rPr>
                <w:rFonts w:hint="eastAsia" w:ascii="仿宋" w:hAnsi="仿宋" w:eastAsia="仿宋" w:cs="仿宋"/>
                <w:b/>
                <w:color w:val="auto"/>
                <w:szCs w:val="21"/>
                <w:highlight w:val="none"/>
              </w:rPr>
            </w:pPr>
            <w:r>
              <w:rPr>
                <w:rFonts w:hint="eastAsia" w:ascii="仿宋" w:hAnsi="仿宋" w:eastAsia="仿宋_GB2312" w:cs="仿宋"/>
                <w:b/>
                <w:color w:val="auto"/>
                <w:szCs w:val="21"/>
                <w:highlight w:val="none"/>
              </w:rPr>
              <w:t>编列内容规定</w:t>
            </w:r>
          </w:p>
        </w:tc>
      </w:tr>
      <w:tr w14:paraId="6A4EF0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31" w:type="dxa"/>
            <w:gridSpan w:val="3"/>
            <w:vAlign w:val="center"/>
          </w:tcPr>
          <w:p w14:paraId="52FB7902">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b/>
                <w:color w:val="auto"/>
                <w:szCs w:val="21"/>
                <w:highlight w:val="none"/>
              </w:rPr>
              <w:t>一、说明</w:t>
            </w:r>
          </w:p>
        </w:tc>
      </w:tr>
      <w:tr w14:paraId="725045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2C36E753">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第1.1款</w:t>
            </w:r>
          </w:p>
        </w:tc>
        <w:tc>
          <w:tcPr>
            <w:tcW w:w="2003" w:type="dxa"/>
            <w:vAlign w:val="center"/>
          </w:tcPr>
          <w:p w14:paraId="2986381A">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采购项目</w:t>
            </w:r>
          </w:p>
        </w:tc>
        <w:tc>
          <w:tcPr>
            <w:tcW w:w="5368" w:type="dxa"/>
            <w:vAlign w:val="center"/>
          </w:tcPr>
          <w:p w14:paraId="1B9EC72E">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u w:val="none"/>
                <w:lang w:eastAsia="zh-CN"/>
              </w:rPr>
            </w:pPr>
            <w:r>
              <w:rPr>
                <w:rFonts w:hint="eastAsia" w:ascii="仿宋" w:hAnsi="仿宋" w:eastAsia="仿宋_GB2312" w:cs="仿宋"/>
                <w:color w:val="auto"/>
                <w:kern w:val="2"/>
                <w:sz w:val="21"/>
                <w:szCs w:val="21"/>
                <w:highlight w:val="none"/>
                <w:u w:val="none"/>
                <w:lang w:val="en-US" w:eastAsia="zh-CN" w:bidi="ar-SA"/>
              </w:rPr>
              <w:t>邵阳县平安城市网络租赁费采购项目</w:t>
            </w:r>
          </w:p>
        </w:tc>
      </w:tr>
      <w:tr w14:paraId="0EC668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69BF9AF7">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第1.2款</w:t>
            </w:r>
          </w:p>
        </w:tc>
        <w:tc>
          <w:tcPr>
            <w:tcW w:w="2003" w:type="dxa"/>
            <w:vAlign w:val="center"/>
          </w:tcPr>
          <w:p w14:paraId="5C929F93">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lang w:val="en-US" w:eastAsia="zh-CN"/>
              </w:rPr>
              <w:t>是否</w:t>
            </w:r>
            <w:r>
              <w:rPr>
                <w:rFonts w:hint="eastAsia" w:ascii="仿宋" w:hAnsi="仿宋" w:eastAsia="仿宋_GB2312" w:cs="仿宋"/>
                <w:color w:val="auto"/>
                <w:szCs w:val="21"/>
                <w:highlight w:val="none"/>
              </w:rPr>
              <w:t>专门面向中小企业采购</w:t>
            </w:r>
          </w:p>
        </w:tc>
        <w:tc>
          <w:tcPr>
            <w:tcW w:w="5368" w:type="dxa"/>
            <w:vAlign w:val="center"/>
          </w:tcPr>
          <w:p w14:paraId="4FFC0BB9">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u w:val="none"/>
                <w:lang w:eastAsia="zh-CN"/>
              </w:rPr>
            </w:pPr>
            <w:r>
              <w:rPr>
                <w:rFonts w:hint="eastAsia" w:ascii="仿宋" w:hAnsi="仿宋" w:eastAsia="仿宋_GB2312" w:cs="仿宋"/>
                <w:color w:val="auto"/>
                <w:highlight w:val="none"/>
                <w:u w:val="single"/>
                <w:lang w:eastAsia="zh-CN"/>
              </w:rPr>
              <w:t>非</w:t>
            </w:r>
            <w:r>
              <w:rPr>
                <w:rFonts w:hint="eastAsia" w:ascii="仿宋" w:hAnsi="仿宋" w:eastAsia="仿宋_GB2312" w:cs="仿宋"/>
                <w:color w:val="auto"/>
                <w:highlight w:val="none"/>
                <w:u w:val="single"/>
              </w:rPr>
              <w:t>专门</w:t>
            </w:r>
            <w:r>
              <w:rPr>
                <w:rFonts w:hint="eastAsia" w:ascii="仿宋" w:hAnsi="仿宋" w:eastAsia="仿宋_GB2312" w:cs="仿宋"/>
                <w:color w:val="auto"/>
                <w:highlight w:val="none"/>
              </w:rPr>
              <w:t>面向中小企业采购</w:t>
            </w:r>
            <w:r>
              <w:rPr>
                <w:rFonts w:hint="eastAsia" w:ascii="仿宋" w:hAnsi="仿宋" w:eastAsia="仿宋_GB2312" w:cs="仿宋"/>
                <w:color w:val="auto"/>
                <w:highlight w:val="none"/>
                <w:lang w:eastAsia="zh-CN"/>
              </w:rPr>
              <w:t>，</w:t>
            </w:r>
            <w:r>
              <w:rPr>
                <w:rFonts w:hint="eastAsia" w:ascii="仿宋" w:hAnsi="仿宋" w:eastAsia="仿宋_GB2312" w:cs="仿宋"/>
                <w:i w:val="0"/>
                <w:iCs/>
                <w:color w:val="auto"/>
                <w:szCs w:val="21"/>
                <w:highlight w:val="none"/>
                <w:lang w:eastAsia="zh-CN"/>
              </w:rPr>
              <w:t>给与</w:t>
            </w:r>
            <w:r>
              <w:rPr>
                <w:rFonts w:hint="eastAsia" w:ascii="仿宋" w:hAnsi="仿宋" w:eastAsia="仿宋_GB2312" w:cs="仿宋"/>
                <w:i w:val="0"/>
                <w:iCs/>
                <w:color w:val="auto"/>
                <w:szCs w:val="21"/>
                <w:highlight w:val="none"/>
                <w:lang w:val="en-US" w:eastAsia="zh-CN"/>
              </w:rPr>
              <w:t>小微</w:t>
            </w:r>
            <w:r>
              <w:rPr>
                <w:rFonts w:hint="eastAsia" w:ascii="仿宋" w:hAnsi="仿宋" w:eastAsia="仿宋_GB2312" w:cs="仿宋"/>
                <w:i w:val="0"/>
                <w:iCs/>
                <w:color w:val="auto"/>
                <w:szCs w:val="21"/>
                <w:highlight w:val="none"/>
                <w:lang w:eastAsia="zh-CN"/>
              </w:rPr>
              <w:t>企业</w:t>
            </w:r>
            <w:r>
              <w:rPr>
                <w:rFonts w:hint="eastAsia" w:ascii="仿宋" w:hAnsi="仿宋" w:eastAsia="仿宋_GB2312" w:cs="仿宋"/>
                <w:i w:val="0"/>
                <w:iCs/>
                <w:color w:val="auto"/>
                <w:szCs w:val="21"/>
                <w:highlight w:val="none"/>
                <w:lang w:val="en-US" w:eastAsia="zh-CN"/>
              </w:rPr>
              <w:t>10%的</w:t>
            </w:r>
            <w:r>
              <w:rPr>
                <w:rFonts w:hint="eastAsia" w:ascii="仿宋" w:hAnsi="仿宋" w:eastAsia="仿宋_GB2312" w:cs="仿宋"/>
                <w:i w:val="0"/>
                <w:iCs/>
                <w:color w:val="auto"/>
                <w:szCs w:val="21"/>
                <w:highlight w:val="none"/>
                <w:lang w:eastAsia="zh-CN"/>
              </w:rPr>
              <w:t>价格评审优惠</w:t>
            </w:r>
            <w:r>
              <w:rPr>
                <w:rFonts w:hint="eastAsia" w:ascii="仿宋" w:hAnsi="仿宋" w:eastAsia="仿宋_GB2312" w:cs="仿宋"/>
                <w:i w:val="0"/>
                <w:iCs/>
                <w:color w:val="auto"/>
                <w:szCs w:val="21"/>
                <w:highlight w:val="none"/>
              </w:rPr>
              <w:t>。</w:t>
            </w:r>
          </w:p>
        </w:tc>
      </w:tr>
      <w:tr w14:paraId="0019C8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76B4B897">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第2.2</w:t>
            </w:r>
            <w:r>
              <w:rPr>
                <w:rFonts w:hint="eastAsia" w:ascii="仿宋" w:hAnsi="仿宋" w:eastAsia="仿宋_GB2312" w:cs="仿宋"/>
                <w:color w:val="auto"/>
                <w:kern w:val="0"/>
                <w:szCs w:val="21"/>
                <w:highlight w:val="none"/>
                <w:lang w:val="zh-CN"/>
              </w:rPr>
              <w:t>款</w:t>
            </w:r>
          </w:p>
        </w:tc>
        <w:tc>
          <w:tcPr>
            <w:tcW w:w="2003" w:type="dxa"/>
            <w:vAlign w:val="center"/>
          </w:tcPr>
          <w:p w14:paraId="48937B36">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采购人名称、地址、电话、联系人</w:t>
            </w:r>
          </w:p>
        </w:tc>
        <w:tc>
          <w:tcPr>
            <w:tcW w:w="5368" w:type="dxa"/>
            <w:vAlign w:val="center"/>
          </w:tcPr>
          <w:p w14:paraId="41604318">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u w:val="none"/>
                <w:lang w:eastAsia="zh-CN"/>
              </w:rPr>
            </w:pPr>
            <w:r>
              <w:rPr>
                <w:rFonts w:hint="eastAsia" w:ascii="仿宋" w:hAnsi="仿宋" w:eastAsia="仿宋_GB2312" w:cs="仿宋"/>
                <w:color w:val="auto"/>
                <w:szCs w:val="21"/>
                <w:highlight w:val="none"/>
                <w:u w:val="none"/>
              </w:rPr>
              <w:t>采购人名称：</w:t>
            </w:r>
            <w:r>
              <w:rPr>
                <w:rFonts w:hint="eastAsia" w:ascii="仿宋" w:hAnsi="仿宋" w:eastAsia="仿宋_GB2312" w:cs="仿宋"/>
                <w:bCs w:val="0"/>
                <w:color w:val="auto"/>
                <w:spacing w:val="0"/>
                <w:kern w:val="2"/>
                <w:sz w:val="21"/>
                <w:szCs w:val="21"/>
                <w:highlight w:val="none"/>
                <w:u w:val="none"/>
                <w:lang w:val="en-US" w:eastAsia="zh-CN" w:bidi="ar-SA"/>
              </w:rPr>
              <w:t>邵阳县公安局</w:t>
            </w:r>
          </w:p>
          <w:p w14:paraId="5EA91655">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u w:val="none"/>
                <w:lang w:eastAsia="zh-CN"/>
              </w:rPr>
            </w:pPr>
            <w:r>
              <w:rPr>
                <w:rFonts w:hint="eastAsia" w:ascii="仿宋" w:hAnsi="仿宋" w:eastAsia="仿宋_GB2312" w:cs="仿宋"/>
                <w:color w:val="auto"/>
                <w:szCs w:val="21"/>
                <w:highlight w:val="none"/>
                <w:u w:val="none"/>
              </w:rPr>
              <w:t xml:space="preserve">联  系  人： </w:t>
            </w:r>
            <w:r>
              <w:rPr>
                <w:rFonts w:hint="eastAsia" w:ascii="仿宋" w:hAnsi="仿宋" w:eastAsia="仿宋_GB2312" w:cs="仿宋"/>
                <w:bCs w:val="0"/>
                <w:color w:val="auto"/>
                <w:spacing w:val="0"/>
                <w:kern w:val="2"/>
                <w:sz w:val="21"/>
                <w:szCs w:val="21"/>
                <w:highlight w:val="none"/>
                <w:u w:val="none"/>
                <w:lang w:val="en-US" w:eastAsia="zh-CN" w:bidi="ar-SA"/>
              </w:rPr>
              <w:t>粟义毓</w:t>
            </w:r>
          </w:p>
          <w:p w14:paraId="5C35E9FA">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u w:val="none"/>
                <w:lang w:eastAsia="zh-CN"/>
              </w:rPr>
            </w:pPr>
            <w:r>
              <w:rPr>
                <w:rFonts w:hint="eastAsia" w:ascii="仿宋" w:hAnsi="仿宋" w:eastAsia="仿宋_GB2312" w:cs="仿宋"/>
                <w:color w:val="auto"/>
                <w:szCs w:val="21"/>
                <w:highlight w:val="none"/>
                <w:u w:val="none"/>
              </w:rPr>
              <w:t>电      话：</w:t>
            </w:r>
            <w:r>
              <w:rPr>
                <w:rFonts w:hint="eastAsia" w:ascii="仿宋" w:hAnsi="仿宋" w:eastAsia="仿宋_GB2312" w:cs="仿宋"/>
                <w:bCs w:val="0"/>
                <w:color w:val="auto"/>
                <w:spacing w:val="0"/>
                <w:kern w:val="2"/>
                <w:sz w:val="21"/>
                <w:szCs w:val="21"/>
                <w:highlight w:val="none"/>
                <w:u w:val="none"/>
                <w:lang w:val="en-US" w:eastAsia="zh-CN" w:bidi="ar-SA"/>
              </w:rPr>
              <w:t>13762879923</w:t>
            </w:r>
          </w:p>
        </w:tc>
      </w:tr>
      <w:tr w14:paraId="67AE21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1" w:hRule="atLeast"/>
        </w:trPr>
        <w:tc>
          <w:tcPr>
            <w:tcW w:w="1560" w:type="dxa"/>
            <w:vAlign w:val="center"/>
          </w:tcPr>
          <w:p w14:paraId="25DE4B66">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第2.3</w:t>
            </w:r>
            <w:r>
              <w:rPr>
                <w:rFonts w:hint="eastAsia" w:ascii="仿宋" w:hAnsi="仿宋" w:eastAsia="仿宋_GB2312" w:cs="仿宋"/>
                <w:color w:val="auto"/>
                <w:kern w:val="0"/>
                <w:szCs w:val="21"/>
                <w:highlight w:val="none"/>
                <w:lang w:val="zh-CN"/>
              </w:rPr>
              <w:t>款</w:t>
            </w:r>
          </w:p>
        </w:tc>
        <w:tc>
          <w:tcPr>
            <w:tcW w:w="2003" w:type="dxa"/>
            <w:vAlign w:val="center"/>
          </w:tcPr>
          <w:p w14:paraId="20EF90C0">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采购代理机构名称、地址、电话、联系人</w:t>
            </w:r>
          </w:p>
        </w:tc>
        <w:tc>
          <w:tcPr>
            <w:tcW w:w="5368" w:type="dxa"/>
            <w:vAlign w:val="center"/>
          </w:tcPr>
          <w:p w14:paraId="30192AD5">
            <w:pPr>
              <w:pStyle w:val="16"/>
              <w:pageBreakBefore w:val="0"/>
              <w:kinsoku/>
              <w:overflowPunct/>
              <w:topLinePunct w:val="0"/>
              <w:bidi w:val="0"/>
              <w:spacing w:after="0" w:line="400" w:lineRule="exact"/>
              <w:rPr>
                <w:rFonts w:hint="eastAsia" w:ascii="仿宋" w:hAnsi="仿宋" w:eastAsia="仿宋_GB2312" w:cs="仿宋"/>
                <w:color w:val="auto"/>
                <w:highlight w:val="none"/>
                <w:u w:val="none"/>
              </w:rPr>
            </w:pPr>
            <w:r>
              <w:rPr>
                <w:rFonts w:hint="eastAsia" w:ascii="仿宋" w:hAnsi="仿宋" w:eastAsia="仿宋_GB2312" w:cs="仿宋"/>
                <w:color w:val="auto"/>
                <w:highlight w:val="none"/>
                <w:u w:val="none"/>
              </w:rPr>
              <w:t>采购代理机构：邵阳市政府采购中心</w:t>
            </w:r>
          </w:p>
          <w:p w14:paraId="68C26FEF">
            <w:pPr>
              <w:pStyle w:val="16"/>
              <w:pageBreakBefore w:val="0"/>
              <w:kinsoku/>
              <w:overflowPunct/>
              <w:topLinePunct w:val="0"/>
              <w:bidi w:val="0"/>
              <w:spacing w:after="0" w:line="400" w:lineRule="exact"/>
              <w:rPr>
                <w:rFonts w:hint="eastAsia" w:ascii="仿宋" w:hAnsi="仿宋" w:eastAsia="仿宋_GB2312" w:cs="仿宋"/>
                <w:color w:val="auto"/>
                <w:highlight w:val="none"/>
                <w:u w:val="none"/>
              </w:rPr>
            </w:pPr>
            <w:r>
              <w:rPr>
                <w:rFonts w:hint="eastAsia" w:ascii="仿宋" w:hAnsi="仿宋" w:eastAsia="仿宋_GB2312" w:cs="仿宋"/>
                <w:color w:val="auto"/>
                <w:highlight w:val="none"/>
                <w:u w:val="none"/>
              </w:rPr>
              <w:t>联系人：</w:t>
            </w:r>
            <w:r>
              <w:rPr>
                <w:rFonts w:hint="eastAsia" w:ascii="仿宋" w:hAnsi="仿宋" w:eastAsia="仿宋_GB2312" w:cs="仿宋"/>
                <w:bCs w:val="0"/>
                <w:color w:val="auto"/>
                <w:spacing w:val="0"/>
                <w:kern w:val="2"/>
                <w:sz w:val="21"/>
                <w:szCs w:val="21"/>
                <w:highlight w:val="none"/>
                <w:u w:val="none"/>
                <w:lang w:val="en-US" w:eastAsia="zh-CN" w:bidi="ar-SA"/>
              </w:rPr>
              <w:t>卿佳林</w:t>
            </w:r>
          </w:p>
          <w:p w14:paraId="0BB509E1">
            <w:pPr>
              <w:pStyle w:val="16"/>
              <w:pageBreakBefore w:val="0"/>
              <w:kinsoku/>
              <w:overflowPunct/>
              <w:topLinePunct w:val="0"/>
              <w:bidi w:val="0"/>
              <w:spacing w:after="0" w:line="400" w:lineRule="exact"/>
              <w:rPr>
                <w:rFonts w:hint="eastAsia" w:ascii="仿宋" w:hAnsi="仿宋" w:eastAsia="仿宋_GB2312" w:cs="仿宋"/>
                <w:color w:val="auto"/>
                <w:highlight w:val="none"/>
                <w:u w:val="none"/>
                <w:lang w:val="en-US"/>
              </w:rPr>
            </w:pPr>
            <w:r>
              <w:rPr>
                <w:rFonts w:hint="eastAsia" w:ascii="仿宋" w:hAnsi="仿宋" w:eastAsia="仿宋_GB2312" w:cs="仿宋"/>
                <w:color w:val="auto"/>
                <w:highlight w:val="none"/>
                <w:u w:val="none"/>
              </w:rPr>
              <w:t>电话：</w:t>
            </w:r>
            <w:r>
              <w:rPr>
                <w:rFonts w:hint="eastAsia" w:ascii="仿宋" w:hAnsi="仿宋" w:eastAsia="仿宋_GB2312" w:cs="仿宋"/>
                <w:color w:val="auto"/>
                <w:szCs w:val="21"/>
                <w:highlight w:val="none"/>
                <w:lang w:val="en-US" w:eastAsia="zh-CN"/>
              </w:rPr>
              <w:t>17775682575</w:t>
            </w:r>
          </w:p>
          <w:p w14:paraId="5375104C">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u w:val="none"/>
                <w:lang w:eastAsia="zh-CN"/>
              </w:rPr>
            </w:pPr>
            <w:r>
              <w:rPr>
                <w:rFonts w:hint="eastAsia" w:ascii="仿宋" w:hAnsi="仿宋" w:eastAsia="仿宋_GB2312" w:cs="仿宋"/>
                <w:color w:val="auto"/>
                <w:highlight w:val="none"/>
                <w:u w:val="none"/>
              </w:rPr>
              <w:t>地址：</w:t>
            </w:r>
            <w:r>
              <w:rPr>
                <w:rFonts w:hint="eastAsia" w:ascii="仿宋" w:hAnsi="仿宋" w:eastAsia="仿宋_GB2312" w:cs="仿宋"/>
                <w:color w:val="auto"/>
                <w:highlight w:val="none"/>
                <w:u w:val="none"/>
                <w:lang w:eastAsia="zh-CN"/>
              </w:rPr>
              <w:t>邵阳市宝庆中路第437号4栋</w:t>
            </w:r>
          </w:p>
        </w:tc>
      </w:tr>
      <w:tr w14:paraId="0217C6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1560" w:type="dxa"/>
            <w:vAlign w:val="center"/>
          </w:tcPr>
          <w:p w14:paraId="37DB8CC6">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第2.5</w:t>
            </w:r>
            <w:r>
              <w:rPr>
                <w:rFonts w:hint="eastAsia" w:ascii="仿宋" w:hAnsi="仿宋" w:eastAsia="仿宋_GB2312" w:cs="仿宋"/>
                <w:color w:val="auto"/>
                <w:kern w:val="0"/>
                <w:szCs w:val="21"/>
                <w:highlight w:val="none"/>
                <w:lang w:val="zh-CN"/>
              </w:rPr>
              <w:t>款</w:t>
            </w:r>
          </w:p>
        </w:tc>
        <w:tc>
          <w:tcPr>
            <w:tcW w:w="2003" w:type="dxa"/>
            <w:vAlign w:val="center"/>
          </w:tcPr>
          <w:p w14:paraId="07D34C71">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采购进口产品</w:t>
            </w:r>
          </w:p>
        </w:tc>
        <w:tc>
          <w:tcPr>
            <w:tcW w:w="5368" w:type="dxa"/>
            <w:vAlign w:val="center"/>
          </w:tcPr>
          <w:p w14:paraId="530FE4A8">
            <w:pPr>
              <w:pStyle w:val="16"/>
              <w:pageBreakBefore w:val="0"/>
              <w:kinsoku/>
              <w:overflowPunct/>
              <w:topLinePunct w:val="0"/>
              <w:bidi w:val="0"/>
              <w:spacing w:after="0" w:line="400" w:lineRule="exact"/>
              <w:rPr>
                <w:rFonts w:hint="eastAsia" w:ascii="仿宋" w:hAnsi="仿宋" w:eastAsia="仿宋" w:cs="仿宋"/>
                <w:color w:val="auto"/>
                <w:highlight w:val="none"/>
              </w:rPr>
            </w:pPr>
            <w:r>
              <w:rPr>
                <w:rFonts w:hint="eastAsia" w:ascii="仿宋" w:hAnsi="仿宋" w:eastAsia="仿宋_GB2312" w:cs="仿宋"/>
                <w:color w:val="auto"/>
                <w:highlight w:val="none"/>
              </w:rPr>
              <w:t>不接受</w:t>
            </w:r>
          </w:p>
        </w:tc>
      </w:tr>
      <w:tr w14:paraId="6016E6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1560" w:type="dxa"/>
            <w:vAlign w:val="center"/>
          </w:tcPr>
          <w:p w14:paraId="061137C9">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第3.1</w:t>
            </w:r>
            <w:r>
              <w:rPr>
                <w:rFonts w:hint="eastAsia" w:ascii="仿宋" w:hAnsi="仿宋" w:eastAsia="仿宋_GB2312" w:cs="仿宋"/>
                <w:color w:val="auto"/>
                <w:kern w:val="0"/>
                <w:szCs w:val="21"/>
                <w:highlight w:val="none"/>
                <w:lang w:val="zh-CN"/>
              </w:rPr>
              <w:t>款</w:t>
            </w:r>
          </w:p>
        </w:tc>
        <w:tc>
          <w:tcPr>
            <w:tcW w:w="2003" w:type="dxa"/>
            <w:vAlign w:val="center"/>
          </w:tcPr>
          <w:p w14:paraId="6EF31716">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投标人资格条件</w:t>
            </w:r>
          </w:p>
        </w:tc>
        <w:tc>
          <w:tcPr>
            <w:tcW w:w="5368" w:type="dxa"/>
            <w:vAlign w:val="center"/>
          </w:tcPr>
          <w:p w14:paraId="6FA5A405">
            <w:pPr>
              <w:pageBreakBefore w:val="0"/>
              <w:kinsoku/>
              <w:overflowPunct/>
              <w:topLinePunct w:val="0"/>
              <w:bidi w:val="0"/>
              <w:adjustRightInd w:val="0"/>
              <w:snapToGrid w:val="0"/>
              <w:spacing w:line="400" w:lineRule="exact"/>
              <w:rPr>
                <w:rFonts w:hint="eastAsia" w:ascii="仿宋" w:hAnsi="仿宋" w:eastAsia="仿宋" w:cs="仿宋"/>
                <w:color w:val="auto"/>
                <w:highlight w:val="none"/>
              </w:rPr>
            </w:pPr>
            <w:r>
              <w:rPr>
                <w:rFonts w:hint="eastAsia" w:ascii="仿宋" w:hAnsi="仿宋" w:eastAsia="仿宋_GB2312" w:cs="仿宋"/>
                <w:color w:val="auto"/>
                <w:szCs w:val="21"/>
                <w:highlight w:val="none"/>
                <w:lang w:eastAsia="zh-CN"/>
              </w:rPr>
              <w:t>详见第一章</w:t>
            </w:r>
          </w:p>
        </w:tc>
      </w:tr>
      <w:tr w14:paraId="5E9C6B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vAlign w:val="center"/>
          </w:tcPr>
          <w:p w14:paraId="4801CBA0">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第3.2</w:t>
            </w:r>
            <w:r>
              <w:rPr>
                <w:rFonts w:hint="eastAsia" w:ascii="仿宋" w:hAnsi="仿宋" w:eastAsia="仿宋_GB2312" w:cs="仿宋"/>
                <w:color w:val="auto"/>
                <w:kern w:val="0"/>
                <w:szCs w:val="21"/>
                <w:highlight w:val="none"/>
                <w:lang w:val="zh-CN"/>
              </w:rPr>
              <w:t>款</w:t>
            </w:r>
          </w:p>
        </w:tc>
        <w:tc>
          <w:tcPr>
            <w:tcW w:w="2003" w:type="dxa"/>
            <w:vAlign w:val="center"/>
          </w:tcPr>
          <w:p w14:paraId="196C7787">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接受联合体形式投标</w:t>
            </w:r>
          </w:p>
        </w:tc>
        <w:tc>
          <w:tcPr>
            <w:tcW w:w="5368" w:type="dxa"/>
            <w:vAlign w:val="center"/>
          </w:tcPr>
          <w:p w14:paraId="522842B8">
            <w:pPr>
              <w:pageBreakBefore w:val="0"/>
              <w:kinsoku/>
              <w:overflowPunct/>
              <w:topLinePunct w:val="0"/>
              <w:bidi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 接受</w:t>
            </w:r>
          </w:p>
          <w:p w14:paraId="620BCD94">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 不接受联合体</w:t>
            </w:r>
          </w:p>
        </w:tc>
      </w:tr>
      <w:tr w14:paraId="5DB8E5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0" w:hRule="atLeast"/>
        </w:trPr>
        <w:tc>
          <w:tcPr>
            <w:tcW w:w="1560" w:type="dxa"/>
            <w:vAlign w:val="center"/>
          </w:tcPr>
          <w:p w14:paraId="7E324639">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第5.1</w:t>
            </w:r>
            <w:r>
              <w:rPr>
                <w:rFonts w:hint="eastAsia" w:ascii="仿宋" w:hAnsi="仿宋" w:eastAsia="仿宋_GB2312" w:cs="仿宋"/>
                <w:color w:val="auto"/>
                <w:kern w:val="0"/>
                <w:szCs w:val="21"/>
                <w:highlight w:val="none"/>
                <w:lang w:val="zh-CN"/>
              </w:rPr>
              <w:t>款</w:t>
            </w:r>
          </w:p>
        </w:tc>
        <w:tc>
          <w:tcPr>
            <w:tcW w:w="2003" w:type="dxa"/>
            <w:vAlign w:val="center"/>
          </w:tcPr>
          <w:p w14:paraId="75387C0D">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招标文件提供期限</w:t>
            </w:r>
          </w:p>
        </w:tc>
        <w:tc>
          <w:tcPr>
            <w:tcW w:w="5368" w:type="dxa"/>
            <w:vAlign w:val="center"/>
          </w:tcPr>
          <w:p w14:paraId="296908E9">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详见第一章</w:t>
            </w:r>
          </w:p>
        </w:tc>
      </w:tr>
      <w:tr w14:paraId="6BE863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52" w:hRule="atLeast"/>
        </w:trPr>
        <w:tc>
          <w:tcPr>
            <w:tcW w:w="1560" w:type="dxa"/>
            <w:vAlign w:val="center"/>
          </w:tcPr>
          <w:p w14:paraId="08304913">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第5.2</w:t>
            </w:r>
            <w:r>
              <w:rPr>
                <w:rFonts w:hint="eastAsia" w:ascii="仿宋" w:hAnsi="仿宋" w:eastAsia="仿宋_GB2312" w:cs="仿宋"/>
                <w:color w:val="auto"/>
                <w:kern w:val="0"/>
                <w:szCs w:val="21"/>
                <w:highlight w:val="none"/>
                <w:lang w:val="zh-CN"/>
              </w:rPr>
              <w:t>款</w:t>
            </w:r>
          </w:p>
        </w:tc>
        <w:tc>
          <w:tcPr>
            <w:tcW w:w="2003" w:type="dxa"/>
            <w:vAlign w:val="center"/>
          </w:tcPr>
          <w:p w14:paraId="61708E71">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组织现场考察或者召开答疑会</w:t>
            </w:r>
          </w:p>
        </w:tc>
        <w:tc>
          <w:tcPr>
            <w:tcW w:w="5368" w:type="dxa"/>
            <w:vAlign w:val="center"/>
          </w:tcPr>
          <w:p w14:paraId="6A69B14A">
            <w:pPr>
              <w:pageBreakBefore w:val="0"/>
              <w:kinsoku/>
              <w:overflowPunct/>
              <w:topLinePunct w:val="0"/>
              <w:bidi w:val="0"/>
              <w:spacing w:line="400" w:lineRule="exact"/>
              <w:rPr>
                <w:rFonts w:hint="eastAsia" w:ascii="仿宋" w:hAnsi="仿宋" w:eastAsia="仿宋_GB2312" w:cs="仿宋"/>
                <w:color w:val="auto"/>
                <w:szCs w:val="21"/>
                <w:highlight w:val="none"/>
                <w:lang w:eastAsia="zh-CN"/>
              </w:rPr>
            </w:pPr>
            <w:r>
              <w:rPr>
                <w:rFonts w:hint="eastAsia" w:ascii="仿宋" w:hAnsi="仿宋" w:eastAsia="仿宋_GB2312" w:cs="仿宋"/>
                <w:color w:val="auto"/>
                <w:szCs w:val="21"/>
                <w:highlight w:val="none"/>
              </w:rPr>
              <w:t>■ 采购人不组织</w:t>
            </w:r>
            <w:r>
              <w:rPr>
                <w:rFonts w:hint="eastAsia" w:ascii="仿宋" w:hAnsi="仿宋" w:eastAsia="仿宋_GB2312" w:cs="仿宋"/>
                <w:color w:val="auto"/>
                <w:szCs w:val="21"/>
                <w:highlight w:val="none"/>
                <w:lang w:eastAsia="zh-CN"/>
              </w:rPr>
              <w:t>，潜在供应商可自行前往。</w:t>
            </w:r>
          </w:p>
          <w:p w14:paraId="624FA945">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 采购人组织，时间：投标截止时间前， 地点：/。</w:t>
            </w:r>
          </w:p>
        </w:tc>
      </w:tr>
      <w:tr w14:paraId="5A121A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31" w:type="dxa"/>
            <w:gridSpan w:val="3"/>
            <w:vAlign w:val="center"/>
          </w:tcPr>
          <w:p w14:paraId="24B54E2C">
            <w:pPr>
              <w:pageBreakBefore w:val="0"/>
              <w:kinsoku/>
              <w:overflowPunct/>
              <w:topLinePunct w:val="0"/>
              <w:bidi w:val="0"/>
              <w:adjustRightInd w:val="0"/>
              <w:snapToGrid w:val="0"/>
              <w:spacing w:line="400" w:lineRule="exact"/>
              <w:rPr>
                <w:rFonts w:hint="eastAsia" w:ascii="仿宋" w:hAnsi="仿宋" w:eastAsia="仿宋" w:cs="仿宋"/>
                <w:b/>
                <w:color w:val="auto"/>
                <w:szCs w:val="21"/>
                <w:highlight w:val="none"/>
              </w:rPr>
            </w:pPr>
            <w:r>
              <w:rPr>
                <w:rFonts w:hint="eastAsia" w:ascii="仿宋" w:hAnsi="仿宋" w:eastAsia="仿宋_GB2312" w:cs="仿宋"/>
                <w:b/>
                <w:color w:val="auto"/>
                <w:szCs w:val="21"/>
                <w:highlight w:val="none"/>
              </w:rPr>
              <w:t>二、招标文件</w:t>
            </w:r>
          </w:p>
        </w:tc>
      </w:tr>
      <w:tr w14:paraId="25F3B6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1560" w:type="dxa"/>
            <w:vAlign w:val="center"/>
          </w:tcPr>
          <w:p w14:paraId="13A4D04A">
            <w:pPr>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第7.4</w:t>
            </w:r>
            <w:r>
              <w:rPr>
                <w:rFonts w:hint="eastAsia" w:asciiTheme="minorEastAsia" w:hAnsiTheme="minorEastAsia" w:eastAsiaTheme="minorEastAsia" w:cstheme="minorEastAsia"/>
                <w:color w:val="auto"/>
                <w:kern w:val="0"/>
                <w:szCs w:val="21"/>
                <w:highlight w:val="none"/>
                <w:lang w:val="zh-CN"/>
              </w:rPr>
              <w:t>款</w:t>
            </w:r>
          </w:p>
        </w:tc>
        <w:tc>
          <w:tcPr>
            <w:tcW w:w="2003" w:type="dxa"/>
            <w:vAlign w:val="center"/>
          </w:tcPr>
          <w:p w14:paraId="68D02E3B">
            <w:pPr>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非实质性偏离的范围和幅度</w:t>
            </w:r>
          </w:p>
        </w:tc>
        <w:tc>
          <w:tcPr>
            <w:tcW w:w="5368" w:type="dxa"/>
            <w:vAlign w:val="center"/>
          </w:tcPr>
          <w:p w14:paraId="32D19F1A">
            <w:pPr>
              <w:pageBreakBefore w:val="0"/>
              <w:kinsoku/>
              <w:overflowPunct/>
              <w:topLinePunct w:val="0"/>
              <w:bidi w:val="0"/>
              <w:adjustRightInd w:val="0"/>
              <w:snapToGrid w:val="0"/>
              <w:spacing w:line="400" w:lineRule="exact"/>
              <w:ind w:left="105" w:hanging="105" w:hangingChars="5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一般商务和技术条款（参数），偏离项数之和</w:t>
            </w:r>
            <w:r>
              <w:rPr>
                <w:rFonts w:hint="eastAsia" w:asciiTheme="minorEastAsia" w:hAnsiTheme="minorEastAsia" w:eastAsiaTheme="minorEastAsia" w:cstheme="minorEastAsia"/>
                <w:color w:val="auto"/>
                <w:szCs w:val="21"/>
                <w:highlight w:val="none"/>
                <w:lang w:val="en-US" w:eastAsia="zh-CN"/>
              </w:rPr>
              <w:t>&gt;10</w:t>
            </w:r>
            <w:r>
              <w:rPr>
                <w:rFonts w:hint="eastAsia" w:asciiTheme="minorEastAsia" w:hAnsiTheme="minorEastAsia" w:eastAsiaTheme="minorEastAsia" w:cstheme="minorEastAsia"/>
                <w:color w:val="auto"/>
                <w:szCs w:val="21"/>
                <w:highlight w:val="none"/>
              </w:rPr>
              <w:t>项将导致无效投标,相同内容的条款不重复计算项数。</w:t>
            </w:r>
          </w:p>
          <w:p w14:paraId="1FBCA04A">
            <w:pPr>
              <w:pageBreakBefore w:val="0"/>
              <w:kinsoku/>
              <w:overflowPunct/>
              <w:topLinePunct w:val="0"/>
              <w:bidi w:val="0"/>
              <w:adjustRightInd w:val="0"/>
              <w:snapToGrid w:val="0"/>
              <w:spacing w:line="400" w:lineRule="exact"/>
              <w:ind w:left="105" w:hanging="105" w:hangingChars="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注：带“</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”条款为必须满足的商务或技术服务要求（参数），不满足视为投标无效。</w:t>
            </w:r>
          </w:p>
        </w:tc>
      </w:tr>
      <w:tr w14:paraId="3B048C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1" w:hRule="atLeast"/>
        </w:trPr>
        <w:tc>
          <w:tcPr>
            <w:tcW w:w="1560" w:type="dxa"/>
            <w:vAlign w:val="center"/>
          </w:tcPr>
          <w:p w14:paraId="6AD38E4C">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第9.1</w:t>
            </w:r>
            <w:r>
              <w:rPr>
                <w:rFonts w:hint="eastAsia" w:ascii="仿宋" w:hAnsi="仿宋" w:eastAsia="仿宋_GB2312" w:cs="仿宋"/>
                <w:color w:val="auto"/>
                <w:kern w:val="0"/>
                <w:szCs w:val="21"/>
                <w:highlight w:val="none"/>
                <w:lang w:val="zh-CN"/>
              </w:rPr>
              <w:t>款</w:t>
            </w:r>
          </w:p>
        </w:tc>
        <w:tc>
          <w:tcPr>
            <w:tcW w:w="2003" w:type="dxa"/>
            <w:vAlign w:val="center"/>
          </w:tcPr>
          <w:p w14:paraId="734F2F84">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招标公告指定媒体</w:t>
            </w:r>
          </w:p>
        </w:tc>
        <w:tc>
          <w:tcPr>
            <w:tcW w:w="5368" w:type="dxa"/>
            <w:vAlign w:val="center"/>
          </w:tcPr>
          <w:p w14:paraId="6AC32EE3">
            <w:pPr>
              <w:pageBreakBefore w:val="0"/>
              <w:kinsoku/>
              <w:overflowPunct/>
              <w:topLinePunct w:val="0"/>
              <w:bidi w:val="0"/>
              <w:adjustRightInd w:val="0"/>
              <w:snapToGrid w:val="0"/>
              <w:spacing w:line="400" w:lineRule="exact"/>
              <w:ind w:left="105" w:hanging="105" w:hangingChars="50"/>
              <w:rPr>
                <w:rFonts w:hint="eastAsia" w:ascii="仿宋" w:hAnsi="仿宋" w:eastAsia="仿宋_GB2312" w:cs="仿宋"/>
                <w:color w:val="auto"/>
                <w:highlight w:val="none"/>
              </w:rPr>
            </w:pPr>
            <w:r>
              <w:rPr>
                <w:rFonts w:hint="eastAsia" w:ascii="仿宋" w:hAnsi="仿宋" w:eastAsia="仿宋_GB2312" w:cs="仿宋"/>
                <w:color w:val="auto"/>
                <w:highlight w:val="none"/>
              </w:rPr>
              <w:t>中国湖南政府采购网(www.ccgp-hunan.gov.cn)</w:t>
            </w:r>
          </w:p>
          <w:p w14:paraId="6A9A83E3">
            <w:pPr>
              <w:pageBreakBefore w:val="0"/>
              <w:kinsoku/>
              <w:overflowPunct/>
              <w:topLinePunct w:val="0"/>
              <w:bidi w:val="0"/>
              <w:adjustRightInd w:val="0"/>
              <w:snapToGrid w:val="0"/>
              <w:spacing w:line="400" w:lineRule="exact"/>
              <w:ind w:left="105" w:hanging="105" w:hangingChars="50"/>
              <w:rPr>
                <w:rFonts w:hint="eastAsia" w:ascii="仿宋" w:hAnsi="仿宋" w:eastAsia="仿宋" w:cs="仿宋"/>
                <w:color w:val="auto"/>
                <w:highlight w:val="none"/>
              </w:rPr>
            </w:pPr>
            <w:r>
              <w:rPr>
                <w:rFonts w:hint="eastAsia" w:ascii="仿宋" w:hAnsi="仿宋" w:eastAsia="仿宋_GB2312" w:cs="仿宋"/>
                <w:color w:val="auto"/>
                <w:highlight w:val="none"/>
              </w:rPr>
              <w:t>邵阳市公共资源交易中心</w:t>
            </w:r>
          </w:p>
        </w:tc>
      </w:tr>
      <w:tr w14:paraId="2B3E64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31" w:type="dxa"/>
            <w:gridSpan w:val="3"/>
            <w:vAlign w:val="center"/>
          </w:tcPr>
          <w:p w14:paraId="50117F43">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b/>
                <w:color w:val="auto"/>
                <w:szCs w:val="21"/>
                <w:highlight w:val="none"/>
              </w:rPr>
              <w:t>三、投标文件</w:t>
            </w:r>
          </w:p>
        </w:tc>
      </w:tr>
      <w:tr w14:paraId="714304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0423A89D">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第13.2</w:t>
            </w:r>
            <w:r>
              <w:rPr>
                <w:rFonts w:hint="eastAsia" w:ascii="仿宋" w:hAnsi="仿宋" w:eastAsia="仿宋_GB2312" w:cs="仿宋"/>
                <w:color w:val="auto"/>
                <w:kern w:val="0"/>
                <w:szCs w:val="21"/>
                <w:highlight w:val="none"/>
                <w:lang w:val="zh-CN"/>
              </w:rPr>
              <w:t>款</w:t>
            </w:r>
          </w:p>
        </w:tc>
        <w:tc>
          <w:tcPr>
            <w:tcW w:w="2003" w:type="dxa"/>
            <w:vAlign w:val="center"/>
          </w:tcPr>
          <w:p w14:paraId="0BDC4ED6">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采购预算、最高限价</w:t>
            </w:r>
          </w:p>
        </w:tc>
        <w:tc>
          <w:tcPr>
            <w:tcW w:w="5368" w:type="dxa"/>
            <w:vAlign w:val="center"/>
          </w:tcPr>
          <w:p w14:paraId="3F33BDDB">
            <w:pPr>
              <w:pageBreakBefore w:val="0"/>
              <w:kinsoku/>
              <w:overflowPunct/>
              <w:topLinePunct w:val="0"/>
              <w:bidi w:val="0"/>
              <w:adjustRightInd w:val="0"/>
              <w:snapToGrid w:val="0"/>
              <w:spacing w:line="400" w:lineRule="exact"/>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包HNSZZFCG-2026-0484-01（邵阳县平安城市网络租赁费采购项目包1）1089900.00元人民币/一年</w:t>
            </w:r>
          </w:p>
          <w:p w14:paraId="35100933">
            <w:pPr>
              <w:pageBreakBefore w:val="0"/>
              <w:kinsoku/>
              <w:overflowPunct/>
              <w:topLinePunct w:val="0"/>
              <w:bidi w:val="0"/>
              <w:adjustRightInd w:val="0"/>
              <w:snapToGrid w:val="0"/>
              <w:spacing w:line="400" w:lineRule="exact"/>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包HNSZZFCG-2026-0484-02（邵阳县平安城市网络租赁费采购项目包2）533700.00元人民币/一年</w:t>
            </w:r>
          </w:p>
          <w:p w14:paraId="7926349B">
            <w:pPr>
              <w:pageBreakBefore w:val="0"/>
              <w:kinsoku/>
              <w:overflowPunct/>
              <w:topLinePunct w:val="0"/>
              <w:bidi w:val="0"/>
              <w:adjustRightInd w:val="0"/>
              <w:snapToGrid w:val="0"/>
              <w:spacing w:line="400" w:lineRule="exact"/>
              <w:rPr>
                <w:rFonts w:hint="default" w:ascii="仿宋" w:hAnsi="仿宋" w:eastAsia="仿宋" w:cs="仿宋"/>
                <w:b/>
                <w:bCs/>
                <w:color w:val="auto"/>
                <w:szCs w:val="21"/>
                <w:highlight w:val="none"/>
                <w:lang w:val="en-US"/>
              </w:rPr>
            </w:pPr>
            <w:r>
              <w:rPr>
                <w:rFonts w:hint="eastAsia" w:ascii="仿宋" w:hAnsi="仿宋" w:eastAsia="仿宋_GB2312" w:cs="仿宋"/>
                <w:color w:val="auto"/>
                <w:highlight w:val="none"/>
                <w:lang w:eastAsia="zh-CN"/>
              </w:rPr>
              <w:t>包HNSZZFCG-2026-0484-03（邵阳县平安城市网络租赁费采购项目包3）499500.00元人民币/一年</w:t>
            </w:r>
          </w:p>
        </w:tc>
      </w:tr>
      <w:tr w14:paraId="375FCD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2E819786">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第13.8款</w:t>
            </w:r>
          </w:p>
        </w:tc>
        <w:tc>
          <w:tcPr>
            <w:tcW w:w="2003" w:type="dxa"/>
            <w:vAlign w:val="center"/>
          </w:tcPr>
          <w:p w14:paraId="2DF01BC9">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投标报价的其他要求</w:t>
            </w:r>
          </w:p>
        </w:tc>
        <w:tc>
          <w:tcPr>
            <w:tcW w:w="5368" w:type="dxa"/>
            <w:vAlign w:val="center"/>
          </w:tcPr>
          <w:p w14:paraId="4F07B812">
            <w:pPr>
              <w:pageBreakBefore w:val="0"/>
              <w:kinsoku/>
              <w:overflowPunct/>
              <w:topLinePunct w:val="0"/>
              <w:bidi w:val="0"/>
              <w:adjustRightInd w:val="0"/>
              <w:snapToGrid w:val="0"/>
              <w:spacing w:line="400" w:lineRule="exact"/>
              <w:rPr>
                <w:rFonts w:hint="default" w:ascii="仿宋" w:hAnsi="仿宋" w:eastAsia="仿宋" w:cs="仿宋"/>
                <w:color w:val="auto"/>
                <w:szCs w:val="21"/>
                <w:highlight w:val="none"/>
                <w:lang w:val="en-US" w:eastAsia="zh-CN"/>
              </w:rPr>
            </w:pPr>
            <w:r>
              <w:rPr>
                <w:rFonts w:hint="eastAsia" w:ascii="仿宋" w:hAnsi="仿宋" w:eastAsia="仿宋_GB2312" w:cs="仿宋"/>
                <w:color w:val="auto"/>
                <w:szCs w:val="21"/>
                <w:highlight w:val="none"/>
                <w:lang w:val="en-US" w:eastAsia="zh-CN"/>
              </w:rPr>
              <w:t>1、</w:t>
            </w:r>
            <w:r>
              <w:rPr>
                <w:rFonts w:hint="eastAsia" w:ascii="仿宋" w:hAnsi="仿宋" w:eastAsia="仿宋_GB2312" w:cs="仿宋"/>
                <w:color w:val="auto"/>
                <w:szCs w:val="21"/>
                <w:highlight w:val="none"/>
              </w:rPr>
              <w:t>投标报价超过采购预算、最高限价的按无效投标处理</w:t>
            </w:r>
            <w:r>
              <w:rPr>
                <w:rFonts w:hint="eastAsia" w:ascii="仿宋" w:hAnsi="仿宋" w:eastAsia="仿宋_GB2312" w:cs="仿宋"/>
                <w:color w:val="auto"/>
                <w:szCs w:val="21"/>
                <w:highlight w:val="none"/>
                <w:lang w:eastAsia="zh-CN"/>
              </w:rPr>
              <w:t>；</w:t>
            </w:r>
            <w:r>
              <w:rPr>
                <w:rFonts w:hint="eastAsia" w:ascii="仿宋" w:hAnsi="仿宋" w:eastAsia="仿宋_GB2312" w:cs="仿宋"/>
                <w:color w:val="auto"/>
                <w:szCs w:val="21"/>
                <w:highlight w:val="none"/>
                <w:lang w:val="en-US" w:eastAsia="zh-CN"/>
              </w:rPr>
              <w:t>2、按每年度费用进行报价。</w:t>
            </w:r>
          </w:p>
        </w:tc>
      </w:tr>
      <w:tr w14:paraId="6137EB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1560" w:type="dxa"/>
            <w:vAlign w:val="center"/>
          </w:tcPr>
          <w:p w14:paraId="7E646D4C">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第14.1款</w:t>
            </w:r>
          </w:p>
        </w:tc>
        <w:tc>
          <w:tcPr>
            <w:tcW w:w="2003" w:type="dxa"/>
            <w:vAlign w:val="center"/>
          </w:tcPr>
          <w:p w14:paraId="4BCD1E98">
            <w:pPr>
              <w:pageBreakBefore w:val="0"/>
              <w:kinsoku/>
              <w:overflowPunct/>
              <w:topLinePunct w:val="0"/>
              <w:bidi w:val="0"/>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_GB2312" w:cs="仿宋"/>
                <w:color w:val="auto"/>
                <w:szCs w:val="21"/>
                <w:highlight w:val="none"/>
              </w:rPr>
              <w:t>投标人应提供资格审查资料</w:t>
            </w:r>
          </w:p>
        </w:tc>
        <w:tc>
          <w:tcPr>
            <w:tcW w:w="5368" w:type="dxa"/>
            <w:vAlign w:val="center"/>
          </w:tcPr>
          <w:p w14:paraId="173A317A">
            <w:pPr>
              <w:pageBreakBefore w:val="0"/>
              <w:widowControl/>
              <w:kinsoku/>
              <w:overflowPunct/>
              <w:topLinePunct w:val="0"/>
              <w:bidi w:val="0"/>
              <w:spacing w:line="400" w:lineRule="exact"/>
              <w:jc w:val="left"/>
              <w:rPr>
                <w:rFonts w:hint="eastAsia" w:ascii="仿宋" w:hAnsi="仿宋" w:eastAsia="仿宋" w:cs="仿宋"/>
                <w:color w:val="auto"/>
                <w:highlight w:val="none"/>
              </w:rPr>
            </w:pPr>
            <w:r>
              <w:rPr>
                <w:rFonts w:hint="eastAsia" w:ascii="仿宋" w:hAnsi="仿宋" w:eastAsia="仿宋_GB2312" w:cs="仿宋"/>
                <w:color w:val="auto"/>
                <w:highlight w:val="none"/>
              </w:rPr>
              <w:t>详见《资格审查表》</w:t>
            </w:r>
          </w:p>
        </w:tc>
      </w:tr>
      <w:tr w14:paraId="0E249C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497798B3">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第16.1</w:t>
            </w:r>
            <w:r>
              <w:rPr>
                <w:rFonts w:hint="eastAsia" w:ascii="仿宋" w:hAnsi="仿宋" w:eastAsia="仿宋_GB2312" w:cs="仿宋"/>
                <w:color w:val="auto"/>
                <w:kern w:val="0"/>
                <w:szCs w:val="21"/>
                <w:highlight w:val="none"/>
                <w:lang w:val="zh-CN"/>
              </w:rPr>
              <w:t>款</w:t>
            </w:r>
          </w:p>
        </w:tc>
        <w:tc>
          <w:tcPr>
            <w:tcW w:w="2003" w:type="dxa"/>
            <w:vAlign w:val="center"/>
          </w:tcPr>
          <w:p w14:paraId="1063CD46">
            <w:pPr>
              <w:pageBreakBefore w:val="0"/>
              <w:kinsoku/>
              <w:overflowPunct/>
              <w:topLinePunct w:val="0"/>
              <w:bidi w:val="0"/>
              <w:adjustRightInd w:val="0"/>
              <w:snapToGrid w:val="0"/>
              <w:spacing w:line="400" w:lineRule="exact"/>
              <w:jc w:val="left"/>
              <w:rPr>
                <w:rFonts w:hint="eastAsia" w:ascii="仿宋" w:hAnsi="仿宋" w:eastAsia="仿宋" w:cs="仿宋"/>
                <w:bCs/>
                <w:color w:val="auto"/>
                <w:szCs w:val="21"/>
                <w:highlight w:val="none"/>
              </w:rPr>
            </w:pPr>
            <w:r>
              <w:rPr>
                <w:rFonts w:hint="eastAsia" w:ascii="仿宋" w:hAnsi="仿宋" w:eastAsia="仿宋_GB2312" w:cs="仿宋"/>
                <w:bCs/>
                <w:color w:val="auto"/>
                <w:szCs w:val="21"/>
                <w:highlight w:val="none"/>
              </w:rPr>
              <w:t>投标有效期</w:t>
            </w:r>
          </w:p>
        </w:tc>
        <w:tc>
          <w:tcPr>
            <w:tcW w:w="5368" w:type="dxa"/>
            <w:vAlign w:val="center"/>
          </w:tcPr>
          <w:p w14:paraId="164808BF">
            <w:pPr>
              <w:pageBreakBefore w:val="0"/>
              <w:kinsoku/>
              <w:overflowPunct/>
              <w:topLinePunct w:val="0"/>
              <w:bidi w:val="0"/>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_GB2312" w:cs="仿宋"/>
                <w:bCs/>
                <w:color w:val="auto"/>
                <w:szCs w:val="21"/>
                <w:highlight w:val="none"/>
              </w:rPr>
              <w:t>90日历日</w:t>
            </w:r>
          </w:p>
        </w:tc>
      </w:tr>
      <w:tr w14:paraId="5EC5B6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7A3A254D">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第17.1</w:t>
            </w:r>
            <w:r>
              <w:rPr>
                <w:rFonts w:hint="eastAsia" w:ascii="仿宋" w:hAnsi="仿宋" w:eastAsia="仿宋_GB2312" w:cs="仿宋"/>
                <w:color w:val="auto"/>
                <w:kern w:val="0"/>
                <w:szCs w:val="21"/>
                <w:highlight w:val="none"/>
                <w:lang w:val="zh-CN"/>
              </w:rPr>
              <w:t>款</w:t>
            </w:r>
          </w:p>
        </w:tc>
        <w:tc>
          <w:tcPr>
            <w:tcW w:w="2003" w:type="dxa"/>
            <w:vAlign w:val="center"/>
          </w:tcPr>
          <w:p w14:paraId="3E3739A9">
            <w:pPr>
              <w:pageBreakBefore w:val="0"/>
              <w:kinsoku/>
              <w:overflowPunct/>
              <w:topLinePunct w:val="0"/>
              <w:bidi w:val="0"/>
              <w:adjustRightInd w:val="0"/>
              <w:snapToGrid w:val="0"/>
              <w:spacing w:line="400" w:lineRule="exact"/>
              <w:ind w:left="-533" w:leftChars="-254" w:firstLine="533" w:firstLineChars="254"/>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投标保证金</w:t>
            </w:r>
          </w:p>
        </w:tc>
        <w:tc>
          <w:tcPr>
            <w:tcW w:w="5368" w:type="dxa"/>
            <w:vAlign w:val="center"/>
          </w:tcPr>
          <w:p w14:paraId="172BB6BB">
            <w:pPr>
              <w:pStyle w:val="71"/>
              <w:pageBreakBefore w:val="0"/>
              <w:kinsoku/>
              <w:overflowPunct/>
              <w:topLinePunct w:val="0"/>
              <w:bidi w:val="0"/>
              <w:spacing w:line="400" w:lineRule="exact"/>
              <w:ind w:left="0" w:leftChars="0" w:firstLine="0" w:firstLineChars="0"/>
              <w:rPr>
                <w:rFonts w:hint="eastAsia" w:ascii="仿宋" w:hAnsi="仿宋" w:eastAsia="仿宋" w:cs="仿宋"/>
                <w:color w:val="auto"/>
                <w:highlight w:val="none"/>
                <w:lang w:eastAsia="zh-CN"/>
              </w:rPr>
            </w:pPr>
            <w:r>
              <w:rPr>
                <w:rFonts w:hint="eastAsia" w:ascii="仿宋" w:hAnsi="仿宋" w:eastAsia="仿宋_GB2312" w:cs="仿宋"/>
                <w:color w:val="auto"/>
                <w:highlight w:val="none"/>
                <w:lang w:eastAsia="zh-CN"/>
              </w:rPr>
              <w:t>本项目不要求提交保证金，供应商须提交</w:t>
            </w:r>
            <w:r>
              <w:rPr>
                <w:rFonts w:hint="eastAsia" w:ascii="仿宋" w:hAnsi="仿宋" w:eastAsia="仿宋_GB2312" w:cs="仿宋"/>
                <w:color w:val="auto"/>
                <w:sz w:val="21"/>
                <w:szCs w:val="21"/>
                <w:highlight w:val="none"/>
                <w:lang w:eastAsia="zh-CN"/>
              </w:rPr>
              <w:t>《项目免交投标保证金承诺书》（格式）</w:t>
            </w:r>
            <w:r>
              <w:rPr>
                <w:rFonts w:hint="eastAsia" w:ascii="仿宋" w:hAnsi="仿宋" w:eastAsia="仿宋_GB2312" w:cs="仿宋"/>
                <w:color w:val="auto"/>
                <w:highlight w:val="none"/>
                <w:lang w:eastAsia="zh-CN"/>
              </w:rPr>
              <w:t>。</w:t>
            </w:r>
          </w:p>
        </w:tc>
      </w:tr>
      <w:tr w14:paraId="138906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16F02D9C">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第18.1</w:t>
            </w:r>
            <w:r>
              <w:rPr>
                <w:rFonts w:hint="eastAsia" w:ascii="仿宋" w:hAnsi="仿宋" w:eastAsia="仿宋_GB2312" w:cs="仿宋"/>
                <w:color w:val="auto"/>
                <w:kern w:val="0"/>
                <w:szCs w:val="21"/>
                <w:highlight w:val="none"/>
                <w:lang w:val="zh-CN"/>
              </w:rPr>
              <w:t>款</w:t>
            </w:r>
          </w:p>
        </w:tc>
        <w:tc>
          <w:tcPr>
            <w:tcW w:w="2003" w:type="dxa"/>
            <w:vAlign w:val="center"/>
          </w:tcPr>
          <w:p w14:paraId="75D10A05">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bCs/>
                <w:color w:val="auto"/>
                <w:szCs w:val="21"/>
                <w:highlight w:val="none"/>
              </w:rPr>
              <w:t>分包</w:t>
            </w:r>
          </w:p>
        </w:tc>
        <w:tc>
          <w:tcPr>
            <w:tcW w:w="5368" w:type="dxa"/>
            <w:vAlign w:val="center"/>
          </w:tcPr>
          <w:p w14:paraId="63B8EB65">
            <w:pPr>
              <w:pageBreakBefore w:val="0"/>
              <w:kinsoku/>
              <w:overflowPunct/>
              <w:topLinePunct w:val="0"/>
              <w:bidi w:val="0"/>
              <w:adjustRightInd w:val="0"/>
              <w:snapToGrid w:val="0"/>
              <w:spacing w:line="400" w:lineRule="exact"/>
              <w:rPr>
                <w:rFonts w:hint="eastAsia" w:ascii="仿宋" w:hAnsi="仿宋" w:eastAsia="仿宋" w:cs="仿宋"/>
                <w:color w:val="auto"/>
                <w:highlight w:val="none"/>
                <w:lang w:val="en-US" w:eastAsia="zh-CN"/>
              </w:rPr>
            </w:pPr>
            <w:r>
              <w:rPr>
                <w:rFonts w:hint="eastAsia" w:ascii="仿宋" w:hAnsi="仿宋" w:eastAsia="仿宋_GB2312" w:cs="仿宋"/>
                <w:color w:val="auto"/>
                <w:highlight w:val="none"/>
              </w:rPr>
              <w:t>本项目不允许分包。</w:t>
            </w:r>
          </w:p>
        </w:tc>
      </w:tr>
      <w:tr w14:paraId="556C3F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08B5A863">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第19.1款</w:t>
            </w:r>
          </w:p>
        </w:tc>
        <w:tc>
          <w:tcPr>
            <w:tcW w:w="2003" w:type="dxa"/>
            <w:vAlign w:val="center"/>
          </w:tcPr>
          <w:p w14:paraId="38752C40">
            <w:pPr>
              <w:pageBreakBefore w:val="0"/>
              <w:widowControl w:val="0"/>
              <w:kinsoku/>
              <w:overflowPunct/>
              <w:topLinePunct w:val="0"/>
              <w:bidi w:val="0"/>
              <w:spacing w:line="400" w:lineRule="exact"/>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_GB2312" w:cs="仿宋"/>
                <w:color w:val="auto"/>
                <w:kern w:val="2"/>
                <w:sz w:val="21"/>
                <w:szCs w:val="21"/>
                <w:highlight w:val="none"/>
                <w:lang w:val="en-US" w:eastAsia="zh-CN" w:bidi="ar-SA"/>
              </w:rPr>
              <w:t>电子投标文件的提交</w:t>
            </w:r>
          </w:p>
        </w:tc>
        <w:tc>
          <w:tcPr>
            <w:tcW w:w="5368" w:type="dxa"/>
            <w:vAlign w:val="center"/>
          </w:tcPr>
          <w:p w14:paraId="4CE1CECA">
            <w:pPr>
              <w:pageBreakBefore w:val="0"/>
              <w:widowControl w:val="0"/>
              <w:kinsoku/>
              <w:overflowPunct/>
              <w:topLinePunct w:val="0"/>
              <w:bidi w:val="0"/>
              <w:spacing w:line="400" w:lineRule="exact"/>
              <w:jc w:val="left"/>
              <w:rPr>
                <w:rFonts w:hint="eastAsia" w:ascii="仿宋" w:hAnsi="仿宋" w:eastAsia="仿宋" w:cs="仿宋"/>
                <w:color w:val="auto"/>
                <w:kern w:val="2"/>
                <w:sz w:val="21"/>
                <w:szCs w:val="21"/>
                <w:highlight w:val="none"/>
                <w:lang w:val="en-US" w:eastAsia="zh-CN" w:bidi="ar-SA"/>
              </w:rPr>
            </w:pPr>
            <w:r>
              <w:rPr>
                <w:rFonts w:hint="eastAsia" w:ascii="仿宋" w:hAnsi="仿宋" w:eastAsia="仿宋_GB2312" w:cs="仿宋"/>
                <w:color w:val="auto"/>
                <w:kern w:val="2"/>
                <w:sz w:val="21"/>
                <w:szCs w:val="21"/>
                <w:highlight w:val="none"/>
                <w:lang w:val="en-US" w:eastAsia="zh-CN" w:bidi="ar-SA"/>
              </w:rPr>
              <w:t>网络传输递交：投标人应在递交投标文件截止时间前将电子投标文件网络传输递交至“邵阳市公共资源交易中心全流程电子交易平台响应文件上传模块（https://ggzy.shaoyang.gov.cn/）”，逾期递交上传的投标文件，系统将自动拒收,视为放弃投标。</w:t>
            </w:r>
          </w:p>
        </w:tc>
      </w:tr>
      <w:tr w14:paraId="6357C8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31" w:type="dxa"/>
            <w:gridSpan w:val="3"/>
            <w:vAlign w:val="center"/>
          </w:tcPr>
          <w:p w14:paraId="0DCB8680">
            <w:pPr>
              <w:pageBreakBefore w:val="0"/>
              <w:kinsoku/>
              <w:overflowPunct/>
              <w:topLinePunct w:val="0"/>
              <w:bidi w:val="0"/>
              <w:adjustRightInd w:val="0"/>
              <w:snapToGrid w:val="0"/>
              <w:spacing w:line="400" w:lineRule="exact"/>
              <w:rPr>
                <w:rFonts w:hint="eastAsia" w:ascii="仿宋" w:hAnsi="仿宋" w:eastAsia="仿宋" w:cs="仿宋"/>
                <w:b/>
                <w:bCs/>
                <w:color w:val="auto"/>
                <w:szCs w:val="21"/>
                <w:highlight w:val="none"/>
              </w:rPr>
            </w:pPr>
            <w:r>
              <w:rPr>
                <w:rFonts w:hint="eastAsia" w:ascii="仿宋" w:hAnsi="仿宋" w:eastAsia="仿宋_GB2312" w:cs="仿宋"/>
                <w:b/>
                <w:color w:val="auto"/>
                <w:szCs w:val="21"/>
                <w:highlight w:val="none"/>
              </w:rPr>
              <w:t>四、投标</w:t>
            </w:r>
          </w:p>
        </w:tc>
      </w:tr>
      <w:tr w14:paraId="3D38B5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3F6A752C">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第21.1</w:t>
            </w:r>
            <w:r>
              <w:rPr>
                <w:rFonts w:hint="eastAsia" w:ascii="仿宋" w:hAnsi="仿宋" w:eastAsia="仿宋_GB2312" w:cs="仿宋"/>
                <w:color w:val="auto"/>
                <w:kern w:val="0"/>
                <w:szCs w:val="21"/>
                <w:highlight w:val="none"/>
                <w:lang w:val="zh-CN"/>
              </w:rPr>
              <w:t>款</w:t>
            </w:r>
          </w:p>
        </w:tc>
        <w:tc>
          <w:tcPr>
            <w:tcW w:w="2003" w:type="dxa"/>
            <w:vAlign w:val="center"/>
          </w:tcPr>
          <w:p w14:paraId="591FB3BA">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投标截止时间及投标地点</w:t>
            </w:r>
          </w:p>
        </w:tc>
        <w:tc>
          <w:tcPr>
            <w:tcW w:w="5368" w:type="dxa"/>
            <w:vAlign w:val="center"/>
          </w:tcPr>
          <w:p w14:paraId="40E5CFB9">
            <w:pPr>
              <w:pageBreakBefore w:val="0"/>
              <w:kinsoku/>
              <w:overflowPunct/>
              <w:topLinePunct w:val="0"/>
              <w:bidi w:val="0"/>
              <w:adjustRightInd w:val="0"/>
              <w:snapToGrid w:val="0"/>
              <w:spacing w:line="400" w:lineRule="exact"/>
              <w:rPr>
                <w:rFonts w:hint="eastAsia" w:ascii="仿宋" w:hAnsi="仿宋" w:eastAsia="仿宋" w:cs="仿宋"/>
                <w:bCs/>
                <w:color w:val="auto"/>
                <w:szCs w:val="21"/>
                <w:highlight w:val="none"/>
              </w:rPr>
            </w:pPr>
            <w:r>
              <w:rPr>
                <w:rFonts w:hint="eastAsia" w:ascii="仿宋" w:hAnsi="仿宋" w:eastAsia="仿宋_GB2312" w:cs="仿宋"/>
                <w:color w:val="auto"/>
                <w:szCs w:val="21"/>
                <w:highlight w:val="none"/>
              </w:rPr>
              <w:t>详见第一章；</w:t>
            </w:r>
          </w:p>
        </w:tc>
      </w:tr>
      <w:tr w14:paraId="27386A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31" w:type="dxa"/>
            <w:gridSpan w:val="3"/>
            <w:vAlign w:val="center"/>
          </w:tcPr>
          <w:p w14:paraId="34570130">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b/>
                <w:bCs/>
                <w:color w:val="auto"/>
                <w:szCs w:val="21"/>
                <w:highlight w:val="none"/>
              </w:rPr>
              <w:t>五、开标、资格审查和评标</w:t>
            </w:r>
          </w:p>
        </w:tc>
      </w:tr>
      <w:tr w14:paraId="09B0CF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7565163F">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第24.1</w:t>
            </w:r>
            <w:r>
              <w:rPr>
                <w:rFonts w:hint="eastAsia" w:ascii="仿宋" w:hAnsi="仿宋" w:eastAsia="仿宋_GB2312" w:cs="仿宋"/>
                <w:color w:val="auto"/>
                <w:kern w:val="0"/>
                <w:szCs w:val="21"/>
                <w:highlight w:val="none"/>
                <w:lang w:val="zh-CN"/>
              </w:rPr>
              <w:t>款</w:t>
            </w:r>
          </w:p>
        </w:tc>
        <w:tc>
          <w:tcPr>
            <w:tcW w:w="2003" w:type="dxa"/>
            <w:vAlign w:val="center"/>
          </w:tcPr>
          <w:p w14:paraId="10C10B63">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bCs/>
                <w:color w:val="auto"/>
                <w:szCs w:val="21"/>
                <w:highlight w:val="none"/>
              </w:rPr>
              <w:t>开标地点</w:t>
            </w:r>
          </w:p>
        </w:tc>
        <w:tc>
          <w:tcPr>
            <w:tcW w:w="5368" w:type="dxa"/>
            <w:vAlign w:val="center"/>
          </w:tcPr>
          <w:p w14:paraId="6F5506E4">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邵阳市公共资源交易中心（邵阳市双清区邵阳大道邵阳市公共资源交易中心，详见当天电子显示屏）</w:t>
            </w:r>
          </w:p>
        </w:tc>
      </w:tr>
      <w:tr w14:paraId="45FAC3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5AF14B62">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第24.2</w:t>
            </w:r>
            <w:r>
              <w:rPr>
                <w:rFonts w:hint="eastAsia" w:ascii="仿宋" w:hAnsi="仿宋" w:eastAsia="仿宋_GB2312" w:cs="仿宋"/>
                <w:color w:val="auto"/>
                <w:kern w:val="0"/>
                <w:szCs w:val="21"/>
                <w:highlight w:val="none"/>
                <w:lang w:val="zh-CN"/>
              </w:rPr>
              <w:t>款</w:t>
            </w:r>
          </w:p>
        </w:tc>
        <w:tc>
          <w:tcPr>
            <w:tcW w:w="2003" w:type="dxa"/>
            <w:vAlign w:val="center"/>
          </w:tcPr>
          <w:p w14:paraId="47985313">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需要宣布的其他内容</w:t>
            </w:r>
          </w:p>
        </w:tc>
        <w:tc>
          <w:tcPr>
            <w:tcW w:w="5368" w:type="dxa"/>
            <w:vAlign w:val="center"/>
          </w:tcPr>
          <w:p w14:paraId="3353A910">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lang w:eastAsia="zh-CN"/>
              </w:rPr>
              <w:t>见</w:t>
            </w:r>
            <w:r>
              <w:rPr>
                <w:rFonts w:hint="eastAsia" w:ascii="仿宋" w:hAnsi="仿宋" w:eastAsia="仿宋_GB2312" w:cs="仿宋"/>
                <w:color w:val="auto"/>
                <w:szCs w:val="21"/>
                <w:highlight w:val="none"/>
              </w:rPr>
              <w:t>“开标一览表”。</w:t>
            </w:r>
          </w:p>
        </w:tc>
      </w:tr>
      <w:tr w14:paraId="051809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31" w:type="dxa"/>
            <w:gridSpan w:val="3"/>
            <w:vAlign w:val="center"/>
          </w:tcPr>
          <w:p w14:paraId="2A9E76D2">
            <w:pPr>
              <w:pageBreakBefore w:val="0"/>
              <w:kinsoku/>
              <w:overflowPunct/>
              <w:topLinePunct w:val="0"/>
              <w:bidi w:val="0"/>
              <w:adjustRightInd w:val="0"/>
              <w:snapToGrid w:val="0"/>
              <w:spacing w:line="400" w:lineRule="exact"/>
              <w:rPr>
                <w:rFonts w:hint="eastAsia" w:ascii="仿宋" w:hAnsi="仿宋" w:eastAsia="仿宋" w:cs="仿宋"/>
                <w:b/>
                <w:color w:val="auto"/>
                <w:szCs w:val="21"/>
                <w:highlight w:val="none"/>
              </w:rPr>
            </w:pPr>
            <w:r>
              <w:rPr>
                <w:rFonts w:hint="eastAsia" w:ascii="仿宋" w:hAnsi="仿宋" w:eastAsia="仿宋_GB2312" w:cs="仿宋"/>
                <w:b/>
                <w:color w:val="auto"/>
                <w:szCs w:val="21"/>
                <w:highlight w:val="none"/>
              </w:rPr>
              <w:t>六、中标信息公布</w:t>
            </w:r>
          </w:p>
        </w:tc>
      </w:tr>
      <w:tr w14:paraId="29CF55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31ECE9CB">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第28.2</w:t>
            </w:r>
            <w:r>
              <w:rPr>
                <w:rFonts w:hint="eastAsia" w:ascii="仿宋" w:hAnsi="仿宋" w:eastAsia="仿宋_GB2312" w:cs="仿宋"/>
                <w:color w:val="auto"/>
                <w:kern w:val="0"/>
                <w:szCs w:val="21"/>
                <w:highlight w:val="none"/>
                <w:lang w:val="zh-CN"/>
              </w:rPr>
              <w:t>款</w:t>
            </w:r>
          </w:p>
        </w:tc>
        <w:tc>
          <w:tcPr>
            <w:tcW w:w="2003" w:type="dxa"/>
            <w:vAlign w:val="center"/>
          </w:tcPr>
          <w:p w14:paraId="5C8DCE5B">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中标候选人并列的确定中标人的方式</w:t>
            </w:r>
          </w:p>
        </w:tc>
        <w:tc>
          <w:tcPr>
            <w:tcW w:w="5368" w:type="dxa"/>
            <w:vAlign w:val="center"/>
          </w:tcPr>
          <w:p w14:paraId="34C17358">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 每个供应商仅允许参与其中一个包的投标，若同时响应多个包，其所有投标均将被认定为无效。</w:t>
            </w:r>
          </w:p>
          <w:p w14:paraId="4E44CA9A">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 评标委员会将对包1-包3分别进行独立评审，并针对每个包单独推荐前三名排序中标候选人。</w:t>
            </w:r>
          </w:p>
          <w:p w14:paraId="66FF8766">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3. 若出现得分相同的情况，将按照投标报价由低到高的顺序排列；若得分与投标报价均相同，则通过评标委员会随机抽取的方式确定最终排序。</w:t>
            </w:r>
          </w:p>
        </w:tc>
      </w:tr>
      <w:tr w14:paraId="5CB2E5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31" w:type="dxa"/>
            <w:gridSpan w:val="3"/>
            <w:vAlign w:val="center"/>
          </w:tcPr>
          <w:p w14:paraId="3BBA36A0">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b/>
                <w:color w:val="auto"/>
                <w:szCs w:val="21"/>
                <w:highlight w:val="none"/>
              </w:rPr>
              <w:t>七、合同签订</w:t>
            </w:r>
          </w:p>
        </w:tc>
      </w:tr>
      <w:tr w14:paraId="46CF69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1C762F3A">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第31.1</w:t>
            </w:r>
            <w:r>
              <w:rPr>
                <w:rFonts w:hint="eastAsia" w:ascii="仿宋" w:hAnsi="仿宋" w:eastAsia="仿宋_GB2312" w:cs="仿宋"/>
                <w:color w:val="auto"/>
                <w:kern w:val="0"/>
                <w:szCs w:val="21"/>
                <w:highlight w:val="none"/>
                <w:lang w:val="zh-CN"/>
              </w:rPr>
              <w:t>款</w:t>
            </w:r>
          </w:p>
        </w:tc>
        <w:tc>
          <w:tcPr>
            <w:tcW w:w="2003" w:type="dxa"/>
            <w:vAlign w:val="center"/>
          </w:tcPr>
          <w:p w14:paraId="6D26898F">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履约担保</w:t>
            </w:r>
          </w:p>
        </w:tc>
        <w:tc>
          <w:tcPr>
            <w:tcW w:w="5368" w:type="dxa"/>
            <w:vAlign w:val="center"/>
          </w:tcPr>
          <w:p w14:paraId="2A2F0FF4">
            <w:pPr>
              <w:pageBreakBefore w:val="0"/>
              <w:kinsoku/>
              <w:overflowPunct/>
              <w:topLinePunct w:val="0"/>
              <w:bidi w:val="0"/>
              <w:adjustRightInd w:val="0"/>
              <w:snapToGrid w:val="0"/>
              <w:spacing w:line="400" w:lineRule="exact"/>
              <w:rPr>
                <w:rFonts w:hint="eastAsia" w:ascii="仿宋" w:hAnsi="仿宋" w:eastAsia="仿宋" w:cs="仿宋"/>
                <w:strike/>
                <w:color w:val="auto"/>
                <w:szCs w:val="21"/>
                <w:highlight w:val="none"/>
              </w:rPr>
            </w:pPr>
            <w:r>
              <w:rPr>
                <w:rFonts w:hint="eastAsia" w:ascii="仿宋" w:hAnsi="仿宋" w:eastAsia="仿宋_GB2312" w:cs="仿宋"/>
                <w:color w:val="auto"/>
                <w:szCs w:val="21"/>
                <w:highlight w:val="none"/>
              </w:rPr>
              <w:t>不要求提供</w:t>
            </w:r>
          </w:p>
        </w:tc>
      </w:tr>
      <w:tr w14:paraId="2F56B3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31" w:type="dxa"/>
            <w:gridSpan w:val="3"/>
            <w:vAlign w:val="center"/>
          </w:tcPr>
          <w:p w14:paraId="7BCD615D">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b/>
                <w:color w:val="auto"/>
                <w:szCs w:val="21"/>
                <w:highlight w:val="none"/>
              </w:rPr>
              <w:t>九、其他规定</w:t>
            </w:r>
          </w:p>
        </w:tc>
      </w:tr>
      <w:tr w14:paraId="453913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02B223DD">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第33.2款</w:t>
            </w:r>
          </w:p>
        </w:tc>
        <w:tc>
          <w:tcPr>
            <w:tcW w:w="2003" w:type="dxa"/>
            <w:vAlign w:val="center"/>
          </w:tcPr>
          <w:p w14:paraId="7DEAACAF">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政府采购强制采购节能产品</w:t>
            </w:r>
          </w:p>
        </w:tc>
        <w:tc>
          <w:tcPr>
            <w:tcW w:w="5368" w:type="dxa"/>
            <w:vAlign w:val="center"/>
          </w:tcPr>
          <w:p w14:paraId="3DA5C5E3">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lang w:val="en-US" w:eastAsia="zh-CN"/>
              </w:rPr>
              <w:t>/</w:t>
            </w:r>
          </w:p>
        </w:tc>
      </w:tr>
      <w:tr w14:paraId="36BE50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61E91555">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第33.3款</w:t>
            </w:r>
          </w:p>
        </w:tc>
        <w:tc>
          <w:tcPr>
            <w:tcW w:w="2003" w:type="dxa"/>
            <w:vAlign w:val="center"/>
          </w:tcPr>
          <w:p w14:paraId="72098DA1">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highlight w:val="none"/>
              </w:rPr>
              <w:t>促进中小企业发展</w:t>
            </w:r>
          </w:p>
        </w:tc>
        <w:tc>
          <w:tcPr>
            <w:tcW w:w="5368" w:type="dxa"/>
            <w:vAlign w:val="center"/>
          </w:tcPr>
          <w:p w14:paraId="2EF2F806">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lang w:val="en-US" w:eastAsia="zh-CN"/>
              </w:rPr>
            </w:pPr>
            <w:r>
              <w:rPr>
                <w:rFonts w:hint="eastAsia" w:ascii="仿宋" w:hAnsi="仿宋" w:eastAsia="仿宋_GB2312" w:cs="仿宋"/>
                <w:color w:val="auto"/>
                <w:highlight w:val="none"/>
                <w:u w:val="single"/>
                <w:lang w:val="en-US" w:eastAsia="zh-CN"/>
              </w:rPr>
              <w:t>非专门</w:t>
            </w:r>
            <w:r>
              <w:rPr>
                <w:rFonts w:hint="eastAsia" w:ascii="仿宋" w:hAnsi="仿宋" w:eastAsia="仿宋_GB2312" w:cs="仿宋"/>
                <w:color w:val="auto"/>
                <w:highlight w:val="none"/>
                <w:lang w:val="en-US" w:eastAsia="zh-CN"/>
              </w:rPr>
              <w:t>面向中小企业采购，给与小微企业产品（所有产品和服务均为小微企业提供）10%价格扣除。</w:t>
            </w:r>
          </w:p>
        </w:tc>
      </w:tr>
      <w:tr w14:paraId="629BB1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trPr>
        <w:tc>
          <w:tcPr>
            <w:tcW w:w="1560" w:type="dxa"/>
            <w:vAlign w:val="center"/>
          </w:tcPr>
          <w:p w14:paraId="42C878F3">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第35.1</w:t>
            </w:r>
            <w:r>
              <w:rPr>
                <w:rFonts w:hint="eastAsia" w:ascii="仿宋" w:hAnsi="仿宋" w:eastAsia="仿宋_GB2312" w:cs="仿宋"/>
                <w:color w:val="auto"/>
                <w:kern w:val="0"/>
                <w:szCs w:val="21"/>
                <w:highlight w:val="none"/>
                <w:lang w:val="zh-CN"/>
              </w:rPr>
              <w:t>款</w:t>
            </w:r>
          </w:p>
        </w:tc>
        <w:tc>
          <w:tcPr>
            <w:tcW w:w="2003" w:type="dxa"/>
            <w:vAlign w:val="center"/>
          </w:tcPr>
          <w:p w14:paraId="67331CE9">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招标代理服务费</w:t>
            </w:r>
          </w:p>
        </w:tc>
        <w:tc>
          <w:tcPr>
            <w:tcW w:w="5368" w:type="dxa"/>
            <w:vAlign w:val="center"/>
          </w:tcPr>
          <w:p w14:paraId="6C70A255">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本项目委托集中采购机构代理采购，不收取代理服务费。</w:t>
            </w:r>
          </w:p>
        </w:tc>
      </w:tr>
      <w:tr w14:paraId="08358C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70B5AB7B">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第36.1</w:t>
            </w:r>
            <w:r>
              <w:rPr>
                <w:rFonts w:hint="eastAsia" w:ascii="仿宋" w:hAnsi="仿宋" w:eastAsia="仿宋_GB2312" w:cs="仿宋"/>
                <w:color w:val="auto"/>
                <w:kern w:val="0"/>
                <w:szCs w:val="21"/>
                <w:highlight w:val="none"/>
                <w:lang w:val="zh-CN"/>
              </w:rPr>
              <w:t>款</w:t>
            </w:r>
          </w:p>
        </w:tc>
        <w:tc>
          <w:tcPr>
            <w:tcW w:w="2003" w:type="dxa"/>
            <w:vAlign w:val="center"/>
          </w:tcPr>
          <w:p w14:paraId="4652AD54">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其他规定</w:t>
            </w:r>
          </w:p>
        </w:tc>
        <w:tc>
          <w:tcPr>
            <w:tcW w:w="5368" w:type="dxa"/>
            <w:vAlign w:val="center"/>
          </w:tcPr>
          <w:p w14:paraId="3CB8E968">
            <w:pPr>
              <w:pageBreakBefore w:val="0"/>
              <w:kinsoku/>
              <w:overflowPunct/>
              <w:topLinePunct w:val="0"/>
              <w:bidi w:val="0"/>
              <w:adjustRightInd w:val="0"/>
              <w:snapToGrid w:val="0"/>
              <w:spacing w:line="400" w:lineRule="exact"/>
              <w:rPr>
                <w:rFonts w:hint="eastAsia" w:ascii="仿宋" w:hAnsi="仿宋" w:eastAsia="仿宋_GB2312" w:cs="仿宋"/>
                <w:color w:val="auto"/>
                <w:highlight w:val="none"/>
              </w:rPr>
            </w:pPr>
            <w:r>
              <w:rPr>
                <w:rFonts w:hint="eastAsia" w:ascii="仿宋" w:hAnsi="仿宋" w:eastAsia="仿宋_GB2312" w:cs="仿宋"/>
                <w:color w:val="auto"/>
                <w:highlight w:val="none"/>
              </w:rPr>
              <w:t>1、</w:t>
            </w:r>
            <w:r>
              <w:rPr>
                <w:rFonts w:hint="eastAsia" w:ascii="仿宋" w:hAnsi="仿宋" w:eastAsia="仿宋_GB2312" w:cs="仿宋"/>
                <w:color w:val="auto"/>
                <w:highlight w:val="none"/>
                <w:lang w:eastAsia="zh-CN"/>
              </w:rPr>
              <w:t>本项目为全流程电子交易，</w:t>
            </w:r>
            <w:r>
              <w:rPr>
                <w:rFonts w:hint="eastAsia" w:ascii="仿宋" w:hAnsi="仿宋" w:eastAsia="仿宋_GB2312" w:cs="仿宋"/>
                <w:color w:val="auto"/>
                <w:highlight w:val="none"/>
              </w:rPr>
              <w:t>澄清、修改或者终止等所有公告信息书面通知</w:t>
            </w:r>
            <w:r>
              <w:rPr>
                <w:rFonts w:hint="eastAsia" w:ascii="仿宋" w:hAnsi="仿宋" w:eastAsia="仿宋_GB2312" w:cs="仿宋"/>
                <w:color w:val="auto"/>
                <w:highlight w:val="none"/>
                <w:lang w:eastAsia="zh-CN"/>
              </w:rPr>
              <w:t>方式为公告通知，</w:t>
            </w:r>
            <w:r>
              <w:rPr>
                <w:rFonts w:hint="eastAsia" w:ascii="仿宋" w:hAnsi="仿宋" w:eastAsia="仿宋_GB2312" w:cs="仿宋"/>
                <w:color w:val="auto"/>
                <w:highlight w:val="none"/>
              </w:rPr>
              <w:t>因此请获取招标文件的潜在投标人及时关注招标公告指定媒体（《湖南省政府采购网》（http://www.ccgp-hunan.gov.cn））和邵阳市公共资源交易平台发布的</w:t>
            </w:r>
            <w:r>
              <w:rPr>
                <w:rFonts w:hint="eastAsia" w:ascii="仿宋" w:hAnsi="仿宋" w:eastAsia="仿宋_GB2312" w:cs="仿宋"/>
                <w:color w:val="auto"/>
                <w:highlight w:val="none"/>
                <w:lang w:eastAsia="zh-CN"/>
              </w:rPr>
              <w:t>相关公告信息。</w:t>
            </w:r>
          </w:p>
          <w:p w14:paraId="7C9C072C">
            <w:pPr>
              <w:pStyle w:val="43"/>
              <w:pageBreakBefore w:val="0"/>
              <w:kinsoku/>
              <w:overflowPunct/>
              <w:topLinePunct w:val="0"/>
              <w:bidi w:val="0"/>
              <w:spacing w:after="0" w:line="400" w:lineRule="exact"/>
              <w:ind w:left="0" w:leftChars="0" w:firstLine="0" w:firstLineChars="0"/>
              <w:rPr>
                <w:rFonts w:hint="eastAsia" w:ascii="仿宋" w:hAnsi="仿宋" w:eastAsia="仿宋_GB2312" w:cs="仿宋"/>
                <w:color w:val="auto"/>
                <w:highlight w:val="none"/>
              </w:rPr>
            </w:pPr>
            <w:r>
              <w:rPr>
                <w:rFonts w:hint="eastAsia" w:ascii="仿宋" w:hAnsi="仿宋" w:eastAsia="仿宋_GB2312" w:cs="仿宋"/>
                <w:color w:val="auto"/>
                <w:highlight w:val="none"/>
              </w:rPr>
              <w:t>2、对列入失信被执行人、重大税收违法案件当事人名单、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370625D">
            <w:pPr>
              <w:pStyle w:val="17"/>
              <w:pageBreakBefore w:val="0"/>
              <w:kinsoku/>
              <w:overflowPunct/>
              <w:topLinePunct w:val="0"/>
              <w:bidi w:val="0"/>
              <w:spacing w:after="0" w:line="400" w:lineRule="exact"/>
              <w:ind w:left="0" w:leftChars="0"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投标供应商</w:t>
            </w:r>
            <w:r>
              <w:rPr>
                <w:rFonts w:hint="eastAsia" w:ascii="仿宋" w:hAnsi="仿宋" w:eastAsia="仿宋_GB2312" w:cs="仿宋"/>
                <w:color w:val="auto"/>
                <w:highlight w:val="none"/>
                <w:lang w:eastAsia="zh-CN"/>
              </w:rPr>
              <w:t>可</w:t>
            </w:r>
            <w:r>
              <w:rPr>
                <w:rFonts w:hint="eastAsia" w:ascii="仿宋" w:hAnsi="仿宋" w:eastAsia="仿宋_GB2312" w:cs="仿宋"/>
                <w:color w:val="auto"/>
                <w:highlight w:val="none"/>
              </w:rPr>
              <w:t>在响应文件中资格证明文件中提交信用信息查询结果，并盖单位公章</w:t>
            </w:r>
            <w:r>
              <w:rPr>
                <w:rFonts w:hint="eastAsia" w:ascii="仿宋" w:hAnsi="仿宋" w:eastAsia="仿宋_GB2312" w:cs="仿宋"/>
                <w:color w:val="auto"/>
                <w:highlight w:val="none"/>
                <w:lang w:eastAsia="zh-CN"/>
              </w:rPr>
              <w:t>，具体结果以开标当天采购人和代理机构现场查询甄别为准</w:t>
            </w:r>
            <w:r>
              <w:rPr>
                <w:rFonts w:hint="eastAsia" w:ascii="仿宋" w:hAnsi="仿宋" w:eastAsia="仿宋_GB2312" w:cs="仿宋"/>
                <w:color w:val="auto"/>
                <w:highlight w:val="none"/>
              </w:rPr>
              <w:t>。</w:t>
            </w:r>
          </w:p>
          <w:p w14:paraId="1C84AA44">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（1）信用信息查询的查询渠道：“信用中国”网站（www.creditchina.gov.cn）、中国政府采购网（www.ccgp.gov.cn）。</w:t>
            </w:r>
          </w:p>
          <w:p w14:paraId="08C567D8">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（2）信用信息查询的截止时点：至本项目采购文件发出之日止（可往后延，不得提前）。</w:t>
            </w:r>
          </w:p>
          <w:p w14:paraId="63314581">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（3）信用信息查询记录证据留存的具体方式：查询记录的网上打印</w:t>
            </w:r>
            <w:r>
              <w:rPr>
                <w:rFonts w:hint="eastAsia" w:ascii="仿宋" w:hAnsi="仿宋" w:eastAsia="仿宋_GB2312" w:cs="仿宋"/>
                <w:color w:val="auto"/>
                <w:szCs w:val="21"/>
                <w:highlight w:val="none"/>
                <w:lang w:eastAsia="zh-CN"/>
              </w:rPr>
              <w:t>（或截图）</w:t>
            </w:r>
            <w:r>
              <w:rPr>
                <w:rFonts w:hint="eastAsia" w:ascii="仿宋" w:hAnsi="仿宋" w:eastAsia="仿宋_GB2312" w:cs="仿宋"/>
                <w:color w:val="auto"/>
                <w:szCs w:val="21"/>
                <w:highlight w:val="none"/>
              </w:rPr>
              <w:t>件。</w:t>
            </w:r>
          </w:p>
        </w:tc>
      </w:tr>
      <w:tr w14:paraId="3F197F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1560" w:type="dxa"/>
            <w:vAlign w:val="center"/>
          </w:tcPr>
          <w:p w14:paraId="5A26E3A3">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第36</w:t>
            </w:r>
            <w:r>
              <w:rPr>
                <w:rFonts w:hint="eastAsia" w:ascii="仿宋" w:hAnsi="仿宋" w:eastAsia="仿宋_GB2312" w:cs="仿宋"/>
                <w:color w:val="auto"/>
                <w:kern w:val="0"/>
                <w:szCs w:val="21"/>
                <w:highlight w:val="none"/>
                <w:lang w:val="zh-CN"/>
              </w:rPr>
              <w:t>款</w:t>
            </w:r>
          </w:p>
        </w:tc>
        <w:tc>
          <w:tcPr>
            <w:tcW w:w="2003" w:type="dxa"/>
            <w:vAlign w:val="center"/>
          </w:tcPr>
          <w:p w14:paraId="34B4F6B3">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szCs w:val="21"/>
                <w:highlight w:val="none"/>
                <w:lang w:val="en-US" w:eastAsia="zh-CN"/>
              </w:rPr>
              <w:t>全流程电子化交易说明</w:t>
            </w:r>
          </w:p>
        </w:tc>
        <w:tc>
          <w:tcPr>
            <w:tcW w:w="5368" w:type="dxa"/>
            <w:vAlign w:val="center"/>
          </w:tcPr>
          <w:p w14:paraId="3E57847B">
            <w:pPr>
              <w:pageBreakBefore w:val="0"/>
              <w:widowControl w:val="0"/>
              <w:kinsoku/>
              <w:overflowPunct/>
              <w:topLinePunct w:val="0"/>
              <w:bidi w:val="0"/>
              <w:spacing w:line="400" w:lineRule="exact"/>
              <w:jc w:val="both"/>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val="en-US" w:eastAsia="zh-CN"/>
              </w:rPr>
              <w:t>1、本项目采用</w:t>
            </w:r>
            <w:r>
              <w:rPr>
                <w:rFonts w:hint="eastAsia" w:ascii="仿宋" w:hAnsi="仿宋" w:eastAsia="仿宋_GB2312" w:cs="仿宋"/>
                <w:color w:val="auto"/>
                <w:highlight w:val="none"/>
              </w:rPr>
              <w:t>电子交易</w:t>
            </w:r>
            <w:r>
              <w:rPr>
                <w:rFonts w:hint="eastAsia" w:ascii="仿宋" w:hAnsi="仿宋" w:eastAsia="仿宋_GB2312" w:cs="仿宋"/>
                <w:color w:val="auto"/>
                <w:highlight w:val="none"/>
                <w:lang w:val="en-US" w:eastAsia="zh-CN"/>
              </w:rPr>
              <w:t>，远程开标项目的时间以国家授时中心发布的时间为准。开标当日，投标人无需到达开标现场进行响应文件解密（建议投标人提交响应文件CA与签章CA为同一CA证书）。开评标全过程中，各投标人参与远程交互的授权委托人或法人代表应始终为同一个人，中途不得更换，在废标、澄清、提疑、传送文件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6E9C4A9E">
            <w:pPr>
              <w:pageBreakBefore w:val="0"/>
              <w:widowControl w:val="0"/>
              <w:kinsoku/>
              <w:overflowPunct/>
              <w:topLinePunct w:val="0"/>
              <w:bidi w:val="0"/>
              <w:spacing w:line="400" w:lineRule="exact"/>
              <w:jc w:val="both"/>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val="en-US" w:eastAsia="zh-CN"/>
              </w:rPr>
              <w:t>2、本项目报名、下载、上传均通过互联网操作，请投标人充分考虑网络拥堵及平台操作所需时间等因素。</w:t>
            </w:r>
          </w:p>
          <w:p w14:paraId="38173F73">
            <w:pPr>
              <w:pageBreakBefore w:val="0"/>
              <w:widowControl w:val="0"/>
              <w:kinsoku/>
              <w:overflowPunct/>
              <w:topLinePunct w:val="0"/>
              <w:bidi w:val="0"/>
              <w:spacing w:line="400" w:lineRule="exact"/>
              <w:jc w:val="both"/>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val="en-US" w:eastAsia="zh-CN"/>
              </w:rPr>
              <w:t xml:space="preserve">3、参与网上开标的投标人，请在“邵阳市公共资源交易中心主页的下载中心模块”下载操作手册（投标人），投标人应仔细阅读。开标、投标文件解密均在“网上开标系统”进行。投标人使用网上开标系统遇到问题时，请及时向软件公司咨询。 </w:t>
            </w:r>
          </w:p>
          <w:p w14:paraId="5D8C2D26">
            <w:pPr>
              <w:pageBreakBefore w:val="0"/>
              <w:kinsoku/>
              <w:overflowPunct/>
              <w:topLinePunct w:val="0"/>
              <w:bidi w:val="0"/>
              <w:adjustRightInd w:val="0"/>
              <w:snapToGrid w:val="0"/>
              <w:spacing w:line="400" w:lineRule="exact"/>
              <w:rPr>
                <w:rFonts w:hint="eastAsia" w:ascii="仿宋" w:hAnsi="仿宋" w:eastAsia="仿宋" w:cs="仿宋"/>
                <w:color w:val="auto"/>
                <w:highlight w:val="none"/>
                <w:lang w:val="en-US"/>
              </w:rPr>
            </w:pPr>
            <w:r>
              <w:rPr>
                <w:rFonts w:hint="eastAsia" w:ascii="仿宋" w:hAnsi="仿宋" w:eastAsia="仿宋_GB2312" w:cs="仿宋"/>
                <w:color w:val="auto"/>
                <w:highlight w:val="none"/>
                <w:lang w:val="en-US" w:eastAsia="zh-CN"/>
              </w:rPr>
              <w:t>4、投标文件递交截止时间前，招标人提前进入网上开标系统，播放测试音频，各投标人的授权委托人或法人代表提前进入网上开标系统，根据操作手册（进入相应项目的开标会议区）收听观看实时音视频交互效果并及时在讨论组中反馈，未按时加入开标会议区并完成CA或账号密码登录操作的或未能在开标会议区内全程参与交互的，视为放弃交互和放弃对开评标全过程提疑的权利，投标人将无法看到解密指令、开标、唱标等实时情况，并承担由此导致的一切后果。</w:t>
            </w:r>
          </w:p>
        </w:tc>
      </w:tr>
    </w:tbl>
    <w:p w14:paraId="035DAEE6">
      <w:pPr>
        <w:jc w:val="center"/>
        <w:rPr>
          <w:rFonts w:ascii="方正仿宋_GBK" w:hAnsi="方正仿宋_GBK" w:eastAsia="方正仿宋_GBK" w:cs="方正仿宋_GBK"/>
          <w:color w:val="auto"/>
          <w:sz w:val="44"/>
          <w:szCs w:val="44"/>
          <w:highlight w:val="none"/>
        </w:rPr>
      </w:pPr>
      <w:r>
        <w:rPr>
          <w:rFonts w:hint="eastAsia" w:ascii="仿宋" w:hAnsi="仿宋" w:eastAsia="仿宋_GB2312" w:cs="仿宋"/>
          <w:b/>
          <w:color w:val="auto"/>
          <w:szCs w:val="21"/>
          <w:highlight w:val="none"/>
        </w:rPr>
        <w:br w:type="page"/>
      </w:r>
      <w:r>
        <w:rPr>
          <w:rFonts w:hint="eastAsia" w:ascii="方正仿宋_GBK" w:hAnsi="方正仿宋_GBK" w:eastAsia="方正仿宋_GBK" w:cs="方正仿宋_GBK"/>
          <w:color w:val="auto"/>
          <w:sz w:val="44"/>
          <w:szCs w:val="44"/>
          <w:highlight w:val="none"/>
        </w:rPr>
        <w:t>邵阳市政府采购合同融资政策告知函</w:t>
      </w:r>
    </w:p>
    <w:p w14:paraId="10D00225">
      <w:pPr>
        <w:rPr>
          <w:rFonts w:ascii="方正仿宋_GBK" w:hAnsi="方正仿宋_GBK" w:eastAsia="方正仿宋_GBK" w:cs="方正仿宋_GBK"/>
          <w:b/>
          <w:bCs/>
          <w:color w:val="auto"/>
          <w:sz w:val="28"/>
          <w:szCs w:val="28"/>
          <w:highlight w:val="none"/>
        </w:rPr>
      </w:pPr>
    </w:p>
    <w:p w14:paraId="1FD976E9">
      <w:pPr>
        <w:rPr>
          <w:rFonts w:ascii="仿宋" w:hAnsi="仿宋" w:eastAsia="仿宋_GB2312" w:cs="仿宋"/>
          <w:b/>
          <w:bCs/>
          <w:color w:val="auto"/>
          <w:sz w:val="32"/>
          <w:szCs w:val="32"/>
          <w:highlight w:val="none"/>
        </w:rPr>
      </w:pPr>
      <w:r>
        <w:rPr>
          <w:rFonts w:hint="eastAsia" w:ascii="仿宋" w:hAnsi="仿宋" w:eastAsia="仿宋_GB2312" w:cs="仿宋"/>
          <w:b/>
          <w:bCs/>
          <w:color w:val="auto"/>
          <w:sz w:val="32"/>
          <w:szCs w:val="32"/>
          <w:highlight w:val="none"/>
        </w:rPr>
        <w:t>各供应商:</w:t>
      </w:r>
    </w:p>
    <w:p w14:paraId="260A8BD5">
      <w:pPr>
        <w:ind w:firstLine="640" w:firstLineChars="200"/>
        <w:rPr>
          <w:rFonts w:ascii="仿宋" w:hAnsi="仿宋" w:eastAsia="仿宋_GB2312" w:cs="仿宋"/>
          <w:color w:val="auto"/>
          <w:sz w:val="32"/>
          <w:szCs w:val="32"/>
          <w:highlight w:val="none"/>
        </w:rPr>
      </w:pPr>
      <w:r>
        <w:rPr>
          <w:rFonts w:hint="eastAsia" w:ascii="仿宋" w:hAnsi="仿宋" w:eastAsia="仿宋_GB2312" w:cs="仿宋"/>
          <w:color w:val="auto"/>
          <w:sz w:val="32"/>
          <w:szCs w:val="32"/>
          <w:highlight w:val="none"/>
        </w:rPr>
        <w:t>欢迎贵公司参与邵阳市政府采购活动!</w:t>
      </w:r>
    </w:p>
    <w:p w14:paraId="73DFDE26">
      <w:pPr>
        <w:ind w:firstLine="640" w:firstLineChars="200"/>
        <w:rPr>
          <w:rFonts w:ascii="仿宋" w:hAnsi="仿宋" w:eastAsia="仿宋_GB2312" w:cs="仿宋"/>
          <w:color w:val="auto"/>
          <w:sz w:val="32"/>
          <w:szCs w:val="32"/>
          <w:highlight w:val="none"/>
        </w:rPr>
      </w:pPr>
      <w:r>
        <w:rPr>
          <w:rFonts w:hint="eastAsia" w:ascii="仿宋" w:hAnsi="仿宋" w:eastAsia="仿宋_GB2312" w:cs="仿宋"/>
          <w:color w:val="auto"/>
          <w:sz w:val="32"/>
          <w:szCs w:val="32"/>
          <w:highlight w:val="none"/>
        </w:rPr>
        <w:t>政府采购合同融资是</w:t>
      </w:r>
      <w:r>
        <w:rPr>
          <w:rFonts w:hint="eastAsia" w:ascii="仿宋" w:hAnsi="仿宋" w:eastAsia="仿宋_GB2312" w:cs="仿宋"/>
          <w:color w:val="auto"/>
          <w:sz w:val="32"/>
          <w:szCs w:val="32"/>
          <w:highlight w:val="none"/>
          <w:lang w:eastAsia="zh-CN"/>
        </w:rPr>
        <w:t>邵阳县财政局</w:t>
      </w:r>
      <w:r>
        <w:rPr>
          <w:rFonts w:hint="eastAsia" w:ascii="仿宋" w:hAnsi="仿宋" w:eastAsia="仿宋_GB2312" w:cs="仿宋"/>
          <w:color w:val="auto"/>
          <w:sz w:val="32"/>
          <w:szCs w:val="32"/>
          <w:highlight w:val="none"/>
        </w:rPr>
        <w:t>支持中小微企业发展，针对参与政府采购活动的供应商融资难、融资贵问题推出的一项融资政策。贵公司若成为本次政府采购项目的中标成交供应商，可持政府采购合同向金融机构申请贷款，无需抵押、担保，融资机构将根据《</w:t>
      </w:r>
      <w:r>
        <w:rPr>
          <w:rFonts w:hint="eastAsia" w:ascii="仿宋" w:hAnsi="仿宋" w:eastAsia="仿宋_GB2312" w:cs="仿宋"/>
          <w:color w:val="auto"/>
          <w:sz w:val="32"/>
          <w:szCs w:val="32"/>
          <w:highlight w:val="none"/>
          <w:lang w:eastAsia="zh-CN"/>
        </w:rPr>
        <w:t>邵阳县财政局</w:t>
      </w:r>
      <w:r>
        <w:rPr>
          <w:rFonts w:hint="eastAsia" w:ascii="仿宋" w:hAnsi="仿宋" w:eastAsia="仿宋_GB2312" w:cs="仿宋"/>
          <w:color w:val="auto"/>
          <w:sz w:val="32"/>
          <w:szCs w:val="32"/>
          <w:highlight w:val="none"/>
        </w:rPr>
        <w:t>关于支持中小企业发展 加快推进政府采购合同融资工作的通知》(邵财购〔2022〕13 号)，按照双方自愿的原则提供便捷、优惠的贷款服务。</w:t>
      </w:r>
    </w:p>
    <w:p w14:paraId="0FC9BBF0">
      <w:pPr>
        <w:pStyle w:val="175"/>
        <w:rPr>
          <w:rFonts w:hint="eastAsia" w:ascii="宋体" w:hAnsi="宋体" w:cs="宋体"/>
          <w:b/>
          <w:color w:val="auto"/>
          <w:sz w:val="32"/>
          <w:szCs w:val="32"/>
          <w:highlight w:val="none"/>
        </w:rPr>
      </w:pPr>
      <w:r>
        <w:rPr>
          <w:rFonts w:hint="eastAsia" w:ascii="仿宋" w:hAnsi="仿宋" w:eastAsia="仿宋_GB2312" w:cs="仿宋"/>
          <w:color w:val="auto"/>
          <w:sz w:val="32"/>
          <w:szCs w:val="32"/>
          <w:highlight w:val="none"/>
        </w:rPr>
        <w:t>贷款渠道和提供贷款的金融机构，可在邵阳市政府采购网“政府采购合同融资平台”查询联系。</w:t>
      </w:r>
    </w:p>
    <w:p w14:paraId="3289C106">
      <w:pPr>
        <w:pageBreakBefore w:val="0"/>
        <w:kinsoku/>
        <w:overflowPunct/>
        <w:topLinePunct w:val="0"/>
        <w:bidi w:val="0"/>
        <w:adjustRightInd w:val="0"/>
        <w:snapToGrid w:val="0"/>
        <w:spacing w:line="400" w:lineRule="exact"/>
        <w:rPr>
          <w:rFonts w:hint="eastAsia" w:ascii="仿宋" w:hAnsi="仿宋" w:eastAsia="仿宋_GB2312" w:cs="仿宋"/>
          <w:b/>
          <w:color w:val="auto"/>
          <w:szCs w:val="21"/>
          <w:highlight w:val="none"/>
        </w:rPr>
      </w:pPr>
      <w:r>
        <w:rPr>
          <w:rFonts w:hint="eastAsia" w:ascii="仿宋" w:hAnsi="仿宋" w:eastAsia="仿宋_GB2312" w:cs="仿宋"/>
          <w:color w:val="auto"/>
          <w:sz w:val="24"/>
          <w:highlight w:val="none"/>
        </w:rPr>
        <w:br w:type="page"/>
      </w:r>
    </w:p>
    <w:p w14:paraId="63571051">
      <w:pPr>
        <w:pStyle w:val="3"/>
        <w:pageBreakBefore w:val="0"/>
        <w:kinsoku/>
        <w:overflowPunct/>
        <w:topLinePunct w:val="0"/>
        <w:bidi w:val="0"/>
        <w:adjustRightInd w:val="0"/>
        <w:snapToGrid w:val="0"/>
        <w:spacing w:line="400" w:lineRule="exact"/>
        <w:jc w:val="center"/>
        <w:rPr>
          <w:rFonts w:hint="eastAsia" w:ascii="仿宋" w:hAnsi="仿宋" w:eastAsia="仿宋_GB2312" w:cs="仿宋"/>
          <w:color w:val="auto"/>
          <w:sz w:val="28"/>
          <w:szCs w:val="28"/>
          <w:highlight w:val="none"/>
        </w:rPr>
      </w:pPr>
      <w:bookmarkStart w:id="16" w:name="_Toc1250"/>
      <w:r>
        <w:rPr>
          <w:rFonts w:hint="eastAsia" w:ascii="仿宋" w:hAnsi="仿宋" w:eastAsia="仿宋_GB2312" w:cs="仿宋"/>
          <w:color w:val="auto"/>
          <w:sz w:val="28"/>
          <w:szCs w:val="28"/>
          <w:highlight w:val="none"/>
        </w:rPr>
        <w:t>第二节  投标须知</w:t>
      </w:r>
      <w:bookmarkEnd w:id="16"/>
    </w:p>
    <w:p w14:paraId="3BB94E33">
      <w:pPr>
        <w:pStyle w:val="4"/>
        <w:pageBreakBefore w:val="0"/>
        <w:kinsoku/>
        <w:overflowPunct/>
        <w:topLinePunct w:val="0"/>
        <w:bidi w:val="0"/>
        <w:adjustRightInd w:val="0"/>
        <w:snapToGrid w:val="0"/>
        <w:spacing w:before="0" w:after="0" w:line="400" w:lineRule="exact"/>
        <w:jc w:val="center"/>
        <w:rPr>
          <w:rFonts w:hint="eastAsia" w:ascii="仿宋" w:hAnsi="仿宋" w:eastAsia="仿宋_GB2312" w:cs="仿宋"/>
          <w:b w:val="0"/>
          <w:color w:val="auto"/>
          <w:sz w:val="28"/>
          <w:szCs w:val="28"/>
          <w:highlight w:val="none"/>
        </w:rPr>
      </w:pPr>
      <w:bookmarkStart w:id="17" w:name="_Toc25892"/>
      <w:r>
        <w:rPr>
          <w:rFonts w:hint="eastAsia" w:ascii="仿宋" w:hAnsi="仿宋" w:eastAsia="仿宋_GB2312" w:cs="仿宋"/>
          <w:color w:val="auto"/>
          <w:sz w:val="28"/>
          <w:szCs w:val="28"/>
          <w:highlight w:val="none"/>
        </w:rPr>
        <w:t>一、总则</w:t>
      </w:r>
      <w:bookmarkEnd w:id="17"/>
    </w:p>
    <w:p w14:paraId="28844552">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1. 适用范围</w:t>
      </w:r>
    </w:p>
    <w:p w14:paraId="5B7E0E9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1.1本招标文件仅适用于本章第一节“投标须知前附表”（以下简称</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）中所叙述的采购项目。</w:t>
      </w:r>
    </w:p>
    <w:p w14:paraId="6334DD3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1.2</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规定采购项目专门面向中小企业采购的，如投标人为非中小企业，其</w:t>
      </w:r>
      <w:r>
        <w:rPr>
          <w:rFonts w:hint="eastAsia" w:ascii="仿宋" w:hAnsi="仿宋" w:eastAsia="仿宋_GB2312" w:cs="仿宋"/>
          <w:b/>
          <w:color w:val="auto"/>
          <w:szCs w:val="21"/>
          <w:highlight w:val="none"/>
        </w:rPr>
        <w:t>投标无效</w:t>
      </w:r>
      <w:r>
        <w:rPr>
          <w:rFonts w:hint="eastAsia" w:ascii="仿宋" w:hAnsi="仿宋" w:eastAsia="仿宋_GB2312" w:cs="仿宋"/>
          <w:color w:val="auto"/>
          <w:szCs w:val="21"/>
          <w:highlight w:val="none"/>
        </w:rPr>
        <w:t>。</w:t>
      </w:r>
    </w:p>
    <w:p w14:paraId="6D562122">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2. 定义</w:t>
      </w:r>
    </w:p>
    <w:p w14:paraId="18B2669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2.1采购项目联系人姓名和电话见</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w:t>
      </w:r>
    </w:p>
    <w:p w14:paraId="23DA3AF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2.2采购人名称、地址、电话、联系人见</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w:t>
      </w:r>
    </w:p>
    <w:p w14:paraId="06CADCB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2.3采购代理机构名称、地址、电话、联系人见</w:t>
      </w:r>
      <w:r>
        <w:rPr>
          <w:rFonts w:hint="eastAsia" w:ascii="仿宋" w:hAnsi="仿宋" w:eastAsia="仿宋_GB2312" w:cs="仿宋"/>
          <w:b/>
          <w:color w:val="auto"/>
          <w:szCs w:val="21"/>
          <w:highlight w:val="none"/>
        </w:rPr>
        <w:t>【投标须知前附表】。</w:t>
      </w:r>
    </w:p>
    <w:p w14:paraId="3BD8D22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
          <w:color w:val="auto"/>
          <w:szCs w:val="21"/>
          <w:highlight w:val="none"/>
        </w:rPr>
      </w:pPr>
      <w:r>
        <w:rPr>
          <w:rFonts w:hint="eastAsia" w:ascii="仿宋" w:hAnsi="仿宋" w:eastAsia="仿宋_GB2312" w:cs="仿宋"/>
          <w:color w:val="auto"/>
          <w:szCs w:val="21"/>
          <w:highlight w:val="none"/>
        </w:rPr>
        <w:t>2.4投标人系指响应招标、参加投标竞争的法人、其他组织或自然人。</w:t>
      </w:r>
    </w:p>
    <w:p w14:paraId="6134BE8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color w:val="auto"/>
          <w:szCs w:val="21"/>
          <w:highlight w:val="none"/>
        </w:rPr>
        <w:t>2.5</w:t>
      </w:r>
      <w:r>
        <w:rPr>
          <w:rFonts w:hint="eastAsia" w:ascii="仿宋" w:hAnsi="仿宋" w:eastAsia="仿宋_GB2312" w:cs="仿宋"/>
          <w:color w:val="auto"/>
          <w:kern w:val="0"/>
          <w:szCs w:val="21"/>
          <w:highlight w:val="none"/>
        </w:rPr>
        <w:t>进口产品是指符合《政府采购进口产品管理办法》（财库〔2007〕119号）和《关于政府采购进口产品管理有关问题的通知》（财办库〔2008〕248号）文件规定的产品。除</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kern w:val="0"/>
          <w:szCs w:val="21"/>
          <w:highlight w:val="none"/>
        </w:rPr>
        <w:t>另有规定外，采购项目</w:t>
      </w:r>
      <w:r>
        <w:rPr>
          <w:rFonts w:hint="eastAsia" w:ascii="仿宋" w:hAnsi="仿宋" w:eastAsia="仿宋_GB2312" w:cs="仿宋"/>
          <w:b/>
          <w:color w:val="auto"/>
          <w:kern w:val="0"/>
          <w:szCs w:val="21"/>
          <w:highlight w:val="none"/>
        </w:rPr>
        <w:t>拒绝进口产品参加投标</w:t>
      </w:r>
      <w:r>
        <w:rPr>
          <w:rFonts w:hint="eastAsia" w:ascii="仿宋" w:hAnsi="仿宋" w:eastAsia="仿宋_GB2312" w:cs="仿宋"/>
          <w:color w:val="auto"/>
          <w:kern w:val="0"/>
          <w:szCs w:val="21"/>
          <w:highlight w:val="none"/>
        </w:rPr>
        <w:t>。本款规定同意购买进口产品的，不限制满足招标文件要求的国内产品参与投标竞争。</w:t>
      </w:r>
    </w:p>
    <w:p w14:paraId="0C80BBB1">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3. 投标人的资格要求</w:t>
      </w:r>
    </w:p>
    <w:p w14:paraId="578FF52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3.1投标人应当符合</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规定的投标人资格条件。</w:t>
      </w:r>
    </w:p>
    <w:p w14:paraId="0750F04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3.2</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规定接受联合体形式投标的，投标人除应符合本章第3.1</w:t>
      </w:r>
      <w:r>
        <w:rPr>
          <w:rFonts w:hint="eastAsia" w:ascii="仿宋" w:hAnsi="仿宋" w:eastAsia="仿宋_GB2312" w:cs="仿宋"/>
          <w:color w:val="auto"/>
          <w:kern w:val="0"/>
          <w:szCs w:val="21"/>
          <w:highlight w:val="none"/>
          <w:lang w:val="zh-CN"/>
        </w:rPr>
        <w:t>款</w:t>
      </w:r>
      <w:r>
        <w:rPr>
          <w:rFonts w:hint="eastAsia" w:ascii="仿宋" w:hAnsi="仿宋" w:eastAsia="仿宋_GB2312" w:cs="仿宋"/>
          <w:color w:val="auto"/>
          <w:szCs w:val="21"/>
          <w:highlight w:val="none"/>
        </w:rPr>
        <w:t xml:space="preserve">规定外，还应遵守以下规定： </w:t>
      </w:r>
    </w:p>
    <w:p w14:paraId="0590C41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（l）联合体中有同类资质的供应商按照联合体分工承担相同工作的，应当按照资质等级较低的供应商确定资质等级。</w:t>
      </w:r>
    </w:p>
    <w:p w14:paraId="56F2B58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（2）联合体各方应按招标文件提供的格式签订联合体协议书，明确联合体牵头人和各方的权利义务、合同工作量比例；</w:t>
      </w:r>
    </w:p>
    <w:p w14:paraId="3B1CB8E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lang w:val="zh-CN"/>
        </w:rPr>
      </w:pPr>
      <w:r>
        <w:rPr>
          <w:rFonts w:hint="eastAsia" w:ascii="仿宋" w:hAnsi="仿宋" w:eastAsia="仿宋_GB2312" w:cs="仿宋"/>
          <w:color w:val="auto"/>
          <w:szCs w:val="21"/>
          <w:highlight w:val="none"/>
        </w:rPr>
        <w:t>（3）联合体各方签订联合体协议书后，</w:t>
      </w:r>
      <w:r>
        <w:rPr>
          <w:rFonts w:hint="eastAsia" w:ascii="仿宋" w:hAnsi="仿宋" w:eastAsia="仿宋_GB2312" w:cs="仿宋"/>
          <w:color w:val="auto"/>
          <w:kern w:val="0"/>
          <w:szCs w:val="21"/>
          <w:highlight w:val="none"/>
          <w:lang w:val="zh-CN"/>
        </w:rPr>
        <w:t>不得再单独参加或者与其他投标人组成新的联合体参加同一合同项下的采购活动。</w:t>
      </w:r>
    </w:p>
    <w:p w14:paraId="2A86CAC6">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 xml:space="preserve">4. 投标费用 </w:t>
      </w:r>
    </w:p>
    <w:p w14:paraId="6C005AE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4.1投标人应自行承担所有参与投标的相关费用，不论投标的结果如何，采购人、采购代理机构均无义务和责任承担这些费用。</w:t>
      </w:r>
    </w:p>
    <w:p w14:paraId="54666AD1">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t>5．组织现场考察或者召开答疑会</w:t>
      </w:r>
    </w:p>
    <w:p w14:paraId="449EA38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highlight w:val="none"/>
        </w:rPr>
        <w:t>5.1采购人、采购代理机构可以在</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规定的招标文件提供期限截止后，组织已获取招标文件的潜在投标人现场考察或者召开开标前答疑会。</w:t>
      </w:r>
    </w:p>
    <w:p w14:paraId="35187F1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5.2获取招标文件的潜在投标人应按</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规定参加现场考察或者答疑会；如不参加，其风险由其自行承担。</w:t>
      </w:r>
    </w:p>
    <w:p w14:paraId="2F59E9FA">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5.3潜在投标人现场考察或者参加答疑会的费用由自己承担，现场考察期间所发生的人身伤害及财产损失由自己负责。</w:t>
      </w:r>
    </w:p>
    <w:p w14:paraId="0C16B67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5.4采购人、采购代理机构不对投标人据此而做出的推论、理解和结论负责。投标人一旦中标，不得以任何借口，提出额外补偿，或延长合同期限的要求。</w:t>
      </w:r>
    </w:p>
    <w:p w14:paraId="7ECBC026">
      <w:pPr>
        <w:pageBreakBefore w:val="0"/>
        <w:kinsoku/>
        <w:overflowPunct/>
        <w:topLinePunct w:val="0"/>
        <w:bidi w:val="0"/>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t>二、招标文件</w:t>
      </w:r>
    </w:p>
    <w:p w14:paraId="348B29A8">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6. 招标文件的构成</w:t>
      </w:r>
    </w:p>
    <w:p w14:paraId="12EB443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6.1 招标文件共七章，各章内容如下：</w:t>
      </w:r>
    </w:p>
    <w:p w14:paraId="3C95FAB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第一章 投标邀请</w:t>
      </w:r>
    </w:p>
    <w:p w14:paraId="5FFB84A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第二章 投标须知</w:t>
      </w:r>
    </w:p>
    <w:p w14:paraId="58EA233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第三章 资格审查</w:t>
      </w:r>
    </w:p>
    <w:p w14:paraId="16DDE1E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第四章 评标方法及标准</w:t>
      </w:r>
    </w:p>
    <w:p w14:paraId="5C92755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第五章 采购需求</w:t>
      </w:r>
    </w:p>
    <w:p w14:paraId="5CB7A31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第六章 政府采购合同</w:t>
      </w:r>
    </w:p>
    <w:p w14:paraId="31D3970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第七章 投标文件的组成</w:t>
      </w:r>
    </w:p>
    <w:p w14:paraId="6057446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
          <w:color w:val="auto"/>
          <w:szCs w:val="21"/>
          <w:highlight w:val="none"/>
        </w:rPr>
      </w:pPr>
      <w:r>
        <w:rPr>
          <w:rFonts w:hint="eastAsia" w:ascii="仿宋" w:hAnsi="仿宋" w:eastAsia="仿宋_GB2312" w:cs="仿宋"/>
          <w:color w:val="auto"/>
          <w:szCs w:val="21"/>
          <w:highlight w:val="none"/>
        </w:rPr>
        <w:t>6.2采购人、采购代理机构在提交投标文件截止时间前对招标文件所作的澄清或者修改，构成招标文件的组成部分。</w:t>
      </w:r>
    </w:p>
    <w:p w14:paraId="4DC30163">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t>7．偏离与实质性响应</w:t>
      </w:r>
    </w:p>
    <w:p w14:paraId="79CD532C">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7.1投标人应当按照招标文件的要求编制投标文件。投标文件应当对招标文件提出的要求和条件作出明确响应。</w:t>
      </w:r>
    </w:p>
    <w:p w14:paraId="28AA79A0">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7.2偏离是指投标文件不响应或者不满足招标文件提出的要求和条件，分为实质性偏离和非实质性偏离。</w:t>
      </w:r>
    </w:p>
    <w:p w14:paraId="6F0AE7C0">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7.3除法律、法规和招标文件规定的其他投标无效情形外，招标文件中用“</w:t>
      </w:r>
      <w:r>
        <w:rPr>
          <w:rFonts w:hint="eastAsia" w:ascii="仿宋" w:hAnsi="仿宋" w:eastAsia="仿宋_GB2312" w:cs="仿宋"/>
          <w:color w:val="auto"/>
          <w:highlight w:val="none"/>
          <w:lang w:eastAsia="zh-CN"/>
        </w:rPr>
        <w:t>★</w:t>
      </w:r>
      <w:r>
        <w:rPr>
          <w:rFonts w:hint="eastAsia" w:ascii="仿宋" w:hAnsi="仿宋" w:eastAsia="仿宋_GB2312" w:cs="仿宋"/>
          <w:color w:val="auto"/>
          <w:highlight w:val="none"/>
        </w:rPr>
        <w:t>”符号标明的条款为实质性要求和条件，对其中任何一条的偏离，为实质性偏离，</w:t>
      </w:r>
      <w:r>
        <w:rPr>
          <w:rFonts w:hint="eastAsia" w:ascii="仿宋" w:hAnsi="仿宋" w:eastAsia="仿宋_GB2312" w:cs="仿宋"/>
          <w:b/>
          <w:color w:val="auto"/>
          <w:highlight w:val="none"/>
        </w:rPr>
        <w:t>其投标无效</w:t>
      </w:r>
      <w:r>
        <w:rPr>
          <w:rFonts w:hint="eastAsia" w:ascii="仿宋" w:hAnsi="仿宋" w:eastAsia="仿宋_GB2312" w:cs="仿宋"/>
          <w:color w:val="auto"/>
          <w:highlight w:val="none"/>
        </w:rPr>
        <w:t>。</w:t>
      </w:r>
    </w:p>
    <w:p w14:paraId="1F95CEC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7.4投标</w:t>
      </w:r>
      <w:r>
        <w:rPr>
          <w:rFonts w:hint="eastAsia" w:ascii="仿宋" w:hAnsi="仿宋" w:eastAsia="仿宋_GB2312" w:cs="仿宋"/>
          <w:color w:val="auto"/>
          <w:szCs w:val="21"/>
          <w:highlight w:val="none"/>
        </w:rPr>
        <w:t>文件偏离招标文件的非实质性要求和条件，为非实质性偏离。非实质性偏离的范围和幅度应当符合</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的规定，</w:t>
      </w:r>
      <w:r>
        <w:rPr>
          <w:rFonts w:hint="eastAsia" w:ascii="仿宋" w:hAnsi="仿宋" w:eastAsia="仿宋_GB2312" w:cs="仿宋"/>
          <w:b/>
          <w:color w:val="auto"/>
          <w:szCs w:val="21"/>
          <w:highlight w:val="none"/>
        </w:rPr>
        <w:t>否</w:t>
      </w:r>
      <w:r>
        <w:rPr>
          <w:rFonts w:hint="eastAsia" w:ascii="仿宋" w:hAnsi="仿宋" w:eastAsia="仿宋_GB2312" w:cs="仿宋"/>
          <w:b/>
          <w:color w:val="auto"/>
          <w:highlight w:val="none"/>
        </w:rPr>
        <w:t>则投标无效</w:t>
      </w:r>
      <w:r>
        <w:rPr>
          <w:rFonts w:hint="eastAsia" w:ascii="仿宋" w:hAnsi="仿宋" w:eastAsia="仿宋_GB2312" w:cs="仿宋"/>
          <w:color w:val="auto"/>
          <w:highlight w:val="none"/>
        </w:rPr>
        <w:t>。</w:t>
      </w:r>
    </w:p>
    <w:p w14:paraId="5D744BAA">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color w:val="auto"/>
          <w:sz w:val="24"/>
          <w:highlight w:val="none"/>
        </w:rPr>
        <w:t>8. 询问</w:t>
      </w:r>
    </w:p>
    <w:p w14:paraId="6731649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8.1潜在投标人应仔细阅读和检查招标文件的全部内容。如有疑问，可以向采购人或者采购代理机构提出询问。</w:t>
      </w:r>
    </w:p>
    <w:p w14:paraId="059105BD">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9. 招标文件的澄清或者修改</w:t>
      </w:r>
    </w:p>
    <w:p w14:paraId="75A3E1C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9.1采购人、采购代理机构对已发出的招标文件进行必要澄清或者修改的，将在</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规定的</w:t>
      </w:r>
      <w:r>
        <w:rPr>
          <w:rFonts w:hint="eastAsia" w:ascii="仿宋" w:hAnsi="仿宋" w:eastAsia="仿宋_GB2312" w:cs="仿宋"/>
          <w:color w:val="auto"/>
          <w:highlight w:val="none"/>
        </w:rPr>
        <w:t>招标公告指定媒体上发布澄清或者修改公告。</w:t>
      </w:r>
    </w:p>
    <w:p w14:paraId="0E0935D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kern w:val="0"/>
          <w:szCs w:val="21"/>
          <w:highlight w:val="none"/>
        </w:rPr>
        <w:t>9.2澄清或者修改</w:t>
      </w:r>
      <w:r>
        <w:rPr>
          <w:rFonts w:hint="eastAsia" w:ascii="仿宋" w:hAnsi="仿宋" w:eastAsia="仿宋_GB2312" w:cs="仿宋"/>
          <w:color w:val="auto"/>
          <w:highlight w:val="none"/>
        </w:rPr>
        <w:t>的</w:t>
      </w:r>
      <w:r>
        <w:rPr>
          <w:rFonts w:hint="eastAsia" w:ascii="仿宋" w:hAnsi="仿宋" w:eastAsia="仿宋_GB2312" w:cs="仿宋"/>
          <w:color w:val="auto"/>
          <w:kern w:val="0"/>
          <w:szCs w:val="21"/>
          <w:highlight w:val="none"/>
        </w:rPr>
        <w:t>内容可能影响投标文件编制的，采购人、采购代理机构</w:t>
      </w:r>
      <w:r>
        <w:rPr>
          <w:rFonts w:hint="eastAsia" w:ascii="仿宋" w:hAnsi="仿宋" w:eastAsia="仿宋_GB2312" w:cs="仿宋"/>
          <w:color w:val="auto"/>
          <w:highlight w:val="none"/>
        </w:rPr>
        <w:t>将</w:t>
      </w:r>
      <w:r>
        <w:rPr>
          <w:rFonts w:hint="eastAsia" w:ascii="仿宋" w:hAnsi="仿宋" w:eastAsia="仿宋_GB2312" w:cs="仿宋"/>
          <w:color w:val="auto"/>
          <w:kern w:val="0"/>
          <w:szCs w:val="21"/>
          <w:highlight w:val="none"/>
        </w:rPr>
        <w:t>在提交投标文件截止时间15日前，</w:t>
      </w:r>
      <w:r>
        <w:rPr>
          <w:rFonts w:hint="eastAsia" w:ascii="仿宋" w:hAnsi="仿宋" w:eastAsia="仿宋_GB2312" w:cs="仿宋"/>
          <w:color w:val="auto"/>
          <w:highlight w:val="none"/>
        </w:rPr>
        <w:t>以书面形式通知所有获取招标文件的潜在投标人；不足15日的，将相应延长提交投标文件的截止时间。</w:t>
      </w:r>
    </w:p>
    <w:p w14:paraId="786214E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9.3招标文件的提供期限届满后，获取招标文件的潜在投标人不足3家的，可以顺延提供期限，并在指定媒体上发布修改公告。</w:t>
      </w:r>
    </w:p>
    <w:p w14:paraId="5B82341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9.4 请获取招标文件的潜在投标人及时关注</w:t>
      </w:r>
      <w:r>
        <w:rPr>
          <w:rFonts w:hint="eastAsia" w:ascii="仿宋" w:hAnsi="仿宋" w:eastAsia="仿宋_GB2312" w:cs="仿宋"/>
          <w:color w:val="auto"/>
          <w:szCs w:val="21"/>
          <w:highlight w:val="none"/>
        </w:rPr>
        <w:t>招标公告指定媒体</w:t>
      </w:r>
      <w:r>
        <w:rPr>
          <w:rFonts w:hint="eastAsia" w:ascii="仿宋" w:hAnsi="仿宋" w:eastAsia="仿宋_GB2312" w:cs="仿宋"/>
          <w:color w:val="auto"/>
          <w:highlight w:val="none"/>
        </w:rPr>
        <w:t>发布的澄清或者修改公告，采购人、采购代理机构不再书面通知。</w:t>
      </w:r>
    </w:p>
    <w:p w14:paraId="3175D5B4">
      <w:pPr>
        <w:pageBreakBefore w:val="0"/>
        <w:kinsoku/>
        <w:overflowPunct/>
        <w:topLinePunct w:val="0"/>
        <w:bidi w:val="0"/>
        <w:rPr>
          <w:rFonts w:hint="eastAsia" w:ascii="仿宋" w:hAnsi="仿宋" w:eastAsia="仿宋_GB2312" w:cs="仿宋"/>
          <w:color w:val="auto"/>
          <w:sz w:val="28"/>
          <w:szCs w:val="28"/>
          <w:highlight w:val="none"/>
        </w:rPr>
      </w:pPr>
    </w:p>
    <w:p w14:paraId="14738FCA">
      <w:pPr>
        <w:pStyle w:val="4"/>
        <w:pageBreakBefore w:val="0"/>
        <w:kinsoku/>
        <w:overflowPunct/>
        <w:topLinePunct w:val="0"/>
        <w:bidi w:val="0"/>
        <w:adjustRightInd w:val="0"/>
        <w:snapToGrid w:val="0"/>
        <w:spacing w:before="0" w:after="0" w:line="400" w:lineRule="exact"/>
        <w:jc w:val="center"/>
        <w:rPr>
          <w:rFonts w:hint="eastAsia" w:ascii="仿宋" w:hAnsi="仿宋" w:eastAsia="仿宋_GB2312" w:cs="仿宋"/>
          <w:color w:val="auto"/>
          <w:sz w:val="28"/>
          <w:szCs w:val="28"/>
          <w:highlight w:val="none"/>
        </w:rPr>
      </w:pPr>
      <w:bookmarkStart w:id="18" w:name="_Toc5979"/>
      <w:r>
        <w:rPr>
          <w:rFonts w:hint="eastAsia" w:ascii="仿宋" w:hAnsi="仿宋" w:eastAsia="仿宋_GB2312" w:cs="仿宋"/>
          <w:color w:val="auto"/>
          <w:sz w:val="28"/>
          <w:szCs w:val="28"/>
          <w:highlight w:val="none"/>
        </w:rPr>
        <w:t>三、投标文件</w:t>
      </w:r>
      <w:bookmarkEnd w:id="18"/>
    </w:p>
    <w:p w14:paraId="5AB20CFF">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10. 投标语言</w:t>
      </w:r>
    </w:p>
    <w:p w14:paraId="44C5B50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10.1除专用术语外，投标人提交的投标文件及投标人与采购人、采购代理机构就有关投标的所有来往函电均使用中文。投标人可以提交其它语言的资料，但应附有中文注释，有差异时以中文为准。</w:t>
      </w:r>
    </w:p>
    <w:p w14:paraId="600E1123">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bCs/>
          <w:color w:val="auto"/>
          <w:sz w:val="24"/>
          <w:highlight w:val="none"/>
        </w:rPr>
        <w:t xml:space="preserve">11. </w:t>
      </w:r>
      <w:r>
        <w:rPr>
          <w:rFonts w:hint="eastAsia" w:ascii="仿宋" w:hAnsi="仿宋" w:eastAsia="仿宋_GB2312" w:cs="仿宋"/>
          <w:b/>
          <w:color w:val="auto"/>
          <w:sz w:val="24"/>
          <w:highlight w:val="none"/>
        </w:rPr>
        <w:t>计量单位</w:t>
      </w:r>
    </w:p>
    <w:p w14:paraId="387C0CD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11.1所有计量均采用中华人民共和国法定计量单位。</w:t>
      </w:r>
    </w:p>
    <w:p w14:paraId="7FA0C9DD">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color w:val="auto"/>
          <w:sz w:val="24"/>
          <w:highlight w:val="none"/>
        </w:rPr>
        <w:t xml:space="preserve">12. </w:t>
      </w:r>
      <w:r>
        <w:rPr>
          <w:rFonts w:hint="eastAsia" w:ascii="仿宋" w:hAnsi="仿宋" w:eastAsia="仿宋_GB2312" w:cs="仿宋"/>
          <w:b/>
          <w:bCs/>
          <w:color w:val="auto"/>
          <w:sz w:val="24"/>
          <w:highlight w:val="none"/>
        </w:rPr>
        <w:t>投标文件的组成</w:t>
      </w:r>
    </w:p>
    <w:p w14:paraId="2D4DFB7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12.1投标文件由如下内容组成：</w:t>
      </w:r>
    </w:p>
    <w:p w14:paraId="0070DB08">
      <w:pPr>
        <w:pageBreakBefore w:val="0"/>
        <w:numPr>
          <w:ilvl w:val="0"/>
          <w:numId w:val="0"/>
        </w:numPr>
        <w:kinsoku/>
        <w:overflowPunct/>
        <w:topLinePunct w:val="0"/>
        <w:bidi w:val="0"/>
        <w:adjustRightInd w:val="0"/>
        <w:snapToGrid w:val="0"/>
        <w:spacing w:line="400" w:lineRule="exact"/>
        <w:jc w:val="left"/>
        <w:outlineLvl w:val="9"/>
        <w:rPr>
          <w:rFonts w:hint="eastAsia" w:ascii="仿宋" w:hAnsi="仿宋" w:eastAsia="仿宋_GB2312" w:cs="仿宋"/>
          <w:b/>
          <w:color w:val="auto"/>
          <w:szCs w:val="21"/>
          <w:highlight w:val="none"/>
        </w:rPr>
      </w:pPr>
      <w:r>
        <w:rPr>
          <w:rFonts w:hint="eastAsia" w:ascii="仿宋" w:hAnsi="仿宋" w:eastAsia="仿宋_GB2312" w:cs="仿宋"/>
          <w:b/>
          <w:color w:val="auto"/>
          <w:szCs w:val="21"/>
          <w:highlight w:val="none"/>
          <w:lang w:eastAsia="zh-CN"/>
        </w:rPr>
        <w:t>第一部分</w:t>
      </w:r>
      <w:r>
        <w:rPr>
          <w:rFonts w:hint="eastAsia" w:ascii="仿宋" w:hAnsi="仿宋" w:eastAsia="仿宋_GB2312" w:cs="仿宋"/>
          <w:b/>
          <w:color w:val="auto"/>
          <w:szCs w:val="21"/>
          <w:highlight w:val="none"/>
          <w:lang w:val="en-US" w:eastAsia="zh-CN"/>
        </w:rPr>
        <w:t xml:space="preserve"> </w:t>
      </w:r>
      <w:r>
        <w:rPr>
          <w:rFonts w:hint="eastAsia" w:ascii="仿宋" w:hAnsi="仿宋" w:eastAsia="仿宋_GB2312" w:cs="仿宋"/>
          <w:b/>
          <w:color w:val="auto"/>
          <w:szCs w:val="21"/>
          <w:highlight w:val="none"/>
        </w:rPr>
        <w:t>资格证明文件</w:t>
      </w:r>
    </w:p>
    <w:p w14:paraId="23DC626D">
      <w:pPr>
        <w:pStyle w:val="16"/>
        <w:pageBreakBefore w:val="0"/>
        <w:numPr>
          <w:ilvl w:val="0"/>
          <w:numId w:val="0"/>
        </w:numPr>
        <w:kinsoku/>
        <w:overflowPunct/>
        <w:topLinePunct w:val="0"/>
        <w:bidi w:val="0"/>
        <w:spacing w:after="0" w:line="400" w:lineRule="exact"/>
        <w:ind w:firstLine="630" w:firstLineChars="3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封面</w:t>
      </w:r>
    </w:p>
    <w:p w14:paraId="185E0EB7">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一、投标人具备投标资格的证明文件</w:t>
      </w:r>
    </w:p>
    <w:p w14:paraId="158689DF">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附件1 授权委托书</w:t>
      </w:r>
    </w:p>
    <w:p w14:paraId="6BA2CF09">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附件1-1 法定代表人身份证明</w:t>
      </w:r>
    </w:p>
    <w:p w14:paraId="7CF2BBB9">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附件2 投标人基本情况</w:t>
      </w:r>
    </w:p>
    <w:p w14:paraId="73CBB81C">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附件3湖南省政府采购供应商资格承诺函</w:t>
      </w:r>
    </w:p>
    <w:p w14:paraId="4382B211">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附件4 项目免交投标保证金承诺书</w:t>
      </w:r>
    </w:p>
    <w:p w14:paraId="5608916B">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附件5 信用信息查询结果</w:t>
      </w:r>
    </w:p>
    <w:p w14:paraId="687CAD2C">
      <w:pPr>
        <w:pStyle w:val="65"/>
        <w:pageBreakBefore w:val="0"/>
        <w:kinsoku/>
        <w:overflowPunct/>
        <w:topLinePunct w:val="0"/>
        <w:bidi w:val="0"/>
        <w:spacing w:line="400" w:lineRule="exact"/>
        <w:outlineLvl w:val="9"/>
        <w:rPr>
          <w:rFonts w:hint="eastAsia" w:ascii="仿宋" w:hAnsi="仿宋" w:eastAsia="仿宋_GB2312" w:cs="仿宋"/>
          <w:color w:val="auto"/>
          <w:kern w:val="2"/>
          <w:sz w:val="21"/>
          <w:szCs w:val="24"/>
          <w:highlight w:val="none"/>
          <w:lang w:val="en-US" w:eastAsia="zh-CN" w:bidi="ar-SA"/>
        </w:rPr>
      </w:pPr>
      <w:r>
        <w:rPr>
          <w:rFonts w:hint="eastAsia" w:ascii="仿宋" w:hAnsi="仿宋" w:eastAsia="仿宋_GB2312" w:cs="仿宋"/>
          <w:color w:val="auto"/>
          <w:kern w:val="2"/>
          <w:sz w:val="21"/>
          <w:szCs w:val="24"/>
          <w:highlight w:val="none"/>
          <w:lang w:val="en-US" w:eastAsia="zh-CN" w:bidi="ar-SA"/>
        </w:rPr>
        <w:t>附件6特定资格条件和其他资格条件证明材料</w:t>
      </w:r>
    </w:p>
    <w:p w14:paraId="18AE32A0">
      <w:pPr>
        <w:pageBreakBefore w:val="0"/>
        <w:kinsoku/>
        <w:overflowPunct/>
        <w:topLinePunct w:val="0"/>
        <w:bidi w:val="0"/>
        <w:adjustRightInd w:val="0"/>
        <w:snapToGrid w:val="0"/>
        <w:spacing w:line="400" w:lineRule="exact"/>
        <w:jc w:val="left"/>
        <w:outlineLvl w:val="9"/>
        <w:rPr>
          <w:rFonts w:hint="eastAsia" w:ascii="仿宋" w:hAnsi="仿宋" w:eastAsia="仿宋_GB2312" w:cs="仿宋"/>
          <w:b/>
          <w:color w:val="auto"/>
          <w:szCs w:val="21"/>
          <w:highlight w:val="none"/>
        </w:rPr>
      </w:pPr>
      <w:r>
        <w:rPr>
          <w:rFonts w:hint="eastAsia" w:ascii="仿宋" w:hAnsi="仿宋" w:eastAsia="仿宋_GB2312" w:cs="仿宋"/>
          <w:b/>
          <w:color w:val="auto"/>
          <w:szCs w:val="21"/>
          <w:highlight w:val="none"/>
        </w:rPr>
        <w:t>第二部分 商务文件</w:t>
      </w:r>
    </w:p>
    <w:p w14:paraId="64CEA7B9">
      <w:pPr>
        <w:pageBreakBefore w:val="0"/>
        <w:kinsoku/>
        <w:overflowPunct/>
        <w:topLinePunct w:val="0"/>
        <w:bidi w:val="0"/>
        <w:adjustRightInd w:val="0"/>
        <w:snapToGrid w:val="0"/>
        <w:spacing w:line="400" w:lineRule="exact"/>
        <w:ind w:firstLine="422" w:firstLineChars="200"/>
        <w:rPr>
          <w:rFonts w:hint="eastAsia" w:ascii="仿宋" w:hAnsi="仿宋" w:eastAsia="仿宋_GB2312" w:cs="仿宋"/>
          <w:color w:val="auto"/>
          <w:highlight w:val="none"/>
          <w:lang w:val="en-US" w:eastAsia="zh-CN"/>
        </w:rPr>
      </w:pPr>
      <w:r>
        <w:rPr>
          <w:rFonts w:hint="eastAsia" w:ascii="仿宋" w:hAnsi="仿宋" w:eastAsia="仿宋_GB2312" w:cs="仿宋"/>
          <w:b/>
          <w:color w:val="auto"/>
          <w:szCs w:val="21"/>
          <w:highlight w:val="none"/>
          <w:lang w:val="en-US" w:eastAsia="zh-CN"/>
        </w:rPr>
        <w:t xml:space="preserve">     </w:t>
      </w:r>
      <w:r>
        <w:rPr>
          <w:rFonts w:hint="eastAsia" w:ascii="仿宋" w:hAnsi="仿宋" w:eastAsia="仿宋_GB2312" w:cs="仿宋"/>
          <w:color w:val="auto"/>
          <w:highlight w:val="none"/>
          <w:lang w:eastAsia="zh-CN"/>
        </w:rPr>
        <w:t>封面</w:t>
      </w:r>
    </w:p>
    <w:p w14:paraId="55C6BACD">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二、投标函</w:t>
      </w:r>
    </w:p>
    <w:p w14:paraId="7FB4CE02">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三、开标一览表</w:t>
      </w:r>
    </w:p>
    <w:p w14:paraId="60561A46">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四、分项报价</w:t>
      </w:r>
    </w:p>
    <w:p w14:paraId="5CD8E1E9">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五、商务、合同条款响应偏离表</w:t>
      </w:r>
    </w:p>
    <w:p w14:paraId="539AC474">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六、投标保证金</w:t>
      </w:r>
    </w:p>
    <w:p w14:paraId="7B02DE19">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七、中小企业声明函</w:t>
      </w:r>
    </w:p>
    <w:p w14:paraId="504A5F4E">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八、残疾人福利性单位声明函</w:t>
      </w:r>
    </w:p>
    <w:p w14:paraId="4DBDE95F">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九、招标文件规定的其他与本项目相关的商务证明文件</w:t>
      </w:r>
    </w:p>
    <w:p w14:paraId="09A4C670">
      <w:pPr>
        <w:pStyle w:val="16"/>
        <w:pageBreakBefore w:val="0"/>
        <w:kinsoku/>
        <w:overflowPunct/>
        <w:topLinePunct w:val="0"/>
        <w:bidi w:val="0"/>
        <w:spacing w:after="0" w:line="400" w:lineRule="exact"/>
        <w:outlineLvl w:val="9"/>
        <w:rPr>
          <w:rFonts w:hint="eastAsia" w:ascii="仿宋" w:hAnsi="仿宋" w:eastAsia="仿宋_GB2312" w:cs="仿宋"/>
          <w:color w:val="auto"/>
          <w:szCs w:val="21"/>
          <w:highlight w:val="none"/>
          <w:lang w:val="en-US" w:eastAsia="zh-CN"/>
        </w:rPr>
      </w:pPr>
      <w:r>
        <w:rPr>
          <w:rFonts w:hint="eastAsia" w:ascii="仿宋" w:hAnsi="仿宋" w:eastAsia="仿宋_GB2312" w:cs="仿宋"/>
          <w:b/>
          <w:color w:val="auto"/>
          <w:kern w:val="2"/>
          <w:sz w:val="21"/>
          <w:szCs w:val="21"/>
          <w:highlight w:val="none"/>
          <w:lang w:val="en-US" w:eastAsia="zh-CN" w:bidi="ar-SA"/>
        </w:rPr>
        <w:t>第三部分 技术文件</w:t>
      </w:r>
    </w:p>
    <w:p w14:paraId="13FB00BB">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eastAsia="zh-CN"/>
        </w:rPr>
        <w:t>封面</w:t>
      </w:r>
    </w:p>
    <w:p w14:paraId="1F40792B">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十、服务方案</w:t>
      </w:r>
    </w:p>
    <w:p w14:paraId="0BCAD40B">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十一、技术要求响应偏离表</w:t>
      </w:r>
    </w:p>
    <w:p w14:paraId="495A8CAF">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lang w:eastAsia="zh-CN"/>
        </w:rPr>
        <w:t>十二、招标文件规定的其他与本项目相关的技术证明文件</w:t>
      </w:r>
    </w:p>
    <w:p w14:paraId="7725ABC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12.</w:t>
      </w:r>
      <w:r>
        <w:rPr>
          <w:rFonts w:hint="eastAsia" w:ascii="仿宋" w:hAnsi="仿宋" w:eastAsia="仿宋_GB2312" w:cs="仿宋"/>
          <w:color w:val="auto"/>
          <w:szCs w:val="21"/>
          <w:highlight w:val="none"/>
          <w:lang w:val="en-US" w:eastAsia="zh-CN"/>
        </w:rPr>
        <w:t>2</w:t>
      </w:r>
      <w:r>
        <w:rPr>
          <w:rFonts w:hint="eastAsia" w:ascii="仿宋" w:hAnsi="仿宋" w:eastAsia="仿宋_GB2312" w:cs="仿宋"/>
          <w:color w:val="auto"/>
          <w:szCs w:val="21"/>
          <w:highlight w:val="none"/>
        </w:rPr>
        <w:t>根据《政府采购法》第四十二条的规定，投标人无论中标与否，其投标文件不予退还。</w:t>
      </w:r>
    </w:p>
    <w:p w14:paraId="0D511C77">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13. 投标报价</w:t>
      </w:r>
    </w:p>
    <w:p w14:paraId="660F597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14:paraId="0CE19DA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13.2投标人的投标报价不得超过采购预算，也不得超过最高限价(如果设定)，否则其</w:t>
      </w:r>
      <w:r>
        <w:rPr>
          <w:rFonts w:hint="eastAsia" w:ascii="仿宋" w:hAnsi="仿宋" w:eastAsia="仿宋_GB2312" w:cs="仿宋"/>
          <w:b/>
          <w:color w:val="auto"/>
          <w:szCs w:val="21"/>
          <w:highlight w:val="none"/>
        </w:rPr>
        <w:t>投标无效</w:t>
      </w:r>
      <w:r>
        <w:rPr>
          <w:rFonts w:hint="eastAsia" w:ascii="仿宋" w:hAnsi="仿宋" w:eastAsia="仿宋_GB2312" w:cs="仿宋"/>
          <w:color w:val="auto"/>
          <w:szCs w:val="21"/>
          <w:highlight w:val="none"/>
        </w:rPr>
        <w:t>。采购项目预算、最高限价见</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w:t>
      </w:r>
    </w:p>
    <w:p w14:paraId="3EA0C58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szCs w:val="21"/>
          <w:highlight w:val="none"/>
        </w:rPr>
        <w:t>13.3 投标人应在分项报价明细表中对每项内容给予详细分项</w:t>
      </w:r>
      <w:r>
        <w:rPr>
          <w:rFonts w:hint="eastAsia" w:ascii="仿宋" w:hAnsi="仿宋" w:eastAsia="仿宋_GB2312" w:cs="仿宋"/>
          <w:color w:val="auto"/>
          <w:highlight w:val="none"/>
        </w:rPr>
        <w:t>报价。</w:t>
      </w:r>
    </w:p>
    <w:p w14:paraId="7CF0603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13.4投标人对采购项目内容只允许有一个投标报价，否则其</w:t>
      </w:r>
      <w:r>
        <w:rPr>
          <w:rFonts w:hint="eastAsia" w:ascii="仿宋" w:hAnsi="仿宋" w:eastAsia="仿宋_GB2312" w:cs="仿宋"/>
          <w:b/>
          <w:color w:val="auto"/>
          <w:highlight w:val="none"/>
        </w:rPr>
        <w:t>投标无效</w:t>
      </w:r>
      <w:r>
        <w:rPr>
          <w:rFonts w:hint="eastAsia" w:ascii="仿宋" w:hAnsi="仿宋" w:eastAsia="仿宋_GB2312" w:cs="仿宋"/>
          <w:color w:val="auto"/>
          <w:highlight w:val="none"/>
        </w:rPr>
        <w:t>。</w:t>
      </w:r>
    </w:p>
    <w:p w14:paraId="24B8057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13.5采购人不接受投标人给予的赠品、回扣或者与采购无关的其他商品、服务。如有赠与行为，其</w:t>
      </w:r>
      <w:r>
        <w:rPr>
          <w:rFonts w:hint="eastAsia" w:ascii="仿宋" w:hAnsi="仿宋" w:eastAsia="仿宋_GB2312" w:cs="仿宋"/>
          <w:b/>
          <w:color w:val="auto"/>
          <w:highlight w:val="none"/>
        </w:rPr>
        <w:t>投标无效</w:t>
      </w:r>
      <w:r>
        <w:rPr>
          <w:rFonts w:hint="eastAsia" w:ascii="仿宋" w:hAnsi="仿宋" w:eastAsia="仿宋_GB2312" w:cs="仿宋"/>
          <w:color w:val="auto"/>
          <w:highlight w:val="none"/>
        </w:rPr>
        <w:t>。</w:t>
      </w:r>
    </w:p>
    <w:p w14:paraId="3D60F72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13.6</w:t>
      </w:r>
      <w:r>
        <w:rPr>
          <w:rFonts w:hint="eastAsia" w:ascii="仿宋" w:hAnsi="仿宋" w:eastAsia="仿宋_GB2312" w:cs="仿宋"/>
          <w:color w:val="auto"/>
          <w:highlight w:val="none"/>
        </w:rPr>
        <w:t>投标文件中标明的价格在合同执行过程中是固定不变的，不得以任何理由予以变更。任何包含价格调整要求和条件的投标，其</w:t>
      </w:r>
      <w:r>
        <w:rPr>
          <w:rFonts w:hint="eastAsia" w:ascii="仿宋" w:hAnsi="仿宋" w:eastAsia="仿宋_GB2312" w:cs="仿宋"/>
          <w:b/>
          <w:color w:val="auto"/>
          <w:highlight w:val="none"/>
        </w:rPr>
        <w:t>投标无效</w:t>
      </w:r>
      <w:r>
        <w:rPr>
          <w:rFonts w:hint="eastAsia" w:ascii="仿宋" w:hAnsi="仿宋" w:eastAsia="仿宋_GB2312" w:cs="仿宋"/>
          <w:color w:val="auto"/>
          <w:highlight w:val="none"/>
        </w:rPr>
        <w:t>。</w:t>
      </w:r>
    </w:p>
    <w:p w14:paraId="761C48DE">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13.7投标人在投标截止时间前修改“开标一览表”中的投标报价的，应同时修改投标文件“分项报价明细表”“享受政府采购政策优惠的证明资料”以及“联合体协议书”（如果影响）等相关内容。此修改须符合本章第22款的有关要求。</w:t>
      </w:r>
    </w:p>
    <w:p w14:paraId="7908E26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13.8投标报价的其他要求见</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highlight w:val="none"/>
        </w:rPr>
        <w:t>。</w:t>
      </w:r>
    </w:p>
    <w:p w14:paraId="5D5BCF02">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color w:val="auto"/>
          <w:sz w:val="24"/>
          <w:highlight w:val="none"/>
        </w:rPr>
        <w:t xml:space="preserve">14. </w:t>
      </w:r>
      <w:r>
        <w:rPr>
          <w:rFonts w:hint="eastAsia" w:ascii="仿宋" w:hAnsi="仿宋" w:eastAsia="仿宋_GB2312" w:cs="仿宋"/>
          <w:b/>
          <w:bCs/>
          <w:color w:val="auto"/>
          <w:sz w:val="24"/>
          <w:highlight w:val="none"/>
        </w:rPr>
        <w:t>投标人的资格证明文件</w:t>
      </w:r>
    </w:p>
    <w:p w14:paraId="3971B2F8">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14.1</w:t>
      </w:r>
      <w:r>
        <w:rPr>
          <w:rFonts w:hint="eastAsia" w:ascii="仿宋" w:hAnsi="仿宋" w:eastAsia="仿宋_GB2312" w:cs="仿宋"/>
          <w:color w:val="auto"/>
          <w:szCs w:val="21"/>
          <w:highlight w:val="none"/>
        </w:rPr>
        <w:t>除</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另有规</w:t>
      </w:r>
      <w:r>
        <w:rPr>
          <w:rFonts w:hint="eastAsia" w:ascii="仿宋" w:hAnsi="仿宋" w:eastAsia="仿宋_GB2312" w:cs="仿宋"/>
          <w:color w:val="auto"/>
          <w:highlight w:val="none"/>
        </w:rPr>
        <w:t>定外，投标人应按下列规定提供资格证明文件。</w:t>
      </w:r>
    </w:p>
    <w:p w14:paraId="563C4DFF">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（1）</w:t>
      </w:r>
      <w:r>
        <w:rPr>
          <w:rFonts w:hint="eastAsia" w:ascii="仿宋" w:hAnsi="仿宋" w:eastAsia="仿宋_GB2312" w:cs="仿宋"/>
          <w:b/>
          <w:color w:val="auto"/>
          <w:highlight w:val="none"/>
        </w:rPr>
        <w:t>法人或者其他组织的营业执照等主体资格证明文件，自然人的身份证明</w:t>
      </w:r>
      <w:r>
        <w:rPr>
          <w:rFonts w:hint="eastAsia" w:ascii="仿宋" w:hAnsi="仿宋" w:eastAsia="仿宋_GB2312" w:cs="仿宋"/>
          <w:color w:val="auto"/>
          <w:highlight w:val="none"/>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14:paraId="6D5E9F95">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（2）</w:t>
      </w:r>
      <w:r>
        <w:rPr>
          <w:rFonts w:hint="eastAsia" w:ascii="仿宋" w:hAnsi="仿宋" w:eastAsia="仿宋_GB2312" w:cs="仿宋"/>
          <w:b/>
          <w:color w:val="auto"/>
          <w:highlight w:val="none"/>
        </w:rPr>
        <w:t>湖南省政府采购供应商资格承诺函(格式)</w:t>
      </w:r>
    </w:p>
    <w:p w14:paraId="44FDC4A2">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szCs w:val="21"/>
          <w:highlight w:val="none"/>
        </w:rPr>
      </w:pPr>
      <w:r>
        <w:rPr>
          <w:rFonts w:hint="eastAsia" w:ascii="仿宋" w:hAnsi="仿宋" w:eastAsia="仿宋_GB2312" w:cs="仿宋"/>
          <w:color w:val="auto"/>
          <w:highlight w:val="none"/>
        </w:rPr>
        <w:t>（3）</w:t>
      </w:r>
      <w:r>
        <w:rPr>
          <w:rFonts w:hint="eastAsia" w:ascii="仿宋" w:hAnsi="仿宋" w:eastAsia="仿宋_GB2312" w:cs="仿宋"/>
          <w:b/>
          <w:color w:val="auto"/>
          <w:highlight w:val="none"/>
        </w:rPr>
        <w:t>符合特定资格条件证明材料复印件或者情况说明原件</w:t>
      </w:r>
      <w:r>
        <w:rPr>
          <w:rFonts w:hint="eastAsia" w:ascii="仿宋" w:hAnsi="仿宋" w:eastAsia="仿宋_GB2312" w:cs="仿宋"/>
          <w:color w:val="auto"/>
          <w:highlight w:val="none"/>
        </w:rPr>
        <w:t>。</w:t>
      </w:r>
      <w:r>
        <w:rPr>
          <w:rFonts w:hint="eastAsia" w:ascii="仿宋" w:hAnsi="仿宋" w:eastAsia="仿宋_GB2312" w:cs="仿宋"/>
          <w:color w:val="auto"/>
          <w:szCs w:val="21"/>
          <w:highlight w:val="none"/>
        </w:rPr>
        <w:t>具体要求见</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w:t>
      </w:r>
    </w:p>
    <w:p w14:paraId="45B3395B">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14.2投标人以联合体形式投标的，除应提交联合协议(格式)外，参加联合体的各方均应提交上款资格证明材料。</w:t>
      </w:r>
    </w:p>
    <w:p w14:paraId="0A349D84">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14.3投标人的资格证明文件均应为有效文件并加盖投标人单位章，并按招标文件规定签署。</w:t>
      </w:r>
    </w:p>
    <w:p w14:paraId="3716737B">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15. 投标货物及服务符合招标文件规定的证明文件</w:t>
      </w:r>
    </w:p>
    <w:p w14:paraId="0BEEC54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15.1投标人应当提交其拟供的合同项下货物及其服务符合招标文件规定的证明文件,该证明文件作为投标文件的一部分。</w:t>
      </w:r>
    </w:p>
    <w:p w14:paraId="67DA5AB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15.2上述证明文件可以是文字资料、图表、数据、证书等资料，包括但不限于：</w:t>
      </w:r>
    </w:p>
    <w:p w14:paraId="2D45D99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（1）货物主要技术指标和性能的详细说明。对有具体参数要求的指标，投标人应提供具体参数值；</w:t>
      </w:r>
    </w:p>
    <w:p w14:paraId="09BB63E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（2）货物的品牌型号、制造商及原产地等说明；</w:t>
      </w:r>
    </w:p>
    <w:p w14:paraId="72F5940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（3）招标文件第五章“采购需求”要求的其它文件。</w:t>
      </w:r>
    </w:p>
    <w:p w14:paraId="5591F0FA">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16. 投标有效期</w:t>
      </w:r>
    </w:p>
    <w:p w14:paraId="10ADF64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16.1投标有效期从提交投标文件的截止之日起算。投标文件中承诺的投标有效期应当不少于</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中载明的投标有效期。投标有效期不满足要求的，其</w:t>
      </w:r>
      <w:r>
        <w:rPr>
          <w:rFonts w:hint="eastAsia" w:ascii="仿宋" w:hAnsi="仿宋" w:eastAsia="仿宋_GB2312" w:cs="仿宋"/>
          <w:b/>
          <w:color w:val="auto"/>
          <w:szCs w:val="21"/>
          <w:highlight w:val="none"/>
        </w:rPr>
        <w:t>投标无效</w:t>
      </w:r>
      <w:r>
        <w:rPr>
          <w:rFonts w:hint="eastAsia" w:ascii="仿宋" w:hAnsi="仿宋" w:eastAsia="仿宋_GB2312" w:cs="仿宋"/>
          <w:color w:val="auto"/>
          <w:szCs w:val="21"/>
          <w:highlight w:val="none"/>
        </w:rPr>
        <w:t>。</w:t>
      </w:r>
    </w:p>
    <w:p w14:paraId="6CCDB50E">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16.2投标有效期内投标人撤销投标文件的，投标人应承担招标文件和法律规定的责任。</w:t>
      </w:r>
    </w:p>
    <w:p w14:paraId="23AE7CB5">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17. 投标保证金</w:t>
      </w:r>
    </w:p>
    <w:p w14:paraId="168729A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17.1</w:t>
      </w:r>
      <w:r>
        <w:rPr>
          <w:rFonts w:hint="eastAsia" w:ascii="仿宋" w:hAnsi="仿宋" w:eastAsia="仿宋_GB2312" w:cs="仿宋"/>
          <w:bCs/>
          <w:color w:val="auto"/>
          <w:szCs w:val="21"/>
          <w:highlight w:val="none"/>
        </w:rPr>
        <w:t>投标人</w:t>
      </w:r>
      <w:r>
        <w:rPr>
          <w:rFonts w:hint="eastAsia" w:ascii="仿宋" w:hAnsi="仿宋" w:eastAsia="仿宋_GB2312" w:cs="仿宋"/>
          <w:color w:val="auto"/>
          <w:szCs w:val="21"/>
          <w:highlight w:val="none"/>
        </w:rPr>
        <w:t>应按</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w:t>
      </w:r>
      <w:r>
        <w:rPr>
          <w:rFonts w:hint="eastAsia" w:ascii="仿宋" w:hAnsi="仿宋" w:eastAsia="仿宋_GB2312" w:cs="仿宋"/>
          <w:bCs/>
          <w:color w:val="auto"/>
          <w:szCs w:val="21"/>
          <w:highlight w:val="none"/>
          <w:lang w:eastAsia="zh-CN"/>
        </w:rPr>
        <w:t>提交相关资料</w:t>
      </w:r>
      <w:r>
        <w:rPr>
          <w:rFonts w:hint="eastAsia" w:ascii="仿宋" w:hAnsi="仿宋" w:eastAsia="仿宋_GB2312" w:cs="仿宋"/>
          <w:color w:val="auto"/>
          <w:szCs w:val="21"/>
          <w:highlight w:val="none"/>
        </w:rPr>
        <w:t>。</w:t>
      </w:r>
    </w:p>
    <w:p w14:paraId="267518E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17.2联合体投标的，可以由联合体中的一方或者共同提交</w:t>
      </w:r>
      <w:r>
        <w:rPr>
          <w:rFonts w:hint="eastAsia" w:ascii="仿宋" w:hAnsi="仿宋" w:eastAsia="仿宋_GB2312" w:cs="仿宋"/>
          <w:color w:val="auto"/>
          <w:szCs w:val="21"/>
          <w:highlight w:val="none"/>
          <w:lang w:eastAsia="zh-CN"/>
        </w:rPr>
        <w:t>相关资料，</w:t>
      </w:r>
      <w:r>
        <w:rPr>
          <w:rFonts w:hint="eastAsia" w:ascii="仿宋" w:hAnsi="仿宋" w:eastAsia="仿宋_GB2312" w:cs="仿宋"/>
          <w:color w:val="auto"/>
          <w:szCs w:val="21"/>
          <w:highlight w:val="none"/>
        </w:rPr>
        <w:t>对联合体各方均具有约束力。</w:t>
      </w:r>
    </w:p>
    <w:p w14:paraId="3D18B3C9">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t>18.分包</w:t>
      </w:r>
    </w:p>
    <w:p w14:paraId="03B6C7AB">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18.1投标人拟在中标后将中</w:t>
      </w:r>
      <w:r>
        <w:rPr>
          <w:rFonts w:hint="eastAsia" w:ascii="仿宋" w:hAnsi="仿宋" w:eastAsia="仿宋_GB2312" w:cs="仿宋"/>
          <w:color w:val="auto"/>
          <w:szCs w:val="21"/>
          <w:highlight w:val="none"/>
        </w:rPr>
        <w:t>标项目的非主体、非关键性工作进行分包的，应符合</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规定的分包内容、分包金</w:t>
      </w:r>
      <w:r>
        <w:rPr>
          <w:rFonts w:hint="eastAsia" w:ascii="仿宋" w:hAnsi="仿宋" w:eastAsia="仿宋_GB2312" w:cs="仿宋"/>
          <w:color w:val="auto"/>
          <w:highlight w:val="none"/>
        </w:rPr>
        <w:t>额和资质要求等限制性条件，并在投标文件中载明分包承担主体，且分包承担主体不得再次分包。</w:t>
      </w:r>
    </w:p>
    <w:p w14:paraId="07D5C68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18.2中标人应当就分包项目向采购人负责，分包承担主体就分包项目承担连带责任。</w:t>
      </w:r>
    </w:p>
    <w:p w14:paraId="0C7B74E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18.3不符合招标文件中有关分包规定的，其</w:t>
      </w:r>
      <w:r>
        <w:rPr>
          <w:rFonts w:hint="eastAsia" w:ascii="仿宋" w:hAnsi="仿宋" w:eastAsia="仿宋_GB2312" w:cs="仿宋"/>
          <w:b/>
          <w:color w:val="auto"/>
          <w:highlight w:val="none"/>
        </w:rPr>
        <w:t>投标无效</w:t>
      </w:r>
      <w:r>
        <w:rPr>
          <w:rFonts w:hint="eastAsia" w:ascii="仿宋" w:hAnsi="仿宋" w:eastAsia="仿宋_GB2312" w:cs="仿宋"/>
          <w:color w:val="auto"/>
          <w:highlight w:val="none"/>
        </w:rPr>
        <w:t>。</w:t>
      </w:r>
    </w:p>
    <w:p w14:paraId="2E4646B8">
      <w:pPr>
        <w:pageBreakBefore w:val="0"/>
        <w:numPr>
          <w:ilvl w:val="0"/>
          <w:numId w:val="6"/>
        </w:numPr>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lang w:eastAsia="zh-CN"/>
        </w:rPr>
      </w:pPr>
      <w:r>
        <w:rPr>
          <w:rFonts w:hint="eastAsia" w:ascii="仿宋" w:hAnsi="仿宋" w:eastAsia="仿宋_GB2312" w:cs="仿宋"/>
          <w:b/>
          <w:bCs/>
          <w:color w:val="auto"/>
          <w:sz w:val="24"/>
          <w:highlight w:val="none"/>
        </w:rPr>
        <w:t>投标文件的</w:t>
      </w:r>
      <w:r>
        <w:rPr>
          <w:rFonts w:hint="eastAsia" w:ascii="仿宋" w:hAnsi="仿宋" w:eastAsia="仿宋_GB2312" w:cs="仿宋"/>
          <w:b/>
          <w:bCs/>
          <w:color w:val="auto"/>
          <w:sz w:val="24"/>
          <w:highlight w:val="none"/>
          <w:lang w:eastAsia="zh-CN"/>
        </w:rPr>
        <w:t>组成</w:t>
      </w:r>
    </w:p>
    <w:p w14:paraId="4E5E00CD">
      <w:pPr>
        <w:pStyle w:val="71"/>
        <w:pageBreakBefore w:val="0"/>
        <w:numPr>
          <w:ilvl w:val="0"/>
          <w:numId w:val="0"/>
        </w:numPr>
        <w:kinsoku/>
        <w:overflowPunct/>
        <w:topLinePunct w:val="0"/>
        <w:bidi w:val="0"/>
        <w:spacing w:line="400" w:lineRule="exact"/>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val="en-US" w:eastAsia="zh-CN"/>
        </w:rPr>
        <w:t>19.1电子投标文件的编制</w:t>
      </w:r>
    </w:p>
    <w:p w14:paraId="58095C66">
      <w:pPr>
        <w:pageBreakBefore w:val="0"/>
        <w:kinsoku/>
        <w:overflowPunct/>
        <w:topLinePunct w:val="0"/>
        <w:bidi w:val="0"/>
        <w:spacing w:line="400" w:lineRule="exact"/>
        <w:ind w:firstLine="420"/>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val="en-US" w:eastAsia="zh-CN"/>
        </w:rPr>
        <w:t>19.1.1</w:t>
      </w:r>
      <w:r>
        <w:rPr>
          <w:rFonts w:hint="eastAsia" w:ascii="仿宋" w:hAnsi="仿宋" w:eastAsia="仿宋_GB2312" w:cs="仿宋"/>
          <w:color w:val="auto"/>
          <w:sz w:val="21"/>
          <w:szCs w:val="21"/>
          <w:highlight w:val="none"/>
        </w:rPr>
        <w:t>电子投标文件制作时，应按照统一的“电子投标文件制作工具”和招标文件中明确的投标文件目录和投标技术</w:t>
      </w:r>
      <w:r>
        <w:rPr>
          <w:rFonts w:hint="eastAsia" w:ascii="仿宋" w:hAnsi="仿宋" w:eastAsia="仿宋_GB2312" w:cs="仿宋"/>
          <w:color w:val="auto"/>
          <w:sz w:val="21"/>
          <w:szCs w:val="21"/>
          <w:highlight w:val="none"/>
          <w:lang w:eastAsia="zh-CN"/>
        </w:rPr>
        <w:t>要求</w:t>
      </w:r>
      <w:r>
        <w:rPr>
          <w:rFonts w:hint="eastAsia" w:ascii="仿宋" w:hAnsi="仿宋" w:eastAsia="仿宋_GB2312" w:cs="仿宋"/>
          <w:color w:val="auto"/>
          <w:sz w:val="21"/>
          <w:szCs w:val="21"/>
          <w:highlight w:val="none"/>
        </w:rPr>
        <w:t>及相关要求格式进行编制，保证目录清晰、内容完整。</w:t>
      </w:r>
    </w:p>
    <w:p w14:paraId="49C707DD">
      <w:pPr>
        <w:pageBreakBefore w:val="0"/>
        <w:kinsoku/>
        <w:overflowPunct/>
        <w:topLinePunct w:val="0"/>
        <w:bidi w:val="0"/>
        <w:spacing w:line="400" w:lineRule="exact"/>
        <w:ind w:firstLine="420"/>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val="en-US" w:eastAsia="zh-CN"/>
        </w:rPr>
        <w:t>19.1.2</w:t>
      </w:r>
      <w:r>
        <w:rPr>
          <w:rFonts w:hint="eastAsia" w:ascii="仿宋" w:hAnsi="仿宋" w:eastAsia="仿宋_GB2312" w:cs="仿宋"/>
          <w:color w:val="auto"/>
          <w:sz w:val="21"/>
          <w:szCs w:val="21"/>
          <w:highlight w:val="none"/>
        </w:rPr>
        <w:t>网上提交的电子投标文件</w:t>
      </w:r>
      <w:r>
        <w:rPr>
          <w:rFonts w:hint="eastAsia" w:ascii="仿宋" w:hAnsi="仿宋" w:eastAsia="仿宋_GB2312" w:cs="仿宋"/>
          <w:color w:val="auto"/>
          <w:sz w:val="21"/>
          <w:szCs w:val="21"/>
          <w:highlight w:val="none"/>
          <w:lang w:eastAsia="zh-CN"/>
        </w:rPr>
        <w:t>须进行加密</w:t>
      </w:r>
      <w:r>
        <w:rPr>
          <w:rFonts w:hint="eastAsia" w:ascii="仿宋" w:hAnsi="仿宋" w:eastAsia="仿宋_GB2312" w:cs="仿宋"/>
          <w:color w:val="auto"/>
          <w:sz w:val="21"/>
          <w:szCs w:val="21"/>
          <w:highlight w:val="none"/>
        </w:rPr>
        <w:t xml:space="preserve">。 </w:t>
      </w:r>
    </w:p>
    <w:p w14:paraId="05BB0F01">
      <w:pPr>
        <w:pageBreakBefore w:val="0"/>
        <w:kinsoku/>
        <w:overflowPunct/>
        <w:topLinePunct w:val="0"/>
        <w:bidi w:val="0"/>
        <w:spacing w:line="400" w:lineRule="exact"/>
        <w:ind w:firstLine="420"/>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val="en-US" w:eastAsia="zh-CN"/>
        </w:rPr>
        <w:t>19.1.3</w:t>
      </w:r>
      <w:r>
        <w:rPr>
          <w:rFonts w:hint="eastAsia" w:ascii="仿宋" w:hAnsi="仿宋" w:eastAsia="仿宋_GB2312" w:cs="仿宋"/>
          <w:color w:val="auto"/>
          <w:sz w:val="21"/>
          <w:szCs w:val="21"/>
          <w:highlight w:val="none"/>
        </w:rPr>
        <w:t xml:space="preserve">投标人因自身原因导致电子投标文件无法导入电子评标系统的，该投标文件视为无效投标文件。 </w:t>
      </w:r>
    </w:p>
    <w:p w14:paraId="5140175B">
      <w:pPr>
        <w:pageBreakBefore w:val="0"/>
        <w:kinsoku/>
        <w:overflowPunct/>
        <w:topLinePunct w:val="0"/>
        <w:bidi w:val="0"/>
        <w:spacing w:line="400" w:lineRule="exact"/>
        <w:ind w:firstLine="420"/>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val="en-US" w:eastAsia="zh-CN"/>
        </w:rPr>
        <w:t>19.1.4</w:t>
      </w:r>
      <w:r>
        <w:rPr>
          <w:rFonts w:hint="eastAsia" w:ascii="仿宋" w:hAnsi="仿宋" w:eastAsia="仿宋_GB2312" w:cs="仿宋"/>
          <w:color w:val="auto"/>
          <w:sz w:val="21"/>
          <w:szCs w:val="21"/>
          <w:highlight w:val="none"/>
        </w:rPr>
        <w:t xml:space="preserve">电子招投标文件具有法律效力，若投标文件与招标文件要求不一致，其内容影响中标结果时，责任由投标人自行承担。 </w:t>
      </w:r>
    </w:p>
    <w:p w14:paraId="020FB953">
      <w:pPr>
        <w:pageBreakBefore w:val="0"/>
        <w:kinsoku/>
        <w:overflowPunct/>
        <w:topLinePunct w:val="0"/>
        <w:bidi w:val="0"/>
        <w:spacing w:line="400" w:lineRule="exact"/>
        <w:ind w:firstLine="420"/>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val="en-US" w:eastAsia="zh-CN"/>
        </w:rPr>
        <w:t>19.1.5</w:t>
      </w:r>
      <w:r>
        <w:rPr>
          <w:rFonts w:hint="eastAsia" w:ascii="仿宋" w:hAnsi="仿宋" w:eastAsia="仿宋_GB2312" w:cs="仿宋"/>
          <w:color w:val="auto"/>
          <w:sz w:val="21"/>
          <w:szCs w:val="21"/>
        </w:rPr>
        <w:t>为了保证电子标书的合法性、安全性和完整性，电子标书转换完成后，应在规定区域加盖单位</w:t>
      </w:r>
      <w:r>
        <w:rPr>
          <w:rFonts w:hint="eastAsia" w:ascii="仿宋" w:hAnsi="仿宋" w:eastAsia="仿宋_GB2312" w:cs="仿宋"/>
          <w:color w:val="auto"/>
          <w:sz w:val="21"/>
          <w:szCs w:val="21"/>
          <w:lang w:eastAsia="zh-CN"/>
        </w:rPr>
        <w:t>或</w:t>
      </w:r>
      <w:r>
        <w:rPr>
          <w:rFonts w:hint="eastAsia" w:ascii="仿宋" w:hAnsi="仿宋" w:eastAsia="仿宋_GB2312" w:cs="仿宋"/>
          <w:color w:val="auto"/>
          <w:sz w:val="21"/>
          <w:szCs w:val="21"/>
          <w:highlight w:val="none"/>
        </w:rPr>
        <w:t>法定代表人或授权代表</w:t>
      </w:r>
      <w:r>
        <w:rPr>
          <w:rFonts w:hint="eastAsia" w:ascii="仿宋" w:hAnsi="仿宋" w:eastAsia="仿宋_GB2312" w:cs="仿宋"/>
          <w:color w:val="auto"/>
          <w:sz w:val="21"/>
          <w:szCs w:val="21"/>
          <w:highlight w:val="none"/>
          <w:lang w:eastAsia="zh-CN"/>
        </w:rPr>
        <w:t>签章（</w:t>
      </w:r>
      <w:r>
        <w:rPr>
          <w:rFonts w:hint="eastAsia" w:ascii="仿宋" w:hAnsi="仿宋" w:eastAsia="仿宋_GB2312" w:cs="仿宋"/>
          <w:color w:val="auto"/>
          <w:sz w:val="21"/>
          <w:szCs w:val="21"/>
          <w:highlight w:val="none"/>
          <w:lang w:val="en-US" w:eastAsia="zh-CN"/>
        </w:rPr>
        <w:t>电子签章或鲜章扫描件</w:t>
      </w:r>
      <w:r>
        <w:rPr>
          <w:rFonts w:hint="eastAsia" w:ascii="仿宋" w:hAnsi="仿宋" w:eastAsia="仿宋_GB2312" w:cs="仿宋"/>
          <w:color w:val="auto"/>
          <w:sz w:val="21"/>
          <w:szCs w:val="21"/>
          <w:highlight w:val="none"/>
          <w:lang w:eastAsia="zh-CN"/>
        </w:rPr>
        <w:t>）</w:t>
      </w:r>
      <w:r>
        <w:rPr>
          <w:rFonts w:hint="eastAsia" w:ascii="仿宋" w:hAnsi="仿宋" w:eastAsia="仿宋_GB2312" w:cs="仿宋"/>
          <w:color w:val="auto"/>
          <w:sz w:val="21"/>
          <w:szCs w:val="21"/>
        </w:rPr>
        <w:t>。电子投标文件若无签章，则视为无效文件。</w:t>
      </w:r>
    </w:p>
    <w:p w14:paraId="0D8DB51F">
      <w:pPr>
        <w:pageBreakBefore w:val="0"/>
        <w:kinsoku/>
        <w:overflowPunct/>
        <w:topLinePunct w:val="0"/>
        <w:bidi w:val="0"/>
        <w:spacing w:line="400" w:lineRule="exact"/>
        <w:ind w:firstLine="420"/>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val="en-US" w:eastAsia="zh-CN"/>
        </w:rPr>
        <w:t>19.1.6</w:t>
      </w:r>
      <w:r>
        <w:rPr>
          <w:rFonts w:hint="eastAsia" w:ascii="仿宋" w:hAnsi="仿宋" w:eastAsia="仿宋_GB2312" w:cs="仿宋"/>
          <w:color w:val="auto"/>
          <w:sz w:val="21"/>
          <w:szCs w:val="21"/>
          <w:highlight w:val="none"/>
        </w:rPr>
        <w:t xml:space="preserve">投标人应完整地填写招标文件中提供的《投标函》、《开标一览表》等招标文件中规定的所有内容。 </w:t>
      </w:r>
    </w:p>
    <w:p w14:paraId="04D1172C">
      <w:pPr>
        <w:pageBreakBefore w:val="0"/>
        <w:kinsoku/>
        <w:overflowPunct/>
        <w:topLinePunct w:val="0"/>
        <w:bidi w:val="0"/>
        <w:spacing w:line="400" w:lineRule="exact"/>
        <w:ind w:firstLine="420"/>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val="en-US" w:eastAsia="zh-CN"/>
        </w:rPr>
        <w:t>19.1.7</w:t>
      </w:r>
      <w:r>
        <w:rPr>
          <w:rFonts w:hint="eastAsia" w:ascii="仿宋" w:hAnsi="仿宋" w:eastAsia="仿宋_GB2312" w:cs="仿宋"/>
          <w:color w:val="auto"/>
          <w:sz w:val="21"/>
          <w:szCs w:val="21"/>
          <w:highlight w:val="none"/>
        </w:rPr>
        <w:t>投标人必须保证投标文件所提供的全部资料真实可靠，并接受招标采购单位对其中任何资料进一步核实的要求。</w:t>
      </w:r>
    </w:p>
    <w:p w14:paraId="7A69CDA7">
      <w:pPr>
        <w:pStyle w:val="71"/>
        <w:pageBreakBefore w:val="0"/>
        <w:numPr>
          <w:ilvl w:val="0"/>
          <w:numId w:val="0"/>
        </w:numPr>
        <w:kinsoku/>
        <w:overflowPunct/>
        <w:topLinePunct w:val="0"/>
        <w:bidi w:val="0"/>
        <w:spacing w:line="400" w:lineRule="exact"/>
        <w:rPr>
          <w:rFonts w:hint="eastAsia" w:ascii="仿宋" w:hAnsi="仿宋" w:eastAsia="仿宋_GB2312" w:cs="仿宋"/>
          <w:color w:val="auto"/>
          <w:highlight w:val="none"/>
          <w:lang w:val="en-US" w:eastAsia="zh-CN"/>
        </w:rPr>
      </w:pPr>
    </w:p>
    <w:p w14:paraId="1C19DBF0">
      <w:pPr>
        <w:pStyle w:val="71"/>
        <w:pageBreakBefore w:val="0"/>
        <w:numPr>
          <w:ilvl w:val="0"/>
          <w:numId w:val="0"/>
        </w:numPr>
        <w:kinsoku/>
        <w:overflowPunct/>
        <w:topLinePunct w:val="0"/>
        <w:bidi w:val="0"/>
        <w:spacing w:line="400" w:lineRule="exact"/>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val="en-US" w:eastAsia="zh-CN"/>
        </w:rPr>
        <w:t>19.2投标文件的组成</w:t>
      </w:r>
    </w:p>
    <w:p w14:paraId="07451E73">
      <w:pPr>
        <w:pageBreakBefore w:val="0"/>
        <w:kinsoku/>
        <w:overflowPunct/>
        <w:topLinePunct w:val="0"/>
        <w:bidi w:val="0"/>
        <w:spacing w:line="400" w:lineRule="exact"/>
        <w:ind w:firstLine="420"/>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投标文件由资格证明文件、商务文件、技术文件三部分组成</w:t>
      </w:r>
      <w:r>
        <w:rPr>
          <w:rFonts w:hint="eastAsia" w:ascii="仿宋" w:hAnsi="仿宋" w:eastAsia="仿宋_GB2312" w:cs="仿宋"/>
          <w:color w:val="auto"/>
          <w:szCs w:val="21"/>
          <w:highlight w:val="none"/>
          <w:lang w:eastAsia="zh-CN"/>
        </w:rPr>
        <w:t>，具体格式和内容见第七章</w:t>
      </w:r>
      <w:r>
        <w:rPr>
          <w:rFonts w:hint="eastAsia" w:ascii="仿宋" w:hAnsi="仿宋" w:eastAsia="仿宋_GB2312" w:cs="仿宋"/>
          <w:color w:val="auto"/>
          <w:szCs w:val="21"/>
          <w:highlight w:val="none"/>
        </w:rPr>
        <w:t>。</w:t>
      </w:r>
    </w:p>
    <w:p w14:paraId="1CD27017">
      <w:pPr>
        <w:pStyle w:val="4"/>
        <w:keepNext w:val="0"/>
        <w:keepLines w:val="0"/>
        <w:pageBreakBefore w:val="0"/>
        <w:widowControl w:val="0"/>
        <w:kinsoku/>
        <w:wordWrap/>
        <w:overflowPunct/>
        <w:topLinePunct w:val="0"/>
        <w:autoSpaceDE/>
        <w:autoSpaceDN/>
        <w:bidi w:val="0"/>
        <w:adjustRightInd w:val="0"/>
        <w:snapToGrid w:val="0"/>
        <w:spacing w:before="0" w:after="0" w:line="380" w:lineRule="exact"/>
        <w:jc w:val="center"/>
        <w:textAlignment w:val="auto"/>
        <w:rPr>
          <w:rFonts w:hint="eastAsia" w:ascii="仿宋" w:hAnsi="仿宋" w:eastAsia="仿宋_GB2312" w:cs="仿宋"/>
          <w:color w:val="auto"/>
          <w:sz w:val="28"/>
          <w:szCs w:val="28"/>
          <w:highlight w:val="none"/>
        </w:rPr>
      </w:pPr>
      <w:bookmarkStart w:id="19" w:name="_Toc25969"/>
      <w:r>
        <w:rPr>
          <w:rFonts w:hint="eastAsia" w:ascii="仿宋" w:hAnsi="仿宋" w:eastAsia="仿宋_GB2312" w:cs="仿宋"/>
          <w:color w:val="auto"/>
          <w:sz w:val="28"/>
          <w:szCs w:val="28"/>
          <w:highlight w:val="none"/>
        </w:rPr>
        <w:t>四、投标</w:t>
      </w:r>
      <w:bookmarkEnd w:id="19"/>
    </w:p>
    <w:p w14:paraId="6A6C45C4">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仿宋" w:hAnsi="仿宋" w:eastAsia="仿宋_GB2312" w:cs="仿宋"/>
          <w:b/>
          <w:bCs/>
          <w:color w:val="auto"/>
          <w:sz w:val="24"/>
          <w:highlight w:val="none"/>
          <w:lang w:eastAsia="zh-CN"/>
        </w:rPr>
      </w:pPr>
      <w:r>
        <w:rPr>
          <w:rFonts w:hint="eastAsia" w:ascii="仿宋" w:hAnsi="仿宋" w:eastAsia="仿宋_GB2312" w:cs="仿宋"/>
          <w:b/>
          <w:color w:val="auto"/>
          <w:sz w:val="24"/>
          <w:highlight w:val="none"/>
        </w:rPr>
        <w:t>20.</w:t>
      </w:r>
      <w:r>
        <w:rPr>
          <w:rFonts w:hint="eastAsia" w:ascii="仿宋" w:hAnsi="仿宋" w:eastAsia="仿宋_GB2312" w:cs="仿宋"/>
          <w:b/>
          <w:bCs/>
          <w:color w:val="auto"/>
          <w:sz w:val="24"/>
          <w:highlight w:val="none"/>
        </w:rPr>
        <w:t xml:space="preserve"> 投标文件的</w:t>
      </w:r>
      <w:r>
        <w:rPr>
          <w:rFonts w:hint="eastAsia" w:ascii="仿宋" w:hAnsi="仿宋" w:eastAsia="仿宋_GB2312" w:cs="仿宋"/>
          <w:b/>
          <w:bCs/>
          <w:color w:val="auto"/>
          <w:sz w:val="24"/>
          <w:highlight w:val="none"/>
          <w:lang w:eastAsia="zh-CN"/>
        </w:rPr>
        <w:t>加密和递交</w:t>
      </w:r>
    </w:p>
    <w:p w14:paraId="50E7D0C5">
      <w:pPr>
        <w:keepNext w:val="0"/>
        <w:keepLines w:val="0"/>
        <w:pageBreakBefore w:val="0"/>
        <w:widowControl w:val="0"/>
        <w:kinsoku/>
        <w:wordWrap/>
        <w:overflowPunct/>
        <w:topLinePunct w:val="0"/>
        <w:autoSpaceDE/>
        <w:autoSpaceDN/>
        <w:bidi w:val="0"/>
        <w:spacing w:line="380" w:lineRule="exact"/>
        <w:ind w:firstLine="413"/>
        <w:textAlignment w:val="auto"/>
        <w:rPr>
          <w:rFonts w:hint="eastAsia" w:ascii="仿宋" w:hAnsi="仿宋" w:eastAsia="仿宋_GB2312" w:cs="仿宋"/>
          <w:color w:val="auto"/>
          <w:szCs w:val="21"/>
          <w:highlight w:val="none"/>
          <w:lang w:eastAsia="zh-CN"/>
        </w:rPr>
      </w:pPr>
      <w:r>
        <w:rPr>
          <w:rFonts w:hint="eastAsia" w:ascii="仿宋" w:hAnsi="仿宋" w:eastAsia="仿宋_GB2312" w:cs="仿宋"/>
          <w:color w:val="auto"/>
          <w:szCs w:val="21"/>
          <w:highlight w:val="none"/>
        </w:rPr>
        <w:t>20.1</w:t>
      </w:r>
      <w:r>
        <w:rPr>
          <w:rFonts w:hint="eastAsia" w:ascii="仿宋" w:hAnsi="仿宋" w:eastAsia="仿宋_GB2312" w:cs="仿宋"/>
          <w:color w:val="auto"/>
          <w:sz w:val="21"/>
          <w:szCs w:val="21"/>
          <w:highlight w:val="none"/>
        </w:rPr>
        <w:t>电子投标文件的内容通过数字证书进行加密并签章。未按要求加密和数字证书认证的投标文件，电子开标软件将无法接受, 招标采购单位不予受理</w:t>
      </w:r>
      <w:r>
        <w:rPr>
          <w:rFonts w:hint="eastAsia" w:ascii="仿宋" w:hAnsi="仿宋" w:eastAsia="仿宋_GB2312" w:cs="仿宋"/>
          <w:color w:val="auto"/>
          <w:sz w:val="21"/>
          <w:szCs w:val="21"/>
          <w:highlight w:val="none"/>
          <w:lang w:eastAsia="zh-CN"/>
        </w:rPr>
        <w:t>。</w:t>
      </w:r>
    </w:p>
    <w:p w14:paraId="7E7FC63F">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20.2</w:t>
      </w:r>
      <w:r>
        <w:rPr>
          <w:rFonts w:hint="eastAsia" w:ascii="仿宋" w:hAnsi="仿宋" w:eastAsia="仿宋_GB2312" w:cs="仿宋"/>
          <w:color w:val="auto"/>
          <w:sz w:val="21"/>
          <w:szCs w:val="21"/>
          <w:highlight w:val="none"/>
        </w:rPr>
        <w:t>由于对网上招标操作不熟悉或自身电脑、网络的原因导致不能在投标截止时间之前上传投标文件，</w:t>
      </w:r>
      <w:r>
        <w:rPr>
          <w:rFonts w:hint="eastAsia" w:ascii="仿宋" w:hAnsi="仿宋" w:eastAsia="仿宋_GB2312" w:cs="仿宋"/>
          <w:color w:val="auto"/>
          <w:sz w:val="21"/>
          <w:szCs w:val="21"/>
          <w:highlight w:val="none"/>
          <w:lang w:eastAsia="zh-CN"/>
        </w:rPr>
        <w:t>邵阳市</w:t>
      </w:r>
      <w:r>
        <w:rPr>
          <w:rFonts w:hint="eastAsia" w:ascii="仿宋" w:hAnsi="仿宋" w:eastAsia="仿宋_GB2312" w:cs="仿宋"/>
          <w:color w:val="auto"/>
          <w:sz w:val="21"/>
          <w:szCs w:val="21"/>
          <w:highlight w:val="none"/>
        </w:rPr>
        <w:t>市公共资源交易中心不负任何责任。建议于开标前1个工作日完成投标文件的制作与上传。</w:t>
      </w:r>
    </w:p>
    <w:p w14:paraId="4C760747">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21. 投标截止期</w:t>
      </w:r>
    </w:p>
    <w:p w14:paraId="2507F2C0">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21.1投标人应在</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规定的投标截止时间前将投标文件</w:t>
      </w:r>
      <w:r>
        <w:rPr>
          <w:rFonts w:hint="eastAsia" w:ascii="仿宋" w:hAnsi="仿宋" w:eastAsia="仿宋_GB2312" w:cs="仿宋"/>
          <w:bCs/>
          <w:color w:val="auto"/>
          <w:szCs w:val="21"/>
          <w:highlight w:val="none"/>
          <w:lang w:eastAsia="zh-CN"/>
        </w:rPr>
        <w:t>加密上传</w:t>
      </w:r>
      <w:r>
        <w:rPr>
          <w:rFonts w:hint="eastAsia" w:ascii="仿宋" w:hAnsi="仿宋" w:eastAsia="仿宋_GB2312" w:cs="仿宋"/>
          <w:color w:val="auto"/>
          <w:szCs w:val="21"/>
          <w:highlight w:val="none"/>
        </w:rPr>
        <w:t>。</w:t>
      </w:r>
    </w:p>
    <w:p w14:paraId="193DB243">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21.2</w:t>
      </w:r>
      <w:r>
        <w:rPr>
          <w:rFonts w:hint="eastAsia" w:ascii="仿宋" w:hAnsi="仿宋" w:eastAsia="仿宋_GB2312" w:cs="仿宋"/>
          <w:color w:val="auto"/>
          <w:sz w:val="21"/>
          <w:szCs w:val="21"/>
          <w:highlight w:val="none"/>
        </w:rPr>
        <w:t>投标人应在招标文件规定的投标截止时间前将电子投标文件上传到指定网站的指定栏目。未在投标截止时间前完成上传的电子投标文件视为逾期送达。逾期上传或未按规定方式上传的电子投标文件，采购单位不予受理。</w:t>
      </w:r>
    </w:p>
    <w:p w14:paraId="0F5CF8EF">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22. 投标文件的修改和撤回</w:t>
      </w:r>
    </w:p>
    <w:p w14:paraId="2695431B">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 w:val="21"/>
          <w:szCs w:val="21"/>
          <w:highlight w:val="none"/>
        </w:rPr>
        <w:t>投标人在招标文件规定的投标截止时间前，可以撤回已上传的投标文件。如要修改，必须在撤回并修改后在规定的投标截止时间之前将修改后的投标文件再重新上传。在投标截止时间之后，投标人不得对其投标文件撤销或修改</w:t>
      </w:r>
      <w:r>
        <w:rPr>
          <w:rFonts w:hint="eastAsia" w:ascii="仿宋" w:hAnsi="仿宋" w:eastAsia="仿宋_GB2312" w:cs="仿宋"/>
          <w:color w:val="auto"/>
          <w:szCs w:val="21"/>
          <w:highlight w:val="none"/>
        </w:rPr>
        <w:t>。</w:t>
      </w:r>
    </w:p>
    <w:p w14:paraId="2AC3AB56">
      <w:pPr>
        <w:keepNext w:val="0"/>
        <w:keepLines w:val="0"/>
        <w:pageBreakBefore w:val="0"/>
        <w:widowControl w:val="0"/>
        <w:kinsoku/>
        <w:wordWrap/>
        <w:overflowPunct/>
        <w:topLinePunct w:val="0"/>
        <w:autoSpaceDE/>
        <w:autoSpaceDN/>
        <w:bidi w:val="0"/>
        <w:adjustRightInd w:val="0"/>
        <w:snapToGrid w:val="0"/>
        <w:spacing w:line="380" w:lineRule="exact"/>
        <w:jc w:val="left"/>
        <w:textAlignment w:val="auto"/>
        <w:rPr>
          <w:rFonts w:hint="eastAsia" w:ascii="仿宋" w:hAnsi="仿宋" w:eastAsia="仿宋_GB2312" w:cs="仿宋"/>
          <w:b/>
          <w:color w:val="auto"/>
          <w:sz w:val="24"/>
          <w:highlight w:val="none"/>
        </w:rPr>
      </w:pPr>
      <w:r>
        <w:rPr>
          <w:rFonts w:hint="eastAsia" w:ascii="仿宋" w:hAnsi="仿宋" w:eastAsia="仿宋_GB2312" w:cs="仿宋"/>
          <w:b/>
          <w:bCs/>
          <w:color w:val="auto"/>
          <w:sz w:val="24"/>
          <w:highlight w:val="none"/>
        </w:rPr>
        <w:t>23.</w:t>
      </w:r>
      <w:r>
        <w:rPr>
          <w:rFonts w:hint="eastAsia" w:ascii="仿宋" w:hAnsi="仿宋" w:eastAsia="仿宋_GB2312" w:cs="仿宋"/>
          <w:b/>
          <w:color w:val="auto"/>
          <w:sz w:val="24"/>
          <w:highlight w:val="none"/>
        </w:rPr>
        <w:t xml:space="preserve"> 串通投标行为</w:t>
      </w:r>
    </w:p>
    <w:p w14:paraId="0F8277D8">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23.1有下列情形之一的，属于恶意串通，对投标人依照政府采购法第七十七条第一款的规定追究法律责任：</w:t>
      </w:r>
    </w:p>
    <w:p w14:paraId="4A488155">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（1）投标人直接或者间接从采购人或者采购代理机构处获得其他投标人的相关情况并修改其投标文件；</w:t>
      </w:r>
    </w:p>
    <w:p w14:paraId="789F788B">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（2）投标人按照采购人或者采购代理机构的授意撤换、修改投标文件；</w:t>
      </w:r>
    </w:p>
    <w:p w14:paraId="5D78EB1B">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（3）投标人之间协商报价、技术方案等投标文件的实质性内容；</w:t>
      </w:r>
    </w:p>
    <w:p w14:paraId="549D6B2B">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（4）属于同一集团、协会、商会等组织成员的投标人按照该组织要求协同参加政府采购活动；</w:t>
      </w:r>
    </w:p>
    <w:p w14:paraId="0D3EC133">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（5）投标人之间事先约定由某一特定投标人中标；</w:t>
      </w:r>
    </w:p>
    <w:p w14:paraId="5FECBFC5">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（6）投标人之间商定部分投标人放弃参加政府采购活动或者放弃中标；</w:t>
      </w:r>
    </w:p>
    <w:p w14:paraId="47A30662">
      <w:pPr>
        <w:keepNext w:val="0"/>
        <w:keepLines w:val="0"/>
        <w:pageBreakBefore w:val="0"/>
        <w:widowControl w:val="0"/>
        <w:kinsoku/>
        <w:wordWrap/>
        <w:overflowPunct/>
        <w:topLinePunct w:val="0"/>
        <w:autoSpaceDE/>
        <w:autoSpaceDN/>
        <w:bidi w:val="0"/>
        <w:adjustRightInd w:val="0"/>
        <w:snapToGrid w:val="0"/>
        <w:spacing w:line="380" w:lineRule="exact"/>
        <w:ind w:firstLine="396" w:firstLineChars="200"/>
        <w:jc w:val="left"/>
        <w:textAlignment w:val="auto"/>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（7）投标人与采购人或者采购代理机构之间、投标人相互之间，为谋求特定投标人中标或者排斥其他投标人的其他串通行为。</w:t>
      </w:r>
    </w:p>
    <w:p w14:paraId="26F535D9">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23.2有下列情形之一的，视为投标人串通投标，其</w:t>
      </w:r>
      <w:r>
        <w:rPr>
          <w:rFonts w:hint="eastAsia" w:ascii="仿宋" w:hAnsi="仿宋" w:eastAsia="仿宋_GB2312" w:cs="仿宋"/>
          <w:b/>
          <w:color w:val="auto"/>
          <w:szCs w:val="21"/>
          <w:highlight w:val="none"/>
        </w:rPr>
        <w:t>投标无效</w:t>
      </w:r>
      <w:r>
        <w:rPr>
          <w:rFonts w:hint="eastAsia" w:ascii="仿宋" w:hAnsi="仿宋" w:eastAsia="仿宋_GB2312" w:cs="仿宋"/>
          <w:color w:val="auto"/>
          <w:szCs w:val="21"/>
          <w:highlight w:val="none"/>
        </w:rPr>
        <w:t>：</w:t>
      </w:r>
    </w:p>
    <w:p w14:paraId="4B5BC569">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（1）不同投标人的投标文件由同一单位或者个人编制；</w:t>
      </w:r>
    </w:p>
    <w:p w14:paraId="5C65E5C5">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（2）不同投标人委托同一单位或者个人办理投标事宜；</w:t>
      </w:r>
    </w:p>
    <w:p w14:paraId="67667263">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（3）不同投标人的投标文件载明的项目管理成员或者联系人员为同一人；</w:t>
      </w:r>
    </w:p>
    <w:p w14:paraId="0FE4D120">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（4）不同投标人的投标文件异常一致或者投标报价呈规律性差异；</w:t>
      </w:r>
    </w:p>
    <w:p w14:paraId="261C556A">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（5）不同投标人的投标文件相互混装；</w:t>
      </w:r>
    </w:p>
    <w:p w14:paraId="758A512F">
      <w:pPr>
        <w:keepNext w:val="0"/>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（6）不同投标人的投标保证金从同一单位或者个人的账户转出。</w:t>
      </w:r>
    </w:p>
    <w:p w14:paraId="50EF8D96">
      <w:pPr>
        <w:pStyle w:val="4"/>
        <w:pageBreakBefore w:val="0"/>
        <w:kinsoku/>
        <w:overflowPunct/>
        <w:topLinePunct w:val="0"/>
        <w:bidi w:val="0"/>
        <w:adjustRightInd w:val="0"/>
        <w:snapToGrid w:val="0"/>
        <w:spacing w:before="0" w:after="0" w:line="400" w:lineRule="exact"/>
        <w:jc w:val="center"/>
        <w:rPr>
          <w:rFonts w:hint="eastAsia" w:ascii="仿宋" w:hAnsi="仿宋" w:eastAsia="仿宋_GB2312" w:cs="仿宋"/>
          <w:color w:val="auto"/>
          <w:sz w:val="28"/>
          <w:szCs w:val="28"/>
          <w:highlight w:val="none"/>
        </w:rPr>
      </w:pPr>
      <w:bookmarkStart w:id="20" w:name="_Toc29673"/>
      <w:r>
        <w:rPr>
          <w:rFonts w:hint="eastAsia" w:ascii="仿宋" w:hAnsi="仿宋" w:eastAsia="仿宋_GB2312" w:cs="仿宋"/>
          <w:color w:val="auto"/>
          <w:sz w:val="28"/>
          <w:szCs w:val="28"/>
          <w:highlight w:val="none"/>
        </w:rPr>
        <w:t>五、开标，资格审查和评标</w:t>
      </w:r>
      <w:bookmarkEnd w:id="20"/>
    </w:p>
    <w:p w14:paraId="2A071959">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24. 开标</w:t>
      </w:r>
    </w:p>
    <w:p w14:paraId="49886996">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2</w:t>
      </w:r>
      <w:r>
        <w:rPr>
          <w:rFonts w:hint="eastAsia" w:ascii="仿宋" w:hAnsi="仿宋" w:eastAsia="仿宋_GB2312" w:cs="仿宋"/>
          <w:bCs/>
          <w:color w:val="auto"/>
          <w:sz w:val="21"/>
          <w:szCs w:val="21"/>
          <w:highlight w:val="none"/>
          <w:lang w:val="en-US" w:eastAsia="zh-CN"/>
        </w:rPr>
        <w:t>4</w:t>
      </w:r>
      <w:r>
        <w:rPr>
          <w:rFonts w:hint="eastAsia" w:ascii="仿宋" w:hAnsi="仿宋" w:eastAsia="仿宋_GB2312" w:cs="仿宋"/>
          <w:bCs/>
          <w:color w:val="auto"/>
          <w:sz w:val="21"/>
          <w:szCs w:val="21"/>
          <w:highlight w:val="none"/>
        </w:rPr>
        <w:t xml:space="preserve">.1开标时，投标文件出现下列情形之一的，招标采购单位不予受理，不得进入评标： </w:t>
      </w:r>
    </w:p>
    <w:p w14:paraId="3678B2C8">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（1）经检查数字证书无效的电子投标文件；  </w:t>
      </w:r>
    </w:p>
    <w:p w14:paraId="23F79406">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w:t>
      </w:r>
      <w:r>
        <w:rPr>
          <w:rFonts w:hint="eastAsia" w:ascii="仿宋" w:hAnsi="仿宋" w:eastAsia="仿宋_GB2312" w:cs="仿宋"/>
          <w:bCs/>
          <w:color w:val="auto"/>
          <w:sz w:val="21"/>
          <w:szCs w:val="21"/>
          <w:highlight w:val="none"/>
          <w:lang w:val="en-US" w:eastAsia="zh-CN"/>
        </w:rPr>
        <w:t>2</w:t>
      </w:r>
      <w:r>
        <w:rPr>
          <w:rFonts w:hint="eastAsia" w:ascii="仿宋" w:hAnsi="仿宋" w:eastAsia="仿宋_GB2312" w:cs="仿宋"/>
          <w:bCs/>
          <w:color w:val="auto"/>
          <w:sz w:val="21"/>
          <w:szCs w:val="21"/>
          <w:highlight w:val="none"/>
        </w:rPr>
        <w:t xml:space="preserve">）电子投标文件未按招标文件要求上传； </w:t>
      </w:r>
    </w:p>
    <w:p w14:paraId="2F66D0C3">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w:t>
      </w:r>
      <w:r>
        <w:rPr>
          <w:rFonts w:hint="eastAsia" w:ascii="仿宋" w:hAnsi="仿宋" w:eastAsia="仿宋_GB2312" w:cs="仿宋"/>
          <w:bCs/>
          <w:color w:val="auto"/>
          <w:sz w:val="21"/>
          <w:szCs w:val="21"/>
          <w:highlight w:val="none"/>
          <w:lang w:val="en-US" w:eastAsia="zh-CN"/>
        </w:rPr>
        <w:t>3</w:t>
      </w:r>
      <w:r>
        <w:rPr>
          <w:rFonts w:hint="eastAsia" w:ascii="仿宋" w:hAnsi="仿宋" w:eastAsia="仿宋_GB2312" w:cs="仿宋"/>
          <w:bCs/>
          <w:color w:val="auto"/>
          <w:sz w:val="21"/>
          <w:szCs w:val="21"/>
          <w:highlight w:val="none"/>
        </w:rPr>
        <w:t xml:space="preserve">）投标人未按照投标人须知前附表规定的时间解密电子投标文件的； </w:t>
      </w:r>
    </w:p>
    <w:p w14:paraId="74C32522">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w:t>
      </w:r>
      <w:r>
        <w:rPr>
          <w:rFonts w:hint="eastAsia" w:ascii="仿宋" w:hAnsi="仿宋" w:eastAsia="仿宋_GB2312" w:cs="仿宋"/>
          <w:bCs/>
          <w:color w:val="auto"/>
          <w:sz w:val="21"/>
          <w:szCs w:val="21"/>
          <w:highlight w:val="none"/>
          <w:lang w:val="en-US" w:eastAsia="zh-CN"/>
        </w:rPr>
        <w:t>4</w:t>
      </w:r>
      <w:r>
        <w:rPr>
          <w:rFonts w:hint="eastAsia" w:ascii="仿宋" w:hAnsi="仿宋" w:eastAsia="仿宋_GB2312" w:cs="仿宋"/>
          <w:bCs/>
          <w:color w:val="auto"/>
          <w:sz w:val="21"/>
          <w:szCs w:val="21"/>
          <w:highlight w:val="none"/>
        </w:rPr>
        <w:t>）其它违反法律、法规的情形。</w:t>
      </w:r>
    </w:p>
    <w:p w14:paraId="4FEB98ED">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2</w:t>
      </w:r>
      <w:r>
        <w:rPr>
          <w:rFonts w:hint="eastAsia" w:ascii="仿宋" w:hAnsi="仿宋" w:eastAsia="仿宋_GB2312" w:cs="仿宋"/>
          <w:bCs/>
          <w:color w:val="auto"/>
          <w:sz w:val="21"/>
          <w:szCs w:val="21"/>
          <w:highlight w:val="none"/>
          <w:lang w:val="en-US" w:eastAsia="zh-CN"/>
        </w:rPr>
        <w:t>4</w:t>
      </w:r>
      <w:r>
        <w:rPr>
          <w:rFonts w:hint="eastAsia" w:ascii="仿宋" w:hAnsi="仿宋" w:eastAsia="仿宋_GB2312" w:cs="仿宋"/>
          <w:bCs/>
          <w:color w:val="auto"/>
          <w:sz w:val="21"/>
          <w:szCs w:val="21"/>
          <w:highlight w:val="none"/>
        </w:rPr>
        <w:t>.2电子开标程序。</w:t>
      </w:r>
      <w:r>
        <w:rPr>
          <w:rFonts w:hint="eastAsia" w:ascii="仿宋" w:hAnsi="仿宋" w:eastAsia="仿宋_GB2312" w:cs="仿宋"/>
          <w:bCs/>
          <w:color w:val="auto"/>
          <w:sz w:val="21"/>
          <w:szCs w:val="21"/>
          <w:highlight w:val="none"/>
          <w:lang w:eastAsia="zh-CN"/>
        </w:rPr>
        <w:t>采购人或采购代理机构</w:t>
      </w:r>
      <w:r>
        <w:rPr>
          <w:rFonts w:hint="eastAsia" w:ascii="仿宋" w:hAnsi="仿宋" w:eastAsia="仿宋_GB2312" w:cs="仿宋"/>
          <w:bCs/>
          <w:color w:val="auto"/>
          <w:sz w:val="21"/>
          <w:szCs w:val="21"/>
          <w:highlight w:val="none"/>
        </w:rPr>
        <w:t xml:space="preserve">在规定的时间内，通过网络视频，按下列程序进行开标： </w:t>
      </w:r>
    </w:p>
    <w:p w14:paraId="2FB9799C">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（1）宣布开标纪律； </w:t>
      </w:r>
    </w:p>
    <w:p w14:paraId="3E5BC405">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（2）宣布主持人、唱标人、记录人、监督方、采购人等有关人员姓名； </w:t>
      </w:r>
    </w:p>
    <w:p w14:paraId="568ABB6E">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（3）公布投标人名称并检查投标文件的数字证书有效性和加密状况；  </w:t>
      </w:r>
    </w:p>
    <w:p w14:paraId="310C3AE6">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（4）投标人在规定的时间内解密投标文件</w:t>
      </w:r>
      <w:r>
        <w:rPr>
          <w:rFonts w:hint="eastAsia" w:ascii="仿宋" w:hAnsi="仿宋" w:eastAsia="仿宋_GB2312" w:cs="仿宋"/>
          <w:bCs/>
          <w:color w:val="auto"/>
          <w:sz w:val="21"/>
          <w:szCs w:val="21"/>
          <w:highlight w:val="none"/>
          <w:lang w:eastAsia="zh-CN"/>
        </w:rPr>
        <w:t>；</w:t>
      </w:r>
      <w:r>
        <w:rPr>
          <w:rFonts w:hint="eastAsia" w:ascii="仿宋" w:hAnsi="仿宋" w:eastAsia="仿宋_GB2312" w:cs="仿宋"/>
          <w:bCs/>
          <w:color w:val="auto"/>
          <w:sz w:val="21"/>
          <w:szCs w:val="21"/>
          <w:highlight w:val="none"/>
        </w:rPr>
        <w:t xml:space="preserve"> </w:t>
      </w:r>
    </w:p>
    <w:p w14:paraId="6493C09C">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lang w:eastAsia="zh-CN"/>
        </w:rPr>
      </w:pPr>
      <w:r>
        <w:rPr>
          <w:rFonts w:hint="eastAsia" w:ascii="仿宋" w:hAnsi="仿宋" w:eastAsia="仿宋_GB2312" w:cs="仿宋"/>
          <w:bCs/>
          <w:color w:val="auto"/>
          <w:sz w:val="21"/>
          <w:szCs w:val="21"/>
          <w:highlight w:val="none"/>
        </w:rPr>
        <w:t>（5）采购代理机构对投标截止时间前递交的投标文件二次解密，当众开标</w:t>
      </w:r>
      <w:r>
        <w:rPr>
          <w:rFonts w:hint="eastAsia" w:ascii="仿宋" w:hAnsi="仿宋" w:eastAsia="仿宋_GB2312" w:cs="仿宋"/>
          <w:bCs/>
          <w:color w:val="auto"/>
          <w:sz w:val="21"/>
          <w:szCs w:val="21"/>
          <w:highlight w:val="none"/>
          <w:lang w:eastAsia="zh-CN"/>
        </w:rPr>
        <w:t>；</w:t>
      </w:r>
    </w:p>
    <w:p w14:paraId="155B1058">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lang w:eastAsia="zh-CN"/>
        </w:rPr>
      </w:pPr>
      <w:r>
        <w:rPr>
          <w:rFonts w:hint="eastAsia" w:ascii="仿宋" w:hAnsi="仿宋" w:eastAsia="仿宋_GB2312" w:cs="仿宋"/>
          <w:bCs/>
          <w:color w:val="auto"/>
          <w:sz w:val="21"/>
          <w:szCs w:val="21"/>
          <w:highlight w:val="none"/>
        </w:rPr>
        <w:t>（6）唱标</w:t>
      </w:r>
      <w:r>
        <w:rPr>
          <w:rFonts w:hint="eastAsia" w:ascii="仿宋" w:hAnsi="仿宋" w:eastAsia="仿宋_GB2312" w:cs="仿宋"/>
          <w:bCs/>
          <w:color w:val="auto"/>
          <w:sz w:val="21"/>
          <w:szCs w:val="21"/>
          <w:highlight w:val="none"/>
          <w:lang w:eastAsia="zh-CN"/>
        </w:rPr>
        <w:t>；</w:t>
      </w:r>
    </w:p>
    <w:p w14:paraId="61D74442">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lang w:eastAsia="zh-CN"/>
        </w:rPr>
      </w:pPr>
      <w:r>
        <w:rPr>
          <w:rFonts w:hint="eastAsia" w:ascii="仿宋" w:hAnsi="仿宋" w:eastAsia="仿宋_GB2312" w:cs="仿宋"/>
          <w:bCs/>
          <w:color w:val="auto"/>
          <w:sz w:val="21"/>
          <w:szCs w:val="21"/>
          <w:highlight w:val="none"/>
        </w:rPr>
        <w:t>（7）投标人代表、记录人等有关人员通过电子开标软件在开标记录上签字确认</w:t>
      </w:r>
      <w:r>
        <w:rPr>
          <w:rFonts w:hint="eastAsia" w:ascii="仿宋" w:hAnsi="仿宋" w:eastAsia="仿宋_GB2312" w:cs="仿宋"/>
          <w:bCs/>
          <w:color w:val="auto"/>
          <w:sz w:val="21"/>
          <w:szCs w:val="21"/>
          <w:highlight w:val="none"/>
          <w:lang w:eastAsia="zh-CN"/>
        </w:rPr>
        <w:t>。</w:t>
      </w:r>
    </w:p>
    <w:p w14:paraId="147CB81C">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2</w:t>
      </w:r>
      <w:r>
        <w:rPr>
          <w:rFonts w:hint="eastAsia" w:ascii="仿宋" w:hAnsi="仿宋" w:eastAsia="仿宋_GB2312" w:cs="仿宋"/>
          <w:bCs/>
          <w:color w:val="auto"/>
          <w:sz w:val="21"/>
          <w:szCs w:val="21"/>
          <w:highlight w:val="none"/>
          <w:lang w:val="en-US" w:eastAsia="zh-CN"/>
        </w:rPr>
        <w:t>4</w:t>
      </w:r>
      <w:r>
        <w:rPr>
          <w:rFonts w:hint="eastAsia" w:ascii="仿宋" w:hAnsi="仿宋" w:eastAsia="仿宋_GB2312" w:cs="仿宋"/>
          <w:bCs/>
          <w:color w:val="auto"/>
          <w:sz w:val="21"/>
          <w:szCs w:val="21"/>
          <w:highlight w:val="none"/>
        </w:rPr>
        <w:t xml:space="preserve">.3电子招投标的应急措施电子开标、评标如出现下列原因，导致系统无法正常运行或无法正常评标时，应采取应急措施： </w:t>
      </w:r>
    </w:p>
    <w:p w14:paraId="44EB01DF">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（1）系统服务器发生故障，无法访问或无法使用系统； </w:t>
      </w:r>
    </w:p>
    <w:p w14:paraId="2E0A717B">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（2）系统的软件或数据库出现错误，不能进行正常操作； </w:t>
      </w:r>
    </w:p>
    <w:p w14:paraId="4630EDDC">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（3）系统发现有安全漏洞，有潜在的泄密危险； </w:t>
      </w:r>
    </w:p>
    <w:p w14:paraId="0AAA938A">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 xml:space="preserve">（4）病毒发作或受到外来病毒的攻击； </w:t>
      </w:r>
    </w:p>
    <w:p w14:paraId="5CBB5139">
      <w:pPr>
        <w:pageBreakBefore w:val="0"/>
        <w:kinsoku/>
        <w:overflowPunct/>
        <w:topLinePunct w:val="0"/>
        <w:bidi w:val="0"/>
        <w:spacing w:line="400" w:lineRule="exact"/>
        <w:ind w:firstLine="413"/>
        <w:rPr>
          <w:rFonts w:hint="eastAsia" w:ascii="仿宋" w:hAnsi="仿宋" w:eastAsia="仿宋_GB2312" w:cs="仿宋"/>
          <w:bCs/>
          <w:color w:val="auto"/>
          <w:sz w:val="21"/>
          <w:szCs w:val="21"/>
          <w:highlight w:val="none"/>
        </w:rPr>
      </w:pPr>
      <w:r>
        <w:rPr>
          <w:rFonts w:hint="eastAsia" w:ascii="仿宋" w:hAnsi="仿宋" w:eastAsia="仿宋_GB2312" w:cs="仿宋"/>
          <w:bCs/>
          <w:color w:val="auto"/>
          <w:sz w:val="21"/>
          <w:szCs w:val="21"/>
          <w:highlight w:val="none"/>
        </w:rPr>
        <w:t>出现上述情况时，应对未开标的暂停开标，已在系统内开标、评标的，立即停止。采取应急措施时，必须对原有资料及信息作出妥善保密处理。</w:t>
      </w:r>
    </w:p>
    <w:p w14:paraId="7443323A">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Style w:val="47"/>
          <w:rFonts w:hint="eastAsia" w:ascii="仿宋" w:hAnsi="仿宋" w:eastAsia="仿宋_GB2312" w:cs="仿宋"/>
          <w:color w:val="auto"/>
          <w:sz w:val="24"/>
          <w:highlight w:val="none"/>
        </w:rPr>
        <w:t>25.</w:t>
      </w:r>
      <w:r>
        <w:rPr>
          <w:rFonts w:hint="eastAsia" w:ascii="仿宋" w:hAnsi="仿宋" w:eastAsia="仿宋_GB2312" w:cs="仿宋"/>
          <w:b/>
          <w:color w:val="auto"/>
          <w:sz w:val="24"/>
          <w:highlight w:val="none"/>
        </w:rPr>
        <w:t xml:space="preserve"> 资格审查</w:t>
      </w:r>
    </w:p>
    <w:p w14:paraId="5DC5BC5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25.1开标结束后，采购人、采购代理机构依法按照第三章“资格审查”规定组织资格审查。</w:t>
      </w:r>
    </w:p>
    <w:p w14:paraId="52108E0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25.2</w:t>
      </w:r>
      <w:r>
        <w:rPr>
          <w:rFonts w:hint="eastAsia" w:ascii="仿宋" w:hAnsi="仿宋" w:eastAsia="仿宋_GB2312" w:cs="仿宋"/>
          <w:color w:val="auto"/>
          <w:szCs w:val="21"/>
          <w:highlight w:val="none"/>
          <w:lang w:eastAsia="zh-CN"/>
        </w:rPr>
        <w:t>采购人登录</w:t>
      </w:r>
      <w:r>
        <w:rPr>
          <w:rFonts w:hint="eastAsia" w:ascii="仿宋" w:hAnsi="仿宋" w:eastAsia="仿宋_GB2312" w:cs="仿宋"/>
          <w:color w:val="auto"/>
          <w:szCs w:val="21"/>
          <w:highlight w:val="none"/>
        </w:rPr>
        <w:t>邵阳市公共资源交易中心网站</w:t>
      </w:r>
      <w:r>
        <w:rPr>
          <w:rFonts w:hint="eastAsia" w:ascii="仿宋" w:hAnsi="仿宋" w:eastAsia="仿宋_GB2312" w:cs="仿宋"/>
          <w:color w:val="auto"/>
          <w:szCs w:val="21"/>
          <w:highlight w:val="none"/>
          <w:lang w:eastAsia="zh-CN"/>
        </w:rPr>
        <w:t>后进入“资格审查”，对所有供应商响应文件资格证明文件部分逐一进行审查后汇总，只有通过资格审查的供应商才能进入评标委员会商务技术评审程序，对未通过资格审查的供应商，将告知其原因</w:t>
      </w:r>
      <w:r>
        <w:rPr>
          <w:rFonts w:hint="eastAsia" w:ascii="仿宋" w:hAnsi="仿宋" w:eastAsia="仿宋_GB2312" w:cs="仿宋"/>
          <w:color w:val="auto"/>
          <w:szCs w:val="21"/>
          <w:highlight w:val="none"/>
        </w:rPr>
        <w:t>。</w:t>
      </w:r>
    </w:p>
    <w:p w14:paraId="19C03B92">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bCs/>
          <w:color w:val="auto"/>
          <w:sz w:val="24"/>
          <w:highlight w:val="none"/>
        </w:rPr>
        <w:t>26.</w:t>
      </w:r>
      <w:r>
        <w:rPr>
          <w:rFonts w:hint="eastAsia" w:ascii="仿宋" w:hAnsi="仿宋" w:eastAsia="仿宋_GB2312" w:cs="仿宋"/>
          <w:b/>
          <w:color w:val="auto"/>
          <w:sz w:val="24"/>
          <w:highlight w:val="none"/>
        </w:rPr>
        <w:t xml:space="preserve"> 评标委员会</w:t>
      </w:r>
    </w:p>
    <w:p w14:paraId="5449F07A">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26.1评标由依法组建的评标委员会负责，评标委员会由采购人代表和评审专家组成。</w:t>
      </w:r>
    </w:p>
    <w:p w14:paraId="095713AE">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26.2评标委员会成员有下列情形之一的，应当回避：</w:t>
      </w:r>
    </w:p>
    <w:p w14:paraId="5B7DADB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（1）参加采购活动前三年内,与投标人存在劳动关系,或者担任过投标人的董事、监事,或者是投标人的控股股东或实际控制人；</w:t>
      </w:r>
    </w:p>
    <w:p w14:paraId="3859307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（2）与投标人的法定代表人或者负责人有夫妻、直系血亲、三代以内旁系血亲或者近姻亲关系；</w:t>
      </w:r>
    </w:p>
    <w:p w14:paraId="3A8E820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（3）与投标人有其他可能影响政府采购活动公平、公正进行的关系。</w:t>
      </w:r>
    </w:p>
    <w:p w14:paraId="55C3C11E">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26.3评标委员会负责具体评标事务，并独立履行下列职责：</w:t>
      </w:r>
    </w:p>
    <w:p w14:paraId="150FEDF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（1）审查、评价投标文件是否符合招标文件的商务、技术等实质性要求；</w:t>
      </w:r>
    </w:p>
    <w:p w14:paraId="1F130B8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（2）要求投标人对投标文件有关事项作出澄清或者说明；</w:t>
      </w:r>
    </w:p>
    <w:p w14:paraId="269E69E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（3）对投标文件进行比较和评价；</w:t>
      </w:r>
    </w:p>
    <w:p w14:paraId="4BAF837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（4）确定中标候选人名单，以及根据采购人委托直接确定中标人。</w:t>
      </w:r>
    </w:p>
    <w:p w14:paraId="61AC78CB">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color w:val="auto"/>
          <w:sz w:val="24"/>
          <w:highlight w:val="none"/>
        </w:rPr>
        <w:t>27.</w:t>
      </w:r>
      <w:r>
        <w:rPr>
          <w:rFonts w:hint="eastAsia" w:ascii="仿宋" w:hAnsi="仿宋" w:eastAsia="仿宋_GB2312" w:cs="仿宋"/>
          <w:b/>
          <w:bCs/>
          <w:color w:val="auto"/>
          <w:sz w:val="24"/>
          <w:highlight w:val="none"/>
        </w:rPr>
        <w:t xml:space="preserve"> 评标</w:t>
      </w:r>
    </w:p>
    <w:p w14:paraId="456298C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val="en-US" w:eastAsia="zh-CN"/>
        </w:rPr>
        <w:t>27.1符合性审查。评标委员会依据招标文件的规定，从投标文件的有效性、完整性和对招标文件的响应程度等方面进行审查，符合性审查不合格的供应商不进入下一阶段评审；</w:t>
      </w:r>
    </w:p>
    <w:p w14:paraId="666EC73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lang w:eastAsia="zh-CN"/>
        </w:rPr>
      </w:pPr>
      <w:r>
        <w:rPr>
          <w:rFonts w:hint="eastAsia" w:ascii="仿宋" w:hAnsi="仿宋" w:eastAsia="仿宋_GB2312" w:cs="仿宋"/>
          <w:color w:val="auto"/>
          <w:highlight w:val="none"/>
        </w:rPr>
        <w:t>27.</w:t>
      </w:r>
      <w:r>
        <w:rPr>
          <w:rFonts w:hint="eastAsia" w:ascii="仿宋" w:hAnsi="仿宋" w:eastAsia="仿宋_GB2312" w:cs="仿宋"/>
          <w:color w:val="auto"/>
          <w:highlight w:val="none"/>
          <w:lang w:val="en-US" w:eastAsia="zh-CN"/>
        </w:rPr>
        <w:t>2</w:t>
      </w:r>
      <w:r>
        <w:rPr>
          <w:rFonts w:hint="eastAsia" w:ascii="仿宋" w:hAnsi="仿宋" w:eastAsia="仿宋_GB2312" w:cs="仿宋"/>
          <w:color w:val="auto"/>
          <w:highlight w:val="none"/>
        </w:rPr>
        <w:t>评标委员会按照</w:t>
      </w:r>
      <w:r>
        <w:rPr>
          <w:rFonts w:hint="eastAsia" w:ascii="仿宋" w:hAnsi="仿宋" w:eastAsia="仿宋_GB2312" w:cs="仿宋"/>
          <w:bCs/>
          <w:color w:val="auto"/>
          <w:highlight w:val="none"/>
        </w:rPr>
        <w:t>第四章“评标方法及标准”</w:t>
      </w:r>
      <w:r>
        <w:rPr>
          <w:rFonts w:hint="eastAsia" w:ascii="仿宋" w:hAnsi="仿宋" w:eastAsia="仿宋_GB2312" w:cs="仿宋"/>
          <w:color w:val="auto"/>
          <w:highlight w:val="none"/>
        </w:rPr>
        <w:t>规定的评标方法、评审因素、标准和程序以及有关法律、法规及规章对投标文件进行评审</w:t>
      </w:r>
      <w:r>
        <w:rPr>
          <w:rFonts w:hint="eastAsia" w:ascii="仿宋" w:hAnsi="仿宋" w:eastAsia="仿宋_GB2312" w:cs="仿宋"/>
          <w:color w:val="auto"/>
          <w:highlight w:val="none"/>
          <w:lang w:eastAsia="zh-CN"/>
        </w:rPr>
        <w:t>。</w:t>
      </w:r>
    </w:p>
    <w:p w14:paraId="0F59BCAF">
      <w:pPr>
        <w:pageBreakBefore w:val="0"/>
        <w:kinsoku/>
        <w:overflowPunct/>
        <w:topLinePunct w:val="0"/>
        <w:bidi w:val="0"/>
        <w:rPr>
          <w:rFonts w:hint="eastAsia" w:ascii="仿宋" w:hAnsi="仿宋" w:eastAsia="仿宋_GB2312" w:cs="仿宋"/>
          <w:color w:val="auto"/>
          <w:sz w:val="28"/>
          <w:szCs w:val="28"/>
          <w:highlight w:val="none"/>
        </w:rPr>
      </w:pPr>
    </w:p>
    <w:p w14:paraId="54487546">
      <w:pPr>
        <w:pStyle w:val="4"/>
        <w:pageBreakBefore w:val="0"/>
        <w:kinsoku/>
        <w:overflowPunct/>
        <w:topLinePunct w:val="0"/>
        <w:bidi w:val="0"/>
        <w:adjustRightInd w:val="0"/>
        <w:snapToGrid w:val="0"/>
        <w:spacing w:before="0" w:after="0" w:line="400" w:lineRule="exact"/>
        <w:jc w:val="center"/>
        <w:rPr>
          <w:rFonts w:hint="eastAsia" w:ascii="仿宋" w:hAnsi="仿宋" w:eastAsia="仿宋_GB2312" w:cs="仿宋"/>
          <w:color w:val="auto"/>
          <w:sz w:val="28"/>
          <w:szCs w:val="28"/>
          <w:highlight w:val="none"/>
        </w:rPr>
      </w:pPr>
      <w:bookmarkStart w:id="21" w:name="_Toc10631"/>
      <w:r>
        <w:rPr>
          <w:rFonts w:hint="eastAsia" w:ascii="仿宋" w:hAnsi="仿宋" w:eastAsia="仿宋_GB2312" w:cs="仿宋"/>
          <w:color w:val="auto"/>
          <w:sz w:val="28"/>
          <w:szCs w:val="28"/>
          <w:highlight w:val="none"/>
        </w:rPr>
        <w:t>六、中标信息公布</w:t>
      </w:r>
      <w:bookmarkEnd w:id="21"/>
    </w:p>
    <w:p w14:paraId="0094C35C">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color w:val="auto"/>
          <w:sz w:val="24"/>
          <w:highlight w:val="none"/>
        </w:rPr>
        <w:t>28.</w:t>
      </w:r>
      <w:r>
        <w:rPr>
          <w:rFonts w:hint="eastAsia" w:ascii="仿宋" w:hAnsi="仿宋" w:eastAsia="仿宋_GB2312" w:cs="仿宋"/>
          <w:b/>
          <w:bCs/>
          <w:color w:val="auto"/>
          <w:sz w:val="24"/>
          <w:highlight w:val="none"/>
        </w:rPr>
        <w:t>中标通知书与中标信息公布</w:t>
      </w:r>
    </w:p>
    <w:p w14:paraId="63430FA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28.1采购代理机构应当在评标结束后2个工作日内将评标报告</w:t>
      </w:r>
      <w:r>
        <w:rPr>
          <w:rFonts w:hint="eastAsia" w:ascii="仿宋" w:hAnsi="仿宋" w:eastAsia="仿宋_GB2312" w:cs="仿宋"/>
          <w:color w:val="auto"/>
          <w:szCs w:val="21"/>
          <w:highlight w:val="none"/>
          <w:lang w:eastAsia="zh-CN"/>
        </w:rPr>
        <w:t>导出打印后</w:t>
      </w:r>
      <w:r>
        <w:rPr>
          <w:rFonts w:hint="eastAsia" w:ascii="仿宋" w:hAnsi="仿宋" w:eastAsia="仿宋_GB2312" w:cs="仿宋"/>
          <w:color w:val="auto"/>
          <w:szCs w:val="21"/>
          <w:highlight w:val="none"/>
        </w:rPr>
        <w:t>送采购人。</w:t>
      </w:r>
    </w:p>
    <w:p w14:paraId="4B7BC0B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28.2采购人应当自收到评标报告之日起5个工作日内，在评标报告确定的中标候选人名单中按顺序确定中标人。中标候选人并列的，按照</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规定的方式确定中标人；招标文件未规定的，采取随机抽取的方式确定。</w:t>
      </w:r>
    </w:p>
    <w:p w14:paraId="5EDB104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28.3采购人、采购代理机构应当自采购人确定中标供应商之日起2个工作日内，发出中标通知书，并在招标公告指定媒体上公告中标结果，招标文件随中标结果同时公告，中标结果公告期限为１个工作日。</w:t>
      </w:r>
    </w:p>
    <w:p w14:paraId="5AAE2194">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29.</w:t>
      </w:r>
      <w:r>
        <w:rPr>
          <w:rFonts w:hint="eastAsia" w:ascii="仿宋" w:hAnsi="仿宋" w:eastAsia="仿宋_GB2312" w:cs="仿宋"/>
          <w:b/>
          <w:color w:val="auto"/>
          <w:sz w:val="24"/>
          <w:highlight w:val="none"/>
        </w:rPr>
        <w:t xml:space="preserve"> 投标人询问及</w:t>
      </w:r>
      <w:r>
        <w:rPr>
          <w:rFonts w:hint="eastAsia" w:ascii="仿宋" w:hAnsi="仿宋" w:eastAsia="仿宋_GB2312" w:cs="仿宋"/>
          <w:b/>
          <w:bCs/>
          <w:color w:val="auto"/>
          <w:sz w:val="24"/>
          <w:highlight w:val="none"/>
        </w:rPr>
        <w:t>质疑</w:t>
      </w:r>
    </w:p>
    <w:p w14:paraId="49F3053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29.1投标人对政府采购活动事项有疑问的，可以向采购人、采购代理机构提出询问。采购人或采购代理机构将在3个工作日内作出答复。</w:t>
      </w:r>
    </w:p>
    <w:p w14:paraId="26C8BE8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29.2投标人认为招标文件、采购过程和中标结果使自己的权益受到损害的，可以在知道或者应知其权益受到损害之日起7个工作日内，按照</w:t>
      </w:r>
      <w:r>
        <w:rPr>
          <w:rFonts w:hint="eastAsia" w:ascii="仿宋" w:hAnsi="仿宋" w:eastAsia="仿宋_GB2312" w:cs="仿宋"/>
          <w:color w:val="auto"/>
          <w:szCs w:val="21"/>
          <w:highlight w:val="none"/>
          <w:lang w:eastAsia="zh-CN"/>
        </w:rPr>
        <w:t>《湖南省财政厅关于印发＜政府采购质疑答复和投诉处理操作规程＞的通知》(湘财购〔2024〕67号)</w:t>
      </w:r>
      <w:r>
        <w:rPr>
          <w:rFonts w:hint="eastAsia" w:ascii="仿宋" w:hAnsi="仿宋" w:eastAsia="仿宋_GB2312" w:cs="仿宋"/>
          <w:color w:val="auto"/>
          <w:szCs w:val="21"/>
          <w:highlight w:val="none"/>
        </w:rPr>
        <w:t>规定，以纸质书面形式向采购人、采购代理机构提出质疑。</w:t>
      </w:r>
    </w:p>
    <w:p w14:paraId="52FB9C5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29.3投标人提出质疑的，应按照《湖南省财政厅关于印发＜政府采购质疑答复和投诉处理操作规程＞的通知》规定制作、签署、送达。采购人、采购代理机构接收质疑函的联系部门、联系电话和通讯地址见</w:t>
      </w:r>
      <w:r>
        <w:rPr>
          <w:rFonts w:hint="eastAsia" w:ascii="仿宋" w:hAnsi="仿宋" w:eastAsia="仿宋_GB2312" w:cs="仿宋"/>
          <w:b/>
          <w:color w:val="auto"/>
          <w:szCs w:val="21"/>
          <w:highlight w:val="none"/>
        </w:rPr>
        <w:t>【申请人须知前附表】</w:t>
      </w:r>
      <w:r>
        <w:rPr>
          <w:rFonts w:hint="eastAsia" w:ascii="仿宋" w:hAnsi="仿宋" w:eastAsia="仿宋_GB2312" w:cs="仿宋"/>
          <w:color w:val="auto"/>
          <w:szCs w:val="21"/>
          <w:highlight w:val="none"/>
        </w:rPr>
        <w:t xml:space="preserve">。  </w:t>
      </w:r>
    </w:p>
    <w:p w14:paraId="0F21D80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29.4采购人、采购代理机构按照《湖南省财政厅关于印发＜政府采购质疑答复和投诉处理操作规程＞的通知》规定进行质疑答复。</w:t>
      </w:r>
    </w:p>
    <w:p w14:paraId="09CFCE9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
          <w:bCs/>
          <w:color w:val="auto"/>
          <w:highlight w:val="none"/>
        </w:rPr>
      </w:pPr>
      <w:r>
        <w:rPr>
          <w:rFonts w:hint="eastAsia" w:ascii="仿宋" w:hAnsi="仿宋" w:eastAsia="仿宋_GB2312" w:cs="仿宋"/>
          <w:color w:val="auto"/>
          <w:szCs w:val="21"/>
          <w:highlight w:val="none"/>
        </w:rPr>
        <w:t>29.5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3A24958E">
      <w:pPr>
        <w:pageBreakBefore w:val="0"/>
        <w:kinsoku/>
        <w:overflowPunct/>
        <w:topLinePunct w:val="0"/>
        <w:bidi w:val="0"/>
        <w:rPr>
          <w:rFonts w:hint="eastAsia" w:ascii="仿宋" w:hAnsi="仿宋" w:eastAsia="仿宋_GB2312" w:cs="仿宋"/>
          <w:color w:val="auto"/>
          <w:sz w:val="28"/>
          <w:szCs w:val="28"/>
          <w:highlight w:val="none"/>
        </w:rPr>
      </w:pPr>
    </w:p>
    <w:p w14:paraId="5AFC729C">
      <w:pPr>
        <w:pStyle w:val="4"/>
        <w:pageBreakBefore w:val="0"/>
        <w:kinsoku/>
        <w:overflowPunct/>
        <w:topLinePunct w:val="0"/>
        <w:bidi w:val="0"/>
        <w:adjustRightInd w:val="0"/>
        <w:snapToGrid w:val="0"/>
        <w:spacing w:before="0" w:after="0" w:line="400" w:lineRule="exact"/>
        <w:jc w:val="center"/>
        <w:rPr>
          <w:rFonts w:hint="eastAsia" w:ascii="仿宋" w:hAnsi="仿宋" w:eastAsia="仿宋_GB2312" w:cs="仿宋"/>
          <w:color w:val="auto"/>
          <w:sz w:val="28"/>
          <w:szCs w:val="28"/>
          <w:highlight w:val="none"/>
        </w:rPr>
      </w:pPr>
      <w:bookmarkStart w:id="22" w:name="_Toc17421"/>
      <w:r>
        <w:rPr>
          <w:rFonts w:hint="eastAsia" w:ascii="仿宋" w:hAnsi="仿宋" w:eastAsia="仿宋_GB2312" w:cs="仿宋"/>
          <w:color w:val="auto"/>
          <w:sz w:val="28"/>
          <w:szCs w:val="28"/>
          <w:highlight w:val="none"/>
        </w:rPr>
        <w:t>七、合同签订</w:t>
      </w:r>
      <w:bookmarkEnd w:id="22"/>
    </w:p>
    <w:p w14:paraId="47666E3C">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30. 签订合同</w:t>
      </w:r>
    </w:p>
    <w:p w14:paraId="1B6292A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30.1采购人应自中标通知书发出之日起30日内，按中标通知书指定的时间、地点与中标人签订政府采购合同。所签订的合同不得对招标文件确定的事项和中标人投标文件作实质性修改。</w:t>
      </w:r>
    </w:p>
    <w:p w14:paraId="3840A07A">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30.2招标文件、中标人的投标文件均为签订合同的依据。</w:t>
      </w:r>
    </w:p>
    <w:p w14:paraId="2227BC6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color w:val="auto"/>
          <w:kern w:val="0"/>
          <w:szCs w:val="21"/>
          <w:highlight w:val="none"/>
        </w:rPr>
        <w:t>30.3联</w:t>
      </w:r>
      <w:r>
        <w:rPr>
          <w:rFonts w:hint="eastAsia" w:ascii="仿宋" w:hAnsi="仿宋" w:eastAsia="仿宋_GB2312" w:cs="仿宋"/>
          <w:color w:val="auto"/>
          <w:spacing w:val="-2"/>
          <w:kern w:val="0"/>
          <w:szCs w:val="21"/>
          <w:highlight w:val="none"/>
        </w:rPr>
        <w:t>合</w:t>
      </w:r>
      <w:r>
        <w:rPr>
          <w:rFonts w:hint="eastAsia" w:ascii="仿宋" w:hAnsi="仿宋" w:eastAsia="仿宋_GB2312" w:cs="仿宋"/>
          <w:color w:val="auto"/>
          <w:kern w:val="0"/>
          <w:szCs w:val="21"/>
          <w:highlight w:val="none"/>
        </w:rPr>
        <w:t>体</w:t>
      </w:r>
      <w:r>
        <w:rPr>
          <w:rFonts w:hint="eastAsia" w:ascii="仿宋" w:hAnsi="仿宋" w:eastAsia="仿宋_GB2312" w:cs="仿宋"/>
          <w:color w:val="auto"/>
          <w:spacing w:val="-2"/>
          <w:kern w:val="0"/>
          <w:szCs w:val="21"/>
          <w:highlight w:val="none"/>
        </w:rPr>
        <w:t>中</w:t>
      </w:r>
      <w:r>
        <w:rPr>
          <w:rFonts w:hint="eastAsia" w:ascii="仿宋" w:hAnsi="仿宋" w:eastAsia="仿宋_GB2312" w:cs="仿宋"/>
          <w:color w:val="auto"/>
          <w:kern w:val="0"/>
          <w:szCs w:val="21"/>
          <w:highlight w:val="none"/>
        </w:rPr>
        <w:t>标的</w:t>
      </w:r>
      <w:r>
        <w:rPr>
          <w:rFonts w:hint="eastAsia" w:ascii="仿宋" w:hAnsi="仿宋" w:eastAsia="仿宋_GB2312" w:cs="仿宋"/>
          <w:color w:val="auto"/>
          <w:spacing w:val="-14"/>
          <w:kern w:val="0"/>
          <w:szCs w:val="21"/>
          <w:highlight w:val="none"/>
        </w:rPr>
        <w:t>，</w:t>
      </w:r>
      <w:r>
        <w:rPr>
          <w:rFonts w:hint="eastAsia" w:ascii="仿宋" w:hAnsi="仿宋" w:eastAsia="仿宋_GB2312" w:cs="仿宋"/>
          <w:color w:val="auto"/>
          <w:kern w:val="0"/>
          <w:szCs w:val="21"/>
          <w:highlight w:val="none"/>
        </w:rPr>
        <w:t>联</w:t>
      </w:r>
      <w:r>
        <w:rPr>
          <w:rFonts w:hint="eastAsia" w:ascii="仿宋" w:hAnsi="仿宋" w:eastAsia="仿宋_GB2312" w:cs="仿宋"/>
          <w:color w:val="auto"/>
          <w:spacing w:val="-2"/>
          <w:kern w:val="0"/>
          <w:szCs w:val="21"/>
          <w:highlight w:val="none"/>
        </w:rPr>
        <w:t>合</w:t>
      </w:r>
      <w:r>
        <w:rPr>
          <w:rFonts w:hint="eastAsia" w:ascii="仿宋" w:hAnsi="仿宋" w:eastAsia="仿宋_GB2312" w:cs="仿宋"/>
          <w:color w:val="auto"/>
          <w:kern w:val="0"/>
          <w:szCs w:val="21"/>
          <w:highlight w:val="none"/>
        </w:rPr>
        <w:t>体各</w:t>
      </w:r>
      <w:r>
        <w:rPr>
          <w:rFonts w:hint="eastAsia" w:ascii="仿宋" w:hAnsi="仿宋" w:eastAsia="仿宋_GB2312" w:cs="仿宋"/>
          <w:color w:val="auto"/>
          <w:spacing w:val="-2"/>
          <w:kern w:val="0"/>
          <w:szCs w:val="21"/>
          <w:highlight w:val="none"/>
        </w:rPr>
        <w:t>方</w:t>
      </w:r>
      <w:r>
        <w:rPr>
          <w:rFonts w:hint="eastAsia" w:ascii="仿宋" w:hAnsi="仿宋" w:eastAsia="仿宋_GB2312" w:cs="仿宋"/>
          <w:color w:val="auto"/>
          <w:kern w:val="0"/>
          <w:szCs w:val="21"/>
          <w:highlight w:val="none"/>
        </w:rPr>
        <w:t>应</w:t>
      </w:r>
      <w:r>
        <w:rPr>
          <w:rFonts w:hint="eastAsia" w:ascii="仿宋" w:hAnsi="仿宋" w:eastAsia="仿宋_GB2312" w:cs="仿宋"/>
          <w:color w:val="auto"/>
          <w:spacing w:val="-2"/>
          <w:kern w:val="0"/>
          <w:szCs w:val="21"/>
          <w:highlight w:val="none"/>
        </w:rPr>
        <w:t>当</w:t>
      </w:r>
      <w:r>
        <w:rPr>
          <w:rFonts w:hint="eastAsia" w:ascii="仿宋" w:hAnsi="仿宋" w:eastAsia="仿宋_GB2312" w:cs="仿宋"/>
          <w:color w:val="auto"/>
          <w:kern w:val="0"/>
          <w:szCs w:val="21"/>
          <w:highlight w:val="none"/>
        </w:rPr>
        <w:t>共</w:t>
      </w:r>
      <w:r>
        <w:rPr>
          <w:rFonts w:hint="eastAsia" w:ascii="仿宋" w:hAnsi="仿宋" w:eastAsia="仿宋_GB2312" w:cs="仿宋"/>
          <w:color w:val="auto"/>
          <w:spacing w:val="-2"/>
          <w:kern w:val="0"/>
          <w:szCs w:val="21"/>
          <w:highlight w:val="none"/>
        </w:rPr>
        <w:t>同</w:t>
      </w:r>
      <w:r>
        <w:rPr>
          <w:rFonts w:hint="eastAsia" w:ascii="仿宋" w:hAnsi="仿宋" w:eastAsia="仿宋_GB2312" w:cs="仿宋"/>
          <w:color w:val="auto"/>
          <w:kern w:val="0"/>
          <w:szCs w:val="21"/>
          <w:highlight w:val="none"/>
        </w:rPr>
        <w:t>与</w:t>
      </w:r>
      <w:r>
        <w:rPr>
          <w:rFonts w:hint="eastAsia" w:ascii="仿宋" w:hAnsi="仿宋" w:eastAsia="仿宋_GB2312" w:cs="仿宋"/>
          <w:color w:val="auto"/>
          <w:spacing w:val="-2"/>
          <w:kern w:val="0"/>
          <w:szCs w:val="21"/>
          <w:highlight w:val="none"/>
        </w:rPr>
        <w:t>采购人</w:t>
      </w:r>
      <w:r>
        <w:rPr>
          <w:rFonts w:hint="eastAsia" w:ascii="仿宋" w:hAnsi="仿宋" w:eastAsia="仿宋_GB2312" w:cs="仿宋"/>
          <w:color w:val="auto"/>
          <w:kern w:val="0"/>
          <w:szCs w:val="21"/>
          <w:highlight w:val="none"/>
        </w:rPr>
        <w:t>签订</w:t>
      </w:r>
      <w:r>
        <w:rPr>
          <w:rFonts w:hint="eastAsia" w:ascii="仿宋" w:hAnsi="仿宋" w:eastAsia="仿宋_GB2312" w:cs="仿宋"/>
          <w:color w:val="auto"/>
          <w:spacing w:val="-2"/>
          <w:kern w:val="0"/>
          <w:szCs w:val="21"/>
          <w:highlight w:val="none"/>
        </w:rPr>
        <w:t>合</w:t>
      </w:r>
      <w:r>
        <w:rPr>
          <w:rFonts w:hint="eastAsia" w:ascii="仿宋" w:hAnsi="仿宋" w:eastAsia="仿宋_GB2312" w:cs="仿宋"/>
          <w:color w:val="auto"/>
          <w:kern w:val="0"/>
          <w:szCs w:val="21"/>
          <w:highlight w:val="none"/>
        </w:rPr>
        <w:t>同</w:t>
      </w:r>
      <w:r>
        <w:rPr>
          <w:rFonts w:hint="eastAsia" w:ascii="仿宋" w:hAnsi="仿宋" w:eastAsia="仿宋_GB2312" w:cs="仿宋"/>
          <w:color w:val="auto"/>
          <w:spacing w:val="-14"/>
          <w:kern w:val="0"/>
          <w:szCs w:val="21"/>
          <w:highlight w:val="none"/>
        </w:rPr>
        <w:t>，</w:t>
      </w:r>
      <w:r>
        <w:rPr>
          <w:rFonts w:hint="eastAsia" w:ascii="仿宋" w:hAnsi="仿宋" w:eastAsia="仿宋_GB2312" w:cs="仿宋"/>
          <w:color w:val="auto"/>
          <w:kern w:val="0"/>
          <w:szCs w:val="21"/>
          <w:highlight w:val="none"/>
        </w:rPr>
        <w:t>就</w:t>
      </w:r>
      <w:r>
        <w:rPr>
          <w:rFonts w:hint="eastAsia" w:ascii="仿宋" w:hAnsi="仿宋" w:eastAsia="仿宋_GB2312" w:cs="仿宋"/>
          <w:color w:val="auto"/>
          <w:spacing w:val="-2"/>
          <w:kern w:val="0"/>
          <w:szCs w:val="21"/>
          <w:highlight w:val="none"/>
        </w:rPr>
        <w:t>中</w:t>
      </w:r>
      <w:r>
        <w:rPr>
          <w:rFonts w:hint="eastAsia" w:ascii="仿宋" w:hAnsi="仿宋" w:eastAsia="仿宋_GB2312" w:cs="仿宋"/>
          <w:color w:val="auto"/>
          <w:kern w:val="0"/>
          <w:szCs w:val="21"/>
          <w:highlight w:val="none"/>
        </w:rPr>
        <w:t>标</w:t>
      </w:r>
      <w:r>
        <w:rPr>
          <w:rFonts w:hint="eastAsia" w:ascii="仿宋" w:hAnsi="仿宋" w:eastAsia="仿宋_GB2312" w:cs="仿宋"/>
          <w:color w:val="auto"/>
          <w:spacing w:val="-2"/>
          <w:kern w:val="0"/>
          <w:szCs w:val="21"/>
          <w:highlight w:val="none"/>
        </w:rPr>
        <w:t>项</w:t>
      </w:r>
      <w:r>
        <w:rPr>
          <w:rFonts w:hint="eastAsia" w:ascii="仿宋" w:hAnsi="仿宋" w:eastAsia="仿宋_GB2312" w:cs="仿宋"/>
          <w:color w:val="auto"/>
          <w:kern w:val="0"/>
          <w:szCs w:val="21"/>
          <w:highlight w:val="none"/>
        </w:rPr>
        <w:t>目</w:t>
      </w:r>
      <w:r>
        <w:rPr>
          <w:rFonts w:hint="eastAsia" w:ascii="仿宋" w:hAnsi="仿宋" w:eastAsia="仿宋_GB2312" w:cs="仿宋"/>
          <w:color w:val="auto"/>
          <w:spacing w:val="-2"/>
          <w:kern w:val="0"/>
          <w:szCs w:val="21"/>
          <w:highlight w:val="none"/>
        </w:rPr>
        <w:t>向</w:t>
      </w:r>
      <w:r>
        <w:rPr>
          <w:rFonts w:hint="eastAsia" w:ascii="仿宋" w:hAnsi="仿宋" w:eastAsia="仿宋_GB2312" w:cs="仿宋"/>
          <w:color w:val="auto"/>
          <w:kern w:val="0"/>
          <w:szCs w:val="21"/>
          <w:highlight w:val="none"/>
        </w:rPr>
        <w:t>采购人承</w:t>
      </w:r>
      <w:r>
        <w:rPr>
          <w:rFonts w:hint="eastAsia" w:ascii="仿宋" w:hAnsi="仿宋" w:eastAsia="仿宋_GB2312" w:cs="仿宋"/>
          <w:color w:val="auto"/>
          <w:spacing w:val="-2"/>
          <w:kern w:val="0"/>
          <w:szCs w:val="21"/>
          <w:highlight w:val="none"/>
        </w:rPr>
        <w:t>担</w:t>
      </w:r>
      <w:r>
        <w:rPr>
          <w:rFonts w:hint="eastAsia" w:ascii="仿宋" w:hAnsi="仿宋" w:eastAsia="仿宋_GB2312" w:cs="仿宋"/>
          <w:color w:val="auto"/>
          <w:kern w:val="0"/>
          <w:szCs w:val="21"/>
          <w:highlight w:val="none"/>
        </w:rPr>
        <w:t>连带责</w:t>
      </w:r>
      <w:r>
        <w:rPr>
          <w:rFonts w:hint="eastAsia" w:ascii="仿宋" w:hAnsi="仿宋" w:eastAsia="仿宋_GB2312" w:cs="仿宋"/>
          <w:color w:val="auto"/>
          <w:spacing w:val="-2"/>
          <w:kern w:val="0"/>
          <w:szCs w:val="21"/>
          <w:highlight w:val="none"/>
        </w:rPr>
        <w:t>任</w:t>
      </w:r>
      <w:r>
        <w:rPr>
          <w:rFonts w:hint="eastAsia" w:ascii="仿宋" w:hAnsi="仿宋" w:eastAsia="仿宋_GB2312" w:cs="仿宋"/>
          <w:color w:val="auto"/>
          <w:kern w:val="0"/>
          <w:szCs w:val="21"/>
          <w:highlight w:val="none"/>
        </w:rPr>
        <w:t>。</w:t>
      </w:r>
    </w:p>
    <w:p w14:paraId="236D8B7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30.4中标合同将在招标公告指定媒体上公告，但合同中涉及国家秘密、商业秘密的内容除外。</w:t>
      </w:r>
    </w:p>
    <w:p w14:paraId="489A258A">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color w:val="auto"/>
          <w:szCs w:val="21"/>
          <w:highlight w:val="none"/>
        </w:rPr>
        <w:t>30.5中标人</w:t>
      </w:r>
      <w:r>
        <w:rPr>
          <w:rFonts w:hint="eastAsia" w:ascii="仿宋" w:hAnsi="仿宋" w:eastAsia="仿宋_GB2312" w:cs="仿宋"/>
          <w:bCs/>
          <w:color w:val="auto"/>
          <w:szCs w:val="21"/>
          <w:highlight w:val="none"/>
        </w:rPr>
        <w:t>应当按照合同约定依法履行合同义务。政府采购合同的履行、违约责任和解决争议的方法等适用《中华人民共和国民法典》。</w:t>
      </w:r>
    </w:p>
    <w:p w14:paraId="261073D4">
      <w:pPr>
        <w:pageBreakBefore w:val="0"/>
        <w:kinsoku/>
        <w:overflowPunct/>
        <w:topLinePunct w:val="0"/>
        <w:bidi w:val="0"/>
        <w:adjustRightInd w:val="0"/>
        <w:snapToGrid w:val="0"/>
        <w:spacing w:line="400" w:lineRule="exact"/>
        <w:jc w:val="left"/>
        <w:rPr>
          <w:rFonts w:hint="eastAsia" w:ascii="仿宋" w:hAnsi="仿宋" w:eastAsia="仿宋_GB2312" w:cs="仿宋"/>
          <w:b/>
          <w:color w:val="auto"/>
          <w:kern w:val="0"/>
          <w:sz w:val="24"/>
          <w:highlight w:val="none"/>
        </w:rPr>
      </w:pPr>
      <w:r>
        <w:rPr>
          <w:rFonts w:hint="eastAsia" w:ascii="仿宋" w:hAnsi="仿宋" w:eastAsia="仿宋_GB2312" w:cs="仿宋"/>
          <w:b/>
          <w:bCs/>
          <w:color w:val="auto"/>
          <w:sz w:val="24"/>
          <w:highlight w:val="none"/>
        </w:rPr>
        <w:t>31.</w:t>
      </w:r>
      <w:r>
        <w:rPr>
          <w:rFonts w:hint="eastAsia" w:ascii="仿宋" w:hAnsi="仿宋" w:eastAsia="仿宋_GB2312" w:cs="仿宋"/>
          <w:b/>
          <w:color w:val="auto"/>
          <w:kern w:val="0"/>
          <w:sz w:val="24"/>
          <w:highlight w:val="none"/>
        </w:rPr>
        <w:t xml:space="preserve"> 履约担保</w:t>
      </w:r>
    </w:p>
    <w:p w14:paraId="2A09646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kern w:val="0"/>
          <w:szCs w:val="21"/>
          <w:highlight w:val="none"/>
        </w:rPr>
        <w:t>31.1</w:t>
      </w:r>
      <w:r>
        <w:rPr>
          <w:rFonts w:hint="eastAsia" w:ascii="仿宋" w:hAnsi="仿宋" w:eastAsia="仿宋_GB2312" w:cs="仿宋"/>
          <w:color w:val="auto"/>
          <w:szCs w:val="21"/>
          <w:highlight w:val="none"/>
        </w:rPr>
        <w:t>招标文件要求中标人向采购人提交履约担保的，中标人应按照</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的规定提交。联合体中标的，履约担保由联合体各方或联合体中牵头人的名义提交。</w:t>
      </w:r>
    </w:p>
    <w:p w14:paraId="149E454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31.2中标人</w:t>
      </w:r>
      <w:r>
        <w:rPr>
          <w:rFonts w:hint="eastAsia" w:ascii="仿宋" w:hAnsi="仿宋" w:eastAsia="仿宋_GB2312" w:cs="仿宋"/>
          <w:color w:val="auto"/>
          <w:spacing w:val="4"/>
          <w:szCs w:val="21"/>
          <w:highlight w:val="none"/>
        </w:rPr>
        <w:t>没有按照本章第31.1</w:t>
      </w:r>
      <w:r>
        <w:rPr>
          <w:rFonts w:hint="eastAsia" w:ascii="仿宋" w:hAnsi="仿宋" w:eastAsia="仿宋_GB2312" w:cs="仿宋"/>
          <w:color w:val="auto"/>
          <w:kern w:val="0"/>
          <w:szCs w:val="21"/>
          <w:highlight w:val="none"/>
          <w:lang w:val="zh-CN"/>
        </w:rPr>
        <w:t>款</w:t>
      </w:r>
      <w:r>
        <w:rPr>
          <w:rFonts w:hint="eastAsia" w:ascii="仿宋" w:hAnsi="仿宋" w:eastAsia="仿宋_GB2312" w:cs="仿宋"/>
          <w:color w:val="auto"/>
          <w:spacing w:val="4"/>
          <w:szCs w:val="21"/>
          <w:highlight w:val="none"/>
        </w:rPr>
        <w:t>规定</w:t>
      </w:r>
      <w:r>
        <w:rPr>
          <w:rFonts w:hint="eastAsia" w:ascii="仿宋" w:hAnsi="仿宋" w:eastAsia="仿宋_GB2312" w:cs="仿宋"/>
          <w:color w:val="auto"/>
          <w:szCs w:val="21"/>
          <w:highlight w:val="none"/>
        </w:rPr>
        <w:t>提交履约担保的</w:t>
      </w:r>
      <w:r>
        <w:rPr>
          <w:rFonts w:hint="eastAsia" w:ascii="仿宋" w:hAnsi="仿宋" w:eastAsia="仿宋_GB2312" w:cs="仿宋"/>
          <w:color w:val="auto"/>
          <w:spacing w:val="4"/>
          <w:szCs w:val="21"/>
          <w:highlight w:val="none"/>
        </w:rPr>
        <w:t>，视为</w:t>
      </w:r>
      <w:r>
        <w:rPr>
          <w:rFonts w:hint="eastAsia" w:ascii="仿宋" w:hAnsi="仿宋" w:eastAsia="仿宋_GB2312" w:cs="仿宋"/>
          <w:b/>
          <w:color w:val="auto"/>
          <w:spacing w:val="4"/>
          <w:szCs w:val="21"/>
          <w:highlight w:val="none"/>
        </w:rPr>
        <w:t>放弃中标</w:t>
      </w:r>
      <w:r>
        <w:rPr>
          <w:rFonts w:hint="eastAsia" w:ascii="仿宋" w:hAnsi="仿宋" w:eastAsia="仿宋_GB2312" w:cs="仿宋"/>
          <w:color w:val="auto"/>
          <w:spacing w:val="4"/>
          <w:szCs w:val="21"/>
          <w:highlight w:val="none"/>
        </w:rPr>
        <w:t>，</w:t>
      </w:r>
      <w:r>
        <w:rPr>
          <w:rFonts w:hint="eastAsia" w:ascii="仿宋" w:hAnsi="仿宋" w:eastAsia="仿宋_GB2312" w:cs="仿宋"/>
          <w:color w:val="auto"/>
          <w:spacing w:val="2"/>
          <w:szCs w:val="21"/>
          <w:highlight w:val="none"/>
        </w:rPr>
        <w:t>其投标保证金不予退还。</w:t>
      </w:r>
    </w:p>
    <w:p w14:paraId="1274EEAA">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32.</w:t>
      </w:r>
      <w:r>
        <w:rPr>
          <w:rFonts w:hint="eastAsia" w:ascii="仿宋" w:hAnsi="仿宋" w:eastAsia="仿宋_GB2312" w:cs="仿宋"/>
          <w:b/>
          <w:color w:val="auto"/>
          <w:sz w:val="24"/>
          <w:highlight w:val="none"/>
        </w:rPr>
        <w:t xml:space="preserve"> 政府采购合同履行中</w:t>
      </w:r>
      <w:r>
        <w:rPr>
          <w:rFonts w:hint="eastAsia" w:ascii="仿宋" w:hAnsi="仿宋" w:eastAsia="仿宋_GB2312" w:cs="仿宋"/>
          <w:b/>
          <w:bCs/>
          <w:color w:val="auto"/>
          <w:sz w:val="24"/>
          <w:highlight w:val="none"/>
        </w:rPr>
        <w:t>数量的变更</w:t>
      </w:r>
    </w:p>
    <w:p w14:paraId="3A494F9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 w:val="28"/>
          <w:szCs w:val="28"/>
          <w:highlight w:val="none"/>
        </w:rPr>
      </w:pPr>
      <w:r>
        <w:rPr>
          <w:rFonts w:hint="eastAsia" w:ascii="仿宋" w:hAnsi="仿宋" w:eastAsia="仿宋_GB2312" w:cs="仿宋"/>
          <w:color w:val="auto"/>
          <w:highlight w:val="none"/>
        </w:rPr>
        <w:t>32.1政府采购合同履行中，采购人需追加与合同标的相同的货物服务的，在不改变合同其他条款的前提下，可以与中标人协商签订补充合同，但所有补充合同的采购金额不得超过原合同采购金额的百分之十。</w:t>
      </w:r>
    </w:p>
    <w:p w14:paraId="4CA50244">
      <w:pPr>
        <w:pageBreakBefore w:val="0"/>
        <w:kinsoku/>
        <w:overflowPunct/>
        <w:topLinePunct w:val="0"/>
        <w:bidi w:val="0"/>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br w:type="page"/>
      </w:r>
    </w:p>
    <w:p w14:paraId="4689E4F4">
      <w:pPr>
        <w:pStyle w:val="4"/>
        <w:pageBreakBefore w:val="0"/>
        <w:kinsoku/>
        <w:overflowPunct/>
        <w:topLinePunct w:val="0"/>
        <w:bidi w:val="0"/>
        <w:adjustRightInd w:val="0"/>
        <w:snapToGrid w:val="0"/>
        <w:spacing w:before="0" w:after="0" w:line="400" w:lineRule="exact"/>
        <w:jc w:val="center"/>
        <w:rPr>
          <w:rFonts w:hint="eastAsia" w:ascii="仿宋" w:hAnsi="仿宋" w:eastAsia="仿宋_GB2312" w:cs="仿宋"/>
          <w:color w:val="auto"/>
          <w:sz w:val="28"/>
          <w:szCs w:val="28"/>
          <w:highlight w:val="none"/>
        </w:rPr>
      </w:pPr>
      <w:bookmarkStart w:id="23" w:name="_Toc26376"/>
      <w:r>
        <w:rPr>
          <w:rFonts w:hint="eastAsia" w:ascii="仿宋" w:hAnsi="仿宋" w:eastAsia="仿宋_GB2312" w:cs="仿宋"/>
          <w:color w:val="auto"/>
          <w:sz w:val="28"/>
          <w:szCs w:val="28"/>
          <w:highlight w:val="none"/>
        </w:rPr>
        <w:t>八、政府采购政策</w:t>
      </w:r>
      <w:bookmarkEnd w:id="23"/>
    </w:p>
    <w:p w14:paraId="3E7602C1">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bCs/>
          <w:color w:val="auto"/>
          <w:sz w:val="24"/>
          <w:highlight w:val="none"/>
        </w:rPr>
        <w:t>33.</w:t>
      </w:r>
      <w:r>
        <w:rPr>
          <w:rFonts w:hint="eastAsia" w:ascii="仿宋" w:hAnsi="仿宋" w:eastAsia="仿宋_GB2312" w:cs="仿宋"/>
          <w:b/>
          <w:color w:val="auto"/>
          <w:sz w:val="24"/>
          <w:highlight w:val="none"/>
        </w:rPr>
        <w:t>政府采购政策</w:t>
      </w:r>
    </w:p>
    <w:p w14:paraId="66EB911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highlight w:val="none"/>
        </w:rPr>
      </w:pPr>
      <w:r>
        <w:rPr>
          <w:rFonts w:hint="eastAsia" w:ascii="仿宋" w:hAnsi="仿宋" w:eastAsia="仿宋_GB2312" w:cs="仿宋"/>
          <w:color w:val="auto"/>
          <w:kern w:val="0"/>
          <w:highlight w:val="none"/>
        </w:rPr>
        <w:t>33.1优先采购：</w:t>
      </w:r>
    </w:p>
    <w:p w14:paraId="73C0F0C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w:t>
      </w:r>
      <w:r>
        <w:rPr>
          <w:rFonts w:hint="eastAsia" w:ascii="仿宋" w:hAnsi="仿宋" w:eastAsia="仿宋_GB2312" w:cs="仿宋"/>
          <w:color w:val="auto"/>
          <w:szCs w:val="21"/>
          <w:highlight w:val="none"/>
        </w:rPr>
        <w:t>纳入财政部会同国务院有关部门发布的节能产品、环境标志产品政府采购品目清单，实施政府优先采购的，评审时按招标文件第四章第一节有关规定给予一定比例的价格折扣或者加分；</w:t>
      </w:r>
    </w:p>
    <w:p w14:paraId="049EECF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highlight w:val="none"/>
        </w:rPr>
      </w:pPr>
      <w:r>
        <w:rPr>
          <w:rFonts w:hint="eastAsia" w:ascii="仿宋" w:hAnsi="仿宋" w:eastAsia="仿宋_GB2312" w:cs="仿宋"/>
          <w:color w:val="auto"/>
          <w:kern w:val="0"/>
          <w:highlight w:val="none"/>
        </w:rPr>
        <w:t>33.2强制采购：</w:t>
      </w:r>
    </w:p>
    <w:p w14:paraId="20B7B2B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highlight w:val="none"/>
        </w:rPr>
      </w:pPr>
      <w:r>
        <w:rPr>
          <w:rFonts w:hint="eastAsia" w:ascii="仿宋" w:hAnsi="仿宋" w:eastAsia="仿宋_GB2312" w:cs="仿宋"/>
          <w:color w:val="auto"/>
          <w:kern w:val="0"/>
          <w:highlight w:val="none"/>
        </w:rPr>
        <w:t>（1）纳入财政部会同国务院有关部门发布的节能产品政府采购品目清单，实施政府强制采购的（品目清单标注</w:t>
      </w:r>
      <w:r>
        <w:rPr>
          <w:rFonts w:hint="eastAsia" w:ascii="仿宋" w:hAnsi="仿宋" w:eastAsia="仿宋_GB2312" w:cs="仿宋"/>
          <w:color w:val="auto"/>
          <w:kern w:val="0"/>
          <w:highlight w:val="none"/>
        </w:rPr>
        <w:sym w:font="Wingdings" w:char="F0AB"/>
      </w:r>
      <w:r>
        <w:rPr>
          <w:rFonts w:hint="eastAsia" w:ascii="仿宋" w:hAnsi="仿宋" w:eastAsia="仿宋_GB2312" w:cs="仿宋"/>
          <w:color w:val="auto"/>
          <w:kern w:val="0"/>
          <w:highlight w:val="none"/>
        </w:rPr>
        <w:t>符号产品），投标人投标产品应当取得国家确定的认证机构出具的、处于有效期之内的节能产品认证证书，否则其</w:t>
      </w:r>
      <w:r>
        <w:rPr>
          <w:rFonts w:hint="eastAsia" w:ascii="仿宋" w:hAnsi="仿宋" w:eastAsia="仿宋_GB2312" w:cs="仿宋"/>
          <w:b/>
          <w:color w:val="auto"/>
          <w:kern w:val="0"/>
          <w:szCs w:val="21"/>
          <w:highlight w:val="none"/>
        </w:rPr>
        <w:t>投标无效</w:t>
      </w:r>
      <w:r>
        <w:rPr>
          <w:rFonts w:hint="eastAsia" w:ascii="仿宋" w:hAnsi="仿宋" w:eastAsia="仿宋_GB2312" w:cs="仿宋"/>
          <w:color w:val="auto"/>
          <w:kern w:val="0"/>
          <w:highlight w:val="none"/>
        </w:rPr>
        <w:t>。</w:t>
      </w:r>
    </w:p>
    <w:p w14:paraId="7701F4D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33.3促进中小企业发展：</w:t>
      </w:r>
    </w:p>
    <w:p w14:paraId="711A1E81">
      <w:pPr>
        <w:pageBreakBefore w:val="0"/>
        <w:widowControl/>
        <w:kinsoku/>
        <w:overflowPunct/>
        <w:topLinePunct w:val="0"/>
        <w:bidi w:val="0"/>
        <w:spacing w:line="400" w:lineRule="exact"/>
        <w:jc w:val="left"/>
        <w:rPr>
          <w:rFonts w:hint="eastAsia" w:ascii="仿宋" w:hAnsi="仿宋" w:eastAsia="仿宋_GB2312" w:cs="仿宋"/>
          <w:color w:val="auto"/>
          <w:highlight w:val="none"/>
        </w:rPr>
      </w:pPr>
      <w:r>
        <w:rPr>
          <w:rFonts w:hint="eastAsia" w:ascii="仿宋" w:hAnsi="仿宋" w:eastAsia="仿宋_GB2312" w:cs="仿宋"/>
          <w:color w:val="auto"/>
          <w:szCs w:val="21"/>
          <w:highlight w:val="none"/>
        </w:rPr>
        <w:t>（1）</w:t>
      </w:r>
      <w:r>
        <w:rPr>
          <w:rFonts w:hint="eastAsia" w:ascii="仿宋" w:hAnsi="仿宋" w:eastAsia="仿宋_GB2312" w:cs="仿宋"/>
          <w:color w:val="auto"/>
          <w:highlight w:val="none"/>
        </w:rPr>
        <w:t>享受《政府采购促进中小企业发展管理办法》财库〔2020〕46号规定的扶持政策的企业应符合以下要求之一，并按要求提交《湖南省政府采购供应商资格承诺函》（格式）：（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民法典》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w:t>
      </w:r>
    </w:p>
    <w:p w14:paraId="65244BCB">
      <w:pPr>
        <w:pageBreakBefore w:val="0"/>
        <w:widowControl/>
        <w:shd w:val="clear" w:color="auto" w:fill="FFFFFF"/>
        <w:kinsoku/>
        <w:overflowPunct/>
        <w:topLinePunct w:val="0"/>
        <w:bidi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（2）【投标须知前附表】注明本项目专门面向中小企业采购的项目只有中小企业方可参与投标。</w:t>
      </w:r>
    </w:p>
    <w:p w14:paraId="1A7FA314">
      <w:pPr>
        <w:pageBreakBefore w:val="0"/>
        <w:widowControl/>
        <w:shd w:val="clear" w:color="auto" w:fill="FFFFFF"/>
        <w:kinsoku/>
        <w:overflowPunct/>
        <w:topLinePunct w:val="0"/>
        <w:bidi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（3）【投标须知前附表】注明本项目未预留份额专门面向中小企业，符合5.3（1）条件的供应商，价格按【投标须知前附表】规定给予价格折扣，用扣除后的价格参与评审。</w:t>
      </w:r>
    </w:p>
    <w:p w14:paraId="2EAE286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（4）</w:t>
      </w:r>
      <w:r>
        <w:rPr>
          <w:rFonts w:hint="eastAsia" w:ascii="仿宋" w:hAnsi="仿宋" w:eastAsia="仿宋_GB2312" w:cs="仿宋"/>
          <w:color w:val="auto"/>
          <w:szCs w:val="21"/>
          <w:highlight w:val="none"/>
          <w:shd w:val="clear" w:color="auto" w:fill="FFFFFF"/>
        </w:rPr>
        <w:t xml:space="preserve">大中型企业与小微企业组成联合体或者大中型企业向一家或者多家小微企业分包的采购项目，对于联合协议或者分包意向协议约定小微企业的合同份额占到合同总金额 30%以上的，对联合体或者大中型企业的报价按 </w:t>
      </w:r>
      <w:r>
        <w:rPr>
          <w:rFonts w:hint="eastAsia" w:ascii="仿宋" w:hAnsi="仿宋" w:eastAsia="仿宋_GB2312" w:cs="仿宋"/>
          <w:b/>
          <w:color w:val="auto"/>
          <w:szCs w:val="21"/>
          <w:highlight w:val="none"/>
        </w:rPr>
        <w:t>【</w:t>
      </w:r>
      <w:r>
        <w:rPr>
          <w:rFonts w:hint="eastAsia" w:ascii="仿宋" w:hAnsi="仿宋" w:eastAsia="仿宋_GB2312" w:cs="仿宋"/>
          <w:color w:val="auto"/>
          <w:highlight w:val="none"/>
        </w:rPr>
        <w:t>投标须知前附表</w:t>
      </w:r>
      <w:r>
        <w:rPr>
          <w:rFonts w:hint="eastAsia" w:ascii="仿宋" w:hAnsi="仿宋" w:eastAsia="仿宋_GB2312" w:cs="仿宋"/>
          <w:b/>
          <w:color w:val="auto"/>
          <w:szCs w:val="21"/>
          <w:highlight w:val="none"/>
        </w:rPr>
        <w:t>】</w:t>
      </w:r>
      <w:r>
        <w:rPr>
          <w:rFonts w:hint="eastAsia" w:ascii="仿宋" w:hAnsi="仿宋" w:eastAsia="仿宋_GB2312" w:cs="仿宋"/>
          <w:color w:val="auto"/>
          <w:szCs w:val="21"/>
          <w:highlight w:val="none"/>
        </w:rPr>
        <w:t>规定</w:t>
      </w:r>
      <w:r>
        <w:rPr>
          <w:rFonts w:hint="eastAsia" w:ascii="仿宋" w:hAnsi="仿宋" w:eastAsia="仿宋_GB2312" w:cs="仿宋"/>
          <w:color w:val="auto"/>
          <w:highlight w:val="none"/>
        </w:rPr>
        <w:t>给予价格折扣</w:t>
      </w:r>
      <w:r>
        <w:rPr>
          <w:rFonts w:hint="eastAsia" w:ascii="仿宋" w:hAnsi="仿宋" w:eastAsia="仿宋_GB2312" w:cs="仿宋"/>
          <w:color w:val="auto"/>
          <w:szCs w:val="21"/>
          <w:highlight w:val="none"/>
          <w:shd w:val="clear" w:color="auto" w:fill="FFFFFF"/>
        </w:rPr>
        <w:t>，用扣除后的价格参加评审。</w:t>
      </w:r>
    </w:p>
    <w:p w14:paraId="11986F6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highlight w:val="none"/>
        </w:rPr>
        <w:t>（</w:t>
      </w:r>
      <w:r>
        <w:rPr>
          <w:rFonts w:hint="eastAsia" w:ascii="仿宋" w:hAnsi="仿宋" w:eastAsia="仿宋_GB2312" w:cs="仿宋"/>
          <w:color w:val="auto"/>
          <w:sz w:val="24"/>
          <w:highlight w:val="none"/>
        </w:rPr>
        <w:t>5</w:t>
      </w:r>
      <w:r>
        <w:rPr>
          <w:rFonts w:hint="eastAsia" w:ascii="仿宋" w:hAnsi="仿宋" w:eastAsia="仿宋_GB2312" w:cs="仿宋"/>
          <w:color w:val="auto"/>
          <w:highlight w:val="none"/>
        </w:rPr>
        <w:t>）监狱企业、残</w:t>
      </w:r>
      <w:r>
        <w:rPr>
          <w:rFonts w:hint="eastAsia" w:ascii="仿宋" w:hAnsi="仿宋" w:eastAsia="仿宋_GB2312" w:cs="仿宋"/>
          <w:color w:val="auto"/>
          <w:szCs w:val="21"/>
          <w:highlight w:val="none"/>
        </w:rPr>
        <w:t xml:space="preserve">疾人福利性单位视同小型、微型企业，享受评审中价格扣除等促进中小企业发展的政府采购政策。 </w:t>
      </w:r>
    </w:p>
    <w:p w14:paraId="26F95D2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（6）在货物采购项目中，供应商提供的货物既有中小企业制造货物，也有大型企业制造货物的，不享受本办法规定的中小企业扶持政策</w:t>
      </w:r>
    </w:p>
    <w:p w14:paraId="2DA7BC2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（3）监狱企业、残</w:t>
      </w:r>
      <w:r>
        <w:rPr>
          <w:rFonts w:hint="eastAsia" w:ascii="仿宋" w:hAnsi="仿宋" w:eastAsia="仿宋_GB2312" w:cs="仿宋"/>
          <w:color w:val="auto"/>
          <w:szCs w:val="21"/>
          <w:highlight w:val="none"/>
        </w:rPr>
        <w:t>疾人福利性单位视同小型、微型企业，享受评审中价格扣除等促进中小企业发展的政府采购政策。</w:t>
      </w:r>
    </w:p>
    <w:p w14:paraId="18A5F41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33.4政府采购政策交叉与叠加</w:t>
      </w:r>
    </w:p>
    <w:p w14:paraId="4AA1F65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（1）投标产品取得两个及以上优先采购产品认证的，评审时只有其中一项产品能享受优先采购优惠（投标人自行选择，并在投标文件中并填报相关信息及数据）</w:t>
      </w:r>
    </w:p>
    <w:p w14:paraId="08A4429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（2）投标人同时符合小型、微型企业及监狱企业、残疾人福利性单位要求的，评审时只有一种类型享受价格评审优惠政策；</w:t>
      </w:r>
    </w:p>
    <w:p w14:paraId="7E75576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（3）小型和微型企业的价格评审优惠可以与同时属于“节能产品”、“环境标志产品”中的一项优先采购优惠累加计算。</w:t>
      </w:r>
    </w:p>
    <w:p w14:paraId="0356988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33.5部分投标产品属于</w:t>
      </w:r>
      <w:r>
        <w:rPr>
          <w:rFonts w:hint="eastAsia" w:ascii="仿宋" w:hAnsi="仿宋" w:eastAsia="仿宋_GB2312" w:cs="仿宋"/>
          <w:color w:val="auto"/>
          <w:highlight w:val="none"/>
          <w:lang w:eastAsia="zh-CN"/>
        </w:rPr>
        <w:t>节能产品和环境标志产品</w:t>
      </w:r>
      <w:r>
        <w:rPr>
          <w:rFonts w:hint="eastAsia" w:ascii="仿宋" w:hAnsi="仿宋" w:eastAsia="仿宋_GB2312" w:cs="仿宋"/>
          <w:color w:val="auto"/>
          <w:highlight w:val="none"/>
        </w:rPr>
        <w:t>优先采购的，评审时只对该部分产品的报价实行价格扣除及加分。投标人应按本章第33.6款规定提供相关证明资料（包括提供相关报价）。</w:t>
      </w:r>
    </w:p>
    <w:p w14:paraId="3CAC43E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33.6投标人符合本章第33.1款、第33.2款、第33.3款规定的，应提供相关证明资料。</w:t>
      </w:r>
    </w:p>
    <w:p w14:paraId="7B6F725B">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（1）节能产品、环境标志产品：提供国家确定的认证机构出具的、处于有效期之内的节能产品、环境标志产品认证证书（复印件）。</w:t>
      </w:r>
    </w:p>
    <w:p w14:paraId="0822E31E">
      <w:pPr>
        <w:pageBreakBefore w:val="0"/>
        <w:widowControl/>
        <w:kinsoku/>
        <w:overflowPunct/>
        <w:topLinePunct w:val="0"/>
        <w:bidi w:val="0"/>
        <w:spacing w:line="400" w:lineRule="exact"/>
        <w:jc w:val="left"/>
        <w:rPr>
          <w:rFonts w:hint="eastAsia" w:ascii="仿宋" w:hAnsi="仿宋" w:eastAsia="仿宋_GB2312" w:cs="仿宋"/>
          <w:color w:val="auto"/>
          <w:highlight w:val="none"/>
        </w:rPr>
      </w:pPr>
      <w:r>
        <w:rPr>
          <w:rFonts w:hint="eastAsia" w:ascii="仿宋" w:hAnsi="仿宋" w:eastAsia="仿宋_GB2312" w:cs="仿宋"/>
          <w:color w:val="auto"/>
          <w:highlight w:val="none"/>
        </w:rPr>
        <w:t>（</w:t>
      </w:r>
      <w:r>
        <w:rPr>
          <w:rFonts w:hint="eastAsia" w:ascii="仿宋" w:hAnsi="仿宋" w:eastAsia="仿宋_GB2312" w:cs="仿宋"/>
          <w:color w:val="auto"/>
          <w:highlight w:val="none"/>
          <w:lang w:val="en-US" w:eastAsia="zh-CN"/>
        </w:rPr>
        <w:t>2</w:t>
      </w:r>
      <w:r>
        <w:rPr>
          <w:rFonts w:hint="eastAsia" w:ascii="仿宋" w:hAnsi="仿宋" w:eastAsia="仿宋_GB2312" w:cs="仿宋"/>
          <w:color w:val="auto"/>
          <w:highlight w:val="none"/>
        </w:rPr>
        <w:t>）中小企业：按《关于印发＜政府采购促进中小企业发展办法＞的通知》(财库[2020]46号) 和《关于印发中小企业划型标准规定的通知》（工信部联企业〔2011〕300号）文件规定提供中小企业声明函（格式）</w:t>
      </w:r>
      <w:r>
        <w:rPr>
          <w:rFonts w:hint="eastAsia" w:ascii="仿宋" w:hAnsi="仿宋" w:eastAsia="仿宋_GB2312" w:cs="仿宋"/>
          <w:color w:val="auto"/>
          <w:highlight w:val="none"/>
          <w:lang w:eastAsia="zh-CN"/>
        </w:rPr>
        <w:t>；</w:t>
      </w:r>
    </w:p>
    <w:p w14:paraId="78DBC55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w:t>
      </w:r>
      <w:r>
        <w:rPr>
          <w:rFonts w:hint="eastAsia" w:ascii="仿宋" w:hAnsi="仿宋" w:eastAsia="仿宋_GB2312" w:cs="仿宋"/>
          <w:color w:val="auto"/>
          <w:highlight w:val="none"/>
          <w:lang w:val="en-US" w:eastAsia="zh-CN"/>
        </w:rPr>
        <w:t>3</w:t>
      </w:r>
      <w:r>
        <w:rPr>
          <w:rFonts w:hint="eastAsia" w:ascii="仿宋" w:hAnsi="仿宋" w:eastAsia="仿宋_GB2312" w:cs="仿宋"/>
          <w:color w:val="auto"/>
          <w:highlight w:val="none"/>
        </w:rPr>
        <w:t>）监狱企业：按《关于政府采购支持监狱企业发展有关问题的通知》(财库〔2014〕68号)文件规定提供证明文件（复印件）。</w:t>
      </w:r>
    </w:p>
    <w:p w14:paraId="39C65EA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w:t>
      </w:r>
      <w:r>
        <w:rPr>
          <w:rFonts w:hint="eastAsia" w:ascii="仿宋" w:hAnsi="仿宋" w:eastAsia="仿宋_GB2312" w:cs="仿宋"/>
          <w:color w:val="auto"/>
          <w:highlight w:val="none"/>
          <w:lang w:val="en-US" w:eastAsia="zh-CN"/>
        </w:rPr>
        <w:t>4</w:t>
      </w:r>
      <w:r>
        <w:rPr>
          <w:rFonts w:hint="eastAsia" w:ascii="仿宋" w:hAnsi="仿宋" w:eastAsia="仿宋_GB2312" w:cs="仿宋"/>
          <w:color w:val="auto"/>
          <w:highlight w:val="none"/>
        </w:rPr>
        <w:t>）残疾人福利性单位：按《关于促进残疾人就业政府采购政策的通知》(财库〔2017〕141号)文件规定提供《残疾人福利性单位声明函》（格式）。</w:t>
      </w:r>
    </w:p>
    <w:p w14:paraId="5EF7CED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highlight w:val="none"/>
        </w:rPr>
        <w:t>33.7投标人有融资、担保需求的，可登陆中国湖南政府采购网查询相关银行、担保机构业务。</w:t>
      </w:r>
    </w:p>
    <w:p w14:paraId="686DBB20">
      <w:pPr>
        <w:pageBreakBefore w:val="0"/>
        <w:kinsoku/>
        <w:overflowPunct/>
        <w:topLinePunct w:val="0"/>
        <w:bidi w:val="0"/>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br w:type="page"/>
      </w:r>
    </w:p>
    <w:p w14:paraId="7E8B8B72">
      <w:pPr>
        <w:pStyle w:val="4"/>
        <w:pageBreakBefore w:val="0"/>
        <w:kinsoku/>
        <w:overflowPunct/>
        <w:topLinePunct w:val="0"/>
        <w:bidi w:val="0"/>
        <w:adjustRightInd w:val="0"/>
        <w:snapToGrid w:val="0"/>
        <w:spacing w:before="0" w:after="0" w:line="400" w:lineRule="exact"/>
        <w:jc w:val="center"/>
        <w:rPr>
          <w:rFonts w:hint="eastAsia" w:ascii="仿宋" w:hAnsi="仿宋" w:eastAsia="仿宋_GB2312" w:cs="仿宋"/>
          <w:color w:val="auto"/>
          <w:sz w:val="28"/>
          <w:szCs w:val="28"/>
          <w:highlight w:val="none"/>
        </w:rPr>
      </w:pPr>
      <w:bookmarkStart w:id="24" w:name="_Toc30818"/>
      <w:r>
        <w:rPr>
          <w:rFonts w:hint="eastAsia" w:ascii="仿宋" w:hAnsi="仿宋" w:eastAsia="仿宋_GB2312" w:cs="仿宋"/>
          <w:color w:val="auto"/>
          <w:sz w:val="28"/>
          <w:szCs w:val="28"/>
          <w:highlight w:val="none"/>
        </w:rPr>
        <w:t>九、其他规定</w:t>
      </w:r>
      <w:bookmarkEnd w:id="24"/>
    </w:p>
    <w:p w14:paraId="018324F0">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bCs/>
          <w:color w:val="auto"/>
          <w:sz w:val="24"/>
          <w:highlight w:val="none"/>
        </w:rPr>
        <w:t>34.</w:t>
      </w:r>
      <w:r>
        <w:rPr>
          <w:rFonts w:hint="eastAsia" w:ascii="仿宋" w:hAnsi="仿宋" w:eastAsia="仿宋_GB2312" w:cs="仿宋"/>
          <w:b/>
          <w:color w:val="auto"/>
          <w:sz w:val="24"/>
          <w:highlight w:val="none"/>
        </w:rPr>
        <w:t>招标不足三家处理</w:t>
      </w:r>
    </w:p>
    <w:p w14:paraId="7591B45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34.1公开招标数额标准以上的采购项目，投标截止后投标人不足3家或者通过资格审查或符合性审查的投标人不足3家的，除采购任务取消情形外，按照以下方式处理：</w:t>
      </w:r>
    </w:p>
    <w:p w14:paraId="06C3369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（1）招标文件存在不合理条款或者招标程序不符合规定的，采购人、采购代理机构改正后依法重新招标；</w:t>
      </w:r>
    </w:p>
    <w:p w14:paraId="44E2ADD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（2）招标文件没有不合理条款、招标程序符合规定，需要采用其他采购方式采购的，采购人应当依法报财政部门批准。</w:t>
      </w:r>
    </w:p>
    <w:p w14:paraId="2B75258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34.2属上款第（2）项情形的，评标委员会应出具招标文件没有不合理条款的论证意见。</w:t>
      </w:r>
    </w:p>
    <w:p w14:paraId="7EF5AABA">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bCs/>
          <w:color w:val="auto"/>
          <w:sz w:val="24"/>
          <w:highlight w:val="none"/>
        </w:rPr>
        <w:t>35.</w:t>
      </w:r>
      <w:r>
        <w:rPr>
          <w:rFonts w:hint="eastAsia" w:ascii="仿宋" w:hAnsi="仿宋" w:eastAsia="仿宋_GB2312" w:cs="仿宋"/>
          <w:b/>
          <w:color w:val="auto"/>
          <w:sz w:val="24"/>
          <w:highlight w:val="none"/>
        </w:rPr>
        <w:t xml:space="preserve"> 招标代理服务费</w:t>
      </w:r>
    </w:p>
    <w:p w14:paraId="26D3ECB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35.1招标代理服务费由中标人支付的，投标人应按</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规定向采购代理机构交纳招标代理服务费，并在投标文件中提供中标服务费承诺书。</w:t>
      </w:r>
    </w:p>
    <w:p w14:paraId="4D6AD4F9">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kern w:val="0"/>
          <w:sz w:val="24"/>
          <w:highlight w:val="none"/>
        </w:rPr>
        <w:t>36.</w:t>
      </w:r>
      <w:r>
        <w:rPr>
          <w:rFonts w:hint="eastAsia" w:ascii="仿宋" w:hAnsi="仿宋" w:eastAsia="仿宋_GB2312" w:cs="仿宋"/>
          <w:b/>
          <w:color w:val="auto"/>
          <w:sz w:val="24"/>
          <w:highlight w:val="none"/>
        </w:rPr>
        <w:t xml:space="preserve"> 需要补充的其他内容</w:t>
      </w:r>
    </w:p>
    <w:p w14:paraId="08F2335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highlight w:val="none"/>
        </w:rPr>
        <w:t>36.1招标文件需要补充的其</w:t>
      </w:r>
      <w:r>
        <w:rPr>
          <w:rFonts w:hint="eastAsia" w:ascii="仿宋" w:hAnsi="仿宋" w:eastAsia="仿宋_GB2312" w:cs="仿宋"/>
          <w:color w:val="auto"/>
          <w:szCs w:val="21"/>
          <w:highlight w:val="none"/>
        </w:rPr>
        <w:t>他内容见</w:t>
      </w:r>
      <w:r>
        <w:rPr>
          <w:rFonts w:hint="eastAsia" w:ascii="仿宋" w:hAnsi="仿宋" w:eastAsia="仿宋_GB2312" w:cs="仿宋"/>
          <w:b/>
          <w:color w:val="auto"/>
          <w:szCs w:val="21"/>
          <w:highlight w:val="none"/>
        </w:rPr>
        <w:t>【投标须知前附表】</w:t>
      </w:r>
      <w:r>
        <w:rPr>
          <w:rFonts w:hint="eastAsia" w:ascii="仿宋" w:hAnsi="仿宋" w:eastAsia="仿宋_GB2312" w:cs="仿宋"/>
          <w:color w:val="auto"/>
          <w:szCs w:val="21"/>
          <w:highlight w:val="none"/>
        </w:rPr>
        <w:t>。</w:t>
      </w:r>
    </w:p>
    <w:p w14:paraId="02CBEE1E">
      <w:pPr>
        <w:pageBreakBefore w:val="0"/>
        <w:kinsoku/>
        <w:overflowPunct/>
        <w:topLinePunct w:val="0"/>
        <w:bidi w:val="0"/>
        <w:adjustRightInd w:val="0"/>
        <w:snapToGrid w:val="0"/>
        <w:spacing w:line="400" w:lineRule="exact"/>
        <w:jc w:val="left"/>
        <w:rPr>
          <w:rFonts w:hint="eastAsia" w:ascii="仿宋" w:hAnsi="仿宋" w:eastAsia="仿宋_GB2312" w:cs="仿宋"/>
          <w:color w:val="auto"/>
          <w:szCs w:val="21"/>
          <w:highlight w:val="none"/>
          <w:lang w:val="en-US" w:eastAsia="zh-CN"/>
        </w:rPr>
      </w:pPr>
      <w:r>
        <w:rPr>
          <w:rFonts w:hint="eastAsia" w:ascii="仿宋" w:hAnsi="仿宋" w:eastAsia="仿宋_GB2312" w:cs="仿宋"/>
          <w:b/>
          <w:color w:val="auto"/>
          <w:sz w:val="24"/>
          <w:highlight w:val="none"/>
          <w:lang w:val="en-US" w:eastAsia="zh-CN"/>
        </w:rPr>
        <w:t>37.全流程电子化交易说明</w:t>
      </w:r>
      <w:r>
        <w:rPr>
          <w:rFonts w:hint="eastAsia" w:ascii="仿宋" w:hAnsi="仿宋" w:eastAsia="仿宋_GB2312" w:cs="仿宋"/>
          <w:color w:val="auto"/>
          <w:szCs w:val="21"/>
          <w:highlight w:val="none"/>
          <w:lang w:val="en-US" w:eastAsia="zh-CN"/>
        </w:rPr>
        <w:t>（详见投标须知前附表）</w:t>
      </w:r>
    </w:p>
    <w:p w14:paraId="2F7CDAA9">
      <w:pPr>
        <w:pageBreakBefore w:val="0"/>
        <w:numPr>
          <w:ilvl w:val="0"/>
          <w:numId w:val="7"/>
        </w:numPr>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br w:type="page"/>
      </w:r>
    </w:p>
    <w:p w14:paraId="4C8494E1">
      <w:pPr>
        <w:pStyle w:val="2"/>
        <w:numPr>
          <w:ilvl w:val="0"/>
          <w:numId w:val="3"/>
        </w:numPr>
        <w:bidi w:val="0"/>
        <w:rPr>
          <w:rFonts w:hint="eastAsia" w:ascii="Times New Roman" w:hAnsi="Times New Roman" w:eastAsia="宋体"/>
        </w:rPr>
      </w:pPr>
      <w:bookmarkStart w:id="25" w:name="_Toc8095"/>
      <w:r>
        <w:rPr>
          <w:rFonts w:hint="eastAsia" w:ascii="Times New Roman" w:hAnsi="Times New Roman" w:eastAsia="宋体"/>
        </w:rPr>
        <w:t xml:space="preserve"> 资格审查</w:t>
      </w:r>
      <w:bookmarkEnd w:id="25"/>
    </w:p>
    <w:p w14:paraId="6A9BFDD2">
      <w:pPr>
        <w:keepLines w:val="0"/>
        <w:pageBreakBefore w:val="0"/>
        <w:widowControl w:val="0"/>
        <w:kinsoku/>
        <w:wordWrap/>
        <w:overflowPunct/>
        <w:topLinePunct w:val="0"/>
        <w:autoSpaceDE/>
        <w:autoSpaceDN/>
        <w:bidi w:val="0"/>
        <w:adjustRightInd w:val="0"/>
        <w:snapToGrid w:val="0"/>
        <w:spacing w:line="380" w:lineRule="exact"/>
        <w:textAlignment w:val="auto"/>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1．资格审查主体</w:t>
      </w:r>
    </w:p>
    <w:p w14:paraId="55D796DF">
      <w:pPr>
        <w:keepLines w:val="0"/>
        <w:pageBreakBefore w:val="0"/>
        <w:widowControl w:val="0"/>
        <w:kinsoku/>
        <w:wordWrap/>
        <w:overflowPunct/>
        <w:topLinePunct w:val="0"/>
        <w:autoSpaceDE/>
        <w:autoSpaceDN/>
        <w:bidi w:val="0"/>
        <w:adjustRightInd w:val="0"/>
        <w:snapToGrid w:val="0"/>
        <w:spacing w:line="380" w:lineRule="exact"/>
        <w:ind w:firstLine="417" w:firstLineChars="199"/>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1.1资格审查主体：采购人、采购代理机构负责资格审查。</w:t>
      </w:r>
    </w:p>
    <w:p w14:paraId="70EDA92E">
      <w:pPr>
        <w:keepLines w:val="0"/>
        <w:pageBreakBefore w:val="0"/>
        <w:widowControl w:val="0"/>
        <w:kinsoku/>
        <w:wordWrap/>
        <w:overflowPunct/>
        <w:topLinePunct w:val="0"/>
        <w:autoSpaceDE/>
        <w:autoSpaceDN/>
        <w:bidi w:val="0"/>
        <w:adjustRightInd w:val="0"/>
        <w:snapToGrid w:val="0"/>
        <w:spacing w:line="380" w:lineRule="exact"/>
        <w:textAlignment w:val="auto"/>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2．资格审查</w:t>
      </w:r>
    </w:p>
    <w:p w14:paraId="2502426C">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2.1资格审查依据法律法规和招标文件的规定，对投标文件中的资格证明文件、投标保证金、投标报价等进行审查，以确定投标供应商是否具备投标资格。</w:t>
      </w:r>
    </w:p>
    <w:p w14:paraId="2347E66D">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2.2采购人、采购代理机构按本章附表1“资格审查表”所列审查项目及审查标准，对投标人资格进行审查。</w:t>
      </w:r>
    </w:p>
    <w:p w14:paraId="479EC69A">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2.3在资格审查时，投标人存在下列情况之一的，资格审查不合格，其投标无效：</w:t>
      </w:r>
    </w:p>
    <w:p w14:paraId="0E65D860">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（1）不具备招标文件中规定的资格要求的，或提交的资格证明文件不符合招标文件要求的；</w:t>
      </w:r>
    </w:p>
    <w:p w14:paraId="7BCCD14B">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（2）联合体投标未提交联合体协议书，或未提交联合体各方资格证明文件的（不适用）；</w:t>
      </w:r>
    </w:p>
    <w:p w14:paraId="35EF1556">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（3）投标文件的资格证明文件未按照招标文件要求签署、盖章的；</w:t>
      </w:r>
    </w:p>
    <w:p w14:paraId="62542E1B">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（4）未按照招标文件的规定提交投标保证金的。</w:t>
      </w:r>
    </w:p>
    <w:p w14:paraId="37C92549">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（5）投标报价超过招标文件中规定的预算金额或者最高限价的；</w:t>
      </w:r>
    </w:p>
    <w:p w14:paraId="063047F4">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（6）法律、法规和招标文件规定的其他投标无效情形的。</w:t>
      </w:r>
    </w:p>
    <w:p w14:paraId="3654A8D2">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b/>
          <w:color w:val="auto"/>
          <w:sz w:val="32"/>
          <w:szCs w:val="32"/>
          <w:highlight w:val="none"/>
        </w:rPr>
      </w:pPr>
      <w:r>
        <w:rPr>
          <w:rFonts w:hint="eastAsia" w:ascii="仿宋" w:hAnsi="仿宋" w:eastAsia="仿宋_GB2312" w:cs="仿宋"/>
          <w:color w:val="auto"/>
          <w:highlight w:val="none"/>
        </w:rPr>
        <w:t>2.4信用记录。开标结束后</w:t>
      </w:r>
      <w:r>
        <w:rPr>
          <w:rFonts w:hint="eastAsia" w:ascii="仿宋" w:hAnsi="仿宋" w:eastAsia="仿宋_GB2312" w:cs="仿宋"/>
          <w:color w:val="auto"/>
          <w:szCs w:val="21"/>
          <w:highlight w:val="none"/>
        </w:rPr>
        <w:t>资格审查时，采购人、采购代理机构将对投标人信用记录进行甄别。</w:t>
      </w:r>
    </w:p>
    <w:p w14:paraId="6F75E3B5">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（1）信用信息查询的查询渠道：信用中国网（www.creditchina.gov.cn）、中国政府采购网（www.ccgp.gov.cn）；</w:t>
      </w:r>
    </w:p>
    <w:p w14:paraId="348D6EDF">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不良信用记录是指：投标人在“信用中国”网站被列入失信被执行人和重大税收违法案件当事人名单，或在“中国政府采购网”网站被列入政府采购严重违法失信行为记录名单。投标人有上述不良信用记录的，其投标无效，其中，列入政府采购严重违法失信行为记录名单的，按处罚结果执行。</w:t>
      </w:r>
    </w:p>
    <w:p w14:paraId="33499198">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（3）联合体形式投标的，联合体成员存在不良信用记录的，视同联合体存在不良信用记录（不适用）。</w:t>
      </w:r>
    </w:p>
    <w:p w14:paraId="6193CB89">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信用信息查询记录和证据留存具体方式：投标人将查询网页截图、打印、盖章，作为查询记录和证据，做入响应文件资格证明材料部分。投标人不良信用记录以该查询结果为准，投标人不得弄虚作假，否则以虚假响应处理。</w:t>
      </w:r>
    </w:p>
    <w:p w14:paraId="0AC02EA9">
      <w:pPr>
        <w:keepLines w:val="0"/>
        <w:pageBreakBefore w:val="0"/>
        <w:widowControl w:val="0"/>
        <w:kinsoku/>
        <w:wordWrap/>
        <w:overflowPunct/>
        <w:topLinePunct w:val="0"/>
        <w:autoSpaceDE/>
        <w:autoSpaceDN/>
        <w:bidi w:val="0"/>
        <w:adjustRightInd w:val="0"/>
        <w:snapToGrid w:val="0"/>
        <w:spacing w:line="380" w:lineRule="exact"/>
        <w:textAlignment w:val="auto"/>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3．资格审查结果</w:t>
      </w:r>
    </w:p>
    <w:p w14:paraId="0E15188A">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3.1未通过资格审查的投标人，采购人、采购代理机构应当告知其未通过的原因。</w:t>
      </w:r>
    </w:p>
    <w:p w14:paraId="55543E6C">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3.2资格审查结束后，采购人、采购代理机构应将资格审查结果告知评标委员会。</w:t>
      </w:r>
    </w:p>
    <w:p w14:paraId="4422B0E9">
      <w:pPr>
        <w:keepLines w:val="0"/>
        <w:pageBreakBefore w:val="0"/>
        <w:widowControl w:val="0"/>
        <w:kinsoku/>
        <w:wordWrap/>
        <w:overflowPunct/>
        <w:topLinePunct w:val="0"/>
        <w:autoSpaceDE/>
        <w:autoSpaceDN/>
        <w:bidi w:val="0"/>
        <w:adjustRightInd w:val="0"/>
        <w:snapToGrid w:val="0"/>
        <w:spacing w:line="380" w:lineRule="exact"/>
        <w:textAlignment w:val="auto"/>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4．其他</w:t>
      </w:r>
    </w:p>
    <w:p w14:paraId="6185AB83">
      <w:pPr>
        <w:keepLines w:val="0"/>
        <w:pageBreakBefore w:val="0"/>
        <w:widowControl w:val="0"/>
        <w:kinsoku/>
        <w:wordWrap/>
        <w:overflowPunct/>
        <w:topLinePunct w:val="0"/>
        <w:autoSpaceDE/>
        <w:autoSpaceDN/>
        <w:bidi w:val="0"/>
        <w:adjustRightInd w:val="0"/>
        <w:snapToGrid w:val="0"/>
        <w:spacing w:line="380" w:lineRule="exact"/>
        <w:ind w:firstLine="420" w:firstLineChars="200"/>
        <w:jc w:val="left"/>
        <w:textAlignment w:val="auto"/>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4.1资格预审合格的投标人在提交投标文件的截止时间前资格发生变化的，应当通知采购人、采购代理机构，并按新情况更新或补充其在申请资格预审时提供的证明资料，以证实其各项资格条件仍能继续满足资格预审公告的要求。</w:t>
      </w:r>
    </w:p>
    <w:p w14:paraId="62FD4FA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
          <w:bCs/>
          <w:color w:val="auto"/>
          <w:sz w:val="32"/>
          <w:highlight w:val="none"/>
        </w:rPr>
      </w:pPr>
      <w:r>
        <w:rPr>
          <w:rFonts w:hint="eastAsia" w:ascii="仿宋" w:hAnsi="仿宋" w:eastAsia="仿宋_GB2312" w:cs="仿宋"/>
          <w:color w:val="auto"/>
          <w:highlight w:val="none"/>
        </w:rPr>
        <w:br w:type="page"/>
      </w:r>
    </w:p>
    <w:p w14:paraId="5FEAA836">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附表1资格审查表</w:t>
      </w:r>
    </w:p>
    <w:p w14:paraId="42B16086">
      <w:pPr>
        <w:pageBreakBefore w:val="0"/>
        <w:kinsoku/>
        <w:overflowPunct/>
        <w:topLinePunct w:val="0"/>
        <w:bidi w:val="0"/>
        <w:adjustRightInd w:val="0"/>
        <w:snapToGrid w:val="0"/>
        <w:spacing w:line="400" w:lineRule="exact"/>
        <w:jc w:val="center"/>
        <w:rPr>
          <w:rFonts w:hint="eastAsia" w:ascii="仿宋" w:hAnsi="仿宋" w:eastAsia="仿宋_GB2312" w:cs="仿宋"/>
          <w:b/>
          <w:color w:val="auto"/>
          <w:sz w:val="28"/>
          <w:szCs w:val="28"/>
          <w:highlight w:val="none"/>
          <w:lang w:eastAsia="zh-CN"/>
        </w:rPr>
      </w:pPr>
      <w:r>
        <w:rPr>
          <w:rFonts w:hint="eastAsia" w:ascii="仿宋" w:hAnsi="仿宋" w:eastAsia="仿宋_GB2312" w:cs="仿宋"/>
          <w:b/>
          <w:color w:val="auto"/>
          <w:sz w:val="28"/>
          <w:szCs w:val="28"/>
          <w:highlight w:val="none"/>
        </w:rPr>
        <w:t>资格审查表</w:t>
      </w:r>
    </w:p>
    <w:p w14:paraId="5F10FE88">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项目名称：                                          采购代理编号：</w:t>
      </w:r>
    </w:p>
    <w:p w14:paraId="6CF805C0">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lang w:eastAsia="zh-CN"/>
        </w:rPr>
      </w:pPr>
      <w:r>
        <w:rPr>
          <w:rFonts w:hint="eastAsia" w:ascii="仿宋" w:hAnsi="仿宋" w:eastAsia="仿宋_GB2312" w:cs="仿宋"/>
          <w:color w:val="auto"/>
          <w:szCs w:val="21"/>
          <w:highlight w:val="none"/>
          <w:lang w:eastAsia="zh-CN"/>
        </w:rPr>
        <w:t>包号：</w:t>
      </w:r>
      <w:r>
        <w:rPr>
          <w:rFonts w:hint="eastAsia" w:ascii="仿宋" w:hAnsi="仿宋" w:eastAsia="仿宋_GB2312" w:cs="仿宋"/>
          <w:color w:val="auto"/>
          <w:sz w:val="18"/>
          <w:szCs w:val="18"/>
          <w:highlight w:val="none"/>
          <w:lang w:val="en-US" w:eastAsia="zh-CN"/>
        </w:rPr>
        <w:t>HNSZZFCG-2026-0484-01</w:t>
      </w:r>
    </w:p>
    <w:tbl>
      <w:tblPr>
        <w:tblStyle w:val="4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5380"/>
        <w:gridCol w:w="2997"/>
      </w:tblGrid>
      <w:tr w14:paraId="16BA6E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vAlign w:val="center"/>
          </w:tcPr>
          <w:p w14:paraId="6ABE7E9F">
            <w:pPr>
              <w:pageBreakBefore w:val="0"/>
              <w:kinsoku/>
              <w:overflowPunct/>
              <w:topLinePunct w:val="0"/>
              <w:bidi w:val="0"/>
              <w:adjustRightInd w:val="0"/>
              <w:snapToGrid w:val="0"/>
              <w:spacing w:line="400" w:lineRule="exact"/>
              <w:jc w:val="center"/>
              <w:rPr>
                <w:rFonts w:hint="eastAsia" w:ascii="仿宋" w:hAnsi="仿宋" w:eastAsia="仿宋" w:cs="仿宋"/>
                <w:b/>
                <w:color w:val="auto"/>
                <w:kern w:val="0"/>
                <w:sz w:val="18"/>
                <w:szCs w:val="18"/>
                <w:highlight w:val="none"/>
              </w:rPr>
            </w:pPr>
            <w:r>
              <w:rPr>
                <w:rFonts w:hint="eastAsia" w:ascii="仿宋" w:hAnsi="仿宋" w:eastAsia="仿宋_GB2312" w:cs="仿宋"/>
                <w:b/>
                <w:color w:val="auto"/>
                <w:kern w:val="0"/>
                <w:sz w:val="18"/>
                <w:szCs w:val="18"/>
                <w:highlight w:val="none"/>
              </w:rPr>
              <w:t>序号</w:t>
            </w:r>
          </w:p>
        </w:tc>
        <w:tc>
          <w:tcPr>
            <w:tcW w:w="5380" w:type="dxa"/>
            <w:vAlign w:val="center"/>
          </w:tcPr>
          <w:p w14:paraId="1B401DEA">
            <w:pPr>
              <w:pageBreakBefore w:val="0"/>
              <w:kinsoku/>
              <w:overflowPunct/>
              <w:topLinePunct w:val="0"/>
              <w:bidi w:val="0"/>
              <w:adjustRightInd w:val="0"/>
              <w:snapToGrid w:val="0"/>
              <w:spacing w:line="400" w:lineRule="exact"/>
              <w:jc w:val="center"/>
              <w:rPr>
                <w:rFonts w:hint="eastAsia" w:ascii="仿宋" w:hAnsi="仿宋" w:eastAsia="仿宋" w:cs="仿宋"/>
                <w:b/>
                <w:color w:val="auto"/>
                <w:kern w:val="0"/>
                <w:sz w:val="18"/>
                <w:szCs w:val="18"/>
                <w:highlight w:val="none"/>
              </w:rPr>
            </w:pPr>
            <w:r>
              <w:rPr>
                <w:rFonts w:hint="eastAsia" w:ascii="仿宋" w:hAnsi="仿宋" w:eastAsia="仿宋_GB2312" w:cs="仿宋"/>
                <w:b/>
                <w:color w:val="auto"/>
                <w:kern w:val="0"/>
                <w:sz w:val="18"/>
                <w:szCs w:val="18"/>
                <w:highlight w:val="none"/>
              </w:rPr>
              <w:t>审查项目</w:t>
            </w:r>
          </w:p>
        </w:tc>
        <w:tc>
          <w:tcPr>
            <w:tcW w:w="2997" w:type="dxa"/>
            <w:vAlign w:val="center"/>
          </w:tcPr>
          <w:p w14:paraId="41C28F81">
            <w:pPr>
              <w:pageBreakBefore w:val="0"/>
              <w:kinsoku/>
              <w:overflowPunct/>
              <w:topLinePunct w:val="0"/>
              <w:bidi w:val="0"/>
              <w:adjustRightInd w:val="0"/>
              <w:snapToGrid w:val="0"/>
              <w:spacing w:line="400" w:lineRule="exact"/>
              <w:jc w:val="center"/>
              <w:rPr>
                <w:rFonts w:hint="eastAsia" w:ascii="仿宋" w:hAnsi="仿宋" w:eastAsia="仿宋" w:cs="仿宋"/>
                <w:b/>
                <w:color w:val="auto"/>
                <w:kern w:val="0"/>
                <w:sz w:val="18"/>
                <w:szCs w:val="18"/>
                <w:highlight w:val="none"/>
              </w:rPr>
            </w:pPr>
            <w:r>
              <w:rPr>
                <w:rFonts w:hint="eastAsia" w:ascii="仿宋" w:hAnsi="仿宋" w:eastAsia="仿宋_GB2312" w:cs="仿宋"/>
                <w:b/>
                <w:color w:val="auto"/>
                <w:kern w:val="0"/>
                <w:sz w:val="18"/>
                <w:szCs w:val="18"/>
                <w:highlight w:val="none"/>
              </w:rPr>
              <w:t>审查标准</w:t>
            </w:r>
          </w:p>
        </w:tc>
      </w:tr>
      <w:tr w14:paraId="0F81B1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3" w:hRule="atLeast"/>
        </w:trPr>
        <w:tc>
          <w:tcPr>
            <w:tcW w:w="683" w:type="dxa"/>
            <w:vAlign w:val="center"/>
          </w:tcPr>
          <w:p w14:paraId="52BC2EEA">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1</w:t>
            </w:r>
          </w:p>
        </w:tc>
        <w:tc>
          <w:tcPr>
            <w:tcW w:w="5380" w:type="dxa"/>
            <w:vAlign w:val="center"/>
          </w:tcPr>
          <w:p w14:paraId="6234AAD2">
            <w:pPr>
              <w:pageBreakBefore w:val="0"/>
              <w:kinsoku/>
              <w:overflowPunct/>
              <w:topLinePunct w:val="0"/>
              <w:bidi w:val="0"/>
              <w:adjustRightInd w:val="0"/>
              <w:snapToGrid w:val="0"/>
              <w:spacing w:line="400" w:lineRule="exact"/>
              <w:rPr>
                <w:rFonts w:hint="eastAsia" w:ascii="仿宋" w:hAnsi="仿宋" w:eastAsia="仿宋_GB2312" w:cs="仿宋"/>
                <w:color w:val="auto"/>
                <w:sz w:val="18"/>
                <w:szCs w:val="18"/>
                <w:highlight w:val="none"/>
              </w:rPr>
            </w:pPr>
            <w:r>
              <w:rPr>
                <w:rFonts w:hint="eastAsia" w:ascii="仿宋" w:hAnsi="仿宋" w:eastAsia="仿宋_GB2312" w:cs="仿宋"/>
                <w:color w:val="auto"/>
                <w:sz w:val="18"/>
                <w:szCs w:val="18"/>
                <w:highlight w:val="none"/>
              </w:rPr>
              <w:t>1、具有独立承担民事责任的能力，提供下面材料（1.1、1.2、1.3、1.4、1.5之一）：</w:t>
            </w:r>
          </w:p>
          <w:p w14:paraId="25C37D21">
            <w:pPr>
              <w:pageBreakBefore w:val="0"/>
              <w:kinsoku/>
              <w:overflowPunct/>
              <w:topLinePunct w:val="0"/>
              <w:bidi w:val="0"/>
              <w:adjustRightInd w:val="0"/>
              <w:snapToGrid w:val="0"/>
              <w:spacing w:line="400" w:lineRule="exact"/>
              <w:rPr>
                <w:rFonts w:hint="eastAsia" w:ascii="仿宋" w:hAnsi="仿宋" w:eastAsia="仿宋_GB2312" w:cs="仿宋"/>
                <w:color w:val="auto"/>
                <w:sz w:val="18"/>
                <w:szCs w:val="18"/>
                <w:highlight w:val="none"/>
              </w:rPr>
            </w:pPr>
            <w:r>
              <w:rPr>
                <w:rFonts w:hint="eastAsia" w:ascii="仿宋" w:hAnsi="仿宋" w:eastAsia="仿宋_GB2312" w:cs="仿宋"/>
                <w:color w:val="auto"/>
                <w:sz w:val="18"/>
                <w:szCs w:val="18"/>
                <w:highlight w:val="none"/>
              </w:rPr>
              <w:t>1.1 投标人为营利法人的，应提交营业执照</w:t>
            </w:r>
            <w:r>
              <w:rPr>
                <w:rFonts w:hint="eastAsia" w:ascii="仿宋" w:hAnsi="仿宋" w:eastAsia="仿宋_GB2312" w:cs="仿宋"/>
                <w:color w:val="auto"/>
                <w:sz w:val="18"/>
                <w:szCs w:val="18"/>
                <w:highlight w:val="none"/>
                <w:lang w:val="en-US" w:eastAsia="zh-CN"/>
              </w:rPr>
              <w:t xml:space="preserve"> </w:t>
            </w:r>
            <w:r>
              <w:rPr>
                <w:rFonts w:hint="eastAsia" w:ascii="仿宋" w:hAnsi="仿宋" w:eastAsia="仿宋_GB2312" w:cs="仿宋"/>
                <w:color w:val="auto"/>
                <w:sz w:val="18"/>
                <w:szCs w:val="18"/>
                <w:highlight w:val="none"/>
              </w:rPr>
              <w:t>；</w:t>
            </w:r>
          </w:p>
          <w:p w14:paraId="39FAF3D5">
            <w:pPr>
              <w:pageBreakBefore w:val="0"/>
              <w:kinsoku/>
              <w:overflowPunct/>
              <w:topLinePunct w:val="0"/>
              <w:bidi w:val="0"/>
              <w:adjustRightInd w:val="0"/>
              <w:snapToGrid w:val="0"/>
              <w:spacing w:line="400" w:lineRule="exact"/>
              <w:rPr>
                <w:rFonts w:hint="eastAsia" w:ascii="仿宋" w:hAnsi="仿宋" w:eastAsia="仿宋_GB2312" w:cs="仿宋"/>
                <w:color w:val="auto"/>
                <w:sz w:val="18"/>
                <w:szCs w:val="18"/>
                <w:highlight w:val="none"/>
              </w:rPr>
            </w:pPr>
            <w:r>
              <w:rPr>
                <w:rFonts w:hint="eastAsia" w:ascii="仿宋" w:hAnsi="仿宋" w:eastAsia="仿宋_GB2312" w:cs="仿宋"/>
                <w:color w:val="auto"/>
                <w:sz w:val="18"/>
                <w:szCs w:val="18"/>
                <w:highlight w:val="none"/>
              </w:rPr>
              <w:t>1.2 投标人为依法允许经营的事业单位的，应提交事业单位法人证书</w:t>
            </w:r>
            <w:r>
              <w:rPr>
                <w:rFonts w:hint="eastAsia" w:ascii="仿宋" w:hAnsi="仿宋" w:eastAsia="仿宋_GB2312" w:cs="仿宋"/>
                <w:color w:val="auto"/>
                <w:sz w:val="18"/>
                <w:szCs w:val="18"/>
                <w:highlight w:val="none"/>
                <w:lang w:val="en-US" w:eastAsia="zh-CN"/>
              </w:rPr>
              <w:t xml:space="preserve"> </w:t>
            </w:r>
            <w:r>
              <w:rPr>
                <w:rFonts w:hint="eastAsia" w:ascii="仿宋" w:hAnsi="仿宋" w:eastAsia="仿宋_GB2312" w:cs="仿宋"/>
                <w:color w:val="auto"/>
                <w:sz w:val="18"/>
                <w:szCs w:val="18"/>
                <w:highlight w:val="none"/>
              </w:rPr>
              <w:t>；</w:t>
            </w:r>
          </w:p>
          <w:p w14:paraId="15D6283D">
            <w:pPr>
              <w:pageBreakBefore w:val="0"/>
              <w:kinsoku/>
              <w:overflowPunct/>
              <w:topLinePunct w:val="0"/>
              <w:bidi w:val="0"/>
              <w:adjustRightInd w:val="0"/>
              <w:snapToGrid w:val="0"/>
              <w:spacing w:line="400" w:lineRule="exact"/>
              <w:rPr>
                <w:rFonts w:hint="eastAsia" w:ascii="仿宋" w:hAnsi="仿宋" w:eastAsia="仿宋_GB2312" w:cs="仿宋"/>
                <w:color w:val="auto"/>
                <w:sz w:val="18"/>
                <w:szCs w:val="18"/>
                <w:highlight w:val="none"/>
              </w:rPr>
            </w:pPr>
            <w:r>
              <w:rPr>
                <w:rFonts w:hint="eastAsia" w:ascii="仿宋" w:hAnsi="仿宋" w:eastAsia="仿宋_GB2312" w:cs="仿宋"/>
                <w:color w:val="auto"/>
                <w:sz w:val="18"/>
                <w:szCs w:val="18"/>
                <w:highlight w:val="none"/>
              </w:rPr>
              <w:t>1.3 投标人为非法人组织的，应提交依法登记证书</w:t>
            </w:r>
            <w:r>
              <w:rPr>
                <w:rFonts w:hint="eastAsia" w:ascii="仿宋" w:hAnsi="仿宋" w:eastAsia="仿宋_GB2312" w:cs="仿宋"/>
                <w:color w:val="auto"/>
                <w:sz w:val="18"/>
                <w:szCs w:val="18"/>
                <w:highlight w:val="none"/>
                <w:lang w:val="en-US" w:eastAsia="zh-CN"/>
              </w:rPr>
              <w:t xml:space="preserve"> </w:t>
            </w:r>
            <w:r>
              <w:rPr>
                <w:rFonts w:hint="eastAsia" w:ascii="仿宋" w:hAnsi="仿宋" w:eastAsia="仿宋_GB2312" w:cs="仿宋"/>
                <w:color w:val="auto"/>
                <w:sz w:val="18"/>
                <w:szCs w:val="18"/>
                <w:highlight w:val="none"/>
              </w:rPr>
              <w:t>；</w:t>
            </w:r>
          </w:p>
          <w:p w14:paraId="0F3CB585">
            <w:pPr>
              <w:pageBreakBefore w:val="0"/>
              <w:kinsoku/>
              <w:overflowPunct/>
              <w:topLinePunct w:val="0"/>
              <w:bidi w:val="0"/>
              <w:adjustRightInd w:val="0"/>
              <w:snapToGrid w:val="0"/>
              <w:spacing w:line="400" w:lineRule="exact"/>
              <w:rPr>
                <w:rFonts w:hint="eastAsia" w:ascii="仿宋" w:hAnsi="仿宋" w:eastAsia="仿宋_GB2312" w:cs="仿宋"/>
                <w:color w:val="auto"/>
                <w:sz w:val="18"/>
                <w:szCs w:val="18"/>
                <w:highlight w:val="none"/>
              </w:rPr>
            </w:pPr>
            <w:r>
              <w:rPr>
                <w:rFonts w:hint="eastAsia" w:ascii="仿宋" w:hAnsi="仿宋" w:eastAsia="仿宋_GB2312" w:cs="仿宋"/>
                <w:color w:val="auto"/>
                <w:sz w:val="18"/>
                <w:szCs w:val="18"/>
                <w:highlight w:val="none"/>
              </w:rPr>
              <w:t>1.4 投标人为个体工商户的，应提交个体工商户营业执照</w:t>
            </w:r>
            <w:r>
              <w:rPr>
                <w:rFonts w:hint="eastAsia" w:ascii="仿宋" w:hAnsi="仿宋" w:eastAsia="仿宋_GB2312" w:cs="仿宋"/>
                <w:color w:val="auto"/>
                <w:sz w:val="18"/>
                <w:szCs w:val="18"/>
                <w:highlight w:val="none"/>
                <w:lang w:val="en-US" w:eastAsia="zh-CN"/>
              </w:rPr>
              <w:t xml:space="preserve"> </w:t>
            </w:r>
            <w:r>
              <w:rPr>
                <w:rFonts w:hint="eastAsia" w:ascii="仿宋" w:hAnsi="仿宋" w:eastAsia="仿宋_GB2312" w:cs="仿宋"/>
                <w:color w:val="auto"/>
                <w:sz w:val="18"/>
                <w:szCs w:val="18"/>
                <w:highlight w:val="none"/>
              </w:rPr>
              <w:t>；</w:t>
            </w:r>
          </w:p>
          <w:p w14:paraId="1E49A17D">
            <w:pPr>
              <w:pageBreakBefore w:val="0"/>
              <w:kinsoku/>
              <w:overflowPunct/>
              <w:topLinePunct w:val="0"/>
              <w:bidi w:val="0"/>
              <w:adjustRightInd w:val="0"/>
              <w:snapToGrid w:val="0"/>
              <w:spacing w:line="400" w:lineRule="exact"/>
              <w:rPr>
                <w:rFonts w:hint="eastAsia" w:ascii="仿宋" w:hAnsi="仿宋" w:eastAsia="仿宋" w:cs="仿宋"/>
                <w:color w:val="auto"/>
                <w:kern w:val="0"/>
                <w:sz w:val="18"/>
                <w:szCs w:val="18"/>
                <w:highlight w:val="none"/>
              </w:rPr>
            </w:pPr>
            <w:r>
              <w:rPr>
                <w:rFonts w:hint="eastAsia" w:ascii="仿宋" w:hAnsi="仿宋" w:eastAsia="仿宋_GB2312" w:cs="仿宋"/>
                <w:color w:val="auto"/>
                <w:sz w:val="18"/>
                <w:szCs w:val="18"/>
                <w:highlight w:val="none"/>
              </w:rPr>
              <w:t>1.5 投标人为自然人的，应提交自然人的身份证明</w:t>
            </w:r>
            <w:r>
              <w:rPr>
                <w:rFonts w:hint="eastAsia" w:ascii="仿宋" w:hAnsi="仿宋" w:eastAsia="仿宋_GB2312" w:cs="仿宋"/>
                <w:color w:val="auto"/>
                <w:sz w:val="18"/>
                <w:szCs w:val="18"/>
                <w:highlight w:val="none"/>
                <w:lang w:val="en-US" w:eastAsia="zh-CN"/>
              </w:rPr>
              <w:t xml:space="preserve"> </w:t>
            </w:r>
            <w:r>
              <w:rPr>
                <w:rFonts w:hint="eastAsia" w:ascii="仿宋" w:hAnsi="仿宋" w:eastAsia="仿宋_GB2312" w:cs="仿宋"/>
                <w:color w:val="auto"/>
                <w:sz w:val="18"/>
                <w:szCs w:val="18"/>
                <w:highlight w:val="none"/>
              </w:rPr>
              <w:t>。</w:t>
            </w:r>
          </w:p>
        </w:tc>
        <w:tc>
          <w:tcPr>
            <w:tcW w:w="2997" w:type="dxa"/>
            <w:vAlign w:val="center"/>
          </w:tcPr>
          <w:p w14:paraId="15F258C7">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7FE026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1" w:hRule="atLeast"/>
        </w:trPr>
        <w:tc>
          <w:tcPr>
            <w:tcW w:w="683" w:type="dxa"/>
            <w:vAlign w:val="center"/>
          </w:tcPr>
          <w:p w14:paraId="1EE0A997">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2</w:t>
            </w:r>
          </w:p>
        </w:tc>
        <w:tc>
          <w:tcPr>
            <w:tcW w:w="5380" w:type="dxa"/>
            <w:vAlign w:val="center"/>
          </w:tcPr>
          <w:p w14:paraId="35C37898">
            <w:pPr>
              <w:pageBreakBefore w:val="0"/>
              <w:kinsoku/>
              <w:overflowPunct/>
              <w:topLinePunct w:val="0"/>
              <w:bidi w:val="0"/>
              <w:spacing w:line="400" w:lineRule="exact"/>
              <w:jc w:val="left"/>
              <w:rPr>
                <w:rFonts w:hint="eastAsia" w:ascii="仿宋" w:hAnsi="仿宋" w:eastAsia="仿宋" w:cs="仿宋"/>
                <w:color w:val="auto"/>
                <w:kern w:val="0"/>
                <w:sz w:val="18"/>
                <w:szCs w:val="18"/>
                <w:highlight w:val="none"/>
              </w:rPr>
            </w:pPr>
            <w:r>
              <w:rPr>
                <w:rFonts w:hint="eastAsia" w:ascii="仿宋" w:hAnsi="仿宋" w:eastAsia="仿宋_GB2312" w:cs="仿宋"/>
                <w:color w:val="auto"/>
                <w:sz w:val="18"/>
                <w:szCs w:val="18"/>
                <w:highlight w:val="none"/>
              </w:rPr>
              <w:t>投标人为营利法人或依法允许经营的事业单位的还须提供法人代表身份证明或法定代表人身份证明及法定代表人授权委托书；</w:t>
            </w:r>
          </w:p>
        </w:tc>
        <w:tc>
          <w:tcPr>
            <w:tcW w:w="2997" w:type="dxa"/>
            <w:vAlign w:val="center"/>
          </w:tcPr>
          <w:p w14:paraId="7E8166F1">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49C05C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683" w:type="dxa"/>
            <w:vAlign w:val="center"/>
          </w:tcPr>
          <w:p w14:paraId="294BD7FE">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3</w:t>
            </w:r>
          </w:p>
        </w:tc>
        <w:tc>
          <w:tcPr>
            <w:tcW w:w="5380" w:type="dxa"/>
            <w:vAlign w:val="center"/>
          </w:tcPr>
          <w:p w14:paraId="0E9B4643">
            <w:pPr>
              <w:pageBreakBefore w:val="0"/>
              <w:kinsoku/>
              <w:overflowPunct/>
              <w:topLinePunct w:val="0"/>
              <w:bidi w:val="0"/>
              <w:adjustRightInd w:val="0"/>
              <w:snapToGrid w:val="0"/>
              <w:spacing w:line="400" w:lineRule="exact"/>
              <w:jc w:val="left"/>
              <w:rPr>
                <w:rFonts w:hint="eastAsia" w:ascii="仿宋" w:hAnsi="仿宋" w:eastAsia="仿宋" w:cs="仿宋"/>
                <w:color w:val="auto"/>
                <w:kern w:val="0"/>
                <w:sz w:val="18"/>
                <w:szCs w:val="18"/>
                <w:highlight w:val="none"/>
              </w:rPr>
            </w:pPr>
            <w:r>
              <w:rPr>
                <w:rFonts w:hint="eastAsia" w:ascii="仿宋" w:hAnsi="仿宋" w:eastAsia="仿宋_GB2312" w:cs="仿宋"/>
                <w:color w:val="auto"/>
                <w:sz w:val="18"/>
                <w:szCs w:val="18"/>
                <w:highlight w:val="none"/>
                <w:lang w:eastAsia="zh-CN"/>
              </w:rPr>
              <w:t>提供《</w:t>
            </w:r>
            <w:r>
              <w:rPr>
                <w:rFonts w:hint="eastAsia" w:ascii="仿宋" w:hAnsi="仿宋" w:eastAsia="仿宋_GB2312" w:cs="仿宋"/>
                <w:color w:val="auto"/>
                <w:sz w:val="18"/>
                <w:szCs w:val="18"/>
                <w:highlight w:val="none"/>
              </w:rPr>
              <w:t>湖南省政府采购供应商资格承诺函</w:t>
            </w:r>
            <w:r>
              <w:rPr>
                <w:rFonts w:hint="eastAsia" w:ascii="仿宋" w:hAnsi="仿宋" w:eastAsia="仿宋_GB2312" w:cs="仿宋"/>
                <w:color w:val="auto"/>
                <w:sz w:val="18"/>
                <w:szCs w:val="18"/>
                <w:highlight w:val="none"/>
                <w:lang w:eastAsia="zh-CN"/>
              </w:rPr>
              <w:t>》（格式）</w:t>
            </w:r>
            <w:r>
              <w:rPr>
                <w:rFonts w:hint="eastAsia" w:ascii="仿宋" w:hAnsi="仿宋" w:eastAsia="仿宋_GB2312" w:cs="仿宋"/>
                <w:color w:val="auto"/>
                <w:sz w:val="18"/>
                <w:szCs w:val="18"/>
                <w:highlight w:val="none"/>
              </w:rPr>
              <w:t>。</w:t>
            </w:r>
          </w:p>
        </w:tc>
        <w:tc>
          <w:tcPr>
            <w:tcW w:w="2997" w:type="dxa"/>
            <w:vAlign w:val="center"/>
          </w:tcPr>
          <w:p w14:paraId="4E3C5116">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38C939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trPr>
        <w:tc>
          <w:tcPr>
            <w:tcW w:w="683" w:type="dxa"/>
            <w:vAlign w:val="center"/>
          </w:tcPr>
          <w:p w14:paraId="1A09C356">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4</w:t>
            </w:r>
          </w:p>
        </w:tc>
        <w:tc>
          <w:tcPr>
            <w:tcW w:w="5380" w:type="dxa"/>
            <w:vAlign w:val="center"/>
          </w:tcPr>
          <w:p w14:paraId="1F8E5DC7">
            <w:pPr>
              <w:pageBreakBefore w:val="0"/>
              <w:kinsoku/>
              <w:overflowPunct/>
              <w:topLinePunct w:val="0"/>
              <w:bidi w:val="0"/>
              <w:adjustRightInd w:val="0"/>
              <w:snapToGrid w:val="0"/>
              <w:spacing w:line="400" w:lineRule="exact"/>
              <w:jc w:val="left"/>
              <w:rPr>
                <w:rFonts w:hint="eastAsia" w:ascii="仿宋" w:hAnsi="仿宋" w:eastAsia="仿宋" w:cs="仿宋"/>
                <w:color w:val="auto"/>
                <w:sz w:val="18"/>
                <w:szCs w:val="18"/>
                <w:highlight w:val="none"/>
                <w:lang w:val="en-US" w:eastAsia="zh-CN"/>
              </w:rPr>
            </w:pPr>
            <w:r>
              <w:rPr>
                <w:rFonts w:hint="eastAsia" w:ascii="仿宋" w:hAnsi="仿宋" w:eastAsia="仿宋_GB2312" w:cs="仿宋"/>
                <w:color w:val="auto"/>
                <w:sz w:val="18"/>
                <w:szCs w:val="18"/>
                <w:highlight w:val="none"/>
                <w:lang w:eastAsia="zh-CN"/>
              </w:rPr>
              <w:t>提供《项目免交投标保证金承诺书》（格式）</w:t>
            </w:r>
          </w:p>
        </w:tc>
        <w:tc>
          <w:tcPr>
            <w:tcW w:w="2997" w:type="dxa"/>
            <w:vAlign w:val="center"/>
          </w:tcPr>
          <w:p w14:paraId="26FF1A3C">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7267B7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trPr>
        <w:tc>
          <w:tcPr>
            <w:tcW w:w="683" w:type="dxa"/>
            <w:vAlign w:val="center"/>
          </w:tcPr>
          <w:p w14:paraId="57FFBB61">
            <w:pPr>
              <w:pageBreakBefore w:val="0"/>
              <w:kinsoku/>
              <w:overflowPunct/>
              <w:topLinePunct w:val="0"/>
              <w:bidi w:val="0"/>
              <w:adjustRightInd w:val="0"/>
              <w:snapToGrid w:val="0"/>
              <w:spacing w:line="400" w:lineRule="exact"/>
              <w:jc w:val="center"/>
              <w:rPr>
                <w:rFonts w:hint="eastAsia" w:ascii="仿宋" w:hAnsi="仿宋" w:eastAsia="仿宋_GB2312" w:cs="仿宋"/>
                <w:color w:val="auto"/>
                <w:kern w:val="0"/>
                <w:sz w:val="18"/>
                <w:szCs w:val="18"/>
                <w:highlight w:val="none"/>
                <w:lang w:val="en-US" w:eastAsia="zh-CN"/>
              </w:rPr>
            </w:pPr>
            <w:r>
              <w:rPr>
                <w:rFonts w:hint="eastAsia" w:ascii="仿宋" w:hAnsi="仿宋" w:eastAsia="仿宋_GB2312" w:cs="仿宋"/>
                <w:color w:val="auto"/>
                <w:kern w:val="0"/>
                <w:sz w:val="18"/>
                <w:szCs w:val="18"/>
                <w:highlight w:val="none"/>
                <w:lang w:val="en-US" w:eastAsia="zh-CN"/>
              </w:rPr>
              <w:t>5</w:t>
            </w:r>
          </w:p>
        </w:tc>
        <w:tc>
          <w:tcPr>
            <w:tcW w:w="5380" w:type="dxa"/>
            <w:shd w:val="clear" w:color="auto" w:fill="auto"/>
            <w:vAlign w:val="center"/>
          </w:tcPr>
          <w:p w14:paraId="68AF2675">
            <w:pPr>
              <w:pageBreakBefore w:val="0"/>
              <w:kinsoku/>
              <w:overflowPunct/>
              <w:topLinePunct w:val="0"/>
              <w:bidi w:val="0"/>
              <w:adjustRightInd w:val="0"/>
              <w:snapToGrid w:val="0"/>
              <w:spacing w:line="400" w:lineRule="exact"/>
              <w:jc w:val="left"/>
              <w:rPr>
                <w:rFonts w:hint="eastAsia" w:ascii="仿宋" w:hAnsi="仿宋" w:eastAsia="仿宋" w:cs="仿宋"/>
                <w:color w:val="auto"/>
                <w:kern w:val="2"/>
                <w:sz w:val="18"/>
                <w:szCs w:val="18"/>
                <w:highlight w:val="none"/>
                <w:lang w:val="en-US" w:eastAsia="zh-CN" w:bidi="ar-SA"/>
              </w:rPr>
            </w:pPr>
            <w:r>
              <w:rPr>
                <w:rFonts w:hint="eastAsia" w:ascii="仿宋" w:hAnsi="仿宋" w:eastAsia="仿宋_GB2312" w:cs="仿宋"/>
                <w:color w:val="auto"/>
                <w:sz w:val="18"/>
                <w:szCs w:val="18"/>
                <w:highlight w:val="none"/>
                <w:lang w:eastAsia="zh-CN"/>
              </w:rPr>
              <w:t>信用记录(未被列入失信被执行人、重大税收违法案件当事人名单、政府采购严重违法失信行为记录名单)</w:t>
            </w:r>
          </w:p>
        </w:tc>
        <w:tc>
          <w:tcPr>
            <w:tcW w:w="2997" w:type="dxa"/>
            <w:vAlign w:val="center"/>
          </w:tcPr>
          <w:p w14:paraId="33B75147">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54C06B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trPr>
        <w:tc>
          <w:tcPr>
            <w:tcW w:w="683" w:type="dxa"/>
            <w:shd w:val="clear" w:color="auto" w:fill="auto"/>
            <w:vAlign w:val="center"/>
          </w:tcPr>
          <w:p w14:paraId="07A13850">
            <w:pPr>
              <w:pageBreakBefore w:val="0"/>
              <w:kinsoku/>
              <w:overflowPunct/>
              <w:topLinePunct w:val="0"/>
              <w:bidi w:val="0"/>
              <w:adjustRightInd w:val="0"/>
              <w:snapToGrid w:val="0"/>
              <w:spacing w:line="400" w:lineRule="exact"/>
              <w:jc w:val="center"/>
              <w:rPr>
                <w:rFonts w:hint="eastAsia" w:ascii="仿宋" w:hAnsi="仿宋" w:eastAsia="仿宋_GB2312" w:cs="仿宋"/>
                <w:color w:val="auto"/>
                <w:sz w:val="18"/>
                <w:szCs w:val="18"/>
                <w:highlight w:val="none"/>
                <w:lang w:val="en-US" w:eastAsia="zh-CN"/>
              </w:rPr>
            </w:pPr>
            <w:r>
              <w:rPr>
                <w:rFonts w:hint="eastAsia" w:ascii="仿宋" w:hAnsi="仿宋" w:eastAsia="仿宋_GB2312" w:cs="仿宋"/>
                <w:color w:val="auto"/>
                <w:sz w:val="18"/>
                <w:szCs w:val="18"/>
                <w:highlight w:val="none"/>
                <w:lang w:val="en-US" w:eastAsia="zh-CN"/>
              </w:rPr>
              <w:t>6</w:t>
            </w:r>
          </w:p>
        </w:tc>
        <w:tc>
          <w:tcPr>
            <w:tcW w:w="5380" w:type="dxa"/>
            <w:shd w:val="clear" w:color="auto" w:fill="auto"/>
            <w:vAlign w:val="center"/>
          </w:tcPr>
          <w:p w14:paraId="7621846F">
            <w:pPr>
              <w:pageBreakBefore w:val="0"/>
              <w:kinsoku/>
              <w:overflowPunct/>
              <w:topLinePunct w:val="0"/>
              <w:bidi w:val="0"/>
              <w:adjustRightInd w:val="0"/>
              <w:snapToGrid w:val="0"/>
              <w:spacing w:line="400" w:lineRule="exact"/>
              <w:jc w:val="left"/>
              <w:rPr>
                <w:rFonts w:hint="eastAsia" w:ascii="仿宋" w:hAnsi="仿宋" w:eastAsia="仿宋_GB2312" w:cs="仿宋"/>
                <w:color w:val="auto"/>
                <w:kern w:val="2"/>
                <w:sz w:val="18"/>
                <w:szCs w:val="18"/>
                <w:highlight w:val="none"/>
                <w:lang w:val="en-US" w:eastAsia="zh-CN" w:bidi="ar-SA"/>
              </w:rPr>
            </w:pPr>
            <w:r>
              <w:rPr>
                <w:rFonts w:hint="eastAsia" w:ascii="仿宋" w:hAnsi="仿宋" w:eastAsia="仿宋_GB2312" w:cs="仿宋"/>
                <w:color w:val="auto"/>
                <w:sz w:val="18"/>
                <w:szCs w:val="18"/>
                <w:highlight w:val="none"/>
                <w:lang w:eastAsia="zh-CN"/>
              </w:rPr>
              <w:t>报价不高于项目预算和最高限价</w:t>
            </w:r>
          </w:p>
        </w:tc>
        <w:tc>
          <w:tcPr>
            <w:tcW w:w="2997" w:type="dxa"/>
            <w:vAlign w:val="center"/>
          </w:tcPr>
          <w:p w14:paraId="634A766D">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7DA6A6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trPr>
        <w:tc>
          <w:tcPr>
            <w:tcW w:w="683" w:type="dxa"/>
            <w:shd w:val="clear" w:color="auto" w:fill="auto"/>
            <w:vAlign w:val="center"/>
          </w:tcPr>
          <w:p w14:paraId="6C60FB25">
            <w:pPr>
              <w:pageBreakBefore w:val="0"/>
              <w:kinsoku/>
              <w:overflowPunct/>
              <w:topLinePunct w:val="0"/>
              <w:bidi w:val="0"/>
              <w:adjustRightInd w:val="0"/>
              <w:snapToGrid w:val="0"/>
              <w:spacing w:line="400" w:lineRule="exact"/>
              <w:jc w:val="center"/>
              <w:rPr>
                <w:rFonts w:hint="default" w:ascii="仿宋" w:hAnsi="仿宋" w:eastAsia="仿宋_GB2312" w:cs="仿宋"/>
                <w:color w:val="auto"/>
                <w:sz w:val="18"/>
                <w:szCs w:val="18"/>
                <w:highlight w:val="none"/>
                <w:lang w:val="en-US" w:eastAsia="zh-CN"/>
              </w:rPr>
            </w:pPr>
            <w:r>
              <w:rPr>
                <w:rFonts w:hint="eastAsia" w:ascii="仿宋" w:hAnsi="仿宋" w:eastAsia="仿宋_GB2312" w:cs="仿宋"/>
                <w:color w:val="auto"/>
                <w:sz w:val="18"/>
                <w:szCs w:val="18"/>
                <w:highlight w:val="none"/>
                <w:lang w:val="en-US" w:eastAsia="zh-CN"/>
              </w:rPr>
              <w:t>7</w:t>
            </w:r>
          </w:p>
        </w:tc>
        <w:tc>
          <w:tcPr>
            <w:tcW w:w="5380" w:type="dxa"/>
            <w:shd w:val="clear" w:color="auto" w:fill="auto"/>
            <w:vAlign w:val="center"/>
          </w:tcPr>
          <w:p w14:paraId="4F5D83A8">
            <w:pPr>
              <w:pageBreakBefore w:val="0"/>
              <w:kinsoku/>
              <w:overflowPunct/>
              <w:topLinePunct w:val="0"/>
              <w:bidi w:val="0"/>
              <w:adjustRightInd w:val="0"/>
              <w:snapToGrid w:val="0"/>
              <w:spacing w:line="400" w:lineRule="exact"/>
              <w:jc w:val="left"/>
              <w:rPr>
                <w:rFonts w:hint="eastAsia" w:ascii="仿宋" w:hAnsi="仿宋" w:eastAsia="仿宋_GB2312" w:cs="仿宋"/>
                <w:color w:val="auto"/>
                <w:sz w:val="18"/>
                <w:szCs w:val="18"/>
                <w:highlight w:val="none"/>
                <w:lang w:eastAsia="zh-CN"/>
              </w:rPr>
            </w:pPr>
            <w:r>
              <w:rPr>
                <w:rFonts w:hint="eastAsia" w:ascii="仿宋" w:hAnsi="仿宋" w:eastAsia="仿宋_GB2312" w:cs="仿宋"/>
                <w:color w:val="auto"/>
                <w:sz w:val="18"/>
                <w:szCs w:val="18"/>
                <w:highlight w:val="none"/>
                <w:lang w:eastAsia="zh-CN"/>
              </w:rPr>
              <w:t>资审文件签署</w:t>
            </w:r>
          </w:p>
        </w:tc>
        <w:tc>
          <w:tcPr>
            <w:tcW w:w="2997" w:type="dxa"/>
            <w:vAlign w:val="center"/>
          </w:tcPr>
          <w:p w14:paraId="13CDA804">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004880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trPr>
        <w:tc>
          <w:tcPr>
            <w:tcW w:w="683" w:type="dxa"/>
            <w:shd w:val="clear" w:color="auto" w:fill="auto"/>
            <w:vAlign w:val="center"/>
          </w:tcPr>
          <w:p w14:paraId="6FA2DAF8">
            <w:pPr>
              <w:pageBreakBefore w:val="0"/>
              <w:kinsoku/>
              <w:overflowPunct/>
              <w:topLinePunct w:val="0"/>
              <w:bidi w:val="0"/>
              <w:adjustRightInd w:val="0"/>
              <w:snapToGrid w:val="0"/>
              <w:spacing w:line="400" w:lineRule="exact"/>
              <w:jc w:val="center"/>
              <w:rPr>
                <w:rFonts w:hint="default" w:ascii="仿宋" w:hAnsi="仿宋" w:eastAsia="仿宋_GB2312" w:cs="仿宋"/>
                <w:color w:val="auto"/>
                <w:sz w:val="18"/>
                <w:szCs w:val="18"/>
                <w:highlight w:val="yellow"/>
                <w:lang w:val="en-US" w:eastAsia="zh-CN"/>
              </w:rPr>
            </w:pPr>
          </w:p>
        </w:tc>
        <w:tc>
          <w:tcPr>
            <w:tcW w:w="5380" w:type="dxa"/>
            <w:shd w:val="clear" w:color="auto" w:fill="auto"/>
            <w:vAlign w:val="center"/>
          </w:tcPr>
          <w:p w14:paraId="3062577A">
            <w:pPr>
              <w:pageBreakBefore w:val="0"/>
              <w:kinsoku/>
              <w:overflowPunct/>
              <w:topLinePunct w:val="0"/>
              <w:bidi w:val="0"/>
              <w:adjustRightInd w:val="0"/>
              <w:snapToGrid w:val="0"/>
              <w:spacing w:line="400" w:lineRule="exact"/>
              <w:jc w:val="left"/>
              <w:rPr>
                <w:rFonts w:hint="eastAsia" w:ascii="仿宋" w:hAnsi="仿宋" w:eastAsia="仿宋_GB2312" w:cs="仿宋"/>
                <w:color w:val="auto"/>
                <w:sz w:val="18"/>
                <w:szCs w:val="18"/>
                <w:highlight w:val="yellow"/>
                <w:lang w:eastAsia="zh-CN"/>
              </w:rPr>
            </w:pPr>
          </w:p>
        </w:tc>
        <w:tc>
          <w:tcPr>
            <w:tcW w:w="2997" w:type="dxa"/>
            <w:vAlign w:val="center"/>
          </w:tcPr>
          <w:p w14:paraId="2C161DDE">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bl>
    <w:p w14:paraId="16D11C75">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p>
    <w:p w14:paraId="669A645B">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p>
    <w:p w14:paraId="4BE855E1">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p>
    <w:p w14:paraId="322DD6BA">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p>
    <w:p w14:paraId="5C3394CB">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p>
    <w:p w14:paraId="34BAA4FB">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lang w:eastAsia="zh-CN"/>
        </w:rPr>
      </w:pPr>
      <w:r>
        <w:rPr>
          <w:rFonts w:hint="eastAsia" w:ascii="仿宋" w:hAnsi="仿宋" w:eastAsia="仿宋_GB2312" w:cs="仿宋"/>
          <w:bCs/>
          <w:color w:val="auto"/>
          <w:szCs w:val="21"/>
          <w:highlight w:val="none"/>
          <w:lang w:eastAsia="zh-CN"/>
        </w:rPr>
        <w:t>注意：因资格审查时采购人和代理机构只能看到“资格证明文件”，未放在“资格证明文件”的资格证明资料采购人和代理机构无法查阅，可能会导致资格审查不通过。</w:t>
      </w:r>
    </w:p>
    <w:p w14:paraId="3AD63E23">
      <w:pPr>
        <w:pageBreakBefore w:val="0"/>
        <w:kinsoku/>
        <w:overflowPunct/>
        <w:topLinePunct w:val="0"/>
        <w:bidi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br w:type="page"/>
      </w:r>
    </w:p>
    <w:p w14:paraId="133F0370">
      <w:pPr>
        <w:pStyle w:val="2"/>
        <w:numPr>
          <w:ilvl w:val="0"/>
          <w:numId w:val="3"/>
        </w:numPr>
        <w:bidi w:val="0"/>
        <w:rPr>
          <w:rFonts w:hint="eastAsia" w:ascii="Times New Roman" w:hAnsi="Times New Roman" w:eastAsia="宋体"/>
        </w:rPr>
      </w:pPr>
      <w:bookmarkStart w:id="26" w:name="_Toc31100"/>
      <w:r>
        <w:rPr>
          <w:rFonts w:hint="eastAsia" w:ascii="Times New Roman" w:hAnsi="Times New Roman" w:eastAsia="宋体"/>
        </w:rPr>
        <w:t xml:space="preserve"> 评标方法及标准</w:t>
      </w:r>
      <w:bookmarkEnd w:id="26"/>
    </w:p>
    <w:p w14:paraId="1F77DDE8">
      <w:pPr>
        <w:pStyle w:val="3"/>
        <w:pageBreakBefore w:val="0"/>
        <w:kinsoku/>
        <w:overflowPunct/>
        <w:topLinePunct w:val="0"/>
        <w:bidi w:val="0"/>
        <w:adjustRightInd w:val="0"/>
        <w:snapToGrid w:val="0"/>
        <w:spacing w:line="400" w:lineRule="exact"/>
        <w:jc w:val="center"/>
        <w:rPr>
          <w:rFonts w:hint="eastAsia" w:ascii="仿宋" w:hAnsi="仿宋" w:eastAsia="仿宋_GB2312" w:cs="仿宋"/>
          <w:color w:val="auto"/>
          <w:sz w:val="28"/>
          <w:szCs w:val="28"/>
          <w:highlight w:val="none"/>
        </w:rPr>
      </w:pPr>
      <w:bookmarkStart w:id="27" w:name="_Toc6362"/>
      <w:r>
        <w:rPr>
          <w:rFonts w:hint="eastAsia" w:ascii="仿宋" w:hAnsi="仿宋" w:eastAsia="仿宋_GB2312" w:cs="仿宋"/>
          <w:color w:val="auto"/>
          <w:sz w:val="28"/>
          <w:szCs w:val="28"/>
          <w:highlight w:val="none"/>
        </w:rPr>
        <w:t>第一节  评标方法及标准前附表</w:t>
      </w:r>
      <w:bookmarkEnd w:id="27"/>
    </w:p>
    <w:p w14:paraId="1EE38141">
      <w:pPr>
        <w:pageBreakBefore w:val="0"/>
        <w:kinsoku/>
        <w:overflowPunct/>
        <w:topLinePunct w:val="0"/>
        <w:bidi w:val="0"/>
        <w:adjustRightInd w:val="0"/>
        <w:snapToGrid w:val="0"/>
        <w:spacing w:line="400" w:lineRule="exact"/>
        <w:jc w:val="right"/>
        <w:rPr>
          <w:rFonts w:hint="eastAsia" w:ascii="仿宋" w:hAnsi="仿宋" w:eastAsia="仿宋" w:cs="仿宋"/>
          <w:bCs/>
          <w:i/>
          <w:color w:val="auto"/>
          <w:szCs w:val="21"/>
          <w:highlight w:val="none"/>
        </w:rPr>
      </w:pPr>
      <w:r>
        <w:rPr>
          <w:rFonts w:hint="eastAsia" w:ascii="仿宋" w:hAnsi="仿宋" w:eastAsia="仿宋_GB2312" w:cs="仿宋"/>
          <w:bCs/>
          <w:i/>
          <w:color w:val="auto"/>
          <w:szCs w:val="21"/>
          <w:highlight w:val="none"/>
        </w:rPr>
        <w:t>本项目启用的条款在“编列内容规定”栏内以“■”标注。</w:t>
      </w:r>
    </w:p>
    <w:tbl>
      <w:tblPr>
        <w:tblStyle w:val="44"/>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709"/>
        <w:gridCol w:w="1559"/>
        <w:gridCol w:w="4820"/>
      </w:tblGrid>
      <w:tr w14:paraId="30E5D4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double" w:color="auto" w:sz="4" w:space="0"/>
              <w:bottom w:val="single" w:color="auto" w:sz="6" w:space="0"/>
            </w:tcBorders>
          </w:tcPr>
          <w:p w14:paraId="48B55258">
            <w:pPr>
              <w:pageBreakBefore w:val="0"/>
              <w:kinsoku/>
              <w:overflowPunct/>
              <w:topLinePunct w:val="0"/>
              <w:bidi w:val="0"/>
              <w:adjustRightInd w:val="0"/>
              <w:snapToGrid w:val="0"/>
              <w:spacing w:line="400" w:lineRule="exact"/>
              <w:jc w:val="center"/>
              <w:rPr>
                <w:rFonts w:hint="eastAsia" w:ascii="仿宋" w:hAnsi="仿宋" w:eastAsia="仿宋" w:cs="仿宋"/>
                <w:b/>
                <w:color w:val="auto"/>
                <w:highlight w:val="none"/>
              </w:rPr>
            </w:pPr>
            <w:r>
              <w:rPr>
                <w:rFonts w:hint="eastAsia" w:ascii="仿宋" w:hAnsi="仿宋" w:eastAsia="仿宋_GB2312" w:cs="仿宋"/>
                <w:b/>
                <w:color w:val="auto"/>
                <w:highlight w:val="none"/>
              </w:rPr>
              <w:t>条款号</w:t>
            </w:r>
          </w:p>
        </w:tc>
        <w:tc>
          <w:tcPr>
            <w:tcW w:w="2268" w:type="dxa"/>
            <w:gridSpan w:val="2"/>
            <w:tcBorders>
              <w:top w:val="double" w:color="auto" w:sz="4" w:space="0"/>
              <w:bottom w:val="single" w:color="auto" w:sz="6" w:space="0"/>
            </w:tcBorders>
          </w:tcPr>
          <w:p w14:paraId="5270AA7D">
            <w:pPr>
              <w:pageBreakBefore w:val="0"/>
              <w:kinsoku/>
              <w:overflowPunct/>
              <w:topLinePunct w:val="0"/>
              <w:bidi w:val="0"/>
              <w:adjustRightInd w:val="0"/>
              <w:snapToGrid w:val="0"/>
              <w:spacing w:line="400" w:lineRule="exact"/>
              <w:jc w:val="center"/>
              <w:rPr>
                <w:rFonts w:hint="eastAsia" w:ascii="仿宋" w:hAnsi="仿宋" w:eastAsia="仿宋" w:cs="仿宋"/>
                <w:b/>
                <w:color w:val="auto"/>
                <w:highlight w:val="none"/>
              </w:rPr>
            </w:pPr>
            <w:r>
              <w:rPr>
                <w:rFonts w:hint="eastAsia" w:ascii="仿宋" w:hAnsi="仿宋" w:eastAsia="仿宋_GB2312" w:cs="仿宋"/>
                <w:b/>
                <w:color w:val="auto"/>
                <w:highlight w:val="none"/>
              </w:rPr>
              <w:t>条款名称</w:t>
            </w:r>
          </w:p>
        </w:tc>
        <w:tc>
          <w:tcPr>
            <w:tcW w:w="4820" w:type="dxa"/>
            <w:tcBorders>
              <w:top w:val="double" w:color="auto" w:sz="4" w:space="0"/>
              <w:bottom w:val="single" w:color="auto" w:sz="6" w:space="0"/>
            </w:tcBorders>
          </w:tcPr>
          <w:p w14:paraId="0C5B109E">
            <w:pPr>
              <w:pageBreakBefore w:val="0"/>
              <w:kinsoku/>
              <w:overflowPunct/>
              <w:topLinePunct w:val="0"/>
              <w:bidi w:val="0"/>
              <w:adjustRightInd w:val="0"/>
              <w:snapToGrid w:val="0"/>
              <w:spacing w:line="400" w:lineRule="exact"/>
              <w:jc w:val="center"/>
              <w:rPr>
                <w:rFonts w:hint="eastAsia" w:ascii="仿宋" w:hAnsi="仿宋" w:eastAsia="仿宋" w:cs="仿宋"/>
                <w:b/>
                <w:color w:val="auto"/>
                <w:highlight w:val="none"/>
              </w:rPr>
            </w:pPr>
            <w:r>
              <w:rPr>
                <w:rFonts w:hint="eastAsia" w:ascii="仿宋" w:hAnsi="仿宋" w:eastAsia="仿宋_GB2312" w:cs="仿宋"/>
                <w:b/>
                <w:color w:val="auto"/>
                <w:highlight w:val="none"/>
              </w:rPr>
              <w:t>编列内容规定</w:t>
            </w:r>
          </w:p>
        </w:tc>
      </w:tr>
      <w:tr w14:paraId="3834DD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vAlign w:val="center"/>
          </w:tcPr>
          <w:p w14:paraId="6F08BAE7">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第1.3</w:t>
            </w:r>
            <w:r>
              <w:rPr>
                <w:rFonts w:hint="eastAsia" w:ascii="仿宋" w:hAnsi="仿宋" w:eastAsia="仿宋_GB2312" w:cs="仿宋"/>
                <w:color w:val="auto"/>
                <w:kern w:val="0"/>
                <w:szCs w:val="21"/>
                <w:highlight w:val="none"/>
                <w:lang w:val="zh-CN"/>
              </w:rPr>
              <w:t>款</w:t>
            </w:r>
          </w:p>
        </w:tc>
        <w:tc>
          <w:tcPr>
            <w:tcW w:w="2268" w:type="dxa"/>
            <w:gridSpan w:val="2"/>
            <w:tcBorders>
              <w:top w:val="single" w:color="auto" w:sz="6" w:space="0"/>
              <w:bottom w:val="single" w:color="auto" w:sz="6" w:space="0"/>
            </w:tcBorders>
            <w:vAlign w:val="center"/>
          </w:tcPr>
          <w:p w14:paraId="1B8BA738">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评标方法</w:t>
            </w:r>
          </w:p>
        </w:tc>
        <w:tc>
          <w:tcPr>
            <w:tcW w:w="4820" w:type="dxa"/>
            <w:tcBorders>
              <w:top w:val="single" w:color="auto" w:sz="6" w:space="0"/>
              <w:bottom w:val="single" w:color="auto" w:sz="6" w:space="0"/>
            </w:tcBorders>
            <w:vAlign w:val="center"/>
          </w:tcPr>
          <w:p w14:paraId="4C234CB7">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综合评分法</w:t>
            </w:r>
          </w:p>
        </w:tc>
      </w:tr>
      <w:tr w14:paraId="7A0940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28" w:hRule="atLeast"/>
        </w:trPr>
        <w:tc>
          <w:tcPr>
            <w:tcW w:w="1701" w:type="dxa"/>
            <w:tcBorders>
              <w:top w:val="single" w:color="auto" w:sz="6" w:space="0"/>
              <w:bottom w:val="single" w:color="auto" w:sz="6" w:space="0"/>
            </w:tcBorders>
            <w:vAlign w:val="center"/>
          </w:tcPr>
          <w:p w14:paraId="15443507">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第3.4</w:t>
            </w:r>
            <w:r>
              <w:rPr>
                <w:rFonts w:hint="eastAsia" w:ascii="仿宋" w:hAnsi="仿宋" w:eastAsia="仿宋_GB2312" w:cs="仿宋"/>
                <w:color w:val="auto"/>
                <w:kern w:val="0"/>
                <w:szCs w:val="21"/>
                <w:highlight w:val="none"/>
                <w:lang w:val="zh-CN"/>
              </w:rPr>
              <w:t>款</w:t>
            </w:r>
          </w:p>
        </w:tc>
        <w:tc>
          <w:tcPr>
            <w:tcW w:w="2268" w:type="dxa"/>
            <w:gridSpan w:val="2"/>
            <w:tcBorders>
              <w:top w:val="single" w:color="auto" w:sz="6" w:space="0"/>
              <w:bottom w:val="single" w:color="auto" w:sz="6" w:space="0"/>
            </w:tcBorders>
            <w:vAlign w:val="center"/>
          </w:tcPr>
          <w:p w14:paraId="60F19212">
            <w:pPr>
              <w:pageBreakBefore w:val="0"/>
              <w:kinsoku/>
              <w:overflowPunct/>
              <w:topLinePunct w:val="0"/>
              <w:bidi w:val="0"/>
              <w:adjustRightInd w:val="0"/>
              <w:snapToGrid w:val="0"/>
              <w:spacing w:line="400" w:lineRule="exact"/>
              <w:jc w:val="center"/>
              <w:rPr>
                <w:rFonts w:hint="eastAsia" w:ascii="仿宋" w:hAnsi="仿宋" w:eastAsia="仿宋" w:cs="仿宋"/>
                <w:bCs/>
                <w:color w:val="auto"/>
                <w:szCs w:val="21"/>
                <w:highlight w:val="none"/>
              </w:rPr>
            </w:pPr>
            <w:r>
              <w:rPr>
                <w:rFonts w:hint="eastAsia" w:ascii="仿宋" w:hAnsi="仿宋" w:eastAsia="仿宋_GB2312" w:cs="仿宋"/>
                <w:bCs/>
                <w:color w:val="auto"/>
                <w:szCs w:val="21"/>
                <w:highlight w:val="none"/>
              </w:rPr>
              <w:t>非单一产品采购项目的核心产品</w:t>
            </w:r>
          </w:p>
        </w:tc>
        <w:tc>
          <w:tcPr>
            <w:tcW w:w="4820" w:type="dxa"/>
            <w:tcBorders>
              <w:top w:val="single" w:color="auto" w:sz="6" w:space="0"/>
              <w:bottom w:val="single" w:color="auto" w:sz="6" w:space="0"/>
            </w:tcBorders>
            <w:vAlign w:val="center"/>
          </w:tcPr>
          <w:p w14:paraId="6DD761E8">
            <w:pPr>
              <w:pStyle w:val="16"/>
              <w:pageBreakBefore w:val="0"/>
              <w:kinsoku/>
              <w:overflowPunct/>
              <w:topLinePunct w:val="0"/>
              <w:bidi w:val="0"/>
              <w:spacing w:after="0" w:line="400" w:lineRule="exact"/>
              <w:jc w:val="center"/>
              <w:rPr>
                <w:rFonts w:hint="eastAsia" w:ascii="仿宋" w:hAnsi="仿宋" w:eastAsia="仿宋" w:cs="仿宋"/>
                <w:color w:val="auto"/>
                <w:highlight w:val="none"/>
                <w:lang w:val="en-US" w:eastAsia="zh-CN"/>
              </w:rPr>
            </w:pPr>
            <w:r>
              <w:rPr>
                <w:rFonts w:hint="eastAsia" w:ascii="仿宋" w:hAnsi="仿宋" w:eastAsia="仿宋_GB2312" w:cs="仿宋"/>
                <w:color w:val="auto"/>
                <w:szCs w:val="21"/>
                <w:highlight w:val="none"/>
                <w:lang w:val="en-US" w:eastAsia="zh-CN"/>
              </w:rPr>
              <w:t>/</w:t>
            </w:r>
          </w:p>
        </w:tc>
      </w:tr>
      <w:tr w14:paraId="4A4E7F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vAlign w:val="center"/>
          </w:tcPr>
          <w:p w14:paraId="191B7660">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第4.2</w:t>
            </w:r>
            <w:r>
              <w:rPr>
                <w:rFonts w:hint="eastAsia" w:ascii="仿宋" w:hAnsi="仿宋" w:eastAsia="仿宋_GB2312" w:cs="仿宋"/>
                <w:color w:val="auto"/>
                <w:kern w:val="0"/>
                <w:szCs w:val="21"/>
                <w:highlight w:val="none"/>
                <w:lang w:val="zh-CN"/>
              </w:rPr>
              <w:t>款</w:t>
            </w:r>
          </w:p>
        </w:tc>
        <w:tc>
          <w:tcPr>
            <w:tcW w:w="2268" w:type="dxa"/>
            <w:gridSpan w:val="2"/>
            <w:tcBorders>
              <w:top w:val="single" w:color="auto" w:sz="6" w:space="0"/>
              <w:bottom w:val="single" w:color="auto" w:sz="6" w:space="0"/>
            </w:tcBorders>
            <w:vAlign w:val="center"/>
          </w:tcPr>
          <w:p w14:paraId="33E45677">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投标文件报价出现前后不一致的修正</w:t>
            </w:r>
          </w:p>
        </w:tc>
        <w:tc>
          <w:tcPr>
            <w:tcW w:w="4820" w:type="dxa"/>
            <w:tcBorders>
              <w:top w:val="single" w:color="auto" w:sz="6" w:space="0"/>
              <w:bottom w:val="single" w:color="auto" w:sz="6" w:space="0"/>
            </w:tcBorders>
            <w:vAlign w:val="center"/>
          </w:tcPr>
          <w:p w14:paraId="5FA63D17">
            <w:pPr>
              <w:pageBreakBefore w:val="0"/>
              <w:kinsoku/>
              <w:overflowPunct/>
              <w:topLinePunct w:val="0"/>
              <w:bidi w:val="0"/>
              <w:adjustRightInd w:val="0"/>
              <w:snapToGrid w:val="0"/>
              <w:spacing w:line="400" w:lineRule="exact"/>
              <w:jc w:val="left"/>
              <w:rPr>
                <w:rFonts w:hint="eastAsia" w:ascii="仿宋" w:hAnsi="仿宋" w:eastAsia="仿宋" w:cs="仿宋"/>
                <w:color w:val="auto"/>
                <w:szCs w:val="21"/>
                <w:highlight w:val="none"/>
              </w:rPr>
            </w:pPr>
            <w:r>
              <w:rPr>
                <w:rFonts w:hint="eastAsia" w:ascii="仿宋" w:hAnsi="仿宋" w:eastAsia="仿宋_GB2312" w:cs="仿宋"/>
                <w:color w:val="auto"/>
                <w:highlight w:val="none"/>
              </w:rPr>
              <w:t>按评标方法及标准正文部分4.2规定修正</w:t>
            </w:r>
          </w:p>
        </w:tc>
      </w:tr>
      <w:tr w14:paraId="026C5B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vAlign w:val="center"/>
          </w:tcPr>
          <w:p w14:paraId="7233BA15">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第5.2（1）</w:t>
            </w:r>
            <w:r>
              <w:rPr>
                <w:rFonts w:hint="eastAsia" w:ascii="仿宋" w:hAnsi="仿宋" w:eastAsia="仿宋_GB2312" w:cs="仿宋"/>
                <w:color w:val="auto"/>
                <w:kern w:val="0"/>
                <w:szCs w:val="21"/>
                <w:highlight w:val="none"/>
                <w:lang w:val="zh-CN"/>
              </w:rPr>
              <w:t>项</w:t>
            </w:r>
          </w:p>
        </w:tc>
        <w:tc>
          <w:tcPr>
            <w:tcW w:w="2268" w:type="dxa"/>
            <w:gridSpan w:val="2"/>
            <w:tcBorders>
              <w:top w:val="single" w:color="auto" w:sz="6" w:space="0"/>
              <w:bottom w:val="single" w:color="auto" w:sz="6" w:space="0"/>
            </w:tcBorders>
            <w:vAlign w:val="center"/>
          </w:tcPr>
          <w:p w14:paraId="5B576CC4">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相同品牌产品投标报价相同的</w:t>
            </w:r>
          </w:p>
        </w:tc>
        <w:tc>
          <w:tcPr>
            <w:tcW w:w="4820" w:type="dxa"/>
            <w:tcBorders>
              <w:top w:val="single" w:color="auto" w:sz="6" w:space="0"/>
              <w:bottom w:val="single" w:color="auto" w:sz="6" w:space="0"/>
            </w:tcBorders>
            <w:vAlign w:val="center"/>
          </w:tcPr>
          <w:p w14:paraId="2701A08D">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w:t>
            </w:r>
          </w:p>
        </w:tc>
      </w:tr>
      <w:tr w14:paraId="3F6D1F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vAlign w:val="center"/>
          </w:tcPr>
          <w:p w14:paraId="2F3175D7">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第5.2（2）</w:t>
            </w:r>
            <w:r>
              <w:rPr>
                <w:rFonts w:hint="eastAsia" w:ascii="仿宋" w:hAnsi="仿宋" w:eastAsia="仿宋_GB2312" w:cs="仿宋"/>
                <w:color w:val="auto"/>
                <w:kern w:val="0"/>
                <w:szCs w:val="21"/>
                <w:highlight w:val="none"/>
                <w:lang w:val="zh-CN"/>
              </w:rPr>
              <w:t>项</w:t>
            </w:r>
          </w:p>
        </w:tc>
        <w:tc>
          <w:tcPr>
            <w:tcW w:w="2268" w:type="dxa"/>
            <w:gridSpan w:val="2"/>
            <w:tcBorders>
              <w:top w:val="single" w:color="auto" w:sz="6" w:space="0"/>
              <w:bottom w:val="single" w:color="auto" w:sz="6" w:space="0"/>
            </w:tcBorders>
            <w:vAlign w:val="center"/>
          </w:tcPr>
          <w:p w14:paraId="5B883300">
            <w:pPr>
              <w:pageBreakBefore w:val="0"/>
              <w:kinsoku/>
              <w:overflowPunct/>
              <w:topLinePunct w:val="0"/>
              <w:bidi w:val="0"/>
              <w:adjustRightInd w:val="0"/>
              <w:snapToGrid w:val="0"/>
              <w:spacing w:line="400" w:lineRule="exact"/>
              <w:jc w:val="center"/>
              <w:rPr>
                <w:rFonts w:hint="eastAsia" w:ascii="仿宋" w:hAnsi="仿宋" w:eastAsia="仿宋" w:cs="仿宋"/>
                <w:bCs/>
                <w:color w:val="auto"/>
                <w:szCs w:val="21"/>
                <w:highlight w:val="none"/>
              </w:rPr>
            </w:pPr>
            <w:r>
              <w:rPr>
                <w:rFonts w:hint="eastAsia" w:ascii="仿宋" w:hAnsi="仿宋" w:eastAsia="仿宋_GB2312" w:cs="仿宋"/>
                <w:bCs/>
                <w:color w:val="auto"/>
                <w:szCs w:val="21"/>
                <w:highlight w:val="none"/>
              </w:rPr>
              <w:t>相同品牌产品评审得分相同的规定</w:t>
            </w:r>
          </w:p>
        </w:tc>
        <w:tc>
          <w:tcPr>
            <w:tcW w:w="4820" w:type="dxa"/>
            <w:tcBorders>
              <w:top w:val="single" w:color="auto" w:sz="6" w:space="0"/>
              <w:bottom w:val="single" w:color="auto" w:sz="6" w:space="0"/>
            </w:tcBorders>
            <w:vAlign w:val="center"/>
          </w:tcPr>
          <w:p w14:paraId="56465B3A">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w:t>
            </w:r>
          </w:p>
        </w:tc>
      </w:tr>
      <w:tr w14:paraId="6924D8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trPr>
        <w:tc>
          <w:tcPr>
            <w:tcW w:w="1701" w:type="dxa"/>
            <w:vMerge w:val="restart"/>
            <w:tcBorders>
              <w:top w:val="single" w:color="auto" w:sz="6" w:space="0"/>
              <w:bottom w:val="single" w:color="auto" w:sz="6" w:space="0"/>
              <w:right w:val="single" w:color="auto" w:sz="6" w:space="0"/>
            </w:tcBorders>
            <w:vAlign w:val="center"/>
          </w:tcPr>
          <w:p w14:paraId="76533FEA">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第5.3（2）</w:t>
            </w:r>
            <w:r>
              <w:rPr>
                <w:rFonts w:hint="eastAsia" w:ascii="仿宋" w:hAnsi="仿宋" w:eastAsia="仿宋_GB2312" w:cs="仿宋"/>
                <w:color w:val="auto"/>
                <w:kern w:val="0"/>
                <w:szCs w:val="21"/>
                <w:highlight w:val="none"/>
                <w:lang w:val="zh-CN"/>
              </w:rPr>
              <w:t>项</w:t>
            </w:r>
          </w:p>
        </w:tc>
        <w:tc>
          <w:tcPr>
            <w:tcW w:w="709" w:type="dxa"/>
            <w:vMerge w:val="restart"/>
            <w:tcBorders>
              <w:top w:val="single" w:color="auto" w:sz="6" w:space="0"/>
              <w:left w:val="single" w:color="auto" w:sz="6" w:space="0"/>
              <w:bottom w:val="single" w:color="auto" w:sz="6" w:space="0"/>
              <w:right w:val="single" w:color="auto" w:sz="6" w:space="0"/>
            </w:tcBorders>
            <w:vAlign w:val="center"/>
          </w:tcPr>
          <w:p w14:paraId="1EA522C3">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优先采购</w:t>
            </w:r>
          </w:p>
        </w:tc>
        <w:tc>
          <w:tcPr>
            <w:tcW w:w="1559" w:type="dxa"/>
            <w:vMerge w:val="restart"/>
            <w:tcBorders>
              <w:top w:val="single" w:color="auto" w:sz="6" w:space="0"/>
              <w:left w:val="single" w:color="auto" w:sz="6" w:space="0"/>
              <w:right w:val="single" w:color="auto" w:sz="6" w:space="0"/>
            </w:tcBorders>
            <w:vAlign w:val="center"/>
          </w:tcPr>
          <w:p w14:paraId="61ADE805">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节能产品或环境标志产品</w:t>
            </w:r>
          </w:p>
        </w:tc>
        <w:tc>
          <w:tcPr>
            <w:tcW w:w="4820" w:type="dxa"/>
            <w:tcBorders>
              <w:top w:val="single" w:color="auto" w:sz="6" w:space="0"/>
              <w:left w:val="single" w:color="auto" w:sz="6" w:space="0"/>
              <w:bottom w:val="single" w:color="auto" w:sz="6" w:space="0"/>
            </w:tcBorders>
            <w:vAlign w:val="center"/>
          </w:tcPr>
          <w:p w14:paraId="402500B3">
            <w:pPr>
              <w:pageBreakBefore w:val="0"/>
              <w:kinsoku/>
              <w:overflowPunct/>
              <w:topLinePunct w:val="0"/>
              <w:bidi w:val="0"/>
              <w:adjustRightInd w:val="0"/>
              <w:snapToGrid w:val="0"/>
              <w:spacing w:line="400" w:lineRule="exact"/>
              <w:jc w:val="center"/>
              <w:rPr>
                <w:rFonts w:hint="eastAsia" w:ascii="仿宋" w:hAnsi="仿宋" w:eastAsia="仿宋" w:cs="仿宋"/>
                <w:color w:val="auto"/>
                <w:kern w:val="2"/>
                <w:sz w:val="21"/>
                <w:szCs w:val="24"/>
                <w:highlight w:val="none"/>
                <w:lang w:val="en-US" w:eastAsia="zh-CN" w:bidi="ar-SA"/>
              </w:rPr>
            </w:pPr>
            <w:r>
              <w:rPr>
                <w:rFonts w:hint="eastAsia" w:ascii="仿宋" w:hAnsi="仿宋" w:eastAsia="仿宋_GB2312" w:cs="仿宋"/>
                <w:color w:val="auto"/>
                <w:highlight w:val="none"/>
                <w:lang w:val="en-US" w:eastAsia="zh-CN"/>
              </w:rPr>
              <w:t>/</w:t>
            </w:r>
          </w:p>
        </w:tc>
      </w:tr>
      <w:tr w14:paraId="4A6EDD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vMerge w:val="continue"/>
            <w:tcBorders>
              <w:top w:val="single" w:color="auto" w:sz="6" w:space="0"/>
              <w:bottom w:val="single" w:color="auto" w:sz="6" w:space="0"/>
              <w:right w:val="single" w:color="auto" w:sz="6" w:space="0"/>
            </w:tcBorders>
            <w:vAlign w:val="center"/>
          </w:tcPr>
          <w:p w14:paraId="570C4F96">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4C2CE0E5">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p>
        </w:tc>
        <w:tc>
          <w:tcPr>
            <w:tcW w:w="1559" w:type="dxa"/>
            <w:vMerge w:val="continue"/>
            <w:tcBorders>
              <w:left w:val="single" w:color="auto" w:sz="6" w:space="0"/>
              <w:bottom w:val="single" w:color="auto" w:sz="6" w:space="0"/>
              <w:right w:val="single" w:color="auto" w:sz="6" w:space="0"/>
            </w:tcBorders>
            <w:vAlign w:val="center"/>
          </w:tcPr>
          <w:p w14:paraId="2D095FFE">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p>
        </w:tc>
        <w:tc>
          <w:tcPr>
            <w:tcW w:w="4820" w:type="dxa"/>
            <w:tcBorders>
              <w:top w:val="single" w:color="auto" w:sz="6" w:space="0"/>
              <w:left w:val="single" w:color="auto" w:sz="6" w:space="0"/>
              <w:bottom w:val="single" w:color="auto" w:sz="6" w:space="0"/>
              <w:right w:val="double" w:color="auto" w:sz="4" w:space="0"/>
            </w:tcBorders>
            <w:vAlign w:val="center"/>
          </w:tcPr>
          <w:p w14:paraId="4E9F5ABA">
            <w:pPr>
              <w:pageBreakBefore w:val="0"/>
              <w:kinsoku/>
              <w:overflowPunct/>
              <w:topLinePunct w:val="0"/>
              <w:bidi w:val="0"/>
              <w:adjustRightInd w:val="0"/>
              <w:snapToGrid w:val="0"/>
              <w:spacing w:line="400" w:lineRule="exact"/>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_GB2312" w:cs="仿宋"/>
                <w:color w:val="auto"/>
                <w:szCs w:val="21"/>
                <w:highlight w:val="none"/>
                <w:lang w:val="en-US" w:eastAsia="zh-CN"/>
              </w:rPr>
              <w:t>/</w:t>
            </w:r>
          </w:p>
        </w:tc>
      </w:tr>
      <w:tr w14:paraId="1D177D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vAlign w:val="center"/>
          </w:tcPr>
          <w:p w14:paraId="59C93525">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第6.1</w:t>
            </w:r>
            <w:r>
              <w:rPr>
                <w:rFonts w:hint="eastAsia" w:ascii="仿宋" w:hAnsi="仿宋" w:eastAsia="仿宋_GB2312" w:cs="仿宋"/>
                <w:color w:val="auto"/>
                <w:kern w:val="0"/>
                <w:szCs w:val="21"/>
                <w:highlight w:val="none"/>
                <w:lang w:val="zh-CN"/>
              </w:rPr>
              <w:t>款</w:t>
            </w:r>
          </w:p>
        </w:tc>
        <w:tc>
          <w:tcPr>
            <w:tcW w:w="2268" w:type="dxa"/>
            <w:gridSpan w:val="2"/>
            <w:tcBorders>
              <w:top w:val="single" w:color="auto" w:sz="6" w:space="0"/>
              <w:bottom w:val="single" w:color="auto" w:sz="6" w:space="0"/>
              <w:right w:val="single" w:color="auto" w:sz="6" w:space="0"/>
            </w:tcBorders>
            <w:vAlign w:val="center"/>
          </w:tcPr>
          <w:p w14:paraId="5BF58D06">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中标候选人并列的确定中标人的方式</w:t>
            </w:r>
          </w:p>
        </w:tc>
        <w:tc>
          <w:tcPr>
            <w:tcW w:w="4820" w:type="dxa"/>
            <w:tcBorders>
              <w:top w:val="single" w:color="auto" w:sz="6" w:space="0"/>
              <w:left w:val="single" w:color="auto" w:sz="6" w:space="0"/>
              <w:bottom w:val="single" w:color="auto" w:sz="6" w:space="0"/>
              <w:right w:val="double" w:color="auto" w:sz="4" w:space="0"/>
            </w:tcBorders>
            <w:vAlign w:val="center"/>
          </w:tcPr>
          <w:p w14:paraId="13159F39">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w:t>
            </w:r>
          </w:p>
        </w:tc>
      </w:tr>
      <w:tr w14:paraId="56BCD7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7" w:hRule="atLeast"/>
        </w:trPr>
        <w:tc>
          <w:tcPr>
            <w:tcW w:w="1701" w:type="dxa"/>
            <w:tcBorders>
              <w:top w:val="single" w:color="auto" w:sz="6" w:space="0"/>
              <w:bottom w:val="double" w:color="auto" w:sz="4" w:space="0"/>
            </w:tcBorders>
            <w:vAlign w:val="center"/>
          </w:tcPr>
          <w:p w14:paraId="79AC586A">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第6.2</w:t>
            </w:r>
            <w:r>
              <w:rPr>
                <w:rFonts w:hint="eastAsia" w:ascii="仿宋" w:hAnsi="仿宋" w:eastAsia="仿宋_GB2312" w:cs="仿宋"/>
                <w:color w:val="auto"/>
                <w:kern w:val="0"/>
                <w:szCs w:val="21"/>
                <w:highlight w:val="none"/>
                <w:lang w:val="zh-CN"/>
              </w:rPr>
              <w:t>款</w:t>
            </w:r>
          </w:p>
        </w:tc>
        <w:tc>
          <w:tcPr>
            <w:tcW w:w="2268" w:type="dxa"/>
            <w:gridSpan w:val="2"/>
            <w:tcBorders>
              <w:top w:val="single" w:color="auto" w:sz="6" w:space="0"/>
              <w:bottom w:val="double" w:color="auto" w:sz="4" w:space="0"/>
              <w:right w:val="single" w:color="auto" w:sz="6" w:space="0"/>
            </w:tcBorders>
            <w:vAlign w:val="center"/>
          </w:tcPr>
          <w:p w14:paraId="668C722D">
            <w:pPr>
              <w:pageBreakBefore w:val="0"/>
              <w:kinsoku/>
              <w:overflowPunct/>
              <w:topLinePunct w:val="0"/>
              <w:bidi w:val="0"/>
              <w:adjustRightInd w:val="0"/>
              <w:snapToGrid w:val="0"/>
              <w:spacing w:line="400" w:lineRule="exact"/>
              <w:jc w:val="center"/>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中标候选人并列的确定中标人的方式</w:t>
            </w:r>
          </w:p>
        </w:tc>
        <w:tc>
          <w:tcPr>
            <w:tcW w:w="4820" w:type="dxa"/>
            <w:tcBorders>
              <w:top w:val="single" w:color="auto" w:sz="6" w:space="0"/>
              <w:left w:val="single" w:color="auto" w:sz="6" w:space="0"/>
              <w:bottom w:val="double" w:color="auto" w:sz="4" w:space="0"/>
              <w:right w:val="double" w:color="auto" w:sz="4" w:space="0"/>
            </w:tcBorders>
            <w:vAlign w:val="center"/>
          </w:tcPr>
          <w:p w14:paraId="7F644C52">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评审得分相同的，报价最低的获得中标候选人推荐资格。报价且评审得分相同的，由评标委员会随机抽取方式确定。</w:t>
            </w:r>
          </w:p>
        </w:tc>
      </w:tr>
    </w:tbl>
    <w:p w14:paraId="789CAA4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
          <w:color w:val="auto"/>
          <w:sz w:val="28"/>
          <w:szCs w:val="28"/>
          <w:highlight w:val="none"/>
        </w:rPr>
      </w:pPr>
      <w:r>
        <w:rPr>
          <w:rFonts w:hint="eastAsia" w:ascii="仿宋" w:hAnsi="仿宋" w:eastAsia="仿宋_GB2312" w:cs="仿宋"/>
          <w:color w:val="auto"/>
          <w:highlight w:val="none"/>
        </w:rPr>
        <w:br w:type="page"/>
      </w:r>
    </w:p>
    <w:p w14:paraId="748A6422">
      <w:pPr>
        <w:pStyle w:val="3"/>
        <w:keepNext w:val="0"/>
        <w:keepLines w:val="0"/>
        <w:pageBreakBefore w:val="0"/>
        <w:kinsoku/>
        <w:overflowPunct/>
        <w:topLinePunct w:val="0"/>
        <w:bidi w:val="0"/>
        <w:adjustRightInd w:val="0"/>
        <w:snapToGrid w:val="0"/>
        <w:spacing w:line="400" w:lineRule="exact"/>
        <w:jc w:val="center"/>
        <w:rPr>
          <w:rFonts w:hint="eastAsia" w:ascii="仿宋" w:hAnsi="仿宋" w:eastAsia="仿宋_GB2312" w:cs="仿宋"/>
          <w:color w:val="auto"/>
          <w:sz w:val="28"/>
          <w:szCs w:val="28"/>
          <w:highlight w:val="none"/>
        </w:rPr>
      </w:pPr>
      <w:bookmarkStart w:id="28" w:name="_Toc8396"/>
      <w:r>
        <w:rPr>
          <w:rFonts w:hint="eastAsia" w:ascii="仿宋" w:hAnsi="仿宋" w:eastAsia="仿宋_GB2312" w:cs="仿宋"/>
          <w:color w:val="auto"/>
          <w:sz w:val="28"/>
          <w:szCs w:val="28"/>
          <w:highlight w:val="none"/>
        </w:rPr>
        <w:t>第二节 评标方法及标准</w:t>
      </w:r>
      <w:bookmarkEnd w:id="28"/>
    </w:p>
    <w:p w14:paraId="2C5E5DF9">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1．评标方法</w:t>
      </w:r>
    </w:p>
    <w:p w14:paraId="0DF161D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1.1综合评分法，指投标文件满足招标文件全部实质性要求，且按照评审因素的量化指标评审得分最高的投标人为中标候选人的评标方法。</w:t>
      </w:r>
    </w:p>
    <w:p w14:paraId="51EC968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1.2最低评标价，是指投标文件满足招标文件全部实质性要求，且投标报价最低的投标人为中标候选人的评标方法。</w:t>
      </w:r>
    </w:p>
    <w:p w14:paraId="7BABC3F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1.3本采购项目评标方法见本章第一节“评标规范前附表”（以下简称</w:t>
      </w:r>
      <w:r>
        <w:rPr>
          <w:rFonts w:hint="eastAsia" w:ascii="仿宋" w:hAnsi="仿宋" w:eastAsia="仿宋_GB2312" w:cs="仿宋"/>
          <w:b/>
          <w:color w:val="auto"/>
          <w:szCs w:val="21"/>
          <w:highlight w:val="none"/>
        </w:rPr>
        <w:t>【评标方法及标准前附表】）</w:t>
      </w:r>
      <w:r>
        <w:rPr>
          <w:rFonts w:hint="eastAsia" w:ascii="仿宋" w:hAnsi="仿宋" w:eastAsia="仿宋_GB2312" w:cs="仿宋"/>
          <w:color w:val="auto"/>
          <w:szCs w:val="21"/>
          <w:highlight w:val="none"/>
        </w:rPr>
        <w:t>。</w:t>
      </w:r>
    </w:p>
    <w:p w14:paraId="1F65A8E5">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2．评标程序</w:t>
      </w:r>
    </w:p>
    <w:p w14:paraId="5D3E54EA">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2.1评标程序分为投标文件符合性审查、澄清有关问题、比较和评价、推荐中标候选人。</w:t>
      </w:r>
    </w:p>
    <w:p w14:paraId="20F5C7E1">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3．投标文件的符合性审查</w:t>
      </w:r>
    </w:p>
    <w:p w14:paraId="0AC4BBF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3.1资格审查结束后，评标委员会依法按照本章第三节“投标文件的符合性审查”规定进行投标文件符合性。</w:t>
      </w:r>
    </w:p>
    <w:p w14:paraId="7507D1D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3.2符合性审查合格投标人少于3家的，应予废标。</w:t>
      </w:r>
    </w:p>
    <w:p w14:paraId="7966A53B">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3.3单一产品采购项目：提供相同品牌产品的不同投标人参加同一合同项下投标的，按一家投标人计算。提供不同品牌产品的投标人不足三家的，应予废标。</w:t>
      </w:r>
    </w:p>
    <w:p w14:paraId="4992BD7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3.4非单一产品采购项目：采购人或者采购代理机构将在</w:t>
      </w:r>
      <w:r>
        <w:rPr>
          <w:rFonts w:hint="eastAsia" w:ascii="仿宋" w:hAnsi="仿宋" w:eastAsia="仿宋_GB2312" w:cs="仿宋"/>
          <w:b/>
          <w:color w:val="auto"/>
          <w:szCs w:val="21"/>
          <w:highlight w:val="none"/>
        </w:rPr>
        <w:t>【评标方法及标准前附表】</w:t>
      </w:r>
      <w:r>
        <w:rPr>
          <w:rFonts w:hint="eastAsia" w:ascii="仿宋" w:hAnsi="仿宋" w:eastAsia="仿宋_GB2312" w:cs="仿宋"/>
          <w:color w:val="auto"/>
          <w:szCs w:val="21"/>
          <w:highlight w:val="none"/>
        </w:rPr>
        <w:t>中载明核心产品。多家投标人提供的核心产品品牌相同的，视为相同品牌，按本章本节第3.3款规定处理。</w:t>
      </w:r>
    </w:p>
    <w:p w14:paraId="5E95F7F2">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4．投标文件的澄清</w:t>
      </w:r>
    </w:p>
    <w:p w14:paraId="543ED09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4.1对于投标文件中含义不明确、同类问题表述不一致或者有明显文字和计算错误的内容，评标委员会应当以书面形式要求投标人作出必要的澄清、说明或者补正。</w:t>
      </w:r>
    </w:p>
    <w:p w14:paraId="5E8BA54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4.2投标文件的投标报价出现前后不一致的，除</w:t>
      </w:r>
      <w:r>
        <w:rPr>
          <w:rFonts w:hint="eastAsia" w:ascii="仿宋" w:hAnsi="仿宋" w:eastAsia="仿宋_GB2312" w:cs="仿宋"/>
          <w:b/>
          <w:color w:val="auto"/>
          <w:szCs w:val="21"/>
          <w:highlight w:val="none"/>
        </w:rPr>
        <w:t>【评标方法及标准前附表】</w:t>
      </w:r>
      <w:r>
        <w:rPr>
          <w:rFonts w:hint="eastAsia" w:ascii="仿宋" w:hAnsi="仿宋" w:eastAsia="仿宋_GB2312" w:cs="仿宋"/>
          <w:color w:val="auto"/>
          <w:szCs w:val="21"/>
          <w:highlight w:val="none"/>
        </w:rPr>
        <w:t>另有规定外，按照下列规定修正：</w:t>
      </w:r>
    </w:p>
    <w:p w14:paraId="5CA771E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（1）投标文件中开标一览表内容与投标文件中相应内容不一致的，以开标一览表为准；</w:t>
      </w:r>
    </w:p>
    <w:p w14:paraId="0CA473C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（2）大写金额和小写金额不一致的，以大写金额为准；</w:t>
      </w:r>
    </w:p>
    <w:p w14:paraId="5024D19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（3）单价金额小数点或者百分比有明显错位的，以开标一览表的总价为准，并修改单价；</w:t>
      </w:r>
    </w:p>
    <w:p w14:paraId="05AEB06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（4）总价金额与按单价汇总金额不一致的，以单价金额计算结果为准。</w:t>
      </w:r>
    </w:p>
    <w:p w14:paraId="6C0425B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4.3投标文件报价同时出现两种以上不一致的，按照前款规定的顺序修正。修正后的报价由投标人代表签字或者加盖单位章确认后产生约束力，投标人不确认的，其投标无效。</w:t>
      </w:r>
    </w:p>
    <w:p w14:paraId="31E788C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6883F21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4.5有效的书面澄清材料，是投标文件的补充材料，成为投标文件的组成部分。</w:t>
      </w:r>
    </w:p>
    <w:p w14:paraId="2929473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4.6评标委员会认为投标人的报价明显低于其他通过符合性审查投标人的报价，有可能影响产品质量或者不能诚信履约的，应当要求其在评标现场合理的时间内提供</w:t>
      </w:r>
      <w:r>
        <w:rPr>
          <w:rFonts w:hint="eastAsia" w:ascii="仿宋" w:hAnsi="仿宋" w:eastAsia="仿宋_GB2312" w:cs="仿宋"/>
          <w:color w:val="auto"/>
          <w:szCs w:val="21"/>
          <w:highlight w:val="none"/>
          <w:lang w:eastAsia="zh-CN"/>
        </w:rPr>
        <w:t>数据电文</w:t>
      </w:r>
      <w:r>
        <w:rPr>
          <w:rFonts w:hint="eastAsia" w:ascii="仿宋" w:hAnsi="仿宋" w:eastAsia="仿宋_GB2312" w:cs="仿宋"/>
          <w:color w:val="auto"/>
          <w:szCs w:val="21"/>
          <w:highlight w:val="none"/>
        </w:rPr>
        <w:t>说明，必要时提交相关证明材料</w:t>
      </w:r>
      <w:r>
        <w:rPr>
          <w:rFonts w:hint="eastAsia" w:ascii="仿宋" w:hAnsi="仿宋" w:eastAsia="仿宋_GB2312" w:cs="仿宋"/>
          <w:color w:val="auto"/>
          <w:szCs w:val="21"/>
          <w:highlight w:val="none"/>
          <w:lang w:eastAsia="zh-CN"/>
        </w:rPr>
        <w:t>（提交电子扫描件）</w:t>
      </w:r>
      <w:r>
        <w:rPr>
          <w:rFonts w:hint="eastAsia" w:ascii="仿宋" w:hAnsi="仿宋" w:eastAsia="仿宋_GB2312" w:cs="仿宋"/>
          <w:color w:val="auto"/>
          <w:szCs w:val="21"/>
          <w:highlight w:val="none"/>
        </w:rPr>
        <w:t>；投标人不能证明其报价合理性的，评标委员会应当将其作为投标无效处理。</w:t>
      </w:r>
    </w:p>
    <w:p w14:paraId="209B06AB">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5．投标文件的比较与评价</w:t>
      </w:r>
    </w:p>
    <w:p w14:paraId="5140A9F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5.1评标委员会依法按照本章第三节“投标文件的比较与评价”规定，对资格性检查和符合性检查合格的投标文件进行比较和评价。</w:t>
      </w:r>
    </w:p>
    <w:p w14:paraId="7A95885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5.2单一产品采购项目：</w:t>
      </w:r>
    </w:p>
    <w:p w14:paraId="1B17C5C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color w:val="auto"/>
          <w:szCs w:val="21"/>
          <w:highlight w:val="none"/>
        </w:rPr>
        <w:t>（1）最低评标价法：</w:t>
      </w:r>
      <w:r>
        <w:rPr>
          <w:rFonts w:hint="eastAsia" w:ascii="仿宋" w:hAnsi="仿宋" w:eastAsia="仿宋_GB2312" w:cs="仿宋"/>
          <w:bCs/>
          <w:color w:val="auto"/>
          <w:szCs w:val="21"/>
          <w:highlight w:val="none"/>
        </w:rPr>
        <w:t>提供相同品牌产品的不同投标人参加同一合同项下投标的，以其中通过资格审查、符合性审查且报价最低的参加评标，其他投标无效；报价相同的，按照</w:t>
      </w:r>
      <w:r>
        <w:rPr>
          <w:rFonts w:hint="eastAsia" w:ascii="仿宋" w:hAnsi="仿宋" w:eastAsia="仿宋_GB2312" w:cs="仿宋"/>
          <w:b/>
          <w:bCs/>
          <w:color w:val="auto"/>
          <w:szCs w:val="21"/>
          <w:highlight w:val="none"/>
        </w:rPr>
        <w:t>【评标方法及标准前附表】</w:t>
      </w:r>
      <w:r>
        <w:rPr>
          <w:rFonts w:hint="eastAsia" w:ascii="仿宋" w:hAnsi="仿宋" w:eastAsia="仿宋_GB2312" w:cs="仿宋"/>
          <w:bCs/>
          <w:color w:val="auto"/>
          <w:szCs w:val="21"/>
          <w:highlight w:val="none"/>
        </w:rPr>
        <w:t>规定的方式确定一个参加评标的投标人，招标文件未规定的采取随机抽取方式确定，其他</w:t>
      </w:r>
      <w:r>
        <w:rPr>
          <w:rFonts w:hint="eastAsia" w:ascii="仿宋" w:hAnsi="仿宋" w:eastAsia="仿宋_GB2312" w:cs="仿宋"/>
          <w:b/>
          <w:bCs/>
          <w:color w:val="auto"/>
          <w:szCs w:val="21"/>
          <w:highlight w:val="none"/>
        </w:rPr>
        <w:t>投标无效</w:t>
      </w:r>
      <w:r>
        <w:rPr>
          <w:rFonts w:hint="eastAsia" w:ascii="仿宋" w:hAnsi="仿宋" w:eastAsia="仿宋_GB2312" w:cs="仿宋"/>
          <w:bCs/>
          <w:color w:val="auto"/>
          <w:szCs w:val="21"/>
          <w:highlight w:val="none"/>
        </w:rPr>
        <w:t>。</w:t>
      </w:r>
    </w:p>
    <w:p w14:paraId="3B9E99D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（2）综合评分法：提供相同品牌产品且通过资格审查、符合性审查的不同投标人参加同一合同项下投标的，评审后得分最高的同品牌投标人获得中标人推荐资格；评审得分相同的，按照</w:t>
      </w:r>
      <w:r>
        <w:rPr>
          <w:rFonts w:hint="eastAsia" w:ascii="仿宋" w:hAnsi="仿宋" w:eastAsia="仿宋_GB2312" w:cs="仿宋"/>
          <w:b/>
          <w:color w:val="auto"/>
          <w:szCs w:val="21"/>
          <w:highlight w:val="none"/>
        </w:rPr>
        <w:t>【评标方法及标准前附表】</w:t>
      </w:r>
      <w:r>
        <w:rPr>
          <w:rFonts w:hint="eastAsia" w:ascii="仿宋" w:hAnsi="仿宋" w:eastAsia="仿宋_GB2312" w:cs="仿宋"/>
          <w:color w:val="auto"/>
          <w:szCs w:val="21"/>
          <w:highlight w:val="none"/>
        </w:rPr>
        <w:t>规定的方式确定一个投标人获得中标人推荐资格，招标文件未规定的采取随机抽取方式确定，其他同品牌投标人</w:t>
      </w:r>
      <w:r>
        <w:rPr>
          <w:rFonts w:hint="eastAsia" w:ascii="仿宋" w:hAnsi="仿宋" w:eastAsia="仿宋_GB2312" w:cs="仿宋"/>
          <w:b/>
          <w:color w:val="auto"/>
          <w:szCs w:val="21"/>
          <w:highlight w:val="none"/>
        </w:rPr>
        <w:t>不作为中标候选人</w:t>
      </w:r>
      <w:r>
        <w:rPr>
          <w:rFonts w:hint="eastAsia" w:ascii="仿宋" w:hAnsi="仿宋" w:eastAsia="仿宋_GB2312" w:cs="仿宋"/>
          <w:color w:val="auto"/>
          <w:szCs w:val="21"/>
          <w:highlight w:val="none"/>
        </w:rPr>
        <w:t>。</w:t>
      </w:r>
    </w:p>
    <w:p w14:paraId="4088EC5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（3）非单一产品采购项目：多家投标人提供的核心产品品牌相同的，视为相同品牌，按本章本节第 5.2（1）、5.2（2） 款规定处理。</w:t>
      </w:r>
    </w:p>
    <w:p w14:paraId="5E4B698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5.3政府采购政策：</w:t>
      </w:r>
    </w:p>
    <w:p w14:paraId="734C5CE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color w:val="auto"/>
          <w:szCs w:val="21"/>
          <w:highlight w:val="none"/>
        </w:rPr>
        <w:t>（1）</w:t>
      </w:r>
      <w:r>
        <w:rPr>
          <w:rFonts w:hint="eastAsia" w:ascii="仿宋" w:hAnsi="仿宋" w:eastAsia="仿宋_GB2312" w:cs="仿宋"/>
          <w:bCs/>
          <w:color w:val="auto"/>
          <w:szCs w:val="21"/>
          <w:highlight w:val="none"/>
        </w:rPr>
        <w:t>价格评审优惠：</w:t>
      </w:r>
      <w:r>
        <w:rPr>
          <w:rFonts w:hint="eastAsia" w:ascii="仿宋" w:hAnsi="仿宋" w:eastAsia="仿宋_GB2312" w:cs="仿宋"/>
          <w:color w:val="auto"/>
          <w:szCs w:val="21"/>
          <w:highlight w:val="none"/>
        </w:rPr>
        <w:t>按</w:t>
      </w:r>
      <w:r>
        <w:rPr>
          <w:rFonts w:hint="eastAsia" w:ascii="仿宋" w:hAnsi="仿宋" w:eastAsia="仿宋_GB2312" w:cs="仿宋"/>
          <w:b/>
          <w:color w:val="auto"/>
          <w:szCs w:val="21"/>
          <w:highlight w:val="none"/>
        </w:rPr>
        <w:t>【评标方法及标准前附表】</w:t>
      </w:r>
      <w:r>
        <w:rPr>
          <w:rFonts w:hint="eastAsia" w:ascii="仿宋" w:hAnsi="仿宋" w:eastAsia="仿宋_GB2312" w:cs="仿宋"/>
          <w:color w:val="auto"/>
          <w:szCs w:val="21"/>
          <w:highlight w:val="none"/>
        </w:rPr>
        <w:t>及第二章“投标须知”的相关规定给予一定的价格折扣。</w:t>
      </w:r>
    </w:p>
    <w:p w14:paraId="22AFEC67">
      <w:pPr>
        <w:pStyle w:val="16"/>
        <w:pageBreakBefore w:val="0"/>
        <w:kinsoku/>
        <w:overflowPunct/>
        <w:topLinePunct w:val="0"/>
        <w:bidi w:val="0"/>
        <w:spacing w:after="0" w:line="400" w:lineRule="exact"/>
        <w:rPr>
          <w:rFonts w:hint="eastAsia" w:ascii="仿宋" w:hAnsi="仿宋" w:eastAsia="仿宋_GB2312" w:cs="仿宋"/>
          <w:color w:val="auto"/>
          <w:highlight w:val="none"/>
        </w:rPr>
      </w:pPr>
    </w:p>
    <w:p w14:paraId="7160246A">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color w:val="auto"/>
          <w:szCs w:val="21"/>
          <w:highlight w:val="none"/>
        </w:rPr>
        <w:t>（2）优先采购：</w:t>
      </w:r>
      <w:r>
        <w:rPr>
          <w:rFonts w:hint="eastAsia" w:ascii="仿宋" w:hAnsi="仿宋" w:eastAsia="仿宋_GB2312" w:cs="仿宋"/>
          <w:bCs/>
          <w:color w:val="auto"/>
          <w:szCs w:val="21"/>
          <w:highlight w:val="none"/>
        </w:rPr>
        <w:t>评审时按</w:t>
      </w:r>
      <w:r>
        <w:rPr>
          <w:rFonts w:hint="eastAsia" w:ascii="仿宋" w:hAnsi="仿宋" w:eastAsia="仿宋_GB2312" w:cs="仿宋"/>
          <w:b/>
          <w:color w:val="auto"/>
          <w:szCs w:val="21"/>
          <w:highlight w:val="none"/>
        </w:rPr>
        <w:t>【评标方法及标准前附表】</w:t>
      </w:r>
      <w:r>
        <w:rPr>
          <w:rFonts w:hint="eastAsia" w:ascii="仿宋" w:hAnsi="仿宋" w:eastAsia="仿宋_GB2312" w:cs="仿宋"/>
          <w:bCs/>
          <w:color w:val="auto"/>
          <w:szCs w:val="21"/>
          <w:highlight w:val="none"/>
        </w:rPr>
        <w:t>及第二章</w:t>
      </w:r>
      <w:r>
        <w:rPr>
          <w:rFonts w:hint="eastAsia" w:ascii="仿宋" w:hAnsi="仿宋" w:eastAsia="仿宋_GB2312" w:cs="仿宋"/>
          <w:color w:val="auto"/>
          <w:szCs w:val="21"/>
          <w:highlight w:val="none"/>
        </w:rPr>
        <w:t>“投标须知”</w:t>
      </w:r>
      <w:r>
        <w:rPr>
          <w:rFonts w:hint="eastAsia" w:ascii="仿宋" w:hAnsi="仿宋" w:eastAsia="仿宋_GB2312" w:cs="仿宋"/>
          <w:bCs/>
          <w:color w:val="auto"/>
          <w:szCs w:val="21"/>
          <w:highlight w:val="none"/>
        </w:rPr>
        <w:t>的相关规定给予价格折扣或者加分。</w:t>
      </w:r>
    </w:p>
    <w:p w14:paraId="3614D804">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6．推荐中标候选人</w:t>
      </w:r>
    </w:p>
    <w:p w14:paraId="5322497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color w:val="auto"/>
          <w:szCs w:val="21"/>
          <w:highlight w:val="none"/>
        </w:rPr>
        <w:t>6.1最低评标价法：</w:t>
      </w:r>
      <w:r>
        <w:rPr>
          <w:rFonts w:hint="eastAsia" w:ascii="仿宋" w:hAnsi="仿宋" w:eastAsia="仿宋_GB2312" w:cs="仿宋"/>
          <w:bCs/>
          <w:color w:val="auto"/>
          <w:szCs w:val="21"/>
          <w:highlight w:val="none"/>
        </w:rPr>
        <w:t>评标结果按算术修正和落实政府采购政策需进行的价格扣除后的投标报价由低到高顺序排列。报价相同的并列，按</w:t>
      </w:r>
      <w:r>
        <w:rPr>
          <w:rFonts w:hint="eastAsia" w:ascii="仿宋" w:hAnsi="仿宋" w:eastAsia="仿宋_GB2312" w:cs="仿宋"/>
          <w:b/>
          <w:color w:val="auto"/>
          <w:szCs w:val="21"/>
          <w:highlight w:val="none"/>
        </w:rPr>
        <w:t>【评标方法及标准前附表】</w:t>
      </w:r>
      <w:r>
        <w:rPr>
          <w:rFonts w:hint="eastAsia" w:ascii="仿宋" w:hAnsi="仿宋" w:eastAsia="仿宋_GB2312" w:cs="仿宋"/>
          <w:color w:val="auto"/>
          <w:szCs w:val="21"/>
          <w:highlight w:val="none"/>
        </w:rPr>
        <w:t>规定的方式确定中标人；</w:t>
      </w:r>
      <w:r>
        <w:rPr>
          <w:rFonts w:hint="eastAsia" w:ascii="仿宋" w:hAnsi="仿宋" w:eastAsia="仿宋_GB2312" w:cs="仿宋"/>
          <w:bCs/>
          <w:color w:val="auto"/>
          <w:szCs w:val="21"/>
          <w:highlight w:val="none"/>
        </w:rPr>
        <w:t>招标文件未规定的，采取随机抽取的方式确定。</w:t>
      </w:r>
    </w:p>
    <w:p w14:paraId="1AFCAB1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6.2综合评分法：评标结果按评审后得分由高到低顺序排列。得分相同的，按投标报价由低到高顺序排列。得分且投标报价相同的并列，按</w:t>
      </w:r>
      <w:r>
        <w:rPr>
          <w:rFonts w:hint="eastAsia" w:ascii="仿宋" w:hAnsi="仿宋" w:eastAsia="仿宋_GB2312" w:cs="仿宋"/>
          <w:b/>
          <w:bCs/>
          <w:color w:val="auto"/>
          <w:szCs w:val="21"/>
          <w:highlight w:val="none"/>
        </w:rPr>
        <w:t>【评标方法及标准前附表】</w:t>
      </w:r>
      <w:r>
        <w:rPr>
          <w:rFonts w:hint="eastAsia" w:ascii="仿宋" w:hAnsi="仿宋" w:eastAsia="仿宋_GB2312" w:cs="仿宋"/>
          <w:bCs/>
          <w:color w:val="auto"/>
          <w:szCs w:val="21"/>
          <w:highlight w:val="none"/>
        </w:rPr>
        <w:t>规定的方式确定中标人；招标文件未规定的，采取随机抽取的方式确定。</w:t>
      </w:r>
    </w:p>
    <w:p w14:paraId="4045003B">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7．编写评标报告</w:t>
      </w:r>
    </w:p>
    <w:p w14:paraId="670599CB">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7.1评标</w:t>
      </w:r>
      <w:r>
        <w:rPr>
          <w:rFonts w:hint="eastAsia" w:ascii="仿宋" w:hAnsi="仿宋" w:eastAsia="仿宋_GB2312" w:cs="仿宋"/>
          <w:bCs/>
          <w:color w:val="auto"/>
          <w:szCs w:val="21"/>
          <w:highlight w:val="none"/>
        </w:rPr>
        <w:t>委员会</w:t>
      </w:r>
      <w:r>
        <w:rPr>
          <w:rFonts w:hint="eastAsia" w:ascii="仿宋" w:hAnsi="仿宋" w:eastAsia="仿宋_GB2312" w:cs="仿宋"/>
          <w:color w:val="auto"/>
          <w:szCs w:val="21"/>
          <w:highlight w:val="none"/>
        </w:rPr>
        <w:t>根据全体评标成员签字的原始评标记录和评标结果编写评标报告。</w:t>
      </w:r>
    </w:p>
    <w:p w14:paraId="5BD1C91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color w:val="auto"/>
          <w:szCs w:val="21"/>
          <w:highlight w:val="none"/>
        </w:rPr>
        <w:t>7.2</w:t>
      </w:r>
      <w:r>
        <w:rPr>
          <w:rFonts w:hint="eastAsia" w:ascii="仿宋" w:hAnsi="仿宋" w:eastAsia="仿宋_GB2312" w:cs="仿宋"/>
          <w:bCs/>
          <w:color w:val="auto"/>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0E9F8EEE">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8．评标报告复核</w:t>
      </w:r>
    </w:p>
    <w:p w14:paraId="1DD3BE5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8.1汇总结束后，评标委员会应当进行复核，特别要对拟推荐为中标候选供应商的、报价最低的、投标文件被认定为无效的进行重点复核。</w:t>
      </w:r>
    </w:p>
    <w:p w14:paraId="2E7C60D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8.2汇总完成后，除下列情形外，任何人不得修改评标结果：</w:t>
      </w:r>
    </w:p>
    <w:p w14:paraId="7E834B0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color w:val="auto"/>
          <w:kern w:val="0"/>
          <w:szCs w:val="21"/>
          <w:highlight w:val="none"/>
        </w:rPr>
        <w:t>（1）分值汇总计算错误的；</w:t>
      </w:r>
    </w:p>
    <w:p w14:paraId="38C8753B">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color w:val="auto"/>
          <w:kern w:val="0"/>
          <w:szCs w:val="21"/>
          <w:highlight w:val="none"/>
        </w:rPr>
        <w:t>（2）分项评分超出评分标准范围的；</w:t>
      </w:r>
    </w:p>
    <w:p w14:paraId="1ADB27F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color w:val="auto"/>
          <w:kern w:val="0"/>
          <w:szCs w:val="21"/>
          <w:highlight w:val="none"/>
        </w:rPr>
        <w:t>（3）评标委员会成员对客观评审因素评分不一致的；</w:t>
      </w:r>
    </w:p>
    <w:p w14:paraId="398022E2">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color w:val="auto"/>
          <w:kern w:val="0"/>
          <w:szCs w:val="21"/>
          <w:highlight w:val="none"/>
        </w:rPr>
        <w:t>（4）经评标委员会认定评分畸高、畸低的。</w:t>
      </w:r>
    </w:p>
    <w:p w14:paraId="5A8E126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
          <w:bCs/>
          <w:color w:val="auto"/>
          <w:szCs w:val="21"/>
          <w:highlight w:val="none"/>
        </w:rPr>
      </w:pPr>
      <w:r>
        <w:rPr>
          <w:rFonts w:hint="eastAsia" w:ascii="仿宋" w:hAnsi="仿宋" w:eastAsia="仿宋_GB2312" w:cs="仿宋"/>
          <w:bCs/>
          <w:color w:val="auto"/>
          <w:szCs w:val="21"/>
          <w:highlight w:val="none"/>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0249C5A8">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sz w:val="24"/>
          <w:highlight w:val="none"/>
        </w:rPr>
        <w:t>9．停止评标</w:t>
      </w:r>
    </w:p>
    <w:p w14:paraId="4020CB6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bCs/>
          <w:color w:val="auto"/>
          <w:szCs w:val="21"/>
          <w:highlight w:val="none"/>
        </w:rPr>
        <w:t>9.1</w:t>
      </w:r>
      <w:r>
        <w:rPr>
          <w:rFonts w:hint="eastAsia" w:ascii="仿宋" w:hAnsi="仿宋" w:eastAsia="仿宋_GB2312" w:cs="仿宋"/>
          <w:color w:val="auto"/>
          <w:kern w:val="0"/>
          <w:szCs w:val="21"/>
          <w:highlight w:val="none"/>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14:paraId="1026B9E0">
      <w:pPr>
        <w:pageBreakBefore w:val="0"/>
        <w:kinsoku/>
        <w:overflowPunct/>
        <w:topLinePunct w:val="0"/>
        <w:bidi w:val="0"/>
        <w:adjustRightInd w:val="0"/>
        <w:snapToGrid w:val="0"/>
        <w:spacing w:line="400" w:lineRule="exact"/>
        <w:rPr>
          <w:rFonts w:hint="eastAsia" w:ascii="仿宋" w:hAnsi="仿宋" w:eastAsia="仿宋_GB2312" w:cs="仿宋"/>
          <w:color w:val="auto"/>
          <w:kern w:val="0"/>
          <w:sz w:val="24"/>
          <w:highlight w:val="none"/>
        </w:rPr>
      </w:pPr>
      <w:r>
        <w:rPr>
          <w:rFonts w:hint="eastAsia" w:ascii="仿宋" w:hAnsi="仿宋" w:eastAsia="仿宋_GB2312" w:cs="仿宋"/>
          <w:color w:val="auto"/>
          <w:sz w:val="24"/>
          <w:highlight w:val="none"/>
        </w:rPr>
        <w:t>10．</w:t>
      </w:r>
      <w:r>
        <w:rPr>
          <w:rFonts w:hint="eastAsia" w:ascii="仿宋" w:hAnsi="仿宋" w:eastAsia="仿宋_GB2312" w:cs="仿宋"/>
          <w:color w:val="auto"/>
          <w:kern w:val="0"/>
          <w:sz w:val="24"/>
          <w:highlight w:val="none"/>
        </w:rPr>
        <w:t>废标</w:t>
      </w:r>
    </w:p>
    <w:p w14:paraId="71A23E3E">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10.1 根据有关法律法规和招标文件的有关规定，如出现下列情况之一的，应予以废标：</w:t>
      </w:r>
    </w:p>
    <w:p w14:paraId="0FDF6BC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（1）符合专业条件的投标人或者对招标文件作实质响应的投标人不足三家的；</w:t>
      </w:r>
    </w:p>
    <w:p w14:paraId="5952067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（2）出现影响采购公正的违法、违规行为的；</w:t>
      </w:r>
    </w:p>
    <w:p w14:paraId="775A5CF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（3）投标人的报价均超过招标人项目采购预算，招标人不能支付的；</w:t>
      </w:r>
    </w:p>
    <w:p w14:paraId="7DF62A5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（4）因重大变故，采购任务取消的。</w:t>
      </w:r>
    </w:p>
    <w:p w14:paraId="58BD0602">
      <w:pPr>
        <w:pageBreakBefore w:val="0"/>
        <w:kinsoku/>
        <w:overflowPunct/>
        <w:topLinePunct w:val="0"/>
        <w:bidi w:val="0"/>
        <w:adjustRightInd w:val="0"/>
        <w:snapToGrid w:val="0"/>
        <w:spacing w:line="400" w:lineRule="exact"/>
        <w:rPr>
          <w:rFonts w:hint="eastAsia" w:ascii="仿宋" w:hAnsi="仿宋" w:eastAsia="仿宋_GB2312" w:cs="仿宋"/>
          <w:color w:val="auto"/>
          <w:sz w:val="24"/>
          <w:highlight w:val="none"/>
        </w:rPr>
      </w:pPr>
      <w:r>
        <w:rPr>
          <w:rFonts w:hint="eastAsia" w:ascii="仿宋" w:hAnsi="仿宋" w:eastAsia="仿宋_GB2312" w:cs="仿宋"/>
          <w:color w:val="auto"/>
          <w:kern w:val="0"/>
          <w:sz w:val="24"/>
          <w:highlight w:val="none"/>
        </w:rPr>
        <w:t>11．重新组建评标委员会进行评标</w:t>
      </w:r>
    </w:p>
    <w:p w14:paraId="36BDB54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11.1评标委员会或者其成员存在下列情形导致评标结果无效的，采购人、采购代理机构可以重新组建评标委员会进行评标，并书面报告本级财政部门，但采购合同已经履行的除外：</w:t>
      </w:r>
    </w:p>
    <w:p w14:paraId="4F9CC88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（1）评标委员会组成不符合《政府采购货物和服务招标投标管理办法》规定的；</w:t>
      </w:r>
    </w:p>
    <w:p w14:paraId="7E536B7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（2）有《政府采购货物和服务招标投标管理办法》第六十二条第一至五项情形的；</w:t>
      </w:r>
    </w:p>
    <w:p w14:paraId="30171DE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（3）评标委员会及其成员独立评标受到非法干预的；</w:t>
      </w:r>
    </w:p>
    <w:p w14:paraId="2C41081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（4）有政府采购法实施条例第七十五条规定的违法行为的。</w:t>
      </w:r>
    </w:p>
    <w:p w14:paraId="47A7678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
          <w:color w:val="auto"/>
          <w:sz w:val="32"/>
          <w:szCs w:val="32"/>
          <w:highlight w:val="none"/>
        </w:rPr>
      </w:pPr>
      <w:r>
        <w:rPr>
          <w:rFonts w:hint="eastAsia" w:ascii="仿宋" w:hAnsi="仿宋" w:eastAsia="仿宋_GB2312" w:cs="仿宋"/>
          <w:color w:val="auto"/>
          <w:szCs w:val="21"/>
          <w:highlight w:val="none"/>
        </w:rPr>
        <w:t>11.2有违法违规行为的原评标委员会成员不得参加重新组建的评标委员会。</w:t>
      </w:r>
      <w:r>
        <w:rPr>
          <w:rFonts w:hint="eastAsia" w:ascii="仿宋" w:hAnsi="仿宋" w:eastAsia="仿宋_GB2312" w:cs="仿宋"/>
          <w:b/>
          <w:color w:val="auto"/>
          <w:sz w:val="32"/>
          <w:szCs w:val="32"/>
          <w:highlight w:val="none"/>
        </w:rPr>
        <w:br w:type="page"/>
      </w:r>
    </w:p>
    <w:p w14:paraId="6B501067">
      <w:pPr>
        <w:pStyle w:val="3"/>
        <w:pageBreakBefore w:val="0"/>
        <w:kinsoku/>
        <w:overflowPunct/>
        <w:topLinePunct w:val="0"/>
        <w:bidi w:val="0"/>
        <w:adjustRightInd w:val="0"/>
        <w:snapToGrid w:val="0"/>
        <w:spacing w:line="400" w:lineRule="exact"/>
        <w:jc w:val="center"/>
        <w:rPr>
          <w:rFonts w:hint="eastAsia" w:ascii="仿宋" w:hAnsi="仿宋" w:eastAsia="仿宋_GB2312" w:cs="仿宋"/>
          <w:color w:val="auto"/>
          <w:sz w:val="28"/>
          <w:szCs w:val="28"/>
          <w:highlight w:val="none"/>
        </w:rPr>
      </w:pPr>
      <w:bookmarkStart w:id="29" w:name="_Toc20480"/>
      <w:r>
        <w:rPr>
          <w:rFonts w:hint="eastAsia" w:ascii="仿宋" w:hAnsi="仿宋" w:eastAsia="仿宋_GB2312" w:cs="仿宋"/>
          <w:color w:val="auto"/>
          <w:sz w:val="28"/>
          <w:szCs w:val="28"/>
          <w:highlight w:val="none"/>
        </w:rPr>
        <w:t>第三节 投标文件的符合性审查</w:t>
      </w:r>
      <w:bookmarkEnd w:id="29"/>
    </w:p>
    <w:p w14:paraId="45182FED">
      <w:pPr>
        <w:pageBreakBefore w:val="0"/>
        <w:kinsoku/>
        <w:overflowPunct/>
        <w:topLinePunct w:val="0"/>
        <w:bidi w:val="0"/>
        <w:adjustRightInd w:val="0"/>
        <w:snapToGrid w:val="0"/>
        <w:spacing w:line="400" w:lineRule="exac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t>1.符合性审查</w:t>
      </w:r>
    </w:p>
    <w:p w14:paraId="7E03E635">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r>
        <w:rPr>
          <w:rFonts w:hint="eastAsia" w:ascii="仿宋" w:hAnsi="仿宋" w:eastAsia="仿宋_GB2312" w:cs="仿宋"/>
          <w:color w:val="auto"/>
          <w:highlight w:val="none"/>
        </w:rPr>
        <w:t>1.1</w:t>
      </w:r>
      <w:r>
        <w:rPr>
          <w:rFonts w:hint="eastAsia" w:ascii="仿宋" w:hAnsi="仿宋" w:eastAsia="仿宋_GB2312" w:cs="仿宋"/>
          <w:color w:val="auto"/>
          <w:szCs w:val="21"/>
          <w:highlight w:val="none"/>
        </w:rPr>
        <w:t>评标委员会应按本章本节附表1“符合性审查表”所列审查项目及审查标准，</w:t>
      </w:r>
      <w:r>
        <w:rPr>
          <w:rFonts w:hint="eastAsia" w:ascii="仿宋" w:hAnsi="仿宋" w:eastAsia="仿宋_GB2312" w:cs="仿宋"/>
          <w:color w:val="auto"/>
          <w:highlight w:val="none"/>
        </w:rPr>
        <w:t>对符合资格条件的投标人的投标文件进行符合性审查，以确定其是否满足招标文件的实质性要求。</w:t>
      </w:r>
    </w:p>
    <w:p w14:paraId="73F552C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14:paraId="4A27FE39">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（2）投标人不得通过修正或撤销不合要求的偏离从而使其投标成为实质上响应的投标。</w:t>
      </w:r>
    </w:p>
    <w:p w14:paraId="27D9404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highlight w:val="none"/>
        </w:rPr>
      </w:pPr>
      <w:r>
        <w:rPr>
          <w:rFonts w:hint="eastAsia" w:ascii="仿宋" w:hAnsi="仿宋" w:eastAsia="仿宋_GB2312" w:cs="仿宋"/>
          <w:color w:val="auto"/>
          <w:kern w:val="0"/>
          <w:szCs w:val="21"/>
          <w:highlight w:val="none"/>
        </w:rPr>
        <w:t>1.2</w:t>
      </w:r>
      <w:r>
        <w:rPr>
          <w:rFonts w:hint="eastAsia" w:ascii="仿宋" w:hAnsi="仿宋" w:eastAsia="仿宋_GB2312" w:cs="仿宋"/>
          <w:color w:val="auto"/>
          <w:highlight w:val="none"/>
        </w:rPr>
        <w:t>未通过符合性审查的投标人，其投标将被认定为投标无效，不能进入下一阶段评审。通过符合性审查的投标人数量不足 3 家的，不得作进一步的比较和评价。</w:t>
      </w:r>
    </w:p>
    <w:p w14:paraId="4F0C9A74">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t>2.投标无效</w:t>
      </w:r>
    </w:p>
    <w:p w14:paraId="41BFA5E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2.1投标人存在下列情况之一的，符合性审查不合格，投标无效：</w:t>
      </w:r>
    </w:p>
    <w:p w14:paraId="1BD57C3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（1）投标文件中商务技术文件未按照招标文件规定要求签署、盖章的；</w:t>
      </w:r>
    </w:p>
    <w:p w14:paraId="3D78B03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（2）投标文件没有对招标文件的实质性要求和条件作出响应，或者对招标文件的偏离超出招标文件规定的偏离</w:t>
      </w:r>
      <w:r>
        <w:rPr>
          <w:rFonts w:hint="eastAsia" w:ascii="仿宋" w:hAnsi="仿宋" w:eastAsia="仿宋_GB2312" w:cs="仿宋"/>
          <w:color w:val="auto"/>
          <w:highlight w:val="none"/>
        </w:rPr>
        <w:t>范围和幅度</w:t>
      </w:r>
      <w:r>
        <w:rPr>
          <w:rFonts w:hint="eastAsia" w:ascii="仿宋" w:hAnsi="仿宋" w:eastAsia="仿宋_GB2312" w:cs="仿宋"/>
          <w:color w:val="auto"/>
          <w:szCs w:val="21"/>
          <w:highlight w:val="none"/>
        </w:rPr>
        <w:t>；</w:t>
      </w:r>
    </w:p>
    <w:p w14:paraId="396F37B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（3）投标有效期不足的；</w:t>
      </w:r>
    </w:p>
    <w:p w14:paraId="070F64D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（4）投标文件含有采购人不能接受的附加条件的；</w:t>
      </w:r>
    </w:p>
    <w:p w14:paraId="42D48D4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（5）不符合本节第1.1款规定符合性审查标准的；</w:t>
      </w:r>
    </w:p>
    <w:p w14:paraId="0AC1C7C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（6）法律、法规和招标文件规定的其他投标无效情形的。</w:t>
      </w:r>
    </w:p>
    <w:p w14:paraId="0B60E89E">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rPr>
      </w:pPr>
      <w:r>
        <w:rPr>
          <w:rFonts w:hint="eastAsia" w:ascii="仿宋" w:hAnsi="仿宋" w:eastAsia="仿宋_GB2312" w:cs="仿宋"/>
          <w:color w:val="auto"/>
          <w:kern w:val="0"/>
          <w:szCs w:val="21"/>
          <w:highlight w:val="none"/>
        </w:rPr>
        <w:t>2.2在评标过程中发现投标人有不遵循公平竞争的原则，恶意串通，妨碍其他投标人的竞争行为，损害采购人或者其他投标人的合法权益的，评标委员会应当认定其</w:t>
      </w:r>
      <w:r>
        <w:rPr>
          <w:rFonts w:hint="eastAsia" w:ascii="仿宋" w:hAnsi="仿宋" w:eastAsia="仿宋_GB2312" w:cs="仿宋"/>
          <w:b/>
          <w:color w:val="auto"/>
          <w:kern w:val="0"/>
          <w:szCs w:val="21"/>
          <w:highlight w:val="none"/>
        </w:rPr>
        <w:t>投标无效</w:t>
      </w:r>
      <w:r>
        <w:rPr>
          <w:rFonts w:hint="eastAsia" w:ascii="仿宋" w:hAnsi="仿宋" w:eastAsia="仿宋_GB2312" w:cs="仿宋"/>
          <w:color w:val="auto"/>
          <w:kern w:val="0"/>
          <w:szCs w:val="21"/>
          <w:highlight w:val="none"/>
        </w:rPr>
        <w:t>，并书面报告本级财政部门。</w:t>
      </w:r>
    </w:p>
    <w:p w14:paraId="2607A4D5">
      <w:pPr>
        <w:pageBreakBefore w:val="0"/>
        <w:kinsoku/>
        <w:overflowPunct/>
        <w:topLinePunct w:val="0"/>
        <w:bidi w:val="0"/>
        <w:spacing w:line="400" w:lineRule="exact"/>
        <w:rPr>
          <w:rFonts w:hint="eastAsia" w:ascii="仿宋" w:hAnsi="仿宋" w:eastAsia="仿宋_GB2312" w:cs="仿宋"/>
          <w:color w:val="auto"/>
          <w:highlight w:val="none"/>
        </w:rPr>
      </w:pPr>
    </w:p>
    <w:p w14:paraId="2C99DEA6">
      <w:pPr>
        <w:pageBreakBefore w:val="0"/>
        <w:kinsoku/>
        <w:overflowPunct/>
        <w:topLinePunct w:val="0"/>
        <w:bidi w:val="0"/>
        <w:spacing w:line="400" w:lineRule="exact"/>
        <w:rPr>
          <w:rFonts w:hint="eastAsia" w:ascii="仿宋" w:hAnsi="仿宋" w:eastAsia="仿宋_GB2312" w:cs="仿宋"/>
          <w:color w:val="auto"/>
          <w:highlight w:val="none"/>
        </w:rPr>
      </w:pPr>
    </w:p>
    <w:p w14:paraId="3C58DC80">
      <w:pPr>
        <w:pageBreakBefore w:val="0"/>
        <w:widowControl/>
        <w:kinsoku/>
        <w:overflowPunct/>
        <w:topLinePunct w:val="0"/>
        <w:bidi w:val="0"/>
        <w:spacing w:line="400" w:lineRule="exact"/>
        <w:jc w:val="left"/>
        <w:rPr>
          <w:rFonts w:hint="eastAsia" w:ascii="仿宋" w:hAnsi="仿宋" w:eastAsia="仿宋_GB2312" w:cs="仿宋"/>
          <w:b/>
          <w:color w:val="auto"/>
          <w:szCs w:val="21"/>
          <w:highlight w:val="none"/>
        </w:rPr>
      </w:pPr>
      <w:r>
        <w:rPr>
          <w:rFonts w:hint="eastAsia" w:ascii="仿宋" w:hAnsi="仿宋" w:eastAsia="仿宋_GB2312" w:cs="仿宋"/>
          <w:b/>
          <w:color w:val="auto"/>
          <w:szCs w:val="21"/>
          <w:highlight w:val="none"/>
        </w:rPr>
        <w:br w:type="page"/>
      </w:r>
    </w:p>
    <w:p w14:paraId="45FA7E65">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附表1 符合性审查表</w:t>
      </w:r>
    </w:p>
    <w:p w14:paraId="4AD80C8A">
      <w:pPr>
        <w:pageBreakBefore w:val="0"/>
        <w:kinsoku/>
        <w:overflowPunct/>
        <w:topLinePunct w:val="0"/>
        <w:bidi w:val="0"/>
        <w:adjustRightInd w:val="0"/>
        <w:snapToGrid w:val="0"/>
        <w:spacing w:line="400" w:lineRule="exact"/>
        <w:jc w:val="center"/>
        <w:rPr>
          <w:rFonts w:hint="eastAsia" w:ascii="仿宋" w:hAnsi="仿宋" w:eastAsia="仿宋_GB2312" w:cs="仿宋"/>
          <w:b/>
          <w:color w:val="auto"/>
          <w:sz w:val="28"/>
          <w:szCs w:val="28"/>
          <w:highlight w:val="none"/>
          <w:lang w:eastAsia="zh-CN"/>
        </w:rPr>
      </w:pPr>
      <w:r>
        <w:rPr>
          <w:rFonts w:hint="eastAsia" w:ascii="仿宋" w:hAnsi="仿宋" w:eastAsia="仿宋_GB2312" w:cs="仿宋"/>
          <w:b/>
          <w:color w:val="auto"/>
          <w:sz w:val="28"/>
          <w:szCs w:val="28"/>
          <w:highlight w:val="none"/>
        </w:rPr>
        <w:t>符合性审查表</w:t>
      </w:r>
    </w:p>
    <w:p w14:paraId="5718A005">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项目名称：                                           采购代理编号：</w:t>
      </w:r>
    </w:p>
    <w:tbl>
      <w:tblPr>
        <w:tblStyle w:val="4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3821"/>
        <w:gridCol w:w="4556"/>
      </w:tblGrid>
      <w:tr w14:paraId="708929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vAlign w:val="center"/>
          </w:tcPr>
          <w:p w14:paraId="069A6529">
            <w:pPr>
              <w:pageBreakBefore w:val="0"/>
              <w:kinsoku/>
              <w:overflowPunct/>
              <w:topLinePunct w:val="0"/>
              <w:bidi w:val="0"/>
              <w:adjustRightInd w:val="0"/>
              <w:snapToGrid w:val="0"/>
              <w:spacing w:line="400" w:lineRule="exact"/>
              <w:jc w:val="center"/>
              <w:rPr>
                <w:rFonts w:hint="eastAsia" w:ascii="仿宋" w:hAnsi="仿宋" w:eastAsia="仿宋" w:cs="仿宋"/>
                <w:b/>
                <w:color w:val="auto"/>
                <w:kern w:val="0"/>
                <w:sz w:val="18"/>
                <w:szCs w:val="18"/>
                <w:highlight w:val="none"/>
              </w:rPr>
            </w:pPr>
            <w:r>
              <w:rPr>
                <w:rFonts w:hint="eastAsia" w:ascii="仿宋" w:hAnsi="仿宋" w:eastAsia="仿宋_GB2312" w:cs="仿宋"/>
                <w:b/>
                <w:color w:val="auto"/>
                <w:kern w:val="0"/>
                <w:sz w:val="18"/>
                <w:szCs w:val="18"/>
                <w:highlight w:val="none"/>
              </w:rPr>
              <w:t>序号</w:t>
            </w:r>
          </w:p>
        </w:tc>
        <w:tc>
          <w:tcPr>
            <w:tcW w:w="3821" w:type="dxa"/>
            <w:vAlign w:val="center"/>
          </w:tcPr>
          <w:p w14:paraId="40688AEC">
            <w:pPr>
              <w:pageBreakBefore w:val="0"/>
              <w:kinsoku/>
              <w:overflowPunct/>
              <w:topLinePunct w:val="0"/>
              <w:bidi w:val="0"/>
              <w:adjustRightInd w:val="0"/>
              <w:snapToGrid w:val="0"/>
              <w:spacing w:line="400" w:lineRule="exact"/>
              <w:jc w:val="center"/>
              <w:rPr>
                <w:rFonts w:hint="eastAsia" w:ascii="仿宋" w:hAnsi="仿宋" w:eastAsia="仿宋" w:cs="仿宋"/>
                <w:b/>
                <w:color w:val="auto"/>
                <w:kern w:val="0"/>
                <w:sz w:val="18"/>
                <w:szCs w:val="18"/>
                <w:highlight w:val="none"/>
              </w:rPr>
            </w:pPr>
            <w:r>
              <w:rPr>
                <w:rFonts w:hint="eastAsia" w:ascii="仿宋" w:hAnsi="仿宋" w:eastAsia="仿宋_GB2312" w:cs="仿宋"/>
                <w:b/>
                <w:color w:val="auto"/>
                <w:kern w:val="0"/>
                <w:sz w:val="18"/>
                <w:szCs w:val="18"/>
                <w:highlight w:val="none"/>
              </w:rPr>
              <w:t>审查项目</w:t>
            </w:r>
          </w:p>
        </w:tc>
        <w:tc>
          <w:tcPr>
            <w:tcW w:w="4556" w:type="dxa"/>
            <w:vAlign w:val="center"/>
          </w:tcPr>
          <w:p w14:paraId="3C06889C">
            <w:pPr>
              <w:pageBreakBefore w:val="0"/>
              <w:kinsoku/>
              <w:overflowPunct/>
              <w:topLinePunct w:val="0"/>
              <w:bidi w:val="0"/>
              <w:adjustRightInd w:val="0"/>
              <w:snapToGrid w:val="0"/>
              <w:spacing w:line="400" w:lineRule="exact"/>
              <w:jc w:val="center"/>
              <w:rPr>
                <w:rFonts w:hint="eastAsia" w:ascii="仿宋" w:hAnsi="仿宋" w:eastAsia="仿宋" w:cs="仿宋"/>
                <w:b/>
                <w:color w:val="auto"/>
                <w:kern w:val="0"/>
                <w:sz w:val="18"/>
                <w:szCs w:val="18"/>
                <w:highlight w:val="none"/>
              </w:rPr>
            </w:pPr>
            <w:r>
              <w:rPr>
                <w:rFonts w:hint="eastAsia" w:ascii="仿宋" w:hAnsi="仿宋" w:eastAsia="仿宋_GB2312" w:cs="仿宋"/>
                <w:b/>
                <w:color w:val="auto"/>
                <w:kern w:val="0"/>
                <w:sz w:val="18"/>
                <w:szCs w:val="18"/>
                <w:highlight w:val="none"/>
              </w:rPr>
              <w:t>审查标准</w:t>
            </w:r>
          </w:p>
        </w:tc>
      </w:tr>
      <w:tr w14:paraId="748F5B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0236B469">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1</w:t>
            </w:r>
          </w:p>
        </w:tc>
        <w:tc>
          <w:tcPr>
            <w:tcW w:w="3821" w:type="dxa"/>
          </w:tcPr>
          <w:p w14:paraId="26F3E9B6">
            <w:pPr>
              <w:pageBreakBefore w:val="0"/>
              <w:kinsoku/>
              <w:overflowPunct/>
              <w:topLinePunct w:val="0"/>
              <w:bidi w:val="0"/>
              <w:adjustRightInd w:val="0"/>
              <w:snapToGrid w:val="0"/>
              <w:spacing w:line="400" w:lineRule="exact"/>
              <w:jc w:val="left"/>
              <w:rPr>
                <w:rFonts w:hint="eastAsia" w:ascii="仿宋" w:hAnsi="仿宋" w:eastAsia="仿宋" w:cs="仿宋"/>
                <w:color w:val="auto"/>
                <w:kern w:val="0"/>
                <w:sz w:val="18"/>
                <w:szCs w:val="18"/>
                <w:highlight w:val="none"/>
              </w:rPr>
            </w:pPr>
            <w:r>
              <w:rPr>
                <w:rFonts w:hint="eastAsia" w:ascii="仿宋" w:hAnsi="仿宋" w:eastAsia="仿宋_GB2312" w:cs="仿宋"/>
                <w:color w:val="auto"/>
                <w:sz w:val="18"/>
                <w:szCs w:val="18"/>
                <w:highlight w:val="none"/>
              </w:rPr>
              <w:t>投标文件中商务技术文件按照招标文件规定要求签署、盖章</w:t>
            </w:r>
          </w:p>
        </w:tc>
        <w:tc>
          <w:tcPr>
            <w:tcW w:w="4556" w:type="dxa"/>
            <w:vAlign w:val="center"/>
          </w:tcPr>
          <w:p w14:paraId="0720FAA4">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16D2F6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2122D0D8">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2</w:t>
            </w:r>
          </w:p>
        </w:tc>
        <w:tc>
          <w:tcPr>
            <w:tcW w:w="3821" w:type="dxa"/>
          </w:tcPr>
          <w:p w14:paraId="2562D8C3">
            <w:pPr>
              <w:pageBreakBefore w:val="0"/>
              <w:kinsoku/>
              <w:overflowPunct/>
              <w:topLinePunct w:val="0"/>
              <w:bidi w:val="0"/>
              <w:adjustRightInd w:val="0"/>
              <w:snapToGrid w:val="0"/>
              <w:spacing w:line="400" w:lineRule="exact"/>
              <w:jc w:val="left"/>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投标文件对招标文件的实质性要求和条件作出响应，或者对招标文件的偏离</w:t>
            </w:r>
            <w:r>
              <w:rPr>
                <w:rFonts w:hint="eastAsia" w:ascii="仿宋" w:hAnsi="仿宋" w:eastAsia="仿宋_GB2312" w:cs="仿宋"/>
                <w:color w:val="auto"/>
                <w:sz w:val="18"/>
                <w:szCs w:val="18"/>
                <w:highlight w:val="none"/>
              </w:rPr>
              <w:t>未</w:t>
            </w:r>
            <w:r>
              <w:rPr>
                <w:rFonts w:hint="eastAsia" w:ascii="仿宋" w:hAnsi="仿宋" w:eastAsia="仿宋_GB2312" w:cs="仿宋"/>
                <w:color w:val="auto"/>
                <w:kern w:val="0"/>
                <w:sz w:val="18"/>
                <w:szCs w:val="18"/>
                <w:highlight w:val="none"/>
              </w:rPr>
              <w:t>超出招标文件规定的偏离范围和幅度</w:t>
            </w:r>
          </w:p>
        </w:tc>
        <w:tc>
          <w:tcPr>
            <w:tcW w:w="4556" w:type="dxa"/>
            <w:vAlign w:val="center"/>
          </w:tcPr>
          <w:p w14:paraId="6FAA1F6D">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69881E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679F5B9B">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3</w:t>
            </w:r>
          </w:p>
        </w:tc>
        <w:tc>
          <w:tcPr>
            <w:tcW w:w="3821" w:type="dxa"/>
          </w:tcPr>
          <w:p w14:paraId="7B25753E">
            <w:pPr>
              <w:pageBreakBefore w:val="0"/>
              <w:kinsoku/>
              <w:overflowPunct/>
              <w:topLinePunct w:val="0"/>
              <w:bidi w:val="0"/>
              <w:adjustRightInd w:val="0"/>
              <w:snapToGrid w:val="0"/>
              <w:spacing w:line="400" w:lineRule="exact"/>
              <w:jc w:val="left"/>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投标有效期满足招标文件要求；</w:t>
            </w:r>
          </w:p>
        </w:tc>
        <w:tc>
          <w:tcPr>
            <w:tcW w:w="4556" w:type="dxa"/>
            <w:vAlign w:val="center"/>
          </w:tcPr>
          <w:p w14:paraId="13894697">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04F8B5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49E10A5B">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4</w:t>
            </w:r>
          </w:p>
        </w:tc>
        <w:tc>
          <w:tcPr>
            <w:tcW w:w="3821" w:type="dxa"/>
          </w:tcPr>
          <w:p w14:paraId="135B65A0">
            <w:pPr>
              <w:pageBreakBefore w:val="0"/>
              <w:kinsoku/>
              <w:overflowPunct/>
              <w:topLinePunct w:val="0"/>
              <w:bidi w:val="0"/>
              <w:adjustRightInd w:val="0"/>
              <w:snapToGrid w:val="0"/>
              <w:spacing w:line="400" w:lineRule="exact"/>
              <w:jc w:val="left"/>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投标文件</w:t>
            </w:r>
            <w:r>
              <w:rPr>
                <w:rFonts w:hint="eastAsia" w:ascii="仿宋" w:hAnsi="仿宋" w:eastAsia="仿宋_GB2312" w:cs="仿宋"/>
                <w:color w:val="auto"/>
                <w:sz w:val="18"/>
                <w:szCs w:val="18"/>
                <w:highlight w:val="none"/>
              </w:rPr>
              <w:t>没有</w:t>
            </w:r>
            <w:r>
              <w:rPr>
                <w:rFonts w:hint="eastAsia" w:ascii="仿宋" w:hAnsi="仿宋" w:eastAsia="仿宋_GB2312" w:cs="仿宋"/>
                <w:color w:val="auto"/>
                <w:kern w:val="0"/>
                <w:sz w:val="18"/>
                <w:szCs w:val="18"/>
                <w:highlight w:val="none"/>
              </w:rPr>
              <w:t>采购人不能接受的附加条件的</w:t>
            </w:r>
          </w:p>
        </w:tc>
        <w:tc>
          <w:tcPr>
            <w:tcW w:w="4556" w:type="dxa"/>
            <w:vAlign w:val="center"/>
          </w:tcPr>
          <w:p w14:paraId="6A6EAE67">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33ED39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6CACED07">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5</w:t>
            </w:r>
          </w:p>
        </w:tc>
        <w:tc>
          <w:tcPr>
            <w:tcW w:w="3821" w:type="dxa"/>
          </w:tcPr>
          <w:p w14:paraId="0B6B186C">
            <w:pPr>
              <w:pageBreakBefore w:val="0"/>
              <w:kinsoku/>
              <w:overflowPunct/>
              <w:topLinePunct w:val="0"/>
              <w:bidi w:val="0"/>
              <w:adjustRightInd w:val="0"/>
              <w:snapToGrid w:val="0"/>
              <w:spacing w:line="400" w:lineRule="exact"/>
              <w:jc w:val="left"/>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无法律、法规和招标文件规定的其他投标无效情形的</w:t>
            </w:r>
          </w:p>
        </w:tc>
        <w:tc>
          <w:tcPr>
            <w:tcW w:w="4556" w:type="dxa"/>
            <w:vAlign w:val="center"/>
          </w:tcPr>
          <w:p w14:paraId="713A84FA">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r w14:paraId="277559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75A86B30">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r>
              <w:rPr>
                <w:rFonts w:hint="eastAsia" w:ascii="仿宋" w:hAnsi="仿宋" w:eastAsia="仿宋_GB2312" w:cs="仿宋"/>
                <w:color w:val="auto"/>
                <w:kern w:val="0"/>
                <w:sz w:val="18"/>
                <w:szCs w:val="18"/>
                <w:highlight w:val="none"/>
              </w:rPr>
              <w:t>结论</w:t>
            </w:r>
          </w:p>
        </w:tc>
        <w:tc>
          <w:tcPr>
            <w:tcW w:w="8377" w:type="dxa"/>
            <w:gridSpan w:val="2"/>
            <w:vAlign w:val="center"/>
          </w:tcPr>
          <w:p w14:paraId="1353800B">
            <w:pPr>
              <w:pageBreakBefore w:val="0"/>
              <w:kinsoku/>
              <w:overflowPunct/>
              <w:topLinePunct w:val="0"/>
              <w:bidi w:val="0"/>
              <w:adjustRightInd w:val="0"/>
              <w:snapToGrid w:val="0"/>
              <w:spacing w:line="400" w:lineRule="exact"/>
              <w:jc w:val="center"/>
              <w:rPr>
                <w:rFonts w:hint="eastAsia" w:ascii="仿宋" w:hAnsi="仿宋" w:eastAsia="仿宋" w:cs="仿宋"/>
                <w:color w:val="auto"/>
                <w:kern w:val="0"/>
                <w:sz w:val="18"/>
                <w:szCs w:val="18"/>
                <w:highlight w:val="none"/>
              </w:rPr>
            </w:pPr>
          </w:p>
        </w:tc>
      </w:tr>
    </w:tbl>
    <w:p w14:paraId="2AAFF139">
      <w:pPr>
        <w:pageBreakBefore w:val="0"/>
        <w:kinsoku/>
        <w:overflowPunct/>
        <w:topLinePunct w:val="0"/>
        <w:bidi w:val="0"/>
        <w:adjustRightInd w:val="0"/>
        <w:snapToGrid w:val="0"/>
        <w:spacing w:line="400" w:lineRule="exact"/>
        <w:rPr>
          <w:rFonts w:hint="eastAsia" w:ascii="仿宋" w:hAnsi="仿宋" w:eastAsia="仿宋_GB2312" w:cs="仿宋"/>
          <w:color w:val="auto"/>
          <w:szCs w:val="21"/>
          <w:highlight w:val="none"/>
        </w:rPr>
      </w:pPr>
    </w:p>
    <w:p w14:paraId="326B4BD5">
      <w:pPr>
        <w:pageBreakBefore w:val="0"/>
        <w:widowControl/>
        <w:kinsoku/>
        <w:overflowPunct/>
        <w:topLinePunct w:val="0"/>
        <w:bidi w:val="0"/>
        <w:spacing w:line="400" w:lineRule="exact"/>
        <w:jc w:val="center"/>
        <w:rPr>
          <w:rFonts w:hint="eastAsia" w:ascii="仿宋" w:hAnsi="仿宋" w:eastAsia="仿宋_GB2312" w:cs="仿宋"/>
          <w:color w:val="auto"/>
          <w:sz w:val="28"/>
          <w:szCs w:val="28"/>
          <w:highlight w:val="none"/>
        </w:rPr>
      </w:pPr>
      <w:r>
        <w:rPr>
          <w:rFonts w:hint="eastAsia" w:ascii="仿宋" w:hAnsi="仿宋" w:eastAsia="仿宋_GB2312" w:cs="仿宋"/>
          <w:color w:val="auto"/>
          <w:szCs w:val="21"/>
          <w:highlight w:val="none"/>
        </w:rPr>
        <w:br w:type="page"/>
      </w:r>
      <w:r>
        <w:rPr>
          <w:rFonts w:hint="eastAsia" w:ascii="仿宋" w:hAnsi="仿宋" w:eastAsia="仿宋_GB2312" w:cs="仿宋"/>
          <w:color w:val="auto"/>
          <w:sz w:val="28"/>
          <w:szCs w:val="28"/>
          <w:highlight w:val="none"/>
        </w:rPr>
        <w:t>第四节 投标文件的比较与评价（综合评分法）</w:t>
      </w:r>
    </w:p>
    <w:p w14:paraId="462977D2">
      <w:pPr>
        <w:pageBreakBefore w:val="0"/>
        <w:widowControl/>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t>1.综合评分法</w:t>
      </w:r>
    </w:p>
    <w:p w14:paraId="64F3701D">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1.1综合评分法，指投标文件满足招标文件全部实质性要求，且按照评审因素的量化指标评审得分最高的投标人为中标候选人的评标方法。</w:t>
      </w:r>
    </w:p>
    <w:p w14:paraId="62CD294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1.2评标因素：评审因素的设定应当与投标人所提供货物服务的质量相关，包括投标报价、技术或者服务水平、履约能力、售后服务等，但不包括第一章投标人的资格要求。本采购项目的评标因素和标准见本章本节附页1“评标方法及标准表”。</w:t>
      </w:r>
    </w:p>
    <w:p w14:paraId="160F601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1.3未通过符合性审查的投标文件不得进入比较与评价。</w:t>
      </w:r>
    </w:p>
    <w:p w14:paraId="3CD2DE3E">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2.投标报价的算术修正及政府采购政策调整</w:t>
      </w:r>
    </w:p>
    <w:p w14:paraId="74454230">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2.1如果有算术错误，投标报价将按本章第二节第4.2款、第4.3款规定进行算术修正。</w:t>
      </w:r>
    </w:p>
    <w:p w14:paraId="2B2CECB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2.2需落实政府采购政策（价格评审优惠）的，按第二章“投标须知”及本章第二节第5.3（1）项的相关规定进行价格调整。</w:t>
      </w:r>
    </w:p>
    <w:p w14:paraId="0720F15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2.3按本章本节第2.1款、第2.2款规定，以修正或调整后的价格确定投标人的投标报价和评标基准价，用于投标报价评价。</w:t>
      </w:r>
    </w:p>
    <w:p w14:paraId="3DF87A36">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3.投标报价评价</w:t>
      </w:r>
    </w:p>
    <w:p w14:paraId="4D997957">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3.1投标报价评价：价格分应当采用低价优先法计算，即满足招标文件要求且投标价格最低的投标报价为评标基准价，其价格分为满分（报价权重分）。其他投标人的价格分统一按照下列公式计算：</w:t>
      </w:r>
    </w:p>
    <w:p w14:paraId="001ABD1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投标报价得分=（评标基准价</w:t>
      </w:r>
      <w:r>
        <w:rPr>
          <w:rFonts w:hint="eastAsia" w:ascii="仿宋" w:hAnsi="仿宋" w:eastAsia="仿宋_GB2312" w:cs="仿宋"/>
          <w:color w:val="auto"/>
          <w:szCs w:val="21"/>
          <w:highlight w:val="none"/>
          <w:vertAlign w:val="subscript"/>
        </w:rPr>
        <w:t>修正或调整</w:t>
      </w:r>
      <w:r>
        <w:rPr>
          <w:rFonts w:hint="eastAsia" w:ascii="仿宋" w:hAnsi="仿宋" w:eastAsia="仿宋_GB2312" w:cs="仿宋"/>
          <w:color w:val="auto"/>
          <w:szCs w:val="21"/>
          <w:highlight w:val="none"/>
        </w:rPr>
        <w:t>／投标报价</w:t>
      </w:r>
      <w:r>
        <w:rPr>
          <w:rFonts w:hint="eastAsia" w:ascii="仿宋" w:hAnsi="仿宋" w:eastAsia="仿宋_GB2312" w:cs="仿宋"/>
          <w:color w:val="auto"/>
          <w:szCs w:val="21"/>
          <w:highlight w:val="none"/>
          <w:vertAlign w:val="subscript"/>
        </w:rPr>
        <w:t>修正或调整</w:t>
      </w:r>
      <w:r>
        <w:rPr>
          <w:rFonts w:hint="eastAsia" w:ascii="仿宋" w:hAnsi="仿宋" w:eastAsia="仿宋_GB2312" w:cs="仿宋"/>
          <w:color w:val="auto"/>
          <w:szCs w:val="21"/>
          <w:highlight w:val="none"/>
        </w:rPr>
        <w:t>） ×报价权重分</w:t>
      </w:r>
    </w:p>
    <w:p w14:paraId="73072C65">
      <w:pPr>
        <w:pageBreakBefore w:val="0"/>
        <w:kinsoku/>
        <w:overflowPunct/>
        <w:topLinePunct w:val="0"/>
        <w:bidi w:val="0"/>
        <w:adjustRightInd w:val="0"/>
        <w:snapToGrid w:val="0"/>
        <w:spacing w:line="400" w:lineRule="exact"/>
        <w:jc w:val="left"/>
        <w:rPr>
          <w:rFonts w:hint="eastAsia" w:ascii="仿宋" w:hAnsi="仿宋" w:eastAsia="仿宋_GB2312" w:cs="仿宋"/>
          <w:color w:val="auto"/>
          <w:sz w:val="24"/>
          <w:highlight w:val="none"/>
        </w:rPr>
      </w:pPr>
      <w:r>
        <w:rPr>
          <w:rFonts w:hint="eastAsia" w:ascii="仿宋" w:hAnsi="仿宋" w:eastAsia="仿宋_GB2312" w:cs="仿宋"/>
          <w:bCs/>
          <w:color w:val="auto"/>
          <w:sz w:val="24"/>
          <w:highlight w:val="none"/>
        </w:rPr>
        <w:t>4.</w:t>
      </w:r>
      <w:r>
        <w:rPr>
          <w:rFonts w:hint="eastAsia" w:ascii="仿宋" w:hAnsi="仿宋" w:eastAsia="仿宋_GB2312" w:cs="仿宋"/>
          <w:color w:val="auto"/>
          <w:sz w:val="24"/>
          <w:highlight w:val="none"/>
        </w:rPr>
        <w:t>技术、商务等评分项响应评价及政府采购政策加分</w:t>
      </w:r>
    </w:p>
    <w:p w14:paraId="2F1FA5E5">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4.1技术、商务等评分项响应评分。按</w:t>
      </w:r>
      <w:r>
        <w:rPr>
          <w:rFonts w:hint="eastAsia" w:ascii="仿宋" w:hAnsi="仿宋" w:eastAsia="仿宋_GB2312" w:cs="仿宋"/>
          <w:bCs/>
          <w:color w:val="auto"/>
          <w:szCs w:val="21"/>
          <w:highlight w:val="none"/>
        </w:rPr>
        <w:t>本章</w:t>
      </w:r>
      <w:r>
        <w:rPr>
          <w:rFonts w:hint="eastAsia" w:ascii="仿宋" w:hAnsi="仿宋" w:eastAsia="仿宋_GB2312" w:cs="仿宋"/>
          <w:color w:val="auto"/>
          <w:szCs w:val="21"/>
          <w:highlight w:val="none"/>
        </w:rPr>
        <w:t>本节附页1“评标方法及标准表”规定的评标因素和标准，对技术、商务等评分项计算得分。</w:t>
      </w:r>
    </w:p>
    <w:p w14:paraId="7890EBEF">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4.2需落实政府采购政策（优先采购）的，按第二章、本章第二节第5.3（2）项以及本节附页1“评标方法及标准表”的相关规定进行技术、价格、商务项得分(加分)计算。</w:t>
      </w:r>
    </w:p>
    <w:p w14:paraId="7D898800">
      <w:pPr>
        <w:pageBreakBefore w:val="0"/>
        <w:kinsoku/>
        <w:overflowPunct/>
        <w:topLinePunct w:val="0"/>
        <w:bidi w:val="0"/>
        <w:adjustRightInd w:val="0"/>
        <w:snapToGrid w:val="0"/>
        <w:spacing w:line="400" w:lineRule="exact"/>
        <w:jc w:val="left"/>
        <w:rPr>
          <w:rFonts w:hint="eastAsia" w:ascii="仿宋" w:hAnsi="仿宋" w:eastAsia="仿宋_GB2312" w:cs="仿宋"/>
          <w:b/>
          <w:color w:val="auto"/>
          <w:sz w:val="24"/>
          <w:highlight w:val="none"/>
        </w:rPr>
      </w:pPr>
      <w:r>
        <w:rPr>
          <w:rFonts w:hint="eastAsia" w:ascii="仿宋" w:hAnsi="仿宋" w:eastAsia="仿宋_GB2312" w:cs="仿宋"/>
          <w:b/>
          <w:color w:val="auto"/>
          <w:sz w:val="24"/>
          <w:highlight w:val="none"/>
        </w:rPr>
        <w:t>5.评标总得分</w:t>
      </w:r>
    </w:p>
    <w:p w14:paraId="4CB7709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5.1评标总得分为投标报价、技术、商务等评分项得分(含优先采购政策加分)之和。</w:t>
      </w:r>
    </w:p>
    <w:p w14:paraId="4BAC63D5">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kern w:val="0"/>
          <w:szCs w:val="21"/>
          <w:highlight w:val="none"/>
          <w:lang w:val="ru-RU" w:eastAsia="ru-RU"/>
        </w:rPr>
      </w:pPr>
      <w:r>
        <w:rPr>
          <w:rFonts w:hint="eastAsia" w:ascii="仿宋" w:hAnsi="仿宋" w:eastAsia="仿宋_GB2312" w:cs="仿宋"/>
          <w:color w:val="auto"/>
          <w:kern w:val="0"/>
          <w:szCs w:val="21"/>
          <w:highlight w:val="none"/>
          <w:lang w:val="ru-RU" w:eastAsia="ru-RU"/>
        </w:rPr>
        <w:t>评标总得分＝F</w:t>
      </w:r>
      <w:r>
        <w:rPr>
          <w:rFonts w:hint="eastAsia" w:ascii="仿宋" w:hAnsi="仿宋" w:eastAsia="仿宋_GB2312" w:cs="仿宋"/>
          <w:color w:val="auto"/>
          <w:kern w:val="0"/>
          <w:szCs w:val="21"/>
          <w:highlight w:val="none"/>
          <w:vertAlign w:val="subscript"/>
          <w:lang w:val="ru-RU" w:eastAsia="ru-RU"/>
        </w:rPr>
        <w:t>1</w:t>
      </w: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1</w:t>
      </w:r>
      <w:r>
        <w:rPr>
          <w:rFonts w:hint="eastAsia" w:ascii="仿宋" w:hAnsi="仿宋" w:eastAsia="仿宋_GB2312" w:cs="仿宋"/>
          <w:color w:val="auto"/>
          <w:kern w:val="0"/>
          <w:szCs w:val="21"/>
          <w:highlight w:val="none"/>
          <w:lang w:val="ru-RU" w:eastAsia="ru-RU"/>
        </w:rPr>
        <w:t>＋F</w:t>
      </w:r>
      <w:r>
        <w:rPr>
          <w:rFonts w:hint="eastAsia" w:ascii="仿宋" w:hAnsi="仿宋" w:eastAsia="仿宋_GB2312" w:cs="仿宋"/>
          <w:color w:val="auto"/>
          <w:kern w:val="0"/>
          <w:szCs w:val="21"/>
          <w:highlight w:val="none"/>
          <w:vertAlign w:val="subscript"/>
          <w:lang w:val="ru-RU" w:eastAsia="ru-RU"/>
        </w:rPr>
        <w:t>2</w:t>
      </w: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2</w:t>
      </w:r>
      <w:r>
        <w:rPr>
          <w:rFonts w:hint="eastAsia" w:ascii="仿宋" w:hAnsi="仿宋" w:eastAsia="仿宋_GB2312" w:cs="仿宋"/>
          <w:color w:val="auto"/>
          <w:kern w:val="0"/>
          <w:szCs w:val="21"/>
          <w:highlight w:val="none"/>
          <w:lang w:val="ru-RU" w:eastAsia="ru-RU"/>
        </w:rPr>
        <w:t>＋……＋F</w:t>
      </w:r>
      <w:r>
        <w:rPr>
          <w:rFonts w:hint="eastAsia" w:ascii="仿宋" w:hAnsi="仿宋" w:eastAsia="仿宋_GB2312" w:cs="仿宋"/>
          <w:color w:val="auto"/>
          <w:kern w:val="0"/>
          <w:szCs w:val="21"/>
          <w:highlight w:val="none"/>
          <w:vertAlign w:val="subscript"/>
          <w:lang w:val="ru-RU" w:eastAsia="ru-RU"/>
        </w:rPr>
        <w:t>n</w:t>
      </w: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n</w:t>
      </w:r>
    </w:p>
    <w:p w14:paraId="7A1F1913">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kern w:val="0"/>
          <w:szCs w:val="21"/>
          <w:highlight w:val="none"/>
          <w:lang w:val="ru-RU" w:eastAsia="ru-RU"/>
        </w:rPr>
      </w:pPr>
      <w:r>
        <w:rPr>
          <w:rFonts w:hint="eastAsia" w:ascii="仿宋" w:hAnsi="仿宋" w:eastAsia="仿宋_GB2312" w:cs="仿宋"/>
          <w:color w:val="auto"/>
          <w:kern w:val="0"/>
          <w:szCs w:val="21"/>
          <w:highlight w:val="none"/>
          <w:lang w:val="ru-RU" w:eastAsia="ru-RU"/>
        </w:rPr>
        <w:t>F</w:t>
      </w:r>
      <w:r>
        <w:rPr>
          <w:rFonts w:hint="eastAsia" w:ascii="仿宋" w:hAnsi="仿宋" w:eastAsia="仿宋_GB2312" w:cs="仿宋"/>
          <w:color w:val="auto"/>
          <w:kern w:val="0"/>
          <w:szCs w:val="21"/>
          <w:highlight w:val="none"/>
          <w:vertAlign w:val="subscript"/>
          <w:lang w:val="ru-RU" w:eastAsia="ru-RU"/>
        </w:rPr>
        <w:t>1</w:t>
      </w:r>
      <w:r>
        <w:rPr>
          <w:rFonts w:hint="eastAsia" w:ascii="仿宋" w:hAnsi="仿宋" w:eastAsia="仿宋_GB2312" w:cs="仿宋"/>
          <w:color w:val="auto"/>
          <w:kern w:val="0"/>
          <w:szCs w:val="21"/>
          <w:highlight w:val="none"/>
          <w:lang w:val="ru-RU" w:eastAsia="ru-RU"/>
        </w:rPr>
        <w:t>、F</w:t>
      </w:r>
      <w:r>
        <w:rPr>
          <w:rFonts w:hint="eastAsia" w:ascii="仿宋" w:hAnsi="仿宋" w:eastAsia="仿宋_GB2312" w:cs="仿宋"/>
          <w:color w:val="auto"/>
          <w:kern w:val="0"/>
          <w:szCs w:val="21"/>
          <w:highlight w:val="none"/>
          <w:vertAlign w:val="subscript"/>
          <w:lang w:val="ru-RU" w:eastAsia="ru-RU"/>
        </w:rPr>
        <w:t>2</w:t>
      </w:r>
      <w:r>
        <w:rPr>
          <w:rFonts w:hint="eastAsia" w:ascii="仿宋" w:hAnsi="仿宋" w:eastAsia="仿宋_GB2312" w:cs="仿宋"/>
          <w:color w:val="auto"/>
          <w:kern w:val="0"/>
          <w:szCs w:val="21"/>
          <w:highlight w:val="none"/>
          <w:lang w:val="ru-RU" w:eastAsia="ru-RU"/>
        </w:rPr>
        <w:t>……F</w:t>
      </w:r>
      <w:r>
        <w:rPr>
          <w:rFonts w:hint="eastAsia" w:ascii="仿宋" w:hAnsi="仿宋" w:eastAsia="仿宋_GB2312" w:cs="仿宋"/>
          <w:color w:val="auto"/>
          <w:kern w:val="0"/>
          <w:szCs w:val="21"/>
          <w:highlight w:val="none"/>
          <w:vertAlign w:val="subscript"/>
          <w:lang w:val="ru-RU" w:eastAsia="ru-RU"/>
        </w:rPr>
        <w:t>n</w:t>
      </w:r>
      <w:r>
        <w:rPr>
          <w:rFonts w:hint="eastAsia" w:ascii="仿宋" w:hAnsi="仿宋" w:eastAsia="仿宋_GB2312" w:cs="仿宋"/>
          <w:color w:val="auto"/>
          <w:kern w:val="0"/>
          <w:szCs w:val="21"/>
          <w:highlight w:val="none"/>
          <w:lang w:val="ru-RU" w:eastAsia="ru-RU"/>
        </w:rPr>
        <w:t>分别为各项评审因素的得分；</w:t>
      </w:r>
    </w:p>
    <w:p w14:paraId="39031FF6">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kern w:val="0"/>
          <w:szCs w:val="21"/>
          <w:highlight w:val="none"/>
          <w:lang w:val="ru-RU" w:eastAsia="ru-RU"/>
        </w:rPr>
      </w:pP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1</w:t>
      </w: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2</w:t>
      </w: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n</w:t>
      </w:r>
      <w:r>
        <w:rPr>
          <w:rFonts w:hint="eastAsia" w:ascii="仿宋" w:hAnsi="仿宋" w:eastAsia="仿宋_GB2312" w:cs="仿宋"/>
          <w:color w:val="auto"/>
          <w:kern w:val="0"/>
          <w:szCs w:val="21"/>
          <w:highlight w:val="none"/>
          <w:lang w:val="ru-RU" w:eastAsia="ru-RU"/>
        </w:rPr>
        <w:t>分别为各项评审因素所占的权重（A</w:t>
      </w:r>
      <w:r>
        <w:rPr>
          <w:rFonts w:hint="eastAsia" w:ascii="仿宋" w:hAnsi="仿宋" w:eastAsia="仿宋_GB2312" w:cs="仿宋"/>
          <w:color w:val="auto"/>
          <w:kern w:val="0"/>
          <w:szCs w:val="21"/>
          <w:highlight w:val="none"/>
          <w:vertAlign w:val="subscript"/>
          <w:lang w:val="ru-RU" w:eastAsia="ru-RU"/>
        </w:rPr>
        <w:t>1</w:t>
      </w: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2</w:t>
      </w:r>
      <w:r>
        <w:rPr>
          <w:rFonts w:hint="eastAsia" w:ascii="仿宋" w:hAnsi="仿宋" w:eastAsia="仿宋_GB2312" w:cs="仿宋"/>
          <w:color w:val="auto"/>
          <w:kern w:val="0"/>
          <w:szCs w:val="21"/>
          <w:highlight w:val="none"/>
          <w:lang w:val="ru-RU" w:eastAsia="ru-RU"/>
        </w:rPr>
        <w:t>＋…＋A</w:t>
      </w:r>
      <w:r>
        <w:rPr>
          <w:rFonts w:hint="eastAsia" w:ascii="仿宋" w:hAnsi="仿宋" w:eastAsia="仿宋_GB2312" w:cs="仿宋"/>
          <w:color w:val="auto"/>
          <w:kern w:val="0"/>
          <w:szCs w:val="21"/>
          <w:highlight w:val="none"/>
          <w:vertAlign w:val="subscript"/>
          <w:lang w:val="ru-RU" w:eastAsia="ru-RU"/>
        </w:rPr>
        <w:t>n</w:t>
      </w:r>
      <w:r>
        <w:rPr>
          <w:rFonts w:hint="eastAsia" w:ascii="仿宋" w:hAnsi="仿宋" w:eastAsia="仿宋_GB2312" w:cs="仿宋"/>
          <w:color w:val="auto"/>
          <w:kern w:val="0"/>
          <w:szCs w:val="21"/>
          <w:highlight w:val="none"/>
          <w:lang w:val="ru-RU" w:eastAsia="ru-RU"/>
        </w:rPr>
        <w:t>＝1）。</w:t>
      </w:r>
    </w:p>
    <w:p w14:paraId="373EDCD4">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5.2评分分值计算保留小数点后两位，小数点后第三位“四舍五入”。</w:t>
      </w:r>
    </w:p>
    <w:p w14:paraId="0313057C">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color w:val="auto"/>
          <w:szCs w:val="21"/>
          <w:highlight w:val="none"/>
        </w:rPr>
      </w:pPr>
      <w:r>
        <w:rPr>
          <w:rFonts w:hint="eastAsia" w:ascii="仿宋" w:hAnsi="仿宋" w:eastAsia="仿宋_GB2312" w:cs="仿宋"/>
          <w:color w:val="auto"/>
          <w:kern w:val="0"/>
          <w:szCs w:val="21"/>
          <w:highlight w:val="none"/>
        </w:rPr>
        <w:t>5.3</w:t>
      </w:r>
      <w:r>
        <w:rPr>
          <w:rFonts w:hint="eastAsia" w:ascii="仿宋" w:hAnsi="仿宋" w:eastAsia="仿宋_GB2312" w:cs="仿宋"/>
          <w:color w:val="auto"/>
          <w:szCs w:val="21"/>
          <w:highlight w:val="none"/>
        </w:rPr>
        <w:t>评标时，评标委员会成员应当独立对满足招标文件全部实质性要求投标人的</w:t>
      </w:r>
      <w:r>
        <w:rPr>
          <w:rFonts w:hint="eastAsia" w:ascii="仿宋" w:hAnsi="仿宋" w:eastAsia="仿宋_GB2312" w:cs="仿宋"/>
          <w:bCs/>
          <w:color w:val="auto"/>
          <w:szCs w:val="21"/>
          <w:highlight w:val="none"/>
        </w:rPr>
        <w:t>投标文件</w:t>
      </w:r>
      <w:r>
        <w:rPr>
          <w:rFonts w:hint="eastAsia" w:ascii="仿宋" w:hAnsi="仿宋" w:eastAsia="仿宋_GB2312" w:cs="仿宋"/>
          <w:color w:val="auto"/>
          <w:szCs w:val="21"/>
          <w:highlight w:val="none"/>
        </w:rPr>
        <w:t>进行评价、评分，然后汇总每个投标人每项评分因素的得分。每个投标人的最终得分为所有评标委员会成员评分的算术平均值。</w:t>
      </w:r>
    </w:p>
    <w:p w14:paraId="3506A348">
      <w:pPr>
        <w:pageBreakBefore w:val="0"/>
        <w:kinsoku/>
        <w:overflowPunct/>
        <w:topLinePunct w:val="0"/>
        <w:bidi w:val="0"/>
        <w:adjustRightInd w:val="0"/>
        <w:snapToGrid w:val="0"/>
        <w:spacing w:line="400" w:lineRule="exact"/>
        <w:jc w:val="left"/>
        <w:rPr>
          <w:rFonts w:hint="eastAsia" w:ascii="仿宋" w:hAnsi="仿宋" w:eastAsia="仿宋_GB2312" w:cs="仿宋"/>
          <w:b/>
          <w:bCs/>
          <w:color w:val="auto"/>
          <w:sz w:val="24"/>
          <w:highlight w:val="none"/>
        </w:rPr>
      </w:pPr>
      <w:r>
        <w:rPr>
          <w:rFonts w:hint="eastAsia" w:ascii="仿宋" w:hAnsi="仿宋" w:eastAsia="仿宋_GB2312" w:cs="仿宋"/>
          <w:b/>
          <w:bCs/>
          <w:color w:val="auto"/>
          <w:sz w:val="24"/>
          <w:highlight w:val="none"/>
        </w:rPr>
        <w:t>6.中标候选人的推荐方法</w:t>
      </w:r>
    </w:p>
    <w:p w14:paraId="34291CB1">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EF48EF3">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6.2得分且投标报价相同的并列，按本章第二节规定确定中标候选人。</w:t>
      </w:r>
    </w:p>
    <w:p w14:paraId="1E1E8CE8">
      <w:pPr>
        <w:pageBreakBefore w:val="0"/>
        <w:kinsoku/>
        <w:overflowPunct/>
        <w:topLinePunct w:val="0"/>
        <w:bidi w:val="0"/>
        <w:adjustRightInd w:val="0"/>
        <w:snapToGrid w:val="0"/>
        <w:spacing w:line="400" w:lineRule="exact"/>
        <w:ind w:firstLine="420" w:firstLineChars="200"/>
        <w:jc w:val="left"/>
        <w:rPr>
          <w:rFonts w:hint="eastAsia" w:ascii="仿宋" w:hAnsi="仿宋" w:eastAsia="仿宋_GB2312" w:cs="仿宋"/>
          <w:bCs/>
          <w:color w:val="auto"/>
          <w:szCs w:val="21"/>
          <w:highlight w:val="none"/>
        </w:rPr>
      </w:pPr>
    </w:p>
    <w:p w14:paraId="11B1707F">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7CC0ED67">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2BF75546">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78DB7418">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1DB03B6F">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045ABE05">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55987315">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313E8076">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3769B231">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47A5EE2C">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2AB30806">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02E4D29B">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36BD0DFC">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40D33C84">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0644DBD0">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76FFE47B">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05E6B8BD">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76DEA9C4">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5D9E44C8">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6C8A537F">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67A4C781">
      <w:pPr>
        <w:pageBreakBefore w:val="0"/>
        <w:widowControl/>
        <w:kinsoku/>
        <w:overflowPunct/>
        <w:topLinePunct w:val="0"/>
        <w:bidi w:val="0"/>
        <w:spacing w:line="400" w:lineRule="exact"/>
        <w:jc w:val="left"/>
        <w:rPr>
          <w:rFonts w:hint="eastAsia" w:ascii="仿宋" w:hAnsi="仿宋" w:eastAsia="仿宋_GB2312" w:cs="仿宋"/>
          <w:bCs/>
          <w:color w:val="auto"/>
          <w:szCs w:val="21"/>
          <w:highlight w:val="none"/>
        </w:rPr>
      </w:pPr>
    </w:p>
    <w:p w14:paraId="0F43611C">
      <w:pPr>
        <w:rPr>
          <w:rFonts w:hint="eastAsia" w:ascii="仿宋" w:hAnsi="仿宋" w:eastAsia="仿宋_GB2312" w:cs="仿宋"/>
          <w:bCs/>
          <w:color w:val="auto"/>
          <w:sz w:val="32"/>
          <w:szCs w:val="32"/>
          <w:highlight w:val="none"/>
        </w:rPr>
      </w:pPr>
      <w:r>
        <w:rPr>
          <w:rFonts w:hint="eastAsia" w:ascii="仿宋" w:hAnsi="仿宋" w:eastAsia="仿宋_GB2312" w:cs="仿宋"/>
          <w:bCs/>
          <w:color w:val="auto"/>
          <w:sz w:val="32"/>
          <w:szCs w:val="32"/>
          <w:highlight w:val="none"/>
        </w:rPr>
        <w:br w:type="page"/>
      </w:r>
    </w:p>
    <w:p w14:paraId="4553B6E8">
      <w:pPr>
        <w:pageBreakBefore w:val="0"/>
        <w:kinsoku/>
        <w:overflowPunct/>
        <w:topLinePunct w:val="0"/>
        <w:bidi w:val="0"/>
        <w:spacing w:line="400" w:lineRule="exact"/>
        <w:jc w:val="left"/>
        <w:outlineLvl w:val="1"/>
        <w:rPr>
          <w:rFonts w:hint="eastAsia" w:ascii="仿宋" w:hAnsi="仿宋" w:eastAsia="仿宋_GB2312" w:cs="仿宋"/>
          <w:color w:val="auto"/>
          <w:sz w:val="32"/>
          <w:szCs w:val="32"/>
          <w:highlight w:val="none"/>
        </w:rPr>
      </w:pPr>
      <w:bookmarkStart w:id="30" w:name="_Toc66211421"/>
      <w:bookmarkStart w:id="31" w:name="_Toc16822"/>
      <w:r>
        <w:rPr>
          <w:rFonts w:hint="eastAsia" w:ascii="仿宋" w:hAnsi="仿宋" w:eastAsia="仿宋_GB2312" w:cs="仿宋"/>
          <w:bCs/>
          <w:color w:val="auto"/>
          <w:sz w:val="32"/>
          <w:szCs w:val="32"/>
          <w:highlight w:val="none"/>
        </w:rPr>
        <w:t>附页1评标方法及标准(综合评分法适用</w:t>
      </w:r>
      <w:r>
        <w:rPr>
          <w:rFonts w:hint="eastAsia" w:ascii="仿宋" w:hAnsi="仿宋" w:eastAsia="仿宋_GB2312" w:cs="仿宋"/>
          <w:color w:val="auto"/>
          <w:sz w:val="32"/>
          <w:szCs w:val="32"/>
          <w:highlight w:val="none"/>
        </w:rPr>
        <w:t>)</w:t>
      </w:r>
      <w:bookmarkEnd w:id="30"/>
      <w:bookmarkEnd w:id="31"/>
    </w:p>
    <w:p w14:paraId="017588F3">
      <w:pPr>
        <w:pStyle w:val="61"/>
        <w:numPr>
          <w:ilvl w:val="0"/>
          <w:numId w:val="0"/>
        </w:numPr>
        <w:jc w:val="center"/>
        <w:rPr>
          <w:rFonts w:hint="eastAsia"/>
          <w:b/>
          <w:bCs/>
          <w:lang w:val="en-US" w:eastAsia="zh-CN"/>
        </w:rPr>
      </w:pPr>
      <w:bookmarkStart w:id="32" w:name="_Toc29680"/>
      <w:r>
        <w:rPr>
          <w:rFonts w:ascii="微软雅黑" w:hAnsi="微软雅黑" w:eastAsia="微软雅黑" w:cs="微软雅黑"/>
          <w:b/>
          <w:bCs/>
          <w:color w:val="auto"/>
          <w:spacing w:val="-6"/>
          <w:sz w:val="24"/>
          <w:szCs w:val="24"/>
          <w:highlight w:val="none"/>
        </w:rPr>
        <w:t>评标方法及标准表</w:t>
      </w:r>
      <w:bookmarkEnd w:id="32"/>
    </w:p>
    <w:p w14:paraId="41D2917C">
      <w:pPr>
        <w:pStyle w:val="61"/>
        <w:numPr>
          <w:ilvl w:val="0"/>
          <w:numId w:val="0"/>
        </w:numPr>
        <w:jc w:val="center"/>
        <w:rPr>
          <w:rFonts w:hint="eastAsia"/>
          <w:b/>
          <w:bCs/>
          <w:lang w:val="en-US" w:eastAsia="zh-CN"/>
        </w:rPr>
      </w:pPr>
      <w:r>
        <w:rPr>
          <w:rFonts w:hint="eastAsia"/>
          <w:b/>
          <w:bCs/>
          <w:lang w:val="en-US" w:eastAsia="zh-CN"/>
        </w:rPr>
        <w:t>包</w:t>
      </w:r>
      <w:r>
        <w:rPr>
          <w:rFonts w:hint="eastAsia"/>
          <w:b/>
          <w:bCs/>
          <w:lang w:eastAsia="zh-CN"/>
        </w:rPr>
        <w:t>HNSZZFCG-2026-0484</w:t>
      </w:r>
      <w:r>
        <w:rPr>
          <w:rFonts w:hint="eastAsia"/>
          <w:b/>
          <w:bCs/>
        </w:rPr>
        <w:t>-0</w:t>
      </w:r>
      <w:r>
        <w:rPr>
          <w:rFonts w:hint="eastAsia"/>
          <w:b/>
          <w:bCs/>
          <w:lang w:val="en-US" w:eastAsia="zh-CN"/>
        </w:rPr>
        <w:t>1</w:t>
      </w:r>
      <w:r>
        <w:rPr>
          <w:rFonts w:hint="eastAsia"/>
          <w:b/>
          <w:bCs/>
          <w:lang w:eastAsia="zh-CN"/>
        </w:rPr>
        <w:t>（邵阳县平安城市网络租赁费采购项目</w:t>
      </w:r>
      <w:r>
        <w:rPr>
          <w:rFonts w:hint="eastAsia"/>
          <w:b/>
          <w:bCs/>
          <w:lang w:val="en-US" w:eastAsia="zh-CN"/>
        </w:rPr>
        <w:t>包1）</w:t>
      </w:r>
    </w:p>
    <w:p w14:paraId="2DB7003F">
      <w:pPr>
        <w:pStyle w:val="61"/>
        <w:numPr>
          <w:ilvl w:val="0"/>
          <w:numId w:val="0"/>
        </w:numPr>
        <w:jc w:val="center"/>
        <w:rPr>
          <w:rFonts w:hint="eastAsia"/>
          <w:b/>
          <w:bCs/>
          <w:lang w:val="en-US" w:eastAsia="zh-CN"/>
        </w:rPr>
      </w:pPr>
      <w:r>
        <w:rPr>
          <w:rFonts w:hint="eastAsia"/>
          <w:b/>
          <w:bCs/>
          <w:lang w:val="en-US" w:eastAsia="zh-CN"/>
        </w:rPr>
        <w:t>包</w:t>
      </w:r>
      <w:r>
        <w:rPr>
          <w:rFonts w:hint="eastAsia"/>
          <w:b/>
          <w:bCs/>
          <w:lang w:eastAsia="zh-CN"/>
        </w:rPr>
        <w:t>HNSZZFCG-2026-0484</w:t>
      </w:r>
      <w:r>
        <w:rPr>
          <w:rFonts w:hint="eastAsia"/>
          <w:b/>
          <w:bCs/>
        </w:rPr>
        <w:t>-0</w:t>
      </w:r>
      <w:r>
        <w:rPr>
          <w:rFonts w:hint="eastAsia"/>
          <w:b/>
          <w:bCs/>
          <w:lang w:val="en-US" w:eastAsia="zh-CN"/>
        </w:rPr>
        <w:t>2</w:t>
      </w:r>
      <w:r>
        <w:rPr>
          <w:rFonts w:hint="eastAsia"/>
          <w:b/>
          <w:bCs/>
          <w:lang w:eastAsia="zh-CN"/>
        </w:rPr>
        <w:t>（邵阳县平安城市网络租赁费采购项目</w:t>
      </w:r>
      <w:r>
        <w:rPr>
          <w:rFonts w:hint="eastAsia"/>
          <w:b/>
          <w:bCs/>
          <w:lang w:val="en-US" w:eastAsia="zh-CN"/>
        </w:rPr>
        <w:t>包2）</w:t>
      </w:r>
    </w:p>
    <w:p w14:paraId="3D359D26">
      <w:pPr>
        <w:pStyle w:val="61"/>
        <w:numPr>
          <w:ilvl w:val="0"/>
          <w:numId w:val="0"/>
        </w:numPr>
        <w:jc w:val="center"/>
        <w:rPr>
          <w:rFonts w:hint="eastAsia"/>
          <w:b/>
          <w:bCs/>
          <w:lang w:val="en-US" w:eastAsia="zh-CN"/>
        </w:rPr>
      </w:pPr>
      <w:r>
        <w:rPr>
          <w:rFonts w:hint="eastAsia"/>
          <w:b/>
          <w:bCs/>
          <w:lang w:val="en-US" w:eastAsia="zh-CN"/>
        </w:rPr>
        <w:t>包</w:t>
      </w:r>
      <w:r>
        <w:rPr>
          <w:rFonts w:hint="eastAsia"/>
          <w:b/>
          <w:bCs/>
          <w:lang w:eastAsia="zh-CN"/>
        </w:rPr>
        <w:t>HNSZZFCG-2026-0484</w:t>
      </w:r>
      <w:r>
        <w:rPr>
          <w:rFonts w:hint="eastAsia"/>
          <w:b/>
          <w:bCs/>
        </w:rPr>
        <w:t>-0</w:t>
      </w:r>
      <w:r>
        <w:rPr>
          <w:rFonts w:hint="eastAsia"/>
          <w:b/>
          <w:bCs/>
          <w:lang w:val="en-US" w:eastAsia="zh-CN"/>
        </w:rPr>
        <w:t>3</w:t>
      </w:r>
      <w:r>
        <w:rPr>
          <w:rFonts w:hint="eastAsia"/>
          <w:b/>
          <w:bCs/>
          <w:lang w:eastAsia="zh-CN"/>
        </w:rPr>
        <w:t>（邵阳县平安城市网络租赁费采购项目</w:t>
      </w:r>
      <w:r>
        <w:rPr>
          <w:rFonts w:hint="eastAsia"/>
          <w:b/>
          <w:bCs/>
          <w:lang w:val="en-US" w:eastAsia="zh-CN"/>
        </w:rPr>
        <w:t>包3）</w:t>
      </w:r>
    </w:p>
    <w:p w14:paraId="75D65389">
      <w:pPr>
        <w:pStyle w:val="16"/>
        <w:spacing w:before="167" w:line="219" w:lineRule="auto"/>
        <w:ind w:left="322"/>
        <w:jc w:val="center"/>
        <w:rPr>
          <w:rFonts w:hint="eastAsia" w:ascii="微软雅黑" w:hAnsi="微软雅黑" w:eastAsia="微软雅黑" w:cs="微软雅黑"/>
          <w:b/>
          <w:bCs/>
          <w:color w:val="auto"/>
          <w:spacing w:val="-6"/>
          <w:sz w:val="24"/>
          <w:szCs w:val="24"/>
          <w:highlight w:val="none"/>
          <w:lang w:eastAsia="zh-CN"/>
        </w:rPr>
      </w:pPr>
    </w:p>
    <w:tbl>
      <w:tblPr>
        <w:tblStyle w:val="44"/>
        <w:tblW w:w="8431"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7"/>
        <w:gridCol w:w="700"/>
        <w:gridCol w:w="613"/>
        <w:gridCol w:w="6461"/>
      </w:tblGrid>
      <w:tr w14:paraId="07B92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84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8C65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综合评分法</w:t>
            </w:r>
          </w:p>
        </w:tc>
      </w:tr>
      <w:tr w14:paraId="39FE3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1970" w:type="dxa"/>
            <w:gridSpan w:val="3"/>
            <w:tcBorders>
              <w:top w:val="single" w:color="000000" w:sz="4" w:space="0"/>
              <w:left w:val="single" w:color="000000" w:sz="4" w:space="0"/>
              <w:bottom w:val="single" w:color="000000" w:sz="4" w:space="0"/>
              <w:right w:val="single" w:color="000000" w:sz="4" w:space="0"/>
            </w:tcBorders>
            <w:shd w:val="clear" w:color="auto" w:fill="D9D9D9"/>
            <w:vAlign w:val="center"/>
          </w:tcPr>
          <w:p w14:paraId="5299D07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评审因素</w:t>
            </w:r>
          </w:p>
        </w:tc>
        <w:tc>
          <w:tcPr>
            <w:tcW w:w="6461"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1C9A773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权值</w:t>
            </w:r>
          </w:p>
        </w:tc>
      </w:tr>
      <w:tr w14:paraId="77FF5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359F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价格部分(A1)</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12C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10%</w:t>
            </w:r>
          </w:p>
        </w:tc>
      </w:tr>
      <w:tr w14:paraId="1841B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F06D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技术部分(A2)</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6E2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50%</w:t>
            </w:r>
          </w:p>
        </w:tc>
      </w:tr>
      <w:tr w14:paraId="21A5B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7E8C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商务部分(A3)</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E3F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40%</w:t>
            </w:r>
          </w:p>
        </w:tc>
      </w:tr>
      <w:tr w14:paraId="14C34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57"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6B13BA8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评审因素</w:t>
            </w:r>
          </w:p>
        </w:tc>
        <w:tc>
          <w:tcPr>
            <w:tcW w:w="700"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47A0B45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评标内容</w:t>
            </w:r>
          </w:p>
        </w:tc>
        <w:tc>
          <w:tcPr>
            <w:tcW w:w="613"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6958EAC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微软雅黑" w:hAnsi="微软雅黑" w:eastAsia="微软雅黑" w:cs="微软雅黑"/>
                <w:b/>
                <w:bCs/>
                <w:i w:val="0"/>
                <w:iCs w:val="0"/>
                <w:snapToGrid w:val="0"/>
                <w:color w:val="000000"/>
                <w:kern w:val="0"/>
                <w:sz w:val="22"/>
                <w:szCs w:val="22"/>
                <w:u w:val="none"/>
                <w:lang w:val="en-US" w:eastAsia="zh-CN" w:bidi="ar"/>
              </w:rPr>
              <w:t>分值</w:t>
            </w:r>
          </w:p>
        </w:tc>
        <w:tc>
          <w:tcPr>
            <w:tcW w:w="6461" w:type="dxa"/>
            <w:tcBorders>
              <w:top w:val="single" w:color="000000" w:sz="4" w:space="0"/>
              <w:left w:val="single" w:color="000000" w:sz="4" w:space="0"/>
              <w:bottom w:val="single" w:color="000000" w:sz="4" w:space="0"/>
              <w:right w:val="single" w:color="000000" w:sz="4" w:space="0"/>
            </w:tcBorders>
            <w:shd w:val="clear" w:color="auto" w:fill="D9D9D9"/>
            <w:vAlign w:val="center"/>
          </w:tcPr>
          <w:p w14:paraId="7F1A331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微软雅黑" w:hAnsi="微软雅黑" w:eastAsia="微软雅黑" w:cs="微软雅黑"/>
                <w:b/>
                <w:bCs/>
                <w:i w:val="0"/>
                <w:iCs w:val="0"/>
                <w:snapToGrid w:val="0"/>
                <w:color w:val="000000"/>
                <w:kern w:val="0"/>
                <w:sz w:val="22"/>
                <w:szCs w:val="22"/>
                <w:u w:val="none"/>
                <w:lang w:val="en-US" w:eastAsia="zh-CN" w:bidi="ar"/>
              </w:rPr>
              <w:t>评分标准</w:t>
            </w:r>
          </w:p>
        </w:tc>
      </w:tr>
      <w:tr w14:paraId="290F4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86F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报价部分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EBE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投标报价</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941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微软雅黑" w:hAnsi="微软雅黑" w:eastAsia="微软雅黑" w:cs="微软雅黑"/>
                <w:i w:val="0"/>
                <w:iCs w:val="0"/>
                <w:snapToGrid w:val="0"/>
                <w:color w:val="000000"/>
                <w:kern w:val="0"/>
                <w:sz w:val="20"/>
                <w:szCs w:val="20"/>
                <w:u w:val="none"/>
                <w:lang w:val="en-US" w:eastAsia="zh-CN" w:bidi="ar"/>
              </w:rPr>
              <w:t>100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5C5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1、以经评审小组一致认定满足采购文件要求且报价最低的为评审基准价，其价格得分计满分。其他</w:t>
            </w:r>
            <w:r>
              <w:rPr>
                <w:rFonts w:hint="eastAsia" w:ascii="宋体" w:hAnsi="宋体" w:cs="宋体"/>
                <w:i w:val="0"/>
                <w:iCs w:val="0"/>
                <w:color w:val="000000"/>
                <w:sz w:val="21"/>
                <w:szCs w:val="21"/>
                <w:u w:val="none"/>
                <w:lang w:val="en-US" w:eastAsia="zh-CN"/>
              </w:rPr>
              <w:t>投标人</w:t>
            </w:r>
            <w:r>
              <w:rPr>
                <w:rFonts w:hint="eastAsia" w:ascii="宋体" w:hAnsi="宋体" w:eastAsia="宋体" w:cs="宋体"/>
                <w:i w:val="0"/>
                <w:iCs w:val="0"/>
                <w:color w:val="000000"/>
                <w:sz w:val="21"/>
                <w:szCs w:val="21"/>
                <w:u w:val="none"/>
              </w:rPr>
              <w:t>的价格得分统一按下列公式计算：报价得分＝（评标基准价/投标报价）×100。</w:t>
            </w:r>
          </w:p>
          <w:p w14:paraId="543C05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说明：因落实政府采购政策（价格评审优惠）进行价格调整的，以调整后的价格计算评标基准价和投标报价。</w:t>
            </w:r>
          </w:p>
          <w:p w14:paraId="614F98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w:t>
            </w:r>
            <w:r>
              <w:rPr>
                <w:rFonts w:hint="eastAsia" w:ascii="宋体" w:hAnsi="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异常低价审查标准：投标（响应）报价低于采购项目最高限价65% 的【即投标（响应）报价&lt;采购项目最高限价×65%】，评审小组应当启动异常低价投标（响应）审查程序，要求相关供应商在评审现场合理的时间内（一般不少于 30 分钟，以评委确定的时间为准）对投标（响应）价格作出解释，提供项目具体成本测算等与报价合理性相关的书面说明及必要的证明材料，包括但不限于原材料成本、人工成本、制造费用等。</w:t>
            </w:r>
          </w:p>
          <w:p w14:paraId="2F637D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w:t>
            </w:r>
            <w:r>
              <w:rPr>
                <w:rFonts w:hint="eastAsia" w:ascii="宋体" w:hAnsi="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评审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r>
      <w:tr w14:paraId="69DF8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vMerge w:val="restart"/>
            <w:tcBorders>
              <w:top w:val="single" w:color="000000" w:sz="4" w:space="0"/>
              <w:left w:val="single" w:color="000000" w:sz="4" w:space="0"/>
              <w:right w:val="single" w:color="000000" w:sz="4" w:space="0"/>
            </w:tcBorders>
            <w:shd w:val="clear" w:color="auto" w:fill="auto"/>
            <w:vAlign w:val="center"/>
          </w:tcPr>
          <w:p w14:paraId="234152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技术部分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E5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采购需求</w:t>
            </w:r>
            <w:r>
              <w:rPr>
                <w:rFonts w:hint="eastAsia" w:ascii="宋体" w:hAnsi="宋体" w:cs="宋体"/>
                <w:i w:val="0"/>
                <w:iCs w:val="0"/>
                <w:color w:val="000000"/>
                <w:sz w:val="21"/>
                <w:szCs w:val="21"/>
                <w:u w:val="none"/>
                <w:lang w:val="en-US" w:eastAsia="zh-CN"/>
              </w:rPr>
              <w:t>技术要求的</w:t>
            </w:r>
            <w:r>
              <w:rPr>
                <w:rFonts w:hint="eastAsia" w:ascii="宋体" w:hAnsi="宋体" w:eastAsia="宋体" w:cs="宋体"/>
                <w:i w:val="0"/>
                <w:iCs w:val="0"/>
                <w:color w:val="000000"/>
                <w:sz w:val="21"/>
                <w:szCs w:val="21"/>
                <w:u w:val="none"/>
              </w:rPr>
              <w:t>响应</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DEB0">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微软雅黑" w:hAnsi="微软雅黑" w:eastAsia="微软雅黑" w:cs="微软雅黑"/>
                <w:i w:val="0"/>
                <w:iCs w:val="0"/>
                <w:snapToGrid w:val="0"/>
                <w:color w:val="000000"/>
                <w:kern w:val="0"/>
                <w:sz w:val="20"/>
                <w:szCs w:val="20"/>
                <w:u w:val="none"/>
                <w:lang w:val="en-US" w:eastAsia="zh-CN" w:bidi="ar"/>
              </w:rPr>
              <w:t>40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FC3D">
            <w:pPr>
              <w:keepNext w:val="0"/>
              <w:keepLines w:val="0"/>
              <w:widowControl/>
              <w:suppressLineNumbers w:val="0"/>
              <w:jc w:val="both"/>
              <w:textAlignment w:val="center"/>
              <w:rPr>
                <w:rFonts w:hint="default" w:ascii="宋体" w:hAnsi="宋体" w:eastAsia="宋体" w:cs="宋体"/>
                <w:i w:val="0"/>
                <w:iCs w:val="0"/>
                <w:color w:val="000000"/>
                <w:sz w:val="21"/>
                <w:szCs w:val="21"/>
                <w:u w:val="none"/>
                <w:lang w:val="en-US"/>
              </w:rPr>
            </w:pPr>
            <w:r>
              <w:rPr>
                <w:rFonts w:hint="eastAsia" w:ascii="宋体" w:hAnsi="宋体" w:cs="宋体"/>
                <w:i w:val="0"/>
                <w:iCs w:val="0"/>
                <w:color w:val="000000"/>
                <w:kern w:val="0"/>
                <w:sz w:val="20"/>
                <w:szCs w:val="20"/>
                <w:u w:val="none"/>
                <w:lang w:val="en-US" w:eastAsia="zh-CN" w:bidi="ar"/>
              </w:rPr>
              <w:t>根据投标文件中的“技术要求响应、偏离表”，</w:t>
            </w:r>
            <w:r>
              <w:rPr>
                <w:rFonts w:hint="eastAsia" w:ascii="宋体" w:hAnsi="宋体" w:eastAsia="宋体" w:cs="宋体"/>
                <w:i w:val="0"/>
                <w:iCs w:val="0"/>
                <w:color w:val="000000"/>
                <w:kern w:val="0"/>
                <w:sz w:val="20"/>
                <w:szCs w:val="20"/>
                <w:u w:val="none"/>
                <w:lang w:val="en-US" w:eastAsia="zh-CN" w:bidi="ar"/>
              </w:rPr>
              <w:t>投标人完全满足招标文件(第五章)采购需求的全部技术</w:t>
            </w:r>
            <w:r>
              <w:rPr>
                <w:rFonts w:hint="eastAsia" w:ascii="宋体" w:hAnsi="宋体" w:cs="宋体"/>
                <w:i w:val="0"/>
                <w:iCs w:val="0"/>
                <w:color w:val="000000"/>
                <w:kern w:val="0"/>
                <w:sz w:val="20"/>
                <w:szCs w:val="20"/>
                <w:u w:val="none"/>
                <w:lang w:val="en-US" w:eastAsia="zh-CN" w:bidi="ar"/>
              </w:rPr>
              <w:t>要求</w:t>
            </w:r>
            <w:r>
              <w:rPr>
                <w:rFonts w:hint="eastAsia" w:ascii="宋体" w:hAnsi="宋体" w:eastAsia="宋体" w:cs="宋体"/>
                <w:i w:val="0"/>
                <w:iCs w:val="0"/>
                <w:color w:val="000000"/>
                <w:kern w:val="0"/>
                <w:sz w:val="20"/>
                <w:szCs w:val="20"/>
                <w:u w:val="none"/>
                <w:lang w:val="en-US" w:eastAsia="zh-CN" w:bidi="ar"/>
              </w:rPr>
              <w:t>的计</w:t>
            </w:r>
            <w:r>
              <w:rPr>
                <w:rFonts w:hint="eastAsia" w:ascii="宋体" w:hAnsi="宋体" w:cs="宋体"/>
                <w:i w:val="0"/>
                <w:iCs w:val="0"/>
                <w:color w:val="000000"/>
                <w:kern w:val="0"/>
                <w:sz w:val="20"/>
                <w:szCs w:val="20"/>
                <w:u w:val="none"/>
                <w:lang w:val="en-US" w:eastAsia="zh-CN" w:bidi="ar"/>
              </w:rPr>
              <w:t>40</w:t>
            </w:r>
            <w:r>
              <w:rPr>
                <w:rFonts w:hint="eastAsia" w:ascii="宋体" w:hAnsi="宋体" w:eastAsia="宋体" w:cs="宋体"/>
                <w:i w:val="0"/>
                <w:iCs w:val="0"/>
                <w:color w:val="000000"/>
                <w:kern w:val="0"/>
                <w:sz w:val="20"/>
                <w:szCs w:val="20"/>
                <w:u w:val="none"/>
                <w:lang w:val="en-US" w:eastAsia="zh-CN" w:bidi="ar"/>
              </w:rPr>
              <w:t>分，每有一条不满足扣</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分，扣完为止。</w:t>
            </w:r>
          </w:p>
        </w:tc>
      </w:tr>
      <w:tr w14:paraId="4F225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57" w:type="dxa"/>
            <w:vMerge w:val="continue"/>
            <w:tcBorders>
              <w:left w:val="single" w:color="000000" w:sz="4" w:space="0"/>
              <w:right w:val="single" w:color="000000" w:sz="4" w:space="0"/>
            </w:tcBorders>
            <w:shd w:val="clear" w:color="auto" w:fill="auto"/>
            <w:vAlign w:val="center"/>
          </w:tcPr>
          <w:p w14:paraId="3FF7D6AD">
            <w:pPr>
              <w:jc w:val="center"/>
              <w:rPr>
                <w:rFonts w:hint="eastAsia" w:ascii="宋体" w:hAnsi="宋体" w:eastAsia="宋体" w:cs="宋体"/>
                <w:i w:val="0"/>
                <w:iCs w:val="0"/>
                <w:color w:val="000000"/>
                <w:sz w:val="21"/>
                <w:szCs w:val="2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C7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实施方案</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F43D">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微软雅黑" w:hAnsi="微软雅黑" w:eastAsia="微软雅黑" w:cs="微软雅黑"/>
                <w:i w:val="0"/>
                <w:iCs w:val="0"/>
                <w:snapToGrid w:val="0"/>
                <w:color w:val="000000"/>
                <w:kern w:val="0"/>
                <w:sz w:val="20"/>
                <w:szCs w:val="20"/>
                <w:u w:val="none"/>
                <w:lang w:val="en-US" w:eastAsia="zh-CN" w:bidi="ar"/>
              </w:rPr>
              <w:t>20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3915">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依据投标人所提供的实施方案予以计分，实施组织方案包括但不限于以下方面：（1）项目实施团队的配置；（2）项目实施计划的安排；（3）项目进度保障的措施；（4）项目质量保障措施。</w:t>
            </w:r>
          </w:p>
          <w:p w14:paraId="684EC481">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若方案描述清晰、合理且符合项目要求，则给予</w:t>
            </w:r>
            <w:r>
              <w:rPr>
                <w:rFonts w:hint="eastAsia" w:ascii="宋体" w:hAnsi="宋体" w:cs="宋体"/>
                <w:i w:val="0"/>
                <w:iCs w:val="0"/>
                <w:color w:val="000000"/>
                <w:kern w:val="0"/>
                <w:sz w:val="20"/>
                <w:szCs w:val="20"/>
                <w:u w:val="none"/>
                <w:lang w:val="en-US" w:eastAsia="zh-CN" w:bidi="ar"/>
              </w:rPr>
              <w:t>20</w:t>
            </w:r>
            <w:r>
              <w:rPr>
                <w:rFonts w:hint="eastAsia" w:ascii="宋体" w:hAnsi="宋体" w:eastAsia="宋体" w:cs="宋体"/>
                <w:i w:val="0"/>
                <w:iCs w:val="0"/>
                <w:color w:val="000000"/>
                <w:kern w:val="0"/>
                <w:sz w:val="20"/>
                <w:szCs w:val="20"/>
                <w:u w:val="none"/>
                <w:lang w:val="en-US" w:eastAsia="zh-CN" w:bidi="ar"/>
              </w:rPr>
              <w:t>分；若存在内容漏项情形，每项扣</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分；若内容存在缺陷，每处扣</w:t>
            </w:r>
            <w:r>
              <w:rPr>
                <w:rFonts w:hint="eastAsia" w:ascii="宋体" w:hAnsi="宋体" w:cs="宋体"/>
                <w:i w:val="0"/>
                <w:iCs w:val="0"/>
                <w:color w:val="000000"/>
                <w:kern w:val="0"/>
                <w:sz w:val="20"/>
                <w:szCs w:val="20"/>
                <w:highlight w:val="yellow"/>
                <w:u w:val="none"/>
                <w:lang w:val="en-US" w:eastAsia="zh-CN" w:bidi="ar"/>
              </w:rPr>
              <w:t>2.5</w:t>
            </w:r>
            <w:r>
              <w:rPr>
                <w:rFonts w:hint="eastAsia" w:ascii="宋体" w:hAnsi="宋体" w:eastAsia="宋体" w:cs="宋体"/>
                <w:i w:val="0"/>
                <w:iCs w:val="0"/>
                <w:color w:val="000000"/>
                <w:kern w:val="0"/>
                <w:sz w:val="20"/>
                <w:szCs w:val="20"/>
                <w:u w:val="none"/>
                <w:lang w:val="en-US" w:eastAsia="zh-CN" w:bidi="ar"/>
              </w:rPr>
              <w:t>分，直至扣完分数为止。</w:t>
            </w:r>
          </w:p>
          <w:p w14:paraId="5B173599">
            <w:pPr>
              <w:pStyle w:val="42"/>
              <w:ind w:left="0" w:leftChars="0" w:firstLine="0" w:firstLineChars="0"/>
              <w:rPr>
                <w:rFonts w:hint="eastAsia"/>
              </w:rPr>
            </w:pPr>
            <w:r>
              <w:rPr>
                <w:rFonts w:hint="eastAsia" w:ascii="宋体" w:hAnsi="宋体" w:eastAsia="宋体" w:cs="宋体"/>
                <w:i w:val="0"/>
                <w:iCs w:val="0"/>
                <w:color w:val="000000"/>
                <w:kern w:val="0"/>
                <w:sz w:val="20"/>
                <w:szCs w:val="20"/>
                <w:u w:val="none"/>
                <w:lang w:val="en-US" w:eastAsia="zh-CN" w:bidi="ar"/>
              </w:rPr>
              <w:t>注：缺陷是指符合以下任意一项:1.方案内容与项目需求不一致或没有关联性；2.条理不清晰；3.方案内容与本项目实际情况存在差异性；4.内容空洞、语义表述不清 ,前后矛盾，存在歧义、混乱内容不充实。</w:t>
            </w:r>
          </w:p>
        </w:tc>
      </w:tr>
      <w:tr w14:paraId="34AAF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vMerge w:val="continue"/>
            <w:tcBorders>
              <w:left w:val="single" w:color="000000" w:sz="4" w:space="0"/>
              <w:right w:val="single" w:color="000000" w:sz="4" w:space="0"/>
            </w:tcBorders>
            <w:shd w:val="clear" w:color="auto" w:fill="auto"/>
            <w:vAlign w:val="center"/>
          </w:tcPr>
          <w:p w14:paraId="201444AB">
            <w:pPr>
              <w:jc w:val="center"/>
              <w:rPr>
                <w:rFonts w:hint="eastAsia" w:ascii="宋体" w:hAnsi="宋体" w:eastAsia="宋体" w:cs="宋体"/>
                <w:i w:val="0"/>
                <w:iCs w:val="0"/>
                <w:color w:val="000000"/>
                <w:sz w:val="21"/>
                <w:szCs w:val="2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9CC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培训方案</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EBDB2">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微软雅黑" w:hAnsi="微软雅黑" w:eastAsia="微软雅黑" w:cs="微软雅黑"/>
                <w:i w:val="0"/>
                <w:iCs w:val="0"/>
                <w:snapToGrid w:val="0"/>
                <w:color w:val="000000"/>
                <w:kern w:val="0"/>
                <w:sz w:val="20"/>
                <w:szCs w:val="20"/>
                <w:u w:val="none"/>
                <w:lang w:val="en-US" w:eastAsia="zh-CN" w:bidi="ar"/>
              </w:rPr>
              <w:t>20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1910">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依据投标人所提供的培训方案予以计分，培训方案包括但不限于以下方面：(1)培训计划；(2)培训内容（课程安排）；（3）培训方式；(4)培训管理措施等内容。</w:t>
            </w:r>
          </w:p>
          <w:p w14:paraId="6D394F7C">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若方案描述清晰、合理且符合项目要求，则给予</w:t>
            </w:r>
            <w:r>
              <w:rPr>
                <w:rFonts w:hint="eastAsia" w:ascii="宋体" w:hAnsi="宋体" w:cs="宋体"/>
                <w:i w:val="0"/>
                <w:iCs w:val="0"/>
                <w:color w:val="000000"/>
                <w:kern w:val="0"/>
                <w:sz w:val="20"/>
                <w:szCs w:val="20"/>
                <w:u w:val="none"/>
                <w:lang w:val="en-US" w:eastAsia="zh-CN" w:bidi="ar"/>
              </w:rPr>
              <w:t>20</w:t>
            </w:r>
            <w:r>
              <w:rPr>
                <w:rFonts w:hint="eastAsia" w:ascii="宋体" w:hAnsi="宋体" w:eastAsia="宋体" w:cs="宋体"/>
                <w:i w:val="0"/>
                <w:iCs w:val="0"/>
                <w:color w:val="000000"/>
                <w:kern w:val="0"/>
                <w:sz w:val="20"/>
                <w:szCs w:val="20"/>
                <w:u w:val="none"/>
                <w:lang w:val="en-US" w:eastAsia="zh-CN" w:bidi="ar"/>
              </w:rPr>
              <w:t>分；若存在内容漏项情形，每项扣</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分；若内容存在缺陷，每处扣</w:t>
            </w:r>
            <w:r>
              <w:rPr>
                <w:rFonts w:hint="eastAsia" w:ascii="宋体" w:hAnsi="宋体" w:cs="宋体"/>
                <w:i w:val="0"/>
                <w:iCs w:val="0"/>
                <w:color w:val="000000"/>
                <w:kern w:val="0"/>
                <w:sz w:val="20"/>
                <w:szCs w:val="20"/>
                <w:highlight w:val="yellow"/>
                <w:u w:val="none"/>
                <w:lang w:val="en-US" w:eastAsia="zh-CN" w:bidi="ar"/>
              </w:rPr>
              <w:t>2.5</w:t>
            </w:r>
            <w:r>
              <w:rPr>
                <w:rFonts w:hint="eastAsia" w:ascii="宋体" w:hAnsi="宋体" w:eastAsia="宋体" w:cs="宋体"/>
                <w:i w:val="0"/>
                <w:iCs w:val="0"/>
                <w:color w:val="000000"/>
                <w:kern w:val="0"/>
                <w:sz w:val="20"/>
                <w:szCs w:val="20"/>
                <w:u w:val="none"/>
                <w:lang w:val="en-US" w:eastAsia="zh-CN" w:bidi="ar"/>
              </w:rPr>
              <w:t>分，直至扣完分数为止。</w:t>
            </w:r>
          </w:p>
          <w:p w14:paraId="6D844732">
            <w:pPr>
              <w:pStyle w:val="42"/>
              <w:ind w:left="0" w:leftChars="0" w:firstLine="0" w:firstLineChars="0"/>
              <w:rPr>
                <w:rFonts w:hint="eastAsia"/>
              </w:rPr>
            </w:pPr>
            <w:r>
              <w:rPr>
                <w:rFonts w:hint="eastAsia" w:ascii="宋体" w:hAnsi="宋体" w:eastAsia="宋体" w:cs="宋体"/>
                <w:i w:val="0"/>
                <w:iCs w:val="0"/>
                <w:color w:val="000000"/>
                <w:kern w:val="0"/>
                <w:sz w:val="20"/>
                <w:szCs w:val="20"/>
                <w:u w:val="none"/>
                <w:lang w:val="en-US" w:eastAsia="zh-CN" w:bidi="ar"/>
              </w:rPr>
              <w:t>注：缺陷是指符合以下任意一项:1.方案内容与项目需求不一致或没有关联性；2.条理不清晰；3.方案内容与本项目实际情况存在差异性；4.内容空洞、语义表述不清 ,前后矛盾，存在歧义、混乱内容不充实。</w:t>
            </w:r>
          </w:p>
        </w:tc>
      </w:tr>
      <w:tr w14:paraId="55101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vMerge w:val="continue"/>
            <w:tcBorders>
              <w:left w:val="single" w:color="000000" w:sz="4" w:space="0"/>
              <w:bottom w:val="nil"/>
              <w:right w:val="single" w:color="000000" w:sz="4" w:space="0"/>
            </w:tcBorders>
            <w:shd w:val="clear" w:color="auto" w:fill="auto"/>
            <w:vAlign w:val="center"/>
          </w:tcPr>
          <w:p w14:paraId="7459D247">
            <w:pPr>
              <w:jc w:val="center"/>
              <w:rPr>
                <w:rFonts w:hint="eastAsia" w:ascii="宋体" w:hAnsi="宋体" w:eastAsia="宋体" w:cs="宋体"/>
                <w:i w:val="0"/>
                <w:iCs w:val="0"/>
                <w:color w:val="000000"/>
                <w:sz w:val="21"/>
                <w:szCs w:val="2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093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售后</w:t>
            </w:r>
            <w:r>
              <w:rPr>
                <w:rFonts w:hint="eastAsia" w:ascii="宋体" w:hAnsi="宋体" w:cs="宋体"/>
                <w:i w:val="0"/>
                <w:iCs w:val="0"/>
                <w:snapToGrid w:val="0"/>
                <w:color w:val="000000"/>
                <w:kern w:val="0"/>
                <w:sz w:val="21"/>
                <w:szCs w:val="21"/>
                <w:u w:val="none"/>
                <w:lang w:val="en-US" w:eastAsia="zh-CN" w:bidi="ar"/>
              </w:rPr>
              <w:t>运维</w:t>
            </w:r>
            <w:r>
              <w:rPr>
                <w:rFonts w:hint="eastAsia" w:ascii="宋体" w:hAnsi="宋体" w:eastAsia="宋体" w:cs="宋体"/>
                <w:i w:val="0"/>
                <w:iCs w:val="0"/>
                <w:snapToGrid w:val="0"/>
                <w:color w:val="000000"/>
                <w:kern w:val="0"/>
                <w:sz w:val="21"/>
                <w:szCs w:val="21"/>
                <w:u w:val="none"/>
                <w:lang w:val="en-US" w:eastAsia="zh-CN" w:bidi="ar"/>
              </w:rPr>
              <w:t>服务方案</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B886">
            <w:pPr>
              <w:keepNext w:val="0"/>
              <w:keepLines w:val="0"/>
              <w:widowControl/>
              <w:suppressLineNumbers w:val="0"/>
              <w:jc w:val="center"/>
              <w:textAlignment w:val="center"/>
              <w:rPr>
                <w:rFonts w:hint="default" w:ascii="微软雅黑" w:hAnsi="微软雅黑" w:eastAsia="微软雅黑" w:cs="微软雅黑"/>
                <w:i w:val="0"/>
                <w:iCs w:val="0"/>
                <w:snapToGrid w:val="0"/>
                <w:color w:val="000000"/>
                <w:kern w:val="0"/>
                <w:sz w:val="20"/>
                <w:szCs w:val="20"/>
                <w:u w:val="none"/>
                <w:lang w:val="en-US" w:eastAsia="zh-CN" w:bidi="ar"/>
              </w:rPr>
            </w:pPr>
            <w:r>
              <w:rPr>
                <w:rFonts w:hint="eastAsia" w:ascii="微软雅黑" w:hAnsi="微软雅黑" w:eastAsia="微软雅黑" w:cs="微软雅黑"/>
                <w:i w:val="0"/>
                <w:iCs w:val="0"/>
                <w:snapToGrid w:val="0"/>
                <w:color w:val="000000"/>
                <w:kern w:val="0"/>
                <w:sz w:val="20"/>
                <w:szCs w:val="20"/>
                <w:u w:val="none"/>
                <w:lang w:val="en-US" w:eastAsia="zh-CN" w:bidi="ar"/>
              </w:rPr>
              <w:t>20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E4A72">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依据投标人所提供的售后服务方案予以计分，售后服务方案包括但不限于以下方面：(1)售后服务体系；（2）售后服务团队；（3）售后服务响应计划；（4）售后服务保障措施。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若方案描述清晰、合理且符合项目要求，则给予</w:t>
            </w:r>
            <w:r>
              <w:rPr>
                <w:rFonts w:hint="eastAsia" w:ascii="宋体" w:hAnsi="宋体" w:cs="宋体"/>
                <w:i w:val="0"/>
                <w:iCs w:val="0"/>
                <w:color w:val="000000"/>
                <w:kern w:val="0"/>
                <w:sz w:val="20"/>
                <w:szCs w:val="20"/>
                <w:u w:val="none"/>
                <w:lang w:val="en-US" w:eastAsia="zh-CN" w:bidi="ar"/>
              </w:rPr>
              <w:t>20</w:t>
            </w:r>
            <w:r>
              <w:rPr>
                <w:rFonts w:hint="eastAsia" w:ascii="宋体" w:hAnsi="宋体" w:eastAsia="宋体" w:cs="宋体"/>
                <w:i w:val="0"/>
                <w:iCs w:val="0"/>
                <w:color w:val="000000"/>
                <w:kern w:val="0"/>
                <w:sz w:val="20"/>
                <w:szCs w:val="20"/>
                <w:u w:val="none"/>
                <w:lang w:val="en-US" w:eastAsia="zh-CN" w:bidi="ar"/>
              </w:rPr>
              <w:t>分；若存在内容漏项情形，每项扣</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分；若内容存在缺陷，每处扣</w:t>
            </w:r>
            <w:r>
              <w:rPr>
                <w:rFonts w:hint="eastAsia" w:ascii="宋体" w:hAnsi="宋体" w:cs="宋体"/>
                <w:i w:val="0"/>
                <w:iCs w:val="0"/>
                <w:color w:val="000000"/>
                <w:kern w:val="0"/>
                <w:sz w:val="20"/>
                <w:szCs w:val="20"/>
                <w:highlight w:val="yellow"/>
                <w:u w:val="none"/>
                <w:lang w:val="en-US" w:eastAsia="zh-CN" w:bidi="ar"/>
              </w:rPr>
              <w:t>2.5</w:t>
            </w:r>
            <w:r>
              <w:rPr>
                <w:rFonts w:hint="eastAsia" w:ascii="宋体" w:hAnsi="宋体" w:eastAsia="宋体" w:cs="宋体"/>
                <w:i w:val="0"/>
                <w:iCs w:val="0"/>
                <w:color w:val="000000"/>
                <w:kern w:val="0"/>
                <w:sz w:val="20"/>
                <w:szCs w:val="20"/>
                <w:u w:val="none"/>
                <w:lang w:val="en-US" w:eastAsia="zh-CN" w:bidi="ar"/>
              </w:rPr>
              <w:t>分，直至扣完分数为止。</w:t>
            </w:r>
          </w:p>
          <w:p w14:paraId="3A46BEA2">
            <w:pPr>
              <w:pStyle w:val="42"/>
              <w:ind w:left="0" w:leftChars="0" w:firstLine="0" w:firstLineChars="0"/>
              <w:rPr>
                <w:rFonts w:hint="eastAsia"/>
                <w:lang w:val="en-US" w:eastAsia="zh-CN"/>
              </w:rPr>
            </w:pPr>
            <w:r>
              <w:rPr>
                <w:rFonts w:hint="eastAsia" w:ascii="宋体" w:hAnsi="宋体" w:eastAsia="宋体" w:cs="宋体"/>
                <w:i w:val="0"/>
                <w:iCs w:val="0"/>
                <w:color w:val="000000"/>
                <w:kern w:val="0"/>
                <w:sz w:val="20"/>
                <w:szCs w:val="20"/>
                <w:u w:val="none"/>
                <w:lang w:val="en-US" w:eastAsia="zh-CN" w:bidi="ar"/>
              </w:rPr>
              <w:t>注：缺陷是指符合以下任意一项:1.方案内容与项目需求不一致或没有关联性；2.条理不清晰；3.方案内容与本项目实际情况存在差异性；4.内容空洞、语义表述不清 ,前后矛盾，存在歧义、混乱内容不充实。</w:t>
            </w:r>
          </w:p>
        </w:tc>
      </w:tr>
      <w:tr w14:paraId="44E37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vMerge w:val="restart"/>
            <w:tcBorders>
              <w:top w:val="single" w:color="000000" w:sz="4" w:space="0"/>
              <w:left w:val="single" w:color="000000" w:sz="4" w:space="0"/>
              <w:right w:val="single" w:color="000000" w:sz="4" w:space="0"/>
            </w:tcBorders>
            <w:shd w:val="clear" w:color="auto" w:fill="auto"/>
            <w:vAlign w:val="center"/>
          </w:tcPr>
          <w:p w14:paraId="1262B3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商务部分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98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color w:val="000000"/>
                <w:sz w:val="21"/>
                <w:szCs w:val="21"/>
                <w:u w:val="none"/>
              </w:rPr>
              <w:t>采购需求</w:t>
            </w:r>
            <w:r>
              <w:rPr>
                <w:rFonts w:hint="eastAsia" w:ascii="宋体" w:hAnsi="宋体" w:cs="宋体"/>
                <w:i w:val="0"/>
                <w:iCs w:val="0"/>
                <w:color w:val="000000"/>
                <w:sz w:val="21"/>
                <w:szCs w:val="21"/>
                <w:u w:val="none"/>
                <w:lang w:val="en-US" w:eastAsia="zh-CN"/>
              </w:rPr>
              <w:t>商务要求的</w:t>
            </w:r>
            <w:r>
              <w:rPr>
                <w:rFonts w:hint="eastAsia" w:ascii="宋体" w:hAnsi="宋体" w:eastAsia="宋体" w:cs="宋体"/>
                <w:i w:val="0"/>
                <w:iCs w:val="0"/>
                <w:color w:val="000000"/>
                <w:sz w:val="21"/>
                <w:szCs w:val="21"/>
                <w:u w:val="none"/>
              </w:rPr>
              <w:t>响应</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EA8F">
            <w:pPr>
              <w:keepNext w:val="0"/>
              <w:keepLines w:val="0"/>
              <w:widowControl/>
              <w:suppressLineNumbers w:val="0"/>
              <w:jc w:val="center"/>
              <w:textAlignment w:val="center"/>
              <w:rPr>
                <w:rFonts w:hint="default" w:ascii="微软雅黑" w:hAnsi="微软雅黑" w:eastAsia="微软雅黑" w:cs="微软雅黑"/>
                <w:i w:val="0"/>
                <w:iCs w:val="0"/>
                <w:snapToGrid w:val="0"/>
                <w:color w:val="000000"/>
                <w:kern w:val="0"/>
                <w:sz w:val="20"/>
                <w:szCs w:val="20"/>
                <w:u w:val="none"/>
                <w:lang w:val="en-US" w:eastAsia="zh-CN" w:bidi="ar"/>
              </w:rPr>
            </w:pPr>
            <w:r>
              <w:rPr>
                <w:rFonts w:hint="eastAsia" w:ascii="微软雅黑" w:hAnsi="微软雅黑" w:eastAsia="微软雅黑" w:cs="微软雅黑"/>
                <w:i w:val="0"/>
                <w:iCs w:val="0"/>
                <w:snapToGrid w:val="0"/>
                <w:color w:val="000000"/>
                <w:kern w:val="0"/>
                <w:sz w:val="20"/>
                <w:szCs w:val="20"/>
                <w:u w:val="none"/>
                <w:lang w:val="en-US" w:eastAsia="zh-CN" w:bidi="ar"/>
              </w:rPr>
              <w:t>25</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0FB3E">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根据投标文件中的“商务条款响应、偏离表”，</w:t>
            </w:r>
            <w:r>
              <w:rPr>
                <w:rFonts w:hint="eastAsia" w:ascii="宋体" w:hAnsi="宋体" w:eastAsia="宋体" w:cs="宋体"/>
                <w:i w:val="0"/>
                <w:iCs w:val="0"/>
                <w:color w:val="000000"/>
                <w:kern w:val="0"/>
                <w:sz w:val="20"/>
                <w:szCs w:val="20"/>
                <w:u w:val="none"/>
                <w:lang w:val="en-US" w:eastAsia="zh-CN" w:bidi="ar"/>
              </w:rPr>
              <w:t>投标人完全满足招标文件(第五章)采购需求的全部</w:t>
            </w:r>
            <w:r>
              <w:rPr>
                <w:rFonts w:hint="eastAsia" w:ascii="宋体" w:hAnsi="宋体" w:cs="宋体"/>
                <w:i w:val="0"/>
                <w:iCs w:val="0"/>
                <w:color w:val="000000"/>
                <w:kern w:val="0"/>
                <w:sz w:val="20"/>
                <w:szCs w:val="20"/>
                <w:u w:val="none"/>
                <w:lang w:val="en-US" w:eastAsia="zh-CN" w:bidi="ar"/>
              </w:rPr>
              <w:t>商务要求</w:t>
            </w:r>
            <w:r>
              <w:rPr>
                <w:rFonts w:hint="eastAsia" w:ascii="宋体" w:hAnsi="宋体" w:eastAsia="宋体" w:cs="宋体"/>
                <w:i w:val="0"/>
                <w:iCs w:val="0"/>
                <w:color w:val="000000"/>
                <w:kern w:val="0"/>
                <w:sz w:val="20"/>
                <w:szCs w:val="20"/>
                <w:u w:val="none"/>
                <w:lang w:val="en-US" w:eastAsia="zh-CN" w:bidi="ar"/>
              </w:rPr>
              <w:t>的计</w:t>
            </w:r>
            <w:r>
              <w:rPr>
                <w:rFonts w:hint="eastAsia" w:ascii="宋体" w:hAnsi="宋体" w:cs="宋体"/>
                <w:i w:val="0"/>
                <w:iCs w:val="0"/>
                <w:color w:val="000000"/>
                <w:kern w:val="0"/>
                <w:sz w:val="20"/>
                <w:szCs w:val="20"/>
                <w:u w:val="none"/>
                <w:lang w:val="en-US" w:eastAsia="zh-CN" w:bidi="ar"/>
              </w:rPr>
              <w:t>25</w:t>
            </w:r>
            <w:r>
              <w:rPr>
                <w:rFonts w:hint="eastAsia" w:ascii="宋体" w:hAnsi="宋体" w:eastAsia="宋体" w:cs="宋体"/>
                <w:i w:val="0"/>
                <w:iCs w:val="0"/>
                <w:color w:val="000000"/>
                <w:kern w:val="0"/>
                <w:sz w:val="20"/>
                <w:szCs w:val="20"/>
                <w:u w:val="none"/>
                <w:lang w:val="en-US" w:eastAsia="zh-CN" w:bidi="ar"/>
              </w:rPr>
              <w:t>分，每有一条不满足扣</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分，扣完为止。</w:t>
            </w:r>
          </w:p>
        </w:tc>
      </w:tr>
      <w:tr w14:paraId="3B067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vMerge w:val="continue"/>
            <w:tcBorders>
              <w:left w:val="single" w:color="000000" w:sz="4" w:space="0"/>
              <w:right w:val="single" w:color="000000" w:sz="4" w:space="0"/>
            </w:tcBorders>
            <w:shd w:val="clear" w:color="auto" w:fill="auto"/>
            <w:vAlign w:val="center"/>
          </w:tcPr>
          <w:p w14:paraId="02D86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7C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snapToGrid w:val="0"/>
                <w:color w:val="000000"/>
                <w:kern w:val="0"/>
                <w:sz w:val="21"/>
                <w:szCs w:val="21"/>
                <w:u w:val="none"/>
                <w:lang w:val="en-US" w:eastAsia="zh-CN" w:bidi="ar"/>
              </w:rPr>
              <w:t>投标人</w:t>
            </w:r>
            <w:r>
              <w:rPr>
                <w:rFonts w:hint="eastAsia" w:ascii="宋体" w:hAnsi="宋体" w:eastAsia="宋体" w:cs="宋体"/>
                <w:i w:val="0"/>
                <w:iCs w:val="0"/>
                <w:snapToGrid w:val="0"/>
                <w:color w:val="000000"/>
                <w:kern w:val="0"/>
                <w:sz w:val="21"/>
                <w:szCs w:val="21"/>
                <w:u w:val="none"/>
                <w:lang w:val="en-US" w:eastAsia="zh-CN" w:bidi="ar"/>
              </w:rPr>
              <w:t>综合实力</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D3C5">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微软雅黑" w:hAnsi="微软雅黑" w:eastAsia="微软雅黑" w:cs="微软雅黑"/>
                <w:i w:val="0"/>
                <w:iCs w:val="0"/>
                <w:snapToGrid w:val="0"/>
                <w:color w:val="000000"/>
                <w:kern w:val="0"/>
                <w:sz w:val="20"/>
                <w:szCs w:val="20"/>
                <w:u w:val="none"/>
                <w:lang w:val="en-US" w:eastAsia="zh-CN" w:bidi="ar"/>
              </w:rPr>
              <w:t>35</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D363">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（1）投标人具有国家工业和信息化部(原国家信息产业部)颁发的《基础电信业务经营许可证》，计1</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2</w:t>
            </w:r>
            <w:r>
              <w:rPr>
                <w:rFonts w:hint="eastAsia" w:ascii="宋体" w:hAnsi="宋体" w:eastAsia="宋体" w:cs="宋体"/>
                <w:i w:val="0"/>
                <w:iCs w:val="0"/>
                <w:color w:val="000000"/>
                <w:kern w:val="0"/>
                <w:sz w:val="20"/>
                <w:szCs w:val="20"/>
                <w:highlight w:val="none"/>
                <w:u w:val="none"/>
                <w:lang w:val="en-US" w:eastAsia="zh-CN" w:bidi="ar"/>
              </w:rPr>
              <w:t>）投标人具有以下体系认证：质量管理体系认证、环境管理体系认证、职业健康管理体系认证、</w:t>
            </w:r>
            <w:r>
              <w:rPr>
                <w:rFonts w:hint="eastAsia" w:ascii="宋体" w:hAnsi="宋体" w:eastAsia="宋体" w:cs="宋体"/>
                <w:i w:val="0"/>
                <w:iCs w:val="0"/>
                <w:color w:val="000000"/>
                <w:kern w:val="0"/>
                <w:sz w:val="20"/>
                <w:szCs w:val="20"/>
                <w:u w:val="none"/>
                <w:lang w:val="en-US" w:eastAsia="zh-CN" w:bidi="ar"/>
              </w:rPr>
              <w:t>信息安全管理体系认证、信息技术服务管理体系认证，每提供一个计</w:t>
            </w:r>
            <w:r>
              <w:rPr>
                <w:rFonts w:hint="eastAsia" w:ascii="宋体" w:hAnsi="宋体" w:cs="宋体"/>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分，最多计1</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w:t>
            </w:r>
          </w:p>
          <w:p w14:paraId="066B6DC7">
            <w:pPr>
              <w:keepNext w:val="0"/>
              <w:keepLines w:val="0"/>
              <w:widowControl/>
              <w:suppressLineNumbers w:val="0"/>
              <w:jc w:val="both"/>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注：</w:t>
            </w:r>
            <w:r>
              <w:rPr>
                <w:rFonts w:hint="eastAsia" w:ascii="宋体" w:hAnsi="宋体" w:eastAsia="宋体" w:cs="宋体"/>
                <w:i w:val="0"/>
                <w:iCs w:val="0"/>
                <w:color w:val="000000"/>
                <w:kern w:val="0"/>
                <w:sz w:val="20"/>
                <w:szCs w:val="20"/>
                <w:u w:val="none"/>
                <w:lang w:val="en-US" w:eastAsia="zh-CN" w:bidi="ar"/>
              </w:rPr>
              <w:t>提供投标人或其总公司或其总公司的</w:t>
            </w:r>
            <w:r>
              <w:rPr>
                <w:rFonts w:hint="eastAsia" w:ascii="宋体" w:hAnsi="宋体" w:cs="宋体"/>
                <w:i w:val="0"/>
                <w:iCs w:val="0"/>
                <w:color w:val="000000"/>
                <w:kern w:val="0"/>
                <w:sz w:val="20"/>
                <w:szCs w:val="20"/>
                <w:u w:val="none"/>
                <w:lang w:val="en-US" w:eastAsia="zh-CN" w:bidi="ar"/>
              </w:rPr>
              <w:t>全资</w:t>
            </w:r>
            <w:r>
              <w:rPr>
                <w:rFonts w:hint="eastAsia" w:ascii="宋体" w:hAnsi="宋体" w:eastAsia="宋体" w:cs="宋体"/>
                <w:i w:val="0"/>
                <w:iCs w:val="0"/>
                <w:color w:val="000000"/>
                <w:kern w:val="0"/>
                <w:sz w:val="20"/>
                <w:szCs w:val="20"/>
                <w:u w:val="none"/>
                <w:lang w:val="en-US" w:eastAsia="zh-CN" w:bidi="ar"/>
              </w:rPr>
              <w:t>子公司名称一致且在有效期内的相关证明材料复印件并加盖</w:t>
            </w:r>
            <w:r>
              <w:rPr>
                <w:rFonts w:hint="eastAsia" w:ascii="宋体" w:hAnsi="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none"/>
                <w:lang w:val="en-US" w:eastAsia="zh-CN" w:bidi="ar"/>
              </w:rPr>
              <w:t>公章，否则不计分。</w:t>
            </w:r>
          </w:p>
        </w:tc>
      </w:tr>
      <w:tr w14:paraId="765F2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vMerge w:val="continue"/>
            <w:tcBorders>
              <w:left w:val="single" w:color="000000" w:sz="4" w:space="0"/>
              <w:right w:val="single" w:color="000000" w:sz="4" w:space="0"/>
            </w:tcBorders>
            <w:shd w:val="clear" w:color="auto" w:fill="auto"/>
            <w:vAlign w:val="center"/>
          </w:tcPr>
          <w:p w14:paraId="521AC4D8">
            <w:pPr>
              <w:jc w:val="center"/>
              <w:rPr>
                <w:rFonts w:hint="eastAsia" w:ascii="宋体" w:hAnsi="宋体" w:eastAsia="宋体" w:cs="宋体"/>
                <w:i w:val="0"/>
                <w:iCs w:val="0"/>
                <w:color w:val="000000"/>
                <w:sz w:val="21"/>
                <w:szCs w:val="2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CEA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服务团队</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CF576">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微软雅黑" w:hAnsi="微软雅黑" w:eastAsia="微软雅黑" w:cs="微软雅黑"/>
                <w:i w:val="0"/>
                <w:iCs w:val="0"/>
                <w:snapToGrid w:val="0"/>
                <w:color w:val="000000"/>
                <w:kern w:val="0"/>
                <w:sz w:val="20"/>
                <w:szCs w:val="20"/>
                <w:u w:val="none"/>
                <w:lang w:val="en-US" w:eastAsia="zh-CN" w:bidi="ar"/>
              </w:rPr>
              <w:t>10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9910F">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为充分保障本项目的运维服务质量，投标人承诺在中标后为本项目配备的项目团队中，至少两人具备以下证书：网络工程师，计</w:t>
            </w:r>
            <w:r>
              <w:rPr>
                <w:rFonts w:hint="eastAsia" w:ascii="宋体" w:hAnsi="宋体" w:cs="宋体"/>
                <w:i w:val="0"/>
                <w:iCs w:val="0"/>
                <w:color w:val="000000"/>
                <w:kern w:val="0"/>
                <w:sz w:val="20"/>
                <w:szCs w:val="20"/>
                <w:u w:val="none"/>
                <w:lang w:val="en-US" w:eastAsia="zh-CN" w:bidi="ar"/>
              </w:rPr>
              <w:t>10</w:t>
            </w:r>
            <w:r>
              <w:rPr>
                <w:rFonts w:hint="eastAsia" w:ascii="宋体" w:hAnsi="宋体" w:eastAsia="宋体" w:cs="宋体"/>
                <w:i w:val="0"/>
                <w:iCs w:val="0"/>
                <w:color w:val="000000"/>
                <w:kern w:val="0"/>
                <w:sz w:val="20"/>
                <w:szCs w:val="20"/>
                <w:u w:val="none"/>
                <w:lang w:val="en-US" w:eastAsia="zh-CN" w:bidi="ar"/>
              </w:rPr>
              <w:t>分，不提供不计分。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注：提供</w:t>
            </w:r>
            <w:r>
              <w:rPr>
                <w:rFonts w:hint="eastAsia" w:ascii="宋体" w:hAnsi="宋体" w:cs="宋体"/>
                <w:i w:val="0"/>
                <w:iCs w:val="0"/>
                <w:color w:val="000000"/>
                <w:kern w:val="0"/>
                <w:sz w:val="20"/>
                <w:szCs w:val="20"/>
                <w:u w:val="none"/>
                <w:lang w:val="en-US" w:eastAsia="zh-CN" w:bidi="ar"/>
              </w:rPr>
              <w:t>服务团队人员承诺书，并加盖投标人公章</w:t>
            </w:r>
            <w:r>
              <w:rPr>
                <w:rFonts w:hint="eastAsia" w:ascii="宋体" w:hAnsi="宋体" w:eastAsia="宋体" w:cs="宋体"/>
                <w:i w:val="0"/>
                <w:iCs w:val="0"/>
                <w:color w:val="000000"/>
                <w:kern w:val="0"/>
                <w:sz w:val="20"/>
                <w:szCs w:val="20"/>
                <w:u w:val="none"/>
                <w:lang w:val="en-US" w:eastAsia="zh-CN" w:bidi="ar"/>
              </w:rPr>
              <w:t>。</w:t>
            </w:r>
          </w:p>
        </w:tc>
      </w:tr>
      <w:tr w14:paraId="2FADE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657" w:type="dxa"/>
            <w:vMerge w:val="continue"/>
            <w:tcBorders>
              <w:left w:val="single" w:color="000000" w:sz="4" w:space="0"/>
              <w:right w:val="single" w:color="000000" w:sz="4" w:space="0"/>
            </w:tcBorders>
            <w:shd w:val="clear" w:color="auto" w:fill="auto"/>
            <w:vAlign w:val="center"/>
          </w:tcPr>
          <w:p w14:paraId="5D753FD1">
            <w:pPr>
              <w:jc w:val="center"/>
              <w:rPr>
                <w:rFonts w:hint="eastAsia" w:ascii="宋体" w:hAnsi="宋体" w:eastAsia="宋体" w:cs="宋体"/>
                <w:i w:val="0"/>
                <w:iCs w:val="0"/>
                <w:color w:val="000000"/>
                <w:sz w:val="21"/>
                <w:szCs w:val="2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A08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类似业绩</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FA577">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微软雅黑" w:hAnsi="微软雅黑" w:eastAsia="微软雅黑" w:cs="微软雅黑"/>
                <w:i w:val="0"/>
                <w:iCs w:val="0"/>
                <w:snapToGrid w:val="0"/>
                <w:color w:val="000000"/>
                <w:kern w:val="0"/>
                <w:sz w:val="20"/>
                <w:szCs w:val="20"/>
                <w:u w:val="none"/>
                <w:lang w:val="en-US" w:eastAsia="zh-CN" w:bidi="ar"/>
              </w:rPr>
              <w:t>10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7FB0C">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投标人近三年具有类似项目业绩，每个计</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分，最多计</w:t>
            </w:r>
            <w:r>
              <w:rPr>
                <w:rFonts w:hint="eastAsia" w:ascii="宋体" w:hAnsi="宋体" w:cs="宋体"/>
                <w:i w:val="0"/>
                <w:iCs w:val="0"/>
                <w:color w:val="000000"/>
                <w:kern w:val="0"/>
                <w:sz w:val="20"/>
                <w:szCs w:val="20"/>
                <w:u w:val="none"/>
                <w:lang w:val="en-US" w:eastAsia="zh-CN" w:bidi="ar"/>
              </w:rPr>
              <w:t>10</w:t>
            </w:r>
            <w:r>
              <w:rPr>
                <w:rFonts w:hint="eastAsia" w:ascii="宋体" w:hAnsi="宋体" w:eastAsia="宋体" w:cs="宋体"/>
                <w:i w:val="0"/>
                <w:iCs w:val="0"/>
                <w:color w:val="000000"/>
                <w:kern w:val="0"/>
                <w:sz w:val="20"/>
                <w:szCs w:val="20"/>
                <w:u w:val="none"/>
                <w:lang w:val="en-US" w:eastAsia="zh-CN" w:bidi="ar"/>
              </w:rPr>
              <w:t>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注：提供完整的业绩合同扫描件并加盖投标人公章，否则不计分。</w:t>
            </w:r>
          </w:p>
        </w:tc>
      </w:tr>
      <w:tr w14:paraId="0469C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57" w:type="dxa"/>
            <w:vMerge w:val="continue"/>
            <w:tcBorders>
              <w:left w:val="single" w:color="000000" w:sz="4" w:space="0"/>
              <w:bottom w:val="single" w:color="000000" w:sz="4" w:space="0"/>
              <w:right w:val="single" w:color="000000" w:sz="4" w:space="0"/>
            </w:tcBorders>
            <w:shd w:val="clear" w:color="auto" w:fill="auto"/>
            <w:vAlign w:val="center"/>
          </w:tcPr>
          <w:p w14:paraId="524D0DF8">
            <w:pPr>
              <w:jc w:val="center"/>
              <w:rPr>
                <w:rFonts w:hint="eastAsia" w:ascii="宋体" w:hAnsi="宋体" w:eastAsia="宋体" w:cs="宋体"/>
                <w:i w:val="0"/>
                <w:iCs w:val="0"/>
                <w:color w:val="000000"/>
                <w:sz w:val="21"/>
                <w:szCs w:val="2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1B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售后服务承诺</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D031">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20</w:t>
            </w:r>
          </w:p>
        </w:tc>
        <w:tc>
          <w:tcPr>
            <w:tcW w:w="6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95EC6">
            <w:pPr>
              <w:keepNext w:val="0"/>
              <w:keepLines w:val="0"/>
              <w:widowControl/>
              <w:suppressLineNumbers w:val="0"/>
              <w:jc w:val="both"/>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投标人承诺在接到故障申告后：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1、承诺60分钟抵达现场，2小时解决问题的计</w:t>
            </w:r>
            <w:r>
              <w:rPr>
                <w:rFonts w:hint="eastAsia" w:ascii="宋体" w:hAnsi="宋体" w:cs="宋体"/>
                <w:i w:val="0"/>
                <w:iCs w:val="0"/>
                <w:color w:val="000000"/>
                <w:kern w:val="0"/>
                <w:sz w:val="20"/>
                <w:szCs w:val="20"/>
                <w:u w:val="none"/>
                <w:lang w:val="en-US" w:eastAsia="zh-CN" w:bidi="ar"/>
              </w:rPr>
              <w:t>20</w:t>
            </w:r>
            <w:r>
              <w:rPr>
                <w:rFonts w:hint="eastAsia" w:ascii="宋体" w:hAnsi="宋体" w:eastAsia="宋体" w:cs="宋体"/>
                <w:i w:val="0"/>
                <w:iCs w:val="0"/>
                <w:color w:val="000000"/>
                <w:kern w:val="0"/>
                <w:sz w:val="20"/>
                <w:szCs w:val="20"/>
                <w:u w:val="none"/>
                <w:lang w:val="en-US" w:eastAsia="zh-CN" w:bidi="ar"/>
              </w:rPr>
              <w:t>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2、承诺90分钟抵达现场，3小时解决问题的计</w:t>
            </w:r>
            <w:r>
              <w:rPr>
                <w:rFonts w:hint="eastAsia" w:ascii="宋体" w:hAnsi="宋体" w:cs="宋体"/>
                <w:i w:val="0"/>
                <w:iCs w:val="0"/>
                <w:color w:val="000000"/>
                <w:kern w:val="0"/>
                <w:sz w:val="20"/>
                <w:szCs w:val="20"/>
                <w:u w:val="none"/>
                <w:lang w:val="en-US" w:eastAsia="zh-CN" w:bidi="ar"/>
              </w:rPr>
              <w:t>15</w:t>
            </w:r>
            <w:r>
              <w:rPr>
                <w:rFonts w:hint="eastAsia" w:ascii="宋体" w:hAnsi="宋体" w:eastAsia="宋体" w:cs="宋体"/>
                <w:i w:val="0"/>
                <w:iCs w:val="0"/>
                <w:color w:val="000000"/>
                <w:kern w:val="0"/>
                <w:sz w:val="20"/>
                <w:szCs w:val="20"/>
                <w:u w:val="none"/>
                <w:lang w:val="en-US" w:eastAsia="zh-CN" w:bidi="ar"/>
              </w:rPr>
              <w:t>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3、承诺120分钟抵达现场，4小时解决问题的计</w:t>
            </w:r>
            <w:r>
              <w:rPr>
                <w:rFonts w:hint="eastAsia" w:ascii="宋体" w:hAnsi="宋体" w:cs="宋体"/>
                <w:i w:val="0"/>
                <w:iCs w:val="0"/>
                <w:color w:val="000000"/>
                <w:kern w:val="0"/>
                <w:sz w:val="20"/>
                <w:szCs w:val="20"/>
                <w:u w:val="none"/>
                <w:lang w:val="en-US" w:eastAsia="zh-CN" w:bidi="ar"/>
              </w:rPr>
              <w:t>10</w:t>
            </w:r>
            <w:r>
              <w:rPr>
                <w:rFonts w:hint="eastAsia" w:ascii="宋体" w:hAnsi="宋体" w:eastAsia="宋体" w:cs="宋体"/>
                <w:i w:val="0"/>
                <w:iCs w:val="0"/>
                <w:color w:val="000000"/>
                <w:kern w:val="0"/>
                <w:sz w:val="20"/>
                <w:szCs w:val="20"/>
                <w:u w:val="none"/>
                <w:lang w:val="en-US" w:eastAsia="zh-CN" w:bidi="ar"/>
              </w:rPr>
              <w:t>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说明：提供售后服务承诺函并加盖投标人公章，未提供不计分。</w:t>
            </w:r>
          </w:p>
        </w:tc>
      </w:tr>
    </w:tbl>
    <w:p w14:paraId="52110587">
      <w:pPr>
        <w:pStyle w:val="61"/>
      </w:pPr>
    </w:p>
    <w:p w14:paraId="088F5E79">
      <w:pPr>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val="en-US" w:eastAsia="zh-CN"/>
        </w:rPr>
        <w:t>注</w:t>
      </w:r>
      <w:r>
        <w:rPr>
          <w:rFonts w:hint="eastAsia" w:asciiTheme="minorEastAsia" w:hAnsiTheme="minorEastAsia" w:eastAsiaTheme="minorEastAsia" w:cstheme="minorEastAsia"/>
          <w:color w:val="auto"/>
          <w:szCs w:val="21"/>
          <w:lang w:eastAsia="zh-CN"/>
        </w:rPr>
        <w:t>1. 每个</w:t>
      </w:r>
      <w:r>
        <w:rPr>
          <w:rFonts w:hint="eastAsia" w:ascii="宋体" w:hAnsi="宋体" w:cs="宋体"/>
          <w:i w:val="0"/>
          <w:iCs w:val="0"/>
          <w:color w:val="000000"/>
          <w:kern w:val="0"/>
          <w:sz w:val="20"/>
          <w:szCs w:val="20"/>
          <w:u w:val="none"/>
          <w:lang w:val="en-US" w:eastAsia="zh-CN" w:bidi="ar"/>
        </w:rPr>
        <w:t>投标人</w:t>
      </w:r>
      <w:r>
        <w:rPr>
          <w:rFonts w:hint="eastAsia" w:asciiTheme="minorEastAsia" w:hAnsiTheme="minorEastAsia" w:eastAsiaTheme="minorEastAsia" w:cstheme="minorEastAsia"/>
          <w:color w:val="auto"/>
          <w:szCs w:val="21"/>
          <w:lang w:eastAsia="zh-CN"/>
        </w:rPr>
        <w:t>仅允许参与其中一个包的投标，若同时响应多个包，其所有投标均将被认定为无效。</w:t>
      </w:r>
    </w:p>
    <w:p w14:paraId="4A8E8AFD">
      <w:pPr>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eastAsia="zh-CN"/>
        </w:rPr>
        <w:t>2. 评标委员会将对包1-包3分别进行独立评审，并针对每个包单独推荐前三名排序中标候选人。</w:t>
      </w:r>
    </w:p>
    <w:p w14:paraId="143C2474">
      <w:pPr>
        <w:pStyle w:val="61"/>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zCs w:val="21"/>
          <w:lang w:eastAsia="zh-CN"/>
        </w:rPr>
        <w:t>3. 若出现得分相同的情况，将按照投标报价由低到高的顺序排列；若得分与投标报价均相同，则通过评标委员会随机抽取的方式确定最终排序。</w:t>
      </w:r>
    </w:p>
    <w:p w14:paraId="1BB70E97">
      <w:pPr>
        <w:pStyle w:val="61"/>
      </w:pPr>
    </w:p>
    <w:p w14:paraId="3EE661DC">
      <w:pPr>
        <w:pStyle w:val="61"/>
        <w:rPr>
          <w:rFonts w:hint="eastAsia" w:eastAsia="宋体"/>
          <w:lang w:eastAsia="zh-CN"/>
        </w:rPr>
      </w:pPr>
      <w:r>
        <w:rPr>
          <w:rFonts w:hint="eastAsia"/>
          <w:lang w:val="en-US" w:eastAsia="zh-CN"/>
        </w:rPr>
        <w:t>4.</w:t>
      </w:r>
      <w:r>
        <w:rPr>
          <w:rFonts w:hint="eastAsia"/>
        </w:rPr>
        <w:t>根据《&lt;中华人民共和国政府采购法实施条例&gt;释义》，银行、保险、石油石化、电力、电信等有行业特殊情况的，取得营业执照的分支机构可以分公司名义参与投标，但同一上级公司的两个分支机构不得同时参加投标，招标文件中涉及的“法定代表人”在前述特殊行业中即对应为“分支机构负责人”。</w:t>
      </w:r>
    </w:p>
    <w:p w14:paraId="147D959F">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35C2040E">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5E838185">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223C6DCB">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0631BC16">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5711A8A3">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1DB11C69">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583B1B04">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69DF9ED2">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3706BA8D">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547E6FB6">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181AEA05">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6EDEADE2">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1CF359AC">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7C1B2EBE">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6A4701F9">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666B4492">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14462024">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2914F8B8">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4A0C5BA4">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1708CFC0">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5592DAA5">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56AC11BD">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66B0E834">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2ED9290F">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1D8BB684">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15E5D51B">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2204FC52">
      <w:pPr>
        <w:pStyle w:val="22"/>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32"/>
          <w:szCs w:val="32"/>
          <w:highlight w:val="none"/>
          <w:lang w:eastAsia="zh-CN"/>
        </w:rPr>
      </w:pPr>
    </w:p>
    <w:p w14:paraId="6A43027F">
      <w:pPr>
        <w:pStyle w:val="2"/>
        <w:numPr>
          <w:ilvl w:val="0"/>
          <w:numId w:val="3"/>
        </w:numPr>
        <w:bidi w:val="0"/>
        <w:rPr>
          <w:rFonts w:hint="eastAsia" w:ascii="Times New Roman" w:hAnsi="Times New Roman" w:eastAsia="宋体"/>
        </w:rPr>
      </w:pPr>
      <w:bookmarkStart w:id="33" w:name="_Toc12627"/>
      <w:r>
        <w:rPr>
          <w:rFonts w:hint="eastAsia" w:ascii="Times New Roman" w:hAnsi="Times New Roman" w:eastAsia="宋体"/>
        </w:rPr>
        <w:t xml:space="preserve"> 采购需求</w:t>
      </w:r>
      <w:bookmarkEnd w:id="33"/>
      <w:bookmarkStart w:id="34" w:name="_Toc1176"/>
    </w:p>
    <w:bookmarkEnd w:id="34"/>
    <w:p w14:paraId="09120C4E">
      <w:pPr>
        <w:adjustRightInd w:val="0"/>
        <w:snapToGrid w:val="0"/>
        <w:jc w:val="center"/>
        <w:outlineLvl w:val="9"/>
        <w:rPr>
          <w:rFonts w:hint="eastAsia" w:ascii="黑体" w:hAnsi="黑体" w:eastAsia="黑体" w:cs="黑体"/>
          <w:color w:val="auto"/>
          <w:sz w:val="28"/>
          <w:szCs w:val="28"/>
          <w:highlight w:val="none"/>
        </w:rPr>
      </w:pPr>
      <w:bookmarkStart w:id="35" w:name="_Toc25680"/>
      <w:bookmarkStart w:id="36" w:name="_Toc14350"/>
      <w:bookmarkStart w:id="37" w:name="_Toc27653"/>
      <w:bookmarkStart w:id="38" w:name="_Toc34637776"/>
    </w:p>
    <w:bookmarkEnd w:id="35"/>
    <w:bookmarkEnd w:id="36"/>
    <w:bookmarkEnd w:id="37"/>
    <w:bookmarkEnd w:id="38"/>
    <w:p w14:paraId="44BF94F4">
      <w:pPr>
        <w:pStyle w:val="3"/>
        <w:bidi w:val="0"/>
        <w:jc w:val="center"/>
        <w:rPr>
          <w:rFonts w:hint="eastAsia"/>
        </w:rPr>
      </w:pPr>
      <w:bookmarkStart w:id="39" w:name="_Toc3123"/>
      <w:r>
        <w:rPr>
          <w:rFonts w:hint="eastAsia"/>
        </w:rPr>
        <w:t>第一节 采购清单一览表</w:t>
      </w:r>
      <w:bookmarkEnd w:id="39"/>
    </w:p>
    <w:tbl>
      <w:tblPr>
        <w:tblStyle w:val="45"/>
        <w:tblpPr w:leftFromText="180" w:rightFromText="180" w:vertAnchor="text" w:horzAnchor="page" w:tblpX="1443" w:tblpY="113"/>
        <w:tblOverlap w:val="never"/>
        <w:tblW w:w="9125"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94"/>
        <w:gridCol w:w="869"/>
        <w:gridCol w:w="1084"/>
        <w:gridCol w:w="1116"/>
        <w:gridCol w:w="1387"/>
        <w:gridCol w:w="1196"/>
        <w:gridCol w:w="1580"/>
        <w:gridCol w:w="1099"/>
      </w:tblGrid>
      <w:tr w14:paraId="05308D13">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635" w:hRule="atLeast"/>
          <w:jc w:val="center"/>
        </w:trPr>
        <w:tc>
          <w:tcPr>
            <w:tcW w:w="794" w:type="dxa"/>
            <w:tcBorders>
              <w:right w:val="single" w:color="auto" w:sz="4" w:space="0"/>
            </w:tcBorders>
            <w:vAlign w:val="center"/>
          </w:tcPr>
          <w:p w14:paraId="344C91EB">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rPr>
            </w:pPr>
            <w:r>
              <w:rPr>
                <w:rFonts w:hint="eastAsia" w:asciiTheme="minorEastAsia" w:hAnsiTheme="minorEastAsia" w:eastAsiaTheme="minorEastAsia" w:cstheme="minorEastAsia"/>
                <w:b/>
                <w:bCs/>
                <w:color w:val="auto"/>
                <w:kern w:val="0"/>
                <w:sz w:val="18"/>
                <w:szCs w:val="18"/>
                <w:highlight w:val="none"/>
                <w:u w:val="none"/>
              </w:rPr>
              <w:t>包号</w:t>
            </w:r>
          </w:p>
        </w:tc>
        <w:tc>
          <w:tcPr>
            <w:tcW w:w="869" w:type="dxa"/>
            <w:tcBorders>
              <w:left w:val="single" w:color="auto" w:sz="4" w:space="0"/>
            </w:tcBorders>
            <w:vAlign w:val="center"/>
          </w:tcPr>
          <w:p w14:paraId="56A87C5B">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lang w:val="en-US" w:eastAsia="zh-CN"/>
              </w:rPr>
            </w:pPr>
            <w:r>
              <w:rPr>
                <w:rFonts w:hint="eastAsia" w:asciiTheme="minorEastAsia" w:hAnsiTheme="minorEastAsia" w:eastAsiaTheme="minorEastAsia" w:cstheme="minorEastAsia"/>
                <w:b/>
                <w:bCs/>
                <w:color w:val="auto"/>
                <w:kern w:val="0"/>
                <w:sz w:val="18"/>
                <w:szCs w:val="18"/>
                <w:highlight w:val="none"/>
                <w:u w:val="none"/>
              </w:rPr>
              <w:t>包名称</w:t>
            </w:r>
            <w:r>
              <w:rPr>
                <w:rFonts w:hint="eastAsia" w:asciiTheme="minorEastAsia" w:hAnsiTheme="minorEastAsia" w:eastAsiaTheme="minorEastAsia" w:cstheme="minorEastAsia"/>
                <w:b/>
                <w:bCs/>
                <w:color w:val="auto"/>
                <w:kern w:val="0"/>
                <w:sz w:val="18"/>
                <w:szCs w:val="18"/>
                <w:highlight w:val="none"/>
                <w:u w:val="none"/>
                <w:lang w:val="en-US" w:eastAsia="zh-CN"/>
              </w:rPr>
              <w:t>/标的名称</w:t>
            </w:r>
          </w:p>
        </w:tc>
        <w:tc>
          <w:tcPr>
            <w:tcW w:w="1084" w:type="dxa"/>
            <w:tcBorders>
              <w:right w:val="single" w:color="auto" w:sz="4" w:space="0"/>
            </w:tcBorders>
            <w:vAlign w:val="center"/>
          </w:tcPr>
          <w:p w14:paraId="1310F93E">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rPr>
            </w:pPr>
            <w:r>
              <w:rPr>
                <w:rFonts w:hint="eastAsia" w:asciiTheme="minorEastAsia" w:hAnsiTheme="minorEastAsia" w:eastAsiaTheme="minorEastAsia" w:cstheme="minorEastAsia"/>
                <w:b/>
                <w:bCs/>
                <w:color w:val="auto"/>
                <w:kern w:val="0"/>
                <w:sz w:val="18"/>
                <w:szCs w:val="18"/>
                <w:highlight w:val="none"/>
                <w:u w:val="none"/>
              </w:rPr>
              <w:t>品目编码</w:t>
            </w:r>
          </w:p>
        </w:tc>
        <w:tc>
          <w:tcPr>
            <w:tcW w:w="1116" w:type="dxa"/>
            <w:tcBorders>
              <w:right w:val="single" w:color="auto" w:sz="4" w:space="0"/>
            </w:tcBorders>
            <w:vAlign w:val="center"/>
          </w:tcPr>
          <w:p w14:paraId="500B2545">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rPr>
            </w:pPr>
            <w:r>
              <w:rPr>
                <w:rFonts w:hint="eastAsia" w:asciiTheme="minorEastAsia" w:hAnsiTheme="minorEastAsia" w:eastAsiaTheme="minorEastAsia" w:cstheme="minorEastAsia"/>
                <w:b/>
                <w:bCs/>
                <w:color w:val="auto"/>
                <w:kern w:val="0"/>
                <w:sz w:val="18"/>
                <w:szCs w:val="18"/>
                <w:highlight w:val="none"/>
                <w:u w:val="none"/>
              </w:rPr>
              <w:t>简要需求</w:t>
            </w:r>
          </w:p>
        </w:tc>
        <w:tc>
          <w:tcPr>
            <w:tcW w:w="1387" w:type="dxa"/>
            <w:tcBorders>
              <w:left w:val="single" w:color="auto" w:sz="4" w:space="0"/>
              <w:right w:val="single" w:color="auto" w:sz="4" w:space="0"/>
            </w:tcBorders>
            <w:vAlign w:val="center"/>
          </w:tcPr>
          <w:p w14:paraId="42E63FA3">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rPr>
            </w:pPr>
            <w:r>
              <w:rPr>
                <w:rFonts w:hint="eastAsia" w:asciiTheme="minorEastAsia" w:hAnsiTheme="minorEastAsia" w:eastAsiaTheme="minorEastAsia" w:cstheme="minorEastAsia"/>
                <w:b/>
                <w:bCs/>
                <w:color w:val="auto"/>
                <w:kern w:val="0"/>
                <w:sz w:val="18"/>
                <w:szCs w:val="18"/>
                <w:highlight w:val="none"/>
                <w:u w:val="none"/>
              </w:rPr>
              <w:t>数量</w:t>
            </w:r>
          </w:p>
        </w:tc>
        <w:tc>
          <w:tcPr>
            <w:tcW w:w="1196" w:type="dxa"/>
            <w:tcBorders>
              <w:left w:val="single" w:color="auto" w:sz="4" w:space="0"/>
              <w:right w:val="single" w:color="auto" w:sz="4" w:space="0"/>
            </w:tcBorders>
            <w:vAlign w:val="center"/>
          </w:tcPr>
          <w:p w14:paraId="4905472B">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rPr>
            </w:pPr>
            <w:r>
              <w:rPr>
                <w:rFonts w:hint="eastAsia" w:asciiTheme="minorEastAsia" w:hAnsiTheme="minorEastAsia" w:eastAsiaTheme="minorEastAsia" w:cstheme="minorEastAsia"/>
                <w:b/>
                <w:bCs/>
                <w:color w:val="auto"/>
                <w:kern w:val="0"/>
                <w:sz w:val="18"/>
                <w:szCs w:val="18"/>
                <w:highlight w:val="none"/>
                <w:u w:val="none"/>
              </w:rPr>
              <w:t>最高限价</w:t>
            </w:r>
          </w:p>
        </w:tc>
        <w:tc>
          <w:tcPr>
            <w:tcW w:w="1580" w:type="dxa"/>
            <w:vAlign w:val="center"/>
          </w:tcPr>
          <w:p w14:paraId="66835572">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rPr>
            </w:pPr>
            <w:r>
              <w:rPr>
                <w:rFonts w:hint="eastAsia" w:asciiTheme="minorEastAsia" w:hAnsiTheme="minorEastAsia" w:eastAsiaTheme="minorEastAsia" w:cstheme="minorEastAsia"/>
                <w:b/>
                <w:bCs/>
                <w:color w:val="auto"/>
                <w:kern w:val="0"/>
                <w:sz w:val="18"/>
                <w:szCs w:val="18"/>
                <w:highlight w:val="none"/>
                <w:u w:val="none"/>
              </w:rPr>
              <w:t>代理服务收费最高限价</w:t>
            </w:r>
          </w:p>
        </w:tc>
        <w:tc>
          <w:tcPr>
            <w:tcW w:w="1099" w:type="dxa"/>
            <w:vAlign w:val="center"/>
          </w:tcPr>
          <w:p w14:paraId="5904166E">
            <w:pPr>
              <w:pageBreakBefore w:val="0"/>
              <w:widowControl/>
              <w:kinsoku/>
              <w:overflowPunct/>
              <w:topLinePunct w:val="0"/>
              <w:bidi w:val="0"/>
              <w:adjustRightInd w:val="0"/>
              <w:snapToGrid w:val="0"/>
              <w:spacing w:line="400" w:lineRule="exact"/>
              <w:jc w:val="center"/>
              <w:rPr>
                <w:rFonts w:hint="eastAsia" w:asciiTheme="minorEastAsia" w:hAnsiTheme="minorEastAsia" w:eastAsiaTheme="minorEastAsia" w:cstheme="minorEastAsia"/>
                <w:b/>
                <w:bCs/>
                <w:color w:val="auto"/>
                <w:kern w:val="0"/>
                <w:sz w:val="18"/>
                <w:szCs w:val="18"/>
                <w:highlight w:val="none"/>
                <w:u w:val="none"/>
                <w:lang w:eastAsia="zh-CN"/>
              </w:rPr>
            </w:pPr>
            <w:r>
              <w:rPr>
                <w:rFonts w:hint="eastAsia" w:asciiTheme="minorEastAsia" w:hAnsiTheme="minorEastAsia" w:eastAsiaTheme="minorEastAsia" w:cstheme="minorEastAsia"/>
                <w:b/>
                <w:bCs/>
                <w:color w:val="auto"/>
                <w:kern w:val="0"/>
                <w:sz w:val="18"/>
                <w:szCs w:val="18"/>
                <w:highlight w:val="none"/>
                <w:u w:val="none"/>
                <w:lang w:eastAsia="zh-CN"/>
              </w:rPr>
              <w:t>服务期限</w:t>
            </w:r>
          </w:p>
        </w:tc>
      </w:tr>
      <w:tr w14:paraId="79CCD40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1317" w:hRule="atLeast"/>
          <w:jc w:val="center"/>
        </w:trPr>
        <w:tc>
          <w:tcPr>
            <w:tcW w:w="794" w:type="dxa"/>
            <w:tcBorders>
              <w:right w:val="single" w:color="auto" w:sz="4" w:space="0"/>
            </w:tcBorders>
            <w:vAlign w:val="center"/>
          </w:tcPr>
          <w:p w14:paraId="6AF5CDAC">
            <w:pPr>
              <w:pageBreakBefore w:val="0"/>
              <w:widowControl w:val="0"/>
              <w:kinsoku/>
              <w:overflowPunct/>
              <w:topLinePunct w:val="0"/>
              <w:bidi w:val="0"/>
              <w:adjustRightInd w:val="0"/>
              <w:snapToGrid w:val="0"/>
              <w:spacing w:line="400" w:lineRule="exact"/>
              <w:jc w:val="both"/>
              <w:rPr>
                <w:rFonts w:hint="eastAsia" w:asciiTheme="minorEastAsia" w:hAnsiTheme="minorEastAsia" w:eastAsiaTheme="minorEastAsia" w:cstheme="minorEastAsia"/>
                <w:color w:val="auto"/>
                <w:kern w:val="0"/>
                <w:sz w:val="18"/>
                <w:szCs w:val="18"/>
                <w:highlight w:val="none"/>
                <w:u w:val="none"/>
                <w:lang w:val="en-US" w:eastAsia="zh-CN"/>
              </w:rPr>
            </w:pPr>
            <w:r>
              <w:rPr>
                <w:rFonts w:hint="eastAsia" w:ascii="宋体" w:hAnsi="宋体" w:cs="宋体"/>
                <w:color w:val="auto"/>
                <w:kern w:val="0"/>
                <w:sz w:val="18"/>
                <w:szCs w:val="18"/>
                <w:highlight w:val="none"/>
                <w:u w:val="single"/>
                <w:lang w:val="en-US" w:eastAsia="zh-CN" w:bidi="ar-SA"/>
              </w:rPr>
              <w:t>HNSZZFCG-2026-0484</w:t>
            </w:r>
            <w:r>
              <w:rPr>
                <w:rFonts w:hint="eastAsia" w:ascii="宋体" w:hAnsi="宋体" w:eastAsia="宋体" w:cs="宋体"/>
                <w:color w:val="auto"/>
                <w:kern w:val="0"/>
                <w:sz w:val="18"/>
                <w:szCs w:val="18"/>
                <w:highlight w:val="none"/>
                <w:u w:val="single"/>
                <w:lang w:val="en-US" w:eastAsia="zh-CN" w:bidi="ar-SA"/>
              </w:rPr>
              <w:t>-01</w:t>
            </w:r>
          </w:p>
        </w:tc>
        <w:tc>
          <w:tcPr>
            <w:tcW w:w="869" w:type="dxa"/>
            <w:tcBorders>
              <w:left w:val="single" w:color="auto" w:sz="4" w:space="0"/>
            </w:tcBorders>
            <w:vAlign w:val="center"/>
          </w:tcPr>
          <w:p w14:paraId="393F9FCF">
            <w:pPr>
              <w:pStyle w:val="22"/>
              <w:pageBreakBefore w:val="0"/>
              <w:kinsoku/>
              <w:overflowPunct/>
              <w:topLinePunct w:val="0"/>
              <w:bidi w:val="0"/>
              <w:adjustRightInd w:val="0"/>
              <w:snapToGrid w:val="0"/>
              <w:spacing w:line="400" w:lineRule="exact"/>
              <w:jc w:val="center"/>
              <w:rPr>
                <w:rFonts w:hint="default" w:asciiTheme="minorEastAsia" w:hAnsiTheme="minorEastAsia" w:eastAsiaTheme="minorEastAsia" w:cstheme="minorEastAsia"/>
                <w:color w:val="auto"/>
                <w:sz w:val="18"/>
                <w:szCs w:val="18"/>
                <w:highlight w:val="none"/>
                <w:u w:val="none"/>
                <w:lang w:val="en-US" w:eastAsia="zh-CN"/>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邵阳县平安城市网络租赁费采购项目包1</w:t>
            </w:r>
          </w:p>
        </w:tc>
        <w:tc>
          <w:tcPr>
            <w:tcW w:w="1084" w:type="dxa"/>
            <w:tcBorders>
              <w:right w:val="single" w:color="auto" w:sz="4" w:space="0"/>
            </w:tcBorders>
            <w:vAlign w:val="center"/>
          </w:tcPr>
          <w:p w14:paraId="684AF89B">
            <w:pPr>
              <w:keepNext w:val="0"/>
              <w:keepLines w:val="0"/>
              <w:pageBreakBefore w:val="0"/>
              <w:widowControl/>
              <w:suppressLineNumbers w:val="0"/>
              <w:kinsoku/>
              <w:overflowPunct/>
              <w:topLinePunct w:val="0"/>
              <w:bidi w:val="0"/>
              <w:spacing w:line="400" w:lineRule="exact"/>
              <w:jc w:val="left"/>
              <w:rPr>
                <w:rFonts w:hint="eastAsia" w:asciiTheme="minorEastAsia" w:hAnsiTheme="minorEastAsia" w:eastAsiaTheme="minorEastAsia" w:cstheme="minorEastAsia"/>
                <w:color w:val="auto"/>
                <w:sz w:val="18"/>
                <w:szCs w:val="18"/>
                <w:highlight w:val="none"/>
                <w:u w:val="none"/>
              </w:rPr>
            </w:pPr>
            <w:r>
              <w:rPr>
                <w:rFonts w:hint="eastAsia" w:asciiTheme="minorEastAsia" w:hAnsiTheme="minorEastAsia" w:eastAsiaTheme="minorEastAsia" w:cstheme="minorEastAsia"/>
                <w:color w:val="auto"/>
                <w:kern w:val="0"/>
                <w:sz w:val="18"/>
                <w:szCs w:val="18"/>
                <w:highlight w:val="none"/>
                <w:u w:val="none"/>
                <w:lang w:val="en-US" w:eastAsia="zh-CN" w:bidi="ar"/>
              </w:rPr>
              <w:t xml:space="preserve"> </w:t>
            </w:r>
          </w:p>
          <w:p w14:paraId="56EF414C">
            <w:pPr>
              <w:keepNext w:val="0"/>
              <w:keepLines w:val="0"/>
              <w:pageBreakBefore w:val="0"/>
              <w:widowControl/>
              <w:suppressLineNumbers w:val="0"/>
              <w:kinsoku/>
              <w:overflowPunct/>
              <w:topLinePunct w:val="0"/>
              <w:bidi w:val="0"/>
              <w:spacing w:line="400" w:lineRule="exact"/>
              <w:jc w:val="left"/>
              <w:rPr>
                <w:rFonts w:hint="eastAsia" w:asciiTheme="minorEastAsia" w:hAnsiTheme="minorEastAsia" w:eastAsiaTheme="minorEastAsia" w:cstheme="minorEastAsia"/>
                <w:color w:val="auto"/>
                <w:sz w:val="18"/>
                <w:szCs w:val="18"/>
                <w:highlight w:val="none"/>
                <w:u w:val="none"/>
              </w:rPr>
            </w:pPr>
            <w:r>
              <w:rPr>
                <w:rFonts w:hint="eastAsia" w:asciiTheme="minorEastAsia" w:hAnsiTheme="minorEastAsia" w:eastAsiaTheme="minorEastAsia" w:cstheme="minorEastAsia"/>
                <w:color w:val="auto"/>
                <w:sz w:val="18"/>
                <w:szCs w:val="18"/>
                <w:highlight w:val="none"/>
                <w:u w:val="none"/>
              </w:rPr>
              <w:t>C16000000</w:t>
            </w:r>
          </w:p>
          <w:p w14:paraId="6291607E">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rPr>
            </w:pPr>
          </w:p>
        </w:tc>
        <w:tc>
          <w:tcPr>
            <w:tcW w:w="1116" w:type="dxa"/>
            <w:tcBorders>
              <w:right w:val="single" w:color="auto" w:sz="4" w:space="0"/>
            </w:tcBorders>
            <w:vAlign w:val="center"/>
          </w:tcPr>
          <w:p w14:paraId="4A4E7D30">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sz w:val="18"/>
                <w:szCs w:val="18"/>
                <w:highlight w:val="none"/>
                <w:u w:val="none"/>
                <w:lang w:val="en-US" w:eastAsia="zh-CN"/>
              </w:rPr>
            </w:pPr>
            <w:r>
              <w:rPr>
                <w:rFonts w:hint="eastAsia" w:asciiTheme="minorEastAsia" w:hAnsiTheme="minorEastAsia" w:eastAsiaTheme="minorEastAsia" w:cstheme="minorEastAsia"/>
                <w:color w:val="auto"/>
                <w:kern w:val="2"/>
                <w:sz w:val="18"/>
                <w:szCs w:val="18"/>
                <w:highlight w:val="none"/>
                <w:u w:val="none"/>
                <w:lang w:val="en-US" w:eastAsia="zh-CN" w:bidi="ar-SA"/>
              </w:rPr>
              <w:t>详见采购需求</w:t>
            </w:r>
          </w:p>
        </w:tc>
        <w:tc>
          <w:tcPr>
            <w:tcW w:w="1387" w:type="dxa"/>
            <w:tcBorders>
              <w:left w:val="single" w:color="auto" w:sz="4" w:space="0"/>
              <w:right w:val="single" w:color="auto" w:sz="4" w:space="0"/>
            </w:tcBorders>
            <w:vAlign w:val="center"/>
          </w:tcPr>
          <w:p w14:paraId="4E25D3F8">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eastAsia="zh-CN"/>
              </w:rPr>
            </w:pPr>
            <w:r>
              <w:rPr>
                <w:rFonts w:hint="eastAsia" w:asciiTheme="minorEastAsia" w:hAnsiTheme="minorEastAsia" w:eastAsiaTheme="minorEastAsia" w:cstheme="minorEastAsia"/>
                <w:color w:val="auto"/>
                <w:kern w:val="0"/>
                <w:sz w:val="18"/>
                <w:szCs w:val="18"/>
                <w:highlight w:val="none"/>
                <w:u w:val="none"/>
                <w:lang w:eastAsia="zh-CN"/>
              </w:rPr>
              <w:t>1211</w:t>
            </w:r>
            <w:r>
              <w:rPr>
                <w:rFonts w:hint="eastAsia" w:asciiTheme="minorEastAsia" w:hAnsiTheme="minorEastAsia" w:eastAsiaTheme="minorEastAsia" w:cstheme="minorEastAsia"/>
                <w:color w:val="auto"/>
                <w:szCs w:val="21"/>
                <w:lang w:val="en-US" w:eastAsia="zh-CN"/>
              </w:rPr>
              <w:t>个点位</w:t>
            </w:r>
          </w:p>
        </w:tc>
        <w:tc>
          <w:tcPr>
            <w:tcW w:w="1196" w:type="dxa"/>
            <w:tcBorders>
              <w:left w:val="single" w:color="auto" w:sz="4" w:space="0"/>
              <w:right w:val="single" w:color="auto" w:sz="4" w:space="0"/>
            </w:tcBorders>
            <w:vAlign w:val="center"/>
          </w:tcPr>
          <w:p w14:paraId="5FB00A1F">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rPr>
            </w:pPr>
            <w:r>
              <w:rPr>
                <w:rFonts w:hint="eastAsia" w:asciiTheme="minorEastAsia" w:hAnsiTheme="minorEastAsia" w:eastAsiaTheme="minorEastAsia" w:cstheme="minorEastAsia"/>
                <w:color w:val="auto"/>
                <w:kern w:val="0"/>
                <w:sz w:val="18"/>
                <w:szCs w:val="18"/>
                <w:highlight w:val="none"/>
                <w:u w:val="none"/>
                <w:lang w:val="en-US" w:eastAsia="zh-CN"/>
              </w:rPr>
              <w:t>1089900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c>
          <w:tcPr>
            <w:tcW w:w="1580" w:type="dxa"/>
            <w:vAlign w:val="center"/>
          </w:tcPr>
          <w:p w14:paraId="220B9962">
            <w:pPr>
              <w:pStyle w:val="22"/>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kern w:val="0"/>
                <w:sz w:val="18"/>
                <w:szCs w:val="18"/>
                <w:highlight w:val="none"/>
                <w:u w:val="none"/>
              </w:rPr>
            </w:pPr>
            <w:r>
              <w:rPr>
                <w:rFonts w:hint="eastAsia" w:asciiTheme="minorEastAsia" w:hAnsiTheme="minorEastAsia" w:eastAsiaTheme="minorEastAsia" w:cstheme="minorEastAsia"/>
                <w:color w:val="auto"/>
                <w:kern w:val="0"/>
                <w:sz w:val="18"/>
                <w:szCs w:val="18"/>
                <w:highlight w:val="none"/>
                <w:u w:val="none"/>
              </w:rPr>
              <w:t>本项目委托集中采购机构邵阳市政府采购中心代理采购，不收取代理服务费</w:t>
            </w:r>
          </w:p>
        </w:tc>
        <w:tc>
          <w:tcPr>
            <w:tcW w:w="1099" w:type="dxa"/>
            <w:vAlign w:val="center"/>
          </w:tcPr>
          <w:p w14:paraId="3EC6D25A">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bCs/>
                <w:color w:val="auto"/>
                <w:kern w:val="0"/>
                <w:sz w:val="18"/>
                <w:szCs w:val="18"/>
                <w:highlight w:val="none"/>
                <w:u w:val="none"/>
                <w:lang w:eastAsia="zh-CN"/>
              </w:rPr>
            </w:pPr>
            <w:r>
              <w:rPr>
                <w:rFonts w:hint="eastAsia" w:asciiTheme="minorEastAsia" w:hAnsiTheme="minorEastAsia" w:eastAsiaTheme="minorEastAsia" w:cstheme="minorEastAsia"/>
                <w:bCs/>
                <w:color w:val="auto"/>
                <w:szCs w:val="21"/>
                <w:highlight w:val="none"/>
                <w:u w:val="none"/>
                <w:lang w:val="en-US" w:eastAsia="zh-CN"/>
              </w:rPr>
              <w:t>1年</w:t>
            </w:r>
          </w:p>
        </w:tc>
      </w:tr>
      <w:tr w14:paraId="072AB37C">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1317" w:hRule="atLeast"/>
          <w:jc w:val="center"/>
        </w:trPr>
        <w:tc>
          <w:tcPr>
            <w:tcW w:w="794" w:type="dxa"/>
            <w:tcBorders>
              <w:right w:val="single" w:color="auto" w:sz="4" w:space="0"/>
            </w:tcBorders>
            <w:vAlign w:val="center"/>
          </w:tcPr>
          <w:p w14:paraId="52A7532D">
            <w:pPr>
              <w:pageBreakBefore w:val="0"/>
              <w:widowControl w:val="0"/>
              <w:kinsoku/>
              <w:overflowPunct/>
              <w:topLinePunct w:val="0"/>
              <w:bidi w:val="0"/>
              <w:adjustRightInd w:val="0"/>
              <w:snapToGrid w:val="0"/>
              <w:spacing w:line="400" w:lineRule="exact"/>
              <w:jc w:val="center"/>
              <w:rPr>
                <w:rFonts w:hint="eastAsia" w:ascii="宋体" w:hAnsi="宋体" w:eastAsia="宋体" w:cs="宋体"/>
                <w:color w:val="FF0000"/>
                <w:kern w:val="0"/>
                <w:sz w:val="18"/>
                <w:szCs w:val="18"/>
                <w:highlight w:val="none"/>
                <w:u w:val="single"/>
                <w:lang w:val="en-US" w:eastAsia="zh-CN" w:bidi="ar-SA"/>
              </w:rPr>
            </w:pPr>
          </w:p>
          <w:p w14:paraId="37B728DC">
            <w:pPr>
              <w:pageBreakBefore w:val="0"/>
              <w:widowControl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rPr>
            </w:pPr>
            <w:r>
              <w:rPr>
                <w:rFonts w:hint="eastAsia" w:ascii="宋体" w:hAnsi="宋体" w:cs="宋体"/>
                <w:color w:val="auto"/>
                <w:kern w:val="0"/>
                <w:sz w:val="18"/>
                <w:szCs w:val="18"/>
                <w:highlight w:val="none"/>
                <w:u w:val="single"/>
                <w:lang w:val="en-US" w:eastAsia="zh-CN" w:bidi="ar-SA"/>
              </w:rPr>
              <w:t>HNSZZFCG-2026-0484</w:t>
            </w:r>
            <w:r>
              <w:rPr>
                <w:rFonts w:hint="eastAsia" w:ascii="宋体" w:hAnsi="宋体" w:eastAsia="宋体" w:cs="宋体"/>
                <w:color w:val="auto"/>
                <w:kern w:val="0"/>
                <w:sz w:val="18"/>
                <w:szCs w:val="18"/>
                <w:highlight w:val="none"/>
                <w:u w:val="single"/>
                <w:lang w:val="en-US" w:eastAsia="zh-CN" w:bidi="ar-SA"/>
              </w:rPr>
              <w:t>-02</w:t>
            </w:r>
          </w:p>
        </w:tc>
        <w:tc>
          <w:tcPr>
            <w:tcW w:w="869" w:type="dxa"/>
            <w:tcBorders>
              <w:left w:val="single" w:color="auto" w:sz="4" w:space="0"/>
            </w:tcBorders>
            <w:shd w:val="clear" w:color="auto" w:fill="auto"/>
            <w:vAlign w:val="center"/>
          </w:tcPr>
          <w:p w14:paraId="10F0E8CA">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2"/>
                <w:sz w:val="18"/>
                <w:szCs w:val="18"/>
                <w:highlight w:val="none"/>
                <w:u w:val="none"/>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邵阳县平安城市网络租赁费采购项目包2</w:t>
            </w:r>
          </w:p>
        </w:tc>
        <w:tc>
          <w:tcPr>
            <w:tcW w:w="1084" w:type="dxa"/>
            <w:tcBorders>
              <w:right w:val="single" w:color="auto" w:sz="4" w:space="0"/>
            </w:tcBorders>
            <w:shd w:val="clear" w:color="auto" w:fill="auto"/>
            <w:vAlign w:val="center"/>
          </w:tcPr>
          <w:p w14:paraId="7CBA203D">
            <w:pPr>
              <w:keepNext w:val="0"/>
              <w:keepLines w:val="0"/>
              <w:pageBreakBefore w:val="0"/>
              <w:widowControl/>
              <w:suppressLineNumbers w:val="0"/>
              <w:kinsoku/>
              <w:overflowPunct/>
              <w:topLinePunct w:val="0"/>
              <w:bidi w:val="0"/>
              <w:spacing w:line="400" w:lineRule="exact"/>
              <w:jc w:val="left"/>
              <w:rPr>
                <w:rFonts w:hint="eastAsia" w:asciiTheme="minorEastAsia" w:hAnsiTheme="minorEastAsia" w:eastAsiaTheme="minorEastAsia" w:cstheme="minorEastAsia"/>
                <w:color w:val="auto"/>
                <w:sz w:val="18"/>
                <w:szCs w:val="18"/>
                <w:highlight w:val="none"/>
                <w:u w:val="none"/>
              </w:rPr>
            </w:pPr>
            <w:r>
              <w:rPr>
                <w:rFonts w:hint="eastAsia" w:asciiTheme="minorEastAsia" w:hAnsiTheme="minorEastAsia" w:eastAsiaTheme="minorEastAsia" w:cstheme="minorEastAsia"/>
                <w:color w:val="auto"/>
                <w:kern w:val="0"/>
                <w:sz w:val="18"/>
                <w:szCs w:val="18"/>
                <w:highlight w:val="none"/>
                <w:u w:val="none"/>
                <w:lang w:val="en-US" w:eastAsia="zh-CN" w:bidi="ar"/>
              </w:rPr>
              <w:t xml:space="preserve"> </w:t>
            </w:r>
          </w:p>
          <w:p w14:paraId="2F66C5CF">
            <w:pPr>
              <w:keepNext w:val="0"/>
              <w:keepLines w:val="0"/>
              <w:pageBreakBefore w:val="0"/>
              <w:widowControl/>
              <w:suppressLineNumbers w:val="0"/>
              <w:kinsoku/>
              <w:overflowPunct/>
              <w:topLinePunct w:val="0"/>
              <w:bidi w:val="0"/>
              <w:spacing w:line="400" w:lineRule="exact"/>
              <w:jc w:val="left"/>
              <w:rPr>
                <w:rFonts w:hint="eastAsia" w:asciiTheme="minorEastAsia" w:hAnsiTheme="minorEastAsia" w:eastAsiaTheme="minorEastAsia" w:cstheme="minorEastAsia"/>
                <w:color w:val="auto"/>
                <w:sz w:val="18"/>
                <w:szCs w:val="18"/>
                <w:highlight w:val="none"/>
                <w:u w:val="none"/>
              </w:rPr>
            </w:pPr>
            <w:r>
              <w:rPr>
                <w:rFonts w:hint="eastAsia" w:asciiTheme="minorEastAsia" w:hAnsiTheme="minorEastAsia" w:eastAsiaTheme="minorEastAsia" w:cstheme="minorEastAsia"/>
                <w:color w:val="auto"/>
                <w:sz w:val="18"/>
                <w:szCs w:val="18"/>
                <w:highlight w:val="none"/>
                <w:u w:val="none"/>
              </w:rPr>
              <w:t>C16000000</w:t>
            </w:r>
          </w:p>
          <w:p w14:paraId="3BE8951F">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bidi="ar-SA"/>
              </w:rPr>
            </w:pPr>
          </w:p>
        </w:tc>
        <w:tc>
          <w:tcPr>
            <w:tcW w:w="1116" w:type="dxa"/>
            <w:tcBorders>
              <w:right w:val="single" w:color="auto" w:sz="4" w:space="0"/>
            </w:tcBorders>
            <w:shd w:val="clear" w:color="auto" w:fill="auto"/>
            <w:vAlign w:val="center"/>
          </w:tcPr>
          <w:p w14:paraId="0CE992BF">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2"/>
                <w:sz w:val="18"/>
                <w:szCs w:val="18"/>
                <w:highlight w:val="none"/>
                <w:u w:val="none"/>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详见采购需求</w:t>
            </w:r>
          </w:p>
        </w:tc>
        <w:tc>
          <w:tcPr>
            <w:tcW w:w="1387" w:type="dxa"/>
            <w:tcBorders>
              <w:left w:val="single" w:color="auto" w:sz="4" w:space="0"/>
              <w:right w:val="single" w:color="auto" w:sz="4" w:space="0"/>
            </w:tcBorders>
            <w:shd w:val="clear" w:color="auto" w:fill="auto"/>
            <w:vAlign w:val="center"/>
          </w:tcPr>
          <w:p w14:paraId="3FE73278">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bidi="ar-SA"/>
              </w:rPr>
            </w:pPr>
            <w:r>
              <w:rPr>
                <w:rFonts w:hint="eastAsia" w:asciiTheme="minorEastAsia" w:hAnsiTheme="minorEastAsia" w:eastAsiaTheme="minorEastAsia" w:cstheme="minorEastAsia"/>
                <w:color w:val="auto"/>
                <w:kern w:val="0"/>
                <w:sz w:val="18"/>
                <w:szCs w:val="18"/>
                <w:highlight w:val="none"/>
                <w:u w:val="none"/>
                <w:lang w:val="en-US" w:eastAsia="zh-CN" w:bidi="ar-SA"/>
              </w:rPr>
              <w:t>593</w:t>
            </w:r>
            <w:r>
              <w:rPr>
                <w:rFonts w:hint="eastAsia" w:asciiTheme="minorEastAsia" w:hAnsiTheme="minorEastAsia" w:eastAsiaTheme="minorEastAsia" w:cstheme="minorEastAsia"/>
                <w:color w:val="auto"/>
                <w:szCs w:val="21"/>
                <w:lang w:val="en-US" w:eastAsia="zh-CN"/>
              </w:rPr>
              <w:t>个点位</w:t>
            </w:r>
          </w:p>
        </w:tc>
        <w:tc>
          <w:tcPr>
            <w:tcW w:w="1196" w:type="dxa"/>
            <w:tcBorders>
              <w:left w:val="single" w:color="auto" w:sz="4" w:space="0"/>
              <w:right w:val="single" w:color="auto" w:sz="4" w:space="0"/>
            </w:tcBorders>
            <w:shd w:val="clear" w:color="auto" w:fill="auto"/>
            <w:vAlign w:val="center"/>
          </w:tcPr>
          <w:p w14:paraId="4880DADF">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 w:eastAsia="zh-CN" w:bidi="ar-SA"/>
              </w:rPr>
            </w:pPr>
            <w:r>
              <w:rPr>
                <w:rFonts w:hint="eastAsia" w:asciiTheme="minorEastAsia" w:hAnsiTheme="minorEastAsia" w:eastAsiaTheme="minorEastAsia" w:cstheme="minorEastAsia"/>
                <w:color w:val="auto"/>
                <w:kern w:val="0"/>
                <w:sz w:val="18"/>
                <w:szCs w:val="18"/>
                <w:highlight w:val="none"/>
                <w:u w:val="none"/>
                <w:lang w:val="en-US" w:eastAsia="zh-CN"/>
              </w:rPr>
              <w:t>533700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c>
          <w:tcPr>
            <w:tcW w:w="1580" w:type="dxa"/>
            <w:shd w:val="clear" w:color="auto" w:fill="auto"/>
            <w:vAlign w:val="center"/>
          </w:tcPr>
          <w:p w14:paraId="7CC7C965">
            <w:pPr>
              <w:pStyle w:val="22"/>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kern w:val="0"/>
                <w:sz w:val="18"/>
                <w:szCs w:val="18"/>
                <w:highlight w:val="none"/>
                <w:u w:val="none"/>
                <w:lang w:val="en-US" w:eastAsia="zh-CN" w:bidi="ar-SA"/>
              </w:rPr>
            </w:pPr>
            <w:r>
              <w:rPr>
                <w:rFonts w:hint="eastAsia" w:asciiTheme="minorEastAsia" w:hAnsiTheme="minorEastAsia" w:eastAsiaTheme="minorEastAsia" w:cstheme="minorEastAsia"/>
                <w:color w:val="auto"/>
                <w:kern w:val="0"/>
                <w:sz w:val="18"/>
                <w:szCs w:val="18"/>
                <w:highlight w:val="none"/>
                <w:u w:val="none"/>
              </w:rPr>
              <w:t>本项目委托集中采购机构邵阳市政府采购中心代理采购，不收取代理服务费</w:t>
            </w:r>
          </w:p>
        </w:tc>
        <w:tc>
          <w:tcPr>
            <w:tcW w:w="1099" w:type="dxa"/>
            <w:shd w:val="clear" w:color="auto" w:fill="auto"/>
            <w:vAlign w:val="center"/>
          </w:tcPr>
          <w:p w14:paraId="6C5C9F41">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bCs/>
                <w:color w:val="auto"/>
                <w:kern w:val="0"/>
                <w:sz w:val="18"/>
                <w:szCs w:val="18"/>
                <w:highlight w:val="none"/>
                <w:u w:val="none"/>
                <w:lang w:val="en-US" w:eastAsia="zh-CN" w:bidi="ar-SA"/>
              </w:rPr>
            </w:pPr>
            <w:r>
              <w:rPr>
                <w:rFonts w:hint="eastAsia" w:asciiTheme="minorEastAsia" w:hAnsiTheme="minorEastAsia" w:eastAsiaTheme="minorEastAsia" w:cstheme="minorEastAsia"/>
                <w:bCs/>
                <w:color w:val="auto"/>
                <w:szCs w:val="21"/>
                <w:highlight w:val="none"/>
                <w:u w:val="none"/>
                <w:lang w:val="en-US" w:eastAsia="zh-CN"/>
              </w:rPr>
              <w:t>1年</w:t>
            </w:r>
          </w:p>
        </w:tc>
      </w:tr>
      <w:tr w14:paraId="23D258C8">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1317" w:hRule="atLeast"/>
          <w:jc w:val="center"/>
        </w:trPr>
        <w:tc>
          <w:tcPr>
            <w:tcW w:w="794" w:type="dxa"/>
            <w:tcBorders>
              <w:right w:val="single" w:color="auto" w:sz="4" w:space="0"/>
            </w:tcBorders>
            <w:vAlign w:val="center"/>
          </w:tcPr>
          <w:p w14:paraId="7C5B4605">
            <w:pPr>
              <w:pageBreakBefore w:val="0"/>
              <w:widowControl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rPr>
            </w:pPr>
            <w:r>
              <w:rPr>
                <w:rFonts w:hint="eastAsia" w:ascii="宋体" w:hAnsi="宋体" w:cs="宋体"/>
                <w:color w:val="auto"/>
                <w:kern w:val="0"/>
                <w:sz w:val="18"/>
                <w:szCs w:val="18"/>
                <w:highlight w:val="none"/>
                <w:u w:val="single"/>
                <w:lang w:val="en-US" w:eastAsia="zh-CN" w:bidi="ar-SA"/>
              </w:rPr>
              <w:t>HNSZZFCG-2026-0484</w:t>
            </w:r>
            <w:r>
              <w:rPr>
                <w:rFonts w:hint="eastAsia" w:ascii="宋体" w:hAnsi="宋体" w:eastAsia="宋体" w:cs="宋体"/>
                <w:color w:val="auto"/>
                <w:kern w:val="0"/>
                <w:sz w:val="18"/>
                <w:szCs w:val="18"/>
                <w:highlight w:val="none"/>
                <w:u w:val="single"/>
                <w:lang w:val="en-US" w:eastAsia="zh-CN" w:bidi="ar-SA"/>
              </w:rPr>
              <w:t>-01</w:t>
            </w:r>
          </w:p>
        </w:tc>
        <w:tc>
          <w:tcPr>
            <w:tcW w:w="869" w:type="dxa"/>
            <w:tcBorders>
              <w:left w:val="single" w:color="auto" w:sz="4" w:space="0"/>
            </w:tcBorders>
            <w:shd w:val="clear" w:color="auto" w:fill="auto"/>
            <w:vAlign w:val="center"/>
          </w:tcPr>
          <w:p w14:paraId="1808FB8E">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2"/>
                <w:sz w:val="18"/>
                <w:szCs w:val="18"/>
                <w:highlight w:val="none"/>
                <w:u w:val="none"/>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邵阳县平安城市网络租赁费采购项目包3</w:t>
            </w:r>
          </w:p>
        </w:tc>
        <w:tc>
          <w:tcPr>
            <w:tcW w:w="1084" w:type="dxa"/>
            <w:tcBorders>
              <w:right w:val="single" w:color="auto" w:sz="4" w:space="0"/>
            </w:tcBorders>
            <w:shd w:val="clear" w:color="auto" w:fill="auto"/>
            <w:vAlign w:val="center"/>
          </w:tcPr>
          <w:p w14:paraId="4C7D1789">
            <w:pPr>
              <w:keepNext w:val="0"/>
              <w:keepLines w:val="0"/>
              <w:pageBreakBefore w:val="0"/>
              <w:widowControl/>
              <w:suppressLineNumbers w:val="0"/>
              <w:kinsoku/>
              <w:overflowPunct/>
              <w:topLinePunct w:val="0"/>
              <w:bidi w:val="0"/>
              <w:spacing w:line="400" w:lineRule="exact"/>
              <w:jc w:val="left"/>
              <w:rPr>
                <w:rFonts w:hint="eastAsia" w:asciiTheme="minorEastAsia" w:hAnsiTheme="minorEastAsia" w:eastAsiaTheme="minorEastAsia" w:cstheme="minorEastAsia"/>
                <w:color w:val="auto"/>
                <w:sz w:val="18"/>
                <w:szCs w:val="18"/>
                <w:highlight w:val="none"/>
                <w:u w:val="none"/>
              </w:rPr>
            </w:pPr>
            <w:r>
              <w:rPr>
                <w:rFonts w:hint="eastAsia" w:asciiTheme="minorEastAsia" w:hAnsiTheme="minorEastAsia" w:eastAsiaTheme="minorEastAsia" w:cstheme="minorEastAsia"/>
                <w:color w:val="auto"/>
                <w:kern w:val="0"/>
                <w:sz w:val="18"/>
                <w:szCs w:val="18"/>
                <w:highlight w:val="none"/>
                <w:u w:val="none"/>
                <w:lang w:val="en-US" w:eastAsia="zh-CN" w:bidi="ar"/>
              </w:rPr>
              <w:t xml:space="preserve"> </w:t>
            </w:r>
          </w:p>
          <w:p w14:paraId="27D19AD4">
            <w:pPr>
              <w:keepNext w:val="0"/>
              <w:keepLines w:val="0"/>
              <w:pageBreakBefore w:val="0"/>
              <w:widowControl/>
              <w:suppressLineNumbers w:val="0"/>
              <w:kinsoku/>
              <w:overflowPunct/>
              <w:topLinePunct w:val="0"/>
              <w:bidi w:val="0"/>
              <w:spacing w:line="400" w:lineRule="exact"/>
              <w:jc w:val="left"/>
              <w:rPr>
                <w:rFonts w:hint="eastAsia" w:asciiTheme="minorEastAsia" w:hAnsiTheme="minorEastAsia" w:eastAsiaTheme="minorEastAsia" w:cstheme="minorEastAsia"/>
                <w:color w:val="auto"/>
                <w:sz w:val="18"/>
                <w:szCs w:val="18"/>
                <w:highlight w:val="none"/>
                <w:u w:val="none"/>
              </w:rPr>
            </w:pPr>
            <w:r>
              <w:rPr>
                <w:rFonts w:hint="eastAsia" w:asciiTheme="minorEastAsia" w:hAnsiTheme="minorEastAsia" w:eastAsiaTheme="minorEastAsia" w:cstheme="minorEastAsia"/>
                <w:color w:val="auto"/>
                <w:sz w:val="18"/>
                <w:szCs w:val="18"/>
                <w:highlight w:val="none"/>
                <w:u w:val="none"/>
              </w:rPr>
              <w:t>C16000000</w:t>
            </w:r>
          </w:p>
          <w:p w14:paraId="6956692A">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bidi="ar-SA"/>
              </w:rPr>
            </w:pPr>
          </w:p>
        </w:tc>
        <w:tc>
          <w:tcPr>
            <w:tcW w:w="1116" w:type="dxa"/>
            <w:tcBorders>
              <w:right w:val="single" w:color="auto" w:sz="4" w:space="0"/>
            </w:tcBorders>
            <w:shd w:val="clear" w:color="auto" w:fill="auto"/>
            <w:vAlign w:val="center"/>
          </w:tcPr>
          <w:p w14:paraId="5272B79A">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2"/>
                <w:sz w:val="18"/>
                <w:szCs w:val="18"/>
                <w:highlight w:val="none"/>
                <w:u w:val="none"/>
                <w:lang w:val="en-US" w:eastAsia="zh-CN" w:bidi="ar-SA"/>
              </w:rPr>
            </w:pPr>
            <w:r>
              <w:rPr>
                <w:rFonts w:hint="eastAsia" w:asciiTheme="minorEastAsia" w:hAnsiTheme="minorEastAsia" w:eastAsiaTheme="minorEastAsia" w:cstheme="minorEastAsia"/>
                <w:color w:val="auto"/>
                <w:kern w:val="2"/>
                <w:sz w:val="18"/>
                <w:szCs w:val="18"/>
                <w:highlight w:val="none"/>
                <w:u w:val="none"/>
                <w:lang w:val="en-US" w:eastAsia="zh-CN" w:bidi="ar-SA"/>
              </w:rPr>
              <w:t>详见采购需求</w:t>
            </w:r>
          </w:p>
        </w:tc>
        <w:tc>
          <w:tcPr>
            <w:tcW w:w="1387" w:type="dxa"/>
            <w:tcBorders>
              <w:left w:val="single" w:color="auto" w:sz="4" w:space="0"/>
              <w:right w:val="single" w:color="auto" w:sz="4" w:space="0"/>
            </w:tcBorders>
            <w:shd w:val="clear" w:color="auto" w:fill="auto"/>
            <w:vAlign w:val="center"/>
          </w:tcPr>
          <w:p w14:paraId="7661F28B">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rPr>
            </w:pPr>
            <w:r>
              <w:rPr>
                <w:rFonts w:hint="eastAsia" w:asciiTheme="minorEastAsia" w:hAnsiTheme="minorEastAsia" w:eastAsiaTheme="minorEastAsia" w:cstheme="minorEastAsia"/>
                <w:color w:val="auto"/>
                <w:kern w:val="0"/>
                <w:sz w:val="18"/>
                <w:szCs w:val="18"/>
                <w:highlight w:val="none"/>
                <w:u w:val="none"/>
              </w:rPr>
              <w:t>555</w:t>
            </w:r>
            <w:r>
              <w:rPr>
                <w:rFonts w:hint="eastAsia" w:asciiTheme="minorEastAsia" w:hAnsiTheme="minorEastAsia" w:eastAsiaTheme="minorEastAsia" w:cstheme="minorEastAsia"/>
                <w:color w:val="auto"/>
                <w:szCs w:val="21"/>
                <w:lang w:val="en-US" w:eastAsia="zh-CN"/>
              </w:rPr>
              <w:t>个点位</w:t>
            </w:r>
          </w:p>
        </w:tc>
        <w:tc>
          <w:tcPr>
            <w:tcW w:w="1196" w:type="dxa"/>
            <w:tcBorders>
              <w:left w:val="single" w:color="auto" w:sz="4" w:space="0"/>
              <w:right w:val="single" w:color="auto" w:sz="4" w:space="0"/>
            </w:tcBorders>
            <w:shd w:val="clear" w:color="auto" w:fill="auto"/>
            <w:vAlign w:val="center"/>
          </w:tcPr>
          <w:p w14:paraId="014E0E81">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kern w:val="0"/>
                <w:sz w:val="18"/>
                <w:szCs w:val="18"/>
                <w:highlight w:val="none"/>
                <w:u w:val="none"/>
                <w:lang w:val="en-US" w:eastAsia="zh-CN"/>
              </w:rPr>
            </w:pPr>
            <w:r>
              <w:rPr>
                <w:rFonts w:hint="eastAsia" w:asciiTheme="minorEastAsia" w:hAnsiTheme="minorEastAsia" w:eastAsiaTheme="minorEastAsia" w:cstheme="minorEastAsia"/>
                <w:color w:val="auto"/>
                <w:kern w:val="0"/>
                <w:sz w:val="18"/>
                <w:szCs w:val="18"/>
                <w:highlight w:val="none"/>
                <w:u w:val="none"/>
                <w:lang w:val="en-US" w:eastAsia="zh-CN"/>
              </w:rPr>
              <w:t>499500</w:t>
            </w:r>
            <w:r>
              <w:rPr>
                <w:rFonts w:hint="eastAsia" w:asciiTheme="minorEastAsia" w:hAnsiTheme="minorEastAsia" w:eastAsiaTheme="minorEastAsia" w:cstheme="minorEastAsia"/>
                <w:color w:val="auto"/>
                <w:kern w:val="0"/>
                <w:sz w:val="18"/>
                <w:szCs w:val="18"/>
                <w:highlight w:val="none"/>
                <w:u w:val="none"/>
                <w:lang w:val="en" w:eastAsia="zh-CN"/>
              </w:rPr>
              <w:t>.00元人民币/一年</w:t>
            </w:r>
          </w:p>
        </w:tc>
        <w:tc>
          <w:tcPr>
            <w:tcW w:w="1580" w:type="dxa"/>
            <w:shd w:val="clear" w:color="auto" w:fill="auto"/>
            <w:vAlign w:val="center"/>
          </w:tcPr>
          <w:p w14:paraId="05D50CBC">
            <w:pPr>
              <w:pStyle w:val="22"/>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kern w:val="0"/>
                <w:sz w:val="18"/>
                <w:szCs w:val="18"/>
                <w:highlight w:val="none"/>
                <w:u w:val="none"/>
              </w:rPr>
            </w:pPr>
            <w:r>
              <w:rPr>
                <w:rFonts w:hint="eastAsia" w:asciiTheme="minorEastAsia" w:hAnsiTheme="minorEastAsia" w:eastAsiaTheme="minorEastAsia" w:cstheme="minorEastAsia"/>
                <w:color w:val="auto"/>
                <w:kern w:val="0"/>
                <w:sz w:val="18"/>
                <w:szCs w:val="18"/>
                <w:highlight w:val="none"/>
                <w:u w:val="none"/>
              </w:rPr>
              <w:t>本项目委托集中采购机构邵阳市政府采购中心代理采购，不收取代理服务费</w:t>
            </w:r>
          </w:p>
        </w:tc>
        <w:tc>
          <w:tcPr>
            <w:tcW w:w="1099" w:type="dxa"/>
            <w:shd w:val="clear" w:color="auto" w:fill="auto"/>
            <w:vAlign w:val="center"/>
          </w:tcPr>
          <w:p w14:paraId="58FDBF41">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bCs/>
                <w:color w:val="auto"/>
                <w:kern w:val="0"/>
                <w:sz w:val="18"/>
                <w:szCs w:val="18"/>
                <w:highlight w:val="none"/>
                <w:u w:val="none"/>
                <w:lang w:val="en-US" w:eastAsia="zh-CN" w:bidi="ar-SA"/>
              </w:rPr>
            </w:pPr>
            <w:r>
              <w:rPr>
                <w:rFonts w:hint="eastAsia" w:asciiTheme="minorEastAsia" w:hAnsiTheme="minorEastAsia" w:eastAsiaTheme="minorEastAsia" w:cstheme="minorEastAsia"/>
                <w:bCs/>
                <w:color w:val="auto"/>
                <w:szCs w:val="21"/>
                <w:highlight w:val="none"/>
                <w:u w:val="none"/>
                <w:lang w:val="en-US" w:eastAsia="zh-CN"/>
              </w:rPr>
              <w:t>1年</w:t>
            </w:r>
          </w:p>
        </w:tc>
      </w:tr>
      <w:tr w14:paraId="3B2BB515">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1317" w:hRule="atLeast"/>
          <w:jc w:val="center"/>
        </w:trPr>
        <w:tc>
          <w:tcPr>
            <w:tcW w:w="9125" w:type="dxa"/>
            <w:gridSpan w:val="8"/>
            <w:vAlign w:val="center"/>
          </w:tcPr>
          <w:p w14:paraId="2E433337">
            <w:pPr>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szCs w:val="21"/>
                <w:lang w:eastAsia="zh-CN"/>
              </w:rPr>
            </w:pPr>
            <w:r>
              <w:rPr>
                <w:rFonts w:hint="eastAsia" w:ascii="华文仿宋" w:hAnsi="华文仿宋" w:eastAsia="华文仿宋" w:cs="华文仿宋"/>
                <w:color w:val="auto"/>
                <w:w w:val="100"/>
                <w:sz w:val="21"/>
                <w:szCs w:val="21"/>
                <w:highlight w:val="none"/>
                <w:shd w:val="clear"/>
              </w:rPr>
              <w:t>★</w:t>
            </w:r>
            <w:r>
              <w:rPr>
                <w:rFonts w:hint="eastAsia" w:asciiTheme="minorEastAsia" w:hAnsiTheme="minorEastAsia" w:eastAsiaTheme="minorEastAsia" w:cstheme="minorEastAsia"/>
                <w:color w:val="auto"/>
                <w:szCs w:val="21"/>
                <w:lang w:eastAsia="zh-CN"/>
              </w:rPr>
              <w:t>1. 每个</w:t>
            </w:r>
            <w:r>
              <w:rPr>
                <w:rFonts w:hint="eastAsia" w:ascii="宋体" w:hAnsi="宋体" w:cs="宋体"/>
                <w:i w:val="0"/>
                <w:iCs w:val="0"/>
                <w:color w:val="000000"/>
                <w:kern w:val="0"/>
                <w:sz w:val="20"/>
                <w:szCs w:val="20"/>
                <w:u w:val="none"/>
                <w:lang w:val="en-US" w:eastAsia="zh-CN" w:bidi="ar"/>
              </w:rPr>
              <w:t>投标人</w:t>
            </w:r>
            <w:r>
              <w:rPr>
                <w:rFonts w:hint="eastAsia" w:asciiTheme="minorEastAsia" w:hAnsiTheme="minorEastAsia" w:eastAsiaTheme="minorEastAsia" w:cstheme="minorEastAsia"/>
                <w:color w:val="auto"/>
                <w:szCs w:val="21"/>
                <w:lang w:eastAsia="zh-CN"/>
              </w:rPr>
              <w:t>仅允许参与其中一个包的投标，若同时响应多个包，其所有投标均将被认定为无效。</w:t>
            </w:r>
          </w:p>
          <w:p w14:paraId="14F53740">
            <w:pPr>
              <w:pageBreakBefore w:val="0"/>
              <w:kinsoku/>
              <w:overflowPunct/>
              <w:topLinePunct w:val="0"/>
              <w:bidi w:val="0"/>
              <w:adjustRightInd w:val="0"/>
              <w:snapToGrid w:val="0"/>
              <w:spacing w:line="400" w:lineRule="exact"/>
              <w:jc w:val="left"/>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eastAsia="zh-CN"/>
              </w:rPr>
              <w:t>2. 评标委员会将对包1-包3分别进行独立评审，并针对每个包单独推荐前三名排序中标候选人。</w:t>
            </w:r>
          </w:p>
          <w:p w14:paraId="6836B95C">
            <w:pPr>
              <w:pStyle w:val="61"/>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zCs w:val="21"/>
                <w:lang w:eastAsia="zh-CN"/>
              </w:rPr>
              <w:t>3. 若出现得分相同的情况，将按照投标报价由低到高的顺序排列；若得分与投标报价均相同，则通过评标委员会随机抽取的方式确定最终排序。</w:t>
            </w:r>
          </w:p>
          <w:p w14:paraId="4D0254DE">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bCs/>
                <w:color w:val="auto"/>
                <w:szCs w:val="21"/>
                <w:highlight w:val="none"/>
                <w:u w:val="none"/>
                <w:lang w:val="en-US" w:eastAsia="zh-CN"/>
              </w:rPr>
            </w:pPr>
          </w:p>
        </w:tc>
      </w:tr>
    </w:tbl>
    <w:p w14:paraId="2D1F58A6">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注：1.“包”为最小合同单位。每“包”内容应细化到具体的标的。</w:t>
      </w:r>
    </w:p>
    <w:p w14:paraId="3F9055D9">
      <w:pPr>
        <w:rPr>
          <w:rFonts w:hint="eastAsia" w:asciiTheme="minorEastAsia" w:hAnsiTheme="minorEastAsia" w:eastAsiaTheme="minorEastAsia" w:cstheme="minorEastAsia"/>
          <w:color w:val="auto"/>
          <w:sz w:val="28"/>
          <w:szCs w:val="28"/>
          <w:highlight w:val="none"/>
        </w:rPr>
      </w:pPr>
    </w:p>
    <w:p w14:paraId="763ECF17">
      <w:pPr>
        <w:pStyle w:val="3"/>
        <w:bidi w:val="0"/>
        <w:jc w:val="center"/>
        <w:rPr>
          <w:rFonts w:hint="default" w:eastAsia="宋体"/>
          <w:lang w:val="en-US" w:eastAsia="zh-CN"/>
        </w:rPr>
      </w:pPr>
      <w:bookmarkStart w:id="40" w:name="_Toc22171"/>
      <w:r>
        <w:rPr>
          <w:rFonts w:hint="eastAsia"/>
        </w:rPr>
        <w:t xml:space="preserve">第二节 </w:t>
      </w:r>
      <w:r>
        <w:rPr>
          <w:rFonts w:hint="eastAsia"/>
          <w:lang w:val="en-US" w:eastAsia="zh-CN"/>
        </w:rPr>
        <w:t>详细采购需求</w:t>
      </w:r>
      <w:bookmarkEnd w:id="40"/>
    </w:p>
    <w:p w14:paraId="45EEDBD9">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一、采购项目名称</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邵阳县平安城市网络租赁费采购项目</w:t>
      </w:r>
    </w:p>
    <w:p w14:paraId="5D6E0332">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sz w:val="21"/>
          <w:szCs w:val="21"/>
        </w:rPr>
        <w:t>二、</w:t>
      </w:r>
      <w:r>
        <w:rPr>
          <w:rFonts w:hint="eastAsia" w:asciiTheme="minorEastAsia" w:hAnsiTheme="minorEastAsia" w:eastAsiaTheme="minorEastAsia" w:cstheme="minorEastAsia"/>
          <w:b/>
          <w:bCs/>
          <w:sz w:val="21"/>
          <w:szCs w:val="21"/>
        </w:rPr>
        <w:t>项目概况：</w:t>
      </w:r>
    </w:p>
    <w:p w14:paraId="3006960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点位网络覆盖确认：联合邵阳县公安局、各乡镇（街道）综治部门，完成全县2359个监控点位的网络需求排查，明确城区主干道、乡镇出入口、学校周边、商圈核心区等重点区域的线路覆盖优先级，形成《邵阳县监控点位网络覆盖清单》，确保无信号盲区。​</w:t>
      </w:r>
    </w:p>
    <w:p w14:paraId="7CC7311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线路选型与部署实施：根据不同点位的监控功能需求，联合供应商完成线路铺设、设备调试，确保上线率 100%。</w:t>
      </w:r>
    </w:p>
    <w:p w14:paraId="7A77F1B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snapToGrid w:val="0"/>
          <w:color w:val="00000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网络拓扑搭建：构建 “前端点位 - 区域汇聚点 - 指挥中心” 三级网络架构；同步完成与邵阳县现有平安城市后端平台的网络对接，确保监控视频、报警数据可实时传输至指挥中心，延迟不超过 100ms</w:t>
      </w:r>
      <w:r>
        <w:rPr>
          <w:rFonts w:hint="eastAsia" w:asciiTheme="minorEastAsia" w:hAnsiTheme="minorEastAsia" w:eastAsiaTheme="minorEastAsia" w:cstheme="minorEastAsia"/>
          <w:b w:val="0"/>
          <w:bCs w:val="0"/>
          <w:snapToGrid w:val="0"/>
          <w:color w:val="000000"/>
          <w:sz w:val="21"/>
          <w:szCs w:val="21"/>
        </w:rPr>
        <w:t>。</w:t>
      </w:r>
    </w:p>
    <w:p w14:paraId="0C838A9F">
      <w:pPr>
        <w:pStyle w:val="61"/>
        <w:rPr>
          <w:rFonts w:hint="eastAsia"/>
          <w:sz w:val="21"/>
          <w:szCs w:val="21"/>
        </w:rPr>
      </w:pPr>
    </w:p>
    <w:p w14:paraId="3E3E1964">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422" w:firstLineChars="200"/>
        <w:jc w:val="both"/>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sz w:val="21"/>
          <w:szCs w:val="21"/>
          <w:lang w:val="en-US" w:eastAsia="zh-CN"/>
        </w:rPr>
        <w:t>技术要求</w:t>
      </w:r>
      <w:r>
        <w:rPr>
          <w:rFonts w:hint="eastAsia" w:asciiTheme="minorEastAsia" w:hAnsiTheme="minorEastAsia" w:eastAsiaTheme="minorEastAsia" w:cstheme="minorEastAsia"/>
          <w:b/>
          <w:bCs/>
          <w:sz w:val="21"/>
          <w:szCs w:val="21"/>
        </w:rPr>
        <w:t>：</w:t>
      </w:r>
    </w:p>
    <w:p w14:paraId="67776A91">
      <w:pPr>
        <w:pStyle w:val="61"/>
        <w:numPr>
          <w:ilvl w:val="0"/>
          <w:numId w:val="0"/>
        </w:numPr>
        <w:jc w:val="center"/>
        <w:rPr>
          <w:rFonts w:hint="eastAsia"/>
          <w:b/>
          <w:bCs/>
          <w:sz w:val="21"/>
          <w:szCs w:val="21"/>
          <w:lang w:val="en-US" w:eastAsia="zh-CN"/>
        </w:rPr>
      </w:pPr>
      <w:r>
        <w:rPr>
          <w:rFonts w:hint="eastAsia"/>
          <w:b/>
          <w:bCs/>
          <w:sz w:val="21"/>
          <w:szCs w:val="21"/>
          <w:lang w:val="en-US" w:eastAsia="zh-CN"/>
        </w:rPr>
        <w:t>包</w:t>
      </w:r>
      <w:r>
        <w:rPr>
          <w:rFonts w:hint="eastAsia"/>
          <w:b/>
          <w:bCs/>
          <w:sz w:val="21"/>
          <w:szCs w:val="21"/>
          <w:lang w:eastAsia="zh-CN"/>
        </w:rPr>
        <w:t>HNSZZFCG-2026-0484</w:t>
      </w:r>
      <w:r>
        <w:rPr>
          <w:rFonts w:hint="eastAsia"/>
          <w:b/>
          <w:bCs/>
          <w:sz w:val="21"/>
          <w:szCs w:val="21"/>
        </w:rPr>
        <w:t>-01</w:t>
      </w:r>
      <w:r>
        <w:rPr>
          <w:rFonts w:hint="eastAsia"/>
          <w:b/>
          <w:bCs/>
          <w:sz w:val="21"/>
          <w:szCs w:val="21"/>
          <w:lang w:eastAsia="zh-CN"/>
        </w:rPr>
        <w:t>（邵阳县平安城市网络租赁费采购项目</w:t>
      </w:r>
      <w:r>
        <w:rPr>
          <w:rFonts w:hint="eastAsia"/>
          <w:b/>
          <w:bCs/>
          <w:sz w:val="21"/>
          <w:szCs w:val="21"/>
          <w:lang w:val="en-US" w:eastAsia="zh-CN"/>
        </w:rPr>
        <w:t>包1）</w:t>
      </w:r>
    </w:p>
    <w:p w14:paraId="231E2165">
      <w:pPr>
        <w:pStyle w:val="61"/>
        <w:numPr>
          <w:ilvl w:val="0"/>
          <w:numId w:val="0"/>
        </w:numPr>
        <w:rPr>
          <w:rFonts w:hint="default"/>
          <w:b/>
          <w:bCs/>
          <w:sz w:val="21"/>
          <w:szCs w:val="21"/>
          <w:lang w:val="en-US" w:eastAsia="zh-CN"/>
        </w:rPr>
      </w:pPr>
    </w:p>
    <w:p w14:paraId="2A551C79">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b/>
          <w:bCs/>
          <w:snapToGrid w:val="0"/>
          <w:color w:val="000000"/>
          <w:sz w:val="21"/>
          <w:szCs w:val="21"/>
          <w:lang w:val="en-US" w:eastAsia="zh-CN"/>
        </w:rPr>
        <w:t>1.服务要求：</w:t>
      </w:r>
      <w:r>
        <w:rPr>
          <w:rFonts w:hint="eastAsia" w:asciiTheme="minorEastAsia" w:hAnsiTheme="minorEastAsia" w:eastAsiaTheme="minorEastAsia" w:cstheme="minorEastAsia"/>
          <w:color w:val="auto"/>
          <w:sz w:val="21"/>
          <w:szCs w:val="21"/>
          <w:lang w:eastAsia="zh-CN"/>
        </w:rPr>
        <w:t>本次邵阳县平安城市网络租赁费采购项目，其中：包1：12</w:t>
      </w:r>
      <w:r>
        <w:rPr>
          <w:rFonts w:hint="eastAsia" w:asciiTheme="minorEastAsia" w:hAnsiTheme="minorEastAsia" w:eastAsiaTheme="minorEastAsia" w:cstheme="minorEastAsia"/>
          <w:color w:val="auto"/>
          <w:sz w:val="21"/>
          <w:szCs w:val="21"/>
          <w:lang w:val="en-US" w:eastAsia="zh-CN"/>
        </w:rPr>
        <w:t>11个点位</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详细包对应服务范围见清单</w:t>
      </w:r>
      <w:r>
        <w:rPr>
          <w:rFonts w:hint="eastAsia" w:asciiTheme="minorEastAsia" w:hAnsiTheme="minorEastAsia" w:eastAsiaTheme="minorEastAsia" w:cstheme="minorEastAsia"/>
          <w:color w:val="000000"/>
          <w:kern w:val="0"/>
          <w:sz w:val="21"/>
          <w:szCs w:val="21"/>
          <w:lang w:val="en-US" w:eastAsia="zh-CN" w:bidi="ar"/>
        </w:rPr>
        <w:t>。</w:t>
      </w:r>
    </w:p>
    <w:p w14:paraId="306FADAC">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000000"/>
          <w:kern w:val="0"/>
          <w:sz w:val="21"/>
          <w:szCs w:val="21"/>
          <w:lang w:val="en-US" w:eastAsia="zh-CN" w:bidi="ar"/>
        </w:rPr>
        <w:t>2.</w:t>
      </w:r>
      <w:r>
        <w:rPr>
          <w:rFonts w:hint="eastAsia" w:asciiTheme="minorEastAsia" w:hAnsiTheme="minorEastAsia" w:eastAsiaTheme="minorEastAsia" w:cstheme="minorEastAsia"/>
          <w:b/>
          <w:bCs/>
          <w:color w:val="auto"/>
          <w:sz w:val="21"/>
          <w:szCs w:val="21"/>
          <w:lang w:val="en-US" w:eastAsia="zh-CN"/>
        </w:rPr>
        <w:t>详细包对应服务范围清单</w:t>
      </w:r>
    </w:p>
    <w:tbl>
      <w:tblPr>
        <w:tblStyle w:val="4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850"/>
        <w:gridCol w:w="3696"/>
        <w:gridCol w:w="2131"/>
      </w:tblGrid>
      <w:tr w14:paraId="442F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45" w:type="dxa"/>
            <w:vAlign w:val="center"/>
          </w:tcPr>
          <w:p w14:paraId="030A98E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包号</w:t>
            </w:r>
          </w:p>
        </w:tc>
        <w:tc>
          <w:tcPr>
            <w:tcW w:w="1850" w:type="dxa"/>
            <w:vAlign w:val="center"/>
          </w:tcPr>
          <w:p w14:paraId="4A0C46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服务数量</w:t>
            </w:r>
          </w:p>
        </w:tc>
        <w:tc>
          <w:tcPr>
            <w:tcW w:w="3696" w:type="dxa"/>
            <w:vAlign w:val="center"/>
          </w:tcPr>
          <w:p w14:paraId="7B515F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服务范围</w:t>
            </w:r>
          </w:p>
        </w:tc>
        <w:tc>
          <w:tcPr>
            <w:tcW w:w="2131" w:type="dxa"/>
            <w:vAlign w:val="center"/>
          </w:tcPr>
          <w:p w14:paraId="6F4AF9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最高单价限价（元）</w:t>
            </w:r>
          </w:p>
        </w:tc>
      </w:tr>
      <w:tr w14:paraId="73A6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14:paraId="2F61259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1</w:t>
            </w:r>
          </w:p>
        </w:tc>
        <w:tc>
          <w:tcPr>
            <w:tcW w:w="1850" w:type="dxa"/>
            <w:vAlign w:val="center"/>
          </w:tcPr>
          <w:p w14:paraId="4B0AF0E8">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kern w:val="0"/>
                <w:sz w:val="21"/>
                <w:szCs w:val="21"/>
                <w:highlight w:val="none"/>
                <w:u w:val="none"/>
                <w:lang w:eastAsia="zh-CN"/>
              </w:rPr>
              <w:t>1211</w:t>
            </w:r>
            <w:r>
              <w:rPr>
                <w:rFonts w:hint="eastAsia" w:asciiTheme="minorEastAsia" w:hAnsiTheme="minorEastAsia" w:eastAsiaTheme="minorEastAsia" w:cstheme="minorEastAsia"/>
                <w:color w:val="auto"/>
                <w:sz w:val="21"/>
                <w:szCs w:val="21"/>
                <w:lang w:val="en-US" w:eastAsia="zh-CN"/>
              </w:rPr>
              <w:t>个点位</w:t>
            </w:r>
          </w:p>
        </w:tc>
        <w:tc>
          <w:tcPr>
            <w:tcW w:w="3696" w:type="dxa"/>
            <w:vAlign w:val="center"/>
          </w:tcPr>
          <w:p w14:paraId="00E5E4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sz w:val="21"/>
                <w:szCs w:val="21"/>
                <w:vertAlign w:val="baseline"/>
                <w:lang w:eastAsia="zh-CN"/>
              </w:rPr>
              <w:t>九公桥镇、长阳铺镇、岩口铺镇、塘渡口镇、小溪市镇、黄亭市镇</w:t>
            </w:r>
          </w:p>
        </w:tc>
        <w:tc>
          <w:tcPr>
            <w:tcW w:w="2131" w:type="dxa"/>
            <w:vAlign w:val="center"/>
          </w:tcPr>
          <w:p w14:paraId="0C951D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900.00</w:t>
            </w:r>
          </w:p>
        </w:tc>
      </w:tr>
    </w:tbl>
    <w:p w14:paraId="607271E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3.线路带宽与传输质量、安全、技术规格等要求</w:t>
      </w:r>
    </w:p>
    <w:p w14:paraId="7453207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（1）线路带宽：普通监控点位线路带宽稳定在 100M；视频传输支持 H.265 编码格式，可满足 4K 高清视频实时回传。</w:t>
      </w:r>
    </w:p>
    <w:p w14:paraId="1E0CD38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（2）丢包率：丢包率≤0.1%。</w:t>
      </w:r>
    </w:p>
    <w:p w14:paraId="077852F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（3）抖动：抖动≤20ms。</w:t>
      </w:r>
    </w:p>
    <w:p w14:paraId="638E26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（4）平安城市后端平台数据传输延迟：监控视频、报警数据可实时传输至指挥中心，延迟不超过 100ms。</w:t>
      </w:r>
    </w:p>
    <w:p w14:paraId="775849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5）本项目为县域平安城市关键视频传输基础设施，承载治安防控、应急调度、视频取证核心业务，网络链路中断、突发网络故障、安全事件将直接影响公共安全处置工作。为全面防范网络运行风险，保障全域网络链路系统长期稳定不间断运行，规范项目全周期履约、故障处置、突发事件协同管理流程，需供应商具备综合应急保障能力。</w:t>
      </w:r>
    </w:p>
    <w:p w14:paraId="43B98ADB">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4、运输、安装及调试</w:t>
      </w:r>
    </w:p>
    <w:p w14:paraId="7D551A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（1）供应商负责线路服务建设过程中的的运输、安装、调试、测试等。</w:t>
      </w:r>
    </w:p>
    <w:p w14:paraId="230D649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（2）供应商负责其派出的工作人员的人身意外保险。承担本项目施工作业过程可能发生的意外伤害及事故等所有安全责任。</w:t>
      </w:r>
    </w:p>
    <w:p w14:paraId="6F01F52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（3）线路在安装调试时各项指标和技术参数应符合验收标准要求。</w:t>
      </w:r>
    </w:p>
    <w:p w14:paraId="6A2DBD6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（4）供应商应加强施工的组织管理，所有施工人员须遵守文明安全施工的有关规章制度进行施工。</w:t>
      </w:r>
    </w:p>
    <w:p w14:paraId="0146DC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（5）整体项目建设及调试完毕后，供应商应向采购人提交线路服务开通报告，并由双方共同按合同规定要求进行验收。</w:t>
      </w:r>
    </w:p>
    <w:p w14:paraId="2336EA34">
      <w:pPr>
        <w:pStyle w:val="61"/>
        <w:rPr>
          <w:rFonts w:hint="eastAsia" w:asciiTheme="minorEastAsia" w:hAnsiTheme="minorEastAsia" w:eastAsiaTheme="minorEastAsia" w:cstheme="minorEastAsia"/>
          <w:b w:val="0"/>
          <w:bCs w:val="0"/>
          <w:color w:val="auto"/>
          <w:sz w:val="21"/>
          <w:szCs w:val="21"/>
          <w:lang w:val="en-US" w:eastAsia="zh-CN"/>
        </w:rPr>
      </w:pPr>
    </w:p>
    <w:p w14:paraId="7D664D4A">
      <w:pPr>
        <w:pStyle w:val="61"/>
        <w:numPr>
          <w:ilvl w:val="0"/>
          <w:numId w:val="0"/>
        </w:numPr>
        <w:jc w:val="center"/>
        <w:rPr>
          <w:rFonts w:hint="eastAsia"/>
          <w:b/>
          <w:bCs/>
          <w:sz w:val="21"/>
          <w:szCs w:val="21"/>
          <w:lang w:val="en-US" w:eastAsia="zh-CN"/>
        </w:rPr>
      </w:pPr>
    </w:p>
    <w:p w14:paraId="142975D6">
      <w:pPr>
        <w:pStyle w:val="61"/>
        <w:numPr>
          <w:ilvl w:val="0"/>
          <w:numId w:val="0"/>
        </w:numPr>
        <w:jc w:val="center"/>
        <w:rPr>
          <w:rFonts w:hint="eastAsia"/>
          <w:b/>
          <w:bCs/>
          <w:sz w:val="21"/>
          <w:szCs w:val="21"/>
          <w:lang w:val="en-US" w:eastAsia="zh-CN"/>
        </w:rPr>
      </w:pPr>
      <w:r>
        <w:rPr>
          <w:rFonts w:hint="eastAsia"/>
          <w:b/>
          <w:bCs/>
          <w:sz w:val="21"/>
          <w:szCs w:val="21"/>
          <w:lang w:val="en-US" w:eastAsia="zh-CN"/>
        </w:rPr>
        <w:t>包</w:t>
      </w:r>
      <w:r>
        <w:rPr>
          <w:rFonts w:hint="eastAsia"/>
          <w:b/>
          <w:bCs/>
          <w:sz w:val="21"/>
          <w:szCs w:val="21"/>
          <w:lang w:eastAsia="zh-CN"/>
        </w:rPr>
        <w:t>HNSZZFCG-2026-0484</w:t>
      </w:r>
      <w:r>
        <w:rPr>
          <w:rFonts w:hint="eastAsia"/>
          <w:b/>
          <w:bCs/>
          <w:sz w:val="21"/>
          <w:szCs w:val="21"/>
        </w:rPr>
        <w:t>-0</w:t>
      </w:r>
      <w:r>
        <w:rPr>
          <w:rFonts w:hint="eastAsia"/>
          <w:b/>
          <w:bCs/>
          <w:sz w:val="21"/>
          <w:szCs w:val="21"/>
          <w:lang w:val="en-US" w:eastAsia="zh-CN"/>
        </w:rPr>
        <w:t>2</w:t>
      </w:r>
      <w:r>
        <w:rPr>
          <w:rFonts w:hint="eastAsia"/>
          <w:b/>
          <w:bCs/>
          <w:sz w:val="21"/>
          <w:szCs w:val="21"/>
          <w:lang w:eastAsia="zh-CN"/>
        </w:rPr>
        <w:t>（邵阳县平安城市网络租赁费采购项目</w:t>
      </w:r>
      <w:r>
        <w:rPr>
          <w:rFonts w:hint="eastAsia"/>
          <w:b/>
          <w:bCs/>
          <w:sz w:val="21"/>
          <w:szCs w:val="21"/>
          <w:lang w:val="en-US" w:eastAsia="zh-CN"/>
        </w:rPr>
        <w:t>包2）</w:t>
      </w:r>
    </w:p>
    <w:p w14:paraId="4193E3BA">
      <w:pPr>
        <w:pStyle w:val="61"/>
        <w:rPr>
          <w:rFonts w:hint="eastAsia" w:asciiTheme="minorEastAsia" w:hAnsiTheme="minorEastAsia" w:eastAsiaTheme="minorEastAsia" w:cstheme="minorEastAsia"/>
          <w:b w:val="0"/>
          <w:bCs w:val="0"/>
          <w:color w:val="auto"/>
          <w:sz w:val="21"/>
          <w:szCs w:val="21"/>
          <w:lang w:val="en-US" w:eastAsia="zh-CN"/>
        </w:rPr>
      </w:pPr>
    </w:p>
    <w:p w14:paraId="37AE3EBC">
      <w:pPr>
        <w:pStyle w:val="61"/>
        <w:rPr>
          <w:rFonts w:hint="eastAsia" w:asciiTheme="minorEastAsia" w:hAnsiTheme="minorEastAsia" w:eastAsiaTheme="minorEastAsia" w:cstheme="minorEastAsia"/>
          <w:b w:val="0"/>
          <w:bCs w:val="0"/>
          <w:color w:val="auto"/>
          <w:sz w:val="21"/>
          <w:szCs w:val="21"/>
          <w:lang w:val="en-US" w:eastAsia="zh-CN"/>
        </w:rPr>
      </w:pPr>
    </w:p>
    <w:p w14:paraId="374AD3AE">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b/>
          <w:bCs/>
          <w:snapToGrid w:val="0"/>
          <w:color w:val="000000"/>
          <w:sz w:val="21"/>
          <w:szCs w:val="21"/>
          <w:lang w:val="en-US" w:eastAsia="zh-CN"/>
        </w:rPr>
        <w:t>1.服务要求：</w:t>
      </w:r>
      <w:r>
        <w:rPr>
          <w:rFonts w:hint="eastAsia" w:asciiTheme="minorEastAsia" w:hAnsiTheme="minorEastAsia" w:eastAsiaTheme="minorEastAsia" w:cstheme="minorEastAsia"/>
          <w:color w:val="auto"/>
          <w:sz w:val="21"/>
          <w:szCs w:val="21"/>
          <w:lang w:eastAsia="zh-CN"/>
        </w:rPr>
        <w:t>本次邵阳县平安城市网络租赁费采购项目，包2：</w:t>
      </w:r>
      <w:r>
        <w:rPr>
          <w:rFonts w:hint="eastAsia" w:asciiTheme="minorEastAsia" w:hAnsiTheme="minorEastAsia" w:eastAsiaTheme="minorEastAsia" w:cstheme="minorEastAsia"/>
          <w:color w:val="auto"/>
          <w:sz w:val="21"/>
          <w:szCs w:val="21"/>
          <w:lang w:val="en-US" w:eastAsia="zh-CN"/>
        </w:rPr>
        <w:t>555个点位</w:t>
      </w:r>
      <w:r>
        <w:rPr>
          <w:rFonts w:hint="eastAsia" w:asciiTheme="minorEastAsia" w:hAnsiTheme="minorEastAsia" w:eastAsiaTheme="minorEastAsia" w:cstheme="minorEastAsia"/>
          <w:color w:val="auto"/>
          <w:sz w:val="21"/>
          <w:szCs w:val="21"/>
          <w:lang w:eastAsia="zh-CN"/>
        </w:rPr>
        <w:t xml:space="preserve"> ，</w:t>
      </w:r>
      <w:r>
        <w:rPr>
          <w:rFonts w:hint="eastAsia" w:asciiTheme="minorEastAsia" w:hAnsiTheme="minorEastAsia" w:eastAsiaTheme="minorEastAsia" w:cstheme="minorEastAsia"/>
          <w:color w:val="auto"/>
          <w:sz w:val="21"/>
          <w:szCs w:val="21"/>
          <w:lang w:val="en-US" w:eastAsia="zh-CN"/>
        </w:rPr>
        <w:t>详细包对应服务范围见清单</w:t>
      </w:r>
      <w:r>
        <w:rPr>
          <w:rFonts w:hint="eastAsia" w:asciiTheme="minorEastAsia" w:hAnsiTheme="minorEastAsia" w:eastAsiaTheme="minorEastAsia" w:cstheme="minorEastAsia"/>
          <w:color w:val="000000"/>
          <w:kern w:val="0"/>
          <w:sz w:val="21"/>
          <w:szCs w:val="21"/>
          <w:lang w:val="en-US" w:eastAsia="zh-CN" w:bidi="ar"/>
        </w:rPr>
        <w:t>。</w:t>
      </w:r>
    </w:p>
    <w:p w14:paraId="4B8B68F0">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000000"/>
          <w:kern w:val="0"/>
          <w:sz w:val="21"/>
          <w:szCs w:val="21"/>
          <w:lang w:val="en-US" w:eastAsia="zh-CN" w:bidi="ar"/>
        </w:rPr>
        <w:t>2.</w:t>
      </w:r>
      <w:r>
        <w:rPr>
          <w:rFonts w:hint="eastAsia" w:asciiTheme="minorEastAsia" w:hAnsiTheme="minorEastAsia" w:eastAsiaTheme="minorEastAsia" w:cstheme="minorEastAsia"/>
          <w:b/>
          <w:bCs/>
          <w:color w:val="auto"/>
          <w:sz w:val="21"/>
          <w:szCs w:val="21"/>
          <w:lang w:val="en-US" w:eastAsia="zh-CN"/>
        </w:rPr>
        <w:t>详细包对应服务范围清单</w:t>
      </w:r>
    </w:p>
    <w:tbl>
      <w:tblPr>
        <w:tblStyle w:val="4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850"/>
        <w:gridCol w:w="3696"/>
        <w:gridCol w:w="2131"/>
      </w:tblGrid>
      <w:tr w14:paraId="2F63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45" w:type="dxa"/>
            <w:vAlign w:val="center"/>
          </w:tcPr>
          <w:p w14:paraId="6C81D1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包号</w:t>
            </w:r>
          </w:p>
        </w:tc>
        <w:tc>
          <w:tcPr>
            <w:tcW w:w="1850" w:type="dxa"/>
            <w:vAlign w:val="center"/>
          </w:tcPr>
          <w:p w14:paraId="36CBC3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服务数量</w:t>
            </w:r>
          </w:p>
        </w:tc>
        <w:tc>
          <w:tcPr>
            <w:tcW w:w="3696" w:type="dxa"/>
            <w:vAlign w:val="center"/>
          </w:tcPr>
          <w:p w14:paraId="19F92A9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服务范围</w:t>
            </w:r>
          </w:p>
        </w:tc>
        <w:tc>
          <w:tcPr>
            <w:tcW w:w="2131" w:type="dxa"/>
            <w:vAlign w:val="center"/>
          </w:tcPr>
          <w:p w14:paraId="37BB7A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最高单价限价（元）</w:t>
            </w:r>
          </w:p>
        </w:tc>
      </w:tr>
      <w:tr w14:paraId="2A36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14:paraId="1280A7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2</w:t>
            </w:r>
          </w:p>
        </w:tc>
        <w:tc>
          <w:tcPr>
            <w:tcW w:w="1850" w:type="dxa"/>
            <w:vAlign w:val="center"/>
          </w:tcPr>
          <w:p w14:paraId="6443A17E">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kern w:val="0"/>
                <w:sz w:val="21"/>
                <w:szCs w:val="21"/>
                <w:highlight w:val="none"/>
                <w:u w:val="none"/>
                <w:lang w:val="en-US" w:eastAsia="zh-CN" w:bidi="ar-SA"/>
              </w:rPr>
              <w:t>593</w:t>
            </w:r>
            <w:r>
              <w:rPr>
                <w:rFonts w:hint="eastAsia" w:asciiTheme="minorEastAsia" w:hAnsiTheme="minorEastAsia" w:eastAsiaTheme="minorEastAsia" w:cstheme="minorEastAsia"/>
                <w:color w:val="auto"/>
                <w:sz w:val="21"/>
                <w:szCs w:val="21"/>
                <w:lang w:val="en-US" w:eastAsia="zh-CN"/>
              </w:rPr>
              <w:t>个点位</w:t>
            </w:r>
          </w:p>
        </w:tc>
        <w:tc>
          <w:tcPr>
            <w:tcW w:w="3696" w:type="dxa"/>
            <w:vAlign w:val="center"/>
          </w:tcPr>
          <w:p w14:paraId="5C605D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sz w:val="21"/>
                <w:szCs w:val="21"/>
                <w:vertAlign w:val="baseline"/>
                <w:lang w:eastAsia="zh-CN"/>
              </w:rPr>
              <w:t>白仓镇、蔡桥乡、河伯乡、金称市镇、塘渡口镇、长乐乡</w:t>
            </w:r>
          </w:p>
        </w:tc>
        <w:tc>
          <w:tcPr>
            <w:tcW w:w="2131" w:type="dxa"/>
            <w:vAlign w:val="center"/>
          </w:tcPr>
          <w:p w14:paraId="3E0C0D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900.00</w:t>
            </w:r>
          </w:p>
        </w:tc>
      </w:tr>
    </w:tbl>
    <w:p w14:paraId="2729780C">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3.线路带宽与传输质量、安全、技术规格等要求</w:t>
      </w:r>
    </w:p>
    <w:p w14:paraId="10EE303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（1）线路带宽：普通监控点位线路带宽稳定在 100M；视频传输支持 H.265 编码格式，可满足 4K 高清视频实时回传。</w:t>
      </w:r>
    </w:p>
    <w:p w14:paraId="0BCE6B5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（2）丢包率：丢包率≤0.1%。</w:t>
      </w:r>
    </w:p>
    <w:p w14:paraId="0E0D65F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（3）抖动：抖动≤20ms。</w:t>
      </w:r>
    </w:p>
    <w:p w14:paraId="501DC98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（4）平安城市后端平台数据传输延迟：监控视频、报警数据可实时传输至指挥中心，延迟不超过 100ms。</w:t>
      </w:r>
    </w:p>
    <w:p w14:paraId="3E9DA7E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5）本项目为县域平安城市关键视频传输基础设施，承载治安防控、应急调度、视频取证核心业务，网络链路中断、突发网络故障、安全事件将直接影响公共安全处置工作。为全面防范网络运行风险，保障全域网络链路系统长期稳定不间断运行，规范项目全周期履约、故障处置、突发事件协同管理流程，需供应商具备综合应急保障能力。</w:t>
      </w:r>
    </w:p>
    <w:p w14:paraId="34D78FFE">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4、运输、安装及调试</w:t>
      </w:r>
    </w:p>
    <w:p w14:paraId="725819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（1）供应商负责线路服务建设过程中的的运输、安装、调试、测试等。</w:t>
      </w:r>
    </w:p>
    <w:p w14:paraId="6F294BE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（2）供应商负责其派出的工作人员的人身意外保险。承担本项目施工作业过程可能发生的意外伤害及事故等所有安全责任。</w:t>
      </w:r>
    </w:p>
    <w:p w14:paraId="627C23D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（3）线路在安装调试时各项指标和技术参数应符合验收标准要求。</w:t>
      </w:r>
    </w:p>
    <w:p w14:paraId="7F7E531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（4）供应商应加强施工的组织管理，所有施工人员须遵守文明安全施工的有关规章制度进行施工。</w:t>
      </w:r>
    </w:p>
    <w:p w14:paraId="7C04816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（5）整体项目建设及调试完毕后，供应商应向采购人提交线路服务开通报告，并由双方共同按合同规定要求进行验收。</w:t>
      </w:r>
    </w:p>
    <w:p w14:paraId="02C45FBC">
      <w:pPr>
        <w:pStyle w:val="61"/>
        <w:rPr>
          <w:rFonts w:hint="eastAsia" w:asciiTheme="minorEastAsia" w:hAnsiTheme="minorEastAsia" w:eastAsiaTheme="minorEastAsia" w:cstheme="minorEastAsia"/>
          <w:b w:val="0"/>
          <w:bCs w:val="0"/>
          <w:color w:val="auto"/>
          <w:sz w:val="21"/>
          <w:szCs w:val="21"/>
          <w:lang w:val="en-US" w:eastAsia="zh-CN"/>
        </w:rPr>
      </w:pPr>
    </w:p>
    <w:p w14:paraId="7AEE6725">
      <w:pPr>
        <w:pStyle w:val="61"/>
        <w:numPr>
          <w:ilvl w:val="0"/>
          <w:numId w:val="0"/>
        </w:numPr>
        <w:jc w:val="center"/>
        <w:rPr>
          <w:rFonts w:hint="eastAsia"/>
          <w:b/>
          <w:bCs/>
          <w:sz w:val="21"/>
          <w:szCs w:val="21"/>
          <w:lang w:val="en-US" w:eastAsia="zh-CN"/>
        </w:rPr>
      </w:pPr>
    </w:p>
    <w:p w14:paraId="33185F9F">
      <w:pPr>
        <w:pStyle w:val="61"/>
        <w:numPr>
          <w:ilvl w:val="0"/>
          <w:numId w:val="0"/>
        </w:numPr>
        <w:jc w:val="center"/>
        <w:rPr>
          <w:rFonts w:hint="eastAsia"/>
          <w:b/>
          <w:bCs/>
          <w:sz w:val="21"/>
          <w:szCs w:val="21"/>
          <w:lang w:val="en-US" w:eastAsia="zh-CN"/>
        </w:rPr>
      </w:pPr>
      <w:r>
        <w:rPr>
          <w:rFonts w:hint="eastAsia"/>
          <w:b/>
          <w:bCs/>
          <w:sz w:val="21"/>
          <w:szCs w:val="21"/>
          <w:lang w:val="en-US" w:eastAsia="zh-CN"/>
        </w:rPr>
        <w:t>包</w:t>
      </w:r>
      <w:r>
        <w:rPr>
          <w:rFonts w:hint="eastAsia"/>
          <w:b/>
          <w:bCs/>
          <w:sz w:val="21"/>
          <w:szCs w:val="21"/>
          <w:lang w:eastAsia="zh-CN"/>
        </w:rPr>
        <w:t>HNSZZFCG-2026-0484</w:t>
      </w:r>
      <w:r>
        <w:rPr>
          <w:rFonts w:hint="eastAsia"/>
          <w:b/>
          <w:bCs/>
          <w:sz w:val="21"/>
          <w:szCs w:val="21"/>
        </w:rPr>
        <w:t>-0</w:t>
      </w:r>
      <w:r>
        <w:rPr>
          <w:rFonts w:hint="eastAsia"/>
          <w:b/>
          <w:bCs/>
          <w:sz w:val="21"/>
          <w:szCs w:val="21"/>
          <w:lang w:val="en-US" w:eastAsia="zh-CN"/>
        </w:rPr>
        <w:t>3</w:t>
      </w:r>
      <w:r>
        <w:rPr>
          <w:rFonts w:hint="eastAsia"/>
          <w:b/>
          <w:bCs/>
          <w:sz w:val="21"/>
          <w:szCs w:val="21"/>
          <w:lang w:eastAsia="zh-CN"/>
        </w:rPr>
        <w:t>（邵阳县平安城市网络租赁费采购项目</w:t>
      </w:r>
      <w:r>
        <w:rPr>
          <w:rFonts w:hint="eastAsia"/>
          <w:b/>
          <w:bCs/>
          <w:sz w:val="21"/>
          <w:szCs w:val="21"/>
          <w:lang w:val="en-US" w:eastAsia="zh-CN"/>
        </w:rPr>
        <w:t>包3）</w:t>
      </w:r>
    </w:p>
    <w:p w14:paraId="6D66C4A2">
      <w:pPr>
        <w:pStyle w:val="61"/>
        <w:rPr>
          <w:rFonts w:hint="eastAsia" w:asciiTheme="minorEastAsia" w:hAnsiTheme="minorEastAsia" w:eastAsiaTheme="minorEastAsia" w:cstheme="minorEastAsia"/>
          <w:b w:val="0"/>
          <w:bCs w:val="0"/>
          <w:color w:val="auto"/>
          <w:sz w:val="21"/>
          <w:szCs w:val="21"/>
          <w:lang w:val="en-US" w:eastAsia="zh-CN"/>
        </w:rPr>
      </w:pPr>
    </w:p>
    <w:p w14:paraId="6A869B17">
      <w:pPr>
        <w:pStyle w:val="61"/>
        <w:rPr>
          <w:rFonts w:hint="eastAsia" w:asciiTheme="minorEastAsia" w:hAnsiTheme="minorEastAsia" w:eastAsiaTheme="minorEastAsia" w:cstheme="minorEastAsia"/>
          <w:b w:val="0"/>
          <w:bCs w:val="0"/>
          <w:color w:val="auto"/>
          <w:sz w:val="21"/>
          <w:szCs w:val="21"/>
          <w:lang w:val="en-US" w:eastAsia="zh-CN"/>
        </w:rPr>
      </w:pPr>
    </w:p>
    <w:p w14:paraId="4A79CA1E">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color w:val="000000"/>
          <w:kern w:val="0"/>
          <w:sz w:val="21"/>
          <w:szCs w:val="21"/>
          <w:lang w:val="en-US" w:eastAsia="zh-CN" w:bidi="ar"/>
        </w:rPr>
      </w:pPr>
      <w:r>
        <w:rPr>
          <w:rFonts w:hint="eastAsia" w:asciiTheme="minorEastAsia" w:hAnsiTheme="minorEastAsia" w:eastAsiaTheme="minorEastAsia" w:cstheme="minorEastAsia"/>
          <w:b/>
          <w:bCs/>
          <w:snapToGrid w:val="0"/>
          <w:color w:val="000000"/>
          <w:sz w:val="21"/>
          <w:szCs w:val="21"/>
          <w:lang w:val="en-US" w:eastAsia="zh-CN"/>
        </w:rPr>
        <w:t>1.服务要求：</w:t>
      </w:r>
      <w:r>
        <w:rPr>
          <w:rFonts w:hint="eastAsia" w:asciiTheme="minorEastAsia" w:hAnsiTheme="minorEastAsia" w:eastAsiaTheme="minorEastAsia" w:cstheme="minorEastAsia"/>
          <w:color w:val="auto"/>
          <w:sz w:val="21"/>
          <w:szCs w:val="21"/>
          <w:lang w:eastAsia="zh-CN"/>
        </w:rPr>
        <w:t>本次邵阳县平安城市网络租赁费采购项目，其中：包3：</w:t>
      </w:r>
      <w:r>
        <w:rPr>
          <w:rFonts w:hint="eastAsia" w:asciiTheme="minorEastAsia" w:hAnsiTheme="minorEastAsia" w:eastAsiaTheme="minorEastAsia" w:cstheme="minorEastAsia"/>
          <w:color w:val="auto"/>
          <w:sz w:val="21"/>
          <w:szCs w:val="21"/>
          <w:lang w:val="en-US" w:eastAsia="zh-CN"/>
        </w:rPr>
        <w:t>593个点位</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详细包对应服务范围见清单</w:t>
      </w:r>
      <w:r>
        <w:rPr>
          <w:rFonts w:hint="eastAsia" w:asciiTheme="minorEastAsia" w:hAnsiTheme="minorEastAsia" w:eastAsiaTheme="minorEastAsia" w:cstheme="minorEastAsia"/>
          <w:color w:val="000000"/>
          <w:kern w:val="0"/>
          <w:sz w:val="21"/>
          <w:szCs w:val="21"/>
          <w:lang w:val="en-US" w:eastAsia="zh-CN" w:bidi="ar"/>
        </w:rPr>
        <w:t>。</w:t>
      </w:r>
    </w:p>
    <w:p w14:paraId="6055F55C">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000000"/>
          <w:kern w:val="0"/>
          <w:sz w:val="21"/>
          <w:szCs w:val="21"/>
          <w:lang w:val="en-US" w:eastAsia="zh-CN" w:bidi="ar"/>
        </w:rPr>
        <w:t>2.</w:t>
      </w:r>
      <w:r>
        <w:rPr>
          <w:rFonts w:hint="eastAsia" w:asciiTheme="minorEastAsia" w:hAnsiTheme="minorEastAsia" w:eastAsiaTheme="minorEastAsia" w:cstheme="minorEastAsia"/>
          <w:b/>
          <w:bCs/>
          <w:color w:val="auto"/>
          <w:sz w:val="21"/>
          <w:szCs w:val="21"/>
          <w:lang w:val="en-US" w:eastAsia="zh-CN"/>
        </w:rPr>
        <w:t>详细包对应服务范围清单</w:t>
      </w:r>
    </w:p>
    <w:tbl>
      <w:tblPr>
        <w:tblStyle w:val="4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850"/>
        <w:gridCol w:w="3696"/>
        <w:gridCol w:w="2131"/>
      </w:tblGrid>
      <w:tr w14:paraId="0203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845" w:type="dxa"/>
            <w:vAlign w:val="center"/>
          </w:tcPr>
          <w:p w14:paraId="05FD98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包号</w:t>
            </w:r>
          </w:p>
        </w:tc>
        <w:tc>
          <w:tcPr>
            <w:tcW w:w="1850" w:type="dxa"/>
            <w:vAlign w:val="center"/>
          </w:tcPr>
          <w:p w14:paraId="05B71F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服务数量</w:t>
            </w:r>
          </w:p>
        </w:tc>
        <w:tc>
          <w:tcPr>
            <w:tcW w:w="3696" w:type="dxa"/>
            <w:vAlign w:val="center"/>
          </w:tcPr>
          <w:p w14:paraId="145E589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服务范围</w:t>
            </w:r>
          </w:p>
        </w:tc>
        <w:tc>
          <w:tcPr>
            <w:tcW w:w="2131" w:type="dxa"/>
            <w:vAlign w:val="center"/>
          </w:tcPr>
          <w:p w14:paraId="3FE478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最高单价限价（元）</w:t>
            </w:r>
          </w:p>
        </w:tc>
      </w:tr>
      <w:tr w14:paraId="1359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vAlign w:val="center"/>
          </w:tcPr>
          <w:p w14:paraId="4345B5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3</w:t>
            </w:r>
          </w:p>
        </w:tc>
        <w:tc>
          <w:tcPr>
            <w:tcW w:w="1850" w:type="dxa"/>
            <w:vAlign w:val="center"/>
          </w:tcPr>
          <w:p w14:paraId="77BAF558">
            <w:pPr>
              <w:pStyle w:val="22"/>
              <w:pageBreakBefore w:val="0"/>
              <w:kinsoku/>
              <w:overflowPunct/>
              <w:topLinePunct w:val="0"/>
              <w:bidi w:val="0"/>
              <w:adjustRightInd w:val="0"/>
              <w:snapToGrid w:val="0"/>
              <w:spacing w:line="400" w:lineRule="exact"/>
              <w:jc w:val="center"/>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kern w:val="0"/>
                <w:sz w:val="21"/>
                <w:szCs w:val="21"/>
                <w:highlight w:val="none"/>
                <w:u w:val="none"/>
              </w:rPr>
              <w:t>555</w:t>
            </w:r>
            <w:r>
              <w:rPr>
                <w:rFonts w:hint="eastAsia" w:asciiTheme="minorEastAsia" w:hAnsiTheme="minorEastAsia" w:eastAsiaTheme="minorEastAsia" w:cstheme="minorEastAsia"/>
                <w:color w:val="auto"/>
                <w:sz w:val="21"/>
                <w:szCs w:val="21"/>
                <w:lang w:val="en-US" w:eastAsia="zh-CN"/>
              </w:rPr>
              <w:t>个点位</w:t>
            </w:r>
          </w:p>
        </w:tc>
        <w:tc>
          <w:tcPr>
            <w:tcW w:w="3696" w:type="dxa"/>
            <w:vAlign w:val="center"/>
          </w:tcPr>
          <w:p w14:paraId="7DE8960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sz w:val="21"/>
                <w:szCs w:val="21"/>
                <w:vertAlign w:val="baseline"/>
                <w:lang w:eastAsia="zh-CN"/>
              </w:rPr>
              <w:t>五峰铺镇、下花桥镇、九公桥镇、罗城乡、郦家坪镇、诸甲亭乡、谷洲镇</w:t>
            </w:r>
          </w:p>
        </w:tc>
        <w:tc>
          <w:tcPr>
            <w:tcW w:w="2131" w:type="dxa"/>
            <w:vAlign w:val="center"/>
          </w:tcPr>
          <w:p w14:paraId="7145A1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21"/>
                <w:szCs w:val="21"/>
                <w:vertAlign w:val="baseline"/>
                <w:lang w:val="en-US" w:eastAsia="zh-CN"/>
              </w:rPr>
            </w:pPr>
            <w:r>
              <w:rPr>
                <w:rFonts w:hint="eastAsia" w:asciiTheme="minorEastAsia" w:hAnsiTheme="minorEastAsia" w:eastAsiaTheme="minorEastAsia" w:cstheme="minorEastAsia"/>
                <w:color w:val="auto"/>
                <w:sz w:val="21"/>
                <w:szCs w:val="21"/>
                <w:vertAlign w:val="baseline"/>
                <w:lang w:val="en-US" w:eastAsia="zh-CN"/>
              </w:rPr>
              <w:t>900.00</w:t>
            </w:r>
          </w:p>
        </w:tc>
      </w:tr>
    </w:tbl>
    <w:p w14:paraId="3F7EC00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3.线路带宽与传输质量、安全、技术规格等要求</w:t>
      </w:r>
    </w:p>
    <w:p w14:paraId="716E064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（1）线路带宽：普通监控点位线路带宽稳定在 100M；视频传输支持 H.265 编码格式，可满足 4K 高清视频实时回传。</w:t>
      </w:r>
    </w:p>
    <w:p w14:paraId="21675D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（2）丢包率：丢包率≤0.1%。</w:t>
      </w:r>
    </w:p>
    <w:p w14:paraId="3928C03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（3）抖动：抖动≤20ms。</w:t>
      </w:r>
    </w:p>
    <w:p w14:paraId="3D9F0B1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（4）平安城市后端平台数据传输延迟：监控视频、报警数据可实时传输至指挥中心，延迟不超过 100ms。</w:t>
      </w:r>
    </w:p>
    <w:p w14:paraId="7D8F581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5）本项目为县域平安城市关键视频传输基础设施，承载治安防控、应急调度、视频取证核心业务，网络链路中断、突发网络故障、安全事件将直接影响公共安全处置工作。为全面防范网络运行风险，保障全域网络链路系统长期稳定不间断运行，规范项目全周期履约、故障处置、突发事件协同管理流程，需供应商具备综合应急保障能力。</w:t>
      </w:r>
    </w:p>
    <w:p w14:paraId="34BCB8D7">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4、运输、安装及调试</w:t>
      </w:r>
    </w:p>
    <w:p w14:paraId="74734BA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（1）供应商负责线路服务建设过程中的的运输、安装、调试、测试等。</w:t>
      </w:r>
    </w:p>
    <w:p w14:paraId="63FCEA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（2）供应商负责其派出的工作人员的人身意外保险。承担本项目施工作业过程可能发生的意外伤害及事故等所有安全责任。</w:t>
      </w:r>
    </w:p>
    <w:p w14:paraId="6BD1C18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（3）线路在安装调试时各项指标和技术参数应符合验收标准要求。</w:t>
      </w:r>
    </w:p>
    <w:p w14:paraId="7B17181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（4）供应商应加强施工的组织管理，所有施工人员须遵守文明安全施工的有关规章制度进行施工。</w:t>
      </w:r>
    </w:p>
    <w:p w14:paraId="6078B55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（5）整体项目建设及调试完毕后，供应商应向采购人提交线路服务开通报告，并由双方共同按合同规定要求进行验收。</w:t>
      </w:r>
    </w:p>
    <w:p w14:paraId="7DD90F56">
      <w:pPr>
        <w:pStyle w:val="61"/>
        <w:rPr>
          <w:rFonts w:hint="eastAsia" w:asciiTheme="minorEastAsia" w:hAnsiTheme="minorEastAsia" w:eastAsiaTheme="minorEastAsia" w:cstheme="minorEastAsia"/>
          <w:b w:val="0"/>
          <w:bCs w:val="0"/>
          <w:color w:val="auto"/>
          <w:sz w:val="21"/>
          <w:szCs w:val="21"/>
          <w:lang w:val="en-US" w:eastAsia="zh-CN"/>
        </w:rPr>
      </w:pPr>
    </w:p>
    <w:p w14:paraId="6D246B15">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sz w:val="21"/>
          <w:szCs w:val="21"/>
          <w:lang w:val="en-US" w:eastAsia="zh-CN"/>
        </w:rPr>
        <w:t>商务要求</w:t>
      </w:r>
      <w:r>
        <w:rPr>
          <w:rFonts w:hint="eastAsia" w:asciiTheme="minorEastAsia" w:hAnsiTheme="minorEastAsia" w:eastAsiaTheme="minorEastAsia" w:cstheme="minorEastAsia"/>
          <w:b/>
          <w:bCs/>
          <w:sz w:val="21"/>
          <w:szCs w:val="21"/>
        </w:rPr>
        <w:t>：</w:t>
      </w:r>
    </w:p>
    <w:p w14:paraId="42054292">
      <w:pPr>
        <w:pStyle w:val="61"/>
        <w:numPr>
          <w:ilvl w:val="0"/>
          <w:numId w:val="0"/>
        </w:numPr>
        <w:jc w:val="center"/>
        <w:rPr>
          <w:rFonts w:hint="eastAsia"/>
          <w:b/>
          <w:bCs/>
          <w:sz w:val="21"/>
          <w:szCs w:val="21"/>
          <w:lang w:val="en-US" w:eastAsia="zh-CN"/>
        </w:rPr>
      </w:pPr>
      <w:r>
        <w:rPr>
          <w:rFonts w:hint="eastAsia"/>
          <w:b/>
          <w:bCs/>
          <w:sz w:val="21"/>
          <w:szCs w:val="21"/>
          <w:lang w:val="en-US" w:eastAsia="zh-CN"/>
        </w:rPr>
        <w:t>包</w:t>
      </w:r>
      <w:r>
        <w:rPr>
          <w:rFonts w:hint="eastAsia"/>
          <w:b/>
          <w:bCs/>
          <w:sz w:val="21"/>
          <w:szCs w:val="21"/>
          <w:lang w:eastAsia="zh-CN"/>
        </w:rPr>
        <w:t>HNSZZFCG-2026-0484</w:t>
      </w:r>
      <w:r>
        <w:rPr>
          <w:rFonts w:hint="eastAsia"/>
          <w:b/>
          <w:bCs/>
          <w:sz w:val="21"/>
          <w:szCs w:val="21"/>
        </w:rPr>
        <w:t>-0</w:t>
      </w:r>
      <w:r>
        <w:rPr>
          <w:rFonts w:hint="eastAsia"/>
          <w:b/>
          <w:bCs/>
          <w:sz w:val="21"/>
          <w:szCs w:val="21"/>
          <w:lang w:val="en-US" w:eastAsia="zh-CN"/>
        </w:rPr>
        <w:t>1</w:t>
      </w:r>
      <w:r>
        <w:rPr>
          <w:rFonts w:hint="eastAsia"/>
          <w:b/>
          <w:bCs/>
          <w:sz w:val="21"/>
          <w:szCs w:val="21"/>
          <w:lang w:eastAsia="zh-CN"/>
        </w:rPr>
        <w:t>（邵阳县平安城市网络租赁费采购项目</w:t>
      </w:r>
      <w:r>
        <w:rPr>
          <w:rFonts w:hint="eastAsia"/>
          <w:b/>
          <w:bCs/>
          <w:sz w:val="21"/>
          <w:szCs w:val="21"/>
          <w:lang w:val="en-US" w:eastAsia="zh-CN"/>
        </w:rPr>
        <w:t>包1）</w:t>
      </w:r>
    </w:p>
    <w:p w14:paraId="3D70A156">
      <w:pPr>
        <w:pStyle w:val="61"/>
        <w:numPr>
          <w:ilvl w:val="0"/>
          <w:numId w:val="0"/>
        </w:numPr>
        <w:jc w:val="center"/>
        <w:rPr>
          <w:rFonts w:hint="eastAsia"/>
          <w:b/>
          <w:bCs/>
          <w:sz w:val="21"/>
          <w:szCs w:val="21"/>
          <w:lang w:val="en-US" w:eastAsia="zh-CN"/>
        </w:rPr>
      </w:pPr>
      <w:r>
        <w:rPr>
          <w:rFonts w:hint="eastAsia"/>
          <w:b/>
          <w:bCs/>
          <w:sz w:val="21"/>
          <w:szCs w:val="21"/>
          <w:lang w:val="en-US" w:eastAsia="zh-CN"/>
        </w:rPr>
        <w:t>包</w:t>
      </w:r>
      <w:r>
        <w:rPr>
          <w:rFonts w:hint="eastAsia"/>
          <w:b/>
          <w:bCs/>
          <w:sz w:val="21"/>
          <w:szCs w:val="21"/>
          <w:lang w:eastAsia="zh-CN"/>
        </w:rPr>
        <w:t>HNSZZFCG-2026-0484</w:t>
      </w:r>
      <w:r>
        <w:rPr>
          <w:rFonts w:hint="eastAsia"/>
          <w:b/>
          <w:bCs/>
          <w:sz w:val="21"/>
          <w:szCs w:val="21"/>
        </w:rPr>
        <w:t>-0</w:t>
      </w:r>
      <w:r>
        <w:rPr>
          <w:rFonts w:hint="eastAsia"/>
          <w:b/>
          <w:bCs/>
          <w:sz w:val="21"/>
          <w:szCs w:val="21"/>
          <w:lang w:val="en-US" w:eastAsia="zh-CN"/>
        </w:rPr>
        <w:t>2</w:t>
      </w:r>
      <w:r>
        <w:rPr>
          <w:rFonts w:hint="eastAsia"/>
          <w:b/>
          <w:bCs/>
          <w:sz w:val="21"/>
          <w:szCs w:val="21"/>
          <w:lang w:eastAsia="zh-CN"/>
        </w:rPr>
        <w:t>（邵阳县平安城市网络租赁费采购项目</w:t>
      </w:r>
      <w:r>
        <w:rPr>
          <w:rFonts w:hint="eastAsia"/>
          <w:b/>
          <w:bCs/>
          <w:sz w:val="21"/>
          <w:szCs w:val="21"/>
          <w:lang w:val="en-US" w:eastAsia="zh-CN"/>
        </w:rPr>
        <w:t>包2）</w:t>
      </w:r>
    </w:p>
    <w:p w14:paraId="741B657A">
      <w:pPr>
        <w:pStyle w:val="61"/>
        <w:numPr>
          <w:ilvl w:val="0"/>
          <w:numId w:val="0"/>
        </w:numPr>
        <w:jc w:val="center"/>
        <w:rPr>
          <w:rFonts w:hint="eastAsia"/>
          <w:b/>
          <w:bCs/>
          <w:sz w:val="21"/>
          <w:szCs w:val="21"/>
          <w:lang w:val="en-US" w:eastAsia="zh-CN"/>
        </w:rPr>
      </w:pPr>
      <w:r>
        <w:rPr>
          <w:rFonts w:hint="eastAsia"/>
          <w:b/>
          <w:bCs/>
          <w:sz w:val="21"/>
          <w:szCs w:val="21"/>
          <w:lang w:val="en-US" w:eastAsia="zh-CN"/>
        </w:rPr>
        <w:t>包</w:t>
      </w:r>
      <w:r>
        <w:rPr>
          <w:rFonts w:hint="eastAsia"/>
          <w:b/>
          <w:bCs/>
          <w:sz w:val="21"/>
          <w:szCs w:val="21"/>
          <w:lang w:eastAsia="zh-CN"/>
        </w:rPr>
        <w:t>HNSZZFCG-2026-0484</w:t>
      </w:r>
      <w:r>
        <w:rPr>
          <w:rFonts w:hint="eastAsia"/>
          <w:b/>
          <w:bCs/>
          <w:sz w:val="21"/>
          <w:szCs w:val="21"/>
        </w:rPr>
        <w:t>-0</w:t>
      </w:r>
      <w:r>
        <w:rPr>
          <w:rFonts w:hint="eastAsia"/>
          <w:b/>
          <w:bCs/>
          <w:sz w:val="21"/>
          <w:szCs w:val="21"/>
          <w:lang w:val="en-US" w:eastAsia="zh-CN"/>
        </w:rPr>
        <w:t>3</w:t>
      </w:r>
      <w:r>
        <w:rPr>
          <w:rFonts w:hint="eastAsia"/>
          <w:b/>
          <w:bCs/>
          <w:sz w:val="21"/>
          <w:szCs w:val="21"/>
          <w:lang w:eastAsia="zh-CN"/>
        </w:rPr>
        <w:t>（邵阳县平安城市网络租赁费采购项目</w:t>
      </w:r>
      <w:r>
        <w:rPr>
          <w:rFonts w:hint="eastAsia"/>
          <w:b/>
          <w:bCs/>
          <w:sz w:val="21"/>
          <w:szCs w:val="21"/>
          <w:lang w:val="en-US" w:eastAsia="zh-CN"/>
        </w:rPr>
        <w:t>包3）</w:t>
      </w:r>
    </w:p>
    <w:p w14:paraId="321AB781">
      <w:pPr>
        <w:pStyle w:val="61"/>
        <w:numPr>
          <w:ilvl w:val="0"/>
          <w:numId w:val="0"/>
        </w:numPr>
        <w:ind w:leftChars="200" w:firstLine="422" w:firstLineChars="200"/>
        <w:rPr>
          <w:rFonts w:hint="eastAsia"/>
          <w:b/>
          <w:bCs/>
          <w:sz w:val="21"/>
          <w:szCs w:val="21"/>
          <w:lang w:val="en-US" w:eastAsia="zh-CN"/>
        </w:rPr>
      </w:pPr>
      <w:r>
        <w:rPr>
          <w:rFonts w:hint="eastAsia"/>
          <w:b/>
          <w:bCs/>
          <w:sz w:val="21"/>
          <w:szCs w:val="21"/>
          <w:lang w:val="en-US" w:eastAsia="zh-CN"/>
        </w:rPr>
        <w:t>商务要求如下：</w:t>
      </w:r>
    </w:p>
    <w:p w14:paraId="524D7D52">
      <w:pPr>
        <w:pStyle w:val="61"/>
        <w:numPr>
          <w:ilvl w:val="0"/>
          <w:numId w:val="0"/>
        </w:numPr>
        <w:ind w:leftChars="200" w:firstLine="420" w:firstLineChars="200"/>
        <w:rPr>
          <w:rFonts w:hint="eastAsia"/>
          <w:sz w:val="21"/>
          <w:szCs w:val="21"/>
          <w:lang w:val="en-US" w:eastAsia="zh-CN"/>
        </w:rPr>
      </w:pPr>
    </w:p>
    <w:p w14:paraId="5DD787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jc w:val="left"/>
        <w:textAlignment w:val="auto"/>
        <w:outlineLvl w:val="9"/>
        <w:rPr>
          <w:rFonts w:hint="eastAsia" w:asciiTheme="minorEastAsia" w:hAnsiTheme="minorEastAsia" w:eastAsiaTheme="minorEastAsia" w:cstheme="minorEastAsia"/>
          <w:b/>
          <w:bCs/>
          <w:color w:val="auto"/>
          <w:kern w:val="0"/>
          <w:sz w:val="21"/>
          <w:szCs w:val="21"/>
          <w:lang w:val="en-US" w:eastAsia="zh-CN"/>
        </w:rPr>
      </w:pPr>
      <w:r>
        <w:rPr>
          <w:rFonts w:hint="eastAsia" w:asciiTheme="minorEastAsia" w:hAnsiTheme="minorEastAsia" w:eastAsiaTheme="minorEastAsia" w:cstheme="minorEastAsia"/>
          <w:b/>
          <w:bCs/>
          <w:color w:val="auto"/>
          <w:kern w:val="0"/>
          <w:sz w:val="21"/>
          <w:szCs w:val="21"/>
          <w:lang w:val="en-US" w:eastAsia="zh-CN"/>
        </w:rPr>
        <w:t>1、合同签订方式、采购项目交付或者实施的时间和地点</w:t>
      </w:r>
    </w:p>
    <w:p w14:paraId="7984575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b w:val="0"/>
          <w:bCs w:val="0"/>
          <w:color w:val="auto"/>
          <w:kern w:val="0"/>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（1）</w:t>
      </w:r>
      <w:r>
        <w:rPr>
          <w:rFonts w:hint="eastAsia" w:asciiTheme="minorEastAsia" w:hAnsiTheme="minorEastAsia" w:eastAsiaTheme="minorEastAsia" w:cstheme="minorEastAsia"/>
          <w:b w:val="0"/>
          <w:bCs w:val="0"/>
          <w:color w:val="auto"/>
          <w:kern w:val="0"/>
          <w:sz w:val="21"/>
          <w:szCs w:val="21"/>
          <w:lang w:val="en-US" w:eastAsia="zh-CN"/>
        </w:rPr>
        <w:t>合同的签订方式：本项目采用固定总价合同形式。</w:t>
      </w:r>
    </w:p>
    <w:p w14:paraId="143426B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b w:val="0"/>
          <w:bCs w:val="0"/>
          <w:color w:val="auto"/>
          <w:kern w:val="0"/>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w:t>
      </w:r>
      <w:r>
        <w:rPr>
          <w:rFonts w:hint="eastAsia" w:asciiTheme="minorEastAsia" w:hAnsiTheme="minorEastAsia" w:eastAsiaTheme="minorEastAsia" w:cstheme="minorEastAsia"/>
          <w:b w:val="0"/>
          <w:bCs w:val="0"/>
          <w:color w:val="auto"/>
          <w:kern w:val="0"/>
          <w:sz w:val="21"/>
          <w:szCs w:val="21"/>
          <w:lang w:val="en-US" w:eastAsia="zh-CN"/>
        </w:rPr>
        <w:t>采购项目交付时间：要求在签订合同后的30日内完成全部交付工作。</w:t>
      </w:r>
    </w:p>
    <w:p w14:paraId="217846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b w:val="0"/>
          <w:bCs w:val="0"/>
          <w:color w:val="auto"/>
          <w:kern w:val="0"/>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（3）</w:t>
      </w:r>
      <w:r>
        <w:rPr>
          <w:rFonts w:hint="eastAsia" w:asciiTheme="minorEastAsia" w:hAnsiTheme="minorEastAsia" w:eastAsiaTheme="minorEastAsia" w:cstheme="minorEastAsia"/>
          <w:b w:val="0"/>
          <w:bCs w:val="0"/>
          <w:color w:val="auto"/>
          <w:kern w:val="0"/>
          <w:sz w:val="21"/>
          <w:szCs w:val="21"/>
          <w:lang w:val="en-US" w:eastAsia="zh-CN"/>
        </w:rPr>
        <w:t>采购项目交付地点：所有采购标的均需按包对应</w:t>
      </w:r>
      <w:r>
        <w:rPr>
          <w:rFonts w:hint="eastAsia" w:asciiTheme="minorEastAsia" w:hAnsiTheme="minorEastAsia" w:eastAsiaTheme="minorEastAsia" w:cstheme="minorEastAsia"/>
          <w:color w:val="auto"/>
          <w:sz w:val="21"/>
          <w:szCs w:val="21"/>
          <w:vertAlign w:val="baseline"/>
          <w:lang w:val="en-US" w:eastAsia="zh-CN"/>
        </w:rPr>
        <w:t>服务范围进行交付</w:t>
      </w:r>
      <w:r>
        <w:rPr>
          <w:rFonts w:hint="eastAsia" w:asciiTheme="minorEastAsia" w:hAnsiTheme="minorEastAsia" w:eastAsiaTheme="minorEastAsia" w:cstheme="minorEastAsia"/>
          <w:b w:val="0"/>
          <w:bCs w:val="0"/>
          <w:color w:val="auto"/>
          <w:kern w:val="0"/>
          <w:sz w:val="21"/>
          <w:szCs w:val="21"/>
          <w:lang w:val="en-US" w:eastAsia="zh-CN"/>
        </w:rPr>
        <w:t>。</w:t>
      </w:r>
    </w:p>
    <w:p w14:paraId="6CDA161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Theme="minorEastAsia" w:hAnsiTheme="minorEastAsia" w:eastAsiaTheme="minorEastAsia" w:cstheme="minorEastAsia"/>
          <w:b w:val="0"/>
          <w:bCs w:val="0"/>
          <w:color w:val="auto"/>
          <w:kern w:val="0"/>
          <w:sz w:val="21"/>
          <w:szCs w:val="21"/>
          <w:lang w:val="en-US" w:eastAsia="zh-CN"/>
        </w:rPr>
      </w:pPr>
      <w:r>
        <w:rPr>
          <w:rFonts w:hint="eastAsia" w:asciiTheme="minorEastAsia" w:hAnsiTheme="minorEastAsia" w:eastAsiaTheme="minorEastAsia" w:cstheme="minorEastAsia"/>
          <w:b w:val="0"/>
          <w:bCs w:val="0"/>
          <w:color w:val="auto"/>
          <w:kern w:val="0"/>
          <w:sz w:val="21"/>
          <w:szCs w:val="21"/>
          <w:lang w:val="en-US" w:eastAsia="zh-CN"/>
        </w:rPr>
        <w:t>投标人需要充分考虑不同交付地点的地理环境、交通条件以及当地的基础设施情况，合理组织项目人员，制定科学合理的</w:t>
      </w:r>
      <w:r>
        <w:rPr>
          <w:rFonts w:hint="eastAsia" w:asciiTheme="minorEastAsia" w:hAnsiTheme="minorEastAsia" w:eastAsiaTheme="minorEastAsia" w:cstheme="minorEastAsia"/>
          <w:i w:val="0"/>
          <w:iCs w:val="0"/>
          <w:snapToGrid w:val="0"/>
          <w:color w:val="000000"/>
          <w:kern w:val="0"/>
          <w:sz w:val="21"/>
          <w:szCs w:val="21"/>
          <w:u w:val="none"/>
          <w:lang w:val="en-US" w:eastAsia="zh-CN" w:bidi="ar"/>
        </w:rPr>
        <w:t>实施方案</w:t>
      </w:r>
      <w:r>
        <w:rPr>
          <w:rFonts w:hint="eastAsia" w:asciiTheme="minorEastAsia" w:hAnsiTheme="minorEastAsia" w:eastAsiaTheme="minorEastAsia" w:cstheme="minorEastAsia"/>
          <w:b w:val="0"/>
          <w:bCs w:val="0"/>
          <w:color w:val="auto"/>
          <w:kern w:val="0"/>
          <w:sz w:val="21"/>
          <w:szCs w:val="21"/>
          <w:lang w:val="en-US" w:eastAsia="zh-CN"/>
        </w:rPr>
        <w:t>，确保所有线路按时开通并符合线路技术要求。同时，在交付过程中，要做好与当地的沟通协调工作，明确交付的具体流程与细节要求，保障交付工作的顺利进行，避免因交付地点分散或其他因素导致的延误或错误交付情况的发生。</w:t>
      </w:r>
    </w:p>
    <w:p w14:paraId="5B1D5BD6">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2.租赁期限</w:t>
      </w:r>
    </w:p>
    <w:p w14:paraId="4B9C551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租赁期为1年（自线路全部调试完成并验收合格之日起计算），合同期内租赁费用固定，不随市场价格波动调整。</w:t>
      </w:r>
    </w:p>
    <w:p w14:paraId="554D32B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val="0"/>
          <w:bCs w:val="0"/>
          <w:color w:val="auto"/>
          <w:sz w:val="21"/>
          <w:szCs w:val="21"/>
          <w:lang w:val="en-US" w:eastAsia="zh-CN"/>
        </w:rPr>
        <w:t>3.</w:t>
      </w:r>
      <w:r>
        <w:rPr>
          <w:rFonts w:hint="eastAsia" w:asciiTheme="minorEastAsia" w:hAnsiTheme="minorEastAsia" w:eastAsiaTheme="minorEastAsia" w:cstheme="minorEastAsia"/>
          <w:b/>
          <w:sz w:val="21"/>
          <w:szCs w:val="21"/>
        </w:rPr>
        <w:t>支付方式</w:t>
      </w:r>
    </w:p>
    <w:p w14:paraId="1A60CE12">
      <w:pPr>
        <w:keepNext w:val="0"/>
        <w:keepLines w:val="0"/>
        <w:pageBreakBefore w:val="0"/>
        <w:widowControl w:val="0"/>
        <w:kinsoku/>
        <w:wordWrap/>
        <w:overflowPunct/>
        <w:topLinePunct w:val="0"/>
        <w:autoSpaceDE/>
        <w:autoSpaceDN/>
        <w:bidi w:val="0"/>
        <w:adjustRightInd w:val="0"/>
        <w:snapToGrid w:val="0"/>
        <w:spacing w:line="360" w:lineRule="auto"/>
        <w:ind w:right="21" w:rightChars="10" w:firstLine="420" w:firstLineChars="200"/>
        <w:jc w:val="left"/>
        <w:textAlignment w:val="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b w:val="0"/>
          <w:bCs w:val="0"/>
          <w:color w:val="auto"/>
          <w:sz w:val="21"/>
          <w:szCs w:val="21"/>
          <w:lang w:val="en-US" w:eastAsia="zh-CN"/>
        </w:rPr>
        <w:t>（1）</w:t>
      </w:r>
      <w:r>
        <w:rPr>
          <w:rFonts w:hint="eastAsia" w:asciiTheme="minorEastAsia" w:hAnsiTheme="minorEastAsia" w:eastAsiaTheme="minorEastAsia" w:cstheme="minorEastAsia"/>
          <w:color w:val="000000"/>
          <w:sz w:val="21"/>
          <w:szCs w:val="21"/>
        </w:rPr>
        <w:t>付款人：邵阳县公安局。</w:t>
      </w:r>
    </w:p>
    <w:p w14:paraId="3E64189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（2）</w:t>
      </w:r>
      <w:r>
        <w:rPr>
          <w:rFonts w:hint="eastAsia" w:asciiTheme="minorEastAsia" w:hAnsiTheme="minorEastAsia" w:eastAsiaTheme="minorEastAsia" w:cstheme="minorEastAsia"/>
          <w:color w:val="000000"/>
          <w:sz w:val="21"/>
          <w:szCs w:val="21"/>
        </w:rPr>
        <w:t>付款方式：按采购合同约定。</w:t>
      </w:r>
    </w:p>
    <w:p w14:paraId="2467433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4.违约责任</w:t>
      </w:r>
    </w:p>
    <w:p w14:paraId="4B11461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1"/>
          <w:szCs w:val="21"/>
          <w:lang w:val="en-US" w:eastAsia="zh-CN"/>
        </w:rPr>
        <w:t>若供应商未达到约定的网络可用率（年度低于 99.9%），每低 0.1% 扣除年度租赁费用的 1%；若故障修复超时累计超过 5 次/年，采购单位有权单方面解除合同，并要求供应商赔偿由此造成的损失。</w:t>
      </w:r>
    </w:p>
    <w:p w14:paraId="3CFDD749">
      <w:pPr>
        <w:pStyle w:val="61"/>
        <w:ind w:firstLine="420" w:firstLineChars="0"/>
        <w:rPr>
          <w:rFonts w:hint="eastAsia"/>
          <w:lang w:val="en-US" w:eastAsia="zh-CN"/>
        </w:rPr>
      </w:pPr>
    </w:p>
    <w:p w14:paraId="4FE9F327">
      <w:pPr>
        <w:pStyle w:val="186"/>
        <w:keepNext w:val="0"/>
        <w:keepLines w:val="0"/>
        <w:pageBreakBefore w:val="0"/>
        <w:widowControl w:val="0"/>
        <w:numPr>
          <w:ilvl w:val="0"/>
          <w:numId w:val="0"/>
        </w:numPr>
        <w:kinsoku/>
        <w:wordWrap/>
        <w:overflowPunct/>
        <w:topLinePunct w:val="0"/>
        <w:autoSpaceDE/>
        <w:autoSpaceDN/>
        <w:bidi w:val="0"/>
        <w:adjustRightInd/>
        <w:snapToGrid/>
        <w:spacing w:before="0" w:line="360" w:lineRule="auto"/>
        <w:jc w:val="center"/>
        <w:textAlignment w:val="auto"/>
        <w:rPr>
          <w:rFonts w:hint="eastAsia" w:ascii="仿宋_GB2312" w:hAnsi="仿宋_GB2312" w:eastAsia="仿宋_GB2312" w:cs="仿宋_GB2312"/>
          <w:b/>
          <w:bCs w:val="0"/>
          <w:color w:val="auto"/>
          <w:sz w:val="24"/>
          <w:szCs w:val="24"/>
          <w:lang w:val="en-US" w:eastAsia="zh-CN"/>
        </w:rPr>
      </w:pPr>
    </w:p>
    <w:p w14:paraId="41DEFB19">
      <w:pPr>
        <w:pStyle w:val="186"/>
        <w:keepNext w:val="0"/>
        <w:keepLines w:val="0"/>
        <w:pageBreakBefore w:val="0"/>
        <w:widowControl w:val="0"/>
        <w:numPr>
          <w:ilvl w:val="0"/>
          <w:numId w:val="0"/>
        </w:numPr>
        <w:kinsoku/>
        <w:wordWrap/>
        <w:overflowPunct/>
        <w:topLinePunct w:val="0"/>
        <w:autoSpaceDE/>
        <w:autoSpaceDN/>
        <w:bidi w:val="0"/>
        <w:adjustRightInd/>
        <w:snapToGrid/>
        <w:spacing w:before="0" w:line="360" w:lineRule="auto"/>
        <w:jc w:val="center"/>
        <w:textAlignment w:val="auto"/>
        <w:rPr>
          <w:rFonts w:hint="eastAsia" w:ascii="仿宋_GB2312" w:hAnsi="仿宋_GB2312" w:eastAsia="仿宋_GB2312" w:cs="仿宋_GB2312"/>
          <w:b/>
          <w:bCs w:val="0"/>
          <w:color w:val="auto"/>
          <w:sz w:val="24"/>
          <w:szCs w:val="24"/>
          <w:lang w:val="en-US" w:eastAsia="zh-CN"/>
        </w:rPr>
        <w:sectPr>
          <w:headerReference r:id="rId5" w:type="default"/>
          <w:footerReference r:id="rId6" w:type="default"/>
          <w:pgSz w:w="11906" w:h="16838"/>
          <w:pgMar w:top="1985" w:right="1701" w:bottom="2155" w:left="1701" w:header="851" w:footer="992" w:gutter="0"/>
          <w:pgNumType w:fmt="decimal"/>
          <w:cols w:space="720" w:num="1"/>
          <w:docGrid w:linePitch="312" w:charSpace="0"/>
        </w:sectPr>
      </w:pPr>
    </w:p>
    <w:p w14:paraId="583D708C">
      <w:pPr>
        <w:pStyle w:val="186"/>
        <w:keepNext w:val="0"/>
        <w:keepLines w:val="0"/>
        <w:pageBreakBefore w:val="0"/>
        <w:widowControl w:val="0"/>
        <w:numPr>
          <w:ilvl w:val="0"/>
          <w:numId w:val="0"/>
        </w:numPr>
        <w:kinsoku/>
        <w:wordWrap/>
        <w:overflowPunct/>
        <w:topLinePunct w:val="0"/>
        <w:autoSpaceDE/>
        <w:autoSpaceDN/>
        <w:bidi w:val="0"/>
        <w:adjustRightInd/>
        <w:snapToGrid/>
        <w:spacing w:before="0" w:line="360" w:lineRule="auto"/>
        <w:jc w:val="center"/>
        <w:textAlignment w:val="auto"/>
        <w:rPr>
          <w:rFonts w:hint="eastAsia" w:ascii="仿宋_GB2312" w:hAnsi="仿宋_GB2312" w:eastAsia="仿宋_GB2312" w:cs="仿宋_GB2312"/>
          <w:b/>
          <w:bCs w:val="0"/>
          <w:color w:val="auto"/>
          <w:sz w:val="24"/>
          <w:szCs w:val="24"/>
          <w:lang w:val="en-US" w:eastAsia="zh-CN"/>
        </w:rPr>
      </w:pPr>
    </w:p>
    <w:p w14:paraId="71F30D6B">
      <w:pPr>
        <w:spacing w:line="360" w:lineRule="auto"/>
        <w:ind w:firstLine="560" w:firstLineChars="200"/>
        <w:rPr>
          <w:rFonts w:hint="eastAsia" w:ascii="仿宋" w:hAnsi="仿宋" w:eastAsia="仿宋_GB2312"/>
          <w:color w:val="auto"/>
          <w:sz w:val="28"/>
          <w:szCs w:val="28"/>
          <w:highlight w:val="none"/>
          <w:lang w:eastAsia="zh-CN"/>
        </w:rPr>
      </w:pPr>
    </w:p>
    <w:p w14:paraId="2C434863">
      <w:pPr>
        <w:pStyle w:val="2"/>
        <w:numPr>
          <w:ilvl w:val="0"/>
          <w:numId w:val="3"/>
        </w:numPr>
        <w:bidi w:val="0"/>
        <w:rPr>
          <w:rFonts w:hint="eastAsia" w:ascii="Times New Roman" w:hAnsi="Times New Roman" w:eastAsia="宋体"/>
          <w:lang w:eastAsia="zh-CN"/>
        </w:rPr>
      </w:pPr>
      <w:bookmarkStart w:id="41" w:name="_Toc577"/>
      <w:bookmarkStart w:id="42" w:name="_Toc7612"/>
      <w:r>
        <w:rPr>
          <w:rFonts w:hint="eastAsia" w:ascii="Times New Roman" w:hAnsi="Times New Roman" w:eastAsia="宋体"/>
          <w:lang w:val="en-US" w:eastAsia="zh-CN"/>
        </w:rPr>
        <w:t xml:space="preserve"> </w:t>
      </w:r>
      <w:r>
        <w:rPr>
          <w:rFonts w:hint="eastAsia" w:ascii="Times New Roman" w:hAnsi="Times New Roman" w:eastAsia="宋体"/>
          <w:lang w:eastAsia="zh-CN"/>
        </w:rPr>
        <w:t>政府采购合同</w:t>
      </w:r>
      <w:bookmarkEnd w:id="41"/>
      <w:bookmarkEnd w:id="42"/>
    </w:p>
    <w:p w14:paraId="7098C4D0">
      <w:pPr>
        <w:pStyle w:val="16"/>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420" w:firstLineChars="200"/>
        <w:jc w:val="center"/>
        <w:textAlignment w:val="baseline"/>
        <w:rPr>
          <w:rFonts w:hint="eastAsia" w:eastAsia="宋体"/>
          <w:color w:val="auto"/>
          <w:spacing w:val="0"/>
          <w:position w:val="0"/>
          <w:highlight w:val="none"/>
          <w:u w:val="single" w:color="auto"/>
          <w:lang w:eastAsia="zh-CN"/>
        </w:rPr>
      </w:pPr>
      <w:r>
        <w:rPr>
          <w:rFonts w:hint="eastAsia"/>
          <w:color w:val="auto"/>
          <w:spacing w:val="0"/>
          <w:position w:val="0"/>
          <w:highlight w:val="none"/>
          <w:lang w:val="en-US" w:eastAsia="zh-CN"/>
        </w:rPr>
        <w:t xml:space="preserve">                                           </w:t>
      </w:r>
      <w:r>
        <w:rPr>
          <w:rFonts w:hint="eastAsia"/>
          <w:color w:val="auto"/>
          <w:spacing w:val="0"/>
          <w:position w:val="0"/>
          <w:highlight w:val="none"/>
          <w:u w:val="single" w:color="auto"/>
          <w:lang w:val="en-US" w:eastAsia="zh-CN"/>
        </w:rPr>
        <w:t xml:space="preserve">    </w:t>
      </w:r>
    </w:p>
    <w:p w14:paraId="0FD5C2F0">
      <w:pPr>
        <w:pStyle w:val="16"/>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420" w:firstLineChars="200"/>
        <w:jc w:val="center"/>
        <w:textAlignment w:val="baseline"/>
        <w:rPr>
          <w:color w:val="auto"/>
          <w:spacing w:val="0"/>
          <w:position w:val="0"/>
          <w:highlight w:val="none"/>
          <w:u w:val="single" w:color="auto"/>
        </w:rPr>
      </w:pPr>
    </w:p>
    <w:p w14:paraId="3D18E07E">
      <w:pPr>
        <w:pageBreakBefore w:val="0"/>
        <w:kinsoku/>
        <w:overflowPunct/>
        <w:topLinePunct w:val="0"/>
        <w:bidi w:val="0"/>
        <w:adjustRightInd w:val="0"/>
        <w:snapToGrid w:val="0"/>
        <w:spacing w:line="400" w:lineRule="exact"/>
        <w:ind w:firstLine="6510" w:firstLineChars="3100"/>
        <w:jc w:val="both"/>
        <w:rPr>
          <w:rFonts w:hint="eastAsia" w:ascii="仿宋" w:hAnsi="仿宋" w:eastAsia="仿宋" w:cs="仿宋"/>
          <w:color w:val="auto"/>
          <w:szCs w:val="21"/>
          <w:highlight w:val="none"/>
          <w:lang w:val="en-US" w:eastAsia="en-US"/>
        </w:rPr>
      </w:pPr>
      <w:r>
        <w:rPr>
          <w:rFonts w:hint="eastAsia" w:ascii="仿宋" w:hAnsi="仿宋" w:eastAsia="仿宋" w:cs="仿宋"/>
          <w:color w:val="auto"/>
          <w:szCs w:val="21"/>
          <w:highlight w:val="none"/>
          <w:lang w:val="en-US" w:eastAsia="en-US"/>
        </w:rPr>
        <w:t xml:space="preserve">                </w:t>
      </w:r>
    </w:p>
    <w:p w14:paraId="3402E523">
      <w:pPr>
        <w:widowControl/>
        <w:kinsoku w:val="0"/>
        <w:autoSpaceDE w:val="0"/>
        <w:autoSpaceDN w:val="0"/>
        <w:adjustRightInd w:val="0"/>
        <w:snapToGrid w:val="0"/>
        <w:spacing w:line="268" w:lineRule="auto"/>
        <w:jc w:val="left"/>
        <w:textAlignment w:val="baseline"/>
        <w:rPr>
          <w:rFonts w:ascii="Arial" w:hAnsi="Arial" w:eastAsia="Arial" w:cs="Arial"/>
          <w:snapToGrid w:val="0"/>
          <w:color w:val="000000"/>
          <w:kern w:val="0"/>
          <w:sz w:val="21"/>
          <w:szCs w:val="21"/>
          <w:lang w:eastAsia="en-US"/>
        </w:rPr>
      </w:pPr>
    </w:p>
    <w:p w14:paraId="116FA8B3">
      <w:pPr>
        <w:pStyle w:val="3"/>
        <w:pageBreakBefore w:val="0"/>
        <w:kinsoku/>
        <w:overflowPunct/>
        <w:topLinePunct w:val="0"/>
        <w:bidi w:val="0"/>
        <w:adjustRightInd w:val="0"/>
        <w:snapToGrid w:val="0"/>
        <w:spacing w:line="400" w:lineRule="exact"/>
        <w:jc w:val="center"/>
        <w:rPr>
          <w:rFonts w:hint="eastAsia" w:ascii="仿宋" w:hAnsi="仿宋" w:eastAsia="仿宋" w:cs="仿宋"/>
          <w:color w:val="auto"/>
          <w:sz w:val="28"/>
          <w:szCs w:val="28"/>
          <w:highlight w:val="none"/>
        </w:rPr>
      </w:pPr>
      <w:bookmarkStart w:id="43" w:name="_Toc32351"/>
      <w:bookmarkStart w:id="44" w:name="_Toc19022"/>
      <w:bookmarkStart w:id="45" w:name="_Toc23184"/>
      <w:bookmarkStart w:id="46" w:name="_Toc24393"/>
      <w:bookmarkStart w:id="47" w:name="_Toc28410"/>
      <w:bookmarkStart w:id="48" w:name="_Toc25144"/>
      <w:r>
        <w:rPr>
          <w:rFonts w:hint="eastAsia" w:ascii="仿宋" w:hAnsi="仿宋" w:eastAsia="仿宋" w:cs="仿宋"/>
          <w:color w:val="auto"/>
          <w:sz w:val="28"/>
          <w:szCs w:val="28"/>
          <w:highlight w:val="none"/>
        </w:rPr>
        <w:t>第一节 政府采购合同协议书</w:t>
      </w:r>
      <w:bookmarkEnd w:id="43"/>
      <w:bookmarkEnd w:id="44"/>
      <w:bookmarkEnd w:id="45"/>
      <w:bookmarkEnd w:id="46"/>
      <w:bookmarkEnd w:id="47"/>
      <w:bookmarkEnd w:id="48"/>
    </w:p>
    <w:p w14:paraId="4D1EF836">
      <w:pPr>
        <w:pageBreakBefore w:val="0"/>
        <w:kinsoku/>
        <w:wordWrap w:val="0"/>
        <w:overflowPunct/>
        <w:topLinePunct w:val="0"/>
        <w:bidi w:val="0"/>
        <w:adjustRightInd w:val="0"/>
        <w:snapToGrid w:val="0"/>
        <w:spacing w:line="400" w:lineRule="exact"/>
        <w:jc w:val="right"/>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采购合同编号：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 </w:t>
      </w:r>
    </w:p>
    <w:p w14:paraId="475A2698">
      <w:pPr>
        <w:pageBreakBefore w:val="0"/>
        <w:kinsoku/>
        <w:overflowPunct/>
        <w:topLinePunct w:val="0"/>
        <w:bidi w:val="0"/>
        <w:adjustRightInd w:val="0"/>
        <w:snapToGrid w:val="0"/>
        <w:spacing w:line="400" w:lineRule="exact"/>
        <w:jc w:val="center"/>
        <w:rPr>
          <w:rFonts w:hint="eastAsia" w:ascii="仿宋" w:hAnsi="仿宋" w:eastAsia="仿宋" w:cs="仿宋"/>
          <w:b/>
          <w:color w:val="auto"/>
          <w:szCs w:val="21"/>
          <w:highlight w:val="none"/>
        </w:rPr>
      </w:pPr>
    </w:p>
    <w:p w14:paraId="7DEEA57C">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采购人（全称）：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邵阳县公安局</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（甲方）</w:t>
      </w:r>
    </w:p>
    <w:p w14:paraId="2BC9CD78">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供应商（全称）：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（乙方）</w:t>
      </w:r>
    </w:p>
    <w:p w14:paraId="12445A2F">
      <w:pPr>
        <w:pStyle w:val="17"/>
        <w:pageBreakBefore w:val="0"/>
        <w:kinsoku/>
        <w:overflowPunct/>
        <w:topLinePunct w:val="0"/>
        <w:bidi w:val="0"/>
        <w:adjustRightInd w:val="0"/>
        <w:snapToGrid w:val="0"/>
        <w:spacing w:after="0" w:line="400" w:lineRule="exact"/>
        <w:rPr>
          <w:rFonts w:hint="eastAsia" w:ascii="仿宋" w:hAnsi="仿宋" w:eastAsia="仿宋" w:cs="仿宋"/>
          <w:color w:val="auto"/>
          <w:szCs w:val="21"/>
          <w:highlight w:val="none"/>
        </w:rPr>
      </w:pPr>
    </w:p>
    <w:p w14:paraId="26C53932">
      <w:pPr>
        <w:pStyle w:val="17"/>
        <w:pageBreakBefore w:val="0"/>
        <w:kinsoku/>
        <w:overflowPunct/>
        <w:topLinePunct w:val="0"/>
        <w:bidi w:val="0"/>
        <w:adjustRightInd w:val="0"/>
        <w:snapToGrid w:val="0"/>
        <w:spacing w:after="0" w:line="400" w:lineRule="exact"/>
        <w:ind w:left="0" w:leftChars="0"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为了保护甲、乙双方合法权益，根据《中华人民共和国民法典》、《中华人民共和国政府采购法》及其他有关法律、法规、规章，双方签订本合同协议书。</w:t>
      </w:r>
    </w:p>
    <w:p w14:paraId="1DA0ACD9">
      <w:pPr>
        <w:pageBreakBefore w:val="0"/>
        <w:kinsoku/>
        <w:overflowPunct/>
        <w:topLinePunct w:val="0"/>
        <w:bidi w:val="0"/>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1.项目信息</w:t>
      </w:r>
    </w:p>
    <w:p w14:paraId="497F9176">
      <w:pPr>
        <w:pStyle w:val="17"/>
        <w:pageBreakBefore w:val="0"/>
        <w:kinsoku/>
        <w:overflowPunct/>
        <w:topLinePunct w:val="0"/>
        <w:bidi w:val="0"/>
        <w:adjustRightInd w:val="0"/>
        <w:snapToGrid w:val="0"/>
        <w:spacing w:after="0" w:line="400" w:lineRule="exac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（1）采购项目名称：</w:t>
      </w:r>
      <w:r>
        <w:rPr>
          <w:rFonts w:hint="eastAsia" w:ascii="仿宋" w:hAnsi="仿宋" w:eastAsia="仿宋" w:cs="仿宋"/>
          <w:color w:val="auto"/>
          <w:szCs w:val="21"/>
          <w:highlight w:val="none"/>
          <w:u w:val="single"/>
        </w:rPr>
        <w:t xml:space="preserve">                   </w:t>
      </w:r>
    </w:p>
    <w:p w14:paraId="3C0B655E">
      <w:pPr>
        <w:pStyle w:val="17"/>
        <w:pageBreakBefore w:val="0"/>
        <w:kinsoku/>
        <w:overflowPunct/>
        <w:topLinePunct w:val="0"/>
        <w:bidi w:val="0"/>
        <w:adjustRightInd w:val="0"/>
        <w:snapToGrid w:val="0"/>
        <w:spacing w:after="0"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（2）采购计划编号：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170F08A7">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（3）项目内容：</w:t>
      </w:r>
      <w:r>
        <w:rPr>
          <w:rFonts w:hint="eastAsia" w:ascii="仿宋" w:hAnsi="仿宋" w:eastAsia="仿宋" w:cs="仿宋"/>
          <w:color w:val="auto"/>
          <w:szCs w:val="21"/>
          <w:highlight w:val="none"/>
          <w:u w:val="single"/>
        </w:rPr>
        <w:t xml:space="preserve">                             </w:t>
      </w:r>
    </w:p>
    <w:p w14:paraId="4F44D497">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（4）项目负责人：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14:paraId="755D8618">
      <w:pPr>
        <w:pageBreakBefore w:val="0"/>
        <w:kinsoku/>
        <w:overflowPunct/>
        <w:topLinePunct w:val="0"/>
        <w:bidi w:val="0"/>
        <w:adjustRightInd w:val="0"/>
        <w:snapToGrid w:val="0"/>
        <w:spacing w:line="400" w:lineRule="exact"/>
        <w:ind w:firstLine="413" w:firstLineChars="196"/>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2.合同金额</w:t>
      </w:r>
    </w:p>
    <w:p w14:paraId="1B703858">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（1）合同金额小写：</w:t>
      </w:r>
      <w:r>
        <w:rPr>
          <w:rFonts w:hint="eastAsia" w:ascii="仿宋" w:hAnsi="仿宋" w:eastAsia="仿宋" w:cs="仿宋"/>
          <w:color w:val="auto"/>
          <w:szCs w:val="21"/>
          <w:highlight w:val="none"/>
          <w:u w:val="single"/>
        </w:rPr>
        <w:t xml:space="preserve">                      </w:t>
      </w:r>
    </w:p>
    <w:p w14:paraId="38D8DFBA">
      <w:pPr>
        <w:pageBreakBefore w:val="0"/>
        <w:kinsoku/>
        <w:overflowPunct/>
        <w:topLinePunct w:val="0"/>
        <w:bidi w:val="0"/>
        <w:adjustRightInd w:val="0"/>
        <w:snapToGrid w:val="0"/>
        <w:spacing w:line="400" w:lineRule="exact"/>
        <w:ind w:firstLine="1260" w:firstLineChars="6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大写：</w:t>
      </w:r>
      <w:r>
        <w:rPr>
          <w:rFonts w:hint="eastAsia" w:ascii="仿宋" w:hAnsi="仿宋" w:eastAsia="仿宋" w:cs="仿宋"/>
          <w:color w:val="auto"/>
          <w:szCs w:val="21"/>
          <w:highlight w:val="none"/>
          <w:u w:val="single"/>
        </w:rPr>
        <w:t xml:space="preserve">                      </w:t>
      </w:r>
    </w:p>
    <w:p w14:paraId="648B945E">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（2）具体标的见附件。</w:t>
      </w:r>
    </w:p>
    <w:p w14:paraId="0FAFEE90">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（3）合同价格形式：</w:t>
      </w:r>
      <w:r>
        <w:rPr>
          <w:rFonts w:hint="eastAsia" w:ascii="仿宋" w:hAnsi="仿宋" w:eastAsia="仿宋" w:cs="仿宋"/>
          <w:color w:val="auto"/>
          <w:szCs w:val="21"/>
          <w:highlight w:val="none"/>
          <w:u w:val="single"/>
        </w:rPr>
        <w:t xml:space="preserve"> 固定总价合同</w:t>
      </w:r>
      <w:r>
        <w:rPr>
          <w:rFonts w:hint="eastAsia" w:ascii="仿宋" w:hAnsi="仿宋" w:eastAsia="仿宋" w:cs="仿宋"/>
          <w:color w:val="auto"/>
          <w:szCs w:val="21"/>
          <w:highlight w:val="none"/>
        </w:rPr>
        <w:t xml:space="preserve"> 。</w:t>
      </w:r>
    </w:p>
    <w:p w14:paraId="77968BD4">
      <w:pPr>
        <w:pageBreakBefore w:val="0"/>
        <w:kinsoku/>
        <w:overflowPunct/>
        <w:topLinePunct w:val="0"/>
        <w:bidi w:val="0"/>
        <w:adjustRightInd w:val="0"/>
        <w:snapToGrid w:val="0"/>
        <w:spacing w:line="400" w:lineRule="exact"/>
        <w:ind w:firstLine="422" w:firstLineChars="200"/>
        <w:rPr>
          <w:rFonts w:hint="eastAsia" w:ascii="仿宋" w:hAnsi="仿宋" w:eastAsia="仿宋" w:cs="仿宋"/>
          <w:color w:val="auto"/>
          <w:szCs w:val="21"/>
          <w:highlight w:val="none"/>
          <w:u w:val="single"/>
        </w:rPr>
      </w:pPr>
      <w:r>
        <w:rPr>
          <w:rFonts w:hint="eastAsia" w:ascii="仿宋" w:hAnsi="仿宋" w:eastAsia="仿宋" w:cs="仿宋"/>
          <w:b/>
          <w:color w:val="auto"/>
          <w:szCs w:val="21"/>
          <w:highlight w:val="none"/>
        </w:rPr>
        <w:t>3.履行合同的时间、地点及方式</w:t>
      </w:r>
      <w:r>
        <w:rPr>
          <w:rFonts w:hint="eastAsia" w:ascii="仿宋" w:hAnsi="仿宋" w:eastAsia="仿宋" w:cs="仿宋"/>
          <w:color w:val="auto"/>
          <w:szCs w:val="21"/>
          <w:highlight w:val="none"/>
          <w:u w:val="single"/>
        </w:rPr>
        <w:t xml:space="preserve"> </w:t>
      </w:r>
    </w:p>
    <w:p w14:paraId="17213D28">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起始日期：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日，完成日期：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日。总日历天数：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天。</w:t>
      </w:r>
    </w:p>
    <w:p w14:paraId="07FC532B">
      <w:pPr>
        <w:pageBreakBefore w:val="0"/>
        <w:kinsoku/>
        <w:overflowPunct/>
        <w:topLinePunct w:val="0"/>
        <w:bidi w:val="0"/>
        <w:adjustRightInd w:val="0"/>
        <w:snapToGrid w:val="0"/>
        <w:spacing w:line="400" w:lineRule="exact"/>
        <w:ind w:firstLine="630" w:firstLineChars="3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地点</w:t>
      </w:r>
      <w:r>
        <w:rPr>
          <w:rFonts w:hint="eastAsia" w:ascii="仿宋" w:hAnsi="仿宋" w:eastAsia="仿宋" w:cs="仿宋"/>
          <w:b/>
          <w:color w:val="auto"/>
          <w:szCs w:val="21"/>
          <w:highlight w:val="none"/>
        </w:rPr>
        <w:t>：</w:t>
      </w:r>
      <w:r>
        <w:rPr>
          <w:rFonts w:hint="eastAsia" w:ascii="仿宋" w:hAnsi="仿宋" w:eastAsia="仿宋" w:cs="仿宋"/>
          <w:color w:val="auto"/>
          <w:szCs w:val="21"/>
          <w:highlight w:val="none"/>
          <w:u w:val="single"/>
        </w:rPr>
        <w:t xml:space="preserve">    招标人指定地点          </w:t>
      </w:r>
    </w:p>
    <w:p w14:paraId="2C0C5E74">
      <w:pPr>
        <w:pageBreakBefore w:val="0"/>
        <w:kinsoku/>
        <w:overflowPunct/>
        <w:topLinePunct w:val="0"/>
        <w:bidi w:val="0"/>
        <w:adjustRightInd w:val="0"/>
        <w:snapToGrid w:val="0"/>
        <w:spacing w:line="400" w:lineRule="exact"/>
        <w:ind w:firstLine="630"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方式：</w:t>
      </w:r>
      <w:r>
        <w:rPr>
          <w:rFonts w:hint="eastAsia" w:ascii="仿宋" w:hAnsi="仿宋" w:eastAsia="仿宋" w:cs="仿宋"/>
          <w:color w:val="auto"/>
          <w:szCs w:val="21"/>
          <w:highlight w:val="none"/>
          <w:u w:val="single"/>
        </w:rPr>
        <w:t xml:space="preserve">                             </w:t>
      </w:r>
    </w:p>
    <w:p w14:paraId="4B567F15">
      <w:pPr>
        <w:pageBreakBefore w:val="0"/>
        <w:kinsoku/>
        <w:overflowPunct/>
        <w:topLinePunct w:val="0"/>
        <w:bidi w:val="0"/>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4.付款：</w:t>
      </w:r>
    </w:p>
    <w:p w14:paraId="168C25BD">
      <w:pPr>
        <w:pageBreakBefore w:val="0"/>
        <w:kinsoku/>
        <w:overflowPunct/>
        <w:topLinePunct w:val="0"/>
        <w:bidi w:val="0"/>
        <w:adjustRightInd w:val="0"/>
        <w:snapToGrid w:val="0"/>
        <w:spacing w:line="400" w:lineRule="exact"/>
        <w:ind w:firstLine="630"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   </w:t>
      </w:r>
    </w:p>
    <w:p w14:paraId="6562CDC6">
      <w:pPr>
        <w:pageBreakBefore w:val="0"/>
        <w:kinsoku/>
        <w:overflowPunct/>
        <w:topLinePunct w:val="0"/>
        <w:bidi w:val="0"/>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5.解决合同纠纷方式</w:t>
      </w:r>
    </w:p>
    <w:p w14:paraId="528A6C73">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首先通过双方协商解决，协商解决不成，则通过以下途径之一解决纠纷：</w:t>
      </w:r>
    </w:p>
    <w:p w14:paraId="7CAEFCA8">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 xml:space="preserve"> 提请仲裁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 xml:space="preserve"> 向人民法院提起诉讼</w:t>
      </w:r>
    </w:p>
    <w:p w14:paraId="1A83C808">
      <w:pPr>
        <w:pageBreakBefore w:val="0"/>
        <w:kinsoku/>
        <w:overflowPunct/>
        <w:topLinePunct w:val="0"/>
        <w:bidi w:val="0"/>
        <w:adjustRightInd w:val="0"/>
        <w:snapToGrid w:val="0"/>
        <w:spacing w:line="40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6.组成合同的文件</w:t>
      </w:r>
    </w:p>
    <w:p w14:paraId="20CA3292">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本协议书与下列文件一起构成合同文件，如下述文件之间有任何抵触、矛盾或歧义，应按以下顺序解释：</w:t>
      </w:r>
    </w:p>
    <w:p w14:paraId="035F9E01">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（1）在采购或合同履行过程中乙方作出的承诺以及双方协商达成的变更或补充协议</w:t>
      </w:r>
    </w:p>
    <w:p w14:paraId="2757AF74">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（2）本合同协议书</w:t>
      </w:r>
    </w:p>
    <w:p w14:paraId="5083785E">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（3）中标通知书</w:t>
      </w:r>
    </w:p>
    <w:p w14:paraId="2B7A6D40">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（4）投标文件</w:t>
      </w:r>
    </w:p>
    <w:p w14:paraId="5B980BB9">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（5）政府采购合同专用条款</w:t>
      </w:r>
    </w:p>
    <w:p w14:paraId="7FB0F01C">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（6）政府采购合同通用条款</w:t>
      </w:r>
    </w:p>
    <w:p w14:paraId="58E49155">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（7）标准、规范及有关技术文件，图纸。</w:t>
      </w:r>
    </w:p>
    <w:p w14:paraId="71B19C10">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（8）其他合同文件。</w:t>
      </w:r>
    </w:p>
    <w:p w14:paraId="14CD5358">
      <w:pPr>
        <w:pageBreakBefore w:val="0"/>
        <w:kinsoku/>
        <w:overflowPunct/>
        <w:topLinePunct w:val="0"/>
        <w:bidi w:val="0"/>
        <w:adjustRightInd w:val="0"/>
        <w:snapToGrid w:val="0"/>
        <w:spacing w:line="400" w:lineRule="exact"/>
        <w:ind w:firstLine="310"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7.合同生效</w:t>
      </w:r>
    </w:p>
    <w:p w14:paraId="32CF62DE">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本合同自</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生效。</w:t>
      </w:r>
    </w:p>
    <w:p w14:paraId="49AA5214">
      <w:pPr>
        <w:pageBreakBefore w:val="0"/>
        <w:kinsoku/>
        <w:overflowPunct/>
        <w:topLinePunct w:val="0"/>
        <w:bidi w:val="0"/>
        <w:adjustRightInd w:val="0"/>
        <w:snapToGrid w:val="0"/>
        <w:spacing w:line="400" w:lineRule="exact"/>
        <w:ind w:firstLine="310"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8.合同份数</w:t>
      </w:r>
    </w:p>
    <w:p w14:paraId="46E42580">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本合同一式</w:t>
      </w:r>
      <w:r>
        <w:rPr>
          <w:rFonts w:hint="eastAsia" w:ascii="仿宋" w:hAnsi="仿宋" w:eastAsia="仿宋" w:cs="仿宋"/>
          <w:color w:val="auto"/>
          <w:szCs w:val="21"/>
          <w:highlight w:val="none"/>
          <w:u w:val="single"/>
        </w:rPr>
        <w:t>7</w:t>
      </w:r>
      <w:r>
        <w:rPr>
          <w:rFonts w:hint="eastAsia" w:ascii="仿宋" w:hAnsi="仿宋" w:eastAsia="仿宋" w:cs="仿宋"/>
          <w:color w:val="auto"/>
          <w:szCs w:val="21"/>
          <w:highlight w:val="none"/>
        </w:rPr>
        <w:t>份，采购人执</w:t>
      </w:r>
      <w:r>
        <w:rPr>
          <w:rFonts w:hint="eastAsia" w:ascii="仿宋" w:hAnsi="仿宋" w:eastAsia="仿宋" w:cs="仿宋"/>
          <w:color w:val="auto"/>
          <w:szCs w:val="21"/>
          <w:highlight w:val="none"/>
          <w:u w:val="single"/>
        </w:rPr>
        <w:t>3</w:t>
      </w:r>
      <w:r>
        <w:rPr>
          <w:rFonts w:hint="eastAsia" w:ascii="仿宋" w:hAnsi="仿宋" w:eastAsia="仿宋" w:cs="仿宋"/>
          <w:color w:val="auto"/>
          <w:szCs w:val="21"/>
          <w:highlight w:val="none"/>
        </w:rPr>
        <w:t>份，供应商执</w:t>
      </w:r>
      <w:r>
        <w:rPr>
          <w:rFonts w:hint="eastAsia" w:ascii="仿宋" w:hAnsi="仿宋" w:eastAsia="仿宋" w:cs="仿宋"/>
          <w:color w:val="auto"/>
          <w:szCs w:val="21"/>
          <w:highlight w:val="none"/>
          <w:u w:val="single"/>
        </w:rPr>
        <w:t>2</w:t>
      </w:r>
      <w:r>
        <w:rPr>
          <w:rFonts w:hint="eastAsia" w:ascii="仿宋" w:hAnsi="仿宋" w:eastAsia="仿宋" w:cs="仿宋"/>
          <w:color w:val="auto"/>
          <w:szCs w:val="21"/>
          <w:highlight w:val="none"/>
        </w:rPr>
        <w:t>份，采购代理机构1份，财政部门1份，均具有同等法律效力。</w:t>
      </w:r>
    </w:p>
    <w:p w14:paraId="32ED75D0">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p>
    <w:p w14:paraId="32A1FE17">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合同订立时间：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25562529">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合同订立地点：</w:t>
      </w:r>
      <w:r>
        <w:rPr>
          <w:rFonts w:hint="eastAsia" w:ascii="仿宋" w:hAnsi="仿宋" w:eastAsia="仿宋" w:cs="仿宋"/>
          <w:color w:val="auto"/>
          <w:szCs w:val="21"/>
          <w:highlight w:val="none"/>
          <w:u w:val="single"/>
        </w:rPr>
        <w:t xml:space="preserve">                           </w:t>
      </w:r>
    </w:p>
    <w:p w14:paraId="453C446C">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p>
    <w:p w14:paraId="4611DB5C">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      方：（公章）                     乙      方：（公章）</w:t>
      </w:r>
    </w:p>
    <w:p w14:paraId="0609A79F">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法定代表人：</w:t>
      </w:r>
      <w:r>
        <w:rPr>
          <w:rFonts w:hint="eastAsia" w:ascii="仿宋" w:hAnsi="仿宋" w:eastAsia="仿宋" w:cs="仿宋"/>
          <w:color w:val="auto"/>
          <w:szCs w:val="21"/>
          <w:highlight w:val="none"/>
          <w:u w:val="single"/>
        </w:rPr>
        <w:t xml:space="preserve">                   </w:t>
      </w:r>
    </w:p>
    <w:p w14:paraId="5BBDAF7F">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委托代理人：</w:t>
      </w:r>
      <w:r>
        <w:rPr>
          <w:rFonts w:hint="eastAsia" w:ascii="仿宋" w:hAnsi="仿宋" w:eastAsia="仿宋" w:cs="仿宋"/>
          <w:color w:val="auto"/>
          <w:szCs w:val="21"/>
          <w:highlight w:val="none"/>
          <w:u w:val="single"/>
        </w:rPr>
        <w:t xml:space="preserve">                   </w:t>
      </w:r>
    </w:p>
    <w:p w14:paraId="0DFB4522">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电      话：</w:t>
      </w:r>
      <w:r>
        <w:rPr>
          <w:rFonts w:hint="eastAsia" w:ascii="仿宋" w:hAnsi="仿宋" w:eastAsia="仿宋" w:cs="仿宋"/>
          <w:color w:val="auto"/>
          <w:szCs w:val="21"/>
          <w:highlight w:val="none"/>
          <w:u w:val="single"/>
        </w:rPr>
        <w:t xml:space="preserve">                   </w:t>
      </w:r>
    </w:p>
    <w:p w14:paraId="778E0916">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      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传      真：</w:t>
      </w:r>
      <w:r>
        <w:rPr>
          <w:rFonts w:hint="eastAsia" w:ascii="仿宋" w:hAnsi="仿宋" w:eastAsia="仿宋" w:cs="仿宋"/>
          <w:color w:val="auto"/>
          <w:szCs w:val="21"/>
          <w:highlight w:val="none"/>
          <w:u w:val="single"/>
        </w:rPr>
        <w:t xml:space="preserve">                   </w:t>
      </w:r>
    </w:p>
    <w:p w14:paraId="74A0D930">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开 户 银 行：</w:t>
      </w:r>
      <w:r>
        <w:rPr>
          <w:rFonts w:hint="eastAsia" w:ascii="仿宋" w:hAnsi="仿宋" w:eastAsia="仿宋" w:cs="仿宋"/>
          <w:color w:val="auto"/>
          <w:szCs w:val="21"/>
          <w:highlight w:val="none"/>
          <w:u w:val="single"/>
        </w:rPr>
        <w:t xml:space="preserve">                   </w:t>
      </w:r>
    </w:p>
    <w:p w14:paraId="63BEC9C8">
      <w:pPr>
        <w:pageBreakBefore w:val="0"/>
        <w:kinsoku/>
        <w:overflowPunct/>
        <w:topLinePunct w:val="0"/>
        <w:bidi w:val="0"/>
        <w:adjustRightInd w:val="0"/>
        <w:snapToGrid w:val="0"/>
        <w:spacing w:line="400" w:lineRule="exact"/>
        <w:jc w:val="center"/>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 xml:space="preserve">         账       号：</w:t>
      </w:r>
      <w:r>
        <w:rPr>
          <w:rFonts w:hint="eastAsia" w:ascii="仿宋" w:hAnsi="仿宋" w:eastAsia="仿宋" w:cs="仿宋"/>
          <w:color w:val="auto"/>
          <w:szCs w:val="21"/>
          <w:highlight w:val="none"/>
          <w:u w:val="single"/>
        </w:rPr>
        <w:t xml:space="preserve">                 </w:t>
      </w:r>
    </w:p>
    <w:p w14:paraId="289FD709">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p>
    <w:p w14:paraId="07DC7B02">
      <w:pPr>
        <w:pageBreakBefore w:val="0"/>
        <w:kinsoku/>
        <w:overflowPunct/>
        <w:topLinePunct w:val="0"/>
        <w:bidi w:val="0"/>
        <w:adjustRightInd w:val="0"/>
        <w:snapToGrid w:val="0"/>
        <w:spacing w:line="400" w:lineRule="exact"/>
        <w:ind w:firstLine="420" w:firstLineChars="200"/>
        <w:rPr>
          <w:rFonts w:hint="eastAsia" w:ascii="仿宋" w:hAnsi="仿宋" w:eastAsia="仿宋" w:cs="仿宋"/>
          <w:color w:val="auto"/>
          <w:szCs w:val="21"/>
          <w:highlight w:val="none"/>
        </w:rPr>
      </w:pPr>
    </w:p>
    <w:p w14:paraId="5AED1280">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合同备案：</w:t>
      </w:r>
      <w:r>
        <w:rPr>
          <w:rFonts w:hint="eastAsia" w:ascii="仿宋" w:hAnsi="仿宋" w:eastAsia="仿宋" w:cs="仿宋"/>
          <w:color w:val="auto"/>
          <w:szCs w:val="21"/>
          <w:highlight w:val="none"/>
          <w:lang w:eastAsia="zh-CN"/>
        </w:rPr>
        <w:t>邵阳县财政局</w:t>
      </w:r>
    </w:p>
    <w:p w14:paraId="2DC4A1D6">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（公章）</w:t>
      </w:r>
    </w:p>
    <w:p w14:paraId="354CB105">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备案日期：    年    月   日</w:t>
      </w:r>
    </w:p>
    <w:p w14:paraId="02FB99F2">
      <w:pPr>
        <w:pageBreakBefore w:val="0"/>
        <w:kinsoku/>
        <w:overflowPunct/>
        <w:topLinePunct w:val="0"/>
        <w:bidi w:val="0"/>
        <w:adjustRightInd w:val="0"/>
        <w:snapToGrid w:val="0"/>
        <w:spacing w:line="400" w:lineRule="exact"/>
        <w:rPr>
          <w:rFonts w:hint="eastAsia" w:ascii="仿宋" w:hAnsi="仿宋" w:eastAsia="仿宋" w:cs="仿宋"/>
          <w:color w:val="auto"/>
          <w:szCs w:val="21"/>
          <w:highlight w:val="none"/>
        </w:rPr>
      </w:pPr>
    </w:p>
    <w:p w14:paraId="28480BBA">
      <w:pPr>
        <w:pStyle w:val="3"/>
        <w:pageBreakBefore w:val="0"/>
        <w:kinsoku/>
        <w:overflowPunct/>
        <w:topLinePunct w:val="0"/>
        <w:bidi w:val="0"/>
        <w:adjustRightInd w:val="0"/>
        <w:snapToGrid w:val="0"/>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1"/>
          <w:szCs w:val="21"/>
          <w:highlight w:val="none"/>
          <w:u w:val="single"/>
        </w:rPr>
        <w:br w:type="page"/>
      </w:r>
      <w:bookmarkStart w:id="49" w:name="_Toc28397"/>
      <w:bookmarkStart w:id="50" w:name="_Toc4145"/>
      <w:bookmarkStart w:id="51" w:name="_Toc20840"/>
      <w:bookmarkStart w:id="52" w:name="_Toc31313"/>
      <w:bookmarkStart w:id="53" w:name="_Toc10533"/>
      <w:r>
        <w:rPr>
          <w:rFonts w:hint="eastAsia" w:ascii="仿宋" w:hAnsi="仿宋" w:eastAsia="仿宋" w:cs="仿宋"/>
          <w:color w:val="auto"/>
          <w:sz w:val="28"/>
          <w:szCs w:val="28"/>
          <w:highlight w:val="none"/>
        </w:rPr>
        <w:t>第二节 政府采购合同通用条款</w:t>
      </w:r>
      <w:bookmarkEnd w:id="49"/>
      <w:bookmarkEnd w:id="50"/>
      <w:bookmarkEnd w:id="51"/>
      <w:bookmarkEnd w:id="52"/>
      <w:bookmarkEnd w:id="53"/>
    </w:p>
    <w:p w14:paraId="1E134E27">
      <w:pPr>
        <w:pageBreakBefore w:val="0"/>
        <w:tabs>
          <w:tab w:val="left" w:pos="8820"/>
          <w:tab w:val="left" w:pos="9345"/>
          <w:tab w:val="left" w:pos="9765"/>
        </w:tabs>
        <w:kinsoku/>
        <w:overflowPunct/>
        <w:topLinePunct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1.</w:t>
      </w:r>
      <w:r>
        <w:rPr>
          <w:rFonts w:hint="eastAsia" w:ascii="仿宋" w:hAnsi="仿宋" w:eastAsia="仿宋" w:cs="仿宋"/>
          <w:b/>
          <w:bCs/>
          <w:color w:val="auto"/>
          <w:sz w:val="24"/>
          <w:highlight w:val="none"/>
        </w:rPr>
        <w:t>定义</w:t>
      </w:r>
    </w:p>
    <w:p w14:paraId="17B82E90">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1.1合同当事人</w:t>
      </w:r>
    </w:p>
    <w:p w14:paraId="335EF70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（1）采购人（以下称甲方）是指使用财政性资金，通过政府采购程序向供应商购买货物、服务的国家机关、事业单位、团体组织。本次采购的甲方名称、地址见</w:t>
      </w:r>
      <w:r>
        <w:rPr>
          <w:rFonts w:hint="eastAsia" w:ascii="仿宋" w:hAnsi="仿宋" w:eastAsia="仿宋" w:cs="仿宋"/>
          <w:b/>
          <w:color w:val="auto"/>
          <w:szCs w:val="21"/>
          <w:highlight w:val="none"/>
        </w:rPr>
        <w:t>【政府采购合同专用条款】。</w:t>
      </w:r>
    </w:p>
    <w:p w14:paraId="71F80119">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（2）供应商（以下称乙方）是指参加政府采购活动而取得中标结果，并向采购人提供货物、服务的法人、其他组织或者自然人。</w:t>
      </w:r>
    </w:p>
    <w:p w14:paraId="6BBA348C">
      <w:pPr>
        <w:pageBreakBefore w:val="0"/>
        <w:tabs>
          <w:tab w:val="left" w:pos="570"/>
          <w:tab w:val="left" w:pos="9240"/>
          <w:tab w:val="left" w:pos="9555"/>
        </w:tabs>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1.2本合同下列术语应解释为：</w:t>
      </w:r>
    </w:p>
    <w:p w14:paraId="48AA5CB8">
      <w:pPr>
        <w:pageBreakBefore w:val="0"/>
        <w:tabs>
          <w:tab w:val="left" w:pos="570"/>
          <w:tab w:val="left" w:pos="9240"/>
          <w:tab w:val="left" w:pos="9555"/>
        </w:tabs>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（1）“合同”系指甲乙双方签署的、政府采购合同协议书中载明的甲乙双方所达成的协议，包括所有的附件、附录和上述文件所提到的构成合同的所有文件。</w:t>
      </w:r>
    </w:p>
    <w:p w14:paraId="17DE321D">
      <w:pPr>
        <w:pageBreakBefore w:val="0"/>
        <w:tabs>
          <w:tab w:val="left" w:pos="570"/>
          <w:tab w:val="left" w:pos="9240"/>
          <w:tab w:val="left" w:pos="9555"/>
        </w:tabs>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（2）“合同价”系指根据本合同规定乙方在正确地完全履行合同义务后甲方应支付给乙方的价款。</w:t>
      </w:r>
    </w:p>
    <w:p w14:paraId="75838791">
      <w:pPr>
        <w:pageBreakBefore w:val="0"/>
        <w:tabs>
          <w:tab w:val="left" w:pos="570"/>
          <w:tab w:val="left" w:pos="9240"/>
          <w:tab w:val="left" w:pos="9555"/>
        </w:tabs>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（3）“货物”系指乙方根据本合同规定须向甲方提供的各种形态和种类的物品，包括原材料、设备、产品（包括软件）及相关的其备品备件、工具、手册及其它技术资料和材料。</w:t>
      </w:r>
    </w:p>
    <w:p w14:paraId="7E871042">
      <w:pPr>
        <w:pageBreakBefore w:val="0"/>
        <w:tabs>
          <w:tab w:val="left" w:pos="570"/>
          <w:tab w:val="left" w:pos="8880"/>
          <w:tab w:val="left" w:pos="9555"/>
        </w:tabs>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服务”系指根据合同规定，乙方应提供的技术、管理和其它服务，包括但不限于：管理和质量保证、运输、保险、检验、现场准备、安装、集成、调试、培训、维修、技术支持等以及合同中规定乙方应承担的其它义务。</w:t>
      </w:r>
    </w:p>
    <w:p w14:paraId="72765F01">
      <w:pPr>
        <w:pageBreakBefore w:val="0"/>
        <w:tabs>
          <w:tab w:val="left" w:pos="570"/>
          <w:tab w:val="left" w:pos="9240"/>
          <w:tab w:val="left" w:pos="9555"/>
        </w:tabs>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（5）“合同条款”系指本合同条款。</w:t>
      </w:r>
    </w:p>
    <w:p w14:paraId="24D98D54">
      <w:pPr>
        <w:pageBreakBefore w:val="0"/>
        <w:tabs>
          <w:tab w:val="left" w:pos="570"/>
          <w:tab w:val="left" w:pos="9240"/>
          <w:tab w:val="left" w:pos="9555"/>
        </w:tabs>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（6）“项目现场”系指本合同项下货物安装、运行的现场，其名称见</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w:t>
      </w:r>
    </w:p>
    <w:p w14:paraId="7BF2EA91">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2.合同的适用范围</w:t>
      </w:r>
    </w:p>
    <w:p w14:paraId="06A38A02">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 本合同条款适用于没有被本合同其他部分的条款所取代的范围。</w:t>
      </w:r>
    </w:p>
    <w:p w14:paraId="52F001B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合同内容根据招标文件、投标文件而确定。</w:t>
      </w:r>
    </w:p>
    <w:p w14:paraId="529415E0">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w:t>
      </w:r>
      <w:r>
        <w:rPr>
          <w:rFonts w:hint="eastAsia" w:ascii="仿宋" w:hAnsi="仿宋" w:eastAsia="仿宋" w:cs="仿宋"/>
          <w:b/>
          <w:color w:val="auto"/>
          <w:sz w:val="24"/>
          <w:highlight w:val="none"/>
        </w:rPr>
        <w:t>合同标的及金额</w:t>
      </w:r>
    </w:p>
    <w:p w14:paraId="3A0F4D0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 合同标的及金额应与中标结果一致。</w:t>
      </w:r>
    </w:p>
    <w:p w14:paraId="045A83DC">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w:t>
      </w:r>
      <w:r>
        <w:rPr>
          <w:rFonts w:hint="eastAsia" w:ascii="仿宋" w:hAnsi="仿宋" w:eastAsia="仿宋" w:cs="仿宋"/>
          <w:b/>
          <w:color w:val="auto"/>
          <w:sz w:val="24"/>
          <w:highlight w:val="none"/>
        </w:rPr>
        <w:t>合同价款</w:t>
      </w:r>
    </w:p>
    <w:p w14:paraId="48A04C94">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b/>
          <w:bCs/>
          <w:i/>
          <w:iCs/>
          <w:color w:val="auto"/>
          <w:szCs w:val="21"/>
          <w:highlight w:val="none"/>
        </w:rPr>
      </w:pPr>
      <w:r>
        <w:rPr>
          <w:rFonts w:hint="eastAsia" w:ascii="仿宋" w:hAnsi="仿宋" w:eastAsia="仿宋" w:cs="仿宋"/>
          <w:color w:val="auto"/>
          <w:szCs w:val="21"/>
          <w:highlight w:val="none"/>
        </w:rPr>
        <w:t>4.1具体合同价款见本合同第3.1条。乙方为履行本合同而发生的所有费用均应包含在合同价款中，甲方不再另行支付其它任何费用。</w:t>
      </w:r>
    </w:p>
    <w:p w14:paraId="6654F086">
      <w:pPr>
        <w:pageBreakBefore w:val="0"/>
        <w:kinsoku/>
        <w:overflowPunct/>
        <w:topLinePunct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5.履行合同的时间、地点和方式</w:t>
      </w:r>
    </w:p>
    <w:p w14:paraId="1E6CE072">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5.1 乙方应当在甲方确定的时间、指定的地点履行合同，具体的交货时间、地点和方式见</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w:t>
      </w:r>
    </w:p>
    <w:p w14:paraId="3A34267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5.2 乙方提供服务的应当在甲方指定的地点完成服务项目。</w:t>
      </w:r>
    </w:p>
    <w:p w14:paraId="66230776">
      <w:pPr>
        <w:pageBreakBefore w:val="0"/>
        <w:kinsoku/>
        <w:overflowPunct/>
        <w:topLinePunct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b/>
          <w:color w:val="auto"/>
          <w:sz w:val="24"/>
          <w:highlight w:val="none"/>
        </w:rPr>
        <w:t>货物的验收</w:t>
      </w:r>
    </w:p>
    <w:p w14:paraId="30182C5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6.1 甲方在收到乙方交付的货物后应当及时组织验收。</w:t>
      </w:r>
    </w:p>
    <w:p w14:paraId="3A6077EA">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6.2 货物的表面瑕疵，甲方应在验收时当面提出；对质量问题有异议的应在安装调试后十个工作日内提出。</w:t>
      </w:r>
    </w:p>
    <w:p w14:paraId="6E0C5C9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6.3 在验收过程中发现数量不足或有质量、技术等问题，乙方应负责按照甲方的要求采取补足、更换或退货等处理措施，并承担由此发生的一切费用和损失。</w:t>
      </w:r>
    </w:p>
    <w:p w14:paraId="572A5EBC">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6.4 甲方在乙方按合同规定交货或安装、调试后，无正当理由而拖延接收、验收或拒绝接收、验收的，应承担因此给乙方造成的直接损失。</w:t>
      </w:r>
    </w:p>
    <w:p w14:paraId="76BF85A4">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6.5 甲方对货物进行检查验收合格后，应当收取发票并在《交货验收单》上签署验收意见及加盖单位印章。</w:t>
      </w:r>
    </w:p>
    <w:p w14:paraId="1FE15E4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6.6 大型或者复杂的货物采购项目，甲方可以邀请国家认可的质量检测机构参加验收工作，并由其出具验收报告单。</w:t>
      </w:r>
    </w:p>
    <w:p w14:paraId="05F204AD">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6.7 乙方提供的进口产品，乙方应出示中华人民共和国进出口商品检验部门出具的检验证书（招标文件第五章采购需求另有约定的除外）。</w:t>
      </w:r>
    </w:p>
    <w:p w14:paraId="3271059C">
      <w:pPr>
        <w:pageBreakBefore w:val="0"/>
        <w:kinsoku/>
        <w:overflowPunct/>
        <w:topLinePunct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7.货物包装要求</w:t>
      </w:r>
    </w:p>
    <w:p w14:paraId="7A3C170C">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6719B844">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7.2 每一个包装箱内应附一份详细装箱单、质量证书和保修保养证书。</w:t>
      </w:r>
    </w:p>
    <w:p w14:paraId="7C18F326">
      <w:pPr>
        <w:pageBreakBefore w:val="0"/>
        <w:kinsoku/>
        <w:overflowPunct/>
        <w:topLinePunct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8.运输和保险</w:t>
      </w:r>
    </w:p>
    <w:p w14:paraId="78987CD0">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8.1乙方负责办理将货物运抵本合同第5.1条规定的交货地点的一切运输事项，相关费用应包括在合同总价中。</w:t>
      </w:r>
    </w:p>
    <w:p w14:paraId="7633D657">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8.2乙方应向保险公司投保以甲方为受益人的发运合同货物发票金额的110％运输一切险。</w:t>
      </w:r>
    </w:p>
    <w:p w14:paraId="6216FFA0">
      <w:pPr>
        <w:pageBreakBefore w:val="0"/>
        <w:kinsoku/>
        <w:overflowPunct/>
        <w:topLinePunct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9.质量标准和保证</w:t>
      </w:r>
    </w:p>
    <w:p w14:paraId="69E45972">
      <w:pPr>
        <w:pStyle w:val="22"/>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b/>
          <w:color w:val="auto"/>
          <w:highlight w:val="none"/>
        </w:rPr>
      </w:pPr>
      <w:r>
        <w:rPr>
          <w:rFonts w:hint="eastAsia" w:ascii="仿宋" w:hAnsi="仿宋" w:eastAsia="仿宋" w:cs="仿宋"/>
          <w:color w:val="auto"/>
          <w:highlight w:val="none"/>
        </w:rPr>
        <w:t>9.1 质量标准</w:t>
      </w:r>
    </w:p>
    <w:p w14:paraId="32192E9A">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（1）本合同下交付的货物应符合招标文件第四章“技术</w:t>
      </w:r>
      <w:r>
        <w:rPr>
          <w:rFonts w:hint="eastAsia" w:ascii="仿宋" w:hAnsi="仿宋" w:eastAsia="仿宋" w:cs="仿宋"/>
          <w:color w:val="auto"/>
          <w:szCs w:val="21"/>
          <w:highlight w:val="none"/>
          <w:lang w:eastAsia="zh-CN"/>
        </w:rPr>
        <w:t>要求</w:t>
      </w:r>
      <w:r>
        <w:rPr>
          <w:rFonts w:hint="eastAsia" w:ascii="仿宋" w:hAnsi="仿宋" w:eastAsia="仿宋" w:cs="仿宋"/>
          <w:color w:val="auto"/>
          <w:szCs w:val="21"/>
          <w:highlight w:val="none"/>
        </w:rPr>
        <w:t>与要求”所述的标准。如果没有提及适用标准，则应符合中华人民共和国有关机构发布的最新版本的标准。</w:t>
      </w:r>
    </w:p>
    <w:p w14:paraId="5A71E114">
      <w:pPr>
        <w:pStyle w:val="22"/>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（2）采用中华人民共和国法定计量单位。</w:t>
      </w:r>
    </w:p>
    <w:p w14:paraId="0646795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（3）乙方所出售的货物还应符合国家有关安全、环保、卫生之规定。</w:t>
      </w:r>
    </w:p>
    <w:p w14:paraId="2E554FE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保证</w:t>
      </w:r>
    </w:p>
    <w:p w14:paraId="1003A61A">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规定或乙方承诺（两者以较长的为准）的质量保证期内，本保证保持有效。</w:t>
      </w:r>
    </w:p>
    <w:p w14:paraId="7F1AD5C3">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（2）在质量保证期内所发现的缺陷，甲方应尽快以书面形式通知乙方。</w:t>
      </w:r>
    </w:p>
    <w:p w14:paraId="446BE350">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（3）乙方收到通知后应在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规定的响应时间内以合理的速度免费维修或更换有缺陷的货物或部件。</w:t>
      </w:r>
    </w:p>
    <w:p w14:paraId="10D74C2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（4）在质量保证期内，如果货物的质量或规格与合同不符，或证实货物是有缺陷的，包括潜在的缺陷或使用不符合要求的材料等，甲方可以根据本合同第15.1条规定以书面形式向乙方提出补救措施或索赔。</w:t>
      </w:r>
    </w:p>
    <w:p w14:paraId="1D5A9D76">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（5）乙方在约定的时间内未能弥补缺陷，甲方可采取必要的补救措施，但其风险和费用将由乙方承担，甲方根据合同规定对乙方行使的其他权利不受影响。</w:t>
      </w:r>
    </w:p>
    <w:p w14:paraId="431D6939">
      <w:pPr>
        <w:pageBreakBefore w:val="0"/>
        <w:kinsoku/>
        <w:overflowPunct/>
        <w:topLinePunct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10.权利瑕疵担保</w:t>
      </w:r>
    </w:p>
    <w:p w14:paraId="1B8A735A">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 乙方保证对其出售的货物享有合法的权利。</w:t>
      </w:r>
    </w:p>
    <w:p w14:paraId="18140549">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 乙方保证在其出售的货物上不存在任何未曾向甲方透露的担保物权，如抵押权、质押权、留置权等。</w:t>
      </w:r>
    </w:p>
    <w:p w14:paraId="544D086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 如甲方使用该货物构成上述侵权的，则由乙方承担全部责任。</w:t>
      </w:r>
    </w:p>
    <w:p w14:paraId="7A5184B1">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11.知识产权保护</w:t>
      </w:r>
    </w:p>
    <w:p w14:paraId="26244DC8">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乙方对其所销售的货物应当享有知识产权或经权利人合法授权，保证没有侵犯任何第三人的知识产权和商业秘密等权利。</w:t>
      </w:r>
    </w:p>
    <w:p w14:paraId="35DB97D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 甲方使用乙方提供的货物对第三人构成侵权的，应当由乙方承担全部法律责任，给甲方造成损害的，乙方应当承担赔偿责任。</w:t>
      </w:r>
    </w:p>
    <w:p w14:paraId="610F75CD">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甲方委托乙方开发的产品，甲方享有知识产权，未经甲方许可不得转让任何第三人。</w:t>
      </w:r>
    </w:p>
    <w:p w14:paraId="3AF8F7C1">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12.保密义务</w:t>
      </w:r>
    </w:p>
    <w:p w14:paraId="022BCD3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12.1 甲、乙双方在采购和履行合同过程中所获悉的对方属于保密的内容，双方均有保密义务。</w:t>
      </w:r>
    </w:p>
    <w:p w14:paraId="73BDBC9B">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13.合同价款支付</w:t>
      </w:r>
    </w:p>
    <w:p w14:paraId="13D42F0A">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13.1验收合格后，乙方出具正规发票给甲方，凭甲方开具的《政府采购合同验收报告单》办理合同价</w:t>
      </w:r>
      <w:r>
        <w:rPr>
          <w:rFonts w:hint="eastAsia" w:ascii="仿宋" w:hAnsi="仿宋" w:eastAsia="仿宋" w:cs="仿宋"/>
          <w:bCs/>
          <w:color w:val="auto"/>
          <w:szCs w:val="21"/>
          <w:highlight w:val="none"/>
        </w:rPr>
        <w:t>款</w:t>
      </w:r>
      <w:r>
        <w:rPr>
          <w:rFonts w:hint="eastAsia" w:ascii="仿宋" w:hAnsi="仿宋" w:eastAsia="仿宋" w:cs="仿宋"/>
          <w:color w:val="auto"/>
          <w:szCs w:val="21"/>
          <w:highlight w:val="none"/>
        </w:rPr>
        <w:t>结算手续。</w:t>
      </w:r>
    </w:p>
    <w:p w14:paraId="534C8B3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13.2 合同价款构成中应当由财政支付的部分，甲方应当在货物验收合格后的十五个工作日内向国库管理部门申请支付，经国库管理部门审核后直接支付给乙方。</w:t>
      </w:r>
    </w:p>
    <w:p w14:paraId="1E343162">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13.3 合同价款构成中应当由甲方自行支付的部分，甲方应当在货物验收合格后十五个工作内支付。</w:t>
      </w:r>
    </w:p>
    <w:p w14:paraId="79E96557">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13.4支付合同价</w:t>
      </w:r>
      <w:r>
        <w:rPr>
          <w:rFonts w:hint="eastAsia" w:ascii="仿宋" w:hAnsi="仿宋" w:eastAsia="仿宋" w:cs="仿宋"/>
          <w:bCs/>
          <w:color w:val="auto"/>
          <w:szCs w:val="21"/>
          <w:highlight w:val="none"/>
        </w:rPr>
        <w:t>款</w:t>
      </w:r>
      <w:r>
        <w:rPr>
          <w:rFonts w:hint="eastAsia" w:ascii="仿宋" w:hAnsi="仿宋" w:eastAsia="仿宋" w:cs="仿宋"/>
          <w:color w:val="auto"/>
          <w:szCs w:val="21"/>
          <w:highlight w:val="none"/>
        </w:rPr>
        <w:t>时，一律不向乙方以外的任何第三方办理付款手续。开户行和账号以签订的政府采购合同为准，如果乙方要求变更，则乙方必须提供加盖了财务专用章、法定代表人签字的证明文件，报经甲方审查同意。</w:t>
      </w:r>
    </w:p>
    <w:p w14:paraId="6E6CABB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13.5 合同价款支付方式</w:t>
      </w:r>
      <w:r>
        <w:rPr>
          <w:rFonts w:hint="eastAsia" w:ascii="仿宋" w:hAnsi="仿宋" w:eastAsia="仿宋" w:cs="仿宋"/>
          <w:bCs/>
          <w:color w:val="auto"/>
          <w:szCs w:val="21"/>
          <w:highlight w:val="none"/>
        </w:rPr>
        <w:t>和条件在</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中另有规定。</w:t>
      </w:r>
    </w:p>
    <w:p w14:paraId="688E5E5E">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14.</w:t>
      </w:r>
      <w:r>
        <w:rPr>
          <w:rFonts w:hint="eastAsia" w:ascii="仿宋" w:hAnsi="仿宋" w:eastAsia="仿宋" w:cs="仿宋"/>
          <w:b/>
          <w:color w:val="auto"/>
          <w:sz w:val="24"/>
          <w:highlight w:val="none"/>
        </w:rPr>
        <w:t>乙方应提供的服务</w:t>
      </w:r>
    </w:p>
    <w:p w14:paraId="6548DB5C">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14.1 乙方应向甲方提交所提供货物的技术文件，包括相应的中文技术文件，如：产品目录、图纸、操作手册、使用说明、维护手册或服务指南。这些文件应包装好随同货物一起发运。</w:t>
      </w:r>
    </w:p>
    <w:p w14:paraId="0AAF525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14.2 乙方还应提供下列服务：</w:t>
      </w:r>
    </w:p>
    <w:p w14:paraId="7322AF9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（1）货物的现场移动、安装、调试、启动监督及技术支持；</w:t>
      </w:r>
    </w:p>
    <w:p w14:paraId="72A94BED">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（2）提供货物组装和维修所需的专用工具和辅助材料；</w:t>
      </w:r>
    </w:p>
    <w:p w14:paraId="027BA1EC">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（3）在合同各方商定的一定期限内对所有的货物实施运行监督、维修，但前提条件是该服务并不能免除乙方在质量保证期内所承担的义务；</w:t>
      </w:r>
    </w:p>
    <w:p w14:paraId="14E6A1F4">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（4）在制造商或项目现场就货物的安装、启动、运营、维护对甲方操作人员进行培训；</w:t>
      </w:r>
    </w:p>
    <w:p w14:paraId="1D00863C">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规定由乙方提供的其他服务。</w:t>
      </w:r>
    </w:p>
    <w:p w14:paraId="6422304A">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14.3 乙方提供的服务的费用应包含在合同价款中，甲方不再另行支付。</w:t>
      </w:r>
    </w:p>
    <w:p w14:paraId="0A3CF291">
      <w:pPr>
        <w:pageBreakBefore w:val="0"/>
        <w:kinsoku/>
        <w:overflowPunct/>
        <w:topLinePunct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15.违约责任</w:t>
      </w:r>
    </w:p>
    <w:p w14:paraId="4678AA75">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15.1质量瑕疵的补救措施和索赔</w:t>
      </w:r>
    </w:p>
    <w:p w14:paraId="3F4E1598">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60BC39D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①乙方同意退货并将货款退还给甲方，由此发生的一切费用和损失由乙方承担。</w:t>
      </w:r>
    </w:p>
    <w:p w14:paraId="487F1D3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②根据货物的质量状况以及甲方所遭受的损失，经过甲乙双方商定降低货物的价格。</w:t>
      </w:r>
    </w:p>
    <w:p w14:paraId="7B6432C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3A47505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208F99E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15.2 迟延交货的违约责任</w:t>
      </w:r>
    </w:p>
    <w:p w14:paraId="12D0B122">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23CAC5D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（2）除本合同</w:t>
      </w:r>
      <w:r>
        <w:rPr>
          <w:rFonts w:hint="eastAsia" w:ascii="仿宋" w:hAnsi="仿宋" w:eastAsia="仿宋" w:cs="仿宋"/>
          <w:bCs/>
          <w:color w:val="auto"/>
          <w:szCs w:val="21"/>
          <w:highlight w:val="none"/>
        </w:rPr>
        <w:t>第20条</w:t>
      </w:r>
      <w:r>
        <w:rPr>
          <w:rFonts w:hint="eastAsia" w:ascii="仿宋" w:hAnsi="仿宋" w:eastAsia="仿宋" w:cs="仿宋"/>
          <w:color w:val="auto"/>
          <w:szCs w:val="21"/>
          <w:highlight w:val="none"/>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1DC9C3E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70AF4C72">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16.合同的变更</w:t>
      </w:r>
    </w:p>
    <w:p w14:paraId="30485039">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16.1 在合同履行过程中，甲、乙双方可就合同履行的时间、地点和方式等协商进行变更。协商一致后，双方应签订书面的补充协议。</w:t>
      </w:r>
    </w:p>
    <w:p w14:paraId="3F5590CC">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16.2 在不改变合同其他条款的前提下，甲方有权在合同价款百分之十的范围内追加与合同标的相同的货物或服务，并就此与乙方签订补充合同，乙方不得拒绝。</w:t>
      </w:r>
    </w:p>
    <w:p w14:paraId="4A54D0DD">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16.3 除双方签署书面协议，并成为合同不可分割的一部分外，本合同条件不得有任何变更。</w:t>
      </w:r>
    </w:p>
    <w:p w14:paraId="3683852A">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17.合同中止与终止</w:t>
      </w:r>
    </w:p>
    <w:p w14:paraId="33DB2542">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17.1合同的中止</w:t>
      </w:r>
    </w:p>
    <w:p w14:paraId="05E3727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（1）合同在履行过程中，因采购计划调整，甲方可以要求中止履行，待计划确定后继续履行；</w:t>
      </w:r>
    </w:p>
    <w:p w14:paraId="158916C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（2）合同履行过程中因供应商就采购过程或结果提起投诉的，甲方认为有必要或财政部门责令中止的，应当中止合同的履行。</w:t>
      </w:r>
    </w:p>
    <w:p w14:paraId="2EE0BF9A">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17.2合同的终止</w:t>
      </w:r>
    </w:p>
    <w:p w14:paraId="233419CD">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（1）合同因有效期限届满而终止；</w:t>
      </w:r>
    </w:p>
    <w:p w14:paraId="6CF7E02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（2）乙方未能依照本合同约定条件履行合同，已构成根本性违约的，甲方有权终止本合同，并追究乙方的违约责任。</w:t>
      </w:r>
    </w:p>
    <w:p w14:paraId="578BF3C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（3）如果乙方丧失履约能力或被宣告破产，甲方可在任何时候以书面形式通知乙方终止合同而不给乙方补偿。</w:t>
      </w:r>
    </w:p>
    <w:p w14:paraId="54ED55C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（4）如果乙方在履行合同过程中有不正当竞争行为，甲方有权解除合同，并按《中华人民共和国反不正当竞争法》规定由有关部门追究其法律责任。</w:t>
      </w:r>
    </w:p>
    <w:p w14:paraId="50C28924">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（5）如果合同的履行将损害国家利益或社会公共利益，甲方有权终止合同的履行，给乙方造成损失的予以相应补偿。</w:t>
      </w:r>
    </w:p>
    <w:p w14:paraId="04902FC9">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18.合同转让和分包</w:t>
      </w:r>
    </w:p>
    <w:p w14:paraId="394D13E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18.1 乙方不得以任何形式将合同转包。</w:t>
      </w:r>
    </w:p>
    <w:p w14:paraId="788FB6DA">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18.2 乙方未在投标文件中说明，不得将</w:t>
      </w:r>
      <w:r>
        <w:rPr>
          <w:rFonts w:hint="eastAsia" w:ascii="仿宋" w:hAnsi="仿宋" w:eastAsia="仿宋" w:cs="仿宋"/>
          <w:bCs/>
          <w:color w:val="auto"/>
          <w:szCs w:val="21"/>
          <w:highlight w:val="none"/>
        </w:rPr>
        <w:t>合同</w:t>
      </w:r>
      <w:r>
        <w:rPr>
          <w:rFonts w:hint="eastAsia" w:ascii="仿宋" w:hAnsi="仿宋" w:eastAsia="仿宋" w:cs="仿宋"/>
          <w:color w:val="auto"/>
          <w:szCs w:val="21"/>
          <w:highlight w:val="none"/>
        </w:rPr>
        <w:t>的非主体、非关键性工作分包给他人。</w:t>
      </w:r>
    </w:p>
    <w:p w14:paraId="6D694004">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19.不可抗力</w:t>
      </w:r>
    </w:p>
    <w:p w14:paraId="6018345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19.1 不可抗力是指合同双方不可预见、不可避免、不可克服的自然灾害和社会事件。</w:t>
      </w:r>
    </w:p>
    <w:p w14:paraId="6B05FE99">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19.2 任何一方对由于不可抗力造成的部分或全部不能履行合同不承担违约责任。但迟延履行后发生不可抗力的，不能免除责任。</w:t>
      </w:r>
    </w:p>
    <w:p w14:paraId="5EE2A948">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19.3 遇有不可抗力的一方，应在三日内将事件的情况以书面形式通知另一方，并在事件发生后十日内，向另一方提交合同不能履行或部分不能履行或需要延期履行理由的报告。</w:t>
      </w:r>
    </w:p>
    <w:p w14:paraId="486D9D12">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20.解决争议的方法</w:t>
      </w:r>
    </w:p>
    <w:p w14:paraId="35AE2AC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 合同各方应通过友好协商，解决在执行合同过程中所发生的或与合同有关的一切争端。如从协商开始后十日内仍不能解决，可以向财政部门提请调解。</w:t>
      </w:r>
    </w:p>
    <w:p w14:paraId="243F2EA2">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20.2 调解不成可以按</w:t>
      </w:r>
      <w:r>
        <w:rPr>
          <w:rFonts w:hint="eastAsia" w:ascii="仿宋" w:hAnsi="仿宋" w:eastAsia="仿宋" w:cs="仿宋"/>
          <w:b/>
          <w:color w:val="auto"/>
          <w:szCs w:val="21"/>
          <w:highlight w:val="none"/>
        </w:rPr>
        <w:t>【政府采购合同专用条款】</w:t>
      </w:r>
      <w:r>
        <w:rPr>
          <w:rFonts w:hint="eastAsia" w:ascii="仿宋" w:hAnsi="仿宋" w:eastAsia="仿宋" w:cs="仿宋"/>
          <w:color w:val="auto"/>
          <w:szCs w:val="21"/>
          <w:highlight w:val="none"/>
        </w:rPr>
        <w:t>中约定中规定下列方式之一提起仲裁或诉讼：</w:t>
      </w:r>
    </w:p>
    <w:p w14:paraId="7BAC573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（1）向甲方所在地仲裁机构提起仲裁；</w:t>
      </w:r>
    </w:p>
    <w:p w14:paraId="0310473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（2）向甲方所在地人民法院提起诉讼。</w:t>
      </w:r>
    </w:p>
    <w:p w14:paraId="5AF620C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20.3 如仲裁或诉讼事项不影响合同其它部分的履行，则在仲裁或诉讼期间，除正在进行仲裁或诉讼的部分外，合同的其它部分应继续执行。</w:t>
      </w:r>
    </w:p>
    <w:p w14:paraId="5387325D">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21.法律适用</w:t>
      </w:r>
    </w:p>
    <w:p w14:paraId="64DC0A02">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21.1 本合同适用中华人民共和国现行法律、行政法规和规章，如合同条款与法律、行政法规和规章不一致的，按照法律、行政法规和规章修改本合同。</w:t>
      </w:r>
    </w:p>
    <w:p w14:paraId="240351BC">
      <w:pPr>
        <w:pageBreakBefore w:val="0"/>
        <w:kinsoku/>
        <w:overflowPunct/>
        <w:topLinePunct w:val="0"/>
        <w:autoSpaceDE w:val="0"/>
        <w:autoSpaceDN w:val="0"/>
        <w:bidi w:val="0"/>
        <w:adjustRightInd w:val="0"/>
        <w:snapToGrid w:val="0"/>
        <w:spacing w:line="400" w:lineRule="exact"/>
        <w:jc w:val="left"/>
        <w:rPr>
          <w:rFonts w:hint="eastAsia" w:ascii="仿宋" w:hAnsi="仿宋" w:eastAsia="仿宋" w:cs="仿宋"/>
          <w:b/>
          <w:color w:val="auto"/>
          <w:sz w:val="24"/>
          <w:highlight w:val="none"/>
        </w:rPr>
      </w:pPr>
      <w:r>
        <w:rPr>
          <w:rFonts w:hint="eastAsia" w:ascii="仿宋" w:hAnsi="仿宋" w:eastAsia="仿宋" w:cs="仿宋"/>
          <w:b/>
          <w:bCs/>
          <w:color w:val="auto"/>
          <w:sz w:val="24"/>
          <w:highlight w:val="none"/>
        </w:rPr>
        <w:t>22.</w:t>
      </w:r>
      <w:r>
        <w:rPr>
          <w:rFonts w:hint="eastAsia" w:ascii="仿宋" w:hAnsi="仿宋" w:eastAsia="仿宋" w:cs="仿宋"/>
          <w:b/>
          <w:color w:val="auto"/>
          <w:sz w:val="24"/>
          <w:highlight w:val="none"/>
        </w:rPr>
        <w:t>通知</w:t>
      </w:r>
    </w:p>
    <w:p w14:paraId="26C3F713">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22.1本合同一方给另一方的通知均应采用书面形式，传真或快递送到本合同中规定的对方的地址和办理签收手续，</w:t>
      </w:r>
    </w:p>
    <w:p w14:paraId="6474FD5A">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22.2通知以送到之日或通知书中规定的生效之日起生效，两者中以较迟之日为准。</w:t>
      </w:r>
    </w:p>
    <w:p w14:paraId="0A21D113">
      <w:pPr>
        <w:pageBreakBefore w:val="0"/>
        <w:kinsoku/>
        <w:overflowPunct/>
        <w:topLinePunct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23. 合同未尽事项</w:t>
      </w:r>
    </w:p>
    <w:p w14:paraId="4F282CB5">
      <w:pPr>
        <w:pageBreakBefore w:val="0"/>
        <w:kinsoku/>
        <w:overflowPunct/>
        <w:topLinePunct w:val="0"/>
        <w:bidi w:val="0"/>
        <w:adjustRightInd w:val="0"/>
        <w:snapToGrid w:val="0"/>
        <w:spacing w:line="400" w:lineRule="exact"/>
        <w:ind w:firstLine="420" w:firstLineChars="200"/>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23.1合同未尽事项见</w:t>
      </w:r>
      <w:r>
        <w:rPr>
          <w:rFonts w:hint="eastAsia" w:ascii="仿宋" w:hAnsi="仿宋" w:eastAsia="仿宋" w:cs="仿宋"/>
          <w:b/>
          <w:color w:val="auto"/>
          <w:szCs w:val="21"/>
          <w:highlight w:val="none"/>
        </w:rPr>
        <w:t>【政府采购合同专用条款】。</w:t>
      </w:r>
    </w:p>
    <w:p w14:paraId="4BBA03C3">
      <w:pPr>
        <w:pageBreakBefore w:val="0"/>
        <w:kinsoku/>
        <w:overflowPunct/>
        <w:topLinePunct w:val="0"/>
        <w:bidi w:val="0"/>
        <w:adjustRightInd w:val="0"/>
        <w:snapToGrid w:val="0"/>
        <w:spacing w:line="400" w:lineRule="exact"/>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24.合同生效</w:t>
      </w:r>
    </w:p>
    <w:p w14:paraId="53F41B6B">
      <w:pPr>
        <w:pageBreakBefore w:val="0"/>
        <w:kinsoku/>
        <w:overflowPunct/>
        <w:topLinePunct w:val="0"/>
        <w:autoSpaceDE w:val="0"/>
        <w:autoSpaceDN w:val="0"/>
        <w:bidi w:val="0"/>
        <w:adjustRightInd w:val="0"/>
        <w:snapToGrid w:val="0"/>
        <w:spacing w:line="400" w:lineRule="exact"/>
        <w:jc w:val="left"/>
        <w:outlineLvl w:val="1"/>
        <w:rPr>
          <w:rFonts w:hint="eastAsia" w:ascii="仿宋" w:hAnsi="仿宋" w:eastAsia="仿宋" w:cs="仿宋"/>
          <w:color w:val="auto"/>
          <w:szCs w:val="21"/>
          <w:highlight w:val="none"/>
        </w:rPr>
      </w:pPr>
      <w:bookmarkStart w:id="54" w:name="_Toc16543"/>
      <w:bookmarkStart w:id="55" w:name="_Toc16971"/>
      <w:r>
        <w:rPr>
          <w:rFonts w:hint="eastAsia" w:ascii="仿宋" w:hAnsi="仿宋" w:eastAsia="仿宋" w:cs="仿宋"/>
          <w:color w:val="auto"/>
          <w:szCs w:val="21"/>
          <w:highlight w:val="none"/>
        </w:rPr>
        <w:t>24.1 本合同在合同双方签字盖章后生效。</w:t>
      </w:r>
      <w:bookmarkEnd w:id="54"/>
      <w:bookmarkEnd w:id="55"/>
      <w:bookmarkStart w:id="56" w:name="_Toc32057"/>
      <w:bookmarkStart w:id="57" w:name="_Toc15323"/>
      <w:bookmarkStart w:id="58" w:name="_Toc5658"/>
    </w:p>
    <w:p w14:paraId="1E38F488">
      <w:pPr>
        <w:pageBreakBefore w:val="0"/>
        <w:kinsoku/>
        <w:overflowPunct/>
        <w:topLinePunct w:val="0"/>
        <w:autoSpaceDE w:val="0"/>
        <w:autoSpaceDN w:val="0"/>
        <w:bidi w:val="0"/>
        <w:adjustRightInd w:val="0"/>
        <w:snapToGrid w:val="0"/>
        <w:spacing w:line="400" w:lineRule="exact"/>
        <w:jc w:val="center"/>
        <w:outlineLvl w:val="9"/>
        <w:rPr>
          <w:rFonts w:hint="eastAsia" w:ascii="仿宋" w:hAnsi="仿宋" w:eastAsia="仿宋" w:cs="仿宋"/>
          <w:b/>
          <w:color w:val="auto"/>
          <w:szCs w:val="21"/>
          <w:highlight w:val="none"/>
        </w:rPr>
      </w:pPr>
    </w:p>
    <w:p w14:paraId="5100782F">
      <w:pPr>
        <w:pageBreakBefore w:val="0"/>
        <w:kinsoku/>
        <w:overflowPunct/>
        <w:topLinePunct w:val="0"/>
        <w:autoSpaceDE w:val="0"/>
        <w:autoSpaceDN w:val="0"/>
        <w:bidi w:val="0"/>
        <w:adjustRightInd w:val="0"/>
        <w:snapToGrid w:val="0"/>
        <w:spacing w:line="400" w:lineRule="exact"/>
        <w:jc w:val="center"/>
        <w:outlineLvl w:val="9"/>
        <w:rPr>
          <w:rFonts w:hint="eastAsia" w:ascii="仿宋" w:hAnsi="仿宋" w:eastAsia="仿宋" w:cs="仿宋"/>
          <w:b/>
          <w:color w:val="auto"/>
          <w:szCs w:val="21"/>
          <w:highlight w:val="none"/>
        </w:rPr>
      </w:pPr>
    </w:p>
    <w:p w14:paraId="7B1A310D">
      <w:pPr>
        <w:pageBreakBefore w:val="0"/>
        <w:kinsoku/>
        <w:overflowPunct/>
        <w:topLinePunct w:val="0"/>
        <w:autoSpaceDE w:val="0"/>
        <w:autoSpaceDN w:val="0"/>
        <w:bidi w:val="0"/>
        <w:adjustRightInd w:val="0"/>
        <w:snapToGrid w:val="0"/>
        <w:spacing w:line="400" w:lineRule="exact"/>
        <w:jc w:val="center"/>
        <w:outlineLvl w:val="1"/>
        <w:rPr>
          <w:rFonts w:hint="eastAsia" w:ascii="仿宋" w:hAnsi="仿宋" w:eastAsia="仿宋" w:cs="仿宋"/>
          <w:b/>
          <w:color w:val="auto"/>
          <w:szCs w:val="21"/>
          <w:highlight w:val="none"/>
        </w:rPr>
      </w:pPr>
      <w:bookmarkStart w:id="59" w:name="_Toc14030"/>
      <w:r>
        <w:rPr>
          <w:rFonts w:hint="eastAsia" w:ascii="仿宋" w:hAnsi="仿宋" w:eastAsia="仿宋" w:cs="仿宋"/>
          <w:b/>
          <w:color w:val="auto"/>
          <w:szCs w:val="21"/>
          <w:highlight w:val="none"/>
        </w:rPr>
        <w:t>第三节 政府采购合同专用条款</w:t>
      </w:r>
      <w:bookmarkEnd w:id="56"/>
      <w:bookmarkEnd w:id="57"/>
      <w:bookmarkEnd w:id="58"/>
      <w:bookmarkEnd w:id="59"/>
    </w:p>
    <w:p w14:paraId="659E7DC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p>
    <w:tbl>
      <w:tblPr>
        <w:tblStyle w:val="44"/>
        <w:tblW w:w="944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1843"/>
        <w:gridCol w:w="5899"/>
      </w:tblGrid>
      <w:tr w14:paraId="6BDE4C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554D7C6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12ABA85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第1.1款</w:t>
            </w:r>
          </w:p>
        </w:tc>
        <w:tc>
          <w:tcPr>
            <w:tcW w:w="1843" w:type="dxa"/>
            <w:noWrap w:val="0"/>
            <w:vAlign w:val="center"/>
          </w:tcPr>
          <w:p w14:paraId="342C466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甲方名称、地址 </w:t>
            </w:r>
          </w:p>
        </w:tc>
        <w:tc>
          <w:tcPr>
            <w:tcW w:w="5899" w:type="dxa"/>
            <w:noWrap w:val="0"/>
            <w:vAlign w:val="center"/>
          </w:tcPr>
          <w:p w14:paraId="73B96568">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邵阳县公安局</w:t>
            </w:r>
          </w:p>
        </w:tc>
      </w:tr>
      <w:tr w14:paraId="6AD1E8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506AE20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7FE8766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第1.2（6）项</w:t>
            </w:r>
          </w:p>
        </w:tc>
        <w:tc>
          <w:tcPr>
            <w:tcW w:w="1843" w:type="dxa"/>
            <w:noWrap w:val="0"/>
            <w:vAlign w:val="center"/>
          </w:tcPr>
          <w:p w14:paraId="02D3C33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项目现场</w:t>
            </w:r>
          </w:p>
        </w:tc>
        <w:tc>
          <w:tcPr>
            <w:tcW w:w="5899" w:type="dxa"/>
            <w:noWrap w:val="0"/>
            <w:vAlign w:val="center"/>
          </w:tcPr>
          <w:p w14:paraId="29303056">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采购人指定地点</w:t>
            </w:r>
          </w:p>
        </w:tc>
      </w:tr>
      <w:tr w14:paraId="4E6069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0652E500">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0105F26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第5.1款</w:t>
            </w:r>
          </w:p>
        </w:tc>
        <w:tc>
          <w:tcPr>
            <w:tcW w:w="1843" w:type="dxa"/>
            <w:noWrap w:val="0"/>
            <w:vAlign w:val="center"/>
          </w:tcPr>
          <w:p w14:paraId="7FB1179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履行合同的时间、地点及方式</w:t>
            </w:r>
          </w:p>
        </w:tc>
        <w:tc>
          <w:tcPr>
            <w:tcW w:w="5899" w:type="dxa"/>
            <w:noWrap w:val="0"/>
            <w:vAlign w:val="center"/>
          </w:tcPr>
          <w:p w14:paraId="08A3803B">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服务期限:一年；</w:t>
            </w:r>
            <w:r>
              <w:rPr>
                <w:rFonts w:hint="eastAsia" w:ascii="仿宋" w:hAnsi="仿宋" w:eastAsia="仿宋" w:cs="仿宋"/>
                <w:color w:val="auto"/>
                <w:szCs w:val="21"/>
                <w:highlight w:val="none"/>
              </w:rPr>
              <w:t xml:space="preserve">  </w:t>
            </w:r>
          </w:p>
          <w:p w14:paraId="525EE80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服务</w:t>
            </w:r>
            <w:r>
              <w:rPr>
                <w:rFonts w:hint="eastAsia" w:ascii="仿宋" w:hAnsi="仿宋" w:eastAsia="仿宋" w:cs="仿宋"/>
                <w:color w:val="auto"/>
                <w:szCs w:val="21"/>
                <w:highlight w:val="none"/>
              </w:rPr>
              <w:t>地点：</w:t>
            </w:r>
            <w:r>
              <w:rPr>
                <w:rFonts w:hint="eastAsia" w:ascii="仿宋" w:hAnsi="仿宋" w:eastAsia="仿宋" w:cs="仿宋"/>
                <w:color w:val="auto"/>
                <w:szCs w:val="21"/>
                <w:highlight w:val="none"/>
                <w:lang w:eastAsia="zh-CN"/>
              </w:rPr>
              <w:t>邵阳县公安局</w:t>
            </w:r>
          </w:p>
          <w:p w14:paraId="232D9658">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服务</w:t>
            </w:r>
            <w:r>
              <w:rPr>
                <w:rFonts w:hint="eastAsia" w:ascii="仿宋" w:hAnsi="仿宋" w:eastAsia="仿宋" w:cs="仿宋"/>
                <w:color w:val="auto"/>
                <w:szCs w:val="21"/>
                <w:highlight w:val="none"/>
              </w:rPr>
              <w:t>方式：</w:t>
            </w:r>
            <w:r>
              <w:rPr>
                <w:rFonts w:hint="eastAsia" w:ascii="仿宋" w:hAnsi="仿宋" w:eastAsia="仿宋" w:cs="仿宋"/>
                <w:color w:val="auto"/>
                <w:szCs w:val="21"/>
                <w:highlight w:val="none"/>
                <w:lang w:val="en-US" w:eastAsia="zh-CN"/>
              </w:rPr>
              <w:t>详见</w:t>
            </w:r>
            <w:r>
              <w:rPr>
                <w:rFonts w:hint="eastAsia" w:ascii="仿宋" w:hAnsi="仿宋" w:eastAsia="仿宋" w:cs="仿宋"/>
                <w:color w:val="auto"/>
                <w:szCs w:val="21"/>
                <w:highlight w:val="none"/>
              </w:rPr>
              <w:t>第五章采购需求。</w:t>
            </w:r>
          </w:p>
        </w:tc>
      </w:tr>
      <w:tr w14:paraId="2E7E0C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76A43E1D">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72613830">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第9.2（1）项</w:t>
            </w:r>
          </w:p>
        </w:tc>
        <w:tc>
          <w:tcPr>
            <w:tcW w:w="1843" w:type="dxa"/>
            <w:noWrap w:val="0"/>
            <w:vAlign w:val="center"/>
          </w:tcPr>
          <w:p w14:paraId="05B125FC">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质量保证期</w:t>
            </w:r>
          </w:p>
        </w:tc>
        <w:tc>
          <w:tcPr>
            <w:tcW w:w="5899" w:type="dxa"/>
            <w:noWrap w:val="0"/>
            <w:vAlign w:val="center"/>
          </w:tcPr>
          <w:p w14:paraId="7BDBC314">
            <w:pPr>
              <w:pageBreakBefore w:val="0"/>
              <w:kinsoku/>
              <w:overflowPunct/>
              <w:topLinePunct w:val="0"/>
              <w:autoSpaceDE w:val="0"/>
              <w:autoSpaceDN w:val="0"/>
              <w:bidi w:val="0"/>
              <w:adjustRightInd w:val="0"/>
              <w:snapToGrid w:val="0"/>
              <w:spacing w:line="400" w:lineRule="exact"/>
              <w:ind w:firstLine="420" w:firstLineChars="200"/>
              <w:jc w:val="left"/>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lang w:val="en-US" w:eastAsia="zh-CN"/>
              </w:rPr>
              <w:t>详见</w:t>
            </w:r>
            <w:r>
              <w:rPr>
                <w:rFonts w:hint="eastAsia" w:ascii="仿宋" w:hAnsi="仿宋" w:eastAsia="仿宋" w:cs="仿宋"/>
                <w:color w:val="auto"/>
                <w:szCs w:val="21"/>
                <w:highlight w:val="none"/>
              </w:rPr>
              <w:t>第五章采购需求</w:t>
            </w:r>
          </w:p>
        </w:tc>
      </w:tr>
      <w:tr w14:paraId="0E45DD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65CFFB0A">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35A4DB0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第9.2（3）项</w:t>
            </w:r>
          </w:p>
        </w:tc>
        <w:tc>
          <w:tcPr>
            <w:tcW w:w="1843" w:type="dxa"/>
            <w:noWrap w:val="0"/>
            <w:vAlign w:val="center"/>
          </w:tcPr>
          <w:p w14:paraId="3290C55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响应时间</w:t>
            </w:r>
          </w:p>
        </w:tc>
        <w:tc>
          <w:tcPr>
            <w:tcW w:w="5899" w:type="dxa"/>
            <w:noWrap w:val="0"/>
            <w:vAlign w:val="center"/>
          </w:tcPr>
          <w:p w14:paraId="0D877AC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详见</w:t>
            </w:r>
            <w:r>
              <w:rPr>
                <w:rFonts w:hint="eastAsia" w:ascii="仿宋" w:hAnsi="仿宋" w:eastAsia="仿宋" w:cs="仿宋"/>
                <w:color w:val="auto"/>
                <w:szCs w:val="21"/>
                <w:highlight w:val="none"/>
              </w:rPr>
              <w:t>第五章采购需求</w:t>
            </w:r>
          </w:p>
        </w:tc>
      </w:tr>
      <w:tr w14:paraId="1939C8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6110B2C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67CAE2A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第13.5款</w:t>
            </w:r>
          </w:p>
        </w:tc>
        <w:tc>
          <w:tcPr>
            <w:tcW w:w="1843" w:type="dxa"/>
            <w:noWrap w:val="0"/>
            <w:vAlign w:val="center"/>
          </w:tcPr>
          <w:p w14:paraId="03A862F1">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合同价款支付方式和条件</w:t>
            </w:r>
          </w:p>
        </w:tc>
        <w:tc>
          <w:tcPr>
            <w:tcW w:w="5899" w:type="dxa"/>
            <w:noWrap w:val="0"/>
            <w:vAlign w:val="center"/>
          </w:tcPr>
          <w:p w14:paraId="63569FA7">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p>
        </w:tc>
      </w:tr>
      <w:tr w14:paraId="57FAE2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79B4A482">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6CAC18E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第14.2（6）项</w:t>
            </w:r>
          </w:p>
        </w:tc>
        <w:tc>
          <w:tcPr>
            <w:tcW w:w="1843" w:type="dxa"/>
            <w:noWrap w:val="0"/>
            <w:vAlign w:val="center"/>
          </w:tcPr>
          <w:p w14:paraId="184DAAC9">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乙方提供的其他服务</w:t>
            </w:r>
          </w:p>
        </w:tc>
        <w:tc>
          <w:tcPr>
            <w:tcW w:w="5899" w:type="dxa"/>
            <w:noWrap w:val="0"/>
            <w:vAlign w:val="center"/>
          </w:tcPr>
          <w:p w14:paraId="13A8F60E">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详见</w:t>
            </w:r>
            <w:r>
              <w:rPr>
                <w:rFonts w:hint="eastAsia" w:ascii="仿宋" w:hAnsi="仿宋" w:eastAsia="仿宋" w:cs="仿宋"/>
                <w:color w:val="auto"/>
                <w:szCs w:val="21"/>
                <w:highlight w:val="none"/>
              </w:rPr>
              <w:t>第五章采购需求。</w:t>
            </w:r>
          </w:p>
        </w:tc>
      </w:tr>
      <w:tr w14:paraId="241EF9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701" w:type="dxa"/>
            <w:noWrap w:val="0"/>
            <w:vAlign w:val="center"/>
          </w:tcPr>
          <w:p w14:paraId="30F96DEF">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本章第二节</w:t>
            </w:r>
          </w:p>
          <w:p w14:paraId="1446AE68">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第23.1款</w:t>
            </w:r>
          </w:p>
        </w:tc>
        <w:tc>
          <w:tcPr>
            <w:tcW w:w="1843" w:type="dxa"/>
            <w:noWrap w:val="0"/>
            <w:vAlign w:val="center"/>
          </w:tcPr>
          <w:p w14:paraId="198F1D9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合同未尽事项</w:t>
            </w:r>
          </w:p>
        </w:tc>
        <w:tc>
          <w:tcPr>
            <w:tcW w:w="5899" w:type="dxa"/>
            <w:noWrap w:val="0"/>
            <w:vAlign w:val="center"/>
          </w:tcPr>
          <w:p w14:paraId="1528CA35">
            <w:pPr>
              <w:pageBreakBefore w:val="0"/>
              <w:kinsoku/>
              <w:overflowPunct/>
              <w:topLinePunct w:val="0"/>
              <w:autoSpaceDE w:val="0"/>
              <w:autoSpaceDN w:val="0"/>
              <w:bidi w:val="0"/>
              <w:adjustRightInd w:val="0"/>
              <w:snapToGrid w:val="0"/>
              <w:spacing w:line="4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双方协商解决</w:t>
            </w:r>
          </w:p>
        </w:tc>
      </w:tr>
    </w:tbl>
    <w:p w14:paraId="6CE6235C">
      <w:pPr>
        <w:pStyle w:val="22"/>
        <w:pageBreakBefore w:val="0"/>
        <w:kinsoku/>
        <w:overflowPunct/>
        <w:topLinePunct w:val="0"/>
        <w:bidi w:val="0"/>
        <w:adjustRightInd w:val="0"/>
        <w:snapToGrid w:val="0"/>
        <w:spacing w:line="400" w:lineRule="exact"/>
        <w:jc w:val="both"/>
        <w:outlineLvl w:val="0"/>
        <w:rPr>
          <w:rFonts w:hint="eastAsia" w:ascii="仿宋" w:hAnsi="仿宋" w:eastAsia="仿宋" w:cs="仿宋"/>
          <w:color w:val="auto"/>
          <w:szCs w:val="21"/>
          <w:highlight w:val="none"/>
        </w:rPr>
        <w:sectPr>
          <w:headerReference r:id="rId7" w:type="default"/>
          <w:footerReference r:id="rId8" w:type="default"/>
          <w:pgSz w:w="11906" w:h="16838"/>
          <w:pgMar w:top="1474" w:right="1474" w:bottom="1474" w:left="1588" w:header="851" w:footer="992" w:gutter="0"/>
          <w:pgNumType w:fmt="decimal"/>
          <w:cols w:space="720" w:num="1"/>
          <w:docGrid w:type="lines" w:linePitch="312" w:charSpace="0"/>
        </w:sectPr>
      </w:pPr>
      <w:r>
        <w:rPr>
          <w:rFonts w:hint="eastAsia" w:ascii="仿宋" w:hAnsi="仿宋" w:eastAsia="仿宋" w:cs="仿宋"/>
          <w:color w:val="auto"/>
          <w:szCs w:val="21"/>
          <w:highlight w:val="none"/>
        </w:rPr>
        <w:br w:type="page"/>
      </w:r>
    </w:p>
    <w:p w14:paraId="5B27839D">
      <w:pPr>
        <w:pStyle w:val="2"/>
        <w:numPr>
          <w:ilvl w:val="0"/>
          <w:numId w:val="3"/>
        </w:numPr>
        <w:bidi w:val="0"/>
        <w:rPr>
          <w:rFonts w:hint="eastAsia" w:ascii="Times New Roman" w:hAnsi="Times New Roman" w:eastAsia="宋体"/>
          <w:lang w:eastAsia="zh-CN"/>
        </w:rPr>
      </w:pPr>
      <w:bookmarkStart w:id="60" w:name="_Toc5283"/>
      <w:r>
        <w:rPr>
          <w:rFonts w:hint="eastAsia" w:ascii="Times New Roman" w:hAnsi="Times New Roman" w:eastAsia="宋体"/>
          <w:lang w:val="en-US" w:eastAsia="zh-CN"/>
        </w:rPr>
        <w:t xml:space="preserve"> </w:t>
      </w:r>
      <w:r>
        <w:rPr>
          <w:rFonts w:hint="eastAsia" w:ascii="Times New Roman" w:hAnsi="Times New Roman" w:eastAsia="宋体"/>
          <w:lang w:eastAsia="zh-CN"/>
        </w:rPr>
        <w:t>投标文件的组成</w:t>
      </w:r>
      <w:bookmarkEnd w:id="60"/>
    </w:p>
    <w:p w14:paraId="2086C7D5">
      <w:pPr>
        <w:pageBreakBefore w:val="0"/>
        <w:kinsoku/>
        <w:overflowPunct/>
        <w:topLinePunct w:val="0"/>
        <w:bidi w:val="0"/>
        <w:adjustRightInd w:val="0"/>
        <w:snapToGrid w:val="0"/>
        <w:spacing w:line="400" w:lineRule="exact"/>
        <w:ind w:left="-88" w:leftChars="-42"/>
        <w:jc w:val="center"/>
        <w:rPr>
          <w:rFonts w:hint="eastAsia" w:ascii="仿宋" w:hAnsi="仿宋" w:eastAsia="仿宋_GB2312" w:cs="仿宋"/>
          <w:b/>
          <w:bCs/>
          <w:color w:val="auto"/>
          <w:sz w:val="32"/>
          <w:highlight w:val="none"/>
        </w:rPr>
      </w:pPr>
    </w:p>
    <w:p w14:paraId="7D601AD0">
      <w:pPr>
        <w:pageBreakBefore w:val="0"/>
        <w:numPr>
          <w:ilvl w:val="0"/>
          <w:numId w:val="0"/>
        </w:numPr>
        <w:kinsoku/>
        <w:overflowPunct/>
        <w:topLinePunct w:val="0"/>
        <w:bidi w:val="0"/>
        <w:adjustRightInd w:val="0"/>
        <w:snapToGrid w:val="0"/>
        <w:spacing w:line="400" w:lineRule="exact"/>
        <w:jc w:val="left"/>
        <w:outlineLvl w:val="9"/>
        <w:rPr>
          <w:rFonts w:hint="eastAsia" w:ascii="仿宋" w:hAnsi="仿宋" w:eastAsia="仿宋_GB2312" w:cs="仿宋"/>
          <w:b/>
          <w:color w:val="auto"/>
          <w:szCs w:val="21"/>
          <w:highlight w:val="none"/>
        </w:rPr>
      </w:pPr>
      <w:r>
        <w:rPr>
          <w:rFonts w:hint="eastAsia" w:ascii="仿宋" w:hAnsi="仿宋" w:eastAsia="仿宋_GB2312" w:cs="仿宋"/>
          <w:b/>
          <w:color w:val="auto"/>
          <w:szCs w:val="21"/>
          <w:highlight w:val="none"/>
          <w:lang w:eastAsia="zh-CN"/>
        </w:rPr>
        <w:t>第一部分</w:t>
      </w:r>
      <w:r>
        <w:rPr>
          <w:rFonts w:hint="eastAsia" w:ascii="仿宋" w:hAnsi="仿宋" w:eastAsia="仿宋_GB2312" w:cs="仿宋"/>
          <w:b/>
          <w:color w:val="auto"/>
          <w:szCs w:val="21"/>
          <w:highlight w:val="none"/>
          <w:lang w:val="en-US" w:eastAsia="zh-CN"/>
        </w:rPr>
        <w:t xml:space="preserve"> </w:t>
      </w:r>
      <w:r>
        <w:rPr>
          <w:rFonts w:hint="eastAsia" w:ascii="仿宋" w:hAnsi="仿宋" w:eastAsia="仿宋_GB2312" w:cs="仿宋"/>
          <w:b/>
          <w:color w:val="auto"/>
          <w:szCs w:val="21"/>
          <w:highlight w:val="none"/>
        </w:rPr>
        <w:t>资格证明文件</w:t>
      </w:r>
    </w:p>
    <w:p w14:paraId="709EF675">
      <w:pPr>
        <w:pStyle w:val="16"/>
        <w:pageBreakBefore w:val="0"/>
        <w:numPr>
          <w:ilvl w:val="0"/>
          <w:numId w:val="0"/>
        </w:numPr>
        <w:kinsoku/>
        <w:overflowPunct/>
        <w:topLinePunct w:val="0"/>
        <w:bidi w:val="0"/>
        <w:spacing w:after="0" w:line="400" w:lineRule="exact"/>
        <w:ind w:firstLine="630" w:firstLineChars="300"/>
        <w:jc w:val="left"/>
        <w:outlineLvl w:val="9"/>
        <w:rPr>
          <w:rFonts w:hint="eastAsia" w:ascii="仿宋" w:hAnsi="仿宋" w:eastAsia="仿宋_GB2312" w:cs="仿宋"/>
          <w:color w:val="auto"/>
          <w:highlight w:val="none"/>
          <w:lang w:eastAsia="zh-CN"/>
        </w:rPr>
      </w:pPr>
      <w:r>
        <w:rPr>
          <w:rFonts w:hint="eastAsia" w:ascii="仿宋" w:hAnsi="仿宋" w:eastAsia="仿宋_GB2312" w:cs="仿宋"/>
          <w:color w:val="auto"/>
          <w:highlight w:val="none"/>
          <w:lang w:eastAsia="zh-CN"/>
        </w:rPr>
        <w:t>封面</w:t>
      </w:r>
    </w:p>
    <w:p w14:paraId="212077EF">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lang w:eastAsia="zh-CN"/>
        </w:rPr>
        <w:t>一、</w:t>
      </w:r>
      <w:r>
        <w:rPr>
          <w:rStyle w:val="166"/>
          <w:rFonts w:hint="eastAsia" w:ascii="仿宋" w:hAnsi="仿宋" w:eastAsia="仿宋_GB2312" w:cs="仿宋"/>
          <w:color w:val="auto"/>
          <w:sz w:val="19"/>
          <w:szCs w:val="19"/>
          <w:highlight w:val="none"/>
        </w:rPr>
        <w:t>投标人具备投标资格的证明文件</w:t>
      </w:r>
    </w:p>
    <w:p w14:paraId="63749B8F">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sz w:val="19"/>
          <w:szCs w:val="19"/>
          <w:highlight w:val="none"/>
        </w:rPr>
      </w:pPr>
      <w:r>
        <w:rPr>
          <w:rFonts w:hint="eastAsia" w:ascii="仿宋" w:hAnsi="仿宋" w:eastAsia="仿宋_GB2312" w:cs="仿宋"/>
          <w:color w:val="auto"/>
          <w:sz w:val="19"/>
          <w:szCs w:val="19"/>
          <w:highlight w:val="none"/>
        </w:rPr>
        <w:t>附件1 授权委托书</w:t>
      </w:r>
    </w:p>
    <w:p w14:paraId="1BAC5D15">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sz w:val="19"/>
          <w:szCs w:val="19"/>
          <w:highlight w:val="none"/>
        </w:rPr>
      </w:pPr>
      <w:r>
        <w:rPr>
          <w:rFonts w:hint="eastAsia" w:ascii="仿宋" w:hAnsi="仿宋" w:eastAsia="仿宋_GB2312" w:cs="仿宋"/>
          <w:color w:val="auto"/>
          <w:sz w:val="19"/>
          <w:szCs w:val="19"/>
          <w:highlight w:val="none"/>
        </w:rPr>
        <w:t>附件1-1 法定代表人身份证明</w:t>
      </w:r>
    </w:p>
    <w:p w14:paraId="08D063B0">
      <w:pPr>
        <w:pageBreakBefore w:val="0"/>
        <w:kinsoku/>
        <w:overflowPunct/>
        <w:topLinePunct w:val="0"/>
        <w:bidi w:val="0"/>
        <w:adjustRightInd w:val="0"/>
        <w:snapToGrid w:val="0"/>
        <w:spacing w:line="400" w:lineRule="exact"/>
        <w:ind w:firstLine="380" w:firstLineChars="200"/>
        <w:jc w:val="left"/>
        <w:outlineLvl w:val="9"/>
        <w:rPr>
          <w:rStyle w:val="167"/>
          <w:rFonts w:hint="eastAsia" w:ascii="仿宋" w:hAnsi="仿宋" w:eastAsia="仿宋_GB2312" w:cs="仿宋"/>
          <w:color w:val="auto"/>
          <w:sz w:val="19"/>
          <w:szCs w:val="19"/>
          <w:highlight w:val="none"/>
        </w:rPr>
      </w:pPr>
      <w:r>
        <w:rPr>
          <w:rStyle w:val="167"/>
          <w:rFonts w:hint="eastAsia" w:ascii="仿宋" w:hAnsi="仿宋" w:eastAsia="仿宋_GB2312" w:cs="仿宋"/>
          <w:color w:val="auto"/>
          <w:sz w:val="19"/>
          <w:szCs w:val="19"/>
          <w:highlight w:val="none"/>
        </w:rPr>
        <w:t>附件2 投标人基本情况</w:t>
      </w:r>
    </w:p>
    <w:p w14:paraId="3DC5FBA3">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sz w:val="19"/>
          <w:szCs w:val="19"/>
          <w:highlight w:val="none"/>
          <w:lang w:eastAsia="zh-CN"/>
        </w:rPr>
      </w:pPr>
      <w:r>
        <w:rPr>
          <w:rFonts w:hint="eastAsia" w:ascii="仿宋" w:hAnsi="仿宋" w:eastAsia="仿宋_GB2312" w:cs="仿宋"/>
          <w:color w:val="auto"/>
          <w:sz w:val="19"/>
          <w:szCs w:val="19"/>
          <w:highlight w:val="none"/>
        </w:rPr>
        <w:t>附件3</w:t>
      </w:r>
      <w:r>
        <w:rPr>
          <w:rFonts w:hint="eastAsia" w:ascii="仿宋" w:hAnsi="仿宋" w:eastAsia="仿宋_GB2312" w:cs="仿宋"/>
          <w:color w:val="auto"/>
          <w:sz w:val="19"/>
          <w:szCs w:val="19"/>
          <w:highlight w:val="none"/>
          <w:lang w:eastAsia="zh-CN"/>
        </w:rPr>
        <w:t>湖南省政府采购供应商资格承诺函</w:t>
      </w:r>
    </w:p>
    <w:p w14:paraId="78C9FD20">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Style w:val="167"/>
          <w:rFonts w:hint="eastAsia" w:ascii="仿宋" w:hAnsi="仿宋" w:eastAsia="仿宋_GB2312" w:cs="仿宋"/>
          <w:color w:val="auto"/>
          <w:sz w:val="19"/>
          <w:szCs w:val="19"/>
          <w:highlight w:val="none"/>
          <w:lang w:val="en-US" w:eastAsia="zh-CN"/>
        </w:rPr>
        <w:t>附件</w:t>
      </w:r>
      <w:r>
        <w:rPr>
          <w:rFonts w:hint="eastAsia" w:ascii="仿宋" w:hAnsi="仿宋" w:eastAsia="仿宋_GB2312" w:cs="仿宋"/>
          <w:color w:val="auto"/>
          <w:kern w:val="2"/>
          <w:sz w:val="19"/>
          <w:szCs w:val="19"/>
          <w:highlight w:val="none"/>
          <w:lang w:val="en-US" w:eastAsia="zh-CN" w:bidi="ar-SA"/>
        </w:rPr>
        <w:t>4 项目免交投标保证金承诺书</w:t>
      </w:r>
    </w:p>
    <w:p w14:paraId="27F66C2F">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附件5 信用信息查询结果</w:t>
      </w:r>
    </w:p>
    <w:p w14:paraId="74FBFB89">
      <w:pPr>
        <w:pageBreakBefore w:val="0"/>
        <w:kinsoku/>
        <w:overflowPunct/>
        <w:topLinePunct w:val="0"/>
        <w:bidi w:val="0"/>
        <w:adjustRightInd w:val="0"/>
        <w:snapToGrid w:val="0"/>
        <w:spacing w:line="400" w:lineRule="exact"/>
        <w:jc w:val="left"/>
        <w:outlineLvl w:val="9"/>
        <w:rPr>
          <w:rFonts w:hint="eastAsia" w:ascii="仿宋" w:hAnsi="仿宋" w:eastAsia="仿宋_GB2312" w:cs="仿宋"/>
          <w:b/>
          <w:color w:val="auto"/>
          <w:szCs w:val="21"/>
          <w:highlight w:val="none"/>
        </w:rPr>
      </w:pPr>
      <w:r>
        <w:rPr>
          <w:rFonts w:hint="eastAsia" w:ascii="仿宋" w:hAnsi="仿宋" w:eastAsia="仿宋_GB2312" w:cs="仿宋"/>
          <w:b/>
          <w:color w:val="auto"/>
          <w:szCs w:val="21"/>
          <w:highlight w:val="none"/>
        </w:rPr>
        <w:t>第二部分 商务文件</w:t>
      </w:r>
    </w:p>
    <w:p w14:paraId="27FF3FDD">
      <w:pPr>
        <w:pStyle w:val="16"/>
        <w:pageBreakBefore w:val="0"/>
        <w:kinsoku/>
        <w:overflowPunct/>
        <w:topLinePunct w:val="0"/>
        <w:bidi w:val="0"/>
        <w:spacing w:after="0" w:line="400" w:lineRule="exact"/>
        <w:outlineLvl w:val="9"/>
        <w:rPr>
          <w:rFonts w:hint="eastAsia" w:ascii="仿宋" w:hAnsi="仿宋" w:eastAsia="仿宋_GB2312" w:cs="仿宋"/>
          <w:color w:val="auto"/>
          <w:highlight w:val="none"/>
          <w:lang w:val="en-US" w:eastAsia="zh-CN"/>
        </w:rPr>
      </w:pPr>
      <w:r>
        <w:rPr>
          <w:rFonts w:hint="eastAsia" w:ascii="仿宋" w:hAnsi="仿宋" w:eastAsia="仿宋_GB2312" w:cs="仿宋"/>
          <w:b/>
          <w:color w:val="auto"/>
          <w:szCs w:val="21"/>
          <w:highlight w:val="none"/>
          <w:lang w:val="en-US" w:eastAsia="zh-CN"/>
        </w:rPr>
        <w:t xml:space="preserve">     </w:t>
      </w:r>
      <w:r>
        <w:rPr>
          <w:rFonts w:hint="eastAsia" w:ascii="仿宋" w:hAnsi="仿宋" w:eastAsia="仿宋_GB2312" w:cs="仿宋"/>
          <w:color w:val="auto"/>
          <w:highlight w:val="none"/>
          <w:lang w:eastAsia="zh-CN"/>
        </w:rPr>
        <w:t>封面</w:t>
      </w:r>
    </w:p>
    <w:p w14:paraId="6517CDFB">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二、投标函</w:t>
      </w:r>
    </w:p>
    <w:p w14:paraId="017E64D8">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三、开标一览表</w:t>
      </w:r>
    </w:p>
    <w:p w14:paraId="367F2ACD">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四、分项报价</w:t>
      </w:r>
    </w:p>
    <w:p w14:paraId="5CC2FB88">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五、商务、合同条款响应偏离表</w:t>
      </w:r>
    </w:p>
    <w:p w14:paraId="66D921D6">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六、投标保证金</w:t>
      </w:r>
    </w:p>
    <w:p w14:paraId="2C96F3DE">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七、中小企业声明函</w:t>
      </w:r>
    </w:p>
    <w:p w14:paraId="7119CF1F">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八、残疾人福利性单位声明函</w:t>
      </w:r>
    </w:p>
    <w:p w14:paraId="194E0FF1">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九、招标文件规定的其他与本项目相关的商务证明文件</w:t>
      </w:r>
    </w:p>
    <w:p w14:paraId="7073CD2C">
      <w:pPr>
        <w:pStyle w:val="16"/>
        <w:pageBreakBefore w:val="0"/>
        <w:kinsoku/>
        <w:overflowPunct/>
        <w:topLinePunct w:val="0"/>
        <w:bidi w:val="0"/>
        <w:spacing w:after="0" w:line="400" w:lineRule="exact"/>
        <w:outlineLvl w:val="9"/>
        <w:rPr>
          <w:rFonts w:hint="eastAsia" w:ascii="仿宋" w:hAnsi="仿宋" w:eastAsia="仿宋_GB2312" w:cs="仿宋"/>
          <w:b/>
          <w:color w:val="auto"/>
          <w:kern w:val="2"/>
          <w:sz w:val="21"/>
          <w:szCs w:val="21"/>
          <w:highlight w:val="none"/>
          <w:lang w:val="en-US" w:eastAsia="zh-CN" w:bidi="ar-SA"/>
        </w:rPr>
      </w:pPr>
      <w:r>
        <w:rPr>
          <w:rFonts w:hint="eastAsia" w:ascii="仿宋" w:hAnsi="仿宋" w:eastAsia="仿宋_GB2312" w:cs="仿宋"/>
          <w:b/>
          <w:color w:val="auto"/>
          <w:kern w:val="2"/>
          <w:sz w:val="21"/>
          <w:szCs w:val="21"/>
          <w:highlight w:val="none"/>
          <w:lang w:val="en-US" w:eastAsia="zh-CN" w:bidi="ar-SA"/>
        </w:rPr>
        <w:t>第三部分 技术文件</w:t>
      </w:r>
    </w:p>
    <w:p w14:paraId="04F6D106">
      <w:pPr>
        <w:pStyle w:val="16"/>
        <w:pageBreakBefore w:val="0"/>
        <w:kinsoku/>
        <w:overflowPunct/>
        <w:topLinePunct w:val="0"/>
        <w:bidi w:val="0"/>
        <w:spacing w:after="0" w:line="400" w:lineRule="exact"/>
        <w:ind w:firstLine="420" w:firstLineChars="200"/>
        <w:outlineLvl w:val="9"/>
        <w:rPr>
          <w:rFonts w:hint="eastAsia" w:ascii="仿宋" w:hAnsi="仿宋" w:eastAsia="仿宋_GB2312" w:cs="仿宋"/>
          <w:color w:val="auto"/>
          <w:highlight w:val="none"/>
          <w:lang w:val="en-US" w:eastAsia="zh-CN"/>
        </w:rPr>
      </w:pPr>
      <w:r>
        <w:rPr>
          <w:rFonts w:hint="eastAsia" w:ascii="仿宋" w:hAnsi="仿宋" w:eastAsia="仿宋_GB2312" w:cs="仿宋"/>
          <w:color w:val="auto"/>
          <w:highlight w:val="none"/>
          <w:lang w:eastAsia="zh-CN"/>
        </w:rPr>
        <w:t>封面</w:t>
      </w:r>
    </w:p>
    <w:p w14:paraId="32A76845">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十、服务方案</w:t>
      </w:r>
    </w:p>
    <w:p w14:paraId="4F3E0F47">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十一、技术要求响应偏离表</w:t>
      </w:r>
    </w:p>
    <w:p w14:paraId="2D91288C">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十二、招标文件规定的其他与本项目相关的技术证明文件</w:t>
      </w:r>
    </w:p>
    <w:p w14:paraId="7C06DBB9">
      <w:pPr>
        <w:pageBreakBefore w:val="0"/>
        <w:kinsoku/>
        <w:overflowPunct/>
        <w:topLinePunct w:val="0"/>
        <w:bidi w:val="0"/>
        <w:adjustRightInd w:val="0"/>
        <w:snapToGrid w:val="0"/>
        <w:spacing w:line="400" w:lineRule="exact"/>
        <w:jc w:val="center"/>
        <w:rPr>
          <w:rFonts w:hint="eastAsia" w:ascii="仿宋" w:hAnsi="仿宋" w:eastAsia="仿宋_GB2312" w:cs="仿宋"/>
          <w:color w:val="auto"/>
          <w:sz w:val="32"/>
          <w:szCs w:val="32"/>
          <w:highlight w:val="none"/>
        </w:rPr>
      </w:pPr>
    </w:p>
    <w:p w14:paraId="498415F4">
      <w:pPr>
        <w:pageBreakBefore w:val="0"/>
        <w:kinsoku/>
        <w:overflowPunct/>
        <w:topLinePunct w:val="0"/>
        <w:bidi w:val="0"/>
        <w:adjustRightInd w:val="0"/>
        <w:snapToGrid w:val="0"/>
        <w:spacing w:line="400" w:lineRule="exact"/>
        <w:rPr>
          <w:rFonts w:hint="eastAsia" w:ascii="仿宋" w:hAnsi="仿宋" w:eastAsia="仿宋_GB2312" w:cs="仿宋"/>
          <w:color w:val="auto"/>
          <w:sz w:val="32"/>
          <w:szCs w:val="32"/>
          <w:highlight w:val="none"/>
        </w:rPr>
      </w:pPr>
    </w:p>
    <w:p w14:paraId="2CAD2EA2">
      <w:pPr>
        <w:pageBreakBefore w:val="0"/>
        <w:kinsoku/>
        <w:overflowPunct/>
        <w:topLinePunct w:val="0"/>
        <w:bidi w:val="0"/>
        <w:adjustRightInd w:val="0"/>
        <w:snapToGrid w:val="0"/>
        <w:spacing w:line="400" w:lineRule="exact"/>
        <w:rPr>
          <w:rFonts w:hint="eastAsia" w:ascii="仿宋" w:hAnsi="仿宋" w:eastAsia="仿宋_GB2312" w:cs="仿宋"/>
          <w:color w:val="auto"/>
          <w:sz w:val="32"/>
          <w:szCs w:val="32"/>
          <w:highlight w:val="none"/>
        </w:rPr>
      </w:pPr>
    </w:p>
    <w:p w14:paraId="4DD89A40">
      <w:pPr>
        <w:pageBreakBefore w:val="0"/>
        <w:kinsoku/>
        <w:overflowPunct/>
        <w:topLinePunct w:val="0"/>
        <w:bidi w:val="0"/>
        <w:adjustRightInd w:val="0"/>
        <w:snapToGrid w:val="0"/>
        <w:spacing w:line="400" w:lineRule="exact"/>
        <w:rPr>
          <w:rFonts w:hint="eastAsia" w:ascii="仿宋" w:hAnsi="仿宋" w:eastAsia="仿宋_GB2312" w:cs="仿宋"/>
          <w:color w:val="auto"/>
          <w:sz w:val="32"/>
          <w:szCs w:val="32"/>
          <w:highlight w:val="none"/>
        </w:rPr>
      </w:pPr>
    </w:p>
    <w:p w14:paraId="66FE3AEC">
      <w:pPr>
        <w:pageBreakBefore w:val="0"/>
        <w:kinsoku/>
        <w:overflowPunct/>
        <w:topLinePunct w:val="0"/>
        <w:bidi w:val="0"/>
        <w:adjustRightInd w:val="0"/>
        <w:snapToGrid w:val="0"/>
        <w:spacing w:line="400" w:lineRule="exact"/>
        <w:rPr>
          <w:rFonts w:hint="eastAsia" w:ascii="仿宋" w:hAnsi="仿宋" w:eastAsia="仿宋_GB2312" w:cs="仿宋"/>
          <w:color w:val="auto"/>
          <w:sz w:val="32"/>
          <w:szCs w:val="32"/>
          <w:highlight w:val="none"/>
        </w:rPr>
      </w:pPr>
    </w:p>
    <w:p w14:paraId="6721FDCC">
      <w:pPr>
        <w:pageBreakBefore w:val="0"/>
        <w:kinsoku/>
        <w:overflowPunct/>
        <w:topLinePunct w:val="0"/>
        <w:bidi w:val="0"/>
        <w:adjustRightInd w:val="0"/>
        <w:snapToGrid w:val="0"/>
        <w:spacing w:line="400" w:lineRule="exact"/>
        <w:rPr>
          <w:rFonts w:hint="eastAsia" w:ascii="仿宋" w:hAnsi="仿宋" w:eastAsia="仿宋_GB2312" w:cs="仿宋"/>
          <w:color w:val="auto"/>
          <w:sz w:val="32"/>
          <w:szCs w:val="32"/>
          <w:highlight w:val="none"/>
        </w:rPr>
      </w:pPr>
    </w:p>
    <w:p w14:paraId="0576FD11">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b/>
          <w:bCs/>
          <w:color w:val="auto"/>
          <w:sz w:val="72"/>
          <w:szCs w:val="72"/>
          <w:highlight w:val="none"/>
        </w:rPr>
      </w:pPr>
    </w:p>
    <w:p w14:paraId="04CBBA0F">
      <w:pPr>
        <w:pStyle w:val="2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b/>
          <w:bCs/>
          <w:color w:val="auto"/>
          <w:sz w:val="72"/>
          <w:szCs w:val="72"/>
          <w:highlight w:val="none"/>
        </w:rPr>
      </w:pPr>
      <w:r>
        <w:rPr>
          <w:rFonts w:hint="eastAsia" w:ascii="仿宋" w:hAnsi="仿宋" w:eastAsia="仿宋_GB2312" w:cs="仿宋"/>
          <w:b/>
          <w:bCs/>
          <w:color w:val="auto"/>
          <w:sz w:val="72"/>
          <w:szCs w:val="72"/>
          <w:highlight w:val="none"/>
        </w:rPr>
        <w:t>政府采购</w:t>
      </w:r>
    </w:p>
    <w:p w14:paraId="5C0112B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b/>
          <w:bCs/>
          <w:color w:val="auto"/>
          <w:sz w:val="84"/>
          <w:szCs w:val="84"/>
          <w:highlight w:val="none"/>
        </w:rPr>
      </w:pPr>
      <w:r>
        <w:rPr>
          <w:rFonts w:hint="eastAsia" w:ascii="仿宋" w:hAnsi="仿宋" w:eastAsia="仿宋_GB2312" w:cs="仿宋"/>
          <w:b/>
          <w:bCs/>
          <w:color w:val="auto"/>
          <w:sz w:val="84"/>
          <w:szCs w:val="84"/>
          <w:highlight w:val="none"/>
        </w:rPr>
        <w:t>投 标 文 件</w:t>
      </w:r>
    </w:p>
    <w:p w14:paraId="545614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44"/>
          <w:szCs w:val="44"/>
          <w:highlight w:val="none"/>
        </w:rPr>
      </w:pPr>
    </w:p>
    <w:p w14:paraId="3F5210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44"/>
          <w:szCs w:val="44"/>
          <w:highlight w:val="none"/>
        </w:rPr>
      </w:pPr>
      <w:r>
        <w:rPr>
          <w:rFonts w:hint="eastAsia" w:ascii="仿宋" w:hAnsi="仿宋" w:eastAsia="仿宋_GB2312" w:cs="仿宋"/>
          <w:color w:val="auto"/>
          <w:sz w:val="44"/>
          <w:szCs w:val="44"/>
          <w:highlight w:val="none"/>
        </w:rPr>
        <w:t>第一部分 资格证明文件</w:t>
      </w:r>
    </w:p>
    <w:p w14:paraId="77E53468">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b/>
          <w:color w:val="auto"/>
          <w:sz w:val="30"/>
          <w:szCs w:val="30"/>
          <w:highlight w:val="none"/>
        </w:rPr>
      </w:pPr>
    </w:p>
    <w:p w14:paraId="78ADC309">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b/>
          <w:color w:val="auto"/>
          <w:sz w:val="30"/>
          <w:szCs w:val="30"/>
          <w:highlight w:val="none"/>
        </w:rPr>
      </w:pPr>
    </w:p>
    <w:p w14:paraId="316F21FF">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eastAsia="zh-CN"/>
        </w:rPr>
      </w:pPr>
      <w:r>
        <w:rPr>
          <w:rFonts w:hint="eastAsia" w:ascii="仿宋" w:hAnsi="仿宋" w:eastAsia="仿宋_GB2312" w:cs="仿宋"/>
          <w:b/>
          <w:color w:val="auto"/>
          <w:sz w:val="32"/>
          <w:szCs w:val="32"/>
          <w:highlight w:val="none"/>
        </w:rPr>
        <w:t>采购项目名称：</w:t>
      </w:r>
    </w:p>
    <w:p w14:paraId="4F4BCAA7">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val="en-US" w:eastAsia="zh-CN"/>
        </w:rPr>
      </w:pPr>
      <w:r>
        <w:rPr>
          <w:rFonts w:hint="eastAsia" w:ascii="仿宋" w:hAnsi="仿宋" w:eastAsia="仿宋_GB2312" w:cs="仿宋"/>
          <w:b/>
          <w:color w:val="auto"/>
          <w:sz w:val="32"/>
          <w:szCs w:val="32"/>
          <w:highlight w:val="none"/>
        </w:rPr>
        <w:t>政府采购编号：</w:t>
      </w:r>
    </w:p>
    <w:p w14:paraId="57B1984C">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val="en-US" w:eastAsia="zh-CN"/>
        </w:rPr>
      </w:pPr>
      <w:r>
        <w:rPr>
          <w:rFonts w:hint="eastAsia" w:ascii="仿宋" w:hAnsi="仿宋" w:eastAsia="仿宋_GB2312" w:cs="仿宋"/>
          <w:b/>
          <w:color w:val="auto"/>
          <w:sz w:val="32"/>
          <w:szCs w:val="32"/>
          <w:highlight w:val="none"/>
        </w:rPr>
        <w:t>项 目  编 号：</w:t>
      </w:r>
    </w:p>
    <w:p w14:paraId="55C78A57">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val="en-US" w:eastAsia="zh-CN"/>
        </w:rPr>
      </w:pPr>
      <w:r>
        <w:rPr>
          <w:rFonts w:hint="eastAsia" w:ascii="仿宋" w:hAnsi="仿宋" w:eastAsia="仿宋_GB2312" w:cs="仿宋"/>
          <w:b/>
          <w:color w:val="auto"/>
          <w:sz w:val="32"/>
          <w:szCs w:val="32"/>
          <w:highlight w:val="none"/>
        </w:rPr>
        <w:t>采购代理编号：</w:t>
      </w:r>
    </w:p>
    <w:p w14:paraId="031422FE">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val="en-US" w:eastAsia="zh-CN"/>
        </w:rPr>
      </w:pPr>
      <w:r>
        <w:rPr>
          <w:rFonts w:hint="eastAsia" w:ascii="仿宋" w:hAnsi="仿宋" w:eastAsia="仿宋_GB2312" w:cs="仿宋"/>
          <w:b/>
          <w:color w:val="auto"/>
          <w:sz w:val="32"/>
          <w:szCs w:val="32"/>
          <w:highlight w:val="none"/>
        </w:rPr>
        <w:t>采   购   人：</w:t>
      </w:r>
    </w:p>
    <w:p w14:paraId="683544A5">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bCs/>
          <w:color w:val="auto"/>
          <w:sz w:val="30"/>
          <w:szCs w:val="30"/>
          <w:highlight w:val="none"/>
          <w:u w:val="single"/>
        </w:rPr>
      </w:pPr>
      <w:r>
        <w:rPr>
          <w:rFonts w:hint="eastAsia" w:ascii="仿宋" w:hAnsi="仿宋" w:eastAsia="仿宋_GB2312" w:cs="仿宋"/>
          <w:b/>
          <w:color w:val="auto"/>
          <w:sz w:val="32"/>
          <w:szCs w:val="21"/>
          <w:highlight w:val="none"/>
        </w:rPr>
        <w:t>采购代理机构：</w:t>
      </w:r>
    </w:p>
    <w:p w14:paraId="716C4EA5">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75AE6616">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57D17A47">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422F9C2B">
      <w:pPr>
        <w:keepNext w:val="0"/>
        <w:keepLines w:val="0"/>
        <w:pageBreakBefore w:val="0"/>
        <w:widowControl w:val="0"/>
        <w:kinsoku/>
        <w:wordWrap/>
        <w:overflowPunct/>
        <w:topLinePunct w:val="0"/>
        <w:autoSpaceDE/>
        <w:autoSpaceDN/>
        <w:bidi w:val="0"/>
        <w:adjustRightInd w:val="0"/>
        <w:snapToGrid w:val="0"/>
        <w:spacing w:line="240" w:lineRule="auto"/>
        <w:ind w:firstLine="3897" w:firstLineChars="1218"/>
        <w:textAlignment w:val="auto"/>
        <w:outlineLvl w:val="9"/>
        <w:rPr>
          <w:rFonts w:hint="eastAsia" w:ascii="仿宋" w:hAnsi="仿宋" w:eastAsia="仿宋_GB2312" w:cs="仿宋"/>
          <w:color w:val="auto"/>
          <w:sz w:val="32"/>
          <w:szCs w:val="32"/>
          <w:highlight w:val="none"/>
        </w:rPr>
      </w:pPr>
      <w:r>
        <w:rPr>
          <w:rFonts w:hint="eastAsia" w:ascii="仿宋" w:hAnsi="仿宋" w:eastAsia="仿宋_GB2312" w:cs="仿宋"/>
          <w:color w:val="auto"/>
          <w:sz w:val="32"/>
          <w:szCs w:val="32"/>
          <w:highlight w:val="none"/>
        </w:rPr>
        <w:t>投标人：</w:t>
      </w:r>
    </w:p>
    <w:p w14:paraId="0FCA6109">
      <w:pPr>
        <w:keepNext w:val="0"/>
        <w:keepLines w:val="0"/>
        <w:pageBreakBefore w:val="0"/>
        <w:widowControl w:val="0"/>
        <w:kinsoku/>
        <w:wordWrap/>
        <w:overflowPunct/>
        <w:topLinePunct w:val="0"/>
        <w:autoSpaceDE/>
        <w:autoSpaceDN/>
        <w:bidi w:val="0"/>
        <w:adjustRightInd w:val="0"/>
        <w:snapToGrid w:val="0"/>
        <w:spacing w:line="240" w:lineRule="auto"/>
        <w:ind w:firstLine="3897" w:firstLineChars="1218"/>
        <w:textAlignment w:val="auto"/>
        <w:outlineLvl w:val="9"/>
        <w:rPr>
          <w:rFonts w:hint="eastAsia" w:ascii="仿宋" w:hAnsi="仿宋" w:eastAsia="仿宋_GB2312" w:cs="仿宋"/>
          <w:color w:val="auto"/>
          <w:sz w:val="32"/>
          <w:szCs w:val="32"/>
          <w:highlight w:val="none"/>
        </w:rPr>
      </w:pPr>
    </w:p>
    <w:p w14:paraId="2724226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年</w:t>
      </w: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 xml:space="preserve"> 月 </w:t>
      </w: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 xml:space="preserve"> 日</w:t>
      </w:r>
      <w:r>
        <w:rPr>
          <w:rFonts w:hint="eastAsia" w:ascii="仿宋" w:hAnsi="仿宋" w:eastAsia="仿宋_GB2312" w:cs="仿宋"/>
          <w:color w:val="auto"/>
          <w:sz w:val="28"/>
          <w:szCs w:val="28"/>
          <w:highlight w:val="none"/>
        </w:rPr>
        <w:br w:type="page"/>
      </w:r>
    </w:p>
    <w:p w14:paraId="4350C0DE">
      <w:pPr>
        <w:pStyle w:val="155"/>
        <w:pageBreakBefore w:val="0"/>
        <w:kinsoku/>
        <w:overflowPunct/>
        <w:topLinePunct w:val="0"/>
        <w:bidi w:val="0"/>
        <w:spacing w:line="400" w:lineRule="exact"/>
        <w:jc w:val="center"/>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 w:val="28"/>
          <w:szCs w:val="28"/>
          <w:highlight w:val="none"/>
          <w:lang w:eastAsia="zh-CN"/>
        </w:rPr>
        <w:t>一、</w:t>
      </w:r>
      <w:r>
        <w:rPr>
          <w:rFonts w:hint="eastAsia" w:ascii="仿宋" w:hAnsi="仿宋" w:eastAsia="仿宋_GB2312" w:cs="仿宋"/>
          <w:color w:val="auto"/>
          <w:sz w:val="28"/>
          <w:szCs w:val="28"/>
          <w:highlight w:val="none"/>
        </w:rPr>
        <w:t>投标人具备投标资格的证明文件</w:t>
      </w:r>
    </w:p>
    <w:p w14:paraId="0B5CFB2C">
      <w:pPr>
        <w:pStyle w:val="155"/>
        <w:pageBreakBefore w:val="0"/>
        <w:kinsoku/>
        <w:overflowPunct/>
        <w:topLinePunct w:val="0"/>
        <w:bidi w:val="0"/>
        <w:spacing w:line="400" w:lineRule="exact"/>
        <w:jc w:val="center"/>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 w:val="28"/>
          <w:szCs w:val="28"/>
          <w:highlight w:val="none"/>
        </w:rPr>
        <w:t>投标人应按本招标文件</w:t>
      </w:r>
      <w:r>
        <w:rPr>
          <w:rFonts w:hint="eastAsia" w:ascii="仿宋" w:hAnsi="仿宋" w:eastAsia="仿宋_GB2312" w:cs="仿宋"/>
          <w:color w:val="auto"/>
          <w:sz w:val="28"/>
          <w:szCs w:val="28"/>
          <w:highlight w:val="none"/>
          <w:lang w:eastAsia="zh-CN"/>
        </w:rPr>
        <w:t>规定的资格条件提供证明材料。</w:t>
      </w:r>
    </w:p>
    <w:p w14:paraId="2FBE5ED1">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t xml:space="preserve">附件1  </w:t>
      </w:r>
    </w:p>
    <w:p w14:paraId="46E2916E">
      <w:pPr>
        <w:pageBreakBefore w:val="0"/>
        <w:kinsoku/>
        <w:overflowPunct/>
        <w:topLinePunct w:val="0"/>
        <w:bidi w:val="0"/>
        <w:spacing w:line="400" w:lineRule="exact"/>
        <w:ind w:firstLine="3640" w:firstLineChars="1300"/>
        <w:outlineLvl w:val="9"/>
        <w:rPr>
          <w:rFonts w:hint="eastAsia" w:ascii="仿宋" w:hAnsi="仿宋" w:eastAsia="仿宋_GB2312" w:cs="仿宋"/>
          <w:color w:val="auto"/>
          <w:highlight w:val="none"/>
        </w:rPr>
      </w:pPr>
      <w:r>
        <w:rPr>
          <w:rFonts w:hint="eastAsia" w:ascii="仿宋" w:hAnsi="仿宋" w:eastAsia="仿宋_GB2312" w:cs="仿宋"/>
          <w:color w:val="auto"/>
          <w:sz w:val="28"/>
          <w:szCs w:val="28"/>
          <w:highlight w:val="none"/>
        </w:rPr>
        <w:t>授权委托书</w:t>
      </w:r>
      <w:r>
        <w:rPr>
          <w:rFonts w:hint="eastAsia" w:ascii="仿宋" w:hAnsi="仿宋" w:eastAsia="仿宋_GB2312" w:cs="仿宋"/>
          <w:color w:val="auto"/>
          <w:szCs w:val="21"/>
          <w:highlight w:val="none"/>
        </w:rPr>
        <w:t xml:space="preserve"> </w:t>
      </w:r>
    </w:p>
    <w:p w14:paraId="34673391">
      <w:pPr>
        <w:pageBreakBefore w:val="0"/>
        <w:kinsoku/>
        <w:overflowPunct/>
        <w:topLinePunct w:val="0"/>
        <w:bidi w:val="0"/>
        <w:spacing w:line="400" w:lineRule="exact"/>
        <w:outlineLvl w:val="9"/>
        <w:rPr>
          <w:rFonts w:hint="eastAsia" w:ascii="仿宋" w:hAnsi="仿宋" w:eastAsia="仿宋_GB2312" w:cs="仿宋"/>
          <w:color w:val="auto"/>
          <w:szCs w:val="21"/>
          <w:highlight w:val="none"/>
        </w:rPr>
      </w:pPr>
    </w:p>
    <w:p w14:paraId="45D949D7">
      <w:pPr>
        <w:pageBreakBefore w:val="0"/>
        <w:kinsoku/>
        <w:overflowPunct/>
        <w:topLinePunct w:val="0"/>
        <w:bidi w:val="0"/>
        <w:spacing w:line="400" w:lineRule="exact"/>
        <w:ind w:firstLine="420" w:firstLineChars="20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本人</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（姓名、职务）系_______________  （供应商名称）的法定代表人，现授权</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（姓名、职务）为我方代理人。代理人根据授权，以我方名义：(1)签署、澄清、补正、修改、撤回、提交_______________ （项目名称、政府采购编号、采购代理机构编号</w:t>
      </w:r>
      <w:r>
        <w:rPr>
          <w:rFonts w:hint="eastAsia" w:ascii="仿宋" w:hAnsi="仿宋" w:eastAsia="仿宋_GB2312" w:cs="仿宋"/>
          <w:color w:val="auto"/>
          <w:szCs w:val="21"/>
          <w:highlight w:val="none"/>
          <w:lang w:eastAsia="zh-CN"/>
        </w:rPr>
        <w:t>、包号及包名称</w:t>
      </w:r>
      <w:r>
        <w:rPr>
          <w:rFonts w:hint="eastAsia" w:ascii="仿宋" w:hAnsi="仿宋" w:eastAsia="仿宋_GB2312" w:cs="仿宋"/>
          <w:color w:val="auto"/>
          <w:szCs w:val="21"/>
          <w:highlight w:val="none"/>
        </w:rPr>
        <w:t xml:space="preserve">）响应文件；(2)签署并重新提交响应文件及最后报价；(3)退出谈判；(4)签订合同和处理有关事宜，其法律后果由我方承担。 </w:t>
      </w:r>
    </w:p>
    <w:p w14:paraId="53D4E853">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委托期限：</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 </w:t>
      </w:r>
    </w:p>
    <w:p w14:paraId="587AC93D">
      <w:pPr>
        <w:pageBreakBefore w:val="0"/>
        <w:kinsoku/>
        <w:overflowPunct/>
        <w:topLinePunct w:val="0"/>
        <w:bidi w:val="0"/>
        <w:spacing w:line="400" w:lineRule="exact"/>
        <w:ind w:firstLine="435"/>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代理人无转委托权。 </w:t>
      </w:r>
    </w:p>
    <w:p w14:paraId="5F841BBC">
      <w:pPr>
        <w:pageBreakBefore w:val="0"/>
        <w:kinsoku/>
        <w:overflowPunct/>
        <w:topLinePunct w:val="0"/>
        <w:bidi w:val="0"/>
        <w:spacing w:line="400" w:lineRule="exact"/>
        <w:ind w:firstLine="435"/>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本授权书于</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年</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月</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日签字</w:t>
      </w:r>
      <w:r>
        <w:rPr>
          <w:rFonts w:hint="eastAsia" w:ascii="仿宋" w:hAnsi="仿宋" w:eastAsia="仿宋_GB2312" w:cs="仿宋"/>
          <w:color w:val="auto"/>
          <w:szCs w:val="21"/>
          <w:highlight w:val="none"/>
          <w:lang w:eastAsia="zh-CN"/>
        </w:rPr>
        <w:t>（章）</w:t>
      </w:r>
      <w:r>
        <w:rPr>
          <w:rFonts w:hint="eastAsia" w:ascii="仿宋" w:hAnsi="仿宋" w:eastAsia="仿宋_GB2312" w:cs="仿宋"/>
          <w:color w:val="auto"/>
          <w:szCs w:val="21"/>
          <w:highlight w:val="none"/>
        </w:rPr>
        <w:t xml:space="preserve">生效，特此声明。 </w:t>
      </w:r>
    </w:p>
    <w:p w14:paraId="5B063FF5">
      <w:pPr>
        <w:pageBreakBefore w:val="0"/>
        <w:kinsoku/>
        <w:overflowPunct/>
        <w:topLinePunct w:val="0"/>
        <w:bidi w:val="0"/>
        <w:spacing w:line="400" w:lineRule="exact"/>
        <w:ind w:firstLine="420"/>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bl>
      <w:tblPr>
        <w:tblStyle w:val="44"/>
        <w:tblW w:w="0" w:type="auto"/>
        <w:tblInd w:w="1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8394"/>
      </w:tblGrid>
      <w:tr w14:paraId="3E9AB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6" w:hRule="atLeast"/>
        </w:trPr>
        <w:tc>
          <w:tcPr>
            <w:tcW w:w="8528"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4E643F72">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委托代理人身份证复印件 </w:t>
            </w:r>
          </w:p>
        </w:tc>
      </w:tr>
    </w:tbl>
    <w:p w14:paraId="2435F492">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附：法定代表人身份证明 （见附件1-1）</w:t>
      </w:r>
    </w:p>
    <w:p w14:paraId="327A748B">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04733ACF">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335832F6">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投标人名称（单位</w:t>
      </w:r>
      <w:r>
        <w:rPr>
          <w:rFonts w:hint="eastAsia" w:ascii="仿宋" w:hAnsi="仿宋" w:eastAsia="仿宋_GB2312" w:cs="仿宋"/>
          <w:color w:val="auto"/>
          <w:szCs w:val="21"/>
          <w:highlight w:val="none"/>
          <w:lang w:eastAsia="zh-CN"/>
        </w:rPr>
        <w:t>电子签</w:t>
      </w:r>
      <w:r>
        <w:rPr>
          <w:rFonts w:hint="eastAsia" w:ascii="仿宋" w:hAnsi="仿宋" w:eastAsia="仿宋_GB2312" w:cs="仿宋"/>
          <w:color w:val="auto"/>
          <w:szCs w:val="21"/>
          <w:highlight w:val="none"/>
        </w:rPr>
        <w:t xml:space="preserve">章）： </w:t>
      </w:r>
    </w:p>
    <w:p w14:paraId="7751135F">
      <w:pPr>
        <w:pageBreakBefore w:val="0"/>
        <w:kinsoku/>
        <w:overflowPunct/>
        <w:topLinePunct w:val="0"/>
        <w:bidi w:val="0"/>
        <w:spacing w:line="400" w:lineRule="exact"/>
        <w:ind w:right="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法定代表人（</w:t>
      </w:r>
      <w:r>
        <w:rPr>
          <w:rFonts w:hint="eastAsia" w:ascii="仿宋" w:hAnsi="仿宋" w:eastAsia="仿宋_GB2312" w:cs="仿宋"/>
          <w:color w:val="auto"/>
          <w:szCs w:val="21"/>
          <w:highlight w:val="none"/>
          <w:lang w:eastAsia="zh-CN"/>
        </w:rPr>
        <w:t>签字或印章</w:t>
      </w:r>
      <w:r>
        <w:rPr>
          <w:rFonts w:hint="eastAsia" w:ascii="仿宋" w:hAnsi="仿宋" w:eastAsia="仿宋_GB2312" w:cs="仿宋"/>
          <w:color w:val="auto"/>
          <w:szCs w:val="21"/>
          <w:highlight w:val="none"/>
        </w:rPr>
        <w:t>）：</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41877B10">
      <w:pPr>
        <w:pageBreakBefore w:val="0"/>
        <w:kinsoku/>
        <w:overflowPunct/>
        <w:topLinePunct w:val="0"/>
        <w:bidi w:val="0"/>
        <w:spacing w:line="400" w:lineRule="exact"/>
        <w:ind w:right="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委托代理人（</w:t>
      </w:r>
      <w:r>
        <w:rPr>
          <w:rFonts w:hint="eastAsia" w:ascii="仿宋" w:hAnsi="仿宋" w:eastAsia="仿宋_GB2312" w:cs="仿宋"/>
          <w:color w:val="auto"/>
          <w:szCs w:val="21"/>
          <w:highlight w:val="none"/>
          <w:lang w:eastAsia="zh-CN"/>
        </w:rPr>
        <w:t>签字或印章</w:t>
      </w:r>
      <w:r>
        <w:rPr>
          <w:rFonts w:hint="eastAsia" w:ascii="仿宋" w:hAnsi="仿宋" w:eastAsia="仿宋_GB2312" w:cs="仿宋"/>
          <w:color w:val="auto"/>
          <w:szCs w:val="21"/>
          <w:highlight w:val="none"/>
        </w:rPr>
        <w:t>）：</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2CD940A3">
      <w:pPr>
        <w:pStyle w:val="155"/>
        <w:pageBreakBefore w:val="0"/>
        <w:kinsoku/>
        <w:overflowPunct/>
        <w:topLinePunct w:val="0"/>
        <w:bidi w:val="0"/>
        <w:spacing w:line="400" w:lineRule="exact"/>
        <w:jc w:val="center"/>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年</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月</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日 </w:t>
      </w:r>
    </w:p>
    <w:p w14:paraId="41762086">
      <w:pPr>
        <w:pStyle w:val="155"/>
        <w:pageBreakBefore w:val="0"/>
        <w:kinsoku/>
        <w:overflowPunct/>
        <w:topLinePunct w:val="0"/>
        <w:bidi w:val="0"/>
        <w:spacing w:line="400" w:lineRule="exact"/>
        <w:jc w:val="center"/>
        <w:outlineLvl w:val="9"/>
        <w:rPr>
          <w:rFonts w:hint="eastAsia" w:ascii="仿宋" w:hAnsi="仿宋" w:eastAsia="仿宋_GB2312" w:cs="仿宋"/>
          <w:color w:val="auto"/>
          <w:sz w:val="28"/>
          <w:szCs w:val="28"/>
          <w:highlight w:val="none"/>
          <w:lang w:eastAsia="zh-CN"/>
        </w:rPr>
      </w:pPr>
    </w:p>
    <w:p w14:paraId="02A20CC6">
      <w:pPr>
        <w:pStyle w:val="155"/>
        <w:pageBreakBefore w:val="0"/>
        <w:kinsoku/>
        <w:overflowPunct/>
        <w:topLinePunct w:val="0"/>
        <w:bidi w:val="0"/>
        <w:spacing w:line="400" w:lineRule="exact"/>
        <w:jc w:val="center"/>
        <w:outlineLvl w:val="9"/>
        <w:rPr>
          <w:rFonts w:hint="eastAsia" w:ascii="仿宋" w:hAnsi="仿宋" w:eastAsia="仿宋_GB2312" w:cs="仿宋"/>
          <w:color w:val="auto"/>
          <w:sz w:val="28"/>
          <w:szCs w:val="28"/>
          <w:highlight w:val="none"/>
          <w:lang w:eastAsia="zh-CN"/>
        </w:rPr>
      </w:pPr>
    </w:p>
    <w:p w14:paraId="06E50538">
      <w:pPr>
        <w:pStyle w:val="155"/>
        <w:pageBreakBefore w:val="0"/>
        <w:kinsoku/>
        <w:overflowPunct/>
        <w:topLinePunct w:val="0"/>
        <w:bidi w:val="0"/>
        <w:spacing w:line="400" w:lineRule="exact"/>
        <w:jc w:val="center"/>
        <w:outlineLvl w:val="9"/>
        <w:rPr>
          <w:rFonts w:hint="eastAsia" w:ascii="仿宋" w:hAnsi="仿宋" w:eastAsia="仿宋_GB2312" w:cs="仿宋"/>
          <w:color w:val="auto"/>
          <w:sz w:val="28"/>
          <w:szCs w:val="28"/>
          <w:highlight w:val="none"/>
          <w:lang w:eastAsia="zh-CN"/>
        </w:rPr>
      </w:pPr>
    </w:p>
    <w:p w14:paraId="75CDFBEF">
      <w:pPr>
        <w:pageBreakBefore w:val="0"/>
        <w:kinsoku/>
        <w:overflowPunct/>
        <w:topLinePunct w:val="0"/>
        <w:bidi w:val="0"/>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br w:type="page"/>
      </w:r>
    </w:p>
    <w:p w14:paraId="39EBC2A5">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t xml:space="preserve">附件1-1  </w:t>
      </w:r>
    </w:p>
    <w:p w14:paraId="4F71ED16">
      <w:pPr>
        <w:pageBreakBefore w:val="0"/>
        <w:kinsoku/>
        <w:overflowPunct/>
        <w:topLinePunct w:val="0"/>
        <w:bidi w:val="0"/>
        <w:spacing w:line="400" w:lineRule="exact"/>
        <w:ind w:firstLine="3080" w:firstLineChars="1100"/>
        <w:outlineLvl w:val="9"/>
        <w:rPr>
          <w:rFonts w:hint="eastAsia" w:ascii="仿宋" w:hAnsi="仿宋" w:eastAsia="仿宋_GB2312" w:cs="仿宋"/>
          <w:color w:val="auto"/>
          <w:highlight w:val="none"/>
        </w:rPr>
      </w:pPr>
      <w:r>
        <w:rPr>
          <w:rFonts w:hint="eastAsia" w:ascii="仿宋" w:hAnsi="仿宋" w:eastAsia="仿宋_GB2312" w:cs="仿宋"/>
          <w:color w:val="auto"/>
          <w:sz w:val="28"/>
          <w:szCs w:val="28"/>
          <w:highlight w:val="none"/>
        </w:rPr>
        <w:t>法定代表人身份证明</w:t>
      </w:r>
      <w:r>
        <w:rPr>
          <w:rFonts w:hint="eastAsia" w:ascii="仿宋" w:hAnsi="仿宋" w:eastAsia="仿宋_GB2312" w:cs="仿宋"/>
          <w:color w:val="auto"/>
          <w:szCs w:val="21"/>
          <w:highlight w:val="none"/>
        </w:rPr>
        <w:t xml:space="preserve"> </w:t>
      </w:r>
    </w:p>
    <w:p w14:paraId="5D8EBB65">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0CDB5C14">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投标人名称：</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491CF7EC">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注册号：</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2A91AF82">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注册地址：</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0F8342FC">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成立时间：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年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月</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日 </w:t>
      </w:r>
    </w:p>
    <w:p w14:paraId="352C77AA">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经营期限：</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7BE11AF1">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经营范围：主营：</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；兼营：</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41492638">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姓名：</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性别：</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年龄：</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职务：</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系</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（投标人名称）的法定代表人。 </w:t>
      </w:r>
    </w:p>
    <w:p w14:paraId="544F2033">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特此证明。 </w:t>
      </w:r>
    </w:p>
    <w:p w14:paraId="2817128C">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bl>
      <w:tblPr>
        <w:tblStyle w:val="44"/>
        <w:tblW w:w="0" w:type="auto"/>
        <w:tblInd w:w="1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8394"/>
      </w:tblGrid>
      <w:tr w14:paraId="259CD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6" w:hRule="atLeast"/>
        </w:trPr>
        <w:tc>
          <w:tcPr>
            <w:tcW w:w="8528"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14:paraId="1DD44FEC">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法定代表人身份证复印件 </w:t>
            </w:r>
          </w:p>
        </w:tc>
      </w:tr>
    </w:tbl>
    <w:p w14:paraId="7878252F">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32127A98">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4954BC69">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5F7D3F49">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48617F5F">
      <w:pPr>
        <w:pageBreakBefore w:val="0"/>
        <w:kinsoku/>
        <w:overflowPunct/>
        <w:topLinePunct w:val="0"/>
        <w:bidi w:val="0"/>
        <w:spacing w:line="400" w:lineRule="exact"/>
        <w:ind w:right="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投标人名称（单位章）： </w:t>
      </w:r>
    </w:p>
    <w:p w14:paraId="6B39F473">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年</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月</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日</w:t>
      </w:r>
    </w:p>
    <w:p w14:paraId="03529964">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 w:val="28"/>
          <w:szCs w:val="28"/>
          <w:highlight w:val="none"/>
          <w:lang w:eastAsia="zh-CN"/>
        </w:rPr>
        <w:br w:type="page"/>
      </w:r>
    </w:p>
    <w:p w14:paraId="07FB9F72">
      <w:pPr>
        <w:pageBreakBefore w:val="0"/>
        <w:kinsoku/>
        <w:overflowPunct/>
        <w:topLinePunct w:val="0"/>
        <w:bidi w:val="0"/>
        <w:spacing w:line="400" w:lineRule="exact"/>
        <w:ind w:right="420"/>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t xml:space="preserve">附件2  </w:t>
      </w:r>
    </w:p>
    <w:p w14:paraId="1C75A4F6">
      <w:pPr>
        <w:pageBreakBefore w:val="0"/>
        <w:kinsoku/>
        <w:overflowPunct/>
        <w:topLinePunct w:val="0"/>
        <w:bidi w:val="0"/>
        <w:spacing w:line="400" w:lineRule="exact"/>
        <w:ind w:right="420" w:firstLine="3080" w:firstLineChars="1100"/>
        <w:outlineLvl w:val="9"/>
        <w:rPr>
          <w:rFonts w:hint="eastAsia" w:ascii="仿宋" w:hAnsi="仿宋" w:eastAsia="仿宋_GB2312" w:cs="仿宋"/>
          <w:color w:val="auto"/>
          <w:highlight w:val="none"/>
        </w:rPr>
      </w:pPr>
      <w:r>
        <w:rPr>
          <w:rFonts w:hint="eastAsia" w:ascii="仿宋" w:hAnsi="仿宋" w:eastAsia="仿宋_GB2312" w:cs="仿宋"/>
          <w:color w:val="auto"/>
          <w:sz w:val="28"/>
          <w:szCs w:val="28"/>
          <w:highlight w:val="none"/>
        </w:rPr>
        <w:t>投标人基本情况</w:t>
      </w:r>
      <w:r>
        <w:rPr>
          <w:rFonts w:hint="eastAsia" w:ascii="仿宋" w:hAnsi="仿宋" w:eastAsia="仿宋_GB2312" w:cs="仿宋"/>
          <w:color w:val="auto"/>
          <w:szCs w:val="21"/>
          <w:highlight w:val="none"/>
        </w:rPr>
        <w:t xml:space="preserve"> </w:t>
      </w:r>
    </w:p>
    <w:p w14:paraId="001B083D">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1.名称及概况： </w:t>
      </w:r>
    </w:p>
    <w:p w14:paraId="3DA43D3E">
      <w:pPr>
        <w:pageBreakBefore w:val="0"/>
        <w:kinsoku/>
        <w:overflowPunct/>
        <w:topLinePunct w:val="0"/>
        <w:bidi w:val="0"/>
        <w:spacing w:line="400" w:lineRule="exact"/>
        <w:ind w:firstLine="315"/>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(1) 投标人名称：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17837713">
      <w:pPr>
        <w:pageBreakBefore w:val="0"/>
        <w:kinsoku/>
        <w:overflowPunct/>
        <w:topLinePunct w:val="0"/>
        <w:bidi w:val="0"/>
        <w:spacing w:line="400" w:lineRule="exact"/>
        <w:ind w:firstLine="1365"/>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地址：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7DF91B4C">
      <w:pPr>
        <w:pageBreakBefore w:val="0"/>
        <w:kinsoku/>
        <w:overflowPunct/>
        <w:topLinePunct w:val="0"/>
        <w:bidi w:val="0"/>
        <w:spacing w:line="400" w:lineRule="exact"/>
        <w:ind w:firstLine="1365"/>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传真/电话号码：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邮政编码：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371E4632">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(2) 成立或注册日期：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4E61DDF5">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(3) 注册号码：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3E5BBD76">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(4) 实收资本：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7FA74480">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(5) 近期资产负债表（到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年</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月</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日止） </w:t>
      </w:r>
    </w:p>
    <w:p w14:paraId="50B5C4CF">
      <w:pPr>
        <w:pageBreakBefore w:val="0"/>
        <w:kinsoku/>
        <w:overflowPunct/>
        <w:topLinePunct w:val="0"/>
        <w:bidi w:val="0"/>
        <w:spacing w:line="400" w:lineRule="exact"/>
        <w:ind w:firstLine="63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①固定资产：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06B524AA">
      <w:pPr>
        <w:pageBreakBefore w:val="0"/>
        <w:kinsoku/>
        <w:overflowPunct/>
        <w:topLinePunct w:val="0"/>
        <w:bidi w:val="0"/>
        <w:spacing w:line="400" w:lineRule="exact"/>
        <w:ind w:firstLine="63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②流动资产：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796AE17B">
      <w:pPr>
        <w:pageBreakBefore w:val="0"/>
        <w:kinsoku/>
        <w:overflowPunct/>
        <w:topLinePunct w:val="0"/>
        <w:bidi w:val="0"/>
        <w:spacing w:line="400" w:lineRule="exact"/>
        <w:ind w:firstLine="63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③长期负债：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1BA84A5B">
      <w:pPr>
        <w:pageBreakBefore w:val="0"/>
        <w:kinsoku/>
        <w:overflowPunct/>
        <w:topLinePunct w:val="0"/>
        <w:bidi w:val="0"/>
        <w:spacing w:line="400" w:lineRule="exact"/>
        <w:ind w:firstLine="63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④流动负债：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7C451354">
      <w:pPr>
        <w:pageBreakBefore w:val="0"/>
        <w:kinsoku/>
        <w:overflowPunct/>
        <w:topLinePunct w:val="0"/>
        <w:bidi w:val="0"/>
        <w:spacing w:line="400" w:lineRule="exact"/>
        <w:ind w:firstLine="63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⑤净值：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5DCD0515">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(6) 法定代表人姓名：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4A56AC83">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2. 经营范围：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w:t>
      </w:r>
    </w:p>
    <w:p w14:paraId="231EA8BF">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3.近年营业额： </w:t>
      </w:r>
    </w:p>
    <w:tbl>
      <w:tblPr>
        <w:tblStyle w:val="44"/>
        <w:tblW w:w="7574" w:type="dxa"/>
        <w:tblInd w:w="113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700"/>
        <w:gridCol w:w="4874"/>
      </w:tblGrid>
      <w:tr w14:paraId="24607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3" w:hRule="atLeast"/>
        </w:trPr>
        <w:tc>
          <w:tcPr>
            <w:tcW w:w="2700"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4DC3BF9E">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年度 </w:t>
            </w:r>
          </w:p>
        </w:tc>
        <w:tc>
          <w:tcPr>
            <w:tcW w:w="4874"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top"/>
          </w:tcPr>
          <w:p w14:paraId="18EA804E">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总额 </w:t>
            </w:r>
          </w:p>
        </w:tc>
      </w:tr>
      <w:tr w14:paraId="20437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3" w:hRule="atLeast"/>
        </w:trPr>
        <w:tc>
          <w:tcPr>
            <w:tcW w:w="270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5D209C77">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874" w:type="dxa"/>
            <w:tcBorders>
              <w:top w:val="nil"/>
              <w:left w:val="nil"/>
              <w:bottom w:val="single" w:color="000000" w:sz="8" w:space="0"/>
              <w:right w:val="single" w:color="000000" w:sz="8" w:space="0"/>
            </w:tcBorders>
            <w:noWrap w:val="0"/>
            <w:tcMar>
              <w:top w:w="0" w:type="dxa"/>
              <w:left w:w="108" w:type="dxa"/>
              <w:bottom w:w="0" w:type="dxa"/>
              <w:right w:w="108" w:type="dxa"/>
            </w:tcMar>
            <w:vAlign w:val="top"/>
          </w:tcPr>
          <w:p w14:paraId="23F28CA6">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r w14:paraId="70A48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3" w:hRule="atLeast"/>
        </w:trPr>
        <w:tc>
          <w:tcPr>
            <w:tcW w:w="270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1B8326A3">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874" w:type="dxa"/>
            <w:tcBorders>
              <w:top w:val="nil"/>
              <w:left w:val="nil"/>
              <w:bottom w:val="single" w:color="000000" w:sz="8" w:space="0"/>
              <w:right w:val="single" w:color="000000" w:sz="8" w:space="0"/>
            </w:tcBorders>
            <w:noWrap w:val="0"/>
            <w:tcMar>
              <w:top w:w="0" w:type="dxa"/>
              <w:left w:w="108" w:type="dxa"/>
              <w:bottom w:w="0" w:type="dxa"/>
              <w:right w:w="108" w:type="dxa"/>
            </w:tcMar>
            <w:vAlign w:val="top"/>
          </w:tcPr>
          <w:p w14:paraId="08260217">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r w14:paraId="1843C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3" w:hRule="atLeast"/>
        </w:trPr>
        <w:tc>
          <w:tcPr>
            <w:tcW w:w="2700"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top"/>
          </w:tcPr>
          <w:p w14:paraId="5226298E">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874" w:type="dxa"/>
            <w:tcBorders>
              <w:top w:val="nil"/>
              <w:left w:val="nil"/>
              <w:bottom w:val="single" w:color="000000" w:sz="8" w:space="0"/>
              <w:right w:val="single" w:color="000000" w:sz="8" w:space="0"/>
            </w:tcBorders>
            <w:noWrap w:val="0"/>
            <w:tcMar>
              <w:top w:w="0" w:type="dxa"/>
              <w:left w:w="108" w:type="dxa"/>
              <w:bottom w:w="0" w:type="dxa"/>
              <w:right w:w="108" w:type="dxa"/>
            </w:tcMar>
            <w:vAlign w:val="top"/>
          </w:tcPr>
          <w:p w14:paraId="02174F9F">
            <w:pPr>
              <w:pageBreakBefore w:val="0"/>
              <w:kinsoku/>
              <w:overflowPunct/>
              <w:topLinePunct w:val="0"/>
              <w:bidi w:val="0"/>
              <w:spacing w:line="400" w:lineRule="exact"/>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bl>
    <w:p w14:paraId="7EBD2E4B">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lang w:val="en-US" w:eastAsia="zh-CN"/>
        </w:rPr>
        <w:t>4</w:t>
      </w:r>
      <w:r>
        <w:rPr>
          <w:rFonts w:hint="eastAsia" w:ascii="仿宋" w:hAnsi="仿宋" w:eastAsia="仿宋_GB2312" w:cs="仿宋"/>
          <w:color w:val="auto"/>
          <w:szCs w:val="21"/>
          <w:highlight w:val="none"/>
        </w:rPr>
        <w:t xml:space="preserve">,近年类似项目业绩(可另附页)： </w:t>
      </w:r>
    </w:p>
    <w:p w14:paraId="47708817">
      <w:pPr>
        <w:pageBreakBefore w:val="0"/>
        <w:kinsoku/>
        <w:overflowPunct/>
        <w:topLinePunct w:val="0"/>
        <w:bidi w:val="0"/>
        <w:spacing w:line="400" w:lineRule="exact"/>
        <w:ind w:left="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采   购   人：________________________________________ </w:t>
      </w:r>
    </w:p>
    <w:p w14:paraId="55961211">
      <w:pPr>
        <w:pageBreakBefore w:val="0"/>
        <w:kinsoku/>
        <w:overflowPunct/>
        <w:topLinePunct w:val="0"/>
        <w:bidi w:val="0"/>
        <w:spacing w:line="400" w:lineRule="exact"/>
        <w:ind w:left="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合同签订时间：________________________________________ </w:t>
      </w:r>
    </w:p>
    <w:p w14:paraId="3DBB18B9">
      <w:pPr>
        <w:pageBreakBefore w:val="0"/>
        <w:kinsoku/>
        <w:overflowPunct/>
        <w:topLinePunct w:val="0"/>
        <w:bidi w:val="0"/>
        <w:spacing w:line="400" w:lineRule="exact"/>
        <w:ind w:left="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数        量：________________________________________ </w:t>
      </w:r>
    </w:p>
    <w:p w14:paraId="64F4C8B7">
      <w:pPr>
        <w:pageBreakBefore w:val="0"/>
        <w:kinsoku/>
        <w:overflowPunct/>
        <w:topLinePunct w:val="0"/>
        <w:bidi w:val="0"/>
        <w:spacing w:line="400" w:lineRule="exact"/>
        <w:ind w:left="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合  同 金 额：________________________________________ </w:t>
      </w:r>
    </w:p>
    <w:p w14:paraId="4C968B1E">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lang w:val="en-US" w:eastAsia="zh-CN"/>
        </w:rPr>
        <w:t>5</w:t>
      </w:r>
      <w:r>
        <w:rPr>
          <w:rFonts w:hint="eastAsia" w:ascii="仿宋" w:hAnsi="仿宋" w:eastAsia="仿宋_GB2312" w:cs="仿宋"/>
          <w:color w:val="auto"/>
          <w:szCs w:val="21"/>
          <w:highlight w:val="none"/>
        </w:rPr>
        <w:t xml:space="preserve">.开立基本帐户银行的名称和地址：________________________________________  </w:t>
      </w:r>
    </w:p>
    <w:p w14:paraId="1F2BEBAF">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lang w:val="en-US" w:eastAsia="zh-CN"/>
        </w:rPr>
        <w:t>6</w:t>
      </w:r>
      <w:r>
        <w:rPr>
          <w:rFonts w:hint="eastAsia" w:ascii="仿宋" w:hAnsi="仿宋" w:eastAsia="仿宋_GB2312" w:cs="仿宋"/>
          <w:color w:val="auto"/>
          <w:szCs w:val="21"/>
          <w:highlight w:val="none"/>
        </w:rPr>
        <w:t>.其他情况：</w:t>
      </w:r>
      <w:r>
        <w:rPr>
          <w:rFonts w:hint="eastAsia" w:ascii="仿宋" w:hAnsi="仿宋" w:eastAsia="仿宋_GB2312" w:cs="仿宋"/>
          <w:color w:val="auto"/>
          <w:szCs w:val="21"/>
          <w:highlight w:val="none"/>
          <w:u w:val="single"/>
        </w:rPr>
        <w:t>组织机构、技术力量、制造商体系认证情况等</w:t>
      </w:r>
      <w:r>
        <w:rPr>
          <w:rFonts w:hint="eastAsia" w:ascii="仿宋" w:hAnsi="仿宋" w:eastAsia="仿宋_GB2312" w:cs="仿宋"/>
          <w:color w:val="auto"/>
          <w:szCs w:val="21"/>
          <w:highlight w:val="none"/>
        </w:rPr>
        <w:t xml:space="preserve"> </w:t>
      </w:r>
    </w:p>
    <w:p w14:paraId="6B22DD83">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lang w:val="en-US" w:eastAsia="zh-CN"/>
        </w:rPr>
        <w:t>7</w:t>
      </w:r>
      <w:r>
        <w:rPr>
          <w:rFonts w:hint="eastAsia" w:ascii="仿宋" w:hAnsi="仿宋" w:eastAsia="仿宋_GB2312" w:cs="仿宋"/>
          <w:color w:val="auto"/>
          <w:szCs w:val="21"/>
          <w:highlight w:val="none"/>
        </w:rPr>
        <w:t xml:space="preserve">.提供营业执照副本(自然人为投标人时，提供自然人身份证明)等证明材料的复印件。 </w:t>
      </w:r>
    </w:p>
    <w:p w14:paraId="4596AF8E">
      <w:pPr>
        <w:pageBreakBefore w:val="0"/>
        <w:kinsoku/>
        <w:overflowPunct/>
        <w:topLinePunct w:val="0"/>
        <w:bidi w:val="0"/>
        <w:spacing w:line="400" w:lineRule="exact"/>
        <w:ind w:firstLine="42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兹声明上述数据和资料是真实、正确的，我们同意遵照贵方要求出示有关证明文件。 </w:t>
      </w:r>
    </w:p>
    <w:p w14:paraId="06FCC25F">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 w:val="28"/>
          <w:szCs w:val="28"/>
          <w:highlight w:val="none"/>
          <w:lang w:eastAsia="zh-CN"/>
        </w:rPr>
        <w:br w:type="page"/>
      </w:r>
    </w:p>
    <w:p w14:paraId="7D5DA39F">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sz w:val="19"/>
          <w:szCs w:val="19"/>
          <w:highlight w:val="none"/>
          <w:lang w:eastAsia="zh-CN"/>
        </w:rPr>
      </w:pPr>
      <w:r>
        <w:rPr>
          <w:rFonts w:hint="eastAsia" w:ascii="仿宋" w:hAnsi="仿宋" w:eastAsia="仿宋_GB2312" w:cs="仿宋"/>
          <w:color w:val="auto"/>
          <w:sz w:val="19"/>
          <w:szCs w:val="19"/>
          <w:highlight w:val="none"/>
        </w:rPr>
        <w:t>附件3</w:t>
      </w:r>
      <w:r>
        <w:rPr>
          <w:rFonts w:hint="eastAsia" w:ascii="仿宋" w:hAnsi="仿宋" w:eastAsia="仿宋_GB2312" w:cs="仿宋"/>
          <w:color w:val="auto"/>
          <w:sz w:val="19"/>
          <w:szCs w:val="19"/>
          <w:highlight w:val="none"/>
          <w:lang w:eastAsia="zh-CN"/>
        </w:rPr>
        <w:t>湖南省政府采购供应商资格承诺函</w:t>
      </w:r>
    </w:p>
    <w:p w14:paraId="101517D8">
      <w:pPr>
        <w:pageBreakBefore w:val="0"/>
        <w:widowControl/>
        <w:kinsoku/>
        <w:overflowPunct/>
        <w:topLinePunct w:val="0"/>
        <w:bidi w:val="0"/>
        <w:spacing w:line="400" w:lineRule="exact"/>
        <w:jc w:val="center"/>
        <w:outlineLvl w:val="9"/>
        <w:rPr>
          <w:rFonts w:hint="eastAsia" w:ascii="仿宋" w:hAnsi="仿宋" w:eastAsia="仿宋_GB2312" w:cs="仿宋"/>
          <w:color w:val="auto"/>
          <w:kern w:val="0"/>
          <w:sz w:val="36"/>
          <w:szCs w:val="36"/>
          <w:highlight w:val="none"/>
        </w:rPr>
      </w:pPr>
    </w:p>
    <w:p w14:paraId="40C370AB">
      <w:pPr>
        <w:pageBreakBefore w:val="0"/>
        <w:widowControl/>
        <w:kinsoku/>
        <w:overflowPunct/>
        <w:topLinePunct w:val="0"/>
        <w:bidi w:val="0"/>
        <w:spacing w:line="400" w:lineRule="exact"/>
        <w:jc w:val="center"/>
        <w:outlineLvl w:val="9"/>
        <w:rPr>
          <w:rFonts w:hint="eastAsia" w:ascii="仿宋" w:hAnsi="仿宋" w:eastAsia="仿宋_GB2312" w:cs="仿宋"/>
          <w:color w:val="auto"/>
          <w:highlight w:val="none"/>
        </w:rPr>
      </w:pPr>
      <w:r>
        <w:rPr>
          <w:rFonts w:hint="eastAsia" w:ascii="仿宋" w:hAnsi="仿宋" w:eastAsia="仿宋_GB2312" w:cs="仿宋"/>
          <w:color w:val="auto"/>
          <w:kern w:val="0"/>
          <w:sz w:val="36"/>
          <w:szCs w:val="36"/>
          <w:highlight w:val="none"/>
        </w:rPr>
        <w:t>湖南省政府采购供应商资格承诺函</w:t>
      </w:r>
    </w:p>
    <w:p w14:paraId="656589B9">
      <w:pPr>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28"/>
          <w:szCs w:val="28"/>
          <w:highlight w:val="none"/>
        </w:rPr>
      </w:pPr>
    </w:p>
    <w:p w14:paraId="504B9859">
      <w:pPr>
        <w:pageBreakBefore w:val="0"/>
        <w:widowControl/>
        <w:kinsoku/>
        <w:overflowPunct/>
        <w:topLinePunct w:val="0"/>
        <w:bidi w:val="0"/>
        <w:spacing w:line="400" w:lineRule="exact"/>
        <w:ind w:firstLine="620" w:firstLineChars="200"/>
        <w:jc w:val="left"/>
        <w:outlineLvl w:val="9"/>
        <w:rPr>
          <w:rFonts w:hint="eastAsia" w:ascii="仿宋" w:hAnsi="仿宋" w:eastAsia="仿宋_GB2312" w:cs="仿宋"/>
          <w:color w:val="auto"/>
          <w:highlight w:val="none"/>
        </w:rPr>
      </w:pPr>
      <w:r>
        <w:rPr>
          <w:rFonts w:hint="eastAsia" w:ascii="仿宋" w:hAnsi="仿宋" w:eastAsia="仿宋_GB2312" w:cs="仿宋"/>
          <w:color w:val="auto"/>
          <w:kern w:val="0"/>
          <w:sz w:val="31"/>
          <w:szCs w:val="31"/>
          <w:highlight w:val="none"/>
        </w:rPr>
        <w:t xml:space="preserve">本公司独立承担民事责任、具有良好的商业信誉和健全的财 </w:t>
      </w:r>
    </w:p>
    <w:p w14:paraId="6D238F1E">
      <w:pPr>
        <w:pageBreakBefore w:val="0"/>
        <w:widowControl/>
        <w:kinsoku/>
        <w:overflowPunct/>
        <w:topLinePunct w:val="0"/>
        <w:bidi w:val="0"/>
        <w:spacing w:line="400" w:lineRule="exact"/>
        <w:jc w:val="left"/>
        <w:outlineLvl w:val="9"/>
        <w:rPr>
          <w:rFonts w:hint="eastAsia" w:ascii="仿宋" w:hAnsi="仿宋" w:eastAsia="仿宋_GB2312" w:cs="仿宋"/>
          <w:color w:val="auto"/>
          <w:highlight w:val="none"/>
        </w:rPr>
      </w:pPr>
      <w:r>
        <w:rPr>
          <w:rFonts w:hint="eastAsia" w:ascii="仿宋" w:hAnsi="仿宋" w:eastAsia="仿宋_GB2312" w:cs="仿宋"/>
          <w:color w:val="auto"/>
          <w:kern w:val="0"/>
          <w:sz w:val="31"/>
          <w:szCs w:val="31"/>
          <w:highlight w:val="none"/>
        </w:rPr>
        <w:t xml:space="preserve">务会计制度、依法缴纳税收和社会保障资金，在前三年的经营活 </w:t>
      </w:r>
    </w:p>
    <w:p w14:paraId="24E6E9E1">
      <w:pPr>
        <w:pageBreakBefore w:val="0"/>
        <w:widowControl/>
        <w:kinsoku/>
        <w:overflowPunct/>
        <w:topLinePunct w:val="0"/>
        <w:bidi w:val="0"/>
        <w:spacing w:line="400" w:lineRule="exact"/>
        <w:jc w:val="left"/>
        <w:outlineLvl w:val="9"/>
        <w:rPr>
          <w:rFonts w:hint="eastAsia" w:ascii="仿宋" w:hAnsi="仿宋" w:eastAsia="仿宋_GB2312" w:cs="仿宋"/>
          <w:color w:val="auto"/>
          <w:highlight w:val="none"/>
        </w:rPr>
      </w:pPr>
      <w:r>
        <w:rPr>
          <w:rFonts w:hint="eastAsia" w:ascii="仿宋" w:hAnsi="仿宋" w:eastAsia="仿宋_GB2312" w:cs="仿宋"/>
          <w:color w:val="auto"/>
          <w:kern w:val="0"/>
          <w:sz w:val="31"/>
          <w:szCs w:val="31"/>
          <w:highlight w:val="none"/>
        </w:rPr>
        <w:t xml:space="preserve">动中无重大违法记录，未列入严重失信行为名单，符合政府采购 </w:t>
      </w:r>
    </w:p>
    <w:p w14:paraId="1271B541">
      <w:pPr>
        <w:pageBreakBefore w:val="0"/>
        <w:widowControl/>
        <w:kinsoku/>
        <w:overflowPunct/>
        <w:topLinePunct w:val="0"/>
        <w:bidi w:val="0"/>
        <w:spacing w:line="400" w:lineRule="exact"/>
        <w:jc w:val="left"/>
        <w:outlineLvl w:val="9"/>
        <w:rPr>
          <w:rFonts w:hint="eastAsia" w:ascii="仿宋" w:hAnsi="仿宋" w:eastAsia="仿宋_GB2312" w:cs="仿宋"/>
          <w:color w:val="auto"/>
          <w:highlight w:val="none"/>
        </w:rPr>
      </w:pPr>
      <w:r>
        <w:rPr>
          <w:rFonts w:hint="eastAsia" w:ascii="仿宋" w:hAnsi="仿宋" w:eastAsia="仿宋_GB2312" w:cs="仿宋"/>
          <w:color w:val="auto"/>
          <w:kern w:val="0"/>
          <w:sz w:val="31"/>
          <w:szCs w:val="31"/>
          <w:highlight w:val="none"/>
        </w:rPr>
        <w:t>供应商的基本资格要求。 按 照 《 政 府 采 购 促 进 中 小 企 业 发 展 管 理 办 法 》（ 财 库〔2020〕46 号），本公司企业规模为：大型</w:t>
      </w:r>
      <w:r>
        <w:rPr>
          <w:rFonts w:hint="eastAsia" w:ascii="仿宋" w:hAnsi="仿宋" w:eastAsia="仿宋_GB2312" w:cs="仿宋"/>
          <w:color w:val="auto"/>
          <w:kern w:val="0"/>
          <w:sz w:val="31"/>
          <w:szCs w:val="31"/>
          <w:highlight w:val="none"/>
        </w:rPr>
        <w:sym w:font="Wingdings" w:char="00A8"/>
      </w:r>
      <w:r>
        <w:rPr>
          <w:rFonts w:hint="eastAsia" w:ascii="仿宋" w:hAnsi="仿宋" w:eastAsia="仿宋_GB2312" w:cs="仿宋"/>
          <w:color w:val="auto"/>
          <w:kern w:val="0"/>
          <w:sz w:val="31"/>
          <w:szCs w:val="31"/>
          <w:highlight w:val="none"/>
        </w:rPr>
        <w:t>中型</w:t>
      </w:r>
      <w:r>
        <w:rPr>
          <w:rFonts w:hint="eastAsia" w:ascii="仿宋" w:hAnsi="仿宋" w:eastAsia="仿宋_GB2312" w:cs="仿宋"/>
          <w:color w:val="auto"/>
          <w:kern w:val="0"/>
          <w:sz w:val="31"/>
          <w:szCs w:val="31"/>
          <w:highlight w:val="none"/>
        </w:rPr>
        <w:sym w:font="Wingdings" w:char="00A8"/>
      </w:r>
      <w:r>
        <w:rPr>
          <w:rFonts w:hint="eastAsia" w:ascii="仿宋" w:hAnsi="仿宋" w:eastAsia="仿宋_GB2312" w:cs="仿宋"/>
          <w:color w:val="auto"/>
          <w:kern w:val="0"/>
          <w:sz w:val="31"/>
          <w:szCs w:val="31"/>
          <w:highlight w:val="none"/>
        </w:rPr>
        <w:t>小型</w:t>
      </w:r>
      <w:r>
        <w:rPr>
          <w:rFonts w:hint="eastAsia" w:ascii="仿宋" w:hAnsi="仿宋" w:eastAsia="仿宋_GB2312" w:cs="仿宋"/>
          <w:color w:val="auto"/>
          <w:kern w:val="0"/>
          <w:sz w:val="31"/>
          <w:szCs w:val="31"/>
          <w:highlight w:val="none"/>
        </w:rPr>
        <w:sym w:font="Wingdings" w:char="00A8"/>
      </w:r>
      <w:r>
        <w:rPr>
          <w:rFonts w:hint="eastAsia" w:ascii="仿宋" w:hAnsi="仿宋" w:eastAsia="仿宋_GB2312" w:cs="仿宋"/>
          <w:color w:val="auto"/>
          <w:kern w:val="0"/>
          <w:sz w:val="31"/>
          <w:szCs w:val="31"/>
          <w:highlight w:val="none"/>
        </w:rPr>
        <w:t>微 型</w:t>
      </w:r>
      <w:r>
        <w:rPr>
          <w:rFonts w:hint="eastAsia" w:ascii="仿宋" w:hAnsi="仿宋" w:eastAsia="仿宋_GB2312" w:cs="仿宋"/>
          <w:color w:val="auto"/>
          <w:kern w:val="0"/>
          <w:sz w:val="31"/>
          <w:szCs w:val="31"/>
          <w:highlight w:val="none"/>
        </w:rPr>
        <w:sym w:font="Wingdings" w:char="00A8"/>
      </w:r>
      <w:r>
        <w:rPr>
          <w:rFonts w:hint="eastAsia" w:ascii="仿宋" w:hAnsi="仿宋" w:eastAsia="仿宋_GB2312" w:cs="仿宋"/>
          <w:color w:val="auto"/>
          <w:kern w:val="0"/>
          <w:sz w:val="31"/>
          <w:szCs w:val="31"/>
          <w:highlight w:val="none"/>
        </w:rPr>
        <w:t>；</w:t>
      </w:r>
    </w:p>
    <w:p w14:paraId="7E4092E0">
      <w:pPr>
        <w:pageBreakBefore w:val="0"/>
        <w:widowControl/>
        <w:kinsoku/>
        <w:overflowPunct/>
        <w:topLinePunct w:val="0"/>
        <w:bidi w:val="0"/>
        <w:spacing w:line="400" w:lineRule="exact"/>
        <w:ind w:firstLine="4030" w:firstLineChars="1300"/>
        <w:jc w:val="left"/>
        <w:outlineLvl w:val="9"/>
        <w:rPr>
          <w:rFonts w:hint="eastAsia" w:ascii="仿宋" w:hAnsi="仿宋" w:eastAsia="仿宋_GB2312" w:cs="仿宋"/>
          <w:color w:val="auto"/>
          <w:highlight w:val="none"/>
        </w:rPr>
      </w:pPr>
      <w:r>
        <w:rPr>
          <w:rFonts w:hint="eastAsia" w:ascii="仿宋" w:hAnsi="仿宋" w:eastAsia="仿宋_GB2312" w:cs="仿宋"/>
          <w:color w:val="auto"/>
          <w:kern w:val="0"/>
          <w:sz w:val="31"/>
          <w:szCs w:val="31"/>
          <w:highlight w:val="none"/>
        </w:rPr>
        <w:t>公司（单位）名称（</w:t>
      </w:r>
      <w:r>
        <w:rPr>
          <w:rFonts w:hint="eastAsia" w:ascii="仿宋" w:hAnsi="仿宋" w:eastAsia="仿宋_GB2312" w:cs="仿宋"/>
          <w:color w:val="auto"/>
          <w:kern w:val="0"/>
          <w:sz w:val="31"/>
          <w:szCs w:val="31"/>
          <w:highlight w:val="none"/>
          <w:lang w:eastAsia="zh-CN"/>
        </w:rPr>
        <w:t>单位公章</w:t>
      </w:r>
      <w:r>
        <w:rPr>
          <w:rFonts w:hint="eastAsia" w:ascii="仿宋" w:hAnsi="仿宋" w:eastAsia="仿宋_GB2312" w:cs="仿宋"/>
          <w:color w:val="auto"/>
          <w:kern w:val="0"/>
          <w:sz w:val="31"/>
          <w:szCs w:val="31"/>
          <w:highlight w:val="none"/>
        </w:rPr>
        <w:t xml:space="preserve">） </w:t>
      </w:r>
    </w:p>
    <w:p w14:paraId="5C0971CF">
      <w:pPr>
        <w:pageBreakBefore w:val="0"/>
        <w:widowControl/>
        <w:kinsoku/>
        <w:overflowPunct/>
        <w:topLinePunct w:val="0"/>
        <w:bidi w:val="0"/>
        <w:spacing w:line="400" w:lineRule="exact"/>
        <w:ind w:firstLine="4960" w:firstLineChars="1600"/>
        <w:jc w:val="left"/>
        <w:outlineLvl w:val="9"/>
        <w:rPr>
          <w:rFonts w:hint="eastAsia" w:ascii="仿宋" w:hAnsi="仿宋" w:eastAsia="仿宋_GB2312" w:cs="仿宋"/>
          <w:bCs/>
          <w:color w:val="auto"/>
          <w:szCs w:val="21"/>
          <w:highlight w:val="none"/>
        </w:rPr>
      </w:pPr>
      <w:r>
        <w:rPr>
          <w:rFonts w:hint="eastAsia" w:ascii="仿宋" w:hAnsi="仿宋" w:eastAsia="仿宋_GB2312" w:cs="仿宋"/>
          <w:color w:val="auto"/>
          <w:kern w:val="0"/>
          <w:sz w:val="31"/>
          <w:szCs w:val="31"/>
          <w:highlight w:val="none"/>
        </w:rPr>
        <w:t>年</w:t>
      </w:r>
      <w:r>
        <w:rPr>
          <w:rFonts w:hint="eastAsia" w:ascii="仿宋" w:hAnsi="仿宋" w:eastAsia="仿宋_GB2312" w:cs="仿宋"/>
          <w:color w:val="auto"/>
          <w:kern w:val="0"/>
          <w:sz w:val="31"/>
          <w:szCs w:val="31"/>
          <w:highlight w:val="none"/>
          <w:lang w:val="en-US" w:eastAsia="zh-CN"/>
        </w:rPr>
        <w:t xml:space="preserve"> </w:t>
      </w:r>
      <w:r>
        <w:rPr>
          <w:rFonts w:hint="eastAsia" w:ascii="仿宋" w:hAnsi="仿宋" w:eastAsia="仿宋_GB2312" w:cs="仿宋"/>
          <w:color w:val="auto"/>
          <w:kern w:val="0"/>
          <w:sz w:val="31"/>
          <w:szCs w:val="31"/>
          <w:highlight w:val="none"/>
        </w:rPr>
        <w:t xml:space="preserve"> 月 </w:t>
      </w:r>
      <w:r>
        <w:rPr>
          <w:rFonts w:hint="eastAsia" w:ascii="仿宋" w:hAnsi="仿宋" w:eastAsia="仿宋_GB2312" w:cs="仿宋"/>
          <w:color w:val="auto"/>
          <w:kern w:val="0"/>
          <w:sz w:val="31"/>
          <w:szCs w:val="31"/>
          <w:highlight w:val="none"/>
          <w:lang w:val="en-US" w:eastAsia="zh-CN"/>
        </w:rPr>
        <w:t xml:space="preserve"> </w:t>
      </w:r>
      <w:r>
        <w:rPr>
          <w:rFonts w:hint="eastAsia" w:ascii="仿宋" w:hAnsi="仿宋" w:eastAsia="仿宋_GB2312" w:cs="仿宋"/>
          <w:color w:val="auto"/>
          <w:kern w:val="0"/>
          <w:sz w:val="31"/>
          <w:szCs w:val="31"/>
          <w:highlight w:val="none"/>
        </w:rPr>
        <w:t>日</w:t>
      </w:r>
    </w:p>
    <w:p w14:paraId="1E68E40D">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 w:val="28"/>
          <w:szCs w:val="28"/>
          <w:highlight w:val="none"/>
          <w:lang w:eastAsia="zh-CN"/>
        </w:rPr>
        <w:br w:type="page"/>
      </w:r>
    </w:p>
    <w:p w14:paraId="2C574744">
      <w:pPr>
        <w:pageBreakBefore w:val="0"/>
        <w:kinsoku/>
        <w:overflowPunct/>
        <w:topLinePunct w:val="0"/>
        <w:bidi w:val="0"/>
        <w:adjustRightInd w:val="0"/>
        <w:snapToGrid w:val="0"/>
        <w:spacing w:line="400" w:lineRule="exact"/>
        <w:ind w:firstLine="380" w:firstLineChars="200"/>
        <w:jc w:val="left"/>
        <w:outlineLvl w:val="9"/>
        <w:rPr>
          <w:rFonts w:hint="eastAsia" w:asciiTheme="minorEastAsia" w:hAnsiTheme="minorEastAsia" w:eastAsiaTheme="minorEastAsia" w:cstheme="minorEastAsia"/>
          <w:color w:val="auto"/>
          <w:kern w:val="2"/>
          <w:sz w:val="19"/>
          <w:szCs w:val="19"/>
          <w:highlight w:val="none"/>
          <w:lang w:val="en-US" w:eastAsia="zh-CN" w:bidi="ar-SA"/>
        </w:rPr>
      </w:pPr>
      <w:r>
        <w:rPr>
          <w:rStyle w:val="167"/>
          <w:rFonts w:hint="eastAsia" w:asciiTheme="minorEastAsia" w:hAnsiTheme="minorEastAsia" w:eastAsiaTheme="minorEastAsia" w:cstheme="minorEastAsia"/>
          <w:color w:val="auto"/>
          <w:sz w:val="19"/>
          <w:szCs w:val="19"/>
          <w:highlight w:val="none"/>
          <w:lang w:val="en-US" w:eastAsia="zh-CN"/>
        </w:rPr>
        <w:t>附件</w:t>
      </w:r>
      <w:r>
        <w:rPr>
          <w:rFonts w:hint="eastAsia" w:asciiTheme="minorEastAsia" w:hAnsiTheme="minorEastAsia" w:eastAsiaTheme="minorEastAsia" w:cstheme="minorEastAsia"/>
          <w:color w:val="auto"/>
          <w:kern w:val="2"/>
          <w:sz w:val="19"/>
          <w:szCs w:val="19"/>
          <w:highlight w:val="none"/>
          <w:lang w:val="en-US" w:eastAsia="zh-CN" w:bidi="ar-SA"/>
        </w:rPr>
        <w:t>4 项目免交投标保证金承诺书</w:t>
      </w:r>
    </w:p>
    <w:p w14:paraId="5906E958">
      <w:pPr>
        <w:pStyle w:val="155"/>
        <w:pageBreakBefore w:val="0"/>
        <w:kinsoku/>
        <w:overflowPunct/>
        <w:topLinePunct w:val="0"/>
        <w:bidi w:val="0"/>
        <w:spacing w:line="400" w:lineRule="exact"/>
        <w:jc w:val="center"/>
        <w:outlineLvl w:val="9"/>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项目免交投标保证金承诺书</w:t>
      </w:r>
    </w:p>
    <w:p w14:paraId="451A7638">
      <w:pPr>
        <w:pStyle w:val="155"/>
        <w:pageBreakBefore w:val="0"/>
        <w:kinsoku/>
        <w:overflowPunct/>
        <w:topLinePunct w:val="0"/>
        <w:bidi w:val="0"/>
        <w:spacing w:line="400" w:lineRule="exact"/>
        <w:jc w:val="center"/>
        <w:outlineLvl w:val="9"/>
        <w:rPr>
          <w:rFonts w:hint="eastAsia" w:asciiTheme="minorEastAsia" w:hAnsiTheme="minorEastAsia" w:eastAsiaTheme="minorEastAsia" w:cstheme="minorEastAsia"/>
          <w:b/>
          <w:bCs/>
          <w:color w:val="auto"/>
          <w:sz w:val="21"/>
          <w:szCs w:val="21"/>
          <w:highlight w:val="none"/>
        </w:rPr>
      </w:pPr>
    </w:p>
    <w:p w14:paraId="4465A868">
      <w:pPr>
        <w:pStyle w:val="155"/>
        <w:pageBreakBefore w:val="0"/>
        <w:kinsoku/>
        <w:overflowPunct/>
        <w:topLinePunct w:val="0"/>
        <w:bidi w:val="0"/>
        <w:spacing w:line="400" w:lineRule="exact"/>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（采购代理机构</w:t>
      </w:r>
      <w:r>
        <w:rPr>
          <w:rFonts w:hint="eastAsia" w:asciiTheme="minorEastAsia" w:hAnsiTheme="minorEastAsia" w:eastAsiaTheme="minorEastAsia" w:cstheme="minorEastAsia"/>
          <w:color w:val="auto"/>
          <w:sz w:val="21"/>
          <w:szCs w:val="21"/>
          <w:highlight w:val="none"/>
          <w:lang w:eastAsia="zh-CN"/>
        </w:rPr>
        <w:t>和采购人</w:t>
      </w:r>
      <w:r>
        <w:rPr>
          <w:rFonts w:hint="eastAsia" w:asciiTheme="minorEastAsia" w:hAnsiTheme="minorEastAsia" w:eastAsiaTheme="minorEastAsia" w:cstheme="minorEastAsia"/>
          <w:color w:val="auto"/>
          <w:sz w:val="21"/>
          <w:szCs w:val="21"/>
          <w:highlight w:val="none"/>
        </w:rPr>
        <w:t>）：</w:t>
      </w:r>
    </w:p>
    <w:p w14:paraId="70D7C8FB">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因本项目不收取保证金，我公司承诺，如有下列情形之一的，愿意承担相关的法律责任，并接受财政部门的相关处罚。</w:t>
      </w:r>
    </w:p>
    <w:p w14:paraId="16A57878">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(一)中标、成交后无正当理由不与采购人签订合同的；</w:t>
      </w:r>
    </w:p>
    <w:p w14:paraId="4605A8F4">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(二)未经采购人同意，将中标、成交项目分包方式履行合同的；</w:t>
      </w:r>
    </w:p>
    <w:p w14:paraId="3BAEBC21">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(三)在提交投标（响应）文件截止时间后撤回投标（响应）文件的；</w:t>
      </w:r>
    </w:p>
    <w:p w14:paraId="4AF4F3F9">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（四）在投标（响应）文件中提供虚假材料的；</w:t>
      </w:r>
    </w:p>
    <w:p w14:paraId="5747650F">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（五）与采购人、其他供应商或者采购代理机构恶意串通的；</w:t>
      </w:r>
    </w:p>
    <w:p w14:paraId="469F60C7">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（六）法律法规或者采购文件规定的其他情形。</w:t>
      </w:r>
    </w:p>
    <w:p w14:paraId="741CFB81">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特此承诺！</w:t>
      </w:r>
    </w:p>
    <w:p w14:paraId="6219422A">
      <w:pPr>
        <w:pStyle w:val="155"/>
        <w:pageBreakBefore w:val="0"/>
        <w:kinsoku/>
        <w:overflowPunct/>
        <w:topLinePunct w:val="0"/>
        <w:bidi w:val="0"/>
        <w:spacing w:line="400" w:lineRule="exact"/>
        <w:ind w:firstLine="420" w:firstLineChars="200"/>
        <w:outlineLvl w:val="9"/>
        <w:rPr>
          <w:rFonts w:hint="eastAsia" w:asciiTheme="minorEastAsia" w:hAnsiTheme="minorEastAsia" w:eastAsiaTheme="minorEastAsia" w:cstheme="minorEastAsia"/>
          <w:color w:val="auto"/>
          <w:sz w:val="21"/>
          <w:szCs w:val="21"/>
          <w:highlight w:val="none"/>
        </w:rPr>
      </w:pPr>
    </w:p>
    <w:p w14:paraId="107382A0">
      <w:pPr>
        <w:pStyle w:val="155"/>
        <w:pageBreakBefore w:val="0"/>
        <w:kinsoku/>
        <w:overflowPunct/>
        <w:topLinePunct w:val="0"/>
        <w:bidi w:val="0"/>
        <w:spacing w:line="400" w:lineRule="exact"/>
        <w:ind w:firstLine="4200" w:firstLineChars="200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投标人名称（单位</w:t>
      </w:r>
      <w:r>
        <w:rPr>
          <w:rFonts w:hint="eastAsia" w:asciiTheme="minorEastAsia" w:hAnsiTheme="minorEastAsia" w:eastAsiaTheme="minorEastAsia" w:cstheme="minorEastAsia"/>
          <w:color w:val="auto"/>
          <w:sz w:val="21"/>
          <w:szCs w:val="21"/>
          <w:highlight w:val="none"/>
          <w:lang w:eastAsia="zh-CN"/>
        </w:rPr>
        <w:t>电子</w:t>
      </w:r>
      <w:r>
        <w:rPr>
          <w:rFonts w:hint="eastAsia" w:asciiTheme="minorEastAsia" w:hAnsiTheme="minorEastAsia" w:eastAsiaTheme="minorEastAsia" w:cstheme="minorEastAsia"/>
          <w:color w:val="auto"/>
          <w:sz w:val="21"/>
          <w:szCs w:val="21"/>
          <w:highlight w:val="none"/>
        </w:rPr>
        <w:t>签章）：</w:t>
      </w:r>
    </w:p>
    <w:p w14:paraId="6C5586CD">
      <w:pPr>
        <w:pageBreakBefore w:val="0"/>
        <w:kinsoku/>
        <w:overflowPunct/>
        <w:topLinePunct w:val="0"/>
        <w:bidi w:val="0"/>
        <w:adjustRightInd w:val="0"/>
        <w:snapToGrid w:val="0"/>
        <w:spacing w:line="400" w:lineRule="exact"/>
        <w:jc w:val="center"/>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日期：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年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月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日</w:t>
      </w:r>
    </w:p>
    <w:p w14:paraId="154E1D80">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 w:val="28"/>
          <w:szCs w:val="28"/>
          <w:highlight w:val="none"/>
          <w:lang w:eastAsia="zh-CN"/>
        </w:rPr>
        <w:br w:type="page"/>
      </w:r>
    </w:p>
    <w:p w14:paraId="411F124C">
      <w:pPr>
        <w:pageBreakBefore w:val="0"/>
        <w:kinsoku/>
        <w:overflowPunct/>
        <w:topLinePunct w:val="0"/>
        <w:bidi w:val="0"/>
        <w:adjustRightInd w:val="0"/>
        <w:snapToGrid w:val="0"/>
        <w:spacing w:line="400" w:lineRule="exact"/>
        <w:ind w:firstLine="380" w:firstLineChars="200"/>
        <w:jc w:val="left"/>
        <w:outlineLvl w:val="9"/>
        <w:rPr>
          <w:rFonts w:hint="eastAsia" w:ascii="仿宋" w:hAnsi="仿宋" w:eastAsia="仿宋_GB2312" w:cs="仿宋"/>
          <w:color w:val="auto"/>
          <w:kern w:val="2"/>
          <w:sz w:val="19"/>
          <w:szCs w:val="19"/>
          <w:highlight w:val="none"/>
          <w:lang w:val="en-US" w:eastAsia="zh-CN" w:bidi="ar-SA"/>
        </w:rPr>
      </w:pPr>
      <w:r>
        <w:rPr>
          <w:rFonts w:hint="eastAsia" w:ascii="仿宋" w:hAnsi="仿宋" w:eastAsia="仿宋_GB2312" w:cs="仿宋"/>
          <w:color w:val="auto"/>
          <w:kern w:val="2"/>
          <w:sz w:val="19"/>
          <w:szCs w:val="19"/>
          <w:highlight w:val="none"/>
          <w:lang w:val="en-US" w:eastAsia="zh-CN" w:bidi="ar-SA"/>
        </w:rPr>
        <w:t>附件5 信用信息查询结果</w:t>
      </w:r>
    </w:p>
    <w:p w14:paraId="56F2DE2D">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lang w:eastAsia="zh-CN"/>
        </w:rPr>
      </w:pPr>
      <w:r>
        <w:rPr>
          <w:rFonts w:hint="eastAsia" w:ascii="仿宋" w:hAnsi="仿宋" w:eastAsia="仿宋_GB2312" w:cs="仿宋"/>
          <w:color w:val="auto"/>
          <w:sz w:val="28"/>
          <w:szCs w:val="28"/>
          <w:highlight w:val="none"/>
          <w:lang w:eastAsia="zh-CN"/>
        </w:rPr>
        <w:br w:type="page"/>
      </w:r>
    </w:p>
    <w:p w14:paraId="411D8933">
      <w:pPr>
        <w:pStyle w:val="22"/>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bCs/>
          <w:color w:val="auto"/>
          <w:sz w:val="72"/>
          <w:szCs w:val="72"/>
          <w:highlight w:val="none"/>
        </w:rPr>
      </w:pPr>
    </w:p>
    <w:p w14:paraId="406737AF">
      <w:pPr>
        <w:pStyle w:val="22"/>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bCs/>
          <w:color w:val="auto"/>
          <w:sz w:val="72"/>
          <w:szCs w:val="72"/>
          <w:highlight w:val="none"/>
        </w:rPr>
      </w:pPr>
      <w:r>
        <w:rPr>
          <w:rFonts w:hint="eastAsia" w:ascii="仿宋" w:hAnsi="仿宋" w:eastAsia="仿宋_GB2312" w:cs="仿宋"/>
          <w:bCs/>
          <w:color w:val="auto"/>
          <w:sz w:val="72"/>
          <w:szCs w:val="72"/>
          <w:highlight w:val="none"/>
        </w:rPr>
        <w:t>政府采购</w:t>
      </w:r>
    </w:p>
    <w:p w14:paraId="7E1930F9">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b/>
          <w:bCs/>
          <w:color w:val="auto"/>
          <w:sz w:val="84"/>
          <w:szCs w:val="84"/>
          <w:highlight w:val="none"/>
        </w:rPr>
      </w:pPr>
      <w:r>
        <w:rPr>
          <w:rFonts w:hint="eastAsia" w:ascii="仿宋" w:hAnsi="仿宋" w:eastAsia="仿宋_GB2312" w:cs="仿宋"/>
          <w:b/>
          <w:bCs/>
          <w:color w:val="auto"/>
          <w:sz w:val="84"/>
          <w:szCs w:val="84"/>
          <w:highlight w:val="none"/>
        </w:rPr>
        <w:t>投 标 文 件</w:t>
      </w:r>
    </w:p>
    <w:p w14:paraId="6C99BD81">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44"/>
          <w:szCs w:val="44"/>
          <w:highlight w:val="none"/>
        </w:rPr>
      </w:pPr>
    </w:p>
    <w:p w14:paraId="701FFDBE">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44"/>
          <w:szCs w:val="44"/>
          <w:highlight w:val="none"/>
        </w:rPr>
      </w:pPr>
    </w:p>
    <w:p w14:paraId="3A2D7825">
      <w:pPr>
        <w:keepNext w:val="0"/>
        <w:keepLines w:val="0"/>
        <w:pageBreakBefore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44"/>
          <w:szCs w:val="44"/>
          <w:highlight w:val="none"/>
        </w:rPr>
      </w:pPr>
      <w:r>
        <w:rPr>
          <w:rFonts w:hint="eastAsia" w:ascii="仿宋" w:hAnsi="仿宋" w:eastAsia="仿宋_GB2312" w:cs="仿宋"/>
          <w:color w:val="auto"/>
          <w:sz w:val="44"/>
          <w:szCs w:val="44"/>
          <w:highlight w:val="none"/>
        </w:rPr>
        <w:t>第二部分 商务文件</w:t>
      </w:r>
    </w:p>
    <w:p w14:paraId="02D7BFD7">
      <w:pPr>
        <w:pStyle w:val="22"/>
        <w:keepNext w:val="0"/>
        <w:keepLines w:val="0"/>
        <w:pageBreakBefore w:val="0"/>
        <w:kinsoku/>
        <w:wordWrap/>
        <w:overflowPunct/>
        <w:topLinePunct w:val="0"/>
        <w:autoSpaceDE/>
        <w:autoSpaceDN/>
        <w:bidi w:val="0"/>
        <w:adjustRightInd w:val="0"/>
        <w:snapToGrid w:val="0"/>
        <w:spacing w:line="240" w:lineRule="auto"/>
        <w:ind w:firstLine="1988" w:firstLineChars="660"/>
        <w:textAlignment w:val="auto"/>
        <w:outlineLvl w:val="9"/>
        <w:rPr>
          <w:rFonts w:hint="eastAsia" w:ascii="仿宋" w:hAnsi="仿宋" w:eastAsia="仿宋_GB2312" w:cs="仿宋"/>
          <w:b/>
          <w:bCs/>
          <w:color w:val="auto"/>
          <w:sz w:val="30"/>
          <w:szCs w:val="30"/>
          <w:highlight w:val="none"/>
        </w:rPr>
      </w:pPr>
    </w:p>
    <w:p w14:paraId="5AA2AF01">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rPr>
      </w:pPr>
      <w:r>
        <w:rPr>
          <w:rFonts w:hint="eastAsia" w:ascii="仿宋" w:hAnsi="仿宋" w:eastAsia="仿宋_GB2312" w:cs="仿宋"/>
          <w:b/>
          <w:color w:val="auto"/>
          <w:sz w:val="32"/>
          <w:szCs w:val="32"/>
          <w:highlight w:val="none"/>
        </w:rPr>
        <w:t>采购项目名称：</w:t>
      </w:r>
    </w:p>
    <w:p w14:paraId="4BF897B3">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lang w:val="en-US" w:eastAsia="zh-CN"/>
        </w:rPr>
      </w:pPr>
      <w:r>
        <w:rPr>
          <w:rFonts w:hint="eastAsia" w:ascii="仿宋" w:hAnsi="仿宋" w:eastAsia="仿宋_GB2312" w:cs="仿宋"/>
          <w:b/>
          <w:color w:val="auto"/>
          <w:sz w:val="32"/>
          <w:szCs w:val="32"/>
          <w:highlight w:val="none"/>
        </w:rPr>
        <w:t>政府采购编号：</w:t>
      </w:r>
    </w:p>
    <w:p w14:paraId="7639CFDA">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lang w:val="en-US" w:eastAsia="zh-CN"/>
        </w:rPr>
      </w:pPr>
      <w:r>
        <w:rPr>
          <w:rFonts w:hint="eastAsia" w:ascii="仿宋" w:hAnsi="仿宋" w:eastAsia="仿宋_GB2312" w:cs="仿宋"/>
          <w:b/>
          <w:color w:val="auto"/>
          <w:sz w:val="32"/>
          <w:szCs w:val="32"/>
          <w:highlight w:val="none"/>
        </w:rPr>
        <w:t>项 目  编 号：</w:t>
      </w:r>
    </w:p>
    <w:p w14:paraId="1277540C">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lang w:val="en-US" w:eastAsia="zh-CN"/>
        </w:rPr>
      </w:pPr>
      <w:r>
        <w:rPr>
          <w:rFonts w:hint="eastAsia" w:ascii="仿宋" w:hAnsi="仿宋" w:eastAsia="仿宋_GB2312" w:cs="仿宋"/>
          <w:b/>
          <w:color w:val="auto"/>
          <w:sz w:val="32"/>
          <w:szCs w:val="32"/>
          <w:highlight w:val="none"/>
        </w:rPr>
        <w:t>采购代理编号：</w:t>
      </w:r>
    </w:p>
    <w:p w14:paraId="71BE7DC8">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lang w:eastAsia="zh-CN"/>
        </w:rPr>
      </w:pPr>
      <w:r>
        <w:rPr>
          <w:rFonts w:hint="eastAsia" w:ascii="仿宋" w:hAnsi="仿宋" w:eastAsia="仿宋_GB2312" w:cs="仿宋"/>
          <w:b/>
          <w:color w:val="auto"/>
          <w:sz w:val="32"/>
          <w:szCs w:val="32"/>
          <w:highlight w:val="none"/>
        </w:rPr>
        <w:t>采   购   人：</w:t>
      </w:r>
    </w:p>
    <w:p w14:paraId="0529E9FA">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rPr>
      </w:pPr>
      <w:r>
        <w:rPr>
          <w:rFonts w:hint="eastAsia" w:ascii="仿宋" w:hAnsi="仿宋" w:eastAsia="仿宋_GB2312" w:cs="仿宋"/>
          <w:b/>
          <w:color w:val="auto"/>
          <w:sz w:val="32"/>
          <w:szCs w:val="32"/>
          <w:highlight w:val="none"/>
        </w:rPr>
        <w:t>采购代理机构：</w:t>
      </w:r>
    </w:p>
    <w:p w14:paraId="6F84B2BE">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2D89FA99">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4E108861">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5E31EF16">
      <w:pPr>
        <w:keepNext w:val="0"/>
        <w:keepLines w:val="0"/>
        <w:pageBreakBefore w:val="0"/>
        <w:widowControl w:val="0"/>
        <w:kinsoku/>
        <w:wordWrap/>
        <w:overflowPunct/>
        <w:topLinePunct w:val="0"/>
        <w:autoSpaceDE/>
        <w:autoSpaceDN/>
        <w:bidi w:val="0"/>
        <w:adjustRightInd w:val="0"/>
        <w:snapToGrid w:val="0"/>
        <w:spacing w:line="240" w:lineRule="auto"/>
        <w:ind w:firstLine="3897" w:firstLineChars="1218"/>
        <w:textAlignment w:val="auto"/>
        <w:outlineLvl w:val="9"/>
        <w:rPr>
          <w:rFonts w:hint="eastAsia" w:ascii="仿宋" w:hAnsi="仿宋" w:eastAsia="仿宋_GB2312" w:cs="仿宋"/>
          <w:color w:val="auto"/>
          <w:sz w:val="32"/>
          <w:szCs w:val="32"/>
          <w:highlight w:val="none"/>
        </w:rPr>
      </w:pPr>
      <w:r>
        <w:rPr>
          <w:rFonts w:hint="eastAsia" w:ascii="仿宋" w:hAnsi="仿宋" w:eastAsia="仿宋_GB2312" w:cs="仿宋"/>
          <w:color w:val="auto"/>
          <w:sz w:val="32"/>
          <w:szCs w:val="32"/>
          <w:highlight w:val="none"/>
        </w:rPr>
        <w:t>投标人：</w:t>
      </w:r>
    </w:p>
    <w:p w14:paraId="529FCEF5">
      <w:pPr>
        <w:keepNext w:val="0"/>
        <w:keepLines w:val="0"/>
        <w:pageBreakBefore w:val="0"/>
        <w:widowControl w:val="0"/>
        <w:kinsoku/>
        <w:wordWrap/>
        <w:overflowPunct/>
        <w:topLinePunct w:val="0"/>
        <w:autoSpaceDE/>
        <w:autoSpaceDN/>
        <w:bidi w:val="0"/>
        <w:adjustRightInd w:val="0"/>
        <w:snapToGrid w:val="0"/>
        <w:spacing w:line="240" w:lineRule="auto"/>
        <w:ind w:firstLine="3897" w:firstLineChars="1218"/>
        <w:textAlignment w:val="auto"/>
        <w:outlineLvl w:val="9"/>
        <w:rPr>
          <w:rFonts w:hint="eastAsia" w:ascii="仿宋" w:hAnsi="仿宋" w:eastAsia="仿宋_GB2312" w:cs="仿宋"/>
          <w:color w:val="auto"/>
          <w:sz w:val="32"/>
          <w:szCs w:val="32"/>
          <w:highlight w:val="none"/>
        </w:rPr>
      </w:pPr>
    </w:p>
    <w:p w14:paraId="41A343E1">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rPr>
      </w:pP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年</w:t>
      </w: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 xml:space="preserve"> 月 </w:t>
      </w: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 xml:space="preserve"> 日</w:t>
      </w:r>
    </w:p>
    <w:p w14:paraId="094FB352">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rPr>
      </w:pPr>
    </w:p>
    <w:p w14:paraId="2DD697FD">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rPr>
      </w:pPr>
    </w:p>
    <w:p w14:paraId="765061F7">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rPr>
      </w:pPr>
    </w:p>
    <w:p w14:paraId="5D8EA75C">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rPr>
      </w:pPr>
    </w:p>
    <w:p w14:paraId="4E84CD8D">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val="en-US" w:eastAsia="zh-CN"/>
        </w:rPr>
      </w:pPr>
    </w:p>
    <w:p w14:paraId="426ED425">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sz w:val="32"/>
          <w:szCs w:val="32"/>
          <w:highlight w:val="none"/>
          <w:lang w:val="en-US" w:eastAsia="zh-CN"/>
        </w:rPr>
        <w:t>二、</w:t>
      </w:r>
      <w:r>
        <w:rPr>
          <w:rFonts w:hint="eastAsia" w:ascii="仿宋" w:hAnsi="仿宋" w:eastAsia="仿宋_GB2312" w:cs="仿宋"/>
          <w:color w:val="auto"/>
          <w:sz w:val="32"/>
          <w:szCs w:val="32"/>
          <w:highlight w:val="none"/>
          <w:lang w:eastAsia="zh-CN"/>
        </w:rPr>
        <w:t>投标函</w:t>
      </w:r>
    </w:p>
    <w:p w14:paraId="31D00AFC">
      <w:pPr>
        <w:pageBreakBefore w:val="0"/>
        <w:numPr>
          <w:ilvl w:val="0"/>
          <w:numId w:val="0"/>
        </w:numPr>
        <w:kinsoku/>
        <w:overflowPunct/>
        <w:topLinePunct w:val="0"/>
        <w:bidi w:val="0"/>
        <w:adjustRightInd w:val="0"/>
        <w:snapToGrid w:val="0"/>
        <w:spacing w:line="400" w:lineRule="exact"/>
        <w:jc w:val="center"/>
        <w:outlineLvl w:val="9"/>
        <w:rPr>
          <w:rFonts w:hint="eastAsia" w:ascii="仿宋" w:hAnsi="仿宋" w:eastAsia="仿宋_GB2312" w:cs="仿宋"/>
          <w:color w:val="auto"/>
          <w:sz w:val="28"/>
          <w:szCs w:val="28"/>
          <w:highlight w:val="none"/>
        </w:rPr>
      </w:pPr>
    </w:p>
    <w:p w14:paraId="4B3BE7EE">
      <w:pPr>
        <w:pageBreakBefore w:val="0"/>
        <w:kinsoku/>
        <w:overflowPunct/>
        <w:topLinePunct w:val="0"/>
        <w:bidi w:val="0"/>
        <w:adjustRightInd w:val="0"/>
        <w:snapToGrid w:val="0"/>
        <w:spacing w:line="400" w:lineRule="exact"/>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致：</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（采购人、采购代理机构）：</w:t>
      </w:r>
    </w:p>
    <w:p w14:paraId="65328655">
      <w:pPr>
        <w:pageBreakBefore w:val="0"/>
        <w:kinsoku/>
        <w:overflowPunct/>
        <w:topLinePunct w:val="0"/>
        <w:bidi w:val="0"/>
        <w:adjustRightInd w:val="0"/>
        <w:snapToGrid w:val="0"/>
        <w:spacing w:line="400" w:lineRule="exact"/>
        <w:ind w:firstLine="435"/>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根据贵方为</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（项目名称）的投标邀请（</w:t>
      </w:r>
      <w:r>
        <w:rPr>
          <w:rFonts w:hint="eastAsia" w:ascii="仿宋" w:hAnsi="仿宋" w:eastAsia="仿宋_GB2312" w:cs="仿宋"/>
          <w:color w:val="auto"/>
          <w:highlight w:val="none"/>
        </w:rPr>
        <w:t>政府</w:t>
      </w:r>
      <w:r>
        <w:rPr>
          <w:rFonts w:hint="eastAsia" w:ascii="仿宋" w:hAnsi="仿宋" w:eastAsia="仿宋_GB2312" w:cs="仿宋"/>
          <w:iCs/>
          <w:color w:val="auto"/>
          <w:highlight w:val="none"/>
        </w:rPr>
        <w:t>采购编号：</w:t>
      </w:r>
      <w:r>
        <w:rPr>
          <w:rFonts w:hint="eastAsia" w:ascii="仿宋" w:hAnsi="仿宋" w:eastAsia="仿宋_GB2312" w:cs="仿宋"/>
          <w:iCs/>
          <w:color w:val="auto"/>
          <w:highlight w:val="none"/>
          <w:u w:val="single"/>
        </w:rPr>
        <w:t xml:space="preserve">      </w:t>
      </w:r>
      <w:r>
        <w:rPr>
          <w:rFonts w:hint="eastAsia" w:ascii="仿宋" w:hAnsi="仿宋" w:eastAsia="仿宋_GB2312" w:cs="仿宋"/>
          <w:iCs/>
          <w:color w:val="auto"/>
          <w:highlight w:val="none"/>
        </w:rPr>
        <w:t xml:space="preserve"> ，</w:t>
      </w:r>
      <w:r>
        <w:rPr>
          <w:rFonts w:hint="eastAsia" w:ascii="仿宋" w:hAnsi="仿宋" w:eastAsia="仿宋_GB2312" w:cs="仿宋"/>
          <w:color w:val="auto"/>
          <w:szCs w:val="21"/>
          <w:highlight w:val="none"/>
        </w:rPr>
        <w:t>采购代理编号：</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 xml:space="preserve">），签字代表 </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（姓名、职务）经正式授权并代表投标人</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 xml:space="preserve"> （投标人名称）提交投标文件，参加采购项目第</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包投标，并在此声明，所递交的投标文件内容完整、真实。</w:t>
      </w:r>
    </w:p>
    <w:p w14:paraId="5777F9C8">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在此，签字代表宣布同意如下：</w:t>
      </w:r>
    </w:p>
    <w:p w14:paraId="0FFCBB6F">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1、投标人严格按照招标文件的规定报价，见《开标一览表》。</w:t>
      </w:r>
    </w:p>
    <w:p w14:paraId="39D79C99">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2、投标人将按招标文件的规定履行合同责任和义务。</w:t>
      </w:r>
    </w:p>
    <w:p w14:paraId="0FA3464B">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3、投标人已详细审查招标文件。我们完全理解并同意放弃对这方面有不明及误解的权力。</w:t>
      </w:r>
    </w:p>
    <w:p w14:paraId="64D0FF70">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4、本投标有效期为自招标文件规定的提交投标文件截止之日起</w:t>
      </w:r>
      <w:r>
        <w:rPr>
          <w:rFonts w:hint="eastAsia" w:ascii="仿宋" w:hAnsi="仿宋" w:eastAsia="仿宋_GB2312" w:cs="仿宋"/>
          <w:color w:val="auto"/>
          <w:szCs w:val="21"/>
          <w:highlight w:val="none"/>
          <w:u w:val="single"/>
          <w:lang w:val="en-US" w:eastAsia="zh-CN"/>
        </w:rPr>
        <w:t>90</w:t>
      </w:r>
      <w:r>
        <w:rPr>
          <w:rFonts w:hint="eastAsia" w:ascii="仿宋" w:hAnsi="仿宋" w:eastAsia="仿宋_GB2312" w:cs="仿宋"/>
          <w:color w:val="auto"/>
          <w:szCs w:val="21"/>
          <w:highlight w:val="none"/>
        </w:rPr>
        <w:t>个日历日。在投标有效期内，</w:t>
      </w:r>
      <w:r>
        <w:rPr>
          <w:rFonts w:hint="eastAsia" w:ascii="仿宋" w:hAnsi="仿宋" w:eastAsia="仿宋_GB2312" w:cs="仿宋"/>
          <w:color w:val="auto"/>
          <w:highlight w:val="none"/>
        </w:rPr>
        <w:t>投标人同意遵守本</w:t>
      </w:r>
      <w:r>
        <w:rPr>
          <w:rFonts w:hint="eastAsia" w:ascii="仿宋" w:hAnsi="仿宋" w:eastAsia="仿宋_GB2312" w:cs="仿宋"/>
          <w:color w:val="auto"/>
          <w:szCs w:val="21"/>
          <w:highlight w:val="none"/>
        </w:rPr>
        <w:t>投标</w:t>
      </w:r>
      <w:r>
        <w:rPr>
          <w:rFonts w:hint="eastAsia" w:ascii="仿宋" w:hAnsi="仿宋" w:eastAsia="仿宋_GB2312" w:cs="仿宋"/>
          <w:color w:val="auto"/>
          <w:highlight w:val="none"/>
        </w:rPr>
        <w:t>文件中的承诺且在此期限期满之前</w:t>
      </w:r>
      <w:r>
        <w:rPr>
          <w:rFonts w:hint="eastAsia" w:ascii="仿宋" w:hAnsi="仿宋" w:eastAsia="仿宋_GB2312" w:cs="仿宋"/>
          <w:color w:val="auto"/>
          <w:szCs w:val="21"/>
          <w:highlight w:val="none"/>
        </w:rPr>
        <w:t>投标</w:t>
      </w:r>
      <w:r>
        <w:rPr>
          <w:rFonts w:hint="eastAsia" w:ascii="仿宋" w:hAnsi="仿宋" w:eastAsia="仿宋_GB2312" w:cs="仿宋"/>
          <w:color w:val="auto"/>
          <w:highlight w:val="none"/>
        </w:rPr>
        <w:t>文件</w:t>
      </w:r>
      <w:r>
        <w:rPr>
          <w:rFonts w:hint="eastAsia" w:ascii="仿宋" w:hAnsi="仿宋" w:eastAsia="仿宋_GB2312" w:cs="仿宋"/>
          <w:color w:val="auto"/>
          <w:szCs w:val="21"/>
          <w:highlight w:val="none"/>
        </w:rPr>
        <w:t>对我方具有法律约束力</w:t>
      </w:r>
      <w:r>
        <w:rPr>
          <w:rFonts w:hint="eastAsia" w:ascii="仿宋" w:hAnsi="仿宋" w:eastAsia="仿宋_GB2312" w:cs="仿宋"/>
          <w:color w:val="auto"/>
          <w:highlight w:val="none"/>
        </w:rPr>
        <w:t>。</w:t>
      </w:r>
    </w:p>
    <w:p w14:paraId="3D231D80">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highlight w:val="none"/>
        </w:rPr>
      </w:pPr>
      <w:r>
        <w:rPr>
          <w:rFonts w:hint="eastAsia" w:ascii="仿宋" w:hAnsi="仿宋" w:eastAsia="仿宋_GB2312" w:cs="仿宋"/>
          <w:color w:val="auto"/>
          <w:highlight w:val="none"/>
        </w:rPr>
        <w:t>5、</w:t>
      </w:r>
      <w:r>
        <w:rPr>
          <w:rFonts w:hint="eastAsia" w:ascii="仿宋" w:hAnsi="仿宋" w:eastAsia="仿宋_GB2312" w:cs="仿宋"/>
          <w:color w:val="auto"/>
          <w:szCs w:val="21"/>
          <w:highlight w:val="none"/>
        </w:rPr>
        <w:t>同意提供贵方可能要求的与其投标有关的一切数据或资料。</w:t>
      </w:r>
    </w:p>
    <w:p w14:paraId="216C048F">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6、与本投标有关的一切正式往来信函请寄：</w:t>
      </w:r>
    </w:p>
    <w:p w14:paraId="59697BAF">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地址：</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；邮编：</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 xml:space="preserve"> ；电话：</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；电子邮箱：</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 xml:space="preserve"> 。</w:t>
      </w:r>
    </w:p>
    <w:p w14:paraId="2E8A5C20">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p>
    <w:p w14:paraId="2DEE0197">
      <w:pPr>
        <w:pStyle w:val="22"/>
        <w:pageBreakBefore w:val="0"/>
        <w:kinsoku/>
        <w:overflowPunct/>
        <w:topLinePunct w:val="0"/>
        <w:bidi w:val="0"/>
        <w:adjustRightInd w:val="0"/>
        <w:snapToGrid w:val="0"/>
        <w:spacing w:line="400" w:lineRule="exact"/>
        <w:outlineLvl w:val="9"/>
        <w:rPr>
          <w:rFonts w:hint="eastAsia" w:ascii="仿宋" w:hAnsi="仿宋" w:eastAsia="仿宋_GB2312" w:cs="仿宋"/>
          <w:color w:val="auto"/>
          <w:highlight w:val="none"/>
        </w:rPr>
      </w:pPr>
    </w:p>
    <w:p w14:paraId="1ABB89DF">
      <w:pPr>
        <w:pStyle w:val="22"/>
        <w:pageBreakBefore w:val="0"/>
        <w:kinsoku/>
        <w:overflowPunct/>
        <w:topLinePunct w:val="0"/>
        <w:bidi w:val="0"/>
        <w:adjustRightInd w:val="0"/>
        <w:snapToGrid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highlight w:val="none"/>
        </w:rPr>
        <w:t xml:space="preserve">投标人名称（盖单位章）：                       </w:t>
      </w:r>
    </w:p>
    <w:p w14:paraId="0006C7AF">
      <w:pPr>
        <w:pageBreakBefore w:val="0"/>
        <w:kinsoku/>
        <w:overflowPunct/>
        <w:topLinePunct w:val="0"/>
        <w:bidi w:val="0"/>
        <w:adjustRightInd w:val="0"/>
        <w:snapToGrid w:val="0"/>
        <w:spacing w:line="400" w:lineRule="exact"/>
        <w:outlineLvl w:val="9"/>
        <w:rPr>
          <w:rFonts w:hint="eastAsia" w:ascii="仿宋" w:hAnsi="仿宋" w:eastAsia="仿宋_GB2312" w:cs="仿宋"/>
          <w:color w:val="auto"/>
          <w:szCs w:val="21"/>
          <w:highlight w:val="none"/>
          <w:u w:val="single"/>
        </w:rPr>
      </w:pPr>
      <w:r>
        <w:rPr>
          <w:rFonts w:hint="eastAsia" w:ascii="仿宋" w:hAnsi="仿宋" w:eastAsia="仿宋_GB2312" w:cs="仿宋"/>
          <w:color w:val="auto"/>
          <w:spacing w:val="-2"/>
          <w:kern w:val="0"/>
          <w:szCs w:val="21"/>
          <w:highlight w:val="none"/>
        </w:rPr>
        <w:t>法</w:t>
      </w:r>
      <w:r>
        <w:rPr>
          <w:rFonts w:hint="eastAsia" w:ascii="仿宋" w:hAnsi="仿宋" w:eastAsia="仿宋_GB2312" w:cs="仿宋"/>
          <w:color w:val="auto"/>
          <w:kern w:val="0"/>
          <w:szCs w:val="21"/>
          <w:highlight w:val="none"/>
        </w:rPr>
        <w:t>定</w:t>
      </w:r>
      <w:r>
        <w:rPr>
          <w:rFonts w:hint="eastAsia" w:ascii="仿宋" w:hAnsi="仿宋" w:eastAsia="仿宋_GB2312" w:cs="仿宋"/>
          <w:color w:val="auto"/>
          <w:spacing w:val="-2"/>
          <w:kern w:val="0"/>
          <w:szCs w:val="21"/>
          <w:highlight w:val="none"/>
        </w:rPr>
        <w:t>代</w:t>
      </w:r>
      <w:r>
        <w:rPr>
          <w:rFonts w:hint="eastAsia" w:ascii="仿宋" w:hAnsi="仿宋" w:eastAsia="仿宋_GB2312" w:cs="仿宋"/>
          <w:color w:val="auto"/>
          <w:kern w:val="0"/>
          <w:szCs w:val="21"/>
          <w:highlight w:val="none"/>
        </w:rPr>
        <w:t>表</w:t>
      </w:r>
      <w:r>
        <w:rPr>
          <w:rFonts w:hint="eastAsia" w:ascii="仿宋" w:hAnsi="仿宋" w:eastAsia="仿宋_GB2312" w:cs="仿宋"/>
          <w:color w:val="auto"/>
          <w:spacing w:val="-2"/>
          <w:kern w:val="0"/>
          <w:szCs w:val="21"/>
          <w:highlight w:val="none"/>
        </w:rPr>
        <w:t>人</w:t>
      </w:r>
      <w:r>
        <w:rPr>
          <w:rFonts w:hint="eastAsia" w:ascii="仿宋" w:hAnsi="仿宋" w:eastAsia="仿宋_GB2312" w:cs="仿宋"/>
          <w:color w:val="auto"/>
          <w:kern w:val="0"/>
          <w:szCs w:val="21"/>
          <w:highlight w:val="none"/>
        </w:rPr>
        <w:t>（</w:t>
      </w:r>
      <w:r>
        <w:rPr>
          <w:rFonts w:hint="eastAsia" w:ascii="仿宋" w:hAnsi="仿宋" w:eastAsia="仿宋_GB2312" w:cs="仿宋"/>
          <w:color w:val="auto"/>
          <w:spacing w:val="-2"/>
          <w:kern w:val="0"/>
          <w:szCs w:val="21"/>
          <w:highlight w:val="none"/>
        </w:rPr>
        <w:t>单</w:t>
      </w:r>
      <w:r>
        <w:rPr>
          <w:rFonts w:hint="eastAsia" w:ascii="仿宋" w:hAnsi="仿宋" w:eastAsia="仿宋_GB2312" w:cs="仿宋"/>
          <w:color w:val="auto"/>
          <w:kern w:val="0"/>
          <w:szCs w:val="21"/>
          <w:highlight w:val="none"/>
        </w:rPr>
        <w:t>位</w:t>
      </w:r>
      <w:r>
        <w:rPr>
          <w:rFonts w:hint="eastAsia" w:ascii="仿宋" w:hAnsi="仿宋" w:eastAsia="仿宋_GB2312" w:cs="仿宋"/>
          <w:color w:val="auto"/>
          <w:spacing w:val="-2"/>
          <w:kern w:val="0"/>
          <w:szCs w:val="21"/>
          <w:highlight w:val="none"/>
        </w:rPr>
        <w:t>负</w:t>
      </w:r>
      <w:r>
        <w:rPr>
          <w:rFonts w:hint="eastAsia" w:ascii="仿宋" w:hAnsi="仿宋" w:eastAsia="仿宋_GB2312" w:cs="仿宋"/>
          <w:color w:val="auto"/>
          <w:kern w:val="0"/>
          <w:szCs w:val="21"/>
          <w:highlight w:val="none"/>
        </w:rPr>
        <w:t>责人</w:t>
      </w:r>
      <w:r>
        <w:rPr>
          <w:rFonts w:hint="eastAsia" w:ascii="仿宋" w:hAnsi="仿宋" w:eastAsia="仿宋_GB2312" w:cs="仿宋"/>
          <w:color w:val="auto"/>
          <w:spacing w:val="-2"/>
          <w:kern w:val="0"/>
          <w:szCs w:val="21"/>
          <w:highlight w:val="none"/>
        </w:rPr>
        <w:t>）</w:t>
      </w:r>
      <w:r>
        <w:rPr>
          <w:rFonts w:hint="eastAsia" w:ascii="仿宋" w:hAnsi="仿宋" w:eastAsia="仿宋_GB2312" w:cs="仿宋"/>
          <w:color w:val="auto"/>
          <w:szCs w:val="21"/>
          <w:highlight w:val="none"/>
        </w:rPr>
        <w:t>或其授权的代理人（签字或印章）：</w:t>
      </w:r>
      <w:r>
        <w:rPr>
          <w:rFonts w:hint="eastAsia" w:ascii="仿宋" w:hAnsi="仿宋" w:eastAsia="仿宋_GB2312" w:cs="仿宋"/>
          <w:color w:val="auto"/>
          <w:szCs w:val="21"/>
          <w:highlight w:val="none"/>
          <w:u w:val="single"/>
        </w:rPr>
        <w:t xml:space="preserve">               </w:t>
      </w:r>
    </w:p>
    <w:p w14:paraId="12F591DD">
      <w:pPr>
        <w:keepNext/>
        <w:keepLines/>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highlight w:val="none"/>
        </w:rPr>
      </w:pPr>
      <w:r>
        <w:rPr>
          <w:rFonts w:hint="eastAsia" w:ascii="仿宋" w:hAnsi="仿宋" w:eastAsia="仿宋_GB2312" w:cs="仿宋"/>
          <w:color w:val="auto"/>
          <w:highlight w:val="none"/>
        </w:rPr>
        <w:t>日期：               年      月     日</w:t>
      </w:r>
    </w:p>
    <w:p w14:paraId="64887735">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highlight w:val="none"/>
        </w:rPr>
        <w:br w:type="page"/>
      </w:r>
      <w:r>
        <w:rPr>
          <w:rFonts w:hint="eastAsia" w:ascii="仿宋" w:hAnsi="仿宋" w:eastAsia="仿宋_GB2312" w:cs="仿宋"/>
          <w:color w:val="auto"/>
          <w:sz w:val="32"/>
          <w:szCs w:val="32"/>
          <w:highlight w:val="none"/>
          <w:lang w:eastAsia="zh-CN"/>
        </w:rPr>
        <w:t>三</w:t>
      </w:r>
      <w:r>
        <w:rPr>
          <w:rFonts w:hint="eastAsia" w:ascii="仿宋" w:hAnsi="仿宋" w:eastAsia="仿宋_GB2312" w:cs="仿宋"/>
          <w:color w:val="auto"/>
          <w:sz w:val="32"/>
          <w:szCs w:val="32"/>
          <w:highlight w:val="none"/>
        </w:rPr>
        <w:t>、开标一览表</w:t>
      </w:r>
    </w:p>
    <w:p w14:paraId="2AF3A784">
      <w:pPr>
        <w:pageBreakBefore w:val="0"/>
        <w:kinsoku/>
        <w:overflowPunct/>
        <w:topLinePunct w:val="0"/>
        <w:bidi w:val="0"/>
        <w:adjustRightInd w:val="0"/>
        <w:snapToGrid w:val="0"/>
        <w:spacing w:line="400" w:lineRule="exact"/>
        <w:ind w:left="-88" w:leftChars="-42"/>
        <w:jc w:val="center"/>
        <w:outlineLvl w:val="9"/>
        <w:rPr>
          <w:rFonts w:hint="eastAsia" w:ascii="仿宋" w:hAnsi="仿宋" w:eastAsia="仿宋_GB2312" w:cs="仿宋"/>
          <w:color w:val="auto"/>
          <w:sz w:val="24"/>
          <w:highlight w:val="none"/>
        </w:rPr>
      </w:pPr>
    </w:p>
    <w:p w14:paraId="49B325FE">
      <w:pPr>
        <w:pageBreakBefore w:val="0"/>
        <w:kinsoku/>
        <w:overflowPunct/>
        <w:topLinePunct w:val="0"/>
        <w:bidi w:val="0"/>
        <w:adjustRightInd w:val="0"/>
        <w:snapToGrid w:val="0"/>
        <w:spacing w:line="400" w:lineRule="exact"/>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采购代理编号：</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 xml:space="preserve">                       项目名称：</w:t>
      </w:r>
      <w:r>
        <w:rPr>
          <w:rFonts w:hint="eastAsia" w:ascii="仿宋" w:hAnsi="仿宋" w:eastAsia="仿宋_GB2312" w:cs="仿宋"/>
          <w:color w:val="auto"/>
          <w:szCs w:val="21"/>
          <w:highlight w:val="none"/>
          <w:u w:val="single"/>
        </w:rPr>
        <w:t xml:space="preserve">                   </w:t>
      </w:r>
    </w:p>
    <w:p w14:paraId="36E0A5AA">
      <w:pPr>
        <w:pageBreakBefore w:val="0"/>
        <w:kinsoku/>
        <w:overflowPunct/>
        <w:topLinePunct w:val="0"/>
        <w:bidi w:val="0"/>
        <w:adjustRightInd w:val="0"/>
        <w:snapToGrid w:val="0"/>
        <w:spacing w:line="400" w:lineRule="exact"/>
        <w:outlineLvl w:val="9"/>
        <w:rPr>
          <w:rFonts w:hint="eastAsia" w:ascii="仿宋" w:hAnsi="仿宋" w:eastAsia="仿宋" w:cs="仿宋"/>
          <w:b/>
          <w:color w:val="auto"/>
          <w:szCs w:val="21"/>
          <w:highlight w:val="none"/>
        </w:rPr>
      </w:pPr>
      <w:r>
        <w:rPr>
          <w:rFonts w:hint="eastAsia" w:ascii="仿宋" w:hAnsi="仿宋" w:eastAsia="仿宋_GB2312" w:cs="仿宋"/>
          <w:color w:val="auto"/>
          <w:szCs w:val="21"/>
          <w:highlight w:val="none"/>
        </w:rPr>
        <w:t>包   号：</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 xml:space="preserve">                         包名称：</w:t>
      </w:r>
      <w:r>
        <w:rPr>
          <w:rFonts w:hint="eastAsia" w:ascii="仿宋" w:hAnsi="仿宋" w:eastAsia="仿宋_GB2312" w:cs="仿宋"/>
          <w:color w:val="auto"/>
          <w:szCs w:val="21"/>
          <w:highlight w:val="none"/>
          <w:u w:val="single"/>
        </w:rPr>
        <w:t xml:space="preserve">                   </w:t>
      </w:r>
    </w:p>
    <w:tbl>
      <w:tblPr>
        <w:tblStyle w:val="44"/>
        <w:tblpPr w:leftFromText="180" w:rightFromText="180" w:vertAnchor="text" w:horzAnchor="page" w:tblpX="1446" w:tblpY="231"/>
        <w:tblOverlap w:val="never"/>
        <w:tblW w:w="918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3060"/>
        <w:gridCol w:w="1620"/>
        <w:gridCol w:w="2734"/>
      </w:tblGrid>
      <w:tr w14:paraId="364485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770" w:type="dxa"/>
            <w:vMerge w:val="restart"/>
            <w:tcBorders>
              <w:top w:val="double" w:color="auto" w:sz="4" w:space="0"/>
              <w:left w:val="double" w:color="auto" w:sz="4" w:space="0"/>
              <w:bottom w:val="single" w:color="auto" w:sz="6" w:space="0"/>
              <w:right w:val="single" w:color="auto" w:sz="6" w:space="0"/>
            </w:tcBorders>
            <w:vAlign w:val="center"/>
          </w:tcPr>
          <w:p w14:paraId="08294B29">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项目名称</w:t>
            </w:r>
          </w:p>
        </w:tc>
        <w:tc>
          <w:tcPr>
            <w:tcW w:w="3060" w:type="dxa"/>
            <w:vMerge w:val="restart"/>
            <w:tcBorders>
              <w:top w:val="double" w:color="auto" w:sz="4" w:space="0"/>
              <w:left w:val="single" w:color="auto" w:sz="6" w:space="0"/>
              <w:bottom w:val="single" w:color="auto" w:sz="6" w:space="0"/>
              <w:right w:val="single" w:color="auto" w:sz="6" w:space="0"/>
            </w:tcBorders>
            <w:vAlign w:val="center"/>
          </w:tcPr>
          <w:p w14:paraId="6642D192">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p>
        </w:tc>
        <w:tc>
          <w:tcPr>
            <w:tcW w:w="1620" w:type="dxa"/>
            <w:tcBorders>
              <w:top w:val="double" w:color="auto" w:sz="4" w:space="0"/>
              <w:left w:val="single" w:color="auto" w:sz="6" w:space="0"/>
              <w:bottom w:val="single" w:color="auto" w:sz="6" w:space="0"/>
              <w:right w:val="single" w:color="auto" w:sz="6" w:space="0"/>
            </w:tcBorders>
            <w:vAlign w:val="center"/>
          </w:tcPr>
          <w:p w14:paraId="23E4FD40">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政府采购编号</w:t>
            </w:r>
          </w:p>
        </w:tc>
        <w:tc>
          <w:tcPr>
            <w:tcW w:w="2734" w:type="dxa"/>
            <w:tcBorders>
              <w:top w:val="double" w:color="auto" w:sz="4" w:space="0"/>
              <w:left w:val="single" w:color="auto" w:sz="6" w:space="0"/>
              <w:bottom w:val="single" w:color="auto" w:sz="6" w:space="0"/>
              <w:right w:val="double" w:color="auto" w:sz="4" w:space="0"/>
            </w:tcBorders>
            <w:vAlign w:val="center"/>
          </w:tcPr>
          <w:p w14:paraId="4A70BCBA">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p>
        </w:tc>
      </w:tr>
      <w:tr w14:paraId="3D7431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0" w:type="dxa"/>
            <w:vMerge w:val="continue"/>
            <w:tcBorders>
              <w:top w:val="single" w:color="auto" w:sz="6" w:space="0"/>
              <w:left w:val="double" w:color="auto" w:sz="4" w:space="0"/>
              <w:bottom w:val="single" w:color="auto" w:sz="6" w:space="0"/>
              <w:right w:val="single" w:color="auto" w:sz="6" w:space="0"/>
            </w:tcBorders>
            <w:vAlign w:val="center"/>
          </w:tcPr>
          <w:p w14:paraId="79C52F3A">
            <w:pPr>
              <w:pageBreakBefore w:val="0"/>
              <w:tabs>
                <w:tab w:val="left" w:pos="403"/>
                <w:tab w:val="center" w:pos="3781"/>
              </w:tabs>
              <w:kinsoku/>
              <w:overflowPunct/>
              <w:topLinePunct w:val="0"/>
              <w:bidi w:val="0"/>
              <w:spacing w:line="400" w:lineRule="exact"/>
              <w:ind w:right="-5206" w:rightChars="-2479"/>
              <w:jc w:val="center"/>
              <w:outlineLvl w:val="9"/>
              <w:rPr>
                <w:rFonts w:hint="eastAsia" w:ascii="仿宋" w:hAnsi="仿宋" w:eastAsia="仿宋" w:cs="仿宋"/>
                <w:color w:val="auto"/>
                <w:szCs w:val="21"/>
                <w:highlight w:val="none"/>
              </w:rPr>
            </w:pPr>
          </w:p>
        </w:tc>
        <w:tc>
          <w:tcPr>
            <w:tcW w:w="3060" w:type="dxa"/>
            <w:vMerge w:val="continue"/>
            <w:tcBorders>
              <w:top w:val="single" w:color="auto" w:sz="6" w:space="0"/>
              <w:left w:val="single" w:color="auto" w:sz="6" w:space="0"/>
              <w:bottom w:val="single" w:color="auto" w:sz="6" w:space="0"/>
              <w:right w:val="single" w:color="auto" w:sz="6" w:space="0"/>
            </w:tcBorders>
            <w:vAlign w:val="center"/>
          </w:tcPr>
          <w:p w14:paraId="229B8A54">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72DAFB3">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采购代理编号</w:t>
            </w:r>
          </w:p>
        </w:tc>
        <w:tc>
          <w:tcPr>
            <w:tcW w:w="2734" w:type="dxa"/>
            <w:tcBorders>
              <w:top w:val="single" w:color="auto" w:sz="6" w:space="0"/>
              <w:left w:val="single" w:color="auto" w:sz="6" w:space="0"/>
              <w:bottom w:val="single" w:color="auto" w:sz="6" w:space="0"/>
              <w:right w:val="double" w:color="auto" w:sz="4" w:space="0"/>
            </w:tcBorders>
            <w:vAlign w:val="center"/>
          </w:tcPr>
          <w:p w14:paraId="0F0659AB">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p>
        </w:tc>
      </w:tr>
      <w:tr w14:paraId="0984E7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770" w:type="dxa"/>
            <w:tcBorders>
              <w:top w:val="single" w:color="auto" w:sz="6" w:space="0"/>
              <w:left w:val="double" w:color="auto" w:sz="4" w:space="0"/>
              <w:right w:val="single" w:color="auto" w:sz="6" w:space="0"/>
            </w:tcBorders>
            <w:vAlign w:val="center"/>
          </w:tcPr>
          <w:p w14:paraId="3C77429F">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报价</w:t>
            </w:r>
          </w:p>
        </w:tc>
        <w:tc>
          <w:tcPr>
            <w:tcW w:w="7414" w:type="dxa"/>
            <w:gridSpan w:val="3"/>
            <w:tcBorders>
              <w:top w:val="single" w:color="auto" w:sz="6" w:space="0"/>
              <w:left w:val="single" w:color="auto" w:sz="6" w:space="0"/>
              <w:bottom w:val="single" w:color="auto" w:sz="6" w:space="0"/>
              <w:right w:val="double" w:color="auto" w:sz="4" w:space="0"/>
            </w:tcBorders>
            <w:vAlign w:val="center"/>
          </w:tcPr>
          <w:p w14:paraId="2795C3B6">
            <w:pPr>
              <w:pageBreakBefore w:val="0"/>
              <w:kinsoku/>
              <w:overflowPunct/>
              <w:topLinePunct w:val="0"/>
              <w:bidi w:val="0"/>
              <w:spacing w:line="400" w:lineRule="exact"/>
              <w:outlineLvl w:val="9"/>
              <w:rPr>
                <w:rFonts w:hint="default" w:ascii="仿宋" w:hAnsi="仿宋" w:eastAsia="仿宋_GB2312" w:cs="仿宋"/>
                <w:color w:val="auto"/>
                <w:szCs w:val="21"/>
                <w:highlight w:val="none"/>
                <w:lang w:val="en-US" w:eastAsia="zh-CN"/>
              </w:rPr>
            </w:pPr>
            <w:r>
              <w:rPr>
                <w:rFonts w:hint="eastAsia" w:ascii="仿宋" w:hAnsi="仿宋" w:eastAsia="仿宋_GB2312" w:cs="仿宋"/>
                <w:color w:val="auto"/>
                <w:szCs w:val="21"/>
                <w:highlight w:val="none"/>
              </w:rPr>
              <w:t>大写：</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元人民币</w:t>
            </w:r>
            <w:r>
              <w:rPr>
                <w:rFonts w:hint="eastAsia" w:ascii="仿宋" w:hAnsi="仿宋" w:eastAsia="仿宋_GB2312" w:cs="仿宋"/>
                <w:color w:val="auto"/>
                <w:szCs w:val="21"/>
                <w:highlight w:val="none"/>
                <w:lang w:val="en-US" w:eastAsia="zh-CN"/>
              </w:rPr>
              <w:t>/一年</w:t>
            </w:r>
          </w:p>
          <w:p w14:paraId="47CE9E63">
            <w:pPr>
              <w:pageBreakBefore w:val="0"/>
              <w:kinsoku/>
              <w:overflowPunct/>
              <w:topLinePunct w:val="0"/>
              <w:bidi w:val="0"/>
              <w:spacing w:line="400" w:lineRule="exact"/>
              <w:outlineLvl w:val="9"/>
              <w:rPr>
                <w:rFonts w:hint="eastAsia" w:ascii="仿宋" w:hAnsi="仿宋" w:eastAsia="仿宋" w:cs="仿宋"/>
                <w:color w:val="auto"/>
                <w:szCs w:val="21"/>
                <w:highlight w:val="none"/>
                <w:lang w:val="en-US" w:eastAsia="zh-CN"/>
              </w:rPr>
            </w:pPr>
            <w:r>
              <w:rPr>
                <w:rFonts w:hint="eastAsia" w:ascii="仿宋" w:hAnsi="仿宋" w:eastAsia="仿宋_GB2312" w:cs="仿宋"/>
                <w:color w:val="auto"/>
                <w:szCs w:val="21"/>
                <w:highlight w:val="none"/>
              </w:rPr>
              <w:t>小写：</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元人民币</w:t>
            </w:r>
            <w:r>
              <w:rPr>
                <w:rFonts w:hint="eastAsia" w:ascii="仿宋" w:hAnsi="仿宋" w:eastAsia="仿宋_GB2312" w:cs="仿宋"/>
                <w:color w:val="auto"/>
                <w:szCs w:val="21"/>
                <w:highlight w:val="none"/>
                <w:lang w:val="en-US" w:eastAsia="zh-CN"/>
              </w:rPr>
              <w:t>/一年</w:t>
            </w:r>
          </w:p>
        </w:tc>
      </w:tr>
      <w:tr w14:paraId="324C37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770" w:type="dxa"/>
            <w:tcBorders>
              <w:top w:val="single" w:color="auto" w:sz="6" w:space="0"/>
              <w:left w:val="double" w:color="auto" w:sz="4" w:space="0"/>
              <w:bottom w:val="single" w:color="auto" w:sz="6" w:space="0"/>
              <w:right w:val="single" w:color="auto" w:sz="6" w:space="0"/>
            </w:tcBorders>
            <w:vAlign w:val="center"/>
          </w:tcPr>
          <w:p w14:paraId="0DD3EA73">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服务合同期</w:t>
            </w:r>
          </w:p>
        </w:tc>
        <w:tc>
          <w:tcPr>
            <w:tcW w:w="7414" w:type="dxa"/>
            <w:gridSpan w:val="3"/>
            <w:tcBorders>
              <w:top w:val="single" w:color="auto" w:sz="6" w:space="0"/>
              <w:left w:val="single" w:color="auto" w:sz="6" w:space="0"/>
              <w:bottom w:val="single" w:color="auto" w:sz="6" w:space="0"/>
              <w:right w:val="double" w:color="auto" w:sz="4" w:space="0"/>
            </w:tcBorders>
            <w:vAlign w:val="center"/>
          </w:tcPr>
          <w:p w14:paraId="73CDE5C0">
            <w:pPr>
              <w:pageBreakBefore w:val="0"/>
              <w:kinsoku/>
              <w:overflowPunct/>
              <w:topLinePunct w:val="0"/>
              <w:bidi w:val="0"/>
              <w:spacing w:line="400" w:lineRule="exact"/>
              <w:outlineLvl w:val="9"/>
              <w:rPr>
                <w:rFonts w:hint="eastAsia" w:ascii="仿宋" w:hAnsi="仿宋" w:eastAsia="仿宋" w:cs="仿宋"/>
                <w:iCs/>
                <w:color w:val="auto"/>
                <w:szCs w:val="21"/>
                <w:highlight w:val="none"/>
              </w:rPr>
            </w:pPr>
            <w:r>
              <w:rPr>
                <w:rFonts w:hint="eastAsia" w:ascii="仿宋" w:hAnsi="仿宋" w:eastAsia="仿宋_GB2312" w:cs="仿宋"/>
                <w:iCs/>
                <w:color w:val="auto"/>
                <w:szCs w:val="21"/>
                <w:highlight w:val="none"/>
              </w:rPr>
              <w:t xml:space="preserve">   </w:t>
            </w:r>
          </w:p>
        </w:tc>
      </w:tr>
      <w:tr w14:paraId="2C6D1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70" w:type="dxa"/>
            <w:tcBorders>
              <w:top w:val="single" w:color="auto" w:sz="6" w:space="0"/>
              <w:left w:val="double" w:color="auto" w:sz="4" w:space="0"/>
              <w:bottom w:val="single" w:color="auto" w:sz="6" w:space="0"/>
              <w:right w:val="single" w:color="auto" w:sz="6" w:space="0"/>
            </w:tcBorders>
            <w:vAlign w:val="center"/>
          </w:tcPr>
          <w:p w14:paraId="0340F8C8">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项目负责人</w:t>
            </w:r>
          </w:p>
        </w:tc>
        <w:tc>
          <w:tcPr>
            <w:tcW w:w="7414" w:type="dxa"/>
            <w:gridSpan w:val="3"/>
            <w:tcBorders>
              <w:top w:val="single" w:color="auto" w:sz="6" w:space="0"/>
              <w:left w:val="single" w:color="auto" w:sz="6" w:space="0"/>
              <w:bottom w:val="single" w:color="auto" w:sz="6" w:space="0"/>
              <w:right w:val="double" w:color="auto" w:sz="4" w:space="0"/>
            </w:tcBorders>
            <w:vAlign w:val="center"/>
          </w:tcPr>
          <w:p w14:paraId="2AE242CF">
            <w:pPr>
              <w:pageBreakBefore w:val="0"/>
              <w:kinsoku/>
              <w:overflowPunct/>
              <w:topLinePunct w:val="0"/>
              <w:bidi w:val="0"/>
              <w:spacing w:line="400" w:lineRule="exact"/>
              <w:ind w:firstLine="210" w:firstLineChars="100"/>
              <w:outlineLvl w:val="9"/>
              <w:rPr>
                <w:rFonts w:hint="eastAsia" w:ascii="仿宋" w:hAnsi="仿宋" w:eastAsia="仿宋" w:cs="仿宋"/>
                <w:color w:val="auto"/>
                <w:szCs w:val="21"/>
                <w:highlight w:val="none"/>
              </w:rPr>
            </w:pPr>
          </w:p>
        </w:tc>
      </w:tr>
      <w:tr w14:paraId="7E4665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770" w:type="dxa"/>
            <w:tcBorders>
              <w:top w:val="single" w:color="auto" w:sz="6" w:space="0"/>
              <w:left w:val="double" w:color="auto" w:sz="4" w:space="0"/>
              <w:bottom w:val="double" w:color="auto" w:sz="4" w:space="0"/>
              <w:right w:val="single" w:color="auto" w:sz="6" w:space="0"/>
            </w:tcBorders>
            <w:vAlign w:val="center"/>
          </w:tcPr>
          <w:p w14:paraId="2DDBFEDE">
            <w:pPr>
              <w:pageBreakBefore w:val="0"/>
              <w:kinsoku/>
              <w:overflowPunct/>
              <w:topLinePunct w:val="0"/>
              <w:bidi w:val="0"/>
              <w:spacing w:line="400" w:lineRule="exact"/>
              <w:jc w:val="center"/>
              <w:outlineLvl w:val="9"/>
              <w:rPr>
                <w:rFonts w:hint="eastAsia" w:ascii="仿宋" w:hAnsi="仿宋" w:eastAsia="仿宋" w:cs="仿宋"/>
                <w:color w:val="auto"/>
                <w:szCs w:val="21"/>
                <w:highlight w:val="none"/>
              </w:rPr>
            </w:pPr>
            <w:r>
              <w:rPr>
                <w:rFonts w:hint="eastAsia" w:ascii="仿宋" w:hAnsi="仿宋" w:eastAsia="仿宋_GB2312" w:cs="仿宋"/>
                <w:color w:val="auto"/>
                <w:szCs w:val="21"/>
                <w:highlight w:val="none"/>
              </w:rPr>
              <w:t>备  注</w:t>
            </w:r>
          </w:p>
        </w:tc>
        <w:tc>
          <w:tcPr>
            <w:tcW w:w="7414" w:type="dxa"/>
            <w:gridSpan w:val="3"/>
            <w:tcBorders>
              <w:top w:val="single" w:color="auto" w:sz="6" w:space="0"/>
              <w:left w:val="single" w:color="auto" w:sz="6" w:space="0"/>
              <w:bottom w:val="double" w:color="auto" w:sz="4" w:space="0"/>
              <w:right w:val="double" w:color="auto" w:sz="4" w:space="0"/>
            </w:tcBorders>
            <w:vAlign w:val="center"/>
          </w:tcPr>
          <w:p w14:paraId="687E2B5D">
            <w:pPr>
              <w:pageBreakBefore w:val="0"/>
              <w:kinsoku/>
              <w:overflowPunct/>
              <w:topLinePunct w:val="0"/>
              <w:bidi w:val="0"/>
              <w:spacing w:line="400" w:lineRule="exact"/>
              <w:outlineLvl w:val="9"/>
              <w:rPr>
                <w:rFonts w:hint="eastAsia" w:ascii="仿宋" w:hAnsi="仿宋" w:eastAsia="仿宋" w:cs="仿宋"/>
                <w:color w:val="auto"/>
                <w:szCs w:val="21"/>
                <w:highlight w:val="none"/>
              </w:rPr>
            </w:pPr>
          </w:p>
        </w:tc>
      </w:tr>
    </w:tbl>
    <w:p w14:paraId="3C2C7DD2">
      <w:pPr>
        <w:pageBreakBefore w:val="0"/>
        <w:kinsoku/>
        <w:overflowPunct/>
        <w:topLinePunct w:val="0"/>
        <w:bidi w:val="0"/>
        <w:adjustRightInd w:val="0"/>
        <w:snapToGrid w:val="0"/>
        <w:spacing w:line="400" w:lineRule="exact"/>
        <w:outlineLvl w:val="9"/>
        <w:rPr>
          <w:rFonts w:hint="eastAsia" w:ascii="仿宋" w:hAnsi="仿宋" w:eastAsia="仿宋_GB2312" w:cs="仿宋"/>
          <w:color w:val="auto"/>
          <w:szCs w:val="21"/>
          <w:highlight w:val="none"/>
        </w:rPr>
      </w:pPr>
      <w:r>
        <w:rPr>
          <w:rFonts w:hint="eastAsia" w:ascii="仿宋" w:hAnsi="仿宋" w:eastAsia="仿宋_GB2312" w:cs="仿宋"/>
          <w:b/>
          <w:color w:val="auto"/>
          <w:szCs w:val="21"/>
          <w:highlight w:val="none"/>
        </w:rPr>
        <w:t>备注：</w:t>
      </w:r>
      <w:r>
        <w:rPr>
          <w:rFonts w:hint="eastAsia" w:ascii="仿宋" w:hAnsi="仿宋" w:eastAsia="仿宋_GB2312" w:cs="仿宋"/>
          <w:color w:val="auto"/>
          <w:szCs w:val="21"/>
          <w:highlight w:val="none"/>
        </w:rPr>
        <w:t>（1）本表须按包填写，一个“包号”一份。</w:t>
      </w:r>
    </w:p>
    <w:p w14:paraId="432ECD93">
      <w:pPr>
        <w:pageBreakBefore w:val="0"/>
        <w:numPr>
          <w:ilvl w:val="0"/>
          <w:numId w:val="9"/>
        </w:numPr>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投标人提交两份及以上投标报价不同的“开标一览表”，且未书面说明哪个有效或以哪个为准的，其</w:t>
      </w:r>
      <w:r>
        <w:rPr>
          <w:rFonts w:hint="eastAsia" w:ascii="仿宋" w:hAnsi="仿宋" w:eastAsia="仿宋_GB2312" w:cs="仿宋"/>
          <w:b/>
          <w:color w:val="auto"/>
          <w:szCs w:val="21"/>
          <w:highlight w:val="none"/>
        </w:rPr>
        <w:t>投标无效</w:t>
      </w:r>
      <w:r>
        <w:rPr>
          <w:rFonts w:hint="eastAsia" w:ascii="仿宋" w:hAnsi="仿宋" w:eastAsia="仿宋_GB2312" w:cs="仿宋"/>
          <w:color w:val="auto"/>
          <w:szCs w:val="21"/>
          <w:highlight w:val="none"/>
        </w:rPr>
        <w:t>。</w:t>
      </w:r>
    </w:p>
    <w:p w14:paraId="44C17D69">
      <w:pPr>
        <w:pageBreakBefore w:val="0"/>
        <w:numPr>
          <w:ilvl w:val="0"/>
          <w:numId w:val="9"/>
        </w:numPr>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lang w:eastAsia="zh-CN"/>
        </w:rPr>
        <w:t>投标报价超过预算或最高限价的其</w:t>
      </w:r>
      <w:r>
        <w:rPr>
          <w:rFonts w:hint="eastAsia" w:ascii="仿宋" w:hAnsi="仿宋" w:eastAsia="仿宋_GB2312" w:cs="仿宋"/>
          <w:b/>
          <w:bCs/>
          <w:color w:val="auto"/>
          <w:szCs w:val="21"/>
          <w:highlight w:val="none"/>
          <w:lang w:eastAsia="zh-CN"/>
        </w:rPr>
        <w:t>投标无效</w:t>
      </w:r>
      <w:r>
        <w:rPr>
          <w:rFonts w:hint="eastAsia" w:ascii="仿宋" w:hAnsi="仿宋" w:eastAsia="仿宋_GB2312" w:cs="仿宋"/>
          <w:color w:val="auto"/>
          <w:szCs w:val="21"/>
          <w:highlight w:val="none"/>
          <w:lang w:eastAsia="zh-CN"/>
        </w:rPr>
        <w:t>，服务合同期不满足采购需求的其</w:t>
      </w:r>
      <w:r>
        <w:rPr>
          <w:rFonts w:hint="eastAsia" w:ascii="仿宋" w:hAnsi="仿宋" w:eastAsia="仿宋_GB2312" w:cs="仿宋"/>
          <w:b/>
          <w:bCs/>
          <w:color w:val="auto"/>
          <w:szCs w:val="21"/>
          <w:highlight w:val="none"/>
          <w:lang w:eastAsia="zh-CN"/>
        </w:rPr>
        <w:t>投标无效</w:t>
      </w:r>
      <w:r>
        <w:rPr>
          <w:rFonts w:hint="eastAsia" w:ascii="仿宋" w:hAnsi="仿宋" w:eastAsia="仿宋_GB2312" w:cs="仿宋"/>
          <w:color w:val="auto"/>
          <w:szCs w:val="21"/>
          <w:highlight w:val="none"/>
          <w:lang w:eastAsia="zh-CN"/>
        </w:rPr>
        <w:t>。</w:t>
      </w:r>
    </w:p>
    <w:p w14:paraId="164648D5">
      <w:pPr>
        <w:pageBreakBefore w:val="0"/>
        <w:kinsoku/>
        <w:overflowPunct/>
        <w:topLinePunct w:val="0"/>
        <w:bidi w:val="0"/>
        <w:adjustRightInd w:val="0"/>
        <w:snapToGrid w:val="0"/>
        <w:spacing w:line="400" w:lineRule="exact"/>
        <w:ind w:firstLine="420" w:firstLineChars="200"/>
        <w:jc w:val="lef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（3）</w:t>
      </w:r>
      <w:r>
        <w:rPr>
          <w:rFonts w:hint="eastAsia" w:ascii="仿宋" w:hAnsi="仿宋" w:eastAsia="仿宋_GB2312" w:cs="仿宋"/>
          <w:color w:val="auto"/>
          <w:highlight w:val="none"/>
        </w:rPr>
        <w:t>投标人在投标截止时间前修改“开标一览表”中的投标报价的，应同时修改投标文件“分项报价明细表”“享受政府采购政策优惠的证明资料”以及“联合体协议书”（如果影响）等相关内容。</w:t>
      </w:r>
    </w:p>
    <w:p w14:paraId="25EB7EA0">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p>
    <w:p w14:paraId="3CDCC3EB">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highlight w:val="none"/>
          <w:lang w:eastAsia="zh-CN"/>
        </w:rPr>
        <w:t>注：具体填写内容以系统设置为准。</w:t>
      </w:r>
      <w:r>
        <w:rPr>
          <w:rFonts w:hint="eastAsia" w:ascii="仿宋" w:hAnsi="仿宋" w:eastAsia="仿宋_GB2312" w:cs="仿宋"/>
          <w:color w:val="auto"/>
          <w:highlight w:val="none"/>
        </w:rPr>
        <w:br w:type="page"/>
      </w:r>
    </w:p>
    <w:p w14:paraId="5353B604">
      <w:pPr>
        <w:pageBreakBefore w:val="0"/>
        <w:numPr>
          <w:ilvl w:val="0"/>
          <w:numId w:val="0"/>
        </w:numPr>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kern w:val="2"/>
          <w:sz w:val="32"/>
          <w:szCs w:val="32"/>
          <w:lang w:val="en-US" w:eastAsia="zh-CN" w:bidi="ar-SA"/>
        </w:rPr>
        <w:t>四、</w:t>
      </w:r>
      <w:r>
        <w:rPr>
          <w:rFonts w:hint="eastAsia" w:ascii="仿宋" w:hAnsi="仿宋" w:eastAsia="仿宋_GB2312" w:cs="仿宋"/>
          <w:color w:val="auto"/>
          <w:sz w:val="32"/>
          <w:szCs w:val="32"/>
          <w:highlight w:val="none"/>
          <w:lang w:eastAsia="zh-CN"/>
        </w:rPr>
        <w:t>分项报价</w:t>
      </w:r>
    </w:p>
    <w:p w14:paraId="5F716E45">
      <w:pPr>
        <w:pageBreakBefore w:val="0"/>
        <w:numPr>
          <w:ilvl w:val="0"/>
          <w:numId w:val="0"/>
        </w:numPr>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sz w:val="24"/>
          <w:szCs w:val="24"/>
          <w:highlight w:val="none"/>
          <w:lang w:eastAsia="zh-CN"/>
        </w:rPr>
        <w:t>（格式自拟）</w:t>
      </w:r>
    </w:p>
    <w:p w14:paraId="6D57C546">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lang w:eastAsia="zh-CN"/>
        </w:rPr>
      </w:pPr>
    </w:p>
    <w:p w14:paraId="1A118C10">
      <w:pPr>
        <w:pStyle w:val="156"/>
        <w:pageBreakBefore w:val="0"/>
        <w:kinsoku/>
        <w:overflowPunct/>
        <w:topLinePunct w:val="0"/>
        <w:bidi w:val="0"/>
        <w:spacing w:line="400" w:lineRule="exact"/>
        <w:outlineLvl w:val="9"/>
        <w:rPr>
          <w:rFonts w:hint="default" w:ascii="仿宋" w:hAnsi="仿宋" w:eastAsia="仿宋_GB2312" w:cs="仿宋"/>
          <w:b w:val="0"/>
          <w:bCs/>
          <w:color w:val="FF0000"/>
          <w:kern w:val="0"/>
          <w:sz w:val="28"/>
          <w:szCs w:val="28"/>
          <w:highlight w:val="none"/>
          <w:lang w:val="en-US" w:eastAsia="zh-CN"/>
        </w:rPr>
      </w:pPr>
      <w:r>
        <w:rPr>
          <w:rFonts w:hint="eastAsia" w:ascii="仿宋" w:hAnsi="仿宋" w:eastAsia="仿宋_GB2312" w:cs="仿宋"/>
          <w:b w:val="0"/>
          <w:bCs/>
          <w:color w:val="FF0000"/>
          <w:kern w:val="0"/>
          <w:sz w:val="28"/>
          <w:szCs w:val="28"/>
          <w:highlight w:val="none"/>
          <w:lang w:val="en-US" w:eastAsia="zh-CN"/>
        </w:rPr>
        <w:t>格式自拟</w:t>
      </w:r>
    </w:p>
    <w:p w14:paraId="635DA837">
      <w:pPr>
        <w:pStyle w:val="156"/>
        <w:pageBreakBefore w:val="0"/>
        <w:kinsoku/>
        <w:overflowPunct/>
        <w:topLinePunct w:val="0"/>
        <w:bidi w:val="0"/>
        <w:spacing w:line="400" w:lineRule="exact"/>
        <w:outlineLvl w:val="9"/>
        <w:rPr>
          <w:rStyle w:val="46"/>
          <w:rFonts w:hint="eastAsia" w:ascii="仿宋" w:hAnsi="仿宋" w:eastAsia="仿宋_GB2312" w:cs="仿宋"/>
          <w:color w:val="auto"/>
          <w:highlight w:val="none"/>
        </w:rPr>
      </w:pPr>
      <w:r>
        <w:rPr>
          <w:rStyle w:val="46"/>
          <w:rFonts w:hint="eastAsia" w:ascii="仿宋" w:hAnsi="仿宋" w:eastAsia="仿宋_GB2312" w:cs="仿宋"/>
          <w:color w:val="auto"/>
          <w:szCs w:val="21"/>
          <w:highlight w:val="none"/>
        </w:rPr>
        <w:t xml:space="preserve">  </w:t>
      </w:r>
    </w:p>
    <w:p w14:paraId="193C901C">
      <w:pPr>
        <w:pStyle w:val="156"/>
        <w:pageBreakBefore w:val="0"/>
        <w:kinsoku/>
        <w:overflowPunct/>
        <w:topLinePunct w:val="0"/>
        <w:bidi w:val="0"/>
        <w:spacing w:line="400" w:lineRule="exact"/>
        <w:outlineLvl w:val="9"/>
        <w:rPr>
          <w:rStyle w:val="46"/>
          <w:rFonts w:hint="eastAsia" w:ascii="仿宋" w:hAnsi="仿宋" w:eastAsia="仿宋_GB2312" w:cs="仿宋"/>
          <w:color w:val="auto"/>
          <w:highlight w:val="none"/>
          <w:lang w:eastAsia="zh-CN"/>
        </w:rPr>
      </w:pPr>
      <w:r>
        <w:rPr>
          <w:rStyle w:val="46"/>
          <w:rFonts w:hint="eastAsia" w:ascii="仿宋" w:hAnsi="仿宋" w:eastAsia="仿宋_GB2312" w:cs="仿宋"/>
          <w:color w:val="auto"/>
          <w:szCs w:val="21"/>
          <w:highlight w:val="none"/>
        </w:rPr>
        <w:t xml:space="preserve">  </w:t>
      </w:r>
      <w:r>
        <w:rPr>
          <w:rStyle w:val="46"/>
          <w:rFonts w:hint="eastAsia" w:ascii="仿宋" w:hAnsi="仿宋" w:eastAsia="仿宋_GB2312" w:cs="仿宋"/>
          <w:color w:val="auto"/>
          <w:szCs w:val="21"/>
          <w:highlight w:val="none"/>
          <w:lang w:eastAsia="zh-CN"/>
        </w:rPr>
        <w:t>注：未提供分项报价的做无效投标处理。</w:t>
      </w:r>
    </w:p>
    <w:p w14:paraId="787A5085">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2BB23609">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70E31525">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180F257A">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121646D0">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151EDBB6">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6FA22751">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3307CB20">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79C1F6C9">
      <w:pPr>
        <w:pStyle w:val="156"/>
        <w:pageBreakBefore w:val="0"/>
        <w:kinsoku/>
        <w:overflowPunct/>
        <w:topLinePunct w:val="0"/>
        <w:bidi w:val="0"/>
        <w:spacing w:line="400" w:lineRule="exact"/>
        <w:outlineLvl w:val="9"/>
        <w:rPr>
          <w:rStyle w:val="46"/>
          <w:rFonts w:hint="eastAsia" w:ascii="仿宋" w:hAnsi="仿宋" w:eastAsia="仿宋_GB2312" w:cs="仿宋"/>
          <w:color w:val="auto"/>
          <w:szCs w:val="21"/>
          <w:highlight w:val="none"/>
        </w:rPr>
      </w:pPr>
    </w:p>
    <w:p w14:paraId="2C3ACF43">
      <w:pPr>
        <w:pStyle w:val="156"/>
        <w:pageBreakBefore w:val="0"/>
        <w:kinsoku/>
        <w:overflowPunct/>
        <w:topLinePunct w:val="0"/>
        <w:bidi w:val="0"/>
        <w:spacing w:line="400" w:lineRule="exact"/>
        <w:outlineLvl w:val="9"/>
        <w:rPr>
          <w:rStyle w:val="46"/>
          <w:rFonts w:hint="eastAsia" w:ascii="仿宋" w:hAnsi="仿宋" w:eastAsia="仿宋_GB2312" w:cs="仿宋"/>
          <w:color w:val="auto"/>
          <w:highlight w:val="none"/>
        </w:rPr>
      </w:pPr>
      <w:r>
        <w:rPr>
          <w:rStyle w:val="46"/>
          <w:rFonts w:hint="eastAsia" w:ascii="仿宋" w:hAnsi="仿宋" w:eastAsia="仿宋_GB2312" w:cs="仿宋"/>
          <w:color w:val="auto"/>
          <w:szCs w:val="21"/>
          <w:highlight w:val="none"/>
        </w:rPr>
        <w:t xml:space="preserve">投标人名称（单位电子签章）： </w:t>
      </w:r>
    </w:p>
    <w:p w14:paraId="10B36E2B">
      <w:pPr>
        <w:pStyle w:val="156"/>
        <w:pageBreakBefore w:val="0"/>
        <w:kinsoku/>
        <w:overflowPunct/>
        <w:topLinePunct w:val="0"/>
        <w:bidi w:val="0"/>
        <w:spacing w:line="400" w:lineRule="exact"/>
        <w:outlineLvl w:val="9"/>
        <w:rPr>
          <w:rStyle w:val="46"/>
          <w:rFonts w:hint="eastAsia" w:ascii="仿宋" w:hAnsi="仿宋" w:eastAsia="仿宋_GB2312" w:cs="仿宋"/>
          <w:color w:val="auto"/>
          <w:highlight w:val="none"/>
        </w:rPr>
      </w:pPr>
      <w:r>
        <w:rPr>
          <w:rStyle w:val="46"/>
          <w:rFonts w:hint="eastAsia" w:ascii="仿宋" w:hAnsi="仿宋" w:eastAsia="仿宋_GB2312" w:cs="仿宋"/>
          <w:color w:val="auto"/>
          <w:szCs w:val="21"/>
          <w:highlight w:val="none"/>
        </w:rPr>
        <w:t>日期：</w:t>
      </w:r>
      <w:r>
        <w:rPr>
          <w:rStyle w:val="46"/>
          <w:rFonts w:hint="eastAsia" w:ascii="仿宋" w:hAnsi="仿宋" w:eastAsia="仿宋_GB2312" w:cs="仿宋"/>
          <w:color w:val="auto"/>
          <w:szCs w:val="21"/>
          <w:highlight w:val="none"/>
          <w:u w:val="single"/>
        </w:rPr>
        <w:t>            </w:t>
      </w:r>
      <w:r>
        <w:rPr>
          <w:rStyle w:val="46"/>
          <w:rFonts w:hint="eastAsia" w:ascii="仿宋" w:hAnsi="仿宋" w:eastAsia="仿宋_GB2312" w:cs="仿宋"/>
          <w:color w:val="auto"/>
          <w:szCs w:val="21"/>
          <w:highlight w:val="none"/>
        </w:rPr>
        <w:t xml:space="preserve"> 年</w:t>
      </w:r>
      <w:r>
        <w:rPr>
          <w:rStyle w:val="46"/>
          <w:rFonts w:hint="eastAsia" w:ascii="仿宋" w:hAnsi="仿宋" w:eastAsia="仿宋_GB2312" w:cs="仿宋"/>
          <w:color w:val="auto"/>
          <w:szCs w:val="21"/>
          <w:highlight w:val="none"/>
          <w:u w:val="single"/>
        </w:rPr>
        <w:t>           </w:t>
      </w:r>
      <w:r>
        <w:rPr>
          <w:rStyle w:val="46"/>
          <w:rFonts w:hint="eastAsia" w:ascii="仿宋" w:hAnsi="仿宋" w:eastAsia="仿宋_GB2312" w:cs="仿宋"/>
          <w:color w:val="auto"/>
          <w:szCs w:val="21"/>
          <w:highlight w:val="none"/>
        </w:rPr>
        <w:t xml:space="preserve"> 月</w:t>
      </w:r>
      <w:r>
        <w:rPr>
          <w:rStyle w:val="46"/>
          <w:rFonts w:hint="eastAsia" w:ascii="仿宋" w:hAnsi="仿宋" w:eastAsia="仿宋_GB2312" w:cs="仿宋"/>
          <w:color w:val="auto"/>
          <w:szCs w:val="21"/>
          <w:highlight w:val="none"/>
          <w:u w:val="single"/>
        </w:rPr>
        <w:t>        </w:t>
      </w:r>
      <w:r>
        <w:rPr>
          <w:rStyle w:val="46"/>
          <w:rFonts w:hint="eastAsia" w:ascii="仿宋" w:hAnsi="仿宋" w:eastAsia="仿宋_GB2312" w:cs="仿宋"/>
          <w:color w:val="auto"/>
          <w:szCs w:val="21"/>
          <w:highlight w:val="none"/>
        </w:rPr>
        <w:t xml:space="preserve"> 日 </w:t>
      </w:r>
    </w:p>
    <w:p w14:paraId="28CA452E">
      <w:pPr>
        <w:pageBreakBefore w:val="0"/>
        <w:kinsoku/>
        <w:overflowPunct/>
        <w:topLinePunct w:val="0"/>
        <w:bidi w:val="0"/>
        <w:spacing w:line="400" w:lineRule="exact"/>
        <w:outlineLvl w:val="9"/>
        <w:rPr>
          <w:rFonts w:hint="eastAsia" w:ascii="仿宋" w:hAnsi="仿宋" w:eastAsia="仿宋_GB2312" w:cs="仿宋"/>
          <w:color w:val="auto"/>
          <w:highlight w:val="none"/>
        </w:rPr>
      </w:pPr>
      <w:r>
        <w:rPr>
          <w:rStyle w:val="46"/>
          <w:rFonts w:hint="eastAsia" w:ascii="仿宋" w:hAnsi="仿宋" w:eastAsia="仿宋_GB2312" w:cs="仿宋"/>
          <w:color w:val="auto"/>
          <w:highlight w:val="none"/>
        </w:rPr>
        <w:br w:type="page"/>
      </w:r>
    </w:p>
    <w:p w14:paraId="01062CDF">
      <w:pPr>
        <w:pageBreakBefore w:val="0"/>
        <w:kinsoku/>
        <w:overflowPunct/>
        <w:topLinePunct w:val="0"/>
        <w:autoSpaceDE w:val="0"/>
        <w:autoSpaceDN w:val="0"/>
        <w:bidi w:val="0"/>
        <w:adjustRightInd w:val="0"/>
        <w:snapToGrid w:val="0"/>
        <w:spacing w:line="400" w:lineRule="exact"/>
        <w:jc w:val="center"/>
        <w:outlineLvl w:val="9"/>
        <w:rPr>
          <w:rFonts w:hint="eastAsia" w:ascii="仿宋" w:hAnsi="仿宋" w:eastAsia="仿宋_GB2312" w:cs="仿宋"/>
          <w:b/>
          <w:color w:val="auto"/>
          <w:kern w:val="0"/>
          <w:sz w:val="28"/>
          <w:szCs w:val="28"/>
          <w:highlight w:val="none"/>
        </w:rPr>
      </w:pPr>
      <w:r>
        <w:rPr>
          <w:rFonts w:hint="eastAsia" w:ascii="仿宋" w:hAnsi="仿宋" w:eastAsia="仿宋_GB2312" w:cs="仿宋"/>
          <w:b/>
          <w:color w:val="auto"/>
          <w:spacing w:val="-2"/>
          <w:kern w:val="0"/>
          <w:sz w:val="28"/>
          <w:szCs w:val="28"/>
          <w:highlight w:val="none"/>
        </w:rPr>
        <w:t>分</w:t>
      </w:r>
      <w:r>
        <w:rPr>
          <w:rFonts w:hint="eastAsia" w:ascii="仿宋" w:hAnsi="仿宋" w:eastAsia="仿宋_GB2312" w:cs="仿宋"/>
          <w:b/>
          <w:color w:val="auto"/>
          <w:kern w:val="0"/>
          <w:sz w:val="28"/>
          <w:szCs w:val="28"/>
          <w:highlight w:val="none"/>
        </w:rPr>
        <w:t>项</w:t>
      </w:r>
      <w:r>
        <w:rPr>
          <w:rFonts w:hint="eastAsia" w:ascii="仿宋" w:hAnsi="仿宋" w:eastAsia="仿宋_GB2312" w:cs="仿宋"/>
          <w:b/>
          <w:color w:val="auto"/>
          <w:spacing w:val="-2"/>
          <w:kern w:val="0"/>
          <w:sz w:val="28"/>
          <w:szCs w:val="28"/>
          <w:highlight w:val="none"/>
        </w:rPr>
        <w:t>报</w:t>
      </w:r>
      <w:r>
        <w:rPr>
          <w:rFonts w:hint="eastAsia" w:ascii="仿宋" w:hAnsi="仿宋" w:eastAsia="仿宋_GB2312" w:cs="仿宋"/>
          <w:b/>
          <w:color w:val="auto"/>
          <w:kern w:val="0"/>
          <w:sz w:val="28"/>
          <w:szCs w:val="28"/>
          <w:highlight w:val="none"/>
        </w:rPr>
        <w:t>价说明</w:t>
      </w:r>
    </w:p>
    <w:p w14:paraId="0D6F3BBC">
      <w:pPr>
        <w:pageBreakBefore w:val="0"/>
        <w:kinsoku/>
        <w:overflowPunct/>
        <w:topLinePunct w:val="0"/>
        <w:autoSpaceDE w:val="0"/>
        <w:autoSpaceDN w:val="0"/>
        <w:bidi w:val="0"/>
        <w:adjustRightInd w:val="0"/>
        <w:snapToGrid w:val="0"/>
        <w:spacing w:line="400" w:lineRule="exact"/>
        <w:jc w:val="center"/>
        <w:outlineLvl w:val="9"/>
        <w:rPr>
          <w:rFonts w:hint="eastAsia" w:ascii="仿宋" w:hAnsi="仿宋" w:eastAsia="仿宋_GB2312" w:cs="仿宋"/>
          <w:b/>
          <w:color w:val="auto"/>
          <w:kern w:val="0"/>
          <w:sz w:val="28"/>
          <w:szCs w:val="28"/>
          <w:highlight w:val="none"/>
        </w:rPr>
      </w:pPr>
    </w:p>
    <w:p w14:paraId="77C26284">
      <w:pPr>
        <w:pStyle w:val="43"/>
        <w:rPr>
          <w:rFonts w:hint="eastAsia" w:ascii="仿宋" w:hAnsi="仿宋" w:eastAsia="仿宋_GB2312" w:cs="仿宋"/>
          <w:b w:val="0"/>
          <w:bCs/>
          <w:color w:val="auto"/>
          <w:kern w:val="0"/>
          <w:sz w:val="28"/>
          <w:szCs w:val="28"/>
          <w:highlight w:val="none"/>
          <w:lang w:eastAsia="zh-CN"/>
        </w:rPr>
      </w:pPr>
    </w:p>
    <w:p w14:paraId="3B655310">
      <w:pPr>
        <w:pageBreakBefore w:val="0"/>
        <w:kinsoku/>
        <w:overflowPunct/>
        <w:topLinePunct w:val="0"/>
        <w:autoSpaceDE w:val="0"/>
        <w:autoSpaceDN w:val="0"/>
        <w:bidi w:val="0"/>
        <w:adjustRightInd w:val="0"/>
        <w:snapToGrid w:val="0"/>
        <w:spacing w:line="400" w:lineRule="exact"/>
        <w:jc w:val="left"/>
        <w:outlineLvl w:val="9"/>
        <w:rPr>
          <w:rFonts w:hint="eastAsia" w:ascii="仿宋" w:hAnsi="仿宋" w:eastAsia="仿宋_GB2312" w:cs="仿宋"/>
          <w:color w:val="auto"/>
          <w:kern w:val="0"/>
          <w:szCs w:val="21"/>
          <w:highlight w:val="none"/>
          <w:lang w:val="en-US"/>
        </w:rPr>
      </w:pPr>
      <w:r>
        <w:rPr>
          <w:rFonts w:hint="eastAsia" w:ascii="仿宋" w:hAnsi="仿宋" w:eastAsia="仿宋_GB2312" w:cs="仿宋"/>
          <w:color w:val="auto"/>
          <w:kern w:val="0"/>
          <w:szCs w:val="21"/>
          <w:highlight w:val="none"/>
        </w:rPr>
        <w:t>备注：</w:t>
      </w:r>
      <w:r>
        <w:rPr>
          <w:rFonts w:hint="eastAsia" w:ascii="仿宋" w:hAnsi="仿宋" w:eastAsia="仿宋_GB2312" w:cs="仿宋"/>
          <w:color w:val="auto"/>
          <w:kern w:val="0"/>
          <w:szCs w:val="21"/>
          <w:highlight w:val="none"/>
          <w:lang w:val="en-US" w:eastAsia="zh-CN"/>
        </w:rPr>
        <w:t>1、分项报价说明在响应文件中可以为空白；2、</w:t>
      </w:r>
      <w:r>
        <w:rPr>
          <w:rFonts w:hint="eastAsia" w:ascii="仿宋" w:hAnsi="仿宋" w:eastAsia="仿宋_GB2312" w:cs="仿宋"/>
          <w:color w:val="auto"/>
          <w:kern w:val="0"/>
          <w:szCs w:val="21"/>
          <w:highlight w:val="none"/>
          <w:lang w:eastAsia="zh-CN"/>
        </w:rPr>
        <w:t>有需要说明的特殊情况，或者报价低于市场价或成本价需要向评标委员会做价格测算等说明的，可做分项报价说明；</w:t>
      </w:r>
      <w:r>
        <w:rPr>
          <w:rFonts w:hint="eastAsia" w:ascii="仿宋" w:hAnsi="仿宋" w:eastAsia="仿宋_GB2312" w:cs="仿宋"/>
          <w:color w:val="auto"/>
          <w:kern w:val="0"/>
          <w:szCs w:val="21"/>
          <w:highlight w:val="none"/>
          <w:lang w:val="en-US" w:eastAsia="zh-CN"/>
        </w:rPr>
        <w:t>3、其他供应商认为需要说明的情况。</w:t>
      </w:r>
    </w:p>
    <w:p w14:paraId="449F47EF">
      <w:pPr>
        <w:pageBreakBefore w:val="0"/>
        <w:kinsoku/>
        <w:overflowPunct/>
        <w:topLinePunct w:val="0"/>
        <w:bidi w:val="0"/>
        <w:adjustRightInd w:val="0"/>
        <w:snapToGrid w:val="0"/>
        <w:spacing w:line="400" w:lineRule="exact"/>
        <w:ind w:left="-88" w:leftChars="-42"/>
        <w:outlineLvl w:val="9"/>
        <w:rPr>
          <w:rFonts w:hint="eastAsia" w:ascii="仿宋" w:hAnsi="仿宋" w:eastAsia="仿宋_GB2312" w:cs="仿宋"/>
          <w:color w:val="auto"/>
          <w:szCs w:val="21"/>
          <w:highlight w:val="none"/>
        </w:rPr>
      </w:pPr>
    </w:p>
    <w:p w14:paraId="132B797E">
      <w:pPr>
        <w:pageBreakBefore w:val="0"/>
        <w:kinsoku/>
        <w:overflowPunct/>
        <w:topLinePunct w:val="0"/>
        <w:bidi w:val="0"/>
        <w:adjustRightInd w:val="0"/>
        <w:snapToGrid w:val="0"/>
        <w:spacing w:line="400" w:lineRule="exact"/>
        <w:outlineLvl w:val="9"/>
        <w:rPr>
          <w:rFonts w:hint="eastAsia" w:ascii="仿宋" w:hAnsi="仿宋" w:eastAsia="仿宋_GB2312" w:cs="仿宋"/>
          <w:color w:val="auto"/>
          <w:szCs w:val="21"/>
          <w:highlight w:val="none"/>
        </w:rPr>
      </w:pPr>
    </w:p>
    <w:p w14:paraId="12D1A92A">
      <w:pPr>
        <w:pageBreakBefore w:val="0"/>
        <w:kinsoku/>
        <w:overflowPunct/>
        <w:topLinePunct w:val="0"/>
        <w:bidi w:val="0"/>
        <w:adjustRightInd w:val="0"/>
        <w:snapToGrid w:val="0"/>
        <w:spacing w:line="400" w:lineRule="exact"/>
        <w:outlineLvl w:val="9"/>
        <w:rPr>
          <w:rFonts w:hint="eastAsia" w:ascii="仿宋" w:hAnsi="仿宋" w:eastAsia="仿宋_GB2312" w:cs="仿宋"/>
          <w:color w:val="auto"/>
          <w:szCs w:val="21"/>
          <w:highlight w:val="none"/>
        </w:rPr>
      </w:pPr>
    </w:p>
    <w:p w14:paraId="1EFF22D6">
      <w:pPr>
        <w:pageBreakBefore w:val="0"/>
        <w:kinsoku/>
        <w:overflowPunct/>
        <w:topLinePunct w:val="0"/>
        <w:bidi w:val="0"/>
        <w:adjustRightInd w:val="0"/>
        <w:snapToGrid w:val="0"/>
        <w:spacing w:line="400" w:lineRule="exact"/>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投标人名称（单位</w:t>
      </w:r>
      <w:r>
        <w:rPr>
          <w:rFonts w:hint="eastAsia" w:ascii="仿宋" w:hAnsi="仿宋" w:eastAsia="仿宋_GB2312" w:cs="仿宋"/>
          <w:color w:val="auto"/>
          <w:szCs w:val="21"/>
          <w:highlight w:val="none"/>
          <w:lang w:eastAsia="zh-CN"/>
        </w:rPr>
        <w:t>电子签章</w:t>
      </w:r>
      <w:r>
        <w:rPr>
          <w:rFonts w:hint="eastAsia" w:ascii="仿宋" w:hAnsi="仿宋" w:eastAsia="仿宋_GB2312" w:cs="仿宋"/>
          <w:color w:val="auto"/>
          <w:szCs w:val="21"/>
          <w:highlight w:val="none"/>
        </w:rPr>
        <w:t>）：</w:t>
      </w:r>
      <w:r>
        <w:rPr>
          <w:rFonts w:hint="eastAsia" w:ascii="仿宋" w:hAnsi="仿宋" w:eastAsia="仿宋_GB2312" w:cs="仿宋"/>
          <w:color w:val="auto"/>
          <w:szCs w:val="21"/>
          <w:highlight w:val="none"/>
          <w:u w:val="single"/>
        </w:rPr>
        <w:t xml:space="preserve">         </w:t>
      </w:r>
    </w:p>
    <w:p w14:paraId="1B27FC95">
      <w:pPr>
        <w:pStyle w:val="43"/>
        <w:pageBreakBefore w:val="0"/>
        <w:kinsoku/>
        <w:overflowPunct/>
        <w:topLinePunct w:val="0"/>
        <w:bidi w:val="0"/>
        <w:spacing w:after="0" w:line="400" w:lineRule="exact"/>
        <w:ind w:left="0" w:leftChars="0" w:firstLine="0" w:firstLineChars="0"/>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日期：</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年</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rPr>
        <w:t>月</w:t>
      </w:r>
      <w:r>
        <w:rPr>
          <w:rFonts w:hint="eastAsia" w:ascii="仿宋" w:hAnsi="仿宋" w:eastAsia="仿宋_GB2312" w:cs="仿宋"/>
          <w:color w:val="auto"/>
          <w:szCs w:val="21"/>
          <w:highlight w:val="none"/>
          <w:u w:val="single"/>
        </w:rPr>
        <w:t xml:space="preserve">         </w:t>
      </w:r>
    </w:p>
    <w:p w14:paraId="798D0689">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br w:type="page"/>
      </w:r>
    </w:p>
    <w:p w14:paraId="4C3BC241">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sz w:val="32"/>
          <w:szCs w:val="32"/>
          <w:highlight w:val="none"/>
          <w:lang w:eastAsia="zh-CN"/>
        </w:rPr>
        <w:t>五、商务条款响应、偏离表</w:t>
      </w:r>
    </w:p>
    <w:p w14:paraId="348C68FC">
      <w:pPr>
        <w:pageBreakBefore w:val="0"/>
        <w:kinsoku/>
        <w:overflowPunct/>
        <w:topLinePunct w:val="0"/>
        <w:bidi w:val="0"/>
        <w:adjustRightInd w:val="0"/>
        <w:snapToGrid w:val="0"/>
        <w:spacing w:line="400" w:lineRule="exact"/>
        <w:outlineLvl w:val="9"/>
        <w:rPr>
          <w:rFonts w:hint="eastAsia" w:ascii="仿宋" w:hAnsi="仿宋" w:eastAsia="仿宋_GB2312" w:cs="仿宋"/>
          <w:bCs/>
          <w:color w:val="auto"/>
          <w:spacing w:val="6"/>
          <w:kern w:val="0"/>
          <w:szCs w:val="21"/>
          <w:highlight w:val="none"/>
        </w:rPr>
      </w:pPr>
    </w:p>
    <w:p w14:paraId="32465293">
      <w:pPr>
        <w:pageBreakBefore w:val="0"/>
        <w:kinsoku/>
        <w:overflowPunct/>
        <w:topLinePunct w:val="0"/>
        <w:bidi w:val="0"/>
        <w:spacing w:line="400" w:lineRule="exact"/>
        <w:jc w:val="center"/>
        <w:outlineLvl w:val="9"/>
        <w:rPr>
          <w:rFonts w:hint="eastAsia" w:ascii="仿宋" w:hAnsi="仿宋" w:eastAsia="仿宋_GB2312" w:cs="仿宋"/>
          <w:color w:val="auto"/>
          <w:highlight w:val="none"/>
        </w:rPr>
      </w:pPr>
    </w:p>
    <w:p w14:paraId="51EFCDE2">
      <w:pPr>
        <w:pageBreakBefore w:val="0"/>
        <w:kinsoku/>
        <w:overflowPunct/>
        <w:topLinePunct w:val="0"/>
        <w:bidi w:val="0"/>
        <w:spacing w:line="400" w:lineRule="exact"/>
        <w:jc w:val="center"/>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4B158C95">
      <w:pPr>
        <w:pageBreakBefore w:val="0"/>
        <w:kinsoku/>
        <w:overflowPunct/>
        <w:topLinePunct w:val="0"/>
        <w:bidi w:val="0"/>
        <w:spacing w:line="400" w:lineRule="exact"/>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 xml:space="preserve">政府采购编号：                                                 </w:t>
      </w:r>
      <w:r>
        <w:rPr>
          <w:rFonts w:hint="eastAsia" w:ascii="仿宋" w:hAnsi="仿宋" w:eastAsia="仿宋_GB2312" w:cs="仿宋"/>
          <w:color w:val="auto"/>
          <w:szCs w:val="21"/>
          <w:highlight w:val="none"/>
          <w:lang w:eastAsia="zh-CN"/>
        </w:rPr>
        <w:t>采购代理编号</w:t>
      </w:r>
      <w:r>
        <w:rPr>
          <w:rFonts w:hint="eastAsia" w:ascii="仿宋" w:hAnsi="仿宋" w:eastAsia="仿宋_GB2312" w:cs="仿宋"/>
          <w:color w:val="auto"/>
          <w:szCs w:val="21"/>
          <w:highlight w:val="none"/>
        </w:rPr>
        <w:t>：</w:t>
      </w:r>
    </w:p>
    <w:p w14:paraId="3182C768">
      <w:pPr>
        <w:pageBreakBefore w:val="0"/>
        <w:kinsoku/>
        <w:overflowPunct/>
        <w:topLinePunct w:val="0"/>
        <w:bidi w:val="0"/>
        <w:spacing w:line="400" w:lineRule="exact"/>
        <w:outlineLvl w:val="9"/>
        <w:rPr>
          <w:rFonts w:hint="eastAsia" w:ascii="仿宋" w:hAnsi="仿宋" w:eastAsia="仿宋" w:cs="仿宋"/>
          <w:color w:val="auto"/>
          <w:szCs w:val="21"/>
          <w:highlight w:val="none"/>
          <w:lang w:eastAsia="zh-CN"/>
        </w:rPr>
      </w:pPr>
      <w:r>
        <w:rPr>
          <w:rFonts w:hint="eastAsia" w:ascii="仿宋" w:hAnsi="仿宋" w:eastAsia="仿宋_GB2312" w:cs="仿宋"/>
          <w:color w:val="auto"/>
          <w:szCs w:val="21"/>
          <w:highlight w:val="none"/>
          <w:lang w:eastAsia="zh-CN"/>
        </w:rPr>
        <w:t>包号及包名称：</w:t>
      </w:r>
    </w:p>
    <w:tbl>
      <w:tblPr>
        <w:tblStyle w:val="44"/>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86"/>
        <w:gridCol w:w="1329"/>
        <w:gridCol w:w="2126"/>
        <w:gridCol w:w="1993"/>
        <w:gridCol w:w="1196"/>
        <w:gridCol w:w="796"/>
      </w:tblGrid>
      <w:tr w14:paraId="57F1989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532"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4F7EE1B">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序号 </w:t>
            </w:r>
          </w:p>
        </w:tc>
        <w:tc>
          <w:tcPr>
            <w:tcW w:w="79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8CC53C3">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招标文件条目号 </w:t>
            </w:r>
          </w:p>
        </w:tc>
        <w:tc>
          <w:tcPr>
            <w:tcW w:w="127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A2DB50">
            <w:pPr>
              <w:pageBreakBefore w:val="0"/>
              <w:kinsoku/>
              <w:overflowPunct/>
              <w:topLinePunct w:val="0"/>
              <w:bidi w:val="0"/>
              <w:spacing w:line="400" w:lineRule="exact"/>
              <w:ind w:right="-94"/>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招标文件的商务条款 </w:t>
            </w:r>
          </w:p>
        </w:tc>
        <w:tc>
          <w:tcPr>
            <w:tcW w:w="119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A74F3CD">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投标文件的商务条款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23E8532">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响应与偏离 </w:t>
            </w:r>
          </w:p>
        </w:tc>
        <w:tc>
          <w:tcPr>
            <w:tcW w:w="479"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EDD7593">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说明 </w:t>
            </w:r>
          </w:p>
        </w:tc>
      </w:tr>
      <w:tr w14:paraId="5FC61D4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532"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5213846">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9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F09683D">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27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C15A2CD">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19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5A1D2F0">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C4C9359">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79"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F17F478">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r w14:paraId="71D8231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532"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28F03DB">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9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D9792B3">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27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0A0DD59">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19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732D61D">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BF31B00">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79"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DB0E888">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r w14:paraId="49ECB7D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532"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716EA0A">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9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4D91863">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27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F3B93FE">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19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146D2FA2">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FD5F378">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79"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082C3E8">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r w14:paraId="135F1FB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532"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FF392C2">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9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0867FB1C">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27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688FAE2F">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19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A2ECF55">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F48DA1C">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79"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85439D5">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r w14:paraId="351E3E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532"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75770383">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9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2B2FE280">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27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4CFB2321">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1197"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3D28781C">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718"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5548B38">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c>
          <w:tcPr>
            <w:tcW w:w="479" w:type="pct"/>
            <w:tcBorders>
              <w:top w:val="single" w:color="000000" w:sz="8" w:space="0"/>
              <w:left w:val="single" w:color="000000" w:sz="8" w:space="0"/>
              <w:bottom w:val="single" w:color="000000" w:sz="8" w:space="0"/>
              <w:right w:val="single" w:color="000000" w:sz="8" w:space="0"/>
            </w:tcBorders>
            <w:noWrap w:val="0"/>
            <w:tcMar>
              <w:top w:w="0" w:type="dxa"/>
              <w:left w:w="0" w:type="dxa"/>
              <w:bottom w:w="0" w:type="dxa"/>
              <w:right w:w="0" w:type="dxa"/>
            </w:tcMar>
            <w:vAlign w:val="center"/>
          </w:tcPr>
          <w:p w14:paraId="5459610D">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  </w:t>
            </w:r>
          </w:p>
        </w:tc>
      </w:tr>
    </w:tbl>
    <w:p w14:paraId="62FFDFFE">
      <w:pPr>
        <w:pageBreakBefore w:val="0"/>
        <w:kinsoku/>
        <w:overflowPunct/>
        <w:topLinePunct w:val="0"/>
        <w:bidi w:val="0"/>
        <w:spacing w:line="400" w:lineRule="exact"/>
        <w:outlineLvl w:val="9"/>
        <w:rPr>
          <w:rFonts w:hint="eastAsia" w:ascii="仿宋" w:hAnsi="仿宋" w:eastAsia="仿宋_GB2312" w:cs="仿宋"/>
          <w:bCs/>
          <w:color w:val="auto"/>
          <w:szCs w:val="21"/>
          <w:highlight w:val="none"/>
        </w:rPr>
      </w:pPr>
      <w:r>
        <w:rPr>
          <w:rFonts w:hint="eastAsia" w:ascii="仿宋" w:hAnsi="仿宋" w:eastAsia="仿宋_GB2312" w:cs="仿宋"/>
          <w:bCs/>
          <w:color w:val="auto"/>
          <w:szCs w:val="21"/>
          <w:highlight w:val="none"/>
        </w:rPr>
        <w:t>注：1、 投标人应作详细的文字描述说明，不得简单填定“均向应”、“完全响应”，否则，评标时将视为未响应。</w:t>
      </w:r>
    </w:p>
    <w:p w14:paraId="11CD69B5">
      <w:pPr>
        <w:pageBreakBefore w:val="0"/>
        <w:kinsoku/>
        <w:overflowPunct/>
        <w:topLinePunct w:val="0"/>
        <w:bidi w:val="0"/>
        <w:spacing w:line="400" w:lineRule="exact"/>
        <w:outlineLvl w:val="9"/>
        <w:rPr>
          <w:rFonts w:hint="eastAsia" w:ascii="仿宋" w:hAnsi="仿宋" w:eastAsia="仿宋_GB2312" w:cs="仿宋"/>
          <w:color w:val="auto"/>
          <w:szCs w:val="21"/>
          <w:highlight w:val="none"/>
        </w:rPr>
      </w:pPr>
      <w:r>
        <w:rPr>
          <w:rFonts w:hint="eastAsia" w:ascii="仿宋" w:hAnsi="仿宋" w:eastAsia="仿宋_GB2312" w:cs="仿宋"/>
          <w:bCs/>
          <w:color w:val="auto"/>
          <w:szCs w:val="21"/>
          <w:highlight w:val="none"/>
        </w:rPr>
        <w:t xml:space="preserve">      2、</w:t>
      </w:r>
      <w:r>
        <w:rPr>
          <w:rFonts w:hint="eastAsia" w:ascii="仿宋" w:hAnsi="仿宋" w:eastAsia="仿宋_GB2312" w:cs="仿宋"/>
          <w:color w:val="auto"/>
          <w:szCs w:val="21"/>
          <w:highlight w:val="none"/>
        </w:rPr>
        <w:t>“响应与偏离”应注明“响应”或“偏离”。</w:t>
      </w:r>
    </w:p>
    <w:p w14:paraId="5C4FB8E4">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5F91EE37">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47DD9ACA">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085AF8C5">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323545A6">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63D0CE37">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投标人名称</w:t>
      </w:r>
      <w:r>
        <w:rPr>
          <w:rFonts w:hint="eastAsia" w:ascii="仿宋" w:hAnsi="仿宋" w:eastAsia="仿宋_GB2312" w:cs="仿宋"/>
          <w:color w:val="auto"/>
          <w:szCs w:val="21"/>
          <w:highlight w:val="none"/>
          <w:lang w:eastAsia="zh-CN"/>
        </w:rPr>
        <w:t>（电子签章）</w:t>
      </w:r>
      <w:r>
        <w:rPr>
          <w:rFonts w:hint="eastAsia" w:ascii="仿宋" w:hAnsi="仿宋" w:eastAsia="仿宋_GB2312" w:cs="仿宋"/>
          <w:color w:val="auto"/>
          <w:szCs w:val="21"/>
          <w:highlight w:val="none"/>
        </w:rPr>
        <w:t>：</w:t>
      </w:r>
      <w:r>
        <w:rPr>
          <w:rFonts w:hint="eastAsia" w:ascii="仿宋" w:hAnsi="仿宋" w:eastAsia="仿宋_GB2312" w:cs="仿宋"/>
          <w:color w:val="auto"/>
          <w:szCs w:val="21"/>
          <w:highlight w:val="none"/>
          <w:u w:val="single"/>
        </w:rPr>
        <w:t>                  </w:t>
      </w:r>
      <w:r>
        <w:rPr>
          <w:rFonts w:hint="eastAsia" w:ascii="仿宋" w:hAnsi="仿宋" w:eastAsia="仿宋_GB2312" w:cs="仿宋"/>
          <w:color w:val="auto"/>
          <w:highlight w:val="none"/>
        </w:rPr>
        <w:t xml:space="preserve"> </w:t>
      </w:r>
    </w:p>
    <w:p w14:paraId="18C821EA">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日          期：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年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月 </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日</w:t>
      </w:r>
    </w:p>
    <w:p w14:paraId="493FB69E">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13E9C6E2">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0370A20E">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4CD400D5">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0419F43A">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42382C22">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1969CE29">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2299216D">
      <w:pPr>
        <w:pageBreakBefore w:val="0"/>
        <w:kinsoku/>
        <w:overflowPunct/>
        <w:topLinePunct w:val="0"/>
        <w:bidi w:val="0"/>
        <w:spacing w:line="400" w:lineRule="exact"/>
        <w:outlineLvl w:val="9"/>
        <w:rPr>
          <w:rFonts w:hint="eastAsia" w:ascii="仿宋" w:hAnsi="仿宋" w:eastAsia="仿宋_GB2312" w:cs="仿宋"/>
          <w:color w:val="auto"/>
          <w:highlight w:val="none"/>
        </w:rPr>
      </w:pPr>
    </w:p>
    <w:p w14:paraId="3F454072">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77FD9182">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sz w:val="32"/>
          <w:szCs w:val="32"/>
          <w:highlight w:val="none"/>
          <w:lang w:eastAsia="zh-CN"/>
        </w:rPr>
        <w:t>六、投标保证金</w:t>
      </w:r>
    </w:p>
    <w:p w14:paraId="0DE83BA4">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5BA375AD">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 xml:space="preserve">  </w:t>
      </w:r>
    </w:p>
    <w:p w14:paraId="11414992">
      <w:pPr>
        <w:pageBreakBefore w:val="0"/>
        <w:numPr>
          <w:ilvl w:val="0"/>
          <w:numId w:val="0"/>
        </w:numPr>
        <w:kinsoku/>
        <w:overflowPunct/>
        <w:topLinePunct w:val="0"/>
        <w:bidi w:val="0"/>
        <w:spacing w:line="400" w:lineRule="exact"/>
        <w:ind w:left="2520" w:leftChars="0"/>
        <w:jc w:val="both"/>
        <w:outlineLvl w:val="9"/>
        <w:rPr>
          <w:rFonts w:hint="eastAsia" w:ascii="仿宋" w:hAnsi="仿宋" w:eastAsia="仿宋_GB2312" w:cs="仿宋"/>
          <w:b/>
          <w:color w:val="auto"/>
          <w:sz w:val="32"/>
          <w:szCs w:val="32"/>
          <w:highlight w:val="none"/>
        </w:rPr>
      </w:pPr>
      <w:r>
        <w:rPr>
          <w:rFonts w:hint="eastAsia" w:ascii="仿宋" w:hAnsi="仿宋" w:eastAsia="仿宋_GB2312" w:cs="仿宋"/>
          <w:b/>
          <w:color w:val="auto"/>
          <w:sz w:val="32"/>
          <w:szCs w:val="32"/>
          <w:highlight w:val="none"/>
          <w:lang w:eastAsia="zh-CN"/>
        </w:rPr>
        <w:t>项目免交投标保证金承诺书</w:t>
      </w:r>
      <w:r>
        <w:rPr>
          <w:rFonts w:hint="eastAsia" w:ascii="仿宋" w:hAnsi="仿宋" w:eastAsia="仿宋_GB2312" w:cs="仿宋"/>
          <w:b/>
          <w:color w:val="auto"/>
          <w:sz w:val="32"/>
          <w:szCs w:val="32"/>
          <w:highlight w:val="none"/>
          <w:lang w:val="en-US" w:eastAsia="zh-CN"/>
        </w:rPr>
        <w:t xml:space="preserve">  </w:t>
      </w:r>
    </w:p>
    <w:p w14:paraId="04096F82">
      <w:pPr>
        <w:pStyle w:val="22"/>
        <w:pageBreakBefore w:val="0"/>
        <w:kinsoku/>
        <w:overflowPunct/>
        <w:topLinePunct w:val="0"/>
        <w:bidi w:val="0"/>
        <w:adjustRightInd w:val="0"/>
        <w:snapToGrid w:val="0"/>
        <w:spacing w:line="400" w:lineRule="exact"/>
        <w:outlineLvl w:val="9"/>
        <w:rPr>
          <w:rFonts w:hint="eastAsia" w:ascii="仿宋" w:hAnsi="仿宋" w:eastAsia="仿宋_GB2312" w:cs="仿宋"/>
          <w:color w:val="auto"/>
          <w:highlight w:val="none"/>
        </w:rPr>
      </w:pPr>
    </w:p>
    <w:p w14:paraId="6E344252">
      <w:pPr>
        <w:pStyle w:val="62"/>
        <w:pageBreakBefore w:val="0"/>
        <w:kinsoku/>
        <w:overflowPunct/>
        <w:topLinePunct w:val="0"/>
        <w:bidi w:val="0"/>
        <w:spacing w:line="400" w:lineRule="exact"/>
        <w:outlineLvl w:val="9"/>
        <w:rPr>
          <w:rFonts w:hint="eastAsia" w:ascii="仿宋" w:hAnsi="仿宋" w:eastAsia="仿宋_GB2312" w:cs="仿宋"/>
          <w:color w:val="auto"/>
          <w:highlight w:val="none"/>
        </w:rPr>
      </w:pPr>
    </w:p>
    <w:p w14:paraId="5F77D46B">
      <w:pPr>
        <w:pStyle w:val="155"/>
        <w:pageBreakBefore w:val="0"/>
        <w:kinsoku/>
        <w:overflowPunct/>
        <w:topLinePunct w:val="0"/>
        <w:bidi w:val="0"/>
        <w:spacing w:line="400" w:lineRule="exact"/>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致</w:t>
      </w:r>
      <w:r>
        <w:rPr>
          <w:rFonts w:hint="eastAsia" w:ascii="仿宋" w:hAnsi="仿宋" w:eastAsia="仿宋_GB2312" w:cs="仿宋"/>
          <w:color w:val="auto"/>
          <w:sz w:val="21"/>
          <w:szCs w:val="21"/>
          <w:highlight w:val="none"/>
          <w:u w:val="single"/>
        </w:rPr>
        <w:t xml:space="preserve">                  </w:t>
      </w:r>
      <w:r>
        <w:rPr>
          <w:rFonts w:hint="eastAsia" w:ascii="仿宋" w:hAnsi="仿宋" w:eastAsia="仿宋_GB2312" w:cs="仿宋"/>
          <w:color w:val="auto"/>
          <w:sz w:val="21"/>
          <w:szCs w:val="21"/>
          <w:highlight w:val="none"/>
        </w:rPr>
        <w:t>（采购代理机构）：</w:t>
      </w:r>
    </w:p>
    <w:p w14:paraId="43E41045">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因本项目不收取保证金，我公司承诺，如有下列情形之一的，愿意承担相关的法律责任，并接受财政部门的相关处罚。</w:t>
      </w:r>
    </w:p>
    <w:p w14:paraId="365C3A28">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(一)中标、成交后无正当理由不与采购人签订合同的；</w:t>
      </w:r>
    </w:p>
    <w:p w14:paraId="01E07E59">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(二)未经采购人同意，将中标、成交项目分包方式履行合同的；</w:t>
      </w:r>
    </w:p>
    <w:p w14:paraId="3F15AA27">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(三)在提交投标（响应）文件截止时间后撤回投标（响应）文件的；</w:t>
      </w:r>
    </w:p>
    <w:p w14:paraId="40B321DC">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（四）在投标（响应）文件中提供虚假材料的；</w:t>
      </w:r>
    </w:p>
    <w:p w14:paraId="692A77D9">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（五）与采购人、其他供应商或者采购代理机构恶意串通的；</w:t>
      </w:r>
    </w:p>
    <w:p w14:paraId="4924D78D">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（六）法律法规或者采购文件规定的其他情形。</w:t>
      </w:r>
    </w:p>
    <w:p w14:paraId="6D967B9E">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rPr>
        <w:t>特此承诺！</w:t>
      </w:r>
    </w:p>
    <w:p w14:paraId="3C57C8E7">
      <w:pPr>
        <w:pStyle w:val="155"/>
        <w:pageBreakBefore w:val="0"/>
        <w:kinsoku/>
        <w:overflowPunct/>
        <w:topLinePunct w:val="0"/>
        <w:bidi w:val="0"/>
        <w:spacing w:line="400" w:lineRule="exact"/>
        <w:ind w:firstLine="420" w:firstLineChars="200"/>
        <w:outlineLvl w:val="9"/>
        <w:rPr>
          <w:rFonts w:hint="eastAsia" w:ascii="仿宋" w:hAnsi="仿宋" w:eastAsia="仿宋_GB2312" w:cs="仿宋"/>
          <w:color w:val="auto"/>
          <w:sz w:val="21"/>
          <w:szCs w:val="21"/>
          <w:highlight w:val="none"/>
        </w:rPr>
      </w:pPr>
    </w:p>
    <w:p w14:paraId="28D8F601">
      <w:pPr>
        <w:pStyle w:val="155"/>
        <w:pageBreakBefore w:val="0"/>
        <w:kinsoku/>
        <w:overflowPunct/>
        <w:topLinePunct w:val="0"/>
        <w:bidi w:val="0"/>
        <w:spacing w:line="400" w:lineRule="exact"/>
        <w:outlineLvl w:val="9"/>
        <w:rPr>
          <w:rFonts w:hint="eastAsia" w:ascii="仿宋" w:hAnsi="仿宋" w:eastAsia="仿宋_GB2312" w:cs="仿宋"/>
          <w:color w:val="auto"/>
          <w:sz w:val="21"/>
          <w:szCs w:val="21"/>
          <w:highlight w:val="none"/>
        </w:rPr>
      </w:pPr>
      <w:r>
        <w:rPr>
          <w:rFonts w:hint="eastAsia" w:ascii="仿宋" w:hAnsi="仿宋" w:eastAsia="仿宋_GB2312" w:cs="仿宋"/>
          <w:color w:val="auto"/>
          <w:sz w:val="21"/>
          <w:szCs w:val="21"/>
          <w:highlight w:val="none"/>
          <w:lang w:eastAsia="zh-CN"/>
        </w:rPr>
        <w:t>供应商</w:t>
      </w:r>
      <w:r>
        <w:rPr>
          <w:rFonts w:hint="eastAsia" w:ascii="仿宋" w:hAnsi="仿宋" w:eastAsia="仿宋_GB2312" w:cs="仿宋"/>
          <w:color w:val="auto"/>
          <w:sz w:val="21"/>
          <w:szCs w:val="21"/>
          <w:highlight w:val="none"/>
        </w:rPr>
        <w:t>名称（单位</w:t>
      </w:r>
      <w:r>
        <w:rPr>
          <w:rFonts w:hint="eastAsia" w:ascii="仿宋" w:hAnsi="仿宋" w:eastAsia="仿宋_GB2312" w:cs="仿宋"/>
          <w:color w:val="auto"/>
          <w:sz w:val="21"/>
          <w:szCs w:val="21"/>
          <w:highlight w:val="none"/>
          <w:lang w:val="en-US" w:eastAsia="zh-CN"/>
        </w:rPr>
        <w:t>电子</w:t>
      </w:r>
      <w:r>
        <w:rPr>
          <w:rFonts w:hint="eastAsia" w:ascii="仿宋" w:hAnsi="仿宋" w:eastAsia="仿宋_GB2312" w:cs="仿宋"/>
          <w:color w:val="auto"/>
          <w:sz w:val="21"/>
          <w:szCs w:val="21"/>
          <w:highlight w:val="none"/>
        </w:rPr>
        <w:t>签章）：</w:t>
      </w:r>
    </w:p>
    <w:p w14:paraId="3F5007C5">
      <w:pPr>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21"/>
          <w:szCs w:val="21"/>
          <w:highlight w:val="none"/>
        </w:rPr>
      </w:pPr>
      <w:r>
        <w:rPr>
          <w:rFonts w:hint="eastAsia" w:ascii="仿宋" w:hAnsi="仿宋" w:eastAsia="仿宋_GB2312" w:cs="仿宋"/>
          <w:color w:val="auto"/>
          <w:sz w:val="21"/>
          <w:szCs w:val="21"/>
          <w:highlight w:val="none"/>
        </w:rPr>
        <w:t>日期：</w:t>
      </w:r>
      <w:r>
        <w:rPr>
          <w:rFonts w:hint="eastAsia" w:ascii="仿宋" w:hAnsi="仿宋" w:eastAsia="仿宋_GB2312" w:cs="仿宋"/>
          <w:color w:val="auto"/>
          <w:sz w:val="21"/>
          <w:szCs w:val="21"/>
          <w:highlight w:val="none"/>
          <w:u w:val="single"/>
        </w:rPr>
        <w:t xml:space="preserve">        </w:t>
      </w:r>
      <w:r>
        <w:rPr>
          <w:rFonts w:hint="eastAsia" w:ascii="仿宋" w:hAnsi="仿宋" w:eastAsia="仿宋_GB2312" w:cs="仿宋"/>
          <w:color w:val="auto"/>
          <w:sz w:val="21"/>
          <w:szCs w:val="21"/>
          <w:highlight w:val="none"/>
        </w:rPr>
        <w:t xml:space="preserve"> 年 </w:t>
      </w:r>
      <w:r>
        <w:rPr>
          <w:rFonts w:hint="eastAsia" w:ascii="仿宋" w:hAnsi="仿宋" w:eastAsia="仿宋_GB2312" w:cs="仿宋"/>
          <w:color w:val="auto"/>
          <w:sz w:val="21"/>
          <w:szCs w:val="21"/>
          <w:highlight w:val="none"/>
          <w:u w:val="single"/>
        </w:rPr>
        <w:t xml:space="preserve">     </w:t>
      </w:r>
      <w:r>
        <w:rPr>
          <w:rFonts w:hint="eastAsia" w:ascii="仿宋" w:hAnsi="仿宋" w:eastAsia="仿宋_GB2312" w:cs="仿宋"/>
          <w:color w:val="auto"/>
          <w:sz w:val="21"/>
          <w:szCs w:val="21"/>
          <w:highlight w:val="none"/>
        </w:rPr>
        <w:t xml:space="preserve"> 月 </w:t>
      </w:r>
      <w:r>
        <w:rPr>
          <w:rFonts w:hint="eastAsia" w:ascii="仿宋" w:hAnsi="仿宋" w:eastAsia="仿宋_GB2312" w:cs="仿宋"/>
          <w:color w:val="auto"/>
          <w:sz w:val="21"/>
          <w:szCs w:val="21"/>
          <w:highlight w:val="none"/>
          <w:u w:val="single"/>
        </w:rPr>
        <w:t xml:space="preserve">      </w:t>
      </w:r>
      <w:r>
        <w:rPr>
          <w:rFonts w:hint="eastAsia" w:ascii="仿宋" w:hAnsi="仿宋" w:eastAsia="仿宋_GB2312" w:cs="仿宋"/>
          <w:color w:val="auto"/>
          <w:sz w:val="21"/>
          <w:szCs w:val="21"/>
          <w:highlight w:val="none"/>
        </w:rPr>
        <w:t xml:space="preserve"> 日</w:t>
      </w:r>
    </w:p>
    <w:p w14:paraId="112A532E">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4E3ADB21">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766890B6">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6232CE57">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6419B58C">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7C1CF15E">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35C2F755">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2461D4F7">
      <w:pPr>
        <w:pageBreakBefore w:val="0"/>
        <w:kinsoku/>
        <w:overflowPunct/>
        <w:topLinePunct w:val="0"/>
        <w:bidi w:val="0"/>
        <w:adjustRightInd w:val="0"/>
        <w:snapToGrid w:val="0"/>
        <w:spacing w:line="400" w:lineRule="exact"/>
        <w:ind w:firstLine="444" w:firstLineChars="200"/>
        <w:outlineLvl w:val="9"/>
        <w:rPr>
          <w:rFonts w:hint="eastAsia" w:ascii="仿宋" w:hAnsi="仿宋" w:eastAsia="仿宋_GB2312" w:cs="仿宋"/>
          <w:bCs/>
          <w:color w:val="auto"/>
          <w:spacing w:val="6"/>
          <w:kern w:val="0"/>
          <w:szCs w:val="21"/>
          <w:highlight w:val="none"/>
        </w:rPr>
      </w:pPr>
    </w:p>
    <w:p w14:paraId="7698D153">
      <w:pPr>
        <w:pageBreakBefore w:val="0"/>
        <w:kinsoku/>
        <w:overflowPunct/>
        <w:topLinePunct w:val="0"/>
        <w:bidi w:val="0"/>
        <w:spacing w:line="400" w:lineRule="exact"/>
        <w:outlineLvl w:val="9"/>
        <w:rPr>
          <w:rFonts w:hint="eastAsia" w:ascii="仿宋" w:hAnsi="仿宋" w:eastAsia="仿宋_GB2312" w:cs="仿宋"/>
          <w:bCs/>
          <w:color w:val="auto"/>
          <w:spacing w:val="6"/>
          <w:kern w:val="0"/>
          <w:szCs w:val="21"/>
          <w:highlight w:val="none"/>
        </w:rPr>
      </w:pPr>
    </w:p>
    <w:p w14:paraId="11818816">
      <w:pPr>
        <w:pageBreakBefore w:val="0"/>
        <w:kinsoku/>
        <w:overflowPunct/>
        <w:topLinePunct w:val="0"/>
        <w:bidi w:val="0"/>
        <w:rPr>
          <w:rFonts w:hint="eastAsia" w:ascii="仿宋" w:hAnsi="仿宋" w:eastAsia="仿宋_GB2312" w:cs="仿宋"/>
          <w:b/>
          <w:color w:val="auto"/>
          <w:sz w:val="28"/>
          <w:szCs w:val="28"/>
          <w:highlight w:val="none"/>
        </w:rPr>
      </w:pPr>
      <w:r>
        <w:rPr>
          <w:rFonts w:hint="eastAsia" w:ascii="仿宋" w:hAnsi="仿宋" w:eastAsia="仿宋_GB2312" w:cs="仿宋"/>
          <w:b/>
          <w:color w:val="auto"/>
          <w:sz w:val="28"/>
          <w:szCs w:val="28"/>
          <w:highlight w:val="none"/>
        </w:rPr>
        <w:br w:type="page"/>
      </w:r>
    </w:p>
    <w:p w14:paraId="22A55FD4">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sz w:val="32"/>
          <w:szCs w:val="32"/>
          <w:highlight w:val="none"/>
          <w:lang w:eastAsia="zh-CN"/>
        </w:rPr>
        <w:t>七、中小企业声明函</w:t>
      </w:r>
    </w:p>
    <w:p w14:paraId="61BD05E6">
      <w:pPr>
        <w:pageBreakBefore w:val="0"/>
        <w:kinsoku/>
        <w:overflowPunct/>
        <w:topLinePunct w:val="0"/>
        <w:bidi w:val="0"/>
        <w:spacing w:line="400" w:lineRule="exact"/>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t xml:space="preserve">  </w:t>
      </w:r>
    </w:p>
    <w:p w14:paraId="4EFE854C">
      <w:pPr>
        <w:pageBreakBefore w:val="0"/>
        <w:kinsoku/>
        <w:overflowPunct/>
        <w:topLinePunct w:val="0"/>
        <w:bidi w:val="0"/>
        <w:spacing w:line="400" w:lineRule="exact"/>
        <w:outlineLvl w:val="9"/>
        <w:rPr>
          <w:rFonts w:hint="eastAsia" w:ascii="仿宋" w:hAnsi="仿宋" w:eastAsia="仿宋_GB2312" w:cs="仿宋"/>
          <w:color w:val="auto"/>
          <w:szCs w:val="21"/>
          <w:highlight w:val="none"/>
        </w:rPr>
      </w:pPr>
      <w:bookmarkStart w:id="61" w:name="_Toc294206743"/>
      <w:bookmarkStart w:id="62" w:name="_Toc294186060"/>
    </w:p>
    <w:p w14:paraId="17342B1E">
      <w:pPr>
        <w:pageBreakBefore w:val="0"/>
        <w:kinsoku/>
        <w:overflowPunct/>
        <w:topLinePunct w:val="0"/>
        <w:bidi w:val="0"/>
        <w:adjustRightInd w:val="0"/>
        <w:snapToGrid w:val="0"/>
        <w:spacing w:line="400" w:lineRule="exact"/>
        <w:ind w:firstLine="626" w:firstLineChars="200"/>
        <w:jc w:val="center"/>
        <w:rPr>
          <w:rFonts w:hint="eastAsia" w:ascii="仿宋" w:hAnsi="仿宋" w:eastAsia="仿宋_GB2312" w:cs="仿宋"/>
          <w:b/>
          <w:bCs w:val="0"/>
          <w:color w:val="auto"/>
          <w:spacing w:val="6"/>
          <w:kern w:val="0"/>
          <w:sz w:val="30"/>
          <w:szCs w:val="30"/>
          <w:highlight w:val="none"/>
        </w:rPr>
      </w:pPr>
      <w:r>
        <w:rPr>
          <w:rFonts w:hint="eastAsia" w:ascii="仿宋" w:hAnsi="仿宋" w:eastAsia="仿宋_GB2312" w:cs="仿宋"/>
          <w:b/>
          <w:bCs w:val="0"/>
          <w:color w:val="auto"/>
          <w:spacing w:val="6"/>
          <w:kern w:val="0"/>
          <w:sz w:val="30"/>
          <w:szCs w:val="30"/>
          <w:highlight w:val="none"/>
          <w:lang w:eastAsia="zh-CN"/>
        </w:rPr>
        <w:t>附：</w:t>
      </w:r>
      <w:r>
        <w:rPr>
          <w:rFonts w:hint="eastAsia" w:ascii="仿宋" w:hAnsi="仿宋" w:eastAsia="仿宋_GB2312" w:cs="仿宋"/>
          <w:b/>
          <w:bCs w:val="0"/>
          <w:color w:val="auto"/>
          <w:spacing w:val="6"/>
          <w:kern w:val="0"/>
          <w:sz w:val="30"/>
          <w:szCs w:val="30"/>
          <w:highlight w:val="none"/>
        </w:rPr>
        <w:t>中小企业声明函(服务)</w:t>
      </w:r>
    </w:p>
    <w:p w14:paraId="2BB6D40F">
      <w:pPr>
        <w:pageBreakBefore w:val="0"/>
        <w:widowControl/>
        <w:kinsoku/>
        <w:overflowPunct/>
        <w:topLinePunct w:val="0"/>
        <w:bidi w:val="0"/>
        <w:adjustRightInd w:val="0"/>
        <w:snapToGrid w:val="0"/>
        <w:spacing w:line="400" w:lineRule="exact"/>
        <w:ind w:firstLine="444" w:firstLineChars="200"/>
        <w:jc w:val="left"/>
        <w:rPr>
          <w:rFonts w:hint="eastAsia" w:ascii="仿宋" w:hAnsi="仿宋" w:eastAsia="仿宋_GB2312" w:cs="仿宋"/>
          <w:color w:val="auto"/>
          <w:spacing w:val="6"/>
          <w:kern w:val="0"/>
          <w:szCs w:val="21"/>
          <w:highlight w:val="none"/>
        </w:rPr>
      </w:pPr>
    </w:p>
    <w:p w14:paraId="643A45FB">
      <w:pPr>
        <w:pageBreakBefore w:val="0"/>
        <w:widowControl/>
        <w:kinsoku/>
        <w:overflowPunct/>
        <w:topLinePunct w:val="0"/>
        <w:bidi w:val="0"/>
        <w:adjustRightInd w:val="0"/>
        <w:snapToGrid w:val="0"/>
        <w:spacing w:line="400" w:lineRule="exact"/>
        <w:ind w:firstLine="444" w:firstLineChars="200"/>
        <w:jc w:val="left"/>
        <w:rPr>
          <w:rFonts w:hint="eastAsia" w:ascii="仿宋" w:hAnsi="仿宋" w:eastAsia="仿宋_GB2312" w:cs="仿宋"/>
          <w:color w:val="auto"/>
          <w:spacing w:val="6"/>
          <w:kern w:val="0"/>
          <w:szCs w:val="21"/>
          <w:highlight w:val="none"/>
        </w:rPr>
      </w:pPr>
      <w:r>
        <w:rPr>
          <w:rFonts w:hint="eastAsia" w:ascii="仿宋" w:hAnsi="仿宋" w:eastAsia="仿宋_GB2312" w:cs="仿宋"/>
          <w:color w:val="auto"/>
          <w:spacing w:val="6"/>
          <w:kern w:val="0"/>
          <w:szCs w:val="21"/>
          <w:highlight w:val="none"/>
        </w:rPr>
        <w:t>本公司(联合体)郑重声明,根据《政府采购促进中小企业发展管理办法》(财库(2020)46号)的规定,本公司(联合体)参加</w:t>
      </w:r>
      <w:r>
        <w:rPr>
          <w:rFonts w:hint="eastAsia" w:ascii="仿宋" w:hAnsi="仿宋" w:eastAsia="仿宋_GB2312" w:cs="仿宋"/>
          <w:color w:val="auto"/>
          <w:spacing w:val="6"/>
          <w:kern w:val="0"/>
          <w:szCs w:val="21"/>
          <w:highlight w:val="none"/>
          <w:u w:val="single"/>
        </w:rPr>
        <w:t>(单位名称)</w:t>
      </w:r>
      <w:r>
        <w:rPr>
          <w:rFonts w:hint="eastAsia" w:ascii="仿宋" w:hAnsi="仿宋" w:eastAsia="仿宋_GB2312" w:cs="仿宋"/>
          <w:color w:val="auto"/>
          <w:spacing w:val="6"/>
          <w:kern w:val="0"/>
          <w:szCs w:val="21"/>
          <w:highlight w:val="none"/>
        </w:rPr>
        <w:t>的</w:t>
      </w:r>
      <w:r>
        <w:rPr>
          <w:rFonts w:hint="eastAsia" w:ascii="仿宋" w:hAnsi="仿宋" w:eastAsia="仿宋_GB2312" w:cs="仿宋"/>
          <w:color w:val="auto"/>
          <w:spacing w:val="6"/>
          <w:kern w:val="0"/>
          <w:szCs w:val="21"/>
          <w:highlight w:val="none"/>
          <w:u w:val="single"/>
        </w:rPr>
        <w:t>(项月名称)</w:t>
      </w:r>
      <w:r>
        <w:rPr>
          <w:rFonts w:hint="eastAsia" w:ascii="仿宋" w:hAnsi="仿宋" w:eastAsia="仿宋_GB2312" w:cs="仿宋"/>
          <w:color w:val="auto"/>
          <w:spacing w:val="6"/>
          <w:kern w:val="0"/>
          <w:szCs w:val="21"/>
          <w:highlight w:val="none"/>
        </w:rPr>
        <w:t>采购活动,</w:t>
      </w:r>
      <w:r>
        <w:rPr>
          <w:rFonts w:hint="eastAsia" w:ascii="仿宋" w:hAnsi="仿宋" w:eastAsia="仿宋_GB2312" w:cs="仿宋"/>
          <w:color w:val="auto"/>
          <w:spacing w:val="6"/>
          <w:kern w:val="0"/>
          <w:szCs w:val="21"/>
          <w:highlight w:val="none"/>
          <w:lang w:eastAsia="zh-CN"/>
        </w:rPr>
        <w:t>项目的服务</w:t>
      </w:r>
      <w:r>
        <w:rPr>
          <w:rFonts w:hint="eastAsia" w:ascii="仿宋" w:hAnsi="仿宋" w:eastAsia="仿宋_GB2312" w:cs="仿宋"/>
          <w:color w:val="auto"/>
          <w:spacing w:val="6"/>
          <w:kern w:val="0"/>
          <w:szCs w:val="21"/>
          <w:highlight w:val="none"/>
        </w:rPr>
        <w:t>单位全部</w:t>
      </w:r>
      <w:r>
        <w:rPr>
          <w:rFonts w:hint="eastAsia" w:ascii="仿宋" w:hAnsi="仿宋" w:eastAsia="仿宋_GB2312" w:cs="仿宋"/>
          <w:color w:val="auto"/>
          <w:spacing w:val="6"/>
          <w:kern w:val="0"/>
          <w:szCs w:val="21"/>
          <w:highlight w:val="none"/>
          <w:lang w:eastAsia="zh-CN"/>
        </w:rPr>
        <w:t>为</w:t>
      </w:r>
      <w:r>
        <w:rPr>
          <w:rFonts w:hint="eastAsia" w:ascii="仿宋" w:hAnsi="仿宋" w:eastAsia="仿宋_GB2312" w:cs="仿宋"/>
          <w:color w:val="auto"/>
          <w:spacing w:val="6"/>
          <w:kern w:val="0"/>
          <w:szCs w:val="21"/>
          <w:highlight w:val="none"/>
        </w:rPr>
        <w:t>符合政策要求的中小企业(或者:服务全部由符合政策要求的中小企业承接)。相关企业(含联合体中的中小企业、签订分包意向协议的中小企业)的具体情况如下</w:t>
      </w:r>
    </w:p>
    <w:p w14:paraId="2001CD06">
      <w:pPr>
        <w:pageBreakBefore w:val="0"/>
        <w:widowControl/>
        <w:kinsoku/>
        <w:overflowPunct/>
        <w:topLinePunct w:val="0"/>
        <w:bidi w:val="0"/>
        <w:adjustRightInd w:val="0"/>
        <w:snapToGrid w:val="0"/>
        <w:spacing w:line="400" w:lineRule="exact"/>
        <w:ind w:firstLine="444" w:firstLineChars="200"/>
        <w:jc w:val="both"/>
        <w:rPr>
          <w:rFonts w:hint="eastAsia" w:ascii="仿宋" w:hAnsi="仿宋" w:eastAsia="仿宋_GB2312" w:cs="仿宋"/>
          <w:color w:val="auto"/>
          <w:spacing w:val="6"/>
          <w:kern w:val="0"/>
          <w:szCs w:val="21"/>
          <w:highlight w:val="none"/>
        </w:rPr>
      </w:pPr>
      <w:r>
        <w:rPr>
          <w:rFonts w:hint="eastAsia" w:ascii="仿宋" w:hAnsi="仿宋" w:eastAsia="仿宋_GB2312" w:cs="仿宋"/>
          <w:color w:val="auto"/>
          <w:spacing w:val="6"/>
          <w:kern w:val="0"/>
          <w:szCs w:val="21"/>
          <w:highlight w:val="none"/>
        </w:rPr>
        <w:t>1.</w:t>
      </w:r>
      <w:r>
        <w:rPr>
          <w:rFonts w:hint="eastAsia" w:ascii="仿宋" w:hAnsi="仿宋" w:eastAsia="仿宋_GB2312" w:cs="仿宋"/>
          <w:color w:val="auto"/>
          <w:spacing w:val="6"/>
          <w:kern w:val="0"/>
          <w:szCs w:val="21"/>
          <w:highlight w:val="none"/>
          <w:u w:val="single"/>
        </w:rPr>
        <w:t>(标的名称)</w:t>
      </w:r>
      <w:r>
        <w:rPr>
          <w:rFonts w:hint="eastAsia" w:ascii="仿宋" w:hAnsi="仿宋" w:eastAsia="仿宋_GB2312" w:cs="仿宋"/>
          <w:color w:val="auto"/>
          <w:spacing w:val="6"/>
          <w:kern w:val="0"/>
          <w:szCs w:val="21"/>
          <w:highlight w:val="none"/>
        </w:rPr>
        <w:t>,属于</w:t>
      </w:r>
      <w:r>
        <w:rPr>
          <w:rFonts w:hint="eastAsia" w:ascii="仿宋" w:hAnsi="仿宋" w:eastAsia="仿宋_GB2312" w:cs="仿宋"/>
          <w:color w:val="auto"/>
          <w:spacing w:val="6"/>
          <w:kern w:val="0"/>
          <w:szCs w:val="21"/>
          <w:highlight w:val="none"/>
          <w:u w:val="single"/>
        </w:rPr>
        <w:t>(采购文件中明确的所属行业)</w:t>
      </w:r>
      <w:r>
        <w:rPr>
          <w:rFonts w:hint="eastAsia" w:ascii="仿宋" w:hAnsi="仿宋" w:eastAsia="仿宋_GB2312" w:cs="仿宋"/>
          <w:color w:val="auto"/>
          <w:spacing w:val="6"/>
          <w:kern w:val="0"/>
          <w:szCs w:val="21"/>
          <w:highlight w:val="none"/>
        </w:rPr>
        <w:t>;承建(承接)企业为</w:t>
      </w:r>
      <w:r>
        <w:rPr>
          <w:rFonts w:hint="eastAsia" w:ascii="仿宋" w:hAnsi="仿宋" w:eastAsia="仿宋_GB2312" w:cs="仿宋"/>
          <w:color w:val="auto"/>
          <w:spacing w:val="6"/>
          <w:kern w:val="0"/>
          <w:szCs w:val="21"/>
          <w:highlight w:val="none"/>
          <w:u w:val="single"/>
        </w:rPr>
        <w:t>(企业名称</w:t>
      </w:r>
      <w:r>
        <w:rPr>
          <w:rFonts w:hint="eastAsia" w:ascii="仿宋" w:hAnsi="仿宋" w:eastAsia="仿宋_GB2312" w:cs="仿宋"/>
          <w:color w:val="auto"/>
          <w:spacing w:val="6"/>
          <w:kern w:val="0"/>
          <w:szCs w:val="21"/>
          <w:highlight w:val="none"/>
          <w:u w:val="single"/>
          <w:lang w:eastAsia="zh-CN"/>
        </w:rPr>
        <w:t>）</w:t>
      </w:r>
      <w:r>
        <w:rPr>
          <w:rFonts w:hint="eastAsia" w:ascii="仿宋" w:hAnsi="仿宋" w:eastAsia="仿宋_GB2312" w:cs="仿宋"/>
          <w:color w:val="auto"/>
          <w:spacing w:val="6"/>
          <w:kern w:val="0"/>
          <w:szCs w:val="21"/>
          <w:highlight w:val="none"/>
        </w:rPr>
        <w:t>,从业人员</w:t>
      </w:r>
      <w:r>
        <w:rPr>
          <w:rFonts w:hint="eastAsia" w:ascii="仿宋" w:hAnsi="仿宋" w:eastAsia="仿宋_GB2312" w:cs="仿宋"/>
          <w:color w:val="auto"/>
          <w:spacing w:val="6"/>
          <w:kern w:val="0"/>
          <w:szCs w:val="21"/>
          <w:highlight w:val="none"/>
          <w:u w:val="single"/>
          <w:lang w:val="en-US" w:eastAsia="zh-CN"/>
        </w:rPr>
        <w:t xml:space="preserve">   </w:t>
      </w:r>
      <w:r>
        <w:rPr>
          <w:rFonts w:hint="eastAsia" w:ascii="仿宋" w:hAnsi="仿宋" w:eastAsia="仿宋_GB2312" w:cs="仿宋"/>
          <w:color w:val="auto"/>
          <w:spacing w:val="6"/>
          <w:kern w:val="0"/>
          <w:szCs w:val="21"/>
          <w:highlight w:val="none"/>
        </w:rPr>
        <w:t>人,营业收入为</w:t>
      </w:r>
      <w:r>
        <w:rPr>
          <w:rFonts w:hint="eastAsia" w:ascii="仿宋" w:hAnsi="仿宋" w:eastAsia="仿宋_GB2312" w:cs="仿宋"/>
          <w:color w:val="auto"/>
          <w:spacing w:val="6"/>
          <w:kern w:val="0"/>
          <w:szCs w:val="21"/>
          <w:highlight w:val="none"/>
          <w:u w:val="single"/>
          <w:lang w:val="en-US" w:eastAsia="zh-CN"/>
        </w:rPr>
        <w:t xml:space="preserve">     </w:t>
      </w:r>
      <w:r>
        <w:rPr>
          <w:rFonts w:hint="eastAsia" w:ascii="仿宋" w:hAnsi="仿宋" w:eastAsia="仿宋_GB2312" w:cs="仿宋"/>
          <w:color w:val="auto"/>
          <w:spacing w:val="6"/>
          <w:kern w:val="0"/>
          <w:szCs w:val="21"/>
          <w:highlight w:val="none"/>
        </w:rPr>
        <w:t>万元,资产总额为</w:t>
      </w:r>
      <w:r>
        <w:rPr>
          <w:rFonts w:hint="eastAsia" w:ascii="仿宋" w:hAnsi="仿宋" w:eastAsia="仿宋_GB2312" w:cs="仿宋"/>
          <w:color w:val="auto"/>
          <w:spacing w:val="6"/>
          <w:kern w:val="0"/>
          <w:szCs w:val="21"/>
          <w:highlight w:val="none"/>
          <w:u w:val="single"/>
          <w:lang w:val="en-US" w:eastAsia="zh-CN"/>
        </w:rPr>
        <w:t xml:space="preserve">    </w:t>
      </w:r>
      <w:r>
        <w:rPr>
          <w:rFonts w:hint="eastAsia" w:ascii="仿宋" w:hAnsi="仿宋" w:eastAsia="仿宋_GB2312" w:cs="仿宋"/>
          <w:color w:val="auto"/>
          <w:spacing w:val="6"/>
          <w:kern w:val="0"/>
          <w:szCs w:val="21"/>
          <w:highlight w:val="none"/>
        </w:rPr>
        <w:t>万</w:t>
      </w:r>
      <w:r>
        <w:rPr>
          <w:rFonts w:hint="eastAsia" w:ascii="仿宋" w:hAnsi="仿宋" w:eastAsia="仿宋_GB2312" w:cs="仿宋"/>
          <w:bCs/>
          <w:color w:val="auto"/>
          <w:spacing w:val="6"/>
          <w:kern w:val="0"/>
          <w:szCs w:val="21"/>
          <w:highlight w:val="none"/>
        </w:rPr>
        <w:t>元</w:t>
      </w:r>
      <w:r>
        <w:rPr>
          <w:rFonts w:hint="eastAsia" w:ascii="仿宋" w:hAnsi="仿宋" w:eastAsia="仿宋_GB2312" w:cs="仿宋"/>
          <w:bCs/>
          <w:color w:val="auto"/>
          <w:spacing w:val="6"/>
          <w:kern w:val="0"/>
          <w:position w:val="-4"/>
          <w:szCs w:val="21"/>
          <w:highlight w:val="none"/>
        </w:rPr>
        <w:object>
          <v:shape id="_x0000_i1025" o:spt="75" type="#_x0000_t75" style="height:15pt;width:6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ascii="仿宋" w:hAnsi="仿宋" w:eastAsia="仿宋_GB2312" w:cs="仿宋"/>
          <w:color w:val="auto"/>
          <w:spacing w:val="6"/>
          <w:kern w:val="0"/>
          <w:szCs w:val="21"/>
          <w:highlight w:val="none"/>
        </w:rPr>
        <w:t>,属于(中型企业小型公业、微型企业;</w:t>
      </w:r>
    </w:p>
    <w:p w14:paraId="5C09B15B">
      <w:pPr>
        <w:pageBreakBefore w:val="0"/>
        <w:widowControl/>
        <w:kinsoku/>
        <w:overflowPunct/>
        <w:topLinePunct w:val="0"/>
        <w:bidi w:val="0"/>
        <w:adjustRightInd w:val="0"/>
        <w:snapToGrid w:val="0"/>
        <w:spacing w:line="400" w:lineRule="exact"/>
        <w:ind w:firstLine="444" w:firstLineChars="200"/>
        <w:jc w:val="both"/>
        <w:rPr>
          <w:rFonts w:hint="eastAsia" w:ascii="仿宋" w:hAnsi="仿宋" w:eastAsia="仿宋_GB2312" w:cs="仿宋"/>
          <w:color w:val="auto"/>
          <w:spacing w:val="6"/>
          <w:kern w:val="0"/>
          <w:szCs w:val="21"/>
          <w:highlight w:val="none"/>
        </w:rPr>
      </w:pPr>
      <w:r>
        <w:rPr>
          <w:rFonts w:hint="eastAsia" w:ascii="仿宋" w:hAnsi="仿宋" w:eastAsia="仿宋_GB2312" w:cs="仿宋"/>
          <w:color w:val="auto"/>
          <w:spacing w:val="6"/>
          <w:kern w:val="0"/>
          <w:szCs w:val="21"/>
          <w:highlight w:val="none"/>
        </w:rPr>
        <w:t>2.</w:t>
      </w:r>
      <w:r>
        <w:rPr>
          <w:rFonts w:hint="eastAsia" w:ascii="仿宋" w:hAnsi="仿宋" w:eastAsia="仿宋_GB2312" w:cs="仿宋"/>
          <w:color w:val="auto"/>
          <w:spacing w:val="6"/>
          <w:kern w:val="0"/>
          <w:szCs w:val="21"/>
          <w:highlight w:val="none"/>
          <w:u w:val="single"/>
        </w:rPr>
        <w:t>(标的名称)</w:t>
      </w:r>
      <w:r>
        <w:rPr>
          <w:rFonts w:hint="eastAsia" w:ascii="仿宋" w:hAnsi="仿宋" w:eastAsia="仿宋_GB2312" w:cs="仿宋"/>
          <w:color w:val="auto"/>
          <w:spacing w:val="6"/>
          <w:kern w:val="0"/>
          <w:szCs w:val="21"/>
          <w:highlight w:val="none"/>
        </w:rPr>
        <w:t>,属于</w:t>
      </w:r>
      <w:r>
        <w:rPr>
          <w:rFonts w:hint="eastAsia" w:ascii="仿宋" w:hAnsi="仿宋" w:eastAsia="仿宋_GB2312" w:cs="仿宋"/>
          <w:color w:val="auto"/>
          <w:spacing w:val="6"/>
          <w:kern w:val="0"/>
          <w:szCs w:val="21"/>
          <w:highlight w:val="none"/>
          <w:u w:val="single"/>
        </w:rPr>
        <w:t>(采购文件中明确的所属行业)</w:t>
      </w:r>
      <w:r>
        <w:rPr>
          <w:rFonts w:hint="eastAsia" w:ascii="仿宋" w:hAnsi="仿宋" w:eastAsia="仿宋_GB2312" w:cs="仿宋"/>
          <w:color w:val="auto"/>
          <w:spacing w:val="6"/>
          <w:kern w:val="0"/>
          <w:szCs w:val="21"/>
          <w:highlight w:val="none"/>
        </w:rPr>
        <w:t>;承建(承接)企业为</w:t>
      </w:r>
      <w:r>
        <w:rPr>
          <w:rFonts w:hint="eastAsia" w:ascii="仿宋" w:hAnsi="仿宋" w:eastAsia="仿宋_GB2312" w:cs="仿宋"/>
          <w:color w:val="auto"/>
          <w:spacing w:val="6"/>
          <w:kern w:val="0"/>
          <w:szCs w:val="21"/>
          <w:highlight w:val="none"/>
          <w:u w:val="single"/>
        </w:rPr>
        <w:t>(企业名称</w:t>
      </w:r>
      <w:r>
        <w:rPr>
          <w:rFonts w:hint="eastAsia" w:ascii="仿宋" w:hAnsi="仿宋" w:eastAsia="仿宋_GB2312" w:cs="仿宋"/>
          <w:color w:val="auto"/>
          <w:spacing w:val="6"/>
          <w:kern w:val="0"/>
          <w:szCs w:val="21"/>
          <w:highlight w:val="none"/>
          <w:u w:val="single"/>
          <w:lang w:eastAsia="zh-CN"/>
        </w:rPr>
        <w:t>）</w:t>
      </w:r>
      <w:r>
        <w:rPr>
          <w:rFonts w:hint="eastAsia" w:ascii="仿宋" w:hAnsi="仿宋" w:eastAsia="仿宋_GB2312" w:cs="仿宋"/>
          <w:color w:val="auto"/>
          <w:spacing w:val="6"/>
          <w:kern w:val="0"/>
          <w:szCs w:val="21"/>
          <w:highlight w:val="none"/>
        </w:rPr>
        <w:t>,从业人员</w:t>
      </w:r>
      <w:r>
        <w:rPr>
          <w:rFonts w:hint="eastAsia" w:ascii="仿宋" w:hAnsi="仿宋" w:eastAsia="仿宋_GB2312" w:cs="仿宋"/>
          <w:color w:val="auto"/>
          <w:spacing w:val="6"/>
          <w:kern w:val="0"/>
          <w:szCs w:val="21"/>
          <w:highlight w:val="none"/>
          <w:u w:val="single"/>
          <w:lang w:val="en-US" w:eastAsia="zh-CN"/>
        </w:rPr>
        <w:t xml:space="preserve">   </w:t>
      </w:r>
      <w:r>
        <w:rPr>
          <w:rFonts w:hint="eastAsia" w:ascii="仿宋" w:hAnsi="仿宋" w:eastAsia="仿宋_GB2312" w:cs="仿宋"/>
          <w:color w:val="auto"/>
          <w:spacing w:val="6"/>
          <w:kern w:val="0"/>
          <w:szCs w:val="21"/>
          <w:highlight w:val="none"/>
        </w:rPr>
        <w:t>人,营业收入为</w:t>
      </w:r>
      <w:r>
        <w:rPr>
          <w:rFonts w:hint="eastAsia" w:ascii="仿宋" w:hAnsi="仿宋" w:eastAsia="仿宋_GB2312" w:cs="仿宋"/>
          <w:color w:val="auto"/>
          <w:spacing w:val="6"/>
          <w:kern w:val="0"/>
          <w:szCs w:val="21"/>
          <w:highlight w:val="none"/>
          <w:u w:val="single"/>
          <w:lang w:val="en-US" w:eastAsia="zh-CN"/>
        </w:rPr>
        <w:t xml:space="preserve">     </w:t>
      </w:r>
      <w:r>
        <w:rPr>
          <w:rFonts w:hint="eastAsia" w:ascii="仿宋" w:hAnsi="仿宋" w:eastAsia="仿宋_GB2312" w:cs="仿宋"/>
          <w:color w:val="auto"/>
          <w:spacing w:val="6"/>
          <w:kern w:val="0"/>
          <w:szCs w:val="21"/>
          <w:highlight w:val="none"/>
        </w:rPr>
        <w:t>万元,资产总额为</w:t>
      </w:r>
      <w:r>
        <w:rPr>
          <w:rFonts w:hint="eastAsia" w:ascii="仿宋" w:hAnsi="仿宋" w:eastAsia="仿宋_GB2312" w:cs="仿宋"/>
          <w:color w:val="auto"/>
          <w:spacing w:val="6"/>
          <w:kern w:val="0"/>
          <w:szCs w:val="21"/>
          <w:highlight w:val="none"/>
          <w:u w:val="single"/>
          <w:lang w:val="en-US" w:eastAsia="zh-CN"/>
        </w:rPr>
        <w:t xml:space="preserve">    </w:t>
      </w:r>
      <w:r>
        <w:rPr>
          <w:rFonts w:hint="eastAsia" w:ascii="仿宋" w:hAnsi="仿宋" w:eastAsia="仿宋_GB2312" w:cs="仿宋"/>
          <w:color w:val="auto"/>
          <w:spacing w:val="6"/>
          <w:kern w:val="0"/>
          <w:szCs w:val="21"/>
          <w:highlight w:val="none"/>
        </w:rPr>
        <w:t>万元,属于(中型企业小型公业、微型企业;</w:t>
      </w:r>
    </w:p>
    <w:p w14:paraId="1D77C0D1">
      <w:pPr>
        <w:pageBreakBefore w:val="0"/>
        <w:widowControl/>
        <w:kinsoku/>
        <w:overflowPunct/>
        <w:topLinePunct w:val="0"/>
        <w:bidi w:val="0"/>
        <w:adjustRightInd w:val="0"/>
        <w:snapToGrid w:val="0"/>
        <w:spacing w:line="400" w:lineRule="exact"/>
        <w:ind w:firstLine="444" w:firstLineChars="200"/>
        <w:jc w:val="both"/>
        <w:rPr>
          <w:rFonts w:hint="eastAsia" w:ascii="仿宋" w:hAnsi="仿宋" w:eastAsia="仿宋_GB2312" w:cs="仿宋"/>
          <w:color w:val="auto"/>
          <w:spacing w:val="6"/>
          <w:kern w:val="0"/>
          <w:szCs w:val="21"/>
          <w:highlight w:val="none"/>
          <w:lang w:val="en-US" w:eastAsia="zh-CN"/>
        </w:rPr>
      </w:pPr>
      <w:r>
        <w:rPr>
          <w:rFonts w:hint="eastAsia" w:ascii="仿宋" w:hAnsi="仿宋" w:eastAsia="仿宋_GB2312" w:cs="仿宋"/>
          <w:color w:val="auto"/>
          <w:spacing w:val="6"/>
          <w:kern w:val="0"/>
          <w:szCs w:val="21"/>
          <w:highlight w:val="none"/>
          <w:lang w:val="en-US" w:eastAsia="zh-CN"/>
        </w:rPr>
        <w:t>......</w:t>
      </w:r>
    </w:p>
    <w:p w14:paraId="1081FBAD">
      <w:pPr>
        <w:pageBreakBefore w:val="0"/>
        <w:widowControl/>
        <w:kinsoku/>
        <w:overflowPunct/>
        <w:topLinePunct w:val="0"/>
        <w:bidi w:val="0"/>
        <w:adjustRightInd w:val="0"/>
        <w:snapToGrid w:val="0"/>
        <w:spacing w:line="400" w:lineRule="exact"/>
        <w:ind w:firstLine="444" w:firstLineChars="200"/>
        <w:jc w:val="both"/>
        <w:rPr>
          <w:rFonts w:hint="eastAsia" w:ascii="仿宋" w:hAnsi="仿宋" w:eastAsia="仿宋_GB2312" w:cs="仿宋"/>
          <w:color w:val="auto"/>
          <w:spacing w:val="6"/>
          <w:kern w:val="0"/>
          <w:szCs w:val="21"/>
          <w:highlight w:val="none"/>
        </w:rPr>
      </w:pPr>
      <w:r>
        <w:rPr>
          <w:rFonts w:hint="eastAsia" w:ascii="仿宋" w:hAnsi="仿宋" w:eastAsia="仿宋_GB2312" w:cs="仿宋"/>
          <w:color w:val="auto"/>
          <w:spacing w:val="6"/>
          <w:kern w:val="0"/>
          <w:szCs w:val="21"/>
          <w:highlight w:val="none"/>
        </w:rPr>
        <w:t>以上企业,不属于大企业的分支机构,不存在控股股东为大企业的情形,也不存在与大企业的负责人为同一人的情形。</w:t>
      </w:r>
    </w:p>
    <w:p w14:paraId="7057B4B6">
      <w:pPr>
        <w:pageBreakBefore w:val="0"/>
        <w:widowControl/>
        <w:kinsoku/>
        <w:overflowPunct/>
        <w:topLinePunct w:val="0"/>
        <w:bidi w:val="0"/>
        <w:adjustRightInd w:val="0"/>
        <w:snapToGrid w:val="0"/>
        <w:spacing w:line="400" w:lineRule="exact"/>
        <w:ind w:firstLine="444" w:firstLineChars="200"/>
        <w:jc w:val="both"/>
        <w:rPr>
          <w:rFonts w:hint="eastAsia" w:ascii="仿宋" w:hAnsi="仿宋" w:eastAsia="仿宋_GB2312" w:cs="仿宋"/>
          <w:color w:val="auto"/>
          <w:spacing w:val="6"/>
          <w:kern w:val="0"/>
          <w:szCs w:val="21"/>
          <w:highlight w:val="none"/>
        </w:rPr>
      </w:pPr>
      <w:r>
        <w:rPr>
          <w:rFonts w:hint="eastAsia" w:ascii="仿宋" w:hAnsi="仿宋" w:eastAsia="仿宋_GB2312" w:cs="仿宋"/>
          <w:color w:val="auto"/>
          <w:spacing w:val="6"/>
          <w:kern w:val="0"/>
          <w:szCs w:val="21"/>
          <w:highlight w:val="none"/>
        </w:rPr>
        <w:t>本企业对上述声明内容的真实性负责。如有虚假,将依法承担相应责任。</w:t>
      </w:r>
    </w:p>
    <w:p w14:paraId="1F90AA67">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rPr>
      </w:pPr>
    </w:p>
    <w:p w14:paraId="5FECD7EF">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val="en-US" w:eastAsia="zh-CN"/>
        </w:rPr>
      </w:pPr>
      <w:r>
        <w:rPr>
          <w:rFonts w:hint="eastAsia" w:ascii="仿宋" w:hAnsi="仿宋" w:eastAsia="仿宋_GB2312" w:cs="仿宋"/>
          <w:color w:val="auto"/>
          <w:spacing w:val="6"/>
          <w:kern w:val="0"/>
          <w:szCs w:val="21"/>
          <w:highlight w:val="none"/>
          <w:lang w:val="en-US" w:eastAsia="zh-CN"/>
        </w:rPr>
        <w:t xml:space="preserve">                             </w:t>
      </w:r>
      <w:r>
        <w:rPr>
          <w:rFonts w:hint="eastAsia" w:ascii="仿宋" w:hAnsi="仿宋" w:eastAsia="仿宋_GB2312" w:cs="仿宋"/>
          <w:color w:val="auto"/>
          <w:spacing w:val="6"/>
          <w:kern w:val="0"/>
          <w:szCs w:val="21"/>
          <w:highlight w:val="none"/>
        </w:rPr>
        <w:t>企业名称(盖章)</w:t>
      </w:r>
      <w:r>
        <w:rPr>
          <w:rFonts w:hint="eastAsia" w:ascii="仿宋" w:hAnsi="仿宋" w:eastAsia="仿宋_GB2312" w:cs="仿宋"/>
          <w:color w:val="auto"/>
          <w:spacing w:val="6"/>
          <w:kern w:val="0"/>
          <w:szCs w:val="21"/>
          <w:highlight w:val="none"/>
          <w:lang w:val="en-US" w:eastAsia="zh-CN"/>
        </w:rPr>
        <w:t>:</w:t>
      </w:r>
    </w:p>
    <w:p w14:paraId="1FF2CA5F">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val="en-US" w:eastAsia="zh-CN"/>
        </w:rPr>
      </w:pPr>
      <w:r>
        <w:rPr>
          <w:rFonts w:hint="eastAsia" w:ascii="仿宋" w:hAnsi="仿宋" w:eastAsia="仿宋_GB2312" w:cs="仿宋"/>
          <w:color w:val="auto"/>
          <w:spacing w:val="6"/>
          <w:kern w:val="0"/>
          <w:szCs w:val="21"/>
          <w:highlight w:val="none"/>
          <w:lang w:val="en-US" w:eastAsia="zh-CN"/>
        </w:rPr>
        <w:t xml:space="preserve">                            </w:t>
      </w:r>
      <w:r>
        <w:rPr>
          <w:rFonts w:hint="eastAsia" w:ascii="仿宋" w:hAnsi="仿宋" w:eastAsia="仿宋_GB2312" w:cs="仿宋"/>
          <w:color w:val="auto"/>
          <w:spacing w:val="6"/>
          <w:kern w:val="0"/>
          <w:szCs w:val="21"/>
          <w:highlight w:val="none"/>
        </w:rPr>
        <w:t>日期</w:t>
      </w:r>
      <w:r>
        <w:rPr>
          <w:rFonts w:hint="eastAsia" w:ascii="仿宋" w:hAnsi="仿宋" w:eastAsia="仿宋_GB2312" w:cs="仿宋"/>
          <w:color w:val="auto"/>
          <w:spacing w:val="6"/>
          <w:kern w:val="0"/>
          <w:szCs w:val="21"/>
          <w:highlight w:val="none"/>
          <w:lang w:val="en-US" w:eastAsia="zh-CN"/>
        </w:rPr>
        <w:t>:</w:t>
      </w:r>
    </w:p>
    <w:p w14:paraId="169E4776">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eastAsia="zh-CN"/>
        </w:rPr>
      </w:pPr>
    </w:p>
    <w:p w14:paraId="39977895">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eastAsia="zh-CN"/>
        </w:rPr>
      </w:pPr>
    </w:p>
    <w:p w14:paraId="6070E324">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eastAsia="zh-CN"/>
        </w:rPr>
      </w:pPr>
    </w:p>
    <w:p w14:paraId="40EB7838">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eastAsia="zh-CN"/>
        </w:rPr>
      </w:pPr>
    </w:p>
    <w:p w14:paraId="39984242">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eastAsia="zh-CN"/>
        </w:rPr>
      </w:pPr>
    </w:p>
    <w:p w14:paraId="6CB7E5AB">
      <w:pPr>
        <w:pageBreakBefore w:val="0"/>
        <w:widowControl/>
        <w:kinsoku/>
        <w:overflowPunct/>
        <w:topLinePunct w:val="0"/>
        <w:bidi w:val="0"/>
        <w:adjustRightInd w:val="0"/>
        <w:snapToGrid w:val="0"/>
        <w:spacing w:line="400" w:lineRule="exact"/>
        <w:ind w:firstLine="444" w:firstLineChars="200"/>
        <w:jc w:val="center"/>
        <w:rPr>
          <w:rFonts w:hint="eastAsia" w:ascii="仿宋" w:hAnsi="仿宋" w:eastAsia="仿宋_GB2312" w:cs="仿宋"/>
          <w:color w:val="auto"/>
          <w:spacing w:val="6"/>
          <w:kern w:val="0"/>
          <w:szCs w:val="21"/>
          <w:highlight w:val="none"/>
          <w:lang w:eastAsia="zh-CN"/>
        </w:rPr>
      </w:pPr>
    </w:p>
    <w:p w14:paraId="0432DDED">
      <w:pPr>
        <w:pageBreakBefore w:val="0"/>
        <w:kinsoku/>
        <w:overflowPunct/>
        <w:topLinePunct w:val="0"/>
        <w:bidi w:val="0"/>
        <w:spacing w:line="400" w:lineRule="exact"/>
        <w:ind w:firstLine="444" w:firstLineChars="200"/>
        <w:outlineLvl w:val="9"/>
        <w:rPr>
          <w:rFonts w:hint="eastAsia" w:ascii="仿宋" w:hAnsi="仿宋" w:eastAsia="仿宋_GB2312" w:cs="仿宋"/>
          <w:color w:val="auto"/>
          <w:spacing w:val="6"/>
          <w:kern w:val="0"/>
          <w:szCs w:val="21"/>
          <w:highlight w:val="none"/>
        </w:rPr>
      </w:pPr>
      <w:r>
        <w:rPr>
          <w:rFonts w:hint="eastAsia" w:ascii="仿宋" w:hAnsi="仿宋" w:eastAsia="仿宋_GB2312" w:cs="仿宋"/>
          <w:color w:val="auto"/>
          <w:spacing w:val="6"/>
          <w:kern w:val="0"/>
          <w:szCs w:val="21"/>
          <w:highlight w:val="none"/>
          <w:lang w:eastAsia="zh-CN"/>
        </w:rPr>
        <w:t>注释</w:t>
      </w:r>
      <w:r>
        <w:rPr>
          <w:rFonts w:hint="eastAsia" w:ascii="仿宋" w:hAnsi="仿宋" w:eastAsia="仿宋_GB2312" w:cs="仿宋"/>
          <w:color w:val="auto"/>
          <w:spacing w:val="6"/>
          <w:kern w:val="0"/>
          <w:szCs w:val="21"/>
          <w:highlight w:val="none"/>
        </w:rPr>
        <w:t>1</w:t>
      </w:r>
      <w:r>
        <w:rPr>
          <w:rFonts w:hint="eastAsia" w:ascii="仿宋" w:hAnsi="仿宋" w:eastAsia="仿宋_GB2312" w:cs="仿宋"/>
          <w:color w:val="auto"/>
          <w:spacing w:val="6"/>
          <w:kern w:val="0"/>
          <w:szCs w:val="21"/>
          <w:highlight w:val="none"/>
          <w:lang w:val="en-US" w:eastAsia="zh-CN"/>
        </w:rPr>
        <w:t>:</w:t>
      </w:r>
      <w:r>
        <w:rPr>
          <w:rFonts w:hint="eastAsia" w:ascii="仿宋" w:hAnsi="仿宋" w:eastAsia="仿宋_GB2312" w:cs="仿宋"/>
          <w:color w:val="auto"/>
          <w:spacing w:val="6"/>
          <w:kern w:val="0"/>
          <w:szCs w:val="21"/>
          <w:highlight w:val="none"/>
        </w:rPr>
        <w:t>从业人员、营业收入、资产总额填报上一年度数据,无上一年度数据的新成立企业可不填报。</w:t>
      </w:r>
    </w:p>
    <w:p w14:paraId="670BF798">
      <w:pPr>
        <w:pageBreakBefore w:val="0"/>
        <w:kinsoku/>
        <w:overflowPunct/>
        <w:topLinePunct w:val="0"/>
        <w:bidi w:val="0"/>
        <w:spacing w:line="400" w:lineRule="exact"/>
        <w:outlineLvl w:val="9"/>
        <w:rPr>
          <w:rFonts w:hint="eastAsia" w:ascii="仿宋" w:hAnsi="仿宋" w:eastAsia="仿宋_GB2312" w:cs="仿宋"/>
          <w:b w:val="0"/>
          <w:color w:val="auto"/>
          <w:sz w:val="21"/>
          <w:szCs w:val="21"/>
          <w:highlight w:val="none"/>
        </w:rPr>
      </w:pPr>
    </w:p>
    <w:bookmarkEnd w:id="61"/>
    <w:bookmarkEnd w:id="62"/>
    <w:p w14:paraId="5FFF8196">
      <w:pPr>
        <w:rPr>
          <w:rFonts w:hint="eastAsia" w:ascii="仿宋" w:hAnsi="仿宋" w:eastAsia="仿宋_GB2312" w:cs="仿宋"/>
          <w:color w:val="auto"/>
          <w:sz w:val="32"/>
          <w:szCs w:val="32"/>
          <w:highlight w:val="none"/>
        </w:rPr>
      </w:pPr>
    </w:p>
    <w:p w14:paraId="1BAAAF9F">
      <w:pPr>
        <w:rPr>
          <w:rFonts w:hint="eastAsia" w:ascii="仿宋" w:hAnsi="仿宋" w:eastAsia="仿宋_GB2312" w:cs="仿宋"/>
          <w:color w:val="auto"/>
          <w:sz w:val="32"/>
          <w:szCs w:val="32"/>
          <w:highlight w:val="none"/>
        </w:rPr>
      </w:pPr>
    </w:p>
    <w:p w14:paraId="50AE1634">
      <w:pPr>
        <w:rPr>
          <w:rFonts w:hint="eastAsia" w:ascii="仿宋" w:hAnsi="仿宋" w:eastAsia="仿宋_GB2312" w:cs="仿宋"/>
          <w:color w:val="auto"/>
          <w:sz w:val="32"/>
          <w:szCs w:val="32"/>
          <w:highlight w:val="none"/>
        </w:rPr>
      </w:pPr>
    </w:p>
    <w:p w14:paraId="127AC06C">
      <w:pPr>
        <w:pageBreakBefore w:val="0"/>
        <w:kinsoku/>
        <w:overflowPunct/>
        <w:topLinePunct w:val="0"/>
        <w:bidi w:val="0"/>
        <w:spacing w:line="400" w:lineRule="exact"/>
        <w:ind w:firstLine="640" w:firstLineChars="200"/>
        <w:jc w:val="center"/>
        <w:outlineLvl w:val="9"/>
        <w:rPr>
          <w:rFonts w:hint="eastAsia" w:ascii="仿宋" w:hAnsi="仿宋" w:eastAsia="仿宋_GB2312" w:cs="仿宋"/>
          <w:b/>
          <w:bCs/>
          <w:color w:val="auto"/>
          <w:spacing w:val="6"/>
          <w:szCs w:val="21"/>
          <w:highlight w:val="none"/>
          <w:lang w:eastAsia="zh-CN"/>
        </w:rPr>
      </w:pPr>
      <w:r>
        <w:rPr>
          <w:rFonts w:hint="eastAsia" w:ascii="仿宋" w:hAnsi="仿宋" w:eastAsia="仿宋_GB2312" w:cs="仿宋"/>
          <w:color w:val="auto"/>
          <w:sz w:val="32"/>
          <w:szCs w:val="32"/>
          <w:highlight w:val="none"/>
          <w:lang w:eastAsia="zh-CN"/>
        </w:rPr>
        <w:t>八、残疾人福利性单位声明函</w:t>
      </w:r>
    </w:p>
    <w:p w14:paraId="1327162F">
      <w:pPr>
        <w:pageBreakBefore w:val="0"/>
        <w:kinsoku/>
        <w:overflowPunct/>
        <w:topLinePunct w:val="0"/>
        <w:bidi w:val="0"/>
        <w:spacing w:line="400" w:lineRule="exact"/>
        <w:ind w:firstLine="446" w:firstLineChars="200"/>
        <w:outlineLvl w:val="9"/>
        <w:rPr>
          <w:rFonts w:hint="eastAsia" w:ascii="仿宋" w:hAnsi="仿宋" w:eastAsia="仿宋_GB2312" w:cs="仿宋"/>
          <w:b/>
          <w:bCs/>
          <w:color w:val="auto"/>
          <w:spacing w:val="6"/>
          <w:szCs w:val="21"/>
          <w:highlight w:val="none"/>
          <w:lang w:eastAsia="zh-CN"/>
        </w:rPr>
      </w:pPr>
      <w:r>
        <w:rPr>
          <w:rFonts w:hint="eastAsia" w:ascii="仿宋" w:hAnsi="仿宋" w:eastAsia="仿宋_GB2312" w:cs="仿宋"/>
          <w:b/>
          <w:bCs/>
          <w:color w:val="auto"/>
          <w:spacing w:val="6"/>
          <w:szCs w:val="21"/>
          <w:highlight w:val="none"/>
          <w:lang w:eastAsia="zh-CN"/>
        </w:rPr>
        <w:t>供应商为残疾人福利性单位或监狱企业的视同中小企业，应将《残疾人福利性单位声明函》或《监狱企业证明资料》编制在供应商资格证明材料中，否则在资格审查时不予考虑中小企业优惠待遇。</w:t>
      </w:r>
    </w:p>
    <w:p w14:paraId="5074C707">
      <w:pPr>
        <w:pageBreakBefore w:val="0"/>
        <w:kinsoku/>
        <w:overflowPunct/>
        <w:topLinePunct w:val="0"/>
        <w:bidi w:val="0"/>
        <w:spacing w:line="400" w:lineRule="exact"/>
        <w:outlineLvl w:val="9"/>
        <w:rPr>
          <w:rFonts w:hint="eastAsia" w:ascii="仿宋" w:hAnsi="仿宋" w:eastAsia="仿宋_GB2312" w:cs="仿宋"/>
          <w:b/>
          <w:bCs/>
          <w:color w:val="auto"/>
          <w:spacing w:val="6"/>
          <w:sz w:val="30"/>
          <w:szCs w:val="30"/>
          <w:highlight w:val="none"/>
          <w:lang w:val="en-US" w:eastAsia="zh-CN"/>
        </w:rPr>
      </w:pPr>
      <w:r>
        <w:rPr>
          <w:rFonts w:hint="eastAsia" w:ascii="仿宋" w:hAnsi="仿宋" w:eastAsia="仿宋_GB2312" w:cs="仿宋"/>
          <w:b/>
          <w:bCs/>
          <w:color w:val="auto"/>
          <w:spacing w:val="6"/>
          <w:sz w:val="30"/>
          <w:szCs w:val="30"/>
          <w:highlight w:val="none"/>
          <w:lang w:val="en-US" w:eastAsia="zh-CN"/>
        </w:rPr>
        <w:t>附件8-1</w:t>
      </w:r>
    </w:p>
    <w:p w14:paraId="28139BE1">
      <w:pPr>
        <w:pageBreakBefore w:val="0"/>
        <w:kinsoku/>
        <w:overflowPunct/>
        <w:topLinePunct w:val="0"/>
        <w:bidi w:val="0"/>
        <w:spacing w:line="400" w:lineRule="exact"/>
        <w:outlineLvl w:val="9"/>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本单位郑重声明，根据《财政部 民政部 中国残疾人联合会关于促进残疾人就业政府采购政策的通知》（财库</w:t>
      </w:r>
      <w:r>
        <w:rPr>
          <w:rFonts w:hint="eastAsia" w:ascii="仿宋" w:hAnsi="仿宋" w:eastAsia="仿宋_GB2312" w:cs="仿宋"/>
          <w:color w:val="auto"/>
          <w:szCs w:val="21"/>
          <w:highlight w:val="none"/>
        </w:rPr>
        <w:t>〔2017〕 141</w:t>
      </w:r>
      <w:r>
        <w:rPr>
          <w:rFonts w:hint="eastAsia" w:ascii="仿宋" w:hAnsi="仿宋" w:eastAsia="仿宋_GB2312" w:cs="仿宋"/>
          <w:color w:val="auto"/>
          <w:spacing w:val="6"/>
          <w:szCs w:val="21"/>
          <w:highlight w:val="none"/>
        </w:rPr>
        <w:t>号）的规定，本单位为符合条件的残疾人福利性单位，且本单位参加</w:t>
      </w:r>
      <w:r>
        <w:rPr>
          <w:rFonts w:hint="eastAsia" w:ascii="仿宋" w:hAnsi="仿宋" w:eastAsia="仿宋_GB2312" w:cs="仿宋"/>
          <w:color w:val="auto"/>
          <w:spacing w:val="6"/>
          <w:szCs w:val="21"/>
          <w:highlight w:val="none"/>
          <w:u w:val="single"/>
        </w:rPr>
        <w:t>______</w:t>
      </w:r>
      <w:r>
        <w:rPr>
          <w:rFonts w:hint="eastAsia" w:ascii="仿宋" w:hAnsi="仿宋" w:eastAsia="仿宋_GB2312" w:cs="仿宋"/>
          <w:color w:val="auto"/>
          <w:spacing w:val="6"/>
          <w:szCs w:val="21"/>
          <w:highlight w:val="none"/>
        </w:rPr>
        <w:t>单位的</w:t>
      </w:r>
      <w:r>
        <w:rPr>
          <w:rFonts w:hint="eastAsia" w:ascii="仿宋" w:hAnsi="仿宋" w:eastAsia="仿宋_GB2312" w:cs="仿宋"/>
          <w:color w:val="auto"/>
          <w:spacing w:val="6"/>
          <w:szCs w:val="21"/>
          <w:highlight w:val="none"/>
          <w:u w:val="single"/>
        </w:rPr>
        <w:t>______</w:t>
      </w:r>
      <w:r>
        <w:rPr>
          <w:rFonts w:hint="eastAsia" w:ascii="仿宋" w:hAnsi="仿宋" w:eastAsia="仿宋_GB2312" w:cs="仿宋"/>
          <w:color w:val="auto"/>
          <w:spacing w:val="6"/>
          <w:szCs w:val="21"/>
          <w:highlight w:val="none"/>
        </w:rPr>
        <w:t>项目</w:t>
      </w:r>
      <w:r>
        <w:rPr>
          <w:rFonts w:hint="eastAsia" w:ascii="仿宋" w:hAnsi="仿宋" w:eastAsia="仿宋_GB2312" w:cs="仿宋"/>
          <w:color w:val="auto"/>
          <w:spacing w:val="6"/>
          <w:szCs w:val="21"/>
          <w:highlight w:val="none"/>
          <w:lang w:eastAsia="zh-CN"/>
        </w:rPr>
        <w:t>（</w:t>
      </w:r>
      <w:r>
        <w:rPr>
          <w:rFonts w:hint="eastAsia" w:ascii="仿宋" w:hAnsi="仿宋" w:eastAsia="仿宋_GB2312" w:cs="仿宋"/>
          <w:color w:val="auto"/>
          <w:szCs w:val="21"/>
          <w:highlight w:val="none"/>
          <w:u w:val="single"/>
          <w:lang w:eastAsia="zh-CN"/>
        </w:rPr>
        <w:t>包号及包名称</w:t>
      </w:r>
      <w:r>
        <w:rPr>
          <w:rFonts w:hint="eastAsia" w:ascii="仿宋" w:hAnsi="仿宋" w:eastAsia="仿宋_GB2312" w:cs="仿宋"/>
          <w:color w:val="auto"/>
          <w:spacing w:val="6"/>
          <w:szCs w:val="21"/>
          <w:highlight w:val="none"/>
          <w:lang w:eastAsia="zh-CN"/>
        </w:rPr>
        <w:t>）</w:t>
      </w:r>
      <w:r>
        <w:rPr>
          <w:rFonts w:hint="eastAsia" w:ascii="仿宋" w:hAnsi="仿宋" w:eastAsia="仿宋_GB2312" w:cs="仿宋"/>
          <w:color w:val="auto"/>
          <w:spacing w:val="6"/>
          <w:szCs w:val="21"/>
          <w:highlight w:val="none"/>
        </w:rPr>
        <w:t>采购活动提供本单位制造的货物（由本单位承担工程/提供服务），或者提供其他残疾人福利性单位制造的货物（不包括使用非残疾人福利性单位注册商标的货物）。</w:t>
      </w:r>
    </w:p>
    <w:p w14:paraId="51B88A4A">
      <w:pPr>
        <w:pageBreakBefore w:val="0"/>
        <w:kinsoku/>
        <w:overflowPunct/>
        <w:topLinePunct w:val="0"/>
        <w:bidi w:val="0"/>
        <w:spacing w:line="400" w:lineRule="exact"/>
        <w:ind w:firstLine="444" w:firstLineChars="200"/>
        <w:outlineLvl w:val="9"/>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本单位对上述声明的真实性负责。如有虚假，将依法承担相应责任。</w:t>
      </w:r>
    </w:p>
    <w:p w14:paraId="61F02DB6">
      <w:pPr>
        <w:pageBreakBefore w:val="0"/>
        <w:kinsoku/>
        <w:overflowPunct/>
        <w:topLinePunct w:val="0"/>
        <w:bidi w:val="0"/>
        <w:spacing w:line="400" w:lineRule="exact"/>
        <w:ind w:firstLine="444" w:firstLineChars="200"/>
        <w:outlineLvl w:val="9"/>
        <w:rPr>
          <w:rFonts w:hint="eastAsia" w:ascii="仿宋" w:hAnsi="仿宋" w:eastAsia="仿宋_GB2312" w:cs="仿宋"/>
          <w:color w:val="auto"/>
          <w:spacing w:val="6"/>
          <w:szCs w:val="21"/>
          <w:highlight w:val="none"/>
        </w:rPr>
      </w:pPr>
    </w:p>
    <w:p w14:paraId="264FEE9D">
      <w:pPr>
        <w:pageBreakBefore w:val="0"/>
        <w:kinsoku/>
        <w:overflowPunct/>
        <w:topLinePunct w:val="0"/>
        <w:bidi w:val="0"/>
        <w:spacing w:line="400" w:lineRule="exact"/>
        <w:ind w:firstLine="444" w:firstLineChars="200"/>
        <w:outlineLvl w:val="9"/>
        <w:rPr>
          <w:rFonts w:hint="eastAsia" w:ascii="仿宋" w:hAnsi="仿宋" w:eastAsia="仿宋_GB2312" w:cs="仿宋"/>
          <w:color w:val="auto"/>
          <w:spacing w:val="6"/>
          <w:szCs w:val="21"/>
          <w:highlight w:val="none"/>
        </w:rPr>
      </w:pPr>
    </w:p>
    <w:p w14:paraId="1C89C83A">
      <w:pPr>
        <w:pageBreakBefore w:val="0"/>
        <w:tabs>
          <w:tab w:val="left" w:pos="4860"/>
        </w:tabs>
        <w:kinsoku/>
        <w:overflowPunct/>
        <w:topLinePunct w:val="0"/>
        <w:bidi w:val="0"/>
        <w:spacing w:line="400" w:lineRule="exact"/>
        <w:ind w:right="1560" w:firstLine="444" w:firstLineChars="200"/>
        <w:jc w:val="center"/>
        <w:outlineLvl w:val="9"/>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 xml:space="preserve">               单位名称（</w:t>
      </w:r>
      <w:r>
        <w:rPr>
          <w:rFonts w:hint="eastAsia" w:ascii="仿宋" w:hAnsi="仿宋" w:eastAsia="仿宋_GB2312" w:cs="仿宋"/>
          <w:color w:val="auto"/>
          <w:spacing w:val="6"/>
          <w:szCs w:val="21"/>
          <w:highlight w:val="none"/>
          <w:lang w:eastAsia="zh-CN"/>
        </w:rPr>
        <w:t>电子签章</w:t>
      </w:r>
      <w:r>
        <w:rPr>
          <w:rFonts w:hint="eastAsia" w:ascii="仿宋" w:hAnsi="仿宋" w:eastAsia="仿宋_GB2312" w:cs="仿宋"/>
          <w:color w:val="auto"/>
          <w:spacing w:val="6"/>
          <w:szCs w:val="21"/>
          <w:highlight w:val="none"/>
        </w:rPr>
        <w:t>）：</w:t>
      </w:r>
    </w:p>
    <w:p w14:paraId="235A095B">
      <w:pPr>
        <w:pageBreakBefore w:val="0"/>
        <w:tabs>
          <w:tab w:val="left" w:pos="4860"/>
        </w:tabs>
        <w:kinsoku/>
        <w:overflowPunct/>
        <w:topLinePunct w:val="0"/>
        <w:bidi w:val="0"/>
        <w:spacing w:line="400" w:lineRule="exact"/>
        <w:ind w:right="1560" w:firstLine="444" w:firstLineChars="200"/>
        <w:jc w:val="center"/>
        <w:outlineLvl w:val="9"/>
        <w:rPr>
          <w:rFonts w:hint="eastAsia" w:ascii="仿宋" w:hAnsi="仿宋" w:eastAsia="仿宋_GB2312" w:cs="仿宋"/>
          <w:color w:val="auto"/>
          <w:spacing w:val="6"/>
          <w:szCs w:val="21"/>
          <w:highlight w:val="none"/>
        </w:rPr>
      </w:pPr>
      <w:r>
        <w:rPr>
          <w:rFonts w:hint="eastAsia" w:ascii="仿宋" w:hAnsi="仿宋" w:eastAsia="仿宋_GB2312" w:cs="仿宋"/>
          <w:color w:val="auto"/>
          <w:spacing w:val="6"/>
          <w:szCs w:val="21"/>
          <w:highlight w:val="none"/>
        </w:rPr>
        <w:t xml:space="preserve">       日  期：</w:t>
      </w:r>
    </w:p>
    <w:p w14:paraId="52C0E649">
      <w:pPr>
        <w:pageBreakBefore w:val="0"/>
        <w:kinsoku/>
        <w:overflowPunct/>
        <w:topLinePunct w:val="0"/>
        <w:bidi w:val="0"/>
        <w:spacing w:line="400" w:lineRule="exact"/>
        <w:outlineLvl w:val="9"/>
        <w:rPr>
          <w:rFonts w:hint="eastAsia" w:ascii="仿宋" w:hAnsi="仿宋" w:eastAsia="仿宋_GB2312" w:cs="仿宋"/>
          <w:color w:val="auto"/>
          <w:highlight w:val="none"/>
        </w:rPr>
      </w:pPr>
    </w:p>
    <w:p w14:paraId="6F3D98A6">
      <w:pPr>
        <w:pageBreakBefore w:val="0"/>
        <w:kinsoku/>
        <w:overflowPunct/>
        <w:topLinePunct w:val="0"/>
        <w:bidi w:val="0"/>
        <w:rPr>
          <w:rFonts w:hint="eastAsia" w:ascii="仿宋" w:hAnsi="仿宋" w:eastAsia="仿宋_GB2312" w:cs="仿宋"/>
          <w:b/>
          <w:color w:val="auto"/>
          <w:sz w:val="28"/>
          <w:szCs w:val="28"/>
          <w:highlight w:val="none"/>
          <w:lang w:eastAsia="zh-CN"/>
        </w:rPr>
      </w:pPr>
      <w:r>
        <w:rPr>
          <w:rFonts w:hint="eastAsia" w:ascii="仿宋" w:hAnsi="仿宋" w:eastAsia="仿宋_GB2312" w:cs="仿宋"/>
          <w:b/>
          <w:color w:val="auto"/>
          <w:sz w:val="28"/>
          <w:szCs w:val="28"/>
          <w:highlight w:val="none"/>
          <w:lang w:eastAsia="zh-CN"/>
        </w:rPr>
        <w:br w:type="page"/>
      </w:r>
    </w:p>
    <w:p w14:paraId="2115950A">
      <w:pPr>
        <w:pageBreakBefore w:val="0"/>
        <w:kinsoku/>
        <w:overflowPunct/>
        <w:topLinePunct w:val="0"/>
        <w:bidi w:val="0"/>
        <w:adjustRightInd w:val="0"/>
        <w:snapToGrid w:val="0"/>
        <w:spacing w:line="400" w:lineRule="exact"/>
        <w:jc w:val="center"/>
        <w:outlineLvl w:val="9"/>
        <w:rPr>
          <w:rFonts w:hint="eastAsia" w:ascii="仿宋" w:hAnsi="仿宋" w:eastAsia="仿宋_GB2312" w:cs="仿宋"/>
          <w:b/>
          <w:color w:val="auto"/>
          <w:sz w:val="28"/>
          <w:szCs w:val="28"/>
          <w:highlight w:val="none"/>
        </w:rPr>
      </w:pPr>
      <w:r>
        <w:rPr>
          <w:rFonts w:hint="eastAsia" w:ascii="仿宋" w:hAnsi="仿宋" w:eastAsia="仿宋_GB2312" w:cs="仿宋"/>
          <w:b/>
          <w:color w:val="auto"/>
          <w:sz w:val="28"/>
          <w:szCs w:val="28"/>
          <w:highlight w:val="none"/>
          <w:lang w:val="en-US" w:eastAsia="zh-CN"/>
        </w:rPr>
        <w:t xml:space="preserve"> </w:t>
      </w:r>
      <w:r>
        <w:rPr>
          <w:rFonts w:hint="eastAsia" w:ascii="仿宋" w:hAnsi="仿宋" w:eastAsia="仿宋_GB2312" w:cs="仿宋"/>
          <w:b/>
          <w:color w:val="auto"/>
          <w:sz w:val="28"/>
          <w:szCs w:val="28"/>
          <w:highlight w:val="none"/>
        </w:rPr>
        <w:t>监狱企业证明资料</w:t>
      </w:r>
    </w:p>
    <w:p w14:paraId="5BE383DF">
      <w:pPr>
        <w:pageBreakBefore w:val="0"/>
        <w:kinsoku/>
        <w:overflowPunct/>
        <w:topLinePunct w:val="0"/>
        <w:bidi w:val="0"/>
        <w:adjustRightInd w:val="0"/>
        <w:snapToGrid w:val="0"/>
        <w:spacing w:line="400" w:lineRule="exact"/>
        <w:outlineLvl w:val="9"/>
        <w:rPr>
          <w:rFonts w:hint="eastAsia" w:ascii="仿宋" w:hAnsi="仿宋" w:eastAsia="仿宋_GB2312" w:cs="仿宋"/>
          <w:b/>
          <w:color w:val="auto"/>
          <w:spacing w:val="6"/>
          <w:szCs w:val="21"/>
          <w:highlight w:val="none"/>
        </w:rPr>
      </w:pPr>
    </w:p>
    <w:p w14:paraId="3BC27EC6">
      <w:pPr>
        <w:pageBreakBefore w:val="0"/>
        <w:kinsoku/>
        <w:overflowPunct/>
        <w:topLinePunct w:val="0"/>
        <w:bidi w:val="0"/>
        <w:adjustRightInd w:val="0"/>
        <w:snapToGrid w:val="0"/>
        <w:spacing w:line="400" w:lineRule="exact"/>
        <w:ind w:firstLine="420" w:firstLineChars="200"/>
        <w:outlineLvl w:val="9"/>
        <w:rPr>
          <w:rFonts w:hint="eastAsia" w:ascii="仿宋" w:hAnsi="仿宋" w:eastAsia="仿宋_GB2312" w:cs="仿宋"/>
          <w:color w:val="auto"/>
          <w:szCs w:val="21"/>
          <w:highlight w:val="none"/>
        </w:rPr>
      </w:pPr>
      <w:r>
        <w:rPr>
          <w:rFonts w:hint="eastAsia" w:ascii="仿宋" w:hAnsi="仿宋" w:eastAsia="仿宋_GB2312" w:cs="仿宋"/>
          <w:b w:val="0"/>
          <w:bCs/>
          <w:color w:val="auto"/>
          <w:szCs w:val="21"/>
          <w:highlight w:val="none"/>
        </w:rPr>
        <w:t>注</w:t>
      </w:r>
      <w:r>
        <w:rPr>
          <w:rFonts w:hint="eastAsia" w:ascii="仿宋" w:hAnsi="仿宋" w:eastAsia="仿宋_GB2312" w:cs="仿宋"/>
          <w:b w:val="0"/>
          <w:bCs/>
          <w:color w:val="auto"/>
          <w:spacing w:val="6"/>
          <w:kern w:val="0"/>
          <w:szCs w:val="21"/>
          <w:highlight w:val="none"/>
        </w:rPr>
        <w:t>：</w:t>
      </w:r>
      <w:r>
        <w:rPr>
          <w:rFonts w:hint="eastAsia" w:ascii="仿宋" w:hAnsi="仿宋" w:eastAsia="仿宋_GB2312" w:cs="仿宋"/>
          <w:color w:val="auto"/>
          <w:szCs w:val="21"/>
          <w:highlight w:val="none"/>
        </w:rPr>
        <w:t>按</w:t>
      </w:r>
      <w:r>
        <w:rPr>
          <w:rFonts w:hint="eastAsia" w:ascii="仿宋" w:hAnsi="仿宋" w:eastAsia="仿宋_GB2312" w:cs="仿宋"/>
          <w:color w:val="auto"/>
          <w:spacing w:val="6"/>
          <w:szCs w:val="21"/>
          <w:highlight w:val="none"/>
        </w:rPr>
        <w:t>《</w:t>
      </w:r>
      <w:r>
        <w:rPr>
          <w:rFonts w:hint="eastAsia" w:ascii="仿宋" w:hAnsi="仿宋" w:eastAsia="仿宋_GB2312" w:cs="仿宋"/>
          <w:color w:val="auto"/>
          <w:szCs w:val="21"/>
          <w:highlight w:val="none"/>
        </w:rPr>
        <w:t>财政部司法部关于政府采购支持监狱企业发展有关问题的通知</w:t>
      </w:r>
      <w:r>
        <w:rPr>
          <w:rFonts w:hint="eastAsia" w:ascii="仿宋" w:hAnsi="仿宋" w:eastAsia="仿宋_GB2312" w:cs="仿宋"/>
          <w:color w:val="auto"/>
          <w:spacing w:val="6"/>
          <w:szCs w:val="21"/>
          <w:highlight w:val="none"/>
        </w:rPr>
        <w:t>》</w:t>
      </w:r>
      <w:r>
        <w:rPr>
          <w:rFonts w:hint="eastAsia" w:ascii="仿宋" w:hAnsi="仿宋" w:eastAsia="仿宋_GB2312" w:cs="仿宋"/>
          <w:color w:val="auto"/>
          <w:szCs w:val="21"/>
          <w:highlight w:val="none"/>
        </w:rPr>
        <w:t>(财库〔2014〕68号)文件规定提供证明文件。</w:t>
      </w:r>
    </w:p>
    <w:p w14:paraId="516A92E5">
      <w:pPr>
        <w:pageBreakBefore w:val="0"/>
        <w:kinsoku/>
        <w:overflowPunct/>
        <w:topLinePunct w:val="0"/>
        <w:bidi w:val="0"/>
        <w:spacing w:line="400" w:lineRule="exact"/>
        <w:outlineLvl w:val="9"/>
        <w:rPr>
          <w:rFonts w:hint="eastAsia" w:ascii="仿宋" w:hAnsi="仿宋" w:eastAsia="仿宋_GB2312" w:cs="仿宋"/>
          <w:color w:val="auto"/>
          <w:sz w:val="21"/>
          <w:szCs w:val="21"/>
          <w:highlight w:val="none"/>
        </w:rPr>
      </w:pPr>
    </w:p>
    <w:p w14:paraId="6256D548">
      <w:pPr>
        <w:pStyle w:val="71"/>
        <w:pageBreakBefore w:val="0"/>
        <w:kinsoku/>
        <w:overflowPunct/>
        <w:topLinePunct w:val="0"/>
        <w:bidi w:val="0"/>
        <w:spacing w:line="400" w:lineRule="exact"/>
        <w:outlineLvl w:val="9"/>
        <w:rPr>
          <w:rFonts w:hint="eastAsia" w:ascii="仿宋" w:hAnsi="仿宋" w:eastAsia="仿宋_GB2312" w:cs="仿宋"/>
          <w:color w:val="auto"/>
          <w:szCs w:val="21"/>
          <w:highlight w:val="none"/>
        </w:rPr>
      </w:pPr>
    </w:p>
    <w:p w14:paraId="0BA488F8">
      <w:pPr>
        <w:pStyle w:val="71"/>
        <w:pageBreakBefore w:val="0"/>
        <w:kinsoku/>
        <w:overflowPunct/>
        <w:topLinePunct w:val="0"/>
        <w:bidi w:val="0"/>
        <w:spacing w:line="400" w:lineRule="exact"/>
        <w:outlineLvl w:val="9"/>
        <w:rPr>
          <w:rFonts w:hint="eastAsia" w:ascii="仿宋" w:hAnsi="仿宋" w:eastAsia="仿宋_GB2312" w:cs="仿宋"/>
          <w:color w:val="auto"/>
          <w:szCs w:val="21"/>
          <w:highlight w:val="none"/>
        </w:rPr>
      </w:pPr>
    </w:p>
    <w:p w14:paraId="24ADC602">
      <w:pPr>
        <w:pStyle w:val="71"/>
        <w:pageBreakBefore w:val="0"/>
        <w:kinsoku/>
        <w:overflowPunct/>
        <w:topLinePunct w:val="0"/>
        <w:bidi w:val="0"/>
        <w:spacing w:line="400" w:lineRule="exact"/>
        <w:outlineLvl w:val="9"/>
        <w:rPr>
          <w:rFonts w:hint="eastAsia" w:ascii="仿宋" w:hAnsi="仿宋" w:eastAsia="仿宋_GB2312" w:cs="仿宋"/>
          <w:color w:val="auto"/>
          <w:szCs w:val="21"/>
          <w:highlight w:val="none"/>
        </w:rPr>
      </w:pPr>
    </w:p>
    <w:p w14:paraId="678CB922">
      <w:pPr>
        <w:pStyle w:val="71"/>
        <w:pageBreakBefore w:val="0"/>
        <w:kinsoku/>
        <w:overflowPunct/>
        <w:topLinePunct w:val="0"/>
        <w:bidi w:val="0"/>
        <w:spacing w:line="400" w:lineRule="exact"/>
        <w:outlineLvl w:val="9"/>
        <w:rPr>
          <w:rFonts w:hint="eastAsia" w:ascii="仿宋" w:hAnsi="仿宋" w:eastAsia="仿宋_GB2312" w:cs="仿宋"/>
          <w:color w:val="auto"/>
          <w:szCs w:val="21"/>
          <w:highlight w:val="none"/>
        </w:rPr>
      </w:pPr>
    </w:p>
    <w:p w14:paraId="0FBE8019">
      <w:pPr>
        <w:pStyle w:val="71"/>
        <w:pageBreakBefore w:val="0"/>
        <w:kinsoku/>
        <w:overflowPunct/>
        <w:topLinePunct w:val="0"/>
        <w:bidi w:val="0"/>
        <w:spacing w:line="400" w:lineRule="exact"/>
        <w:outlineLvl w:val="9"/>
        <w:rPr>
          <w:rFonts w:hint="eastAsia" w:ascii="仿宋" w:hAnsi="仿宋" w:eastAsia="仿宋_GB2312" w:cs="仿宋"/>
          <w:color w:val="auto"/>
          <w:szCs w:val="21"/>
          <w:highlight w:val="none"/>
        </w:rPr>
      </w:pPr>
    </w:p>
    <w:p w14:paraId="7795C774">
      <w:pPr>
        <w:pageBreakBefore w:val="0"/>
        <w:kinsoku/>
        <w:overflowPunct/>
        <w:topLinePunct w:val="0"/>
        <w:bidi w:val="0"/>
        <w:spacing w:line="400" w:lineRule="exact"/>
        <w:rPr>
          <w:rFonts w:hint="eastAsia" w:ascii="仿宋" w:hAnsi="仿宋" w:eastAsia="仿宋_GB2312" w:cs="仿宋"/>
          <w:color w:val="auto"/>
          <w:spacing w:val="6"/>
          <w:sz w:val="28"/>
          <w:szCs w:val="28"/>
          <w:highlight w:val="none"/>
          <w:lang w:eastAsia="zh-CN"/>
        </w:rPr>
      </w:pPr>
      <w:r>
        <w:rPr>
          <w:rFonts w:hint="eastAsia" w:ascii="仿宋" w:hAnsi="仿宋" w:eastAsia="仿宋_GB2312" w:cs="仿宋"/>
          <w:color w:val="auto"/>
          <w:szCs w:val="21"/>
          <w:highlight w:val="none"/>
        </w:rPr>
        <w:br w:type="page"/>
      </w:r>
    </w:p>
    <w:p w14:paraId="28483612">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 w:val="28"/>
          <w:szCs w:val="28"/>
          <w:highlight w:val="none"/>
        </w:rPr>
        <w:t>九、招标文件规定的其他与本项目相关的证明文件</w:t>
      </w:r>
    </w:p>
    <w:p w14:paraId="69451570">
      <w:pPr>
        <w:pageBreakBefore w:val="0"/>
        <w:kinsoku/>
        <w:overflowPunct/>
        <w:topLinePunct w:val="0"/>
        <w:bidi w:val="0"/>
        <w:spacing w:line="400" w:lineRule="exact"/>
        <w:outlineLvl w:val="9"/>
        <w:rPr>
          <w:rFonts w:hint="eastAsia" w:ascii="仿宋" w:hAnsi="仿宋" w:eastAsia="仿宋_GB2312" w:cs="仿宋"/>
          <w:color w:val="auto"/>
          <w:highlight w:val="none"/>
        </w:rPr>
      </w:pPr>
    </w:p>
    <w:p w14:paraId="1C25315F">
      <w:pPr>
        <w:pageBreakBefore w:val="0"/>
        <w:kinsoku/>
        <w:overflowPunct/>
        <w:topLinePunct w:val="0"/>
        <w:bidi w:val="0"/>
        <w:spacing w:line="400" w:lineRule="exact"/>
        <w:jc w:val="center"/>
        <w:outlineLvl w:val="9"/>
        <w:rPr>
          <w:rFonts w:hint="eastAsia" w:ascii="仿宋" w:hAnsi="仿宋" w:eastAsia="仿宋_GB2312" w:cs="仿宋"/>
          <w:b/>
          <w:bCs/>
          <w:color w:val="auto"/>
          <w:sz w:val="28"/>
          <w:szCs w:val="28"/>
          <w:highlight w:val="none"/>
        </w:rPr>
      </w:pPr>
    </w:p>
    <w:p w14:paraId="7BF82518">
      <w:pPr>
        <w:pStyle w:val="63"/>
        <w:pageBreakBefore w:val="0"/>
        <w:numPr>
          <w:ilvl w:val="1"/>
          <w:numId w:val="0"/>
        </w:numPr>
        <w:kinsoku/>
        <w:overflowPunct/>
        <w:topLinePunct w:val="0"/>
        <w:bidi w:val="0"/>
        <w:spacing w:line="400" w:lineRule="exact"/>
        <w:ind w:left="1134" w:leftChars="0"/>
        <w:outlineLvl w:val="9"/>
        <w:rPr>
          <w:rFonts w:hint="eastAsia" w:ascii="仿宋" w:hAnsi="仿宋" w:eastAsia="仿宋_GB2312" w:cs="仿宋"/>
          <w:color w:val="auto"/>
          <w:highlight w:val="none"/>
        </w:rPr>
      </w:pPr>
    </w:p>
    <w:p w14:paraId="7DA3F1F0">
      <w:pPr>
        <w:pageBreakBefore w:val="0"/>
        <w:kinsoku/>
        <w:overflowPunct/>
        <w:topLinePunct w:val="0"/>
        <w:bidi w:val="0"/>
        <w:spacing w:line="400" w:lineRule="exact"/>
        <w:outlineLvl w:val="9"/>
        <w:rPr>
          <w:rFonts w:hint="eastAsia" w:ascii="仿宋" w:hAnsi="仿宋" w:eastAsia="仿宋_GB2312" w:cs="仿宋"/>
          <w:color w:val="auto"/>
          <w:highlight w:val="none"/>
        </w:rPr>
      </w:pPr>
    </w:p>
    <w:p w14:paraId="27EAA006">
      <w:pPr>
        <w:keepNext w:val="0"/>
        <w:keepLines w:val="0"/>
        <w:pageBreakBefore w:val="0"/>
        <w:widowControl w:val="0"/>
        <w:kinsoku/>
        <w:wordWrap/>
        <w:overflowPunct/>
        <w:topLinePunct w:val="0"/>
        <w:autoSpaceDE/>
        <w:autoSpaceDN/>
        <w:bidi w:val="0"/>
        <w:spacing w:line="240" w:lineRule="auto"/>
        <w:jc w:val="center"/>
        <w:textAlignment w:val="auto"/>
        <w:outlineLvl w:val="9"/>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br w:type="page"/>
      </w:r>
    </w:p>
    <w:p w14:paraId="1101A9DF">
      <w:pPr>
        <w:keepNext w:val="0"/>
        <w:keepLines w:val="0"/>
        <w:pageBreakBefore w:val="0"/>
        <w:widowControl w:val="0"/>
        <w:kinsoku/>
        <w:wordWrap/>
        <w:overflowPunct/>
        <w:topLinePunct w:val="0"/>
        <w:autoSpaceDE/>
        <w:autoSpaceDN/>
        <w:bidi w:val="0"/>
        <w:spacing w:line="240" w:lineRule="auto"/>
        <w:jc w:val="center"/>
        <w:textAlignment w:val="auto"/>
        <w:outlineLvl w:val="9"/>
        <w:rPr>
          <w:rFonts w:hint="eastAsia" w:ascii="仿宋" w:hAnsi="仿宋" w:eastAsia="仿宋_GB2312" w:cs="仿宋"/>
          <w:color w:val="auto"/>
          <w:szCs w:val="21"/>
          <w:highlight w:val="none"/>
        </w:rPr>
      </w:pPr>
    </w:p>
    <w:p w14:paraId="44166FCA">
      <w:pPr>
        <w:keepNext w:val="0"/>
        <w:keepLines w:val="0"/>
        <w:pageBreakBefore w:val="0"/>
        <w:widowControl w:val="0"/>
        <w:kinsoku/>
        <w:wordWrap/>
        <w:overflowPunct/>
        <w:topLinePunct w:val="0"/>
        <w:autoSpaceDE/>
        <w:autoSpaceDN/>
        <w:bidi w:val="0"/>
        <w:spacing w:line="240" w:lineRule="auto"/>
        <w:jc w:val="center"/>
        <w:textAlignment w:val="auto"/>
        <w:outlineLvl w:val="9"/>
        <w:rPr>
          <w:rFonts w:hint="eastAsia" w:ascii="仿宋" w:hAnsi="仿宋" w:eastAsia="仿宋_GB2312" w:cs="仿宋"/>
          <w:bCs/>
          <w:color w:val="auto"/>
          <w:sz w:val="72"/>
          <w:szCs w:val="72"/>
          <w:highlight w:val="none"/>
        </w:rPr>
      </w:pPr>
      <w:r>
        <w:rPr>
          <w:rFonts w:hint="eastAsia" w:ascii="仿宋" w:hAnsi="仿宋" w:eastAsia="仿宋_GB2312" w:cs="仿宋"/>
          <w:bCs/>
          <w:color w:val="auto"/>
          <w:sz w:val="72"/>
          <w:szCs w:val="72"/>
          <w:highlight w:val="none"/>
        </w:rPr>
        <w:t>政府采购</w:t>
      </w:r>
    </w:p>
    <w:p w14:paraId="3237B89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b/>
          <w:bCs/>
          <w:color w:val="auto"/>
          <w:sz w:val="84"/>
          <w:szCs w:val="84"/>
          <w:highlight w:val="none"/>
        </w:rPr>
      </w:pPr>
      <w:r>
        <w:rPr>
          <w:rFonts w:hint="eastAsia" w:ascii="仿宋" w:hAnsi="仿宋" w:eastAsia="仿宋_GB2312" w:cs="仿宋"/>
          <w:b/>
          <w:bCs/>
          <w:color w:val="auto"/>
          <w:sz w:val="84"/>
          <w:szCs w:val="84"/>
          <w:highlight w:val="none"/>
        </w:rPr>
        <w:t>投 标 文 件</w:t>
      </w:r>
    </w:p>
    <w:p w14:paraId="02086D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44"/>
          <w:szCs w:val="44"/>
          <w:highlight w:val="none"/>
        </w:rPr>
      </w:pPr>
    </w:p>
    <w:p w14:paraId="742F88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44"/>
          <w:szCs w:val="44"/>
          <w:highlight w:val="none"/>
        </w:rPr>
      </w:pPr>
      <w:r>
        <w:rPr>
          <w:rFonts w:hint="eastAsia" w:ascii="仿宋" w:hAnsi="仿宋" w:eastAsia="仿宋_GB2312" w:cs="仿宋"/>
          <w:color w:val="auto"/>
          <w:sz w:val="44"/>
          <w:szCs w:val="44"/>
          <w:highlight w:val="none"/>
        </w:rPr>
        <w:t>第</w:t>
      </w:r>
      <w:r>
        <w:rPr>
          <w:rFonts w:hint="eastAsia" w:ascii="仿宋" w:hAnsi="仿宋" w:eastAsia="仿宋_GB2312" w:cs="仿宋"/>
          <w:color w:val="auto"/>
          <w:sz w:val="44"/>
          <w:szCs w:val="44"/>
          <w:highlight w:val="none"/>
          <w:lang w:eastAsia="zh-CN"/>
        </w:rPr>
        <w:t>三</w:t>
      </w:r>
      <w:r>
        <w:rPr>
          <w:rFonts w:hint="eastAsia" w:ascii="仿宋" w:hAnsi="仿宋" w:eastAsia="仿宋_GB2312" w:cs="仿宋"/>
          <w:color w:val="auto"/>
          <w:sz w:val="44"/>
          <w:szCs w:val="44"/>
          <w:highlight w:val="none"/>
        </w:rPr>
        <w:t xml:space="preserve">部分 </w:t>
      </w:r>
      <w:r>
        <w:rPr>
          <w:rFonts w:hint="eastAsia" w:ascii="仿宋" w:hAnsi="仿宋" w:eastAsia="仿宋_GB2312" w:cs="仿宋"/>
          <w:color w:val="auto"/>
          <w:sz w:val="44"/>
          <w:szCs w:val="44"/>
          <w:highlight w:val="none"/>
          <w:lang w:eastAsia="zh-CN"/>
        </w:rPr>
        <w:t>技术</w:t>
      </w:r>
      <w:r>
        <w:rPr>
          <w:rFonts w:hint="eastAsia" w:ascii="仿宋" w:hAnsi="仿宋" w:eastAsia="仿宋_GB2312" w:cs="仿宋"/>
          <w:color w:val="auto"/>
          <w:sz w:val="44"/>
          <w:szCs w:val="44"/>
          <w:highlight w:val="none"/>
        </w:rPr>
        <w:t>文件</w:t>
      </w:r>
    </w:p>
    <w:p w14:paraId="464D055F">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2"/>
          <w:szCs w:val="32"/>
          <w:highlight w:val="none"/>
        </w:rPr>
      </w:pPr>
    </w:p>
    <w:p w14:paraId="48E472B3">
      <w:pPr>
        <w:pStyle w:val="22"/>
        <w:keepNext w:val="0"/>
        <w:keepLines w:val="0"/>
        <w:pageBreakBefore w:val="0"/>
        <w:widowControl w:val="0"/>
        <w:kinsoku/>
        <w:wordWrap/>
        <w:overflowPunct/>
        <w:topLinePunct w:val="0"/>
        <w:autoSpaceDE/>
        <w:autoSpaceDN/>
        <w:bidi w:val="0"/>
        <w:adjustRightInd w:val="0"/>
        <w:snapToGrid w:val="0"/>
        <w:spacing w:line="240" w:lineRule="auto"/>
        <w:ind w:firstLine="1988" w:firstLineChars="660"/>
        <w:textAlignment w:val="auto"/>
        <w:outlineLvl w:val="9"/>
        <w:rPr>
          <w:rFonts w:hint="eastAsia" w:ascii="仿宋" w:hAnsi="仿宋" w:eastAsia="仿宋_GB2312" w:cs="仿宋"/>
          <w:b/>
          <w:bCs/>
          <w:color w:val="auto"/>
          <w:sz w:val="30"/>
          <w:szCs w:val="30"/>
          <w:highlight w:val="none"/>
        </w:rPr>
      </w:pPr>
    </w:p>
    <w:p w14:paraId="4B09731E">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eastAsia="zh-CN"/>
        </w:rPr>
      </w:pPr>
      <w:r>
        <w:rPr>
          <w:rFonts w:hint="eastAsia" w:ascii="仿宋" w:hAnsi="仿宋" w:eastAsia="仿宋_GB2312" w:cs="仿宋"/>
          <w:b/>
          <w:color w:val="auto"/>
          <w:sz w:val="32"/>
          <w:szCs w:val="32"/>
          <w:highlight w:val="none"/>
        </w:rPr>
        <w:t>采购项目名称：</w:t>
      </w:r>
    </w:p>
    <w:p w14:paraId="7EE5C290">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val="en-US" w:eastAsia="zh-CN"/>
        </w:rPr>
      </w:pPr>
      <w:r>
        <w:rPr>
          <w:rFonts w:hint="eastAsia" w:ascii="仿宋" w:hAnsi="仿宋" w:eastAsia="仿宋_GB2312" w:cs="仿宋"/>
          <w:b/>
          <w:color w:val="auto"/>
          <w:sz w:val="32"/>
          <w:szCs w:val="32"/>
          <w:highlight w:val="none"/>
        </w:rPr>
        <w:t>政府采购编号：</w:t>
      </w:r>
    </w:p>
    <w:p w14:paraId="66E046C4">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val="en-US" w:eastAsia="zh-CN"/>
        </w:rPr>
      </w:pPr>
      <w:r>
        <w:rPr>
          <w:rFonts w:hint="eastAsia" w:ascii="仿宋" w:hAnsi="仿宋" w:eastAsia="仿宋_GB2312" w:cs="仿宋"/>
          <w:b/>
          <w:color w:val="auto"/>
          <w:sz w:val="32"/>
          <w:szCs w:val="32"/>
          <w:highlight w:val="none"/>
        </w:rPr>
        <w:t>项 目  编 号：</w:t>
      </w:r>
    </w:p>
    <w:p w14:paraId="05A3403A">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u w:val="single"/>
          <w:lang w:val="en-US" w:eastAsia="zh-CN"/>
        </w:rPr>
      </w:pPr>
      <w:r>
        <w:rPr>
          <w:rFonts w:hint="eastAsia" w:ascii="仿宋" w:hAnsi="仿宋" w:eastAsia="仿宋_GB2312" w:cs="仿宋"/>
          <w:b/>
          <w:color w:val="auto"/>
          <w:sz w:val="32"/>
          <w:szCs w:val="32"/>
          <w:highlight w:val="none"/>
        </w:rPr>
        <w:t>采购代理编号：</w:t>
      </w:r>
    </w:p>
    <w:p w14:paraId="7883F3FA">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color w:val="auto"/>
          <w:sz w:val="32"/>
          <w:szCs w:val="32"/>
          <w:highlight w:val="none"/>
          <w:lang w:eastAsia="zh-CN"/>
        </w:rPr>
      </w:pPr>
      <w:r>
        <w:rPr>
          <w:rFonts w:hint="eastAsia" w:ascii="仿宋" w:hAnsi="仿宋" w:eastAsia="仿宋_GB2312" w:cs="仿宋"/>
          <w:b/>
          <w:color w:val="auto"/>
          <w:sz w:val="32"/>
          <w:szCs w:val="32"/>
          <w:highlight w:val="none"/>
        </w:rPr>
        <w:t>采   购   人：</w:t>
      </w:r>
    </w:p>
    <w:p w14:paraId="1741D2B7">
      <w:pPr>
        <w:keepNext w:val="0"/>
        <w:keepLines w:val="0"/>
        <w:pageBreakBefore w:val="0"/>
        <w:widowControl w:val="0"/>
        <w:kinsoku/>
        <w:wordWrap/>
        <w:overflowPunct/>
        <w:topLinePunct w:val="0"/>
        <w:autoSpaceDE/>
        <w:autoSpaceDN/>
        <w:bidi w:val="0"/>
        <w:adjustRightInd w:val="0"/>
        <w:snapToGrid w:val="0"/>
        <w:spacing w:line="700" w:lineRule="exact"/>
        <w:ind w:firstLine="1124" w:firstLineChars="350"/>
        <w:textAlignment w:val="auto"/>
        <w:outlineLvl w:val="9"/>
        <w:rPr>
          <w:rFonts w:hint="eastAsia" w:ascii="仿宋" w:hAnsi="仿宋" w:eastAsia="仿宋_GB2312" w:cs="仿宋"/>
          <w:b/>
          <w:bCs/>
          <w:color w:val="auto"/>
          <w:sz w:val="30"/>
          <w:szCs w:val="30"/>
          <w:highlight w:val="none"/>
          <w:u w:val="single"/>
        </w:rPr>
      </w:pPr>
      <w:r>
        <w:rPr>
          <w:rFonts w:hint="eastAsia" w:ascii="仿宋" w:hAnsi="仿宋" w:eastAsia="仿宋_GB2312" w:cs="仿宋"/>
          <w:b/>
          <w:color w:val="auto"/>
          <w:sz w:val="32"/>
          <w:szCs w:val="21"/>
          <w:highlight w:val="none"/>
        </w:rPr>
        <w:t>采购代理机构：</w:t>
      </w:r>
    </w:p>
    <w:p w14:paraId="0B41FAC7">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49EADC2A">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7E1DC804">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7E7A0329">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仿宋" w:hAnsi="仿宋" w:eastAsia="仿宋_GB2312" w:cs="仿宋"/>
          <w:color w:val="auto"/>
          <w:sz w:val="30"/>
          <w:szCs w:val="30"/>
          <w:highlight w:val="none"/>
        </w:rPr>
      </w:pPr>
    </w:p>
    <w:p w14:paraId="55A29741">
      <w:pPr>
        <w:keepNext w:val="0"/>
        <w:keepLines w:val="0"/>
        <w:pageBreakBefore w:val="0"/>
        <w:widowControl w:val="0"/>
        <w:kinsoku/>
        <w:wordWrap/>
        <w:overflowPunct/>
        <w:topLinePunct w:val="0"/>
        <w:autoSpaceDE/>
        <w:autoSpaceDN/>
        <w:bidi w:val="0"/>
        <w:adjustRightInd w:val="0"/>
        <w:snapToGrid w:val="0"/>
        <w:spacing w:line="240" w:lineRule="auto"/>
        <w:ind w:left="1273" w:leftChars="606" w:firstLine="3200" w:firstLineChars="1000"/>
        <w:textAlignment w:val="auto"/>
        <w:outlineLvl w:val="9"/>
        <w:rPr>
          <w:rFonts w:hint="eastAsia" w:ascii="仿宋" w:hAnsi="仿宋" w:eastAsia="仿宋_GB2312" w:cs="仿宋"/>
          <w:color w:val="auto"/>
          <w:sz w:val="32"/>
          <w:szCs w:val="32"/>
          <w:highlight w:val="none"/>
          <w:u w:val="single"/>
        </w:rPr>
      </w:pPr>
      <w:r>
        <w:rPr>
          <w:rFonts w:hint="eastAsia" w:ascii="仿宋" w:hAnsi="仿宋" w:eastAsia="仿宋_GB2312" w:cs="仿宋"/>
          <w:color w:val="auto"/>
          <w:sz w:val="32"/>
          <w:szCs w:val="32"/>
          <w:highlight w:val="none"/>
        </w:rPr>
        <w:t>投标人：</w:t>
      </w:r>
    </w:p>
    <w:p w14:paraId="254AF62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32"/>
          <w:szCs w:val="32"/>
          <w:highlight w:val="none"/>
        </w:rPr>
      </w:pPr>
    </w:p>
    <w:p w14:paraId="4E98EDA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仿宋" w:hAnsi="仿宋" w:eastAsia="仿宋_GB2312" w:cs="仿宋"/>
          <w:color w:val="auto"/>
          <w:sz w:val="32"/>
          <w:szCs w:val="32"/>
          <w:highlight w:val="none"/>
        </w:rPr>
      </w:pP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 xml:space="preserve">年  </w:t>
      </w: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 xml:space="preserve">月  </w:t>
      </w:r>
      <w:r>
        <w:rPr>
          <w:rFonts w:hint="eastAsia" w:ascii="仿宋" w:hAnsi="仿宋" w:eastAsia="仿宋_GB2312" w:cs="仿宋"/>
          <w:color w:val="auto"/>
          <w:sz w:val="32"/>
          <w:szCs w:val="32"/>
          <w:highlight w:val="none"/>
          <w:lang w:val="en-US" w:eastAsia="zh-CN"/>
        </w:rPr>
        <w:t xml:space="preserve">  </w:t>
      </w:r>
      <w:r>
        <w:rPr>
          <w:rFonts w:hint="eastAsia" w:ascii="仿宋" w:hAnsi="仿宋" w:eastAsia="仿宋_GB2312" w:cs="仿宋"/>
          <w:color w:val="auto"/>
          <w:sz w:val="32"/>
          <w:szCs w:val="32"/>
          <w:highlight w:val="none"/>
        </w:rPr>
        <w:t>日</w:t>
      </w:r>
    </w:p>
    <w:p w14:paraId="36AA454D">
      <w:pPr>
        <w:keepNext w:val="0"/>
        <w:keepLines w:val="0"/>
        <w:pageBreakBefore w:val="0"/>
        <w:widowControl w:val="0"/>
        <w:kinsoku/>
        <w:wordWrap/>
        <w:overflowPunct/>
        <w:topLinePunct w:val="0"/>
        <w:autoSpaceDE/>
        <w:autoSpaceDN/>
        <w:bidi w:val="0"/>
        <w:spacing w:line="240" w:lineRule="auto"/>
        <w:textAlignment w:val="auto"/>
        <w:outlineLvl w:val="9"/>
        <w:rPr>
          <w:rFonts w:hint="eastAsia" w:ascii="仿宋" w:hAnsi="仿宋" w:eastAsia="仿宋_GB2312" w:cs="仿宋"/>
          <w:color w:val="auto"/>
          <w:szCs w:val="21"/>
          <w:highlight w:val="none"/>
        </w:rPr>
      </w:pPr>
    </w:p>
    <w:p w14:paraId="43C29567">
      <w:pPr>
        <w:keepNext w:val="0"/>
        <w:keepLines w:val="0"/>
        <w:pageBreakBefore w:val="0"/>
        <w:widowControl w:val="0"/>
        <w:kinsoku/>
        <w:wordWrap/>
        <w:overflowPunct/>
        <w:topLinePunct w:val="0"/>
        <w:autoSpaceDE/>
        <w:autoSpaceDN/>
        <w:bidi w:val="0"/>
        <w:spacing w:line="240" w:lineRule="auto"/>
        <w:textAlignment w:val="auto"/>
        <w:outlineLvl w:val="9"/>
        <w:rPr>
          <w:rFonts w:hint="eastAsia" w:ascii="仿宋" w:hAnsi="仿宋" w:eastAsia="仿宋_GB2312" w:cs="仿宋"/>
          <w:color w:val="auto"/>
          <w:highlight w:val="none"/>
        </w:rPr>
      </w:pPr>
    </w:p>
    <w:p w14:paraId="085F9875">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Cs w:val="21"/>
          <w:highlight w:val="none"/>
        </w:rPr>
      </w:pPr>
    </w:p>
    <w:p w14:paraId="618DCD03">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Cs w:val="21"/>
          <w:highlight w:val="none"/>
        </w:rPr>
      </w:pPr>
    </w:p>
    <w:p w14:paraId="01AF9233">
      <w:pPr>
        <w:pStyle w:val="68"/>
        <w:pageBreakBefore w:val="0"/>
        <w:kinsoku/>
        <w:overflowPunct/>
        <w:topLinePunct w:val="0"/>
        <w:bidi w:val="0"/>
        <w:spacing w:before="0" w:after="0" w:line="400" w:lineRule="exact"/>
        <w:rPr>
          <w:rFonts w:hint="eastAsia" w:ascii="仿宋" w:hAnsi="仿宋" w:eastAsia="仿宋_GB2312" w:cs="仿宋"/>
          <w:color w:val="auto"/>
          <w:highlight w:val="none"/>
        </w:rPr>
      </w:pPr>
    </w:p>
    <w:p w14:paraId="45748632">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Cs w:val="21"/>
          <w:highlight w:val="none"/>
        </w:rPr>
      </w:pPr>
    </w:p>
    <w:p w14:paraId="1ECE9229">
      <w:pPr>
        <w:pageBreakBefore w:val="0"/>
        <w:kinsoku/>
        <w:overflowPunct/>
        <w:topLinePunct w:val="0"/>
        <w:bidi w:val="0"/>
        <w:rPr>
          <w:rFonts w:hint="eastAsia" w:ascii="仿宋" w:hAnsi="仿宋" w:eastAsia="仿宋_GB2312" w:cs="仿宋"/>
          <w:color w:val="auto"/>
          <w:szCs w:val="21"/>
          <w:highlight w:val="none"/>
        </w:rPr>
      </w:pPr>
      <w:r>
        <w:rPr>
          <w:rFonts w:hint="eastAsia" w:ascii="仿宋" w:hAnsi="仿宋" w:eastAsia="仿宋_GB2312" w:cs="仿宋"/>
          <w:color w:val="auto"/>
          <w:szCs w:val="21"/>
          <w:highlight w:val="none"/>
        </w:rPr>
        <w:br w:type="page"/>
      </w:r>
    </w:p>
    <w:p w14:paraId="65FAB35B">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sz w:val="32"/>
          <w:szCs w:val="32"/>
          <w:highlight w:val="none"/>
        </w:rPr>
        <w:t>十、</w:t>
      </w:r>
      <w:r>
        <w:rPr>
          <w:rFonts w:hint="eastAsia" w:ascii="仿宋" w:hAnsi="仿宋" w:eastAsia="仿宋_GB2312" w:cs="仿宋"/>
          <w:color w:val="auto"/>
          <w:sz w:val="32"/>
          <w:szCs w:val="32"/>
          <w:highlight w:val="none"/>
          <w:lang w:eastAsia="zh-CN"/>
        </w:rPr>
        <w:t>服务方案</w:t>
      </w:r>
    </w:p>
    <w:p w14:paraId="719189DC">
      <w:pPr>
        <w:pStyle w:val="160"/>
        <w:pageBreakBefore w:val="0"/>
        <w:kinsoku/>
        <w:overflowPunct/>
        <w:topLinePunct w:val="0"/>
        <w:bidi w:val="0"/>
        <w:spacing w:line="400" w:lineRule="exact"/>
        <w:jc w:val="center"/>
        <w:outlineLvl w:val="9"/>
        <w:rPr>
          <w:rFonts w:hint="eastAsia" w:ascii="仿宋" w:hAnsi="仿宋" w:eastAsia="仿宋_GB2312" w:cs="仿宋"/>
          <w:color w:val="auto"/>
          <w:szCs w:val="21"/>
          <w:highlight w:val="none"/>
        </w:rPr>
      </w:pPr>
    </w:p>
    <w:p w14:paraId="05BF09D5">
      <w:pPr>
        <w:pStyle w:val="160"/>
        <w:pageBreakBefore w:val="0"/>
        <w:kinsoku/>
        <w:overflowPunct/>
        <w:topLinePunct w:val="0"/>
        <w:bidi w:val="0"/>
        <w:spacing w:line="400" w:lineRule="exact"/>
        <w:jc w:val="center"/>
        <w:outlineLvl w:val="9"/>
        <w:rPr>
          <w:rStyle w:val="46"/>
          <w:rFonts w:hint="eastAsia" w:ascii="仿宋" w:hAnsi="仿宋" w:eastAsia="仿宋_GB2312" w:cs="仿宋"/>
          <w:color w:val="auto"/>
          <w:sz w:val="28"/>
          <w:szCs w:val="28"/>
          <w:highlight w:val="none"/>
        </w:rPr>
      </w:pPr>
      <w:r>
        <w:rPr>
          <w:rFonts w:hint="eastAsia" w:ascii="仿宋" w:hAnsi="仿宋" w:eastAsia="仿宋_GB2312" w:cs="仿宋"/>
          <w:color w:val="auto"/>
          <w:szCs w:val="21"/>
          <w:highlight w:val="none"/>
        </w:rPr>
        <w:t>服务类项目投标人应根据</w:t>
      </w:r>
      <w:r>
        <w:rPr>
          <w:rFonts w:hint="eastAsia" w:ascii="仿宋" w:hAnsi="仿宋" w:eastAsia="仿宋_GB2312" w:cs="仿宋"/>
          <w:color w:val="auto"/>
          <w:szCs w:val="21"/>
          <w:highlight w:val="none"/>
          <w:lang w:eastAsia="zh-CN"/>
        </w:rPr>
        <w:t>采购需求</w:t>
      </w:r>
      <w:r>
        <w:rPr>
          <w:rFonts w:hint="eastAsia" w:ascii="仿宋" w:hAnsi="仿宋" w:eastAsia="仿宋_GB2312" w:cs="仿宋"/>
          <w:color w:val="auto"/>
          <w:szCs w:val="21"/>
          <w:highlight w:val="none"/>
        </w:rPr>
        <w:t>编写服务方案或服务大纲。</w:t>
      </w:r>
    </w:p>
    <w:p w14:paraId="76675B38">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br w:type="page"/>
      </w:r>
    </w:p>
    <w:p w14:paraId="0802D226">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rPr>
      </w:pPr>
      <w:r>
        <w:rPr>
          <w:rFonts w:hint="eastAsia" w:ascii="仿宋" w:hAnsi="仿宋" w:eastAsia="仿宋_GB2312" w:cs="仿宋"/>
          <w:color w:val="auto"/>
          <w:sz w:val="32"/>
          <w:szCs w:val="32"/>
          <w:highlight w:val="none"/>
        </w:rPr>
        <w:t>十</w:t>
      </w:r>
      <w:r>
        <w:rPr>
          <w:rFonts w:hint="eastAsia" w:ascii="仿宋" w:hAnsi="仿宋" w:eastAsia="仿宋_GB2312" w:cs="仿宋"/>
          <w:color w:val="auto"/>
          <w:sz w:val="32"/>
          <w:szCs w:val="32"/>
          <w:highlight w:val="none"/>
          <w:lang w:eastAsia="zh-CN"/>
        </w:rPr>
        <w:t>一</w:t>
      </w:r>
      <w:r>
        <w:rPr>
          <w:rFonts w:hint="eastAsia" w:ascii="仿宋" w:hAnsi="仿宋" w:eastAsia="仿宋_GB2312" w:cs="仿宋"/>
          <w:color w:val="auto"/>
          <w:sz w:val="32"/>
          <w:szCs w:val="32"/>
          <w:highlight w:val="none"/>
        </w:rPr>
        <w:t>、技术</w:t>
      </w:r>
      <w:r>
        <w:rPr>
          <w:rFonts w:hint="eastAsia" w:ascii="仿宋" w:hAnsi="仿宋" w:eastAsia="仿宋_GB2312" w:cs="仿宋"/>
          <w:color w:val="auto"/>
          <w:sz w:val="32"/>
          <w:szCs w:val="32"/>
          <w:highlight w:val="none"/>
          <w:lang w:eastAsia="zh-CN"/>
        </w:rPr>
        <w:t>要求</w:t>
      </w:r>
      <w:r>
        <w:rPr>
          <w:rFonts w:hint="eastAsia" w:ascii="仿宋" w:hAnsi="仿宋" w:eastAsia="仿宋_GB2312" w:cs="仿宋"/>
          <w:color w:val="auto"/>
          <w:sz w:val="32"/>
          <w:szCs w:val="32"/>
          <w:highlight w:val="none"/>
        </w:rPr>
        <w:t>响应</w:t>
      </w:r>
      <w:r>
        <w:rPr>
          <w:rFonts w:hint="eastAsia" w:ascii="仿宋" w:hAnsi="仿宋" w:eastAsia="仿宋_GB2312" w:cs="仿宋"/>
          <w:color w:val="auto"/>
          <w:sz w:val="32"/>
          <w:szCs w:val="32"/>
          <w:highlight w:val="none"/>
          <w:lang w:eastAsia="zh-CN"/>
        </w:rPr>
        <w:t>、</w:t>
      </w:r>
      <w:r>
        <w:rPr>
          <w:rFonts w:hint="eastAsia" w:ascii="仿宋" w:hAnsi="仿宋" w:eastAsia="仿宋_GB2312" w:cs="仿宋"/>
          <w:color w:val="auto"/>
          <w:sz w:val="32"/>
          <w:szCs w:val="32"/>
          <w:highlight w:val="none"/>
        </w:rPr>
        <w:t>偏离表</w:t>
      </w:r>
    </w:p>
    <w:p w14:paraId="14857F3D">
      <w:pPr>
        <w:pageBreakBefore w:val="0"/>
        <w:kinsoku/>
        <w:overflowPunct/>
        <w:topLinePunct w:val="0"/>
        <w:bidi w:val="0"/>
        <w:spacing w:line="400" w:lineRule="exact"/>
        <w:jc w:val="center"/>
        <w:outlineLvl w:val="9"/>
        <w:rPr>
          <w:rFonts w:hint="eastAsia" w:ascii="仿宋" w:hAnsi="仿宋" w:eastAsia="仿宋_GB2312" w:cs="仿宋"/>
          <w:color w:val="auto"/>
          <w:highlight w:val="none"/>
        </w:rPr>
      </w:pPr>
    </w:p>
    <w:p w14:paraId="044A5BCC">
      <w:pPr>
        <w:pageBreakBefore w:val="0"/>
        <w:kinsoku/>
        <w:overflowPunct/>
        <w:topLinePunct w:val="0"/>
        <w:bidi w:val="0"/>
        <w:spacing w:line="400" w:lineRule="exact"/>
        <w:ind w:firstLine="266"/>
        <w:outlineLvl w:val="9"/>
        <w:rPr>
          <w:rFonts w:hint="eastAsia" w:ascii="仿宋" w:hAnsi="仿宋" w:eastAsia="仿宋" w:cs="仿宋"/>
          <w:color w:val="auto"/>
          <w:highlight w:val="none"/>
        </w:rPr>
      </w:pPr>
      <w:r>
        <w:rPr>
          <w:rFonts w:hint="eastAsia" w:ascii="仿宋" w:hAnsi="仿宋" w:eastAsia="仿宋_GB2312" w:cs="仿宋"/>
          <w:color w:val="auto"/>
          <w:spacing w:val="28"/>
          <w:szCs w:val="21"/>
          <w:highlight w:val="none"/>
        </w:rPr>
        <w:t>政府采购编号</w:t>
      </w:r>
      <w:r>
        <w:rPr>
          <w:rFonts w:hint="eastAsia" w:ascii="仿宋" w:hAnsi="仿宋" w:eastAsia="仿宋_GB2312" w:cs="仿宋"/>
          <w:color w:val="auto"/>
          <w:szCs w:val="21"/>
          <w:highlight w:val="none"/>
        </w:rPr>
        <w:t xml:space="preserve">: </w:t>
      </w:r>
      <w:r>
        <w:rPr>
          <w:rFonts w:hint="eastAsia" w:ascii="仿宋" w:hAnsi="仿宋" w:eastAsia="仿宋_GB2312" w:cs="仿宋"/>
          <w:color w:val="auto"/>
          <w:szCs w:val="21"/>
          <w:highlight w:val="none"/>
          <w:u w:val="single"/>
          <w:lang w:val="en-US" w:eastAsia="zh-CN"/>
        </w:rPr>
        <w:t xml:space="preserve">               </w:t>
      </w:r>
      <w:r>
        <w:rPr>
          <w:rFonts w:hint="eastAsia" w:ascii="仿宋" w:hAnsi="仿宋" w:eastAsia="仿宋_GB2312" w:cs="仿宋"/>
          <w:color w:val="auto"/>
          <w:szCs w:val="21"/>
          <w:highlight w:val="none"/>
          <w:lang w:eastAsia="zh-CN"/>
        </w:rPr>
        <w:t>采购代理编号</w:t>
      </w:r>
      <w:r>
        <w:rPr>
          <w:rFonts w:hint="eastAsia" w:ascii="仿宋" w:hAnsi="仿宋" w:eastAsia="仿宋_GB2312" w:cs="仿宋"/>
          <w:color w:val="auto"/>
          <w:szCs w:val="21"/>
          <w:highlight w:val="none"/>
        </w:rPr>
        <w:t>:</w:t>
      </w:r>
      <w:r>
        <w:rPr>
          <w:rFonts w:hint="eastAsia" w:ascii="仿宋" w:hAnsi="仿宋" w:eastAsia="仿宋_GB2312" w:cs="仿宋"/>
          <w:color w:val="auto"/>
          <w:szCs w:val="21"/>
          <w:highlight w:val="none"/>
          <w:u w:val="single"/>
        </w:rPr>
        <w:t xml:space="preserve"> </w:t>
      </w:r>
      <w:r>
        <w:rPr>
          <w:rFonts w:hint="eastAsia" w:ascii="仿宋" w:hAnsi="仿宋" w:eastAsia="仿宋_GB2312" w:cs="仿宋"/>
          <w:color w:val="auto"/>
          <w:szCs w:val="21"/>
          <w:highlight w:val="none"/>
          <w:u w:val="single"/>
          <w:lang w:val="en-US" w:eastAsia="zh-CN"/>
        </w:rPr>
        <w:t xml:space="preserve">             </w:t>
      </w:r>
    </w:p>
    <w:tbl>
      <w:tblPr>
        <w:tblStyle w:val="44"/>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715"/>
        <w:gridCol w:w="936"/>
        <w:gridCol w:w="1405"/>
        <w:gridCol w:w="1248"/>
        <w:gridCol w:w="1405"/>
        <w:gridCol w:w="1405"/>
        <w:gridCol w:w="1248"/>
      </w:tblGrid>
      <w:tr w14:paraId="52BC7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4" w:hRule="atLeast"/>
          <w:jc w:val="center"/>
        </w:trPr>
        <w:tc>
          <w:tcPr>
            <w:tcW w:w="428" w:type="pct"/>
            <w:tcBorders>
              <w:top w:val="single" w:color="000000" w:sz="8" w:space="0"/>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028D5C32">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品目号 </w:t>
            </w:r>
          </w:p>
        </w:tc>
        <w:tc>
          <w:tcPr>
            <w:tcW w:w="560" w:type="pct"/>
            <w:tcBorders>
              <w:top w:val="single" w:color="000000" w:sz="8" w:space="0"/>
              <w:left w:val="nil"/>
              <w:bottom w:val="single" w:color="000000" w:sz="8" w:space="0"/>
              <w:right w:val="single" w:color="000000" w:sz="8" w:space="0"/>
            </w:tcBorders>
            <w:noWrap w:val="0"/>
            <w:tcMar>
              <w:top w:w="0" w:type="dxa"/>
              <w:left w:w="28" w:type="dxa"/>
              <w:bottom w:w="0" w:type="dxa"/>
              <w:right w:w="28" w:type="dxa"/>
            </w:tcMar>
            <w:vAlign w:val="center"/>
          </w:tcPr>
          <w:p w14:paraId="4355269D">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货物名称 </w:t>
            </w:r>
          </w:p>
        </w:tc>
        <w:tc>
          <w:tcPr>
            <w:tcW w:w="840" w:type="pct"/>
            <w:tcBorders>
              <w:top w:val="single" w:color="000000" w:sz="8" w:space="0"/>
              <w:left w:val="nil"/>
              <w:bottom w:val="single" w:color="000000" w:sz="8" w:space="0"/>
              <w:right w:val="single" w:color="000000" w:sz="8" w:space="0"/>
            </w:tcBorders>
            <w:noWrap w:val="0"/>
            <w:tcMar>
              <w:top w:w="0" w:type="dxa"/>
              <w:left w:w="28" w:type="dxa"/>
              <w:bottom w:w="0" w:type="dxa"/>
              <w:right w:w="28" w:type="dxa"/>
            </w:tcMar>
            <w:vAlign w:val="center"/>
          </w:tcPr>
          <w:p w14:paraId="1638A3CE">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招标文件条目号 </w:t>
            </w:r>
          </w:p>
        </w:tc>
        <w:tc>
          <w:tcPr>
            <w:tcW w:w="746" w:type="pct"/>
            <w:tcBorders>
              <w:top w:val="single" w:color="000000" w:sz="8" w:space="0"/>
              <w:left w:val="nil"/>
              <w:bottom w:val="single" w:color="000000" w:sz="8" w:space="0"/>
              <w:right w:val="single" w:color="000000" w:sz="8" w:space="0"/>
            </w:tcBorders>
            <w:noWrap w:val="0"/>
            <w:tcMar>
              <w:top w:w="0" w:type="dxa"/>
              <w:left w:w="28" w:type="dxa"/>
              <w:bottom w:w="0" w:type="dxa"/>
              <w:right w:w="28" w:type="dxa"/>
            </w:tcMar>
            <w:vAlign w:val="center"/>
          </w:tcPr>
          <w:p w14:paraId="40C248EF">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招标文件的技术要求 </w:t>
            </w:r>
          </w:p>
        </w:tc>
        <w:tc>
          <w:tcPr>
            <w:tcW w:w="840" w:type="pct"/>
            <w:tcBorders>
              <w:top w:val="single" w:color="000000" w:sz="8" w:space="0"/>
              <w:left w:val="nil"/>
              <w:bottom w:val="single" w:color="000000" w:sz="8" w:space="0"/>
              <w:right w:val="single" w:color="000000" w:sz="8" w:space="0"/>
            </w:tcBorders>
            <w:noWrap w:val="0"/>
            <w:tcMar>
              <w:top w:w="0" w:type="dxa"/>
              <w:left w:w="28" w:type="dxa"/>
              <w:bottom w:w="0" w:type="dxa"/>
              <w:right w:w="28" w:type="dxa"/>
            </w:tcMar>
            <w:vAlign w:val="center"/>
          </w:tcPr>
          <w:p w14:paraId="35FA0243">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投标文件的技术响应 </w:t>
            </w:r>
          </w:p>
        </w:tc>
        <w:tc>
          <w:tcPr>
            <w:tcW w:w="840" w:type="pct"/>
            <w:tcBorders>
              <w:top w:val="single" w:color="000000" w:sz="8" w:space="0"/>
              <w:left w:val="nil"/>
              <w:bottom w:val="single" w:color="000000" w:sz="8" w:space="0"/>
              <w:right w:val="single" w:color="000000" w:sz="8" w:space="0"/>
            </w:tcBorders>
            <w:noWrap w:val="0"/>
            <w:tcMar>
              <w:top w:w="0" w:type="dxa"/>
              <w:left w:w="28" w:type="dxa"/>
              <w:bottom w:w="0" w:type="dxa"/>
              <w:right w:w="28" w:type="dxa"/>
            </w:tcMar>
            <w:vAlign w:val="center"/>
          </w:tcPr>
          <w:p w14:paraId="5F43C523">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响应/偏离 </w:t>
            </w:r>
          </w:p>
        </w:tc>
        <w:tc>
          <w:tcPr>
            <w:tcW w:w="746" w:type="pct"/>
            <w:tcBorders>
              <w:top w:val="single" w:color="000000" w:sz="8" w:space="0"/>
              <w:left w:val="nil"/>
              <w:bottom w:val="single" w:color="000000" w:sz="8" w:space="0"/>
              <w:right w:val="single" w:color="000000" w:sz="8" w:space="0"/>
            </w:tcBorders>
            <w:noWrap w:val="0"/>
            <w:tcMar>
              <w:top w:w="0" w:type="dxa"/>
              <w:left w:w="28" w:type="dxa"/>
              <w:bottom w:w="0" w:type="dxa"/>
              <w:right w:w="28" w:type="dxa"/>
            </w:tcMar>
            <w:vAlign w:val="center"/>
          </w:tcPr>
          <w:p w14:paraId="19974405">
            <w:pPr>
              <w:pageBreakBefore w:val="0"/>
              <w:kinsoku/>
              <w:overflowPunct/>
              <w:topLinePunct w:val="0"/>
              <w:bidi w:val="0"/>
              <w:spacing w:line="400" w:lineRule="exact"/>
              <w:jc w:val="center"/>
              <w:outlineLvl w:val="9"/>
              <w:rPr>
                <w:rFonts w:hint="eastAsia" w:ascii="仿宋" w:hAnsi="仿宋" w:eastAsia="仿宋" w:cs="仿宋"/>
                <w:color w:val="auto"/>
                <w:highlight w:val="none"/>
              </w:rPr>
            </w:pPr>
            <w:r>
              <w:rPr>
                <w:rFonts w:hint="eastAsia" w:ascii="仿宋" w:hAnsi="仿宋" w:eastAsia="仿宋_GB2312" w:cs="仿宋"/>
                <w:color w:val="auto"/>
                <w:szCs w:val="21"/>
                <w:highlight w:val="none"/>
              </w:rPr>
              <w:t xml:space="preserve">说明 </w:t>
            </w:r>
          </w:p>
        </w:tc>
      </w:tr>
      <w:tr w14:paraId="45A80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3DE59CC2">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4BFA8D8">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08648DE">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D966366">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71E1E23">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5EE1D07">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1F629A12">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r w14:paraId="5F297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62A8B51E">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217C80E7">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97140E7">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3DD8452">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7129F493">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410AFC37">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4819977A">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r w14:paraId="6E03B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27BCD51E">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E586FC4">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C6A0A2F">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1D6B2C10">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2764D973">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2C8B541C">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63B689F8">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r w14:paraId="306FB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39ACCA09">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15E82FAE">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2D84DC4D">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2B44BA5">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60F961B">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FC259EB">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7B05CC6A">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r w14:paraId="7DA10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1C6BE0FA">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1D52E404">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96E01E4">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7A97F833">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E27B938">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191D3730">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AF7B460">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r w14:paraId="7FE6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7FB42653">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661E901C">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4061AE3A">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D74A8B7">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13FD6348">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040922D">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A082B88">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r w14:paraId="694AA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73501103">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0F19756">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A69BD8C">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3D12288B">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F30C004">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242480C1">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68AB925">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r w14:paraId="74E12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428" w:type="pct"/>
            <w:tcBorders>
              <w:top w:val="nil"/>
              <w:left w:val="single" w:color="000000" w:sz="8" w:space="0"/>
              <w:bottom w:val="single" w:color="000000" w:sz="8" w:space="0"/>
              <w:right w:val="single" w:color="000000" w:sz="8" w:space="0"/>
            </w:tcBorders>
            <w:noWrap w:val="0"/>
            <w:tcMar>
              <w:top w:w="0" w:type="dxa"/>
              <w:left w:w="28" w:type="dxa"/>
              <w:bottom w:w="0" w:type="dxa"/>
              <w:right w:w="28" w:type="dxa"/>
            </w:tcMar>
            <w:vAlign w:val="center"/>
          </w:tcPr>
          <w:p w14:paraId="4FE2BDE2">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56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7F768E91">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8DBA109">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7E7E478F">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0BBA4D4F">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840"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5847CE0B">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c>
          <w:tcPr>
            <w:tcW w:w="746" w:type="pct"/>
            <w:tcBorders>
              <w:top w:val="nil"/>
              <w:left w:val="nil"/>
              <w:bottom w:val="single" w:color="000000" w:sz="8" w:space="0"/>
              <w:right w:val="single" w:color="000000" w:sz="8" w:space="0"/>
            </w:tcBorders>
            <w:noWrap w:val="0"/>
            <w:tcMar>
              <w:top w:w="0" w:type="dxa"/>
              <w:left w:w="28" w:type="dxa"/>
              <w:bottom w:w="0" w:type="dxa"/>
              <w:right w:w="28" w:type="dxa"/>
            </w:tcMar>
            <w:vAlign w:val="center"/>
          </w:tcPr>
          <w:p w14:paraId="25CF899A">
            <w:pPr>
              <w:pageBreakBefore w:val="0"/>
              <w:kinsoku/>
              <w:overflowPunct/>
              <w:topLinePunct w:val="0"/>
              <w:bidi w:val="0"/>
              <w:spacing w:line="400" w:lineRule="exact"/>
              <w:jc w:val="center"/>
              <w:outlineLvl w:val="9"/>
              <w:rPr>
                <w:rFonts w:hint="eastAsia" w:ascii="仿宋" w:hAnsi="仿宋" w:eastAsia="仿宋" w:cs="仿宋"/>
                <w:color w:val="auto"/>
                <w:highlight w:val="none"/>
              </w:rPr>
            </w:pPr>
          </w:p>
        </w:tc>
      </w:tr>
    </w:tbl>
    <w:p w14:paraId="270DA0B2">
      <w:pPr>
        <w:pageBreakBefore w:val="0"/>
        <w:kinsoku/>
        <w:overflowPunct/>
        <w:topLinePunct w:val="0"/>
        <w:bidi w:val="0"/>
        <w:spacing w:line="400" w:lineRule="exact"/>
        <w:outlineLvl w:val="9"/>
        <w:rPr>
          <w:rFonts w:hint="eastAsia" w:ascii="仿宋" w:hAnsi="仿宋" w:eastAsia="仿宋_GB2312" w:cs="仿宋"/>
          <w:b/>
          <w:bCs/>
          <w:color w:val="auto"/>
          <w:szCs w:val="21"/>
          <w:highlight w:val="none"/>
        </w:rPr>
      </w:pPr>
      <w:r>
        <w:rPr>
          <w:rFonts w:hint="eastAsia" w:ascii="仿宋" w:hAnsi="仿宋" w:eastAsia="仿宋_GB2312" w:cs="仿宋"/>
          <w:b/>
          <w:bCs/>
          <w:color w:val="auto"/>
          <w:szCs w:val="21"/>
          <w:highlight w:val="none"/>
        </w:rPr>
        <w:t>备注</w:t>
      </w:r>
      <w:r>
        <w:rPr>
          <w:rFonts w:hint="eastAsia" w:ascii="仿宋" w:hAnsi="仿宋" w:eastAsia="仿宋_GB2312" w:cs="仿宋"/>
          <w:b/>
          <w:color w:val="auto"/>
          <w:szCs w:val="21"/>
          <w:highlight w:val="none"/>
        </w:rPr>
        <w:t>：</w:t>
      </w:r>
      <w:r>
        <w:rPr>
          <w:rFonts w:hint="eastAsia" w:ascii="仿宋" w:hAnsi="仿宋" w:eastAsia="仿宋_GB2312" w:cs="仿宋"/>
          <w:b/>
          <w:bCs/>
          <w:color w:val="auto"/>
          <w:szCs w:val="21"/>
          <w:highlight w:val="none"/>
        </w:rPr>
        <w:t>1、 投标人应作详细的文字描述说明，不得简单填定“均</w:t>
      </w:r>
      <w:r>
        <w:rPr>
          <w:rFonts w:hint="eastAsia" w:ascii="仿宋" w:hAnsi="仿宋" w:eastAsia="仿宋_GB2312" w:cs="仿宋"/>
          <w:b/>
          <w:bCs/>
          <w:color w:val="auto"/>
          <w:szCs w:val="21"/>
          <w:highlight w:val="none"/>
          <w:lang w:eastAsia="zh-CN"/>
        </w:rPr>
        <w:t>响</w:t>
      </w:r>
      <w:r>
        <w:rPr>
          <w:rFonts w:hint="eastAsia" w:ascii="仿宋" w:hAnsi="仿宋" w:eastAsia="仿宋_GB2312" w:cs="仿宋"/>
          <w:b/>
          <w:bCs/>
          <w:color w:val="auto"/>
          <w:szCs w:val="21"/>
          <w:highlight w:val="none"/>
        </w:rPr>
        <w:t>应”、“完全响应”，否则，评标时将视为未响应。</w:t>
      </w:r>
    </w:p>
    <w:p w14:paraId="04DCA9A3">
      <w:pPr>
        <w:pageBreakBefore w:val="0"/>
        <w:kinsoku/>
        <w:overflowPunct/>
        <w:topLinePunct w:val="0"/>
        <w:bidi w:val="0"/>
        <w:spacing w:line="400" w:lineRule="exact"/>
        <w:outlineLvl w:val="9"/>
        <w:rPr>
          <w:rFonts w:hint="eastAsia" w:ascii="仿宋" w:hAnsi="仿宋" w:eastAsia="仿宋_GB2312" w:cs="仿宋"/>
          <w:b/>
          <w:color w:val="auto"/>
          <w:szCs w:val="21"/>
          <w:highlight w:val="none"/>
        </w:rPr>
      </w:pPr>
      <w:r>
        <w:rPr>
          <w:rFonts w:hint="eastAsia" w:ascii="仿宋" w:hAnsi="仿宋" w:eastAsia="仿宋_GB2312" w:cs="仿宋"/>
          <w:b/>
          <w:color w:val="auto"/>
          <w:szCs w:val="21"/>
          <w:highlight w:val="none"/>
        </w:rPr>
        <w:t xml:space="preserve">           2、“响应/偏离”栏应注明“响应”或“偏离”。 </w:t>
      </w:r>
    </w:p>
    <w:p w14:paraId="50234126">
      <w:pPr>
        <w:pageBreakBefore w:val="0"/>
        <w:kinsoku/>
        <w:overflowPunct/>
        <w:topLinePunct w:val="0"/>
        <w:bidi w:val="0"/>
        <w:spacing w:line="400" w:lineRule="exact"/>
        <w:outlineLvl w:val="9"/>
        <w:rPr>
          <w:rFonts w:hint="eastAsia" w:ascii="仿宋" w:hAnsi="仿宋" w:eastAsia="仿宋_GB2312" w:cs="仿宋"/>
          <w:color w:val="auto"/>
          <w:highlight w:val="none"/>
        </w:rPr>
      </w:pPr>
    </w:p>
    <w:p w14:paraId="719DFDBB">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投标人名称（单位</w:t>
      </w:r>
      <w:r>
        <w:rPr>
          <w:rFonts w:hint="eastAsia" w:ascii="仿宋" w:hAnsi="仿宋" w:eastAsia="仿宋_GB2312" w:cs="仿宋"/>
          <w:color w:val="auto"/>
          <w:szCs w:val="21"/>
          <w:highlight w:val="none"/>
          <w:lang w:eastAsia="zh-CN"/>
        </w:rPr>
        <w:t>电子</w:t>
      </w:r>
      <w:r>
        <w:rPr>
          <w:rFonts w:hint="eastAsia" w:ascii="仿宋" w:hAnsi="仿宋" w:eastAsia="仿宋_GB2312" w:cs="仿宋"/>
          <w:color w:val="auto"/>
          <w:szCs w:val="21"/>
          <w:highlight w:val="none"/>
        </w:rPr>
        <w:t xml:space="preserve">章）： </w:t>
      </w:r>
    </w:p>
    <w:p w14:paraId="21A5156A">
      <w:pPr>
        <w:pageBreakBefore w:val="0"/>
        <w:kinsoku/>
        <w:overflowPunct/>
        <w:topLinePunct w:val="0"/>
        <w:bidi w:val="0"/>
        <w:spacing w:line="400" w:lineRule="exact"/>
        <w:outlineLvl w:val="9"/>
        <w:rPr>
          <w:rFonts w:hint="eastAsia" w:ascii="仿宋" w:hAnsi="仿宋" w:eastAsia="仿宋_GB2312" w:cs="仿宋"/>
          <w:color w:val="auto"/>
          <w:highlight w:val="none"/>
        </w:rPr>
      </w:pPr>
    </w:p>
    <w:p w14:paraId="3014E5C6">
      <w:pPr>
        <w:pageBreakBefore w:val="0"/>
        <w:kinsoku/>
        <w:overflowPunct/>
        <w:topLinePunct w:val="0"/>
        <w:bidi w:val="0"/>
        <w:spacing w:line="400" w:lineRule="exact"/>
        <w:outlineLvl w:val="9"/>
        <w:rPr>
          <w:rFonts w:hint="eastAsia" w:ascii="仿宋" w:hAnsi="仿宋" w:eastAsia="仿宋_GB2312" w:cs="仿宋"/>
          <w:color w:val="auto"/>
          <w:highlight w:val="none"/>
        </w:rPr>
      </w:pPr>
      <w:r>
        <w:rPr>
          <w:rFonts w:hint="eastAsia" w:ascii="仿宋" w:hAnsi="仿宋" w:eastAsia="仿宋_GB2312" w:cs="仿宋"/>
          <w:color w:val="auto"/>
          <w:szCs w:val="21"/>
          <w:highlight w:val="none"/>
        </w:rPr>
        <w:t>日期：</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年</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月</w:t>
      </w:r>
      <w:r>
        <w:rPr>
          <w:rFonts w:hint="eastAsia" w:ascii="仿宋" w:hAnsi="仿宋" w:eastAsia="仿宋_GB2312" w:cs="仿宋"/>
          <w:color w:val="auto"/>
          <w:szCs w:val="21"/>
          <w:highlight w:val="none"/>
          <w:u w:val="single"/>
        </w:rPr>
        <w:t>     </w:t>
      </w:r>
      <w:r>
        <w:rPr>
          <w:rFonts w:hint="eastAsia" w:ascii="仿宋" w:hAnsi="仿宋" w:eastAsia="仿宋_GB2312" w:cs="仿宋"/>
          <w:color w:val="auto"/>
          <w:szCs w:val="21"/>
          <w:highlight w:val="none"/>
        </w:rPr>
        <w:t xml:space="preserve"> _日</w:t>
      </w:r>
    </w:p>
    <w:p w14:paraId="66869829">
      <w:pPr>
        <w:pageBreakBefore w:val="0"/>
        <w:kinsoku/>
        <w:overflowPunct/>
        <w:topLinePunct w:val="0"/>
        <w:bidi w:val="0"/>
        <w:spacing w:line="400" w:lineRule="exact"/>
        <w:outlineLvl w:val="9"/>
        <w:rPr>
          <w:rFonts w:hint="eastAsia" w:ascii="仿宋" w:hAnsi="仿宋" w:eastAsia="仿宋_GB2312" w:cs="仿宋"/>
          <w:color w:val="auto"/>
          <w:sz w:val="28"/>
          <w:szCs w:val="28"/>
          <w:highlight w:val="none"/>
        </w:rPr>
      </w:pPr>
      <w:r>
        <w:rPr>
          <w:rFonts w:hint="eastAsia" w:ascii="仿宋" w:hAnsi="仿宋" w:eastAsia="仿宋_GB2312" w:cs="仿宋"/>
          <w:color w:val="auto"/>
          <w:sz w:val="28"/>
          <w:szCs w:val="28"/>
          <w:highlight w:val="none"/>
        </w:rPr>
        <w:br w:type="page"/>
      </w:r>
    </w:p>
    <w:p w14:paraId="306DCB19">
      <w:pPr>
        <w:pageBreakBefore w:val="0"/>
        <w:kinsoku/>
        <w:overflowPunct/>
        <w:topLinePunct w:val="0"/>
        <w:bidi w:val="0"/>
        <w:adjustRightInd w:val="0"/>
        <w:snapToGrid w:val="0"/>
        <w:spacing w:line="400" w:lineRule="exact"/>
        <w:jc w:val="center"/>
        <w:outlineLvl w:val="9"/>
        <w:rPr>
          <w:rFonts w:hint="eastAsia" w:ascii="仿宋" w:hAnsi="仿宋" w:eastAsia="仿宋_GB2312" w:cs="仿宋"/>
          <w:color w:val="auto"/>
          <w:sz w:val="32"/>
          <w:szCs w:val="32"/>
          <w:highlight w:val="none"/>
          <w:lang w:eastAsia="zh-CN"/>
        </w:rPr>
      </w:pPr>
      <w:r>
        <w:rPr>
          <w:rFonts w:hint="eastAsia" w:ascii="仿宋" w:hAnsi="仿宋" w:eastAsia="仿宋_GB2312" w:cs="仿宋"/>
          <w:color w:val="auto"/>
          <w:sz w:val="32"/>
          <w:szCs w:val="32"/>
          <w:highlight w:val="none"/>
        </w:rPr>
        <w:t>十</w:t>
      </w:r>
      <w:r>
        <w:rPr>
          <w:rFonts w:hint="eastAsia" w:ascii="仿宋" w:hAnsi="仿宋" w:eastAsia="仿宋_GB2312" w:cs="仿宋"/>
          <w:color w:val="auto"/>
          <w:sz w:val="32"/>
          <w:szCs w:val="32"/>
          <w:highlight w:val="none"/>
          <w:lang w:eastAsia="zh-CN"/>
        </w:rPr>
        <w:t>二</w:t>
      </w:r>
      <w:r>
        <w:rPr>
          <w:rFonts w:hint="eastAsia" w:ascii="仿宋" w:hAnsi="仿宋" w:eastAsia="仿宋_GB2312" w:cs="仿宋"/>
          <w:color w:val="auto"/>
          <w:sz w:val="32"/>
          <w:szCs w:val="32"/>
          <w:highlight w:val="none"/>
        </w:rPr>
        <w:t>、</w:t>
      </w:r>
      <w:r>
        <w:rPr>
          <w:rFonts w:hint="eastAsia" w:ascii="仿宋" w:hAnsi="仿宋" w:eastAsia="仿宋_GB2312" w:cs="仿宋"/>
          <w:color w:val="auto"/>
          <w:sz w:val="32"/>
          <w:szCs w:val="32"/>
          <w:highlight w:val="none"/>
          <w:lang w:eastAsia="zh-CN"/>
        </w:rPr>
        <w:t>投标文件规定的与本项目相关的技术证明文件</w:t>
      </w:r>
    </w:p>
    <w:p w14:paraId="1A3F597A">
      <w:pPr>
        <w:pageBreakBefore w:val="0"/>
        <w:kinsoku/>
        <w:overflowPunct/>
        <w:topLinePunct w:val="0"/>
        <w:bidi w:val="0"/>
        <w:adjustRightInd w:val="0"/>
        <w:snapToGrid w:val="0"/>
        <w:spacing w:line="400" w:lineRule="exact"/>
        <w:outlineLvl w:val="9"/>
        <w:rPr>
          <w:rFonts w:hint="eastAsia" w:ascii="仿宋" w:hAnsi="仿宋" w:eastAsia="仿宋_GB2312" w:cs="仿宋"/>
          <w:color w:val="auto"/>
          <w:highlight w:val="none"/>
        </w:rPr>
      </w:pPr>
    </w:p>
    <w:p w14:paraId="4BB35E20">
      <w:pPr>
        <w:pStyle w:val="163"/>
        <w:pageBreakBefore w:val="0"/>
        <w:kinsoku/>
        <w:overflowPunct/>
        <w:topLinePunct w:val="0"/>
        <w:bidi w:val="0"/>
        <w:spacing w:line="400" w:lineRule="exact"/>
        <w:outlineLvl w:val="9"/>
        <w:rPr>
          <w:rStyle w:val="46"/>
          <w:rFonts w:hint="eastAsia" w:ascii="仿宋" w:hAnsi="仿宋" w:eastAsia="仿宋_GB2312" w:cs="仿宋"/>
          <w:color w:val="auto"/>
          <w:highlight w:val="none"/>
          <w:lang w:eastAsia="zh-CN"/>
        </w:rPr>
      </w:pPr>
      <w:r>
        <w:rPr>
          <w:rStyle w:val="46"/>
          <w:rFonts w:hint="eastAsia" w:ascii="仿宋" w:hAnsi="仿宋" w:eastAsia="仿宋_GB2312" w:cs="仿宋"/>
          <w:b/>
          <w:bCs/>
          <w:color w:val="auto"/>
          <w:szCs w:val="21"/>
          <w:highlight w:val="none"/>
        </w:rPr>
        <w:t>备注</w:t>
      </w:r>
      <w:r>
        <w:rPr>
          <w:rStyle w:val="46"/>
          <w:rFonts w:hint="eastAsia" w:ascii="仿宋" w:hAnsi="仿宋" w:eastAsia="仿宋_GB2312" w:cs="仿宋"/>
          <w:color w:val="auto"/>
          <w:szCs w:val="21"/>
          <w:highlight w:val="none"/>
        </w:rPr>
        <w:t>：提供招标文件“技术</w:t>
      </w:r>
      <w:r>
        <w:rPr>
          <w:rStyle w:val="46"/>
          <w:rFonts w:hint="eastAsia" w:ascii="仿宋" w:hAnsi="仿宋" w:eastAsia="仿宋_GB2312" w:cs="仿宋"/>
          <w:color w:val="auto"/>
          <w:szCs w:val="21"/>
          <w:highlight w:val="none"/>
          <w:lang w:eastAsia="zh-CN"/>
        </w:rPr>
        <w:t>要求</w:t>
      </w:r>
      <w:r>
        <w:rPr>
          <w:rStyle w:val="46"/>
          <w:rFonts w:hint="eastAsia" w:ascii="仿宋" w:hAnsi="仿宋" w:eastAsia="仿宋_GB2312" w:cs="仿宋"/>
          <w:color w:val="auto"/>
          <w:szCs w:val="21"/>
          <w:highlight w:val="none"/>
        </w:rPr>
        <w:t>”和“综合评分表”规定的证明材料</w:t>
      </w:r>
      <w:r>
        <w:rPr>
          <w:rStyle w:val="46"/>
          <w:rFonts w:hint="eastAsia" w:ascii="仿宋" w:hAnsi="仿宋" w:eastAsia="仿宋_GB2312" w:cs="仿宋"/>
          <w:color w:val="auto"/>
          <w:szCs w:val="21"/>
          <w:highlight w:val="none"/>
          <w:lang w:eastAsia="zh-CN"/>
        </w:rPr>
        <w:t>。</w:t>
      </w:r>
    </w:p>
    <w:p w14:paraId="011A49C6">
      <w:pPr>
        <w:pageBreakBefore w:val="0"/>
        <w:kinsoku/>
        <w:overflowPunct/>
        <w:topLinePunct w:val="0"/>
        <w:bidi w:val="0"/>
        <w:adjustRightInd w:val="0"/>
        <w:snapToGrid w:val="0"/>
        <w:spacing w:line="400" w:lineRule="exact"/>
        <w:ind w:firstLine="420" w:firstLineChars="200"/>
        <w:rPr>
          <w:rFonts w:hint="eastAsia" w:ascii="仿宋" w:hAnsi="仿宋" w:eastAsia="仿宋_GB2312" w:cs="仿宋"/>
          <w:color w:val="auto"/>
          <w:highlight w:val="none"/>
        </w:rPr>
      </w:pPr>
    </w:p>
    <w:p w14:paraId="6723A038">
      <w:pPr>
        <w:pStyle w:val="71"/>
        <w:pageBreakBefore w:val="0"/>
        <w:kinsoku/>
        <w:overflowPunct/>
        <w:topLinePunct w:val="0"/>
        <w:bidi w:val="0"/>
        <w:spacing w:line="400" w:lineRule="exact"/>
        <w:rPr>
          <w:rFonts w:hint="eastAsia" w:ascii="仿宋" w:hAnsi="仿宋" w:eastAsia="仿宋_GB2312" w:cs="仿宋"/>
          <w:color w:val="auto"/>
          <w:highlight w:val="none"/>
        </w:rPr>
      </w:pPr>
    </w:p>
    <w:p w14:paraId="04063F2E">
      <w:pPr>
        <w:pageBreakBefore w:val="0"/>
        <w:kinsoku/>
        <w:overflowPunct/>
        <w:topLinePunct w:val="0"/>
        <w:bidi w:val="0"/>
        <w:spacing w:line="400" w:lineRule="exact"/>
        <w:rPr>
          <w:rFonts w:hint="eastAsia" w:ascii="仿宋" w:hAnsi="仿宋" w:eastAsia="仿宋_GB2312" w:cs="仿宋"/>
          <w:color w:val="auto"/>
          <w:highlight w:val="none"/>
        </w:rPr>
      </w:pPr>
    </w:p>
    <w:p w14:paraId="794F22FD">
      <w:pPr>
        <w:pageBreakBefore w:val="0"/>
        <w:widowControl/>
        <w:kinsoku/>
        <w:overflowPunct/>
        <w:topLinePunct w:val="0"/>
        <w:bidi w:val="0"/>
        <w:spacing w:line="400" w:lineRule="exact"/>
        <w:jc w:val="left"/>
        <w:rPr>
          <w:rFonts w:hint="eastAsia" w:ascii="仿宋" w:hAnsi="仿宋" w:eastAsia="仿宋_GB2312" w:cs="仿宋"/>
          <w:color w:val="auto"/>
          <w:szCs w:val="21"/>
          <w:highlight w:val="none"/>
        </w:rPr>
      </w:pPr>
    </w:p>
    <w:p w14:paraId="4E4C963C">
      <w:pPr>
        <w:pStyle w:val="16"/>
        <w:rPr>
          <w:rFonts w:hint="eastAsia" w:ascii="仿宋" w:hAnsi="仿宋" w:eastAsia="仿宋_GB2312" w:cs="仿宋"/>
          <w:color w:val="auto"/>
          <w:szCs w:val="21"/>
          <w:highlight w:val="none"/>
        </w:rPr>
      </w:pPr>
    </w:p>
    <w:p w14:paraId="4B55D327">
      <w:pPr>
        <w:pStyle w:val="62"/>
        <w:rPr>
          <w:rFonts w:hint="eastAsia" w:ascii="仿宋" w:hAnsi="仿宋" w:eastAsia="仿宋_GB2312" w:cs="仿宋"/>
          <w:color w:val="auto"/>
          <w:szCs w:val="21"/>
          <w:highlight w:val="none"/>
        </w:rPr>
      </w:pPr>
    </w:p>
    <w:p w14:paraId="76CC0234">
      <w:pPr>
        <w:rPr>
          <w:rFonts w:hint="eastAsia" w:ascii="仿宋" w:hAnsi="仿宋" w:eastAsia="仿宋_GB2312" w:cs="仿宋"/>
          <w:color w:val="auto"/>
          <w:szCs w:val="21"/>
          <w:highlight w:val="none"/>
        </w:rPr>
      </w:pPr>
    </w:p>
    <w:p w14:paraId="7FF4F949">
      <w:pPr>
        <w:pStyle w:val="16"/>
        <w:rPr>
          <w:rFonts w:hint="eastAsia" w:ascii="仿宋" w:hAnsi="仿宋" w:eastAsia="仿宋_GB2312" w:cs="仿宋"/>
          <w:color w:val="auto"/>
          <w:szCs w:val="21"/>
          <w:highlight w:val="none"/>
        </w:rPr>
      </w:pPr>
    </w:p>
    <w:p w14:paraId="6F83D423">
      <w:pPr>
        <w:pStyle w:val="62"/>
        <w:rPr>
          <w:rFonts w:hint="eastAsia" w:ascii="仿宋" w:hAnsi="仿宋" w:eastAsia="仿宋_GB2312" w:cs="仿宋"/>
          <w:color w:val="auto"/>
          <w:szCs w:val="21"/>
          <w:highlight w:val="none"/>
        </w:rPr>
      </w:pPr>
    </w:p>
    <w:p w14:paraId="263357F5">
      <w:pPr>
        <w:rPr>
          <w:rFonts w:hint="eastAsia" w:ascii="仿宋" w:hAnsi="仿宋" w:eastAsia="仿宋_GB2312" w:cs="仿宋"/>
          <w:color w:val="auto"/>
          <w:szCs w:val="21"/>
          <w:highlight w:val="none"/>
        </w:rPr>
      </w:pPr>
    </w:p>
    <w:p w14:paraId="3DAE1E52">
      <w:pPr>
        <w:pStyle w:val="16"/>
        <w:rPr>
          <w:rFonts w:hint="eastAsia" w:ascii="仿宋" w:hAnsi="仿宋" w:eastAsia="仿宋_GB2312" w:cs="仿宋"/>
          <w:color w:val="auto"/>
          <w:szCs w:val="21"/>
          <w:highlight w:val="none"/>
        </w:rPr>
      </w:pPr>
    </w:p>
    <w:p w14:paraId="3FD36F69">
      <w:pPr>
        <w:pStyle w:val="62"/>
        <w:rPr>
          <w:rFonts w:hint="eastAsia" w:ascii="仿宋" w:hAnsi="仿宋" w:eastAsia="仿宋_GB2312" w:cs="仿宋"/>
          <w:color w:val="auto"/>
          <w:szCs w:val="21"/>
          <w:highlight w:val="none"/>
        </w:rPr>
      </w:pPr>
    </w:p>
    <w:p w14:paraId="7342769D">
      <w:pPr>
        <w:rPr>
          <w:rFonts w:hint="eastAsia" w:ascii="仿宋" w:hAnsi="仿宋" w:eastAsia="仿宋_GB2312" w:cs="仿宋"/>
          <w:color w:val="auto"/>
          <w:szCs w:val="21"/>
          <w:highlight w:val="none"/>
        </w:rPr>
      </w:pPr>
    </w:p>
    <w:p w14:paraId="4EBA048D">
      <w:pPr>
        <w:pStyle w:val="16"/>
        <w:rPr>
          <w:rFonts w:hint="eastAsia" w:ascii="仿宋" w:hAnsi="仿宋" w:eastAsia="仿宋_GB2312" w:cs="仿宋"/>
          <w:color w:val="auto"/>
          <w:szCs w:val="21"/>
          <w:highlight w:val="none"/>
        </w:rPr>
      </w:pPr>
    </w:p>
    <w:p w14:paraId="04E88E5C">
      <w:pPr>
        <w:pStyle w:val="62"/>
        <w:rPr>
          <w:rFonts w:hint="eastAsia" w:ascii="仿宋" w:hAnsi="仿宋" w:eastAsia="仿宋_GB2312" w:cs="仿宋"/>
          <w:color w:val="auto"/>
          <w:szCs w:val="21"/>
          <w:highlight w:val="none"/>
        </w:rPr>
      </w:pPr>
    </w:p>
    <w:p w14:paraId="05EDEC52">
      <w:pPr>
        <w:rPr>
          <w:rFonts w:hint="eastAsia" w:ascii="仿宋" w:hAnsi="仿宋" w:eastAsia="仿宋_GB2312" w:cs="仿宋"/>
          <w:color w:val="auto"/>
          <w:szCs w:val="21"/>
          <w:highlight w:val="none"/>
        </w:rPr>
      </w:pPr>
    </w:p>
    <w:p w14:paraId="1CD22DEB">
      <w:pPr>
        <w:pStyle w:val="16"/>
        <w:rPr>
          <w:rFonts w:hint="eastAsia" w:ascii="仿宋" w:hAnsi="仿宋" w:eastAsia="仿宋_GB2312" w:cs="仿宋"/>
          <w:color w:val="auto"/>
          <w:szCs w:val="21"/>
          <w:highlight w:val="none"/>
        </w:rPr>
      </w:pPr>
    </w:p>
    <w:p w14:paraId="0682DADD">
      <w:pPr>
        <w:pStyle w:val="62"/>
        <w:rPr>
          <w:rFonts w:hint="eastAsia" w:ascii="仿宋" w:hAnsi="仿宋" w:eastAsia="仿宋_GB2312" w:cs="仿宋"/>
          <w:color w:val="auto"/>
          <w:szCs w:val="21"/>
          <w:highlight w:val="none"/>
        </w:rPr>
      </w:pPr>
    </w:p>
    <w:p w14:paraId="55B55B71">
      <w:pPr>
        <w:rPr>
          <w:rFonts w:hint="eastAsia" w:ascii="仿宋" w:hAnsi="仿宋" w:eastAsia="仿宋_GB2312" w:cs="仿宋"/>
          <w:color w:val="auto"/>
          <w:szCs w:val="21"/>
          <w:highlight w:val="none"/>
        </w:rPr>
      </w:pPr>
    </w:p>
    <w:p w14:paraId="545FFCA8">
      <w:pPr>
        <w:pStyle w:val="16"/>
        <w:rPr>
          <w:rFonts w:hint="eastAsia" w:ascii="仿宋" w:hAnsi="仿宋" w:eastAsia="仿宋_GB2312" w:cs="仿宋"/>
          <w:color w:val="auto"/>
          <w:szCs w:val="21"/>
          <w:highlight w:val="none"/>
        </w:rPr>
      </w:pPr>
    </w:p>
    <w:p w14:paraId="518E67BC">
      <w:pPr>
        <w:pStyle w:val="62"/>
        <w:rPr>
          <w:rFonts w:hint="eastAsia" w:ascii="仿宋" w:hAnsi="仿宋" w:eastAsia="仿宋_GB2312" w:cs="仿宋"/>
          <w:color w:val="auto"/>
          <w:szCs w:val="21"/>
          <w:highlight w:val="none"/>
        </w:rPr>
      </w:pPr>
    </w:p>
    <w:p w14:paraId="02BB1FF8">
      <w:pPr>
        <w:rPr>
          <w:rFonts w:hint="eastAsia" w:ascii="仿宋" w:hAnsi="仿宋" w:eastAsia="仿宋_GB2312" w:cs="仿宋"/>
          <w:color w:val="auto"/>
          <w:szCs w:val="21"/>
          <w:highlight w:val="none"/>
        </w:rPr>
      </w:pPr>
    </w:p>
    <w:p w14:paraId="048755C4">
      <w:pPr>
        <w:pStyle w:val="16"/>
        <w:rPr>
          <w:rFonts w:hint="eastAsia" w:ascii="仿宋" w:hAnsi="仿宋" w:eastAsia="仿宋_GB2312" w:cs="仿宋"/>
          <w:color w:val="auto"/>
          <w:szCs w:val="21"/>
          <w:highlight w:val="none"/>
        </w:rPr>
      </w:pPr>
    </w:p>
    <w:p w14:paraId="787B7059">
      <w:pPr>
        <w:pStyle w:val="62"/>
        <w:rPr>
          <w:rFonts w:hint="eastAsia" w:ascii="仿宋" w:hAnsi="仿宋" w:eastAsia="仿宋_GB2312" w:cs="仿宋"/>
          <w:color w:val="auto"/>
          <w:szCs w:val="21"/>
          <w:highlight w:val="none"/>
        </w:rPr>
      </w:pPr>
    </w:p>
    <w:p w14:paraId="3BB182CA">
      <w:pPr>
        <w:jc w:val="both"/>
        <w:rPr>
          <w:rFonts w:hint="eastAsia" w:ascii="仿宋" w:hAnsi="仿宋" w:eastAsia="仿宋_GB2312" w:cs="仿宋"/>
          <w:b/>
          <w:color w:val="auto"/>
          <w:sz w:val="30"/>
          <w:szCs w:val="30"/>
          <w:highlight w:val="none"/>
        </w:rPr>
      </w:pPr>
    </w:p>
    <w:p w14:paraId="7F6B4A59">
      <w:pPr>
        <w:jc w:val="center"/>
        <w:rPr>
          <w:rFonts w:hint="eastAsia" w:ascii="仿宋" w:hAnsi="仿宋" w:eastAsia="仿宋_GB2312" w:cs="仿宋"/>
          <w:b/>
          <w:color w:val="auto"/>
          <w:sz w:val="30"/>
          <w:szCs w:val="30"/>
          <w:highlight w:val="none"/>
        </w:rPr>
      </w:pPr>
    </w:p>
    <w:p w14:paraId="2A214793">
      <w:pPr>
        <w:pStyle w:val="16"/>
        <w:rPr>
          <w:rFonts w:hint="eastAsia" w:ascii="仿宋" w:hAnsi="仿宋" w:eastAsia="仿宋_GB2312" w:cs="仿宋"/>
          <w:b/>
          <w:color w:val="auto"/>
          <w:sz w:val="30"/>
          <w:szCs w:val="30"/>
          <w:highlight w:val="none"/>
        </w:rPr>
      </w:pPr>
    </w:p>
    <w:p w14:paraId="40D353D6">
      <w:pPr>
        <w:rPr>
          <w:rFonts w:hint="eastAsia" w:ascii="仿宋" w:hAnsi="仿宋" w:eastAsia="仿宋_GB2312" w:cs="仿宋"/>
          <w:b/>
          <w:color w:val="auto"/>
          <w:sz w:val="30"/>
          <w:szCs w:val="30"/>
          <w:highlight w:val="none"/>
        </w:rPr>
      </w:pPr>
    </w:p>
    <w:p w14:paraId="6753214E">
      <w:pPr>
        <w:pStyle w:val="62"/>
        <w:rPr>
          <w:rFonts w:hint="eastAsia"/>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D9B904AF-E479-4A7D-8537-8447E55BAE49}"/>
  </w:font>
  <w:font w:name="Arial">
    <w:panose1 w:val="020B0604020202020204"/>
    <w:charset w:val="01"/>
    <w:family w:val="swiss"/>
    <w:pitch w:val="default"/>
    <w:sig w:usb0="E0002EFF" w:usb1="C000785B" w:usb2="00000009" w:usb3="00000000" w:csb0="400001FF" w:csb1="FFFF0000"/>
    <w:embedRegular r:id="rId2" w:fontKey="{27429E9F-BF1D-488A-BB1F-EDD263C8555C}"/>
  </w:font>
  <w:font w:name="黑体">
    <w:panose1 w:val="02010609060101010101"/>
    <w:charset w:val="86"/>
    <w:family w:val="auto"/>
    <w:pitch w:val="default"/>
    <w:sig w:usb0="800002BF" w:usb1="38CF7CFA" w:usb2="00000016" w:usb3="00000000" w:csb0="00040001" w:csb1="00000000"/>
    <w:embedRegular r:id="rId3" w:fontKey="{1044F360-E7F7-4A00-92CF-82A72DEC1100}"/>
  </w:font>
  <w:font w:name="Courier New">
    <w:panose1 w:val="02070309020205020404"/>
    <w:charset w:val="01"/>
    <w:family w:val="modern"/>
    <w:pitch w:val="default"/>
    <w:sig w:usb0="E0002EFF" w:usb1="C0007843" w:usb2="00000009" w:usb3="00000000" w:csb0="400001FF" w:csb1="FFFF0000"/>
    <w:embedRegular r:id="rId4" w:fontKey="{54344325-6D7B-4CF4-B15F-11AF63B1738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5" w:fontKey="{8959F493-E9E8-4A9C-9788-6BB5951A7703}"/>
  </w:font>
  <w:font w:name="仿宋">
    <w:panose1 w:val="02010609060101010101"/>
    <w:charset w:val="86"/>
    <w:family w:val="auto"/>
    <w:pitch w:val="default"/>
    <w:sig w:usb0="800002BF" w:usb1="38CF7CFA" w:usb2="00000016" w:usb3="00000000" w:csb0="00040001" w:csb1="00000000"/>
    <w:embedRegular r:id="rId6" w:fontKey="{98488584-0E62-426C-B9F1-AA872605857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TimesNewRomanPSMT">
    <w:altName w:val="Times New Roman"/>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embedRegular r:id="rId7" w:fontKey="{F75D9B98-4A93-4F88-98BD-2BC4D4D37B8C}"/>
  </w:font>
  <w:font w:name="方正小标宋简体">
    <w:panose1 w:val="02000000000000000000"/>
    <w:charset w:val="86"/>
    <w:family w:val="auto"/>
    <w:pitch w:val="default"/>
    <w:sig w:usb0="00000001" w:usb1="08000000" w:usb2="00000000" w:usb3="00000000" w:csb0="00040000" w:csb1="00000000"/>
    <w:embedRegular r:id="rId8" w:fontKey="{9E73D09F-B48F-40C7-AF34-96F9069BB558}"/>
  </w:font>
  <w:font w:name="华文中宋">
    <w:panose1 w:val="02010600040101010101"/>
    <w:charset w:val="86"/>
    <w:family w:val="auto"/>
    <w:pitch w:val="default"/>
    <w:sig w:usb0="00000287" w:usb1="080F0000" w:usb2="00000000" w:usb3="00000000" w:csb0="0004009F" w:csb1="DFD70000"/>
    <w:embedRegular r:id="rId9" w:fontKey="{E0A0ADFB-961F-454B-A5D5-A7E3F23C1A54}"/>
  </w:font>
  <w:font w:name="方正仿宋_GBK">
    <w:altName w:val="微软雅黑"/>
    <w:panose1 w:val="03000509000000000000"/>
    <w:charset w:val="86"/>
    <w:family w:val="auto"/>
    <w:pitch w:val="default"/>
    <w:sig w:usb0="00000000" w:usb1="00000000" w:usb2="00000000" w:usb3="00000000" w:csb0="00040000" w:csb1="00000000"/>
    <w:embedRegular r:id="rId10" w:fontKey="{A982062E-C28A-4804-BD4D-938B170EAE99}"/>
  </w:font>
  <w:font w:name="华文仿宋">
    <w:panose1 w:val="02010600040101010101"/>
    <w:charset w:val="86"/>
    <w:family w:val="auto"/>
    <w:pitch w:val="default"/>
    <w:sig w:usb0="00000287" w:usb1="080F0000" w:usb2="00000000" w:usb3="00000000" w:csb0="0004009F" w:csb1="DFD70000"/>
    <w:embedRegular r:id="rId11" w:fontKey="{05F827B4-BDD7-47A7-B49C-16C33999BED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38166">
    <w:pPr>
      <w:spacing w:line="176" w:lineRule="auto"/>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AA30">
    <w:pPr>
      <w:pStyle w:val="27"/>
      <w:ind w:right="360"/>
      <w:rPr>
        <w:rFonts w:ascii="仿宋_GB2312" w:eastAsia="仿宋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08311">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3608311">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33ED7">
    <w:pPr>
      <w:pStyle w:val="2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9954C">
                          <w:pPr>
                            <w:pStyle w:val="27"/>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BD9954C">
                    <w:pPr>
                      <w:pStyle w:val="27"/>
                    </w:pPr>
                    <w:r>
                      <w:fldChar w:fldCharType="begin"/>
                    </w:r>
                    <w:r>
                      <w:instrText xml:space="preserve"> PAGE  \* MERGEFORMAT </w:instrText>
                    </w:r>
                    <w:r>
                      <w:fldChar w:fldCharType="separate"/>
                    </w:r>
                    <w:r>
                      <w:t>32</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A125F5">
                          <w:pPr>
                            <w:pStyle w:val="2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2A125F5">
                    <w:pPr>
                      <w:pStyle w:val="27"/>
                    </w:pP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759722"/>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64759722"/>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ED5EB">
    <w:pPr>
      <w:spacing w:line="100" w:lineRule="auto"/>
      <w:rPr>
        <w:rFonts w:ascii="Arial"/>
        <w:sz w:val="2"/>
      </w:rPr>
    </w:pPr>
    <w:r>
      <mc:AlternateContent>
        <mc:Choice Requires="wps">
          <w:drawing>
            <wp:anchor distT="0" distB="0" distL="114300" distR="114300" simplePos="0" relativeHeight="251659264" behindDoc="0" locked="0" layoutInCell="0" allowOverlap="1">
              <wp:simplePos x="0" y="0"/>
              <wp:positionH relativeFrom="page">
                <wp:posOffset>990600</wp:posOffset>
              </wp:positionH>
              <wp:positionV relativeFrom="page">
                <wp:posOffset>685800</wp:posOffset>
              </wp:positionV>
              <wp:extent cx="5653405" cy="6350"/>
              <wp:effectExtent l="0" t="0" r="0" b="0"/>
              <wp:wrapNone/>
              <wp:docPr id="1" name="任意多边形 1"/>
              <wp:cNvGraphicFramePr/>
              <a:graphic xmlns:a="http://schemas.openxmlformats.org/drawingml/2006/main">
                <a:graphicData uri="http://schemas.microsoft.com/office/word/2010/wordprocessingShape">
                  <wps:wsp>
                    <wps:cNvSpPr/>
                    <wps:spPr>
                      <a:xfrm>
                        <a:off x="0" y="0"/>
                        <a:ext cx="5653405" cy="6350"/>
                      </a:xfrm>
                      <a:custGeom>
                        <a:avLst/>
                        <a:gdLst/>
                        <a:ahLst/>
                        <a:cxnLst/>
                        <a:pathLst>
                          <a:path w="8902" h="10">
                            <a:moveTo>
                              <a:pt x="0" y="9"/>
                            </a:moveTo>
                            <a:lnTo>
                              <a:pt x="8902" y="9"/>
                            </a:lnTo>
                            <a:lnTo>
                              <a:pt x="8902" y="0"/>
                            </a:lnTo>
                            <a:lnTo>
                              <a:pt x="0" y="0"/>
                            </a:lnTo>
                            <a:lnTo>
                              <a:pt x="0" y="9"/>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8pt;margin-top:54pt;height:0.5pt;width:445.15pt;mso-position-horizontal-relative:page;mso-position-vertical-relative:page;z-index:251659264;mso-width-relative:page;mso-height-relative:page;" fillcolor="#000000" filled="t" stroked="f" coordsize="8902,10" o:allowincell="f" o:gfxdata="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qsPLK2AAAAAwBAAAPAAAA&#10;AAAAAAEAIAAAACIAAABkcnMvZG93bnJldi54bWxQSwECFAAUAAAACACHTuJA6c0MDxUCAAB5BAAA&#10;DgAAAAAAAAABACAAAAAnAQAAZHJzL2Uyb0RvYy54bWxQSwUGAAAAAAYABgBZAQAArgUAAAAA&#10;" path="m0,9l8902,9,8902,0,0,0,0,9xe">
              <v:fill on="t" focussize="0,0"/>
              <v:stroke on="f"/>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BFBC9">
    <w:pPr>
      <w:pStyle w:val="29"/>
      <w:pBdr>
        <w:bottom w:val="none" w:color="auto" w:sz="0" w:space="1"/>
      </w:pBdr>
      <w:jc w:val="both"/>
      <w:rPr>
        <w:rFonts w:ascii="仿宋_GB2312" w:eastAsia="仿宋_GB23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8F4FD">
    <w:pPr>
      <w:pStyle w:val="29"/>
      <w:jc w:val="center"/>
      <w:rPr>
        <w:rFonts w:hint="default" w:eastAsia="宋体"/>
        <w:lang w:val="en-US" w:eastAsia="zh-CN"/>
      </w:rPr>
    </w:pPr>
    <w:r>
      <w:rPr>
        <w:rFonts w:hint="eastAsia"/>
        <w:lang w:val="en-US" w:eastAsia="zh-CN"/>
      </w:rPr>
      <w:t>邵阳市政府采购中心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C9784"/>
    <w:multiLevelType w:val="singleLevel"/>
    <w:tmpl w:val="874C9784"/>
    <w:lvl w:ilvl="0" w:tentative="0">
      <w:start w:val="19"/>
      <w:numFmt w:val="decimal"/>
      <w:suff w:val="space"/>
      <w:lvlText w:val="%1."/>
      <w:lvlJc w:val="left"/>
    </w:lvl>
  </w:abstractNum>
  <w:abstractNum w:abstractNumId="1">
    <w:nsid w:val="AAC2D88E"/>
    <w:multiLevelType w:val="singleLevel"/>
    <w:tmpl w:val="AAC2D88E"/>
    <w:lvl w:ilvl="0" w:tentative="0">
      <w:start w:val="3"/>
      <w:numFmt w:val="chineseCounting"/>
      <w:suff w:val="nothing"/>
      <w:lvlText w:val="%1、"/>
      <w:lvlJc w:val="left"/>
      <w:rPr>
        <w:rFonts w:hint="eastAsia"/>
      </w:rPr>
    </w:lvl>
  </w:abstractNum>
  <w:abstractNum w:abstractNumId="2">
    <w:nsid w:val="D02CF6B0"/>
    <w:multiLevelType w:val="singleLevel"/>
    <w:tmpl w:val="D02CF6B0"/>
    <w:lvl w:ilvl="0" w:tentative="0">
      <w:start w:val="1"/>
      <w:numFmt w:val="chineseCounting"/>
      <w:suff w:val="space"/>
      <w:lvlText w:val="第%1章"/>
      <w:lvlJc w:val="left"/>
      <w:rPr>
        <w:rFonts w:hint="eastAsia"/>
      </w:rPr>
    </w:lvl>
  </w:abstractNum>
  <w:abstractNum w:abstractNumId="3">
    <w:nsid w:val="04247E1C"/>
    <w:multiLevelType w:val="multilevel"/>
    <w:tmpl w:val="04247E1C"/>
    <w:lvl w:ilvl="0" w:tentative="0">
      <w:start w:val="1"/>
      <w:numFmt w:val="decimal"/>
      <w:lvlText w:val="（%1）"/>
      <w:lvlJc w:val="left"/>
      <w:pPr>
        <w:ind w:left="987" w:hanging="420"/>
      </w:pPr>
      <w:rPr>
        <w:rFonts w:hint="eastAsia"/>
      </w:rPr>
    </w:lvl>
    <w:lvl w:ilvl="1" w:tentative="0">
      <w:start w:val="1"/>
      <w:numFmt w:val="lowerLetter"/>
      <w:pStyle w:val="63"/>
      <w:lvlText w:val="%2)"/>
      <w:lvlJc w:val="left"/>
      <w:pPr>
        <w:ind w:left="1554"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4">
    <w:nsid w:val="34AF18DF"/>
    <w:multiLevelType w:val="singleLevel"/>
    <w:tmpl w:val="34AF18DF"/>
    <w:lvl w:ilvl="0" w:tentative="0">
      <w:start w:val="3"/>
      <w:numFmt w:val="chineseCounting"/>
      <w:suff w:val="nothing"/>
      <w:lvlText w:val="%1、"/>
      <w:lvlJc w:val="left"/>
      <w:rPr>
        <w:rFonts w:hint="eastAsia"/>
      </w:rPr>
    </w:lvl>
  </w:abstractNum>
  <w:abstractNum w:abstractNumId="5">
    <w:nsid w:val="378D5B18"/>
    <w:multiLevelType w:val="singleLevel"/>
    <w:tmpl w:val="378D5B18"/>
    <w:lvl w:ilvl="0" w:tentative="0">
      <w:start w:val="37"/>
      <w:numFmt w:val="decimal"/>
      <w:lvlText w:val="%1."/>
      <w:lvlJc w:val="left"/>
      <w:pPr>
        <w:tabs>
          <w:tab w:val="left" w:pos="312"/>
        </w:tabs>
      </w:pPr>
    </w:lvl>
  </w:abstractNum>
  <w:abstractNum w:abstractNumId="6">
    <w:nsid w:val="47FC3F9C"/>
    <w:multiLevelType w:val="singleLevel"/>
    <w:tmpl w:val="47FC3F9C"/>
    <w:lvl w:ilvl="0" w:tentative="0">
      <w:start w:val="3"/>
      <w:numFmt w:val="decimal"/>
      <w:suff w:val="nothing"/>
      <w:lvlText w:val="%1、"/>
      <w:lvlJc w:val="left"/>
    </w:lvl>
  </w:abstractNum>
  <w:abstractNum w:abstractNumId="7">
    <w:nsid w:val="5E455F22"/>
    <w:multiLevelType w:val="singleLevel"/>
    <w:tmpl w:val="5E455F22"/>
    <w:lvl w:ilvl="0" w:tentative="0">
      <w:start w:val="2"/>
      <w:numFmt w:val="decimal"/>
      <w:suff w:val="nothing"/>
      <w:lvlText w:val="（%1）"/>
      <w:lvlJc w:val="left"/>
    </w:lvl>
  </w:abstractNum>
  <w:abstractNum w:abstractNumId="8">
    <w:nsid w:val="748D16CD"/>
    <w:multiLevelType w:val="multilevel"/>
    <w:tmpl w:val="748D16CD"/>
    <w:lvl w:ilvl="0" w:tentative="0">
      <w:start w:val="1"/>
      <w:numFmt w:val="decimal"/>
      <w:pStyle w:val="64"/>
      <w:lvlText w:val="（%1）"/>
      <w:lvlJc w:val="left"/>
      <w:pPr>
        <w:tabs>
          <w:tab w:val="left" w:pos="1200"/>
        </w:tabs>
        <w:ind w:left="1200" w:hanging="72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3"/>
  </w:num>
  <w:num w:numId="2">
    <w:abstractNumId w:val="8"/>
  </w:num>
  <w:num w:numId="3">
    <w:abstractNumId w:val="2"/>
  </w:num>
  <w:num w:numId="4">
    <w:abstractNumId w:val="4"/>
  </w:num>
  <w:num w:numId="5">
    <w:abstractNumId w:val="6"/>
  </w:num>
  <w:num w:numId="6">
    <w:abstractNumId w:val="0"/>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MTdlMTkzYjEzOTU1OGFhMDI0MDY5YTRlNDk5ODEifQ=="/>
    <w:docVar w:name="KSO_WPS_MARK_KEY" w:val="618f0c0f-c6ed-4c6a-956d-e6ad05bf97b9"/>
  </w:docVars>
  <w:rsids>
    <w:rsidRoot w:val="00172A27"/>
    <w:rsid w:val="00000A61"/>
    <w:rsid w:val="00000A83"/>
    <w:rsid w:val="000013FE"/>
    <w:rsid w:val="0000186F"/>
    <w:rsid w:val="00001A03"/>
    <w:rsid w:val="00002568"/>
    <w:rsid w:val="00002840"/>
    <w:rsid w:val="000037DE"/>
    <w:rsid w:val="00003D23"/>
    <w:rsid w:val="00004EAF"/>
    <w:rsid w:val="000050B2"/>
    <w:rsid w:val="00006552"/>
    <w:rsid w:val="00007CA8"/>
    <w:rsid w:val="0001024D"/>
    <w:rsid w:val="00010382"/>
    <w:rsid w:val="00013365"/>
    <w:rsid w:val="00013466"/>
    <w:rsid w:val="00013574"/>
    <w:rsid w:val="00013923"/>
    <w:rsid w:val="00014A82"/>
    <w:rsid w:val="00015858"/>
    <w:rsid w:val="00015A29"/>
    <w:rsid w:val="00015CD5"/>
    <w:rsid w:val="0001617A"/>
    <w:rsid w:val="00017581"/>
    <w:rsid w:val="000175E8"/>
    <w:rsid w:val="00017CF0"/>
    <w:rsid w:val="00017F9C"/>
    <w:rsid w:val="00023516"/>
    <w:rsid w:val="000252F0"/>
    <w:rsid w:val="00025EED"/>
    <w:rsid w:val="00027D0F"/>
    <w:rsid w:val="00030A53"/>
    <w:rsid w:val="00031705"/>
    <w:rsid w:val="00031BBE"/>
    <w:rsid w:val="00031C52"/>
    <w:rsid w:val="00032D53"/>
    <w:rsid w:val="000333AE"/>
    <w:rsid w:val="00033644"/>
    <w:rsid w:val="00033EFF"/>
    <w:rsid w:val="00035663"/>
    <w:rsid w:val="000358FA"/>
    <w:rsid w:val="00035B2B"/>
    <w:rsid w:val="00040235"/>
    <w:rsid w:val="00040247"/>
    <w:rsid w:val="00040313"/>
    <w:rsid w:val="00040E14"/>
    <w:rsid w:val="0004234C"/>
    <w:rsid w:val="0004444E"/>
    <w:rsid w:val="00045B4B"/>
    <w:rsid w:val="00046881"/>
    <w:rsid w:val="00047440"/>
    <w:rsid w:val="0004759C"/>
    <w:rsid w:val="0005019F"/>
    <w:rsid w:val="000508AD"/>
    <w:rsid w:val="0005168D"/>
    <w:rsid w:val="0005208E"/>
    <w:rsid w:val="00052DBD"/>
    <w:rsid w:val="00053BE1"/>
    <w:rsid w:val="00053C94"/>
    <w:rsid w:val="000566BD"/>
    <w:rsid w:val="0005701C"/>
    <w:rsid w:val="000606A2"/>
    <w:rsid w:val="00060C04"/>
    <w:rsid w:val="00060F58"/>
    <w:rsid w:val="00061310"/>
    <w:rsid w:val="00061914"/>
    <w:rsid w:val="000620A1"/>
    <w:rsid w:val="000638C9"/>
    <w:rsid w:val="00064041"/>
    <w:rsid w:val="00064591"/>
    <w:rsid w:val="000662FC"/>
    <w:rsid w:val="000666F2"/>
    <w:rsid w:val="000675E6"/>
    <w:rsid w:val="000677C7"/>
    <w:rsid w:val="00067D0B"/>
    <w:rsid w:val="000709FB"/>
    <w:rsid w:val="00070B21"/>
    <w:rsid w:val="00070F95"/>
    <w:rsid w:val="00072573"/>
    <w:rsid w:val="0007343D"/>
    <w:rsid w:val="00073EB0"/>
    <w:rsid w:val="000745C1"/>
    <w:rsid w:val="0007473A"/>
    <w:rsid w:val="00074CB8"/>
    <w:rsid w:val="00076502"/>
    <w:rsid w:val="000775DD"/>
    <w:rsid w:val="000777C0"/>
    <w:rsid w:val="00082346"/>
    <w:rsid w:val="000841E5"/>
    <w:rsid w:val="00085204"/>
    <w:rsid w:val="00087335"/>
    <w:rsid w:val="00087CA6"/>
    <w:rsid w:val="000904BC"/>
    <w:rsid w:val="000909AB"/>
    <w:rsid w:val="00090D47"/>
    <w:rsid w:val="00091751"/>
    <w:rsid w:val="000917F5"/>
    <w:rsid w:val="000921D2"/>
    <w:rsid w:val="00092E61"/>
    <w:rsid w:val="00094343"/>
    <w:rsid w:val="0009483A"/>
    <w:rsid w:val="0009530E"/>
    <w:rsid w:val="00095A0E"/>
    <w:rsid w:val="00096239"/>
    <w:rsid w:val="00096A68"/>
    <w:rsid w:val="00097FB9"/>
    <w:rsid w:val="000A0022"/>
    <w:rsid w:val="000A0CD6"/>
    <w:rsid w:val="000A2575"/>
    <w:rsid w:val="000A25D2"/>
    <w:rsid w:val="000A2631"/>
    <w:rsid w:val="000A3313"/>
    <w:rsid w:val="000A3BB4"/>
    <w:rsid w:val="000A4283"/>
    <w:rsid w:val="000A4354"/>
    <w:rsid w:val="000A472A"/>
    <w:rsid w:val="000A6658"/>
    <w:rsid w:val="000B0390"/>
    <w:rsid w:val="000B0F6F"/>
    <w:rsid w:val="000B1637"/>
    <w:rsid w:val="000B1715"/>
    <w:rsid w:val="000B2722"/>
    <w:rsid w:val="000B320F"/>
    <w:rsid w:val="000B33DF"/>
    <w:rsid w:val="000B3A4F"/>
    <w:rsid w:val="000B4504"/>
    <w:rsid w:val="000B48CB"/>
    <w:rsid w:val="000B5D7D"/>
    <w:rsid w:val="000B65AA"/>
    <w:rsid w:val="000B67D9"/>
    <w:rsid w:val="000B6A6A"/>
    <w:rsid w:val="000B7DF1"/>
    <w:rsid w:val="000C035B"/>
    <w:rsid w:val="000C0714"/>
    <w:rsid w:val="000C188C"/>
    <w:rsid w:val="000C245B"/>
    <w:rsid w:val="000C2AE6"/>
    <w:rsid w:val="000C354A"/>
    <w:rsid w:val="000C4FD9"/>
    <w:rsid w:val="000C52A0"/>
    <w:rsid w:val="000C5AEB"/>
    <w:rsid w:val="000C6270"/>
    <w:rsid w:val="000C6B2C"/>
    <w:rsid w:val="000C70C2"/>
    <w:rsid w:val="000C7812"/>
    <w:rsid w:val="000D04C8"/>
    <w:rsid w:val="000D0769"/>
    <w:rsid w:val="000D0E5E"/>
    <w:rsid w:val="000D1018"/>
    <w:rsid w:val="000D1FBF"/>
    <w:rsid w:val="000D211B"/>
    <w:rsid w:val="000D2A3F"/>
    <w:rsid w:val="000D344B"/>
    <w:rsid w:val="000D4C3A"/>
    <w:rsid w:val="000D5249"/>
    <w:rsid w:val="000D6185"/>
    <w:rsid w:val="000D6514"/>
    <w:rsid w:val="000E166F"/>
    <w:rsid w:val="000E3DCC"/>
    <w:rsid w:val="000E4525"/>
    <w:rsid w:val="000E46D9"/>
    <w:rsid w:val="000E4E95"/>
    <w:rsid w:val="000E50DD"/>
    <w:rsid w:val="000E640C"/>
    <w:rsid w:val="000E7308"/>
    <w:rsid w:val="000E7417"/>
    <w:rsid w:val="000E741F"/>
    <w:rsid w:val="000F1A45"/>
    <w:rsid w:val="000F1AF9"/>
    <w:rsid w:val="000F21C8"/>
    <w:rsid w:val="000F3713"/>
    <w:rsid w:val="000F376A"/>
    <w:rsid w:val="000F37AB"/>
    <w:rsid w:val="000F4155"/>
    <w:rsid w:val="000F44CB"/>
    <w:rsid w:val="000F4F2F"/>
    <w:rsid w:val="000F5226"/>
    <w:rsid w:val="000F5866"/>
    <w:rsid w:val="000F5B64"/>
    <w:rsid w:val="000F620C"/>
    <w:rsid w:val="000F7591"/>
    <w:rsid w:val="001000C3"/>
    <w:rsid w:val="0010071B"/>
    <w:rsid w:val="001047E3"/>
    <w:rsid w:val="00104908"/>
    <w:rsid w:val="00104D5D"/>
    <w:rsid w:val="00105A9C"/>
    <w:rsid w:val="00106446"/>
    <w:rsid w:val="00107077"/>
    <w:rsid w:val="00107FD9"/>
    <w:rsid w:val="00110169"/>
    <w:rsid w:val="00110B4B"/>
    <w:rsid w:val="001113FC"/>
    <w:rsid w:val="00111596"/>
    <w:rsid w:val="00111CC9"/>
    <w:rsid w:val="00112A3D"/>
    <w:rsid w:val="001133AC"/>
    <w:rsid w:val="00113C61"/>
    <w:rsid w:val="00114B15"/>
    <w:rsid w:val="00117058"/>
    <w:rsid w:val="00117143"/>
    <w:rsid w:val="00120369"/>
    <w:rsid w:val="001209B4"/>
    <w:rsid w:val="00121A30"/>
    <w:rsid w:val="0012211A"/>
    <w:rsid w:val="001228FD"/>
    <w:rsid w:val="001232B6"/>
    <w:rsid w:val="00124345"/>
    <w:rsid w:val="00125769"/>
    <w:rsid w:val="00125F48"/>
    <w:rsid w:val="00126231"/>
    <w:rsid w:val="001264B5"/>
    <w:rsid w:val="001264DC"/>
    <w:rsid w:val="00127083"/>
    <w:rsid w:val="0013172D"/>
    <w:rsid w:val="001322EF"/>
    <w:rsid w:val="001324B3"/>
    <w:rsid w:val="001345E9"/>
    <w:rsid w:val="00134894"/>
    <w:rsid w:val="001348D3"/>
    <w:rsid w:val="00135375"/>
    <w:rsid w:val="001370E3"/>
    <w:rsid w:val="00137DBD"/>
    <w:rsid w:val="00137DCD"/>
    <w:rsid w:val="00140C4D"/>
    <w:rsid w:val="00140DA3"/>
    <w:rsid w:val="00140EB0"/>
    <w:rsid w:val="00140EB5"/>
    <w:rsid w:val="001413DF"/>
    <w:rsid w:val="00141BEE"/>
    <w:rsid w:val="00143121"/>
    <w:rsid w:val="00144141"/>
    <w:rsid w:val="00144F97"/>
    <w:rsid w:val="00145791"/>
    <w:rsid w:val="0014699B"/>
    <w:rsid w:val="00146D14"/>
    <w:rsid w:val="00151BA6"/>
    <w:rsid w:val="0015269F"/>
    <w:rsid w:val="00153C89"/>
    <w:rsid w:val="0015463C"/>
    <w:rsid w:val="00156049"/>
    <w:rsid w:val="001564DB"/>
    <w:rsid w:val="00156F75"/>
    <w:rsid w:val="00160AA3"/>
    <w:rsid w:val="00160E3C"/>
    <w:rsid w:val="001617E9"/>
    <w:rsid w:val="00162175"/>
    <w:rsid w:val="00162403"/>
    <w:rsid w:val="0016254E"/>
    <w:rsid w:val="00162F23"/>
    <w:rsid w:val="001637C1"/>
    <w:rsid w:val="0016451E"/>
    <w:rsid w:val="00164C0D"/>
    <w:rsid w:val="001655DB"/>
    <w:rsid w:val="0016583A"/>
    <w:rsid w:val="00166A7A"/>
    <w:rsid w:val="00166F38"/>
    <w:rsid w:val="00167313"/>
    <w:rsid w:val="00167763"/>
    <w:rsid w:val="001708E8"/>
    <w:rsid w:val="00171489"/>
    <w:rsid w:val="0017148D"/>
    <w:rsid w:val="00172305"/>
    <w:rsid w:val="0017284E"/>
    <w:rsid w:val="00172A27"/>
    <w:rsid w:val="0017334A"/>
    <w:rsid w:val="00173713"/>
    <w:rsid w:val="00173A95"/>
    <w:rsid w:val="00173D83"/>
    <w:rsid w:val="0017404D"/>
    <w:rsid w:val="00175C3F"/>
    <w:rsid w:val="00175FE2"/>
    <w:rsid w:val="0017633E"/>
    <w:rsid w:val="00176863"/>
    <w:rsid w:val="001773C6"/>
    <w:rsid w:val="0017741D"/>
    <w:rsid w:val="001810E9"/>
    <w:rsid w:val="00181D2E"/>
    <w:rsid w:val="001828D3"/>
    <w:rsid w:val="001833C8"/>
    <w:rsid w:val="001846F2"/>
    <w:rsid w:val="001850A4"/>
    <w:rsid w:val="00185B43"/>
    <w:rsid w:val="00186927"/>
    <w:rsid w:val="001870D2"/>
    <w:rsid w:val="001875E2"/>
    <w:rsid w:val="00190053"/>
    <w:rsid w:val="00190101"/>
    <w:rsid w:val="00190C8F"/>
    <w:rsid w:val="001910EC"/>
    <w:rsid w:val="00191A57"/>
    <w:rsid w:val="00192075"/>
    <w:rsid w:val="00193526"/>
    <w:rsid w:val="00195771"/>
    <w:rsid w:val="00197441"/>
    <w:rsid w:val="001A01D2"/>
    <w:rsid w:val="001A053D"/>
    <w:rsid w:val="001A101A"/>
    <w:rsid w:val="001A12A4"/>
    <w:rsid w:val="001A130A"/>
    <w:rsid w:val="001A2976"/>
    <w:rsid w:val="001A3AA5"/>
    <w:rsid w:val="001A3AFC"/>
    <w:rsid w:val="001A3BCB"/>
    <w:rsid w:val="001A4D9B"/>
    <w:rsid w:val="001A561A"/>
    <w:rsid w:val="001A58C6"/>
    <w:rsid w:val="001A59EB"/>
    <w:rsid w:val="001B0B82"/>
    <w:rsid w:val="001B2294"/>
    <w:rsid w:val="001B313B"/>
    <w:rsid w:val="001B383C"/>
    <w:rsid w:val="001B4531"/>
    <w:rsid w:val="001B4F01"/>
    <w:rsid w:val="001B5907"/>
    <w:rsid w:val="001C0B10"/>
    <w:rsid w:val="001C2072"/>
    <w:rsid w:val="001C274B"/>
    <w:rsid w:val="001C2E16"/>
    <w:rsid w:val="001C3481"/>
    <w:rsid w:val="001C4E4C"/>
    <w:rsid w:val="001C5444"/>
    <w:rsid w:val="001C737E"/>
    <w:rsid w:val="001C7B25"/>
    <w:rsid w:val="001D0F5F"/>
    <w:rsid w:val="001D1A86"/>
    <w:rsid w:val="001D26DC"/>
    <w:rsid w:val="001D300D"/>
    <w:rsid w:val="001D302B"/>
    <w:rsid w:val="001D537E"/>
    <w:rsid w:val="001D574C"/>
    <w:rsid w:val="001D5B75"/>
    <w:rsid w:val="001E1D4A"/>
    <w:rsid w:val="001E3396"/>
    <w:rsid w:val="001E3A6E"/>
    <w:rsid w:val="001E3AF6"/>
    <w:rsid w:val="001E3D6A"/>
    <w:rsid w:val="001E4458"/>
    <w:rsid w:val="001E59F7"/>
    <w:rsid w:val="001E6A66"/>
    <w:rsid w:val="001F075D"/>
    <w:rsid w:val="001F130D"/>
    <w:rsid w:val="001F1819"/>
    <w:rsid w:val="001F3A23"/>
    <w:rsid w:val="001F4878"/>
    <w:rsid w:val="001F5321"/>
    <w:rsid w:val="001F534E"/>
    <w:rsid w:val="001F5B18"/>
    <w:rsid w:val="001F7AFA"/>
    <w:rsid w:val="001F7E35"/>
    <w:rsid w:val="00200789"/>
    <w:rsid w:val="002008A9"/>
    <w:rsid w:val="00200C39"/>
    <w:rsid w:val="00200D09"/>
    <w:rsid w:val="002018AB"/>
    <w:rsid w:val="002023F0"/>
    <w:rsid w:val="0020308E"/>
    <w:rsid w:val="00203EA6"/>
    <w:rsid w:val="00205CF8"/>
    <w:rsid w:val="00206018"/>
    <w:rsid w:val="00207D02"/>
    <w:rsid w:val="00210EE8"/>
    <w:rsid w:val="00210F21"/>
    <w:rsid w:val="00211F38"/>
    <w:rsid w:val="0021548B"/>
    <w:rsid w:val="002157B6"/>
    <w:rsid w:val="00215C17"/>
    <w:rsid w:val="00215D98"/>
    <w:rsid w:val="00216282"/>
    <w:rsid w:val="00216FA2"/>
    <w:rsid w:val="002203CE"/>
    <w:rsid w:val="00221240"/>
    <w:rsid w:val="00221600"/>
    <w:rsid w:val="00221BE4"/>
    <w:rsid w:val="00223541"/>
    <w:rsid w:val="00223B66"/>
    <w:rsid w:val="002240A4"/>
    <w:rsid w:val="0022478B"/>
    <w:rsid w:val="00225547"/>
    <w:rsid w:val="00226CCD"/>
    <w:rsid w:val="00227B2C"/>
    <w:rsid w:val="002303FF"/>
    <w:rsid w:val="00230B4C"/>
    <w:rsid w:val="00231C9E"/>
    <w:rsid w:val="0023235C"/>
    <w:rsid w:val="00232836"/>
    <w:rsid w:val="00232D80"/>
    <w:rsid w:val="0023339C"/>
    <w:rsid w:val="00234309"/>
    <w:rsid w:val="00235123"/>
    <w:rsid w:val="002416E2"/>
    <w:rsid w:val="002419D0"/>
    <w:rsid w:val="00242897"/>
    <w:rsid w:val="00242A62"/>
    <w:rsid w:val="002444EA"/>
    <w:rsid w:val="00244B2A"/>
    <w:rsid w:val="00245EF6"/>
    <w:rsid w:val="00250A62"/>
    <w:rsid w:val="0025131F"/>
    <w:rsid w:val="00253669"/>
    <w:rsid w:val="00255AC7"/>
    <w:rsid w:val="002569C5"/>
    <w:rsid w:val="00256A84"/>
    <w:rsid w:val="00257F4D"/>
    <w:rsid w:val="00260902"/>
    <w:rsid w:val="00260A71"/>
    <w:rsid w:val="0026198C"/>
    <w:rsid w:val="002619D5"/>
    <w:rsid w:val="00261AC6"/>
    <w:rsid w:val="00262FCB"/>
    <w:rsid w:val="00263AB2"/>
    <w:rsid w:val="002643E5"/>
    <w:rsid w:val="00264503"/>
    <w:rsid w:val="00264EB2"/>
    <w:rsid w:val="00265009"/>
    <w:rsid w:val="0026705D"/>
    <w:rsid w:val="00267C83"/>
    <w:rsid w:val="00270DBF"/>
    <w:rsid w:val="00271E4A"/>
    <w:rsid w:val="00272498"/>
    <w:rsid w:val="002725B6"/>
    <w:rsid w:val="002726B5"/>
    <w:rsid w:val="00276030"/>
    <w:rsid w:val="00276AC4"/>
    <w:rsid w:val="00276F7B"/>
    <w:rsid w:val="0027767A"/>
    <w:rsid w:val="002815E4"/>
    <w:rsid w:val="0028240A"/>
    <w:rsid w:val="00282892"/>
    <w:rsid w:val="00283506"/>
    <w:rsid w:val="00283A43"/>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C24"/>
    <w:rsid w:val="00292441"/>
    <w:rsid w:val="00292F73"/>
    <w:rsid w:val="002935CC"/>
    <w:rsid w:val="00293A07"/>
    <w:rsid w:val="002950BC"/>
    <w:rsid w:val="002958E2"/>
    <w:rsid w:val="00295CE8"/>
    <w:rsid w:val="002962B1"/>
    <w:rsid w:val="00296457"/>
    <w:rsid w:val="002965AD"/>
    <w:rsid w:val="00297B75"/>
    <w:rsid w:val="002A0206"/>
    <w:rsid w:val="002A0C4E"/>
    <w:rsid w:val="002A15D6"/>
    <w:rsid w:val="002A1672"/>
    <w:rsid w:val="002A22D6"/>
    <w:rsid w:val="002A3505"/>
    <w:rsid w:val="002A3741"/>
    <w:rsid w:val="002A4AAB"/>
    <w:rsid w:val="002A5CB2"/>
    <w:rsid w:val="002A5E44"/>
    <w:rsid w:val="002A65E2"/>
    <w:rsid w:val="002A7BBC"/>
    <w:rsid w:val="002B00AE"/>
    <w:rsid w:val="002B12E2"/>
    <w:rsid w:val="002B1662"/>
    <w:rsid w:val="002B3ADA"/>
    <w:rsid w:val="002B3F03"/>
    <w:rsid w:val="002B4148"/>
    <w:rsid w:val="002B469A"/>
    <w:rsid w:val="002B4D14"/>
    <w:rsid w:val="002B51EA"/>
    <w:rsid w:val="002B5C26"/>
    <w:rsid w:val="002B7009"/>
    <w:rsid w:val="002B7974"/>
    <w:rsid w:val="002C0DD0"/>
    <w:rsid w:val="002C1AB9"/>
    <w:rsid w:val="002C2D6E"/>
    <w:rsid w:val="002C3042"/>
    <w:rsid w:val="002C33EB"/>
    <w:rsid w:val="002C363B"/>
    <w:rsid w:val="002C465A"/>
    <w:rsid w:val="002C666B"/>
    <w:rsid w:val="002C6C07"/>
    <w:rsid w:val="002C6E3F"/>
    <w:rsid w:val="002C7157"/>
    <w:rsid w:val="002D13DD"/>
    <w:rsid w:val="002D1777"/>
    <w:rsid w:val="002D2F30"/>
    <w:rsid w:val="002D47DE"/>
    <w:rsid w:val="002D54FF"/>
    <w:rsid w:val="002D5C40"/>
    <w:rsid w:val="002D61AB"/>
    <w:rsid w:val="002D7BB2"/>
    <w:rsid w:val="002E1F2C"/>
    <w:rsid w:val="002E273F"/>
    <w:rsid w:val="002E28E9"/>
    <w:rsid w:val="002E348F"/>
    <w:rsid w:val="002E36ED"/>
    <w:rsid w:val="002E466F"/>
    <w:rsid w:val="002E6BFE"/>
    <w:rsid w:val="002F1878"/>
    <w:rsid w:val="002F4310"/>
    <w:rsid w:val="002F4865"/>
    <w:rsid w:val="002F499D"/>
    <w:rsid w:val="002F557D"/>
    <w:rsid w:val="002F654F"/>
    <w:rsid w:val="002F7B60"/>
    <w:rsid w:val="0030203A"/>
    <w:rsid w:val="00305B69"/>
    <w:rsid w:val="00306A74"/>
    <w:rsid w:val="00311CEC"/>
    <w:rsid w:val="003125B0"/>
    <w:rsid w:val="00313325"/>
    <w:rsid w:val="00313A4D"/>
    <w:rsid w:val="00313F34"/>
    <w:rsid w:val="00314DB9"/>
    <w:rsid w:val="00314E01"/>
    <w:rsid w:val="00316075"/>
    <w:rsid w:val="0031707F"/>
    <w:rsid w:val="00320E32"/>
    <w:rsid w:val="00321E2F"/>
    <w:rsid w:val="003246F2"/>
    <w:rsid w:val="00324865"/>
    <w:rsid w:val="00324B01"/>
    <w:rsid w:val="00324E36"/>
    <w:rsid w:val="0032557C"/>
    <w:rsid w:val="00326478"/>
    <w:rsid w:val="0032788A"/>
    <w:rsid w:val="00331031"/>
    <w:rsid w:val="00331281"/>
    <w:rsid w:val="003333CF"/>
    <w:rsid w:val="003347D8"/>
    <w:rsid w:val="003347F8"/>
    <w:rsid w:val="003348AD"/>
    <w:rsid w:val="003350FF"/>
    <w:rsid w:val="0033575A"/>
    <w:rsid w:val="003359F2"/>
    <w:rsid w:val="00340374"/>
    <w:rsid w:val="003405B0"/>
    <w:rsid w:val="00340734"/>
    <w:rsid w:val="0034095A"/>
    <w:rsid w:val="00340B45"/>
    <w:rsid w:val="0034287E"/>
    <w:rsid w:val="00342E44"/>
    <w:rsid w:val="00343125"/>
    <w:rsid w:val="00343334"/>
    <w:rsid w:val="00346F10"/>
    <w:rsid w:val="00347DC8"/>
    <w:rsid w:val="00350642"/>
    <w:rsid w:val="0035087B"/>
    <w:rsid w:val="00352E5D"/>
    <w:rsid w:val="003538B4"/>
    <w:rsid w:val="00353D3F"/>
    <w:rsid w:val="003546A7"/>
    <w:rsid w:val="00354E41"/>
    <w:rsid w:val="00355F7D"/>
    <w:rsid w:val="00356C0C"/>
    <w:rsid w:val="00357A18"/>
    <w:rsid w:val="00357CAE"/>
    <w:rsid w:val="0036003D"/>
    <w:rsid w:val="003601EE"/>
    <w:rsid w:val="0036092F"/>
    <w:rsid w:val="0036212C"/>
    <w:rsid w:val="00364709"/>
    <w:rsid w:val="00365849"/>
    <w:rsid w:val="00365CEB"/>
    <w:rsid w:val="0036608F"/>
    <w:rsid w:val="00367761"/>
    <w:rsid w:val="00370697"/>
    <w:rsid w:val="003709B9"/>
    <w:rsid w:val="00371061"/>
    <w:rsid w:val="003723EC"/>
    <w:rsid w:val="003725C2"/>
    <w:rsid w:val="00373228"/>
    <w:rsid w:val="0037398C"/>
    <w:rsid w:val="00373BCB"/>
    <w:rsid w:val="00373DDA"/>
    <w:rsid w:val="003751D4"/>
    <w:rsid w:val="003765C9"/>
    <w:rsid w:val="0037765F"/>
    <w:rsid w:val="0037789B"/>
    <w:rsid w:val="003805C3"/>
    <w:rsid w:val="003808DC"/>
    <w:rsid w:val="003812EE"/>
    <w:rsid w:val="00381353"/>
    <w:rsid w:val="003817D3"/>
    <w:rsid w:val="00381AD3"/>
    <w:rsid w:val="00382023"/>
    <w:rsid w:val="00382317"/>
    <w:rsid w:val="00382748"/>
    <w:rsid w:val="0038366B"/>
    <w:rsid w:val="00383E27"/>
    <w:rsid w:val="00384A33"/>
    <w:rsid w:val="00384F53"/>
    <w:rsid w:val="0038718B"/>
    <w:rsid w:val="00390037"/>
    <w:rsid w:val="003908CB"/>
    <w:rsid w:val="00390C73"/>
    <w:rsid w:val="00390F51"/>
    <w:rsid w:val="00391805"/>
    <w:rsid w:val="00392780"/>
    <w:rsid w:val="0039500C"/>
    <w:rsid w:val="003965DB"/>
    <w:rsid w:val="003966A4"/>
    <w:rsid w:val="00397EA7"/>
    <w:rsid w:val="003A131A"/>
    <w:rsid w:val="003A1873"/>
    <w:rsid w:val="003A3153"/>
    <w:rsid w:val="003A389D"/>
    <w:rsid w:val="003A4099"/>
    <w:rsid w:val="003A4572"/>
    <w:rsid w:val="003A48A3"/>
    <w:rsid w:val="003A4DEB"/>
    <w:rsid w:val="003A56B4"/>
    <w:rsid w:val="003A63A3"/>
    <w:rsid w:val="003A7CE9"/>
    <w:rsid w:val="003A7D94"/>
    <w:rsid w:val="003B074C"/>
    <w:rsid w:val="003B304F"/>
    <w:rsid w:val="003B36FD"/>
    <w:rsid w:val="003B52E3"/>
    <w:rsid w:val="003B6EB4"/>
    <w:rsid w:val="003C0A14"/>
    <w:rsid w:val="003C1256"/>
    <w:rsid w:val="003C1404"/>
    <w:rsid w:val="003C229B"/>
    <w:rsid w:val="003C2F63"/>
    <w:rsid w:val="003C4815"/>
    <w:rsid w:val="003C5D94"/>
    <w:rsid w:val="003C7A73"/>
    <w:rsid w:val="003D061C"/>
    <w:rsid w:val="003D16A0"/>
    <w:rsid w:val="003D1765"/>
    <w:rsid w:val="003D188B"/>
    <w:rsid w:val="003D36E9"/>
    <w:rsid w:val="003D3B9A"/>
    <w:rsid w:val="003D42BA"/>
    <w:rsid w:val="003D4669"/>
    <w:rsid w:val="003D5E2A"/>
    <w:rsid w:val="003D6B57"/>
    <w:rsid w:val="003E0880"/>
    <w:rsid w:val="003E0893"/>
    <w:rsid w:val="003E0C00"/>
    <w:rsid w:val="003E3CBC"/>
    <w:rsid w:val="003E4724"/>
    <w:rsid w:val="003E5316"/>
    <w:rsid w:val="003E550D"/>
    <w:rsid w:val="003E5B81"/>
    <w:rsid w:val="003E63DA"/>
    <w:rsid w:val="003E6885"/>
    <w:rsid w:val="003E6E9A"/>
    <w:rsid w:val="003E7A91"/>
    <w:rsid w:val="003F0052"/>
    <w:rsid w:val="003F080A"/>
    <w:rsid w:val="003F2BA3"/>
    <w:rsid w:val="003F3859"/>
    <w:rsid w:val="003F4609"/>
    <w:rsid w:val="003F47E7"/>
    <w:rsid w:val="003F4887"/>
    <w:rsid w:val="003F5AD8"/>
    <w:rsid w:val="003F64A0"/>
    <w:rsid w:val="003F6718"/>
    <w:rsid w:val="003F7372"/>
    <w:rsid w:val="003F7A91"/>
    <w:rsid w:val="00400ACB"/>
    <w:rsid w:val="004014AC"/>
    <w:rsid w:val="00401EA9"/>
    <w:rsid w:val="00402BA3"/>
    <w:rsid w:val="004038CE"/>
    <w:rsid w:val="004041BB"/>
    <w:rsid w:val="0040556F"/>
    <w:rsid w:val="00405C57"/>
    <w:rsid w:val="0040634B"/>
    <w:rsid w:val="00406717"/>
    <w:rsid w:val="00406F15"/>
    <w:rsid w:val="00407DF5"/>
    <w:rsid w:val="004112B7"/>
    <w:rsid w:val="004113F2"/>
    <w:rsid w:val="0041189C"/>
    <w:rsid w:val="00412846"/>
    <w:rsid w:val="0041286B"/>
    <w:rsid w:val="00412E55"/>
    <w:rsid w:val="00412EDA"/>
    <w:rsid w:val="00413ED6"/>
    <w:rsid w:val="0041470D"/>
    <w:rsid w:val="00415306"/>
    <w:rsid w:val="004153E5"/>
    <w:rsid w:val="00416293"/>
    <w:rsid w:val="004165A5"/>
    <w:rsid w:val="004165E0"/>
    <w:rsid w:val="0042020F"/>
    <w:rsid w:val="004209AD"/>
    <w:rsid w:val="00420E26"/>
    <w:rsid w:val="00423265"/>
    <w:rsid w:val="00423AB0"/>
    <w:rsid w:val="004241CA"/>
    <w:rsid w:val="00424DB7"/>
    <w:rsid w:val="0042508B"/>
    <w:rsid w:val="004255AF"/>
    <w:rsid w:val="00425EF9"/>
    <w:rsid w:val="00426293"/>
    <w:rsid w:val="0043056E"/>
    <w:rsid w:val="0043102C"/>
    <w:rsid w:val="00431770"/>
    <w:rsid w:val="00431D80"/>
    <w:rsid w:val="0043264C"/>
    <w:rsid w:val="00432EDE"/>
    <w:rsid w:val="00433361"/>
    <w:rsid w:val="00433970"/>
    <w:rsid w:val="004346A4"/>
    <w:rsid w:val="00434E74"/>
    <w:rsid w:val="00435970"/>
    <w:rsid w:val="004366AC"/>
    <w:rsid w:val="00436879"/>
    <w:rsid w:val="00437C0C"/>
    <w:rsid w:val="00437DC8"/>
    <w:rsid w:val="00440935"/>
    <w:rsid w:val="0044137D"/>
    <w:rsid w:val="004415EB"/>
    <w:rsid w:val="00441DE0"/>
    <w:rsid w:val="004428F8"/>
    <w:rsid w:val="004438EC"/>
    <w:rsid w:val="004453C4"/>
    <w:rsid w:val="00445686"/>
    <w:rsid w:val="00446471"/>
    <w:rsid w:val="004470BD"/>
    <w:rsid w:val="00447425"/>
    <w:rsid w:val="00447F68"/>
    <w:rsid w:val="004508EB"/>
    <w:rsid w:val="004515F1"/>
    <w:rsid w:val="00453947"/>
    <w:rsid w:val="0045558E"/>
    <w:rsid w:val="00456A2C"/>
    <w:rsid w:val="00457B50"/>
    <w:rsid w:val="00460668"/>
    <w:rsid w:val="004611C1"/>
    <w:rsid w:val="00462B72"/>
    <w:rsid w:val="00465AF5"/>
    <w:rsid w:val="004661B0"/>
    <w:rsid w:val="00466FEA"/>
    <w:rsid w:val="004702BD"/>
    <w:rsid w:val="00470775"/>
    <w:rsid w:val="0047091D"/>
    <w:rsid w:val="00472BA7"/>
    <w:rsid w:val="00472D5C"/>
    <w:rsid w:val="00473A7F"/>
    <w:rsid w:val="0047596E"/>
    <w:rsid w:val="00477865"/>
    <w:rsid w:val="00480F9B"/>
    <w:rsid w:val="00482A44"/>
    <w:rsid w:val="004838AA"/>
    <w:rsid w:val="00484479"/>
    <w:rsid w:val="00484599"/>
    <w:rsid w:val="004851C5"/>
    <w:rsid w:val="00485335"/>
    <w:rsid w:val="00485F0D"/>
    <w:rsid w:val="00487EFD"/>
    <w:rsid w:val="004911DC"/>
    <w:rsid w:val="004920BD"/>
    <w:rsid w:val="004944B6"/>
    <w:rsid w:val="00494A80"/>
    <w:rsid w:val="0049644E"/>
    <w:rsid w:val="0049741E"/>
    <w:rsid w:val="004A3B8B"/>
    <w:rsid w:val="004A4630"/>
    <w:rsid w:val="004A4CC2"/>
    <w:rsid w:val="004A5AEC"/>
    <w:rsid w:val="004A5EA6"/>
    <w:rsid w:val="004A7952"/>
    <w:rsid w:val="004A7AFF"/>
    <w:rsid w:val="004B1465"/>
    <w:rsid w:val="004B268D"/>
    <w:rsid w:val="004B5555"/>
    <w:rsid w:val="004B6A9B"/>
    <w:rsid w:val="004C0A57"/>
    <w:rsid w:val="004C159B"/>
    <w:rsid w:val="004C1CEC"/>
    <w:rsid w:val="004C4320"/>
    <w:rsid w:val="004C5584"/>
    <w:rsid w:val="004C6B9E"/>
    <w:rsid w:val="004C6C6E"/>
    <w:rsid w:val="004C780E"/>
    <w:rsid w:val="004D090D"/>
    <w:rsid w:val="004D14D8"/>
    <w:rsid w:val="004D2C1C"/>
    <w:rsid w:val="004D3D91"/>
    <w:rsid w:val="004D4549"/>
    <w:rsid w:val="004D5ACE"/>
    <w:rsid w:val="004D5BB9"/>
    <w:rsid w:val="004D7834"/>
    <w:rsid w:val="004D7BF8"/>
    <w:rsid w:val="004E01E1"/>
    <w:rsid w:val="004E0B7A"/>
    <w:rsid w:val="004E0B8E"/>
    <w:rsid w:val="004E1894"/>
    <w:rsid w:val="004E2CF6"/>
    <w:rsid w:val="004E3BBF"/>
    <w:rsid w:val="004E4CC2"/>
    <w:rsid w:val="004E4FE1"/>
    <w:rsid w:val="004E518C"/>
    <w:rsid w:val="004E5343"/>
    <w:rsid w:val="004E6F94"/>
    <w:rsid w:val="004E7578"/>
    <w:rsid w:val="004F0107"/>
    <w:rsid w:val="004F15D0"/>
    <w:rsid w:val="004F1699"/>
    <w:rsid w:val="004F17FB"/>
    <w:rsid w:val="004F2C31"/>
    <w:rsid w:val="004F3090"/>
    <w:rsid w:val="004F4346"/>
    <w:rsid w:val="004F489A"/>
    <w:rsid w:val="004F4A39"/>
    <w:rsid w:val="004F4D75"/>
    <w:rsid w:val="004F5F21"/>
    <w:rsid w:val="004F63D3"/>
    <w:rsid w:val="004F66D0"/>
    <w:rsid w:val="004F6747"/>
    <w:rsid w:val="00500332"/>
    <w:rsid w:val="005009EA"/>
    <w:rsid w:val="00500F88"/>
    <w:rsid w:val="00504154"/>
    <w:rsid w:val="00504223"/>
    <w:rsid w:val="0050477B"/>
    <w:rsid w:val="005057CC"/>
    <w:rsid w:val="00505858"/>
    <w:rsid w:val="00505A9A"/>
    <w:rsid w:val="00505F80"/>
    <w:rsid w:val="00506735"/>
    <w:rsid w:val="005069A5"/>
    <w:rsid w:val="00507E86"/>
    <w:rsid w:val="0051089D"/>
    <w:rsid w:val="005115F3"/>
    <w:rsid w:val="00512BF2"/>
    <w:rsid w:val="00513834"/>
    <w:rsid w:val="00514908"/>
    <w:rsid w:val="00514A6D"/>
    <w:rsid w:val="00515EB7"/>
    <w:rsid w:val="00520518"/>
    <w:rsid w:val="005208EB"/>
    <w:rsid w:val="005209D7"/>
    <w:rsid w:val="00520CD4"/>
    <w:rsid w:val="0052205A"/>
    <w:rsid w:val="00523D1E"/>
    <w:rsid w:val="0052537E"/>
    <w:rsid w:val="00525F48"/>
    <w:rsid w:val="0052611C"/>
    <w:rsid w:val="005261F1"/>
    <w:rsid w:val="00526784"/>
    <w:rsid w:val="00526E2C"/>
    <w:rsid w:val="00527268"/>
    <w:rsid w:val="00527CD2"/>
    <w:rsid w:val="00531527"/>
    <w:rsid w:val="005316B6"/>
    <w:rsid w:val="00533FFC"/>
    <w:rsid w:val="0053539D"/>
    <w:rsid w:val="005361E0"/>
    <w:rsid w:val="005378EF"/>
    <w:rsid w:val="00540570"/>
    <w:rsid w:val="005437CF"/>
    <w:rsid w:val="0054482C"/>
    <w:rsid w:val="00547B5A"/>
    <w:rsid w:val="00550282"/>
    <w:rsid w:val="00550401"/>
    <w:rsid w:val="0055130D"/>
    <w:rsid w:val="005550DD"/>
    <w:rsid w:val="00555359"/>
    <w:rsid w:val="00556BEE"/>
    <w:rsid w:val="005575BA"/>
    <w:rsid w:val="00557BBE"/>
    <w:rsid w:val="00557DC5"/>
    <w:rsid w:val="00560F77"/>
    <w:rsid w:val="005612EE"/>
    <w:rsid w:val="00561EA3"/>
    <w:rsid w:val="005624A0"/>
    <w:rsid w:val="005634AE"/>
    <w:rsid w:val="005635C8"/>
    <w:rsid w:val="00564B12"/>
    <w:rsid w:val="0056550D"/>
    <w:rsid w:val="005659AC"/>
    <w:rsid w:val="00566122"/>
    <w:rsid w:val="005665E1"/>
    <w:rsid w:val="00567592"/>
    <w:rsid w:val="00567730"/>
    <w:rsid w:val="00567B55"/>
    <w:rsid w:val="005701BB"/>
    <w:rsid w:val="005709B5"/>
    <w:rsid w:val="00570BB9"/>
    <w:rsid w:val="005712A8"/>
    <w:rsid w:val="00572418"/>
    <w:rsid w:val="00572A77"/>
    <w:rsid w:val="00573BE5"/>
    <w:rsid w:val="00574301"/>
    <w:rsid w:val="00574806"/>
    <w:rsid w:val="005752A3"/>
    <w:rsid w:val="00575CB7"/>
    <w:rsid w:val="00577567"/>
    <w:rsid w:val="005803E5"/>
    <w:rsid w:val="00580F55"/>
    <w:rsid w:val="00583F70"/>
    <w:rsid w:val="00584D05"/>
    <w:rsid w:val="0058523D"/>
    <w:rsid w:val="00586934"/>
    <w:rsid w:val="00587C00"/>
    <w:rsid w:val="00587E4F"/>
    <w:rsid w:val="0059033F"/>
    <w:rsid w:val="00591BBD"/>
    <w:rsid w:val="0059449D"/>
    <w:rsid w:val="00597E4B"/>
    <w:rsid w:val="005A1260"/>
    <w:rsid w:val="005A2328"/>
    <w:rsid w:val="005A2907"/>
    <w:rsid w:val="005A2FA1"/>
    <w:rsid w:val="005A3014"/>
    <w:rsid w:val="005A35B6"/>
    <w:rsid w:val="005A4232"/>
    <w:rsid w:val="005A50A0"/>
    <w:rsid w:val="005A6740"/>
    <w:rsid w:val="005A6767"/>
    <w:rsid w:val="005A77C9"/>
    <w:rsid w:val="005A7A37"/>
    <w:rsid w:val="005B016E"/>
    <w:rsid w:val="005B03C3"/>
    <w:rsid w:val="005B0807"/>
    <w:rsid w:val="005B0C96"/>
    <w:rsid w:val="005B1244"/>
    <w:rsid w:val="005B214B"/>
    <w:rsid w:val="005B2CA3"/>
    <w:rsid w:val="005B3314"/>
    <w:rsid w:val="005B3467"/>
    <w:rsid w:val="005B5AF6"/>
    <w:rsid w:val="005B61FE"/>
    <w:rsid w:val="005B6687"/>
    <w:rsid w:val="005C05B6"/>
    <w:rsid w:val="005C09B3"/>
    <w:rsid w:val="005C0D7E"/>
    <w:rsid w:val="005C0DE7"/>
    <w:rsid w:val="005C0F07"/>
    <w:rsid w:val="005C177B"/>
    <w:rsid w:val="005C1CA1"/>
    <w:rsid w:val="005C2DE6"/>
    <w:rsid w:val="005C3374"/>
    <w:rsid w:val="005C3E05"/>
    <w:rsid w:val="005C4EBF"/>
    <w:rsid w:val="005C5098"/>
    <w:rsid w:val="005C58EB"/>
    <w:rsid w:val="005C5977"/>
    <w:rsid w:val="005C7ED7"/>
    <w:rsid w:val="005D01A4"/>
    <w:rsid w:val="005D088D"/>
    <w:rsid w:val="005D0D39"/>
    <w:rsid w:val="005D1A7D"/>
    <w:rsid w:val="005D1D9B"/>
    <w:rsid w:val="005D1F21"/>
    <w:rsid w:val="005D392F"/>
    <w:rsid w:val="005D57AA"/>
    <w:rsid w:val="005D5D39"/>
    <w:rsid w:val="005D78A2"/>
    <w:rsid w:val="005E1C52"/>
    <w:rsid w:val="005E2E68"/>
    <w:rsid w:val="005E33D2"/>
    <w:rsid w:val="005E41E1"/>
    <w:rsid w:val="005E4442"/>
    <w:rsid w:val="005E4BD2"/>
    <w:rsid w:val="005E501E"/>
    <w:rsid w:val="005E50F3"/>
    <w:rsid w:val="005E5490"/>
    <w:rsid w:val="005E5B50"/>
    <w:rsid w:val="005E5F00"/>
    <w:rsid w:val="005F2D4C"/>
    <w:rsid w:val="005F31D5"/>
    <w:rsid w:val="005F37D4"/>
    <w:rsid w:val="005F42D2"/>
    <w:rsid w:val="005F4DD9"/>
    <w:rsid w:val="005F51F9"/>
    <w:rsid w:val="005F554A"/>
    <w:rsid w:val="005F67E2"/>
    <w:rsid w:val="006020D9"/>
    <w:rsid w:val="0060267A"/>
    <w:rsid w:val="006030D6"/>
    <w:rsid w:val="006043A4"/>
    <w:rsid w:val="00605007"/>
    <w:rsid w:val="0060594A"/>
    <w:rsid w:val="006105B3"/>
    <w:rsid w:val="006119B8"/>
    <w:rsid w:val="00614CD3"/>
    <w:rsid w:val="0061627F"/>
    <w:rsid w:val="00616BF1"/>
    <w:rsid w:val="0062043A"/>
    <w:rsid w:val="00620808"/>
    <w:rsid w:val="006217E3"/>
    <w:rsid w:val="00621A67"/>
    <w:rsid w:val="00621EDB"/>
    <w:rsid w:val="00622F37"/>
    <w:rsid w:val="006232A3"/>
    <w:rsid w:val="006240A6"/>
    <w:rsid w:val="006242DF"/>
    <w:rsid w:val="0062497C"/>
    <w:rsid w:val="00624EB7"/>
    <w:rsid w:val="0062600E"/>
    <w:rsid w:val="00626EC9"/>
    <w:rsid w:val="006353D2"/>
    <w:rsid w:val="00636643"/>
    <w:rsid w:val="006374CD"/>
    <w:rsid w:val="00637F16"/>
    <w:rsid w:val="00640570"/>
    <w:rsid w:val="00640CB0"/>
    <w:rsid w:val="00641143"/>
    <w:rsid w:val="0064267E"/>
    <w:rsid w:val="006430FF"/>
    <w:rsid w:val="0064347A"/>
    <w:rsid w:val="00643967"/>
    <w:rsid w:val="0064721C"/>
    <w:rsid w:val="00647882"/>
    <w:rsid w:val="00647DA8"/>
    <w:rsid w:val="00647F9D"/>
    <w:rsid w:val="006502AB"/>
    <w:rsid w:val="00650F32"/>
    <w:rsid w:val="00651177"/>
    <w:rsid w:val="00651F90"/>
    <w:rsid w:val="0065343A"/>
    <w:rsid w:val="00653A2A"/>
    <w:rsid w:val="00653B74"/>
    <w:rsid w:val="006569FD"/>
    <w:rsid w:val="0066096D"/>
    <w:rsid w:val="0066100B"/>
    <w:rsid w:val="00661D1D"/>
    <w:rsid w:val="0066219C"/>
    <w:rsid w:val="00663D25"/>
    <w:rsid w:val="0066654B"/>
    <w:rsid w:val="00666B1D"/>
    <w:rsid w:val="006672FF"/>
    <w:rsid w:val="00671816"/>
    <w:rsid w:val="006724CA"/>
    <w:rsid w:val="006727CB"/>
    <w:rsid w:val="006727E9"/>
    <w:rsid w:val="006746CD"/>
    <w:rsid w:val="00674DB1"/>
    <w:rsid w:val="00677156"/>
    <w:rsid w:val="00677650"/>
    <w:rsid w:val="006779A1"/>
    <w:rsid w:val="006807B3"/>
    <w:rsid w:val="006813A4"/>
    <w:rsid w:val="00681F77"/>
    <w:rsid w:val="006823B3"/>
    <w:rsid w:val="00682BA0"/>
    <w:rsid w:val="00682E7A"/>
    <w:rsid w:val="0068368F"/>
    <w:rsid w:val="0068390A"/>
    <w:rsid w:val="00684B20"/>
    <w:rsid w:val="00684D30"/>
    <w:rsid w:val="0068528A"/>
    <w:rsid w:val="006855D3"/>
    <w:rsid w:val="00685D06"/>
    <w:rsid w:val="00686202"/>
    <w:rsid w:val="00690243"/>
    <w:rsid w:val="0069139A"/>
    <w:rsid w:val="006917A7"/>
    <w:rsid w:val="00691862"/>
    <w:rsid w:val="0069219F"/>
    <w:rsid w:val="006944EB"/>
    <w:rsid w:val="00694C2D"/>
    <w:rsid w:val="006954C4"/>
    <w:rsid w:val="0069651B"/>
    <w:rsid w:val="006A00B7"/>
    <w:rsid w:val="006A0563"/>
    <w:rsid w:val="006A0EB5"/>
    <w:rsid w:val="006A134B"/>
    <w:rsid w:val="006A1B12"/>
    <w:rsid w:val="006A229F"/>
    <w:rsid w:val="006A34AC"/>
    <w:rsid w:val="006A46A7"/>
    <w:rsid w:val="006A4D18"/>
    <w:rsid w:val="006A4F09"/>
    <w:rsid w:val="006A5055"/>
    <w:rsid w:val="006A50E4"/>
    <w:rsid w:val="006A7371"/>
    <w:rsid w:val="006B34C9"/>
    <w:rsid w:val="006B399A"/>
    <w:rsid w:val="006B3D83"/>
    <w:rsid w:val="006B4795"/>
    <w:rsid w:val="006B5791"/>
    <w:rsid w:val="006B60A2"/>
    <w:rsid w:val="006B6798"/>
    <w:rsid w:val="006B77BE"/>
    <w:rsid w:val="006B7B54"/>
    <w:rsid w:val="006C06AF"/>
    <w:rsid w:val="006C0F76"/>
    <w:rsid w:val="006C1340"/>
    <w:rsid w:val="006C23C2"/>
    <w:rsid w:val="006C33AC"/>
    <w:rsid w:val="006C4B1F"/>
    <w:rsid w:val="006C5C39"/>
    <w:rsid w:val="006C6FBB"/>
    <w:rsid w:val="006C723E"/>
    <w:rsid w:val="006C7B71"/>
    <w:rsid w:val="006D01E3"/>
    <w:rsid w:val="006D3A6D"/>
    <w:rsid w:val="006D46C6"/>
    <w:rsid w:val="006D4F91"/>
    <w:rsid w:val="006D5556"/>
    <w:rsid w:val="006D6DB3"/>
    <w:rsid w:val="006E0419"/>
    <w:rsid w:val="006E0CF5"/>
    <w:rsid w:val="006E15B5"/>
    <w:rsid w:val="006E18EB"/>
    <w:rsid w:val="006E1C31"/>
    <w:rsid w:val="006E31A3"/>
    <w:rsid w:val="006E45CC"/>
    <w:rsid w:val="006E52E1"/>
    <w:rsid w:val="006E5C6C"/>
    <w:rsid w:val="006E63DE"/>
    <w:rsid w:val="006E6A42"/>
    <w:rsid w:val="006E70D1"/>
    <w:rsid w:val="006F0275"/>
    <w:rsid w:val="006F04D9"/>
    <w:rsid w:val="006F07FA"/>
    <w:rsid w:val="006F0FBF"/>
    <w:rsid w:val="006F137B"/>
    <w:rsid w:val="006F1B2E"/>
    <w:rsid w:val="006F1DC1"/>
    <w:rsid w:val="006F2292"/>
    <w:rsid w:val="006F31D7"/>
    <w:rsid w:val="006F3670"/>
    <w:rsid w:val="006F3932"/>
    <w:rsid w:val="006F3B2C"/>
    <w:rsid w:val="006F48D3"/>
    <w:rsid w:val="006F4901"/>
    <w:rsid w:val="006F53DB"/>
    <w:rsid w:val="006F617A"/>
    <w:rsid w:val="006F6D52"/>
    <w:rsid w:val="007001BB"/>
    <w:rsid w:val="0070184C"/>
    <w:rsid w:val="007028E7"/>
    <w:rsid w:val="007039B7"/>
    <w:rsid w:val="00703CAD"/>
    <w:rsid w:val="0070401B"/>
    <w:rsid w:val="00704082"/>
    <w:rsid w:val="00705371"/>
    <w:rsid w:val="007077DC"/>
    <w:rsid w:val="00707DAE"/>
    <w:rsid w:val="00710C2B"/>
    <w:rsid w:val="00713384"/>
    <w:rsid w:val="00713D73"/>
    <w:rsid w:val="007141E1"/>
    <w:rsid w:val="00714F31"/>
    <w:rsid w:val="0071593B"/>
    <w:rsid w:val="007219F6"/>
    <w:rsid w:val="00722046"/>
    <w:rsid w:val="00722CFC"/>
    <w:rsid w:val="0072440A"/>
    <w:rsid w:val="00724504"/>
    <w:rsid w:val="007247EB"/>
    <w:rsid w:val="007257D4"/>
    <w:rsid w:val="00726485"/>
    <w:rsid w:val="00726F2B"/>
    <w:rsid w:val="00732F1A"/>
    <w:rsid w:val="00733151"/>
    <w:rsid w:val="00733AC8"/>
    <w:rsid w:val="00734A87"/>
    <w:rsid w:val="00734CF6"/>
    <w:rsid w:val="00735189"/>
    <w:rsid w:val="007360FB"/>
    <w:rsid w:val="007369A0"/>
    <w:rsid w:val="00740E6A"/>
    <w:rsid w:val="007413D9"/>
    <w:rsid w:val="0074150C"/>
    <w:rsid w:val="00742024"/>
    <w:rsid w:val="007434B4"/>
    <w:rsid w:val="00744360"/>
    <w:rsid w:val="007455AC"/>
    <w:rsid w:val="00745685"/>
    <w:rsid w:val="0074593E"/>
    <w:rsid w:val="007460BC"/>
    <w:rsid w:val="00746586"/>
    <w:rsid w:val="00747190"/>
    <w:rsid w:val="00747779"/>
    <w:rsid w:val="00747DDA"/>
    <w:rsid w:val="00747F03"/>
    <w:rsid w:val="00750446"/>
    <w:rsid w:val="00751132"/>
    <w:rsid w:val="007518A7"/>
    <w:rsid w:val="00751F7C"/>
    <w:rsid w:val="00753FAF"/>
    <w:rsid w:val="00755F77"/>
    <w:rsid w:val="0075655B"/>
    <w:rsid w:val="007567BC"/>
    <w:rsid w:val="007568EE"/>
    <w:rsid w:val="007601F3"/>
    <w:rsid w:val="007603AD"/>
    <w:rsid w:val="007606C3"/>
    <w:rsid w:val="00760E64"/>
    <w:rsid w:val="007611A9"/>
    <w:rsid w:val="00761C5D"/>
    <w:rsid w:val="00761F02"/>
    <w:rsid w:val="0076205E"/>
    <w:rsid w:val="00764048"/>
    <w:rsid w:val="00764426"/>
    <w:rsid w:val="0076488F"/>
    <w:rsid w:val="00765AED"/>
    <w:rsid w:val="0076675E"/>
    <w:rsid w:val="0076684A"/>
    <w:rsid w:val="0076696D"/>
    <w:rsid w:val="00767220"/>
    <w:rsid w:val="00771449"/>
    <w:rsid w:val="00771DE6"/>
    <w:rsid w:val="007723AB"/>
    <w:rsid w:val="0077273F"/>
    <w:rsid w:val="0077276B"/>
    <w:rsid w:val="007741AD"/>
    <w:rsid w:val="00774322"/>
    <w:rsid w:val="00774632"/>
    <w:rsid w:val="00775065"/>
    <w:rsid w:val="00777B6C"/>
    <w:rsid w:val="00780CB0"/>
    <w:rsid w:val="007847B2"/>
    <w:rsid w:val="00785952"/>
    <w:rsid w:val="00785F6C"/>
    <w:rsid w:val="00786755"/>
    <w:rsid w:val="00787111"/>
    <w:rsid w:val="00787136"/>
    <w:rsid w:val="0078751B"/>
    <w:rsid w:val="00787713"/>
    <w:rsid w:val="00787B90"/>
    <w:rsid w:val="007928E2"/>
    <w:rsid w:val="007936B7"/>
    <w:rsid w:val="007938A2"/>
    <w:rsid w:val="00793C99"/>
    <w:rsid w:val="007946C7"/>
    <w:rsid w:val="007948EB"/>
    <w:rsid w:val="0079531F"/>
    <w:rsid w:val="00795D1A"/>
    <w:rsid w:val="007972B8"/>
    <w:rsid w:val="00797518"/>
    <w:rsid w:val="007975C6"/>
    <w:rsid w:val="00797720"/>
    <w:rsid w:val="007A33DB"/>
    <w:rsid w:val="007A3ABD"/>
    <w:rsid w:val="007A4B56"/>
    <w:rsid w:val="007A54CF"/>
    <w:rsid w:val="007A5DDD"/>
    <w:rsid w:val="007A69F1"/>
    <w:rsid w:val="007A6B90"/>
    <w:rsid w:val="007B00EC"/>
    <w:rsid w:val="007B0338"/>
    <w:rsid w:val="007B0520"/>
    <w:rsid w:val="007B2232"/>
    <w:rsid w:val="007B4A00"/>
    <w:rsid w:val="007B5B51"/>
    <w:rsid w:val="007B644C"/>
    <w:rsid w:val="007B65F8"/>
    <w:rsid w:val="007C0C56"/>
    <w:rsid w:val="007C11EA"/>
    <w:rsid w:val="007C2C9D"/>
    <w:rsid w:val="007C302F"/>
    <w:rsid w:val="007C4855"/>
    <w:rsid w:val="007C5C1F"/>
    <w:rsid w:val="007C5F6A"/>
    <w:rsid w:val="007C6ED7"/>
    <w:rsid w:val="007C76F3"/>
    <w:rsid w:val="007D0885"/>
    <w:rsid w:val="007D1565"/>
    <w:rsid w:val="007D23C8"/>
    <w:rsid w:val="007D2D47"/>
    <w:rsid w:val="007D348B"/>
    <w:rsid w:val="007D3A8A"/>
    <w:rsid w:val="007D405F"/>
    <w:rsid w:val="007D460B"/>
    <w:rsid w:val="007D4EAE"/>
    <w:rsid w:val="007D57AF"/>
    <w:rsid w:val="007D5C23"/>
    <w:rsid w:val="007D6E84"/>
    <w:rsid w:val="007D71A8"/>
    <w:rsid w:val="007D7812"/>
    <w:rsid w:val="007E0993"/>
    <w:rsid w:val="007E1305"/>
    <w:rsid w:val="007E18FC"/>
    <w:rsid w:val="007E1DC0"/>
    <w:rsid w:val="007E256E"/>
    <w:rsid w:val="007E2C2B"/>
    <w:rsid w:val="007E2F36"/>
    <w:rsid w:val="007E3355"/>
    <w:rsid w:val="007E4784"/>
    <w:rsid w:val="007E484A"/>
    <w:rsid w:val="007E4969"/>
    <w:rsid w:val="007E5152"/>
    <w:rsid w:val="007E5503"/>
    <w:rsid w:val="007E5BC4"/>
    <w:rsid w:val="007E6000"/>
    <w:rsid w:val="007F531F"/>
    <w:rsid w:val="007F589A"/>
    <w:rsid w:val="007F5A41"/>
    <w:rsid w:val="007F5C7E"/>
    <w:rsid w:val="007F5C8A"/>
    <w:rsid w:val="007F5F81"/>
    <w:rsid w:val="007F6ECA"/>
    <w:rsid w:val="00801B24"/>
    <w:rsid w:val="008022FA"/>
    <w:rsid w:val="00802842"/>
    <w:rsid w:val="008029A3"/>
    <w:rsid w:val="00802D88"/>
    <w:rsid w:val="008041E9"/>
    <w:rsid w:val="0080530F"/>
    <w:rsid w:val="00805524"/>
    <w:rsid w:val="00805B8A"/>
    <w:rsid w:val="00805E68"/>
    <w:rsid w:val="00807280"/>
    <w:rsid w:val="00807527"/>
    <w:rsid w:val="008100B3"/>
    <w:rsid w:val="00811559"/>
    <w:rsid w:val="008137E0"/>
    <w:rsid w:val="00814617"/>
    <w:rsid w:val="00814F1A"/>
    <w:rsid w:val="008168BB"/>
    <w:rsid w:val="008171F2"/>
    <w:rsid w:val="008205E0"/>
    <w:rsid w:val="00820C24"/>
    <w:rsid w:val="00821980"/>
    <w:rsid w:val="0082253F"/>
    <w:rsid w:val="00823B5F"/>
    <w:rsid w:val="00824B7E"/>
    <w:rsid w:val="00826848"/>
    <w:rsid w:val="00826A07"/>
    <w:rsid w:val="00826FDC"/>
    <w:rsid w:val="008327F1"/>
    <w:rsid w:val="0083358D"/>
    <w:rsid w:val="00833685"/>
    <w:rsid w:val="008348A7"/>
    <w:rsid w:val="00834DF7"/>
    <w:rsid w:val="00835475"/>
    <w:rsid w:val="008368A0"/>
    <w:rsid w:val="00840AB2"/>
    <w:rsid w:val="008417A5"/>
    <w:rsid w:val="0084229A"/>
    <w:rsid w:val="00842D56"/>
    <w:rsid w:val="00844573"/>
    <w:rsid w:val="00844C56"/>
    <w:rsid w:val="00845C17"/>
    <w:rsid w:val="00846C2C"/>
    <w:rsid w:val="0085129C"/>
    <w:rsid w:val="00852675"/>
    <w:rsid w:val="00852853"/>
    <w:rsid w:val="00853251"/>
    <w:rsid w:val="00854301"/>
    <w:rsid w:val="00854451"/>
    <w:rsid w:val="0085540E"/>
    <w:rsid w:val="008558C2"/>
    <w:rsid w:val="008570AA"/>
    <w:rsid w:val="00860E07"/>
    <w:rsid w:val="008613AD"/>
    <w:rsid w:val="00861BFA"/>
    <w:rsid w:val="0086223C"/>
    <w:rsid w:val="00862AC9"/>
    <w:rsid w:val="00862E2B"/>
    <w:rsid w:val="00863896"/>
    <w:rsid w:val="00865256"/>
    <w:rsid w:val="00865FC0"/>
    <w:rsid w:val="00865FEB"/>
    <w:rsid w:val="0086659F"/>
    <w:rsid w:val="00866B3B"/>
    <w:rsid w:val="008706F9"/>
    <w:rsid w:val="00871BBB"/>
    <w:rsid w:val="00873CDE"/>
    <w:rsid w:val="00874C18"/>
    <w:rsid w:val="00875458"/>
    <w:rsid w:val="00876925"/>
    <w:rsid w:val="00877941"/>
    <w:rsid w:val="0088016F"/>
    <w:rsid w:val="00880359"/>
    <w:rsid w:val="0088062D"/>
    <w:rsid w:val="00880C22"/>
    <w:rsid w:val="00881408"/>
    <w:rsid w:val="0088206F"/>
    <w:rsid w:val="008821CE"/>
    <w:rsid w:val="00882419"/>
    <w:rsid w:val="008828A3"/>
    <w:rsid w:val="00882F88"/>
    <w:rsid w:val="008836B3"/>
    <w:rsid w:val="00883835"/>
    <w:rsid w:val="00884527"/>
    <w:rsid w:val="00885429"/>
    <w:rsid w:val="00886054"/>
    <w:rsid w:val="008862FF"/>
    <w:rsid w:val="00886FAE"/>
    <w:rsid w:val="00887570"/>
    <w:rsid w:val="0088767A"/>
    <w:rsid w:val="00887802"/>
    <w:rsid w:val="00892D2C"/>
    <w:rsid w:val="00893531"/>
    <w:rsid w:val="008952DA"/>
    <w:rsid w:val="00895D20"/>
    <w:rsid w:val="008961A9"/>
    <w:rsid w:val="00897720"/>
    <w:rsid w:val="008978AE"/>
    <w:rsid w:val="008A0865"/>
    <w:rsid w:val="008A1CC1"/>
    <w:rsid w:val="008A1E03"/>
    <w:rsid w:val="008A400C"/>
    <w:rsid w:val="008A4564"/>
    <w:rsid w:val="008A64F6"/>
    <w:rsid w:val="008A664A"/>
    <w:rsid w:val="008A6C2A"/>
    <w:rsid w:val="008A75A2"/>
    <w:rsid w:val="008B064A"/>
    <w:rsid w:val="008B35FF"/>
    <w:rsid w:val="008B3914"/>
    <w:rsid w:val="008B3B34"/>
    <w:rsid w:val="008B4ECD"/>
    <w:rsid w:val="008B685F"/>
    <w:rsid w:val="008B6B6C"/>
    <w:rsid w:val="008B7C50"/>
    <w:rsid w:val="008B7C74"/>
    <w:rsid w:val="008B7E9E"/>
    <w:rsid w:val="008C008E"/>
    <w:rsid w:val="008C2834"/>
    <w:rsid w:val="008C29DE"/>
    <w:rsid w:val="008C2DE1"/>
    <w:rsid w:val="008C3A07"/>
    <w:rsid w:val="008C41AF"/>
    <w:rsid w:val="008C47C2"/>
    <w:rsid w:val="008C59E1"/>
    <w:rsid w:val="008D0C02"/>
    <w:rsid w:val="008D201F"/>
    <w:rsid w:val="008D3FC4"/>
    <w:rsid w:val="008D45DA"/>
    <w:rsid w:val="008D499A"/>
    <w:rsid w:val="008D4A08"/>
    <w:rsid w:val="008D5A64"/>
    <w:rsid w:val="008D63C6"/>
    <w:rsid w:val="008D71E1"/>
    <w:rsid w:val="008E1B2E"/>
    <w:rsid w:val="008E2E02"/>
    <w:rsid w:val="008E3392"/>
    <w:rsid w:val="008E3C1A"/>
    <w:rsid w:val="008E4A5F"/>
    <w:rsid w:val="008E4ED5"/>
    <w:rsid w:val="008E6DFB"/>
    <w:rsid w:val="008F1C57"/>
    <w:rsid w:val="008F587E"/>
    <w:rsid w:val="008F63FC"/>
    <w:rsid w:val="008F6500"/>
    <w:rsid w:val="008F73EE"/>
    <w:rsid w:val="00901406"/>
    <w:rsid w:val="00901880"/>
    <w:rsid w:val="00901F5B"/>
    <w:rsid w:val="0090312E"/>
    <w:rsid w:val="00903231"/>
    <w:rsid w:val="0090323D"/>
    <w:rsid w:val="0090365C"/>
    <w:rsid w:val="009040DE"/>
    <w:rsid w:val="00904101"/>
    <w:rsid w:val="00904FDD"/>
    <w:rsid w:val="00905076"/>
    <w:rsid w:val="009055CB"/>
    <w:rsid w:val="00905EF3"/>
    <w:rsid w:val="009066AD"/>
    <w:rsid w:val="009069C0"/>
    <w:rsid w:val="0090766C"/>
    <w:rsid w:val="009104BE"/>
    <w:rsid w:val="00910FB9"/>
    <w:rsid w:val="0091102F"/>
    <w:rsid w:val="009130C4"/>
    <w:rsid w:val="009138A1"/>
    <w:rsid w:val="00913D07"/>
    <w:rsid w:val="00914055"/>
    <w:rsid w:val="00915C2A"/>
    <w:rsid w:val="00916580"/>
    <w:rsid w:val="0091715D"/>
    <w:rsid w:val="009179EE"/>
    <w:rsid w:val="00917B30"/>
    <w:rsid w:val="00921556"/>
    <w:rsid w:val="0092181D"/>
    <w:rsid w:val="009220E1"/>
    <w:rsid w:val="009226FF"/>
    <w:rsid w:val="00922BF1"/>
    <w:rsid w:val="00922DDF"/>
    <w:rsid w:val="0092412A"/>
    <w:rsid w:val="0092516A"/>
    <w:rsid w:val="009258D3"/>
    <w:rsid w:val="00926E98"/>
    <w:rsid w:val="0093049E"/>
    <w:rsid w:val="00932D24"/>
    <w:rsid w:val="0093449D"/>
    <w:rsid w:val="0093744F"/>
    <w:rsid w:val="009438E2"/>
    <w:rsid w:val="00943F2F"/>
    <w:rsid w:val="009440E8"/>
    <w:rsid w:val="0094476B"/>
    <w:rsid w:val="00944F45"/>
    <w:rsid w:val="00945FCD"/>
    <w:rsid w:val="009471C8"/>
    <w:rsid w:val="009473E1"/>
    <w:rsid w:val="00950768"/>
    <w:rsid w:val="00951E05"/>
    <w:rsid w:val="009523BC"/>
    <w:rsid w:val="0095283A"/>
    <w:rsid w:val="009530CA"/>
    <w:rsid w:val="00953295"/>
    <w:rsid w:val="009533D4"/>
    <w:rsid w:val="009536C0"/>
    <w:rsid w:val="00955A0A"/>
    <w:rsid w:val="00956792"/>
    <w:rsid w:val="009575AE"/>
    <w:rsid w:val="0096037C"/>
    <w:rsid w:val="009605C3"/>
    <w:rsid w:val="00960AEF"/>
    <w:rsid w:val="0096307D"/>
    <w:rsid w:val="009637D6"/>
    <w:rsid w:val="00964404"/>
    <w:rsid w:val="009663CE"/>
    <w:rsid w:val="00966666"/>
    <w:rsid w:val="00966A87"/>
    <w:rsid w:val="00967B29"/>
    <w:rsid w:val="00967EB5"/>
    <w:rsid w:val="0097053B"/>
    <w:rsid w:val="0097068B"/>
    <w:rsid w:val="009716E8"/>
    <w:rsid w:val="00974D37"/>
    <w:rsid w:val="00974E44"/>
    <w:rsid w:val="009764A4"/>
    <w:rsid w:val="009771AA"/>
    <w:rsid w:val="0098151F"/>
    <w:rsid w:val="009822D7"/>
    <w:rsid w:val="009822F0"/>
    <w:rsid w:val="00983A67"/>
    <w:rsid w:val="00983E55"/>
    <w:rsid w:val="009849AE"/>
    <w:rsid w:val="009864CF"/>
    <w:rsid w:val="009868D4"/>
    <w:rsid w:val="009868D6"/>
    <w:rsid w:val="0099031D"/>
    <w:rsid w:val="00991EB4"/>
    <w:rsid w:val="009928A8"/>
    <w:rsid w:val="00992BAF"/>
    <w:rsid w:val="00992F43"/>
    <w:rsid w:val="00993871"/>
    <w:rsid w:val="00994C2B"/>
    <w:rsid w:val="00994DAF"/>
    <w:rsid w:val="00996896"/>
    <w:rsid w:val="00996B4D"/>
    <w:rsid w:val="00996D0D"/>
    <w:rsid w:val="009A0AA3"/>
    <w:rsid w:val="009A0B89"/>
    <w:rsid w:val="009A0EAF"/>
    <w:rsid w:val="009A2CBF"/>
    <w:rsid w:val="009A30BF"/>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D71"/>
    <w:rsid w:val="009B56E8"/>
    <w:rsid w:val="009B5BE2"/>
    <w:rsid w:val="009B5E4C"/>
    <w:rsid w:val="009C120F"/>
    <w:rsid w:val="009C2805"/>
    <w:rsid w:val="009C29F4"/>
    <w:rsid w:val="009C2F1E"/>
    <w:rsid w:val="009C39BD"/>
    <w:rsid w:val="009C7F22"/>
    <w:rsid w:val="009D09B9"/>
    <w:rsid w:val="009D7095"/>
    <w:rsid w:val="009E04AF"/>
    <w:rsid w:val="009E4A6F"/>
    <w:rsid w:val="009E5BB5"/>
    <w:rsid w:val="009E6986"/>
    <w:rsid w:val="009E69CC"/>
    <w:rsid w:val="009F091E"/>
    <w:rsid w:val="009F09DD"/>
    <w:rsid w:val="009F3545"/>
    <w:rsid w:val="009F3C62"/>
    <w:rsid w:val="009F51BF"/>
    <w:rsid w:val="009F6612"/>
    <w:rsid w:val="009F7FB0"/>
    <w:rsid w:val="00A00317"/>
    <w:rsid w:val="00A00FE5"/>
    <w:rsid w:val="00A025C8"/>
    <w:rsid w:val="00A0440E"/>
    <w:rsid w:val="00A055A2"/>
    <w:rsid w:val="00A05BDC"/>
    <w:rsid w:val="00A068BD"/>
    <w:rsid w:val="00A06C64"/>
    <w:rsid w:val="00A079C5"/>
    <w:rsid w:val="00A10993"/>
    <w:rsid w:val="00A10DF5"/>
    <w:rsid w:val="00A118FA"/>
    <w:rsid w:val="00A1200A"/>
    <w:rsid w:val="00A1238E"/>
    <w:rsid w:val="00A147BA"/>
    <w:rsid w:val="00A14F25"/>
    <w:rsid w:val="00A150CD"/>
    <w:rsid w:val="00A16DE5"/>
    <w:rsid w:val="00A20365"/>
    <w:rsid w:val="00A2099A"/>
    <w:rsid w:val="00A20DB6"/>
    <w:rsid w:val="00A21A8D"/>
    <w:rsid w:val="00A21F26"/>
    <w:rsid w:val="00A23123"/>
    <w:rsid w:val="00A23E5C"/>
    <w:rsid w:val="00A251BE"/>
    <w:rsid w:val="00A27620"/>
    <w:rsid w:val="00A308A5"/>
    <w:rsid w:val="00A30C20"/>
    <w:rsid w:val="00A31C0C"/>
    <w:rsid w:val="00A32970"/>
    <w:rsid w:val="00A33BF9"/>
    <w:rsid w:val="00A340D8"/>
    <w:rsid w:val="00A34C04"/>
    <w:rsid w:val="00A356BB"/>
    <w:rsid w:val="00A35822"/>
    <w:rsid w:val="00A364E0"/>
    <w:rsid w:val="00A3740A"/>
    <w:rsid w:val="00A40786"/>
    <w:rsid w:val="00A410EA"/>
    <w:rsid w:val="00A4267E"/>
    <w:rsid w:val="00A42F8F"/>
    <w:rsid w:val="00A43F6D"/>
    <w:rsid w:val="00A44AA1"/>
    <w:rsid w:val="00A458FE"/>
    <w:rsid w:val="00A45D07"/>
    <w:rsid w:val="00A47B85"/>
    <w:rsid w:val="00A513BE"/>
    <w:rsid w:val="00A51B00"/>
    <w:rsid w:val="00A53A4C"/>
    <w:rsid w:val="00A53AA9"/>
    <w:rsid w:val="00A543D4"/>
    <w:rsid w:val="00A54A3E"/>
    <w:rsid w:val="00A54ADC"/>
    <w:rsid w:val="00A572BD"/>
    <w:rsid w:val="00A57B0B"/>
    <w:rsid w:val="00A60510"/>
    <w:rsid w:val="00A611BB"/>
    <w:rsid w:val="00A621FA"/>
    <w:rsid w:val="00A64028"/>
    <w:rsid w:val="00A64425"/>
    <w:rsid w:val="00A668FB"/>
    <w:rsid w:val="00A6702B"/>
    <w:rsid w:val="00A71189"/>
    <w:rsid w:val="00A71D10"/>
    <w:rsid w:val="00A71D21"/>
    <w:rsid w:val="00A7220C"/>
    <w:rsid w:val="00A738B3"/>
    <w:rsid w:val="00A73A8A"/>
    <w:rsid w:val="00A74F07"/>
    <w:rsid w:val="00A76084"/>
    <w:rsid w:val="00A806A9"/>
    <w:rsid w:val="00A807C8"/>
    <w:rsid w:val="00A80A87"/>
    <w:rsid w:val="00A812A3"/>
    <w:rsid w:val="00A81C21"/>
    <w:rsid w:val="00A83F45"/>
    <w:rsid w:val="00A8400E"/>
    <w:rsid w:val="00A867DB"/>
    <w:rsid w:val="00A869D6"/>
    <w:rsid w:val="00A86ECE"/>
    <w:rsid w:val="00A90B18"/>
    <w:rsid w:val="00A92883"/>
    <w:rsid w:val="00A92E92"/>
    <w:rsid w:val="00A93090"/>
    <w:rsid w:val="00A933B4"/>
    <w:rsid w:val="00A95AC6"/>
    <w:rsid w:val="00A95E01"/>
    <w:rsid w:val="00A96972"/>
    <w:rsid w:val="00A9710F"/>
    <w:rsid w:val="00A97688"/>
    <w:rsid w:val="00A979CB"/>
    <w:rsid w:val="00AA4277"/>
    <w:rsid w:val="00AA4545"/>
    <w:rsid w:val="00AA6414"/>
    <w:rsid w:val="00AA7D4A"/>
    <w:rsid w:val="00AB03B3"/>
    <w:rsid w:val="00AB05A0"/>
    <w:rsid w:val="00AB0DD6"/>
    <w:rsid w:val="00AB126F"/>
    <w:rsid w:val="00AB1312"/>
    <w:rsid w:val="00AB179F"/>
    <w:rsid w:val="00AB210D"/>
    <w:rsid w:val="00AB263A"/>
    <w:rsid w:val="00AB4213"/>
    <w:rsid w:val="00AB4CFA"/>
    <w:rsid w:val="00AB5225"/>
    <w:rsid w:val="00AB621A"/>
    <w:rsid w:val="00AB65F6"/>
    <w:rsid w:val="00AB704D"/>
    <w:rsid w:val="00AB70A5"/>
    <w:rsid w:val="00AB77B3"/>
    <w:rsid w:val="00AB7A04"/>
    <w:rsid w:val="00AC14AF"/>
    <w:rsid w:val="00AC25B2"/>
    <w:rsid w:val="00AC3ED9"/>
    <w:rsid w:val="00AC47B6"/>
    <w:rsid w:val="00AC558B"/>
    <w:rsid w:val="00AC5FEB"/>
    <w:rsid w:val="00AC7AA9"/>
    <w:rsid w:val="00AC7D32"/>
    <w:rsid w:val="00AD0017"/>
    <w:rsid w:val="00AD0343"/>
    <w:rsid w:val="00AD0B8C"/>
    <w:rsid w:val="00AD3712"/>
    <w:rsid w:val="00AD3D71"/>
    <w:rsid w:val="00AD3EA2"/>
    <w:rsid w:val="00AD4070"/>
    <w:rsid w:val="00AD44DC"/>
    <w:rsid w:val="00AD4609"/>
    <w:rsid w:val="00AD484B"/>
    <w:rsid w:val="00AD572C"/>
    <w:rsid w:val="00AD5A5C"/>
    <w:rsid w:val="00AE0EF8"/>
    <w:rsid w:val="00AE3218"/>
    <w:rsid w:val="00AE32D9"/>
    <w:rsid w:val="00AE3B1F"/>
    <w:rsid w:val="00AE43C4"/>
    <w:rsid w:val="00AE4454"/>
    <w:rsid w:val="00AE4958"/>
    <w:rsid w:val="00AE4D65"/>
    <w:rsid w:val="00AE52B3"/>
    <w:rsid w:val="00AE57B4"/>
    <w:rsid w:val="00AE58AB"/>
    <w:rsid w:val="00AE7DF5"/>
    <w:rsid w:val="00AF0141"/>
    <w:rsid w:val="00AF18B3"/>
    <w:rsid w:val="00AF3BA9"/>
    <w:rsid w:val="00AF4CCA"/>
    <w:rsid w:val="00AF7B5E"/>
    <w:rsid w:val="00B00935"/>
    <w:rsid w:val="00B00CF6"/>
    <w:rsid w:val="00B012BD"/>
    <w:rsid w:val="00B014E7"/>
    <w:rsid w:val="00B02A7E"/>
    <w:rsid w:val="00B02D50"/>
    <w:rsid w:val="00B036E5"/>
    <w:rsid w:val="00B04970"/>
    <w:rsid w:val="00B06424"/>
    <w:rsid w:val="00B07DD4"/>
    <w:rsid w:val="00B10B2A"/>
    <w:rsid w:val="00B115CA"/>
    <w:rsid w:val="00B122B7"/>
    <w:rsid w:val="00B137EA"/>
    <w:rsid w:val="00B13FED"/>
    <w:rsid w:val="00B14152"/>
    <w:rsid w:val="00B14513"/>
    <w:rsid w:val="00B147C9"/>
    <w:rsid w:val="00B15ACB"/>
    <w:rsid w:val="00B1686A"/>
    <w:rsid w:val="00B20FEC"/>
    <w:rsid w:val="00B216C6"/>
    <w:rsid w:val="00B218D2"/>
    <w:rsid w:val="00B21BCE"/>
    <w:rsid w:val="00B221AB"/>
    <w:rsid w:val="00B2223A"/>
    <w:rsid w:val="00B22735"/>
    <w:rsid w:val="00B22ABA"/>
    <w:rsid w:val="00B233A7"/>
    <w:rsid w:val="00B242AF"/>
    <w:rsid w:val="00B24A89"/>
    <w:rsid w:val="00B24DFF"/>
    <w:rsid w:val="00B2614F"/>
    <w:rsid w:val="00B26607"/>
    <w:rsid w:val="00B277C0"/>
    <w:rsid w:val="00B30004"/>
    <w:rsid w:val="00B302AC"/>
    <w:rsid w:val="00B318AA"/>
    <w:rsid w:val="00B31CB9"/>
    <w:rsid w:val="00B33C46"/>
    <w:rsid w:val="00B34C7C"/>
    <w:rsid w:val="00B37CD6"/>
    <w:rsid w:val="00B416F4"/>
    <w:rsid w:val="00B41991"/>
    <w:rsid w:val="00B41AC3"/>
    <w:rsid w:val="00B420B0"/>
    <w:rsid w:val="00B42258"/>
    <w:rsid w:val="00B42450"/>
    <w:rsid w:val="00B44107"/>
    <w:rsid w:val="00B45413"/>
    <w:rsid w:val="00B45891"/>
    <w:rsid w:val="00B45D9B"/>
    <w:rsid w:val="00B46449"/>
    <w:rsid w:val="00B47A89"/>
    <w:rsid w:val="00B47F99"/>
    <w:rsid w:val="00B50B02"/>
    <w:rsid w:val="00B51CB4"/>
    <w:rsid w:val="00B52945"/>
    <w:rsid w:val="00B52B57"/>
    <w:rsid w:val="00B53174"/>
    <w:rsid w:val="00B53341"/>
    <w:rsid w:val="00B533D2"/>
    <w:rsid w:val="00B53710"/>
    <w:rsid w:val="00B53D89"/>
    <w:rsid w:val="00B55DDB"/>
    <w:rsid w:val="00B56CDE"/>
    <w:rsid w:val="00B5734F"/>
    <w:rsid w:val="00B575F0"/>
    <w:rsid w:val="00B578B5"/>
    <w:rsid w:val="00B6048A"/>
    <w:rsid w:val="00B61262"/>
    <w:rsid w:val="00B612F1"/>
    <w:rsid w:val="00B618A0"/>
    <w:rsid w:val="00B629EE"/>
    <w:rsid w:val="00B6426D"/>
    <w:rsid w:val="00B650CF"/>
    <w:rsid w:val="00B661D4"/>
    <w:rsid w:val="00B667F6"/>
    <w:rsid w:val="00B70D74"/>
    <w:rsid w:val="00B71032"/>
    <w:rsid w:val="00B716F8"/>
    <w:rsid w:val="00B71E34"/>
    <w:rsid w:val="00B7326F"/>
    <w:rsid w:val="00B7446F"/>
    <w:rsid w:val="00B762A9"/>
    <w:rsid w:val="00B76AA9"/>
    <w:rsid w:val="00B77BB6"/>
    <w:rsid w:val="00B80917"/>
    <w:rsid w:val="00B81B3B"/>
    <w:rsid w:val="00B8333A"/>
    <w:rsid w:val="00B83372"/>
    <w:rsid w:val="00B83403"/>
    <w:rsid w:val="00B8443F"/>
    <w:rsid w:val="00B86BB8"/>
    <w:rsid w:val="00B87EE4"/>
    <w:rsid w:val="00B91352"/>
    <w:rsid w:val="00B917E2"/>
    <w:rsid w:val="00B924B7"/>
    <w:rsid w:val="00B924B9"/>
    <w:rsid w:val="00B92BEC"/>
    <w:rsid w:val="00B93D7E"/>
    <w:rsid w:val="00B948B3"/>
    <w:rsid w:val="00B948D6"/>
    <w:rsid w:val="00B95659"/>
    <w:rsid w:val="00B95BF4"/>
    <w:rsid w:val="00B962C7"/>
    <w:rsid w:val="00B96B7A"/>
    <w:rsid w:val="00B9759F"/>
    <w:rsid w:val="00BA1CF8"/>
    <w:rsid w:val="00BA27AD"/>
    <w:rsid w:val="00BA2A64"/>
    <w:rsid w:val="00BA3DEF"/>
    <w:rsid w:val="00BA499C"/>
    <w:rsid w:val="00BA5A6A"/>
    <w:rsid w:val="00BB014D"/>
    <w:rsid w:val="00BB1830"/>
    <w:rsid w:val="00BB220F"/>
    <w:rsid w:val="00BB4A09"/>
    <w:rsid w:val="00BB5B51"/>
    <w:rsid w:val="00BB6035"/>
    <w:rsid w:val="00BB7E13"/>
    <w:rsid w:val="00BC06E2"/>
    <w:rsid w:val="00BC0FDA"/>
    <w:rsid w:val="00BC1A1F"/>
    <w:rsid w:val="00BC23A2"/>
    <w:rsid w:val="00BC2B7C"/>
    <w:rsid w:val="00BC3538"/>
    <w:rsid w:val="00BC3C3D"/>
    <w:rsid w:val="00BC43EA"/>
    <w:rsid w:val="00BC4CC0"/>
    <w:rsid w:val="00BC509C"/>
    <w:rsid w:val="00BC51EA"/>
    <w:rsid w:val="00BC5F46"/>
    <w:rsid w:val="00BC60F6"/>
    <w:rsid w:val="00BC61E8"/>
    <w:rsid w:val="00BC62F1"/>
    <w:rsid w:val="00BC6F2C"/>
    <w:rsid w:val="00BD313F"/>
    <w:rsid w:val="00BD3615"/>
    <w:rsid w:val="00BD50AB"/>
    <w:rsid w:val="00BD50B7"/>
    <w:rsid w:val="00BD53DE"/>
    <w:rsid w:val="00BD5BEE"/>
    <w:rsid w:val="00BD5E1D"/>
    <w:rsid w:val="00BE0B80"/>
    <w:rsid w:val="00BE0C22"/>
    <w:rsid w:val="00BE2565"/>
    <w:rsid w:val="00BE2979"/>
    <w:rsid w:val="00BE2FF1"/>
    <w:rsid w:val="00BE3417"/>
    <w:rsid w:val="00BE37D6"/>
    <w:rsid w:val="00BE3967"/>
    <w:rsid w:val="00BE399F"/>
    <w:rsid w:val="00BE4053"/>
    <w:rsid w:val="00BE45B4"/>
    <w:rsid w:val="00BE4EF1"/>
    <w:rsid w:val="00BE623D"/>
    <w:rsid w:val="00BE66FC"/>
    <w:rsid w:val="00BE7139"/>
    <w:rsid w:val="00BE7826"/>
    <w:rsid w:val="00BF0581"/>
    <w:rsid w:val="00BF0D44"/>
    <w:rsid w:val="00BF19DA"/>
    <w:rsid w:val="00BF2D69"/>
    <w:rsid w:val="00BF39FE"/>
    <w:rsid w:val="00BF3DF7"/>
    <w:rsid w:val="00BF4C07"/>
    <w:rsid w:val="00BF56F8"/>
    <w:rsid w:val="00BF59BE"/>
    <w:rsid w:val="00BF6097"/>
    <w:rsid w:val="00BF7233"/>
    <w:rsid w:val="00BF79D5"/>
    <w:rsid w:val="00C00EE7"/>
    <w:rsid w:val="00C02620"/>
    <w:rsid w:val="00C02977"/>
    <w:rsid w:val="00C02F22"/>
    <w:rsid w:val="00C0330A"/>
    <w:rsid w:val="00C0528C"/>
    <w:rsid w:val="00C11D0C"/>
    <w:rsid w:val="00C12F2F"/>
    <w:rsid w:val="00C15AA1"/>
    <w:rsid w:val="00C17281"/>
    <w:rsid w:val="00C208F9"/>
    <w:rsid w:val="00C20B7F"/>
    <w:rsid w:val="00C23CC1"/>
    <w:rsid w:val="00C23D8A"/>
    <w:rsid w:val="00C23E80"/>
    <w:rsid w:val="00C2463D"/>
    <w:rsid w:val="00C251FE"/>
    <w:rsid w:val="00C26DAF"/>
    <w:rsid w:val="00C2755A"/>
    <w:rsid w:val="00C278BE"/>
    <w:rsid w:val="00C27DF7"/>
    <w:rsid w:val="00C3055B"/>
    <w:rsid w:val="00C3149C"/>
    <w:rsid w:val="00C315B1"/>
    <w:rsid w:val="00C31F46"/>
    <w:rsid w:val="00C3210C"/>
    <w:rsid w:val="00C3302E"/>
    <w:rsid w:val="00C33EC6"/>
    <w:rsid w:val="00C34C8F"/>
    <w:rsid w:val="00C35288"/>
    <w:rsid w:val="00C40DA5"/>
    <w:rsid w:val="00C40E1A"/>
    <w:rsid w:val="00C4109D"/>
    <w:rsid w:val="00C4500C"/>
    <w:rsid w:val="00C46266"/>
    <w:rsid w:val="00C469CD"/>
    <w:rsid w:val="00C475AC"/>
    <w:rsid w:val="00C50C76"/>
    <w:rsid w:val="00C5245A"/>
    <w:rsid w:val="00C53170"/>
    <w:rsid w:val="00C536AF"/>
    <w:rsid w:val="00C54135"/>
    <w:rsid w:val="00C54290"/>
    <w:rsid w:val="00C54739"/>
    <w:rsid w:val="00C54C6E"/>
    <w:rsid w:val="00C55250"/>
    <w:rsid w:val="00C55584"/>
    <w:rsid w:val="00C558F0"/>
    <w:rsid w:val="00C56DAC"/>
    <w:rsid w:val="00C578FA"/>
    <w:rsid w:val="00C6021F"/>
    <w:rsid w:val="00C603FA"/>
    <w:rsid w:val="00C613C2"/>
    <w:rsid w:val="00C61777"/>
    <w:rsid w:val="00C62CE9"/>
    <w:rsid w:val="00C62FE6"/>
    <w:rsid w:val="00C63C78"/>
    <w:rsid w:val="00C63CB0"/>
    <w:rsid w:val="00C65169"/>
    <w:rsid w:val="00C659FC"/>
    <w:rsid w:val="00C66D00"/>
    <w:rsid w:val="00C67517"/>
    <w:rsid w:val="00C67AF0"/>
    <w:rsid w:val="00C67B05"/>
    <w:rsid w:val="00C704F9"/>
    <w:rsid w:val="00C71E43"/>
    <w:rsid w:val="00C72881"/>
    <w:rsid w:val="00C73AB3"/>
    <w:rsid w:val="00C75910"/>
    <w:rsid w:val="00C7696B"/>
    <w:rsid w:val="00C76B08"/>
    <w:rsid w:val="00C7722E"/>
    <w:rsid w:val="00C77DF9"/>
    <w:rsid w:val="00C80904"/>
    <w:rsid w:val="00C814BA"/>
    <w:rsid w:val="00C81682"/>
    <w:rsid w:val="00C82C03"/>
    <w:rsid w:val="00C849DC"/>
    <w:rsid w:val="00C84BEE"/>
    <w:rsid w:val="00C84D38"/>
    <w:rsid w:val="00C85093"/>
    <w:rsid w:val="00C867C3"/>
    <w:rsid w:val="00C903D2"/>
    <w:rsid w:val="00C93B6F"/>
    <w:rsid w:val="00C94A69"/>
    <w:rsid w:val="00C9576D"/>
    <w:rsid w:val="00C957B6"/>
    <w:rsid w:val="00C97459"/>
    <w:rsid w:val="00CA0823"/>
    <w:rsid w:val="00CA08A7"/>
    <w:rsid w:val="00CA467A"/>
    <w:rsid w:val="00CA46D9"/>
    <w:rsid w:val="00CA473C"/>
    <w:rsid w:val="00CA5196"/>
    <w:rsid w:val="00CA5C85"/>
    <w:rsid w:val="00CA6433"/>
    <w:rsid w:val="00CA6F49"/>
    <w:rsid w:val="00CA752A"/>
    <w:rsid w:val="00CB003D"/>
    <w:rsid w:val="00CB066D"/>
    <w:rsid w:val="00CB0E79"/>
    <w:rsid w:val="00CB110F"/>
    <w:rsid w:val="00CB2335"/>
    <w:rsid w:val="00CB28D1"/>
    <w:rsid w:val="00CB2C90"/>
    <w:rsid w:val="00CB3788"/>
    <w:rsid w:val="00CB4902"/>
    <w:rsid w:val="00CB566F"/>
    <w:rsid w:val="00CB58B3"/>
    <w:rsid w:val="00CB5F03"/>
    <w:rsid w:val="00CB65B0"/>
    <w:rsid w:val="00CB67F0"/>
    <w:rsid w:val="00CB68B5"/>
    <w:rsid w:val="00CB6C72"/>
    <w:rsid w:val="00CC25F6"/>
    <w:rsid w:val="00CC26CB"/>
    <w:rsid w:val="00CC385C"/>
    <w:rsid w:val="00CC44EE"/>
    <w:rsid w:val="00CC479D"/>
    <w:rsid w:val="00CC4990"/>
    <w:rsid w:val="00CC54FD"/>
    <w:rsid w:val="00CC60E8"/>
    <w:rsid w:val="00CC627D"/>
    <w:rsid w:val="00CC6BB5"/>
    <w:rsid w:val="00CC6CF9"/>
    <w:rsid w:val="00CC72C5"/>
    <w:rsid w:val="00CC78C4"/>
    <w:rsid w:val="00CD1183"/>
    <w:rsid w:val="00CD13E8"/>
    <w:rsid w:val="00CD1B21"/>
    <w:rsid w:val="00CD2906"/>
    <w:rsid w:val="00CD2E8F"/>
    <w:rsid w:val="00CD4432"/>
    <w:rsid w:val="00CD761E"/>
    <w:rsid w:val="00CD77FE"/>
    <w:rsid w:val="00CE5D57"/>
    <w:rsid w:val="00CF2EFB"/>
    <w:rsid w:val="00CF42C0"/>
    <w:rsid w:val="00CF50E5"/>
    <w:rsid w:val="00CF5178"/>
    <w:rsid w:val="00CF565F"/>
    <w:rsid w:val="00CF5F28"/>
    <w:rsid w:val="00CF6927"/>
    <w:rsid w:val="00D045AB"/>
    <w:rsid w:val="00D045D2"/>
    <w:rsid w:val="00D05DA4"/>
    <w:rsid w:val="00D05E78"/>
    <w:rsid w:val="00D102D4"/>
    <w:rsid w:val="00D1130C"/>
    <w:rsid w:val="00D11C1D"/>
    <w:rsid w:val="00D12384"/>
    <w:rsid w:val="00D13355"/>
    <w:rsid w:val="00D149C8"/>
    <w:rsid w:val="00D14AE5"/>
    <w:rsid w:val="00D153C1"/>
    <w:rsid w:val="00D1657F"/>
    <w:rsid w:val="00D17CB4"/>
    <w:rsid w:val="00D202CE"/>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D30"/>
    <w:rsid w:val="00D305EC"/>
    <w:rsid w:val="00D30D81"/>
    <w:rsid w:val="00D30FDA"/>
    <w:rsid w:val="00D32A90"/>
    <w:rsid w:val="00D334FE"/>
    <w:rsid w:val="00D3360B"/>
    <w:rsid w:val="00D3479D"/>
    <w:rsid w:val="00D34B16"/>
    <w:rsid w:val="00D358A0"/>
    <w:rsid w:val="00D35B85"/>
    <w:rsid w:val="00D408EA"/>
    <w:rsid w:val="00D41BBB"/>
    <w:rsid w:val="00D421F0"/>
    <w:rsid w:val="00D4671F"/>
    <w:rsid w:val="00D468AC"/>
    <w:rsid w:val="00D500D6"/>
    <w:rsid w:val="00D506A7"/>
    <w:rsid w:val="00D5329B"/>
    <w:rsid w:val="00D539C8"/>
    <w:rsid w:val="00D53E60"/>
    <w:rsid w:val="00D56DE3"/>
    <w:rsid w:val="00D570BC"/>
    <w:rsid w:val="00D573EA"/>
    <w:rsid w:val="00D579A6"/>
    <w:rsid w:val="00D60D2B"/>
    <w:rsid w:val="00D61D9E"/>
    <w:rsid w:val="00D6300D"/>
    <w:rsid w:val="00D631D2"/>
    <w:rsid w:val="00D65906"/>
    <w:rsid w:val="00D66DC1"/>
    <w:rsid w:val="00D66EF0"/>
    <w:rsid w:val="00D66F25"/>
    <w:rsid w:val="00D66FC5"/>
    <w:rsid w:val="00D679C2"/>
    <w:rsid w:val="00D71A46"/>
    <w:rsid w:val="00D720BD"/>
    <w:rsid w:val="00D720F1"/>
    <w:rsid w:val="00D7252F"/>
    <w:rsid w:val="00D76F19"/>
    <w:rsid w:val="00D774C7"/>
    <w:rsid w:val="00D77EFF"/>
    <w:rsid w:val="00D8088C"/>
    <w:rsid w:val="00D8167D"/>
    <w:rsid w:val="00D81873"/>
    <w:rsid w:val="00D81B81"/>
    <w:rsid w:val="00D82C72"/>
    <w:rsid w:val="00D83A2E"/>
    <w:rsid w:val="00D8453D"/>
    <w:rsid w:val="00D84D5F"/>
    <w:rsid w:val="00D84FCC"/>
    <w:rsid w:val="00D854A2"/>
    <w:rsid w:val="00D8557B"/>
    <w:rsid w:val="00D85BA2"/>
    <w:rsid w:val="00D85DC3"/>
    <w:rsid w:val="00D86957"/>
    <w:rsid w:val="00D86A93"/>
    <w:rsid w:val="00D86AD5"/>
    <w:rsid w:val="00D86C5D"/>
    <w:rsid w:val="00D90A72"/>
    <w:rsid w:val="00D90D40"/>
    <w:rsid w:val="00D91111"/>
    <w:rsid w:val="00D917C7"/>
    <w:rsid w:val="00D91CA2"/>
    <w:rsid w:val="00D92719"/>
    <w:rsid w:val="00D92844"/>
    <w:rsid w:val="00D92CB8"/>
    <w:rsid w:val="00D92D7A"/>
    <w:rsid w:val="00D94248"/>
    <w:rsid w:val="00D95300"/>
    <w:rsid w:val="00D95C9B"/>
    <w:rsid w:val="00D95D9F"/>
    <w:rsid w:val="00D962ED"/>
    <w:rsid w:val="00D96631"/>
    <w:rsid w:val="00D96B28"/>
    <w:rsid w:val="00D96D87"/>
    <w:rsid w:val="00DA00FE"/>
    <w:rsid w:val="00DA0D97"/>
    <w:rsid w:val="00DA10B6"/>
    <w:rsid w:val="00DA12F4"/>
    <w:rsid w:val="00DA2B04"/>
    <w:rsid w:val="00DA2F07"/>
    <w:rsid w:val="00DA5C37"/>
    <w:rsid w:val="00DA5DB6"/>
    <w:rsid w:val="00DA5DC0"/>
    <w:rsid w:val="00DA62C1"/>
    <w:rsid w:val="00DA7691"/>
    <w:rsid w:val="00DB0054"/>
    <w:rsid w:val="00DB0859"/>
    <w:rsid w:val="00DB1B4E"/>
    <w:rsid w:val="00DB1D0E"/>
    <w:rsid w:val="00DB2595"/>
    <w:rsid w:val="00DB5BD6"/>
    <w:rsid w:val="00DB5D16"/>
    <w:rsid w:val="00DB65C0"/>
    <w:rsid w:val="00DB74B1"/>
    <w:rsid w:val="00DC144A"/>
    <w:rsid w:val="00DC181C"/>
    <w:rsid w:val="00DC2440"/>
    <w:rsid w:val="00DC2A42"/>
    <w:rsid w:val="00DC30F3"/>
    <w:rsid w:val="00DC40C3"/>
    <w:rsid w:val="00DC4278"/>
    <w:rsid w:val="00DC4A83"/>
    <w:rsid w:val="00DC6C22"/>
    <w:rsid w:val="00DD1F39"/>
    <w:rsid w:val="00DD2D6E"/>
    <w:rsid w:val="00DD31B5"/>
    <w:rsid w:val="00DD33A0"/>
    <w:rsid w:val="00DD3AC2"/>
    <w:rsid w:val="00DD3C69"/>
    <w:rsid w:val="00DD5C09"/>
    <w:rsid w:val="00DD7653"/>
    <w:rsid w:val="00DD790D"/>
    <w:rsid w:val="00DE0A40"/>
    <w:rsid w:val="00DE1653"/>
    <w:rsid w:val="00DE2D8D"/>
    <w:rsid w:val="00DE2F55"/>
    <w:rsid w:val="00DE5D01"/>
    <w:rsid w:val="00DE6364"/>
    <w:rsid w:val="00DE6929"/>
    <w:rsid w:val="00DE7D7D"/>
    <w:rsid w:val="00DF0E04"/>
    <w:rsid w:val="00DF210C"/>
    <w:rsid w:val="00DF4387"/>
    <w:rsid w:val="00DF4EB5"/>
    <w:rsid w:val="00DF53AF"/>
    <w:rsid w:val="00DF5957"/>
    <w:rsid w:val="00DF655F"/>
    <w:rsid w:val="00DF759D"/>
    <w:rsid w:val="00DF7BAE"/>
    <w:rsid w:val="00E01802"/>
    <w:rsid w:val="00E04F3F"/>
    <w:rsid w:val="00E04FA0"/>
    <w:rsid w:val="00E0546F"/>
    <w:rsid w:val="00E05BA4"/>
    <w:rsid w:val="00E05EE8"/>
    <w:rsid w:val="00E06DA8"/>
    <w:rsid w:val="00E079C3"/>
    <w:rsid w:val="00E07EB2"/>
    <w:rsid w:val="00E10BC8"/>
    <w:rsid w:val="00E12D3B"/>
    <w:rsid w:val="00E13BD4"/>
    <w:rsid w:val="00E13EE0"/>
    <w:rsid w:val="00E15A39"/>
    <w:rsid w:val="00E15DAA"/>
    <w:rsid w:val="00E17FC4"/>
    <w:rsid w:val="00E22C20"/>
    <w:rsid w:val="00E23661"/>
    <w:rsid w:val="00E23E08"/>
    <w:rsid w:val="00E23EBF"/>
    <w:rsid w:val="00E24459"/>
    <w:rsid w:val="00E246D4"/>
    <w:rsid w:val="00E25F5E"/>
    <w:rsid w:val="00E2648E"/>
    <w:rsid w:val="00E26F87"/>
    <w:rsid w:val="00E3015C"/>
    <w:rsid w:val="00E3127B"/>
    <w:rsid w:val="00E32B75"/>
    <w:rsid w:val="00E33154"/>
    <w:rsid w:val="00E33BEE"/>
    <w:rsid w:val="00E34719"/>
    <w:rsid w:val="00E34AC2"/>
    <w:rsid w:val="00E372AE"/>
    <w:rsid w:val="00E372F7"/>
    <w:rsid w:val="00E37331"/>
    <w:rsid w:val="00E40217"/>
    <w:rsid w:val="00E40A2D"/>
    <w:rsid w:val="00E42AE6"/>
    <w:rsid w:val="00E43872"/>
    <w:rsid w:val="00E446D2"/>
    <w:rsid w:val="00E44AE9"/>
    <w:rsid w:val="00E451F3"/>
    <w:rsid w:val="00E473F1"/>
    <w:rsid w:val="00E50005"/>
    <w:rsid w:val="00E5009F"/>
    <w:rsid w:val="00E50972"/>
    <w:rsid w:val="00E50DFE"/>
    <w:rsid w:val="00E52193"/>
    <w:rsid w:val="00E528E8"/>
    <w:rsid w:val="00E54D53"/>
    <w:rsid w:val="00E554E8"/>
    <w:rsid w:val="00E57523"/>
    <w:rsid w:val="00E61894"/>
    <w:rsid w:val="00E62214"/>
    <w:rsid w:val="00E6245C"/>
    <w:rsid w:val="00E62C34"/>
    <w:rsid w:val="00E62D90"/>
    <w:rsid w:val="00E63140"/>
    <w:rsid w:val="00E633DC"/>
    <w:rsid w:val="00E64BA0"/>
    <w:rsid w:val="00E655E2"/>
    <w:rsid w:val="00E65BB3"/>
    <w:rsid w:val="00E65CD8"/>
    <w:rsid w:val="00E66603"/>
    <w:rsid w:val="00E711EA"/>
    <w:rsid w:val="00E715D0"/>
    <w:rsid w:val="00E735A9"/>
    <w:rsid w:val="00E735FE"/>
    <w:rsid w:val="00E73ACF"/>
    <w:rsid w:val="00E74ECC"/>
    <w:rsid w:val="00E776F0"/>
    <w:rsid w:val="00E80640"/>
    <w:rsid w:val="00E8157E"/>
    <w:rsid w:val="00E815FC"/>
    <w:rsid w:val="00E81736"/>
    <w:rsid w:val="00E81EC0"/>
    <w:rsid w:val="00E81ED7"/>
    <w:rsid w:val="00E82586"/>
    <w:rsid w:val="00E826C4"/>
    <w:rsid w:val="00E82F1F"/>
    <w:rsid w:val="00E83A20"/>
    <w:rsid w:val="00E83BFD"/>
    <w:rsid w:val="00E84C24"/>
    <w:rsid w:val="00E84D69"/>
    <w:rsid w:val="00E850C3"/>
    <w:rsid w:val="00E85C7C"/>
    <w:rsid w:val="00E86488"/>
    <w:rsid w:val="00E90228"/>
    <w:rsid w:val="00E907F4"/>
    <w:rsid w:val="00E9145C"/>
    <w:rsid w:val="00E926E3"/>
    <w:rsid w:val="00E95F4E"/>
    <w:rsid w:val="00E96E5D"/>
    <w:rsid w:val="00E9798A"/>
    <w:rsid w:val="00E979F7"/>
    <w:rsid w:val="00EA3000"/>
    <w:rsid w:val="00EA3725"/>
    <w:rsid w:val="00EA3936"/>
    <w:rsid w:val="00EA513F"/>
    <w:rsid w:val="00EA5961"/>
    <w:rsid w:val="00EA5CD1"/>
    <w:rsid w:val="00EA5E2A"/>
    <w:rsid w:val="00EA6D84"/>
    <w:rsid w:val="00EA7710"/>
    <w:rsid w:val="00EA7D38"/>
    <w:rsid w:val="00EB0731"/>
    <w:rsid w:val="00EB1015"/>
    <w:rsid w:val="00EB2020"/>
    <w:rsid w:val="00EB2214"/>
    <w:rsid w:val="00EB27D5"/>
    <w:rsid w:val="00EB28E9"/>
    <w:rsid w:val="00EB2E09"/>
    <w:rsid w:val="00EB3653"/>
    <w:rsid w:val="00EB578A"/>
    <w:rsid w:val="00EB6AFD"/>
    <w:rsid w:val="00EB6C7D"/>
    <w:rsid w:val="00EB70E5"/>
    <w:rsid w:val="00EB7C8E"/>
    <w:rsid w:val="00EC02BE"/>
    <w:rsid w:val="00EC12F8"/>
    <w:rsid w:val="00EC146E"/>
    <w:rsid w:val="00EC1B1A"/>
    <w:rsid w:val="00EC293A"/>
    <w:rsid w:val="00EC35DE"/>
    <w:rsid w:val="00EC53E6"/>
    <w:rsid w:val="00EC543A"/>
    <w:rsid w:val="00EC5975"/>
    <w:rsid w:val="00EC6130"/>
    <w:rsid w:val="00EC6766"/>
    <w:rsid w:val="00EC6B27"/>
    <w:rsid w:val="00EC6BF6"/>
    <w:rsid w:val="00EC7AE3"/>
    <w:rsid w:val="00EC7E08"/>
    <w:rsid w:val="00ED0F4E"/>
    <w:rsid w:val="00ED2563"/>
    <w:rsid w:val="00ED2570"/>
    <w:rsid w:val="00ED2A4C"/>
    <w:rsid w:val="00ED6DFC"/>
    <w:rsid w:val="00ED762B"/>
    <w:rsid w:val="00EE067C"/>
    <w:rsid w:val="00EE1275"/>
    <w:rsid w:val="00EE12BA"/>
    <w:rsid w:val="00EE1D7D"/>
    <w:rsid w:val="00EE2031"/>
    <w:rsid w:val="00EE2D3E"/>
    <w:rsid w:val="00EE35DE"/>
    <w:rsid w:val="00EE4924"/>
    <w:rsid w:val="00EE7A5E"/>
    <w:rsid w:val="00EF039F"/>
    <w:rsid w:val="00EF11CE"/>
    <w:rsid w:val="00EF13FE"/>
    <w:rsid w:val="00EF2143"/>
    <w:rsid w:val="00EF3159"/>
    <w:rsid w:val="00EF384D"/>
    <w:rsid w:val="00EF4569"/>
    <w:rsid w:val="00EF4B37"/>
    <w:rsid w:val="00EF4F51"/>
    <w:rsid w:val="00EF6960"/>
    <w:rsid w:val="00EF711A"/>
    <w:rsid w:val="00EF74D6"/>
    <w:rsid w:val="00EF7D4C"/>
    <w:rsid w:val="00F03706"/>
    <w:rsid w:val="00F062AC"/>
    <w:rsid w:val="00F068A0"/>
    <w:rsid w:val="00F0745D"/>
    <w:rsid w:val="00F10C63"/>
    <w:rsid w:val="00F115CA"/>
    <w:rsid w:val="00F121CB"/>
    <w:rsid w:val="00F12787"/>
    <w:rsid w:val="00F152AB"/>
    <w:rsid w:val="00F15BE9"/>
    <w:rsid w:val="00F17101"/>
    <w:rsid w:val="00F175F6"/>
    <w:rsid w:val="00F177DC"/>
    <w:rsid w:val="00F17AC1"/>
    <w:rsid w:val="00F20A25"/>
    <w:rsid w:val="00F20D6E"/>
    <w:rsid w:val="00F21433"/>
    <w:rsid w:val="00F21FE4"/>
    <w:rsid w:val="00F22810"/>
    <w:rsid w:val="00F23521"/>
    <w:rsid w:val="00F2359F"/>
    <w:rsid w:val="00F25573"/>
    <w:rsid w:val="00F25733"/>
    <w:rsid w:val="00F25E05"/>
    <w:rsid w:val="00F26F08"/>
    <w:rsid w:val="00F2710C"/>
    <w:rsid w:val="00F274F9"/>
    <w:rsid w:val="00F31310"/>
    <w:rsid w:val="00F314CA"/>
    <w:rsid w:val="00F31F31"/>
    <w:rsid w:val="00F32AC3"/>
    <w:rsid w:val="00F34F34"/>
    <w:rsid w:val="00F35295"/>
    <w:rsid w:val="00F35350"/>
    <w:rsid w:val="00F35D14"/>
    <w:rsid w:val="00F35E37"/>
    <w:rsid w:val="00F36CF6"/>
    <w:rsid w:val="00F37737"/>
    <w:rsid w:val="00F4022D"/>
    <w:rsid w:val="00F40BDA"/>
    <w:rsid w:val="00F40F06"/>
    <w:rsid w:val="00F41750"/>
    <w:rsid w:val="00F419C8"/>
    <w:rsid w:val="00F41C30"/>
    <w:rsid w:val="00F4352C"/>
    <w:rsid w:val="00F435DD"/>
    <w:rsid w:val="00F43806"/>
    <w:rsid w:val="00F44A54"/>
    <w:rsid w:val="00F46DC9"/>
    <w:rsid w:val="00F47051"/>
    <w:rsid w:val="00F47774"/>
    <w:rsid w:val="00F47DFA"/>
    <w:rsid w:val="00F5078F"/>
    <w:rsid w:val="00F54542"/>
    <w:rsid w:val="00F56757"/>
    <w:rsid w:val="00F61830"/>
    <w:rsid w:val="00F61F2B"/>
    <w:rsid w:val="00F632F0"/>
    <w:rsid w:val="00F650C6"/>
    <w:rsid w:val="00F6654F"/>
    <w:rsid w:val="00F66726"/>
    <w:rsid w:val="00F670C5"/>
    <w:rsid w:val="00F672F3"/>
    <w:rsid w:val="00F67E52"/>
    <w:rsid w:val="00F717A9"/>
    <w:rsid w:val="00F72893"/>
    <w:rsid w:val="00F72F75"/>
    <w:rsid w:val="00F740D5"/>
    <w:rsid w:val="00F744CB"/>
    <w:rsid w:val="00F74885"/>
    <w:rsid w:val="00F75D7F"/>
    <w:rsid w:val="00F808C8"/>
    <w:rsid w:val="00F82F71"/>
    <w:rsid w:val="00F8319D"/>
    <w:rsid w:val="00F852AC"/>
    <w:rsid w:val="00F87873"/>
    <w:rsid w:val="00F8797F"/>
    <w:rsid w:val="00F90801"/>
    <w:rsid w:val="00F90CEE"/>
    <w:rsid w:val="00F90FD1"/>
    <w:rsid w:val="00F928A7"/>
    <w:rsid w:val="00F94832"/>
    <w:rsid w:val="00F951A8"/>
    <w:rsid w:val="00F973B8"/>
    <w:rsid w:val="00FA074C"/>
    <w:rsid w:val="00FA1715"/>
    <w:rsid w:val="00FA189F"/>
    <w:rsid w:val="00FA33EA"/>
    <w:rsid w:val="00FA3B31"/>
    <w:rsid w:val="00FA4E6A"/>
    <w:rsid w:val="00FA6021"/>
    <w:rsid w:val="00FA6E71"/>
    <w:rsid w:val="00FA7041"/>
    <w:rsid w:val="00FB1AF5"/>
    <w:rsid w:val="00FB1F32"/>
    <w:rsid w:val="00FB38C1"/>
    <w:rsid w:val="00FB3EF1"/>
    <w:rsid w:val="00FB496B"/>
    <w:rsid w:val="00FB4EEC"/>
    <w:rsid w:val="00FB5305"/>
    <w:rsid w:val="00FB5539"/>
    <w:rsid w:val="00FB580A"/>
    <w:rsid w:val="00FB5D0B"/>
    <w:rsid w:val="00FB6219"/>
    <w:rsid w:val="00FB6344"/>
    <w:rsid w:val="00FC0BB0"/>
    <w:rsid w:val="00FC18C6"/>
    <w:rsid w:val="00FC2AA2"/>
    <w:rsid w:val="00FC2BFC"/>
    <w:rsid w:val="00FC2FEF"/>
    <w:rsid w:val="00FC4E0A"/>
    <w:rsid w:val="00FC507A"/>
    <w:rsid w:val="00FC5721"/>
    <w:rsid w:val="00FC7057"/>
    <w:rsid w:val="00FC70C1"/>
    <w:rsid w:val="00FC7C5E"/>
    <w:rsid w:val="00FD0107"/>
    <w:rsid w:val="00FD0552"/>
    <w:rsid w:val="00FD06CF"/>
    <w:rsid w:val="00FD1F7B"/>
    <w:rsid w:val="00FD2A36"/>
    <w:rsid w:val="00FD3270"/>
    <w:rsid w:val="00FD45B6"/>
    <w:rsid w:val="00FD5B9A"/>
    <w:rsid w:val="00FD5BAB"/>
    <w:rsid w:val="00FD6323"/>
    <w:rsid w:val="00FD6583"/>
    <w:rsid w:val="00FD6621"/>
    <w:rsid w:val="00FE058D"/>
    <w:rsid w:val="00FE2FFD"/>
    <w:rsid w:val="00FE369C"/>
    <w:rsid w:val="00FE477F"/>
    <w:rsid w:val="00FE4CEE"/>
    <w:rsid w:val="00FE53AC"/>
    <w:rsid w:val="00FE6F80"/>
    <w:rsid w:val="00FE78F3"/>
    <w:rsid w:val="00FF0141"/>
    <w:rsid w:val="00FF1535"/>
    <w:rsid w:val="00FF309C"/>
    <w:rsid w:val="00FF367B"/>
    <w:rsid w:val="00FF5CDC"/>
    <w:rsid w:val="00FF6FAA"/>
    <w:rsid w:val="00FF771D"/>
    <w:rsid w:val="00FF77B0"/>
    <w:rsid w:val="00FF7C1B"/>
    <w:rsid w:val="01004A1F"/>
    <w:rsid w:val="01057F36"/>
    <w:rsid w:val="01262161"/>
    <w:rsid w:val="01393607"/>
    <w:rsid w:val="015F4C9B"/>
    <w:rsid w:val="015F5303"/>
    <w:rsid w:val="01602CAF"/>
    <w:rsid w:val="016A55F2"/>
    <w:rsid w:val="016D6A5A"/>
    <w:rsid w:val="01793666"/>
    <w:rsid w:val="018B3281"/>
    <w:rsid w:val="01923AEC"/>
    <w:rsid w:val="019D7139"/>
    <w:rsid w:val="01BE2825"/>
    <w:rsid w:val="01DB4028"/>
    <w:rsid w:val="01FB5D75"/>
    <w:rsid w:val="020813F4"/>
    <w:rsid w:val="021A7CDB"/>
    <w:rsid w:val="02385F5A"/>
    <w:rsid w:val="023A6048"/>
    <w:rsid w:val="0243182C"/>
    <w:rsid w:val="02497ADA"/>
    <w:rsid w:val="0280246C"/>
    <w:rsid w:val="02826BD0"/>
    <w:rsid w:val="02921710"/>
    <w:rsid w:val="02A36C44"/>
    <w:rsid w:val="02AB3D4B"/>
    <w:rsid w:val="02AE6B1E"/>
    <w:rsid w:val="02C6697B"/>
    <w:rsid w:val="02CC3240"/>
    <w:rsid w:val="02DF432B"/>
    <w:rsid w:val="02E5428F"/>
    <w:rsid w:val="02E94CC1"/>
    <w:rsid w:val="02F56D74"/>
    <w:rsid w:val="02F6727C"/>
    <w:rsid w:val="02FB380A"/>
    <w:rsid w:val="02FC45A7"/>
    <w:rsid w:val="030000FE"/>
    <w:rsid w:val="03034482"/>
    <w:rsid w:val="03072247"/>
    <w:rsid w:val="030E4A71"/>
    <w:rsid w:val="030E5DE7"/>
    <w:rsid w:val="033821D8"/>
    <w:rsid w:val="034B29D9"/>
    <w:rsid w:val="035458D7"/>
    <w:rsid w:val="035E7B1F"/>
    <w:rsid w:val="03642473"/>
    <w:rsid w:val="03764359"/>
    <w:rsid w:val="03795BF7"/>
    <w:rsid w:val="037B7D63"/>
    <w:rsid w:val="03AE4CBD"/>
    <w:rsid w:val="03AF33C7"/>
    <w:rsid w:val="03BA4EE2"/>
    <w:rsid w:val="03D2541C"/>
    <w:rsid w:val="03DA2994"/>
    <w:rsid w:val="03F308F1"/>
    <w:rsid w:val="04027439"/>
    <w:rsid w:val="04070B2F"/>
    <w:rsid w:val="041A6D25"/>
    <w:rsid w:val="0443541C"/>
    <w:rsid w:val="045B5207"/>
    <w:rsid w:val="046A7067"/>
    <w:rsid w:val="04842AA6"/>
    <w:rsid w:val="04974608"/>
    <w:rsid w:val="049C16D0"/>
    <w:rsid w:val="04A171B4"/>
    <w:rsid w:val="04BC3FEE"/>
    <w:rsid w:val="04C15D69"/>
    <w:rsid w:val="04DD5D12"/>
    <w:rsid w:val="04E47438"/>
    <w:rsid w:val="04F1401C"/>
    <w:rsid w:val="051017B6"/>
    <w:rsid w:val="053E4A03"/>
    <w:rsid w:val="05453FE3"/>
    <w:rsid w:val="0563090D"/>
    <w:rsid w:val="059758B4"/>
    <w:rsid w:val="05BE1FE7"/>
    <w:rsid w:val="05C43461"/>
    <w:rsid w:val="05C759FB"/>
    <w:rsid w:val="05CD222A"/>
    <w:rsid w:val="05E077F4"/>
    <w:rsid w:val="05EC0FC1"/>
    <w:rsid w:val="06053772"/>
    <w:rsid w:val="060A1391"/>
    <w:rsid w:val="06110369"/>
    <w:rsid w:val="06172473"/>
    <w:rsid w:val="06252EAA"/>
    <w:rsid w:val="06370CDC"/>
    <w:rsid w:val="06396F29"/>
    <w:rsid w:val="063E32AC"/>
    <w:rsid w:val="06550341"/>
    <w:rsid w:val="065609A5"/>
    <w:rsid w:val="06652463"/>
    <w:rsid w:val="0673017A"/>
    <w:rsid w:val="06763BE5"/>
    <w:rsid w:val="06793C68"/>
    <w:rsid w:val="068F4522"/>
    <w:rsid w:val="06906D37"/>
    <w:rsid w:val="069B7A64"/>
    <w:rsid w:val="06A179B5"/>
    <w:rsid w:val="06BB32DE"/>
    <w:rsid w:val="06BD4936"/>
    <w:rsid w:val="06C07699"/>
    <w:rsid w:val="06C807CD"/>
    <w:rsid w:val="06CB4FA1"/>
    <w:rsid w:val="06E25597"/>
    <w:rsid w:val="06F36A15"/>
    <w:rsid w:val="07036F3E"/>
    <w:rsid w:val="07056E54"/>
    <w:rsid w:val="07105F7C"/>
    <w:rsid w:val="07330D56"/>
    <w:rsid w:val="076A720E"/>
    <w:rsid w:val="076B1CFB"/>
    <w:rsid w:val="07763023"/>
    <w:rsid w:val="077A6A68"/>
    <w:rsid w:val="0789431E"/>
    <w:rsid w:val="078D54AE"/>
    <w:rsid w:val="07AA637F"/>
    <w:rsid w:val="07AE20E7"/>
    <w:rsid w:val="07B74F40"/>
    <w:rsid w:val="07C43D4D"/>
    <w:rsid w:val="07F13FAE"/>
    <w:rsid w:val="07F707BE"/>
    <w:rsid w:val="07F949D1"/>
    <w:rsid w:val="082F2D28"/>
    <w:rsid w:val="083E0DBA"/>
    <w:rsid w:val="08566235"/>
    <w:rsid w:val="086910BF"/>
    <w:rsid w:val="08696B2A"/>
    <w:rsid w:val="0875685F"/>
    <w:rsid w:val="087B0530"/>
    <w:rsid w:val="087D6A2C"/>
    <w:rsid w:val="08857D5A"/>
    <w:rsid w:val="088A691D"/>
    <w:rsid w:val="08A33005"/>
    <w:rsid w:val="08A551C4"/>
    <w:rsid w:val="08B86914"/>
    <w:rsid w:val="08CD2168"/>
    <w:rsid w:val="08D42EE4"/>
    <w:rsid w:val="08F663A2"/>
    <w:rsid w:val="08FA04CE"/>
    <w:rsid w:val="08FB2D94"/>
    <w:rsid w:val="09024C7D"/>
    <w:rsid w:val="09206974"/>
    <w:rsid w:val="09255005"/>
    <w:rsid w:val="0938618D"/>
    <w:rsid w:val="094D4CA9"/>
    <w:rsid w:val="0956057A"/>
    <w:rsid w:val="096B58B7"/>
    <w:rsid w:val="097049D7"/>
    <w:rsid w:val="09945595"/>
    <w:rsid w:val="09A33760"/>
    <w:rsid w:val="09AF3EB9"/>
    <w:rsid w:val="09C37B35"/>
    <w:rsid w:val="09C71AE5"/>
    <w:rsid w:val="09D4300B"/>
    <w:rsid w:val="09DC5E03"/>
    <w:rsid w:val="09E02A69"/>
    <w:rsid w:val="09FD1DFC"/>
    <w:rsid w:val="0A094DE3"/>
    <w:rsid w:val="0A0F7F0B"/>
    <w:rsid w:val="0A1F2071"/>
    <w:rsid w:val="0A3E1E68"/>
    <w:rsid w:val="0A4A5639"/>
    <w:rsid w:val="0A53531D"/>
    <w:rsid w:val="0A5A0EBF"/>
    <w:rsid w:val="0A6C0264"/>
    <w:rsid w:val="0A6E62BA"/>
    <w:rsid w:val="0A73514E"/>
    <w:rsid w:val="0A7D7D7B"/>
    <w:rsid w:val="0A8522AD"/>
    <w:rsid w:val="0A8D08C3"/>
    <w:rsid w:val="0A934F24"/>
    <w:rsid w:val="0AB5017C"/>
    <w:rsid w:val="0ABE5016"/>
    <w:rsid w:val="0ADE5034"/>
    <w:rsid w:val="0AE85759"/>
    <w:rsid w:val="0AED66A4"/>
    <w:rsid w:val="0AFB34DE"/>
    <w:rsid w:val="0B19257F"/>
    <w:rsid w:val="0B1C3A38"/>
    <w:rsid w:val="0B25243B"/>
    <w:rsid w:val="0B2C4E98"/>
    <w:rsid w:val="0B3E78F6"/>
    <w:rsid w:val="0B4F3D8E"/>
    <w:rsid w:val="0B634B49"/>
    <w:rsid w:val="0B6569DF"/>
    <w:rsid w:val="0B6B3624"/>
    <w:rsid w:val="0B8210EF"/>
    <w:rsid w:val="0B8B296C"/>
    <w:rsid w:val="0B8F44BF"/>
    <w:rsid w:val="0BA74213"/>
    <w:rsid w:val="0BAE74D4"/>
    <w:rsid w:val="0BB023D2"/>
    <w:rsid w:val="0BB508A4"/>
    <w:rsid w:val="0BC82F17"/>
    <w:rsid w:val="0BCD0858"/>
    <w:rsid w:val="0BD87D14"/>
    <w:rsid w:val="0C053F44"/>
    <w:rsid w:val="0C153C2D"/>
    <w:rsid w:val="0C3044DB"/>
    <w:rsid w:val="0C3307EC"/>
    <w:rsid w:val="0C4843B9"/>
    <w:rsid w:val="0C540FAF"/>
    <w:rsid w:val="0C542D5E"/>
    <w:rsid w:val="0C5848C3"/>
    <w:rsid w:val="0C603DC4"/>
    <w:rsid w:val="0C633988"/>
    <w:rsid w:val="0C653F5B"/>
    <w:rsid w:val="0C696445"/>
    <w:rsid w:val="0C7C6E1D"/>
    <w:rsid w:val="0C931AD8"/>
    <w:rsid w:val="0C9E1EEA"/>
    <w:rsid w:val="0CB051D1"/>
    <w:rsid w:val="0CC5729B"/>
    <w:rsid w:val="0CED653C"/>
    <w:rsid w:val="0D085ED0"/>
    <w:rsid w:val="0D514066"/>
    <w:rsid w:val="0D67743B"/>
    <w:rsid w:val="0D701020"/>
    <w:rsid w:val="0D8E23C0"/>
    <w:rsid w:val="0D9B345F"/>
    <w:rsid w:val="0DA8136F"/>
    <w:rsid w:val="0DA85313"/>
    <w:rsid w:val="0DAC51CC"/>
    <w:rsid w:val="0DBA452A"/>
    <w:rsid w:val="0DC209A4"/>
    <w:rsid w:val="0DC76ADD"/>
    <w:rsid w:val="0DCA6A96"/>
    <w:rsid w:val="0DDD71AF"/>
    <w:rsid w:val="0DFD617F"/>
    <w:rsid w:val="0E051D88"/>
    <w:rsid w:val="0E073B80"/>
    <w:rsid w:val="0E2D2F12"/>
    <w:rsid w:val="0E306947"/>
    <w:rsid w:val="0E3A41D5"/>
    <w:rsid w:val="0E423855"/>
    <w:rsid w:val="0E460DCC"/>
    <w:rsid w:val="0E7B1388"/>
    <w:rsid w:val="0E8D1A19"/>
    <w:rsid w:val="0EC36C5C"/>
    <w:rsid w:val="0EC93452"/>
    <w:rsid w:val="0ECA78BA"/>
    <w:rsid w:val="0ED5199A"/>
    <w:rsid w:val="0EDC727D"/>
    <w:rsid w:val="0EE539C7"/>
    <w:rsid w:val="0EE971B4"/>
    <w:rsid w:val="0EF92D65"/>
    <w:rsid w:val="0F0016B0"/>
    <w:rsid w:val="0F396357"/>
    <w:rsid w:val="0F40715B"/>
    <w:rsid w:val="0F5B2655"/>
    <w:rsid w:val="0F5D017B"/>
    <w:rsid w:val="0F8B04A9"/>
    <w:rsid w:val="0F9C1A87"/>
    <w:rsid w:val="0FB55C20"/>
    <w:rsid w:val="0FD20B69"/>
    <w:rsid w:val="0FDE5955"/>
    <w:rsid w:val="0FFD5A95"/>
    <w:rsid w:val="10040126"/>
    <w:rsid w:val="10060813"/>
    <w:rsid w:val="10144374"/>
    <w:rsid w:val="10174160"/>
    <w:rsid w:val="10302245"/>
    <w:rsid w:val="10556921"/>
    <w:rsid w:val="10566EE6"/>
    <w:rsid w:val="106008E9"/>
    <w:rsid w:val="10706285"/>
    <w:rsid w:val="108533AC"/>
    <w:rsid w:val="1094112C"/>
    <w:rsid w:val="10B0419A"/>
    <w:rsid w:val="10BA36C5"/>
    <w:rsid w:val="10E5338B"/>
    <w:rsid w:val="10FA7487"/>
    <w:rsid w:val="11215C4A"/>
    <w:rsid w:val="1127475F"/>
    <w:rsid w:val="112D7B6C"/>
    <w:rsid w:val="11394661"/>
    <w:rsid w:val="113D64B6"/>
    <w:rsid w:val="114D147C"/>
    <w:rsid w:val="11783235"/>
    <w:rsid w:val="11836ED9"/>
    <w:rsid w:val="11BC2820"/>
    <w:rsid w:val="11C03FF0"/>
    <w:rsid w:val="11CB41A7"/>
    <w:rsid w:val="11EB17BF"/>
    <w:rsid w:val="11EC3B60"/>
    <w:rsid w:val="12077267"/>
    <w:rsid w:val="12151F62"/>
    <w:rsid w:val="12192A7F"/>
    <w:rsid w:val="122D65D2"/>
    <w:rsid w:val="12371917"/>
    <w:rsid w:val="124544F6"/>
    <w:rsid w:val="127D0919"/>
    <w:rsid w:val="12861ED9"/>
    <w:rsid w:val="12BB2BE5"/>
    <w:rsid w:val="12D230BE"/>
    <w:rsid w:val="12F31501"/>
    <w:rsid w:val="12F71ACD"/>
    <w:rsid w:val="130757CD"/>
    <w:rsid w:val="1310486B"/>
    <w:rsid w:val="13231761"/>
    <w:rsid w:val="133826F0"/>
    <w:rsid w:val="134E2854"/>
    <w:rsid w:val="13517FF7"/>
    <w:rsid w:val="136C392C"/>
    <w:rsid w:val="13710085"/>
    <w:rsid w:val="137160B1"/>
    <w:rsid w:val="137B0811"/>
    <w:rsid w:val="137F464C"/>
    <w:rsid w:val="139B5716"/>
    <w:rsid w:val="139E22B8"/>
    <w:rsid w:val="13AD2ED6"/>
    <w:rsid w:val="13B16D6B"/>
    <w:rsid w:val="13B90A37"/>
    <w:rsid w:val="13BD38DE"/>
    <w:rsid w:val="13D606C1"/>
    <w:rsid w:val="13D7092A"/>
    <w:rsid w:val="13DA2BBC"/>
    <w:rsid w:val="13EF65C4"/>
    <w:rsid w:val="14065285"/>
    <w:rsid w:val="14197D66"/>
    <w:rsid w:val="14337C3E"/>
    <w:rsid w:val="145450E1"/>
    <w:rsid w:val="1472059D"/>
    <w:rsid w:val="14A40650"/>
    <w:rsid w:val="14B345F9"/>
    <w:rsid w:val="14E333CF"/>
    <w:rsid w:val="14EC22C7"/>
    <w:rsid w:val="14FB646C"/>
    <w:rsid w:val="151B567F"/>
    <w:rsid w:val="15244AB1"/>
    <w:rsid w:val="152E30D5"/>
    <w:rsid w:val="153875F9"/>
    <w:rsid w:val="154F5CF7"/>
    <w:rsid w:val="1572385C"/>
    <w:rsid w:val="15751F61"/>
    <w:rsid w:val="15B6018D"/>
    <w:rsid w:val="15B605A3"/>
    <w:rsid w:val="15B9370B"/>
    <w:rsid w:val="15C242E3"/>
    <w:rsid w:val="15C93A68"/>
    <w:rsid w:val="15D31197"/>
    <w:rsid w:val="16026846"/>
    <w:rsid w:val="1606156C"/>
    <w:rsid w:val="16096967"/>
    <w:rsid w:val="160C5669"/>
    <w:rsid w:val="16117F11"/>
    <w:rsid w:val="1615355E"/>
    <w:rsid w:val="161E52DD"/>
    <w:rsid w:val="162116F3"/>
    <w:rsid w:val="162410AA"/>
    <w:rsid w:val="16257519"/>
    <w:rsid w:val="162804A8"/>
    <w:rsid w:val="1632480C"/>
    <w:rsid w:val="163707F7"/>
    <w:rsid w:val="16647E1E"/>
    <w:rsid w:val="166554B1"/>
    <w:rsid w:val="16814185"/>
    <w:rsid w:val="16827DD1"/>
    <w:rsid w:val="16861F84"/>
    <w:rsid w:val="16896AC9"/>
    <w:rsid w:val="169935C8"/>
    <w:rsid w:val="169D58EB"/>
    <w:rsid w:val="16AB58AD"/>
    <w:rsid w:val="16AF095C"/>
    <w:rsid w:val="16B4634E"/>
    <w:rsid w:val="16BC0E74"/>
    <w:rsid w:val="16E46C83"/>
    <w:rsid w:val="16E9179E"/>
    <w:rsid w:val="16F21AF1"/>
    <w:rsid w:val="16F969DB"/>
    <w:rsid w:val="16FA7F88"/>
    <w:rsid w:val="1704244B"/>
    <w:rsid w:val="17132032"/>
    <w:rsid w:val="17674FEB"/>
    <w:rsid w:val="17B52083"/>
    <w:rsid w:val="17B80566"/>
    <w:rsid w:val="17D265F9"/>
    <w:rsid w:val="17E22640"/>
    <w:rsid w:val="18053B88"/>
    <w:rsid w:val="18144059"/>
    <w:rsid w:val="183F474B"/>
    <w:rsid w:val="1844579D"/>
    <w:rsid w:val="18447EB6"/>
    <w:rsid w:val="185222E5"/>
    <w:rsid w:val="18726E33"/>
    <w:rsid w:val="18756F07"/>
    <w:rsid w:val="187D53FF"/>
    <w:rsid w:val="1889786D"/>
    <w:rsid w:val="189270E7"/>
    <w:rsid w:val="18950242"/>
    <w:rsid w:val="18B31165"/>
    <w:rsid w:val="18BB4077"/>
    <w:rsid w:val="18C72EF8"/>
    <w:rsid w:val="18CF541D"/>
    <w:rsid w:val="18EB5FD3"/>
    <w:rsid w:val="19026DE7"/>
    <w:rsid w:val="19081746"/>
    <w:rsid w:val="19154248"/>
    <w:rsid w:val="19225182"/>
    <w:rsid w:val="192C753C"/>
    <w:rsid w:val="193C2941"/>
    <w:rsid w:val="193F08F1"/>
    <w:rsid w:val="196643C8"/>
    <w:rsid w:val="196900E6"/>
    <w:rsid w:val="1973065B"/>
    <w:rsid w:val="19835FF4"/>
    <w:rsid w:val="19884BF3"/>
    <w:rsid w:val="198F4D81"/>
    <w:rsid w:val="19977674"/>
    <w:rsid w:val="19A004C6"/>
    <w:rsid w:val="19A30E80"/>
    <w:rsid w:val="19AE0E3D"/>
    <w:rsid w:val="19B505DF"/>
    <w:rsid w:val="19C60F49"/>
    <w:rsid w:val="19C6726A"/>
    <w:rsid w:val="19CA28B1"/>
    <w:rsid w:val="19D91FAE"/>
    <w:rsid w:val="19E53425"/>
    <w:rsid w:val="19E94927"/>
    <w:rsid w:val="19F65009"/>
    <w:rsid w:val="1A123EA9"/>
    <w:rsid w:val="1A2B3806"/>
    <w:rsid w:val="1A356D79"/>
    <w:rsid w:val="1A3E22FE"/>
    <w:rsid w:val="1A440A74"/>
    <w:rsid w:val="1A5D7AC5"/>
    <w:rsid w:val="1A626F8D"/>
    <w:rsid w:val="1A6F650A"/>
    <w:rsid w:val="1A7B0C0D"/>
    <w:rsid w:val="1A865857"/>
    <w:rsid w:val="1A911AC4"/>
    <w:rsid w:val="1AA555D5"/>
    <w:rsid w:val="1AB23B3D"/>
    <w:rsid w:val="1AB73460"/>
    <w:rsid w:val="1AB91979"/>
    <w:rsid w:val="1ABB6813"/>
    <w:rsid w:val="1AC41414"/>
    <w:rsid w:val="1AD07379"/>
    <w:rsid w:val="1AF014D8"/>
    <w:rsid w:val="1B0F1BE3"/>
    <w:rsid w:val="1B106C68"/>
    <w:rsid w:val="1B344FC3"/>
    <w:rsid w:val="1B4378DA"/>
    <w:rsid w:val="1B5C5CDB"/>
    <w:rsid w:val="1B9C0F70"/>
    <w:rsid w:val="1BC64867"/>
    <w:rsid w:val="1BC9355A"/>
    <w:rsid w:val="1BE9353F"/>
    <w:rsid w:val="1BF905F3"/>
    <w:rsid w:val="1BFD328E"/>
    <w:rsid w:val="1C0657C8"/>
    <w:rsid w:val="1C117A3C"/>
    <w:rsid w:val="1C13632B"/>
    <w:rsid w:val="1C202BE5"/>
    <w:rsid w:val="1C220B3F"/>
    <w:rsid w:val="1C31226E"/>
    <w:rsid w:val="1C3E3A60"/>
    <w:rsid w:val="1C5C32CD"/>
    <w:rsid w:val="1C5F0406"/>
    <w:rsid w:val="1C636753"/>
    <w:rsid w:val="1C71050E"/>
    <w:rsid w:val="1C872CDB"/>
    <w:rsid w:val="1C9B2832"/>
    <w:rsid w:val="1C9C3DC8"/>
    <w:rsid w:val="1CA06E3B"/>
    <w:rsid w:val="1CA16B74"/>
    <w:rsid w:val="1CAD6CBC"/>
    <w:rsid w:val="1CB810E7"/>
    <w:rsid w:val="1CDF01EC"/>
    <w:rsid w:val="1CE27E4B"/>
    <w:rsid w:val="1CE42E81"/>
    <w:rsid w:val="1CE76161"/>
    <w:rsid w:val="1D11654B"/>
    <w:rsid w:val="1D1A55B8"/>
    <w:rsid w:val="1D1A67D3"/>
    <w:rsid w:val="1D2975DE"/>
    <w:rsid w:val="1D526CD1"/>
    <w:rsid w:val="1D584EAC"/>
    <w:rsid w:val="1D596426"/>
    <w:rsid w:val="1D6372A4"/>
    <w:rsid w:val="1D78734C"/>
    <w:rsid w:val="1DA300C0"/>
    <w:rsid w:val="1DAC0F45"/>
    <w:rsid w:val="1DAE7414"/>
    <w:rsid w:val="1DC54856"/>
    <w:rsid w:val="1DC666FE"/>
    <w:rsid w:val="1DD3548B"/>
    <w:rsid w:val="1DE91D86"/>
    <w:rsid w:val="1DEB3A10"/>
    <w:rsid w:val="1DED21D8"/>
    <w:rsid w:val="1DF32870"/>
    <w:rsid w:val="1DF53030"/>
    <w:rsid w:val="1DF644C2"/>
    <w:rsid w:val="1DFC713D"/>
    <w:rsid w:val="1E0565AE"/>
    <w:rsid w:val="1E2D56CA"/>
    <w:rsid w:val="1E3E561C"/>
    <w:rsid w:val="1E527162"/>
    <w:rsid w:val="1E580348"/>
    <w:rsid w:val="1E5D0198"/>
    <w:rsid w:val="1E840C02"/>
    <w:rsid w:val="1E85324A"/>
    <w:rsid w:val="1EAF70EF"/>
    <w:rsid w:val="1EB6211B"/>
    <w:rsid w:val="1EB73FA5"/>
    <w:rsid w:val="1EB95D38"/>
    <w:rsid w:val="1EBB6DB0"/>
    <w:rsid w:val="1ED264F1"/>
    <w:rsid w:val="1ED84AB1"/>
    <w:rsid w:val="1EDA5AE4"/>
    <w:rsid w:val="1EE7156E"/>
    <w:rsid w:val="1EEF4F7F"/>
    <w:rsid w:val="1EFA54F4"/>
    <w:rsid w:val="1F0B1841"/>
    <w:rsid w:val="1F0E3DA5"/>
    <w:rsid w:val="1F1B7568"/>
    <w:rsid w:val="1F226974"/>
    <w:rsid w:val="1F257E4B"/>
    <w:rsid w:val="1F282B26"/>
    <w:rsid w:val="1F2D5D06"/>
    <w:rsid w:val="1F38317B"/>
    <w:rsid w:val="1F3E44E3"/>
    <w:rsid w:val="1F464964"/>
    <w:rsid w:val="1F52137F"/>
    <w:rsid w:val="1F5F16CB"/>
    <w:rsid w:val="1F647304"/>
    <w:rsid w:val="1F677AF9"/>
    <w:rsid w:val="1F7551E9"/>
    <w:rsid w:val="1F9F5412"/>
    <w:rsid w:val="1FBF6A3F"/>
    <w:rsid w:val="1FCA3CEF"/>
    <w:rsid w:val="1FD52220"/>
    <w:rsid w:val="1FE126E5"/>
    <w:rsid w:val="1FF37E17"/>
    <w:rsid w:val="1FFF328D"/>
    <w:rsid w:val="201135EE"/>
    <w:rsid w:val="20150A2B"/>
    <w:rsid w:val="2024559E"/>
    <w:rsid w:val="202C1162"/>
    <w:rsid w:val="203B2D64"/>
    <w:rsid w:val="20496CAE"/>
    <w:rsid w:val="20621A95"/>
    <w:rsid w:val="206F5F60"/>
    <w:rsid w:val="207726E9"/>
    <w:rsid w:val="20BA6D13"/>
    <w:rsid w:val="20C21A98"/>
    <w:rsid w:val="20C25FAC"/>
    <w:rsid w:val="20CA6B3B"/>
    <w:rsid w:val="20CE2B5D"/>
    <w:rsid w:val="20CE49AC"/>
    <w:rsid w:val="20DE6972"/>
    <w:rsid w:val="20E30CC4"/>
    <w:rsid w:val="211A123F"/>
    <w:rsid w:val="213F5933"/>
    <w:rsid w:val="2156609B"/>
    <w:rsid w:val="215C5515"/>
    <w:rsid w:val="21627B57"/>
    <w:rsid w:val="217E60CC"/>
    <w:rsid w:val="2192037C"/>
    <w:rsid w:val="219D08AB"/>
    <w:rsid w:val="21B843D9"/>
    <w:rsid w:val="21BD4801"/>
    <w:rsid w:val="21C2544C"/>
    <w:rsid w:val="21C54BCE"/>
    <w:rsid w:val="21FD3676"/>
    <w:rsid w:val="22226AA8"/>
    <w:rsid w:val="22497C84"/>
    <w:rsid w:val="224B0307"/>
    <w:rsid w:val="22511DC1"/>
    <w:rsid w:val="225E003A"/>
    <w:rsid w:val="226B15C7"/>
    <w:rsid w:val="226C5F75"/>
    <w:rsid w:val="227836BA"/>
    <w:rsid w:val="22860CEA"/>
    <w:rsid w:val="22956F91"/>
    <w:rsid w:val="229E793E"/>
    <w:rsid w:val="22AE25CF"/>
    <w:rsid w:val="22D319AC"/>
    <w:rsid w:val="22F75C0D"/>
    <w:rsid w:val="23052BAC"/>
    <w:rsid w:val="2305578A"/>
    <w:rsid w:val="23202C08"/>
    <w:rsid w:val="2331231F"/>
    <w:rsid w:val="234C4DD2"/>
    <w:rsid w:val="23553BFE"/>
    <w:rsid w:val="236679F0"/>
    <w:rsid w:val="237B7C51"/>
    <w:rsid w:val="237C1E9F"/>
    <w:rsid w:val="2399716F"/>
    <w:rsid w:val="23A32EA8"/>
    <w:rsid w:val="23AD3524"/>
    <w:rsid w:val="23C475F6"/>
    <w:rsid w:val="23CF5AA0"/>
    <w:rsid w:val="23D00702"/>
    <w:rsid w:val="23DC390D"/>
    <w:rsid w:val="24066CD0"/>
    <w:rsid w:val="24215955"/>
    <w:rsid w:val="242F6B73"/>
    <w:rsid w:val="2432352D"/>
    <w:rsid w:val="243313B0"/>
    <w:rsid w:val="2435065B"/>
    <w:rsid w:val="244C45C5"/>
    <w:rsid w:val="249441E7"/>
    <w:rsid w:val="24B76F96"/>
    <w:rsid w:val="24D25416"/>
    <w:rsid w:val="25103203"/>
    <w:rsid w:val="25114177"/>
    <w:rsid w:val="2523094B"/>
    <w:rsid w:val="254A2191"/>
    <w:rsid w:val="255A7471"/>
    <w:rsid w:val="25607E4B"/>
    <w:rsid w:val="2563137E"/>
    <w:rsid w:val="25660AB4"/>
    <w:rsid w:val="257715D8"/>
    <w:rsid w:val="257C4360"/>
    <w:rsid w:val="25814FFE"/>
    <w:rsid w:val="25833372"/>
    <w:rsid w:val="25960D95"/>
    <w:rsid w:val="25BC18EC"/>
    <w:rsid w:val="25D71AA3"/>
    <w:rsid w:val="25DD65FD"/>
    <w:rsid w:val="25E85974"/>
    <w:rsid w:val="2601662D"/>
    <w:rsid w:val="26180E2C"/>
    <w:rsid w:val="261D1805"/>
    <w:rsid w:val="263A45DB"/>
    <w:rsid w:val="264302E8"/>
    <w:rsid w:val="26740FC1"/>
    <w:rsid w:val="26885559"/>
    <w:rsid w:val="269350FA"/>
    <w:rsid w:val="269476BF"/>
    <w:rsid w:val="26B4725E"/>
    <w:rsid w:val="26B872EF"/>
    <w:rsid w:val="26F043D8"/>
    <w:rsid w:val="27194F7C"/>
    <w:rsid w:val="27292135"/>
    <w:rsid w:val="27386B1B"/>
    <w:rsid w:val="27434194"/>
    <w:rsid w:val="27565259"/>
    <w:rsid w:val="275A4AB1"/>
    <w:rsid w:val="276F4A98"/>
    <w:rsid w:val="277C32BE"/>
    <w:rsid w:val="27852428"/>
    <w:rsid w:val="27BF2BBF"/>
    <w:rsid w:val="27C75E1E"/>
    <w:rsid w:val="28083C7A"/>
    <w:rsid w:val="280A6863"/>
    <w:rsid w:val="280B656E"/>
    <w:rsid w:val="28125B4F"/>
    <w:rsid w:val="28445183"/>
    <w:rsid w:val="2850397A"/>
    <w:rsid w:val="2852419D"/>
    <w:rsid w:val="28546908"/>
    <w:rsid w:val="285E1E91"/>
    <w:rsid w:val="28670377"/>
    <w:rsid w:val="286861C3"/>
    <w:rsid w:val="287155A3"/>
    <w:rsid w:val="287D6A55"/>
    <w:rsid w:val="288245A1"/>
    <w:rsid w:val="28AE1234"/>
    <w:rsid w:val="28B74701"/>
    <w:rsid w:val="28FB00A2"/>
    <w:rsid w:val="290F7096"/>
    <w:rsid w:val="29164E0D"/>
    <w:rsid w:val="292F4603"/>
    <w:rsid w:val="293F4BAF"/>
    <w:rsid w:val="29742A80"/>
    <w:rsid w:val="298E772B"/>
    <w:rsid w:val="299A4A9C"/>
    <w:rsid w:val="299A7E57"/>
    <w:rsid w:val="29A279C3"/>
    <w:rsid w:val="29A84B03"/>
    <w:rsid w:val="29B12353"/>
    <w:rsid w:val="29C45FCB"/>
    <w:rsid w:val="29CF476E"/>
    <w:rsid w:val="29D8068B"/>
    <w:rsid w:val="29DD022E"/>
    <w:rsid w:val="29FB544B"/>
    <w:rsid w:val="2A2460F6"/>
    <w:rsid w:val="2A272E3D"/>
    <w:rsid w:val="2A28363B"/>
    <w:rsid w:val="2A2C4EF9"/>
    <w:rsid w:val="2A3B0276"/>
    <w:rsid w:val="2A6E1037"/>
    <w:rsid w:val="2A7D7CB0"/>
    <w:rsid w:val="2A855C2B"/>
    <w:rsid w:val="2A892816"/>
    <w:rsid w:val="2AAB5DE7"/>
    <w:rsid w:val="2AB05D52"/>
    <w:rsid w:val="2AC8384A"/>
    <w:rsid w:val="2AD417E1"/>
    <w:rsid w:val="2B033E75"/>
    <w:rsid w:val="2B035C23"/>
    <w:rsid w:val="2B057BED"/>
    <w:rsid w:val="2B0C59B7"/>
    <w:rsid w:val="2B0D6FF4"/>
    <w:rsid w:val="2B153CD9"/>
    <w:rsid w:val="2B204A27"/>
    <w:rsid w:val="2B262470"/>
    <w:rsid w:val="2B286699"/>
    <w:rsid w:val="2B2C34C0"/>
    <w:rsid w:val="2B3E7332"/>
    <w:rsid w:val="2B4B34FF"/>
    <w:rsid w:val="2B4E1E74"/>
    <w:rsid w:val="2B523133"/>
    <w:rsid w:val="2B8B49FD"/>
    <w:rsid w:val="2B8C565D"/>
    <w:rsid w:val="2B971113"/>
    <w:rsid w:val="2B9719FE"/>
    <w:rsid w:val="2B98160E"/>
    <w:rsid w:val="2BB65EE6"/>
    <w:rsid w:val="2BBE4C0A"/>
    <w:rsid w:val="2BBE7D9C"/>
    <w:rsid w:val="2BC97599"/>
    <w:rsid w:val="2BCB0F51"/>
    <w:rsid w:val="2BDF34CC"/>
    <w:rsid w:val="2BEA3934"/>
    <w:rsid w:val="2C1600FD"/>
    <w:rsid w:val="2C1B6F9C"/>
    <w:rsid w:val="2C5452EF"/>
    <w:rsid w:val="2C5B2434"/>
    <w:rsid w:val="2C621B71"/>
    <w:rsid w:val="2C6511BD"/>
    <w:rsid w:val="2C711F8A"/>
    <w:rsid w:val="2C723060"/>
    <w:rsid w:val="2C944D65"/>
    <w:rsid w:val="2C9805ED"/>
    <w:rsid w:val="2CB40181"/>
    <w:rsid w:val="2CE95BD2"/>
    <w:rsid w:val="2CED26E7"/>
    <w:rsid w:val="2D0E2AF2"/>
    <w:rsid w:val="2D333C72"/>
    <w:rsid w:val="2D475D74"/>
    <w:rsid w:val="2D5075B9"/>
    <w:rsid w:val="2D567EB0"/>
    <w:rsid w:val="2D5C5ABE"/>
    <w:rsid w:val="2D744BB6"/>
    <w:rsid w:val="2D7D71E2"/>
    <w:rsid w:val="2D8C42FF"/>
    <w:rsid w:val="2DA336ED"/>
    <w:rsid w:val="2DAE4212"/>
    <w:rsid w:val="2DB84B10"/>
    <w:rsid w:val="2DBC7CA9"/>
    <w:rsid w:val="2DBE4083"/>
    <w:rsid w:val="2DBE7379"/>
    <w:rsid w:val="2DC05F9D"/>
    <w:rsid w:val="2DC06492"/>
    <w:rsid w:val="2DD357DE"/>
    <w:rsid w:val="2DD438A6"/>
    <w:rsid w:val="2DFB7085"/>
    <w:rsid w:val="2E1337BA"/>
    <w:rsid w:val="2E1D01A6"/>
    <w:rsid w:val="2E241532"/>
    <w:rsid w:val="2E24495A"/>
    <w:rsid w:val="2E276949"/>
    <w:rsid w:val="2E341F8D"/>
    <w:rsid w:val="2E3D58F0"/>
    <w:rsid w:val="2E456552"/>
    <w:rsid w:val="2E5367D4"/>
    <w:rsid w:val="2E5B1E5B"/>
    <w:rsid w:val="2E6007C2"/>
    <w:rsid w:val="2E795519"/>
    <w:rsid w:val="2E7C6894"/>
    <w:rsid w:val="2E7E3067"/>
    <w:rsid w:val="2E904CC4"/>
    <w:rsid w:val="2E9A4AF0"/>
    <w:rsid w:val="2E9D2990"/>
    <w:rsid w:val="2E9F4A8E"/>
    <w:rsid w:val="2EC61ACA"/>
    <w:rsid w:val="2EC723B6"/>
    <w:rsid w:val="2EC83768"/>
    <w:rsid w:val="2EF36F14"/>
    <w:rsid w:val="2F020A6E"/>
    <w:rsid w:val="2F577E37"/>
    <w:rsid w:val="2F66280A"/>
    <w:rsid w:val="2F846AE9"/>
    <w:rsid w:val="2F85469D"/>
    <w:rsid w:val="2F8A3A4A"/>
    <w:rsid w:val="2FA03FC4"/>
    <w:rsid w:val="2FA67ADC"/>
    <w:rsid w:val="2FAD02B5"/>
    <w:rsid w:val="2FAD7DDA"/>
    <w:rsid w:val="2FAF6379"/>
    <w:rsid w:val="2FB50A1F"/>
    <w:rsid w:val="2FF24A8A"/>
    <w:rsid w:val="2FFD6488"/>
    <w:rsid w:val="300239F4"/>
    <w:rsid w:val="300A3C72"/>
    <w:rsid w:val="300F727D"/>
    <w:rsid w:val="30212D4D"/>
    <w:rsid w:val="30232FB9"/>
    <w:rsid w:val="302F2816"/>
    <w:rsid w:val="30580361"/>
    <w:rsid w:val="30723CF6"/>
    <w:rsid w:val="307B4C03"/>
    <w:rsid w:val="309F4F2D"/>
    <w:rsid w:val="30B202D2"/>
    <w:rsid w:val="30B67E3C"/>
    <w:rsid w:val="30BF083E"/>
    <w:rsid w:val="30C65728"/>
    <w:rsid w:val="30DE0120"/>
    <w:rsid w:val="30E35592"/>
    <w:rsid w:val="30EE7DC8"/>
    <w:rsid w:val="30F12EDD"/>
    <w:rsid w:val="30FA33E7"/>
    <w:rsid w:val="310836F8"/>
    <w:rsid w:val="31097D0B"/>
    <w:rsid w:val="310F6CD4"/>
    <w:rsid w:val="311E2BFD"/>
    <w:rsid w:val="31230409"/>
    <w:rsid w:val="3126407A"/>
    <w:rsid w:val="31341444"/>
    <w:rsid w:val="3139239E"/>
    <w:rsid w:val="31567680"/>
    <w:rsid w:val="315C3A20"/>
    <w:rsid w:val="31814E7F"/>
    <w:rsid w:val="318736ED"/>
    <w:rsid w:val="31986E14"/>
    <w:rsid w:val="31B1462B"/>
    <w:rsid w:val="31B27A22"/>
    <w:rsid w:val="31CE0A40"/>
    <w:rsid w:val="31D9148B"/>
    <w:rsid w:val="31DF3DD5"/>
    <w:rsid w:val="31FD6C8A"/>
    <w:rsid w:val="320539B2"/>
    <w:rsid w:val="32095EE6"/>
    <w:rsid w:val="32150A92"/>
    <w:rsid w:val="321B3724"/>
    <w:rsid w:val="321C0D67"/>
    <w:rsid w:val="32221084"/>
    <w:rsid w:val="32322D6D"/>
    <w:rsid w:val="32634FA4"/>
    <w:rsid w:val="32730B14"/>
    <w:rsid w:val="32953ED5"/>
    <w:rsid w:val="32985B6C"/>
    <w:rsid w:val="32B618D2"/>
    <w:rsid w:val="32D043C6"/>
    <w:rsid w:val="32D677E9"/>
    <w:rsid w:val="32D9616A"/>
    <w:rsid w:val="32DE3CB0"/>
    <w:rsid w:val="32E9218C"/>
    <w:rsid w:val="33073599"/>
    <w:rsid w:val="331363FB"/>
    <w:rsid w:val="331B3D35"/>
    <w:rsid w:val="33291F9F"/>
    <w:rsid w:val="333D43D9"/>
    <w:rsid w:val="33500C9E"/>
    <w:rsid w:val="3358554E"/>
    <w:rsid w:val="33630ECD"/>
    <w:rsid w:val="33696AC9"/>
    <w:rsid w:val="336A1A14"/>
    <w:rsid w:val="3378309D"/>
    <w:rsid w:val="33886F6E"/>
    <w:rsid w:val="339F2EAD"/>
    <w:rsid w:val="33A417DB"/>
    <w:rsid w:val="33B90E74"/>
    <w:rsid w:val="33C01BFC"/>
    <w:rsid w:val="33CC4896"/>
    <w:rsid w:val="33D60378"/>
    <w:rsid w:val="33E01DF8"/>
    <w:rsid w:val="33E44D95"/>
    <w:rsid w:val="33E52BA1"/>
    <w:rsid w:val="33E95646"/>
    <w:rsid w:val="33F65635"/>
    <w:rsid w:val="3402205E"/>
    <w:rsid w:val="340D3A0F"/>
    <w:rsid w:val="344C5A2D"/>
    <w:rsid w:val="344E1736"/>
    <w:rsid w:val="345D5DD5"/>
    <w:rsid w:val="34633C8E"/>
    <w:rsid w:val="346E1223"/>
    <w:rsid w:val="34711BC9"/>
    <w:rsid w:val="34911E0A"/>
    <w:rsid w:val="349D49F2"/>
    <w:rsid w:val="349E6C5A"/>
    <w:rsid w:val="34BF609E"/>
    <w:rsid w:val="34DF4E82"/>
    <w:rsid w:val="34DF576B"/>
    <w:rsid w:val="34E44283"/>
    <w:rsid w:val="34E940DB"/>
    <w:rsid w:val="34EA39B0"/>
    <w:rsid w:val="34EC597A"/>
    <w:rsid w:val="34FF56AD"/>
    <w:rsid w:val="35127470"/>
    <w:rsid w:val="352A54DC"/>
    <w:rsid w:val="35305EFC"/>
    <w:rsid w:val="355138F9"/>
    <w:rsid w:val="355E6877"/>
    <w:rsid w:val="35660444"/>
    <w:rsid w:val="357C5C86"/>
    <w:rsid w:val="35830687"/>
    <w:rsid w:val="35896346"/>
    <w:rsid w:val="35931E3C"/>
    <w:rsid w:val="35977693"/>
    <w:rsid w:val="35990712"/>
    <w:rsid w:val="35AD7C36"/>
    <w:rsid w:val="35B90510"/>
    <w:rsid w:val="35C4682A"/>
    <w:rsid w:val="35C91DF7"/>
    <w:rsid w:val="35DC779C"/>
    <w:rsid w:val="35E31544"/>
    <w:rsid w:val="35E53A4E"/>
    <w:rsid w:val="35EF21D9"/>
    <w:rsid w:val="35FE3280"/>
    <w:rsid w:val="35FF12E2"/>
    <w:rsid w:val="360141E1"/>
    <w:rsid w:val="36082765"/>
    <w:rsid w:val="360A35D2"/>
    <w:rsid w:val="360F2F1B"/>
    <w:rsid w:val="36126734"/>
    <w:rsid w:val="362D7FF8"/>
    <w:rsid w:val="364225A3"/>
    <w:rsid w:val="36485B1A"/>
    <w:rsid w:val="3659433B"/>
    <w:rsid w:val="36611144"/>
    <w:rsid w:val="36631C6B"/>
    <w:rsid w:val="366614A9"/>
    <w:rsid w:val="366D22D5"/>
    <w:rsid w:val="367F6029"/>
    <w:rsid w:val="36836C36"/>
    <w:rsid w:val="36844670"/>
    <w:rsid w:val="36870BC8"/>
    <w:rsid w:val="36886A64"/>
    <w:rsid w:val="36A04C6E"/>
    <w:rsid w:val="36D319A5"/>
    <w:rsid w:val="36EA6126"/>
    <w:rsid w:val="36F15979"/>
    <w:rsid w:val="36FB09D7"/>
    <w:rsid w:val="36FC2D08"/>
    <w:rsid w:val="370B12E5"/>
    <w:rsid w:val="371841DE"/>
    <w:rsid w:val="372907BF"/>
    <w:rsid w:val="37401061"/>
    <w:rsid w:val="3747282F"/>
    <w:rsid w:val="374E76D8"/>
    <w:rsid w:val="375907F6"/>
    <w:rsid w:val="37591AB3"/>
    <w:rsid w:val="37733314"/>
    <w:rsid w:val="3784633D"/>
    <w:rsid w:val="37A1236C"/>
    <w:rsid w:val="37A43456"/>
    <w:rsid w:val="37AB07F0"/>
    <w:rsid w:val="37B5490A"/>
    <w:rsid w:val="37B74526"/>
    <w:rsid w:val="37BE5173"/>
    <w:rsid w:val="37CB0309"/>
    <w:rsid w:val="37CE542D"/>
    <w:rsid w:val="37E02D4D"/>
    <w:rsid w:val="37EA401F"/>
    <w:rsid w:val="37FF6BA6"/>
    <w:rsid w:val="38084878"/>
    <w:rsid w:val="380F5F5C"/>
    <w:rsid w:val="38107BD1"/>
    <w:rsid w:val="38252017"/>
    <w:rsid w:val="382A02F6"/>
    <w:rsid w:val="382E1B12"/>
    <w:rsid w:val="383659AE"/>
    <w:rsid w:val="38554BB6"/>
    <w:rsid w:val="386C3059"/>
    <w:rsid w:val="386F43B4"/>
    <w:rsid w:val="38703D26"/>
    <w:rsid w:val="388C16FF"/>
    <w:rsid w:val="38942826"/>
    <w:rsid w:val="38A071A7"/>
    <w:rsid w:val="38A75841"/>
    <w:rsid w:val="38B57C8A"/>
    <w:rsid w:val="38B654C6"/>
    <w:rsid w:val="38BD1CBC"/>
    <w:rsid w:val="38C21505"/>
    <w:rsid w:val="38C219E6"/>
    <w:rsid w:val="38C26B8B"/>
    <w:rsid w:val="38CA3AFA"/>
    <w:rsid w:val="38D42A86"/>
    <w:rsid w:val="38E81B7F"/>
    <w:rsid w:val="38ED44C0"/>
    <w:rsid w:val="38F011C4"/>
    <w:rsid w:val="38FD05D3"/>
    <w:rsid w:val="38FD091A"/>
    <w:rsid w:val="392274DB"/>
    <w:rsid w:val="39373743"/>
    <w:rsid w:val="395C5702"/>
    <w:rsid w:val="39627FB8"/>
    <w:rsid w:val="3968665A"/>
    <w:rsid w:val="39805DB2"/>
    <w:rsid w:val="39875C71"/>
    <w:rsid w:val="39AD3F7B"/>
    <w:rsid w:val="39CB4357"/>
    <w:rsid w:val="39DE7F87"/>
    <w:rsid w:val="3A05640B"/>
    <w:rsid w:val="3A17697B"/>
    <w:rsid w:val="3A1A784D"/>
    <w:rsid w:val="3A1E11AD"/>
    <w:rsid w:val="3A40479E"/>
    <w:rsid w:val="3A543DA5"/>
    <w:rsid w:val="3A644363"/>
    <w:rsid w:val="3A8C4FB7"/>
    <w:rsid w:val="3A940645"/>
    <w:rsid w:val="3AA96BF6"/>
    <w:rsid w:val="3AB9073B"/>
    <w:rsid w:val="3AC20E4B"/>
    <w:rsid w:val="3AC2675F"/>
    <w:rsid w:val="3AC6552C"/>
    <w:rsid w:val="3ADE5D64"/>
    <w:rsid w:val="3AE22FE1"/>
    <w:rsid w:val="3AE35129"/>
    <w:rsid w:val="3AE5573C"/>
    <w:rsid w:val="3AE5578D"/>
    <w:rsid w:val="3AFC5668"/>
    <w:rsid w:val="3B0C7D55"/>
    <w:rsid w:val="3B2C75A0"/>
    <w:rsid w:val="3B347FFC"/>
    <w:rsid w:val="3B586183"/>
    <w:rsid w:val="3B5F350E"/>
    <w:rsid w:val="3B7D3347"/>
    <w:rsid w:val="3B971532"/>
    <w:rsid w:val="3B9B61A5"/>
    <w:rsid w:val="3BB35934"/>
    <w:rsid w:val="3BD43397"/>
    <w:rsid w:val="3BDB7224"/>
    <w:rsid w:val="3BE621BA"/>
    <w:rsid w:val="3BE635F8"/>
    <w:rsid w:val="3BEA42E8"/>
    <w:rsid w:val="3BEE7910"/>
    <w:rsid w:val="3C001692"/>
    <w:rsid w:val="3C1001A0"/>
    <w:rsid w:val="3C287975"/>
    <w:rsid w:val="3C4354AE"/>
    <w:rsid w:val="3C454B9A"/>
    <w:rsid w:val="3C5502A8"/>
    <w:rsid w:val="3C5F661D"/>
    <w:rsid w:val="3C687152"/>
    <w:rsid w:val="3C775F9E"/>
    <w:rsid w:val="3C797B0B"/>
    <w:rsid w:val="3C9152DD"/>
    <w:rsid w:val="3C93206C"/>
    <w:rsid w:val="3CA921D0"/>
    <w:rsid w:val="3CB07016"/>
    <w:rsid w:val="3CB117EA"/>
    <w:rsid w:val="3CB15F44"/>
    <w:rsid w:val="3CB80DDD"/>
    <w:rsid w:val="3CB90F2D"/>
    <w:rsid w:val="3CD217F1"/>
    <w:rsid w:val="3CE21CB3"/>
    <w:rsid w:val="3CE40BE4"/>
    <w:rsid w:val="3D076941"/>
    <w:rsid w:val="3D671179"/>
    <w:rsid w:val="3D710BF5"/>
    <w:rsid w:val="3D9D31A3"/>
    <w:rsid w:val="3DB03FCF"/>
    <w:rsid w:val="3DBF59D9"/>
    <w:rsid w:val="3DC37D72"/>
    <w:rsid w:val="3DD376D7"/>
    <w:rsid w:val="3DEE5ECF"/>
    <w:rsid w:val="3DF249A5"/>
    <w:rsid w:val="3E0C1CCC"/>
    <w:rsid w:val="3E1966EA"/>
    <w:rsid w:val="3E3D3A39"/>
    <w:rsid w:val="3E634B8B"/>
    <w:rsid w:val="3E725142"/>
    <w:rsid w:val="3E742C68"/>
    <w:rsid w:val="3E7F66E8"/>
    <w:rsid w:val="3E9402D1"/>
    <w:rsid w:val="3E9B30B4"/>
    <w:rsid w:val="3EA03A5D"/>
    <w:rsid w:val="3EA90537"/>
    <w:rsid w:val="3EAA7942"/>
    <w:rsid w:val="3EAF7222"/>
    <w:rsid w:val="3EBB7D03"/>
    <w:rsid w:val="3EC7391B"/>
    <w:rsid w:val="3ECB3571"/>
    <w:rsid w:val="3ED255EC"/>
    <w:rsid w:val="3ED80049"/>
    <w:rsid w:val="3EDB7E1E"/>
    <w:rsid w:val="3EF65455"/>
    <w:rsid w:val="3EF82F39"/>
    <w:rsid w:val="3EF93E8C"/>
    <w:rsid w:val="3F0271DA"/>
    <w:rsid w:val="3F0379C8"/>
    <w:rsid w:val="3F087CFF"/>
    <w:rsid w:val="3F0A1E6E"/>
    <w:rsid w:val="3F183B19"/>
    <w:rsid w:val="3F2D6354"/>
    <w:rsid w:val="3F301AC1"/>
    <w:rsid w:val="3F376133"/>
    <w:rsid w:val="3F47037C"/>
    <w:rsid w:val="3F812050"/>
    <w:rsid w:val="3F90573A"/>
    <w:rsid w:val="3FB56A9D"/>
    <w:rsid w:val="3FC97360"/>
    <w:rsid w:val="3FCF79E6"/>
    <w:rsid w:val="3FD17C46"/>
    <w:rsid w:val="3FDDBDAD"/>
    <w:rsid w:val="3FDF2417"/>
    <w:rsid w:val="3FE060DB"/>
    <w:rsid w:val="3FED78AF"/>
    <w:rsid w:val="3FEFFF62"/>
    <w:rsid w:val="3FF9220E"/>
    <w:rsid w:val="4008421D"/>
    <w:rsid w:val="400C0C7E"/>
    <w:rsid w:val="401069C0"/>
    <w:rsid w:val="40204AC1"/>
    <w:rsid w:val="4049399A"/>
    <w:rsid w:val="404D1F26"/>
    <w:rsid w:val="4051413E"/>
    <w:rsid w:val="40532D51"/>
    <w:rsid w:val="406519B7"/>
    <w:rsid w:val="4071199A"/>
    <w:rsid w:val="407B6EC3"/>
    <w:rsid w:val="40A500BB"/>
    <w:rsid w:val="40AD06B3"/>
    <w:rsid w:val="40BD7305"/>
    <w:rsid w:val="40BF1A13"/>
    <w:rsid w:val="40E045E4"/>
    <w:rsid w:val="4113749C"/>
    <w:rsid w:val="41156DE1"/>
    <w:rsid w:val="41294078"/>
    <w:rsid w:val="41297D82"/>
    <w:rsid w:val="41303D83"/>
    <w:rsid w:val="413B3089"/>
    <w:rsid w:val="41436B95"/>
    <w:rsid w:val="417544B9"/>
    <w:rsid w:val="418F600A"/>
    <w:rsid w:val="419B3A41"/>
    <w:rsid w:val="41A56A80"/>
    <w:rsid w:val="41A675CA"/>
    <w:rsid w:val="41B66552"/>
    <w:rsid w:val="41BF1594"/>
    <w:rsid w:val="41C12BCF"/>
    <w:rsid w:val="41D64CF3"/>
    <w:rsid w:val="41D73A85"/>
    <w:rsid w:val="41DA5144"/>
    <w:rsid w:val="41EC6FB9"/>
    <w:rsid w:val="42024B2B"/>
    <w:rsid w:val="420E5181"/>
    <w:rsid w:val="42311EE5"/>
    <w:rsid w:val="423C1CEE"/>
    <w:rsid w:val="426164B8"/>
    <w:rsid w:val="426C0A6E"/>
    <w:rsid w:val="42860513"/>
    <w:rsid w:val="428C3CA7"/>
    <w:rsid w:val="42947CCB"/>
    <w:rsid w:val="429E17CF"/>
    <w:rsid w:val="42A0631A"/>
    <w:rsid w:val="42A27B7A"/>
    <w:rsid w:val="42B028B2"/>
    <w:rsid w:val="42BF7E85"/>
    <w:rsid w:val="42C13B2E"/>
    <w:rsid w:val="42D54C08"/>
    <w:rsid w:val="42F30B4C"/>
    <w:rsid w:val="43076EB1"/>
    <w:rsid w:val="430C7E54"/>
    <w:rsid w:val="4314113C"/>
    <w:rsid w:val="431C567C"/>
    <w:rsid w:val="43222833"/>
    <w:rsid w:val="4329524B"/>
    <w:rsid w:val="432F3C48"/>
    <w:rsid w:val="43485D96"/>
    <w:rsid w:val="434F7F5B"/>
    <w:rsid w:val="435A0316"/>
    <w:rsid w:val="43727C66"/>
    <w:rsid w:val="4378353F"/>
    <w:rsid w:val="437C6AF4"/>
    <w:rsid w:val="43830D8B"/>
    <w:rsid w:val="43904CC7"/>
    <w:rsid w:val="43917239"/>
    <w:rsid w:val="439B7781"/>
    <w:rsid w:val="43A55A56"/>
    <w:rsid w:val="43B835F7"/>
    <w:rsid w:val="43C67AC7"/>
    <w:rsid w:val="43E40E7C"/>
    <w:rsid w:val="43E67164"/>
    <w:rsid w:val="43E734B2"/>
    <w:rsid w:val="43F33BA8"/>
    <w:rsid w:val="43F964E5"/>
    <w:rsid w:val="44184EBC"/>
    <w:rsid w:val="441A3B05"/>
    <w:rsid w:val="442E106F"/>
    <w:rsid w:val="444E5339"/>
    <w:rsid w:val="445A645C"/>
    <w:rsid w:val="44641089"/>
    <w:rsid w:val="446D3CCB"/>
    <w:rsid w:val="44773C92"/>
    <w:rsid w:val="448146DA"/>
    <w:rsid w:val="448D3975"/>
    <w:rsid w:val="44915BF6"/>
    <w:rsid w:val="449905D9"/>
    <w:rsid w:val="44A57709"/>
    <w:rsid w:val="44C413B9"/>
    <w:rsid w:val="44C629B5"/>
    <w:rsid w:val="44CC6046"/>
    <w:rsid w:val="44E14213"/>
    <w:rsid w:val="44F156E8"/>
    <w:rsid w:val="4504467F"/>
    <w:rsid w:val="45084195"/>
    <w:rsid w:val="452242A9"/>
    <w:rsid w:val="452371DA"/>
    <w:rsid w:val="4538593A"/>
    <w:rsid w:val="453E230D"/>
    <w:rsid w:val="454474B5"/>
    <w:rsid w:val="456745FE"/>
    <w:rsid w:val="456947E4"/>
    <w:rsid w:val="456B7600"/>
    <w:rsid w:val="456F4713"/>
    <w:rsid w:val="457255A6"/>
    <w:rsid w:val="45790441"/>
    <w:rsid w:val="457C4AF8"/>
    <w:rsid w:val="457E261E"/>
    <w:rsid w:val="45824330"/>
    <w:rsid w:val="45887B05"/>
    <w:rsid w:val="45A51665"/>
    <w:rsid w:val="45AF3AC5"/>
    <w:rsid w:val="45B31A3B"/>
    <w:rsid w:val="45CB49F3"/>
    <w:rsid w:val="45DE32AC"/>
    <w:rsid w:val="45DF3A61"/>
    <w:rsid w:val="45FE1C36"/>
    <w:rsid w:val="460A2104"/>
    <w:rsid w:val="4612629A"/>
    <w:rsid w:val="461427E4"/>
    <w:rsid w:val="462B6385"/>
    <w:rsid w:val="46346111"/>
    <w:rsid w:val="46451E4D"/>
    <w:rsid w:val="4664547D"/>
    <w:rsid w:val="46715CDF"/>
    <w:rsid w:val="469B335E"/>
    <w:rsid w:val="46A41C8C"/>
    <w:rsid w:val="46B533C1"/>
    <w:rsid w:val="46DE54E3"/>
    <w:rsid w:val="46EA3AC1"/>
    <w:rsid w:val="47021B7D"/>
    <w:rsid w:val="47025F55"/>
    <w:rsid w:val="470411D8"/>
    <w:rsid w:val="47301B08"/>
    <w:rsid w:val="475151BF"/>
    <w:rsid w:val="475F1FDB"/>
    <w:rsid w:val="47695184"/>
    <w:rsid w:val="478728FF"/>
    <w:rsid w:val="478F2671"/>
    <w:rsid w:val="47B50146"/>
    <w:rsid w:val="47B70069"/>
    <w:rsid w:val="47B71072"/>
    <w:rsid w:val="47BE208A"/>
    <w:rsid w:val="47D40A99"/>
    <w:rsid w:val="47F03BB4"/>
    <w:rsid w:val="47FB3D57"/>
    <w:rsid w:val="48050594"/>
    <w:rsid w:val="48150C37"/>
    <w:rsid w:val="482071DE"/>
    <w:rsid w:val="48385ACF"/>
    <w:rsid w:val="483C7101"/>
    <w:rsid w:val="48402AD7"/>
    <w:rsid w:val="485A36C1"/>
    <w:rsid w:val="485E2AD0"/>
    <w:rsid w:val="4866616C"/>
    <w:rsid w:val="48696C23"/>
    <w:rsid w:val="48813263"/>
    <w:rsid w:val="48AC1147"/>
    <w:rsid w:val="48CC18F2"/>
    <w:rsid w:val="48DD7D9E"/>
    <w:rsid w:val="48F14EB5"/>
    <w:rsid w:val="48F439FF"/>
    <w:rsid w:val="4905345C"/>
    <w:rsid w:val="49092FEA"/>
    <w:rsid w:val="4909304D"/>
    <w:rsid w:val="490D7ECC"/>
    <w:rsid w:val="49246B03"/>
    <w:rsid w:val="493A3E21"/>
    <w:rsid w:val="493E1CA1"/>
    <w:rsid w:val="495A5B48"/>
    <w:rsid w:val="495B1724"/>
    <w:rsid w:val="496454F4"/>
    <w:rsid w:val="497A4499"/>
    <w:rsid w:val="497C4590"/>
    <w:rsid w:val="49970C18"/>
    <w:rsid w:val="499917D4"/>
    <w:rsid w:val="49A308A5"/>
    <w:rsid w:val="49A85EBB"/>
    <w:rsid w:val="49BD48B2"/>
    <w:rsid w:val="49CC1DA8"/>
    <w:rsid w:val="49E012F6"/>
    <w:rsid w:val="49F62438"/>
    <w:rsid w:val="4A074254"/>
    <w:rsid w:val="4A1B6C05"/>
    <w:rsid w:val="4A2120B9"/>
    <w:rsid w:val="4A45552A"/>
    <w:rsid w:val="4A8F2BD7"/>
    <w:rsid w:val="4A985584"/>
    <w:rsid w:val="4ABF151C"/>
    <w:rsid w:val="4AC544A9"/>
    <w:rsid w:val="4AE03D4D"/>
    <w:rsid w:val="4AE275A2"/>
    <w:rsid w:val="4AE35B3F"/>
    <w:rsid w:val="4AEC6043"/>
    <w:rsid w:val="4AF31677"/>
    <w:rsid w:val="4B0C670C"/>
    <w:rsid w:val="4B117B00"/>
    <w:rsid w:val="4B455FCD"/>
    <w:rsid w:val="4B464676"/>
    <w:rsid w:val="4B546193"/>
    <w:rsid w:val="4B5E0F27"/>
    <w:rsid w:val="4B62209A"/>
    <w:rsid w:val="4B8D560B"/>
    <w:rsid w:val="4B907928"/>
    <w:rsid w:val="4B94689E"/>
    <w:rsid w:val="4B9D235D"/>
    <w:rsid w:val="4BA46B58"/>
    <w:rsid w:val="4BA51BB3"/>
    <w:rsid w:val="4BBD13FD"/>
    <w:rsid w:val="4BD04CD0"/>
    <w:rsid w:val="4BEA28E5"/>
    <w:rsid w:val="4BF561C7"/>
    <w:rsid w:val="4BFF1E45"/>
    <w:rsid w:val="4C3345EE"/>
    <w:rsid w:val="4C6122A4"/>
    <w:rsid w:val="4C625D03"/>
    <w:rsid w:val="4C675BBA"/>
    <w:rsid w:val="4C87625C"/>
    <w:rsid w:val="4C95392C"/>
    <w:rsid w:val="4C9607A5"/>
    <w:rsid w:val="4CA666C3"/>
    <w:rsid w:val="4CAA0C68"/>
    <w:rsid w:val="4CCA78E6"/>
    <w:rsid w:val="4CD11D50"/>
    <w:rsid w:val="4CDD7C2A"/>
    <w:rsid w:val="4CFE5DCC"/>
    <w:rsid w:val="4D096724"/>
    <w:rsid w:val="4D0C05A9"/>
    <w:rsid w:val="4D2B3E6C"/>
    <w:rsid w:val="4D397A30"/>
    <w:rsid w:val="4D5628D5"/>
    <w:rsid w:val="4D5C1947"/>
    <w:rsid w:val="4D783DF7"/>
    <w:rsid w:val="4D812AA5"/>
    <w:rsid w:val="4D8920E0"/>
    <w:rsid w:val="4D96221E"/>
    <w:rsid w:val="4DA22C22"/>
    <w:rsid w:val="4DA27059"/>
    <w:rsid w:val="4DB86888"/>
    <w:rsid w:val="4DE22DE2"/>
    <w:rsid w:val="4DE33966"/>
    <w:rsid w:val="4DFC1848"/>
    <w:rsid w:val="4DFD3F41"/>
    <w:rsid w:val="4E122424"/>
    <w:rsid w:val="4E1C4782"/>
    <w:rsid w:val="4E21448E"/>
    <w:rsid w:val="4E2676CE"/>
    <w:rsid w:val="4E2C44FB"/>
    <w:rsid w:val="4E46108A"/>
    <w:rsid w:val="4E4F5DCF"/>
    <w:rsid w:val="4E570A08"/>
    <w:rsid w:val="4E571C5E"/>
    <w:rsid w:val="4E766588"/>
    <w:rsid w:val="4E7D4EF5"/>
    <w:rsid w:val="4E7F05A4"/>
    <w:rsid w:val="4E8C01E2"/>
    <w:rsid w:val="4E9E58AF"/>
    <w:rsid w:val="4EA8502F"/>
    <w:rsid w:val="4EC33F0B"/>
    <w:rsid w:val="4EDB3A6E"/>
    <w:rsid w:val="4EEA55F0"/>
    <w:rsid w:val="4EF53131"/>
    <w:rsid w:val="4F1642C3"/>
    <w:rsid w:val="4F186C81"/>
    <w:rsid w:val="4F251D61"/>
    <w:rsid w:val="4F2F78EB"/>
    <w:rsid w:val="4F5D7444"/>
    <w:rsid w:val="4F654D2F"/>
    <w:rsid w:val="4F675BB6"/>
    <w:rsid w:val="4F6C7792"/>
    <w:rsid w:val="4F755E61"/>
    <w:rsid w:val="4F82307E"/>
    <w:rsid w:val="4FA63735"/>
    <w:rsid w:val="4FCE7D77"/>
    <w:rsid w:val="4FD51C85"/>
    <w:rsid w:val="4FF21C3E"/>
    <w:rsid w:val="4FF6236E"/>
    <w:rsid w:val="500108DA"/>
    <w:rsid w:val="501E02B3"/>
    <w:rsid w:val="50344715"/>
    <w:rsid w:val="504352B5"/>
    <w:rsid w:val="50521ABD"/>
    <w:rsid w:val="505C7280"/>
    <w:rsid w:val="505D04D7"/>
    <w:rsid w:val="50697A27"/>
    <w:rsid w:val="50901EE7"/>
    <w:rsid w:val="509C2342"/>
    <w:rsid w:val="50C16D5F"/>
    <w:rsid w:val="50C97249"/>
    <w:rsid w:val="50D15CF8"/>
    <w:rsid w:val="50E579F5"/>
    <w:rsid w:val="50FA5E8B"/>
    <w:rsid w:val="51112598"/>
    <w:rsid w:val="511968C2"/>
    <w:rsid w:val="5125289F"/>
    <w:rsid w:val="515A2F63"/>
    <w:rsid w:val="516C1406"/>
    <w:rsid w:val="51826DFB"/>
    <w:rsid w:val="518A6447"/>
    <w:rsid w:val="518B1009"/>
    <w:rsid w:val="519062A8"/>
    <w:rsid w:val="51984A67"/>
    <w:rsid w:val="51A019B3"/>
    <w:rsid w:val="51AF6CBE"/>
    <w:rsid w:val="51C638AD"/>
    <w:rsid w:val="51F277FD"/>
    <w:rsid w:val="522D7855"/>
    <w:rsid w:val="524046A4"/>
    <w:rsid w:val="524E6FAD"/>
    <w:rsid w:val="5266365C"/>
    <w:rsid w:val="5274333E"/>
    <w:rsid w:val="528105F9"/>
    <w:rsid w:val="52846D9A"/>
    <w:rsid w:val="528A50D4"/>
    <w:rsid w:val="529C67CD"/>
    <w:rsid w:val="52A423E6"/>
    <w:rsid w:val="52C63B29"/>
    <w:rsid w:val="52FE7531"/>
    <w:rsid w:val="5306276F"/>
    <w:rsid w:val="534250AF"/>
    <w:rsid w:val="537A20AC"/>
    <w:rsid w:val="53837051"/>
    <w:rsid w:val="538878CA"/>
    <w:rsid w:val="53C83B27"/>
    <w:rsid w:val="53EF74C1"/>
    <w:rsid w:val="53F83ED1"/>
    <w:rsid w:val="540A12F3"/>
    <w:rsid w:val="541969E6"/>
    <w:rsid w:val="544600BF"/>
    <w:rsid w:val="544F2A4A"/>
    <w:rsid w:val="54552A74"/>
    <w:rsid w:val="54625ABE"/>
    <w:rsid w:val="54747AE9"/>
    <w:rsid w:val="5486200C"/>
    <w:rsid w:val="549032CF"/>
    <w:rsid w:val="54992FD0"/>
    <w:rsid w:val="549E7AFA"/>
    <w:rsid w:val="54A173CE"/>
    <w:rsid w:val="54B07302"/>
    <w:rsid w:val="54BA26AB"/>
    <w:rsid w:val="54BC1768"/>
    <w:rsid w:val="54E850B2"/>
    <w:rsid w:val="54EB387C"/>
    <w:rsid w:val="54EF2BF0"/>
    <w:rsid w:val="54F2544C"/>
    <w:rsid w:val="54F906EA"/>
    <w:rsid w:val="55120D38"/>
    <w:rsid w:val="551807D9"/>
    <w:rsid w:val="552D2FCB"/>
    <w:rsid w:val="553B7BE4"/>
    <w:rsid w:val="553F1C77"/>
    <w:rsid w:val="55481097"/>
    <w:rsid w:val="55684C44"/>
    <w:rsid w:val="556D4CF9"/>
    <w:rsid w:val="557245DB"/>
    <w:rsid w:val="5575773B"/>
    <w:rsid w:val="55842175"/>
    <w:rsid w:val="558A64D4"/>
    <w:rsid w:val="558C7C12"/>
    <w:rsid w:val="559D18AE"/>
    <w:rsid w:val="55B64024"/>
    <w:rsid w:val="55BF34C3"/>
    <w:rsid w:val="55D375E1"/>
    <w:rsid w:val="55E5452C"/>
    <w:rsid w:val="55EC5382"/>
    <w:rsid w:val="560B216A"/>
    <w:rsid w:val="56187F25"/>
    <w:rsid w:val="56296367"/>
    <w:rsid w:val="564A7682"/>
    <w:rsid w:val="5659220B"/>
    <w:rsid w:val="56646015"/>
    <w:rsid w:val="567623AA"/>
    <w:rsid w:val="567F3B0E"/>
    <w:rsid w:val="5687373C"/>
    <w:rsid w:val="569E4CE9"/>
    <w:rsid w:val="56A65B9B"/>
    <w:rsid w:val="56BF71B3"/>
    <w:rsid w:val="56C03691"/>
    <w:rsid w:val="56D51F1B"/>
    <w:rsid w:val="56D9C213"/>
    <w:rsid w:val="56EA660A"/>
    <w:rsid w:val="56F25084"/>
    <w:rsid w:val="56F251F7"/>
    <w:rsid w:val="57080108"/>
    <w:rsid w:val="5709259A"/>
    <w:rsid w:val="57094BFE"/>
    <w:rsid w:val="571F4620"/>
    <w:rsid w:val="572342A7"/>
    <w:rsid w:val="57393535"/>
    <w:rsid w:val="575256B8"/>
    <w:rsid w:val="57735FF4"/>
    <w:rsid w:val="5779221D"/>
    <w:rsid w:val="57951B84"/>
    <w:rsid w:val="57DD36E8"/>
    <w:rsid w:val="57F62EFB"/>
    <w:rsid w:val="580301D9"/>
    <w:rsid w:val="581035A9"/>
    <w:rsid w:val="581A72CB"/>
    <w:rsid w:val="585C1720"/>
    <w:rsid w:val="58602470"/>
    <w:rsid w:val="58673467"/>
    <w:rsid w:val="586B6A32"/>
    <w:rsid w:val="58796866"/>
    <w:rsid w:val="588B3CCD"/>
    <w:rsid w:val="588D61B4"/>
    <w:rsid w:val="58907D08"/>
    <w:rsid w:val="58963D76"/>
    <w:rsid w:val="589C4E3D"/>
    <w:rsid w:val="589D1A8D"/>
    <w:rsid w:val="58A678B0"/>
    <w:rsid w:val="58AE1775"/>
    <w:rsid w:val="58B73B71"/>
    <w:rsid w:val="58CA3189"/>
    <w:rsid w:val="59170968"/>
    <w:rsid w:val="592128BA"/>
    <w:rsid w:val="594A1584"/>
    <w:rsid w:val="59561490"/>
    <w:rsid w:val="595A1308"/>
    <w:rsid w:val="597918A3"/>
    <w:rsid w:val="59840BCE"/>
    <w:rsid w:val="59B3163C"/>
    <w:rsid w:val="59CB3F29"/>
    <w:rsid w:val="59CC223B"/>
    <w:rsid w:val="59DE02B0"/>
    <w:rsid w:val="59E96746"/>
    <w:rsid w:val="59EE6C20"/>
    <w:rsid w:val="5A105AE3"/>
    <w:rsid w:val="5A1A7D97"/>
    <w:rsid w:val="5A1B07AA"/>
    <w:rsid w:val="5A1B2858"/>
    <w:rsid w:val="5A1F736B"/>
    <w:rsid w:val="5A3A0ECE"/>
    <w:rsid w:val="5A446CAD"/>
    <w:rsid w:val="5A4B1CC2"/>
    <w:rsid w:val="5A5742E1"/>
    <w:rsid w:val="5A585B5B"/>
    <w:rsid w:val="5A6F20DD"/>
    <w:rsid w:val="5A776D53"/>
    <w:rsid w:val="5A7C46C3"/>
    <w:rsid w:val="5A805D61"/>
    <w:rsid w:val="5A964BD1"/>
    <w:rsid w:val="5ABAB8DE"/>
    <w:rsid w:val="5AC72093"/>
    <w:rsid w:val="5AC830A9"/>
    <w:rsid w:val="5AC8379A"/>
    <w:rsid w:val="5ACD39D4"/>
    <w:rsid w:val="5ADC770F"/>
    <w:rsid w:val="5AE0479A"/>
    <w:rsid w:val="5AEA2D9F"/>
    <w:rsid w:val="5B0A1857"/>
    <w:rsid w:val="5B21787C"/>
    <w:rsid w:val="5B373CD5"/>
    <w:rsid w:val="5B465683"/>
    <w:rsid w:val="5B535084"/>
    <w:rsid w:val="5B5452E1"/>
    <w:rsid w:val="5B5646A1"/>
    <w:rsid w:val="5B5D2E73"/>
    <w:rsid w:val="5B773940"/>
    <w:rsid w:val="5B9E3C6C"/>
    <w:rsid w:val="5BA20D60"/>
    <w:rsid w:val="5BC3273C"/>
    <w:rsid w:val="5BC66402"/>
    <w:rsid w:val="5BD33C8C"/>
    <w:rsid w:val="5BE31376"/>
    <w:rsid w:val="5BEC65E5"/>
    <w:rsid w:val="5BF62DD1"/>
    <w:rsid w:val="5C0C052C"/>
    <w:rsid w:val="5C1D09CB"/>
    <w:rsid w:val="5C2C7E3C"/>
    <w:rsid w:val="5C381629"/>
    <w:rsid w:val="5C473C50"/>
    <w:rsid w:val="5C600B75"/>
    <w:rsid w:val="5C7102B9"/>
    <w:rsid w:val="5C7566EB"/>
    <w:rsid w:val="5C7E2ABA"/>
    <w:rsid w:val="5CA235A9"/>
    <w:rsid w:val="5CC56210"/>
    <w:rsid w:val="5CCE6A7C"/>
    <w:rsid w:val="5CD22653"/>
    <w:rsid w:val="5CE64F18"/>
    <w:rsid w:val="5CE73D8B"/>
    <w:rsid w:val="5CEF165C"/>
    <w:rsid w:val="5CF37FEA"/>
    <w:rsid w:val="5CF8285E"/>
    <w:rsid w:val="5D131FC4"/>
    <w:rsid w:val="5D1D4002"/>
    <w:rsid w:val="5D327B1E"/>
    <w:rsid w:val="5D334D74"/>
    <w:rsid w:val="5D3A70EE"/>
    <w:rsid w:val="5D3C22BB"/>
    <w:rsid w:val="5D423AD9"/>
    <w:rsid w:val="5D4B6815"/>
    <w:rsid w:val="5D4F7236"/>
    <w:rsid w:val="5D576135"/>
    <w:rsid w:val="5D820364"/>
    <w:rsid w:val="5D88339F"/>
    <w:rsid w:val="5D8F7FDA"/>
    <w:rsid w:val="5D9C181B"/>
    <w:rsid w:val="5D9F39D3"/>
    <w:rsid w:val="5DA3480F"/>
    <w:rsid w:val="5DB26B6E"/>
    <w:rsid w:val="5DC43F84"/>
    <w:rsid w:val="5DC7217C"/>
    <w:rsid w:val="5DD150EE"/>
    <w:rsid w:val="5DD34BCA"/>
    <w:rsid w:val="5DE336AE"/>
    <w:rsid w:val="5DEF22BF"/>
    <w:rsid w:val="5DEF5B1C"/>
    <w:rsid w:val="5DF82661"/>
    <w:rsid w:val="5DFE70FF"/>
    <w:rsid w:val="5E0617C8"/>
    <w:rsid w:val="5E240E3D"/>
    <w:rsid w:val="5E380841"/>
    <w:rsid w:val="5E54611D"/>
    <w:rsid w:val="5E5F7B71"/>
    <w:rsid w:val="5E651586"/>
    <w:rsid w:val="5E7603C2"/>
    <w:rsid w:val="5E8048B9"/>
    <w:rsid w:val="5E884C91"/>
    <w:rsid w:val="5E9D131B"/>
    <w:rsid w:val="5E9D6D36"/>
    <w:rsid w:val="5E9F37E4"/>
    <w:rsid w:val="5EA41836"/>
    <w:rsid w:val="5EB41B36"/>
    <w:rsid w:val="5ED209B4"/>
    <w:rsid w:val="5EF408EA"/>
    <w:rsid w:val="5EF62DCD"/>
    <w:rsid w:val="5F0409D1"/>
    <w:rsid w:val="5F074010"/>
    <w:rsid w:val="5F093089"/>
    <w:rsid w:val="5F0B6D90"/>
    <w:rsid w:val="5F167E58"/>
    <w:rsid w:val="5F200060"/>
    <w:rsid w:val="5F200503"/>
    <w:rsid w:val="5F283835"/>
    <w:rsid w:val="5F2A434F"/>
    <w:rsid w:val="5F2C5231"/>
    <w:rsid w:val="5F313E05"/>
    <w:rsid w:val="5F367B5E"/>
    <w:rsid w:val="5F406AA4"/>
    <w:rsid w:val="5F424112"/>
    <w:rsid w:val="5F514ADF"/>
    <w:rsid w:val="5F597808"/>
    <w:rsid w:val="5F5A15AE"/>
    <w:rsid w:val="5F5A3AA9"/>
    <w:rsid w:val="5F6A00E1"/>
    <w:rsid w:val="5F7A1C50"/>
    <w:rsid w:val="5F884A61"/>
    <w:rsid w:val="5F8969DE"/>
    <w:rsid w:val="5FB31D7E"/>
    <w:rsid w:val="5FCD5BE9"/>
    <w:rsid w:val="5FD96977"/>
    <w:rsid w:val="5FEA0785"/>
    <w:rsid w:val="60335D74"/>
    <w:rsid w:val="60362DCC"/>
    <w:rsid w:val="603715D6"/>
    <w:rsid w:val="603B10E0"/>
    <w:rsid w:val="60511A3C"/>
    <w:rsid w:val="60583C83"/>
    <w:rsid w:val="606D2000"/>
    <w:rsid w:val="60863BD5"/>
    <w:rsid w:val="60931714"/>
    <w:rsid w:val="6097145D"/>
    <w:rsid w:val="60AA48B6"/>
    <w:rsid w:val="60C24131"/>
    <w:rsid w:val="60D237A4"/>
    <w:rsid w:val="61124585"/>
    <w:rsid w:val="611D329E"/>
    <w:rsid w:val="612455CB"/>
    <w:rsid w:val="61675733"/>
    <w:rsid w:val="61725079"/>
    <w:rsid w:val="618B2E1D"/>
    <w:rsid w:val="61970898"/>
    <w:rsid w:val="61A44D62"/>
    <w:rsid w:val="61AC1286"/>
    <w:rsid w:val="61AD3C17"/>
    <w:rsid w:val="61B2747F"/>
    <w:rsid w:val="61C50E5C"/>
    <w:rsid w:val="61D216C0"/>
    <w:rsid w:val="61D9631D"/>
    <w:rsid w:val="61E4588E"/>
    <w:rsid w:val="61F457D2"/>
    <w:rsid w:val="61FC1714"/>
    <w:rsid w:val="620346AB"/>
    <w:rsid w:val="621458F6"/>
    <w:rsid w:val="621A190D"/>
    <w:rsid w:val="621C5F0E"/>
    <w:rsid w:val="6235591B"/>
    <w:rsid w:val="62403FAE"/>
    <w:rsid w:val="62422092"/>
    <w:rsid w:val="626529D8"/>
    <w:rsid w:val="626A1A13"/>
    <w:rsid w:val="626E4941"/>
    <w:rsid w:val="6271733B"/>
    <w:rsid w:val="62905C19"/>
    <w:rsid w:val="62BE0820"/>
    <w:rsid w:val="62CD0CBF"/>
    <w:rsid w:val="62D41677"/>
    <w:rsid w:val="62D90A3C"/>
    <w:rsid w:val="62EF64B1"/>
    <w:rsid w:val="62FF4DAE"/>
    <w:rsid w:val="632E4BEC"/>
    <w:rsid w:val="6336450B"/>
    <w:rsid w:val="633E29F1"/>
    <w:rsid w:val="63512BEB"/>
    <w:rsid w:val="63565C60"/>
    <w:rsid w:val="63660521"/>
    <w:rsid w:val="636B1FDC"/>
    <w:rsid w:val="637673F1"/>
    <w:rsid w:val="63834B98"/>
    <w:rsid w:val="6386195F"/>
    <w:rsid w:val="639A2159"/>
    <w:rsid w:val="63B51214"/>
    <w:rsid w:val="63E350BF"/>
    <w:rsid w:val="63E82EF3"/>
    <w:rsid w:val="63EC6246"/>
    <w:rsid w:val="63EE735E"/>
    <w:rsid w:val="63F035DB"/>
    <w:rsid w:val="63F3443B"/>
    <w:rsid w:val="63FC01A1"/>
    <w:rsid w:val="64023C69"/>
    <w:rsid w:val="640E2967"/>
    <w:rsid w:val="640F1388"/>
    <w:rsid w:val="64151F48"/>
    <w:rsid w:val="6439233B"/>
    <w:rsid w:val="6439616B"/>
    <w:rsid w:val="647924D6"/>
    <w:rsid w:val="648C220A"/>
    <w:rsid w:val="648E0AED"/>
    <w:rsid w:val="64920E2E"/>
    <w:rsid w:val="649308D4"/>
    <w:rsid w:val="64947766"/>
    <w:rsid w:val="64AB585C"/>
    <w:rsid w:val="64B46ABA"/>
    <w:rsid w:val="64B8389C"/>
    <w:rsid w:val="64C75721"/>
    <w:rsid w:val="64D66369"/>
    <w:rsid w:val="64E927CF"/>
    <w:rsid w:val="64F65935"/>
    <w:rsid w:val="651F2B8C"/>
    <w:rsid w:val="6545760A"/>
    <w:rsid w:val="6562503C"/>
    <w:rsid w:val="65640A91"/>
    <w:rsid w:val="65877B96"/>
    <w:rsid w:val="65972BBB"/>
    <w:rsid w:val="65AE338B"/>
    <w:rsid w:val="65C17EBA"/>
    <w:rsid w:val="65C37EAD"/>
    <w:rsid w:val="65E816C2"/>
    <w:rsid w:val="65EC71F6"/>
    <w:rsid w:val="65F20792"/>
    <w:rsid w:val="65F31354"/>
    <w:rsid w:val="66110F6F"/>
    <w:rsid w:val="663133AD"/>
    <w:rsid w:val="66384DD9"/>
    <w:rsid w:val="663F0BF9"/>
    <w:rsid w:val="66557CF6"/>
    <w:rsid w:val="665652B2"/>
    <w:rsid w:val="666E44D5"/>
    <w:rsid w:val="66827698"/>
    <w:rsid w:val="66A53B29"/>
    <w:rsid w:val="66DE4873"/>
    <w:rsid w:val="66E216EE"/>
    <w:rsid w:val="66EA0A0F"/>
    <w:rsid w:val="66F8717A"/>
    <w:rsid w:val="670C15BE"/>
    <w:rsid w:val="67253FF9"/>
    <w:rsid w:val="672D2ABB"/>
    <w:rsid w:val="67307F10"/>
    <w:rsid w:val="673171B6"/>
    <w:rsid w:val="6765363D"/>
    <w:rsid w:val="6767497C"/>
    <w:rsid w:val="6775374C"/>
    <w:rsid w:val="6789124C"/>
    <w:rsid w:val="678C3662"/>
    <w:rsid w:val="67952CA6"/>
    <w:rsid w:val="679821A1"/>
    <w:rsid w:val="67B61541"/>
    <w:rsid w:val="67D821B5"/>
    <w:rsid w:val="67DA4307"/>
    <w:rsid w:val="67DA608E"/>
    <w:rsid w:val="67EC7834"/>
    <w:rsid w:val="67FA150B"/>
    <w:rsid w:val="682A0E30"/>
    <w:rsid w:val="682B23DF"/>
    <w:rsid w:val="682D0990"/>
    <w:rsid w:val="683C4516"/>
    <w:rsid w:val="683E5E2B"/>
    <w:rsid w:val="68441E11"/>
    <w:rsid w:val="6854434D"/>
    <w:rsid w:val="685D486F"/>
    <w:rsid w:val="686747A3"/>
    <w:rsid w:val="6871579A"/>
    <w:rsid w:val="688161C3"/>
    <w:rsid w:val="68895987"/>
    <w:rsid w:val="688B31AD"/>
    <w:rsid w:val="688D424E"/>
    <w:rsid w:val="688E13DA"/>
    <w:rsid w:val="689A52B4"/>
    <w:rsid w:val="689E17EA"/>
    <w:rsid w:val="68B67E89"/>
    <w:rsid w:val="68C2564E"/>
    <w:rsid w:val="68CF6B69"/>
    <w:rsid w:val="68E048D2"/>
    <w:rsid w:val="68F04EED"/>
    <w:rsid w:val="68F42C69"/>
    <w:rsid w:val="692B492E"/>
    <w:rsid w:val="6930318C"/>
    <w:rsid w:val="69360996"/>
    <w:rsid w:val="693A198C"/>
    <w:rsid w:val="696526E0"/>
    <w:rsid w:val="696A6892"/>
    <w:rsid w:val="697A519F"/>
    <w:rsid w:val="69885161"/>
    <w:rsid w:val="698E2580"/>
    <w:rsid w:val="69A351DE"/>
    <w:rsid w:val="69B648E2"/>
    <w:rsid w:val="69CD512F"/>
    <w:rsid w:val="69CE0BCF"/>
    <w:rsid w:val="69DD13F3"/>
    <w:rsid w:val="69DE76FB"/>
    <w:rsid w:val="69E3601A"/>
    <w:rsid w:val="69E92EC5"/>
    <w:rsid w:val="69F30726"/>
    <w:rsid w:val="69FA0426"/>
    <w:rsid w:val="69FC1BE0"/>
    <w:rsid w:val="6A1A64AC"/>
    <w:rsid w:val="6A3F1EE4"/>
    <w:rsid w:val="6A4B3298"/>
    <w:rsid w:val="6A4E0232"/>
    <w:rsid w:val="6A5401BF"/>
    <w:rsid w:val="6A614716"/>
    <w:rsid w:val="6A7A1D4F"/>
    <w:rsid w:val="6A7D0039"/>
    <w:rsid w:val="6A8D3AC4"/>
    <w:rsid w:val="6AC82FF8"/>
    <w:rsid w:val="6ACA00B4"/>
    <w:rsid w:val="6ACD3603"/>
    <w:rsid w:val="6AE37E2C"/>
    <w:rsid w:val="6AE46853"/>
    <w:rsid w:val="6AFF5A06"/>
    <w:rsid w:val="6B235DBA"/>
    <w:rsid w:val="6B5542E6"/>
    <w:rsid w:val="6B672AA7"/>
    <w:rsid w:val="6B6F40B2"/>
    <w:rsid w:val="6B822BB4"/>
    <w:rsid w:val="6B8462BD"/>
    <w:rsid w:val="6B8D59EC"/>
    <w:rsid w:val="6B901CB9"/>
    <w:rsid w:val="6B914DEA"/>
    <w:rsid w:val="6B9526A7"/>
    <w:rsid w:val="6BA81CC8"/>
    <w:rsid w:val="6BAD27BB"/>
    <w:rsid w:val="6BCF3EB0"/>
    <w:rsid w:val="6BD04134"/>
    <w:rsid w:val="6BD33730"/>
    <w:rsid w:val="6BDA1C3F"/>
    <w:rsid w:val="6BDEDB0D"/>
    <w:rsid w:val="6BE60609"/>
    <w:rsid w:val="6C040369"/>
    <w:rsid w:val="6C0E5BFA"/>
    <w:rsid w:val="6C267FC7"/>
    <w:rsid w:val="6C35207C"/>
    <w:rsid w:val="6C3A079D"/>
    <w:rsid w:val="6C4866DC"/>
    <w:rsid w:val="6C4C7B32"/>
    <w:rsid w:val="6C4F7CAB"/>
    <w:rsid w:val="6C542CB5"/>
    <w:rsid w:val="6C574519"/>
    <w:rsid w:val="6C5C7967"/>
    <w:rsid w:val="6C5D623A"/>
    <w:rsid w:val="6C6F4FD0"/>
    <w:rsid w:val="6C7911C8"/>
    <w:rsid w:val="6C844669"/>
    <w:rsid w:val="6CB726B3"/>
    <w:rsid w:val="6CF0156B"/>
    <w:rsid w:val="6CF24646"/>
    <w:rsid w:val="6CF72520"/>
    <w:rsid w:val="6D037A84"/>
    <w:rsid w:val="6D056FFD"/>
    <w:rsid w:val="6D061C0E"/>
    <w:rsid w:val="6D0F391F"/>
    <w:rsid w:val="6D207C9D"/>
    <w:rsid w:val="6D314D40"/>
    <w:rsid w:val="6D5A6814"/>
    <w:rsid w:val="6D5C4743"/>
    <w:rsid w:val="6D5D0BE7"/>
    <w:rsid w:val="6D644260"/>
    <w:rsid w:val="6D6A2E96"/>
    <w:rsid w:val="6D7F1BAA"/>
    <w:rsid w:val="6D871F86"/>
    <w:rsid w:val="6DC20695"/>
    <w:rsid w:val="6DDB1B0C"/>
    <w:rsid w:val="6DDE7048"/>
    <w:rsid w:val="6DF93D7F"/>
    <w:rsid w:val="6E0E1EE1"/>
    <w:rsid w:val="6E196AE7"/>
    <w:rsid w:val="6E245261"/>
    <w:rsid w:val="6E31378E"/>
    <w:rsid w:val="6E525215"/>
    <w:rsid w:val="6E52536A"/>
    <w:rsid w:val="6E62222D"/>
    <w:rsid w:val="6E6F4C4A"/>
    <w:rsid w:val="6E70290C"/>
    <w:rsid w:val="6E7315F8"/>
    <w:rsid w:val="6E7C6670"/>
    <w:rsid w:val="6E8C207A"/>
    <w:rsid w:val="6E916777"/>
    <w:rsid w:val="6E9E7C2F"/>
    <w:rsid w:val="6EA4112D"/>
    <w:rsid w:val="6EB23617"/>
    <w:rsid w:val="6EBA6FC6"/>
    <w:rsid w:val="6ED06A2E"/>
    <w:rsid w:val="6EDF387E"/>
    <w:rsid w:val="6EE51C42"/>
    <w:rsid w:val="6EEB2223"/>
    <w:rsid w:val="6EF63558"/>
    <w:rsid w:val="6EFB1A61"/>
    <w:rsid w:val="6F062BB9"/>
    <w:rsid w:val="6F077E1F"/>
    <w:rsid w:val="6F091C15"/>
    <w:rsid w:val="6F0F1161"/>
    <w:rsid w:val="6F0F5F11"/>
    <w:rsid w:val="6F2E08E2"/>
    <w:rsid w:val="6F34240B"/>
    <w:rsid w:val="6F676976"/>
    <w:rsid w:val="6F6A2606"/>
    <w:rsid w:val="6F70290A"/>
    <w:rsid w:val="6F781206"/>
    <w:rsid w:val="6F7B0EC9"/>
    <w:rsid w:val="6F8327ED"/>
    <w:rsid w:val="6FBB4455"/>
    <w:rsid w:val="6FDD08FA"/>
    <w:rsid w:val="6FE42BFA"/>
    <w:rsid w:val="6FF86BC1"/>
    <w:rsid w:val="6FFF4389"/>
    <w:rsid w:val="7003183A"/>
    <w:rsid w:val="701742D5"/>
    <w:rsid w:val="70180D6C"/>
    <w:rsid w:val="7026388B"/>
    <w:rsid w:val="70272E83"/>
    <w:rsid w:val="704A21B9"/>
    <w:rsid w:val="706A7676"/>
    <w:rsid w:val="709510C8"/>
    <w:rsid w:val="70AE0947"/>
    <w:rsid w:val="70B278F0"/>
    <w:rsid w:val="70BE0E9C"/>
    <w:rsid w:val="70D203BD"/>
    <w:rsid w:val="70E71542"/>
    <w:rsid w:val="70EC7185"/>
    <w:rsid w:val="70EE14DF"/>
    <w:rsid w:val="70EF7378"/>
    <w:rsid w:val="70F770E6"/>
    <w:rsid w:val="71000962"/>
    <w:rsid w:val="7113156F"/>
    <w:rsid w:val="711C1444"/>
    <w:rsid w:val="712C01FC"/>
    <w:rsid w:val="712C3F43"/>
    <w:rsid w:val="71464DCA"/>
    <w:rsid w:val="714702CD"/>
    <w:rsid w:val="71585F6A"/>
    <w:rsid w:val="716A5966"/>
    <w:rsid w:val="716F53C5"/>
    <w:rsid w:val="718D3739"/>
    <w:rsid w:val="71A82025"/>
    <w:rsid w:val="71B733F2"/>
    <w:rsid w:val="71CF3CDA"/>
    <w:rsid w:val="71EF6A21"/>
    <w:rsid w:val="71FB06CB"/>
    <w:rsid w:val="720A44F4"/>
    <w:rsid w:val="720C4844"/>
    <w:rsid w:val="72127AC6"/>
    <w:rsid w:val="72312642"/>
    <w:rsid w:val="72314537"/>
    <w:rsid w:val="72367C35"/>
    <w:rsid w:val="72604CD6"/>
    <w:rsid w:val="72656873"/>
    <w:rsid w:val="726C317E"/>
    <w:rsid w:val="726D1B2C"/>
    <w:rsid w:val="726D5403"/>
    <w:rsid w:val="727835BA"/>
    <w:rsid w:val="72806754"/>
    <w:rsid w:val="72882202"/>
    <w:rsid w:val="729055BB"/>
    <w:rsid w:val="72A050D2"/>
    <w:rsid w:val="72AE33E1"/>
    <w:rsid w:val="72EC0317"/>
    <w:rsid w:val="72F00EFF"/>
    <w:rsid w:val="72FA3ADD"/>
    <w:rsid w:val="730E4732"/>
    <w:rsid w:val="73105638"/>
    <w:rsid w:val="73184E56"/>
    <w:rsid w:val="731F249B"/>
    <w:rsid w:val="732606F6"/>
    <w:rsid w:val="7329156C"/>
    <w:rsid w:val="733A64F8"/>
    <w:rsid w:val="733C7AFF"/>
    <w:rsid w:val="73434637"/>
    <w:rsid w:val="734C455D"/>
    <w:rsid w:val="736C7679"/>
    <w:rsid w:val="73787287"/>
    <w:rsid w:val="73862E3D"/>
    <w:rsid w:val="739A5DD6"/>
    <w:rsid w:val="739C4EAC"/>
    <w:rsid w:val="73AE7E01"/>
    <w:rsid w:val="73B920AC"/>
    <w:rsid w:val="73D565A9"/>
    <w:rsid w:val="73E56B6B"/>
    <w:rsid w:val="73F321F2"/>
    <w:rsid w:val="73F5E890"/>
    <w:rsid w:val="73FB4CB6"/>
    <w:rsid w:val="74001A6C"/>
    <w:rsid w:val="740A0AA3"/>
    <w:rsid w:val="742833CA"/>
    <w:rsid w:val="74297E1B"/>
    <w:rsid w:val="743E5D6B"/>
    <w:rsid w:val="744655AC"/>
    <w:rsid w:val="74691CF1"/>
    <w:rsid w:val="746A5998"/>
    <w:rsid w:val="746B4112"/>
    <w:rsid w:val="748A428C"/>
    <w:rsid w:val="74A6204D"/>
    <w:rsid w:val="74A967DB"/>
    <w:rsid w:val="74D52A3C"/>
    <w:rsid w:val="74D87242"/>
    <w:rsid w:val="74FA0A81"/>
    <w:rsid w:val="74FA8FDD"/>
    <w:rsid w:val="750A51DD"/>
    <w:rsid w:val="750E15B2"/>
    <w:rsid w:val="752043FE"/>
    <w:rsid w:val="752C68C6"/>
    <w:rsid w:val="753D283B"/>
    <w:rsid w:val="753F6323"/>
    <w:rsid w:val="754107AC"/>
    <w:rsid w:val="75412B9C"/>
    <w:rsid w:val="755D54FC"/>
    <w:rsid w:val="756B19C7"/>
    <w:rsid w:val="75B40B63"/>
    <w:rsid w:val="75B47C74"/>
    <w:rsid w:val="75BC4A71"/>
    <w:rsid w:val="75C35466"/>
    <w:rsid w:val="75CE4075"/>
    <w:rsid w:val="75FF5608"/>
    <w:rsid w:val="760A05A9"/>
    <w:rsid w:val="762F6E99"/>
    <w:rsid w:val="763760D4"/>
    <w:rsid w:val="763A620D"/>
    <w:rsid w:val="763D7808"/>
    <w:rsid w:val="765C7E27"/>
    <w:rsid w:val="765D5C0D"/>
    <w:rsid w:val="76653089"/>
    <w:rsid w:val="76780A1E"/>
    <w:rsid w:val="767F1D80"/>
    <w:rsid w:val="76A773F3"/>
    <w:rsid w:val="76B94DAA"/>
    <w:rsid w:val="76BD26F7"/>
    <w:rsid w:val="76E172FD"/>
    <w:rsid w:val="76E25292"/>
    <w:rsid w:val="76EF57DD"/>
    <w:rsid w:val="77003254"/>
    <w:rsid w:val="7706409E"/>
    <w:rsid w:val="7723408E"/>
    <w:rsid w:val="77250CAD"/>
    <w:rsid w:val="772A52C1"/>
    <w:rsid w:val="772B2E1E"/>
    <w:rsid w:val="772D4A6C"/>
    <w:rsid w:val="773A06CB"/>
    <w:rsid w:val="777971DA"/>
    <w:rsid w:val="77A2072F"/>
    <w:rsid w:val="77A20F9E"/>
    <w:rsid w:val="77B372A5"/>
    <w:rsid w:val="77B43176"/>
    <w:rsid w:val="77C1415C"/>
    <w:rsid w:val="77C875A5"/>
    <w:rsid w:val="77D27A9D"/>
    <w:rsid w:val="77E02CA2"/>
    <w:rsid w:val="77F04406"/>
    <w:rsid w:val="77FD574B"/>
    <w:rsid w:val="780E79D5"/>
    <w:rsid w:val="78341863"/>
    <w:rsid w:val="7840713B"/>
    <w:rsid w:val="78470E02"/>
    <w:rsid w:val="78485FF0"/>
    <w:rsid w:val="78492579"/>
    <w:rsid w:val="784A7505"/>
    <w:rsid w:val="78811007"/>
    <w:rsid w:val="788814A9"/>
    <w:rsid w:val="78922459"/>
    <w:rsid w:val="78932ADF"/>
    <w:rsid w:val="78B01070"/>
    <w:rsid w:val="78D87374"/>
    <w:rsid w:val="78FDC950"/>
    <w:rsid w:val="790B4D25"/>
    <w:rsid w:val="7912453D"/>
    <w:rsid w:val="79251EF9"/>
    <w:rsid w:val="79473ABD"/>
    <w:rsid w:val="7975290A"/>
    <w:rsid w:val="798474FC"/>
    <w:rsid w:val="798830D8"/>
    <w:rsid w:val="798D2E18"/>
    <w:rsid w:val="799314ED"/>
    <w:rsid w:val="79A92B35"/>
    <w:rsid w:val="79AC5645"/>
    <w:rsid w:val="79BC5DCF"/>
    <w:rsid w:val="79C124FE"/>
    <w:rsid w:val="79E366D8"/>
    <w:rsid w:val="79E81DD8"/>
    <w:rsid w:val="79EA3C07"/>
    <w:rsid w:val="7A073E69"/>
    <w:rsid w:val="7A0C74F9"/>
    <w:rsid w:val="7A182012"/>
    <w:rsid w:val="7A265B84"/>
    <w:rsid w:val="7A446715"/>
    <w:rsid w:val="7A450285"/>
    <w:rsid w:val="7A461D7F"/>
    <w:rsid w:val="7A9B4AFD"/>
    <w:rsid w:val="7AA20E97"/>
    <w:rsid w:val="7AA601EE"/>
    <w:rsid w:val="7AB84811"/>
    <w:rsid w:val="7AD40F93"/>
    <w:rsid w:val="7AE90865"/>
    <w:rsid w:val="7AFB70D8"/>
    <w:rsid w:val="7B0C2723"/>
    <w:rsid w:val="7B1E128A"/>
    <w:rsid w:val="7B2C27E5"/>
    <w:rsid w:val="7B2F6EED"/>
    <w:rsid w:val="7B366018"/>
    <w:rsid w:val="7B441BC2"/>
    <w:rsid w:val="7B461C39"/>
    <w:rsid w:val="7B50152B"/>
    <w:rsid w:val="7B533629"/>
    <w:rsid w:val="7B5D4024"/>
    <w:rsid w:val="7B61576F"/>
    <w:rsid w:val="7B626777"/>
    <w:rsid w:val="7B78719A"/>
    <w:rsid w:val="7B8A4C7B"/>
    <w:rsid w:val="7B963516"/>
    <w:rsid w:val="7BA67B98"/>
    <w:rsid w:val="7BA95BAF"/>
    <w:rsid w:val="7BB221D7"/>
    <w:rsid w:val="7BBE7167"/>
    <w:rsid w:val="7BCF7B74"/>
    <w:rsid w:val="7BE15E8E"/>
    <w:rsid w:val="7BE232CD"/>
    <w:rsid w:val="7BF1353F"/>
    <w:rsid w:val="7C1E6F9C"/>
    <w:rsid w:val="7C2B21A8"/>
    <w:rsid w:val="7C367925"/>
    <w:rsid w:val="7C4A67DB"/>
    <w:rsid w:val="7C4D25C5"/>
    <w:rsid w:val="7C523560"/>
    <w:rsid w:val="7C5424EB"/>
    <w:rsid w:val="7C5C7201"/>
    <w:rsid w:val="7C657F3C"/>
    <w:rsid w:val="7C7265F0"/>
    <w:rsid w:val="7C812655"/>
    <w:rsid w:val="7C8141C6"/>
    <w:rsid w:val="7C8B170A"/>
    <w:rsid w:val="7C953C4E"/>
    <w:rsid w:val="7CF36E72"/>
    <w:rsid w:val="7CF9057F"/>
    <w:rsid w:val="7D0753DD"/>
    <w:rsid w:val="7D107619"/>
    <w:rsid w:val="7D237BDD"/>
    <w:rsid w:val="7D274194"/>
    <w:rsid w:val="7D3E0FE6"/>
    <w:rsid w:val="7D3F7243"/>
    <w:rsid w:val="7D5724D4"/>
    <w:rsid w:val="7D643AD2"/>
    <w:rsid w:val="7D72649B"/>
    <w:rsid w:val="7D735543"/>
    <w:rsid w:val="7D7A537C"/>
    <w:rsid w:val="7D8D1301"/>
    <w:rsid w:val="7DAE60C9"/>
    <w:rsid w:val="7DB2307C"/>
    <w:rsid w:val="7DC650FB"/>
    <w:rsid w:val="7DD04F5E"/>
    <w:rsid w:val="7DD519E8"/>
    <w:rsid w:val="7DF0430C"/>
    <w:rsid w:val="7DF54524"/>
    <w:rsid w:val="7DFA5FDE"/>
    <w:rsid w:val="7DFFECDD"/>
    <w:rsid w:val="7E291269"/>
    <w:rsid w:val="7E3C65F7"/>
    <w:rsid w:val="7E5760E7"/>
    <w:rsid w:val="7E5A01A6"/>
    <w:rsid w:val="7E693687"/>
    <w:rsid w:val="7E714602"/>
    <w:rsid w:val="7E771010"/>
    <w:rsid w:val="7E971EB3"/>
    <w:rsid w:val="7EB007AD"/>
    <w:rsid w:val="7EB4618D"/>
    <w:rsid w:val="7EBD7D92"/>
    <w:rsid w:val="7EDD487D"/>
    <w:rsid w:val="7EE453B1"/>
    <w:rsid w:val="7EE878BB"/>
    <w:rsid w:val="7EF4251F"/>
    <w:rsid w:val="7EF46951"/>
    <w:rsid w:val="7EF9CDFA"/>
    <w:rsid w:val="7F02598A"/>
    <w:rsid w:val="7F0864D9"/>
    <w:rsid w:val="7F26348C"/>
    <w:rsid w:val="7F405DE5"/>
    <w:rsid w:val="7F42525B"/>
    <w:rsid w:val="7F432C5E"/>
    <w:rsid w:val="7F5925CD"/>
    <w:rsid w:val="7F613E2D"/>
    <w:rsid w:val="7F6B2F23"/>
    <w:rsid w:val="7F8739E2"/>
    <w:rsid w:val="7F8F2756"/>
    <w:rsid w:val="7FA505D1"/>
    <w:rsid w:val="7FBB1A6B"/>
    <w:rsid w:val="7FDFF1EC"/>
    <w:rsid w:val="7FF26F99"/>
    <w:rsid w:val="9765EB1F"/>
    <w:rsid w:val="9EFA90D7"/>
    <w:rsid w:val="ADF7405A"/>
    <w:rsid w:val="AFFB829B"/>
    <w:rsid w:val="BCD32BDA"/>
    <w:rsid w:val="BFBF7F10"/>
    <w:rsid w:val="BFE137C1"/>
    <w:rsid w:val="E7BF9FF1"/>
    <w:rsid w:val="E7FB3349"/>
    <w:rsid w:val="E7FFC481"/>
    <w:rsid w:val="E9ED05DE"/>
    <w:rsid w:val="EBBF5F9D"/>
    <w:rsid w:val="EF7B3676"/>
    <w:rsid w:val="EFE7C380"/>
    <w:rsid w:val="F00EDCEA"/>
    <w:rsid w:val="F2C79264"/>
    <w:rsid w:val="F6FD55D0"/>
    <w:rsid w:val="F775F515"/>
    <w:rsid w:val="F797DF19"/>
    <w:rsid w:val="F7C428F1"/>
    <w:rsid w:val="F7CB3852"/>
    <w:rsid w:val="F8D3DAFE"/>
    <w:rsid w:val="F9938F97"/>
    <w:rsid w:val="FAE7BCB7"/>
    <w:rsid w:val="FF4F532F"/>
    <w:rsid w:val="FF7FC282"/>
    <w:rsid w:val="FF87B75D"/>
    <w:rsid w:val="FFFF37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nhideWhenUsed="0" w:uiPriority="0"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4"/>
    <w:qFormat/>
    <w:uiPriority w:val="9"/>
    <w:pPr>
      <w:keepNext/>
      <w:jc w:val="center"/>
      <w:outlineLvl w:val="0"/>
    </w:pPr>
    <w:rPr>
      <w:rFonts w:ascii="Times New Roman" w:hAnsi="Times New Roman" w:eastAsia="宋体"/>
      <w:b/>
      <w:bCs/>
      <w:sz w:val="28"/>
      <w:szCs w:val="20"/>
    </w:rPr>
  </w:style>
  <w:style w:type="paragraph" w:styleId="3">
    <w:name w:val="heading 2"/>
    <w:basedOn w:val="1"/>
    <w:next w:val="1"/>
    <w:link w:val="151"/>
    <w:qFormat/>
    <w:uiPriority w:val="9"/>
    <w:pPr>
      <w:keepNext/>
      <w:keepLines/>
      <w:spacing w:line="360" w:lineRule="auto"/>
      <w:outlineLvl w:val="1"/>
    </w:pPr>
    <w:rPr>
      <w:rFonts w:ascii="Arial" w:hAnsi="Arial"/>
      <w:b/>
      <w:bCs/>
      <w:sz w:val="24"/>
      <w:szCs w:val="32"/>
    </w:rPr>
  </w:style>
  <w:style w:type="paragraph" w:styleId="4">
    <w:name w:val="heading 3"/>
    <w:basedOn w:val="1"/>
    <w:next w:val="1"/>
    <w:link w:val="70"/>
    <w:qFormat/>
    <w:uiPriority w:val="9"/>
    <w:pPr>
      <w:keepNext/>
      <w:keepLines/>
      <w:spacing w:before="260" w:after="260" w:line="416" w:lineRule="auto"/>
      <w:outlineLvl w:val="2"/>
    </w:pPr>
    <w:rPr>
      <w:b/>
      <w:bCs/>
      <w:sz w:val="32"/>
      <w:szCs w:val="32"/>
    </w:rPr>
  </w:style>
  <w:style w:type="paragraph" w:styleId="5">
    <w:name w:val="heading 4"/>
    <w:basedOn w:val="1"/>
    <w:next w:val="1"/>
    <w:link w:val="76"/>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7"/>
    <w:qFormat/>
    <w:uiPriority w:val="9"/>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78"/>
    <w:qFormat/>
    <w:uiPriority w:val="9"/>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79"/>
    <w:qFormat/>
    <w:uiPriority w:val="9"/>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80"/>
    <w:qFormat/>
    <w:uiPriority w:val="9"/>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81"/>
    <w:qFormat/>
    <w:uiPriority w:val="9"/>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Normal Indent"/>
    <w:basedOn w:val="1"/>
    <w:qFormat/>
    <w:uiPriority w:val="0"/>
    <w:pPr>
      <w:widowControl/>
      <w:ind w:firstLine="420"/>
      <w:jc w:val="left"/>
    </w:pPr>
    <w:rPr>
      <w:kern w:val="0"/>
      <w:sz w:val="20"/>
      <w:szCs w:val="20"/>
    </w:rPr>
  </w:style>
  <w:style w:type="paragraph" w:styleId="13">
    <w:name w:val="Document Map"/>
    <w:basedOn w:val="1"/>
    <w:link w:val="105"/>
    <w:semiHidden/>
    <w:qFormat/>
    <w:uiPriority w:val="0"/>
    <w:pPr>
      <w:shd w:val="clear" w:color="auto" w:fill="000080"/>
    </w:pPr>
  </w:style>
  <w:style w:type="paragraph" w:styleId="14">
    <w:name w:val="annotation text"/>
    <w:basedOn w:val="1"/>
    <w:link w:val="89"/>
    <w:semiHidden/>
    <w:qFormat/>
    <w:uiPriority w:val="99"/>
    <w:pPr>
      <w:jc w:val="left"/>
    </w:pPr>
  </w:style>
  <w:style w:type="paragraph" w:styleId="15">
    <w:name w:val="Salutation"/>
    <w:basedOn w:val="1"/>
    <w:next w:val="1"/>
    <w:link w:val="94"/>
    <w:qFormat/>
    <w:uiPriority w:val="0"/>
    <w:rPr>
      <w:rFonts w:ascii="仿宋_GB2312" w:eastAsia="仿宋_GB2312"/>
      <w:sz w:val="24"/>
    </w:rPr>
  </w:style>
  <w:style w:type="paragraph" w:styleId="16">
    <w:name w:val="Body Text"/>
    <w:basedOn w:val="1"/>
    <w:link w:val="83"/>
    <w:qFormat/>
    <w:uiPriority w:val="0"/>
    <w:pPr>
      <w:spacing w:after="120"/>
    </w:pPr>
  </w:style>
  <w:style w:type="paragraph" w:styleId="17">
    <w:name w:val="Body Text Indent"/>
    <w:basedOn w:val="1"/>
    <w:next w:val="18"/>
    <w:link w:val="86"/>
    <w:qFormat/>
    <w:uiPriority w:val="0"/>
    <w:pPr>
      <w:spacing w:after="120"/>
      <w:ind w:left="420" w:leftChars="200"/>
    </w:pPr>
  </w:style>
  <w:style w:type="paragraph" w:customStyle="1" w:styleId="18">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21">
    <w:name w:val="toc 3"/>
    <w:basedOn w:val="1"/>
    <w:next w:val="1"/>
    <w:unhideWhenUsed/>
    <w:qFormat/>
    <w:uiPriority w:val="39"/>
    <w:pPr>
      <w:adjustRightInd w:val="0"/>
      <w:snapToGrid w:val="0"/>
      <w:spacing w:line="360" w:lineRule="auto"/>
      <w:ind w:left="400" w:leftChars="400"/>
    </w:pPr>
    <w:rPr>
      <w:rFonts w:eastAsiaTheme="minorEastAsia"/>
      <w:b/>
    </w:rPr>
  </w:style>
  <w:style w:type="paragraph" w:styleId="22">
    <w:name w:val="Plain Text"/>
    <w:basedOn w:val="1"/>
    <w:link w:val="88"/>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99"/>
    <w:qFormat/>
    <w:uiPriority w:val="0"/>
    <w:rPr>
      <w:sz w:val="24"/>
      <w:szCs w:val="20"/>
    </w:rPr>
  </w:style>
  <w:style w:type="paragraph" w:styleId="25">
    <w:name w:val="Body Text Indent 2"/>
    <w:basedOn w:val="1"/>
    <w:link w:val="96"/>
    <w:qFormat/>
    <w:uiPriority w:val="0"/>
    <w:pPr>
      <w:spacing w:after="120" w:line="480" w:lineRule="auto"/>
      <w:ind w:left="420" w:leftChars="200"/>
    </w:pPr>
  </w:style>
  <w:style w:type="paragraph" w:styleId="26">
    <w:name w:val="Balloon Text"/>
    <w:basedOn w:val="1"/>
    <w:link w:val="111"/>
    <w:qFormat/>
    <w:uiPriority w:val="99"/>
    <w:rPr>
      <w:sz w:val="18"/>
      <w:szCs w:val="18"/>
    </w:rPr>
  </w:style>
  <w:style w:type="paragraph" w:styleId="27">
    <w:name w:val="footer"/>
    <w:basedOn w:val="1"/>
    <w:link w:val="84"/>
    <w:qFormat/>
    <w:uiPriority w:val="99"/>
    <w:pPr>
      <w:tabs>
        <w:tab w:val="center" w:pos="4153"/>
        <w:tab w:val="right" w:pos="8306"/>
      </w:tabs>
      <w:snapToGrid w:val="0"/>
      <w:jc w:val="left"/>
    </w:pPr>
    <w:rPr>
      <w:sz w:val="18"/>
      <w:szCs w:val="18"/>
    </w:rPr>
  </w:style>
  <w:style w:type="paragraph" w:styleId="28">
    <w:name w:val="envelope return"/>
    <w:basedOn w:val="1"/>
    <w:unhideWhenUsed/>
    <w:qFormat/>
    <w:uiPriority w:val="99"/>
    <w:pPr>
      <w:snapToGrid w:val="0"/>
    </w:pPr>
    <w:rPr>
      <w:rFonts w:ascii="Arial" w:hAnsi="Arial"/>
    </w:rPr>
  </w:style>
  <w:style w:type="paragraph" w:styleId="29">
    <w:name w:val="header"/>
    <w:basedOn w:val="1"/>
    <w:link w:val="85"/>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spacing w:line="360" w:lineRule="auto"/>
    </w:pPr>
    <w:rPr>
      <w:rFonts w:asciiTheme="minorEastAsia" w:hAnsiTheme="minorEastAsia" w:eastAsiaTheme="minorEastAsia"/>
      <w:b/>
      <w:sz w:val="24"/>
      <w:szCs w:val="21"/>
    </w:rPr>
  </w:style>
  <w:style w:type="paragraph" w:styleId="31">
    <w:name w:val="toc 4"/>
    <w:basedOn w:val="1"/>
    <w:next w:val="1"/>
    <w:unhideWhenUsed/>
    <w:qFormat/>
    <w:uiPriority w:val="39"/>
    <w:pPr>
      <w:adjustRightInd w:val="0"/>
      <w:snapToGrid w:val="0"/>
      <w:spacing w:line="360" w:lineRule="auto"/>
      <w:ind w:left="600" w:leftChars="600"/>
    </w:pPr>
    <w:rPr>
      <w:rFonts w:asciiTheme="minorHAnsi" w:hAnsiTheme="minorHAnsi" w:eastAsiaTheme="minorEastAsia" w:cstheme="minorBidi"/>
      <w:b/>
      <w:szCs w:val="22"/>
    </w:rPr>
  </w:style>
  <w:style w:type="paragraph" w:styleId="32">
    <w:name w:val="toc 6"/>
    <w:basedOn w:val="1"/>
    <w:next w:val="1"/>
    <w:qFormat/>
    <w:uiPriority w:val="39"/>
    <w:pPr>
      <w:ind w:left="2100"/>
    </w:pPr>
    <w:rPr>
      <w:szCs w:val="20"/>
    </w:rPr>
  </w:style>
  <w:style w:type="paragraph" w:styleId="33">
    <w:name w:val="Body Text Indent 3"/>
    <w:basedOn w:val="1"/>
    <w:link w:val="98"/>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ind w:left="200" w:leftChars="200"/>
    </w:pPr>
    <w:rPr>
      <w:rFonts w:eastAsiaTheme="majorEastAsia"/>
      <w:b/>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95"/>
    <w:qFormat/>
    <w:uiPriority w:val="0"/>
    <w:pPr>
      <w:spacing w:after="120" w:line="480" w:lineRule="auto"/>
    </w:pPr>
  </w:style>
  <w:style w:type="paragraph" w:styleId="37">
    <w:name w:val="HTML Preformatted"/>
    <w:basedOn w:val="1"/>
    <w:link w:val="9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next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28"/>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4"/>
    <w:next w:val="14"/>
    <w:link w:val="110"/>
    <w:qFormat/>
    <w:uiPriority w:val="99"/>
    <w:rPr>
      <w:b/>
      <w:bCs/>
    </w:rPr>
  </w:style>
  <w:style w:type="paragraph" w:styleId="42">
    <w:name w:val="Body Text First Indent"/>
    <w:basedOn w:val="16"/>
    <w:qFormat/>
    <w:uiPriority w:val="0"/>
    <w:pPr>
      <w:ind w:firstLine="420" w:firstLineChars="100"/>
    </w:pPr>
  </w:style>
  <w:style w:type="paragraph" w:styleId="43">
    <w:name w:val="Body Text First Indent 2"/>
    <w:basedOn w:val="17"/>
    <w:next w:val="1"/>
    <w:qFormat/>
    <w:uiPriority w:val="0"/>
    <w:pPr>
      <w:ind w:firstLine="420" w:firstLineChars="200"/>
    </w:pPr>
  </w:style>
  <w:style w:type="table" w:styleId="45">
    <w:name w:val="Table Grid"/>
    <w:basedOn w:val="4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basedOn w:val="46"/>
    <w:qFormat/>
    <w:uiPriority w:val="0"/>
    <w:rPr>
      <w:b/>
      <w:bCs/>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20"/>
    <w:rPr>
      <w:b/>
      <w:bCs/>
    </w:rPr>
  </w:style>
  <w:style w:type="character" w:styleId="51">
    <w:name w:val="HTML Definition"/>
    <w:basedOn w:val="46"/>
    <w:semiHidden/>
    <w:unhideWhenUsed/>
    <w:qFormat/>
    <w:uiPriority w:val="99"/>
  </w:style>
  <w:style w:type="character" w:styleId="52">
    <w:name w:val="HTML Typewriter"/>
    <w:basedOn w:val="46"/>
    <w:semiHidden/>
    <w:unhideWhenUsed/>
    <w:qFormat/>
    <w:uiPriority w:val="99"/>
    <w:rPr>
      <w:rFonts w:hint="default" w:ascii="monospace" w:hAnsi="monospace" w:eastAsia="monospace" w:cs="monospace"/>
      <w:sz w:val="20"/>
    </w:rPr>
  </w:style>
  <w:style w:type="character" w:styleId="53">
    <w:name w:val="HTML Acronym"/>
    <w:basedOn w:val="46"/>
    <w:semiHidden/>
    <w:unhideWhenUsed/>
    <w:qFormat/>
    <w:uiPriority w:val="99"/>
  </w:style>
  <w:style w:type="character" w:styleId="54">
    <w:name w:val="HTML Variable"/>
    <w:basedOn w:val="46"/>
    <w:semiHidden/>
    <w:unhideWhenUsed/>
    <w:qFormat/>
    <w:uiPriority w:val="99"/>
  </w:style>
  <w:style w:type="character" w:styleId="55">
    <w:name w:val="Hyperlink"/>
    <w:qFormat/>
    <w:uiPriority w:val="99"/>
    <w:rPr>
      <w:color w:val="136EC2"/>
      <w:u w:val="single"/>
    </w:rPr>
  </w:style>
  <w:style w:type="character" w:styleId="56">
    <w:name w:val="HTML Code"/>
    <w:basedOn w:val="46"/>
    <w:semiHidden/>
    <w:unhideWhenUsed/>
    <w:qFormat/>
    <w:uiPriority w:val="99"/>
    <w:rPr>
      <w:rFonts w:ascii="monospace" w:hAnsi="monospace" w:eastAsia="monospace" w:cs="monospace"/>
      <w:sz w:val="20"/>
    </w:rPr>
  </w:style>
  <w:style w:type="character" w:styleId="57">
    <w:name w:val="annotation reference"/>
    <w:qFormat/>
    <w:uiPriority w:val="99"/>
    <w:rPr>
      <w:sz w:val="21"/>
      <w:szCs w:val="21"/>
    </w:rPr>
  </w:style>
  <w:style w:type="character" w:styleId="58">
    <w:name w:val="HTML Cite"/>
    <w:basedOn w:val="46"/>
    <w:semiHidden/>
    <w:unhideWhenUsed/>
    <w:qFormat/>
    <w:uiPriority w:val="99"/>
  </w:style>
  <w:style w:type="character" w:styleId="59">
    <w:name w:val="HTML Keyboard"/>
    <w:basedOn w:val="46"/>
    <w:semiHidden/>
    <w:unhideWhenUsed/>
    <w:qFormat/>
    <w:uiPriority w:val="99"/>
    <w:rPr>
      <w:rFonts w:hint="default" w:ascii="monospace" w:hAnsi="monospace" w:eastAsia="monospace" w:cs="monospace"/>
      <w:sz w:val="20"/>
    </w:rPr>
  </w:style>
  <w:style w:type="character" w:styleId="60">
    <w:name w:val="HTML Sample"/>
    <w:basedOn w:val="46"/>
    <w:semiHidden/>
    <w:unhideWhenUsed/>
    <w:qFormat/>
    <w:uiPriority w:val="99"/>
    <w:rPr>
      <w:rFonts w:hint="default" w:ascii="monospace" w:hAnsi="monospace" w:eastAsia="monospace" w:cs="monospace"/>
    </w:rPr>
  </w:style>
  <w:style w:type="paragraph" w:customStyle="1" w:styleId="61">
    <w:name w:val="_Style 3"/>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63">
    <w:name w:val="引言二级条标题"/>
    <w:basedOn w:val="64"/>
    <w:next w:val="65"/>
    <w:qFormat/>
    <w:uiPriority w:val="0"/>
    <w:pPr>
      <w:numPr>
        <w:ilvl w:val="1"/>
        <w:numId w:val="1"/>
      </w:numPr>
      <w:tabs>
        <w:tab w:val="left" w:pos="360"/>
        <w:tab w:val="left" w:pos="1200"/>
      </w:tabs>
    </w:pPr>
    <w:rPr>
      <w:szCs w:val="20"/>
    </w:rPr>
  </w:style>
  <w:style w:type="paragraph" w:customStyle="1" w:styleId="64">
    <w:name w:val="引言一级条标题"/>
    <w:basedOn w:val="1"/>
    <w:next w:val="65"/>
    <w:qFormat/>
    <w:uiPriority w:val="0"/>
    <w:pPr>
      <w:widowControl/>
      <w:numPr>
        <w:ilvl w:val="0"/>
        <w:numId w:val="2"/>
      </w:numPr>
    </w:pPr>
    <w:rPr>
      <w:rFonts w:eastAsia="黑体"/>
      <w:b/>
    </w:rPr>
  </w:style>
  <w:style w:type="paragraph" w:customStyle="1" w:styleId="6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customStyle="1" w:styleId="66">
    <w:name w:val="1"/>
    <w:basedOn w:val="67"/>
    <w:next w:val="17"/>
    <w:qFormat/>
    <w:uiPriority w:val="0"/>
    <w:pPr>
      <w:spacing w:afterLines="50" w:line="360" w:lineRule="auto"/>
    </w:pPr>
    <w:rPr>
      <w:rFonts w:ascii="宋体" w:hAnsi="宋体"/>
      <w:b/>
      <w:sz w:val="30"/>
    </w:rPr>
  </w:style>
  <w:style w:type="paragraph" w:customStyle="1" w:styleId="67">
    <w:name w:val="正文 New New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68">
    <w:name w:val="表格文字"/>
    <w:basedOn w:val="1"/>
    <w:qFormat/>
    <w:uiPriority w:val="0"/>
    <w:pPr>
      <w:spacing w:before="25" w:after="25"/>
      <w:jc w:val="left"/>
    </w:pPr>
    <w:rPr>
      <w:bCs/>
      <w:spacing w:val="10"/>
      <w:kern w:val="0"/>
      <w:sz w:val="24"/>
    </w:rPr>
  </w:style>
  <w:style w:type="paragraph" w:customStyle="1" w:styleId="69">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character" w:customStyle="1" w:styleId="70">
    <w:name w:val="标题 3 Char"/>
    <w:basedOn w:val="46"/>
    <w:link w:val="4"/>
    <w:qFormat/>
    <w:uiPriority w:val="9"/>
    <w:rPr>
      <w:rFonts w:ascii="Times New Roman" w:hAnsi="Times New Roman" w:eastAsia="宋体" w:cs="Times New Roman"/>
      <w:b/>
      <w:bCs/>
      <w:sz w:val="32"/>
      <w:szCs w:val="32"/>
    </w:rPr>
  </w:style>
  <w:style w:type="paragraph" w:customStyle="1" w:styleId="71">
    <w:name w:val="列出段落1"/>
    <w:basedOn w:val="72"/>
    <w:qFormat/>
    <w:uiPriority w:val="34"/>
    <w:pPr>
      <w:ind w:firstLine="420" w:firstLineChars="200"/>
    </w:pPr>
    <w:rPr>
      <w:rFonts w:eastAsiaTheme="minorEastAsia"/>
    </w:rPr>
  </w:style>
  <w:style w:type="paragraph" w:customStyle="1" w:styleId="72">
    <w:name w:val="正文_10_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正文（缩进）"/>
    <w:basedOn w:val="1"/>
    <w:qFormat/>
    <w:uiPriority w:val="0"/>
    <w:pPr>
      <w:spacing w:before="156" w:after="156"/>
      <w:ind w:firstLine="480"/>
    </w:pPr>
  </w:style>
  <w:style w:type="character" w:customStyle="1" w:styleId="74">
    <w:name w:val="标题 1 Char"/>
    <w:basedOn w:val="46"/>
    <w:link w:val="2"/>
    <w:qFormat/>
    <w:uiPriority w:val="9"/>
    <w:rPr>
      <w:rFonts w:ascii="Times New Roman" w:hAnsi="Times New Roman" w:eastAsia="宋体" w:cs="Times New Roman"/>
      <w:b/>
      <w:bCs/>
      <w:sz w:val="28"/>
      <w:szCs w:val="20"/>
    </w:rPr>
  </w:style>
  <w:style w:type="character" w:customStyle="1" w:styleId="75">
    <w:name w:val="标题 2 Char"/>
    <w:basedOn w:val="46"/>
    <w:link w:val="3"/>
    <w:qFormat/>
    <w:uiPriority w:val="9"/>
    <w:rPr>
      <w:rFonts w:ascii="Arial" w:hAnsi="Arial" w:eastAsia="宋体" w:cs="Times New Roman"/>
      <w:b/>
      <w:bCs/>
      <w:sz w:val="24"/>
      <w:szCs w:val="32"/>
    </w:rPr>
  </w:style>
  <w:style w:type="character" w:customStyle="1" w:styleId="76">
    <w:name w:val="标题 4 Char"/>
    <w:basedOn w:val="46"/>
    <w:link w:val="5"/>
    <w:qFormat/>
    <w:uiPriority w:val="9"/>
    <w:rPr>
      <w:rFonts w:ascii="Arial" w:hAnsi="Arial" w:eastAsia="黑体" w:cs="Times New Roman"/>
      <w:b/>
      <w:bCs/>
      <w:sz w:val="28"/>
      <w:szCs w:val="28"/>
    </w:rPr>
  </w:style>
  <w:style w:type="character" w:customStyle="1" w:styleId="77">
    <w:name w:val="标题 5 Char"/>
    <w:basedOn w:val="46"/>
    <w:link w:val="6"/>
    <w:qFormat/>
    <w:uiPriority w:val="9"/>
    <w:rPr>
      <w:rFonts w:ascii="Times New Roman" w:hAnsi="Times New Roman" w:eastAsia="宋体" w:cs="Times New Roman"/>
      <w:b/>
      <w:bCs/>
      <w:kern w:val="0"/>
      <w:sz w:val="28"/>
      <w:szCs w:val="28"/>
    </w:rPr>
  </w:style>
  <w:style w:type="character" w:customStyle="1" w:styleId="78">
    <w:name w:val="标题 6 Char"/>
    <w:basedOn w:val="46"/>
    <w:link w:val="7"/>
    <w:qFormat/>
    <w:uiPriority w:val="9"/>
    <w:rPr>
      <w:rFonts w:ascii="Arial" w:hAnsi="Arial" w:eastAsia="黑体" w:cs="Times New Roman"/>
      <w:b/>
      <w:bCs/>
      <w:kern w:val="0"/>
      <w:sz w:val="24"/>
      <w:szCs w:val="24"/>
    </w:rPr>
  </w:style>
  <w:style w:type="character" w:customStyle="1" w:styleId="79">
    <w:name w:val="标题 7 Char"/>
    <w:basedOn w:val="46"/>
    <w:link w:val="8"/>
    <w:qFormat/>
    <w:uiPriority w:val="9"/>
    <w:rPr>
      <w:rFonts w:ascii="Times New Roman" w:hAnsi="Times New Roman" w:eastAsia="宋体" w:cs="Times New Roman"/>
      <w:b/>
      <w:bCs/>
      <w:kern w:val="0"/>
      <w:sz w:val="24"/>
      <w:szCs w:val="24"/>
    </w:rPr>
  </w:style>
  <w:style w:type="character" w:customStyle="1" w:styleId="80">
    <w:name w:val="标题 8 Char"/>
    <w:basedOn w:val="46"/>
    <w:link w:val="9"/>
    <w:qFormat/>
    <w:uiPriority w:val="9"/>
    <w:rPr>
      <w:rFonts w:ascii="Arial" w:hAnsi="Arial" w:eastAsia="黑体" w:cs="Times New Roman"/>
      <w:kern w:val="0"/>
      <w:sz w:val="24"/>
      <w:szCs w:val="24"/>
    </w:rPr>
  </w:style>
  <w:style w:type="character" w:customStyle="1" w:styleId="81">
    <w:name w:val="标题 9 Char"/>
    <w:basedOn w:val="46"/>
    <w:link w:val="10"/>
    <w:qFormat/>
    <w:uiPriority w:val="9"/>
    <w:rPr>
      <w:rFonts w:ascii="Arial" w:hAnsi="Arial" w:eastAsia="黑体" w:cs="Times New Roman"/>
      <w:kern w:val="0"/>
      <w:szCs w:val="21"/>
    </w:rPr>
  </w:style>
  <w:style w:type="paragraph" w:customStyle="1" w:styleId="82">
    <w:name w:val="表格内容"/>
    <w:basedOn w:val="16"/>
    <w:qFormat/>
    <w:uiPriority w:val="0"/>
    <w:pPr>
      <w:suppressLineNumbers/>
      <w:suppressAutoHyphens/>
      <w:jc w:val="left"/>
    </w:pPr>
    <w:rPr>
      <w:rFonts w:cs="Tahoma"/>
      <w:kern w:val="0"/>
      <w:sz w:val="24"/>
    </w:rPr>
  </w:style>
  <w:style w:type="character" w:customStyle="1" w:styleId="83">
    <w:name w:val="正文文本 Char"/>
    <w:basedOn w:val="46"/>
    <w:link w:val="16"/>
    <w:qFormat/>
    <w:uiPriority w:val="0"/>
    <w:rPr>
      <w:rFonts w:ascii="Times New Roman" w:hAnsi="Times New Roman" w:eastAsia="宋体" w:cs="Times New Roman"/>
      <w:szCs w:val="24"/>
    </w:rPr>
  </w:style>
  <w:style w:type="character" w:customStyle="1" w:styleId="84">
    <w:name w:val="页脚 Char"/>
    <w:basedOn w:val="46"/>
    <w:link w:val="27"/>
    <w:qFormat/>
    <w:uiPriority w:val="99"/>
    <w:rPr>
      <w:rFonts w:ascii="Times New Roman" w:hAnsi="Times New Roman" w:eastAsia="宋体" w:cs="Times New Roman"/>
      <w:sz w:val="18"/>
      <w:szCs w:val="18"/>
    </w:rPr>
  </w:style>
  <w:style w:type="character" w:customStyle="1" w:styleId="85">
    <w:name w:val="页眉 Char"/>
    <w:basedOn w:val="46"/>
    <w:link w:val="29"/>
    <w:qFormat/>
    <w:uiPriority w:val="99"/>
    <w:rPr>
      <w:rFonts w:ascii="Times New Roman" w:hAnsi="Times New Roman" w:eastAsia="宋体" w:cs="Times New Roman"/>
      <w:sz w:val="18"/>
      <w:szCs w:val="18"/>
    </w:rPr>
  </w:style>
  <w:style w:type="character" w:customStyle="1" w:styleId="86">
    <w:name w:val="正文文本缩进 Char"/>
    <w:basedOn w:val="46"/>
    <w:link w:val="17"/>
    <w:qFormat/>
    <w:uiPriority w:val="0"/>
    <w:rPr>
      <w:rFonts w:ascii="Times New Roman" w:hAnsi="Times New Roman" w:eastAsia="宋体" w:cs="Times New Roman"/>
      <w:szCs w:val="24"/>
    </w:rPr>
  </w:style>
  <w:style w:type="paragraph" w:customStyle="1" w:styleId="87">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88">
    <w:name w:val="纯文本 Char"/>
    <w:basedOn w:val="46"/>
    <w:link w:val="22"/>
    <w:qFormat/>
    <w:uiPriority w:val="0"/>
    <w:rPr>
      <w:rFonts w:ascii="宋体" w:hAnsi="Courier New" w:eastAsia="宋体" w:cs="Courier New"/>
      <w:szCs w:val="21"/>
    </w:rPr>
  </w:style>
  <w:style w:type="character" w:customStyle="1" w:styleId="89">
    <w:name w:val="批注文字 Char"/>
    <w:basedOn w:val="46"/>
    <w:link w:val="14"/>
    <w:semiHidden/>
    <w:qFormat/>
    <w:uiPriority w:val="99"/>
    <w:rPr>
      <w:rFonts w:ascii="Times New Roman" w:hAnsi="Times New Roman" w:eastAsia="宋体" w:cs="Times New Roman"/>
      <w:szCs w:val="24"/>
    </w:rPr>
  </w:style>
  <w:style w:type="paragraph" w:customStyle="1" w:styleId="90">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91">
    <w:name w:val="Char Char Char"/>
    <w:basedOn w:val="1"/>
    <w:qFormat/>
    <w:uiPriority w:val="0"/>
    <w:rPr>
      <w:rFonts w:ascii="宋体" w:hAnsi="宋体"/>
      <w:b/>
      <w:sz w:val="28"/>
      <w:szCs w:val="28"/>
    </w:rPr>
  </w:style>
  <w:style w:type="paragraph" w:customStyle="1" w:styleId="92">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93">
    <w:name w:val="HTML 预设格式 Char"/>
    <w:basedOn w:val="46"/>
    <w:link w:val="37"/>
    <w:qFormat/>
    <w:uiPriority w:val="0"/>
    <w:rPr>
      <w:rFonts w:ascii="Arial" w:hAnsi="Arial" w:eastAsia="宋体" w:cs="Arial"/>
      <w:kern w:val="0"/>
      <w:sz w:val="24"/>
      <w:szCs w:val="24"/>
    </w:rPr>
  </w:style>
  <w:style w:type="character" w:customStyle="1" w:styleId="94">
    <w:name w:val="称呼 Char"/>
    <w:basedOn w:val="46"/>
    <w:link w:val="15"/>
    <w:qFormat/>
    <w:uiPriority w:val="0"/>
    <w:rPr>
      <w:rFonts w:ascii="仿宋_GB2312" w:hAnsi="Times New Roman" w:eastAsia="仿宋_GB2312" w:cs="Times New Roman"/>
      <w:sz w:val="24"/>
      <w:szCs w:val="24"/>
    </w:rPr>
  </w:style>
  <w:style w:type="character" w:customStyle="1" w:styleId="95">
    <w:name w:val="正文文本 2 Char"/>
    <w:basedOn w:val="46"/>
    <w:link w:val="36"/>
    <w:qFormat/>
    <w:uiPriority w:val="0"/>
    <w:rPr>
      <w:rFonts w:ascii="Times New Roman" w:hAnsi="Times New Roman" w:eastAsia="宋体" w:cs="Times New Roman"/>
      <w:szCs w:val="24"/>
    </w:rPr>
  </w:style>
  <w:style w:type="character" w:customStyle="1" w:styleId="96">
    <w:name w:val="正文文本缩进 2 Char"/>
    <w:basedOn w:val="46"/>
    <w:link w:val="25"/>
    <w:qFormat/>
    <w:uiPriority w:val="0"/>
    <w:rPr>
      <w:rFonts w:ascii="Times New Roman" w:hAnsi="Times New Roman" w:eastAsia="宋体" w:cs="Times New Roman"/>
      <w:szCs w:val="24"/>
    </w:rPr>
  </w:style>
  <w:style w:type="paragraph" w:customStyle="1" w:styleId="97">
    <w:name w:val="Char"/>
    <w:basedOn w:val="1"/>
    <w:qFormat/>
    <w:uiPriority w:val="0"/>
    <w:pPr>
      <w:tabs>
        <w:tab w:val="left" w:pos="360"/>
      </w:tabs>
      <w:ind w:left="360" w:hanging="360" w:hangingChars="200"/>
    </w:pPr>
    <w:rPr>
      <w:sz w:val="24"/>
    </w:rPr>
  </w:style>
  <w:style w:type="character" w:customStyle="1" w:styleId="98">
    <w:name w:val="正文文本缩进 3 Char"/>
    <w:basedOn w:val="46"/>
    <w:link w:val="33"/>
    <w:qFormat/>
    <w:uiPriority w:val="0"/>
    <w:rPr>
      <w:rFonts w:ascii="Times New Roman" w:hAnsi="Times New Roman" w:eastAsia="宋体" w:cs="Times New Roman"/>
      <w:sz w:val="16"/>
      <w:szCs w:val="16"/>
    </w:rPr>
  </w:style>
  <w:style w:type="character" w:customStyle="1" w:styleId="99">
    <w:name w:val="日期 Char"/>
    <w:basedOn w:val="46"/>
    <w:link w:val="24"/>
    <w:qFormat/>
    <w:uiPriority w:val="0"/>
    <w:rPr>
      <w:rFonts w:ascii="Times New Roman" w:hAnsi="Times New Roman" w:eastAsia="宋体" w:cs="Times New Roman"/>
      <w:sz w:val="24"/>
      <w:szCs w:val="20"/>
    </w:rPr>
  </w:style>
  <w:style w:type="paragraph" w:customStyle="1" w:styleId="100">
    <w:name w:val="样式1"/>
    <w:basedOn w:val="1"/>
    <w:link w:val="130"/>
    <w:qFormat/>
    <w:uiPriority w:val="0"/>
    <w:pPr>
      <w:tabs>
        <w:tab w:val="left" w:pos="360"/>
      </w:tabs>
      <w:adjustRightInd w:val="0"/>
      <w:ind w:left="360" w:hanging="360"/>
      <w:textAlignment w:val="baseline"/>
    </w:pPr>
    <w:rPr>
      <w:rFonts w:ascii="宋体" w:hAnsi="宋体"/>
      <w:kern w:val="0"/>
      <w:szCs w:val="21"/>
    </w:rPr>
  </w:style>
  <w:style w:type="character" w:customStyle="1" w:styleId="101">
    <w:name w:val="p0 Char"/>
    <w:link w:val="102"/>
    <w:qFormat/>
    <w:uiPriority w:val="0"/>
    <w:rPr>
      <w:rFonts w:eastAsia="宋体"/>
      <w:szCs w:val="21"/>
    </w:rPr>
  </w:style>
  <w:style w:type="paragraph" w:customStyle="1" w:styleId="102">
    <w:name w:val="p0"/>
    <w:basedOn w:val="1"/>
    <w:link w:val="101"/>
    <w:qFormat/>
    <w:uiPriority w:val="0"/>
    <w:pPr>
      <w:widowControl/>
    </w:pPr>
    <w:rPr>
      <w:rFonts w:asciiTheme="minorHAnsi" w:hAnsiTheme="minorHAnsi" w:cstheme="minorBidi"/>
      <w:szCs w:val="21"/>
    </w:rPr>
  </w:style>
  <w:style w:type="paragraph" w:customStyle="1" w:styleId="103">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104">
    <w:name w:val="Char Char1 Char Char Char Char Char1 Char Char Char Char"/>
    <w:basedOn w:val="13"/>
    <w:qFormat/>
    <w:uiPriority w:val="0"/>
    <w:rPr>
      <w:rFonts w:ascii="Tahoma" w:hAnsi="Tahoma"/>
    </w:rPr>
  </w:style>
  <w:style w:type="character" w:customStyle="1" w:styleId="105">
    <w:name w:val="文档结构图 Char"/>
    <w:basedOn w:val="46"/>
    <w:link w:val="13"/>
    <w:semiHidden/>
    <w:qFormat/>
    <w:uiPriority w:val="0"/>
    <w:rPr>
      <w:rFonts w:ascii="Times New Roman" w:hAnsi="Times New Roman" w:eastAsia="宋体" w:cs="Times New Roman"/>
      <w:szCs w:val="24"/>
      <w:shd w:val="clear" w:color="auto" w:fill="000080"/>
    </w:rPr>
  </w:style>
  <w:style w:type="paragraph" w:customStyle="1" w:styleId="106">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07">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08">
    <w:name w:val="样式 标题 2 + 宋体 五号 行距: 单倍行距"/>
    <w:basedOn w:val="3"/>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09">
    <w:name w:val="标题 1 +"/>
    <w:basedOn w:val="2"/>
    <w:next w:val="1"/>
    <w:qFormat/>
    <w:uiPriority w:val="0"/>
    <w:pPr>
      <w:keepLines/>
      <w:spacing w:line="600" w:lineRule="auto"/>
    </w:pPr>
    <w:rPr>
      <w:rFonts w:eastAsia="黑体"/>
      <w:kern w:val="0"/>
      <w:sz w:val="32"/>
      <w:szCs w:val="32"/>
    </w:rPr>
  </w:style>
  <w:style w:type="character" w:customStyle="1" w:styleId="110">
    <w:name w:val="批注主题 Char"/>
    <w:basedOn w:val="89"/>
    <w:link w:val="41"/>
    <w:qFormat/>
    <w:uiPriority w:val="99"/>
    <w:rPr>
      <w:rFonts w:ascii="Times New Roman" w:hAnsi="Times New Roman" w:eastAsia="宋体" w:cs="Times New Roman"/>
      <w:b/>
      <w:bCs/>
      <w:szCs w:val="24"/>
    </w:rPr>
  </w:style>
  <w:style w:type="character" w:customStyle="1" w:styleId="111">
    <w:name w:val="批注框文本 Char"/>
    <w:basedOn w:val="46"/>
    <w:link w:val="26"/>
    <w:qFormat/>
    <w:uiPriority w:val="99"/>
    <w:rPr>
      <w:rFonts w:ascii="Times New Roman" w:hAnsi="Times New Roman" w:eastAsia="宋体" w:cs="Times New Roman"/>
      <w:sz w:val="18"/>
      <w:szCs w:val="18"/>
    </w:rPr>
  </w:style>
  <w:style w:type="paragraph" w:customStyle="1" w:styleId="112">
    <w:name w:val="样式 标题 2 + Times New Roman 四号 非加粗 段前: 5 磅 段后: 0 磅 行距: 固定值 20..."/>
    <w:basedOn w:val="3"/>
    <w:qFormat/>
    <w:uiPriority w:val="0"/>
    <w:pPr>
      <w:spacing w:before="100" w:line="400" w:lineRule="exact"/>
    </w:pPr>
    <w:rPr>
      <w:rFonts w:ascii="Times New Roman" w:hAnsi="Times New Roman" w:eastAsia="黑体"/>
      <w:b w:val="0"/>
      <w:bCs w:val="0"/>
      <w:sz w:val="28"/>
      <w:szCs w:val="20"/>
    </w:rPr>
  </w:style>
  <w:style w:type="paragraph" w:customStyle="1" w:styleId="113">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114">
    <w:name w:val="Char1 Char Char Char 字元 Char Char 字元 Char 字元 Char1 Char Char Char"/>
    <w:basedOn w:val="1"/>
    <w:qFormat/>
    <w:uiPriority w:val="0"/>
    <w:rPr>
      <w:szCs w:val="20"/>
    </w:rPr>
  </w:style>
  <w:style w:type="paragraph" w:customStyle="1" w:styleId="115">
    <w:name w:val="p16"/>
    <w:basedOn w:val="1"/>
    <w:qFormat/>
    <w:uiPriority w:val="0"/>
    <w:pPr>
      <w:widowControl/>
      <w:jc w:val="left"/>
    </w:pPr>
    <w:rPr>
      <w:kern w:val="0"/>
      <w:szCs w:val="21"/>
    </w:rPr>
  </w:style>
  <w:style w:type="paragraph" w:customStyle="1" w:styleId="116">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1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9">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20">
    <w:name w:val="Char Char Char1 Char"/>
    <w:basedOn w:val="1"/>
    <w:qFormat/>
    <w:uiPriority w:val="0"/>
    <w:pPr>
      <w:tabs>
        <w:tab w:val="left" w:pos="360"/>
      </w:tabs>
      <w:snapToGrid w:val="0"/>
      <w:spacing w:line="360" w:lineRule="auto"/>
    </w:pPr>
    <w:rPr>
      <w:rFonts w:eastAsia="仿宋_GB2312" w:cs="宋体"/>
      <w:sz w:val="24"/>
    </w:rPr>
  </w:style>
  <w:style w:type="paragraph" w:customStyle="1" w:styleId="121">
    <w:name w:val="列出段落2"/>
    <w:basedOn w:val="1"/>
    <w:link w:val="127"/>
    <w:qFormat/>
    <w:uiPriority w:val="34"/>
    <w:pPr>
      <w:ind w:firstLine="420" w:firstLineChars="200"/>
    </w:pPr>
  </w:style>
  <w:style w:type="character" w:customStyle="1" w:styleId="122">
    <w:name w:val="fontstyle01"/>
    <w:basedOn w:val="46"/>
    <w:qFormat/>
    <w:uiPriority w:val="0"/>
    <w:rPr>
      <w:rFonts w:hint="eastAsia" w:ascii="宋体" w:hAnsi="宋体" w:eastAsia="宋体"/>
      <w:color w:val="000000"/>
      <w:sz w:val="24"/>
      <w:szCs w:val="24"/>
    </w:rPr>
  </w:style>
  <w:style w:type="character" w:customStyle="1" w:styleId="123">
    <w:name w:val="fontstyle11"/>
    <w:basedOn w:val="46"/>
    <w:qFormat/>
    <w:uiPriority w:val="0"/>
    <w:rPr>
      <w:rFonts w:hint="default" w:ascii="TimesNewRomanPSMT" w:hAnsi="TimesNewRomanPSMT"/>
      <w:color w:val="000000"/>
      <w:sz w:val="24"/>
      <w:szCs w:val="24"/>
    </w:rPr>
  </w:style>
  <w:style w:type="paragraph" w:customStyle="1" w:styleId="124">
    <w:name w:val="TOC 标题1"/>
    <w:basedOn w:val="2"/>
    <w:next w:val="1"/>
    <w:unhideWhenUsed/>
    <w:qFormat/>
    <w:uiPriority w:val="39"/>
    <w:pPr>
      <w:keepLines/>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25">
    <w:name w:val="fontstyle21"/>
    <w:basedOn w:val="46"/>
    <w:qFormat/>
    <w:uiPriority w:val="0"/>
    <w:rPr>
      <w:rFonts w:hint="eastAsia" w:ascii="宋体" w:hAnsi="宋体" w:eastAsia="宋体"/>
      <w:color w:val="993300"/>
      <w:sz w:val="24"/>
      <w:szCs w:val="24"/>
    </w:rPr>
  </w:style>
  <w:style w:type="character" w:customStyle="1" w:styleId="126">
    <w:name w:val="fontstyle31"/>
    <w:basedOn w:val="46"/>
    <w:qFormat/>
    <w:uiPriority w:val="0"/>
    <w:rPr>
      <w:rFonts w:hint="default" w:ascii="Arial" w:hAnsi="Arial" w:cs="Arial"/>
      <w:color w:val="993300"/>
      <w:sz w:val="24"/>
      <w:szCs w:val="24"/>
    </w:rPr>
  </w:style>
  <w:style w:type="character" w:customStyle="1" w:styleId="127">
    <w:name w:val="列出段落 Char"/>
    <w:link w:val="121"/>
    <w:qFormat/>
    <w:uiPriority w:val="34"/>
    <w:rPr>
      <w:rFonts w:ascii="Times New Roman" w:hAnsi="Times New Roman" w:eastAsia="宋体" w:cs="Times New Roman"/>
      <w:szCs w:val="24"/>
    </w:rPr>
  </w:style>
  <w:style w:type="character" w:customStyle="1" w:styleId="128">
    <w:name w:val="标题 Char"/>
    <w:link w:val="40"/>
    <w:qFormat/>
    <w:uiPriority w:val="0"/>
    <w:rPr>
      <w:b/>
      <w:sz w:val="32"/>
    </w:rPr>
  </w:style>
  <w:style w:type="character" w:customStyle="1" w:styleId="129">
    <w:name w:val="标题 Char1"/>
    <w:basedOn w:val="46"/>
    <w:qFormat/>
    <w:uiPriority w:val="10"/>
    <w:rPr>
      <w:rFonts w:eastAsia="宋体" w:asciiTheme="majorHAnsi" w:hAnsiTheme="majorHAnsi" w:cstheme="majorBidi"/>
      <w:b/>
      <w:bCs/>
      <w:sz w:val="32"/>
      <w:szCs w:val="32"/>
    </w:rPr>
  </w:style>
  <w:style w:type="character" w:customStyle="1" w:styleId="130">
    <w:name w:val="样式1 Char Char"/>
    <w:link w:val="100"/>
    <w:qFormat/>
    <w:uiPriority w:val="0"/>
    <w:rPr>
      <w:rFonts w:ascii="宋体" w:hAnsi="宋体" w:eastAsia="宋体" w:cs="Times New Roman"/>
      <w:kern w:val="0"/>
      <w:szCs w:val="21"/>
    </w:rPr>
  </w:style>
  <w:style w:type="character" w:customStyle="1" w:styleId="131">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32">
    <w:name w:val="列表段落1"/>
    <w:basedOn w:val="1"/>
    <w:qFormat/>
    <w:uiPriority w:val="34"/>
    <w:pPr>
      <w:ind w:firstLine="420" w:firstLineChars="200"/>
    </w:pPr>
    <w:rPr>
      <w:sz w:val="18"/>
      <w:szCs w:val="18"/>
    </w:rPr>
  </w:style>
  <w:style w:type="paragraph" w:customStyle="1" w:styleId="133">
    <w:name w:val="_Style 16"/>
    <w:basedOn w:val="1"/>
    <w:next w:val="71"/>
    <w:qFormat/>
    <w:uiPriority w:val="34"/>
    <w:pPr>
      <w:ind w:firstLine="420" w:firstLineChars="200"/>
    </w:pPr>
    <w:rPr>
      <w:rFonts w:ascii="Calibri" w:hAnsi="Calibri"/>
      <w:szCs w:val="22"/>
    </w:rPr>
  </w:style>
  <w:style w:type="paragraph" w:customStyle="1" w:styleId="134">
    <w:name w:val="无间隔1"/>
    <w:qFormat/>
    <w:uiPriority w:val="1"/>
    <w:rPr>
      <w:rFonts w:ascii="Calibri" w:hAnsi="Calibri" w:eastAsia="宋体" w:cs="Times New Roman"/>
      <w:sz w:val="22"/>
      <w:szCs w:val="22"/>
      <w:lang w:val="en-US" w:eastAsia="zh-CN" w:bidi="ar-SA"/>
    </w:rPr>
  </w:style>
  <w:style w:type="table" w:customStyle="1" w:styleId="135">
    <w:name w:val="网格型1"/>
    <w:basedOn w:val="4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6">
    <w:name w:val="_Style 113"/>
    <w:basedOn w:val="1"/>
    <w:next w:val="121"/>
    <w:qFormat/>
    <w:uiPriority w:val="34"/>
    <w:pPr>
      <w:ind w:firstLine="420" w:firstLineChars="200"/>
    </w:pPr>
    <w:rPr>
      <w:rFonts w:ascii="Calibri" w:hAnsi="Calibri"/>
      <w:szCs w:val="22"/>
    </w:rPr>
  </w:style>
  <w:style w:type="paragraph" w:customStyle="1" w:styleId="137">
    <w:name w:val="hik-正文"/>
    <w:qFormat/>
    <w:uiPriority w:val="0"/>
    <w:pPr>
      <w:spacing w:line="360" w:lineRule="auto"/>
      <w:ind w:firstLine="200" w:firstLineChars="200"/>
    </w:pPr>
    <w:rPr>
      <w:rFonts w:ascii="宋体" w:hAnsi="Times New Roman" w:eastAsia="宋体" w:cs="Times New Roman"/>
      <w:kern w:val="2"/>
      <w:sz w:val="24"/>
      <w:szCs w:val="24"/>
      <w:lang w:val="en-US" w:eastAsia="zh-CN" w:bidi="ar-SA"/>
    </w:rPr>
  </w:style>
  <w:style w:type="paragraph" w:customStyle="1" w:styleId="138">
    <w:name w:val="正文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39">
    <w:name w:val="NormalCharacter"/>
    <w:qFormat/>
    <w:uiPriority w:val="0"/>
  </w:style>
  <w:style w:type="paragraph" w:customStyle="1" w:styleId="140">
    <w:name w:val="BodyText"/>
    <w:basedOn w:val="1"/>
    <w:qFormat/>
    <w:uiPriority w:val="0"/>
    <w:pPr>
      <w:spacing w:after="120"/>
    </w:pPr>
  </w:style>
  <w:style w:type="paragraph" w:customStyle="1" w:styleId="141">
    <w:name w:val="UserStyle_1"/>
    <w:basedOn w:val="1"/>
    <w:qFormat/>
    <w:uiPriority w:val="0"/>
    <w:pPr>
      <w:spacing w:before="100" w:beforeAutospacing="1" w:after="100" w:afterAutospacing="1"/>
      <w:jc w:val="left"/>
    </w:pPr>
    <w:rPr>
      <w:rFonts w:ascii="宋体" w:hAnsi="宋体"/>
      <w:kern w:val="0"/>
      <w:sz w:val="20"/>
      <w:szCs w:val="20"/>
    </w:rPr>
  </w:style>
  <w:style w:type="paragraph" w:customStyle="1" w:styleId="142">
    <w:name w:val="179"/>
    <w:basedOn w:val="1"/>
    <w:qFormat/>
    <w:uiPriority w:val="0"/>
    <w:pPr>
      <w:ind w:firstLine="420" w:firstLineChars="200"/>
    </w:pPr>
  </w:style>
  <w:style w:type="paragraph" w:customStyle="1" w:styleId="143">
    <w:name w:val="Heading3"/>
    <w:basedOn w:val="1"/>
    <w:next w:val="1"/>
    <w:qFormat/>
    <w:uiPriority w:val="0"/>
    <w:pPr>
      <w:keepNext/>
      <w:keepLines/>
      <w:widowControl/>
      <w:spacing w:line="413" w:lineRule="auto"/>
      <w:textAlignment w:val="baseline"/>
    </w:pPr>
    <w:rPr>
      <w:rFonts w:ascii="Calibri" w:hAnsi="Calibri"/>
      <w:b/>
      <w:sz w:val="32"/>
    </w:rPr>
  </w:style>
  <w:style w:type="paragraph" w:customStyle="1" w:styleId="144">
    <w:name w:val="列出段落21"/>
    <w:basedOn w:val="1"/>
    <w:qFormat/>
    <w:uiPriority w:val="99"/>
    <w:pPr>
      <w:ind w:firstLine="420" w:firstLineChars="200"/>
    </w:pPr>
  </w:style>
  <w:style w:type="paragraph" w:customStyle="1" w:styleId="145">
    <w:name w:val="签字"/>
    <w:basedOn w:val="1"/>
    <w:qFormat/>
    <w:uiPriority w:val="0"/>
    <w:pPr>
      <w:adjustRightInd w:val="0"/>
      <w:snapToGrid w:val="0"/>
      <w:spacing w:line="300" w:lineRule="auto"/>
      <w:ind w:left="4800" w:leftChars="2000"/>
      <w:textAlignment w:val="baseline"/>
    </w:pPr>
    <w:rPr>
      <w:kern w:val="0"/>
      <w:sz w:val="24"/>
    </w:rPr>
  </w:style>
  <w:style w:type="paragraph" w:customStyle="1" w:styleId="146">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47">
    <w:name w:val="xl55"/>
    <w:basedOn w:val="1"/>
    <w:qFormat/>
    <w:uiPriority w:val="0"/>
    <w:pPr>
      <w:widowControl/>
      <w:spacing w:before="100" w:beforeAutospacing="1" w:after="100" w:afterAutospacing="1"/>
      <w:jc w:val="center"/>
      <w:textAlignment w:val="center"/>
    </w:pPr>
    <w:rPr>
      <w:rFonts w:ascii="Arial Unicode MS" w:hAnsi="Arial Unicode MS"/>
      <w:kern w:val="0"/>
      <w:sz w:val="24"/>
    </w:rPr>
  </w:style>
  <w:style w:type="paragraph" w:customStyle="1" w:styleId="148">
    <w:name w:val="Normal_0"/>
    <w:qFormat/>
    <w:uiPriority w:val="0"/>
    <w:rPr>
      <w:rFonts w:ascii="Times New Roman" w:hAnsi="Times New Roman" w:eastAsia="Times New Roman" w:cs="Times New Roman"/>
      <w:sz w:val="24"/>
      <w:szCs w:val="24"/>
      <w:lang w:val="en-US" w:eastAsia="zh-CN" w:bidi="ar-SA"/>
    </w:rPr>
  </w:style>
  <w:style w:type="paragraph" w:customStyle="1" w:styleId="149">
    <w:name w:val="Table Paragraph"/>
    <w:basedOn w:val="1"/>
    <w:qFormat/>
    <w:uiPriority w:val="1"/>
    <w:pPr>
      <w:autoSpaceDE w:val="0"/>
      <w:autoSpaceDN w:val="0"/>
    </w:pPr>
    <w:rPr>
      <w:rFonts w:ascii="宋体" w:hAnsi="宋体" w:cs="宋体"/>
      <w:lang w:val="zh-CN" w:bidi="zh-CN"/>
    </w:rPr>
  </w:style>
  <w:style w:type="paragraph" w:customStyle="1" w:styleId="150">
    <w:name w:val="保留正文"/>
    <w:basedOn w:val="16"/>
    <w:qFormat/>
    <w:uiPriority w:val="0"/>
    <w:pPr>
      <w:keepNext/>
      <w:spacing w:after="160"/>
    </w:pPr>
  </w:style>
  <w:style w:type="character" w:customStyle="1" w:styleId="151">
    <w:name w:val="标题 2 Char1"/>
    <w:link w:val="3"/>
    <w:qFormat/>
    <w:uiPriority w:val="0"/>
    <w:rPr>
      <w:rFonts w:ascii="Arial" w:hAnsi="Arial" w:eastAsia="宋体" w:cs="Times New Roman"/>
      <w:b/>
      <w:bCs/>
      <w:sz w:val="24"/>
      <w:szCs w:val="32"/>
    </w:rPr>
  </w:style>
  <w:style w:type="character" w:customStyle="1" w:styleId="152">
    <w:name w:val="font21"/>
    <w:basedOn w:val="46"/>
    <w:qFormat/>
    <w:uiPriority w:val="0"/>
    <w:rPr>
      <w:rFonts w:ascii="Arial" w:hAnsi="Arial" w:cs="Arial"/>
      <w:color w:val="000000"/>
      <w:sz w:val="20"/>
      <w:szCs w:val="20"/>
      <w:u w:val="none"/>
    </w:rPr>
  </w:style>
  <w:style w:type="character" w:customStyle="1" w:styleId="153">
    <w:name w:val="font01"/>
    <w:basedOn w:val="46"/>
    <w:qFormat/>
    <w:uiPriority w:val="0"/>
    <w:rPr>
      <w:rFonts w:hint="eastAsia" w:ascii="宋体" w:hAnsi="宋体" w:eastAsia="宋体" w:cs="宋体"/>
      <w:color w:val="FF0000"/>
      <w:sz w:val="24"/>
      <w:szCs w:val="24"/>
      <w:u w:val="none"/>
    </w:rPr>
  </w:style>
  <w:style w:type="paragraph" w:customStyle="1" w:styleId="154">
    <w:name w:val="正文_0"/>
    <w:qFormat/>
    <w:uiPriority w:val="0"/>
    <w:rPr>
      <w:rFonts w:ascii="Times New Roman" w:hAnsi="Times New Roman" w:eastAsia="宋体" w:cs="Times New Roman"/>
      <w:sz w:val="24"/>
      <w:szCs w:val="24"/>
      <w:lang w:val="en-US" w:eastAsia="zh-CN" w:bidi="ar-SA"/>
    </w:rPr>
  </w:style>
  <w:style w:type="paragraph" w:customStyle="1" w:styleId="155">
    <w:name w:val="正文_11"/>
    <w:qFormat/>
    <w:uiPriority w:val="0"/>
    <w:rPr>
      <w:rFonts w:ascii="Times New Roman" w:hAnsi="Times New Roman" w:eastAsia="宋体" w:cs="Times New Roman"/>
      <w:sz w:val="24"/>
      <w:szCs w:val="24"/>
      <w:lang w:val="en-US" w:eastAsia="zh-CN" w:bidi="ar-SA"/>
    </w:rPr>
  </w:style>
  <w:style w:type="paragraph" w:customStyle="1" w:styleId="156">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7">
    <w:name w:val="Normal_12"/>
    <w:qFormat/>
    <w:uiPriority w:val="0"/>
    <w:rPr>
      <w:rFonts w:ascii="Times New Roman" w:hAnsi="Times New Roman" w:eastAsia="Times New Roman" w:cs="Times New Roman"/>
      <w:sz w:val="24"/>
      <w:szCs w:val="24"/>
    </w:rPr>
  </w:style>
  <w:style w:type="paragraph" w:customStyle="1" w:styleId="158">
    <w:name w:val="Normal_24"/>
    <w:qFormat/>
    <w:uiPriority w:val="0"/>
    <w:rPr>
      <w:rFonts w:ascii="Times New Roman" w:hAnsi="Times New Roman" w:eastAsia="Times New Roman" w:cs="Times New Roman"/>
      <w:sz w:val="24"/>
      <w:szCs w:val="24"/>
    </w:rPr>
  </w:style>
  <w:style w:type="paragraph" w:customStyle="1" w:styleId="159">
    <w:name w:val="Normal_26"/>
    <w:qFormat/>
    <w:uiPriority w:val="0"/>
    <w:rPr>
      <w:rFonts w:ascii="Times New Roman" w:hAnsi="Times New Roman" w:eastAsia="Times New Roman" w:cs="Times New Roman"/>
      <w:sz w:val="24"/>
      <w:szCs w:val="24"/>
    </w:rPr>
  </w:style>
  <w:style w:type="paragraph" w:customStyle="1" w:styleId="160">
    <w:name w:val="正文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1">
    <w:name w:val="正文_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2">
    <w:name w:val="Normal_32"/>
    <w:qFormat/>
    <w:uiPriority w:val="0"/>
    <w:rPr>
      <w:rFonts w:ascii="Times New Roman" w:hAnsi="Times New Roman" w:eastAsia="Times New Roman" w:cs="Times New Roman"/>
      <w:sz w:val="24"/>
      <w:szCs w:val="24"/>
    </w:rPr>
  </w:style>
  <w:style w:type="paragraph" w:customStyle="1" w:styleId="163">
    <w:name w:val="正文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4">
    <w:name w:val="Normal_34"/>
    <w:qFormat/>
    <w:uiPriority w:val="0"/>
    <w:pPr>
      <w:widowControl w:val="0"/>
      <w:jc w:val="both"/>
    </w:pPr>
    <w:rPr>
      <w:rFonts w:ascii="等线" w:hAnsi="等线" w:eastAsia="等线" w:cs="Times New Roman"/>
    </w:rPr>
  </w:style>
  <w:style w:type="paragraph" w:styleId="165">
    <w:name w:val="List Paragraph"/>
    <w:basedOn w:val="1"/>
    <w:qFormat/>
    <w:uiPriority w:val="0"/>
    <w:pPr>
      <w:ind w:firstLine="420" w:firstLineChars="200"/>
    </w:pPr>
    <w:rPr>
      <w:rFonts w:ascii="等线" w:hAnsi="等线" w:eastAsia="等线"/>
      <w:szCs w:val="22"/>
    </w:rPr>
  </w:style>
  <w:style w:type="character" w:customStyle="1" w:styleId="166">
    <w:name w:val="mini-tree-nodetext3"/>
    <w:basedOn w:val="46"/>
    <w:qFormat/>
    <w:uiPriority w:val="0"/>
  </w:style>
  <w:style w:type="character" w:customStyle="1" w:styleId="167">
    <w:name w:val="mini-tree-nodetext2"/>
    <w:basedOn w:val="46"/>
    <w:qFormat/>
    <w:uiPriority w:val="0"/>
  </w:style>
  <w:style w:type="character" w:customStyle="1" w:styleId="168">
    <w:name w:val="font11"/>
    <w:basedOn w:val="46"/>
    <w:qFormat/>
    <w:uiPriority w:val="0"/>
    <w:rPr>
      <w:rFonts w:hint="eastAsia" w:ascii="宋体" w:hAnsi="宋体" w:eastAsia="宋体" w:cs="宋体"/>
      <w:color w:val="000000"/>
      <w:sz w:val="20"/>
      <w:szCs w:val="20"/>
      <w:u w:val="none"/>
    </w:rPr>
  </w:style>
  <w:style w:type="character" w:customStyle="1" w:styleId="169">
    <w:name w:val="tpc_content"/>
    <w:basedOn w:val="46"/>
    <w:qFormat/>
    <w:uiPriority w:val="0"/>
  </w:style>
  <w:style w:type="paragraph" w:customStyle="1" w:styleId="170">
    <w:name w:val="Table Text"/>
    <w:basedOn w:val="1"/>
    <w:semiHidden/>
    <w:qFormat/>
    <w:uiPriority w:val="0"/>
    <w:rPr>
      <w:rFonts w:ascii="宋体" w:hAnsi="宋体" w:eastAsia="宋体" w:cs="宋体"/>
      <w:sz w:val="21"/>
      <w:szCs w:val="21"/>
      <w:lang w:val="en-US" w:eastAsia="en-US" w:bidi="ar-SA"/>
    </w:rPr>
  </w:style>
  <w:style w:type="table" w:customStyle="1" w:styleId="171">
    <w:name w:val="Table Normal"/>
    <w:semiHidden/>
    <w:unhideWhenUsed/>
    <w:qFormat/>
    <w:uiPriority w:val="0"/>
    <w:tblPr>
      <w:tblCellMar>
        <w:top w:w="0" w:type="dxa"/>
        <w:left w:w="0" w:type="dxa"/>
        <w:bottom w:w="0" w:type="dxa"/>
        <w:right w:w="0" w:type="dxa"/>
      </w:tblCellMar>
    </w:tblPr>
  </w:style>
  <w:style w:type="table" w:customStyle="1" w:styleId="172">
    <w:name w:val="Table Normal1"/>
    <w:semiHidden/>
    <w:unhideWhenUsed/>
    <w:qFormat/>
    <w:uiPriority w:val="0"/>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173">
    <w:name w:val="Table Normal11"/>
    <w:semiHidden/>
    <w:unhideWhenUsed/>
    <w:qFormat/>
    <w:uiPriority w:val="0"/>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174">
    <w:name w:val="Table Normal12"/>
    <w:semiHidden/>
    <w:unhideWhenUsed/>
    <w:qFormat/>
    <w:uiPriority w:val="0"/>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175">
    <w:name w:val="正文文字"/>
    <w:basedOn w:val="1"/>
    <w:next w:val="1"/>
    <w:qFormat/>
    <w:uiPriority w:val="99"/>
    <w:pPr>
      <w:spacing w:after="120"/>
    </w:pPr>
  </w:style>
  <w:style w:type="paragraph" w:customStyle="1" w:styleId="176">
    <w:name w:val="TOC1"/>
    <w:basedOn w:val="1"/>
    <w:next w:val="1"/>
    <w:qFormat/>
    <w:uiPriority w:val="0"/>
    <w:pPr>
      <w:tabs>
        <w:tab w:val="right" w:leader="dot" w:pos="8834"/>
      </w:tabs>
      <w:textAlignment w:val="baseline"/>
    </w:pPr>
    <w:rPr>
      <w:b/>
      <w:szCs w:val="22"/>
    </w:rPr>
  </w:style>
  <w:style w:type="character" w:customStyle="1" w:styleId="177">
    <w:name w:val="10"/>
    <w:basedOn w:val="46"/>
    <w:qFormat/>
    <w:uiPriority w:val="0"/>
    <w:rPr>
      <w:rFonts w:hint="default" w:ascii="Calibri" w:hAnsi="Calibri" w:cs="Calibri"/>
    </w:rPr>
  </w:style>
  <w:style w:type="paragraph" w:customStyle="1" w:styleId="178">
    <w:name w:val="正文缩进1"/>
    <w:basedOn w:val="1"/>
    <w:qFormat/>
    <w:uiPriority w:val="0"/>
    <w:pPr>
      <w:ind w:firstLine="420" w:firstLineChars="200"/>
    </w:pPr>
    <w:rPr>
      <w:rFonts w:ascii="Times New Roman" w:hAnsi="Times New Roman" w:eastAsia="宋体" w:cs="Times New Roman"/>
    </w:rPr>
  </w:style>
  <w:style w:type="paragraph" w:customStyle="1" w:styleId="179">
    <w:name w:val="BodyText1I2"/>
    <w:basedOn w:val="180"/>
    <w:qFormat/>
    <w:uiPriority w:val="0"/>
    <w:pPr>
      <w:widowControl/>
      <w:spacing w:after="120"/>
      <w:ind w:left="420" w:leftChars="200" w:firstLine="420" w:firstLineChars="200"/>
      <w:textAlignment w:val="baseline"/>
    </w:pPr>
    <w:rPr>
      <w:rFonts w:cs="Times New Roman"/>
    </w:rPr>
  </w:style>
  <w:style w:type="paragraph" w:customStyle="1" w:styleId="180">
    <w:name w:val="BodyTextIndent"/>
    <w:basedOn w:val="1"/>
    <w:qFormat/>
    <w:uiPriority w:val="0"/>
    <w:pPr>
      <w:spacing w:after="120"/>
      <w:ind w:left="420" w:leftChars="200"/>
      <w:jc w:val="both"/>
      <w:textAlignment w:val="baseline"/>
    </w:pPr>
  </w:style>
  <w:style w:type="paragraph" w:customStyle="1" w:styleId="18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82">
    <w:name w:val="标题 31"/>
    <w:basedOn w:val="1"/>
    <w:qFormat/>
    <w:uiPriority w:val="0"/>
    <w:pPr>
      <w:keepNext/>
      <w:keepLines/>
      <w:spacing w:before="260" w:after="260" w:line="416" w:lineRule="auto"/>
      <w:outlineLvl w:val="2"/>
    </w:pPr>
    <w:rPr>
      <w:b/>
      <w:bCs/>
      <w:sz w:val="32"/>
      <w:szCs w:val="32"/>
    </w:rPr>
  </w:style>
  <w:style w:type="paragraph" w:customStyle="1" w:styleId="183">
    <w:name w:val="正文首行缩进 21"/>
    <w:basedOn w:val="184"/>
    <w:qFormat/>
    <w:uiPriority w:val="0"/>
    <w:pPr>
      <w:ind w:firstLine="420" w:firstLineChars="200"/>
    </w:pPr>
  </w:style>
  <w:style w:type="paragraph" w:customStyle="1" w:styleId="184">
    <w:name w:val="正文文本缩进1"/>
    <w:basedOn w:val="1"/>
    <w:qFormat/>
    <w:uiPriority w:val="0"/>
    <w:pPr>
      <w:spacing w:after="120"/>
      <w:ind w:left="420" w:leftChars="200"/>
    </w:pPr>
  </w:style>
  <w:style w:type="paragraph" w:customStyle="1" w:styleId="185">
    <w:name w:val="纯文本1"/>
    <w:basedOn w:val="1"/>
    <w:qFormat/>
    <w:uiPriority w:val="0"/>
    <w:rPr>
      <w:rFonts w:ascii="宋体" w:hAnsi="Courier New" w:eastAsia="宋体"/>
      <w:sz w:val="21"/>
      <w:szCs w:val="20"/>
    </w:rPr>
  </w:style>
  <w:style w:type="paragraph" w:customStyle="1" w:styleId="186">
    <w:name w:val="正文2"/>
    <w:basedOn w:val="1"/>
    <w:qFormat/>
    <w:uiPriority w:val="0"/>
    <w:pPr>
      <w:spacing w:before="156" w:beforeLines="0" w:line="360" w:lineRule="auto"/>
      <w:ind w:firstLine="510" w:firstLineChars="200"/>
    </w:pPr>
    <w:rPr>
      <w:sz w:val="24"/>
      <w:szCs w:val="20"/>
    </w:rPr>
  </w:style>
  <w:style w:type="character" w:customStyle="1" w:styleId="187">
    <w:name w:val="font81"/>
    <w:basedOn w:val="46"/>
    <w:qFormat/>
    <w:uiPriority w:val="0"/>
    <w:rPr>
      <w:rFonts w:hint="eastAsia" w:ascii="微软雅黑" w:hAnsi="微软雅黑" w:eastAsia="微软雅黑" w:cs="微软雅黑"/>
      <w:color w:val="0066CC"/>
      <w:sz w:val="22"/>
      <w:szCs w:val="22"/>
      <w:u w:val="none"/>
    </w:rPr>
  </w:style>
  <w:style w:type="character" w:customStyle="1" w:styleId="188">
    <w:name w:val="font31"/>
    <w:basedOn w:val="46"/>
    <w:qFormat/>
    <w:uiPriority w:val="0"/>
    <w:rPr>
      <w:rFonts w:hint="eastAsia" w:ascii="微软雅黑" w:hAnsi="微软雅黑" w:eastAsia="微软雅黑" w:cs="微软雅黑"/>
      <w:color w:val="FF0000"/>
      <w:sz w:val="22"/>
      <w:szCs w:val="22"/>
      <w:u w:val="none"/>
    </w:rPr>
  </w:style>
  <w:style w:type="paragraph" w:customStyle="1" w:styleId="189">
    <w:name w:val="列出段落11"/>
    <w:basedOn w:val="1"/>
    <w:qFormat/>
    <w:uiPriority w:val="99"/>
    <w:pPr>
      <w:ind w:firstLine="420" w:firstLineChars="200"/>
    </w:pPr>
    <w:rPr>
      <w:szCs w:val="20"/>
    </w:rPr>
  </w:style>
  <w:style w:type="paragraph" w:customStyle="1" w:styleId="190">
    <w:name w:val="Normal_0_0"/>
    <w:basedOn w:val="1"/>
    <w:qFormat/>
    <w:uiPriority w:val="0"/>
    <w:pPr>
      <w:widowControl/>
      <w:jc w:val="left"/>
    </w:pPr>
    <w:rPr>
      <w:rFonts w:ascii="Times New Roman" w:hAnsi="Times New Roman" w:cs="Times New Roman"/>
      <w:kern w:val="0"/>
      <w:sz w:val="24"/>
      <w:szCs w:val="24"/>
    </w:rPr>
  </w:style>
  <w:style w:type="paragraph" w:customStyle="1" w:styleId="191">
    <w:name w:val="Normal_2"/>
    <w:basedOn w:val="1"/>
    <w:qFormat/>
    <w:uiPriority w:val="0"/>
    <w:pPr>
      <w:widowControl/>
      <w:jc w:val="left"/>
    </w:pPr>
    <w:rPr>
      <w:rFonts w:ascii="Times New Roman" w:hAnsi="Times New Roman" w:cs="Times New Roman"/>
      <w:kern w:val="0"/>
      <w:sz w:val="24"/>
      <w:szCs w:val="24"/>
    </w:rPr>
  </w:style>
  <w:style w:type="paragraph" w:customStyle="1" w:styleId="192">
    <w:name w:val="Normal_0_1"/>
    <w:basedOn w:val="1"/>
    <w:qFormat/>
    <w:uiPriority w:val="0"/>
    <w:pPr>
      <w:widowControl/>
      <w:jc w:val="left"/>
    </w:pPr>
    <w:rPr>
      <w:rFonts w:ascii="Times New Roman" w:hAnsi="Times New Roman" w:cs="Times New Roman"/>
      <w:kern w:val="0"/>
      <w:sz w:val="24"/>
      <w:szCs w:val="24"/>
    </w:rPr>
  </w:style>
  <w:style w:type="character" w:customStyle="1" w:styleId="193">
    <w:name w:val="font61"/>
    <w:basedOn w:val="46"/>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79</Pages>
  <Words>4625</Words>
  <Characters>5372</Characters>
  <Lines>440</Lines>
  <Paragraphs>123</Paragraphs>
  <TotalTime>0</TotalTime>
  <ScaleCrop>false</ScaleCrop>
  <LinksUpToDate>false</LinksUpToDate>
  <CharactersWithSpaces>5542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2022-06-25T01:17:00Z</dcterms:created>
  <dc:creator>admin</dc:creator>
  <cp:lastModifiedBy>WPS_1693207092</cp:lastModifiedBy>
  <cp:lastPrinted>2026-07-16T02:47:00Z</cp:lastPrinted>
  <dcterms:modified xsi:type="dcterms:W3CDTF">2026-07-16T07:52:59Z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BAB9F881A0E242138A0E49CF32A35259_13</vt:lpwstr>
  </property>
  <property fmtid="{D5CDD505-2E9C-101B-9397-08002B2CF9AE}" pid="4" name="KSOTemplateDocerSaveRecord">
    <vt:lpwstr>eyJoZGlkIjoiN2FlMDFjYmZmZTk5OThiYWIxMDllZGM2YzNjMjllM2QiLCJ1c2VySWQiOiIxNTI0NzYwNzM5In0=</vt:lpwstr>
  </property>
</Properties>
</file>