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901826">
      <w:pPr>
        <w:pStyle w:val="26"/>
        <w:jc w:val="center"/>
        <w:rPr>
          <w:rFonts w:ascii="隶书" w:hAnsi="华文中宋" w:eastAsia="隶书"/>
          <w:sz w:val="84"/>
          <w:szCs w:val="84"/>
        </w:rPr>
      </w:pPr>
      <w:bookmarkStart w:id="0" w:name="_Hlk112496671"/>
    </w:p>
    <w:p w14:paraId="772C846A">
      <w:pPr>
        <w:pStyle w:val="26"/>
        <w:jc w:val="center"/>
        <w:rPr>
          <w:rFonts w:ascii="华文楷体" w:hAnsi="华文楷体" w:eastAsia="华文楷体" w:cs="华文楷体"/>
          <w:b/>
          <w:bCs/>
          <w:sz w:val="96"/>
          <w:szCs w:val="96"/>
        </w:rPr>
      </w:pPr>
      <w:r>
        <w:rPr>
          <w:rFonts w:hint="eastAsia" w:ascii="华文楷体" w:hAnsi="华文楷体" w:eastAsia="华文楷体" w:cs="华文楷体"/>
          <w:b/>
          <w:bCs/>
          <w:sz w:val="96"/>
          <w:szCs w:val="96"/>
        </w:rPr>
        <w:t>政府采购</w:t>
      </w:r>
    </w:p>
    <w:p w14:paraId="6B83470A">
      <w:pPr>
        <w:pStyle w:val="26"/>
        <w:adjustRightInd w:val="0"/>
        <w:snapToGrid w:val="0"/>
        <w:spacing w:line="360" w:lineRule="auto"/>
        <w:jc w:val="center"/>
        <w:rPr>
          <w:rFonts w:ascii="隶书" w:hAnsi="华文中宋" w:eastAsia="隶书"/>
          <w:sz w:val="96"/>
          <w:szCs w:val="96"/>
        </w:rPr>
      </w:pPr>
      <w:r>
        <w:rPr>
          <w:rFonts w:hint="eastAsia" w:ascii="华文楷体" w:hAnsi="华文楷体" w:eastAsia="华文楷体" w:cs="华文楷体"/>
          <w:b/>
          <w:bCs/>
          <w:sz w:val="96"/>
          <w:szCs w:val="96"/>
        </w:rPr>
        <w:t>竞争性磋商文件</w:t>
      </w:r>
    </w:p>
    <w:p w14:paraId="2B91EB39">
      <w:pPr>
        <w:pStyle w:val="26"/>
        <w:adjustRightInd w:val="0"/>
        <w:snapToGrid w:val="0"/>
        <w:spacing w:line="360" w:lineRule="auto"/>
        <w:ind w:left="2563" w:leftChars="554" w:hanging="1400" w:hangingChars="700"/>
        <w:rPr>
          <w:rFonts w:ascii="Tahoma" w:hAnsi="Tahoma" w:cs="Tahoma"/>
          <w:sz w:val="20"/>
          <w:szCs w:val="20"/>
        </w:rPr>
      </w:pPr>
    </w:p>
    <w:p w14:paraId="47534BED">
      <w:pPr>
        <w:pStyle w:val="26"/>
        <w:adjustRightInd w:val="0"/>
        <w:snapToGrid w:val="0"/>
        <w:spacing w:line="360" w:lineRule="auto"/>
        <w:ind w:left="2563" w:leftChars="554" w:hanging="1400" w:hangingChars="700"/>
        <w:rPr>
          <w:rFonts w:ascii="Tahoma" w:hAnsi="Tahoma" w:cs="Tahoma"/>
          <w:sz w:val="20"/>
          <w:szCs w:val="20"/>
        </w:rPr>
      </w:pPr>
    </w:p>
    <w:p w14:paraId="2C02392B">
      <w:pPr>
        <w:adjustRightInd w:val="0"/>
        <w:snapToGrid w:val="0"/>
        <w:spacing w:line="360" w:lineRule="auto"/>
        <w:ind w:left="421" w:leftChars="200" w:hanging="1"/>
        <w:rPr>
          <w:rFonts w:hAnsi="宋体"/>
          <w:b/>
          <w:sz w:val="32"/>
          <w:szCs w:val="32"/>
        </w:rPr>
      </w:pPr>
    </w:p>
    <w:p w14:paraId="50A3B50A">
      <w:pPr>
        <w:adjustRightInd w:val="0"/>
        <w:snapToGrid w:val="0"/>
        <w:spacing w:line="360" w:lineRule="auto"/>
        <w:ind w:left="421" w:leftChars="200" w:hanging="1"/>
        <w:rPr>
          <w:rFonts w:hAnsi="宋体"/>
          <w:b/>
          <w:sz w:val="32"/>
          <w:szCs w:val="32"/>
        </w:rPr>
      </w:pPr>
    </w:p>
    <w:p w14:paraId="518C53A1">
      <w:pPr>
        <w:tabs>
          <w:tab w:val="left" w:pos="1260"/>
        </w:tabs>
        <w:spacing w:line="480" w:lineRule="auto"/>
        <w:rPr>
          <w:rFonts w:hint="eastAsia" w:eastAsia="宋体"/>
          <w:color w:val="auto"/>
          <w:sz w:val="32"/>
          <w:szCs w:val="32"/>
          <w:u w:val="single"/>
          <w:lang w:eastAsia="zh-CN"/>
        </w:rPr>
      </w:pPr>
      <w:r>
        <w:rPr>
          <w:sz w:val="32"/>
          <w:szCs w:val="32"/>
        </w:rPr>
        <w:t>采购项目名称：</w:t>
      </w:r>
      <w:r>
        <w:rPr>
          <w:rFonts w:hint="eastAsia"/>
          <w:spacing w:val="-20"/>
          <w:sz w:val="32"/>
          <w:szCs w:val="32"/>
          <w:u w:val="single"/>
          <w:lang w:eastAsia="zh-CN"/>
        </w:rPr>
        <w:t>永定区青安坪水厂胡家坡村管网延伸供水工程</w:t>
      </w:r>
    </w:p>
    <w:p w14:paraId="5B72262B">
      <w:pPr>
        <w:tabs>
          <w:tab w:val="left" w:pos="1260"/>
        </w:tabs>
        <w:spacing w:line="480" w:lineRule="auto"/>
        <w:rPr>
          <w:rFonts w:hint="eastAsia" w:eastAsia="宋体"/>
          <w:color w:val="auto"/>
          <w:sz w:val="32"/>
          <w:szCs w:val="32"/>
          <w:lang w:eastAsia="zh-CN"/>
        </w:rPr>
      </w:pPr>
      <w:r>
        <w:rPr>
          <w:color w:val="auto"/>
          <w:sz w:val="32"/>
          <w:szCs w:val="32"/>
        </w:rPr>
        <w:t>采   购   人：</w:t>
      </w:r>
      <w:r>
        <w:rPr>
          <w:rFonts w:hint="eastAsia"/>
          <w:color w:val="auto"/>
          <w:sz w:val="32"/>
          <w:szCs w:val="32"/>
          <w:u w:val="single"/>
          <w:lang w:eastAsia="zh-CN"/>
        </w:rPr>
        <w:t>张家界市永定区农村供水总站</w:t>
      </w:r>
    </w:p>
    <w:p w14:paraId="495D53EE">
      <w:pPr>
        <w:tabs>
          <w:tab w:val="left" w:pos="1260"/>
        </w:tabs>
        <w:spacing w:line="480" w:lineRule="auto"/>
        <w:rPr>
          <w:rFonts w:hint="default" w:eastAsia="宋体"/>
          <w:color w:val="auto"/>
          <w:sz w:val="32"/>
          <w:szCs w:val="32"/>
          <w:lang w:val="en-US" w:eastAsia="zh-CN"/>
        </w:rPr>
      </w:pPr>
      <w:r>
        <w:rPr>
          <w:color w:val="auto"/>
          <w:sz w:val="32"/>
          <w:szCs w:val="32"/>
        </w:rPr>
        <w:t>政府采购编号：</w:t>
      </w:r>
      <w:r>
        <w:rPr>
          <w:rFonts w:hint="eastAsia"/>
          <w:color w:val="auto"/>
          <w:sz w:val="32"/>
          <w:szCs w:val="32"/>
          <w:u w:val="single"/>
          <w:lang w:eastAsia="zh-CN"/>
        </w:rPr>
        <w:t>(2026)430802000032-1</w:t>
      </w:r>
    </w:p>
    <w:p w14:paraId="3CD1A72D">
      <w:pPr>
        <w:tabs>
          <w:tab w:val="left" w:pos="1260"/>
        </w:tabs>
        <w:spacing w:line="480" w:lineRule="auto"/>
        <w:rPr>
          <w:rFonts w:hint="eastAsia" w:eastAsia="宋体"/>
          <w:color w:val="auto"/>
          <w:lang w:eastAsia="zh-CN"/>
        </w:rPr>
      </w:pPr>
      <w:r>
        <w:rPr>
          <w:rFonts w:hint="eastAsia"/>
          <w:color w:val="auto"/>
          <w:sz w:val="32"/>
          <w:szCs w:val="32"/>
          <w:lang w:val="en-US" w:eastAsia="zh-CN"/>
        </w:rPr>
        <w:t>采购代理编号</w:t>
      </w:r>
      <w:r>
        <w:rPr>
          <w:color w:val="auto"/>
          <w:sz w:val="32"/>
          <w:szCs w:val="32"/>
        </w:rPr>
        <w:t>：</w:t>
      </w:r>
      <w:r>
        <w:rPr>
          <w:rFonts w:hint="eastAsia"/>
          <w:color w:val="auto"/>
          <w:sz w:val="32"/>
          <w:szCs w:val="32"/>
          <w:u w:val="single"/>
          <w:lang w:eastAsia="zh-CN"/>
        </w:rPr>
        <w:t>HNZJC2026-GC(ZJJ)-034</w:t>
      </w:r>
    </w:p>
    <w:p w14:paraId="04F733BA">
      <w:pPr>
        <w:tabs>
          <w:tab w:val="left" w:pos="1260"/>
        </w:tabs>
        <w:spacing w:line="480" w:lineRule="auto"/>
        <w:rPr>
          <w:sz w:val="32"/>
          <w:szCs w:val="32"/>
          <w:u w:val="single"/>
        </w:rPr>
      </w:pPr>
      <w:r>
        <w:rPr>
          <w:color w:val="auto"/>
          <w:sz w:val="32"/>
          <w:szCs w:val="32"/>
        </w:rPr>
        <w:t>采购代理机构：</w:t>
      </w:r>
      <w:r>
        <w:rPr>
          <w:rFonts w:hint="eastAsia"/>
          <w:color w:val="auto"/>
          <w:sz w:val="32"/>
          <w:szCs w:val="32"/>
          <w:u w:val="single"/>
        </w:rPr>
        <w:t>中技建设咨询有限</w:t>
      </w:r>
      <w:r>
        <w:rPr>
          <w:rFonts w:hint="eastAsia"/>
          <w:sz w:val="32"/>
          <w:szCs w:val="32"/>
          <w:u w:val="single"/>
        </w:rPr>
        <w:t>公司</w:t>
      </w:r>
    </w:p>
    <w:p w14:paraId="737042DF">
      <w:pPr>
        <w:pStyle w:val="26"/>
        <w:adjustRightInd w:val="0"/>
        <w:snapToGrid w:val="0"/>
        <w:spacing w:beforeLines="50" w:line="360" w:lineRule="auto"/>
        <w:rPr>
          <w:rFonts w:ascii="Times New Roman" w:hAnsi="Times New Roman"/>
          <w:b/>
          <w:sz w:val="32"/>
          <w:szCs w:val="32"/>
        </w:rPr>
      </w:pPr>
    </w:p>
    <w:p w14:paraId="306E849E">
      <w:pPr>
        <w:pStyle w:val="26"/>
        <w:adjustRightInd w:val="0"/>
        <w:snapToGrid w:val="0"/>
        <w:spacing w:beforeLines="50" w:line="360" w:lineRule="auto"/>
        <w:ind w:firstLine="948" w:firstLineChars="295"/>
        <w:rPr>
          <w:rFonts w:ascii="Times New Roman" w:hAnsi="Times New Roman"/>
          <w:b/>
          <w:sz w:val="32"/>
          <w:szCs w:val="32"/>
        </w:rPr>
      </w:pPr>
    </w:p>
    <w:p w14:paraId="38DB67B9">
      <w:pPr>
        <w:pStyle w:val="26"/>
        <w:adjustRightInd w:val="0"/>
        <w:snapToGrid w:val="0"/>
        <w:spacing w:line="360" w:lineRule="auto"/>
        <w:rPr>
          <w:rFonts w:ascii="Times New Roman" w:hAnsi="Times New Roman" w:eastAsia="仿宋_GB2312"/>
          <w:b/>
          <w:sz w:val="32"/>
        </w:rPr>
      </w:pPr>
    </w:p>
    <w:p w14:paraId="4B8F3ABC">
      <w:pPr>
        <w:pStyle w:val="26"/>
        <w:adjustRightInd w:val="0"/>
        <w:snapToGrid w:val="0"/>
        <w:spacing w:line="360" w:lineRule="auto"/>
        <w:jc w:val="center"/>
        <w:rPr>
          <w:rFonts w:ascii="Times New Roman" w:hAnsi="Times New Roman"/>
          <w:b/>
          <w:sz w:val="32"/>
        </w:rPr>
      </w:pPr>
      <w:r>
        <w:rPr>
          <w:rFonts w:hint="eastAsia" w:ascii="Times New Roman" w:hAnsi="Times New Roman"/>
          <w:b/>
          <w:sz w:val="32"/>
        </w:rPr>
        <w:t>202</w:t>
      </w:r>
      <w:r>
        <w:rPr>
          <w:rFonts w:hint="eastAsia" w:ascii="Times New Roman" w:hAnsi="Times New Roman"/>
          <w:b/>
          <w:sz w:val="32"/>
          <w:lang w:val="en-US" w:eastAsia="zh-CN"/>
        </w:rPr>
        <w:t>6</w:t>
      </w:r>
      <w:r>
        <w:rPr>
          <w:rFonts w:ascii="Times New Roman" w:hAnsi="Times New Roman"/>
          <w:b/>
          <w:sz w:val="32"/>
        </w:rPr>
        <w:t>年</w:t>
      </w:r>
      <w:r>
        <w:rPr>
          <w:rFonts w:hint="eastAsia" w:ascii="Times New Roman" w:hAnsi="Times New Roman"/>
          <w:b/>
          <w:sz w:val="32"/>
          <w:lang w:val="en-US" w:eastAsia="zh-CN"/>
        </w:rPr>
        <w:t>10</w:t>
      </w:r>
      <w:r>
        <w:rPr>
          <w:rFonts w:ascii="Times New Roman" w:hAnsi="Times New Roman"/>
          <w:b/>
          <w:sz w:val="32"/>
        </w:rPr>
        <w:t>月</w:t>
      </w:r>
    </w:p>
    <w:p w14:paraId="4C18D227">
      <w:pPr>
        <w:rPr>
          <w:rFonts w:ascii="黑体" w:hAnsi="宋体" w:eastAsia="黑体"/>
          <w:b/>
          <w:spacing w:val="160"/>
          <w:sz w:val="44"/>
          <w:szCs w:val="44"/>
        </w:rPr>
      </w:pPr>
      <w:r>
        <w:rPr>
          <w:rFonts w:hint="eastAsia" w:ascii="黑体" w:hAnsi="宋体" w:eastAsia="黑体"/>
          <w:b/>
          <w:spacing w:val="160"/>
          <w:sz w:val="44"/>
          <w:szCs w:val="44"/>
        </w:rPr>
        <w:br w:type="page"/>
      </w:r>
    </w:p>
    <w:p w14:paraId="15DFEDBA">
      <w:pPr>
        <w:pStyle w:val="26"/>
        <w:tabs>
          <w:tab w:val="center" w:pos="4481"/>
          <w:tab w:val="left" w:pos="6695"/>
        </w:tabs>
        <w:adjustRightInd w:val="0"/>
        <w:snapToGrid w:val="0"/>
        <w:spacing w:line="360" w:lineRule="auto"/>
        <w:jc w:val="left"/>
        <w:rPr>
          <w:rFonts w:hint="eastAsia" w:ascii="黑体" w:hAnsi="宋体" w:eastAsia="黑体"/>
          <w:b/>
          <w:spacing w:val="160"/>
          <w:sz w:val="32"/>
          <w:szCs w:val="32"/>
          <w:lang w:eastAsia="zh-CN"/>
        </w:rPr>
      </w:pPr>
      <w:r>
        <w:rPr>
          <w:rFonts w:hint="eastAsia" w:ascii="黑体" w:hAnsi="宋体" w:eastAsia="黑体"/>
          <w:b/>
          <w:spacing w:val="160"/>
          <w:sz w:val="44"/>
          <w:szCs w:val="44"/>
          <w:lang w:eastAsia="zh-CN"/>
        </w:rPr>
        <w:tab/>
      </w:r>
      <w:r>
        <w:rPr>
          <w:rFonts w:hint="eastAsia" w:ascii="黑体" w:hAnsi="宋体" w:eastAsia="黑体"/>
          <w:b/>
          <w:spacing w:val="160"/>
          <w:sz w:val="44"/>
          <w:szCs w:val="44"/>
        </w:rPr>
        <w:t>目录</w:t>
      </w:r>
      <w:r>
        <w:rPr>
          <w:rFonts w:hint="eastAsia" w:ascii="黑体" w:hAnsi="宋体" w:eastAsia="黑体"/>
          <w:b/>
          <w:spacing w:val="160"/>
          <w:sz w:val="44"/>
          <w:szCs w:val="44"/>
          <w:lang w:eastAsia="zh-CN"/>
        </w:rPr>
        <w:tab/>
      </w:r>
    </w:p>
    <w:p w14:paraId="29DBF163">
      <w:pPr>
        <w:pStyle w:val="33"/>
        <w:tabs>
          <w:tab w:val="right" w:leader="dot" w:pos="8844"/>
        </w:tabs>
      </w:pPr>
      <w:r>
        <w:rPr>
          <w:rFonts w:ascii="黑体" w:hAnsi="黑体" w:eastAsia="黑体"/>
          <w:b w:val="0"/>
          <w:bCs/>
          <w:sz w:val="21"/>
          <w:szCs w:val="21"/>
        </w:rPr>
        <w:fldChar w:fldCharType="begin"/>
      </w:r>
      <w:r>
        <w:rPr>
          <w:rFonts w:ascii="黑体" w:hAnsi="黑体" w:eastAsia="黑体"/>
          <w:b w:val="0"/>
          <w:bCs/>
          <w:sz w:val="21"/>
          <w:szCs w:val="21"/>
        </w:rPr>
        <w:instrText xml:space="preserve"> TOC \o "1-3" \h \z \u </w:instrText>
      </w:r>
      <w:r>
        <w:rPr>
          <w:rFonts w:ascii="黑体" w:hAnsi="黑体" w:eastAsia="黑体"/>
          <w:b w:val="0"/>
          <w:bCs/>
          <w:sz w:val="21"/>
          <w:szCs w:val="21"/>
        </w:rPr>
        <w:fldChar w:fldCharType="separate"/>
      </w:r>
      <w:r>
        <w:rPr>
          <w:rFonts w:ascii="黑体" w:hAnsi="黑体" w:eastAsia="黑体"/>
          <w:bCs/>
          <w:szCs w:val="21"/>
        </w:rPr>
        <w:fldChar w:fldCharType="begin"/>
      </w:r>
      <w:r>
        <w:rPr>
          <w:rFonts w:ascii="黑体" w:hAnsi="黑体" w:eastAsia="黑体"/>
          <w:bCs/>
          <w:szCs w:val="21"/>
        </w:rPr>
        <w:instrText xml:space="preserve"> HYPERLINK \l _Toc3218 </w:instrText>
      </w:r>
      <w:r>
        <w:rPr>
          <w:rFonts w:ascii="黑体" w:hAnsi="黑体" w:eastAsia="黑体"/>
          <w:bCs/>
          <w:szCs w:val="21"/>
        </w:rPr>
        <w:fldChar w:fldCharType="separate"/>
      </w:r>
      <w:r>
        <w:rPr>
          <w:rFonts w:eastAsia="黑体"/>
          <w:szCs w:val="32"/>
        </w:rPr>
        <w:t>第一章  磋商邀请</w:t>
      </w:r>
      <w:r>
        <w:tab/>
      </w:r>
      <w:r>
        <w:fldChar w:fldCharType="begin"/>
      </w:r>
      <w:r>
        <w:instrText xml:space="preserve"> PAGEREF _Toc3218 \h </w:instrText>
      </w:r>
      <w:r>
        <w:fldChar w:fldCharType="separate"/>
      </w:r>
      <w:r>
        <w:t>4</w:t>
      </w:r>
      <w:r>
        <w:fldChar w:fldCharType="end"/>
      </w:r>
      <w:r>
        <w:rPr>
          <w:rFonts w:ascii="黑体" w:hAnsi="黑体" w:eastAsia="黑体"/>
          <w:bCs/>
          <w:szCs w:val="21"/>
        </w:rPr>
        <w:fldChar w:fldCharType="end"/>
      </w:r>
    </w:p>
    <w:p w14:paraId="20F9B50F">
      <w:pPr>
        <w:pStyle w:val="25"/>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_Toc12778 </w:instrText>
      </w:r>
      <w:r>
        <w:rPr>
          <w:rFonts w:ascii="黑体" w:hAnsi="黑体" w:eastAsia="黑体"/>
          <w:bCs/>
          <w:szCs w:val="21"/>
        </w:rPr>
        <w:fldChar w:fldCharType="separate"/>
      </w:r>
      <w:r>
        <w:rPr>
          <w:rFonts w:hint="eastAsia" w:ascii="宋体" w:hAnsi="宋体" w:eastAsia="宋体" w:cs="宋体"/>
          <w:bCs/>
          <w:i w:val="0"/>
          <w:iCs w:val="0"/>
          <w:caps w:val="0"/>
          <w:spacing w:val="0"/>
          <w:kern w:val="2"/>
          <w:szCs w:val="21"/>
          <w:lang w:val="en-US" w:eastAsia="zh-CN" w:bidi="ar-SA"/>
        </w:rPr>
        <w:t>一、采购项目基本信息</w:t>
      </w:r>
      <w:r>
        <w:tab/>
      </w:r>
      <w:r>
        <w:fldChar w:fldCharType="begin"/>
      </w:r>
      <w:r>
        <w:instrText xml:space="preserve"> PAGEREF _Toc12778 \h </w:instrText>
      </w:r>
      <w:r>
        <w:fldChar w:fldCharType="separate"/>
      </w:r>
      <w:r>
        <w:t>4</w:t>
      </w:r>
      <w:r>
        <w:fldChar w:fldCharType="end"/>
      </w:r>
      <w:r>
        <w:rPr>
          <w:rFonts w:ascii="黑体" w:hAnsi="黑体" w:eastAsia="黑体"/>
          <w:bCs/>
          <w:szCs w:val="21"/>
        </w:rPr>
        <w:fldChar w:fldCharType="end"/>
      </w:r>
    </w:p>
    <w:p w14:paraId="7DD02DFC">
      <w:pPr>
        <w:pStyle w:val="25"/>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_Toc26615 </w:instrText>
      </w:r>
      <w:r>
        <w:rPr>
          <w:rFonts w:ascii="黑体" w:hAnsi="黑体" w:eastAsia="黑体"/>
          <w:bCs/>
          <w:szCs w:val="21"/>
        </w:rPr>
        <w:fldChar w:fldCharType="separate"/>
      </w:r>
      <w:r>
        <w:rPr>
          <w:rFonts w:hint="eastAsia" w:ascii="宋体" w:hAnsi="宋体" w:eastAsia="宋体" w:cs="宋体"/>
          <w:bCs/>
          <w:i w:val="0"/>
          <w:iCs w:val="0"/>
          <w:caps w:val="0"/>
          <w:spacing w:val="0"/>
          <w:kern w:val="2"/>
          <w:szCs w:val="21"/>
          <w:lang w:val="en-US" w:eastAsia="zh-CN" w:bidi="ar-SA"/>
        </w:rPr>
        <w:t>二、采购人的采购需求</w:t>
      </w:r>
      <w:r>
        <w:tab/>
      </w:r>
      <w:r>
        <w:fldChar w:fldCharType="begin"/>
      </w:r>
      <w:r>
        <w:instrText xml:space="preserve"> PAGEREF _Toc26615 \h </w:instrText>
      </w:r>
      <w:r>
        <w:fldChar w:fldCharType="separate"/>
      </w:r>
      <w:r>
        <w:t>4</w:t>
      </w:r>
      <w:r>
        <w:fldChar w:fldCharType="end"/>
      </w:r>
      <w:r>
        <w:rPr>
          <w:rFonts w:ascii="黑体" w:hAnsi="黑体" w:eastAsia="黑体"/>
          <w:bCs/>
          <w:szCs w:val="21"/>
        </w:rPr>
        <w:fldChar w:fldCharType="end"/>
      </w:r>
    </w:p>
    <w:p w14:paraId="3A7733AF">
      <w:pPr>
        <w:pStyle w:val="25"/>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_Toc26498 </w:instrText>
      </w:r>
      <w:r>
        <w:rPr>
          <w:rFonts w:ascii="黑体" w:hAnsi="黑体" w:eastAsia="黑体"/>
          <w:bCs/>
          <w:szCs w:val="21"/>
        </w:rPr>
        <w:fldChar w:fldCharType="separate"/>
      </w:r>
      <w:r>
        <w:rPr>
          <w:rFonts w:hint="eastAsia" w:ascii="宋体" w:hAnsi="宋体" w:eastAsia="宋体" w:cs="宋体"/>
          <w:bCs/>
          <w:i w:val="0"/>
          <w:iCs w:val="0"/>
          <w:caps w:val="0"/>
          <w:spacing w:val="0"/>
          <w:kern w:val="2"/>
          <w:szCs w:val="21"/>
          <w:lang w:val="en-US" w:eastAsia="zh-CN" w:bidi="ar-SA"/>
        </w:rPr>
        <w:t>三、采购项目需落实的政府采购政策：</w:t>
      </w:r>
      <w:r>
        <w:tab/>
      </w:r>
      <w:r>
        <w:fldChar w:fldCharType="begin"/>
      </w:r>
      <w:r>
        <w:instrText xml:space="preserve"> PAGEREF _Toc26498 \h </w:instrText>
      </w:r>
      <w:r>
        <w:fldChar w:fldCharType="separate"/>
      </w:r>
      <w:r>
        <w:t>4</w:t>
      </w:r>
      <w:r>
        <w:fldChar w:fldCharType="end"/>
      </w:r>
      <w:r>
        <w:rPr>
          <w:rFonts w:ascii="黑体" w:hAnsi="黑体" w:eastAsia="黑体"/>
          <w:bCs/>
          <w:szCs w:val="21"/>
        </w:rPr>
        <w:fldChar w:fldCharType="end"/>
      </w:r>
    </w:p>
    <w:p w14:paraId="50607441">
      <w:pPr>
        <w:pStyle w:val="25"/>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_Toc2039 </w:instrText>
      </w:r>
      <w:r>
        <w:rPr>
          <w:rFonts w:ascii="黑体" w:hAnsi="黑体" w:eastAsia="黑体"/>
          <w:bCs/>
          <w:szCs w:val="21"/>
        </w:rPr>
        <w:fldChar w:fldCharType="separate"/>
      </w:r>
      <w:r>
        <w:rPr>
          <w:rFonts w:hint="eastAsia" w:ascii="宋体" w:hAnsi="宋体" w:eastAsia="宋体" w:cs="宋体"/>
          <w:bCs/>
          <w:i w:val="0"/>
          <w:iCs w:val="0"/>
          <w:caps w:val="0"/>
          <w:spacing w:val="0"/>
          <w:kern w:val="2"/>
          <w:szCs w:val="21"/>
          <w:lang w:val="en-US" w:eastAsia="zh-CN" w:bidi="ar-SA"/>
        </w:rPr>
        <w:t>四、投标人的资格要求：</w:t>
      </w:r>
      <w:r>
        <w:tab/>
      </w:r>
      <w:r>
        <w:fldChar w:fldCharType="begin"/>
      </w:r>
      <w:r>
        <w:instrText xml:space="preserve"> PAGEREF _Toc2039 \h </w:instrText>
      </w:r>
      <w:r>
        <w:fldChar w:fldCharType="separate"/>
      </w:r>
      <w:r>
        <w:t>4</w:t>
      </w:r>
      <w:r>
        <w:fldChar w:fldCharType="end"/>
      </w:r>
      <w:r>
        <w:rPr>
          <w:rFonts w:ascii="黑体" w:hAnsi="黑体" w:eastAsia="黑体"/>
          <w:bCs/>
          <w:szCs w:val="21"/>
        </w:rPr>
        <w:fldChar w:fldCharType="end"/>
      </w:r>
    </w:p>
    <w:p w14:paraId="0C9B5ED2">
      <w:pPr>
        <w:pStyle w:val="25"/>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_Toc31943 </w:instrText>
      </w:r>
      <w:r>
        <w:rPr>
          <w:rFonts w:ascii="黑体" w:hAnsi="黑体" w:eastAsia="黑体"/>
          <w:bCs/>
          <w:szCs w:val="21"/>
        </w:rPr>
        <w:fldChar w:fldCharType="separate"/>
      </w:r>
      <w:r>
        <w:rPr>
          <w:rFonts w:hint="eastAsia" w:ascii="宋体" w:hAnsi="宋体" w:eastAsia="宋体" w:cs="宋体"/>
          <w:bCs/>
          <w:i w:val="0"/>
          <w:iCs w:val="0"/>
          <w:caps w:val="0"/>
          <w:spacing w:val="0"/>
          <w:kern w:val="2"/>
          <w:szCs w:val="21"/>
          <w:lang w:val="en-US" w:eastAsia="zh-CN" w:bidi="ar-SA"/>
        </w:rPr>
        <w:t>五、获取招标文件的时间、期限、地点及方式</w:t>
      </w:r>
      <w:r>
        <w:tab/>
      </w:r>
      <w:r>
        <w:fldChar w:fldCharType="begin"/>
      </w:r>
      <w:r>
        <w:instrText xml:space="preserve"> PAGEREF _Toc31943 \h </w:instrText>
      </w:r>
      <w:r>
        <w:fldChar w:fldCharType="separate"/>
      </w:r>
      <w:r>
        <w:t>5</w:t>
      </w:r>
      <w:r>
        <w:fldChar w:fldCharType="end"/>
      </w:r>
      <w:r>
        <w:rPr>
          <w:rFonts w:ascii="黑体" w:hAnsi="黑体" w:eastAsia="黑体"/>
          <w:bCs/>
          <w:szCs w:val="21"/>
        </w:rPr>
        <w:fldChar w:fldCharType="end"/>
      </w:r>
    </w:p>
    <w:p w14:paraId="0FD505C5">
      <w:pPr>
        <w:pStyle w:val="25"/>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_Toc16765 </w:instrText>
      </w:r>
      <w:r>
        <w:rPr>
          <w:rFonts w:ascii="黑体" w:hAnsi="黑体" w:eastAsia="黑体"/>
          <w:bCs/>
          <w:szCs w:val="21"/>
        </w:rPr>
        <w:fldChar w:fldCharType="separate"/>
      </w:r>
      <w:r>
        <w:rPr>
          <w:rFonts w:hint="eastAsia" w:ascii="宋体" w:hAnsi="宋体" w:eastAsia="宋体" w:cs="宋体"/>
          <w:bCs/>
          <w:i w:val="0"/>
          <w:iCs w:val="0"/>
          <w:caps w:val="0"/>
          <w:spacing w:val="0"/>
          <w:kern w:val="2"/>
          <w:szCs w:val="21"/>
          <w:lang w:val="en-US" w:eastAsia="zh-CN" w:bidi="ar-SA"/>
        </w:rPr>
        <w:t>六、投标截止时间、开标时间及地点</w:t>
      </w:r>
      <w:r>
        <w:tab/>
      </w:r>
      <w:r>
        <w:fldChar w:fldCharType="begin"/>
      </w:r>
      <w:r>
        <w:instrText xml:space="preserve"> PAGEREF _Toc16765 \h </w:instrText>
      </w:r>
      <w:r>
        <w:fldChar w:fldCharType="separate"/>
      </w:r>
      <w:r>
        <w:t>5</w:t>
      </w:r>
      <w:r>
        <w:fldChar w:fldCharType="end"/>
      </w:r>
      <w:r>
        <w:rPr>
          <w:rFonts w:ascii="黑体" w:hAnsi="黑体" w:eastAsia="黑体"/>
          <w:bCs/>
          <w:szCs w:val="21"/>
        </w:rPr>
        <w:fldChar w:fldCharType="end"/>
      </w:r>
    </w:p>
    <w:p w14:paraId="6294DEAA">
      <w:pPr>
        <w:pStyle w:val="25"/>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_Toc22742 </w:instrText>
      </w:r>
      <w:r>
        <w:rPr>
          <w:rFonts w:ascii="黑体" w:hAnsi="黑体" w:eastAsia="黑体"/>
          <w:bCs/>
          <w:szCs w:val="21"/>
        </w:rPr>
        <w:fldChar w:fldCharType="separate"/>
      </w:r>
      <w:r>
        <w:rPr>
          <w:rFonts w:hint="eastAsia" w:ascii="宋体" w:hAnsi="宋体" w:eastAsia="宋体" w:cs="宋体"/>
          <w:bCs/>
          <w:i w:val="0"/>
          <w:iCs w:val="0"/>
          <w:caps w:val="0"/>
          <w:spacing w:val="0"/>
          <w:kern w:val="2"/>
          <w:szCs w:val="21"/>
          <w:lang w:val="en-US" w:eastAsia="zh-CN" w:bidi="ar-SA"/>
        </w:rPr>
        <w:t>七、公告期限</w:t>
      </w:r>
      <w:r>
        <w:tab/>
      </w:r>
      <w:r>
        <w:fldChar w:fldCharType="begin"/>
      </w:r>
      <w:r>
        <w:instrText xml:space="preserve"> PAGEREF _Toc22742 \h </w:instrText>
      </w:r>
      <w:r>
        <w:fldChar w:fldCharType="separate"/>
      </w:r>
      <w:r>
        <w:t>5</w:t>
      </w:r>
      <w:r>
        <w:fldChar w:fldCharType="end"/>
      </w:r>
      <w:r>
        <w:rPr>
          <w:rFonts w:ascii="黑体" w:hAnsi="黑体" w:eastAsia="黑体"/>
          <w:bCs/>
          <w:szCs w:val="21"/>
        </w:rPr>
        <w:fldChar w:fldCharType="end"/>
      </w:r>
    </w:p>
    <w:p w14:paraId="1BD12ABE">
      <w:pPr>
        <w:pStyle w:val="25"/>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_Toc13707 </w:instrText>
      </w:r>
      <w:r>
        <w:rPr>
          <w:rFonts w:ascii="黑体" w:hAnsi="黑体" w:eastAsia="黑体"/>
          <w:bCs/>
          <w:szCs w:val="21"/>
        </w:rPr>
        <w:fldChar w:fldCharType="separate"/>
      </w:r>
      <w:r>
        <w:rPr>
          <w:rFonts w:hint="eastAsia" w:ascii="宋体" w:hAnsi="宋体" w:eastAsia="宋体" w:cs="宋体"/>
          <w:bCs/>
          <w:i w:val="0"/>
          <w:iCs w:val="0"/>
          <w:caps w:val="0"/>
          <w:spacing w:val="0"/>
          <w:kern w:val="2"/>
          <w:szCs w:val="21"/>
          <w:lang w:val="en-US" w:eastAsia="zh-CN" w:bidi="ar-SA"/>
        </w:rPr>
        <w:t>八、询问及质疑</w:t>
      </w:r>
      <w:r>
        <w:tab/>
      </w:r>
      <w:r>
        <w:fldChar w:fldCharType="begin"/>
      </w:r>
      <w:r>
        <w:instrText xml:space="preserve"> PAGEREF _Toc13707 \h </w:instrText>
      </w:r>
      <w:r>
        <w:fldChar w:fldCharType="separate"/>
      </w:r>
      <w:r>
        <w:t>6</w:t>
      </w:r>
      <w:r>
        <w:fldChar w:fldCharType="end"/>
      </w:r>
      <w:r>
        <w:rPr>
          <w:rFonts w:ascii="黑体" w:hAnsi="黑体" w:eastAsia="黑体"/>
          <w:bCs/>
          <w:szCs w:val="21"/>
        </w:rPr>
        <w:fldChar w:fldCharType="end"/>
      </w:r>
    </w:p>
    <w:p w14:paraId="2DEDE7BF">
      <w:pPr>
        <w:pStyle w:val="25"/>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_Toc32159 </w:instrText>
      </w:r>
      <w:r>
        <w:rPr>
          <w:rFonts w:ascii="黑体" w:hAnsi="黑体" w:eastAsia="黑体"/>
          <w:bCs/>
          <w:szCs w:val="21"/>
        </w:rPr>
        <w:fldChar w:fldCharType="separate"/>
      </w:r>
      <w:r>
        <w:rPr>
          <w:rFonts w:hint="eastAsia" w:ascii="宋体" w:hAnsi="宋体" w:eastAsia="宋体" w:cs="宋体"/>
          <w:bCs/>
          <w:i w:val="0"/>
          <w:iCs w:val="0"/>
          <w:caps w:val="0"/>
          <w:spacing w:val="0"/>
          <w:kern w:val="2"/>
          <w:szCs w:val="21"/>
          <w:lang w:val="en-US" w:eastAsia="zh-CN" w:bidi="ar-SA"/>
        </w:rPr>
        <w:t>九、投标说明</w:t>
      </w:r>
      <w:r>
        <w:tab/>
      </w:r>
      <w:r>
        <w:fldChar w:fldCharType="begin"/>
      </w:r>
      <w:r>
        <w:instrText xml:space="preserve"> PAGEREF _Toc32159 \h </w:instrText>
      </w:r>
      <w:r>
        <w:fldChar w:fldCharType="separate"/>
      </w:r>
      <w:r>
        <w:t>6</w:t>
      </w:r>
      <w:r>
        <w:fldChar w:fldCharType="end"/>
      </w:r>
      <w:r>
        <w:rPr>
          <w:rFonts w:ascii="黑体" w:hAnsi="黑体" w:eastAsia="黑体"/>
          <w:bCs/>
          <w:szCs w:val="21"/>
        </w:rPr>
        <w:fldChar w:fldCharType="end"/>
      </w:r>
    </w:p>
    <w:p w14:paraId="0C0F601A">
      <w:pPr>
        <w:pStyle w:val="25"/>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_Toc30586 </w:instrText>
      </w:r>
      <w:r>
        <w:rPr>
          <w:rFonts w:ascii="黑体" w:hAnsi="黑体" w:eastAsia="黑体"/>
          <w:bCs/>
          <w:szCs w:val="21"/>
        </w:rPr>
        <w:fldChar w:fldCharType="separate"/>
      </w:r>
      <w:r>
        <w:rPr>
          <w:rFonts w:hint="eastAsia" w:ascii="宋体" w:hAnsi="宋体" w:eastAsia="宋体" w:cs="宋体"/>
          <w:bCs/>
          <w:i w:val="0"/>
          <w:iCs w:val="0"/>
          <w:caps w:val="0"/>
          <w:spacing w:val="0"/>
          <w:kern w:val="2"/>
          <w:szCs w:val="21"/>
          <w:lang w:val="en-US" w:eastAsia="zh-CN" w:bidi="ar-SA"/>
        </w:rPr>
        <w:t>十、采购项目联系人姓名和电话</w:t>
      </w:r>
      <w:r>
        <w:tab/>
      </w:r>
      <w:r>
        <w:fldChar w:fldCharType="begin"/>
      </w:r>
      <w:r>
        <w:instrText xml:space="preserve"> PAGEREF _Toc30586 \h </w:instrText>
      </w:r>
      <w:r>
        <w:fldChar w:fldCharType="separate"/>
      </w:r>
      <w:r>
        <w:t>6</w:t>
      </w:r>
      <w:r>
        <w:fldChar w:fldCharType="end"/>
      </w:r>
      <w:r>
        <w:rPr>
          <w:rFonts w:ascii="黑体" w:hAnsi="黑体" w:eastAsia="黑体"/>
          <w:bCs/>
          <w:szCs w:val="21"/>
        </w:rPr>
        <w:fldChar w:fldCharType="end"/>
      </w:r>
    </w:p>
    <w:p w14:paraId="7B3633E3">
      <w:pPr>
        <w:pStyle w:val="25"/>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_Toc3480 </w:instrText>
      </w:r>
      <w:r>
        <w:rPr>
          <w:rFonts w:ascii="黑体" w:hAnsi="黑体" w:eastAsia="黑体"/>
          <w:bCs/>
          <w:szCs w:val="21"/>
        </w:rPr>
        <w:fldChar w:fldCharType="separate"/>
      </w:r>
      <w:r>
        <w:rPr>
          <w:rFonts w:hint="eastAsia" w:ascii="宋体" w:hAnsi="宋体" w:eastAsia="宋体" w:cs="宋体"/>
          <w:bCs/>
          <w:i w:val="0"/>
          <w:iCs w:val="0"/>
          <w:caps w:val="0"/>
          <w:spacing w:val="0"/>
          <w:kern w:val="2"/>
          <w:szCs w:val="21"/>
          <w:lang w:val="en-US" w:eastAsia="zh-CN" w:bidi="ar-SA"/>
        </w:rPr>
        <w:t>十一、采购人、采购代理机构的名称、地址和联系方法</w:t>
      </w:r>
      <w:r>
        <w:tab/>
      </w:r>
      <w:r>
        <w:fldChar w:fldCharType="begin"/>
      </w:r>
      <w:r>
        <w:instrText xml:space="preserve"> PAGEREF _Toc3480 \h </w:instrText>
      </w:r>
      <w:r>
        <w:fldChar w:fldCharType="separate"/>
      </w:r>
      <w:r>
        <w:t>6</w:t>
      </w:r>
      <w:r>
        <w:fldChar w:fldCharType="end"/>
      </w:r>
      <w:r>
        <w:rPr>
          <w:rFonts w:ascii="黑体" w:hAnsi="黑体" w:eastAsia="黑体"/>
          <w:bCs/>
          <w:szCs w:val="21"/>
        </w:rPr>
        <w:fldChar w:fldCharType="end"/>
      </w:r>
    </w:p>
    <w:p w14:paraId="16C86F5B">
      <w:pPr>
        <w:pStyle w:val="33"/>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_Toc18686 </w:instrText>
      </w:r>
      <w:r>
        <w:rPr>
          <w:rFonts w:ascii="黑体" w:hAnsi="黑体" w:eastAsia="黑体"/>
          <w:bCs/>
          <w:szCs w:val="21"/>
        </w:rPr>
        <w:fldChar w:fldCharType="separate"/>
      </w:r>
      <w:r>
        <w:rPr>
          <w:rFonts w:eastAsia="黑体"/>
          <w:szCs w:val="32"/>
        </w:rPr>
        <w:t>第二章 磋商须知</w:t>
      </w:r>
      <w:r>
        <w:tab/>
      </w:r>
      <w:r>
        <w:fldChar w:fldCharType="begin"/>
      </w:r>
      <w:r>
        <w:instrText xml:space="preserve"> PAGEREF _Toc18686 \h </w:instrText>
      </w:r>
      <w:r>
        <w:fldChar w:fldCharType="separate"/>
      </w:r>
      <w:r>
        <w:t>7</w:t>
      </w:r>
      <w:r>
        <w:fldChar w:fldCharType="end"/>
      </w:r>
      <w:r>
        <w:rPr>
          <w:rFonts w:ascii="黑体" w:hAnsi="黑体" w:eastAsia="黑体"/>
          <w:bCs/>
          <w:szCs w:val="21"/>
        </w:rPr>
        <w:fldChar w:fldCharType="end"/>
      </w:r>
    </w:p>
    <w:p w14:paraId="5487B234">
      <w:pPr>
        <w:pStyle w:val="37"/>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_Toc24808 </w:instrText>
      </w:r>
      <w:r>
        <w:rPr>
          <w:rFonts w:ascii="黑体" w:hAnsi="黑体" w:eastAsia="黑体"/>
          <w:bCs/>
          <w:szCs w:val="21"/>
        </w:rPr>
        <w:fldChar w:fldCharType="separate"/>
      </w:r>
      <w:r>
        <w:rPr>
          <w:rFonts w:hint="eastAsia" w:ascii="Times New Roman" w:hAnsi="Times New Roman" w:eastAsia="黑体"/>
          <w:szCs w:val="24"/>
        </w:rPr>
        <w:t xml:space="preserve">第一节 </w:t>
      </w:r>
      <w:r>
        <w:rPr>
          <w:rFonts w:ascii="Times New Roman" w:hAnsi="Times New Roman" w:eastAsia="黑体"/>
          <w:szCs w:val="24"/>
        </w:rPr>
        <w:t xml:space="preserve"> 磋商须知前附表</w:t>
      </w:r>
      <w:r>
        <w:tab/>
      </w:r>
      <w:r>
        <w:fldChar w:fldCharType="begin"/>
      </w:r>
      <w:r>
        <w:instrText xml:space="preserve"> PAGEREF _Toc24808 \h </w:instrText>
      </w:r>
      <w:r>
        <w:fldChar w:fldCharType="separate"/>
      </w:r>
      <w:r>
        <w:t>7</w:t>
      </w:r>
      <w:r>
        <w:fldChar w:fldCharType="end"/>
      </w:r>
      <w:r>
        <w:rPr>
          <w:rFonts w:ascii="黑体" w:hAnsi="黑体" w:eastAsia="黑体"/>
          <w:bCs/>
          <w:szCs w:val="21"/>
        </w:rPr>
        <w:fldChar w:fldCharType="end"/>
      </w:r>
    </w:p>
    <w:p w14:paraId="0E1F8DA2">
      <w:pPr>
        <w:pStyle w:val="37"/>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_Toc16523 </w:instrText>
      </w:r>
      <w:r>
        <w:rPr>
          <w:rFonts w:ascii="黑体" w:hAnsi="黑体" w:eastAsia="黑体"/>
          <w:bCs/>
          <w:szCs w:val="21"/>
        </w:rPr>
        <w:fldChar w:fldCharType="separate"/>
      </w:r>
      <w:r>
        <w:rPr>
          <w:rFonts w:hint="eastAsia" w:ascii="Times New Roman" w:hAnsi="Times New Roman" w:eastAsia="黑体"/>
          <w:szCs w:val="24"/>
        </w:rPr>
        <w:t>第二节  磋商须知正文</w:t>
      </w:r>
      <w:r>
        <w:tab/>
      </w:r>
      <w:r>
        <w:fldChar w:fldCharType="begin"/>
      </w:r>
      <w:r>
        <w:instrText xml:space="preserve"> PAGEREF _Toc16523 \h </w:instrText>
      </w:r>
      <w:r>
        <w:fldChar w:fldCharType="separate"/>
      </w:r>
      <w:r>
        <w:t>22</w:t>
      </w:r>
      <w:r>
        <w:fldChar w:fldCharType="end"/>
      </w:r>
      <w:r>
        <w:rPr>
          <w:rFonts w:ascii="黑体" w:hAnsi="黑体" w:eastAsia="黑体"/>
          <w:bCs/>
          <w:szCs w:val="21"/>
        </w:rPr>
        <w:fldChar w:fldCharType="end"/>
      </w:r>
    </w:p>
    <w:p w14:paraId="04522F9B">
      <w:pPr>
        <w:pStyle w:val="25"/>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_Toc13866 </w:instrText>
      </w:r>
      <w:r>
        <w:rPr>
          <w:rFonts w:ascii="黑体" w:hAnsi="黑体" w:eastAsia="黑体"/>
          <w:bCs/>
          <w:szCs w:val="21"/>
        </w:rPr>
        <w:fldChar w:fldCharType="separate"/>
      </w:r>
      <w:r>
        <w:rPr>
          <w:rFonts w:hint="eastAsia" w:ascii="新宋体" w:hAnsi="新宋体" w:eastAsia="新宋体" w:cs="新宋体"/>
          <w:szCs w:val="24"/>
        </w:rPr>
        <w:t>一、说明</w:t>
      </w:r>
      <w:r>
        <w:tab/>
      </w:r>
      <w:r>
        <w:fldChar w:fldCharType="begin"/>
      </w:r>
      <w:r>
        <w:instrText xml:space="preserve"> PAGEREF _Toc13866 \h </w:instrText>
      </w:r>
      <w:r>
        <w:fldChar w:fldCharType="separate"/>
      </w:r>
      <w:r>
        <w:t>22</w:t>
      </w:r>
      <w:r>
        <w:fldChar w:fldCharType="end"/>
      </w:r>
      <w:r>
        <w:rPr>
          <w:rFonts w:ascii="黑体" w:hAnsi="黑体" w:eastAsia="黑体"/>
          <w:bCs/>
          <w:szCs w:val="21"/>
        </w:rPr>
        <w:fldChar w:fldCharType="end"/>
      </w:r>
    </w:p>
    <w:p w14:paraId="25D72256">
      <w:pPr>
        <w:pStyle w:val="25"/>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_Toc14247 </w:instrText>
      </w:r>
      <w:r>
        <w:rPr>
          <w:rFonts w:ascii="黑体" w:hAnsi="黑体" w:eastAsia="黑体"/>
          <w:bCs/>
          <w:szCs w:val="21"/>
        </w:rPr>
        <w:fldChar w:fldCharType="separate"/>
      </w:r>
      <w:r>
        <w:rPr>
          <w:rFonts w:hint="eastAsia" w:ascii="新宋体" w:hAnsi="新宋体" w:eastAsia="新宋体" w:cs="新宋体"/>
          <w:szCs w:val="24"/>
        </w:rPr>
        <w:t>二、磋商文件</w:t>
      </w:r>
      <w:r>
        <w:tab/>
      </w:r>
      <w:r>
        <w:fldChar w:fldCharType="begin"/>
      </w:r>
      <w:r>
        <w:instrText xml:space="preserve"> PAGEREF _Toc14247 \h </w:instrText>
      </w:r>
      <w:r>
        <w:fldChar w:fldCharType="separate"/>
      </w:r>
      <w:r>
        <w:t>24</w:t>
      </w:r>
      <w:r>
        <w:fldChar w:fldCharType="end"/>
      </w:r>
      <w:r>
        <w:rPr>
          <w:rFonts w:ascii="黑体" w:hAnsi="黑体" w:eastAsia="黑体"/>
          <w:bCs/>
          <w:szCs w:val="21"/>
        </w:rPr>
        <w:fldChar w:fldCharType="end"/>
      </w:r>
    </w:p>
    <w:p w14:paraId="73BB426F">
      <w:pPr>
        <w:pStyle w:val="25"/>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_Toc27731 </w:instrText>
      </w:r>
      <w:r>
        <w:rPr>
          <w:rFonts w:ascii="黑体" w:hAnsi="黑体" w:eastAsia="黑体"/>
          <w:bCs/>
          <w:szCs w:val="21"/>
        </w:rPr>
        <w:fldChar w:fldCharType="separate"/>
      </w:r>
      <w:r>
        <w:rPr>
          <w:rFonts w:hint="eastAsia" w:ascii="新宋体" w:hAnsi="新宋体" w:eastAsia="新宋体" w:cs="新宋体"/>
        </w:rPr>
        <w:t>三、响应文件</w:t>
      </w:r>
      <w:r>
        <w:tab/>
      </w:r>
      <w:r>
        <w:fldChar w:fldCharType="begin"/>
      </w:r>
      <w:r>
        <w:instrText xml:space="preserve"> PAGEREF _Toc27731 \h </w:instrText>
      </w:r>
      <w:r>
        <w:fldChar w:fldCharType="separate"/>
      </w:r>
      <w:r>
        <w:t>25</w:t>
      </w:r>
      <w:r>
        <w:fldChar w:fldCharType="end"/>
      </w:r>
      <w:r>
        <w:rPr>
          <w:rFonts w:ascii="黑体" w:hAnsi="黑体" w:eastAsia="黑体"/>
          <w:bCs/>
          <w:szCs w:val="21"/>
        </w:rPr>
        <w:fldChar w:fldCharType="end"/>
      </w:r>
    </w:p>
    <w:p w14:paraId="541CFD06">
      <w:pPr>
        <w:pStyle w:val="25"/>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_Toc16986 </w:instrText>
      </w:r>
      <w:r>
        <w:rPr>
          <w:rFonts w:ascii="黑体" w:hAnsi="黑体" w:eastAsia="黑体"/>
          <w:bCs/>
          <w:szCs w:val="21"/>
        </w:rPr>
        <w:fldChar w:fldCharType="separate"/>
      </w:r>
      <w:r>
        <w:rPr>
          <w:rFonts w:hint="eastAsia" w:ascii="新宋体" w:hAnsi="新宋体" w:eastAsia="新宋体" w:cs="新宋体"/>
        </w:rPr>
        <w:t>四、响应文件的递交</w:t>
      </w:r>
      <w:r>
        <w:tab/>
      </w:r>
      <w:r>
        <w:fldChar w:fldCharType="begin"/>
      </w:r>
      <w:r>
        <w:instrText xml:space="preserve"> PAGEREF _Toc16986 \h </w:instrText>
      </w:r>
      <w:r>
        <w:fldChar w:fldCharType="separate"/>
      </w:r>
      <w:r>
        <w:t>28</w:t>
      </w:r>
      <w:r>
        <w:fldChar w:fldCharType="end"/>
      </w:r>
      <w:r>
        <w:rPr>
          <w:rFonts w:ascii="黑体" w:hAnsi="黑体" w:eastAsia="黑体"/>
          <w:bCs/>
          <w:szCs w:val="21"/>
        </w:rPr>
        <w:fldChar w:fldCharType="end"/>
      </w:r>
    </w:p>
    <w:p w14:paraId="6DB3E62D">
      <w:pPr>
        <w:pStyle w:val="25"/>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_Toc17870 </w:instrText>
      </w:r>
      <w:r>
        <w:rPr>
          <w:rFonts w:ascii="黑体" w:hAnsi="黑体" w:eastAsia="黑体"/>
          <w:bCs/>
          <w:szCs w:val="21"/>
        </w:rPr>
        <w:fldChar w:fldCharType="separate"/>
      </w:r>
      <w:r>
        <w:rPr>
          <w:rFonts w:hint="eastAsia" w:ascii="新宋体" w:hAnsi="新宋体" w:eastAsia="新宋体" w:cs="新宋体"/>
        </w:rPr>
        <w:t>五、响应文件的磋商与评审</w:t>
      </w:r>
      <w:r>
        <w:tab/>
      </w:r>
      <w:r>
        <w:fldChar w:fldCharType="begin"/>
      </w:r>
      <w:r>
        <w:instrText xml:space="preserve"> PAGEREF _Toc17870 \h </w:instrText>
      </w:r>
      <w:r>
        <w:fldChar w:fldCharType="separate"/>
      </w:r>
      <w:r>
        <w:t>28</w:t>
      </w:r>
      <w:r>
        <w:fldChar w:fldCharType="end"/>
      </w:r>
      <w:r>
        <w:rPr>
          <w:rFonts w:ascii="黑体" w:hAnsi="黑体" w:eastAsia="黑体"/>
          <w:bCs/>
          <w:szCs w:val="21"/>
        </w:rPr>
        <w:fldChar w:fldCharType="end"/>
      </w:r>
    </w:p>
    <w:p w14:paraId="02EF4B58">
      <w:pPr>
        <w:pStyle w:val="25"/>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_Toc17862 </w:instrText>
      </w:r>
      <w:r>
        <w:rPr>
          <w:rFonts w:ascii="黑体" w:hAnsi="黑体" w:eastAsia="黑体"/>
          <w:bCs/>
          <w:szCs w:val="21"/>
        </w:rPr>
        <w:fldChar w:fldCharType="separate"/>
      </w:r>
      <w:r>
        <w:rPr>
          <w:rFonts w:hint="eastAsia" w:ascii="新宋体" w:hAnsi="新宋体" w:eastAsia="新宋体" w:cs="新宋体"/>
        </w:rPr>
        <w:t>六、成交结果信息公布与授予合同</w:t>
      </w:r>
      <w:r>
        <w:tab/>
      </w:r>
      <w:r>
        <w:fldChar w:fldCharType="begin"/>
      </w:r>
      <w:r>
        <w:instrText xml:space="preserve"> PAGEREF _Toc17862 \h </w:instrText>
      </w:r>
      <w:r>
        <w:fldChar w:fldCharType="separate"/>
      </w:r>
      <w:r>
        <w:t>33</w:t>
      </w:r>
      <w:r>
        <w:fldChar w:fldCharType="end"/>
      </w:r>
      <w:r>
        <w:rPr>
          <w:rFonts w:ascii="黑体" w:hAnsi="黑体" w:eastAsia="黑体"/>
          <w:bCs/>
          <w:szCs w:val="21"/>
        </w:rPr>
        <w:fldChar w:fldCharType="end"/>
      </w:r>
    </w:p>
    <w:p w14:paraId="32C24021">
      <w:pPr>
        <w:pStyle w:val="25"/>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_Toc5656 </w:instrText>
      </w:r>
      <w:r>
        <w:rPr>
          <w:rFonts w:ascii="黑体" w:hAnsi="黑体" w:eastAsia="黑体"/>
          <w:bCs/>
          <w:szCs w:val="21"/>
        </w:rPr>
        <w:fldChar w:fldCharType="separate"/>
      </w:r>
      <w:r>
        <w:rPr>
          <w:rFonts w:hint="eastAsia" w:ascii="新宋体" w:hAnsi="新宋体" w:eastAsia="新宋体" w:cs="新宋体"/>
        </w:rPr>
        <w:t>七、 政府采购政策支持</w:t>
      </w:r>
      <w:r>
        <w:tab/>
      </w:r>
      <w:r>
        <w:fldChar w:fldCharType="begin"/>
      </w:r>
      <w:r>
        <w:instrText xml:space="preserve"> PAGEREF _Toc5656 \h </w:instrText>
      </w:r>
      <w:r>
        <w:fldChar w:fldCharType="separate"/>
      </w:r>
      <w:r>
        <w:t>34</w:t>
      </w:r>
      <w:r>
        <w:fldChar w:fldCharType="end"/>
      </w:r>
      <w:r>
        <w:rPr>
          <w:rFonts w:ascii="黑体" w:hAnsi="黑体" w:eastAsia="黑体"/>
          <w:bCs/>
          <w:szCs w:val="21"/>
        </w:rPr>
        <w:fldChar w:fldCharType="end"/>
      </w:r>
    </w:p>
    <w:p w14:paraId="3EBAC2F7">
      <w:pPr>
        <w:pStyle w:val="25"/>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_Toc9954 </w:instrText>
      </w:r>
      <w:r>
        <w:rPr>
          <w:rFonts w:ascii="黑体" w:hAnsi="黑体" w:eastAsia="黑体"/>
          <w:bCs/>
          <w:szCs w:val="21"/>
        </w:rPr>
        <w:fldChar w:fldCharType="separate"/>
      </w:r>
      <w:r>
        <w:rPr>
          <w:rFonts w:hint="eastAsia" w:ascii="新宋体" w:hAnsi="新宋体" w:eastAsia="新宋体" w:cs="新宋体"/>
        </w:rPr>
        <w:t>八、其他规定</w:t>
      </w:r>
      <w:r>
        <w:tab/>
      </w:r>
      <w:r>
        <w:fldChar w:fldCharType="begin"/>
      </w:r>
      <w:r>
        <w:instrText xml:space="preserve"> PAGEREF _Toc9954 \h </w:instrText>
      </w:r>
      <w:r>
        <w:fldChar w:fldCharType="separate"/>
      </w:r>
      <w:r>
        <w:t>35</w:t>
      </w:r>
      <w:r>
        <w:fldChar w:fldCharType="end"/>
      </w:r>
      <w:r>
        <w:rPr>
          <w:rFonts w:ascii="黑体" w:hAnsi="黑体" w:eastAsia="黑体"/>
          <w:bCs/>
          <w:szCs w:val="21"/>
        </w:rPr>
        <w:fldChar w:fldCharType="end"/>
      </w:r>
    </w:p>
    <w:p w14:paraId="2285931B">
      <w:pPr>
        <w:pStyle w:val="33"/>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_Toc22509 </w:instrText>
      </w:r>
      <w:r>
        <w:rPr>
          <w:rFonts w:ascii="黑体" w:hAnsi="黑体" w:eastAsia="黑体"/>
          <w:bCs/>
          <w:szCs w:val="21"/>
        </w:rPr>
        <w:fldChar w:fldCharType="separate"/>
      </w:r>
      <w:r>
        <w:rPr>
          <w:rFonts w:hint="eastAsia" w:ascii="黑体" w:hAnsi="黑体" w:eastAsia="黑体"/>
          <w:szCs w:val="32"/>
        </w:rPr>
        <w:t>第三章 采购需求</w:t>
      </w:r>
      <w:r>
        <w:tab/>
      </w:r>
      <w:r>
        <w:fldChar w:fldCharType="begin"/>
      </w:r>
      <w:r>
        <w:instrText xml:space="preserve"> PAGEREF _Toc22509 \h </w:instrText>
      </w:r>
      <w:r>
        <w:fldChar w:fldCharType="separate"/>
      </w:r>
      <w:r>
        <w:t>36</w:t>
      </w:r>
      <w:r>
        <w:fldChar w:fldCharType="end"/>
      </w:r>
      <w:r>
        <w:rPr>
          <w:rFonts w:ascii="黑体" w:hAnsi="黑体" w:eastAsia="黑体"/>
          <w:bCs/>
          <w:szCs w:val="21"/>
        </w:rPr>
        <w:fldChar w:fldCharType="end"/>
      </w:r>
    </w:p>
    <w:p w14:paraId="57D305E4">
      <w:pPr>
        <w:pStyle w:val="33"/>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_Toc8322 </w:instrText>
      </w:r>
      <w:r>
        <w:rPr>
          <w:rFonts w:ascii="黑体" w:hAnsi="黑体" w:eastAsia="黑体"/>
          <w:bCs/>
          <w:szCs w:val="21"/>
        </w:rPr>
        <w:fldChar w:fldCharType="separate"/>
      </w:r>
      <w:r>
        <w:rPr>
          <w:rFonts w:hint="eastAsia" w:ascii="黑体" w:hAnsi="黑体" w:eastAsia="黑体"/>
          <w:szCs w:val="32"/>
        </w:rPr>
        <w:t>第四章 合同草案条款</w:t>
      </w:r>
      <w:r>
        <w:tab/>
      </w:r>
      <w:r>
        <w:fldChar w:fldCharType="begin"/>
      </w:r>
      <w:r>
        <w:instrText xml:space="preserve"> PAGEREF _Toc8322 \h </w:instrText>
      </w:r>
      <w:r>
        <w:fldChar w:fldCharType="separate"/>
      </w:r>
      <w:r>
        <w:t>39</w:t>
      </w:r>
      <w:r>
        <w:fldChar w:fldCharType="end"/>
      </w:r>
      <w:r>
        <w:rPr>
          <w:rFonts w:ascii="黑体" w:hAnsi="黑体" w:eastAsia="黑体"/>
          <w:bCs/>
          <w:szCs w:val="21"/>
        </w:rPr>
        <w:fldChar w:fldCharType="end"/>
      </w:r>
    </w:p>
    <w:p w14:paraId="2EB95E97">
      <w:pPr>
        <w:pStyle w:val="37"/>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_Toc25042 </w:instrText>
      </w:r>
      <w:r>
        <w:rPr>
          <w:rFonts w:ascii="黑体" w:hAnsi="黑体" w:eastAsia="黑体"/>
          <w:bCs/>
          <w:szCs w:val="21"/>
        </w:rPr>
        <w:fldChar w:fldCharType="separate"/>
      </w:r>
      <w:r>
        <w:rPr>
          <w:rFonts w:hint="eastAsia" w:ascii="黑体" w:hAnsi="华文中宋" w:eastAsia="黑体"/>
          <w:szCs w:val="28"/>
        </w:rPr>
        <w:t>第一节 政府采购合同协议书</w:t>
      </w:r>
      <w:r>
        <w:tab/>
      </w:r>
      <w:r>
        <w:fldChar w:fldCharType="begin"/>
      </w:r>
      <w:r>
        <w:instrText xml:space="preserve"> PAGEREF _Toc25042 \h </w:instrText>
      </w:r>
      <w:r>
        <w:fldChar w:fldCharType="separate"/>
      </w:r>
      <w:r>
        <w:t>39</w:t>
      </w:r>
      <w:r>
        <w:fldChar w:fldCharType="end"/>
      </w:r>
      <w:r>
        <w:rPr>
          <w:rFonts w:ascii="黑体" w:hAnsi="黑体" w:eastAsia="黑体"/>
          <w:bCs/>
          <w:szCs w:val="21"/>
        </w:rPr>
        <w:fldChar w:fldCharType="end"/>
      </w:r>
    </w:p>
    <w:p w14:paraId="5F2F952F">
      <w:pPr>
        <w:pStyle w:val="37"/>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_Toc550 </w:instrText>
      </w:r>
      <w:r>
        <w:rPr>
          <w:rFonts w:ascii="黑体" w:hAnsi="黑体" w:eastAsia="黑体"/>
          <w:bCs/>
          <w:szCs w:val="21"/>
        </w:rPr>
        <w:fldChar w:fldCharType="separate"/>
      </w:r>
      <w:r>
        <w:rPr>
          <w:rFonts w:hint="eastAsia" w:ascii="黑体" w:hAnsi="黑体" w:eastAsia="黑体"/>
          <w:szCs w:val="28"/>
        </w:rPr>
        <w:t xml:space="preserve">第二节 </w:t>
      </w:r>
      <w:r>
        <w:rPr>
          <w:rFonts w:ascii="黑体" w:hAnsi="黑体" w:eastAsia="黑体"/>
          <w:szCs w:val="28"/>
        </w:rPr>
        <w:t>合同通用条款</w:t>
      </w:r>
      <w:r>
        <w:tab/>
      </w:r>
      <w:r>
        <w:fldChar w:fldCharType="begin"/>
      </w:r>
      <w:r>
        <w:instrText xml:space="preserve"> PAGEREF _Toc550 \h </w:instrText>
      </w:r>
      <w:r>
        <w:fldChar w:fldCharType="separate"/>
      </w:r>
      <w:r>
        <w:t>41</w:t>
      </w:r>
      <w:r>
        <w:fldChar w:fldCharType="end"/>
      </w:r>
      <w:r>
        <w:rPr>
          <w:rFonts w:ascii="黑体" w:hAnsi="黑体" w:eastAsia="黑体"/>
          <w:bCs/>
          <w:szCs w:val="21"/>
        </w:rPr>
        <w:fldChar w:fldCharType="end"/>
      </w:r>
    </w:p>
    <w:p w14:paraId="5A8BBA62">
      <w:pPr>
        <w:pStyle w:val="25"/>
        <w:tabs>
          <w:tab w:val="right" w:leader="dot" w:pos="8844"/>
        </w:tabs>
        <w:ind w:left="0" w:leftChars="0" w:firstLine="420" w:firstLineChars="200"/>
      </w:pPr>
      <w:r>
        <w:rPr>
          <w:rFonts w:ascii="黑体" w:hAnsi="黑体" w:eastAsia="黑体"/>
          <w:bCs/>
          <w:szCs w:val="21"/>
        </w:rPr>
        <w:fldChar w:fldCharType="begin"/>
      </w:r>
      <w:r>
        <w:rPr>
          <w:rFonts w:ascii="黑体" w:hAnsi="黑体" w:eastAsia="黑体"/>
          <w:bCs/>
          <w:szCs w:val="21"/>
        </w:rPr>
        <w:instrText xml:space="preserve"> HYPERLINK \l _Toc5134 </w:instrText>
      </w:r>
      <w:r>
        <w:rPr>
          <w:rFonts w:ascii="黑体" w:hAnsi="黑体" w:eastAsia="黑体"/>
          <w:bCs/>
          <w:szCs w:val="21"/>
        </w:rPr>
        <w:fldChar w:fldCharType="separate"/>
      </w:r>
      <w:r>
        <w:rPr>
          <w:rFonts w:hint="eastAsia" w:ascii="黑体" w:hAnsi="黑体" w:eastAsia="黑体"/>
          <w:szCs w:val="28"/>
        </w:rPr>
        <w:t>第三节 专用合同条款</w:t>
      </w:r>
      <w:r>
        <w:tab/>
      </w:r>
      <w:r>
        <w:fldChar w:fldCharType="begin"/>
      </w:r>
      <w:r>
        <w:instrText xml:space="preserve"> PAGEREF _Toc5134 \h </w:instrText>
      </w:r>
      <w:r>
        <w:fldChar w:fldCharType="separate"/>
      </w:r>
      <w:r>
        <w:t>71</w:t>
      </w:r>
      <w:r>
        <w:fldChar w:fldCharType="end"/>
      </w:r>
      <w:r>
        <w:rPr>
          <w:rFonts w:ascii="黑体" w:hAnsi="黑体" w:eastAsia="黑体"/>
          <w:bCs/>
          <w:szCs w:val="21"/>
        </w:rPr>
        <w:fldChar w:fldCharType="end"/>
      </w:r>
    </w:p>
    <w:p w14:paraId="341E29AF">
      <w:pPr>
        <w:pStyle w:val="33"/>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_Toc26269 </w:instrText>
      </w:r>
      <w:r>
        <w:rPr>
          <w:rFonts w:ascii="黑体" w:hAnsi="黑体" w:eastAsia="黑体"/>
          <w:bCs/>
          <w:szCs w:val="21"/>
        </w:rPr>
        <w:fldChar w:fldCharType="separate"/>
      </w:r>
      <w:r>
        <w:rPr>
          <w:rFonts w:hint="eastAsia" w:ascii="黑体" w:hAnsi="黑体" w:eastAsia="黑体"/>
        </w:rPr>
        <w:t>第五章 响应文件组成</w:t>
      </w:r>
      <w:r>
        <w:tab/>
      </w:r>
      <w:r>
        <w:fldChar w:fldCharType="begin"/>
      </w:r>
      <w:r>
        <w:instrText xml:space="preserve"> PAGEREF _Toc26269 \h </w:instrText>
      </w:r>
      <w:r>
        <w:fldChar w:fldCharType="separate"/>
      </w:r>
      <w:r>
        <w:t>73</w:t>
      </w:r>
      <w:r>
        <w:fldChar w:fldCharType="end"/>
      </w:r>
      <w:r>
        <w:rPr>
          <w:rFonts w:ascii="黑体" w:hAnsi="黑体" w:eastAsia="黑体"/>
          <w:bCs/>
          <w:szCs w:val="21"/>
        </w:rPr>
        <w:fldChar w:fldCharType="end"/>
      </w:r>
    </w:p>
    <w:p w14:paraId="731BE86E">
      <w:pPr>
        <w:pStyle w:val="37"/>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_Toc29518 </w:instrText>
      </w:r>
      <w:r>
        <w:rPr>
          <w:rFonts w:ascii="黑体" w:hAnsi="黑体" w:eastAsia="黑体"/>
          <w:bCs/>
          <w:szCs w:val="21"/>
        </w:rPr>
        <w:fldChar w:fldCharType="separate"/>
      </w:r>
      <w:r>
        <w:rPr>
          <w:rFonts w:hint="eastAsia" w:ascii="黑体" w:hAnsi="黑体" w:eastAsia="黑体"/>
          <w:szCs w:val="28"/>
        </w:rPr>
        <w:t>一、磋商响应声明(格式)</w:t>
      </w:r>
      <w:r>
        <w:tab/>
      </w:r>
      <w:r>
        <w:fldChar w:fldCharType="begin"/>
      </w:r>
      <w:r>
        <w:instrText xml:space="preserve"> PAGEREF _Toc29518 \h </w:instrText>
      </w:r>
      <w:r>
        <w:fldChar w:fldCharType="separate"/>
      </w:r>
      <w:r>
        <w:t>75</w:t>
      </w:r>
      <w:r>
        <w:fldChar w:fldCharType="end"/>
      </w:r>
      <w:r>
        <w:rPr>
          <w:rFonts w:ascii="黑体" w:hAnsi="黑体" w:eastAsia="黑体"/>
          <w:bCs/>
          <w:szCs w:val="21"/>
        </w:rPr>
        <w:fldChar w:fldCharType="end"/>
      </w:r>
    </w:p>
    <w:p w14:paraId="1132C9C0">
      <w:pPr>
        <w:pStyle w:val="37"/>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_Toc10381 </w:instrText>
      </w:r>
      <w:r>
        <w:rPr>
          <w:rFonts w:ascii="黑体" w:hAnsi="黑体" w:eastAsia="黑体"/>
          <w:bCs/>
          <w:szCs w:val="21"/>
        </w:rPr>
        <w:fldChar w:fldCharType="separate"/>
      </w:r>
      <w:r>
        <w:rPr>
          <w:rFonts w:hint="eastAsia" w:ascii="黑体" w:hAnsi="黑体" w:eastAsia="黑体"/>
          <w:szCs w:val="28"/>
        </w:rPr>
        <w:t>二、法定代表人（单位负责人）身份证明(格式)</w:t>
      </w:r>
      <w:r>
        <w:tab/>
      </w:r>
      <w:r>
        <w:fldChar w:fldCharType="begin"/>
      </w:r>
      <w:r>
        <w:instrText xml:space="preserve"> PAGEREF _Toc10381 \h </w:instrText>
      </w:r>
      <w:r>
        <w:fldChar w:fldCharType="separate"/>
      </w:r>
      <w:r>
        <w:t>76</w:t>
      </w:r>
      <w:r>
        <w:fldChar w:fldCharType="end"/>
      </w:r>
      <w:r>
        <w:rPr>
          <w:rFonts w:ascii="黑体" w:hAnsi="黑体" w:eastAsia="黑体"/>
          <w:bCs/>
          <w:szCs w:val="21"/>
        </w:rPr>
        <w:fldChar w:fldCharType="end"/>
      </w:r>
    </w:p>
    <w:p w14:paraId="60690B4A">
      <w:pPr>
        <w:pStyle w:val="37"/>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_Toc32138 </w:instrText>
      </w:r>
      <w:r>
        <w:rPr>
          <w:rFonts w:ascii="黑体" w:hAnsi="黑体" w:eastAsia="黑体"/>
          <w:bCs/>
          <w:szCs w:val="21"/>
        </w:rPr>
        <w:fldChar w:fldCharType="separate"/>
      </w:r>
      <w:r>
        <w:rPr>
          <w:rFonts w:hint="eastAsia" w:ascii="黑体" w:hAnsi="黑体" w:eastAsia="黑体"/>
          <w:szCs w:val="28"/>
        </w:rPr>
        <w:t>三、授权委托书(格式)</w:t>
      </w:r>
      <w:r>
        <w:tab/>
      </w:r>
      <w:r>
        <w:fldChar w:fldCharType="begin"/>
      </w:r>
      <w:r>
        <w:instrText xml:space="preserve"> PAGEREF _Toc32138 \h </w:instrText>
      </w:r>
      <w:r>
        <w:fldChar w:fldCharType="separate"/>
      </w:r>
      <w:r>
        <w:t>77</w:t>
      </w:r>
      <w:r>
        <w:fldChar w:fldCharType="end"/>
      </w:r>
      <w:r>
        <w:rPr>
          <w:rFonts w:ascii="黑体" w:hAnsi="黑体" w:eastAsia="黑体"/>
          <w:bCs/>
          <w:szCs w:val="21"/>
        </w:rPr>
        <w:fldChar w:fldCharType="end"/>
      </w:r>
    </w:p>
    <w:p w14:paraId="6DA7A1EF">
      <w:pPr>
        <w:pStyle w:val="37"/>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_Toc19540 </w:instrText>
      </w:r>
      <w:r>
        <w:rPr>
          <w:rFonts w:ascii="黑体" w:hAnsi="黑体" w:eastAsia="黑体"/>
          <w:bCs/>
          <w:szCs w:val="21"/>
        </w:rPr>
        <w:fldChar w:fldCharType="separate"/>
      </w:r>
      <w:r>
        <w:rPr>
          <w:rFonts w:hint="eastAsia" w:ascii="黑体" w:hAnsi="黑体" w:eastAsia="黑体"/>
          <w:szCs w:val="28"/>
        </w:rPr>
        <w:t>四、保证金</w:t>
      </w:r>
      <w:r>
        <w:tab/>
      </w:r>
      <w:r>
        <w:fldChar w:fldCharType="begin"/>
      </w:r>
      <w:r>
        <w:instrText xml:space="preserve"> PAGEREF _Toc19540 \h </w:instrText>
      </w:r>
      <w:r>
        <w:fldChar w:fldCharType="separate"/>
      </w:r>
      <w:r>
        <w:t>78</w:t>
      </w:r>
      <w:r>
        <w:fldChar w:fldCharType="end"/>
      </w:r>
      <w:r>
        <w:rPr>
          <w:rFonts w:ascii="黑体" w:hAnsi="黑体" w:eastAsia="黑体"/>
          <w:bCs/>
          <w:szCs w:val="21"/>
        </w:rPr>
        <w:fldChar w:fldCharType="end"/>
      </w:r>
    </w:p>
    <w:p w14:paraId="0A02AA16">
      <w:pPr>
        <w:pStyle w:val="37"/>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_Toc13026 </w:instrText>
      </w:r>
      <w:r>
        <w:rPr>
          <w:rFonts w:ascii="黑体" w:hAnsi="黑体" w:eastAsia="黑体"/>
          <w:bCs/>
          <w:szCs w:val="21"/>
        </w:rPr>
        <w:fldChar w:fldCharType="separate"/>
      </w:r>
      <w:r>
        <w:rPr>
          <w:rFonts w:hint="eastAsia" w:ascii="黑体" w:hAnsi="黑体" w:eastAsia="黑体" w:cs="黑体"/>
          <w:szCs w:val="28"/>
        </w:rPr>
        <w:t>五、供应商的资格证明材料</w:t>
      </w:r>
      <w:r>
        <w:tab/>
      </w:r>
      <w:r>
        <w:fldChar w:fldCharType="begin"/>
      </w:r>
      <w:r>
        <w:instrText xml:space="preserve"> PAGEREF _Toc13026 \h </w:instrText>
      </w:r>
      <w:r>
        <w:fldChar w:fldCharType="separate"/>
      </w:r>
      <w:r>
        <w:t>80</w:t>
      </w:r>
      <w:r>
        <w:fldChar w:fldCharType="end"/>
      </w:r>
      <w:r>
        <w:rPr>
          <w:rFonts w:ascii="黑体" w:hAnsi="黑体" w:eastAsia="黑体"/>
          <w:bCs/>
          <w:szCs w:val="21"/>
        </w:rPr>
        <w:fldChar w:fldCharType="end"/>
      </w:r>
    </w:p>
    <w:p w14:paraId="778B3267">
      <w:pPr>
        <w:pStyle w:val="37"/>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_Toc4581 </w:instrText>
      </w:r>
      <w:r>
        <w:rPr>
          <w:rFonts w:ascii="黑体" w:hAnsi="黑体" w:eastAsia="黑体"/>
          <w:bCs/>
          <w:szCs w:val="21"/>
        </w:rPr>
        <w:fldChar w:fldCharType="separate"/>
      </w:r>
      <w:r>
        <w:rPr>
          <w:rFonts w:hint="eastAsia" w:ascii="黑体" w:hAnsi="黑体" w:eastAsia="黑体" w:cs="黑体"/>
          <w:szCs w:val="28"/>
        </w:rPr>
        <w:t>六</w:t>
      </w:r>
      <w:r>
        <w:rPr>
          <w:rFonts w:ascii="黑体" w:hAnsi="黑体" w:eastAsia="黑体" w:cs="黑体"/>
          <w:szCs w:val="28"/>
        </w:rPr>
        <w:t>、施工组织设计方案</w:t>
      </w:r>
      <w:r>
        <w:tab/>
      </w:r>
      <w:r>
        <w:fldChar w:fldCharType="begin"/>
      </w:r>
      <w:r>
        <w:instrText xml:space="preserve"> PAGEREF _Toc4581 \h </w:instrText>
      </w:r>
      <w:r>
        <w:fldChar w:fldCharType="separate"/>
      </w:r>
      <w:r>
        <w:t>89</w:t>
      </w:r>
      <w:r>
        <w:fldChar w:fldCharType="end"/>
      </w:r>
      <w:r>
        <w:rPr>
          <w:rFonts w:ascii="黑体" w:hAnsi="黑体" w:eastAsia="黑体"/>
          <w:bCs/>
          <w:szCs w:val="21"/>
        </w:rPr>
        <w:fldChar w:fldCharType="end"/>
      </w:r>
    </w:p>
    <w:p w14:paraId="06503259">
      <w:pPr>
        <w:pStyle w:val="37"/>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_Toc23176 </w:instrText>
      </w:r>
      <w:r>
        <w:rPr>
          <w:rFonts w:ascii="黑体" w:hAnsi="黑体" w:eastAsia="黑体"/>
          <w:bCs/>
          <w:szCs w:val="21"/>
        </w:rPr>
        <w:fldChar w:fldCharType="separate"/>
      </w:r>
      <w:r>
        <w:rPr>
          <w:rFonts w:hint="eastAsia" w:ascii="黑体" w:hAnsi="黑体" w:eastAsia="黑体" w:cs="黑体"/>
          <w:szCs w:val="28"/>
        </w:rPr>
        <w:t>七、报价表及报价文件(格式)</w:t>
      </w:r>
      <w:r>
        <w:tab/>
      </w:r>
      <w:r>
        <w:fldChar w:fldCharType="begin"/>
      </w:r>
      <w:r>
        <w:instrText xml:space="preserve"> PAGEREF _Toc23176 \h </w:instrText>
      </w:r>
      <w:r>
        <w:fldChar w:fldCharType="separate"/>
      </w:r>
      <w:r>
        <w:t>90</w:t>
      </w:r>
      <w:r>
        <w:fldChar w:fldCharType="end"/>
      </w:r>
      <w:r>
        <w:rPr>
          <w:rFonts w:ascii="黑体" w:hAnsi="黑体" w:eastAsia="黑体"/>
          <w:bCs/>
          <w:szCs w:val="21"/>
        </w:rPr>
        <w:fldChar w:fldCharType="end"/>
      </w:r>
    </w:p>
    <w:p w14:paraId="0B6A5381">
      <w:pPr>
        <w:pStyle w:val="37"/>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_Toc13959 </w:instrText>
      </w:r>
      <w:r>
        <w:rPr>
          <w:rFonts w:ascii="黑体" w:hAnsi="黑体" w:eastAsia="黑体"/>
          <w:bCs/>
          <w:szCs w:val="21"/>
        </w:rPr>
        <w:fldChar w:fldCharType="separate"/>
      </w:r>
      <w:r>
        <w:rPr>
          <w:rFonts w:hint="eastAsia" w:ascii="黑体" w:hAnsi="黑体" w:eastAsia="黑体"/>
          <w:szCs w:val="28"/>
        </w:rPr>
        <w:t>八、采购需求的响应</w:t>
      </w:r>
      <w:r>
        <w:tab/>
      </w:r>
      <w:r>
        <w:fldChar w:fldCharType="begin"/>
      </w:r>
      <w:r>
        <w:instrText xml:space="preserve"> PAGEREF _Toc13959 \h </w:instrText>
      </w:r>
      <w:r>
        <w:fldChar w:fldCharType="separate"/>
      </w:r>
      <w:r>
        <w:t>92</w:t>
      </w:r>
      <w:r>
        <w:fldChar w:fldCharType="end"/>
      </w:r>
      <w:r>
        <w:rPr>
          <w:rFonts w:ascii="黑体" w:hAnsi="黑体" w:eastAsia="黑体"/>
          <w:bCs/>
          <w:szCs w:val="21"/>
        </w:rPr>
        <w:fldChar w:fldCharType="end"/>
      </w:r>
    </w:p>
    <w:p w14:paraId="23A42B36">
      <w:pPr>
        <w:pStyle w:val="37"/>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_Toc3072 </w:instrText>
      </w:r>
      <w:r>
        <w:rPr>
          <w:rFonts w:ascii="黑体" w:hAnsi="黑体" w:eastAsia="黑体"/>
          <w:bCs/>
          <w:szCs w:val="21"/>
        </w:rPr>
        <w:fldChar w:fldCharType="separate"/>
      </w:r>
      <w:r>
        <w:rPr>
          <w:rFonts w:hint="eastAsia" w:ascii="黑体" w:hAnsi="黑体" w:eastAsia="黑体"/>
          <w:szCs w:val="28"/>
        </w:rPr>
        <w:t>九、合同条款偏离表</w:t>
      </w:r>
      <w:r>
        <w:tab/>
      </w:r>
      <w:r>
        <w:fldChar w:fldCharType="begin"/>
      </w:r>
      <w:r>
        <w:instrText xml:space="preserve"> PAGEREF _Toc3072 \h </w:instrText>
      </w:r>
      <w:r>
        <w:fldChar w:fldCharType="separate"/>
      </w:r>
      <w:r>
        <w:t>93</w:t>
      </w:r>
      <w:r>
        <w:fldChar w:fldCharType="end"/>
      </w:r>
      <w:r>
        <w:rPr>
          <w:rFonts w:ascii="黑体" w:hAnsi="黑体" w:eastAsia="黑体"/>
          <w:bCs/>
          <w:szCs w:val="21"/>
        </w:rPr>
        <w:fldChar w:fldCharType="end"/>
      </w:r>
    </w:p>
    <w:p w14:paraId="5422E7B7">
      <w:pPr>
        <w:pStyle w:val="37"/>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_Toc28071 </w:instrText>
      </w:r>
      <w:r>
        <w:rPr>
          <w:rFonts w:ascii="黑体" w:hAnsi="黑体" w:eastAsia="黑体"/>
          <w:bCs/>
          <w:szCs w:val="21"/>
        </w:rPr>
        <w:fldChar w:fldCharType="separate"/>
      </w:r>
      <w:r>
        <w:rPr>
          <w:rFonts w:hint="eastAsia" w:ascii="黑体" w:eastAsia="黑体"/>
          <w:szCs w:val="28"/>
        </w:rPr>
        <w:t>十、采购需求偏离表</w:t>
      </w:r>
      <w:r>
        <w:tab/>
      </w:r>
      <w:r>
        <w:fldChar w:fldCharType="begin"/>
      </w:r>
      <w:r>
        <w:instrText xml:space="preserve"> PAGEREF _Toc28071 \h </w:instrText>
      </w:r>
      <w:r>
        <w:fldChar w:fldCharType="separate"/>
      </w:r>
      <w:r>
        <w:t>94</w:t>
      </w:r>
      <w:r>
        <w:fldChar w:fldCharType="end"/>
      </w:r>
      <w:r>
        <w:rPr>
          <w:rFonts w:ascii="黑体" w:hAnsi="黑体" w:eastAsia="黑体"/>
          <w:bCs/>
          <w:szCs w:val="21"/>
        </w:rPr>
        <w:fldChar w:fldCharType="end"/>
      </w:r>
    </w:p>
    <w:p w14:paraId="50A02A9B">
      <w:pPr>
        <w:pStyle w:val="37"/>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_Toc1836 </w:instrText>
      </w:r>
      <w:r>
        <w:rPr>
          <w:rFonts w:ascii="黑体" w:hAnsi="黑体" w:eastAsia="黑体"/>
          <w:bCs/>
          <w:szCs w:val="21"/>
        </w:rPr>
        <w:fldChar w:fldCharType="separate"/>
      </w:r>
      <w:r>
        <w:rPr>
          <w:rFonts w:hint="eastAsia" w:ascii="黑体" w:hAnsi="黑体" w:eastAsia="黑体" w:cs="黑体"/>
          <w:szCs w:val="28"/>
        </w:rPr>
        <w:t>十一、享受政府采购政策优惠的证明资料</w:t>
      </w:r>
      <w:r>
        <w:tab/>
      </w:r>
      <w:r>
        <w:fldChar w:fldCharType="begin"/>
      </w:r>
      <w:r>
        <w:instrText xml:space="preserve"> PAGEREF _Toc1836 \h </w:instrText>
      </w:r>
      <w:r>
        <w:fldChar w:fldCharType="separate"/>
      </w:r>
      <w:r>
        <w:t>95</w:t>
      </w:r>
      <w:r>
        <w:fldChar w:fldCharType="end"/>
      </w:r>
      <w:r>
        <w:rPr>
          <w:rFonts w:ascii="黑体" w:hAnsi="黑体" w:eastAsia="黑体"/>
          <w:bCs/>
          <w:szCs w:val="21"/>
        </w:rPr>
        <w:fldChar w:fldCharType="end"/>
      </w:r>
    </w:p>
    <w:p w14:paraId="34D42F15">
      <w:pPr>
        <w:pStyle w:val="37"/>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_Toc4378 </w:instrText>
      </w:r>
      <w:r>
        <w:rPr>
          <w:rFonts w:ascii="黑体" w:hAnsi="黑体" w:eastAsia="黑体"/>
          <w:bCs/>
          <w:szCs w:val="21"/>
        </w:rPr>
        <w:fldChar w:fldCharType="separate"/>
      </w:r>
      <w:r>
        <w:rPr>
          <w:rFonts w:hint="eastAsia" w:ascii="黑体" w:hAnsi="黑体" w:eastAsia="黑体"/>
          <w:szCs w:val="28"/>
        </w:rPr>
        <w:t>十二、关于资格的说明(格式)</w:t>
      </w:r>
      <w:r>
        <w:tab/>
      </w:r>
      <w:r>
        <w:fldChar w:fldCharType="begin"/>
      </w:r>
      <w:r>
        <w:instrText xml:space="preserve"> PAGEREF _Toc4378 \h </w:instrText>
      </w:r>
      <w:r>
        <w:fldChar w:fldCharType="separate"/>
      </w:r>
      <w:r>
        <w:t>101</w:t>
      </w:r>
      <w:r>
        <w:fldChar w:fldCharType="end"/>
      </w:r>
      <w:r>
        <w:rPr>
          <w:rFonts w:ascii="黑体" w:hAnsi="黑体" w:eastAsia="黑体"/>
          <w:bCs/>
          <w:szCs w:val="21"/>
        </w:rPr>
        <w:fldChar w:fldCharType="end"/>
      </w:r>
    </w:p>
    <w:p w14:paraId="71487A5F">
      <w:pPr>
        <w:pStyle w:val="37"/>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_Toc31242 </w:instrText>
      </w:r>
      <w:r>
        <w:rPr>
          <w:rFonts w:ascii="黑体" w:hAnsi="黑体" w:eastAsia="黑体"/>
          <w:bCs/>
          <w:szCs w:val="21"/>
        </w:rPr>
        <w:fldChar w:fldCharType="separate"/>
      </w:r>
      <w:r>
        <w:rPr>
          <w:rFonts w:hint="eastAsia" w:ascii="黑体" w:hAnsi="黑体" w:eastAsia="黑体"/>
          <w:szCs w:val="28"/>
        </w:rPr>
        <w:t>十三、响应标的符合磋商文件规定的证明文件</w:t>
      </w:r>
      <w:r>
        <w:tab/>
      </w:r>
      <w:r>
        <w:fldChar w:fldCharType="begin"/>
      </w:r>
      <w:r>
        <w:instrText xml:space="preserve"> PAGEREF _Toc31242 \h </w:instrText>
      </w:r>
      <w:r>
        <w:fldChar w:fldCharType="separate"/>
      </w:r>
      <w:r>
        <w:t>102</w:t>
      </w:r>
      <w:r>
        <w:fldChar w:fldCharType="end"/>
      </w:r>
      <w:r>
        <w:rPr>
          <w:rFonts w:ascii="黑体" w:hAnsi="黑体" w:eastAsia="黑体"/>
          <w:bCs/>
          <w:szCs w:val="21"/>
        </w:rPr>
        <w:fldChar w:fldCharType="end"/>
      </w:r>
    </w:p>
    <w:p w14:paraId="5224321F">
      <w:pPr>
        <w:pStyle w:val="37"/>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_Toc19581 </w:instrText>
      </w:r>
      <w:r>
        <w:rPr>
          <w:rFonts w:ascii="黑体" w:hAnsi="黑体" w:eastAsia="黑体"/>
          <w:bCs/>
          <w:szCs w:val="21"/>
        </w:rPr>
        <w:fldChar w:fldCharType="separate"/>
      </w:r>
      <w:r>
        <w:rPr>
          <w:rFonts w:hint="eastAsia" w:ascii="黑体" w:hAnsi="黑体" w:eastAsia="黑体"/>
          <w:szCs w:val="28"/>
        </w:rPr>
        <w:t>十四、供应商认为需提供的其他资料</w:t>
      </w:r>
      <w:r>
        <w:tab/>
      </w:r>
      <w:r>
        <w:fldChar w:fldCharType="begin"/>
      </w:r>
      <w:r>
        <w:instrText xml:space="preserve"> PAGEREF _Toc19581 \h </w:instrText>
      </w:r>
      <w:r>
        <w:fldChar w:fldCharType="separate"/>
      </w:r>
      <w:r>
        <w:t>103</w:t>
      </w:r>
      <w:r>
        <w:fldChar w:fldCharType="end"/>
      </w:r>
      <w:r>
        <w:rPr>
          <w:rFonts w:ascii="黑体" w:hAnsi="黑体" w:eastAsia="黑体"/>
          <w:bCs/>
          <w:szCs w:val="21"/>
        </w:rPr>
        <w:fldChar w:fldCharType="end"/>
      </w:r>
    </w:p>
    <w:p w14:paraId="3D0358C4">
      <w:pPr>
        <w:pStyle w:val="37"/>
        <w:tabs>
          <w:tab w:val="right" w:leader="dot" w:pos="8844"/>
        </w:tabs>
      </w:pPr>
      <w:r>
        <w:rPr>
          <w:rFonts w:ascii="黑体" w:hAnsi="黑体" w:eastAsia="黑体"/>
          <w:bCs/>
          <w:szCs w:val="21"/>
        </w:rPr>
        <w:fldChar w:fldCharType="begin"/>
      </w:r>
      <w:r>
        <w:rPr>
          <w:rFonts w:ascii="黑体" w:hAnsi="黑体" w:eastAsia="黑体"/>
          <w:bCs/>
          <w:szCs w:val="21"/>
        </w:rPr>
        <w:instrText xml:space="preserve"> HYPERLINK \l _Toc2316 </w:instrText>
      </w:r>
      <w:r>
        <w:rPr>
          <w:rFonts w:ascii="黑体" w:hAnsi="黑体" w:eastAsia="黑体"/>
          <w:bCs/>
          <w:szCs w:val="21"/>
        </w:rPr>
        <w:fldChar w:fldCharType="separate"/>
      </w:r>
      <w:r>
        <w:rPr>
          <w:rFonts w:hint="eastAsia" w:ascii="黑体" w:hAnsi="黑体" w:eastAsia="黑体"/>
          <w:szCs w:val="28"/>
        </w:rPr>
        <w:t>十五、最终报价表</w:t>
      </w:r>
      <w:r>
        <w:tab/>
      </w:r>
      <w:r>
        <w:fldChar w:fldCharType="begin"/>
      </w:r>
      <w:r>
        <w:instrText xml:space="preserve"> PAGEREF _Toc2316 \h </w:instrText>
      </w:r>
      <w:r>
        <w:fldChar w:fldCharType="separate"/>
      </w:r>
      <w:r>
        <w:t>104</w:t>
      </w:r>
      <w:r>
        <w:fldChar w:fldCharType="end"/>
      </w:r>
      <w:r>
        <w:rPr>
          <w:rFonts w:ascii="黑体" w:hAnsi="黑体" w:eastAsia="黑体"/>
          <w:bCs/>
          <w:szCs w:val="21"/>
        </w:rPr>
        <w:fldChar w:fldCharType="end"/>
      </w:r>
    </w:p>
    <w:p w14:paraId="14B1EBD0">
      <w:pPr>
        <w:pStyle w:val="37"/>
        <w:tabs>
          <w:tab w:val="right" w:leader="dot" w:pos="8617"/>
        </w:tabs>
        <w:ind w:left="420"/>
        <w:rPr>
          <w:rFonts w:hAnsi="宋体"/>
        </w:rPr>
      </w:pPr>
      <w:r>
        <w:rPr>
          <w:rFonts w:ascii="黑体" w:hAnsi="黑体" w:eastAsia="黑体"/>
          <w:bCs/>
          <w:szCs w:val="21"/>
        </w:rPr>
        <w:fldChar w:fldCharType="end"/>
      </w:r>
    </w:p>
    <w:p w14:paraId="386909F2">
      <w:pPr>
        <w:pStyle w:val="20"/>
      </w:pPr>
      <w:r>
        <w:br w:type="page"/>
      </w:r>
    </w:p>
    <w:p w14:paraId="5DD13AA8">
      <w:pPr>
        <w:pStyle w:val="5"/>
        <w:rPr>
          <w:kern w:val="0"/>
          <w:szCs w:val="21"/>
        </w:rPr>
      </w:pPr>
      <w:bookmarkStart w:id="1" w:name="_Toc3218"/>
      <w:r>
        <w:rPr>
          <w:rFonts w:eastAsia="黑体"/>
          <w:sz w:val="32"/>
          <w:szCs w:val="32"/>
        </w:rPr>
        <w:t>第一章  磋商邀请</w:t>
      </w:r>
      <w:bookmarkEnd w:id="1"/>
    </w:p>
    <w:p w14:paraId="0D48EA6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auto"/>
          <w:spacing w:val="0"/>
          <w:sz w:val="21"/>
          <w:szCs w:val="21"/>
        </w:rPr>
      </w:pPr>
      <w:r>
        <w:rPr>
          <w:rFonts w:hint="eastAsia" w:ascii="宋体" w:hAnsi="宋体" w:cs="宋体"/>
          <w:i w:val="0"/>
          <w:iCs w:val="0"/>
          <w:caps w:val="0"/>
          <w:color w:val="000000"/>
          <w:spacing w:val="0"/>
          <w:kern w:val="0"/>
          <w:sz w:val="21"/>
          <w:szCs w:val="21"/>
          <w:u w:val="single"/>
          <w:lang w:val="en-US" w:eastAsia="zh-CN" w:bidi="ar"/>
        </w:rPr>
        <w:t>张家界市永定区农村供水总站</w:t>
      </w:r>
      <w:r>
        <w:rPr>
          <w:rFonts w:hint="eastAsia" w:ascii="宋体" w:hAnsi="宋体" w:eastAsia="宋体" w:cs="宋体"/>
          <w:i w:val="0"/>
          <w:iCs w:val="0"/>
          <w:caps w:val="0"/>
          <w:color w:val="000000"/>
          <w:spacing w:val="0"/>
          <w:kern w:val="0"/>
          <w:sz w:val="21"/>
          <w:szCs w:val="21"/>
          <w:lang w:val="en-US" w:eastAsia="zh-CN" w:bidi="ar"/>
        </w:rPr>
        <w:t>的</w:t>
      </w:r>
      <w:r>
        <w:rPr>
          <w:rFonts w:hint="eastAsia" w:ascii="宋体" w:hAnsi="宋体" w:cs="宋体"/>
          <w:i w:val="0"/>
          <w:iCs w:val="0"/>
          <w:caps w:val="0"/>
          <w:color w:val="000000"/>
          <w:spacing w:val="0"/>
          <w:kern w:val="0"/>
          <w:sz w:val="21"/>
          <w:szCs w:val="21"/>
          <w:u w:val="single"/>
          <w:lang w:val="en-US" w:eastAsia="zh-CN" w:bidi="ar"/>
        </w:rPr>
        <w:t>永定区青安坪水厂胡家坡村管网延伸供水工程</w:t>
      </w:r>
      <w:r>
        <w:rPr>
          <w:rFonts w:hint="eastAsia" w:ascii="宋体" w:hAnsi="宋体" w:eastAsia="宋体" w:cs="宋体"/>
          <w:i w:val="0"/>
          <w:iCs w:val="0"/>
          <w:caps w:val="0"/>
          <w:color w:val="000000"/>
          <w:spacing w:val="0"/>
          <w:kern w:val="0"/>
          <w:sz w:val="21"/>
          <w:szCs w:val="21"/>
          <w:lang w:val="en-US" w:eastAsia="zh-CN" w:bidi="ar"/>
        </w:rPr>
        <w:t>进行采购，现邀请合格投标人参加投标。</w:t>
      </w:r>
    </w:p>
    <w:p w14:paraId="54226701">
      <w:pPr>
        <w:keepNext w:val="0"/>
        <w:keepLines w:val="0"/>
        <w:widowControl/>
        <w:suppressLineNumbers w:val="0"/>
        <w:pBdr>
          <w:top w:val="none" w:color="auto" w:sz="0" w:space="0"/>
          <w:left w:val="none" w:color="auto" w:sz="0" w:space="0"/>
          <w:bottom w:val="none" w:color="auto" w:sz="0" w:space="0"/>
          <w:right w:val="none" w:color="auto" w:sz="0" w:space="0"/>
        </w:pBdr>
        <w:spacing w:before="75" w:beforeLines="0" w:beforeAutospacing="0" w:after="0" w:afterLines="0" w:afterAutospacing="0" w:line="240" w:lineRule="auto"/>
        <w:ind w:left="0" w:right="0" w:firstLine="420"/>
        <w:jc w:val="left"/>
        <w:outlineLvl w:val="2"/>
        <w:rPr>
          <w:rFonts w:hint="eastAsia" w:ascii="宋体" w:hAnsi="宋体" w:eastAsia="宋体" w:cs="宋体"/>
          <w:b/>
          <w:bCs/>
          <w:i w:val="0"/>
          <w:iCs w:val="0"/>
          <w:caps w:val="0"/>
          <w:color w:val="auto"/>
          <w:spacing w:val="0"/>
          <w:kern w:val="2"/>
          <w:sz w:val="21"/>
          <w:szCs w:val="21"/>
          <w:lang w:val="en-US" w:eastAsia="zh-CN" w:bidi="ar-SA"/>
        </w:rPr>
      </w:pPr>
      <w:bookmarkStart w:id="2" w:name="_Toc12778"/>
      <w:r>
        <w:rPr>
          <w:rFonts w:hint="eastAsia" w:ascii="宋体" w:hAnsi="宋体" w:eastAsia="宋体" w:cs="宋体"/>
          <w:b/>
          <w:bCs/>
          <w:i w:val="0"/>
          <w:iCs w:val="0"/>
          <w:caps w:val="0"/>
          <w:color w:val="auto"/>
          <w:spacing w:val="0"/>
          <w:kern w:val="2"/>
          <w:sz w:val="21"/>
          <w:szCs w:val="21"/>
          <w:lang w:val="en-US" w:eastAsia="zh-CN" w:bidi="ar-SA"/>
        </w:rPr>
        <w:t>一、采购项目基本信息</w:t>
      </w:r>
      <w:bookmarkEnd w:id="2"/>
    </w:p>
    <w:p w14:paraId="3F894DD0">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1、采购项目名称：</w:t>
      </w:r>
      <w:r>
        <w:rPr>
          <w:rFonts w:hint="eastAsia" w:ascii="宋体" w:hAnsi="宋体" w:cs="宋体"/>
          <w:i w:val="0"/>
          <w:iCs w:val="0"/>
          <w:caps w:val="0"/>
          <w:color w:val="auto"/>
          <w:spacing w:val="0"/>
          <w:kern w:val="0"/>
          <w:sz w:val="21"/>
          <w:szCs w:val="21"/>
          <w:lang w:val="en-US" w:eastAsia="zh-CN" w:bidi="ar"/>
        </w:rPr>
        <w:t>永定区青安坪水厂胡家坡村管网延伸供水工程</w:t>
      </w:r>
      <w:r>
        <w:rPr>
          <w:rFonts w:hint="eastAsia" w:ascii="宋体" w:hAnsi="宋体" w:eastAsia="宋体" w:cs="宋体"/>
          <w:i w:val="0"/>
          <w:iCs w:val="0"/>
          <w:caps w:val="0"/>
          <w:color w:val="auto"/>
          <w:spacing w:val="0"/>
          <w:kern w:val="0"/>
          <w:sz w:val="21"/>
          <w:szCs w:val="21"/>
          <w:lang w:val="en-US" w:eastAsia="zh-CN" w:bidi="ar"/>
        </w:rPr>
        <w:t xml:space="preserve"> </w:t>
      </w:r>
    </w:p>
    <w:p w14:paraId="5C33D8C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2、政府采购计划编号：(2026)430802000032-1</w:t>
      </w:r>
      <w:r>
        <w:rPr>
          <w:rFonts w:hint="eastAsia" w:ascii="宋体" w:hAnsi="宋体" w:cs="宋体"/>
          <w:i w:val="0"/>
          <w:iCs w:val="0"/>
          <w:caps w:val="0"/>
          <w:color w:val="auto"/>
          <w:spacing w:val="0"/>
          <w:kern w:val="0"/>
          <w:sz w:val="21"/>
          <w:szCs w:val="21"/>
          <w:lang w:val="en-US" w:eastAsia="zh-CN" w:bidi="ar"/>
        </w:rPr>
        <w:t xml:space="preserve"> </w:t>
      </w:r>
      <w:r>
        <w:rPr>
          <w:rFonts w:hint="eastAsia" w:ascii="宋体" w:hAnsi="宋体" w:eastAsia="宋体" w:cs="宋体"/>
          <w:i w:val="0"/>
          <w:iCs w:val="0"/>
          <w:caps w:val="0"/>
          <w:color w:val="auto"/>
          <w:spacing w:val="0"/>
          <w:kern w:val="0"/>
          <w:sz w:val="21"/>
          <w:szCs w:val="21"/>
          <w:lang w:val="en-US" w:eastAsia="zh-CN" w:bidi="ar"/>
        </w:rPr>
        <w:t xml:space="preserve"> </w:t>
      </w:r>
    </w:p>
    <w:p w14:paraId="47E47B7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default" w:ascii="宋体" w:hAnsi="宋体" w:eastAsia="宋体" w:cs="宋体"/>
          <w:i w:val="0"/>
          <w:iCs w:val="0"/>
          <w:caps w:val="0"/>
          <w:color w:val="auto"/>
          <w:spacing w:val="0"/>
          <w:sz w:val="21"/>
          <w:szCs w:val="21"/>
          <w:lang w:val="en-US"/>
        </w:rPr>
      </w:pPr>
      <w:r>
        <w:rPr>
          <w:rFonts w:hint="eastAsia" w:ascii="宋体" w:hAnsi="宋体" w:eastAsia="宋体" w:cs="宋体"/>
          <w:i w:val="0"/>
          <w:iCs w:val="0"/>
          <w:caps w:val="0"/>
          <w:color w:val="auto"/>
          <w:spacing w:val="0"/>
          <w:kern w:val="0"/>
          <w:sz w:val="21"/>
          <w:szCs w:val="21"/>
          <w:lang w:val="en-US" w:eastAsia="zh-CN" w:bidi="ar"/>
        </w:rPr>
        <w:t>3、采购代理编号：</w:t>
      </w:r>
      <w:r>
        <w:rPr>
          <w:rFonts w:hint="eastAsia" w:ascii="宋体" w:hAnsi="宋体" w:cs="宋体"/>
          <w:i w:val="0"/>
          <w:iCs w:val="0"/>
          <w:caps w:val="0"/>
          <w:color w:val="auto"/>
          <w:spacing w:val="0"/>
          <w:kern w:val="0"/>
          <w:sz w:val="21"/>
          <w:szCs w:val="21"/>
          <w:lang w:val="en-US" w:eastAsia="zh-CN" w:bidi="ar"/>
        </w:rPr>
        <w:t>HNZJC2026-GC(ZJJ)-034</w:t>
      </w:r>
      <w:r>
        <w:rPr>
          <w:rFonts w:hint="eastAsia" w:ascii="宋体" w:hAnsi="宋体" w:eastAsia="宋体" w:cs="宋体"/>
          <w:i w:val="0"/>
          <w:iCs w:val="0"/>
          <w:caps w:val="0"/>
          <w:color w:val="auto"/>
          <w:spacing w:val="0"/>
          <w:kern w:val="0"/>
          <w:sz w:val="21"/>
          <w:szCs w:val="21"/>
          <w:lang w:val="en-US" w:eastAsia="zh-CN" w:bidi="ar"/>
        </w:rPr>
        <w:t xml:space="preserve">        </w:t>
      </w:r>
    </w:p>
    <w:p w14:paraId="62566471">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4、采购项目预算：</w:t>
      </w:r>
      <w:r>
        <w:rPr>
          <w:rFonts w:hint="eastAsia" w:ascii="宋体" w:hAnsi="宋体" w:cs="宋体"/>
          <w:i w:val="0"/>
          <w:iCs w:val="0"/>
          <w:caps w:val="0"/>
          <w:color w:val="auto"/>
          <w:spacing w:val="0"/>
          <w:kern w:val="0"/>
          <w:sz w:val="21"/>
          <w:szCs w:val="21"/>
          <w:lang w:val="en-US" w:eastAsia="zh-CN" w:bidi="ar"/>
        </w:rPr>
        <w:t>1773048.18</w:t>
      </w:r>
      <w:r>
        <w:rPr>
          <w:rFonts w:hint="eastAsia" w:ascii="宋体" w:hAnsi="宋体" w:eastAsia="宋体" w:cs="宋体"/>
          <w:i w:val="0"/>
          <w:iCs w:val="0"/>
          <w:caps w:val="0"/>
          <w:color w:val="auto"/>
          <w:spacing w:val="0"/>
          <w:kern w:val="0"/>
          <w:sz w:val="21"/>
          <w:szCs w:val="21"/>
          <w:lang w:val="en-US" w:eastAsia="zh-CN" w:bidi="ar"/>
        </w:rPr>
        <w:t>元</w:t>
      </w:r>
    </w:p>
    <w:p w14:paraId="3448B8A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default" w:ascii="宋体" w:hAnsi="宋体" w:eastAsia="宋体" w:cs="宋体"/>
          <w:i w:val="0"/>
          <w:iCs w:val="0"/>
          <w:caps w:val="0"/>
          <w:color w:val="auto"/>
          <w:spacing w:val="0"/>
          <w:sz w:val="21"/>
          <w:szCs w:val="21"/>
          <w:lang w:val="en-US"/>
        </w:rPr>
      </w:pPr>
      <w:r>
        <w:rPr>
          <w:rFonts w:hint="eastAsia" w:ascii="宋体" w:hAnsi="宋体" w:eastAsia="宋体" w:cs="宋体"/>
          <w:i w:val="0"/>
          <w:iCs w:val="0"/>
          <w:caps w:val="0"/>
          <w:color w:val="auto"/>
          <w:spacing w:val="0"/>
          <w:kern w:val="0"/>
          <w:sz w:val="21"/>
          <w:szCs w:val="21"/>
          <w:lang w:val="en-US" w:eastAsia="zh-CN" w:bidi="ar"/>
        </w:rPr>
        <w:sym w:font="Wingdings" w:char="00FE"/>
      </w:r>
      <w:r>
        <w:rPr>
          <w:rFonts w:hint="eastAsia" w:ascii="宋体" w:hAnsi="宋体" w:eastAsia="宋体" w:cs="宋体"/>
          <w:i w:val="0"/>
          <w:iCs w:val="0"/>
          <w:caps w:val="0"/>
          <w:color w:val="auto"/>
          <w:spacing w:val="0"/>
          <w:kern w:val="0"/>
          <w:sz w:val="21"/>
          <w:szCs w:val="21"/>
          <w:lang w:val="en-US" w:eastAsia="zh-CN" w:bidi="ar"/>
        </w:rPr>
        <w:t>支持预付款，预付比例：</w:t>
      </w:r>
      <w:r>
        <w:rPr>
          <w:rFonts w:hint="eastAsia" w:ascii="宋体" w:hAnsi="宋体" w:eastAsia="宋体" w:cs="宋体"/>
          <w:i w:val="0"/>
          <w:iCs w:val="0"/>
          <w:caps w:val="0"/>
          <w:color w:val="auto"/>
          <w:spacing w:val="0"/>
          <w:kern w:val="0"/>
          <w:sz w:val="21"/>
          <w:szCs w:val="21"/>
          <w:u w:val="single"/>
          <w:lang w:val="en-US" w:eastAsia="zh-CN" w:bidi="ar"/>
        </w:rPr>
        <w:t xml:space="preserve"> 30%  </w:t>
      </w:r>
    </w:p>
    <w:p w14:paraId="6FBA441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default" w:ascii="宋体" w:hAnsi="宋体" w:eastAsia="宋体" w:cs="宋体"/>
          <w:i w:val="0"/>
          <w:iCs w:val="0"/>
          <w:caps w:val="0"/>
          <w:color w:val="auto"/>
          <w:spacing w:val="0"/>
          <w:sz w:val="21"/>
          <w:szCs w:val="21"/>
          <w:lang w:val="en-US"/>
        </w:rPr>
      </w:pPr>
      <w:r>
        <w:rPr>
          <w:rFonts w:hint="eastAsia" w:ascii="宋体" w:hAnsi="宋体" w:eastAsia="宋体" w:cs="宋体"/>
          <w:i w:val="0"/>
          <w:iCs w:val="0"/>
          <w:caps w:val="0"/>
          <w:color w:val="auto"/>
          <w:spacing w:val="0"/>
          <w:kern w:val="0"/>
          <w:sz w:val="21"/>
          <w:szCs w:val="21"/>
          <w:lang w:val="en-US" w:eastAsia="zh-CN" w:bidi="ar"/>
        </w:rPr>
        <w:t>5、本项目对应的中小企业划分标准所属行业：建筑业</w:t>
      </w:r>
    </w:p>
    <w:p w14:paraId="6782BBC1">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6、评标方法： </w:t>
      </w:r>
      <w:r>
        <w:rPr>
          <w:rFonts w:hint="eastAsia" w:ascii="宋体" w:hAnsi="宋体" w:eastAsia="宋体" w:cs="宋体"/>
          <w:i w:val="0"/>
          <w:iCs w:val="0"/>
          <w:caps w:val="0"/>
          <w:color w:val="auto"/>
          <w:spacing w:val="0"/>
          <w:kern w:val="0"/>
          <w:sz w:val="21"/>
          <w:szCs w:val="21"/>
          <w:lang w:val="en-US" w:eastAsia="zh-CN" w:bidi="ar"/>
        </w:rPr>
        <w:sym w:font="Wingdings" w:char="00A8"/>
      </w:r>
      <w:r>
        <w:rPr>
          <w:rFonts w:hint="eastAsia" w:ascii="宋体" w:hAnsi="宋体" w:eastAsia="宋体" w:cs="宋体"/>
          <w:i w:val="0"/>
          <w:iCs w:val="0"/>
          <w:caps w:val="0"/>
          <w:color w:val="auto"/>
          <w:spacing w:val="0"/>
          <w:kern w:val="0"/>
          <w:sz w:val="21"/>
          <w:szCs w:val="21"/>
          <w:lang w:val="en-US" w:eastAsia="zh-CN" w:bidi="ar"/>
        </w:rPr>
        <w:t>最低价法 </w:t>
      </w:r>
      <w:r>
        <w:rPr>
          <w:rFonts w:hint="eastAsia" w:ascii="宋体" w:hAnsi="宋体" w:eastAsia="宋体" w:cs="宋体"/>
          <w:i w:val="0"/>
          <w:iCs w:val="0"/>
          <w:caps w:val="0"/>
          <w:color w:val="auto"/>
          <w:spacing w:val="0"/>
          <w:kern w:val="0"/>
          <w:sz w:val="21"/>
          <w:szCs w:val="21"/>
          <w:lang w:val="en-US" w:eastAsia="zh-CN" w:bidi="ar"/>
        </w:rPr>
        <w:sym w:font="Wingdings" w:char="00FE"/>
      </w:r>
      <w:r>
        <w:rPr>
          <w:rFonts w:hint="eastAsia" w:ascii="宋体" w:hAnsi="宋体" w:eastAsia="宋体" w:cs="宋体"/>
          <w:i w:val="0"/>
          <w:iCs w:val="0"/>
          <w:caps w:val="0"/>
          <w:color w:val="auto"/>
          <w:spacing w:val="0"/>
          <w:kern w:val="0"/>
          <w:sz w:val="21"/>
          <w:szCs w:val="21"/>
          <w:lang w:val="en-US" w:eastAsia="zh-CN" w:bidi="ar"/>
        </w:rPr>
        <w:t>综合评分法</w:t>
      </w:r>
    </w:p>
    <w:p w14:paraId="3598274B">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7、合同定价方式：</w:t>
      </w:r>
      <w:r>
        <w:rPr>
          <w:rFonts w:hint="eastAsia" w:ascii="宋体" w:hAnsi="宋体" w:eastAsia="宋体" w:cs="宋体"/>
          <w:i w:val="0"/>
          <w:iCs w:val="0"/>
          <w:caps w:val="0"/>
          <w:color w:val="auto"/>
          <w:spacing w:val="0"/>
          <w:kern w:val="0"/>
          <w:sz w:val="21"/>
          <w:szCs w:val="21"/>
          <w:lang w:val="en-US" w:eastAsia="zh-CN" w:bidi="ar"/>
        </w:rPr>
        <w:sym w:font="Wingdings" w:char="00A8"/>
      </w:r>
      <w:r>
        <w:rPr>
          <w:rFonts w:hint="eastAsia" w:ascii="宋体" w:hAnsi="宋体" w:eastAsia="宋体" w:cs="宋体"/>
          <w:i w:val="0"/>
          <w:iCs w:val="0"/>
          <w:caps w:val="0"/>
          <w:color w:val="auto"/>
          <w:spacing w:val="0"/>
          <w:kern w:val="0"/>
          <w:sz w:val="21"/>
          <w:szCs w:val="21"/>
          <w:lang w:val="en-US" w:eastAsia="zh-CN" w:bidi="ar"/>
        </w:rPr>
        <w:t>固定总价 </w:t>
      </w:r>
      <w:r>
        <w:rPr>
          <w:rFonts w:hint="eastAsia" w:ascii="宋体" w:hAnsi="宋体" w:eastAsia="宋体" w:cs="宋体"/>
          <w:i w:val="0"/>
          <w:iCs w:val="0"/>
          <w:caps w:val="0"/>
          <w:color w:val="auto"/>
          <w:spacing w:val="0"/>
          <w:kern w:val="0"/>
          <w:sz w:val="21"/>
          <w:szCs w:val="21"/>
          <w:lang w:val="en-US" w:eastAsia="zh-CN" w:bidi="ar"/>
        </w:rPr>
        <w:sym w:font="Wingdings" w:char="00FE"/>
      </w:r>
      <w:r>
        <w:rPr>
          <w:rFonts w:hint="eastAsia" w:ascii="宋体" w:hAnsi="宋体" w:eastAsia="宋体" w:cs="宋体"/>
          <w:i w:val="0"/>
          <w:iCs w:val="0"/>
          <w:caps w:val="0"/>
          <w:color w:val="auto"/>
          <w:spacing w:val="0"/>
          <w:kern w:val="0"/>
          <w:sz w:val="21"/>
          <w:szCs w:val="21"/>
          <w:lang w:val="en-US" w:eastAsia="zh-CN" w:bidi="ar"/>
        </w:rPr>
        <w:t>固定单价 </w:t>
      </w:r>
      <w:r>
        <w:rPr>
          <w:rFonts w:hint="eastAsia" w:ascii="宋体" w:hAnsi="宋体" w:eastAsia="宋体" w:cs="宋体"/>
          <w:i w:val="0"/>
          <w:iCs w:val="0"/>
          <w:caps w:val="0"/>
          <w:color w:val="auto"/>
          <w:spacing w:val="0"/>
          <w:kern w:val="0"/>
          <w:sz w:val="21"/>
          <w:szCs w:val="21"/>
          <w:lang w:val="en-US" w:eastAsia="zh-CN" w:bidi="ar"/>
        </w:rPr>
        <w:sym w:font="Wingdings" w:char="00A8"/>
      </w:r>
      <w:r>
        <w:rPr>
          <w:rFonts w:hint="eastAsia" w:ascii="宋体" w:hAnsi="宋体" w:eastAsia="宋体" w:cs="宋体"/>
          <w:i w:val="0"/>
          <w:iCs w:val="0"/>
          <w:caps w:val="0"/>
          <w:color w:val="auto"/>
          <w:spacing w:val="0"/>
          <w:kern w:val="0"/>
          <w:sz w:val="21"/>
          <w:szCs w:val="21"/>
          <w:lang w:val="en-US" w:eastAsia="zh-CN" w:bidi="ar"/>
        </w:rPr>
        <w:t>成本补偿 </w:t>
      </w:r>
      <w:r>
        <w:rPr>
          <w:rFonts w:hint="eastAsia" w:ascii="宋体" w:hAnsi="宋体" w:eastAsia="宋体" w:cs="宋体"/>
          <w:i w:val="0"/>
          <w:iCs w:val="0"/>
          <w:caps w:val="0"/>
          <w:color w:val="auto"/>
          <w:spacing w:val="0"/>
          <w:kern w:val="0"/>
          <w:sz w:val="21"/>
          <w:szCs w:val="21"/>
          <w:lang w:val="en-US" w:eastAsia="zh-CN" w:bidi="ar"/>
        </w:rPr>
        <w:sym w:font="Wingdings" w:char="00A8"/>
      </w:r>
      <w:r>
        <w:rPr>
          <w:rFonts w:hint="eastAsia" w:ascii="宋体" w:hAnsi="宋体" w:eastAsia="宋体" w:cs="宋体"/>
          <w:i w:val="0"/>
          <w:iCs w:val="0"/>
          <w:caps w:val="0"/>
          <w:color w:val="auto"/>
          <w:spacing w:val="0"/>
          <w:kern w:val="0"/>
          <w:sz w:val="21"/>
          <w:szCs w:val="21"/>
          <w:lang w:val="en-US" w:eastAsia="zh-CN" w:bidi="ar"/>
        </w:rPr>
        <w:t>绩效激励</w:t>
      </w:r>
    </w:p>
    <w:p w14:paraId="3D4525D0">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auto"/>
          <w:spacing w:val="0"/>
          <w:sz w:val="21"/>
          <w:szCs w:val="21"/>
          <w:lang w:val="en-US" w:eastAsia="zh-CN"/>
        </w:rPr>
      </w:pPr>
      <w:r>
        <w:rPr>
          <w:rFonts w:hint="eastAsia" w:ascii="宋体" w:hAnsi="宋体" w:eastAsia="宋体" w:cs="宋体"/>
          <w:i w:val="0"/>
          <w:iCs w:val="0"/>
          <w:caps w:val="0"/>
          <w:color w:val="auto"/>
          <w:spacing w:val="0"/>
          <w:kern w:val="0"/>
          <w:sz w:val="21"/>
          <w:szCs w:val="21"/>
          <w:lang w:val="en-US" w:eastAsia="zh-CN" w:bidi="ar"/>
        </w:rPr>
        <w:t>8、合同履行期限</w:t>
      </w:r>
      <w:r>
        <w:rPr>
          <w:rFonts w:hint="eastAsia" w:ascii="宋体" w:hAnsi="宋体" w:eastAsia="宋体" w:cs="宋体"/>
          <w:i w:val="0"/>
          <w:iCs w:val="0"/>
          <w:caps w:val="0"/>
          <w:color w:val="FF0000"/>
          <w:spacing w:val="0"/>
          <w:kern w:val="0"/>
          <w:sz w:val="21"/>
          <w:szCs w:val="21"/>
          <w:lang w:val="en-US" w:eastAsia="zh-CN" w:bidi="ar"/>
        </w:rPr>
        <w:t>：</w:t>
      </w:r>
      <w:r>
        <w:rPr>
          <w:rFonts w:hint="eastAsia" w:ascii="宋体" w:hAnsi="宋体" w:cs="宋体"/>
          <w:color w:val="auto"/>
        </w:rPr>
        <w:t>合同签订后</w:t>
      </w:r>
      <w:r>
        <w:rPr>
          <w:rFonts w:hint="eastAsia" w:ascii="宋体" w:hAnsi="宋体" w:cs="宋体"/>
          <w:color w:val="auto"/>
          <w:lang w:val="en-US" w:eastAsia="zh-CN"/>
        </w:rPr>
        <w:t>90</w:t>
      </w:r>
      <w:r>
        <w:rPr>
          <w:rFonts w:hint="eastAsia" w:ascii="宋体" w:hAnsi="宋体" w:cs="宋体"/>
          <w:color w:val="auto"/>
        </w:rPr>
        <w:t>日历天内完工</w:t>
      </w:r>
      <w:r>
        <w:rPr>
          <w:rFonts w:hint="eastAsia" w:ascii="宋体" w:hAnsi="宋体" w:cs="宋体"/>
          <w:color w:val="auto"/>
          <w:lang w:eastAsia="zh-CN"/>
        </w:rPr>
        <w:t>。</w:t>
      </w:r>
    </w:p>
    <w:p w14:paraId="3EBE06FA">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auto"/>
          <w:spacing w:val="0"/>
          <w:kern w:val="0"/>
          <w:sz w:val="21"/>
          <w:szCs w:val="21"/>
          <w:lang w:val="en-US" w:eastAsia="zh-CN" w:bidi="ar"/>
        </w:rPr>
        <w:t>9、本项目分阶段要求投标人</w:t>
      </w:r>
      <w:r>
        <w:rPr>
          <w:rFonts w:hint="eastAsia" w:ascii="宋体" w:hAnsi="宋体" w:eastAsia="宋体" w:cs="宋体"/>
          <w:i w:val="0"/>
          <w:iCs w:val="0"/>
          <w:caps w:val="0"/>
          <w:color w:val="000000"/>
          <w:spacing w:val="0"/>
          <w:kern w:val="0"/>
          <w:sz w:val="21"/>
          <w:szCs w:val="21"/>
          <w:lang w:val="en-US" w:eastAsia="zh-CN" w:bidi="ar"/>
        </w:rPr>
        <w:t>提供以下保证：</w:t>
      </w:r>
    </w:p>
    <w:p w14:paraId="6A327A6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投标保证金：采购项目预算的</w:t>
      </w:r>
      <w:r>
        <w:rPr>
          <w:rFonts w:hint="eastAsia" w:ascii="宋体" w:hAnsi="宋体" w:eastAsia="宋体" w:cs="宋体"/>
          <w:i w:val="0"/>
          <w:iCs w:val="0"/>
          <w:caps w:val="0"/>
          <w:color w:val="000000"/>
          <w:spacing w:val="0"/>
          <w:kern w:val="0"/>
          <w:sz w:val="21"/>
          <w:szCs w:val="21"/>
          <w:u w:val="single"/>
          <w:lang w:val="en-US" w:eastAsia="zh-CN" w:bidi="ar"/>
        </w:rPr>
        <w:t xml:space="preserve">  </w:t>
      </w:r>
      <w:r>
        <w:rPr>
          <w:rFonts w:hint="eastAsia" w:ascii="宋体" w:hAnsi="宋体" w:eastAsia="宋体" w:cs="宋体"/>
          <w:i w:val="0"/>
          <w:iCs w:val="0"/>
          <w:caps w:val="0"/>
          <w:color w:val="000000"/>
          <w:spacing w:val="0"/>
          <w:kern w:val="0"/>
          <w:sz w:val="21"/>
          <w:szCs w:val="21"/>
          <w:lang w:val="en-US" w:eastAsia="zh-CN" w:bidi="ar"/>
        </w:rPr>
        <w:t>%；</w:t>
      </w:r>
    </w:p>
    <w:p w14:paraId="6B782AA2">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sym w:font="Wingdings" w:char="00FE"/>
      </w:r>
      <w:r>
        <w:rPr>
          <w:rFonts w:hint="eastAsia" w:ascii="宋体" w:hAnsi="宋体" w:eastAsia="宋体" w:cs="宋体"/>
          <w:i w:val="0"/>
          <w:iCs w:val="0"/>
          <w:caps w:val="0"/>
          <w:color w:val="000000"/>
          <w:spacing w:val="0"/>
          <w:kern w:val="0"/>
          <w:sz w:val="21"/>
          <w:szCs w:val="21"/>
          <w:lang w:val="en-US" w:eastAsia="zh-CN" w:bidi="ar"/>
        </w:rPr>
        <w:t>履约保证金：中标金额降价幅度不超过采购预算10％的，履约保证金为中标金额的10％； 中标金额降价幅度超过采购预算的10%以上的，履约保证金为采购预算减去中标金额的差额；</w:t>
      </w:r>
    </w:p>
    <w:p w14:paraId="54BEDC63">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sym w:font="Wingdings" w:char="00FE"/>
      </w:r>
      <w:r>
        <w:rPr>
          <w:rFonts w:hint="eastAsia" w:ascii="宋体" w:hAnsi="宋体" w:eastAsia="宋体" w:cs="宋体"/>
          <w:i w:val="0"/>
          <w:iCs w:val="0"/>
          <w:caps w:val="0"/>
          <w:color w:val="000000"/>
          <w:spacing w:val="0"/>
          <w:kern w:val="0"/>
          <w:sz w:val="21"/>
          <w:szCs w:val="21"/>
          <w:lang w:val="en-US" w:eastAsia="zh-CN" w:bidi="ar"/>
        </w:rPr>
        <w:t>预付款保证金：预付款的</w:t>
      </w:r>
      <w:r>
        <w:rPr>
          <w:rFonts w:hint="eastAsia" w:ascii="宋体" w:hAnsi="宋体" w:eastAsia="宋体" w:cs="宋体"/>
          <w:i w:val="0"/>
          <w:iCs w:val="0"/>
          <w:caps w:val="0"/>
          <w:color w:val="000000"/>
          <w:spacing w:val="0"/>
          <w:kern w:val="0"/>
          <w:sz w:val="21"/>
          <w:szCs w:val="21"/>
          <w:u w:val="single"/>
          <w:lang w:val="en-US" w:eastAsia="zh-CN" w:bidi="ar"/>
        </w:rPr>
        <w:t xml:space="preserve"> </w:t>
      </w:r>
      <w:r>
        <w:rPr>
          <w:rFonts w:hint="eastAsia" w:ascii="宋体" w:hAnsi="宋体" w:cs="宋体"/>
          <w:i w:val="0"/>
          <w:iCs w:val="0"/>
          <w:caps w:val="0"/>
          <w:color w:val="000000"/>
          <w:spacing w:val="0"/>
          <w:kern w:val="0"/>
          <w:sz w:val="21"/>
          <w:szCs w:val="21"/>
          <w:u w:val="single"/>
          <w:lang w:val="en-US" w:eastAsia="zh-CN" w:bidi="ar"/>
        </w:rPr>
        <w:t>100</w:t>
      </w:r>
      <w:r>
        <w:rPr>
          <w:rFonts w:hint="eastAsia" w:ascii="宋体" w:hAnsi="宋体" w:eastAsia="宋体" w:cs="宋体"/>
          <w:i w:val="0"/>
          <w:iCs w:val="0"/>
          <w:caps w:val="0"/>
          <w:color w:val="000000"/>
          <w:spacing w:val="0"/>
          <w:kern w:val="0"/>
          <w:sz w:val="21"/>
          <w:szCs w:val="21"/>
          <w:u w:val="single"/>
          <w:lang w:val="en-US" w:eastAsia="zh-CN" w:bidi="ar"/>
        </w:rPr>
        <w:t xml:space="preserve"> </w:t>
      </w:r>
      <w:r>
        <w:rPr>
          <w:rFonts w:hint="eastAsia" w:ascii="宋体" w:hAnsi="宋体" w:eastAsia="宋体" w:cs="宋体"/>
          <w:i w:val="0"/>
          <w:iCs w:val="0"/>
          <w:caps w:val="0"/>
          <w:color w:val="000000"/>
          <w:spacing w:val="0"/>
          <w:kern w:val="0"/>
          <w:sz w:val="21"/>
          <w:szCs w:val="21"/>
          <w:lang w:val="en-US" w:eastAsia="zh-CN" w:bidi="ar"/>
        </w:rPr>
        <w:t>%；</w:t>
      </w:r>
    </w:p>
    <w:p w14:paraId="36D10ECA">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sym w:font="Wingdings" w:char="00FE"/>
      </w:r>
      <w:r>
        <w:rPr>
          <w:rFonts w:hint="eastAsia" w:ascii="宋体" w:hAnsi="宋体" w:eastAsia="宋体" w:cs="宋体"/>
          <w:i w:val="0"/>
          <w:iCs w:val="0"/>
          <w:caps w:val="0"/>
          <w:color w:val="000000"/>
          <w:spacing w:val="0"/>
          <w:kern w:val="0"/>
          <w:sz w:val="21"/>
          <w:szCs w:val="21"/>
          <w:lang w:val="en-US" w:eastAsia="zh-CN" w:bidi="ar"/>
        </w:rPr>
        <w:t>质量保证金：合同金额的</w:t>
      </w:r>
      <w:r>
        <w:rPr>
          <w:rFonts w:hint="eastAsia" w:ascii="宋体" w:hAnsi="宋体" w:eastAsia="宋体" w:cs="宋体"/>
          <w:i w:val="0"/>
          <w:iCs w:val="0"/>
          <w:caps w:val="0"/>
          <w:color w:val="000000"/>
          <w:spacing w:val="0"/>
          <w:kern w:val="0"/>
          <w:sz w:val="21"/>
          <w:szCs w:val="21"/>
          <w:u w:val="single"/>
          <w:lang w:val="en-US" w:eastAsia="zh-CN" w:bidi="ar"/>
        </w:rPr>
        <w:t>3</w:t>
      </w:r>
      <w:r>
        <w:rPr>
          <w:rFonts w:hint="eastAsia" w:ascii="宋体" w:hAnsi="宋体" w:eastAsia="宋体" w:cs="宋体"/>
          <w:i w:val="0"/>
          <w:iCs w:val="0"/>
          <w:caps w:val="0"/>
          <w:color w:val="000000"/>
          <w:spacing w:val="0"/>
          <w:kern w:val="0"/>
          <w:sz w:val="21"/>
          <w:szCs w:val="21"/>
          <w:lang w:val="en-US" w:eastAsia="zh-CN" w:bidi="ar"/>
        </w:rPr>
        <w:t>%；</w:t>
      </w:r>
    </w:p>
    <w:p w14:paraId="380D581D">
      <w:pPr>
        <w:keepNext w:val="0"/>
        <w:keepLines w:val="0"/>
        <w:widowControl/>
        <w:suppressLineNumbers w:val="0"/>
        <w:pBdr>
          <w:top w:val="none" w:color="auto" w:sz="0" w:space="0"/>
          <w:left w:val="none" w:color="auto" w:sz="0" w:space="0"/>
          <w:bottom w:val="none" w:color="auto" w:sz="0" w:space="0"/>
          <w:right w:val="none" w:color="auto" w:sz="0" w:space="0"/>
        </w:pBdr>
        <w:spacing w:before="75" w:beforeLines="0" w:beforeAutospacing="0" w:after="0" w:afterLines="0" w:afterAutospacing="0" w:line="240" w:lineRule="auto"/>
        <w:ind w:left="0" w:right="0" w:firstLine="420"/>
        <w:jc w:val="left"/>
        <w:outlineLvl w:val="2"/>
        <w:rPr>
          <w:rFonts w:hint="eastAsia" w:ascii="宋体" w:hAnsi="宋体" w:eastAsia="宋体" w:cs="宋体"/>
          <w:b/>
          <w:bCs/>
          <w:i w:val="0"/>
          <w:iCs w:val="0"/>
          <w:caps w:val="0"/>
          <w:color w:val="000000"/>
          <w:spacing w:val="0"/>
          <w:kern w:val="2"/>
          <w:sz w:val="21"/>
          <w:szCs w:val="21"/>
          <w:lang w:val="en-US" w:eastAsia="zh-CN" w:bidi="ar-SA"/>
        </w:rPr>
      </w:pPr>
      <w:bookmarkStart w:id="3" w:name="_Toc26615"/>
      <w:r>
        <w:rPr>
          <w:rFonts w:hint="eastAsia" w:ascii="宋体" w:hAnsi="宋体" w:eastAsia="宋体" w:cs="宋体"/>
          <w:b/>
          <w:bCs/>
          <w:i w:val="0"/>
          <w:iCs w:val="0"/>
          <w:caps w:val="0"/>
          <w:color w:val="000000"/>
          <w:spacing w:val="0"/>
          <w:kern w:val="2"/>
          <w:sz w:val="21"/>
          <w:szCs w:val="21"/>
          <w:lang w:val="en-US" w:eastAsia="zh-CN" w:bidi="ar-SA"/>
        </w:rPr>
        <w:t>二、采购人的采购需求</w:t>
      </w:r>
      <w:bookmarkEnd w:id="3"/>
    </w:p>
    <w:tbl>
      <w:tblPr>
        <w:tblStyle w:val="46"/>
        <w:tblW w:w="5147" w:type="pct"/>
        <w:tblCellSpacing w:w="0" w:type="dxa"/>
        <w:tblInd w:w="1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99"/>
        <w:gridCol w:w="1490"/>
        <w:gridCol w:w="2824"/>
        <w:gridCol w:w="1588"/>
        <w:gridCol w:w="865"/>
        <w:gridCol w:w="1570"/>
      </w:tblGrid>
      <w:tr w14:paraId="48D9F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2" w:hRule="atLeast"/>
          <w:tblCellSpacing w:w="0" w:type="dxa"/>
        </w:trPr>
        <w:tc>
          <w:tcPr>
            <w:tcW w:w="437" w:type="pct"/>
            <w:tcBorders>
              <w:tl2br w:val="nil"/>
              <w:tr2bl w:val="nil"/>
            </w:tcBorders>
            <w:noWrap/>
            <w:vAlign w:val="center"/>
          </w:tcPr>
          <w:p w14:paraId="72DAFAE1">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包名称</w:t>
            </w:r>
          </w:p>
        </w:tc>
        <w:tc>
          <w:tcPr>
            <w:tcW w:w="815" w:type="pct"/>
            <w:tcBorders>
              <w:tl2br w:val="nil"/>
              <w:tr2bl w:val="nil"/>
            </w:tcBorders>
            <w:noWrap/>
            <w:vAlign w:val="center"/>
          </w:tcPr>
          <w:p w14:paraId="7EC8F8A0">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最高限价（元）</w:t>
            </w:r>
          </w:p>
        </w:tc>
        <w:tc>
          <w:tcPr>
            <w:tcW w:w="1545" w:type="pct"/>
            <w:tcBorders>
              <w:tl2br w:val="nil"/>
              <w:tr2bl w:val="nil"/>
            </w:tcBorders>
            <w:noWrap/>
            <w:vAlign w:val="center"/>
          </w:tcPr>
          <w:p w14:paraId="2E340BA8">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标的名称</w:t>
            </w:r>
          </w:p>
        </w:tc>
        <w:tc>
          <w:tcPr>
            <w:tcW w:w="869" w:type="pct"/>
            <w:tcBorders>
              <w:tl2br w:val="nil"/>
              <w:tr2bl w:val="nil"/>
            </w:tcBorders>
            <w:noWrap/>
            <w:vAlign w:val="center"/>
          </w:tcPr>
          <w:p w14:paraId="439F465D">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简要技术要求</w:t>
            </w:r>
          </w:p>
        </w:tc>
        <w:tc>
          <w:tcPr>
            <w:tcW w:w="473" w:type="pct"/>
            <w:tcBorders>
              <w:tl2br w:val="nil"/>
              <w:tr2bl w:val="nil"/>
            </w:tcBorders>
            <w:noWrap/>
            <w:vAlign w:val="center"/>
          </w:tcPr>
          <w:p w14:paraId="0C79A149">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数量</w:t>
            </w:r>
          </w:p>
        </w:tc>
        <w:tc>
          <w:tcPr>
            <w:tcW w:w="859" w:type="pct"/>
            <w:tcBorders>
              <w:tl2br w:val="nil"/>
              <w:tr2bl w:val="nil"/>
            </w:tcBorders>
            <w:noWrap/>
            <w:vAlign w:val="center"/>
          </w:tcPr>
          <w:p w14:paraId="735CA8E1">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标的预算（元）</w:t>
            </w:r>
          </w:p>
        </w:tc>
      </w:tr>
      <w:tr w14:paraId="5569E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2" w:hRule="atLeast"/>
          <w:tblCellSpacing w:w="0" w:type="dxa"/>
        </w:trPr>
        <w:tc>
          <w:tcPr>
            <w:tcW w:w="437" w:type="pct"/>
            <w:tcBorders>
              <w:tl2br w:val="nil"/>
              <w:tr2bl w:val="nil"/>
            </w:tcBorders>
            <w:noWrap w:val="0"/>
            <w:vAlign w:val="center"/>
          </w:tcPr>
          <w:p w14:paraId="7210D02F">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包1</w:t>
            </w:r>
          </w:p>
        </w:tc>
        <w:tc>
          <w:tcPr>
            <w:tcW w:w="815" w:type="pct"/>
            <w:tcBorders>
              <w:tl2br w:val="nil"/>
              <w:tr2bl w:val="nil"/>
            </w:tcBorders>
            <w:noWrap w:val="0"/>
            <w:vAlign w:val="center"/>
          </w:tcPr>
          <w:p w14:paraId="763EB2FA">
            <w:pPr>
              <w:keepNext w:val="0"/>
              <w:keepLines w:val="0"/>
              <w:widowControl/>
              <w:suppressLineNumbers w:val="0"/>
              <w:spacing w:before="75" w:beforeAutospacing="0" w:after="0" w:afterAutospacing="0" w:line="240" w:lineRule="auto"/>
              <w:ind w:left="0" w:right="0" w:firstLine="0"/>
              <w:jc w:val="center"/>
              <w:rPr>
                <w:rFonts w:hint="default" w:ascii="宋体" w:hAnsi="宋体" w:eastAsia="宋体" w:cs="宋体"/>
                <w:sz w:val="21"/>
                <w:szCs w:val="21"/>
                <w:lang w:val="en-US"/>
              </w:rPr>
            </w:pPr>
            <w:r>
              <w:rPr>
                <w:rFonts w:hint="eastAsia" w:ascii="宋体" w:hAnsi="宋体" w:cs="宋体"/>
                <w:kern w:val="0"/>
                <w:sz w:val="21"/>
                <w:szCs w:val="21"/>
                <w:lang w:val="en-US" w:eastAsia="zh-CN" w:bidi="ar"/>
              </w:rPr>
              <w:t>1773048.18</w:t>
            </w:r>
          </w:p>
        </w:tc>
        <w:tc>
          <w:tcPr>
            <w:tcW w:w="1545" w:type="pct"/>
            <w:tcBorders>
              <w:tl2br w:val="nil"/>
              <w:tr2bl w:val="nil"/>
            </w:tcBorders>
            <w:noWrap w:val="0"/>
            <w:vAlign w:val="center"/>
          </w:tcPr>
          <w:p w14:paraId="487F300E">
            <w:pPr>
              <w:keepNext w:val="0"/>
              <w:keepLines w:val="0"/>
              <w:widowControl/>
              <w:suppressLineNumbers w:val="0"/>
              <w:spacing w:before="75" w:beforeAutospacing="0" w:after="0" w:afterAutospacing="0" w:line="240" w:lineRule="auto"/>
              <w:ind w:left="0" w:right="0" w:firstLine="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永定区青安坪水厂胡家坡村管网延伸供水工程</w:t>
            </w:r>
          </w:p>
        </w:tc>
        <w:tc>
          <w:tcPr>
            <w:tcW w:w="869" w:type="pct"/>
            <w:tcBorders>
              <w:tl2br w:val="nil"/>
              <w:tr2bl w:val="nil"/>
            </w:tcBorders>
            <w:noWrap w:val="0"/>
            <w:vAlign w:val="center"/>
          </w:tcPr>
          <w:p w14:paraId="19D4FB28">
            <w:pPr>
              <w:keepNext w:val="0"/>
              <w:keepLines w:val="0"/>
              <w:widowControl/>
              <w:suppressLineNumbers w:val="0"/>
              <w:spacing w:before="75" w:beforeAutospacing="0" w:after="0" w:afterAutospacing="0" w:line="240" w:lineRule="auto"/>
              <w:ind w:left="0" w:right="0" w:firstLine="0"/>
              <w:jc w:val="center"/>
              <w:rPr>
                <w:rFonts w:hint="default" w:ascii="宋体" w:hAnsi="宋体" w:eastAsia="宋体" w:cs="宋体"/>
                <w:sz w:val="21"/>
                <w:szCs w:val="21"/>
                <w:lang w:val="en-US"/>
              </w:rPr>
            </w:pPr>
            <w:r>
              <w:rPr>
                <w:rFonts w:hint="eastAsia" w:ascii="宋体" w:hAnsi="宋体" w:eastAsia="宋体" w:cs="宋体"/>
                <w:kern w:val="0"/>
                <w:sz w:val="21"/>
                <w:szCs w:val="21"/>
                <w:lang w:val="en-US" w:eastAsia="zh-CN" w:bidi="ar"/>
              </w:rPr>
              <w:t>详见采购需求</w:t>
            </w:r>
          </w:p>
        </w:tc>
        <w:tc>
          <w:tcPr>
            <w:tcW w:w="473" w:type="pct"/>
            <w:tcBorders>
              <w:tl2br w:val="nil"/>
              <w:tr2bl w:val="nil"/>
            </w:tcBorders>
            <w:noWrap w:val="0"/>
            <w:vAlign w:val="center"/>
          </w:tcPr>
          <w:p w14:paraId="32BC0E27">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1</w:t>
            </w:r>
          </w:p>
        </w:tc>
        <w:tc>
          <w:tcPr>
            <w:tcW w:w="859" w:type="pct"/>
            <w:tcBorders>
              <w:tl2br w:val="nil"/>
              <w:tr2bl w:val="nil"/>
            </w:tcBorders>
            <w:noWrap w:val="0"/>
            <w:vAlign w:val="center"/>
          </w:tcPr>
          <w:p w14:paraId="47BDF76E">
            <w:pPr>
              <w:keepNext w:val="0"/>
              <w:keepLines w:val="0"/>
              <w:widowControl/>
              <w:suppressLineNumbers w:val="0"/>
              <w:spacing w:before="75" w:beforeAutospacing="0" w:after="0" w:afterAutospacing="0" w:line="240" w:lineRule="auto"/>
              <w:ind w:left="0" w:right="0" w:firstLine="0"/>
              <w:jc w:val="center"/>
              <w:rPr>
                <w:rFonts w:hint="default" w:ascii="宋体" w:hAnsi="宋体" w:eastAsia="宋体" w:cs="宋体"/>
                <w:sz w:val="21"/>
                <w:szCs w:val="21"/>
                <w:lang w:val="en-US"/>
              </w:rPr>
            </w:pPr>
            <w:r>
              <w:rPr>
                <w:rFonts w:hint="eastAsia" w:ascii="宋体" w:hAnsi="宋体" w:cs="宋体"/>
                <w:kern w:val="0"/>
                <w:sz w:val="21"/>
                <w:szCs w:val="21"/>
                <w:lang w:val="en-US" w:eastAsia="zh-CN" w:bidi="ar"/>
              </w:rPr>
              <w:t>1773048.18</w:t>
            </w:r>
          </w:p>
        </w:tc>
      </w:tr>
    </w:tbl>
    <w:p w14:paraId="69EDC0C2">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说明：</w:t>
      </w:r>
    </w:p>
    <w:p w14:paraId="2795B1D0">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1.节能产品实行强制采购的，需提供国家认证机构出具的、处于有效期内的节能产品证书。</w:t>
      </w:r>
    </w:p>
    <w:p w14:paraId="19649357">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2.同意购买进口产品的，不限制满足采购需求的国内产品参与投标。</w:t>
      </w:r>
    </w:p>
    <w:p w14:paraId="461E2386">
      <w:pPr>
        <w:keepNext w:val="0"/>
        <w:keepLines w:val="0"/>
        <w:widowControl/>
        <w:suppressLineNumbers w:val="0"/>
        <w:pBdr>
          <w:top w:val="none" w:color="auto" w:sz="0" w:space="0"/>
          <w:left w:val="none" w:color="auto" w:sz="0" w:space="0"/>
          <w:bottom w:val="none" w:color="auto" w:sz="0" w:space="0"/>
          <w:right w:val="none" w:color="auto" w:sz="0" w:space="0"/>
        </w:pBdr>
        <w:spacing w:before="75" w:beforeLines="0" w:beforeAutospacing="0" w:after="0" w:afterLines="0" w:afterAutospacing="0" w:line="240" w:lineRule="auto"/>
        <w:ind w:left="0" w:right="0" w:firstLine="420"/>
        <w:jc w:val="left"/>
        <w:outlineLvl w:val="2"/>
        <w:rPr>
          <w:rFonts w:hint="eastAsia" w:ascii="宋体" w:hAnsi="宋体" w:eastAsia="宋体" w:cs="宋体"/>
          <w:b/>
          <w:bCs/>
          <w:i w:val="0"/>
          <w:iCs w:val="0"/>
          <w:caps w:val="0"/>
          <w:color w:val="000000"/>
          <w:spacing w:val="0"/>
          <w:kern w:val="2"/>
          <w:sz w:val="21"/>
          <w:szCs w:val="21"/>
          <w:lang w:val="en-US" w:eastAsia="zh-CN" w:bidi="ar-SA"/>
        </w:rPr>
      </w:pPr>
      <w:bookmarkStart w:id="4" w:name="_Toc26498"/>
      <w:r>
        <w:rPr>
          <w:rFonts w:hint="eastAsia" w:ascii="宋体" w:hAnsi="宋体" w:eastAsia="宋体" w:cs="宋体"/>
          <w:b/>
          <w:bCs/>
          <w:i w:val="0"/>
          <w:iCs w:val="0"/>
          <w:caps w:val="0"/>
          <w:color w:val="000000"/>
          <w:spacing w:val="0"/>
          <w:kern w:val="2"/>
          <w:sz w:val="21"/>
          <w:szCs w:val="21"/>
          <w:lang w:val="en-US" w:eastAsia="zh-CN" w:bidi="ar-SA"/>
        </w:rPr>
        <w:t>三、采购项目需落实的政府采购政策：</w:t>
      </w:r>
      <w:bookmarkEnd w:id="4"/>
    </w:p>
    <w:p w14:paraId="28292180">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1、优先采购：节能产品、环境标志产品享受加分或价格折扣。</w:t>
      </w:r>
    </w:p>
    <w:p w14:paraId="491E67D8">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2、支持中小企业：中小企业享受预留采购份额或价格折扣。</w:t>
      </w:r>
    </w:p>
    <w:p w14:paraId="30BA9452">
      <w:pPr>
        <w:keepNext w:val="0"/>
        <w:keepLines w:val="0"/>
        <w:widowControl/>
        <w:suppressLineNumbers w:val="0"/>
        <w:pBdr>
          <w:top w:val="none" w:color="auto" w:sz="0" w:space="0"/>
          <w:left w:val="none" w:color="auto" w:sz="0" w:space="0"/>
          <w:bottom w:val="none" w:color="auto" w:sz="0" w:space="0"/>
          <w:right w:val="none" w:color="auto" w:sz="0" w:space="0"/>
        </w:pBdr>
        <w:spacing w:before="75" w:beforeLines="0" w:beforeAutospacing="0" w:after="0" w:afterLines="0" w:afterAutospacing="0" w:line="240" w:lineRule="auto"/>
        <w:ind w:left="0" w:right="0" w:firstLine="420"/>
        <w:jc w:val="left"/>
        <w:outlineLvl w:val="2"/>
        <w:rPr>
          <w:rFonts w:hint="eastAsia" w:ascii="宋体" w:hAnsi="宋体" w:eastAsia="宋体" w:cs="宋体"/>
          <w:b/>
          <w:bCs/>
          <w:i w:val="0"/>
          <w:iCs w:val="0"/>
          <w:caps w:val="0"/>
          <w:color w:val="000000"/>
          <w:spacing w:val="0"/>
          <w:kern w:val="2"/>
          <w:sz w:val="21"/>
          <w:szCs w:val="21"/>
          <w:lang w:val="en-US" w:eastAsia="zh-CN" w:bidi="ar-SA"/>
        </w:rPr>
      </w:pPr>
      <w:bookmarkStart w:id="5" w:name="_Toc2039"/>
      <w:r>
        <w:rPr>
          <w:rFonts w:hint="eastAsia" w:ascii="宋体" w:hAnsi="宋体" w:eastAsia="宋体" w:cs="宋体"/>
          <w:b/>
          <w:bCs/>
          <w:i w:val="0"/>
          <w:iCs w:val="0"/>
          <w:caps w:val="0"/>
          <w:color w:val="000000"/>
          <w:spacing w:val="0"/>
          <w:kern w:val="2"/>
          <w:sz w:val="21"/>
          <w:szCs w:val="21"/>
          <w:lang w:val="en-US" w:eastAsia="zh-CN" w:bidi="ar-SA"/>
        </w:rPr>
        <w:t>四、投标人的资格要求：</w:t>
      </w:r>
      <w:bookmarkEnd w:id="5"/>
    </w:p>
    <w:p w14:paraId="5708A4E8">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1、投标人的基本资格条件：投标人必须是在中华人民共和国境内注册登记的法人、其他组织或者自然人，且应当符合《政府采购法》第二十二条第一款的规定。</w:t>
      </w:r>
    </w:p>
    <w:p w14:paraId="52F03B0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2、落实政府采购政策需满足的资格要求：</w:t>
      </w:r>
    </w:p>
    <w:p w14:paraId="5EE9641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sym w:font="Wingdings" w:char="00FE"/>
      </w:r>
      <w:r>
        <w:rPr>
          <w:rFonts w:hint="eastAsia" w:ascii="宋体" w:hAnsi="宋体" w:eastAsia="宋体" w:cs="宋体"/>
          <w:i w:val="0"/>
          <w:iCs w:val="0"/>
          <w:caps w:val="0"/>
          <w:color w:val="auto"/>
          <w:spacing w:val="0"/>
          <w:kern w:val="0"/>
          <w:sz w:val="21"/>
          <w:szCs w:val="21"/>
          <w:lang w:val="en-US" w:eastAsia="zh-CN" w:bidi="ar"/>
        </w:rPr>
        <w:t>专门面向： </w:t>
      </w:r>
      <w:r>
        <w:rPr>
          <w:rFonts w:hint="eastAsia" w:ascii="宋体" w:hAnsi="宋体" w:eastAsia="宋体" w:cs="宋体"/>
          <w:i w:val="0"/>
          <w:iCs w:val="0"/>
          <w:caps w:val="0"/>
          <w:color w:val="auto"/>
          <w:spacing w:val="0"/>
          <w:kern w:val="0"/>
          <w:sz w:val="21"/>
          <w:szCs w:val="21"/>
          <w:lang w:val="en-US" w:eastAsia="zh-CN" w:bidi="ar"/>
        </w:rPr>
        <w:sym w:font="Wingdings" w:char="00FE"/>
      </w:r>
      <w:r>
        <w:rPr>
          <w:rFonts w:hint="eastAsia" w:ascii="宋体" w:hAnsi="宋体" w:eastAsia="宋体" w:cs="宋体"/>
          <w:i w:val="0"/>
          <w:iCs w:val="0"/>
          <w:caps w:val="0"/>
          <w:color w:val="auto"/>
          <w:spacing w:val="0"/>
          <w:kern w:val="0"/>
          <w:sz w:val="21"/>
          <w:szCs w:val="21"/>
          <w:lang w:val="en-US" w:eastAsia="zh-CN" w:bidi="ar"/>
        </w:rPr>
        <w:t>中小企业 </w:t>
      </w:r>
      <w:r>
        <w:rPr>
          <w:rFonts w:hint="eastAsia" w:ascii="宋体" w:hAnsi="宋体" w:eastAsia="宋体" w:cs="宋体"/>
          <w:i w:val="0"/>
          <w:iCs w:val="0"/>
          <w:caps w:val="0"/>
          <w:color w:val="auto"/>
          <w:spacing w:val="0"/>
          <w:kern w:val="0"/>
          <w:sz w:val="21"/>
          <w:szCs w:val="21"/>
          <w:lang w:val="en-US" w:eastAsia="zh-CN" w:bidi="ar"/>
        </w:rPr>
        <w:sym w:font="Wingdings" w:char="00A8"/>
      </w:r>
      <w:r>
        <w:rPr>
          <w:rFonts w:hint="eastAsia" w:ascii="宋体" w:hAnsi="宋体" w:eastAsia="宋体" w:cs="宋体"/>
          <w:i w:val="0"/>
          <w:iCs w:val="0"/>
          <w:caps w:val="0"/>
          <w:color w:val="auto"/>
          <w:spacing w:val="0"/>
          <w:kern w:val="0"/>
          <w:sz w:val="21"/>
          <w:szCs w:val="21"/>
          <w:lang w:val="en-US" w:eastAsia="zh-CN" w:bidi="ar"/>
        </w:rPr>
        <w:t>小微企业 </w:t>
      </w:r>
      <w:r>
        <w:rPr>
          <w:rFonts w:hint="eastAsia" w:ascii="宋体" w:hAnsi="宋体" w:eastAsia="宋体" w:cs="宋体"/>
          <w:i w:val="0"/>
          <w:iCs w:val="0"/>
          <w:caps w:val="0"/>
          <w:color w:val="auto"/>
          <w:spacing w:val="0"/>
          <w:kern w:val="0"/>
          <w:sz w:val="21"/>
          <w:szCs w:val="21"/>
          <w:lang w:val="en-US" w:eastAsia="zh-CN" w:bidi="ar"/>
        </w:rPr>
        <w:sym w:font="Wingdings" w:char="00A8"/>
      </w:r>
      <w:r>
        <w:rPr>
          <w:rFonts w:hint="eastAsia" w:ascii="宋体" w:hAnsi="宋体" w:eastAsia="宋体" w:cs="宋体"/>
          <w:i w:val="0"/>
          <w:iCs w:val="0"/>
          <w:caps w:val="0"/>
          <w:color w:val="auto"/>
          <w:spacing w:val="0"/>
          <w:kern w:val="0"/>
          <w:sz w:val="21"/>
          <w:szCs w:val="21"/>
          <w:lang w:val="en-US" w:eastAsia="zh-CN" w:bidi="ar"/>
        </w:rPr>
        <w:t>监狱企业 </w:t>
      </w:r>
      <w:r>
        <w:rPr>
          <w:rFonts w:hint="eastAsia" w:ascii="宋体" w:hAnsi="宋体" w:eastAsia="宋体" w:cs="宋体"/>
          <w:i w:val="0"/>
          <w:iCs w:val="0"/>
          <w:caps w:val="0"/>
          <w:color w:val="auto"/>
          <w:spacing w:val="0"/>
          <w:kern w:val="0"/>
          <w:sz w:val="21"/>
          <w:szCs w:val="21"/>
          <w:lang w:val="en-US" w:eastAsia="zh-CN" w:bidi="ar"/>
        </w:rPr>
        <w:sym w:font="Wingdings" w:char="00A8"/>
      </w:r>
      <w:r>
        <w:rPr>
          <w:rFonts w:hint="eastAsia" w:ascii="宋体" w:hAnsi="宋体" w:eastAsia="宋体" w:cs="宋体"/>
          <w:i w:val="0"/>
          <w:iCs w:val="0"/>
          <w:caps w:val="0"/>
          <w:color w:val="auto"/>
          <w:spacing w:val="0"/>
          <w:kern w:val="0"/>
          <w:sz w:val="21"/>
          <w:szCs w:val="21"/>
          <w:lang w:val="en-US" w:eastAsia="zh-CN" w:bidi="ar"/>
        </w:rPr>
        <w:t>福利性单位</w:t>
      </w:r>
    </w:p>
    <w:p w14:paraId="429996AA">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sym w:font="Wingdings" w:char="00A8"/>
      </w:r>
      <w:r>
        <w:rPr>
          <w:rFonts w:hint="eastAsia" w:ascii="宋体" w:hAnsi="宋体" w:eastAsia="宋体" w:cs="宋体"/>
          <w:i w:val="0"/>
          <w:iCs w:val="0"/>
          <w:caps w:val="0"/>
          <w:color w:val="auto"/>
          <w:spacing w:val="0"/>
          <w:kern w:val="0"/>
          <w:sz w:val="21"/>
          <w:szCs w:val="21"/>
          <w:lang w:val="en-US" w:eastAsia="zh-CN" w:bidi="ar"/>
        </w:rPr>
        <w:t>强制分包：大型企业应将采购份额的</w:t>
      </w:r>
      <w:r>
        <w:rPr>
          <w:rFonts w:hint="eastAsia" w:ascii="宋体" w:hAnsi="宋体" w:eastAsia="宋体" w:cs="宋体"/>
          <w:i w:val="0"/>
          <w:iCs w:val="0"/>
          <w:caps w:val="0"/>
          <w:color w:val="auto"/>
          <w:spacing w:val="0"/>
          <w:kern w:val="0"/>
          <w:sz w:val="21"/>
          <w:szCs w:val="21"/>
          <w:u w:val="single"/>
          <w:lang w:val="en-US" w:eastAsia="zh-CN" w:bidi="ar"/>
        </w:rPr>
        <w:t>     </w:t>
      </w:r>
      <w:r>
        <w:rPr>
          <w:rFonts w:hint="eastAsia" w:ascii="宋体" w:hAnsi="宋体" w:eastAsia="宋体" w:cs="宋体"/>
          <w:i w:val="0"/>
          <w:iCs w:val="0"/>
          <w:caps w:val="0"/>
          <w:color w:val="auto"/>
          <w:spacing w:val="0"/>
          <w:kern w:val="0"/>
          <w:sz w:val="21"/>
          <w:szCs w:val="21"/>
          <w:lang w:val="en-US" w:eastAsia="zh-CN" w:bidi="ar"/>
        </w:rPr>
        <w:t>%分包给中小企业。</w:t>
      </w:r>
    </w:p>
    <w:p w14:paraId="2374BEED">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供应商特定资格条件：</w:t>
      </w:r>
    </w:p>
    <w:p w14:paraId="78EC1AF0">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default" w:ascii="宋体" w:hAnsi="宋体" w:eastAsia="宋体" w:cs="宋体"/>
          <w:b/>
          <w:bCs/>
          <w:i w:val="0"/>
          <w:iCs w:val="0"/>
          <w:caps w:val="0"/>
          <w:color w:val="auto"/>
          <w:spacing w:val="0"/>
          <w:kern w:val="0"/>
          <w:sz w:val="21"/>
          <w:szCs w:val="21"/>
          <w:lang w:val="en-US" w:eastAsia="zh-CN" w:bidi="ar"/>
        </w:rPr>
      </w:pPr>
      <w:r>
        <w:rPr>
          <w:rFonts w:hint="eastAsia" w:ascii="宋体" w:hAnsi="宋体" w:eastAsia="宋体" w:cs="宋体"/>
          <w:b/>
          <w:bCs/>
          <w:i w:val="0"/>
          <w:iCs w:val="0"/>
          <w:caps w:val="0"/>
          <w:color w:val="auto"/>
          <w:spacing w:val="0"/>
          <w:kern w:val="0"/>
          <w:sz w:val="21"/>
          <w:szCs w:val="21"/>
          <w:lang w:val="en-US" w:eastAsia="zh-CN" w:bidi="ar"/>
        </w:rPr>
        <w:t>包1：</w:t>
      </w:r>
    </w:p>
    <w:p w14:paraId="5CBED2EA">
      <w:pPr>
        <w:numPr>
          <w:ilvl w:val="0"/>
          <w:numId w:val="0"/>
        </w:numPr>
        <w:adjustRightInd w:val="0"/>
        <w:snapToGrid w:val="0"/>
        <w:spacing w:beforeLines="0" w:afterLines="0" w:line="360" w:lineRule="auto"/>
        <w:ind w:firstLine="422" w:firstLineChars="200"/>
        <w:rPr>
          <w:rFonts w:hint="eastAsia" w:ascii="宋体" w:hAnsi="宋体" w:eastAsia="宋体"/>
          <w:color w:val="FF0000"/>
          <w:sz w:val="21"/>
          <w:szCs w:val="21"/>
          <w:lang w:eastAsia="zh-CN"/>
        </w:rPr>
      </w:pPr>
      <w:r>
        <w:rPr>
          <w:rFonts w:hint="eastAsia" w:ascii="宋体" w:hAnsi="宋体" w:eastAsia="宋体" w:cs="宋体"/>
          <w:b/>
          <w:bCs/>
          <w:i w:val="0"/>
          <w:iCs w:val="0"/>
          <w:caps w:val="0"/>
          <w:color w:val="auto"/>
          <w:spacing w:val="0"/>
          <w:kern w:val="0"/>
          <w:sz w:val="21"/>
          <w:szCs w:val="21"/>
          <w:lang w:val="en-US" w:eastAsia="zh-CN" w:bidi="ar"/>
        </w:rPr>
        <w:t>（1）</w:t>
      </w:r>
      <w:r>
        <w:rPr>
          <w:rFonts w:hint="default" w:ascii="宋体" w:hAnsi="宋体" w:eastAsia="宋体" w:cs="Times New Roman"/>
          <w:color w:val="auto"/>
          <w:sz w:val="21"/>
          <w:szCs w:val="21"/>
        </w:rPr>
        <w:t>具备行政主管部门颁发的</w:t>
      </w:r>
      <w:r>
        <w:rPr>
          <w:rFonts w:hint="default" w:ascii="宋体" w:hAnsi="宋体" w:eastAsia="宋体" w:cs="Times New Roman"/>
          <w:b/>
          <w:bCs/>
          <w:color w:val="auto"/>
          <w:sz w:val="21"/>
          <w:szCs w:val="21"/>
        </w:rPr>
        <w:t>水利水电工程施工总承包三级及以上</w:t>
      </w:r>
      <w:r>
        <w:rPr>
          <w:rFonts w:hint="default" w:ascii="宋体" w:hAnsi="宋体" w:eastAsia="宋体" w:cs="Times New Roman"/>
          <w:color w:val="auto"/>
          <w:sz w:val="21"/>
          <w:szCs w:val="21"/>
        </w:rPr>
        <w:t>资质，并具备有效</w:t>
      </w:r>
      <w:r>
        <w:rPr>
          <w:rFonts w:hint="eastAsia" w:ascii="宋体" w:hAnsi="宋体" w:cs="Times New Roman"/>
          <w:color w:val="auto"/>
          <w:sz w:val="21"/>
          <w:szCs w:val="21"/>
          <w:lang w:val="en-US" w:eastAsia="zh-CN"/>
        </w:rPr>
        <w:t>的</w:t>
      </w:r>
      <w:r>
        <w:rPr>
          <w:rFonts w:hint="default" w:ascii="宋体" w:hAnsi="宋体" w:eastAsia="宋体" w:cs="Times New Roman"/>
          <w:color w:val="auto"/>
          <w:sz w:val="21"/>
          <w:szCs w:val="21"/>
        </w:rPr>
        <w:t>安全生产许可证，且供应商必须是在水利部水利建设市场监管平台和湖南省水利建设市场综合监管系统建立信用档案的市场主体单位</w:t>
      </w:r>
      <w:r>
        <w:rPr>
          <w:rFonts w:hint="eastAsia" w:ascii="宋体" w:hAnsi="宋体" w:eastAsia="宋体" w:cs="Times New Roman"/>
          <w:color w:val="auto"/>
          <w:sz w:val="21"/>
          <w:szCs w:val="21"/>
          <w:lang w:eastAsia="zh-CN"/>
        </w:rPr>
        <w:t>；</w:t>
      </w:r>
    </w:p>
    <w:p w14:paraId="1761CC23">
      <w:pPr>
        <w:numPr>
          <w:ilvl w:val="0"/>
          <w:numId w:val="0"/>
        </w:numPr>
        <w:adjustRightInd w:val="0"/>
        <w:snapToGrid w:val="0"/>
        <w:spacing w:beforeLines="0" w:afterLines="0" w:line="360" w:lineRule="auto"/>
        <w:ind w:firstLine="422" w:firstLineChars="200"/>
        <w:rPr>
          <w:rFonts w:hint="eastAsia" w:ascii="宋体" w:hAnsi="宋体" w:eastAsia="宋体" w:cs="Times New Roman"/>
          <w:color w:val="auto"/>
          <w:sz w:val="21"/>
          <w:szCs w:val="21"/>
          <w:lang w:val="en-US" w:eastAsia="zh-CN"/>
        </w:rPr>
      </w:pPr>
      <w:r>
        <w:rPr>
          <w:rFonts w:hint="eastAsia" w:ascii="宋体" w:hAnsi="宋体" w:eastAsia="宋体" w:cs="宋体"/>
          <w:b/>
          <w:bCs/>
          <w:i w:val="0"/>
          <w:iCs w:val="0"/>
          <w:caps w:val="0"/>
          <w:color w:val="auto"/>
          <w:spacing w:val="0"/>
          <w:kern w:val="0"/>
          <w:sz w:val="21"/>
          <w:szCs w:val="21"/>
          <w:lang w:val="en-US" w:eastAsia="zh-CN" w:bidi="ar"/>
        </w:rPr>
        <w:t>（2）</w:t>
      </w:r>
      <w:r>
        <w:rPr>
          <w:rFonts w:hint="default" w:ascii="宋体" w:hAnsi="宋体" w:eastAsia="宋体" w:cs="Times New Roman"/>
          <w:color w:val="auto"/>
          <w:sz w:val="21"/>
          <w:szCs w:val="21"/>
        </w:rPr>
        <w:t>拟任项目负责人具有</w:t>
      </w:r>
      <w:r>
        <w:rPr>
          <w:rFonts w:hint="default" w:ascii="宋体" w:hAnsi="宋体" w:eastAsia="宋体" w:cs="Times New Roman"/>
          <w:b/>
          <w:bCs/>
          <w:color w:val="auto"/>
          <w:sz w:val="21"/>
          <w:szCs w:val="21"/>
        </w:rPr>
        <w:t>水利水电工程专业二级及以上</w:t>
      </w:r>
      <w:r>
        <w:rPr>
          <w:rFonts w:hint="default" w:ascii="宋体" w:hAnsi="宋体" w:eastAsia="宋体" w:cs="Times New Roman"/>
          <w:b w:val="0"/>
          <w:bCs w:val="0"/>
          <w:color w:val="auto"/>
          <w:sz w:val="21"/>
          <w:szCs w:val="21"/>
        </w:rPr>
        <w:t>注册建造师执业资格</w:t>
      </w:r>
      <w:r>
        <w:rPr>
          <w:rFonts w:hint="default" w:ascii="宋体" w:hAnsi="宋体" w:eastAsia="宋体" w:cs="Times New Roman"/>
          <w:color w:val="auto"/>
          <w:sz w:val="21"/>
          <w:szCs w:val="21"/>
        </w:rPr>
        <w:t>，注册单位必须与供应商</w:t>
      </w:r>
      <w:r>
        <w:rPr>
          <w:rFonts w:hint="eastAsia" w:ascii="宋体" w:hAnsi="宋体" w:cs="Times New Roman"/>
          <w:color w:val="auto"/>
          <w:sz w:val="21"/>
          <w:szCs w:val="21"/>
          <w:lang w:val="en-US" w:eastAsia="zh-CN"/>
        </w:rPr>
        <w:t>单位</w:t>
      </w:r>
      <w:r>
        <w:rPr>
          <w:rFonts w:hint="default" w:ascii="宋体" w:hAnsi="宋体" w:eastAsia="宋体" w:cs="Times New Roman"/>
          <w:color w:val="auto"/>
          <w:sz w:val="21"/>
          <w:szCs w:val="21"/>
        </w:rPr>
        <w:t>名称一致</w:t>
      </w:r>
      <w:r>
        <w:rPr>
          <w:rFonts w:hint="eastAsia" w:ascii="宋体" w:hAnsi="宋体" w:cs="Times New Roman"/>
          <w:color w:val="auto"/>
          <w:sz w:val="21"/>
          <w:szCs w:val="21"/>
          <w:lang w:eastAsia="zh-CN"/>
        </w:rPr>
        <w:t>，</w:t>
      </w:r>
      <w:r>
        <w:rPr>
          <w:rFonts w:hint="default" w:ascii="宋体" w:hAnsi="宋体" w:eastAsia="宋体" w:cs="Times New Roman"/>
          <w:color w:val="auto"/>
          <w:sz w:val="21"/>
          <w:szCs w:val="21"/>
        </w:rPr>
        <w:t>具有水行政主管部门颁发或核发的B类安全生产考核合格证书</w:t>
      </w:r>
      <w:r>
        <w:rPr>
          <w:rFonts w:hint="eastAsia" w:ascii="宋体" w:hAnsi="宋体" w:eastAsia="宋体" w:cs="Times New Roman"/>
          <w:color w:val="auto"/>
          <w:sz w:val="21"/>
          <w:szCs w:val="21"/>
          <w:lang w:eastAsia="zh-CN"/>
        </w:rPr>
        <w:t>；且为供应商</w:t>
      </w:r>
      <w:r>
        <w:rPr>
          <w:rFonts w:hint="eastAsia" w:ascii="宋体" w:hAnsi="宋体" w:cs="Times New Roman"/>
          <w:color w:val="auto"/>
          <w:sz w:val="21"/>
          <w:szCs w:val="21"/>
          <w:lang w:val="en-US" w:eastAsia="zh-CN"/>
        </w:rPr>
        <w:t>单位的</w:t>
      </w:r>
      <w:r>
        <w:rPr>
          <w:rFonts w:hint="eastAsia" w:ascii="宋体" w:hAnsi="宋体" w:eastAsia="宋体" w:cs="Times New Roman"/>
          <w:color w:val="auto"/>
          <w:sz w:val="21"/>
          <w:szCs w:val="21"/>
          <w:lang w:eastAsia="zh-CN"/>
        </w:rPr>
        <w:t>正式员工</w:t>
      </w:r>
      <w:r>
        <w:rPr>
          <w:rFonts w:hint="eastAsia" w:ascii="宋体" w:hAnsi="宋体" w:cs="Times New Roman"/>
          <w:b/>
          <w:bCs/>
          <w:color w:val="auto"/>
          <w:sz w:val="21"/>
          <w:szCs w:val="21"/>
          <w:lang w:eastAsia="zh-CN"/>
        </w:rPr>
        <w:t>（</w:t>
      </w:r>
      <w:r>
        <w:rPr>
          <w:rFonts w:hint="eastAsia" w:ascii="宋体" w:hAnsi="宋体" w:eastAsia="宋体" w:cs="宋体"/>
          <w:b/>
          <w:bCs/>
          <w:i w:val="0"/>
          <w:iCs w:val="0"/>
          <w:caps w:val="0"/>
          <w:color w:val="000000"/>
          <w:spacing w:val="0"/>
          <w:sz w:val="21"/>
          <w:szCs w:val="21"/>
        </w:rPr>
        <w:t>提供</w:t>
      </w:r>
      <w:r>
        <w:rPr>
          <w:rFonts w:hint="eastAsia" w:ascii="宋体" w:hAnsi="宋体" w:eastAsia="宋体" w:cs="宋体"/>
          <w:b/>
          <w:bCs/>
          <w:i w:val="0"/>
          <w:iCs w:val="0"/>
          <w:caps w:val="0"/>
          <w:color w:val="000000"/>
          <w:spacing w:val="0"/>
          <w:sz w:val="21"/>
          <w:szCs w:val="21"/>
          <w:lang w:eastAsia="zh-CN"/>
        </w:rPr>
        <w:t>近</w:t>
      </w:r>
      <w:r>
        <w:rPr>
          <w:rFonts w:hint="eastAsia" w:ascii="宋体" w:hAnsi="宋体" w:eastAsia="宋体" w:cs="宋体"/>
          <w:b/>
          <w:bCs/>
          <w:i w:val="0"/>
          <w:iCs w:val="0"/>
          <w:caps w:val="0"/>
          <w:color w:val="000000"/>
          <w:spacing w:val="0"/>
          <w:sz w:val="21"/>
          <w:szCs w:val="21"/>
          <w:lang w:val="en-US" w:eastAsia="zh-CN"/>
        </w:rPr>
        <w:t>3个月</w:t>
      </w:r>
      <w:r>
        <w:rPr>
          <w:rFonts w:hint="eastAsia" w:ascii="宋体" w:hAnsi="宋体" w:eastAsia="宋体" w:cs="宋体"/>
          <w:b/>
          <w:bCs/>
          <w:i w:val="0"/>
          <w:iCs w:val="0"/>
          <w:caps w:val="0"/>
          <w:color w:val="000000"/>
          <w:spacing w:val="0"/>
          <w:sz w:val="21"/>
          <w:szCs w:val="21"/>
        </w:rPr>
        <w:t>社保</w:t>
      </w:r>
      <w:r>
        <w:rPr>
          <w:rFonts w:hint="eastAsia" w:ascii="宋体" w:hAnsi="宋体" w:eastAsia="宋体" w:cs="宋体"/>
          <w:b/>
          <w:bCs/>
          <w:i w:val="0"/>
          <w:iCs w:val="0"/>
          <w:caps w:val="0"/>
          <w:color w:val="000000"/>
          <w:spacing w:val="0"/>
          <w:sz w:val="21"/>
          <w:szCs w:val="21"/>
          <w:lang w:eastAsia="zh-CN"/>
        </w:rPr>
        <w:t>缴纳</w:t>
      </w:r>
      <w:r>
        <w:rPr>
          <w:rFonts w:hint="eastAsia" w:ascii="宋体" w:hAnsi="宋体" w:eastAsia="宋体" w:cs="宋体"/>
          <w:b/>
          <w:bCs/>
          <w:i w:val="0"/>
          <w:iCs w:val="0"/>
          <w:caps w:val="0"/>
          <w:color w:val="000000"/>
          <w:spacing w:val="0"/>
          <w:sz w:val="21"/>
          <w:szCs w:val="21"/>
        </w:rPr>
        <w:t>证明</w:t>
      </w:r>
      <w:r>
        <w:rPr>
          <w:rFonts w:hint="eastAsia" w:ascii="宋体" w:hAnsi="宋体" w:cs="Times New Roman"/>
          <w:b/>
          <w:bCs/>
          <w:color w:val="auto"/>
          <w:sz w:val="21"/>
          <w:szCs w:val="21"/>
          <w:lang w:eastAsia="zh-CN"/>
        </w:rPr>
        <w:t>）</w:t>
      </w:r>
      <w:r>
        <w:rPr>
          <w:rFonts w:hint="eastAsia" w:ascii="宋体" w:hAnsi="宋体" w:cs="Times New Roman"/>
          <w:color w:val="auto"/>
          <w:sz w:val="21"/>
          <w:szCs w:val="21"/>
          <w:lang w:eastAsia="zh-CN"/>
        </w:rPr>
        <w:t>；</w:t>
      </w:r>
    </w:p>
    <w:p w14:paraId="108CBF59">
      <w:pPr>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szCs w:val="21"/>
          <w:lang w:val="en-US" w:eastAsia="zh-CN"/>
        </w:rPr>
      </w:pPr>
      <w:r>
        <w:rPr>
          <w:rFonts w:hint="eastAsia" w:ascii="宋体" w:hAnsi="宋体"/>
          <w:color w:val="auto"/>
          <w:szCs w:val="21"/>
          <w:lang w:val="en-US" w:eastAsia="zh-CN"/>
        </w:rPr>
        <w:t>（3）拟任技术负责人要求具备</w:t>
      </w:r>
      <w:r>
        <w:rPr>
          <w:rFonts w:hint="eastAsia" w:ascii="宋体" w:hAnsi="宋体"/>
          <w:b/>
          <w:bCs/>
          <w:color w:val="auto"/>
          <w:szCs w:val="21"/>
          <w:lang w:val="en-US" w:eastAsia="zh-CN"/>
        </w:rPr>
        <w:t>水利水电工程相关专业中级及以上</w:t>
      </w:r>
      <w:r>
        <w:rPr>
          <w:rFonts w:hint="eastAsia" w:ascii="宋体" w:hAnsi="宋体"/>
          <w:color w:val="auto"/>
          <w:szCs w:val="21"/>
          <w:lang w:val="en-US" w:eastAsia="zh-CN"/>
        </w:rPr>
        <w:t>技术职称且为供应商正式员工</w:t>
      </w:r>
      <w:r>
        <w:rPr>
          <w:rFonts w:hint="eastAsia" w:ascii="宋体" w:hAnsi="宋体"/>
          <w:b/>
          <w:bCs/>
          <w:color w:val="auto"/>
          <w:szCs w:val="21"/>
          <w:lang w:val="en-US" w:eastAsia="zh-CN"/>
        </w:rPr>
        <w:t>（提供近3个月社保缴纳证明）</w:t>
      </w:r>
      <w:r>
        <w:rPr>
          <w:rFonts w:hint="eastAsia" w:ascii="宋体" w:hAnsi="宋体"/>
          <w:color w:val="auto"/>
          <w:szCs w:val="21"/>
          <w:lang w:val="en-US" w:eastAsia="zh-CN"/>
        </w:rPr>
        <w:t>；</w:t>
      </w:r>
    </w:p>
    <w:p w14:paraId="340B2BF3">
      <w:pPr>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szCs w:val="21"/>
          <w:lang w:val="en-US" w:eastAsia="zh-CN"/>
        </w:rPr>
      </w:pPr>
      <w:r>
        <w:rPr>
          <w:rFonts w:hint="eastAsia" w:ascii="宋体" w:hAnsi="宋体"/>
          <w:color w:val="auto"/>
          <w:szCs w:val="21"/>
          <w:lang w:val="en-US" w:eastAsia="zh-CN"/>
        </w:rPr>
        <w:t>（4）拟任安全负责人（专职安全生产管理人员）具有水行政主管部门颁发或核发的C类安全生产考核合格证书,且为供应商正式员工</w:t>
      </w:r>
      <w:r>
        <w:rPr>
          <w:rFonts w:hint="eastAsia" w:ascii="宋体" w:hAnsi="宋体"/>
          <w:b/>
          <w:bCs/>
          <w:color w:val="auto"/>
          <w:szCs w:val="21"/>
          <w:lang w:val="en-US" w:eastAsia="zh-CN"/>
        </w:rPr>
        <w:t>（提供近3个月社保缴纳证明）</w:t>
      </w:r>
      <w:r>
        <w:rPr>
          <w:rFonts w:hint="eastAsia" w:ascii="宋体" w:hAnsi="宋体"/>
          <w:color w:val="auto"/>
          <w:szCs w:val="21"/>
          <w:lang w:val="en-US" w:eastAsia="zh-CN"/>
        </w:rPr>
        <w:t>；</w:t>
      </w:r>
    </w:p>
    <w:p w14:paraId="6DD96A48">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default" w:ascii="宋体" w:hAnsi="宋体" w:eastAsia="宋体" w:cs="宋体"/>
          <w:b/>
          <w:bCs/>
          <w:i w:val="0"/>
          <w:iCs w:val="0"/>
          <w:caps w:val="0"/>
          <w:color w:val="auto"/>
          <w:spacing w:val="0"/>
          <w:kern w:val="0"/>
          <w:sz w:val="21"/>
          <w:szCs w:val="21"/>
          <w:lang w:val="en-US" w:eastAsia="zh-CN" w:bidi="ar"/>
        </w:rPr>
      </w:pPr>
      <w:r>
        <w:rPr>
          <w:rFonts w:hint="eastAsia" w:ascii="宋体" w:hAnsi="宋体" w:eastAsia="宋体" w:cs="宋体"/>
          <w:b/>
          <w:bCs/>
          <w:i w:val="0"/>
          <w:iCs w:val="0"/>
          <w:caps w:val="0"/>
          <w:color w:val="auto"/>
          <w:spacing w:val="0"/>
          <w:kern w:val="0"/>
          <w:sz w:val="21"/>
          <w:szCs w:val="21"/>
          <w:lang w:val="en-US" w:eastAsia="zh-CN" w:bidi="ar"/>
        </w:rPr>
        <w:t>（注：</w:t>
      </w:r>
      <w:r>
        <w:rPr>
          <w:rFonts w:hint="eastAsia" w:ascii="宋体" w:hAnsi="宋体" w:eastAsia="宋体" w:cs="宋体"/>
          <w:b/>
          <w:bCs/>
          <w:i w:val="0"/>
          <w:iCs w:val="0"/>
          <w:caps w:val="0"/>
          <w:color w:val="auto"/>
          <w:spacing w:val="0"/>
          <w:kern w:val="0"/>
          <w:sz w:val="21"/>
          <w:szCs w:val="21"/>
          <w:lang w:val="zh-CN" w:eastAsia="zh-CN" w:bidi="ar"/>
        </w:rPr>
        <w:t>依据湖南省财政厅关于政府采购促进中小企业发展有关措施的通知（湘财购〔2022〕17 号），符合法定条件的供应商凭《湖南省政府采购供应商资格承诺函》（格式见附件）参与政府采购活动，无需提供财务状况、缴纳税收和社会保障资金等资格证明材料。）</w:t>
      </w:r>
    </w:p>
    <w:p w14:paraId="7985BF5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4、单位负责人为同一人或者存在直接控股、管理关系的不同投标人，不得参加同一合同项下的政府采购活动。</w:t>
      </w:r>
    </w:p>
    <w:p w14:paraId="6FAA96E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auto"/>
          <w:spacing w:val="0"/>
          <w:kern w:val="0"/>
          <w:sz w:val="21"/>
          <w:szCs w:val="21"/>
          <w:lang w:val="en-US" w:eastAsia="zh-CN" w:bidi="ar"/>
        </w:rPr>
        <w:t>5、为本采购项目提供整体设计、规范编制或者项目管理、监理、检</w:t>
      </w:r>
      <w:r>
        <w:rPr>
          <w:rFonts w:hint="eastAsia" w:ascii="宋体" w:hAnsi="宋体" w:eastAsia="宋体" w:cs="宋体"/>
          <w:i w:val="0"/>
          <w:iCs w:val="0"/>
          <w:caps w:val="0"/>
          <w:color w:val="000000"/>
          <w:spacing w:val="0"/>
          <w:kern w:val="0"/>
          <w:sz w:val="21"/>
          <w:szCs w:val="21"/>
          <w:lang w:val="en-US" w:eastAsia="zh-CN" w:bidi="ar"/>
        </w:rPr>
        <w:t>测等服务的，不得再参加此项目的其他采购活动。</w:t>
      </w:r>
    </w:p>
    <w:p w14:paraId="2499431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6、列入失信被执行人、重大税收违法失信主体名单、政府采购严重违法失信行为记录名单的，拒绝其参与政府采购活动。</w:t>
      </w:r>
    </w:p>
    <w:p w14:paraId="1C1FA03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7、联合体投标。本次招标</w:t>
      </w:r>
      <w:r>
        <w:rPr>
          <w:rFonts w:hint="eastAsia" w:ascii="宋体" w:hAnsi="宋体" w:eastAsia="宋体" w:cs="宋体"/>
          <w:i w:val="0"/>
          <w:iCs w:val="0"/>
          <w:caps w:val="0"/>
          <w:color w:val="000000"/>
          <w:spacing w:val="0"/>
          <w:kern w:val="0"/>
          <w:sz w:val="21"/>
          <w:szCs w:val="21"/>
          <w:u w:val="single"/>
          <w:lang w:val="en-US" w:eastAsia="zh-CN" w:bidi="ar"/>
        </w:rPr>
        <w:t>不接受</w:t>
      </w:r>
      <w:r>
        <w:rPr>
          <w:rFonts w:hint="eastAsia" w:ascii="宋体" w:hAnsi="宋体" w:eastAsia="宋体" w:cs="宋体"/>
          <w:i w:val="0"/>
          <w:iCs w:val="0"/>
          <w:caps w:val="0"/>
          <w:color w:val="000000"/>
          <w:spacing w:val="0"/>
          <w:kern w:val="0"/>
          <w:sz w:val="21"/>
          <w:szCs w:val="21"/>
          <w:lang w:val="en-US" w:eastAsia="zh-CN" w:bidi="ar"/>
        </w:rPr>
        <w:t>联合体投标。</w:t>
      </w:r>
    </w:p>
    <w:p w14:paraId="4A9DDD06">
      <w:pPr>
        <w:keepNext w:val="0"/>
        <w:keepLines w:val="0"/>
        <w:widowControl/>
        <w:suppressLineNumbers w:val="0"/>
        <w:pBdr>
          <w:top w:val="none" w:color="auto" w:sz="0" w:space="0"/>
          <w:left w:val="none" w:color="auto" w:sz="0" w:space="0"/>
          <w:bottom w:val="none" w:color="auto" w:sz="0" w:space="0"/>
          <w:right w:val="none" w:color="auto" w:sz="0" w:space="0"/>
        </w:pBdr>
        <w:spacing w:before="150" w:beforeLines="0" w:beforeAutospacing="0" w:after="0" w:afterLines="0" w:afterAutospacing="0" w:line="240" w:lineRule="auto"/>
        <w:ind w:left="0" w:right="0" w:firstLine="420"/>
        <w:jc w:val="left"/>
        <w:outlineLvl w:val="2"/>
        <w:rPr>
          <w:rFonts w:hint="eastAsia" w:ascii="宋体" w:hAnsi="宋体" w:eastAsia="宋体" w:cs="宋体"/>
          <w:b/>
          <w:bCs/>
          <w:kern w:val="2"/>
          <w:sz w:val="21"/>
          <w:szCs w:val="21"/>
          <w:lang w:val="en-US" w:eastAsia="zh-CN" w:bidi="ar-SA"/>
        </w:rPr>
      </w:pPr>
      <w:bookmarkStart w:id="6" w:name="_Toc31943"/>
      <w:r>
        <w:rPr>
          <w:rFonts w:hint="eastAsia" w:ascii="宋体" w:hAnsi="宋体" w:eastAsia="宋体" w:cs="宋体"/>
          <w:b/>
          <w:bCs/>
          <w:i w:val="0"/>
          <w:iCs w:val="0"/>
          <w:caps w:val="0"/>
          <w:color w:val="000000"/>
          <w:spacing w:val="0"/>
          <w:kern w:val="2"/>
          <w:sz w:val="21"/>
          <w:szCs w:val="21"/>
          <w:lang w:val="en-US" w:eastAsia="zh-CN" w:bidi="ar-SA"/>
        </w:rPr>
        <w:t>五、获取招标文件的时间、期限、地点及方式</w:t>
      </w:r>
      <w:bookmarkEnd w:id="6"/>
    </w:p>
    <w:p w14:paraId="3D9C89B6">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lang w:val="en-US" w:eastAsia="zh-CN"/>
        </w:rPr>
      </w:pPr>
      <w:r>
        <w:rPr>
          <w:rFonts w:hint="eastAsia" w:ascii="宋体" w:hAnsi="宋体" w:eastAsia="宋体" w:cs="宋体"/>
          <w:i w:val="0"/>
          <w:iCs w:val="0"/>
          <w:caps w:val="0"/>
          <w:color w:val="000000"/>
          <w:spacing w:val="0"/>
          <w:kern w:val="0"/>
          <w:sz w:val="21"/>
          <w:szCs w:val="21"/>
          <w:lang w:val="en-US" w:eastAsia="zh-CN" w:bidi="ar"/>
        </w:rPr>
        <w:t>有意参加投标者，于</w:t>
      </w:r>
      <w:r>
        <w:rPr>
          <w:rFonts w:hint="eastAsia" w:ascii="宋体" w:hAnsi="宋体" w:eastAsia="宋体" w:cs="宋体"/>
          <w:i w:val="0"/>
          <w:iCs w:val="0"/>
          <w:caps w:val="0"/>
          <w:color w:val="000000"/>
          <w:spacing w:val="0"/>
          <w:kern w:val="0"/>
          <w:sz w:val="21"/>
          <w:szCs w:val="21"/>
          <w:highlight w:val="yellow"/>
          <w:lang w:val="en-US" w:eastAsia="zh-CN" w:bidi="ar"/>
        </w:rPr>
        <w:t>2026年</w:t>
      </w:r>
      <w:r>
        <w:rPr>
          <w:rFonts w:hint="eastAsia" w:ascii="宋体" w:hAnsi="宋体" w:cs="宋体"/>
          <w:i w:val="0"/>
          <w:iCs w:val="0"/>
          <w:caps w:val="0"/>
          <w:color w:val="000000"/>
          <w:spacing w:val="0"/>
          <w:kern w:val="0"/>
          <w:sz w:val="21"/>
          <w:szCs w:val="21"/>
          <w:highlight w:val="yellow"/>
          <w:lang w:val="en-US" w:eastAsia="zh-CN" w:bidi="ar"/>
        </w:rPr>
        <w:t>10</w:t>
      </w:r>
      <w:r>
        <w:rPr>
          <w:rFonts w:hint="eastAsia" w:ascii="宋体" w:hAnsi="宋体" w:eastAsia="宋体" w:cs="宋体"/>
          <w:i w:val="0"/>
          <w:iCs w:val="0"/>
          <w:caps w:val="0"/>
          <w:color w:val="000000"/>
          <w:spacing w:val="0"/>
          <w:kern w:val="0"/>
          <w:sz w:val="21"/>
          <w:szCs w:val="21"/>
          <w:highlight w:val="yellow"/>
          <w:lang w:val="en-US" w:eastAsia="zh-CN" w:bidi="ar"/>
        </w:rPr>
        <w:t>月</w:t>
      </w:r>
      <w:r>
        <w:rPr>
          <w:rFonts w:hint="eastAsia" w:ascii="宋体" w:hAnsi="宋体" w:cs="宋体"/>
          <w:i w:val="0"/>
          <w:iCs w:val="0"/>
          <w:caps w:val="0"/>
          <w:color w:val="000000"/>
          <w:spacing w:val="0"/>
          <w:kern w:val="0"/>
          <w:sz w:val="21"/>
          <w:szCs w:val="21"/>
          <w:highlight w:val="yellow"/>
          <w:lang w:val="en-US" w:eastAsia="zh-CN" w:bidi="ar"/>
        </w:rPr>
        <w:t>14</w:t>
      </w:r>
      <w:r>
        <w:rPr>
          <w:rFonts w:hint="eastAsia" w:ascii="宋体" w:hAnsi="宋体" w:eastAsia="宋体" w:cs="宋体"/>
          <w:i w:val="0"/>
          <w:iCs w:val="0"/>
          <w:caps w:val="0"/>
          <w:color w:val="000000"/>
          <w:spacing w:val="0"/>
          <w:kern w:val="0"/>
          <w:sz w:val="21"/>
          <w:szCs w:val="21"/>
          <w:highlight w:val="yellow"/>
          <w:lang w:val="en-US" w:eastAsia="zh-CN" w:bidi="ar"/>
        </w:rPr>
        <w:t>日 至2026年</w:t>
      </w:r>
      <w:r>
        <w:rPr>
          <w:rFonts w:hint="eastAsia" w:ascii="宋体" w:hAnsi="宋体" w:cs="宋体"/>
          <w:i w:val="0"/>
          <w:iCs w:val="0"/>
          <w:caps w:val="0"/>
          <w:color w:val="000000"/>
          <w:spacing w:val="0"/>
          <w:kern w:val="0"/>
          <w:sz w:val="21"/>
          <w:szCs w:val="21"/>
          <w:highlight w:val="yellow"/>
          <w:lang w:val="en-US" w:eastAsia="zh-CN" w:bidi="ar"/>
        </w:rPr>
        <w:t>10</w:t>
      </w:r>
      <w:r>
        <w:rPr>
          <w:rFonts w:hint="eastAsia" w:ascii="宋体" w:hAnsi="宋体" w:eastAsia="宋体" w:cs="宋体"/>
          <w:i w:val="0"/>
          <w:iCs w:val="0"/>
          <w:caps w:val="0"/>
          <w:color w:val="000000"/>
          <w:spacing w:val="0"/>
          <w:kern w:val="0"/>
          <w:sz w:val="21"/>
          <w:szCs w:val="21"/>
          <w:highlight w:val="yellow"/>
          <w:lang w:val="en-US" w:eastAsia="zh-CN" w:bidi="ar"/>
        </w:rPr>
        <w:t>月</w:t>
      </w:r>
      <w:r>
        <w:rPr>
          <w:rFonts w:hint="eastAsia" w:ascii="宋体" w:hAnsi="宋体" w:cs="宋体"/>
          <w:i w:val="0"/>
          <w:iCs w:val="0"/>
          <w:caps w:val="0"/>
          <w:color w:val="000000"/>
          <w:spacing w:val="0"/>
          <w:kern w:val="0"/>
          <w:sz w:val="21"/>
          <w:szCs w:val="21"/>
          <w:highlight w:val="yellow"/>
          <w:lang w:val="en-US" w:eastAsia="zh-CN" w:bidi="ar"/>
        </w:rPr>
        <w:t>20</w:t>
      </w:r>
      <w:r>
        <w:rPr>
          <w:rFonts w:hint="eastAsia" w:ascii="宋体" w:hAnsi="宋体" w:eastAsia="宋体" w:cs="宋体"/>
          <w:i w:val="0"/>
          <w:iCs w:val="0"/>
          <w:caps w:val="0"/>
          <w:color w:val="000000"/>
          <w:spacing w:val="0"/>
          <w:kern w:val="0"/>
          <w:sz w:val="21"/>
          <w:szCs w:val="21"/>
          <w:highlight w:val="yellow"/>
          <w:lang w:val="en-US" w:eastAsia="zh-CN" w:bidi="ar"/>
        </w:rPr>
        <w:t>日</w:t>
      </w:r>
      <w:r>
        <w:rPr>
          <w:rFonts w:hint="eastAsia" w:ascii="宋体" w:hAnsi="宋体" w:eastAsia="宋体" w:cs="宋体"/>
          <w:i w:val="0"/>
          <w:iCs w:val="0"/>
          <w:caps w:val="0"/>
          <w:color w:val="000000"/>
          <w:spacing w:val="0"/>
          <w:kern w:val="0"/>
          <w:sz w:val="21"/>
          <w:szCs w:val="21"/>
          <w:lang w:val="en-US" w:eastAsia="zh-CN" w:bidi="ar"/>
        </w:rPr>
        <w:t>，每日</w:t>
      </w:r>
      <w:r>
        <w:rPr>
          <w:rFonts w:hint="eastAsia" w:ascii="宋体" w:hAnsi="宋体" w:eastAsia="宋体" w:cs="宋体"/>
          <w:kern w:val="0"/>
          <w:szCs w:val="21"/>
          <w:lang w:bidi="ar"/>
        </w:rPr>
        <w:t>上午8：00～ 12：00，下午2：30～ 5：30，节假日除外</w:t>
      </w:r>
      <w:r>
        <w:rPr>
          <w:rFonts w:hint="eastAsia" w:ascii="宋体" w:hAnsi="宋体" w:eastAsia="宋体" w:cs="宋体"/>
          <w:i w:val="0"/>
          <w:iCs w:val="0"/>
          <w:caps w:val="0"/>
          <w:color w:val="000000"/>
          <w:spacing w:val="0"/>
          <w:kern w:val="0"/>
          <w:sz w:val="21"/>
          <w:szCs w:val="21"/>
          <w:lang w:val="en-US" w:eastAsia="zh-CN" w:bidi="ar"/>
        </w:rPr>
        <w:t>， 在</w:t>
      </w:r>
      <w:r>
        <w:rPr>
          <w:rFonts w:hint="eastAsia" w:ascii="宋体" w:hAnsi="宋体" w:eastAsia="宋体" w:cs="宋体"/>
          <w:i w:val="0"/>
          <w:iCs w:val="0"/>
          <w:caps w:val="0"/>
          <w:color w:val="000000"/>
          <w:spacing w:val="0"/>
          <w:kern w:val="0"/>
          <w:sz w:val="21"/>
          <w:szCs w:val="21"/>
          <w:u w:val="single"/>
          <w:lang w:val="en-US" w:eastAsia="zh-CN" w:bidi="ar"/>
        </w:rPr>
        <w:t>张家界市永定区子午路宏力大厦B702</w:t>
      </w:r>
      <w:r>
        <w:rPr>
          <w:rFonts w:hint="eastAsia" w:ascii="宋体" w:hAnsi="宋体" w:eastAsia="宋体" w:cs="宋体"/>
          <w:i w:val="0"/>
          <w:iCs w:val="0"/>
          <w:caps w:val="0"/>
          <w:color w:val="000000"/>
          <w:spacing w:val="0"/>
          <w:sz w:val="21"/>
          <w:szCs w:val="21"/>
        </w:rPr>
        <w:t>持</w:t>
      </w:r>
      <w:r>
        <w:rPr>
          <w:rFonts w:hint="default" w:ascii="宋体" w:hAnsi="宋体" w:eastAsia="宋体" w:cs="宋体"/>
          <w:i w:val="0"/>
          <w:iCs w:val="0"/>
          <w:caps w:val="0"/>
          <w:color w:val="000000"/>
          <w:spacing w:val="0"/>
          <w:sz w:val="21"/>
          <w:szCs w:val="21"/>
        </w:rPr>
        <w:t>公司营业执照复印件</w:t>
      </w:r>
      <w:r>
        <w:rPr>
          <w:rFonts w:hint="eastAsia" w:ascii="宋体" w:hAnsi="宋体" w:eastAsia="宋体" w:cs="宋体"/>
          <w:i w:val="0"/>
          <w:iCs w:val="0"/>
          <w:caps w:val="0"/>
          <w:color w:val="000000"/>
          <w:spacing w:val="0"/>
          <w:sz w:val="21"/>
          <w:szCs w:val="21"/>
        </w:rPr>
        <w:t>（加盖公章）</w:t>
      </w:r>
      <w:r>
        <w:rPr>
          <w:rFonts w:hint="eastAsia" w:ascii="宋体" w:hAnsi="宋体" w:eastAsia="宋体" w:cs="宋体"/>
          <w:i w:val="0"/>
          <w:iCs w:val="0"/>
          <w:caps w:val="0"/>
          <w:color w:val="000000"/>
          <w:spacing w:val="0"/>
          <w:sz w:val="21"/>
          <w:szCs w:val="21"/>
          <w:lang w:eastAsia="zh-CN"/>
        </w:rPr>
        <w:t>、</w:t>
      </w:r>
      <w:r>
        <w:rPr>
          <w:rFonts w:hint="eastAsia" w:ascii="宋体" w:hAnsi="宋体" w:eastAsia="宋体" w:cs="宋体"/>
          <w:i w:val="0"/>
          <w:iCs w:val="0"/>
          <w:caps w:val="0"/>
          <w:color w:val="000000"/>
          <w:spacing w:val="0"/>
          <w:sz w:val="21"/>
          <w:szCs w:val="21"/>
        </w:rPr>
        <w:t>法定代表人身份证明或授权委托书（附法定代表人身份证明）原件（加盖公章）、个人身份证获取</w:t>
      </w:r>
      <w:r>
        <w:rPr>
          <w:rFonts w:hint="eastAsia" w:ascii="宋体" w:hAnsi="宋体" w:eastAsia="宋体" w:cs="宋体"/>
          <w:i w:val="0"/>
          <w:iCs w:val="0"/>
          <w:caps w:val="0"/>
          <w:color w:val="000000"/>
          <w:spacing w:val="0"/>
          <w:sz w:val="21"/>
          <w:szCs w:val="21"/>
          <w:lang w:val="en-US" w:eastAsia="zh-CN"/>
        </w:rPr>
        <w:t>磋商</w:t>
      </w:r>
      <w:r>
        <w:rPr>
          <w:rFonts w:hint="eastAsia" w:ascii="宋体" w:hAnsi="宋体" w:eastAsia="宋体" w:cs="宋体"/>
          <w:i w:val="0"/>
          <w:iCs w:val="0"/>
          <w:caps w:val="0"/>
          <w:color w:val="000000"/>
          <w:spacing w:val="0"/>
          <w:sz w:val="21"/>
          <w:szCs w:val="21"/>
        </w:rPr>
        <w:t>文件</w:t>
      </w:r>
      <w:r>
        <w:rPr>
          <w:rFonts w:hint="eastAsia" w:ascii="宋体" w:hAnsi="宋体" w:eastAsia="宋体" w:cs="宋体"/>
          <w:i w:val="0"/>
          <w:iCs w:val="0"/>
          <w:caps w:val="0"/>
          <w:color w:val="000000"/>
          <w:spacing w:val="0"/>
          <w:sz w:val="21"/>
          <w:szCs w:val="21"/>
          <w:lang w:eastAsia="zh-CN"/>
        </w:rPr>
        <w:t>。</w:t>
      </w:r>
    </w:p>
    <w:p w14:paraId="251B2C5D">
      <w:pPr>
        <w:keepNext w:val="0"/>
        <w:keepLines w:val="0"/>
        <w:widowControl/>
        <w:suppressLineNumbers w:val="0"/>
        <w:pBdr>
          <w:top w:val="none" w:color="auto" w:sz="0" w:space="0"/>
          <w:left w:val="none" w:color="auto" w:sz="0" w:space="0"/>
          <w:bottom w:val="none" w:color="auto" w:sz="0" w:space="0"/>
          <w:right w:val="none" w:color="auto" w:sz="0" w:space="0"/>
        </w:pBdr>
        <w:spacing w:before="150" w:beforeLines="0" w:beforeAutospacing="0" w:after="0" w:afterLines="0" w:afterAutospacing="0" w:line="240" w:lineRule="auto"/>
        <w:ind w:left="0" w:right="0" w:firstLine="420"/>
        <w:jc w:val="left"/>
        <w:outlineLvl w:val="2"/>
        <w:rPr>
          <w:rFonts w:hint="eastAsia" w:ascii="宋体" w:hAnsi="宋体" w:eastAsia="宋体" w:cs="宋体"/>
          <w:b/>
          <w:bCs/>
          <w:kern w:val="2"/>
          <w:sz w:val="21"/>
          <w:szCs w:val="21"/>
          <w:lang w:val="en-US" w:eastAsia="zh-CN" w:bidi="ar-SA"/>
        </w:rPr>
      </w:pPr>
      <w:bookmarkStart w:id="7" w:name="_Toc16765"/>
      <w:r>
        <w:rPr>
          <w:rFonts w:hint="eastAsia" w:ascii="宋体" w:hAnsi="宋体" w:eastAsia="宋体" w:cs="宋体"/>
          <w:b/>
          <w:bCs/>
          <w:i w:val="0"/>
          <w:iCs w:val="0"/>
          <w:caps w:val="0"/>
          <w:color w:val="000000"/>
          <w:spacing w:val="0"/>
          <w:kern w:val="2"/>
          <w:sz w:val="21"/>
          <w:szCs w:val="21"/>
          <w:lang w:val="en-US" w:eastAsia="zh-CN" w:bidi="ar-SA"/>
        </w:rPr>
        <w:t>六、投标截止时间、开标时间及地点</w:t>
      </w:r>
      <w:bookmarkEnd w:id="7"/>
    </w:p>
    <w:p w14:paraId="4D4F8E3B">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1、提交投标文件的截止时间：</w:t>
      </w:r>
      <w:r>
        <w:rPr>
          <w:rFonts w:hint="eastAsia" w:ascii="宋体" w:hAnsi="宋体" w:eastAsia="宋体" w:cs="宋体"/>
          <w:i w:val="0"/>
          <w:iCs w:val="0"/>
          <w:caps w:val="0"/>
          <w:color w:val="000000"/>
          <w:spacing w:val="0"/>
          <w:kern w:val="0"/>
          <w:sz w:val="21"/>
          <w:szCs w:val="21"/>
          <w:highlight w:val="yellow"/>
          <w:lang w:val="en-US" w:eastAsia="zh-CN" w:bidi="ar"/>
        </w:rPr>
        <w:t>2026年</w:t>
      </w:r>
      <w:r>
        <w:rPr>
          <w:rFonts w:hint="eastAsia" w:ascii="宋体" w:hAnsi="宋体" w:cs="宋体"/>
          <w:i w:val="0"/>
          <w:iCs w:val="0"/>
          <w:caps w:val="0"/>
          <w:color w:val="000000"/>
          <w:spacing w:val="0"/>
          <w:kern w:val="0"/>
          <w:sz w:val="21"/>
          <w:szCs w:val="21"/>
          <w:highlight w:val="yellow"/>
          <w:lang w:val="en-US" w:eastAsia="zh-CN" w:bidi="ar"/>
        </w:rPr>
        <w:t>10</w:t>
      </w:r>
      <w:r>
        <w:rPr>
          <w:rFonts w:hint="eastAsia" w:ascii="宋体" w:hAnsi="宋体" w:eastAsia="宋体" w:cs="宋体"/>
          <w:i w:val="0"/>
          <w:iCs w:val="0"/>
          <w:caps w:val="0"/>
          <w:color w:val="000000"/>
          <w:spacing w:val="0"/>
          <w:kern w:val="0"/>
          <w:sz w:val="21"/>
          <w:szCs w:val="21"/>
          <w:highlight w:val="yellow"/>
          <w:lang w:val="en-US" w:eastAsia="zh-CN" w:bidi="ar"/>
        </w:rPr>
        <w:t>月</w:t>
      </w:r>
      <w:r>
        <w:rPr>
          <w:rFonts w:hint="eastAsia" w:ascii="宋体" w:hAnsi="宋体" w:cs="宋体"/>
          <w:i w:val="0"/>
          <w:iCs w:val="0"/>
          <w:caps w:val="0"/>
          <w:color w:val="000000"/>
          <w:spacing w:val="0"/>
          <w:kern w:val="0"/>
          <w:sz w:val="21"/>
          <w:szCs w:val="21"/>
          <w:highlight w:val="yellow"/>
          <w:lang w:val="en-US" w:eastAsia="zh-CN" w:bidi="ar"/>
        </w:rPr>
        <w:t>26</w:t>
      </w:r>
      <w:r>
        <w:rPr>
          <w:rFonts w:hint="eastAsia" w:ascii="宋体" w:hAnsi="宋体" w:eastAsia="宋体" w:cs="宋体"/>
          <w:i w:val="0"/>
          <w:iCs w:val="0"/>
          <w:caps w:val="0"/>
          <w:color w:val="000000"/>
          <w:spacing w:val="0"/>
          <w:kern w:val="0"/>
          <w:sz w:val="21"/>
          <w:szCs w:val="21"/>
          <w:highlight w:val="yellow"/>
          <w:lang w:val="en-US" w:eastAsia="zh-CN" w:bidi="ar"/>
        </w:rPr>
        <w:t>日 9:00</w:t>
      </w:r>
      <w:r>
        <w:rPr>
          <w:rFonts w:hint="eastAsia" w:ascii="宋体" w:hAnsi="宋体" w:eastAsia="宋体" w:cs="宋体"/>
          <w:i w:val="0"/>
          <w:iCs w:val="0"/>
          <w:caps w:val="0"/>
          <w:color w:val="000000"/>
          <w:spacing w:val="0"/>
          <w:kern w:val="0"/>
          <w:sz w:val="21"/>
          <w:szCs w:val="21"/>
          <w:lang w:val="en-US" w:eastAsia="zh-CN" w:bidi="ar"/>
        </w:rPr>
        <w:t>（北京时间）</w:t>
      </w:r>
    </w:p>
    <w:p w14:paraId="074BADB6">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2、提交投标文件地点：</w:t>
      </w:r>
      <w:r>
        <w:rPr>
          <w:rFonts w:hint="eastAsia" w:ascii="宋体" w:hAnsi="宋体" w:eastAsia="宋体" w:cs="宋体"/>
          <w:kern w:val="0"/>
          <w:szCs w:val="21"/>
          <w:lang w:eastAsia="zh-CN" w:bidi="ar"/>
        </w:rPr>
        <w:t>张家界市永定区子午路宏力大厦B702</w:t>
      </w:r>
    </w:p>
    <w:p w14:paraId="73E37C4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3、开标时间：</w:t>
      </w:r>
      <w:r>
        <w:rPr>
          <w:rFonts w:hint="eastAsia" w:ascii="宋体" w:hAnsi="宋体" w:eastAsia="宋体" w:cs="宋体"/>
          <w:i w:val="0"/>
          <w:iCs w:val="0"/>
          <w:caps w:val="0"/>
          <w:color w:val="000000"/>
          <w:spacing w:val="0"/>
          <w:kern w:val="0"/>
          <w:sz w:val="21"/>
          <w:szCs w:val="21"/>
          <w:highlight w:val="yellow"/>
          <w:lang w:val="en-US" w:eastAsia="zh-CN" w:bidi="ar"/>
        </w:rPr>
        <w:t>2026年</w:t>
      </w:r>
      <w:r>
        <w:rPr>
          <w:rFonts w:hint="eastAsia" w:ascii="宋体" w:hAnsi="宋体" w:cs="宋体"/>
          <w:i w:val="0"/>
          <w:iCs w:val="0"/>
          <w:caps w:val="0"/>
          <w:color w:val="000000"/>
          <w:spacing w:val="0"/>
          <w:kern w:val="0"/>
          <w:sz w:val="21"/>
          <w:szCs w:val="21"/>
          <w:highlight w:val="yellow"/>
          <w:lang w:val="en-US" w:eastAsia="zh-CN" w:bidi="ar"/>
        </w:rPr>
        <w:t>10</w:t>
      </w:r>
      <w:r>
        <w:rPr>
          <w:rFonts w:hint="eastAsia" w:ascii="宋体" w:hAnsi="宋体" w:eastAsia="宋体" w:cs="宋体"/>
          <w:i w:val="0"/>
          <w:iCs w:val="0"/>
          <w:caps w:val="0"/>
          <w:color w:val="000000"/>
          <w:spacing w:val="0"/>
          <w:kern w:val="0"/>
          <w:sz w:val="21"/>
          <w:szCs w:val="21"/>
          <w:highlight w:val="yellow"/>
          <w:lang w:val="en-US" w:eastAsia="zh-CN" w:bidi="ar"/>
        </w:rPr>
        <w:t>月</w:t>
      </w:r>
      <w:r>
        <w:rPr>
          <w:rFonts w:hint="eastAsia" w:ascii="宋体" w:hAnsi="宋体" w:cs="宋体"/>
          <w:i w:val="0"/>
          <w:iCs w:val="0"/>
          <w:caps w:val="0"/>
          <w:color w:val="000000"/>
          <w:spacing w:val="0"/>
          <w:kern w:val="0"/>
          <w:sz w:val="21"/>
          <w:szCs w:val="21"/>
          <w:highlight w:val="yellow"/>
          <w:lang w:val="en-US" w:eastAsia="zh-CN" w:bidi="ar"/>
        </w:rPr>
        <w:t>26</w:t>
      </w:r>
      <w:r>
        <w:rPr>
          <w:rFonts w:hint="eastAsia" w:ascii="宋体" w:hAnsi="宋体" w:eastAsia="宋体" w:cs="宋体"/>
          <w:i w:val="0"/>
          <w:iCs w:val="0"/>
          <w:caps w:val="0"/>
          <w:color w:val="000000"/>
          <w:spacing w:val="0"/>
          <w:kern w:val="0"/>
          <w:sz w:val="21"/>
          <w:szCs w:val="21"/>
          <w:highlight w:val="yellow"/>
          <w:lang w:val="en-US" w:eastAsia="zh-CN" w:bidi="ar"/>
        </w:rPr>
        <w:t>日 9:00</w:t>
      </w:r>
      <w:r>
        <w:rPr>
          <w:rFonts w:hint="eastAsia" w:ascii="宋体" w:hAnsi="宋体" w:eastAsia="宋体" w:cs="宋体"/>
          <w:i w:val="0"/>
          <w:iCs w:val="0"/>
          <w:caps w:val="0"/>
          <w:color w:val="000000"/>
          <w:spacing w:val="0"/>
          <w:kern w:val="0"/>
          <w:sz w:val="21"/>
          <w:szCs w:val="21"/>
          <w:lang w:val="en-US" w:eastAsia="zh-CN" w:bidi="ar"/>
        </w:rPr>
        <w:t>（北京时间）</w:t>
      </w:r>
    </w:p>
    <w:p w14:paraId="49D5FC0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4、开标地点：</w:t>
      </w:r>
      <w:r>
        <w:rPr>
          <w:rFonts w:hint="eastAsia" w:ascii="宋体" w:hAnsi="宋体" w:eastAsia="宋体" w:cs="宋体"/>
          <w:kern w:val="0"/>
          <w:szCs w:val="21"/>
          <w:lang w:eastAsia="zh-CN" w:bidi="ar"/>
        </w:rPr>
        <w:t>张家界市永定区子午路宏力大厦B702</w:t>
      </w:r>
    </w:p>
    <w:p w14:paraId="6AE60DFE">
      <w:pPr>
        <w:keepNext w:val="0"/>
        <w:keepLines w:val="0"/>
        <w:widowControl/>
        <w:suppressLineNumbers w:val="0"/>
        <w:pBdr>
          <w:top w:val="none" w:color="auto" w:sz="0" w:space="0"/>
          <w:left w:val="none" w:color="auto" w:sz="0" w:space="0"/>
          <w:bottom w:val="none" w:color="auto" w:sz="0" w:space="0"/>
          <w:right w:val="none" w:color="auto" w:sz="0" w:space="0"/>
        </w:pBdr>
        <w:spacing w:before="150" w:beforeLines="0" w:beforeAutospacing="0" w:after="0" w:afterLines="0" w:afterAutospacing="0" w:line="240" w:lineRule="auto"/>
        <w:ind w:left="0" w:right="0" w:firstLine="420"/>
        <w:jc w:val="left"/>
        <w:outlineLvl w:val="2"/>
        <w:rPr>
          <w:rFonts w:hint="eastAsia" w:ascii="宋体" w:hAnsi="宋体" w:eastAsia="宋体" w:cs="宋体"/>
          <w:b/>
          <w:bCs/>
          <w:kern w:val="2"/>
          <w:sz w:val="21"/>
          <w:szCs w:val="21"/>
          <w:lang w:val="en-US" w:eastAsia="zh-CN" w:bidi="ar-SA"/>
        </w:rPr>
      </w:pPr>
      <w:bookmarkStart w:id="8" w:name="_Toc22742"/>
      <w:r>
        <w:rPr>
          <w:rFonts w:hint="eastAsia" w:ascii="宋体" w:hAnsi="宋体" w:eastAsia="宋体" w:cs="宋体"/>
          <w:b/>
          <w:bCs/>
          <w:i w:val="0"/>
          <w:iCs w:val="0"/>
          <w:caps w:val="0"/>
          <w:color w:val="000000"/>
          <w:spacing w:val="0"/>
          <w:kern w:val="2"/>
          <w:sz w:val="21"/>
          <w:szCs w:val="21"/>
          <w:lang w:val="en-US" w:eastAsia="zh-CN" w:bidi="ar-SA"/>
        </w:rPr>
        <w:t>七、公告期限</w:t>
      </w:r>
      <w:bookmarkEnd w:id="8"/>
    </w:p>
    <w:p w14:paraId="574E6DB3">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1、本招标公告在中国湖南政府采购网（www.ccgp-hunan.gov.cn）发布。公告期限从本招标公告发布之日起5个工作日。</w:t>
      </w:r>
    </w:p>
    <w:p w14:paraId="63C8EA92">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2、在其他媒体发布的招标公告，公告内容以本招标公告指定媒体发布的公告为准；公告期限自本招标公告指定媒体最先发布公告之日起算。</w:t>
      </w:r>
    </w:p>
    <w:p w14:paraId="0A501E3F">
      <w:pPr>
        <w:keepNext w:val="0"/>
        <w:keepLines w:val="0"/>
        <w:widowControl/>
        <w:suppressLineNumbers w:val="0"/>
        <w:pBdr>
          <w:top w:val="none" w:color="auto" w:sz="0" w:space="0"/>
          <w:left w:val="none" w:color="auto" w:sz="0" w:space="0"/>
          <w:bottom w:val="none" w:color="auto" w:sz="0" w:space="0"/>
          <w:right w:val="none" w:color="auto" w:sz="0" w:space="0"/>
        </w:pBdr>
        <w:spacing w:before="150" w:beforeLines="0" w:beforeAutospacing="0" w:after="0" w:afterLines="0" w:afterAutospacing="0" w:line="240" w:lineRule="auto"/>
        <w:ind w:left="0" w:right="0" w:firstLine="420"/>
        <w:jc w:val="left"/>
        <w:outlineLvl w:val="2"/>
        <w:rPr>
          <w:rFonts w:hint="eastAsia" w:ascii="宋体" w:hAnsi="宋体" w:eastAsia="宋体" w:cs="宋体"/>
          <w:b/>
          <w:bCs/>
          <w:kern w:val="2"/>
          <w:sz w:val="21"/>
          <w:szCs w:val="21"/>
          <w:lang w:val="en-US" w:eastAsia="zh-CN" w:bidi="ar-SA"/>
        </w:rPr>
      </w:pPr>
      <w:bookmarkStart w:id="9" w:name="_Toc13707"/>
      <w:r>
        <w:rPr>
          <w:rFonts w:hint="eastAsia" w:ascii="宋体" w:hAnsi="宋体" w:eastAsia="宋体" w:cs="宋体"/>
          <w:b/>
          <w:bCs/>
          <w:i w:val="0"/>
          <w:iCs w:val="0"/>
          <w:caps w:val="0"/>
          <w:color w:val="000000"/>
          <w:spacing w:val="0"/>
          <w:kern w:val="2"/>
          <w:sz w:val="21"/>
          <w:szCs w:val="21"/>
          <w:lang w:val="en-US" w:eastAsia="zh-CN" w:bidi="ar-SA"/>
        </w:rPr>
        <w:t>八、询问及质疑</w:t>
      </w:r>
      <w:bookmarkEnd w:id="9"/>
    </w:p>
    <w:p w14:paraId="5D2F6F4A">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1、投标人对政府采购活动事项如有疑问的，可以向采购人、采购代理机构提出询问。采购人、采购代理机构将在3个工作日内作出答复。</w:t>
      </w:r>
    </w:p>
    <w:p w14:paraId="039EDBCF">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4D0B41CE">
      <w:pPr>
        <w:keepNext w:val="0"/>
        <w:keepLines w:val="0"/>
        <w:widowControl/>
        <w:suppressLineNumbers w:val="0"/>
        <w:pBdr>
          <w:top w:val="none" w:color="auto" w:sz="0" w:space="0"/>
          <w:left w:val="none" w:color="auto" w:sz="0" w:space="0"/>
          <w:bottom w:val="none" w:color="auto" w:sz="0" w:space="0"/>
          <w:right w:val="none" w:color="auto" w:sz="0" w:space="0"/>
        </w:pBdr>
        <w:spacing w:before="150" w:beforeLines="0" w:beforeAutospacing="0" w:after="0" w:afterLines="0" w:afterAutospacing="0" w:line="240" w:lineRule="auto"/>
        <w:ind w:left="0" w:right="0" w:firstLine="420"/>
        <w:jc w:val="left"/>
        <w:outlineLvl w:val="2"/>
        <w:rPr>
          <w:rFonts w:hint="eastAsia" w:ascii="宋体" w:hAnsi="宋体" w:eastAsia="宋体" w:cs="宋体"/>
          <w:b/>
          <w:bCs/>
          <w:kern w:val="2"/>
          <w:sz w:val="21"/>
          <w:szCs w:val="21"/>
          <w:lang w:val="en-US" w:eastAsia="zh-CN" w:bidi="ar-SA"/>
        </w:rPr>
      </w:pPr>
      <w:bookmarkStart w:id="10" w:name="_Toc32159"/>
      <w:r>
        <w:rPr>
          <w:rFonts w:hint="eastAsia" w:ascii="宋体" w:hAnsi="宋体" w:eastAsia="宋体" w:cs="宋体"/>
          <w:b/>
          <w:bCs/>
          <w:i w:val="0"/>
          <w:iCs w:val="0"/>
          <w:caps w:val="0"/>
          <w:color w:val="000000"/>
          <w:spacing w:val="0"/>
          <w:kern w:val="2"/>
          <w:sz w:val="21"/>
          <w:szCs w:val="21"/>
          <w:lang w:val="en-US" w:eastAsia="zh-CN" w:bidi="ar-SA"/>
        </w:rPr>
        <w:t>九、投标说明</w:t>
      </w:r>
      <w:bookmarkEnd w:id="10"/>
    </w:p>
    <w:p w14:paraId="477866D8">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1、本公告选项：</w:t>
      </w:r>
      <w:r>
        <w:rPr>
          <w:rFonts w:hint="eastAsia" w:ascii="宋体" w:hAnsi="宋体" w:eastAsia="宋体" w:cs="宋体"/>
          <w:i w:val="0"/>
          <w:iCs w:val="0"/>
          <w:caps w:val="0"/>
          <w:color w:val="000000"/>
          <w:spacing w:val="0"/>
          <w:kern w:val="0"/>
          <w:sz w:val="21"/>
          <w:szCs w:val="21"/>
          <w:lang w:val="en-US" w:eastAsia="zh-CN" w:bidi="ar"/>
        </w:rPr>
        <w:sym w:font="Wingdings" w:char="00FE"/>
      </w:r>
      <w:r>
        <w:rPr>
          <w:rFonts w:hint="eastAsia" w:ascii="宋体" w:hAnsi="宋体" w:eastAsia="宋体" w:cs="宋体"/>
          <w:i w:val="0"/>
          <w:iCs w:val="0"/>
          <w:caps w:val="0"/>
          <w:color w:val="000000"/>
          <w:spacing w:val="0"/>
          <w:kern w:val="0"/>
          <w:sz w:val="21"/>
          <w:szCs w:val="21"/>
          <w:lang w:val="en-US" w:eastAsia="zh-CN" w:bidi="ar"/>
        </w:rPr>
        <w:t>表示选择，</w:t>
      </w: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表示未选择。</w:t>
      </w:r>
    </w:p>
    <w:p w14:paraId="351A518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2、投标人参与政府采购活动，无需向采购人、代理机构、交易平台缴纳任何费用。</w:t>
      </w:r>
    </w:p>
    <w:p w14:paraId="3213FD44">
      <w:pPr>
        <w:keepNext w:val="0"/>
        <w:keepLines w:val="0"/>
        <w:widowControl/>
        <w:suppressLineNumbers w:val="0"/>
        <w:pBdr>
          <w:top w:val="none" w:color="auto" w:sz="0" w:space="0"/>
          <w:left w:val="none" w:color="auto" w:sz="0" w:space="0"/>
          <w:bottom w:val="none" w:color="auto" w:sz="0" w:space="0"/>
          <w:right w:val="none" w:color="auto" w:sz="0" w:space="0"/>
        </w:pBdr>
        <w:spacing w:before="150" w:beforeLines="0" w:beforeAutospacing="0" w:after="0" w:afterLines="0" w:afterAutospacing="0" w:line="240" w:lineRule="auto"/>
        <w:ind w:left="0" w:right="0" w:firstLine="420"/>
        <w:jc w:val="left"/>
        <w:outlineLvl w:val="2"/>
        <w:rPr>
          <w:rFonts w:hint="eastAsia" w:ascii="宋体" w:hAnsi="宋体" w:eastAsia="宋体" w:cs="宋体"/>
          <w:b/>
          <w:bCs/>
          <w:kern w:val="2"/>
          <w:sz w:val="21"/>
          <w:szCs w:val="21"/>
          <w:lang w:val="en-US" w:eastAsia="zh-CN" w:bidi="ar-SA"/>
        </w:rPr>
      </w:pPr>
      <w:bookmarkStart w:id="11" w:name="_Toc30586"/>
      <w:r>
        <w:rPr>
          <w:rFonts w:hint="eastAsia" w:ascii="宋体" w:hAnsi="宋体" w:eastAsia="宋体" w:cs="宋体"/>
          <w:b/>
          <w:bCs/>
          <w:i w:val="0"/>
          <w:iCs w:val="0"/>
          <w:caps w:val="0"/>
          <w:color w:val="000000"/>
          <w:spacing w:val="0"/>
          <w:kern w:val="2"/>
          <w:sz w:val="21"/>
          <w:szCs w:val="21"/>
          <w:lang w:val="en-US" w:eastAsia="zh-CN" w:bidi="ar-SA"/>
        </w:rPr>
        <w:t>十、采购项目联系人姓名和电话</w:t>
      </w:r>
      <w:bookmarkEnd w:id="11"/>
    </w:p>
    <w:p w14:paraId="6C5B1652">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default" w:ascii="宋体" w:hAnsi="宋体" w:eastAsia="宋体" w:cs="宋体"/>
          <w:i w:val="0"/>
          <w:iCs w:val="0"/>
          <w:caps w:val="0"/>
          <w:color w:val="000000"/>
          <w:spacing w:val="0"/>
          <w:sz w:val="21"/>
          <w:szCs w:val="21"/>
          <w:lang w:val="en-US"/>
        </w:rPr>
      </w:pPr>
      <w:r>
        <w:rPr>
          <w:rFonts w:hint="eastAsia" w:ascii="宋体" w:hAnsi="宋体" w:eastAsia="宋体" w:cs="宋体"/>
          <w:i w:val="0"/>
          <w:iCs w:val="0"/>
          <w:caps w:val="0"/>
          <w:color w:val="000000"/>
          <w:spacing w:val="0"/>
          <w:kern w:val="0"/>
          <w:sz w:val="21"/>
          <w:szCs w:val="21"/>
          <w:lang w:val="en-US" w:eastAsia="zh-CN" w:bidi="ar"/>
        </w:rPr>
        <w:t>1、联系人姓名：王慎之</w:t>
      </w:r>
    </w:p>
    <w:p w14:paraId="0D280FB6">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default" w:ascii="宋体" w:hAnsi="宋体" w:eastAsia="宋体" w:cs="宋体"/>
          <w:i w:val="0"/>
          <w:iCs w:val="0"/>
          <w:caps w:val="0"/>
          <w:color w:val="000000"/>
          <w:spacing w:val="0"/>
          <w:sz w:val="21"/>
          <w:szCs w:val="21"/>
          <w:lang w:val="en-US"/>
        </w:rPr>
      </w:pPr>
      <w:r>
        <w:rPr>
          <w:rFonts w:hint="eastAsia" w:ascii="宋体" w:hAnsi="宋体" w:eastAsia="宋体" w:cs="宋体"/>
          <w:i w:val="0"/>
          <w:iCs w:val="0"/>
          <w:caps w:val="0"/>
          <w:color w:val="000000"/>
          <w:spacing w:val="0"/>
          <w:kern w:val="0"/>
          <w:sz w:val="21"/>
          <w:szCs w:val="21"/>
          <w:lang w:val="en-US" w:eastAsia="zh-CN" w:bidi="ar"/>
        </w:rPr>
        <w:t>2、电话：18570441098</w:t>
      </w:r>
    </w:p>
    <w:p w14:paraId="2E8A7AD1">
      <w:pPr>
        <w:keepNext w:val="0"/>
        <w:keepLines w:val="0"/>
        <w:widowControl/>
        <w:suppressLineNumbers w:val="0"/>
        <w:pBdr>
          <w:top w:val="none" w:color="auto" w:sz="0" w:space="0"/>
          <w:left w:val="none" w:color="auto" w:sz="0" w:space="0"/>
          <w:bottom w:val="none" w:color="auto" w:sz="0" w:space="0"/>
          <w:right w:val="none" w:color="auto" w:sz="0" w:space="0"/>
        </w:pBdr>
        <w:spacing w:before="150" w:beforeLines="0" w:beforeAutospacing="0" w:after="0" w:afterLines="0" w:afterAutospacing="0" w:line="240" w:lineRule="auto"/>
        <w:ind w:left="0" w:right="0" w:firstLine="420"/>
        <w:jc w:val="left"/>
        <w:outlineLvl w:val="2"/>
        <w:rPr>
          <w:rFonts w:hint="eastAsia" w:ascii="宋体" w:hAnsi="宋体" w:eastAsia="宋体" w:cs="宋体"/>
          <w:b/>
          <w:bCs/>
          <w:kern w:val="2"/>
          <w:sz w:val="21"/>
          <w:szCs w:val="21"/>
          <w:lang w:val="en-US" w:eastAsia="zh-CN" w:bidi="ar-SA"/>
        </w:rPr>
      </w:pPr>
      <w:bookmarkStart w:id="12" w:name="_Toc3480"/>
      <w:r>
        <w:rPr>
          <w:rFonts w:hint="eastAsia" w:ascii="宋体" w:hAnsi="宋体" w:eastAsia="宋体" w:cs="宋体"/>
          <w:b/>
          <w:bCs/>
          <w:i w:val="0"/>
          <w:iCs w:val="0"/>
          <w:caps w:val="0"/>
          <w:color w:val="000000"/>
          <w:spacing w:val="0"/>
          <w:kern w:val="2"/>
          <w:sz w:val="21"/>
          <w:szCs w:val="21"/>
          <w:lang w:val="en-US" w:eastAsia="zh-CN" w:bidi="ar-SA"/>
        </w:rPr>
        <w:t>十一、采购人、采购代理机构的名称、地址和联系方法</w:t>
      </w:r>
      <w:bookmarkEnd w:id="12"/>
    </w:p>
    <w:p w14:paraId="048FB2C3">
      <w:pPr>
        <w:keepNext w:val="0"/>
        <w:keepLines w:val="0"/>
        <w:widowControl/>
        <w:suppressLineNumbers w:val="0"/>
        <w:pBdr>
          <w:top w:val="none" w:color="auto" w:sz="0" w:space="0"/>
          <w:left w:val="none" w:color="auto" w:sz="0" w:space="0"/>
          <w:bottom w:val="none" w:color="auto" w:sz="0" w:space="0"/>
          <w:right w:val="none" w:color="auto" w:sz="0" w:space="0"/>
        </w:pBdr>
        <w:spacing w:before="150" w:beforeLines="0" w:beforeAutospacing="0" w:after="0" w:afterLines="0" w:afterAutospacing="0" w:line="240" w:lineRule="auto"/>
        <w:ind w:left="0" w:right="0" w:firstLine="420"/>
        <w:jc w:val="left"/>
        <w:outlineLvl w:val="2"/>
        <w:rPr>
          <w:rFonts w:hint="eastAsia" w:ascii="宋体" w:hAnsi="宋体" w:eastAsia="宋体" w:cs="宋体"/>
          <w:b/>
          <w:bCs/>
          <w:kern w:val="2"/>
          <w:sz w:val="21"/>
          <w:szCs w:val="21"/>
          <w:lang w:val="en-US" w:eastAsia="zh-CN" w:bidi="ar-SA"/>
        </w:rPr>
      </w:pPr>
      <w:bookmarkStart w:id="13" w:name="_Toc4703"/>
      <w:r>
        <w:rPr>
          <w:rFonts w:hint="eastAsia" w:ascii="宋体" w:hAnsi="宋体" w:eastAsia="宋体" w:cs="宋体"/>
          <w:b/>
          <w:bCs/>
          <w:i w:val="0"/>
          <w:iCs w:val="0"/>
          <w:caps w:val="0"/>
          <w:color w:val="000000"/>
          <w:spacing w:val="0"/>
          <w:kern w:val="2"/>
          <w:sz w:val="21"/>
          <w:szCs w:val="21"/>
          <w:lang w:val="en-US" w:eastAsia="zh-CN" w:bidi="ar-SA"/>
        </w:rPr>
        <w:t>1、采购人信息</w:t>
      </w:r>
      <w:bookmarkEnd w:id="13"/>
    </w:p>
    <w:p w14:paraId="3A1532A1">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（1）名 称：</w:t>
      </w:r>
      <w:r>
        <w:rPr>
          <w:rFonts w:hint="eastAsia" w:ascii="宋体" w:hAnsi="宋体" w:cs="宋体"/>
          <w:i w:val="0"/>
          <w:iCs w:val="0"/>
          <w:caps w:val="0"/>
          <w:color w:val="000000"/>
          <w:spacing w:val="0"/>
          <w:kern w:val="0"/>
          <w:sz w:val="21"/>
          <w:szCs w:val="21"/>
          <w:lang w:val="en-US" w:eastAsia="zh-CN" w:bidi="ar"/>
        </w:rPr>
        <w:t>张家界市永定区农村供水总站</w:t>
      </w:r>
    </w:p>
    <w:p w14:paraId="19BCD5E8">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default" w:ascii="宋体" w:hAnsi="宋体" w:eastAsia="宋体" w:cs="宋体"/>
          <w:i w:val="0"/>
          <w:iCs w:val="0"/>
          <w:caps w:val="0"/>
          <w:color w:val="000000"/>
          <w:spacing w:val="0"/>
          <w:sz w:val="21"/>
          <w:szCs w:val="21"/>
          <w:lang w:val="en-US"/>
        </w:rPr>
      </w:pPr>
      <w:r>
        <w:rPr>
          <w:rFonts w:hint="eastAsia" w:ascii="宋体" w:hAnsi="宋体" w:eastAsia="宋体" w:cs="宋体"/>
          <w:i w:val="0"/>
          <w:iCs w:val="0"/>
          <w:caps w:val="0"/>
          <w:color w:val="000000"/>
          <w:spacing w:val="0"/>
          <w:kern w:val="0"/>
          <w:sz w:val="21"/>
          <w:szCs w:val="21"/>
          <w:lang w:val="en-US" w:eastAsia="zh-CN" w:bidi="ar"/>
        </w:rPr>
        <w:t>（2）地 址：</w:t>
      </w:r>
      <w:r>
        <w:rPr>
          <w:rFonts w:hint="eastAsia" w:ascii="宋体" w:hAnsi="宋体" w:cs="宋体"/>
          <w:i w:val="0"/>
          <w:iCs w:val="0"/>
          <w:caps w:val="0"/>
          <w:color w:val="000000"/>
          <w:spacing w:val="0"/>
          <w:kern w:val="0"/>
          <w:sz w:val="21"/>
          <w:szCs w:val="21"/>
          <w:lang w:val="en-US" w:eastAsia="zh-CN" w:bidi="ar"/>
        </w:rPr>
        <w:t>湖南省张家界市永定区古庸路111号</w:t>
      </w:r>
    </w:p>
    <w:p w14:paraId="1789D9E8">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default" w:ascii="宋体" w:hAnsi="宋体" w:eastAsia="宋体" w:cs="宋体"/>
          <w:i w:val="0"/>
          <w:iCs w:val="0"/>
          <w:caps w:val="0"/>
          <w:color w:val="auto"/>
          <w:spacing w:val="0"/>
          <w:sz w:val="21"/>
          <w:szCs w:val="21"/>
          <w:lang w:val="en-US"/>
        </w:rPr>
      </w:pPr>
      <w:r>
        <w:rPr>
          <w:rFonts w:hint="eastAsia" w:ascii="宋体" w:hAnsi="宋体" w:eastAsia="宋体" w:cs="宋体"/>
          <w:i w:val="0"/>
          <w:iCs w:val="0"/>
          <w:caps w:val="0"/>
          <w:color w:val="auto"/>
          <w:spacing w:val="0"/>
          <w:kern w:val="0"/>
          <w:sz w:val="21"/>
          <w:szCs w:val="21"/>
          <w:lang w:val="en-US" w:eastAsia="zh-CN" w:bidi="ar"/>
        </w:rPr>
        <w:t>（3）联系人：</w:t>
      </w:r>
      <w:r>
        <w:rPr>
          <w:rFonts w:hint="eastAsia" w:ascii="宋体" w:hAnsi="宋体" w:cs="宋体"/>
          <w:i w:val="0"/>
          <w:iCs w:val="0"/>
          <w:caps w:val="0"/>
          <w:color w:val="auto"/>
          <w:spacing w:val="0"/>
          <w:kern w:val="0"/>
          <w:sz w:val="21"/>
          <w:szCs w:val="21"/>
          <w:lang w:val="en-US" w:eastAsia="zh-CN" w:bidi="ar"/>
        </w:rPr>
        <w:t>张杨</w:t>
      </w:r>
    </w:p>
    <w:p w14:paraId="2F2FA534">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default" w:ascii="宋体" w:hAnsi="宋体" w:eastAsia="宋体" w:cs="宋体"/>
          <w:i w:val="0"/>
          <w:iCs w:val="0"/>
          <w:caps w:val="0"/>
          <w:color w:val="auto"/>
          <w:spacing w:val="0"/>
          <w:sz w:val="21"/>
          <w:szCs w:val="21"/>
          <w:lang w:val="en-US"/>
        </w:rPr>
      </w:pPr>
      <w:r>
        <w:rPr>
          <w:rFonts w:hint="eastAsia" w:ascii="宋体" w:hAnsi="宋体" w:eastAsia="宋体" w:cs="宋体"/>
          <w:i w:val="0"/>
          <w:iCs w:val="0"/>
          <w:caps w:val="0"/>
          <w:color w:val="auto"/>
          <w:spacing w:val="0"/>
          <w:kern w:val="0"/>
          <w:sz w:val="21"/>
          <w:szCs w:val="21"/>
          <w:lang w:val="en-US" w:eastAsia="zh-CN" w:bidi="ar"/>
        </w:rPr>
        <w:t>（4）邮 编：427000</w:t>
      </w:r>
    </w:p>
    <w:p w14:paraId="196F2CB7">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default" w:ascii="宋体" w:hAnsi="宋体" w:eastAsia="宋体" w:cs="宋体"/>
          <w:i w:val="0"/>
          <w:iCs w:val="0"/>
          <w:caps w:val="0"/>
          <w:color w:val="auto"/>
          <w:spacing w:val="0"/>
          <w:sz w:val="21"/>
          <w:szCs w:val="21"/>
          <w:lang w:val="en-US"/>
        </w:rPr>
      </w:pPr>
      <w:r>
        <w:rPr>
          <w:rFonts w:hint="eastAsia" w:ascii="宋体" w:hAnsi="宋体" w:eastAsia="宋体" w:cs="宋体"/>
          <w:i w:val="0"/>
          <w:iCs w:val="0"/>
          <w:caps w:val="0"/>
          <w:color w:val="auto"/>
          <w:spacing w:val="0"/>
          <w:kern w:val="0"/>
          <w:sz w:val="21"/>
          <w:szCs w:val="21"/>
          <w:lang w:val="en-US" w:eastAsia="zh-CN" w:bidi="ar"/>
        </w:rPr>
        <w:t>（5）电 话：</w:t>
      </w:r>
      <w:r>
        <w:rPr>
          <w:rFonts w:hint="eastAsia" w:ascii="宋体" w:hAnsi="宋体" w:cs="宋体"/>
          <w:color w:val="auto"/>
          <w:kern w:val="0"/>
          <w:szCs w:val="21"/>
          <w:lang w:val="en-US" w:eastAsia="zh-CN" w:bidi="ar"/>
        </w:rPr>
        <w:t xml:space="preserve"> 18507445779</w:t>
      </w:r>
    </w:p>
    <w:p w14:paraId="26F0E0DF">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（6）电子邮箱：/</w:t>
      </w:r>
    </w:p>
    <w:p w14:paraId="477F397B">
      <w:pPr>
        <w:keepNext w:val="0"/>
        <w:keepLines w:val="0"/>
        <w:widowControl/>
        <w:suppressLineNumbers w:val="0"/>
        <w:pBdr>
          <w:top w:val="none" w:color="auto" w:sz="0" w:space="0"/>
          <w:left w:val="none" w:color="auto" w:sz="0" w:space="0"/>
          <w:bottom w:val="none" w:color="auto" w:sz="0" w:space="0"/>
          <w:right w:val="none" w:color="auto" w:sz="0" w:space="0"/>
        </w:pBdr>
        <w:spacing w:before="150" w:beforeLines="0" w:beforeAutospacing="0" w:after="0" w:afterLines="0" w:afterAutospacing="0" w:line="240" w:lineRule="auto"/>
        <w:ind w:left="0" w:right="0" w:firstLine="420"/>
        <w:jc w:val="left"/>
        <w:outlineLvl w:val="2"/>
        <w:rPr>
          <w:rFonts w:hint="eastAsia" w:ascii="宋体" w:hAnsi="宋体" w:eastAsia="宋体" w:cs="宋体"/>
          <w:b/>
          <w:bCs/>
          <w:kern w:val="2"/>
          <w:sz w:val="21"/>
          <w:szCs w:val="21"/>
          <w:lang w:val="en-US" w:eastAsia="zh-CN" w:bidi="ar-SA"/>
        </w:rPr>
      </w:pPr>
      <w:bookmarkStart w:id="14" w:name="_Toc30735"/>
      <w:r>
        <w:rPr>
          <w:rFonts w:hint="eastAsia" w:ascii="宋体" w:hAnsi="宋体" w:eastAsia="宋体" w:cs="宋体"/>
          <w:b/>
          <w:bCs/>
          <w:i w:val="0"/>
          <w:iCs w:val="0"/>
          <w:caps w:val="0"/>
          <w:color w:val="000000"/>
          <w:spacing w:val="0"/>
          <w:kern w:val="2"/>
          <w:sz w:val="21"/>
          <w:szCs w:val="21"/>
          <w:lang w:val="en-US" w:eastAsia="zh-CN" w:bidi="ar-SA"/>
        </w:rPr>
        <w:t>2、采购代理机构信息</w:t>
      </w:r>
      <w:bookmarkEnd w:id="14"/>
    </w:p>
    <w:p w14:paraId="24BAD423">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default" w:ascii="宋体" w:hAnsi="宋体" w:eastAsia="宋体" w:cs="宋体"/>
          <w:i w:val="0"/>
          <w:iCs w:val="0"/>
          <w:caps w:val="0"/>
          <w:color w:val="000000"/>
          <w:spacing w:val="0"/>
          <w:sz w:val="21"/>
          <w:szCs w:val="21"/>
          <w:lang w:val="en-US"/>
        </w:rPr>
      </w:pPr>
      <w:r>
        <w:rPr>
          <w:rFonts w:hint="eastAsia" w:ascii="宋体" w:hAnsi="宋体" w:eastAsia="宋体" w:cs="宋体"/>
          <w:i w:val="0"/>
          <w:iCs w:val="0"/>
          <w:caps w:val="0"/>
          <w:color w:val="000000"/>
          <w:spacing w:val="0"/>
          <w:kern w:val="0"/>
          <w:sz w:val="21"/>
          <w:szCs w:val="21"/>
          <w:lang w:val="en-US" w:eastAsia="zh-CN" w:bidi="ar"/>
        </w:rPr>
        <w:t>（1）名 称：中技建设咨询有限公司</w:t>
      </w:r>
    </w:p>
    <w:p w14:paraId="3B26C7CF">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（2）地 址：张家界市永定区子午路宏力大厦B702（本项目联系地址）</w:t>
      </w:r>
    </w:p>
    <w:p w14:paraId="7091CE88">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default" w:ascii="宋体" w:hAnsi="宋体" w:eastAsia="宋体" w:cs="宋体"/>
          <w:i w:val="0"/>
          <w:iCs w:val="0"/>
          <w:caps w:val="0"/>
          <w:color w:val="000000"/>
          <w:spacing w:val="0"/>
          <w:sz w:val="21"/>
          <w:szCs w:val="21"/>
          <w:lang w:val="en-US"/>
        </w:rPr>
      </w:pPr>
      <w:r>
        <w:rPr>
          <w:rFonts w:hint="eastAsia" w:ascii="宋体" w:hAnsi="宋体" w:eastAsia="宋体" w:cs="宋体"/>
          <w:i w:val="0"/>
          <w:iCs w:val="0"/>
          <w:caps w:val="0"/>
          <w:color w:val="000000"/>
          <w:spacing w:val="0"/>
          <w:kern w:val="0"/>
          <w:sz w:val="21"/>
          <w:szCs w:val="21"/>
          <w:lang w:val="en-US" w:eastAsia="zh-CN" w:bidi="ar"/>
        </w:rPr>
        <w:t>（3）联系人：王先生</w:t>
      </w:r>
    </w:p>
    <w:p w14:paraId="494A9459">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（4）邮 编：427000</w:t>
      </w:r>
    </w:p>
    <w:p w14:paraId="408AC468">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（5）电 话：18570441098</w:t>
      </w:r>
    </w:p>
    <w:p w14:paraId="5A75F7F5">
      <w:pPr>
        <w:widowControl w:val="0"/>
        <w:ind w:firstLine="420" w:firstLineChars="200"/>
        <w:jc w:val="both"/>
        <w:outlineLvl w:val="0"/>
        <w:rPr>
          <w:rFonts w:hint="default" w:ascii="宋体" w:hAnsi="宋体" w:eastAsia="宋体" w:cs="宋体"/>
          <w:i w:val="0"/>
          <w:iCs w:val="0"/>
          <w:caps w:val="0"/>
          <w:color w:val="000000"/>
          <w:spacing w:val="0"/>
          <w:kern w:val="0"/>
          <w:sz w:val="21"/>
          <w:szCs w:val="21"/>
          <w:lang w:val="en-US" w:eastAsia="zh-CN" w:bidi="ar"/>
        </w:rPr>
      </w:pPr>
      <w:bookmarkStart w:id="15" w:name="_Toc20128"/>
      <w:r>
        <w:rPr>
          <w:rFonts w:hint="eastAsia" w:ascii="宋体" w:hAnsi="宋体" w:eastAsia="宋体" w:cs="宋体"/>
          <w:i w:val="0"/>
          <w:iCs w:val="0"/>
          <w:caps w:val="0"/>
          <w:color w:val="000000"/>
          <w:spacing w:val="0"/>
          <w:kern w:val="0"/>
          <w:sz w:val="21"/>
          <w:szCs w:val="21"/>
          <w:lang w:val="en-US" w:eastAsia="zh-CN" w:bidi="ar"/>
        </w:rPr>
        <w:t>（6）电子邮箱：hnzjzjjfgs@163.com</w:t>
      </w:r>
      <w:bookmarkEnd w:id="15"/>
    </w:p>
    <w:p w14:paraId="78A1B9BE">
      <w:pPr>
        <w:pStyle w:val="26"/>
        <w:spacing w:line="440" w:lineRule="atLeast"/>
        <w:rPr>
          <w:rFonts w:ascii="新宋体" w:hAnsi="新宋体" w:eastAsia="新宋体" w:cs="新宋体"/>
          <w:color w:val="000000"/>
        </w:rPr>
      </w:pPr>
    </w:p>
    <w:p w14:paraId="3D6C0AB6">
      <w:pPr>
        <w:widowControl/>
        <w:jc w:val="left"/>
        <w:rPr>
          <w:rFonts w:ascii="新宋体" w:hAnsi="新宋体" w:eastAsia="新宋体" w:cs="新宋体"/>
          <w:color w:val="000000"/>
          <w:szCs w:val="21"/>
        </w:rPr>
      </w:pPr>
      <w:r>
        <w:rPr>
          <w:rFonts w:ascii="新宋体" w:hAnsi="新宋体" w:eastAsia="新宋体" w:cs="新宋体"/>
          <w:color w:val="000000"/>
        </w:rPr>
        <w:br w:type="page"/>
      </w:r>
    </w:p>
    <w:p w14:paraId="09842271">
      <w:pPr>
        <w:pStyle w:val="5"/>
        <w:rPr>
          <w:rFonts w:eastAsia="黑体"/>
          <w:sz w:val="32"/>
          <w:szCs w:val="32"/>
        </w:rPr>
      </w:pPr>
      <w:bookmarkStart w:id="16" w:name="_Toc18686"/>
      <w:r>
        <w:rPr>
          <w:rFonts w:eastAsia="黑体"/>
          <w:sz w:val="32"/>
          <w:szCs w:val="32"/>
        </w:rPr>
        <w:t>第二章 磋商须知</w:t>
      </w:r>
      <w:bookmarkEnd w:id="16"/>
    </w:p>
    <w:p w14:paraId="1A0CF661">
      <w:pPr>
        <w:pStyle w:val="26"/>
        <w:jc w:val="center"/>
        <w:outlineLvl w:val="1"/>
        <w:rPr>
          <w:rFonts w:ascii="Times New Roman" w:hAnsi="Times New Roman" w:eastAsia="黑体"/>
          <w:b/>
          <w:sz w:val="24"/>
          <w:szCs w:val="24"/>
        </w:rPr>
      </w:pPr>
      <w:bookmarkStart w:id="17" w:name="_Toc24808"/>
      <w:r>
        <w:rPr>
          <w:rFonts w:hint="eastAsia" w:ascii="Times New Roman" w:hAnsi="Times New Roman" w:eastAsia="黑体"/>
          <w:b/>
          <w:sz w:val="24"/>
          <w:szCs w:val="24"/>
        </w:rPr>
        <w:t xml:space="preserve">第一节 </w:t>
      </w:r>
      <w:r>
        <w:rPr>
          <w:rFonts w:ascii="Times New Roman" w:hAnsi="Times New Roman" w:eastAsia="黑体"/>
          <w:b/>
          <w:sz w:val="24"/>
          <w:szCs w:val="24"/>
        </w:rPr>
        <w:t xml:space="preserve"> 磋商须知前附表</w:t>
      </w:r>
      <w:bookmarkEnd w:id="17"/>
    </w:p>
    <w:p w14:paraId="6DDE2BEE">
      <w:pPr>
        <w:pStyle w:val="26"/>
        <w:rPr>
          <w:rFonts w:ascii="Times New Roman" w:hAnsi="Times New Roman" w:eastAsia="仿宋"/>
        </w:rPr>
      </w:pPr>
      <w:r>
        <w:rPr>
          <w:rFonts w:ascii="Times New Roman" w:hAnsi="Times New Roman" w:eastAsia="仿宋"/>
        </w:rPr>
        <w:t>注： 请在方框□内划√选择，在“条款号”内限选一项。（本项目采用的条款用“</w:t>
      </w:r>
      <w:r>
        <w:rPr>
          <w:rFonts w:ascii="Segoe UI Symbol" w:hAnsi="Segoe UI Symbol" w:eastAsia="仿宋" w:cs="Segoe UI Symbol"/>
        </w:rPr>
        <w:t>☑</w:t>
      </w:r>
      <w:r>
        <w:rPr>
          <w:rFonts w:ascii="Times New Roman" w:hAnsi="Times New Roman" w:eastAsia="仿宋"/>
        </w:rPr>
        <w:t>”标示）</w:t>
      </w:r>
    </w:p>
    <w:tbl>
      <w:tblPr>
        <w:tblStyle w:val="46"/>
        <w:tblpPr w:leftFromText="180" w:rightFromText="180" w:vertAnchor="text" w:tblpXSpec="center" w:tblpY="1"/>
        <w:tblOverlap w:val="never"/>
        <w:tblW w:w="1035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58"/>
        <w:gridCol w:w="2112"/>
        <w:gridCol w:w="6483"/>
      </w:tblGrid>
      <w:tr w14:paraId="5D2BBB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2" w:hRule="atLeast"/>
          <w:tblHeader/>
          <w:jc w:val="center"/>
        </w:trPr>
        <w:tc>
          <w:tcPr>
            <w:tcW w:w="1758" w:type="dxa"/>
            <w:vAlign w:val="center"/>
          </w:tcPr>
          <w:p w14:paraId="73EC0D15">
            <w:pPr>
              <w:keepNext w:val="0"/>
              <w:keepLines w:val="0"/>
              <w:suppressLineNumbers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条款号</w:t>
            </w:r>
          </w:p>
        </w:tc>
        <w:tc>
          <w:tcPr>
            <w:tcW w:w="2112" w:type="dxa"/>
            <w:vAlign w:val="center"/>
          </w:tcPr>
          <w:p w14:paraId="76ED8EEA">
            <w:pPr>
              <w:keepNext w:val="0"/>
              <w:keepLines w:val="0"/>
              <w:suppressLineNumbers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条款名称</w:t>
            </w:r>
          </w:p>
        </w:tc>
        <w:tc>
          <w:tcPr>
            <w:tcW w:w="6483" w:type="dxa"/>
            <w:vAlign w:val="center"/>
          </w:tcPr>
          <w:p w14:paraId="788A4970">
            <w:pPr>
              <w:keepNext w:val="0"/>
              <w:keepLines w:val="0"/>
              <w:suppressLineNumbers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编列内容规定</w:t>
            </w:r>
          </w:p>
        </w:tc>
      </w:tr>
      <w:tr w14:paraId="27F445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10353" w:type="dxa"/>
            <w:gridSpan w:val="3"/>
            <w:vAlign w:val="center"/>
          </w:tcPr>
          <w:p w14:paraId="6C0FDB2F">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b/>
                <w:szCs w:val="21"/>
              </w:rPr>
              <w:t>一、说明</w:t>
            </w:r>
          </w:p>
        </w:tc>
      </w:tr>
      <w:tr w14:paraId="7F0250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758" w:type="dxa"/>
            <w:vAlign w:val="center"/>
          </w:tcPr>
          <w:p w14:paraId="25D21646">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第二章第1.1款</w:t>
            </w:r>
          </w:p>
        </w:tc>
        <w:tc>
          <w:tcPr>
            <w:tcW w:w="2112" w:type="dxa"/>
            <w:vAlign w:val="center"/>
          </w:tcPr>
          <w:p w14:paraId="1452C94E">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采购项目</w:t>
            </w:r>
          </w:p>
        </w:tc>
        <w:tc>
          <w:tcPr>
            <w:tcW w:w="6483" w:type="dxa"/>
            <w:vAlign w:val="center"/>
          </w:tcPr>
          <w:p w14:paraId="24162DE9">
            <w:pPr>
              <w:keepNext w:val="0"/>
              <w:keepLines w:val="0"/>
              <w:suppressLineNumbers w:val="0"/>
              <w:spacing w:before="0" w:beforeAutospacing="0" w:after="0" w:afterAutospacing="0"/>
              <w:ind w:left="0" w:right="0"/>
              <w:rPr>
                <w:rFonts w:hint="eastAsia" w:ascii="宋体" w:hAnsi="宋体" w:eastAsia="宋体" w:cs="宋体"/>
                <w:szCs w:val="21"/>
                <w:lang w:eastAsia="zh-CN"/>
              </w:rPr>
            </w:pPr>
            <w:r>
              <w:rPr>
                <w:rFonts w:hint="eastAsia"/>
                <w:szCs w:val="21"/>
                <w:lang w:eastAsia="zh-CN"/>
              </w:rPr>
              <w:t>永定区青安坪水厂胡家坡村管网延伸供水工程</w:t>
            </w:r>
          </w:p>
        </w:tc>
      </w:tr>
      <w:tr w14:paraId="7A9D06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7" w:hRule="atLeast"/>
          <w:jc w:val="center"/>
        </w:trPr>
        <w:tc>
          <w:tcPr>
            <w:tcW w:w="1758" w:type="dxa"/>
            <w:vAlign w:val="center"/>
          </w:tcPr>
          <w:p w14:paraId="04CA5DB9">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第二章第2.1款</w:t>
            </w:r>
          </w:p>
        </w:tc>
        <w:tc>
          <w:tcPr>
            <w:tcW w:w="2112" w:type="dxa"/>
            <w:vAlign w:val="center"/>
          </w:tcPr>
          <w:p w14:paraId="09A68E7A">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采购人</w:t>
            </w:r>
          </w:p>
        </w:tc>
        <w:tc>
          <w:tcPr>
            <w:tcW w:w="6483" w:type="dxa"/>
            <w:vAlign w:val="center"/>
          </w:tcPr>
          <w:p w14:paraId="0E65BB91">
            <w:pPr>
              <w:keepNext w:val="0"/>
              <w:keepLines w:val="0"/>
              <w:suppressLineNumbers w:val="0"/>
              <w:spacing w:before="0" w:beforeAutospacing="0" w:after="0" w:afterAutospacing="0"/>
              <w:ind w:left="0" w:right="0"/>
              <w:rPr>
                <w:rFonts w:hint="eastAsia" w:ascii="宋体" w:hAnsi="宋体" w:eastAsia="宋体" w:cs="宋体"/>
                <w:szCs w:val="21"/>
                <w:lang w:eastAsia="zh-CN"/>
              </w:rPr>
            </w:pPr>
            <w:r>
              <w:rPr>
                <w:rFonts w:hint="eastAsia" w:ascii="宋体" w:hAnsi="宋体" w:cs="宋体"/>
                <w:szCs w:val="21"/>
              </w:rPr>
              <w:t>采 购 人：</w:t>
            </w:r>
            <w:r>
              <w:rPr>
                <w:rFonts w:hint="eastAsia" w:ascii="宋体" w:hAnsi="宋体" w:cs="宋体"/>
                <w:szCs w:val="21"/>
                <w:u w:val="single"/>
                <w:lang w:eastAsia="zh-CN"/>
              </w:rPr>
              <w:t>张家界市永定区农村供水总站</w:t>
            </w:r>
          </w:p>
          <w:p w14:paraId="5C04BB45">
            <w:pPr>
              <w:keepNext w:val="0"/>
              <w:keepLines w:val="0"/>
              <w:suppressLineNumbers w:val="0"/>
              <w:spacing w:before="0" w:beforeAutospacing="0" w:after="0" w:afterAutospacing="0"/>
              <w:ind w:left="0" w:right="0"/>
              <w:rPr>
                <w:rFonts w:hint="eastAsia" w:ascii="宋体" w:hAnsi="宋体" w:eastAsia="宋体" w:cs="宋体"/>
                <w:szCs w:val="21"/>
                <w:lang w:eastAsia="zh-CN"/>
              </w:rPr>
            </w:pPr>
            <w:r>
              <w:rPr>
                <w:rFonts w:hint="eastAsia" w:ascii="宋体" w:hAnsi="宋体" w:cs="宋体"/>
                <w:szCs w:val="21"/>
              </w:rPr>
              <w:t>联 系 人：</w:t>
            </w:r>
            <w:r>
              <w:rPr>
                <w:rFonts w:hint="eastAsia" w:ascii="宋体" w:hAnsi="宋体" w:cs="宋体"/>
                <w:szCs w:val="21"/>
                <w:u w:val="single"/>
                <w:lang w:val="en-US" w:eastAsia="zh-CN"/>
              </w:rPr>
              <w:t>张杨</w:t>
            </w:r>
          </w:p>
          <w:p w14:paraId="212412A0">
            <w:pPr>
              <w:keepNext w:val="0"/>
              <w:keepLines w:val="0"/>
              <w:suppressLineNumbers w:val="0"/>
              <w:spacing w:before="0" w:beforeAutospacing="0" w:after="0" w:afterAutospacing="0"/>
              <w:ind w:left="0" w:right="0"/>
              <w:rPr>
                <w:rFonts w:hint="eastAsia" w:ascii="宋体" w:hAnsi="宋体" w:eastAsia="宋体" w:cs="宋体"/>
                <w:szCs w:val="21"/>
                <w:lang w:eastAsia="zh-CN"/>
              </w:rPr>
            </w:pPr>
            <w:r>
              <w:rPr>
                <w:rFonts w:hint="eastAsia" w:ascii="宋体" w:hAnsi="宋体" w:cs="宋体"/>
                <w:szCs w:val="21"/>
              </w:rPr>
              <w:t>电    话：</w:t>
            </w:r>
            <w:r>
              <w:rPr>
                <w:rFonts w:hint="eastAsia" w:ascii="宋体" w:hAnsi="宋体" w:cs="宋体"/>
                <w:szCs w:val="21"/>
                <w:u w:val="single"/>
                <w:lang w:val="en-US" w:eastAsia="zh-CN"/>
              </w:rPr>
              <w:t>18507445779</w:t>
            </w:r>
          </w:p>
          <w:p w14:paraId="0A2ACAF7">
            <w:pPr>
              <w:keepNext w:val="0"/>
              <w:keepLines w:val="0"/>
              <w:suppressLineNumbers w:val="0"/>
              <w:spacing w:before="0" w:beforeAutospacing="0" w:after="0" w:afterAutospacing="0"/>
              <w:ind w:left="0" w:right="0"/>
              <w:rPr>
                <w:rFonts w:hint="eastAsia" w:ascii="宋体" w:hAnsi="宋体" w:eastAsia="宋体" w:cs="宋体"/>
                <w:szCs w:val="21"/>
                <w:lang w:eastAsia="zh-CN"/>
              </w:rPr>
            </w:pPr>
            <w:r>
              <w:rPr>
                <w:rFonts w:hint="eastAsia" w:ascii="宋体" w:hAnsi="宋体" w:cs="宋体"/>
                <w:szCs w:val="21"/>
              </w:rPr>
              <w:t>地    址：</w:t>
            </w:r>
            <w:r>
              <w:rPr>
                <w:rFonts w:hint="eastAsia" w:ascii="宋体" w:hAnsi="宋体" w:cs="宋体"/>
                <w:szCs w:val="21"/>
                <w:u w:val="single"/>
                <w:lang w:eastAsia="zh-CN"/>
              </w:rPr>
              <w:t>湖南省张家界市永定区古庸路111号</w:t>
            </w:r>
          </w:p>
        </w:tc>
      </w:tr>
      <w:tr w14:paraId="747519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0" w:hRule="atLeast"/>
          <w:jc w:val="center"/>
        </w:trPr>
        <w:tc>
          <w:tcPr>
            <w:tcW w:w="1758" w:type="dxa"/>
            <w:vAlign w:val="center"/>
          </w:tcPr>
          <w:p w14:paraId="703D9AD1">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第二章第2.2款</w:t>
            </w:r>
          </w:p>
        </w:tc>
        <w:tc>
          <w:tcPr>
            <w:tcW w:w="2112" w:type="dxa"/>
            <w:vAlign w:val="center"/>
          </w:tcPr>
          <w:p w14:paraId="72BA1C9D">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采购代理机构</w:t>
            </w:r>
          </w:p>
        </w:tc>
        <w:tc>
          <w:tcPr>
            <w:tcW w:w="6483" w:type="dxa"/>
            <w:vAlign w:val="center"/>
          </w:tcPr>
          <w:p w14:paraId="4DDE62DD">
            <w:pPr>
              <w:keepNext w:val="0"/>
              <w:keepLines w:val="0"/>
              <w:suppressLineNumbers w:val="0"/>
              <w:spacing w:before="0" w:beforeAutospacing="0" w:after="0" w:afterAutospacing="0"/>
              <w:ind w:left="0" w:right="0"/>
              <w:rPr>
                <w:rFonts w:hint="default"/>
              </w:rPr>
            </w:pPr>
            <w:r>
              <w:rPr>
                <w:rFonts w:hint="eastAsia"/>
              </w:rPr>
              <w:t>采购代理机构：</w:t>
            </w:r>
            <w:r>
              <w:rPr>
                <w:rFonts w:hint="eastAsia"/>
                <w:u w:val="single"/>
              </w:rPr>
              <w:t>中技建设咨询有限公司</w:t>
            </w:r>
          </w:p>
          <w:p w14:paraId="2A3EC7E3">
            <w:pPr>
              <w:keepNext w:val="0"/>
              <w:keepLines w:val="0"/>
              <w:suppressLineNumbers w:val="0"/>
              <w:spacing w:before="0" w:beforeAutospacing="0" w:after="0" w:afterAutospacing="0"/>
              <w:ind w:left="0" w:right="0"/>
              <w:rPr>
                <w:rFonts w:hint="eastAsia" w:eastAsia="宋体"/>
                <w:lang w:eastAsia="zh-CN"/>
              </w:rPr>
            </w:pPr>
            <w:r>
              <w:rPr>
                <w:rFonts w:hint="eastAsia"/>
              </w:rPr>
              <w:t>联 系 人：</w:t>
            </w:r>
            <w:r>
              <w:rPr>
                <w:rFonts w:hint="eastAsia"/>
                <w:u w:val="single"/>
                <w:lang w:eastAsia="zh-CN"/>
              </w:rPr>
              <w:t>王慎之</w:t>
            </w:r>
          </w:p>
          <w:p w14:paraId="5EB14F43">
            <w:pPr>
              <w:keepNext w:val="0"/>
              <w:keepLines w:val="0"/>
              <w:suppressLineNumbers w:val="0"/>
              <w:spacing w:before="0" w:beforeAutospacing="0" w:after="0" w:afterAutospacing="0"/>
              <w:ind w:left="0" w:right="0"/>
              <w:rPr>
                <w:rFonts w:hint="default" w:eastAsia="宋体"/>
                <w:lang w:val="en-US" w:eastAsia="zh-CN"/>
              </w:rPr>
            </w:pPr>
            <w:r>
              <w:rPr>
                <w:rFonts w:hint="eastAsia"/>
              </w:rPr>
              <w:t>电    话：</w:t>
            </w:r>
            <w:r>
              <w:rPr>
                <w:rFonts w:hint="eastAsia" w:ascii="宋体" w:hAnsi="宋体" w:cs="宋体"/>
                <w:kern w:val="0"/>
                <w:szCs w:val="21"/>
                <w:u w:val="single"/>
                <w:lang w:val="en-US" w:eastAsia="zh-CN"/>
              </w:rPr>
              <w:t>18570441098</w:t>
            </w:r>
          </w:p>
          <w:p w14:paraId="2F7DA358">
            <w:pPr>
              <w:keepNext w:val="0"/>
              <w:keepLines w:val="0"/>
              <w:suppressLineNumbers w:val="0"/>
              <w:spacing w:before="0" w:beforeAutospacing="0" w:after="0" w:afterAutospacing="0"/>
              <w:ind w:left="0" w:right="0"/>
              <w:rPr>
                <w:rFonts w:hint="default"/>
              </w:rPr>
            </w:pPr>
            <w:r>
              <w:rPr>
                <w:rFonts w:hint="eastAsia"/>
              </w:rPr>
              <w:t>地    址：</w:t>
            </w:r>
            <w:r>
              <w:rPr>
                <w:rFonts w:hint="eastAsia" w:ascii="宋体" w:hAnsi="宋体" w:cs="宋体"/>
                <w:kern w:val="0"/>
                <w:szCs w:val="21"/>
                <w:u w:val="single"/>
              </w:rPr>
              <w:t>张家界市永定区子午路宏力大厦B702（本项目联系地址）</w:t>
            </w:r>
          </w:p>
        </w:tc>
      </w:tr>
      <w:tr w14:paraId="235FA2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 w:hRule="atLeast"/>
          <w:jc w:val="center"/>
        </w:trPr>
        <w:tc>
          <w:tcPr>
            <w:tcW w:w="1758" w:type="dxa"/>
            <w:vAlign w:val="center"/>
          </w:tcPr>
          <w:p w14:paraId="2E1F477A">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第二章第2.3款</w:t>
            </w:r>
          </w:p>
        </w:tc>
        <w:tc>
          <w:tcPr>
            <w:tcW w:w="2112" w:type="dxa"/>
            <w:vAlign w:val="center"/>
          </w:tcPr>
          <w:p w14:paraId="15B79FF3">
            <w:pPr>
              <w:keepNext w:val="0"/>
              <w:keepLines w:val="0"/>
              <w:suppressLineNumbers w:val="0"/>
              <w:spacing w:before="0" w:beforeAutospacing="0" w:after="0" w:afterAutospacing="0"/>
              <w:ind w:left="0" w:right="0"/>
              <w:rPr>
                <w:rFonts w:hint="default" w:ascii="宋体" w:hAnsi="宋体" w:cs="宋体"/>
                <w:bCs/>
                <w:szCs w:val="21"/>
              </w:rPr>
            </w:pPr>
            <w:r>
              <w:rPr>
                <w:rFonts w:hint="eastAsia" w:ascii="宋体" w:hAnsi="宋体" w:cs="宋体"/>
                <w:kern w:val="0"/>
                <w:szCs w:val="21"/>
              </w:rPr>
              <w:t>供应商的</w:t>
            </w:r>
            <w:r>
              <w:rPr>
                <w:rFonts w:hint="eastAsia" w:ascii="宋体" w:hAnsi="宋体" w:cs="宋体"/>
                <w:szCs w:val="21"/>
              </w:rPr>
              <w:t>邀请方式</w:t>
            </w:r>
          </w:p>
        </w:tc>
        <w:tc>
          <w:tcPr>
            <w:tcW w:w="6483" w:type="dxa"/>
            <w:vAlign w:val="center"/>
          </w:tcPr>
          <w:p w14:paraId="1240421F">
            <w:pPr>
              <w:keepNext w:val="0"/>
              <w:keepLines w:val="0"/>
              <w:suppressLineNumbers w:val="0"/>
              <w:spacing w:before="0" w:beforeAutospacing="0" w:after="0" w:afterAutospacing="0"/>
              <w:ind w:left="0" w:right="0"/>
              <w:rPr>
                <w:rFonts w:hint="default" w:ascii="宋体" w:hAnsi="宋体" w:cs="宋体"/>
                <w:szCs w:val="21"/>
              </w:rPr>
            </w:pPr>
            <w:r>
              <w:rPr>
                <w:rFonts w:hint="default" w:ascii="Segoe UI Symbol" w:hAnsi="Segoe UI Symbol" w:cs="Segoe UI Symbol"/>
                <w:szCs w:val="21"/>
              </w:rPr>
              <w:t>☑</w:t>
            </w:r>
            <w:r>
              <w:rPr>
                <w:rFonts w:hint="eastAsia" w:ascii="宋体" w:hAnsi="宋体" w:cs="宋体"/>
                <w:szCs w:val="21"/>
              </w:rPr>
              <w:t>发布公告</w:t>
            </w:r>
          </w:p>
          <w:p w14:paraId="06C4D32F">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□从省级以上财政部门建立的供应商库中随机抽取</w:t>
            </w:r>
          </w:p>
          <w:p w14:paraId="612954C9">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□采购人和评审专家分别书面推荐的方式</w:t>
            </w:r>
          </w:p>
        </w:tc>
      </w:tr>
      <w:tr w14:paraId="45BC14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14" w:hRule="atLeast"/>
          <w:jc w:val="center"/>
        </w:trPr>
        <w:tc>
          <w:tcPr>
            <w:tcW w:w="1758" w:type="dxa"/>
            <w:vAlign w:val="center"/>
          </w:tcPr>
          <w:p w14:paraId="398EF3D4">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第二章第3.1款</w:t>
            </w:r>
          </w:p>
          <w:p w14:paraId="4A485D0D">
            <w:pPr>
              <w:keepNext w:val="0"/>
              <w:keepLines w:val="0"/>
              <w:suppressLineNumbers w:val="0"/>
              <w:spacing w:before="0" w:beforeAutospacing="0" w:after="0" w:afterAutospacing="0"/>
              <w:ind w:left="0" w:right="0"/>
              <w:rPr>
                <w:rFonts w:hint="default" w:ascii="宋体" w:hAnsi="宋体" w:cs="宋体"/>
                <w:szCs w:val="21"/>
              </w:rPr>
            </w:pPr>
          </w:p>
        </w:tc>
        <w:tc>
          <w:tcPr>
            <w:tcW w:w="2112" w:type="dxa"/>
            <w:vAlign w:val="center"/>
          </w:tcPr>
          <w:p w14:paraId="5FCB5AAF">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bCs/>
                <w:szCs w:val="21"/>
              </w:rPr>
              <w:t>供应商</w:t>
            </w:r>
            <w:r>
              <w:rPr>
                <w:rFonts w:hint="eastAsia" w:ascii="宋体" w:hAnsi="宋体" w:cs="宋体"/>
                <w:szCs w:val="21"/>
              </w:rPr>
              <w:t>资格条件</w:t>
            </w:r>
          </w:p>
          <w:p w14:paraId="64748790">
            <w:pPr>
              <w:keepNext w:val="0"/>
              <w:keepLines w:val="0"/>
              <w:suppressLineNumbers w:val="0"/>
              <w:spacing w:before="0" w:beforeAutospacing="0" w:after="0" w:afterAutospacing="0"/>
              <w:ind w:left="0" w:right="0"/>
              <w:rPr>
                <w:rFonts w:hint="default" w:ascii="宋体" w:hAnsi="宋体" w:cs="宋体"/>
                <w:szCs w:val="21"/>
              </w:rPr>
            </w:pPr>
          </w:p>
        </w:tc>
        <w:tc>
          <w:tcPr>
            <w:tcW w:w="6483" w:type="dxa"/>
            <w:vAlign w:val="center"/>
          </w:tcPr>
          <w:p w14:paraId="693234B5">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1、投标人的基本资格条件：投标人必须是在中华人民共和国境内注册登记的法人、其他组织或者自然人，且应当符合《政府采购法》第二十二条第一款的规定。</w:t>
            </w:r>
          </w:p>
          <w:p w14:paraId="41556A80">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2、落实政府采购政策需满足的资格要求：</w:t>
            </w:r>
          </w:p>
          <w:p w14:paraId="1FDFEEA7">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sym w:font="Wingdings" w:char="00FE"/>
            </w:r>
            <w:r>
              <w:rPr>
                <w:rFonts w:hint="eastAsia" w:ascii="宋体" w:hAnsi="宋体" w:eastAsia="宋体" w:cs="宋体"/>
                <w:i w:val="0"/>
                <w:iCs w:val="0"/>
                <w:caps w:val="0"/>
                <w:color w:val="000000"/>
                <w:spacing w:val="0"/>
                <w:kern w:val="0"/>
                <w:sz w:val="21"/>
                <w:szCs w:val="21"/>
                <w:lang w:val="en-US" w:eastAsia="zh-CN" w:bidi="ar"/>
              </w:rPr>
              <w:t>专门面向：</w:t>
            </w:r>
            <w:r>
              <w:rPr>
                <w:rFonts w:hint="eastAsia" w:ascii="宋体" w:hAnsi="宋体" w:eastAsia="宋体" w:cs="宋体"/>
                <w:i w:val="0"/>
                <w:iCs w:val="0"/>
                <w:caps w:val="0"/>
                <w:color w:val="000000"/>
                <w:spacing w:val="0"/>
                <w:kern w:val="0"/>
                <w:sz w:val="21"/>
                <w:szCs w:val="21"/>
                <w:lang w:val="en-US" w:eastAsia="zh-CN" w:bidi="ar"/>
              </w:rPr>
              <w:sym w:font="Wingdings" w:char="00FE"/>
            </w:r>
            <w:r>
              <w:rPr>
                <w:rFonts w:hint="eastAsia" w:ascii="宋体" w:hAnsi="宋体" w:eastAsia="宋体" w:cs="宋体"/>
                <w:i w:val="0"/>
                <w:iCs w:val="0"/>
                <w:caps w:val="0"/>
                <w:color w:val="000000"/>
                <w:spacing w:val="0"/>
                <w:kern w:val="0"/>
                <w:sz w:val="21"/>
                <w:szCs w:val="21"/>
                <w:lang w:val="en-US" w:eastAsia="zh-CN" w:bidi="ar"/>
              </w:rPr>
              <w:t xml:space="preserve">中小企业 </w:t>
            </w: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小微企业 </w:t>
            </w: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监狱企业 </w:t>
            </w: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福利性单位</w:t>
            </w:r>
          </w:p>
          <w:p w14:paraId="4402B03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强制分包：大型企业应将采</w:t>
            </w:r>
            <w:r>
              <w:rPr>
                <w:rFonts w:hint="eastAsia" w:ascii="宋体" w:hAnsi="宋体" w:eastAsia="宋体" w:cs="宋体"/>
                <w:i w:val="0"/>
                <w:iCs w:val="0"/>
                <w:caps w:val="0"/>
                <w:color w:val="auto"/>
                <w:spacing w:val="0"/>
                <w:kern w:val="0"/>
                <w:sz w:val="21"/>
                <w:szCs w:val="21"/>
                <w:lang w:val="en-US" w:eastAsia="zh-CN" w:bidi="ar"/>
              </w:rPr>
              <w:t>购份额的</w:t>
            </w:r>
            <w:r>
              <w:rPr>
                <w:rFonts w:hint="eastAsia" w:ascii="宋体" w:hAnsi="宋体" w:eastAsia="宋体" w:cs="宋体"/>
                <w:i w:val="0"/>
                <w:iCs w:val="0"/>
                <w:caps w:val="0"/>
                <w:color w:val="auto"/>
                <w:spacing w:val="0"/>
                <w:kern w:val="0"/>
                <w:sz w:val="21"/>
                <w:szCs w:val="21"/>
                <w:u w:val="single"/>
                <w:lang w:val="en-US" w:eastAsia="zh-CN" w:bidi="ar"/>
              </w:rPr>
              <w:t>     </w:t>
            </w:r>
            <w:r>
              <w:rPr>
                <w:rFonts w:hint="eastAsia" w:ascii="宋体" w:hAnsi="宋体" w:eastAsia="宋体" w:cs="宋体"/>
                <w:i w:val="0"/>
                <w:iCs w:val="0"/>
                <w:caps w:val="0"/>
                <w:color w:val="auto"/>
                <w:spacing w:val="0"/>
                <w:kern w:val="0"/>
                <w:sz w:val="21"/>
                <w:szCs w:val="21"/>
                <w:lang w:val="en-US" w:eastAsia="zh-CN" w:bidi="ar"/>
              </w:rPr>
              <w:t>%分包给中小企业。</w:t>
            </w:r>
          </w:p>
          <w:p w14:paraId="3F2E16A4">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供应商特定资格条件：</w:t>
            </w:r>
          </w:p>
          <w:p w14:paraId="15D6CB90">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default" w:ascii="宋体" w:hAnsi="宋体" w:eastAsia="宋体" w:cs="宋体"/>
                <w:b/>
                <w:bCs/>
                <w:i w:val="0"/>
                <w:iCs w:val="0"/>
                <w:caps w:val="0"/>
                <w:color w:val="auto"/>
                <w:spacing w:val="0"/>
                <w:kern w:val="0"/>
                <w:sz w:val="21"/>
                <w:szCs w:val="21"/>
                <w:lang w:val="en-US" w:eastAsia="zh-CN" w:bidi="ar"/>
              </w:rPr>
            </w:pPr>
            <w:r>
              <w:rPr>
                <w:rFonts w:hint="eastAsia" w:ascii="宋体" w:hAnsi="宋体" w:eastAsia="宋体" w:cs="宋体"/>
                <w:b/>
                <w:bCs/>
                <w:i w:val="0"/>
                <w:iCs w:val="0"/>
                <w:caps w:val="0"/>
                <w:color w:val="auto"/>
                <w:spacing w:val="0"/>
                <w:kern w:val="0"/>
                <w:sz w:val="21"/>
                <w:szCs w:val="21"/>
                <w:lang w:val="en-US" w:eastAsia="zh-CN" w:bidi="ar"/>
              </w:rPr>
              <w:t>包1：</w:t>
            </w:r>
          </w:p>
          <w:p w14:paraId="42C8FE57">
            <w:pPr>
              <w:keepNext w:val="0"/>
              <w:keepLines w:val="0"/>
              <w:numPr>
                <w:ilvl w:val="0"/>
                <w:numId w:val="0"/>
              </w:numPr>
              <w:suppressLineNumbers w:val="0"/>
              <w:adjustRightInd w:val="0"/>
              <w:snapToGrid w:val="0"/>
              <w:spacing w:before="0" w:beforeLines="0" w:beforeAutospacing="0" w:after="0" w:afterLines="0" w:afterAutospacing="0" w:line="360" w:lineRule="auto"/>
              <w:ind w:left="0" w:right="0" w:firstLine="422" w:firstLineChars="200"/>
              <w:rPr>
                <w:rFonts w:hint="eastAsia" w:ascii="宋体" w:hAnsi="宋体" w:eastAsia="宋体"/>
                <w:color w:val="FF0000"/>
                <w:sz w:val="21"/>
                <w:szCs w:val="21"/>
                <w:lang w:eastAsia="zh-CN"/>
              </w:rPr>
            </w:pPr>
            <w:r>
              <w:rPr>
                <w:rFonts w:hint="eastAsia" w:ascii="宋体" w:hAnsi="宋体" w:eastAsia="宋体" w:cs="宋体"/>
                <w:b/>
                <w:bCs/>
                <w:i w:val="0"/>
                <w:iCs w:val="0"/>
                <w:caps w:val="0"/>
                <w:color w:val="auto"/>
                <w:spacing w:val="0"/>
                <w:kern w:val="0"/>
                <w:sz w:val="21"/>
                <w:szCs w:val="21"/>
                <w:lang w:val="en-US" w:eastAsia="zh-CN" w:bidi="ar"/>
              </w:rPr>
              <w:t>（1）</w:t>
            </w:r>
            <w:r>
              <w:rPr>
                <w:rFonts w:hint="default" w:ascii="宋体" w:hAnsi="宋体" w:eastAsia="宋体" w:cs="Times New Roman"/>
                <w:color w:val="auto"/>
                <w:sz w:val="21"/>
                <w:szCs w:val="21"/>
              </w:rPr>
              <w:t>具备行政主管部门颁发的</w:t>
            </w:r>
            <w:r>
              <w:rPr>
                <w:rFonts w:hint="default" w:ascii="宋体" w:hAnsi="宋体" w:eastAsia="宋体" w:cs="Times New Roman"/>
                <w:b/>
                <w:bCs/>
                <w:color w:val="auto"/>
                <w:sz w:val="21"/>
                <w:szCs w:val="21"/>
              </w:rPr>
              <w:t>水利水电工程施工总承包三级及以上</w:t>
            </w:r>
            <w:r>
              <w:rPr>
                <w:rFonts w:hint="default" w:ascii="宋体" w:hAnsi="宋体" w:eastAsia="宋体" w:cs="Times New Roman"/>
                <w:color w:val="auto"/>
                <w:sz w:val="21"/>
                <w:szCs w:val="21"/>
              </w:rPr>
              <w:t>资质，并具备有效</w:t>
            </w:r>
            <w:r>
              <w:rPr>
                <w:rFonts w:hint="eastAsia" w:ascii="宋体" w:hAnsi="宋体" w:cs="Times New Roman"/>
                <w:color w:val="auto"/>
                <w:sz w:val="21"/>
                <w:szCs w:val="21"/>
                <w:lang w:val="en-US" w:eastAsia="zh-CN"/>
              </w:rPr>
              <w:t>的</w:t>
            </w:r>
            <w:r>
              <w:rPr>
                <w:rFonts w:hint="default" w:ascii="宋体" w:hAnsi="宋体" w:eastAsia="宋体" w:cs="Times New Roman"/>
                <w:color w:val="auto"/>
                <w:sz w:val="21"/>
                <w:szCs w:val="21"/>
              </w:rPr>
              <w:t>安全生产许可证，且供应商必须是在水利部水利建设市场监管平台和湖南省水利建设市场综合监管系统建立信用档案的市场主体单位</w:t>
            </w:r>
            <w:r>
              <w:rPr>
                <w:rFonts w:hint="eastAsia" w:ascii="宋体" w:hAnsi="宋体" w:eastAsia="宋体" w:cs="Times New Roman"/>
                <w:color w:val="auto"/>
                <w:sz w:val="21"/>
                <w:szCs w:val="21"/>
                <w:lang w:eastAsia="zh-CN"/>
              </w:rPr>
              <w:t>；</w:t>
            </w:r>
          </w:p>
          <w:p w14:paraId="68086296">
            <w:pPr>
              <w:keepNext w:val="0"/>
              <w:keepLines w:val="0"/>
              <w:numPr>
                <w:ilvl w:val="0"/>
                <w:numId w:val="0"/>
              </w:numPr>
              <w:suppressLineNumbers w:val="0"/>
              <w:adjustRightInd w:val="0"/>
              <w:snapToGrid w:val="0"/>
              <w:spacing w:before="0" w:beforeLines="0" w:beforeAutospacing="0" w:after="0" w:afterLines="0" w:afterAutospacing="0" w:line="360" w:lineRule="auto"/>
              <w:ind w:left="0" w:right="0" w:firstLine="422" w:firstLineChars="200"/>
              <w:rPr>
                <w:rFonts w:hint="eastAsia" w:ascii="宋体" w:hAnsi="宋体" w:eastAsia="宋体" w:cs="Times New Roman"/>
                <w:color w:val="auto"/>
                <w:sz w:val="21"/>
                <w:szCs w:val="21"/>
                <w:lang w:val="en-US" w:eastAsia="zh-CN"/>
              </w:rPr>
            </w:pPr>
            <w:r>
              <w:rPr>
                <w:rFonts w:hint="eastAsia" w:ascii="宋体" w:hAnsi="宋体" w:eastAsia="宋体" w:cs="宋体"/>
                <w:b/>
                <w:bCs/>
                <w:i w:val="0"/>
                <w:iCs w:val="0"/>
                <w:caps w:val="0"/>
                <w:color w:val="auto"/>
                <w:spacing w:val="0"/>
                <w:kern w:val="0"/>
                <w:sz w:val="21"/>
                <w:szCs w:val="21"/>
                <w:lang w:val="en-US" w:eastAsia="zh-CN" w:bidi="ar"/>
              </w:rPr>
              <w:t>（2）</w:t>
            </w:r>
            <w:r>
              <w:rPr>
                <w:rFonts w:hint="default" w:ascii="宋体" w:hAnsi="宋体" w:eastAsia="宋体" w:cs="Times New Roman"/>
                <w:color w:val="auto"/>
                <w:sz w:val="21"/>
                <w:szCs w:val="21"/>
              </w:rPr>
              <w:t>拟任项目负责人具有</w:t>
            </w:r>
            <w:r>
              <w:rPr>
                <w:rFonts w:hint="default" w:ascii="宋体" w:hAnsi="宋体" w:eastAsia="宋体" w:cs="Times New Roman"/>
                <w:b/>
                <w:bCs/>
                <w:color w:val="auto"/>
                <w:sz w:val="21"/>
                <w:szCs w:val="21"/>
              </w:rPr>
              <w:t>水利水电工程专业二级及以上</w:t>
            </w:r>
            <w:r>
              <w:rPr>
                <w:rFonts w:hint="default" w:ascii="宋体" w:hAnsi="宋体" w:eastAsia="宋体" w:cs="Times New Roman"/>
                <w:b w:val="0"/>
                <w:bCs w:val="0"/>
                <w:color w:val="auto"/>
                <w:sz w:val="21"/>
                <w:szCs w:val="21"/>
              </w:rPr>
              <w:t>注册建造师执业资格</w:t>
            </w:r>
            <w:r>
              <w:rPr>
                <w:rFonts w:hint="default" w:ascii="宋体" w:hAnsi="宋体" w:eastAsia="宋体" w:cs="Times New Roman"/>
                <w:color w:val="auto"/>
                <w:sz w:val="21"/>
                <w:szCs w:val="21"/>
              </w:rPr>
              <w:t>，注册单位必须与供应商</w:t>
            </w:r>
            <w:r>
              <w:rPr>
                <w:rFonts w:hint="eastAsia" w:ascii="宋体" w:hAnsi="宋体" w:cs="Times New Roman"/>
                <w:color w:val="auto"/>
                <w:sz w:val="21"/>
                <w:szCs w:val="21"/>
                <w:lang w:val="en-US" w:eastAsia="zh-CN"/>
              </w:rPr>
              <w:t>单位</w:t>
            </w:r>
            <w:r>
              <w:rPr>
                <w:rFonts w:hint="default" w:ascii="宋体" w:hAnsi="宋体" w:eastAsia="宋体" w:cs="Times New Roman"/>
                <w:color w:val="auto"/>
                <w:sz w:val="21"/>
                <w:szCs w:val="21"/>
              </w:rPr>
              <w:t>名称一致</w:t>
            </w:r>
            <w:r>
              <w:rPr>
                <w:rFonts w:hint="eastAsia" w:ascii="宋体" w:hAnsi="宋体" w:cs="Times New Roman"/>
                <w:color w:val="auto"/>
                <w:sz w:val="21"/>
                <w:szCs w:val="21"/>
                <w:lang w:eastAsia="zh-CN"/>
              </w:rPr>
              <w:t>，</w:t>
            </w:r>
            <w:r>
              <w:rPr>
                <w:rFonts w:hint="default" w:ascii="宋体" w:hAnsi="宋体" w:eastAsia="宋体" w:cs="Times New Roman"/>
                <w:color w:val="auto"/>
                <w:sz w:val="21"/>
                <w:szCs w:val="21"/>
              </w:rPr>
              <w:t>具有水行政主管部门颁发或核发的B类安全生产考核合格证书</w:t>
            </w:r>
            <w:r>
              <w:rPr>
                <w:rFonts w:hint="eastAsia" w:ascii="宋体" w:hAnsi="宋体" w:eastAsia="宋体" w:cs="Times New Roman"/>
                <w:color w:val="auto"/>
                <w:sz w:val="21"/>
                <w:szCs w:val="21"/>
                <w:lang w:eastAsia="zh-CN"/>
              </w:rPr>
              <w:t>；且为供应商</w:t>
            </w:r>
            <w:r>
              <w:rPr>
                <w:rFonts w:hint="eastAsia" w:ascii="宋体" w:hAnsi="宋体" w:cs="Times New Roman"/>
                <w:color w:val="auto"/>
                <w:sz w:val="21"/>
                <w:szCs w:val="21"/>
                <w:lang w:val="en-US" w:eastAsia="zh-CN"/>
              </w:rPr>
              <w:t>单位的</w:t>
            </w:r>
            <w:r>
              <w:rPr>
                <w:rFonts w:hint="eastAsia" w:ascii="宋体" w:hAnsi="宋体" w:eastAsia="宋体" w:cs="Times New Roman"/>
                <w:color w:val="auto"/>
                <w:sz w:val="21"/>
                <w:szCs w:val="21"/>
                <w:lang w:eastAsia="zh-CN"/>
              </w:rPr>
              <w:t>正式员工</w:t>
            </w:r>
            <w:r>
              <w:rPr>
                <w:rFonts w:hint="eastAsia" w:ascii="宋体" w:hAnsi="宋体" w:cs="Times New Roman"/>
                <w:b/>
                <w:bCs/>
                <w:color w:val="auto"/>
                <w:sz w:val="21"/>
                <w:szCs w:val="21"/>
                <w:lang w:eastAsia="zh-CN"/>
              </w:rPr>
              <w:t>（</w:t>
            </w:r>
            <w:r>
              <w:rPr>
                <w:rFonts w:hint="eastAsia" w:ascii="宋体" w:hAnsi="宋体" w:eastAsia="宋体" w:cs="宋体"/>
                <w:b/>
                <w:bCs/>
                <w:i w:val="0"/>
                <w:iCs w:val="0"/>
                <w:caps w:val="0"/>
                <w:color w:val="000000"/>
                <w:spacing w:val="0"/>
                <w:sz w:val="21"/>
                <w:szCs w:val="21"/>
              </w:rPr>
              <w:t>提供</w:t>
            </w:r>
            <w:r>
              <w:rPr>
                <w:rFonts w:hint="eastAsia" w:ascii="宋体" w:hAnsi="宋体" w:eastAsia="宋体" w:cs="宋体"/>
                <w:b/>
                <w:bCs/>
                <w:i w:val="0"/>
                <w:iCs w:val="0"/>
                <w:caps w:val="0"/>
                <w:color w:val="000000"/>
                <w:spacing w:val="0"/>
                <w:sz w:val="21"/>
                <w:szCs w:val="21"/>
                <w:lang w:eastAsia="zh-CN"/>
              </w:rPr>
              <w:t>近</w:t>
            </w:r>
            <w:r>
              <w:rPr>
                <w:rFonts w:hint="eastAsia" w:ascii="宋体" w:hAnsi="宋体" w:eastAsia="宋体" w:cs="宋体"/>
                <w:b/>
                <w:bCs/>
                <w:i w:val="0"/>
                <w:iCs w:val="0"/>
                <w:caps w:val="0"/>
                <w:color w:val="000000"/>
                <w:spacing w:val="0"/>
                <w:sz w:val="21"/>
                <w:szCs w:val="21"/>
                <w:lang w:val="en-US" w:eastAsia="zh-CN"/>
              </w:rPr>
              <w:t>3个月</w:t>
            </w:r>
            <w:r>
              <w:rPr>
                <w:rFonts w:hint="eastAsia" w:ascii="宋体" w:hAnsi="宋体" w:eastAsia="宋体" w:cs="宋体"/>
                <w:b/>
                <w:bCs/>
                <w:i w:val="0"/>
                <w:iCs w:val="0"/>
                <w:caps w:val="0"/>
                <w:color w:val="000000"/>
                <w:spacing w:val="0"/>
                <w:sz w:val="21"/>
                <w:szCs w:val="21"/>
              </w:rPr>
              <w:t>社保</w:t>
            </w:r>
            <w:r>
              <w:rPr>
                <w:rFonts w:hint="eastAsia" w:ascii="宋体" w:hAnsi="宋体" w:eastAsia="宋体" w:cs="宋体"/>
                <w:b/>
                <w:bCs/>
                <w:i w:val="0"/>
                <w:iCs w:val="0"/>
                <w:caps w:val="0"/>
                <w:color w:val="000000"/>
                <w:spacing w:val="0"/>
                <w:sz w:val="21"/>
                <w:szCs w:val="21"/>
                <w:lang w:eastAsia="zh-CN"/>
              </w:rPr>
              <w:t>缴纳</w:t>
            </w:r>
            <w:r>
              <w:rPr>
                <w:rFonts w:hint="eastAsia" w:ascii="宋体" w:hAnsi="宋体" w:eastAsia="宋体" w:cs="宋体"/>
                <w:b/>
                <w:bCs/>
                <w:i w:val="0"/>
                <w:iCs w:val="0"/>
                <w:caps w:val="0"/>
                <w:color w:val="000000"/>
                <w:spacing w:val="0"/>
                <w:sz w:val="21"/>
                <w:szCs w:val="21"/>
              </w:rPr>
              <w:t>证明</w:t>
            </w:r>
            <w:r>
              <w:rPr>
                <w:rFonts w:hint="eastAsia" w:ascii="宋体" w:hAnsi="宋体" w:cs="Times New Roman"/>
                <w:b/>
                <w:bCs/>
                <w:color w:val="auto"/>
                <w:sz w:val="21"/>
                <w:szCs w:val="21"/>
                <w:lang w:eastAsia="zh-CN"/>
              </w:rPr>
              <w:t>）</w:t>
            </w:r>
            <w:r>
              <w:rPr>
                <w:rFonts w:hint="eastAsia" w:ascii="宋体" w:hAnsi="宋体" w:cs="Times New Roman"/>
                <w:color w:val="auto"/>
                <w:sz w:val="21"/>
                <w:szCs w:val="21"/>
                <w:lang w:eastAsia="zh-CN"/>
              </w:rPr>
              <w:t>；</w:t>
            </w:r>
          </w:p>
          <w:p w14:paraId="4DD91C8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eastAsia" w:ascii="宋体" w:hAnsi="宋体"/>
                <w:color w:val="auto"/>
                <w:szCs w:val="21"/>
                <w:lang w:val="en-US" w:eastAsia="zh-CN"/>
              </w:rPr>
            </w:pPr>
            <w:r>
              <w:rPr>
                <w:rFonts w:hint="eastAsia" w:ascii="宋体" w:hAnsi="宋体"/>
                <w:color w:val="auto"/>
                <w:szCs w:val="21"/>
                <w:lang w:val="en-US" w:eastAsia="zh-CN"/>
              </w:rPr>
              <w:t>（3）拟任技术负责人要求具备</w:t>
            </w:r>
            <w:r>
              <w:rPr>
                <w:rFonts w:hint="eastAsia" w:ascii="宋体" w:hAnsi="宋体"/>
                <w:b/>
                <w:bCs/>
                <w:color w:val="auto"/>
                <w:szCs w:val="21"/>
                <w:lang w:val="en-US" w:eastAsia="zh-CN"/>
              </w:rPr>
              <w:t>水利水电工程相关专业中级及以上</w:t>
            </w:r>
            <w:r>
              <w:rPr>
                <w:rFonts w:hint="eastAsia" w:ascii="宋体" w:hAnsi="宋体"/>
                <w:color w:val="auto"/>
                <w:szCs w:val="21"/>
                <w:lang w:val="en-US" w:eastAsia="zh-CN"/>
              </w:rPr>
              <w:t>技术职称且为供应商正式员工</w:t>
            </w:r>
            <w:r>
              <w:rPr>
                <w:rFonts w:hint="eastAsia" w:ascii="宋体" w:hAnsi="宋体"/>
                <w:b/>
                <w:bCs/>
                <w:color w:val="auto"/>
                <w:szCs w:val="21"/>
                <w:lang w:val="en-US" w:eastAsia="zh-CN"/>
              </w:rPr>
              <w:t>（提供近3个月社保缴纳证明）</w:t>
            </w:r>
            <w:r>
              <w:rPr>
                <w:rFonts w:hint="eastAsia" w:ascii="宋体" w:hAnsi="宋体"/>
                <w:color w:val="auto"/>
                <w:szCs w:val="21"/>
                <w:lang w:val="en-US" w:eastAsia="zh-CN"/>
              </w:rPr>
              <w:t>；</w:t>
            </w:r>
          </w:p>
          <w:p w14:paraId="439ADB2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eastAsia" w:ascii="宋体" w:hAnsi="宋体"/>
                <w:color w:val="auto"/>
                <w:szCs w:val="21"/>
                <w:lang w:val="en-US" w:eastAsia="zh-CN"/>
              </w:rPr>
            </w:pPr>
            <w:r>
              <w:rPr>
                <w:rFonts w:hint="eastAsia" w:ascii="宋体" w:hAnsi="宋体"/>
                <w:color w:val="auto"/>
                <w:szCs w:val="21"/>
                <w:lang w:val="en-US" w:eastAsia="zh-CN"/>
              </w:rPr>
              <w:t>（4）拟任安全负责人（专职安全生产管理人员）具有水行政主管部门颁发或核发的C类安全生产考核合格证书,且为供应商正式员工</w:t>
            </w:r>
            <w:r>
              <w:rPr>
                <w:rFonts w:hint="eastAsia" w:ascii="宋体" w:hAnsi="宋体"/>
                <w:b/>
                <w:bCs/>
                <w:color w:val="auto"/>
                <w:szCs w:val="21"/>
                <w:lang w:val="en-US" w:eastAsia="zh-CN"/>
              </w:rPr>
              <w:t>（提供近3个月社保缴纳证明）</w:t>
            </w:r>
            <w:r>
              <w:rPr>
                <w:rFonts w:hint="eastAsia" w:ascii="宋体" w:hAnsi="宋体"/>
                <w:color w:val="auto"/>
                <w:szCs w:val="21"/>
                <w:lang w:val="en-US" w:eastAsia="zh-CN"/>
              </w:rPr>
              <w:t>；</w:t>
            </w:r>
          </w:p>
          <w:p w14:paraId="4B8FE812">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default" w:ascii="宋体" w:hAnsi="宋体" w:eastAsia="宋体" w:cs="宋体"/>
                <w:b/>
                <w:bCs/>
                <w:i w:val="0"/>
                <w:iCs w:val="0"/>
                <w:caps w:val="0"/>
                <w:color w:val="auto"/>
                <w:spacing w:val="0"/>
                <w:kern w:val="0"/>
                <w:sz w:val="21"/>
                <w:szCs w:val="21"/>
                <w:lang w:val="en-US" w:eastAsia="zh-CN" w:bidi="ar"/>
              </w:rPr>
            </w:pPr>
            <w:r>
              <w:rPr>
                <w:rFonts w:hint="eastAsia" w:ascii="宋体" w:hAnsi="宋体" w:eastAsia="宋体" w:cs="宋体"/>
                <w:b/>
                <w:bCs/>
                <w:i w:val="0"/>
                <w:iCs w:val="0"/>
                <w:caps w:val="0"/>
                <w:color w:val="auto"/>
                <w:spacing w:val="0"/>
                <w:kern w:val="0"/>
                <w:sz w:val="21"/>
                <w:szCs w:val="21"/>
                <w:lang w:val="en-US" w:eastAsia="zh-CN" w:bidi="ar"/>
              </w:rPr>
              <w:t>（注：</w:t>
            </w:r>
            <w:r>
              <w:rPr>
                <w:rFonts w:hint="eastAsia" w:ascii="宋体" w:hAnsi="宋体" w:eastAsia="宋体" w:cs="宋体"/>
                <w:b/>
                <w:bCs/>
                <w:i w:val="0"/>
                <w:iCs w:val="0"/>
                <w:caps w:val="0"/>
                <w:color w:val="auto"/>
                <w:spacing w:val="0"/>
                <w:kern w:val="0"/>
                <w:sz w:val="21"/>
                <w:szCs w:val="21"/>
                <w:lang w:val="zh-CN" w:eastAsia="zh-CN" w:bidi="ar"/>
              </w:rPr>
              <w:t>依据湖南省财政厅关于政府采购促进中小企业发展有关措施的通知（湘财购〔2022〕17 号），符合法定条件的供应商凭《湖南省政府采购供应商资格承诺函》（格式见附件）参与政府采购活动，无需提供财务状况、缴纳税收和社会保障资金等资格证明材料。）</w:t>
            </w:r>
          </w:p>
          <w:p w14:paraId="098A021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auto"/>
                <w:spacing w:val="0"/>
                <w:kern w:val="0"/>
                <w:sz w:val="21"/>
                <w:szCs w:val="21"/>
                <w:lang w:val="en-US" w:eastAsia="zh-CN" w:bidi="ar"/>
              </w:rPr>
              <w:t>4、单位负责人为同一人或者存在直接控股、</w:t>
            </w:r>
            <w:r>
              <w:rPr>
                <w:rFonts w:hint="eastAsia" w:ascii="宋体" w:hAnsi="宋体" w:eastAsia="宋体" w:cs="宋体"/>
                <w:i w:val="0"/>
                <w:iCs w:val="0"/>
                <w:caps w:val="0"/>
                <w:color w:val="000000"/>
                <w:spacing w:val="0"/>
                <w:kern w:val="0"/>
                <w:sz w:val="21"/>
                <w:szCs w:val="21"/>
                <w:lang w:val="en-US" w:eastAsia="zh-CN" w:bidi="ar"/>
              </w:rPr>
              <w:t>管理关系的不同投标人，不得参加同一合同项下的政府采购活动。</w:t>
            </w:r>
          </w:p>
          <w:p w14:paraId="5158E4E6">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5、为本采购项目提供整体设计、规范编制或者项目管理、监理、检测等服务的，不得再参加此项目的其他采购活动。</w:t>
            </w:r>
          </w:p>
          <w:p w14:paraId="01922585">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6、列入失信被执行人、重大税收违法失信主体名单、政府采购严重违法失信行为记录名单的，拒绝其参与政府采购活动。</w:t>
            </w:r>
          </w:p>
          <w:p w14:paraId="1BD03255">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default" w:ascii="宋体" w:hAnsi="宋体" w:cs="宋体"/>
                <w:szCs w:val="21"/>
              </w:rPr>
            </w:pPr>
            <w:r>
              <w:rPr>
                <w:rFonts w:hint="eastAsia" w:ascii="宋体" w:hAnsi="宋体" w:eastAsia="宋体" w:cs="宋体"/>
                <w:i w:val="0"/>
                <w:iCs w:val="0"/>
                <w:caps w:val="0"/>
                <w:color w:val="000000"/>
                <w:spacing w:val="0"/>
                <w:kern w:val="0"/>
                <w:sz w:val="21"/>
                <w:szCs w:val="21"/>
                <w:lang w:val="en-US" w:eastAsia="zh-CN" w:bidi="ar"/>
              </w:rPr>
              <w:t>7、联合体投标。本次招标</w:t>
            </w:r>
            <w:r>
              <w:rPr>
                <w:rFonts w:hint="eastAsia" w:ascii="宋体" w:hAnsi="宋体" w:eastAsia="宋体" w:cs="宋体"/>
                <w:i w:val="0"/>
                <w:iCs w:val="0"/>
                <w:caps w:val="0"/>
                <w:color w:val="000000"/>
                <w:spacing w:val="0"/>
                <w:kern w:val="0"/>
                <w:sz w:val="21"/>
                <w:szCs w:val="21"/>
                <w:u w:val="single"/>
                <w:lang w:val="en-US" w:eastAsia="zh-CN" w:bidi="ar"/>
              </w:rPr>
              <w:t>不接受</w:t>
            </w:r>
            <w:r>
              <w:rPr>
                <w:rFonts w:hint="eastAsia" w:ascii="宋体" w:hAnsi="宋体" w:eastAsia="宋体" w:cs="宋体"/>
                <w:i w:val="0"/>
                <w:iCs w:val="0"/>
                <w:caps w:val="0"/>
                <w:color w:val="000000"/>
                <w:spacing w:val="0"/>
                <w:kern w:val="0"/>
                <w:sz w:val="21"/>
                <w:szCs w:val="21"/>
                <w:lang w:val="en-US" w:eastAsia="zh-CN" w:bidi="ar"/>
              </w:rPr>
              <w:t>联合体投标。</w:t>
            </w:r>
          </w:p>
        </w:tc>
      </w:tr>
      <w:tr w14:paraId="6EDC9A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9" w:hRule="atLeast"/>
          <w:jc w:val="center"/>
        </w:trPr>
        <w:tc>
          <w:tcPr>
            <w:tcW w:w="1758" w:type="dxa"/>
            <w:vAlign w:val="center"/>
          </w:tcPr>
          <w:p w14:paraId="7810BF15">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第二章第6.1款</w:t>
            </w:r>
          </w:p>
        </w:tc>
        <w:tc>
          <w:tcPr>
            <w:tcW w:w="2112" w:type="dxa"/>
            <w:vAlign w:val="center"/>
          </w:tcPr>
          <w:p w14:paraId="3386C573">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联合体形式</w:t>
            </w:r>
          </w:p>
        </w:tc>
        <w:tc>
          <w:tcPr>
            <w:tcW w:w="6483" w:type="dxa"/>
            <w:vAlign w:val="center"/>
          </w:tcPr>
          <w:p w14:paraId="7FD63AB8">
            <w:pPr>
              <w:keepNext w:val="0"/>
              <w:keepLines w:val="0"/>
              <w:suppressLineNumbers w:val="0"/>
              <w:spacing w:before="0" w:beforeAutospacing="0" w:after="0" w:afterAutospacing="0"/>
              <w:ind w:left="0" w:right="0"/>
              <w:rPr>
                <w:rFonts w:hint="default" w:ascii="宋体" w:hAnsi="宋体" w:cs="宋体"/>
                <w:szCs w:val="21"/>
              </w:rPr>
            </w:pPr>
            <w:r>
              <w:rPr>
                <w:rFonts w:hint="default" w:ascii="Segoe UI Symbol" w:hAnsi="Segoe UI Symbol" w:cs="Segoe UI Symbol"/>
                <w:szCs w:val="21"/>
              </w:rPr>
              <w:t>☑</w:t>
            </w:r>
            <w:r>
              <w:rPr>
                <w:rFonts w:hint="eastAsia" w:ascii="宋体" w:hAnsi="宋体" w:cs="宋体"/>
                <w:szCs w:val="21"/>
              </w:rPr>
              <w:t>不接受</w:t>
            </w:r>
          </w:p>
          <w:p w14:paraId="5C976447">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 接受</w:t>
            </w:r>
          </w:p>
        </w:tc>
      </w:tr>
      <w:tr w14:paraId="0518DB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7" w:hRule="atLeast"/>
          <w:jc w:val="center"/>
        </w:trPr>
        <w:tc>
          <w:tcPr>
            <w:tcW w:w="1758" w:type="dxa"/>
            <w:vAlign w:val="center"/>
          </w:tcPr>
          <w:p w14:paraId="4508EE6A">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第二章第6.2款</w:t>
            </w:r>
          </w:p>
        </w:tc>
        <w:tc>
          <w:tcPr>
            <w:tcW w:w="2112" w:type="dxa"/>
            <w:vAlign w:val="center"/>
          </w:tcPr>
          <w:p w14:paraId="57B280B9">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对联合体各方的要求</w:t>
            </w:r>
          </w:p>
        </w:tc>
        <w:tc>
          <w:tcPr>
            <w:tcW w:w="6483" w:type="dxa"/>
            <w:vAlign w:val="center"/>
          </w:tcPr>
          <w:p w14:paraId="38847C32">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w:t>
            </w:r>
          </w:p>
        </w:tc>
      </w:tr>
      <w:tr w14:paraId="4BE089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9" w:hRule="atLeast"/>
          <w:jc w:val="center"/>
        </w:trPr>
        <w:tc>
          <w:tcPr>
            <w:tcW w:w="1758" w:type="dxa"/>
            <w:vAlign w:val="center"/>
          </w:tcPr>
          <w:p w14:paraId="285894B7">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第二章第7.1款</w:t>
            </w:r>
          </w:p>
        </w:tc>
        <w:tc>
          <w:tcPr>
            <w:tcW w:w="2112" w:type="dxa"/>
            <w:vAlign w:val="center"/>
          </w:tcPr>
          <w:p w14:paraId="5B20FC16">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现场勘察</w:t>
            </w:r>
          </w:p>
        </w:tc>
        <w:tc>
          <w:tcPr>
            <w:tcW w:w="6483" w:type="dxa"/>
            <w:vAlign w:val="center"/>
          </w:tcPr>
          <w:p w14:paraId="6A3310B9">
            <w:pPr>
              <w:keepNext w:val="0"/>
              <w:keepLines w:val="0"/>
              <w:suppressLineNumbers w:val="0"/>
              <w:spacing w:before="0" w:beforeAutospacing="0" w:after="0" w:afterAutospacing="0"/>
              <w:ind w:left="0" w:right="0"/>
              <w:rPr>
                <w:rFonts w:hint="default" w:ascii="宋体" w:hAnsi="宋体" w:cs="宋体"/>
                <w:szCs w:val="21"/>
              </w:rPr>
            </w:pPr>
            <w:r>
              <w:rPr>
                <w:rFonts w:hint="default" w:ascii="Segoe UI Symbol" w:hAnsi="Segoe UI Symbol" w:cs="Segoe UI Symbol"/>
                <w:szCs w:val="21"/>
              </w:rPr>
              <w:t>☑</w:t>
            </w:r>
            <w:r>
              <w:rPr>
                <w:rFonts w:hint="eastAsia" w:ascii="宋体" w:hAnsi="宋体" w:cs="宋体"/>
                <w:szCs w:val="21"/>
              </w:rPr>
              <w:t xml:space="preserve"> 采购人不组织</w:t>
            </w:r>
          </w:p>
          <w:p w14:paraId="739BD9A9">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 xml:space="preserve">□ 采购人组织，时间：   地点：   联系人：  </w:t>
            </w:r>
          </w:p>
        </w:tc>
      </w:tr>
      <w:tr w14:paraId="4320F3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9" w:hRule="atLeast"/>
          <w:jc w:val="center"/>
        </w:trPr>
        <w:tc>
          <w:tcPr>
            <w:tcW w:w="1758" w:type="dxa"/>
            <w:vAlign w:val="center"/>
          </w:tcPr>
          <w:p w14:paraId="611FB635">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第二章第8.1款</w:t>
            </w:r>
          </w:p>
        </w:tc>
        <w:tc>
          <w:tcPr>
            <w:tcW w:w="2112" w:type="dxa"/>
            <w:vAlign w:val="center"/>
          </w:tcPr>
          <w:p w14:paraId="25B149EA">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采购进口产品</w:t>
            </w:r>
          </w:p>
        </w:tc>
        <w:tc>
          <w:tcPr>
            <w:tcW w:w="6483" w:type="dxa"/>
            <w:vAlign w:val="center"/>
          </w:tcPr>
          <w:p w14:paraId="02AC38C3">
            <w:pPr>
              <w:keepNext w:val="0"/>
              <w:keepLines w:val="0"/>
              <w:suppressLineNumbers w:val="0"/>
              <w:spacing w:before="0" w:beforeAutospacing="0" w:after="0" w:afterAutospacing="0"/>
              <w:ind w:left="0" w:right="0"/>
              <w:rPr>
                <w:rFonts w:hint="default" w:ascii="宋体" w:hAnsi="宋体" w:cs="宋体"/>
                <w:szCs w:val="21"/>
              </w:rPr>
            </w:pPr>
            <w:r>
              <w:rPr>
                <w:rFonts w:hint="default" w:ascii="Segoe UI Symbol" w:hAnsi="Segoe UI Symbol" w:cs="Segoe UI Symbol"/>
                <w:szCs w:val="21"/>
              </w:rPr>
              <w:t>☑</w:t>
            </w:r>
            <w:r>
              <w:rPr>
                <w:rFonts w:hint="eastAsia" w:ascii="宋体" w:hAnsi="宋体" w:cs="宋体"/>
                <w:szCs w:val="21"/>
              </w:rPr>
              <w:t xml:space="preserve"> 本项目拒绝采购进口产品</w:t>
            </w:r>
          </w:p>
          <w:p w14:paraId="7AED8FDD">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□本项目已经财政部门审核同意购买进口产品</w:t>
            </w:r>
          </w:p>
        </w:tc>
      </w:tr>
      <w:tr w14:paraId="0A75BF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70" w:hRule="atLeast"/>
          <w:jc w:val="center"/>
        </w:trPr>
        <w:tc>
          <w:tcPr>
            <w:tcW w:w="1758" w:type="dxa"/>
            <w:vAlign w:val="center"/>
          </w:tcPr>
          <w:p w14:paraId="6C02B03F">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第二章第9.1款</w:t>
            </w:r>
          </w:p>
        </w:tc>
        <w:tc>
          <w:tcPr>
            <w:tcW w:w="2112" w:type="dxa"/>
            <w:vAlign w:val="center"/>
          </w:tcPr>
          <w:p w14:paraId="61399B14">
            <w:pPr>
              <w:keepNext w:val="0"/>
              <w:keepLines w:val="0"/>
              <w:suppressLineNumbers w:val="0"/>
              <w:spacing w:before="0" w:beforeAutospacing="0" w:after="0" w:afterAutospacing="0"/>
              <w:ind w:left="0" w:right="0"/>
              <w:rPr>
                <w:rFonts w:hint="default" w:ascii="宋体" w:hAnsi="宋体" w:cs="宋体"/>
                <w:szCs w:val="21"/>
              </w:rPr>
            </w:pPr>
            <w:r>
              <w:rPr>
                <w:rFonts w:hint="eastAsia" w:ascii="新宋体" w:hAnsi="新宋体" w:eastAsia="新宋体" w:cs="新宋体"/>
                <w:szCs w:val="21"/>
              </w:rPr>
              <w:t>政府采购节能产品、环境标志产品</w:t>
            </w:r>
          </w:p>
        </w:tc>
        <w:tc>
          <w:tcPr>
            <w:tcW w:w="6483" w:type="dxa"/>
            <w:vAlign w:val="center"/>
          </w:tcPr>
          <w:p w14:paraId="504BEEA1">
            <w:pPr>
              <w:keepNext w:val="0"/>
              <w:keepLines w:val="0"/>
              <w:suppressLineNumbers w:val="0"/>
              <w:adjustRightInd w:val="0"/>
              <w:snapToGrid w:val="0"/>
              <w:spacing w:before="0" w:beforeAutospacing="0" w:after="0" w:afterAutospacing="0"/>
              <w:ind w:left="0" w:right="0"/>
              <w:rPr>
                <w:rFonts w:hint="eastAsia" w:ascii="宋体" w:hAnsi="宋体" w:eastAsia="宋体" w:cs="宋体"/>
                <w:color w:val="000000"/>
                <w:szCs w:val="21"/>
              </w:rPr>
            </w:pPr>
            <w:r>
              <w:rPr>
                <w:rFonts w:hint="eastAsia" w:ascii="宋体" w:hAnsi="宋体" w:eastAsia="宋体" w:cs="宋体"/>
                <w:color w:val="000000"/>
              </w:rPr>
              <w:t>■</w:t>
            </w:r>
            <w:r>
              <w:rPr>
                <w:rFonts w:hint="eastAsia" w:ascii="宋体" w:hAnsi="宋体" w:eastAsia="宋体" w:cs="宋体"/>
                <w:color w:val="000000"/>
                <w:szCs w:val="21"/>
              </w:rPr>
              <w:t xml:space="preserve"> 否</w:t>
            </w:r>
          </w:p>
          <w:p w14:paraId="1B0F2473">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eastAsia="宋体" w:cs="宋体"/>
                <w:color w:val="000000"/>
                <w:szCs w:val="21"/>
              </w:rPr>
              <w:t>□ 是，采购产品若属节能产品政府采购品目清单内的，标记★符号产品为政府强制采购产品，供应商必须提供经国家确定的认证机构出具并处于有效期内的节能产品认证证书的产品，否则将被拒绝。</w:t>
            </w:r>
          </w:p>
        </w:tc>
      </w:tr>
      <w:tr w14:paraId="06A313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12" w:hRule="atLeast"/>
          <w:jc w:val="center"/>
        </w:trPr>
        <w:tc>
          <w:tcPr>
            <w:tcW w:w="1758" w:type="dxa"/>
            <w:vAlign w:val="center"/>
          </w:tcPr>
          <w:p w14:paraId="4FCB8F63">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第二章第9.2款</w:t>
            </w:r>
          </w:p>
        </w:tc>
        <w:tc>
          <w:tcPr>
            <w:tcW w:w="2112" w:type="dxa"/>
            <w:vAlign w:val="center"/>
          </w:tcPr>
          <w:p w14:paraId="171A8208">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政府采购优先采购：</w:t>
            </w:r>
          </w:p>
          <w:p w14:paraId="3F280E55">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1、非强制采购的节能产品；</w:t>
            </w:r>
          </w:p>
          <w:p w14:paraId="7938A13D">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2、环境标志产品；3、两型产品；</w:t>
            </w:r>
          </w:p>
          <w:p w14:paraId="2B252ED6">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4、</w:t>
            </w:r>
            <w:r>
              <w:rPr>
                <w:rFonts w:hint="eastAsia" w:ascii="宋体" w:hAnsi="宋体" w:cs="宋体"/>
                <w:bCs/>
                <w:kern w:val="0"/>
                <w:szCs w:val="21"/>
              </w:rPr>
              <w:t>支持</w:t>
            </w:r>
            <w:r>
              <w:rPr>
                <w:rFonts w:hint="eastAsia" w:ascii="宋体" w:hAnsi="宋体" w:cs="宋体"/>
                <w:szCs w:val="21"/>
              </w:rPr>
              <w:t>中小企业发展；</w:t>
            </w:r>
          </w:p>
          <w:p w14:paraId="4FE075C4">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5、其他。</w:t>
            </w:r>
          </w:p>
        </w:tc>
        <w:tc>
          <w:tcPr>
            <w:tcW w:w="6483" w:type="dxa"/>
            <w:tcBorders>
              <w:bottom w:val="single" w:color="auto" w:sz="4" w:space="0"/>
            </w:tcBorders>
            <w:vAlign w:val="center"/>
          </w:tcPr>
          <w:p w14:paraId="14A48F42">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1、</w:t>
            </w:r>
            <w:r>
              <w:rPr>
                <w:rFonts w:hint="eastAsia" w:ascii="新宋体" w:hAnsi="新宋体" w:eastAsia="新宋体" w:cs="新宋体"/>
                <w:szCs w:val="21"/>
              </w:rPr>
              <w:t>非强制采购节能产品：</w:t>
            </w:r>
            <w:r>
              <w:rPr>
                <w:rFonts w:hint="eastAsia" w:ascii="宋体" w:hAnsi="宋体" w:cs="宋体"/>
                <w:szCs w:val="21"/>
              </w:rPr>
              <w:t>分别给予技术和价格项标准总分值4%-8%的加分。本项目具体加分比例分别为 ：技术</w:t>
            </w:r>
            <w:r>
              <w:rPr>
                <w:rFonts w:hint="eastAsia" w:ascii="宋体" w:hAnsi="宋体" w:cs="宋体"/>
                <w:szCs w:val="21"/>
                <w:u w:val="single"/>
              </w:rPr>
              <w:t xml:space="preserve"> </w:t>
            </w:r>
            <w:r>
              <w:rPr>
                <w:rFonts w:hint="eastAsia" w:ascii="宋体" w:hAnsi="宋体" w:cs="宋体"/>
                <w:szCs w:val="21"/>
                <w:u w:val="single"/>
                <w:lang w:val="en-US" w:eastAsia="zh-CN"/>
              </w:rPr>
              <w:t>/</w:t>
            </w:r>
            <w:r>
              <w:rPr>
                <w:rFonts w:hint="eastAsia" w:ascii="宋体" w:hAnsi="宋体" w:cs="宋体"/>
                <w:szCs w:val="21"/>
                <w:u w:val="single"/>
              </w:rPr>
              <w:t xml:space="preserve"> </w:t>
            </w:r>
            <w:r>
              <w:rPr>
                <w:rFonts w:hint="eastAsia" w:ascii="宋体" w:hAnsi="宋体" w:cs="宋体"/>
                <w:szCs w:val="21"/>
              </w:rPr>
              <w:t>%、价格</w:t>
            </w:r>
            <w:r>
              <w:rPr>
                <w:rFonts w:hint="eastAsia" w:ascii="宋体" w:hAnsi="宋体" w:cs="宋体"/>
                <w:szCs w:val="21"/>
                <w:u w:val="single"/>
              </w:rPr>
              <w:t xml:space="preserve"> </w:t>
            </w:r>
            <w:r>
              <w:rPr>
                <w:rFonts w:hint="eastAsia" w:ascii="宋体" w:hAnsi="宋体" w:cs="宋体"/>
                <w:szCs w:val="21"/>
                <w:u w:val="single"/>
                <w:lang w:val="en-US" w:eastAsia="zh-CN"/>
              </w:rPr>
              <w:t>/</w:t>
            </w:r>
            <w:r>
              <w:rPr>
                <w:rFonts w:hint="eastAsia" w:ascii="宋体" w:hAnsi="宋体" w:cs="宋体"/>
                <w:szCs w:val="21"/>
                <w:u w:val="single"/>
              </w:rPr>
              <w:t xml:space="preserve"> </w:t>
            </w:r>
            <w:r>
              <w:rPr>
                <w:rFonts w:hint="eastAsia" w:ascii="宋体" w:hAnsi="宋体" w:cs="宋体"/>
                <w:szCs w:val="21"/>
              </w:rPr>
              <w:t>%。</w:t>
            </w:r>
          </w:p>
          <w:p w14:paraId="3CDCFA80">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2、采购产品为《环境标志产品政府采购清单》（最新一期）内的，分别给予技术和价格项标准总分值4%-8%的加分。本项目具体加分比例分别为 ：技术</w:t>
            </w:r>
            <w:r>
              <w:rPr>
                <w:rFonts w:hint="eastAsia" w:ascii="宋体" w:hAnsi="宋体" w:cs="宋体"/>
                <w:szCs w:val="21"/>
                <w:u w:val="single"/>
              </w:rPr>
              <w:t xml:space="preserve"> </w:t>
            </w:r>
            <w:r>
              <w:rPr>
                <w:rFonts w:hint="eastAsia" w:ascii="宋体" w:hAnsi="宋体" w:cs="宋体"/>
                <w:szCs w:val="21"/>
                <w:u w:val="single"/>
                <w:lang w:val="en-US" w:eastAsia="zh-CN"/>
              </w:rPr>
              <w:t>/</w:t>
            </w:r>
            <w:r>
              <w:rPr>
                <w:rFonts w:hint="eastAsia" w:ascii="宋体" w:hAnsi="宋体" w:cs="宋体"/>
                <w:szCs w:val="21"/>
                <w:u w:val="single"/>
              </w:rPr>
              <w:t xml:space="preserve"> </w:t>
            </w:r>
            <w:r>
              <w:rPr>
                <w:rFonts w:hint="eastAsia" w:ascii="宋体" w:hAnsi="宋体" w:cs="宋体"/>
                <w:szCs w:val="21"/>
              </w:rPr>
              <w:t>%、价格</w:t>
            </w:r>
            <w:r>
              <w:rPr>
                <w:rFonts w:hint="eastAsia" w:ascii="宋体" w:hAnsi="宋体" w:cs="宋体"/>
                <w:szCs w:val="21"/>
                <w:u w:val="single"/>
              </w:rPr>
              <w:t xml:space="preserve"> </w:t>
            </w:r>
            <w:r>
              <w:rPr>
                <w:rFonts w:hint="eastAsia" w:ascii="宋体" w:hAnsi="宋体" w:cs="宋体"/>
                <w:szCs w:val="21"/>
                <w:u w:val="single"/>
                <w:lang w:val="en-US" w:eastAsia="zh-CN"/>
              </w:rPr>
              <w:t>/</w:t>
            </w:r>
            <w:r>
              <w:rPr>
                <w:rFonts w:hint="eastAsia" w:ascii="宋体" w:hAnsi="宋体" w:cs="宋体"/>
                <w:szCs w:val="21"/>
                <w:u w:val="single"/>
              </w:rPr>
              <w:t xml:space="preserve"> </w:t>
            </w:r>
            <w:r>
              <w:rPr>
                <w:rFonts w:hint="eastAsia" w:ascii="宋体" w:hAnsi="宋体" w:cs="宋体"/>
                <w:szCs w:val="21"/>
              </w:rPr>
              <w:t>%。</w:t>
            </w:r>
          </w:p>
          <w:p w14:paraId="7E6472B2">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3、采购产品为《湖南省政府采购两型产品目录》内：</w:t>
            </w:r>
          </w:p>
          <w:p w14:paraId="0B9C5117">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（1）分别给予技术和价格项标准总分值4%-8%的加分，本项目具体加分比例分别为 ：技术</w:t>
            </w:r>
            <w:r>
              <w:rPr>
                <w:rFonts w:hint="eastAsia" w:ascii="宋体" w:hAnsi="宋体" w:cs="宋体"/>
                <w:szCs w:val="21"/>
                <w:u w:val="single"/>
              </w:rPr>
              <w:t xml:space="preserve"> / </w:t>
            </w:r>
            <w:r>
              <w:rPr>
                <w:rFonts w:hint="eastAsia" w:ascii="宋体" w:hAnsi="宋体" w:cs="宋体"/>
                <w:szCs w:val="21"/>
              </w:rPr>
              <w:t xml:space="preserve"> %、价格</w:t>
            </w:r>
            <w:r>
              <w:rPr>
                <w:rFonts w:hint="eastAsia" w:ascii="宋体" w:hAnsi="宋体" w:cs="宋体"/>
                <w:szCs w:val="21"/>
                <w:u w:val="single"/>
              </w:rPr>
              <w:t xml:space="preserve"> / </w:t>
            </w:r>
            <w:r>
              <w:rPr>
                <w:rFonts w:hint="eastAsia" w:ascii="宋体" w:hAnsi="宋体" w:cs="宋体"/>
                <w:szCs w:val="21"/>
              </w:rPr>
              <w:t>%。</w:t>
            </w:r>
          </w:p>
          <w:p w14:paraId="3BB1D271">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（2）对在本地设有生产基地和备品备件库、有售后服务机构和网点的两型产品，给予商务评标总分值4%-8%的加分，本项目具体加分比例为</w:t>
            </w:r>
            <w:r>
              <w:rPr>
                <w:rFonts w:hint="eastAsia" w:ascii="宋体" w:hAnsi="宋体" w:cs="宋体"/>
                <w:szCs w:val="21"/>
                <w:u w:val="single"/>
              </w:rPr>
              <w:t xml:space="preserve"> </w:t>
            </w:r>
            <w:r>
              <w:rPr>
                <w:rFonts w:hint="eastAsia" w:ascii="宋体" w:hAnsi="宋体" w:cs="宋体"/>
                <w:szCs w:val="21"/>
                <w:u w:val="single"/>
                <w:lang w:val="en-US" w:eastAsia="zh-CN"/>
              </w:rPr>
              <w:t>/</w:t>
            </w:r>
            <w:r>
              <w:rPr>
                <w:rFonts w:hint="eastAsia" w:ascii="宋体" w:hAnsi="宋体" w:cs="宋体"/>
                <w:szCs w:val="21"/>
                <w:u w:val="single"/>
              </w:rPr>
              <w:t xml:space="preserve"> </w:t>
            </w:r>
            <w:r>
              <w:rPr>
                <w:rFonts w:hint="eastAsia" w:ascii="宋体" w:hAnsi="宋体" w:cs="宋体"/>
                <w:szCs w:val="21"/>
              </w:rPr>
              <w:t xml:space="preserve"> %。</w:t>
            </w:r>
          </w:p>
          <w:p w14:paraId="137A7ABB">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4</w:t>
            </w:r>
            <w:r>
              <w:rPr>
                <w:rFonts w:hint="eastAsia" w:ascii="宋体" w:hAnsi="宋体" w:cs="宋体"/>
                <w:color w:val="FF0000"/>
                <w:szCs w:val="21"/>
              </w:rPr>
              <w:t>、</w:t>
            </w:r>
            <w:r>
              <w:rPr>
                <w:rFonts w:hint="eastAsia" w:ascii="宋体" w:hAnsi="宋体" w:cs="宋体"/>
                <w:b/>
                <w:bCs/>
                <w:szCs w:val="21"/>
              </w:rPr>
              <w:t>本项目专门面向中小企业采购</w:t>
            </w:r>
            <w:r>
              <w:rPr>
                <w:rFonts w:hint="eastAsia" w:ascii="宋体" w:hAnsi="宋体" w:cs="宋体"/>
                <w:szCs w:val="21"/>
              </w:rPr>
              <w:t>且符合政府采购促进中小企业发展相关规定的：</w:t>
            </w:r>
          </w:p>
          <w:p w14:paraId="706FA423">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（1）给予小型和微型企业报价给予10%-20%的扣除（工程项目6</w:t>
            </w:r>
            <w:r>
              <w:rPr>
                <w:rFonts w:hint="default" w:ascii="宋体" w:hAnsi="宋体" w:cs="宋体"/>
                <w:szCs w:val="21"/>
              </w:rPr>
              <w:t>%-10%</w:t>
            </w:r>
            <w:r>
              <w:rPr>
                <w:rFonts w:hint="eastAsia" w:ascii="宋体" w:hAnsi="宋体" w:cs="宋体"/>
                <w:szCs w:val="21"/>
              </w:rPr>
              <w:t>），用扣除后的价格参与评审，本项目具体扣除比例为</w:t>
            </w:r>
            <w:r>
              <w:rPr>
                <w:rFonts w:hint="default" w:ascii="宋体" w:hAnsi="宋体" w:cs="宋体"/>
                <w:szCs w:val="21"/>
                <w:u w:val="single"/>
              </w:rPr>
              <w:t>/</w:t>
            </w:r>
            <w:r>
              <w:rPr>
                <w:rFonts w:hint="eastAsia" w:ascii="宋体" w:hAnsi="宋体" w:cs="宋体"/>
                <w:szCs w:val="21"/>
              </w:rPr>
              <w:t>％；</w:t>
            </w:r>
          </w:p>
          <w:p w14:paraId="489F286F">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 xml:space="preserve">（2）给予联合体2%-3%的价格扣除，用扣除后的价格参与评审，本项目具体扣除比例为 </w:t>
            </w:r>
            <w:r>
              <w:rPr>
                <w:rFonts w:hint="eastAsia" w:ascii="宋体" w:hAnsi="宋体" w:cs="宋体"/>
                <w:szCs w:val="21"/>
                <w:u w:val="single"/>
              </w:rPr>
              <w:t xml:space="preserve"> / </w:t>
            </w:r>
            <w:r>
              <w:rPr>
                <w:rFonts w:hint="eastAsia" w:ascii="宋体" w:hAnsi="宋体" w:cs="宋体"/>
                <w:szCs w:val="21"/>
              </w:rPr>
              <w:t>％。</w:t>
            </w:r>
          </w:p>
        </w:tc>
      </w:tr>
      <w:tr w14:paraId="2627D3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4" w:hRule="atLeast"/>
          <w:jc w:val="center"/>
        </w:trPr>
        <w:tc>
          <w:tcPr>
            <w:tcW w:w="1758" w:type="dxa"/>
            <w:vMerge w:val="restart"/>
            <w:tcBorders>
              <w:top w:val="single" w:color="auto" w:sz="4" w:space="0"/>
            </w:tcBorders>
            <w:vAlign w:val="center"/>
          </w:tcPr>
          <w:p w14:paraId="70905B7D">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第二章第9.6款</w:t>
            </w:r>
          </w:p>
        </w:tc>
        <w:tc>
          <w:tcPr>
            <w:tcW w:w="2112" w:type="dxa"/>
            <w:tcBorders>
              <w:top w:val="single" w:color="auto" w:sz="4" w:space="0"/>
              <w:bottom w:val="single" w:color="auto" w:sz="4" w:space="0"/>
            </w:tcBorders>
            <w:vAlign w:val="center"/>
          </w:tcPr>
          <w:p w14:paraId="655A314E">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bCs/>
                <w:kern w:val="0"/>
                <w:szCs w:val="21"/>
              </w:rPr>
              <w:t>政府采购支持中小企业融资</w:t>
            </w:r>
          </w:p>
        </w:tc>
        <w:tc>
          <w:tcPr>
            <w:tcW w:w="6483" w:type="dxa"/>
            <w:tcBorders>
              <w:top w:val="single" w:color="auto" w:sz="4" w:space="0"/>
              <w:bottom w:val="single" w:color="auto" w:sz="4" w:space="0"/>
            </w:tcBorders>
            <w:vAlign w:val="center"/>
          </w:tcPr>
          <w:p w14:paraId="7FE01955">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有融资需求的，可向本附表附页1所列银行咨询或登陆中国湖南政府采购网查询。</w:t>
            </w:r>
          </w:p>
        </w:tc>
      </w:tr>
      <w:tr w14:paraId="118908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6" w:hRule="atLeast"/>
          <w:jc w:val="center"/>
        </w:trPr>
        <w:tc>
          <w:tcPr>
            <w:tcW w:w="1758" w:type="dxa"/>
            <w:vMerge w:val="continue"/>
            <w:vAlign w:val="center"/>
          </w:tcPr>
          <w:p w14:paraId="50DD2DC7">
            <w:pPr>
              <w:keepNext w:val="0"/>
              <w:keepLines w:val="0"/>
              <w:suppressLineNumbers w:val="0"/>
              <w:spacing w:before="0" w:beforeAutospacing="0" w:after="0" w:afterAutospacing="0"/>
              <w:ind w:left="0" w:right="0"/>
              <w:rPr>
                <w:rFonts w:hint="default" w:ascii="宋体" w:hAnsi="宋体" w:cs="宋体"/>
                <w:szCs w:val="21"/>
              </w:rPr>
            </w:pPr>
          </w:p>
        </w:tc>
        <w:tc>
          <w:tcPr>
            <w:tcW w:w="2112" w:type="dxa"/>
            <w:vAlign w:val="center"/>
          </w:tcPr>
          <w:p w14:paraId="74DCC02C">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bCs/>
                <w:kern w:val="0"/>
                <w:szCs w:val="21"/>
              </w:rPr>
              <w:t>政府采购信用担保</w:t>
            </w:r>
          </w:p>
        </w:tc>
        <w:tc>
          <w:tcPr>
            <w:tcW w:w="6483" w:type="dxa"/>
            <w:vAlign w:val="center"/>
          </w:tcPr>
          <w:p w14:paraId="0502B71F">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有履约担保或融资担保需求的，可向本附表附页2所列担保机构咨询或登陆中国湖南政府采购网查询，格式见附页3。</w:t>
            </w:r>
          </w:p>
        </w:tc>
      </w:tr>
      <w:tr w14:paraId="6424FF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8" w:hRule="atLeast"/>
          <w:jc w:val="center"/>
        </w:trPr>
        <w:tc>
          <w:tcPr>
            <w:tcW w:w="10353" w:type="dxa"/>
            <w:gridSpan w:val="3"/>
            <w:vAlign w:val="center"/>
          </w:tcPr>
          <w:p w14:paraId="2729BD8E">
            <w:pPr>
              <w:keepNext w:val="0"/>
              <w:keepLines w:val="0"/>
              <w:suppressLineNumbers w:val="0"/>
              <w:spacing w:before="0" w:beforeAutospacing="0" w:after="0" w:afterAutospacing="0"/>
              <w:ind w:left="0" w:right="0"/>
              <w:rPr>
                <w:rFonts w:hint="default" w:ascii="宋体" w:hAnsi="宋体" w:cs="宋体"/>
                <w:b/>
                <w:szCs w:val="21"/>
              </w:rPr>
            </w:pPr>
            <w:r>
              <w:rPr>
                <w:rFonts w:hint="eastAsia" w:ascii="宋体" w:hAnsi="宋体" w:cs="宋体"/>
                <w:b/>
                <w:szCs w:val="21"/>
              </w:rPr>
              <w:t>二、磋商文件</w:t>
            </w:r>
          </w:p>
        </w:tc>
      </w:tr>
      <w:tr w14:paraId="73C2B4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1" w:hRule="atLeast"/>
          <w:jc w:val="center"/>
        </w:trPr>
        <w:tc>
          <w:tcPr>
            <w:tcW w:w="1758" w:type="dxa"/>
            <w:vAlign w:val="center"/>
          </w:tcPr>
          <w:p w14:paraId="0D3574A7">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第二章第10.2款</w:t>
            </w:r>
          </w:p>
        </w:tc>
        <w:tc>
          <w:tcPr>
            <w:tcW w:w="2112" w:type="dxa"/>
            <w:vAlign w:val="center"/>
          </w:tcPr>
          <w:p w14:paraId="131E9D07">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磋商文件的可能实质性变动内容</w:t>
            </w:r>
          </w:p>
        </w:tc>
        <w:tc>
          <w:tcPr>
            <w:tcW w:w="6483" w:type="dxa"/>
            <w:vAlign w:val="center"/>
          </w:tcPr>
          <w:p w14:paraId="640560C1">
            <w:pPr>
              <w:keepNext w:val="0"/>
              <w:keepLines w:val="0"/>
              <w:suppressLineNumbers w:val="0"/>
              <w:adjustRightInd w:val="0"/>
              <w:snapToGrid w:val="0"/>
              <w:spacing w:before="0" w:beforeAutospacing="0" w:after="0" w:afterAutospacing="0"/>
              <w:ind w:left="0" w:right="0"/>
              <w:rPr>
                <w:rFonts w:hint="default" w:ascii="宋体" w:hAnsi="宋体"/>
                <w:color w:val="auto"/>
                <w:szCs w:val="21"/>
              </w:rPr>
            </w:pPr>
            <w:r>
              <w:rPr>
                <w:rFonts w:hint="eastAsia" w:ascii="宋体" w:hAnsi="宋体"/>
                <w:color w:val="auto"/>
                <w:szCs w:val="21"/>
              </w:rPr>
              <w:t>1、质量要求；</w:t>
            </w:r>
          </w:p>
          <w:p w14:paraId="025AE032">
            <w:pPr>
              <w:keepNext w:val="0"/>
              <w:keepLines w:val="0"/>
              <w:suppressLineNumbers w:val="0"/>
              <w:spacing w:before="0" w:beforeAutospacing="0" w:after="0" w:afterAutospacing="0"/>
              <w:ind w:left="0" w:right="0"/>
              <w:jc w:val="left"/>
              <w:rPr>
                <w:rFonts w:hint="default" w:ascii="宋体" w:hAnsi="宋体" w:cs="宋体"/>
                <w:color w:val="auto"/>
                <w:szCs w:val="21"/>
              </w:rPr>
            </w:pPr>
            <w:r>
              <w:rPr>
                <w:rFonts w:hint="eastAsia" w:ascii="宋体" w:hAnsi="宋体"/>
                <w:color w:val="auto"/>
                <w:szCs w:val="21"/>
              </w:rPr>
              <w:t>2、合同条款；</w:t>
            </w:r>
          </w:p>
        </w:tc>
      </w:tr>
      <w:tr w14:paraId="7035DA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jc w:val="center"/>
        </w:trPr>
        <w:tc>
          <w:tcPr>
            <w:tcW w:w="1758" w:type="dxa"/>
            <w:vAlign w:val="center"/>
          </w:tcPr>
          <w:p w14:paraId="25EA7780">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第二章第11.1款</w:t>
            </w:r>
          </w:p>
        </w:tc>
        <w:tc>
          <w:tcPr>
            <w:tcW w:w="2112" w:type="dxa"/>
            <w:vAlign w:val="center"/>
          </w:tcPr>
          <w:p w14:paraId="68896803">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提供磋商文件期限</w:t>
            </w:r>
          </w:p>
        </w:tc>
        <w:tc>
          <w:tcPr>
            <w:tcW w:w="6483" w:type="dxa"/>
            <w:vAlign w:val="center"/>
          </w:tcPr>
          <w:p w14:paraId="64E05241">
            <w:pPr>
              <w:keepNext w:val="0"/>
              <w:keepLines w:val="0"/>
              <w:suppressLineNumbers w:val="0"/>
              <w:spacing w:before="0" w:beforeAutospacing="0" w:after="0" w:afterAutospacing="0"/>
              <w:ind w:left="0" w:right="0"/>
              <w:jc w:val="left"/>
              <w:rPr>
                <w:rFonts w:hint="default" w:ascii="宋体" w:hAnsi="宋体" w:cs="宋体"/>
                <w:color w:val="auto"/>
                <w:szCs w:val="21"/>
              </w:rPr>
            </w:pPr>
            <w:r>
              <w:rPr>
                <w:rFonts w:hint="eastAsia" w:ascii="宋体" w:hAnsi="宋体" w:cs="宋体"/>
                <w:color w:val="auto"/>
                <w:szCs w:val="21"/>
                <w:u w:val="single"/>
              </w:rPr>
              <w:t>202</w:t>
            </w:r>
            <w:r>
              <w:rPr>
                <w:rFonts w:hint="eastAsia" w:ascii="宋体" w:hAnsi="宋体" w:cs="宋体"/>
                <w:color w:val="auto"/>
                <w:szCs w:val="21"/>
                <w:u w:val="single"/>
                <w:lang w:val="en-US" w:eastAsia="zh-CN"/>
              </w:rPr>
              <w:t>6</w:t>
            </w:r>
            <w:r>
              <w:rPr>
                <w:rFonts w:hint="eastAsia" w:ascii="宋体" w:hAnsi="宋体" w:cs="宋体"/>
                <w:color w:val="auto"/>
                <w:szCs w:val="21"/>
              </w:rPr>
              <w:t>年</w:t>
            </w:r>
            <w:r>
              <w:rPr>
                <w:rFonts w:hint="eastAsia" w:ascii="宋体" w:hAnsi="宋体" w:cs="宋体"/>
                <w:color w:val="auto"/>
                <w:szCs w:val="21"/>
                <w:u w:val="single"/>
                <w:lang w:val="en-US" w:eastAsia="zh-CN"/>
              </w:rPr>
              <w:t>10</w:t>
            </w:r>
            <w:r>
              <w:rPr>
                <w:rFonts w:hint="eastAsia" w:ascii="宋体" w:hAnsi="宋体" w:cs="宋体"/>
                <w:color w:val="auto"/>
                <w:szCs w:val="21"/>
              </w:rPr>
              <w:t>月</w:t>
            </w:r>
            <w:r>
              <w:rPr>
                <w:rFonts w:hint="eastAsia" w:ascii="宋体" w:hAnsi="宋体" w:cs="宋体"/>
                <w:color w:val="auto"/>
                <w:szCs w:val="21"/>
                <w:u w:val="single"/>
                <w:lang w:val="en-US" w:eastAsia="zh-CN"/>
              </w:rPr>
              <w:t>14</w:t>
            </w:r>
            <w:r>
              <w:rPr>
                <w:rFonts w:hint="eastAsia" w:ascii="宋体" w:hAnsi="宋体" w:cs="宋体"/>
                <w:color w:val="auto"/>
                <w:szCs w:val="21"/>
              </w:rPr>
              <w:t>日至</w:t>
            </w:r>
            <w:r>
              <w:rPr>
                <w:rFonts w:hint="eastAsia"/>
                <w:color w:val="auto"/>
                <w:szCs w:val="21"/>
                <w:u w:val="single"/>
              </w:rPr>
              <w:t>202</w:t>
            </w:r>
            <w:r>
              <w:rPr>
                <w:rFonts w:hint="eastAsia"/>
                <w:color w:val="auto"/>
                <w:szCs w:val="21"/>
                <w:u w:val="single"/>
                <w:lang w:val="en-US" w:eastAsia="zh-CN"/>
              </w:rPr>
              <w:t>6</w:t>
            </w:r>
            <w:r>
              <w:rPr>
                <w:rFonts w:hint="default"/>
                <w:color w:val="auto"/>
                <w:szCs w:val="21"/>
              </w:rPr>
              <w:t>年</w:t>
            </w:r>
            <w:r>
              <w:rPr>
                <w:rFonts w:hint="eastAsia"/>
                <w:color w:val="auto"/>
                <w:szCs w:val="21"/>
                <w:u w:val="single"/>
                <w:lang w:val="en-US" w:eastAsia="zh-CN"/>
              </w:rPr>
              <w:t>10</w:t>
            </w:r>
            <w:r>
              <w:rPr>
                <w:rFonts w:hint="default"/>
                <w:color w:val="auto"/>
                <w:szCs w:val="21"/>
              </w:rPr>
              <w:t>月</w:t>
            </w:r>
            <w:r>
              <w:rPr>
                <w:rFonts w:hint="eastAsia"/>
                <w:color w:val="auto"/>
                <w:szCs w:val="21"/>
                <w:u w:val="single"/>
                <w:lang w:val="en-US" w:eastAsia="zh-CN"/>
              </w:rPr>
              <w:t>20</w:t>
            </w:r>
            <w:r>
              <w:rPr>
                <w:rFonts w:hint="default"/>
                <w:color w:val="auto"/>
                <w:szCs w:val="21"/>
              </w:rPr>
              <w:t>日</w:t>
            </w:r>
            <w:r>
              <w:rPr>
                <w:rFonts w:hint="eastAsia" w:ascii="宋体" w:hAnsi="宋体" w:cs="宋体"/>
                <w:color w:val="auto"/>
                <w:szCs w:val="21"/>
              </w:rPr>
              <w:t>（五个工作日）</w:t>
            </w:r>
          </w:p>
        </w:tc>
      </w:tr>
      <w:tr w14:paraId="4930B9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6" w:hRule="atLeast"/>
          <w:jc w:val="center"/>
        </w:trPr>
        <w:tc>
          <w:tcPr>
            <w:tcW w:w="1758" w:type="dxa"/>
            <w:vAlign w:val="center"/>
          </w:tcPr>
          <w:p w14:paraId="471E7ECA">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第二章第11.2款</w:t>
            </w:r>
          </w:p>
        </w:tc>
        <w:tc>
          <w:tcPr>
            <w:tcW w:w="2112" w:type="dxa"/>
            <w:vAlign w:val="center"/>
          </w:tcPr>
          <w:p w14:paraId="7055E04A">
            <w:pPr>
              <w:keepNext w:val="0"/>
              <w:keepLines w:val="0"/>
              <w:suppressLineNumbers w:val="0"/>
              <w:spacing w:before="0" w:beforeAutospacing="0" w:after="0" w:afterAutospacing="0"/>
              <w:ind w:left="0" w:right="0"/>
              <w:jc w:val="left"/>
              <w:rPr>
                <w:rFonts w:hint="default" w:ascii="宋体" w:hAnsi="宋体" w:cs="宋体"/>
                <w:szCs w:val="21"/>
              </w:rPr>
            </w:pPr>
            <w:r>
              <w:rPr>
                <w:rFonts w:hint="eastAsia" w:ascii="宋体" w:hAnsi="宋体" w:cs="宋体"/>
                <w:szCs w:val="21"/>
              </w:rPr>
              <w:t>领取或购买磋商文件时应提供的资料</w:t>
            </w:r>
          </w:p>
        </w:tc>
        <w:tc>
          <w:tcPr>
            <w:tcW w:w="6483" w:type="dxa"/>
            <w:vAlign w:val="center"/>
          </w:tcPr>
          <w:p w14:paraId="153539E5">
            <w:pPr>
              <w:keepNext w:val="0"/>
              <w:keepLines w:val="0"/>
              <w:suppressLineNumbers w:val="0"/>
              <w:spacing w:before="0" w:beforeAutospacing="0" w:after="0" w:afterAutospacing="0"/>
              <w:ind w:left="0" w:right="0"/>
              <w:jc w:val="left"/>
              <w:rPr>
                <w:rFonts w:hint="default" w:ascii="宋体" w:hAnsi="宋体" w:cs="宋体"/>
                <w:color w:val="auto"/>
                <w:szCs w:val="21"/>
                <w:u w:val="single"/>
              </w:rPr>
            </w:pPr>
            <w:r>
              <w:rPr>
                <w:rFonts w:hint="default"/>
                <w:b/>
                <w:bCs/>
                <w:color w:val="auto"/>
                <w:szCs w:val="21"/>
              </w:rPr>
              <w:t>持法定代表人身份证明或授权委托书(附法定代表人身份证明)、个人身份证</w:t>
            </w:r>
            <w:r>
              <w:rPr>
                <w:rFonts w:hint="eastAsia"/>
                <w:b/>
                <w:bCs/>
                <w:color w:val="auto"/>
                <w:szCs w:val="21"/>
              </w:rPr>
              <w:t>、</w:t>
            </w:r>
            <w:r>
              <w:rPr>
                <w:rFonts w:hint="default"/>
                <w:b/>
                <w:bCs/>
                <w:color w:val="auto"/>
                <w:szCs w:val="21"/>
              </w:rPr>
              <w:t>公司营业执照复印件加盖公章</w:t>
            </w:r>
            <w:r>
              <w:rPr>
                <w:rFonts w:hint="eastAsia"/>
                <w:b/>
                <w:bCs/>
                <w:color w:val="auto"/>
                <w:szCs w:val="21"/>
              </w:rPr>
              <w:t>。</w:t>
            </w:r>
          </w:p>
        </w:tc>
      </w:tr>
      <w:tr w14:paraId="54E603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8" w:hRule="atLeast"/>
          <w:jc w:val="center"/>
        </w:trPr>
        <w:tc>
          <w:tcPr>
            <w:tcW w:w="1758" w:type="dxa"/>
            <w:vAlign w:val="center"/>
          </w:tcPr>
          <w:p w14:paraId="4D0AF77A">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第二章第12.1款</w:t>
            </w:r>
          </w:p>
        </w:tc>
        <w:tc>
          <w:tcPr>
            <w:tcW w:w="2112" w:type="dxa"/>
            <w:vAlign w:val="center"/>
          </w:tcPr>
          <w:p w14:paraId="0C97B3FD">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提交首次响应文件的截止时间</w:t>
            </w:r>
          </w:p>
        </w:tc>
        <w:tc>
          <w:tcPr>
            <w:tcW w:w="6483" w:type="dxa"/>
            <w:vAlign w:val="center"/>
          </w:tcPr>
          <w:p w14:paraId="309F617F">
            <w:pPr>
              <w:keepNext w:val="0"/>
              <w:keepLines w:val="0"/>
              <w:suppressLineNumbers w:val="0"/>
              <w:spacing w:before="0" w:beforeAutospacing="0" w:after="0" w:afterAutospacing="0"/>
              <w:ind w:left="0" w:right="0"/>
              <w:jc w:val="left"/>
              <w:rPr>
                <w:rFonts w:hint="default" w:ascii="宋体" w:hAnsi="宋体" w:cs="宋体"/>
                <w:color w:val="auto"/>
                <w:szCs w:val="21"/>
              </w:rPr>
            </w:pPr>
            <w:r>
              <w:rPr>
                <w:rFonts w:hint="eastAsia" w:ascii="宋体" w:hAnsi="宋体" w:cs="宋体"/>
                <w:b/>
                <w:bCs/>
                <w:color w:val="auto"/>
                <w:szCs w:val="21"/>
                <w:u w:val="single"/>
              </w:rPr>
              <w:t>202</w:t>
            </w:r>
            <w:r>
              <w:rPr>
                <w:rFonts w:hint="eastAsia" w:ascii="宋体" w:hAnsi="宋体" w:cs="宋体"/>
                <w:b/>
                <w:bCs/>
                <w:color w:val="auto"/>
                <w:szCs w:val="21"/>
                <w:u w:val="single"/>
                <w:lang w:val="en-US" w:eastAsia="zh-CN"/>
              </w:rPr>
              <w:t>6</w:t>
            </w:r>
            <w:r>
              <w:rPr>
                <w:rFonts w:hint="eastAsia" w:ascii="宋体" w:hAnsi="宋体" w:cs="宋体"/>
                <w:b/>
                <w:bCs/>
                <w:color w:val="auto"/>
                <w:szCs w:val="21"/>
              </w:rPr>
              <w:t>年</w:t>
            </w:r>
            <w:r>
              <w:rPr>
                <w:rFonts w:hint="eastAsia" w:ascii="宋体" w:hAnsi="宋体" w:cs="宋体"/>
                <w:b/>
                <w:bCs/>
                <w:color w:val="auto"/>
                <w:szCs w:val="21"/>
                <w:u w:val="single"/>
                <w:lang w:val="en-US" w:eastAsia="zh-CN"/>
              </w:rPr>
              <w:t>10</w:t>
            </w:r>
            <w:r>
              <w:rPr>
                <w:rFonts w:hint="eastAsia" w:ascii="宋体" w:hAnsi="宋体" w:cs="宋体"/>
                <w:b/>
                <w:bCs/>
                <w:color w:val="auto"/>
                <w:szCs w:val="21"/>
              </w:rPr>
              <w:t>月</w:t>
            </w:r>
            <w:r>
              <w:rPr>
                <w:rFonts w:hint="eastAsia" w:ascii="宋体" w:hAnsi="宋体" w:cs="宋体"/>
                <w:b/>
                <w:bCs/>
                <w:color w:val="auto"/>
                <w:szCs w:val="21"/>
                <w:u w:val="single"/>
                <w:lang w:val="en-US" w:eastAsia="zh-CN"/>
              </w:rPr>
              <w:t>26</w:t>
            </w:r>
            <w:r>
              <w:rPr>
                <w:rFonts w:hint="eastAsia" w:ascii="宋体" w:hAnsi="宋体" w:cs="宋体"/>
                <w:b/>
                <w:bCs/>
                <w:color w:val="auto"/>
                <w:szCs w:val="21"/>
              </w:rPr>
              <w:t>日</w:t>
            </w:r>
            <w:r>
              <w:rPr>
                <w:rFonts w:hint="eastAsia" w:ascii="宋体" w:hAnsi="宋体" w:cs="宋体"/>
                <w:b/>
                <w:bCs/>
                <w:color w:val="auto"/>
                <w:szCs w:val="21"/>
                <w:u w:val="single"/>
                <w:lang w:val="en-US" w:eastAsia="zh-CN"/>
              </w:rPr>
              <w:t>09</w:t>
            </w:r>
            <w:r>
              <w:rPr>
                <w:rFonts w:hint="eastAsia" w:ascii="宋体" w:hAnsi="宋体" w:cs="宋体"/>
                <w:b/>
                <w:bCs/>
                <w:color w:val="auto"/>
                <w:szCs w:val="21"/>
              </w:rPr>
              <w:t>时</w:t>
            </w:r>
            <w:r>
              <w:rPr>
                <w:rFonts w:hint="eastAsia" w:ascii="宋体" w:hAnsi="宋体" w:cs="宋体"/>
                <w:b/>
                <w:bCs/>
                <w:color w:val="auto"/>
                <w:szCs w:val="21"/>
                <w:u w:val="single"/>
              </w:rPr>
              <w:t>00</w:t>
            </w:r>
            <w:r>
              <w:rPr>
                <w:rFonts w:hint="eastAsia" w:ascii="宋体" w:hAnsi="宋体" w:cs="宋体"/>
                <w:b/>
                <w:bCs/>
                <w:color w:val="auto"/>
                <w:szCs w:val="21"/>
              </w:rPr>
              <w:t>分(北京时间)</w:t>
            </w:r>
          </w:p>
        </w:tc>
      </w:tr>
      <w:tr w14:paraId="5DFFDF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353" w:type="dxa"/>
            <w:gridSpan w:val="3"/>
            <w:vAlign w:val="center"/>
          </w:tcPr>
          <w:p w14:paraId="000229F9">
            <w:pPr>
              <w:keepNext w:val="0"/>
              <w:keepLines w:val="0"/>
              <w:suppressLineNumbers w:val="0"/>
              <w:spacing w:before="0" w:beforeAutospacing="0" w:after="0" w:afterAutospacing="0"/>
              <w:ind w:left="0" w:right="0"/>
              <w:rPr>
                <w:rFonts w:hint="default" w:ascii="宋体" w:hAnsi="宋体" w:cs="宋体"/>
                <w:color w:val="auto"/>
                <w:szCs w:val="21"/>
              </w:rPr>
            </w:pPr>
            <w:r>
              <w:rPr>
                <w:rFonts w:hint="eastAsia" w:ascii="宋体" w:hAnsi="宋体" w:cs="宋体"/>
                <w:b/>
                <w:color w:val="auto"/>
                <w:szCs w:val="21"/>
              </w:rPr>
              <w:t>三、响应文件的编写</w:t>
            </w:r>
          </w:p>
        </w:tc>
      </w:tr>
      <w:tr w14:paraId="116571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8" w:hRule="atLeast"/>
          <w:jc w:val="center"/>
        </w:trPr>
        <w:tc>
          <w:tcPr>
            <w:tcW w:w="1758" w:type="dxa"/>
            <w:vAlign w:val="center"/>
          </w:tcPr>
          <w:p w14:paraId="48C5CBDD">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第二章第1</w:t>
            </w:r>
            <w:r>
              <w:rPr>
                <w:rFonts w:hint="eastAsia" w:ascii="宋体" w:hAnsi="宋体" w:cs="宋体"/>
                <w:szCs w:val="21"/>
                <w:lang w:val="en-US" w:eastAsia="zh-CN"/>
              </w:rPr>
              <w:t>5</w:t>
            </w:r>
            <w:r>
              <w:rPr>
                <w:rFonts w:hint="eastAsia" w:ascii="宋体" w:hAnsi="宋体" w:cs="宋体"/>
                <w:szCs w:val="21"/>
              </w:rPr>
              <w:t>.</w:t>
            </w:r>
            <w:r>
              <w:rPr>
                <w:rFonts w:hint="eastAsia" w:ascii="宋体" w:hAnsi="宋体" w:cs="宋体"/>
                <w:szCs w:val="21"/>
                <w:lang w:val="en-US" w:eastAsia="zh-CN"/>
              </w:rPr>
              <w:t>3</w:t>
            </w:r>
            <w:r>
              <w:rPr>
                <w:rFonts w:hint="eastAsia" w:ascii="宋体" w:hAnsi="宋体" w:cs="宋体"/>
                <w:szCs w:val="21"/>
              </w:rPr>
              <w:t>款</w:t>
            </w:r>
          </w:p>
        </w:tc>
        <w:tc>
          <w:tcPr>
            <w:tcW w:w="2112" w:type="dxa"/>
            <w:vAlign w:val="center"/>
          </w:tcPr>
          <w:p w14:paraId="546DE85B">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采购项目预算</w:t>
            </w:r>
          </w:p>
        </w:tc>
        <w:tc>
          <w:tcPr>
            <w:tcW w:w="6483" w:type="dxa"/>
            <w:vAlign w:val="center"/>
          </w:tcPr>
          <w:p w14:paraId="0C08ADA9">
            <w:pPr>
              <w:keepNext w:val="0"/>
              <w:keepLines w:val="0"/>
              <w:suppressLineNumbers w:val="0"/>
              <w:spacing w:before="0" w:beforeAutospacing="0" w:after="0" w:afterAutospacing="0"/>
              <w:ind w:left="0" w:right="0"/>
              <w:jc w:val="left"/>
              <w:rPr>
                <w:rFonts w:hint="eastAsia" w:ascii="宋体" w:hAnsi="宋体" w:eastAsia="宋体" w:cs="宋体"/>
                <w:color w:val="auto"/>
                <w:szCs w:val="21"/>
                <w:lang w:eastAsia="zh-CN"/>
              </w:rPr>
            </w:pPr>
            <w:r>
              <w:rPr>
                <w:rFonts w:hint="eastAsia" w:ascii="宋体" w:hAnsi="宋体" w:cs="宋体"/>
                <w:b/>
                <w:bCs/>
                <w:color w:val="auto"/>
                <w:szCs w:val="21"/>
                <w:lang w:val="en-US" w:eastAsia="zh-CN"/>
              </w:rPr>
              <w:t>最高投标限价为：1773048.18</w:t>
            </w:r>
            <w:r>
              <w:rPr>
                <w:rFonts w:hint="eastAsia" w:ascii="宋体" w:hAnsi="宋体" w:cs="宋体"/>
                <w:b/>
                <w:bCs/>
                <w:color w:val="auto"/>
                <w:szCs w:val="21"/>
              </w:rPr>
              <w:t>元</w:t>
            </w:r>
          </w:p>
        </w:tc>
      </w:tr>
      <w:tr w14:paraId="343ABB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30" w:hRule="atLeast"/>
          <w:jc w:val="center"/>
        </w:trPr>
        <w:tc>
          <w:tcPr>
            <w:tcW w:w="1758" w:type="dxa"/>
            <w:vAlign w:val="center"/>
          </w:tcPr>
          <w:p w14:paraId="247C20F5">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w:t>
            </w:r>
            <w:r>
              <w:rPr>
                <w:rFonts w:hint="eastAsia" w:ascii="宋体" w:hAnsi="宋体" w:cs="宋体"/>
                <w:szCs w:val="21"/>
                <w:lang w:val="en-US" w:eastAsia="zh-CN"/>
              </w:rPr>
              <w:t>17.3</w:t>
            </w:r>
            <w:r>
              <w:rPr>
                <w:rFonts w:hint="eastAsia" w:ascii="宋体" w:hAnsi="宋体" w:cs="宋体"/>
                <w:szCs w:val="21"/>
              </w:rPr>
              <w:t>款</w:t>
            </w:r>
          </w:p>
        </w:tc>
        <w:tc>
          <w:tcPr>
            <w:tcW w:w="2112" w:type="dxa"/>
            <w:vAlign w:val="center"/>
          </w:tcPr>
          <w:p w14:paraId="62F4604A">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磋商保证金</w:t>
            </w:r>
          </w:p>
        </w:tc>
        <w:tc>
          <w:tcPr>
            <w:tcW w:w="6483" w:type="dxa"/>
            <w:vAlign w:val="center"/>
          </w:tcPr>
          <w:p w14:paraId="7B01B3A0">
            <w:pPr>
              <w:keepNext w:val="0"/>
              <w:keepLines w:val="0"/>
              <w:suppressLineNumbers w:val="0"/>
              <w:spacing w:before="0" w:beforeAutospacing="0" w:after="0" w:afterAutospacing="0" w:line="440" w:lineRule="exact"/>
              <w:ind w:left="0" w:right="0"/>
              <w:rPr>
                <w:rFonts w:hint="default"/>
                <w:color w:val="auto"/>
              </w:rPr>
            </w:pPr>
            <w:r>
              <w:rPr>
                <w:rFonts w:hint="eastAsia"/>
                <w:color w:val="auto"/>
                <w:lang w:eastAsia="zh-CN"/>
              </w:rPr>
              <w:t>☑</w:t>
            </w:r>
            <w:r>
              <w:rPr>
                <w:rFonts w:hint="eastAsia"/>
                <w:color w:val="auto"/>
              </w:rPr>
              <w:t xml:space="preserve"> 不要求提供</w:t>
            </w:r>
          </w:p>
          <w:p w14:paraId="44B14BEE">
            <w:pPr>
              <w:keepNext w:val="0"/>
              <w:keepLines w:val="0"/>
              <w:suppressLineNumbers w:val="0"/>
              <w:spacing w:before="0" w:beforeAutospacing="0" w:after="0" w:afterAutospacing="0" w:line="440" w:lineRule="exact"/>
              <w:ind w:left="0" w:right="0"/>
              <w:rPr>
                <w:rFonts w:hint="default"/>
                <w:color w:val="auto"/>
              </w:rPr>
            </w:pPr>
            <w:r>
              <w:rPr>
                <w:rFonts w:hint="eastAsia" w:ascii="Segoe UI Symbol" w:hAnsi="Segoe UI Symbol" w:cs="Segoe UI Symbol"/>
                <w:color w:val="auto"/>
                <w:szCs w:val="21"/>
                <w:lang w:eastAsia="zh-CN"/>
              </w:rPr>
              <w:t>□</w:t>
            </w:r>
            <w:r>
              <w:rPr>
                <w:rFonts w:hint="eastAsia"/>
                <w:color w:val="auto"/>
              </w:rPr>
              <w:t> 要求提供</w:t>
            </w:r>
          </w:p>
          <w:p w14:paraId="6B6C5A55">
            <w:pPr>
              <w:keepNext w:val="0"/>
              <w:keepLines w:val="0"/>
              <w:suppressLineNumbers w:val="0"/>
              <w:spacing w:before="0" w:beforeAutospacing="0" w:after="0" w:afterAutospacing="0" w:line="440" w:lineRule="exact"/>
              <w:ind w:left="0" w:right="0"/>
              <w:jc w:val="left"/>
              <w:rPr>
                <w:rFonts w:hint="default"/>
                <w:color w:val="auto"/>
              </w:rPr>
            </w:pPr>
            <w:r>
              <w:rPr>
                <w:rFonts w:hint="eastAsia"/>
                <w:color w:val="auto"/>
              </w:rPr>
              <w:t>1</w:t>
            </w:r>
            <w:r>
              <w:rPr>
                <w:rFonts w:hint="eastAsia"/>
                <w:b/>
                <w:bCs/>
                <w:color w:val="auto"/>
              </w:rPr>
              <w:t>、投标保证金数额：</w:t>
            </w:r>
            <w:r>
              <w:rPr>
                <w:rFonts w:hint="eastAsia"/>
                <w:b/>
                <w:bCs/>
                <w:color w:val="auto"/>
                <w:u w:val="single"/>
                <w:lang w:val="en-US" w:eastAsia="zh-CN"/>
              </w:rPr>
              <w:t xml:space="preserve">   /   </w:t>
            </w:r>
            <w:r>
              <w:rPr>
                <w:rFonts w:hint="eastAsia"/>
                <w:b/>
                <w:bCs/>
                <w:color w:val="auto"/>
              </w:rPr>
              <w:t>元整（</w:t>
            </w:r>
            <w:r>
              <w:rPr>
                <w:rFonts w:hint="eastAsia"/>
                <w:b/>
                <w:bCs/>
                <w:color w:val="auto"/>
                <w:u w:val="single"/>
                <w:lang w:val="en-US" w:eastAsia="zh-CN"/>
              </w:rPr>
              <w:t xml:space="preserve">   /    </w:t>
            </w:r>
            <w:r>
              <w:rPr>
                <w:rFonts w:hint="eastAsia"/>
                <w:b/>
                <w:bCs/>
                <w:color w:val="auto"/>
              </w:rPr>
              <w:t>元）</w:t>
            </w:r>
          </w:p>
          <w:p w14:paraId="2FB68E09">
            <w:pPr>
              <w:keepNext w:val="0"/>
              <w:keepLines w:val="0"/>
              <w:suppressLineNumbers w:val="0"/>
              <w:spacing w:before="0" w:beforeAutospacing="0" w:after="0" w:afterAutospacing="0" w:line="440" w:lineRule="exact"/>
              <w:ind w:left="0" w:right="0"/>
              <w:rPr>
                <w:rFonts w:hint="default" w:ascii="宋体" w:hAnsi="宋体" w:cs="宋体"/>
                <w:color w:val="auto"/>
                <w:szCs w:val="21"/>
              </w:rPr>
            </w:pPr>
            <w:r>
              <w:rPr>
                <w:rFonts w:hint="eastAsia"/>
                <w:color w:val="auto"/>
              </w:rPr>
              <w:t>2、缴纳</w:t>
            </w:r>
            <w:r>
              <w:rPr>
                <w:rFonts w:hint="eastAsia" w:ascii="宋体" w:hAnsi="宋体" w:cs="宋体"/>
                <w:color w:val="auto"/>
                <w:szCs w:val="21"/>
              </w:rPr>
              <w:t>方式：保证金要求以银行电汇、转帐等非现金方式提交,要求在投标时间截止前从各投标单位基本账户转帐并到帐投标保证金托管账户，在进账单用途栏或备注栏中注明所投标的项目名称（或项目编号），否则将被认定为没有提交投标保证金。</w:t>
            </w:r>
          </w:p>
          <w:p w14:paraId="14245F93">
            <w:pPr>
              <w:keepNext w:val="0"/>
              <w:keepLines w:val="0"/>
              <w:suppressLineNumbers w:val="0"/>
              <w:spacing w:before="0" w:beforeAutospacing="0" w:after="0" w:afterAutospacing="0"/>
              <w:ind w:left="0" w:right="0"/>
              <w:rPr>
                <w:rFonts w:hint="default" w:ascii="宋体" w:hAnsi="宋体" w:cs="宋体"/>
                <w:color w:val="auto"/>
                <w:szCs w:val="21"/>
              </w:rPr>
            </w:pPr>
            <w:r>
              <w:rPr>
                <w:rFonts w:hint="eastAsia" w:ascii="宋体" w:hAnsi="宋体" w:cs="宋体"/>
                <w:color w:val="auto"/>
                <w:szCs w:val="21"/>
              </w:rPr>
              <w:t>3、保证金账号：</w:t>
            </w:r>
          </w:p>
          <w:p w14:paraId="46D1B8D8">
            <w:pPr>
              <w:keepNext w:val="0"/>
              <w:keepLines w:val="0"/>
              <w:suppressLineNumbers w:val="0"/>
              <w:tabs>
                <w:tab w:val="left" w:pos="7627"/>
              </w:tabs>
              <w:autoSpaceDE w:val="0"/>
              <w:autoSpaceDN w:val="0"/>
              <w:spacing w:before="0" w:beforeAutospacing="0" w:after="0" w:afterAutospacing="0" w:line="340" w:lineRule="exact"/>
              <w:ind w:left="0" w:right="0"/>
              <w:textAlignment w:val="bottom"/>
              <w:rPr>
                <w:rFonts w:hint="eastAsia" w:ascii="宋体" w:hAnsi="宋体" w:eastAsia="宋体" w:cs="宋体"/>
                <w:color w:val="auto"/>
                <w:szCs w:val="21"/>
                <w:u w:val="single"/>
                <w:lang w:eastAsia="zh-CN"/>
              </w:rPr>
            </w:pPr>
            <w:r>
              <w:rPr>
                <w:rFonts w:hint="eastAsia" w:ascii="宋体" w:hAnsi="宋体" w:cs="宋体"/>
                <w:color w:val="auto"/>
                <w:szCs w:val="21"/>
              </w:rPr>
              <w:t>保证金汇至：</w:t>
            </w:r>
            <w:r>
              <w:rPr>
                <w:rFonts w:hint="eastAsia" w:ascii="宋体" w:hAnsi="宋体"/>
                <w:color w:val="auto"/>
                <w:position w:val="4"/>
                <w:szCs w:val="21"/>
                <w:u w:val="single"/>
                <w:lang w:val="en-US" w:eastAsia="zh-CN"/>
              </w:rPr>
              <w:t>/</w:t>
            </w:r>
          </w:p>
          <w:p w14:paraId="103A42D0">
            <w:pPr>
              <w:keepNext w:val="0"/>
              <w:keepLines w:val="0"/>
              <w:suppressLineNumbers w:val="0"/>
              <w:tabs>
                <w:tab w:val="left" w:pos="7627"/>
              </w:tabs>
              <w:autoSpaceDE w:val="0"/>
              <w:autoSpaceDN w:val="0"/>
              <w:spacing w:before="0" w:beforeAutospacing="0" w:after="0" w:afterAutospacing="0" w:line="340" w:lineRule="exact"/>
              <w:ind w:left="0" w:right="0"/>
              <w:textAlignment w:val="bottom"/>
              <w:rPr>
                <w:rFonts w:hint="eastAsia" w:ascii="宋体" w:hAnsi="宋体" w:eastAsia="宋体" w:cs="宋体"/>
                <w:color w:val="auto"/>
                <w:szCs w:val="21"/>
                <w:u w:val="single"/>
                <w:lang w:eastAsia="zh-CN"/>
              </w:rPr>
            </w:pPr>
            <w:r>
              <w:rPr>
                <w:rFonts w:hint="eastAsia" w:ascii="宋体" w:hAnsi="宋体" w:cs="宋体"/>
                <w:color w:val="auto"/>
                <w:szCs w:val="21"/>
              </w:rPr>
              <w:t>开 户 行：</w:t>
            </w:r>
            <w:r>
              <w:rPr>
                <w:rFonts w:hint="eastAsia" w:ascii="新宋体" w:hAnsi="新宋体" w:eastAsia="新宋体" w:cs="新宋体"/>
                <w:color w:val="000000"/>
                <w:kern w:val="0"/>
                <w:szCs w:val="21"/>
                <w:u w:val="single"/>
                <w:lang w:val="en-US" w:eastAsia="zh-CN"/>
              </w:rPr>
              <w:t>/</w:t>
            </w:r>
          </w:p>
          <w:p w14:paraId="1C37B83A">
            <w:pPr>
              <w:pStyle w:val="26"/>
              <w:keepNext w:val="0"/>
              <w:keepLines w:val="0"/>
              <w:suppressLineNumbers w:val="0"/>
              <w:adjustRightInd w:val="0"/>
              <w:snapToGrid w:val="0"/>
              <w:spacing w:before="0" w:beforeAutospacing="0" w:after="0" w:afterAutospacing="0" w:line="360" w:lineRule="auto"/>
              <w:ind w:left="0" w:right="0"/>
              <w:jc w:val="left"/>
              <w:rPr>
                <w:rFonts w:hint="eastAsia" w:hAnsi="宋体" w:eastAsia="宋体" w:cs="宋体"/>
                <w:color w:val="auto"/>
                <w:u w:val="single"/>
                <w:lang w:eastAsia="zh-CN"/>
              </w:rPr>
            </w:pPr>
            <w:r>
              <w:rPr>
                <w:rFonts w:hint="eastAsia" w:hAnsi="宋体" w:cs="宋体"/>
                <w:color w:val="auto"/>
              </w:rPr>
              <w:t>银行帐号：</w:t>
            </w:r>
            <w:r>
              <w:rPr>
                <w:rFonts w:hint="eastAsia" w:ascii="新宋体" w:hAnsi="新宋体" w:eastAsia="新宋体" w:cs="新宋体"/>
                <w:color w:val="auto"/>
                <w:kern w:val="0"/>
                <w:u w:val="single"/>
                <w:lang w:val="en-US" w:eastAsia="zh-CN"/>
              </w:rPr>
              <w:t>/</w:t>
            </w:r>
          </w:p>
          <w:p w14:paraId="094A8023">
            <w:pPr>
              <w:pStyle w:val="26"/>
              <w:keepNext w:val="0"/>
              <w:keepLines w:val="0"/>
              <w:suppressLineNumbers w:val="0"/>
              <w:adjustRightInd w:val="0"/>
              <w:snapToGrid w:val="0"/>
              <w:spacing w:before="0" w:beforeAutospacing="0" w:after="0" w:afterAutospacing="0" w:line="360" w:lineRule="auto"/>
              <w:ind w:left="0" w:right="0"/>
              <w:jc w:val="left"/>
              <w:rPr>
                <w:rFonts w:hint="default" w:hAnsi="宋体" w:cs="宋体"/>
                <w:color w:val="auto"/>
                <w:u w:val="single"/>
              </w:rPr>
            </w:pPr>
            <w:r>
              <w:rPr>
                <w:rFonts w:hint="eastAsia" w:hAnsi="宋体" w:cs="宋体"/>
                <w:color w:val="auto"/>
              </w:rPr>
              <w:t>4、注明项目名称</w:t>
            </w:r>
          </w:p>
        </w:tc>
      </w:tr>
      <w:tr w14:paraId="660C6D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jc w:val="center"/>
        </w:trPr>
        <w:tc>
          <w:tcPr>
            <w:tcW w:w="1758" w:type="dxa"/>
            <w:vAlign w:val="center"/>
          </w:tcPr>
          <w:p w14:paraId="152FEC70">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w:t>
            </w:r>
            <w:r>
              <w:rPr>
                <w:rFonts w:hint="eastAsia" w:ascii="宋体" w:hAnsi="宋体" w:cs="宋体"/>
                <w:szCs w:val="21"/>
                <w:lang w:val="en-US" w:eastAsia="zh-CN"/>
              </w:rPr>
              <w:t>18</w:t>
            </w:r>
            <w:r>
              <w:rPr>
                <w:rFonts w:hint="eastAsia" w:ascii="宋体" w:hAnsi="宋体" w:cs="宋体"/>
                <w:szCs w:val="21"/>
              </w:rPr>
              <w:t>.1款</w:t>
            </w:r>
          </w:p>
        </w:tc>
        <w:tc>
          <w:tcPr>
            <w:tcW w:w="2112" w:type="dxa"/>
            <w:vAlign w:val="center"/>
          </w:tcPr>
          <w:p w14:paraId="5DE2A033">
            <w:pPr>
              <w:keepNext w:val="0"/>
              <w:keepLines w:val="0"/>
              <w:suppressLineNumbers w:val="0"/>
              <w:spacing w:before="0" w:beforeAutospacing="0" w:after="0" w:afterAutospacing="0"/>
              <w:ind w:left="0" w:right="0"/>
              <w:jc w:val="center"/>
              <w:rPr>
                <w:rFonts w:hint="default" w:ascii="宋体" w:hAnsi="宋体" w:cs="宋体"/>
                <w:bCs/>
                <w:szCs w:val="21"/>
              </w:rPr>
            </w:pPr>
            <w:r>
              <w:rPr>
                <w:rFonts w:hint="eastAsia" w:ascii="宋体" w:hAnsi="宋体" w:cs="宋体"/>
                <w:bCs/>
                <w:szCs w:val="21"/>
              </w:rPr>
              <w:t>响应文件有效期</w:t>
            </w:r>
          </w:p>
        </w:tc>
        <w:tc>
          <w:tcPr>
            <w:tcW w:w="6483" w:type="dxa"/>
            <w:vAlign w:val="center"/>
          </w:tcPr>
          <w:p w14:paraId="544AD7AD">
            <w:pPr>
              <w:keepNext w:val="0"/>
              <w:keepLines w:val="0"/>
              <w:suppressLineNumbers w:val="0"/>
              <w:spacing w:before="0" w:beforeAutospacing="0" w:after="0" w:afterAutospacing="0"/>
              <w:ind w:left="0" w:right="0"/>
              <w:rPr>
                <w:rFonts w:hint="default" w:ascii="宋体" w:hAnsi="宋体" w:cs="宋体"/>
                <w:bCs/>
                <w:szCs w:val="21"/>
              </w:rPr>
            </w:pPr>
            <w:r>
              <w:rPr>
                <w:rFonts w:hint="eastAsia" w:ascii="宋体" w:hAnsi="宋体" w:cs="宋体"/>
                <w:b/>
                <w:bCs/>
                <w:szCs w:val="21"/>
              </w:rPr>
              <w:t>90天</w:t>
            </w:r>
            <w:r>
              <w:rPr>
                <w:rFonts w:hint="eastAsia" w:ascii="宋体" w:hAnsi="宋体" w:cs="宋体"/>
                <w:szCs w:val="21"/>
              </w:rPr>
              <w:t>（从磋商响应文件递交截止之日算起）</w:t>
            </w:r>
          </w:p>
        </w:tc>
      </w:tr>
      <w:tr w14:paraId="4472FF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758" w:type="dxa"/>
            <w:vAlign w:val="center"/>
          </w:tcPr>
          <w:p w14:paraId="1A529CF9">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w:t>
            </w:r>
            <w:r>
              <w:rPr>
                <w:rFonts w:hint="eastAsia" w:ascii="宋体" w:hAnsi="宋体" w:cs="宋体"/>
                <w:szCs w:val="21"/>
                <w:lang w:val="en-US" w:eastAsia="zh-CN"/>
              </w:rPr>
              <w:t>19</w:t>
            </w:r>
            <w:r>
              <w:rPr>
                <w:rFonts w:hint="eastAsia" w:ascii="宋体" w:hAnsi="宋体" w:cs="宋体"/>
                <w:szCs w:val="21"/>
              </w:rPr>
              <w:t>.1款</w:t>
            </w:r>
          </w:p>
        </w:tc>
        <w:tc>
          <w:tcPr>
            <w:tcW w:w="2112" w:type="dxa"/>
            <w:vAlign w:val="center"/>
          </w:tcPr>
          <w:p w14:paraId="6F68ACE1">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bCs/>
                <w:szCs w:val="21"/>
              </w:rPr>
              <w:t>响应</w:t>
            </w:r>
            <w:r>
              <w:rPr>
                <w:rFonts w:hint="eastAsia" w:ascii="宋体" w:hAnsi="宋体" w:cs="宋体"/>
                <w:szCs w:val="21"/>
              </w:rPr>
              <w:t>文件份数</w:t>
            </w:r>
          </w:p>
        </w:tc>
        <w:tc>
          <w:tcPr>
            <w:tcW w:w="6483" w:type="dxa"/>
            <w:vAlign w:val="center"/>
          </w:tcPr>
          <w:p w14:paraId="088DB28B">
            <w:pPr>
              <w:keepNext w:val="0"/>
              <w:keepLines w:val="0"/>
              <w:suppressLineNumbers w:val="0"/>
              <w:spacing w:before="0" w:beforeAutospacing="0" w:after="0" w:afterAutospacing="0"/>
              <w:ind w:left="0" w:right="0"/>
              <w:rPr>
                <w:rFonts w:hint="default" w:ascii="宋体" w:hAnsi="宋体" w:cs="宋体"/>
                <w:szCs w:val="21"/>
                <w:u w:val="single"/>
              </w:rPr>
            </w:pPr>
            <w:r>
              <w:rPr>
                <w:rFonts w:hint="eastAsia" w:ascii="宋体" w:hAnsi="宋体"/>
                <w:color w:val="000000"/>
                <w:spacing w:val="-11"/>
                <w:szCs w:val="21"/>
              </w:rPr>
              <w:t>正本一份，副本二份，</w:t>
            </w:r>
            <w:r>
              <w:rPr>
                <w:rFonts w:hint="eastAsia"/>
                <w:color w:val="000000"/>
                <w:spacing w:val="-11"/>
                <w:szCs w:val="21"/>
              </w:rPr>
              <w:t>另需提供一份响应文件电子文档（须为正本扫描件，PDF格式，用</w:t>
            </w:r>
            <w:r>
              <w:rPr>
                <w:rFonts w:hint="default"/>
                <w:color w:val="000000"/>
                <w:spacing w:val="-11"/>
                <w:szCs w:val="21"/>
              </w:rPr>
              <w:t>U</w:t>
            </w:r>
            <w:r>
              <w:rPr>
                <w:rFonts w:hint="eastAsia"/>
                <w:color w:val="000000"/>
                <w:spacing w:val="-11"/>
                <w:szCs w:val="21"/>
              </w:rPr>
              <w:t>盘拷贝并标明公司名称）随纸质文件一并密封提交。</w:t>
            </w:r>
          </w:p>
        </w:tc>
      </w:tr>
      <w:tr w14:paraId="30A03F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5" w:hRule="atLeast"/>
          <w:jc w:val="center"/>
        </w:trPr>
        <w:tc>
          <w:tcPr>
            <w:tcW w:w="10353" w:type="dxa"/>
            <w:gridSpan w:val="3"/>
            <w:vAlign w:val="center"/>
          </w:tcPr>
          <w:p w14:paraId="1F018C3A">
            <w:pPr>
              <w:keepNext w:val="0"/>
              <w:keepLines w:val="0"/>
              <w:suppressLineNumbers w:val="0"/>
              <w:spacing w:before="0" w:beforeAutospacing="0" w:after="0" w:afterAutospacing="0"/>
              <w:ind w:left="0" w:right="0"/>
              <w:rPr>
                <w:rFonts w:hint="default" w:ascii="宋体" w:hAnsi="宋体" w:cs="宋体"/>
                <w:b/>
                <w:bCs/>
                <w:szCs w:val="21"/>
              </w:rPr>
            </w:pPr>
            <w:r>
              <w:rPr>
                <w:rFonts w:hint="eastAsia" w:ascii="宋体" w:hAnsi="宋体" w:cs="宋体"/>
                <w:b/>
                <w:szCs w:val="21"/>
              </w:rPr>
              <w:t>四、响应文件的递交</w:t>
            </w:r>
          </w:p>
        </w:tc>
      </w:tr>
      <w:tr w14:paraId="722011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91" w:hRule="atLeast"/>
          <w:jc w:val="center"/>
        </w:trPr>
        <w:tc>
          <w:tcPr>
            <w:tcW w:w="1758" w:type="dxa"/>
            <w:vAlign w:val="center"/>
          </w:tcPr>
          <w:p w14:paraId="203BB89B">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w:t>
            </w:r>
            <w:r>
              <w:rPr>
                <w:rFonts w:hint="eastAsia" w:ascii="宋体" w:hAnsi="宋体" w:cs="宋体"/>
                <w:szCs w:val="21"/>
                <w:lang w:val="en-US" w:eastAsia="zh-CN"/>
              </w:rPr>
              <w:t>20</w:t>
            </w:r>
            <w:r>
              <w:rPr>
                <w:rFonts w:hint="eastAsia" w:ascii="宋体" w:hAnsi="宋体" w:cs="宋体"/>
                <w:szCs w:val="21"/>
              </w:rPr>
              <w:t>.2款</w:t>
            </w:r>
          </w:p>
        </w:tc>
        <w:tc>
          <w:tcPr>
            <w:tcW w:w="2112" w:type="dxa"/>
            <w:vAlign w:val="center"/>
          </w:tcPr>
          <w:p w14:paraId="22BC019A">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封套上应载明的信息</w:t>
            </w:r>
          </w:p>
        </w:tc>
        <w:tc>
          <w:tcPr>
            <w:tcW w:w="6483" w:type="dxa"/>
            <w:vAlign w:val="center"/>
          </w:tcPr>
          <w:p w14:paraId="2A47CC71">
            <w:pPr>
              <w:keepNext w:val="0"/>
              <w:keepLines w:val="0"/>
              <w:suppressLineNumbers w:val="0"/>
              <w:spacing w:before="0" w:beforeAutospacing="0" w:after="0" w:afterAutospacing="0"/>
              <w:ind w:left="0" w:right="0"/>
              <w:rPr>
                <w:rFonts w:hint="default" w:ascii="宋体" w:hAnsi="宋体" w:cs="宋体"/>
                <w:color w:val="auto"/>
                <w:szCs w:val="21"/>
              </w:rPr>
            </w:pPr>
            <w:r>
              <w:rPr>
                <w:rFonts w:hint="eastAsia" w:ascii="宋体" w:hAnsi="宋体" w:cs="宋体"/>
                <w:szCs w:val="21"/>
              </w:rPr>
              <w:t>（项目名称</w:t>
            </w:r>
            <w:r>
              <w:rPr>
                <w:rFonts w:hint="eastAsia" w:ascii="宋体" w:hAnsi="宋体" w:cs="宋体"/>
                <w:color w:val="auto"/>
                <w:szCs w:val="21"/>
              </w:rPr>
              <w:t>）响应文件</w:t>
            </w:r>
          </w:p>
          <w:p w14:paraId="3151C860">
            <w:pPr>
              <w:keepNext w:val="0"/>
              <w:keepLines w:val="0"/>
              <w:suppressLineNumbers w:val="0"/>
              <w:spacing w:before="0" w:beforeAutospacing="0" w:after="0" w:afterAutospacing="0"/>
              <w:ind w:left="0" w:right="0"/>
              <w:rPr>
                <w:rFonts w:hint="default" w:ascii="宋体" w:hAnsi="宋体" w:cs="宋体"/>
                <w:color w:val="auto"/>
                <w:szCs w:val="21"/>
              </w:rPr>
            </w:pPr>
            <w:r>
              <w:rPr>
                <w:rFonts w:hint="eastAsia" w:ascii="宋体" w:hAnsi="宋体" w:cs="宋体"/>
                <w:color w:val="auto"/>
                <w:szCs w:val="21"/>
              </w:rPr>
              <w:t>政府采购编号：</w:t>
            </w:r>
          </w:p>
          <w:p w14:paraId="5457E3E3">
            <w:pPr>
              <w:pStyle w:val="20"/>
              <w:keepNext w:val="0"/>
              <w:keepLines w:val="0"/>
              <w:suppressLineNumbers w:val="0"/>
              <w:spacing w:before="0" w:beforeAutospacing="0" w:after="0" w:afterAutospacing="0"/>
              <w:ind w:left="0" w:right="0"/>
              <w:rPr>
                <w:rFonts w:hint="default" w:ascii="宋体" w:hAnsi="宋体" w:cs="宋体"/>
                <w:color w:val="auto"/>
                <w:szCs w:val="21"/>
              </w:rPr>
            </w:pPr>
            <w:r>
              <w:rPr>
                <w:rFonts w:hint="eastAsia"/>
                <w:color w:val="auto"/>
                <w:lang w:eastAsia="zh-CN"/>
              </w:rPr>
              <w:t>采购代理编号</w:t>
            </w:r>
            <w:r>
              <w:rPr>
                <w:rFonts w:hint="eastAsia"/>
                <w:color w:val="auto"/>
              </w:rPr>
              <w:t>：</w:t>
            </w:r>
          </w:p>
          <w:p w14:paraId="0503C9E8">
            <w:pPr>
              <w:pStyle w:val="20"/>
              <w:keepNext w:val="0"/>
              <w:keepLines w:val="0"/>
              <w:suppressLineNumbers w:val="0"/>
              <w:spacing w:before="0" w:beforeAutospacing="0" w:after="0" w:afterAutospacing="0"/>
              <w:ind w:left="0" w:right="0"/>
              <w:rPr>
                <w:rFonts w:hint="default"/>
                <w:color w:val="auto"/>
              </w:rPr>
            </w:pPr>
            <w:r>
              <w:rPr>
                <w:rFonts w:hint="eastAsia" w:ascii="宋体" w:hAnsi="宋体" w:cs="宋体"/>
                <w:color w:val="auto"/>
                <w:szCs w:val="21"/>
              </w:rPr>
              <w:t>供应商名称：</w:t>
            </w:r>
          </w:p>
          <w:p w14:paraId="0D9FD6D9">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在年月日（星期）时分之前不得启封</w:t>
            </w:r>
          </w:p>
        </w:tc>
      </w:tr>
      <w:tr w14:paraId="1A5E10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4" w:hRule="atLeast"/>
          <w:jc w:val="center"/>
        </w:trPr>
        <w:tc>
          <w:tcPr>
            <w:tcW w:w="1758" w:type="dxa"/>
            <w:vAlign w:val="center"/>
          </w:tcPr>
          <w:p w14:paraId="0C47A918">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第二章第2</w:t>
            </w:r>
            <w:r>
              <w:rPr>
                <w:rFonts w:hint="eastAsia" w:ascii="宋体" w:hAnsi="宋体" w:cs="宋体"/>
                <w:szCs w:val="21"/>
                <w:lang w:val="en-US" w:eastAsia="zh-CN"/>
              </w:rPr>
              <w:t>2</w:t>
            </w:r>
            <w:r>
              <w:rPr>
                <w:rFonts w:hint="eastAsia" w:ascii="宋体" w:hAnsi="宋体" w:cs="宋体"/>
                <w:szCs w:val="21"/>
              </w:rPr>
              <w:t>.1款</w:t>
            </w:r>
          </w:p>
        </w:tc>
        <w:tc>
          <w:tcPr>
            <w:tcW w:w="2112" w:type="dxa"/>
            <w:vAlign w:val="center"/>
          </w:tcPr>
          <w:p w14:paraId="6A5B8B23">
            <w:pPr>
              <w:keepNext w:val="0"/>
              <w:keepLines w:val="0"/>
              <w:suppressLineNumbers w:val="0"/>
              <w:spacing w:before="0" w:beforeAutospacing="0" w:after="0" w:afterAutospacing="0"/>
              <w:ind w:left="0" w:right="0"/>
              <w:jc w:val="center"/>
              <w:rPr>
                <w:rFonts w:hint="default" w:ascii="宋体" w:hAnsi="宋体" w:cs="宋体"/>
                <w:b/>
                <w:bCs/>
                <w:szCs w:val="21"/>
              </w:rPr>
            </w:pPr>
            <w:r>
              <w:rPr>
                <w:rFonts w:hint="eastAsia" w:ascii="宋体" w:hAnsi="宋体" w:cs="宋体"/>
                <w:b/>
                <w:bCs/>
                <w:szCs w:val="21"/>
              </w:rPr>
              <w:t>响应文件的递交地点</w:t>
            </w:r>
          </w:p>
        </w:tc>
        <w:tc>
          <w:tcPr>
            <w:tcW w:w="6483" w:type="dxa"/>
            <w:vAlign w:val="center"/>
          </w:tcPr>
          <w:p w14:paraId="00A78947">
            <w:pPr>
              <w:keepNext w:val="0"/>
              <w:keepLines w:val="0"/>
              <w:suppressLineNumbers w:val="0"/>
              <w:spacing w:before="0" w:beforeAutospacing="0" w:after="0" w:afterAutospacing="0"/>
              <w:ind w:left="0" w:right="0"/>
              <w:rPr>
                <w:rFonts w:hint="default" w:ascii="宋体" w:hAnsi="宋体" w:cs="宋体"/>
                <w:b/>
                <w:bCs/>
                <w:szCs w:val="21"/>
              </w:rPr>
            </w:pPr>
            <w:r>
              <w:rPr>
                <w:rFonts w:hint="eastAsia"/>
                <w:szCs w:val="21"/>
                <w:u w:val="single"/>
              </w:rPr>
              <w:t>中技建设咨询有限公司（</w:t>
            </w:r>
            <w:r>
              <w:rPr>
                <w:rFonts w:hint="eastAsia" w:ascii="宋体" w:hAnsi="宋体"/>
                <w:szCs w:val="21"/>
                <w:u w:val="single"/>
              </w:rPr>
              <w:t>张家界市永定区子午路宏力大厦B702</w:t>
            </w:r>
            <w:r>
              <w:rPr>
                <w:rFonts w:hint="eastAsia"/>
                <w:szCs w:val="21"/>
                <w:u w:val="single"/>
              </w:rPr>
              <w:t>）。</w:t>
            </w:r>
          </w:p>
        </w:tc>
      </w:tr>
      <w:tr w14:paraId="4CB277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atLeast"/>
          <w:jc w:val="center"/>
        </w:trPr>
        <w:tc>
          <w:tcPr>
            <w:tcW w:w="10353" w:type="dxa"/>
            <w:gridSpan w:val="3"/>
            <w:vAlign w:val="center"/>
          </w:tcPr>
          <w:p w14:paraId="24E9EAD1">
            <w:pPr>
              <w:keepNext w:val="0"/>
              <w:keepLines w:val="0"/>
              <w:suppressLineNumbers w:val="0"/>
              <w:spacing w:before="0" w:beforeAutospacing="0" w:after="0" w:afterAutospacing="0"/>
              <w:ind w:left="0" w:right="0"/>
              <w:rPr>
                <w:rFonts w:hint="default" w:ascii="宋体" w:hAnsi="宋体" w:cs="宋体"/>
                <w:b/>
                <w:bCs/>
                <w:szCs w:val="21"/>
              </w:rPr>
            </w:pPr>
            <w:r>
              <w:rPr>
                <w:rFonts w:hint="eastAsia" w:ascii="宋体" w:hAnsi="宋体" w:cs="宋体"/>
                <w:b/>
                <w:bCs/>
                <w:szCs w:val="21"/>
              </w:rPr>
              <w:t>五、响应文件的磋商与评审</w:t>
            </w:r>
          </w:p>
        </w:tc>
      </w:tr>
      <w:tr w14:paraId="1F22A1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7" w:hRule="atLeast"/>
          <w:jc w:val="center"/>
        </w:trPr>
        <w:tc>
          <w:tcPr>
            <w:tcW w:w="1758" w:type="dxa"/>
            <w:vAlign w:val="center"/>
          </w:tcPr>
          <w:p w14:paraId="3C05DEAD">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w:t>
            </w:r>
            <w:r>
              <w:rPr>
                <w:rFonts w:hint="eastAsia" w:ascii="宋体" w:hAnsi="宋体" w:cs="宋体"/>
                <w:szCs w:val="21"/>
                <w:lang w:val="en-US" w:eastAsia="zh-CN"/>
              </w:rPr>
              <w:t>29</w:t>
            </w:r>
            <w:r>
              <w:rPr>
                <w:rFonts w:hint="eastAsia" w:ascii="宋体" w:hAnsi="宋体" w:cs="宋体"/>
                <w:szCs w:val="21"/>
              </w:rPr>
              <w:t>.2款</w:t>
            </w:r>
          </w:p>
        </w:tc>
        <w:tc>
          <w:tcPr>
            <w:tcW w:w="2112" w:type="dxa"/>
            <w:vAlign w:val="center"/>
          </w:tcPr>
          <w:p w14:paraId="670B9E3B">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评审因素和标准</w:t>
            </w:r>
          </w:p>
        </w:tc>
        <w:tc>
          <w:tcPr>
            <w:tcW w:w="6483" w:type="dxa"/>
            <w:vAlign w:val="center"/>
          </w:tcPr>
          <w:p w14:paraId="50F76FA2">
            <w:pPr>
              <w:keepNext w:val="0"/>
              <w:keepLines w:val="0"/>
              <w:suppressLineNumbers w:val="0"/>
              <w:spacing w:before="0" w:beforeAutospacing="0" w:after="0" w:afterAutospacing="0"/>
              <w:ind w:left="0" w:right="0"/>
              <w:rPr>
                <w:rFonts w:hint="default" w:ascii="宋体" w:hAnsi="宋体" w:cs="宋体"/>
                <w:bCs/>
                <w:szCs w:val="21"/>
              </w:rPr>
            </w:pPr>
            <w:r>
              <w:rPr>
                <w:rFonts w:hint="eastAsia" w:ascii="宋体" w:hAnsi="宋体" w:cs="宋体"/>
                <w:bCs/>
                <w:szCs w:val="21"/>
              </w:rPr>
              <w:t>见附表3</w:t>
            </w:r>
          </w:p>
        </w:tc>
      </w:tr>
      <w:tr w14:paraId="52DB1C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0" w:hRule="atLeast"/>
          <w:jc w:val="center"/>
        </w:trPr>
        <w:tc>
          <w:tcPr>
            <w:tcW w:w="1758" w:type="dxa"/>
            <w:vAlign w:val="center"/>
          </w:tcPr>
          <w:p w14:paraId="7502453A">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w:t>
            </w:r>
            <w:r>
              <w:rPr>
                <w:rFonts w:hint="eastAsia" w:ascii="宋体" w:hAnsi="宋体" w:cs="宋体"/>
                <w:szCs w:val="21"/>
                <w:lang w:val="en-US" w:eastAsia="zh-CN"/>
              </w:rPr>
              <w:t>29</w:t>
            </w:r>
            <w:r>
              <w:rPr>
                <w:rFonts w:hint="eastAsia" w:ascii="宋体" w:hAnsi="宋体" w:cs="宋体"/>
                <w:szCs w:val="21"/>
              </w:rPr>
              <w:t>.3款</w:t>
            </w:r>
          </w:p>
        </w:tc>
        <w:tc>
          <w:tcPr>
            <w:tcW w:w="2112" w:type="dxa"/>
            <w:vAlign w:val="center"/>
          </w:tcPr>
          <w:p w14:paraId="23638604">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kern w:val="0"/>
                <w:szCs w:val="21"/>
              </w:rPr>
              <w:t>最后报价</w:t>
            </w:r>
            <w:r>
              <w:rPr>
                <w:rFonts w:hint="eastAsia" w:ascii="宋体" w:hAnsi="宋体" w:cs="宋体"/>
                <w:szCs w:val="21"/>
              </w:rPr>
              <w:t>调整</w:t>
            </w:r>
          </w:p>
        </w:tc>
        <w:tc>
          <w:tcPr>
            <w:tcW w:w="6483" w:type="dxa"/>
            <w:vAlign w:val="center"/>
          </w:tcPr>
          <w:p w14:paraId="5B171B93">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bCs/>
                <w:kern w:val="0"/>
                <w:szCs w:val="21"/>
              </w:rPr>
              <w:t>政府采购支持中小企业发展</w:t>
            </w:r>
            <w:r>
              <w:rPr>
                <w:rFonts w:hint="eastAsia" w:ascii="宋体" w:hAnsi="宋体" w:cs="宋体"/>
                <w:szCs w:val="21"/>
              </w:rPr>
              <w:t>（货物类产品制造商应满足中小微企业的条件）</w:t>
            </w:r>
            <w:r>
              <w:rPr>
                <w:rFonts w:hint="eastAsia" w:ascii="宋体" w:hAnsi="宋体" w:cs="宋体"/>
                <w:bCs/>
                <w:kern w:val="0"/>
                <w:szCs w:val="21"/>
              </w:rPr>
              <w:t>：</w:t>
            </w:r>
            <w:r>
              <w:rPr>
                <w:rFonts w:hint="eastAsia" w:ascii="宋体" w:hAnsi="宋体" w:cs="宋体"/>
                <w:szCs w:val="21"/>
              </w:rPr>
              <w:t>小型或微型企业，</w:t>
            </w:r>
            <w:r>
              <w:rPr>
                <w:rFonts w:hint="eastAsia" w:ascii="宋体" w:hAnsi="宋体" w:cs="宋体"/>
                <w:kern w:val="0"/>
                <w:szCs w:val="21"/>
              </w:rPr>
              <w:t>最后报价</w:t>
            </w:r>
            <w:r>
              <w:rPr>
                <w:rFonts w:hint="eastAsia" w:ascii="宋体" w:hAnsi="宋体" w:cs="宋体"/>
                <w:szCs w:val="21"/>
              </w:rPr>
              <w:t>扣除比例为</w:t>
            </w:r>
            <w:r>
              <w:rPr>
                <w:rFonts w:hint="eastAsia" w:ascii="宋体" w:hAnsi="宋体" w:cs="宋体"/>
                <w:szCs w:val="21"/>
                <w:u w:val="single"/>
              </w:rPr>
              <w:t xml:space="preserve"> / </w:t>
            </w:r>
            <w:r>
              <w:rPr>
                <w:rFonts w:hint="eastAsia" w:ascii="宋体" w:hAnsi="宋体" w:cs="宋体"/>
                <w:szCs w:val="21"/>
              </w:rPr>
              <w:t>％；联合体参与磋商的，最后报价扣除比例为</w:t>
            </w:r>
            <w:r>
              <w:rPr>
                <w:rFonts w:hint="eastAsia" w:ascii="宋体" w:hAnsi="宋体" w:cs="宋体"/>
                <w:szCs w:val="21"/>
                <w:u w:val="single"/>
              </w:rPr>
              <w:t xml:space="preserve"> / </w:t>
            </w:r>
            <w:r>
              <w:rPr>
                <w:rFonts w:hint="eastAsia" w:ascii="宋体" w:hAnsi="宋体" w:cs="宋体"/>
                <w:szCs w:val="21"/>
              </w:rPr>
              <w:t xml:space="preserve"> %。评审时，用扣除后的最后报价计算价格分。</w:t>
            </w:r>
          </w:p>
        </w:tc>
      </w:tr>
      <w:tr w14:paraId="55936D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87" w:hRule="atLeast"/>
          <w:jc w:val="center"/>
        </w:trPr>
        <w:tc>
          <w:tcPr>
            <w:tcW w:w="1758" w:type="dxa"/>
            <w:vAlign w:val="center"/>
          </w:tcPr>
          <w:p w14:paraId="7155770C">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w:t>
            </w:r>
            <w:r>
              <w:rPr>
                <w:rFonts w:hint="eastAsia" w:ascii="宋体" w:hAnsi="宋体" w:cs="宋体"/>
                <w:szCs w:val="21"/>
                <w:lang w:val="en-US" w:eastAsia="zh-CN"/>
              </w:rPr>
              <w:t>29</w:t>
            </w:r>
            <w:r>
              <w:rPr>
                <w:rFonts w:hint="eastAsia" w:ascii="宋体" w:hAnsi="宋体" w:cs="宋体"/>
                <w:szCs w:val="21"/>
              </w:rPr>
              <w:t>.5款</w:t>
            </w:r>
          </w:p>
        </w:tc>
        <w:tc>
          <w:tcPr>
            <w:tcW w:w="2112" w:type="dxa"/>
            <w:vAlign w:val="center"/>
          </w:tcPr>
          <w:p w14:paraId="325F7C9A">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技术、商务、价格</w:t>
            </w:r>
            <w:r>
              <w:rPr>
                <w:rFonts w:hint="eastAsia" w:ascii="宋体" w:hAnsi="宋体" w:cs="宋体"/>
                <w:kern w:val="0"/>
                <w:szCs w:val="21"/>
              </w:rPr>
              <w:t>得分或总得分</w:t>
            </w:r>
            <w:r>
              <w:rPr>
                <w:rFonts w:hint="eastAsia" w:ascii="宋体" w:hAnsi="宋体" w:cs="宋体"/>
                <w:szCs w:val="21"/>
              </w:rPr>
              <w:t>调整</w:t>
            </w:r>
          </w:p>
        </w:tc>
        <w:tc>
          <w:tcPr>
            <w:tcW w:w="6483" w:type="dxa"/>
            <w:vAlign w:val="center"/>
          </w:tcPr>
          <w:p w14:paraId="27887391">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符合第二章第9.1款规定，按第二章第31.6款规定及本款分值调整：</w:t>
            </w:r>
          </w:p>
          <w:p w14:paraId="23888D08">
            <w:pPr>
              <w:keepNext w:val="0"/>
              <w:keepLines w:val="0"/>
              <w:numPr>
                <w:ilvl w:val="0"/>
                <w:numId w:val="3"/>
              </w:numPr>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节能产品：</w:t>
            </w:r>
          </w:p>
          <w:p w14:paraId="19AC14C3">
            <w:pPr>
              <w:keepNext w:val="0"/>
              <w:keepLines w:val="0"/>
              <w:suppressLineNumbers w:val="0"/>
              <w:spacing w:before="0" w:beforeAutospacing="0" w:after="0" w:afterAutospacing="0"/>
              <w:ind w:left="0" w:right="0" w:firstLine="105" w:firstLineChars="50"/>
              <w:rPr>
                <w:rFonts w:hint="default" w:ascii="宋体" w:hAnsi="宋体" w:cs="宋体"/>
                <w:szCs w:val="21"/>
              </w:rPr>
            </w:pPr>
            <w:r>
              <w:rPr>
                <w:rFonts w:hint="eastAsia" w:ascii="宋体" w:hAnsi="宋体" w:cs="宋体"/>
                <w:szCs w:val="21"/>
              </w:rPr>
              <w:t>技术加分＝技术分值× 加分比例（比例见前附表第38.1项,下同）×（节能产品最后报价÷最后总报价）；</w:t>
            </w:r>
          </w:p>
          <w:p w14:paraId="0EBB4294">
            <w:pPr>
              <w:keepNext w:val="0"/>
              <w:keepLines w:val="0"/>
              <w:suppressLineNumbers w:val="0"/>
              <w:spacing w:before="0" w:beforeAutospacing="0" w:after="0" w:afterAutospacing="0"/>
              <w:ind w:left="210" w:right="0" w:hanging="210" w:hangingChars="100"/>
              <w:rPr>
                <w:rFonts w:hint="default" w:ascii="宋体" w:hAnsi="宋体" w:cs="宋体"/>
                <w:szCs w:val="21"/>
              </w:rPr>
            </w:pPr>
            <w:r>
              <w:rPr>
                <w:rFonts w:hint="eastAsia" w:ascii="宋体" w:hAnsi="宋体" w:cs="宋体"/>
                <w:szCs w:val="21"/>
              </w:rPr>
              <w:t>价格加分＝价格分值×加分比例×（节能产品最后报价÷最后总报价）。</w:t>
            </w:r>
          </w:p>
          <w:p w14:paraId="0AA30CD1">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2、环境标志产品：</w:t>
            </w:r>
          </w:p>
          <w:p w14:paraId="626B3633">
            <w:pPr>
              <w:keepNext w:val="0"/>
              <w:keepLines w:val="0"/>
              <w:suppressLineNumbers w:val="0"/>
              <w:spacing w:before="0" w:beforeAutospacing="0" w:after="0" w:afterAutospacing="0"/>
              <w:ind w:left="0" w:right="0" w:firstLine="105" w:firstLineChars="50"/>
              <w:rPr>
                <w:rFonts w:hint="default" w:ascii="宋体" w:hAnsi="宋体" w:cs="宋体"/>
                <w:szCs w:val="21"/>
              </w:rPr>
            </w:pPr>
            <w:r>
              <w:rPr>
                <w:rFonts w:hint="eastAsia" w:ascii="宋体" w:hAnsi="宋体" w:cs="宋体"/>
                <w:szCs w:val="21"/>
              </w:rPr>
              <w:t>技术加分＝技术分值× 加分比例×（环境标志产品最后报价÷最后总报价）；</w:t>
            </w:r>
          </w:p>
          <w:p w14:paraId="40401DB1">
            <w:pPr>
              <w:keepNext w:val="0"/>
              <w:keepLines w:val="0"/>
              <w:suppressLineNumbers w:val="0"/>
              <w:spacing w:before="0" w:beforeAutospacing="0" w:after="0" w:afterAutospacing="0"/>
              <w:ind w:left="210" w:right="0" w:hanging="210" w:hangingChars="100"/>
              <w:rPr>
                <w:rFonts w:hint="default" w:ascii="宋体" w:hAnsi="宋体" w:cs="宋体"/>
                <w:szCs w:val="21"/>
              </w:rPr>
            </w:pPr>
            <w:r>
              <w:rPr>
                <w:rFonts w:hint="eastAsia" w:ascii="宋体" w:hAnsi="宋体" w:cs="宋体"/>
                <w:szCs w:val="21"/>
              </w:rPr>
              <w:t>价格加分＝价格分值×加分比例×（环境标志产品最后报价÷最后总报价）。</w:t>
            </w:r>
          </w:p>
          <w:p w14:paraId="44E8D6F9">
            <w:pPr>
              <w:keepNext w:val="0"/>
              <w:keepLines w:val="0"/>
              <w:suppressLineNumbers w:val="0"/>
              <w:spacing w:before="0" w:beforeAutospacing="0" w:after="0" w:afterAutospacing="0"/>
              <w:ind w:left="210" w:right="0" w:hanging="210" w:hangingChars="100"/>
              <w:rPr>
                <w:rFonts w:hint="default" w:ascii="宋体" w:hAnsi="宋体" w:cs="宋体"/>
                <w:szCs w:val="21"/>
              </w:rPr>
            </w:pPr>
            <w:r>
              <w:rPr>
                <w:rFonts w:hint="eastAsia" w:ascii="宋体" w:hAnsi="宋体" w:cs="宋体"/>
                <w:szCs w:val="21"/>
              </w:rPr>
              <w:t>3、两型产品：</w:t>
            </w:r>
          </w:p>
          <w:p w14:paraId="2DE485E9">
            <w:pPr>
              <w:keepNext w:val="0"/>
              <w:keepLines w:val="0"/>
              <w:suppressLineNumbers w:val="0"/>
              <w:spacing w:before="0" w:beforeAutospacing="0" w:after="0" w:afterAutospacing="0"/>
              <w:ind w:left="0" w:right="0" w:firstLine="105" w:firstLineChars="50"/>
              <w:rPr>
                <w:rFonts w:hint="default" w:ascii="宋体" w:hAnsi="宋体" w:cs="宋体"/>
                <w:szCs w:val="21"/>
              </w:rPr>
            </w:pPr>
            <w:r>
              <w:rPr>
                <w:rFonts w:hint="eastAsia" w:ascii="宋体" w:hAnsi="宋体" w:cs="宋体"/>
                <w:szCs w:val="21"/>
              </w:rPr>
              <w:t>商务加分＝商务分值×加分比例×（两型产品最后报价÷最后总报价）；</w:t>
            </w:r>
          </w:p>
          <w:p w14:paraId="7635DD4C">
            <w:pPr>
              <w:keepNext w:val="0"/>
              <w:keepLines w:val="0"/>
              <w:suppressLineNumbers w:val="0"/>
              <w:spacing w:before="0" w:beforeAutospacing="0" w:after="0" w:afterAutospacing="0"/>
              <w:ind w:left="0" w:right="0" w:firstLine="105" w:firstLineChars="50"/>
              <w:rPr>
                <w:rFonts w:hint="default" w:ascii="宋体" w:hAnsi="宋体" w:cs="宋体"/>
                <w:szCs w:val="21"/>
              </w:rPr>
            </w:pPr>
            <w:r>
              <w:rPr>
                <w:rFonts w:hint="eastAsia" w:ascii="宋体" w:hAnsi="宋体" w:cs="宋体"/>
                <w:szCs w:val="21"/>
              </w:rPr>
              <w:t>技术加分＝技术分值×加分比例×（两型产品最后报价÷最后总报价）；</w:t>
            </w:r>
          </w:p>
          <w:p w14:paraId="015C00CE">
            <w:pPr>
              <w:keepNext w:val="0"/>
              <w:keepLines w:val="0"/>
              <w:suppressLineNumbers w:val="0"/>
              <w:spacing w:before="0" w:beforeAutospacing="0" w:after="0" w:afterAutospacing="0"/>
              <w:ind w:left="210" w:right="0" w:hanging="210" w:hangingChars="100"/>
              <w:rPr>
                <w:rFonts w:hint="default" w:ascii="宋体" w:hAnsi="宋体" w:cs="宋体"/>
                <w:szCs w:val="21"/>
              </w:rPr>
            </w:pPr>
            <w:r>
              <w:rPr>
                <w:rFonts w:hint="eastAsia" w:ascii="宋体" w:hAnsi="宋体" w:cs="宋体"/>
                <w:szCs w:val="21"/>
              </w:rPr>
              <w:t>价格加分＝价格分值×加分比例×（两型产品最后报价÷最后总报价）。</w:t>
            </w:r>
          </w:p>
        </w:tc>
      </w:tr>
      <w:tr w14:paraId="5EF5E4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572" w:hRule="atLeast"/>
          <w:jc w:val="center"/>
        </w:trPr>
        <w:tc>
          <w:tcPr>
            <w:tcW w:w="1758" w:type="dxa"/>
            <w:vAlign w:val="center"/>
          </w:tcPr>
          <w:p w14:paraId="686D0749">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w:t>
            </w:r>
            <w:r>
              <w:rPr>
                <w:rFonts w:hint="eastAsia" w:ascii="宋体" w:hAnsi="宋体" w:cs="宋体"/>
                <w:szCs w:val="21"/>
                <w:lang w:val="en-US" w:eastAsia="zh-CN"/>
              </w:rPr>
              <w:t>29</w:t>
            </w:r>
            <w:r>
              <w:rPr>
                <w:rFonts w:hint="eastAsia" w:ascii="宋体" w:hAnsi="宋体" w:cs="宋体"/>
                <w:szCs w:val="21"/>
              </w:rPr>
              <w:t>.6款</w:t>
            </w:r>
          </w:p>
        </w:tc>
        <w:tc>
          <w:tcPr>
            <w:tcW w:w="2112" w:type="dxa"/>
            <w:vAlign w:val="center"/>
          </w:tcPr>
          <w:p w14:paraId="5E5022D2">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多处或部分获得政府采购政策优惠的计算方法</w:t>
            </w:r>
          </w:p>
        </w:tc>
        <w:tc>
          <w:tcPr>
            <w:tcW w:w="6483" w:type="dxa"/>
            <w:vAlign w:val="center"/>
          </w:tcPr>
          <w:p w14:paraId="15FBFC2A">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1、符合政府采购优先采购政策的，产品只能享受节能产品、环境标志产品、两型产品等产品优惠中的一项(由供应商在响应文件中选择并填报政策功能编码，评审时进行加分) 。</w:t>
            </w:r>
          </w:p>
          <w:p w14:paraId="0E7AC5C7">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2、供应商享受支持中小企业发展政策优惠的，可以与同时享受节能产品、环境标志产品、两型产品等产品优惠中的一项累加。</w:t>
            </w:r>
          </w:p>
          <w:p w14:paraId="0341B570">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3、同一项目中部分产品属于优先采购政策的，评审时只对该部分产品的报价实行价格扣除或加分（按该部分产品的报价占总报价的百分比调整）。</w:t>
            </w:r>
          </w:p>
        </w:tc>
      </w:tr>
      <w:tr w14:paraId="2B2C0A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7" w:hRule="atLeast"/>
          <w:jc w:val="center"/>
        </w:trPr>
        <w:tc>
          <w:tcPr>
            <w:tcW w:w="10353" w:type="dxa"/>
            <w:gridSpan w:val="3"/>
            <w:vAlign w:val="center"/>
          </w:tcPr>
          <w:p w14:paraId="1F3F3C87">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b/>
                <w:szCs w:val="21"/>
              </w:rPr>
              <w:t>六、成交结果信息公布与授予合同</w:t>
            </w:r>
          </w:p>
        </w:tc>
      </w:tr>
      <w:tr w14:paraId="4F5149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8" w:hRule="atLeast"/>
          <w:jc w:val="center"/>
        </w:trPr>
        <w:tc>
          <w:tcPr>
            <w:tcW w:w="1758" w:type="dxa"/>
            <w:vAlign w:val="center"/>
          </w:tcPr>
          <w:p w14:paraId="12382AD1">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第二章第3</w:t>
            </w:r>
            <w:r>
              <w:rPr>
                <w:rFonts w:hint="eastAsia" w:ascii="宋体" w:hAnsi="宋体" w:cs="宋体"/>
                <w:szCs w:val="21"/>
                <w:lang w:val="en-US" w:eastAsia="zh-CN"/>
              </w:rPr>
              <w:t>5</w:t>
            </w:r>
            <w:r>
              <w:rPr>
                <w:rFonts w:hint="eastAsia" w:ascii="宋体" w:hAnsi="宋体" w:cs="宋体"/>
                <w:szCs w:val="21"/>
              </w:rPr>
              <w:t>.1款</w:t>
            </w:r>
          </w:p>
        </w:tc>
        <w:tc>
          <w:tcPr>
            <w:tcW w:w="2112" w:type="dxa"/>
            <w:vAlign w:val="center"/>
          </w:tcPr>
          <w:p w14:paraId="25AC335A">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财政部门指定的媒体</w:t>
            </w:r>
          </w:p>
        </w:tc>
        <w:tc>
          <w:tcPr>
            <w:tcW w:w="6483" w:type="dxa"/>
            <w:vAlign w:val="center"/>
          </w:tcPr>
          <w:p w14:paraId="100B1C3A">
            <w:pPr>
              <w:keepNext w:val="0"/>
              <w:keepLines w:val="0"/>
              <w:suppressLineNumbers w:val="0"/>
              <w:spacing w:before="0" w:beforeAutospacing="0" w:after="0" w:afterAutospacing="0"/>
              <w:ind w:left="0" w:right="0"/>
              <w:jc w:val="left"/>
              <w:rPr>
                <w:rFonts w:hint="default" w:ascii="宋体" w:hAnsi="宋体" w:cs="宋体"/>
                <w:szCs w:val="21"/>
              </w:rPr>
            </w:pPr>
            <w:r>
              <w:rPr>
                <w:rFonts w:hint="eastAsia" w:ascii="宋体" w:hAnsi="宋体" w:cs="宋体"/>
                <w:szCs w:val="21"/>
              </w:rPr>
              <w:t xml:space="preserve">中国湖南政府采购网（ </w:t>
            </w:r>
            <w:r>
              <w:rPr>
                <w:rFonts w:hint="eastAsia" w:ascii="宋体" w:hAnsi="宋体" w:cs="宋体"/>
                <w:szCs w:val="21"/>
                <w:u w:val="single"/>
              </w:rPr>
              <w:t xml:space="preserve">http://www.ccgp-hunan.gov.cn/ </w:t>
            </w:r>
            <w:r>
              <w:rPr>
                <w:rFonts w:hint="eastAsia" w:ascii="宋体" w:hAnsi="宋体" w:cs="宋体"/>
                <w:szCs w:val="21"/>
              </w:rPr>
              <w:t>）</w:t>
            </w:r>
          </w:p>
        </w:tc>
      </w:tr>
      <w:tr w14:paraId="055D35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758" w:type="dxa"/>
            <w:vAlign w:val="center"/>
          </w:tcPr>
          <w:p w14:paraId="0C1B6998">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w:t>
            </w:r>
            <w:r>
              <w:rPr>
                <w:rFonts w:hint="eastAsia" w:ascii="宋体" w:hAnsi="宋体" w:cs="宋体"/>
                <w:szCs w:val="21"/>
                <w:lang w:val="en-US" w:eastAsia="zh-CN"/>
              </w:rPr>
              <w:t>37</w:t>
            </w:r>
            <w:r>
              <w:rPr>
                <w:rFonts w:hint="eastAsia" w:ascii="宋体" w:hAnsi="宋体" w:cs="宋体"/>
                <w:szCs w:val="21"/>
              </w:rPr>
              <w:t>.3款</w:t>
            </w:r>
          </w:p>
        </w:tc>
        <w:tc>
          <w:tcPr>
            <w:tcW w:w="2112" w:type="dxa"/>
            <w:vAlign w:val="center"/>
          </w:tcPr>
          <w:p w14:paraId="64520993">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履约担保</w:t>
            </w:r>
          </w:p>
        </w:tc>
        <w:tc>
          <w:tcPr>
            <w:tcW w:w="6483" w:type="dxa"/>
            <w:vAlign w:val="center"/>
          </w:tcPr>
          <w:p w14:paraId="54237F73">
            <w:pPr>
              <w:keepNext w:val="0"/>
              <w:keepLines w:val="0"/>
              <w:pageBreakBefore w:val="0"/>
              <w:widowControl w:val="0"/>
              <w:suppressLineNumbers w:val="0"/>
              <w:wordWrap/>
              <w:overflowPunct/>
              <w:topLinePunct w:val="0"/>
              <w:autoSpaceDE/>
              <w:autoSpaceDN/>
              <w:bidi w:val="0"/>
              <w:spacing w:before="0" w:beforeAutospacing="0" w:after="0" w:afterAutospacing="0" w:line="300" w:lineRule="exact"/>
              <w:ind w:left="0" w:right="0"/>
              <w:rPr>
                <w:rFonts w:hint="eastAsia" w:ascii="宋体" w:hAnsi="宋体" w:cs="宋体"/>
                <w:color w:val="auto"/>
                <w:szCs w:val="21"/>
              </w:rPr>
            </w:pPr>
            <w:r>
              <w:rPr>
                <w:rFonts w:hint="default" w:ascii="宋体" w:hAnsi="宋体"/>
                <w:b/>
                <w:bCs/>
                <w:color w:val="auto"/>
                <w:szCs w:val="21"/>
              </w:rPr>
              <w:fldChar w:fldCharType="begin"/>
            </w:r>
            <w:r>
              <w:rPr>
                <w:rFonts w:hint="default" w:ascii="宋体" w:hAnsi="宋体"/>
                <w:b/>
                <w:bCs/>
                <w:color w:val="auto"/>
                <w:szCs w:val="21"/>
              </w:rPr>
              <w:instrText xml:space="preserve"> eq \o\ac(</w:instrText>
            </w:r>
            <w:r>
              <w:rPr>
                <w:rFonts w:hint="eastAsia" w:ascii="宋体" w:hAnsi="宋体"/>
                <w:b/>
                <w:bCs/>
                <w:color w:val="auto"/>
                <w:szCs w:val="21"/>
              </w:rPr>
              <w:instrText xml:space="preserve">□</w:instrText>
            </w:r>
            <w:r>
              <w:rPr>
                <w:rFonts w:hint="default" w:ascii="宋体" w:hAnsi="宋体"/>
                <w:b/>
                <w:bCs/>
                <w:color w:val="auto"/>
                <w:szCs w:val="21"/>
              </w:rPr>
              <w:instrText xml:space="preserve">)</w:instrText>
            </w:r>
            <w:r>
              <w:rPr>
                <w:rFonts w:hint="default" w:ascii="宋体" w:hAnsi="宋体"/>
                <w:b/>
                <w:bCs/>
                <w:color w:val="auto"/>
                <w:szCs w:val="21"/>
              </w:rPr>
              <w:fldChar w:fldCharType="end"/>
            </w:r>
            <w:r>
              <w:rPr>
                <w:rFonts w:hint="eastAsia" w:ascii="宋体" w:hAnsi="宋体" w:cs="宋体"/>
                <w:color w:val="auto"/>
                <w:szCs w:val="21"/>
              </w:rPr>
              <w:t>不要求提供</w:t>
            </w:r>
          </w:p>
          <w:p w14:paraId="4EB78650">
            <w:pPr>
              <w:keepNext w:val="0"/>
              <w:keepLines w:val="0"/>
              <w:pageBreakBefore w:val="0"/>
              <w:widowControl w:val="0"/>
              <w:suppressLineNumbers w:val="0"/>
              <w:wordWrap/>
              <w:overflowPunct/>
              <w:topLinePunct w:val="0"/>
              <w:autoSpaceDE/>
              <w:autoSpaceDN/>
              <w:bidi w:val="0"/>
              <w:spacing w:before="0" w:beforeAutospacing="0" w:after="0" w:afterAutospacing="0" w:line="300" w:lineRule="exact"/>
              <w:ind w:left="0" w:right="0"/>
              <w:rPr>
                <w:rFonts w:hint="eastAsia" w:ascii="宋体" w:hAnsi="宋体" w:eastAsia="宋体" w:cs="Times New Roman"/>
                <w:iCs/>
                <w:color w:val="auto"/>
              </w:rPr>
            </w:pPr>
            <w:r>
              <w:rPr>
                <w:rFonts w:hint="default" w:ascii="宋体" w:hAnsi="宋体"/>
                <w:b/>
                <w:bCs/>
                <w:color w:val="auto"/>
                <w:szCs w:val="21"/>
              </w:rPr>
              <w:fldChar w:fldCharType="begin"/>
            </w:r>
            <w:r>
              <w:rPr>
                <w:rFonts w:hint="default" w:ascii="宋体" w:hAnsi="宋体"/>
                <w:b/>
                <w:bCs/>
                <w:color w:val="auto"/>
                <w:szCs w:val="21"/>
              </w:rPr>
              <w:instrText xml:space="preserve"> eq \o\ac(</w:instrText>
            </w:r>
            <w:r>
              <w:rPr>
                <w:rFonts w:hint="eastAsia" w:ascii="宋体" w:hAnsi="宋体"/>
                <w:b/>
                <w:bCs/>
                <w:color w:val="auto"/>
                <w:szCs w:val="21"/>
              </w:rPr>
              <w:instrText xml:space="preserve">□</w:instrText>
            </w:r>
            <w:r>
              <w:rPr>
                <w:rFonts w:hint="eastAsia" w:ascii="宋体" w:hAnsi="宋体"/>
                <w:b/>
                <w:bCs/>
                <w:color w:val="auto"/>
                <w:szCs w:val="21"/>
                <w:lang w:eastAsia="zh-CN"/>
              </w:rPr>
              <w:instrText xml:space="preserve">,</w:instrText>
            </w:r>
            <w:r>
              <w:rPr>
                <w:rFonts w:hint="eastAsia" w:ascii="宋体" w:hAnsi="宋体"/>
                <w:b/>
                <w:bCs/>
                <w:color w:val="auto"/>
                <w:position w:val="2"/>
                <w:sz w:val="13"/>
                <w:szCs w:val="21"/>
                <w:lang w:eastAsia="zh-CN"/>
              </w:rPr>
              <w:instrText xml:space="preserve">√</w:instrText>
            </w:r>
            <w:r>
              <w:rPr>
                <w:rFonts w:hint="default" w:ascii="宋体" w:hAnsi="宋体"/>
                <w:b/>
                <w:bCs/>
                <w:color w:val="auto"/>
                <w:szCs w:val="21"/>
              </w:rPr>
              <w:instrText xml:space="preserve">)</w:instrText>
            </w:r>
            <w:r>
              <w:rPr>
                <w:rFonts w:hint="default" w:ascii="宋体" w:hAnsi="宋体"/>
                <w:b/>
                <w:bCs/>
                <w:color w:val="auto"/>
                <w:szCs w:val="21"/>
              </w:rPr>
              <w:fldChar w:fldCharType="end"/>
            </w:r>
            <w:r>
              <w:rPr>
                <w:rFonts w:hint="eastAsia" w:ascii="宋体" w:hAnsi="宋体"/>
                <w:color w:val="auto"/>
                <w:szCs w:val="21"/>
              </w:rPr>
              <w:t>要求提供，</w:t>
            </w:r>
            <w:r>
              <w:rPr>
                <w:rFonts w:hint="eastAsia" w:ascii="宋体" w:hAnsi="宋体" w:eastAsia="宋体" w:cs="Times New Roman"/>
                <w:iCs/>
                <w:color w:val="auto"/>
              </w:rPr>
              <w:t>以银行转账、支票、汇票、本票或者金融机构出具的保函等非现金形式提交。</w:t>
            </w:r>
          </w:p>
          <w:p w14:paraId="6C1C063B">
            <w:pPr>
              <w:keepNext w:val="0"/>
              <w:keepLines w:val="0"/>
              <w:pageBreakBefore w:val="0"/>
              <w:widowControl w:val="0"/>
              <w:suppressLineNumbers w:val="0"/>
              <w:wordWrap/>
              <w:overflowPunct/>
              <w:topLinePunct w:val="0"/>
              <w:autoSpaceDE/>
              <w:autoSpaceDN/>
              <w:bidi w:val="0"/>
              <w:spacing w:before="0" w:beforeAutospacing="0" w:after="0" w:afterAutospacing="0" w:line="300" w:lineRule="exact"/>
              <w:ind w:left="0" w:right="0"/>
              <w:rPr>
                <w:rFonts w:hint="eastAsia" w:ascii="宋体" w:hAnsi="宋体" w:eastAsia="宋体" w:cs="宋体"/>
                <w:color w:val="auto"/>
              </w:rPr>
            </w:pPr>
            <w:r>
              <w:rPr>
                <w:rFonts w:hint="eastAsia" w:ascii="宋体" w:hAnsi="宋体" w:eastAsia="宋体" w:cs="宋体"/>
                <w:color w:val="auto"/>
                <w:lang w:val="en-US" w:eastAsia="zh-CN"/>
              </w:rPr>
              <w:t>1.</w:t>
            </w:r>
            <w:r>
              <w:rPr>
                <w:rFonts w:hint="eastAsia" w:ascii="宋体" w:hAnsi="宋体" w:eastAsia="宋体" w:cs="宋体"/>
                <w:color w:val="auto"/>
              </w:rPr>
              <w:t>提交保函的要求。供应商提交的银行保函，在项目交付使用前不可撤销、不可转让、见索即付，履约担保责任至对应项目交付使用之日终止。银行保函应当是投标人注册地或者项目所在地市域内的银行出具的保函。银行保函由采购人负责核验，报市公共资源交易中心登记。</w:t>
            </w:r>
          </w:p>
          <w:p w14:paraId="4F46181A">
            <w:pPr>
              <w:keepNext w:val="0"/>
              <w:keepLines w:val="0"/>
              <w:pageBreakBefore w:val="0"/>
              <w:widowControl w:val="0"/>
              <w:suppressLineNumbers w:val="0"/>
              <w:wordWrap/>
              <w:overflowPunct/>
              <w:topLinePunct w:val="0"/>
              <w:autoSpaceDE/>
              <w:autoSpaceDN/>
              <w:bidi w:val="0"/>
              <w:spacing w:before="0" w:beforeAutospacing="0" w:after="0" w:afterAutospacing="0" w:line="300" w:lineRule="exact"/>
              <w:ind w:left="0" w:right="0"/>
              <w:rPr>
                <w:rFonts w:hint="eastAsia"/>
                <w:color w:val="auto"/>
              </w:rPr>
            </w:pPr>
            <w:r>
              <w:rPr>
                <w:rFonts w:hint="eastAsia" w:ascii="Times New Roman" w:eastAsia="宋体"/>
                <w:color w:val="auto"/>
                <w:lang w:val="en-US" w:eastAsia="zh-CN"/>
              </w:rPr>
              <w:t>2</w:t>
            </w:r>
            <w:r>
              <w:rPr>
                <w:rFonts w:hint="eastAsia"/>
                <w:color w:val="auto"/>
              </w:rPr>
              <w:t>.缴纳的数额。中标、成交金额降价幅度不超过采购预算10%的，履约保证金为中标、成交金额的10%;中标、成交金额降价幅度超过采购预算10%以上的，履约保证金为采购预算减去中标、成交金额的差额。</w:t>
            </w:r>
          </w:p>
          <w:p w14:paraId="508A4206">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jc w:val="left"/>
              <w:rPr>
                <w:rFonts w:hint="default" w:ascii="宋体" w:hAnsi="宋体" w:cs="宋体"/>
                <w:szCs w:val="21"/>
              </w:rPr>
            </w:pPr>
            <w:r>
              <w:rPr>
                <w:rFonts w:hint="eastAsia" w:ascii="Times New Roman" w:hAnsi="Times New Roman" w:eastAsia="宋体" w:cs="Times New Roman"/>
                <w:color w:val="auto"/>
                <w:kern w:val="2"/>
                <w:sz w:val="21"/>
                <w:szCs w:val="24"/>
                <w:lang w:val="en-US" w:eastAsia="zh-CN" w:bidi="ar-SA"/>
              </w:rPr>
              <w:t>3.缴纳的期限。提交履约保证金的期限为供应商自领取中标、成交通知书后7个工作日内提交履约保证金，最长不超过14个工作日。若供应商未在规定时间内提交履约保证金，视为放弃中标成交资格。采购人应当取消其中标、成交资格，供应商的投标保证金不予退还，并将其列入张家界市“严重失信企业名单”实行联合惩戒，3年内不接受其参与市域内政府采购项目的投标。</w:t>
            </w:r>
            <w:r>
              <w:rPr>
                <w:rFonts w:hint="eastAsia" w:ascii="宋体" w:hAnsi="宋体" w:eastAsia="宋体" w:cs="Times New Roman"/>
                <w:iCs/>
                <w:color w:val="auto"/>
                <w:kern w:val="2"/>
                <w:sz w:val="21"/>
                <w:szCs w:val="24"/>
                <w:lang w:val="en-US" w:eastAsia="zh-CN" w:bidi="ar-SA"/>
              </w:rPr>
              <w:t>（按张政办发【2024】21号文执行）</w:t>
            </w:r>
            <w:r>
              <w:rPr>
                <w:rFonts w:hint="eastAsia" w:ascii="宋体" w:hAnsi="宋体" w:cs="宋体"/>
                <w:szCs w:val="21"/>
              </w:rPr>
              <w:t>缴纳</w:t>
            </w:r>
            <w:r>
              <w:rPr>
                <w:rFonts w:hint="eastAsia" w:ascii="宋体" w:hAnsi="宋体" w:cs="宋体"/>
                <w:szCs w:val="21"/>
                <w:lang w:val="en-US" w:eastAsia="zh-CN"/>
              </w:rPr>
              <w:t>期限</w:t>
            </w:r>
            <w:r>
              <w:rPr>
                <w:rFonts w:hint="eastAsia" w:ascii="宋体" w:hAnsi="宋体" w:cs="宋体"/>
                <w:szCs w:val="21"/>
              </w:rPr>
              <w:t>：</w:t>
            </w:r>
            <w:r>
              <w:rPr>
                <w:rFonts w:hint="eastAsia" w:ascii="宋体" w:hAnsi="宋体" w:cs="宋体"/>
                <w:szCs w:val="21"/>
                <w:lang w:eastAsia="zh-CN"/>
              </w:rPr>
              <w:t>提交履约保证金的期限应当在采购文件中进行约定。供应商自领取中标、成交通知书后7个工作日内提交履约保证金，最长不超过14个工作日。若供应商未在规定时间内提交履约保证金，视为放弃中标成交资格。采购人应当取消其中标、成交资格，供应商的投标保证金不予退还，并将其列入张家界市“严重失信企业名单”实行联合惩戒，3年内不接受其参与市域内政府采购项目的投标</w:t>
            </w:r>
            <w:r>
              <w:rPr>
                <w:rFonts w:hint="eastAsia" w:ascii="宋体" w:hAnsi="宋体" w:cs="宋体"/>
                <w:szCs w:val="21"/>
              </w:rPr>
              <w:t>。</w:t>
            </w:r>
          </w:p>
        </w:tc>
      </w:tr>
      <w:tr w14:paraId="3F0D71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2" w:hRule="atLeast"/>
          <w:jc w:val="center"/>
        </w:trPr>
        <w:tc>
          <w:tcPr>
            <w:tcW w:w="10353" w:type="dxa"/>
            <w:gridSpan w:val="3"/>
            <w:vAlign w:val="center"/>
          </w:tcPr>
          <w:p w14:paraId="66894CE0">
            <w:pPr>
              <w:keepNext w:val="0"/>
              <w:keepLines w:val="0"/>
              <w:suppressLineNumbers w:val="0"/>
              <w:spacing w:before="0" w:beforeAutospacing="0" w:after="0" w:afterAutospacing="0"/>
              <w:ind w:left="0" w:right="0"/>
              <w:rPr>
                <w:rFonts w:hint="default" w:ascii="宋体" w:hAnsi="宋体" w:cs="宋体"/>
                <w:b/>
                <w:szCs w:val="21"/>
              </w:rPr>
            </w:pPr>
            <w:r>
              <w:rPr>
                <w:rFonts w:hint="eastAsia" w:ascii="宋体" w:hAnsi="宋体" w:cs="宋体"/>
                <w:b/>
                <w:szCs w:val="21"/>
              </w:rPr>
              <w:t>七、其他规定</w:t>
            </w:r>
          </w:p>
        </w:tc>
      </w:tr>
      <w:tr w14:paraId="5546F8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jc w:val="center"/>
        </w:trPr>
        <w:tc>
          <w:tcPr>
            <w:tcW w:w="1758" w:type="dxa"/>
            <w:vAlign w:val="center"/>
          </w:tcPr>
          <w:p w14:paraId="7236CD4D">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第二章第41.1款</w:t>
            </w:r>
          </w:p>
        </w:tc>
        <w:tc>
          <w:tcPr>
            <w:tcW w:w="2112" w:type="dxa"/>
            <w:vAlign w:val="center"/>
          </w:tcPr>
          <w:p w14:paraId="360FC588">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采购代理服务费</w:t>
            </w:r>
          </w:p>
        </w:tc>
        <w:tc>
          <w:tcPr>
            <w:tcW w:w="6483" w:type="dxa"/>
            <w:vAlign w:val="center"/>
          </w:tcPr>
          <w:p w14:paraId="00A2EE8D">
            <w:pPr>
              <w:keepNext w:val="0"/>
              <w:keepLines w:val="0"/>
              <w:suppressLineNumbers w:val="0"/>
              <w:spacing w:before="0" w:beforeAutospacing="0" w:after="0" w:afterAutospacing="0"/>
              <w:ind w:left="0" w:right="0"/>
              <w:rPr>
                <w:rFonts w:hint="default" w:ascii="宋体" w:hAnsi="宋体" w:cs="宋体"/>
                <w:szCs w:val="21"/>
              </w:rPr>
            </w:pPr>
            <w:r>
              <w:rPr>
                <w:rFonts w:hint="default" w:ascii="Times New Roman" w:hAnsi="Times New Roman" w:eastAsia="宋体" w:cs="Times New Roman"/>
                <w:color w:val="auto"/>
                <w:szCs w:val="21"/>
                <w:highlight w:val="none"/>
                <w:lang w:eastAsia="zh-CN"/>
              </w:rPr>
              <w:t>采购</w:t>
            </w:r>
            <w:r>
              <w:rPr>
                <w:rFonts w:hint="default" w:ascii="Times New Roman" w:hAnsi="Times New Roman" w:eastAsia="宋体" w:cs="Times New Roman"/>
                <w:color w:val="auto"/>
                <w:szCs w:val="21"/>
                <w:highlight w:val="none"/>
              </w:rPr>
              <w:t>代理服务费由</w:t>
            </w:r>
            <w:r>
              <w:rPr>
                <w:rFonts w:hint="default" w:ascii="Times New Roman" w:hAnsi="Times New Roman" w:eastAsia="宋体" w:cs="Times New Roman"/>
                <w:color w:val="auto"/>
                <w:szCs w:val="21"/>
                <w:highlight w:val="none"/>
                <w:lang w:val="en-US" w:eastAsia="zh-CN"/>
              </w:rPr>
              <w:t>采购人</w:t>
            </w:r>
            <w:r>
              <w:rPr>
                <w:rFonts w:hint="default" w:ascii="Times New Roman" w:hAnsi="Times New Roman" w:eastAsia="宋体" w:cs="Times New Roman"/>
                <w:color w:val="auto"/>
                <w:szCs w:val="21"/>
                <w:highlight w:val="none"/>
                <w:lang w:eastAsia="zh-CN"/>
              </w:rPr>
              <w:t>在成交通知书</w:t>
            </w:r>
            <w:r>
              <w:rPr>
                <w:rFonts w:hint="default" w:ascii="Times New Roman" w:hAnsi="Times New Roman" w:eastAsia="宋体" w:cs="Times New Roman"/>
                <w:color w:val="auto"/>
                <w:szCs w:val="21"/>
                <w:highlight w:val="none"/>
                <w:lang w:val="en-US" w:eastAsia="zh-CN"/>
              </w:rPr>
              <w:t>发放后</w:t>
            </w:r>
            <w:r>
              <w:rPr>
                <w:rFonts w:hint="default" w:ascii="Times New Roman" w:hAnsi="Times New Roman" w:eastAsia="宋体" w:cs="Times New Roman"/>
                <w:color w:val="auto"/>
                <w:szCs w:val="21"/>
                <w:highlight w:val="none"/>
              </w:rPr>
              <w:t>向采购代理机构支付</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u w:val="single"/>
                <w:lang w:val="en-US" w:eastAsia="zh-CN"/>
              </w:rPr>
              <w:t xml:space="preserve"> </w:t>
            </w:r>
            <w:r>
              <w:rPr>
                <w:rFonts w:hint="default" w:ascii="Times New Roman" w:hAnsi="Times New Roman" w:eastAsia="宋体" w:cs="Times New Roman"/>
                <w:color w:val="auto"/>
                <w:szCs w:val="21"/>
                <w:highlight w:val="none"/>
                <w:lang w:eastAsia="zh-CN"/>
              </w:rPr>
              <w:t>采购</w:t>
            </w:r>
            <w:r>
              <w:rPr>
                <w:rFonts w:hint="default" w:ascii="Times New Roman" w:hAnsi="Times New Roman" w:eastAsia="宋体" w:cs="Times New Roman"/>
                <w:color w:val="auto"/>
                <w:szCs w:val="21"/>
                <w:highlight w:val="none"/>
              </w:rPr>
              <w:t>代理服务费</w:t>
            </w:r>
            <w:r>
              <w:rPr>
                <w:rFonts w:hint="eastAsia" w:ascii="Times New Roman" w:hAnsi="Times New Roman" w:eastAsia="宋体" w:cs="Times New Roman"/>
                <w:color w:val="auto"/>
                <w:szCs w:val="21"/>
                <w:highlight w:val="none"/>
                <w:lang w:eastAsia="zh-CN"/>
              </w:rPr>
              <w:t>上限为</w:t>
            </w:r>
            <w:r>
              <w:rPr>
                <w:rFonts w:hint="eastAsia" w:cs="Times New Roman"/>
                <w:color w:val="0000FF"/>
                <w:szCs w:val="21"/>
                <w:highlight w:val="none"/>
                <w:u w:val="single"/>
                <w:lang w:val="en-US" w:eastAsia="zh-CN"/>
              </w:rPr>
              <w:t>9555.00</w:t>
            </w:r>
            <w:r>
              <w:rPr>
                <w:rFonts w:hint="default" w:ascii="Times New Roman" w:hAnsi="Times New Roman" w:eastAsia="宋体" w:cs="Times New Roman"/>
                <w:color w:val="auto"/>
                <w:szCs w:val="21"/>
                <w:highlight w:val="none"/>
              </w:rPr>
              <w:t>元。</w:t>
            </w:r>
          </w:p>
        </w:tc>
      </w:tr>
      <w:tr w14:paraId="5BDA29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07" w:hRule="atLeast"/>
          <w:jc w:val="center"/>
        </w:trPr>
        <w:tc>
          <w:tcPr>
            <w:tcW w:w="1758" w:type="dxa"/>
            <w:vAlign w:val="center"/>
          </w:tcPr>
          <w:p w14:paraId="16855C4F">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第二章第42.1款</w:t>
            </w:r>
          </w:p>
        </w:tc>
        <w:tc>
          <w:tcPr>
            <w:tcW w:w="2112" w:type="dxa"/>
            <w:vAlign w:val="center"/>
          </w:tcPr>
          <w:p w14:paraId="2501CF11">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其他规定</w:t>
            </w:r>
          </w:p>
        </w:tc>
        <w:tc>
          <w:tcPr>
            <w:tcW w:w="6483" w:type="dxa"/>
            <w:vAlign w:val="center"/>
          </w:tcPr>
          <w:p w14:paraId="246DA83F">
            <w:pPr>
              <w:keepNext w:val="0"/>
              <w:keepLines w:val="0"/>
              <w:suppressLineNumbers w:val="0"/>
              <w:adjustRightInd w:val="0"/>
              <w:snapToGrid w:val="0"/>
              <w:spacing w:before="0" w:beforeAutospacing="0" w:after="0" w:afterAutospacing="0" w:line="360" w:lineRule="auto"/>
              <w:ind w:left="0" w:right="0"/>
              <w:rPr>
                <w:rFonts w:hint="default"/>
              </w:rPr>
            </w:pPr>
            <w:r>
              <w:rPr>
                <w:rFonts w:hint="eastAsia"/>
              </w:rPr>
              <w:t>1、每个供应商递交首次响应文件时需同时递交响应文件电子档一份（U盘）；</w:t>
            </w:r>
          </w:p>
          <w:p w14:paraId="058E8EC4">
            <w:pPr>
              <w:keepNext w:val="0"/>
              <w:keepLines w:val="0"/>
              <w:suppressLineNumbers w:val="0"/>
              <w:spacing w:before="0" w:beforeAutospacing="0" w:after="0" w:afterAutospacing="0"/>
              <w:ind w:left="0" w:right="0"/>
              <w:rPr>
                <w:rFonts w:hint="default"/>
              </w:rPr>
            </w:pPr>
            <w:r>
              <w:rPr>
                <w:rFonts w:hint="eastAsia"/>
                <w:lang w:val="en-US" w:eastAsia="zh-CN"/>
              </w:rPr>
              <w:t>2</w:t>
            </w:r>
            <w:r>
              <w:rPr>
                <w:rFonts w:hint="eastAsia"/>
              </w:rPr>
              <w:t>、暂估价未实施的，需全额退还给采购单位。</w:t>
            </w:r>
          </w:p>
        </w:tc>
      </w:tr>
    </w:tbl>
    <w:p w14:paraId="78566BF3">
      <w:pPr>
        <w:pStyle w:val="20"/>
        <w:rPr>
          <w:rFonts w:ascii="Calibri" w:hAnsi="Calibri"/>
        </w:rPr>
      </w:pPr>
      <w:r>
        <w:br w:type="page"/>
      </w:r>
      <w:r>
        <w:rPr>
          <w:b/>
          <w:bCs/>
          <w:szCs w:val="21"/>
        </w:rPr>
        <w:t>附页1</w:t>
      </w:r>
    </w:p>
    <w:p w14:paraId="1D0A3075">
      <w:pPr>
        <w:adjustRightInd w:val="0"/>
        <w:snapToGrid w:val="0"/>
        <w:spacing w:line="360" w:lineRule="auto"/>
        <w:jc w:val="center"/>
        <w:rPr>
          <w:b/>
          <w:bCs/>
          <w:sz w:val="28"/>
          <w:szCs w:val="28"/>
        </w:rPr>
      </w:pPr>
      <w:r>
        <w:rPr>
          <w:b/>
          <w:bCs/>
          <w:kern w:val="0"/>
          <w:sz w:val="28"/>
          <w:szCs w:val="28"/>
        </w:rPr>
        <w:t>湖南省政府采购支持中小企业融资合作银行及联系人名单</w:t>
      </w:r>
    </w:p>
    <w:tbl>
      <w:tblPr>
        <w:tblStyle w:val="46"/>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817"/>
        <w:gridCol w:w="1128"/>
        <w:gridCol w:w="3015"/>
        <w:gridCol w:w="2620"/>
      </w:tblGrid>
      <w:tr w14:paraId="019BD6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4" w:hRule="atLeast"/>
        </w:trPr>
        <w:tc>
          <w:tcPr>
            <w:tcW w:w="2817" w:type="dxa"/>
            <w:vAlign w:val="center"/>
          </w:tcPr>
          <w:p w14:paraId="0C34FFA8">
            <w:pPr>
              <w:keepNext w:val="0"/>
              <w:keepLines w:val="0"/>
              <w:suppressLineNumbers w:val="0"/>
              <w:adjustRightInd w:val="0"/>
              <w:snapToGrid w:val="0"/>
              <w:spacing w:before="0" w:beforeLines="50" w:beforeAutospacing="0" w:after="0" w:afterAutospacing="0" w:line="360" w:lineRule="auto"/>
              <w:ind w:left="0" w:right="0"/>
              <w:jc w:val="center"/>
              <w:rPr>
                <w:rFonts w:hint="default"/>
                <w:b/>
                <w:szCs w:val="21"/>
              </w:rPr>
            </w:pPr>
            <w:r>
              <w:rPr>
                <w:rFonts w:hint="default"/>
                <w:b/>
                <w:bCs/>
                <w:kern w:val="0"/>
                <w:szCs w:val="21"/>
              </w:rPr>
              <w:t>银行名称</w:t>
            </w:r>
          </w:p>
        </w:tc>
        <w:tc>
          <w:tcPr>
            <w:tcW w:w="1128" w:type="dxa"/>
            <w:vAlign w:val="center"/>
          </w:tcPr>
          <w:p w14:paraId="5886F441">
            <w:pPr>
              <w:keepNext w:val="0"/>
              <w:keepLines w:val="0"/>
              <w:suppressLineNumbers w:val="0"/>
              <w:adjustRightInd w:val="0"/>
              <w:snapToGrid w:val="0"/>
              <w:spacing w:before="0" w:beforeLines="50" w:beforeAutospacing="0" w:after="0" w:afterAutospacing="0" w:line="360" w:lineRule="auto"/>
              <w:ind w:left="0" w:right="0"/>
              <w:jc w:val="center"/>
              <w:rPr>
                <w:rFonts w:hint="default"/>
                <w:b/>
                <w:szCs w:val="21"/>
              </w:rPr>
            </w:pPr>
            <w:r>
              <w:rPr>
                <w:rFonts w:hint="default"/>
                <w:b/>
                <w:bCs/>
                <w:kern w:val="0"/>
                <w:szCs w:val="21"/>
              </w:rPr>
              <w:t>联系人</w:t>
            </w:r>
          </w:p>
        </w:tc>
        <w:tc>
          <w:tcPr>
            <w:tcW w:w="3015" w:type="dxa"/>
            <w:vAlign w:val="center"/>
          </w:tcPr>
          <w:p w14:paraId="61360505">
            <w:pPr>
              <w:keepNext w:val="0"/>
              <w:keepLines w:val="0"/>
              <w:suppressLineNumbers w:val="0"/>
              <w:adjustRightInd w:val="0"/>
              <w:snapToGrid w:val="0"/>
              <w:spacing w:before="0" w:beforeLines="50" w:beforeAutospacing="0" w:after="0" w:afterAutospacing="0" w:line="360" w:lineRule="auto"/>
              <w:ind w:left="0" w:right="0"/>
              <w:jc w:val="center"/>
              <w:rPr>
                <w:rFonts w:hint="default"/>
                <w:b/>
                <w:szCs w:val="21"/>
              </w:rPr>
            </w:pPr>
            <w:r>
              <w:rPr>
                <w:rFonts w:hint="default"/>
                <w:b/>
                <w:bCs/>
                <w:kern w:val="0"/>
                <w:szCs w:val="21"/>
              </w:rPr>
              <w:t>职 务</w:t>
            </w:r>
          </w:p>
        </w:tc>
        <w:tc>
          <w:tcPr>
            <w:tcW w:w="2620" w:type="dxa"/>
            <w:vAlign w:val="center"/>
          </w:tcPr>
          <w:p w14:paraId="7E775E6C">
            <w:pPr>
              <w:keepNext w:val="0"/>
              <w:keepLines w:val="0"/>
              <w:suppressLineNumbers w:val="0"/>
              <w:adjustRightInd w:val="0"/>
              <w:snapToGrid w:val="0"/>
              <w:spacing w:before="0" w:beforeLines="50" w:beforeAutospacing="0" w:after="0" w:afterAutospacing="0" w:line="360" w:lineRule="auto"/>
              <w:ind w:left="0" w:right="0"/>
              <w:jc w:val="center"/>
              <w:rPr>
                <w:rFonts w:hint="default"/>
                <w:b/>
                <w:szCs w:val="21"/>
              </w:rPr>
            </w:pPr>
            <w:r>
              <w:rPr>
                <w:rFonts w:hint="default"/>
                <w:b/>
                <w:bCs/>
                <w:kern w:val="0"/>
                <w:szCs w:val="21"/>
              </w:rPr>
              <w:t>联系电话</w:t>
            </w:r>
          </w:p>
        </w:tc>
      </w:tr>
      <w:tr w14:paraId="374A48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trPr>
        <w:tc>
          <w:tcPr>
            <w:tcW w:w="2817" w:type="dxa"/>
            <w:vAlign w:val="center"/>
          </w:tcPr>
          <w:p w14:paraId="57EA8565">
            <w:pPr>
              <w:keepNext w:val="0"/>
              <w:keepLines w:val="0"/>
              <w:suppressLineNumbers w:val="0"/>
              <w:adjustRightInd w:val="0"/>
              <w:snapToGrid w:val="0"/>
              <w:spacing w:before="0" w:beforeLines="50" w:beforeAutospacing="0" w:after="0" w:afterAutospacing="0" w:line="360" w:lineRule="auto"/>
              <w:ind w:left="0" w:right="0"/>
              <w:rPr>
                <w:rFonts w:hint="default"/>
                <w:szCs w:val="21"/>
              </w:rPr>
            </w:pPr>
            <w:r>
              <w:rPr>
                <w:rFonts w:hint="default"/>
                <w:kern w:val="0"/>
                <w:szCs w:val="21"/>
              </w:rPr>
              <w:t>交通银行湖南省分行</w:t>
            </w:r>
          </w:p>
        </w:tc>
        <w:tc>
          <w:tcPr>
            <w:tcW w:w="1128" w:type="dxa"/>
            <w:vAlign w:val="center"/>
          </w:tcPr>
          <w:p w14:paraId="69A7E133">
            <w:pPr>
              <w:keepNext w:val="0"/>
              <w:keepLines w:val="0"/>
              <w:suppressLineNumbers w:val="0"/>
              <w:adjustRightInd w:val="0"/>
              <w:snapToGrid w:val="0"/>
              <w:spacing w:before="0" w:beforeLines="50" w:beforeAutospacing="0" w:after="0" w:afterAutospacing="0" w:line="360" w:lineRule="auto"/>
              <w:ind w:left="0" w:right="0"/>
              <w:jc w:val="center"/>
              <w:rPr>
                <w:rFonts w:hint="default"/>
                <w:szCs w:val="21"/>
              </w:rPr>
            </w:pPr>
            <w:r>
              <w:rPr>
                <w:rFonts w:hint="default"/>
                <w:kern w:val="0"/>
                <w:szCs w:val="21"/>
              </w:rPr>
              <w:t>刘  波</w:t>
            </w:r>
          </w:p>
        </w:tc>
        <w:tc>
          <w:tcPr>
            <w:tcW w:w="3015" w:type="dxa"/>
            <w:vAlign w:val="center"/>
          </w:tcPr>
          <w:p w14:paraId="049DD079">
            <w:pPr>
              <w:keepNext w:val="0"/>
              <w:keepLines w:val="0"/>
              <w:suppressLineNumbers w:val="0"/>
              <w:adjustRightInd w:val="0"/>
              <w:snapToGrid w:val="0"/>
              <w:spacing w:before="0" w:beforeLines="50" w:beforeAutospacing="0" w:after="0" w:afterAutospacing="0" w:line="360" w:lineRule="auto"/>
              <w:ind w:left="0" w:right="0"/>
              <w:rPr>
                <w:rFonts w:hint="default"/>
                <w:szCs w:val="21"/>
              </w:rPr>
            </w:pPr>
            <w:r>
              <w:rPr>
                <w:rFonts w:hint="default"/>
                <w:kern w:val="0"/>
                <w:szCs w:val="21"/>
              </w:rPr>
              <w:t>名城支行客户经理</w:t>
            </w:r>
          </w:p>
        </w:tc>
        <w:tc>
          <w:tcPr>
            <w:tcW w:w="2620" w:type="dxa"/>
            <w:vAlign w:val="center"/>
          </w:tcPr>
          <w:p w14:paraId="70294036">
            <w:pPr>
              <w:keepNext w:val="0"/>
              <w:keepLines w:val="0"/>
              <w:suppressLineNumbers w:val="0"/>
              <w:adjustRightInd w:val="0"/>
              <w:snapToGrid w:val="0"/>
              <w:spacing w:before="0" w:beforeLines="50" w:beforeAutospacing="0" w:after="0" w:afterAutospacing="0" w:line="360" w:lineRule="auto"/>
              <w:ind w:left="0" w:right="0"/>
              <w:jc w:val="center"/>
              <w:rPr>
                <w:rFonts w:hint="default"/>
                <w:szCs w:val="21"/>
              </w:rPr>
            </w:pPr>
            <w:r>
              <w:rPr>
                <w:rFonts w:hint="default"/>
                <w:kern w:val="0"/>
                <w:szCs w:val="21"/>
              </w:rPr>
              <w:t>13874998873</w:t>
            </w:r>
          </w:p>
        </w:tc>
      </w:tr>
      <w:tr w14:paraId="5C6D78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trPr>
        <w:tc>
          <w:tcPr>
            <w:tcW w:w="2817" w:type="dxa"/>
            <w:vAlign w:val="center"/>
          </w:tcPr>
          <w:p w14:paraId="1915D0EF">
            <w:pPr>
              <w:keepNext w:val="0"/>
              <w:keepLines w:val="0"/>
              <w:suppressLineNumbers w:val="0"/>
              <w:adjustRightInd w:val="0"/>
              <w:snapToGrid w:val="0"/>
              <w:spacing w:before="0" w:beforeLines="50" w:beforeAutospacing="0" w:after="0" w:afterAutospacing="0" w:line="360" w:lineRule="auto"/>
              <w:ind w:left="0" w:right="0"/>
              <w:rPr>
                <w:rFonts w:hint="default"/>
                <w:szCs w:val="21"/>
              </w:rPr>
            </w:pPr>
            <w:r>
              <w:rPr>
                <w:rFonts w:hint="default"/>
                <w:kern w:val="0"/>
                <w:szCs w:val="21"/>
              </w:rPr>
              <w:t>交通银行湖南省分行</w:t>
            </w:r>
          </w:p>
        </w:tc>
        <w:tc>
          <w:tcPr>
            <w:tcW w:w="1128" w:type="dxa"/>
            <w:vAlign w:val="center"/>
          </w:tcPr>
          <w:p w14:paraId="7E2B1BCC">
            <w:pPr>
              <w:keepNext w:val="0"/>
              <w:keepLines w:val="0"/>
              <w:suppressLineNumbers w:val="0"/>
              <w:adjustRightInd w:val="0"/>
              <w:snapToGrid w:val="0"/>
              <w:spacing w:before="0" w:beforeLines="50" w:beforeAutospacing="0" w:after="0" w:afterAutospacing="0" w:line="360" w:lineRule="auto"/>
              <w:ind w:left="0" w:right="0"/>
              <w:jc w:val="center"/>
              <w:rPr>
                <w:rFonts w:hint="default"/>
                <w:szCs w:val="21"/>
              </w:rPr>
            </w:pPr>
            <w:r>
              <w:rPr>
                <w:rFonts w:hint="default"/>
                <w:kern w:val="0"/>
                <w:szCs w:val="21"/>
              </w:rPr>
              <w:t>肖勇光</w:t>
            </w:r>
          </w:p>
        </w:tc>
        <w:tc>
          <w:tcPr>
            <w:tcW w:w="3015" w:type="dxa"/>
            <w:vAlign w:val="center"/>
          </w:tcPr>
          <w:p w14:paraId="7E62570A">
            <w:pPr>
              <w:keepNext w:val="0"/>
              <w:keepLines w:val="0"/>
              <w:suppressLineNumbers w:val="0"/>
              <w:adjustRightInd w:val="0"/>
              <w:snapToGrid w:val="0"/>
              <w:spacing w:before="0" w:beforeLines="50" w:beforeAutospacing="0" w:after="0" w:afterAutospacing="0" w:line="360" w:lineRule="auto"/>
              <w:ind w:left="0" w:right="0"/>
              <w:rPr>
                <w:rFonts w:hint="default"/>
                <w:szCs w:val="21"/>
              </w:rPr>
            </w:pPr>
            <w:r>
              <w:rPr>
                <w:rFonts w:hint="default"/>
                <w:kern w:val="0"/>
                <w:szCs w:val="21"/>
              </w:rPr>
              <w:t>分行高级经理</w:t>
            </w:r>
          </w:p>
        </w:tc>
        <w:tc>
          <w:tcPr>
            <w:tcW w:w="2620" w:type="dxa"/>
            <w:vAlign w:val="center"/>
          </w:tcPr>
          <w:p w14:paraId="206DFFB4">
            <w:pPr>
              <w:keepNext w:val="0"/>
              <w:keepLines w:val="0"/>
              <w:suppressLineNumbers w:val="0"/>
              <w:adjustRightInd w:val="0"/>
              <w:snapToGrid w:val="0"/>
              <w:spacing w:before="0" w:beforeLines="50" w:beforeAutospacing="0" w:after="0" w:afterAutospacing="0" w:line="360" w:lineRule="auto"/>
              <w:ind w:left="0" w:right="0"/>
              <w:jc w:val="center"/>
              <w:rPr>
                <w:rFonts w:hint="default"/>
                <w:szCs w:val="21"/>
              </w:rPr>
            </w:pPr>
            <w:r>
              <w:rPr>
                <w:rFonts w:hint="default"/>
                <w:kern w:val="0"/>
                <w:szCs w:val="21"/>
              </w:rPr>
              <w:t>13755192647</w:t>
            </w:r>
          </w:p>
        </w:tc>
      </w:tr>
      <w:tr w14:paraId="15C1D5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trPr>
        <w:tc>
          <w:tcPr>
            <w:tcW w:w="2817" w:type="dxa"/>
            <w:vAlign w:val="center"/>
          </w:tcPr>
          <w:p w14:paraId="5718CCFE">
            <w:pPr>
              <w:keepNext w:val="0"/>
              <w:keepLines w:val="0"/>
              <w:suppressLineNumbers w:val="0"/>
              <w:adjustRightInd w:val="0"/>
              <w:snapToGrid w:val="0"/>
              <w:spacing w:before="0" w:beforeLines="50" w:beforeAutospacing="0" w:after="0" w:afterAutospacing="0" w:line="360" w:lineRule="auto"/>
              <w:ind w:left="0" w:right="0"/>
              <w:rPr>
                <w:rFonts w:hint="default"/>
                <w:szCs w:val="21"/>
              </w:rPr>
            </w:pPr>
            <w:r>
              <w:rPr>
                <w:rFonts w:hint="default"/>
                <w:kern w:val="0"/>
                <w:szCs w:val="21"/>
              </w:rPr>
              <w:t>中国民生银行长沙分行</w:t>
            </w:r>
          </w:p>
        </w:tc>
        <w:tc>
          <w:tcPr>
            <w:tcW w:w="1128" w:type="dxa"/>
            <w:vAlign w:val="center"/>
          </w:tcPr>
          <w:p w14:paraId="60C9EFBB">
            <w:pPr>
              <w:keepNext w:val="0"/>
              <w:keepLines w:val="0"/>
              <w:suppressLineNumbers w:val="0"/>
              <w:adjustRightInd w:val="0"/>
              <w:snapToGrid w:val="0"/>
              <w:spacing w:before="0" w:beforeLines="50" w:beforeAutospacing="0" w:after="0" w:afterAutospacing="0" w:line="360" w:lineRule="auto"/>
              <w:ind w:left="0" w:right="0"/>
              <w:jc w:val="center"/>
              <w:rPr>
                <w:rFonts w:hint="default"/>
                <w:szCs w:val="21"/>
              </w:rPr>
            </w:pPr>
            <w:r>
              <w:rPr>
                <w:rFonts w:hint="default"/>
                <w:kern w:val="0"/>
                <w:szCs w:val="21"/>
              </w:rPr>
              <w:t>黄飞燕</w:t>
            </w:r>
          </w:p>
        </w:tc>
        <w:tc>
          <w:tcPr>
            <w:tcW w:w="3015" w:type="dxa"/>
            <w:vAlign w:val="center"/>
          </w:tcPr>
          <w:p w14:paraId="396260F4">
            <w:pPr>
              <w:keepNext w:val="0"/>
              <w:keepLines w:val="0"/>
              <w:suppressLineNumbers w:val="0"/>
              <w:adjustRightInd w:val="0"/>
              <w:snapToGrid w:val="0"/>
              <w:spacing w:before="0" w:beforeLines="50" w:beforeAutospacing="0" w:after="0" w:afterAutospacing="0" w:line="360" w:lineRule="auto"/>
              <w:ind w:left="0" w:right="0"/>
              <w:rPr>
                <w:rFonts w:hint="default"/>
                <w:szCs w:val="21"/>
              </w:rPr>
            </w:pPr>
            <w:r>
              <w:rPr>
                <w:rFonts w:hint="default"/>
                <w:kern w:val="0"/>
                <w:szCs w:val="21"/>
              </w:rPr>
              <w:t>营业部总经理</w:t>
            </w:r>
          </w:p>
        </w:tc>
        <w:tc>
          <w:tcPr>
            <w:tcW w:w="2620" w:type="dxa"/>
            <w:vAlign w:val="center"/>
          </w:tcPr>
          <w:p w14:paraId="45734F8A">
            <w:pPr>
              <w:keepNext w:val="0"/>
              <w:keepLines w:val="0"/>
              <w:suppressLineNumbers w:val="0"/>
              <w:adjustRightInd w:val="0"/>
              <w:snapToGrid w:val="0"/>
              <w:spacing w:before="0" w:beforeLines="50" w:beforeAutospacing="0" w:after="0" w:afterAutospacing="0" w:line="360" w:lineRule="auto"/>
              <w:ind w:left="0" w:right="0"/>
              <w:jc w:val="center"/>
              <w:rPr>
                <w:rFonts w:hint="default"/>
                <w:szCs w:val="21"/>
              </w:rPr>
            </w:pPr>
            <w:r>
              <w:rPr>
                <w:rFonts w:hint="default"/>
                <w:kern w:val="0"/>
                <w:szCs w:val="21"/>
              </w:rPr>
              <w:t>13308463468</w:t>
            </w:r>
          </w:p>
        </w:tc>
      </w:tr>
      <w:tr w14:paraId="3BCD32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trPr>
        <w:tc>
          <w:tcPr>
            <w:tcW w:w="2817" w:type="dxa"/>
            <w:vAlign w:val="center"/>
          </w:tcPr>
          <w:p w14:paraId="4AAD04B1">
            <w:pPr>
              <w:keepNext w:val="0"/>
              <w:keepLines w:val="0"/>
              <w:suppressLineNumbers w:val="0"/>
              <w:adjustRightInd w:val="0"/>
              <w:snapToGrid w:val="0"/>
              <w:spacing w:before="0" w:beforeLines="50" w:beforeAutospacing="0" w:after="0" w:afterAutospacing="0" w:line="360" w:lineRule="auto"/>
              <w:ind w:left="0" w:right="0"/>
              <w:rPr>
                <w:rFonts w:hint="default"/>
                <w:szCs w:val="21"/>
              </w:rPr>
            </w:pPr>
            <w:r>
              <w:rPr>
                <w:rFonts w:hint="default"/>
                <w:kern w:val="0"/>
                <w:szCs w:val="21"/>
              </w:rPr>
              <w:t>中国民生银行长沙分行</w:t>
            </w:r>
          </w:p>
        </w:tc>
        <w:tc>
          <w:tcPr>
            <w:tcW w:w="1128" w:type="dxa"/>
            <w:vAlign w:val="center"/>
          </w:tcPr>
          <w:p w14:paraId="3506C106">
            <w:pPr>
              <w:keepNext w:val="0"/>
              <w:keepLines w:val="0"/>
              <w:suppressLineNumbers w:val="0"/>
              <w:adjustRightInd w:val="0"/>
              <w:snapToGrid w:val="0"/>
              <w:spacing w:before="0" w:beforeLines="50" w:beforeAutospacing="0" w:after="0" w:afterAutospacing="0" w:line="360" w:lineRule="auto"/>
              <w:ind w:left="0" w:right="0"/>
              <w:jc w:val="center"/>
              <w:rPr>
                <w:rFonts w:hint="default"/>
                <w:szCs w:val="21"/>
              </w:rPr>
            </w:pPr>
            <w:r>
              <w:rPr>
                <w:rFonts w:hint="default"/>
                <w:kern w:val="0"/>
                <w:szCs w:val="21"/>
              </w:rPr>
              <w:t>蒋寒奇</w:t>
            </w:r>
          </w:p>
        </w:tc>
        <w:tc>
          <w:tcPr>
            <w:tcW w:w="3015" w:type="dxa"/>
            <w:vAlign w:val="center"/>
          </w:tcPr>
          <w:p w14:paraId="11463BCC">
            <w:pPr>
              <w:keepNext w:val="0"/>
              <w:keepLines w:val="0"/>
              <w:suppressLineNumbers w:val="0"/>
              <w:adjustRightInd w:val="0"/>
              <w:snapToGrid w:val="0"/>
              <w:spacing w:before="0" w:beforeLines="50" w:beforeAutospacing="0" w:after="0" w:afterAutospacing="0" w:line="360" w:lineRule="auto"/>
              <w:ind w:left="0" w:right="0"/>
              <w:rPr>
                <w:rFonts w:hint="default"/>
                <w:szCs w:val="21"/>
              </w:rPr>
            </w:pPr>
            <w:r>
              <w:rPr>
                <w:rFonts w:hint="default"/>
                <w:kern w:val="0"/>
                <w:szCs w:val="21"/>
              </w:rPr>
              <w:t>营业部中小企业客户经理</w:t>
            </w:r>
          </w:p>
        </w:tc>
        <w:tc>
          <w:tcPr>
            <w:tcW w:w="2620" w:type="dxa"/>
            <w:vAlign w:val="center"/>
          </w:tcPr>
          <w:p w14:paraId="43661FF5">
            <w:pPr>
              <w:keepNext w:val="0"/>
              <w:keepLines w:val="0"/>
              <w:suppressLineNumbers w:val="0"/>
              <w:adjustRightInd w:val="0"/>
              <w:snapToGrid w:val="0"/>
              <w:spacing w:before="0" w:beforeLines="50" w:beforeAutospacing="0" w:after="0" w:afterAutospacing="0" w:line="360" w:lineRule="auto"/>
              <w:ind w:left="0" w:right="0"/>
              <w:jc w:val="center"/>
              <w:rPr>
                <w:rFonts w:hint="default"/>
                <w:szCs w:val="21"/>
              </w:rPr>
            </w:pPr>
            <w:r>
              <w:rPr>
                <w:rFonts w:hint="default"/>
                <w:kern w:val="0"/>
                <w:szCs w:val="21"/>
              </w:rPr>
              <w:t>13548982975</w:t>
            </w:r>
          </w:p>
        </w:tc>
      </w:tr>
      <w:tr w14:paraId="5DD640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trPr>
        <w:tc>
          <w:tcPr>
            <w:tcW w:w="2817" w:type="dxa"/>
            <w:vAlign w:val="center"/>
          </w:tcPr>
          <w:p w14:paraId="19DDA16F">
            <w:pPr>
              <w:keepNext w:val="0"/>
              <w:keepLines w:val="0"/>
              <w:suppressLineNumbers w:val="0"/>
              <w:adjustRightInd w:val="0"/>
              <w:snapToGrid w:val="0"/>
              <w:spacing w:before="0" w:beforeLines="50" w:beforeAutospacing="0" w:after="0" w:afterAutospacing="0" w:line="360" w:lineRule="auto"/>
              <w:ind w:left="0" w:right="0"/>
              <w:rPr>
                <w:rFonts w:hint="default"/>
                <w:szCs w:val="21"/>
              </w:rPr>
            </w:pPr>
            <w:r>
              <w:rPr>
                <w:rFonts w:hint="default"/>
                <w:kern w:val="0"/>
                <w:szCs w:val="21"/>
              </w:rPr>
              <w:t>兴业银行长沙分行</w:t>
            </w:r>
          </w:p>
        </w:tc>
        <w:tc>
          <w:tcPr>
            <w:tcW w:w="1128" w:type="dxa"/>
            <w:vAlign w:val="center"/>
          </w:tcPr>
          <w:p w14:paraId="11E56DA3">
            <w:pPr>
              <w:keepNext w:val="0"/>
              <w:keepLines w:val="0"/>
              <w:suppressLineNumbers w:val="0"/>
              <w:adjustRightInd w:val="0"/>
              <w:snapToGrid w:val="0"/>
              <w:spacing w:before="0" w:beforeLines="50" w:beforeAutospacing="0" w:after="0" w:afterAutospacing="0" w:line="360" w:lineRule="auto"/>
              <w:ind w:left="0" w:right="0"/>
              <w:jc w:val="center"/>
              <w:rPr>
                <w:rFonts w:hint="default"/>
                <w:szCs w:val="21"/>
              </w:rPr>
            </w:pPr>
            <w:r>
              <w:rPr>
                <w:rFonts w:hint="default"/>
                <w:kern w:val="0"/>
                <w:szCs w:val="21"/>
              </w:rPr>
              <w:t>刘栅延</w:t>
            </w:r>
          </w:p>
        </w:tc>
        <w:tc>
          <w:tcPr>
            <w:tcW w:w="3015" w:type="dxa"/>
            <w:vAlign w:val="center"/>
          </w:tcPr>
          <w:p w14:paraId="7C8AB768">
            <w:pPr>
              <w:keepNext w:val="0"/>
              <w:keepLines w:val="0"/>
              <w:suppressLineNumbers w:val="0"/>
              <w:adjustRightInd w:val="0"/>
              <w:snapToGrid w:val="0"/>
              <w:spacing w:before="0" w:beforeLines="50" w:beforeAutospacing="0" w:after="0" w:afterAutospacing="0" w:line="360" w:lineRule="auto"/>
              <w:ind w:left="0" w:right="0"/>
              <w:rPr>
                <w:rFonts w:hint="default"/>
                <w:szCs w:val="21"/>
              </w:rPr>
            </w:pPr>
            <w:r>
              <w:rPr>
                <w:rFonts w:hint="default"/>
                <w:kern w:val="0"/>
                <w:szCs w:val="21"/>
              </w:rPr>
              <w:t>支行行长</w:t>
            </w:r>
          </w:p>
        </w:tc>
        <w:tc>
          <w:tcPr>
            <w:tcW w:w="2620" w:type="dxa"/>
            <w:vAlign w:val="center"/>
          </w:tcPr>
          <w:p w14:paraId="1793C0BC">
            <w:pPr>
              <w:keepNext w:val="0"/>
              <w:keepLines w:val="0"/>
              <w:suppressLineNumbers w:val="0"/>
              <w:adjustRightInd w:val="0"/>
              <w:snapToGrid w:val="0"/>
              <w:spacing w:before="0" w:beforeLines="50" w:beforeAutospacing="0" w:after="0" w:afterAutospacing="0" w:line="360" w:lineRule="auto"/>
              <w:ind w:left="0" w:right="0"/>
              <w:jc w:val="center"/>
              <w:rPr>
                <w:rFonts w:hint="default"/>
                <w:szCs w:val="21"/>
              </w:rPr>
            </w:pPr>
            <w:r>
              <w:rPr>
                <w:rFonts w:hint="default"/>
                <w:kern w:val="0"/>
                <w:szCs w:val="21"/>
              </w:rPr>
              <w:t>13337316405</w:t>
            </w:r>
          </w:p>
        </w:tc>
      </w:tr>
      <w:tr w14:paraId="70C3F2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trPr>
        <w:tc>
          <w:tcPr>
            <w:tcW w:w="2817" w:type="dxa"/>
            <w:vAlign w:val="center"/>
          </w:tcPr>
          <w:p w14:paraId="4B7A158D">
            <w:pPr>
              <w:keepNext w:val="0"/>
              <w:keepLines w:val="0"/>
              <w:suppressLineNumbers w:val="0"/>
              <w:adjustRightInd w:val="0"/>
              <w:snapToGrid w:val="0"/>
              <w:spacing w:before="0" w:beforeLines="50" w:beforeAutospacing="0" w:after="0" w:afterAutospacing="0" w:line="360" w:lineRule="auto"/>
              <w:ind w:left="0" w:right="0"/>
              <w:rPr>
                <w:rFonts w:hint="default"/>
                <w:szCs w:val="21"/>
              </w:rPr>
            </w:pPr>
            <w:r>
              <w:rPr>
                <w:rFonts w:hint="default"/>
                <w:kern w:val="0"/>
                <w:szCs w:val="21"/>
              </w:rPr>
              <w:t>兴业银行长沙分行</w:t>
            </w:r>
          </w:p>
        </w:tc>
        <w:tc>
          <w:tcPr>
            <w:tcW w:w="1128" w:type="dxa"/>
            <w:vAlign w:val="center"/>
          </w:tcPr>
          <w:p w14:paraId="37F0D137">
            <w:pPr>
              <w:keepNext w:val="0"/>
              <w:keepLines w:val="0"/>
              <w:suppressLineNumbers w:val="0"/>
              <w:adjustRightInd w:val="0"/>
              <w:snapToGrid w:val="0"/>
              <w:spacing w:before="0" w:beforeLines="50" w:beforeAutospacing="0" w:after="0" w:afterAutospacing="0" w:line="360" w:lineRule="auto"/>
              <w:ind w:left="0" w:right="0"/>
              <w:jc w:val="center"/>
              <w:rPr>
                <w:rFonts w:hint="default"/>
                <w:szCs w:val="21"/>
              </w:rPr>
            </w:pPr>
            <w:r>
              <w:rPr>
                <w:rFonts w:hint="default"/>
                <w:kern w:val="0"/>
                <w:szCs w:val="21"/>
              </w:rPr>
              <w:t>蒋修远</w:t>
            </w:r>
          </w:p>
        </w:tc>
        <w:tc>
          <w:tcPr>
            <w:tcW w:w="3015" w:type="dxa"/>
            <w:vAlign w:val="center"/>
          </w:tcPr>
          <w:p w14:paraId="69683CDF">
            <w:pPr>
              <w:keepNext w:val="0"/>
              <w:keepLines w:val="0"/>
              <w:suppressLineNumbers w:val="0"/>
              <w:adjustRightInd w:val="0"/>
              <w:snapToGrid w:val="0"/>
              <w:spacing w:before="0" w:beforeLines="50" w:beforeAutospacing="0" w:after="0" w:afterAutospacing="0" w:line="360" w:lineRule="auto"/>
              <w:ind w:left="0" w:right="0"/>
              <w:rPr>
                <w:rFonts w:hint="default"/>
                <w:szCs w:val="21"/>
              </w:rPr>
            </w:pPr>
            <w:r>
              <w:rPr>
                <w:rFonts w:hint="default"/>
                <w:kern w:val="0"/>
                <w:szCs w:val="21"/>
              </w:rPr>
              <w:t>支行客户经理</w:t>
            </w:r>
          </w:p>
        </w:tc>
        <w:tc>
          <w:tcPr>
            <w:tcW w:w="2620" w:type="dxa"/>
            <w:vAlign w:val="center"/>
          </w:tcPr>
          <w:p w14:paraId="62666B47">
            <w:pPr>
              <w:keepNext w:val="0"/>
              <w:keepLines w:val="0"/>
              <w:suppressLineNumbers w:val="0"/>
              <w:adjustRightInd w:val="0"/>
              <w:snapToGrid w:val="0"/>
              <w:spacing w:before="0" w:beforeLines="50" w:beforeAutospacing="0" w:after="0" w:afterAutospacing="0" w:line="360" w:lineRule="auto"/>
              <w:ind w:left="0" w:right="0"/>
              <w:jc w:val="center"/>
              <w:rPr>
                <w:rFonts w:hint="default"/>
                <w:szCs w:val="21"/>
              </w:rPr>
            </w:pPr>
            <w:r>
              <w:rPr>
                <w:rFonts w:hint="default"/>
                <w:kern w:val="0"/>
                <w:szCs w:val="21"/>
              </w:rPr>
              <w:t>18607310422</w:t>
            </w:r>
          </w:p>
        </w:tc>
      </w:tr>
      <w:tr w14:paraId="499215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trPr>
        <w:tc>
          <w:tcPr>
            <w:tcW w:w="2817" w:type="dxa"/>
            <w:vAlign w:val="center"/>
          </w:tcPr>
          <w:p w14:paraId="20BAF48A">
            <w:pPr>
              <w:keepNext w:val="0"/>
              <w:keepLines w:val="0"/>
              <w:suppressLineNumbers w:val="0"/>
              <w:adjustRightInd w:val="0"/>
              <w:snapToGrid w:val="0"/>
              <w:spacing w:before="0" w:beforeLines="50" w:beforeAutospacing="0" w:after="0" w:afterAutospacing="0" w:line="360" w:lineRule="auto"/>
              <w:ind w:left="0" w:right="0"/>
              <w:rPr>
                <w:rFonts w:hint="default"/>
                <w:szCs w:val="21"/>
              </w:rPr>
            </w:pPr>
            <w:r>
              <w:rPr>
                <w:rFonts w:hint="default"/>
                <w:kern w:val="0"/>
                <w:szCs w:val="21"/>
              </w:rPr>
              <w:t>中国光大银行长沙分行</w:t>
            </w:r>
          </w:p>
        </w:tc>
        <w:tc>
          <w:tcPr>
            <w:tcW w:w="1128" w:type="dxa"/>
            <w:vAlign w:val="center"/>
          </w:tcPr>
          <w:p w14:paraId="5E206216">
            <w:pPr>
              <w:keepNext w:val="0"/>
              <w:keepLines w:val="0"/>
              <w:suppressLineNumbers w:val="0"/>
              <w:adjustRightInd w:val="0"/>
              <w:snapToGrid w:val="0"/>
              <w:spacing w:before="0" w:beforeLines="50" w:beforeAutospacing="0" w:after="0" w:afterAutospacing="0" w:line="360" w:lineRule="auto"/>
              <w:ind w:left="0" w:right="0"/>
              <w:jc w:val="center"/>
              <w:rPr>
                <w:rFonts w:hint="default"/>
                <w:szCs w:val="21"/>
              </w:rPr>
            </w:pPr>
            <w:r>
              <w:rPr>
                <w:rFonts w:hint="default"/>
                <w:kern w:val="0"/>
                <w:szCs w:val="21"/>
              </w:rPr>
              <w:t>邓永胜</w:t>
            </w:r>
          </w:p>
        </w:tc>
        <w:tc>
          <w:tcPr>
            <w:tcW w:w="3015" w:type="dxa"/>
            <w:vAlign w:val="center"/>
          </w:tcPr>
          <w:p w14:paraId="5E754D61">
            <w:pPr>
              <w:keepNext w:val="0"/>
              <w:keepLines w:val="0"/>
              <w:suppressLineNumbers w:val="0"/>
              <w:adjustRightInd w:val="0"/>
              <w:snapToGrid w:val="0"/>
              <w:spacing w:before="0" w:beforeLines="50" w:beforeAutospacing="0" w:after="0" w:afterAutospacing="0" w:line="360" w:lineRule="auto"/>
              <w:ind w:left="0" w:right="0"/>
              <w:rPr>
                <w:rFonts w:hint="default"/>
                <w:szCs w:val="21"/>
              </w:rPr>
            </w:pPr>
            <w:r>
              <w:rPr>
                <w:rFonts w:hint="default"/>
                <w:kern w:val="0"/>
                <w:szCs w:val="21"/>
              </w:rPr>
              <w:t>岳麓支行副行长</w:t>
            </w:r>
          </w:p>
        </w:tc>
        <w:tc>
          <w:tcPr>
            <w:tcW w:w="2620" w:type="dxa"/>
            <w:vAlign w:val="center"/>
          </w:tcPr>
          <w:p w14:paraId="46C4A773">
            <w:pPr>
              <w:keepNext w:val="0"/>
              <w:keepLines w:val="0"/>
              <w:suppressLineNumbers w:val="0"/>
              <w:adjustRightInd w:val="0"/>
              <w:snapToGrid w:val="0"/>
              <w:spacing w:before="0" w:beforeLines="50" w:beforeAutospacing="0" w:after="0" w:afterAutospacing="0" w:line="360" w:lineRule="auto"/>
              <w:ind w:left="0" w:right="0"/>
              <w:jc w:val="center"/>
              <w:rPr>
                <w:rFonts w:hint="default"/>
                <w:szCs w:val="21"/>
              </w:rPr>
            </w:pPr>
            <w:r>
              <w:rPr>
                <w:rFonts w:hint="default"/>
                <w:kern w:val="0"/>
                <w:szCs w:val="21"/>
              </w:rPr>
              <w:t>13617319650</w:t>
            </w:r>
          </w:p>
        </w:tc>
      </w:tr>
      <w:tr w14:paraId="27863D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trPr>
        <w:tc>
          <w:tcPr>
            <w:tcW w:w="2817" w:type="dxa"/>
            <w:vAlign w:val="center"/>
          </w:tcPr>
          <w:p w14:paraId="68675658">
            <w:pPr>
              <w:keepNext w:val="0"/>
              <w:keepLines w:val="0"/>
              <w:suppressLineNumbers w:val="0"/>
              <w:adjustRightInd w:val="0"/>
              <w:snapToGrid w:val="0"/>
              <w:spacing w:before="0" w:beforeLines="50" w:beforeAutospacing="0" w:after="0" w:afterAutospacing="0" w:line="360" w:lineRule="auto"/>
              <w:ind w:left="0" w:right="0"/>
              <w:rPr>
                <w:rFonts w:hint="default"/>
                <w:szCs w:val="21"/>
              </w:rPr>
            </w:pPr>
            <w:r>
              <w:rPr>
                <w:rFonts w:hint="default"/>
                <w:kern w:val="0"/>
                <w:szCs w:val="21"/>
              </w:rPr>
              <w:t>中信银行长沙分行</w:t>
            </w:r>
          </w:p>
        </w:tc>
        <w:tc>
          <w:tcPr>
            <w:tcW w:w="1128" w:type="dxa"/>
            <w:vAlign w:val="center"/>
          </w:tcPr>
          <w:p w14:paraId="5BD6AC12">
            <w:pPr>
              <w:keepNext w:val="0"/>
              <w:keepLines w:val="0"/>
              <w:suppressLineNumbers w:val="0"/>
              <w:adjustRightInd w:val="0"/>
              <w:snapToGrid w:val="0"/>
              <w:spacing w:before="0" w:beforeLines="50" w:beforeAutospacing="0" w:after="0" w:afterAutospacing="0" w:line="360" w:lineRule="auto"/>
              <w:ind w:left="0" w:right="0"/>
              <w:jc w:val="center"/>
              <w:rPr>
                <w:rFonts w:hint="default"/>
                <w:szCs w:val="21"/>
              </w:rPr>
            </w:pPr>
            <w:r>
              <w:rPr>
                <w:rFonts w:hint="default"/>
                <w:kern w:val="0"/>
                <w:szCs w:val="21"/>
              </w:rPr>
              <w:t>蔡学军</w:t>
            </w:r>
          </w:p>
        </w:tc>
        <w:tc>
          <w:tcPr>
            <w:tcW w:w="3015" w:type="dxa"/>
            <w:vAlign w:val="center"/>
          </w:tcPr>
          <w:p w14:paraId="5458F3CE">
            <w:pPr>
              <w:keepNext w:val="0"/>
              <w:keepLines w:val="0"/>
              <w:suppressLineNumbers w:val="0"/>
              <w:adjustRightInd w:val="0"/>
              <w:snapToGrid w:val="0"/>
              <w:spacing w:before="0" w:beforeLines="50" w:beforeAutospacing="0" w:after="0" w:afterAutospacing="0" w:line="360" w:lineRule="auto"/>
              <w:ind w:left="0" w:right="0"/>
              <w:rPr>
                <w:rFonts w:hint="default"/>
                <w:szCs w:val="21"/>
              </w:rPr>
            </w:pPr>
            <w:r>
              <w:rPr>
                <w:rFonts w:hint="default"/>
                <w:kern w:val="0"/>
                <w:szCs w:val="21"/>
              </w:rPr>
              <w:t>公司银行部负责人</w:t>
            </w:r>
          </w:p>
        </w:tc>
        <w:tc>
          <w:tcPr>
            <w:tcW w:w="2620" w:type="dxa"/>
            <w:vAlign w:val="center"/>
          </w:tcPr>
          <w:p w14:paraId="6C746175">
            <w:pPr>
              <w:keepNext w:val="0"/>
              <w:keepLines w:val="0"/>
              <w:suppressLineNumbers w:val="0"/>
              <w:adjustRightInd w:val="0"/>
              <w:snapToGrid w:val="0"/>
              <w:spacing w:before="0" w:beforeLines="50" w:beforeAutospacing="0" w:after="0" w:afterAutospacing="0" w:line="360" w:lineRule="auto"/>
              <w:ind w:left="0" w:right="0"/>
              <w:jc w:val="center"/>
              <w:rPr>
                <w:rFonts w:hint="default"/>
                <w:szCs w:val="21"/>
              </w:rPr>
            </w:pPr>
            <w:r>
              <w:rPr>
                <w:rFonts w:hint="default"/>
                <w:kern w:val="0"/>
                <w:szCs w:val="21"/>
              </w:rPr>
              <w:t>13055167195</w:t>
            </w:r>
          </w:p>
        </w:tc>
      </w:tr>
      <w:tr w14:paraId="69612A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4" w:hRule="atLeast"/>
        </w:trPr>
        <w:tc>
          <w:tcPr>
            <w:tcW w:w="2817" w:type="dxa"/>
            <w:vAlign w:val="center"/>
          </w:tcPr>
          <w:p w14:paraId="09EAF640">
            <w:pPr>
              <w:keepNext w:val="0"/>
              <w:keepLines w:val="0"/>
              <w:suppressLineNumbers w:val="0"/>
              <w:adjustRightInd w:val="0"/>
              <w:snapToGrid w:val="0"/>
              <w:spacing w:before="0" w:beforeLines="50" w:beforeAutospacing="0" w:after="0" w:afterAutospacing="0" w:line="360" w:lineRule="auto"/>
              <w:ind w:left="0" w:right="0"/>
              <w:rPr>
                <w:rFonts w:hint="default"/>
                <w:szCs w:val="21"/>
              </w:rPr>
            </w:pPr>
            <w:r>
              <w:rPr>
                <w:rFonts w:hint="default"/>
                <w:kern w:val="0"/>
                <w:szCs w:val="21"/>
              </w:rPr>
              <w:t>中信银行长沙分行</w:t>
            </w:r>
          </w:p>
        </w:tc>
        <w:tc>
          <w:tcPr>
            <w:tcW w:w="1128" w:type="dxa"/>
            <w:vAlign w:val="center"/>
          </w:tcPr>
          <w:p w14:paraId="007C419F">
            <w:pPr>
              <w:keepNext w:val="0"/>
              <w:keepLines w:val="0"/>
              <w:suppressLineNumbers w:val="0"/>
              <w:adjustRightInd w:val="0"/>
              <w:snapToGrid w:val="0"/>
              <w:spacing w:before="0" w:beforeLines="50" w:beforeAutospacing="0" w:after="0" w:afterAutospacing="0" w:line="360" w:lineRule="auto"/>
              <w:ind w:left="0" w:right="0"/>
              <w:jc w:val="center"/>
              <w:rPr>
                <w:rFonts w:hint="default"/>
                <w:szCs w:val="21"/>
              </w:rPr>
            </w:pPr>
            <w:r>
              <w:rPr>
                <w:rFonts w:hint="default"/>
                <w:kern w:val="0"/>
                <w:szCs w:val="21"/>
              </w:rPr>
              <w:t>宋学农</w:t>
            </w:r>
          </w:p>
        </w:tc>
        <w:tc>
          <w:tcPr>
            <w:tcW w:w="3015" w:type="dxa"/>
            <w:vAlign w:val="center"/>
          </w:tcPr>
          <w:p w14:paraId="4658BF10">
            <w:pPr>
              <w:keepNext w:val="0"/>
              <w:keepLines w:val="0"/>
              <w:suppressLineNumbers w:val="0"/>
              <w:adjustRightInd w:val="0"/>
              <w:snapToGrid w:val="0"/>
              <w:spacing w:before="0" w:beforeLines="50" w:beforeAutospacing="0" w:after="0" w:afterAutospacing="0" w:line="360" w:lineRule="auto"/>
              <w:ind w:left="0" w:right="0"/>
              <w:rPr>
                <w:rFonts w:hint="default"/>
                <w:szCs w:val="21"/>
              </w:rPr>
            </w:pPr>
            <w:r>
              <w:rPr>
                <w:rFonts w:hint="default"/>
                <w:kern w:val="0"/>
                <w:szCs w:val="21"/>
              </w:rPr>
              <w:t>银行部综合管理部副总经理</w:t>
            </w:r>
          </w:p>
        </w:tc>
        <w:tc>
          <w:tcPr>
            <w:tcW w:w="2620" w:type="dxa"/>
            <w:vAlign w:val="center"/>
          </w:tcPr>
          <w:p w14:paraId="2C89A0AD">
            <w:pPr>
              <w:keepNext w:val="0"/>
              <w:keepLines w:val="0"/>
              <w:suppressLineNumbers w:val="0"/>
              <w:adjustRightInd w:val="0"/>
              <w:snapToGrid w:val="0"/>
              <w:spacing w:before="0" w:beforeLines="50" w:beforeAutospacing="0" w:after="0" w:afterAutospacing="0" w:line="360" w:lineRule="auto"/>
              <w:ind w:left="0" w:right="0"/>
              <w:jc w:val="center"/>
              <w:rPr>
                <w:rFonts w:hint="default"/>
                <w:szCs w:val="21"/>
              </w:rPr>
            </w:pPr>
            <w:r>
              <w:rPr>
                <w:rFonts w:hint="default"/>
                <w:kern w:val="0"/>
                <w:szCs w:val="21"/>
              </w:rPr>
              <w:t>0731-845822141</w:t>
            </w:r>
          </w:p>
        </w:tc>
      </w:tr>
    </w:tbl>
    <w:p w14:paraId="2519CD29">
      <w:pPr>
        <w:adjustRightInd w:val="0"/>
        <w:snapToGrid w:val="0"/>
        <w:spacing w:line="360" w:lineRule="auto"/>
        <w:rPr>
          <w:b/>
          <w:bCs/>
          <w:szCs w:val="21"/>
        </w:rPr>
      </w:pPr>
    </w:p>
    <w:p w14:paraId="2C4680AC">
      <w:pPr>
        <w:adjustRightInd w:val="0"/>
        <w:snapToGrid w:val="0"/>
        <w:spacing w:line="360" w:lineRule="auto"/>
        <w:rPr>
          <w:b/>
          <w:bCs/>
          <w:szCs w:val="21"/>
        </w:rPr>
      </w:pPr>
      <w:r>
        <w:rPr>
          <w:b/>
          <w:bCs/>
          <w:szCs w:val="21"/>
        </w:rPr>
        <w:t>附页2</w:t>
      </w:r>
    </w:p>
    <w:p w14:paraId="3A106559">
      <w:pPr>
        <w:adjustRightInd w:val="0"/>
        <w:snapToGrid w:val="0"/>
        <w:spacing w:line="360" w:lineRule="auto"/>
        <w:jc w:val="center"/>
        <w:rPr>
          <w:b/>
          <w:bCs/>
          <w:sz w:val="28"/>
          <w:szCs w:val="28"/>
        </w:rPr>
      </w:pPr>
      <w:r>
        <w:rPr>
          <w:b/>
          <w:bCs/>
          <w:kern w:val="0"/>
          <w:sz w:val="28"/>
          <w:szCs w:val="28"/>
        </w:rPr>
        <w:t>湖南省政府采购信用担保试点工作的</w:t>
      </w:r>
      <w:r>
        <w:rPr>
          <w:b/>
          <w:sz w:val="28"/>
          <w:szCs w:val="28"/>
        </w:rPr>
        <w:t>信用担保机构名单</w:t>
      </w:r>
    </w:p>
    <w:tbl>
      <w:tblPr>
        <w:tblStyle w:val="46"/>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517"/>
        <w:gridCol w:w="1129"/>
        <w:gridCol w:w="3954"/>
      </w:tblGrid>
      <w:tr w14:paraId="189E1C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8" w:hRule="atLeast"/>
        </w:trPr>
        <w:tc>
          <w:tcPr>
            <w:tcW w:w="4517" w:type="dxa"/>
            <w:vAlign w:val="center"/>
          </w:tcPr>
          <w:p w14:paraId="6602F02C">
            <w:pPr>
              <w:keepNext w:val="0"/>
              <w:keepLines w:val="0"/>
              <w:suppressLineNumbers w:val="0"/>
              <w:adjustRightInd w:val="0"/>
              <w:snapToGrid w:val="0"/>
              <w:spacing w:before="0" w:beforeAutospacing="0" w:after="0" w:afterAutospacing="0" w:line="240" w:lineRule="exact"/>
              <w:ind w:left="0" w:right="0"/>
              <w:jc w:val="center"/>
              <w:rPr>
                <w:rFonts w:hint="default"/>
                <w:b/>
                <w:bCs/>
                <w:kern w:val="0"/>
                <w:szCs w:val="21"/>
              </w:rPr>
            </w:pPr>
            <w:r>
              <w:rPr>
                <w:rFonts w:hint="default"/>
                <w:b/>
                <w:szCs w:val="21"/>
              </w:rPr>
              <w:t>信用担保机构</w:t>
            </w:r>
          </w:p>
        </w:tc>
        <w:tc>
          <w:tcPr>
            <w:tcW w:w="1129" w:type="dxa"/>
            <w:vAlign w:val="center"/>
          </w:tcPr>
          <w:p w14:paraId="78BBBE06">
            <w:pPr>
              <w:keepNext w:val="0"/>
              <w:keepLines w:val="0"/>
              <w:suppressLineNumbers w:val="0"/>
              <w:adjustRightInd w:val="0"/>
              <w:snapToGrid w:val="0"/>
              <w:spacing w:before="0" w:beforeAutospacing="0" w:after="0" w:afterAutospacing="0" w:line="240" w:lineRule="exact"/>
              <w:ind w:left="0" w:right="0"/>
              <w:jc w:val="center"/>
              <w:rPr>
                <w:rFonts w:hint="default"/>
                <w:b/>
                <w:bCs/>
                <w:kern w:val="0"/>
                <w:szCs w:val="21"/>
              </w:rPr>
            </w:pPr>
            <w:r>
              <w:rPr>
                <w:rFonts w:hint="default"/>
                <w:b/>
                <w:szCs w:val="21"/>
              </w:rPr>
              <w:t>联系人</w:t>
            </w:r>
          </w:p>
        </w:tc>
        <w:tc>
          <w:tcPr>
            <w:tcW w:w="3954" w:type="dxa"/>
            <w:vAlign w:val="center"/>
          </w:tcPr>
          <w:p w14:paraId="6EB351FA">
            <w:pPr>
              <w:keepNext w:val="0"/>
              <w:keepLines w:val="0"/>
              <w:suppressLineNumbers w:val="0"/>
              <w:adjustRightInd w:val="0"/>
              <w:snapToGrid w:val="0"/>
              <w:spacing w:before="0" w:beforeAutospacing="0" w:after="0" w:afterAutospacing="0" w:line="240" w:lineRule="exact"/>
              <w:ind w:left="0" w:right="0"/>
              <w:jc w:val="center"/>
              <w:rPr>
                <w:rFonts w:hint="default"/>
                <w:b/>
                <w:bCs/>
                <w:kern w:val="0"/>
                <w:szCs w:val="21"/>
              </w:rPr>
            </w:pPr>
            <w:r>
              <w:rPr>
                <w:rFonts w:hint="default"/>
                <w:b/>
                <w:szCs w:val="21"/>
              </w:rPr>
              <w:t>联系电话</w:t>
            </w:r>
          </w:p>
        </w:tc>
      </w:tr>
      <w:tr w14:paraId="1DD5FB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0" w:hRule="atLeast"/>
        </w:trPr>
        <w:tc>
          <w:tcPr>
            <w:tcW w:w="4517" w:type="dxa"/>
            <w:vAlign w:val="center"/>
          </w:tcPr>
          <w:p w14:paraId="2E58DDEA">
            <w:pPr>
              <w:keepNext w:val="0"/>
              <w:keepLines w:val="0"/>
              <w:suppressLineNumbers w:val="0"/>
              <w:adjustRightInd w:val="0"/>
              <w:snapToGrid w:val="0"/>
              <w:spacing w:before="0" w:beforeAutospacing="0" w:after="0" w:afterAutospacing="0" w:line="360" w:lineRule="auto"/>
              <w:ind w:left="0" w:right="0"/>
              <w:jc w:val="left"/>
              <w:rPr>
                <w:rFonts w:hint="default"/>
                <w:bCs/>
                <w:kern w:val="0"/>
                <w:szCs w:val="21"/>
              </w:rPr>
            </w:pPr>
            <w:r>
              <w:rPr>
                <w:rFonts w:hint="default"/>
                <w:szCs w:val="21"/>
              </w:rPr>
              <w:t>中国投资担保公司</w:t>
            </w:r>
          </w:p>
        </w:tc>
        <w:tc>
          <w:tcPr>
            <w:tcW w:w="1129" w:type="dxa"/>
            <w:vAlign w:val="center"/>
          </w:tcPr>
          <w:p w14:paraId="29913DB5">
            <w:pPr>
              <w:keepNext w:val="0"/>
              <w:keepLines w:val="0"/>
              <w:suppressLineNumbers w:val="0"/>
              <w:adjustRightInd w:val="0"/>
              <w:snapToGrid w:val="0"/>
              <w:spacing w:before="0" w:beforeAutospacing="0" w:after="0" w:afterAutospacing="0" w:line="360" w:lineRule="auto"/>
              <w:ind w:left="0" w:right="0"/>
              <w:jc w:val="center"/>
              <w:rPr>
                <w:rFonts w:hint="default"/>
                <w:bCs/>
                <w:kern w:val="0"/>
                <w:szCs w:val="21"/>
              </w:rPr>
            </w:pPr>
            <w:r>
              <w:rPr>
                <w:rFonts w:hint="default"/>
                <w:szCs w:val="21"/>
              </w:rPr>
              <w:t>何  嘉</w:t>
            </w:r>
          </w:p>
        </w:tc>
        <w:tc>
          <w:tcPr>
            <w:tcW w:w="3954" w:type="dxa"/>
            <w:vAlign w:val="center"/>
          </w:tcPr>
          <w:p w14:paraId="332EAC77">
            <w:pPr>
              <w:keepNext w:val="0"/>
              <w:keepLines w:val="0"/>
              <w:suppressLineNumbers w:val="0"/>
              <w:adjustRightInd w:val="0"/>
              <w:snapToGrid w:val="0"/>
              <w:spacing w:before="0" w:beforeAutospacing="0" w:after="0" w:afterAutospacing="0" w:line="360" w:lineRule="auto"/>
              <w:ind w:left="0" w:right="0"/>
              <w:jc w:val="left"/>
              <w:rPr>
                <w:rFonts w:hint="default"/>
                <w:bCs/>
                <w:kern w:val="0"/>
                <w:szCs w:val="21"/>
              </w:rPr>
            </w:pPr>
            <w:r>
              <w:rPr>
                <w:rFonts w:hint="default"/>
                <w:szCs w:val="21"/>
              </w:rPr>
              <w:t>010-88822659/13718642233</w:t>
            </w:r>
          </w:p>
        </w:tc>
      </w:tr>
      <w:tr w14:paraId="30F0FF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71" w:hRule="atLeast"/>
        </w:trPr>
        <w:tc>
          <w:tcPr>
            <w:tcW w:w="4517" w:type="dxa"/>
            <w:vAlign w:val="center"/>
          </w:tcPr>
          <w:p w14:paraId="05F8F6D7">
            <w:pPr>
              <w:keepNext w:val="0"/>
              <w:keepLines w:val="0"/>
              <w:suppressLineNumbers w:val="0"/>
              <w:adjustRightInd w:val="0"/>
              <w:snapToGrid w:val="0"/>
              <w:spacing w:before="0" w:beforeAutospacing="0" w:after="0" w:afterAutospacing="0" w:line="360" w:lineRule="auto"/>
              <w:ind w:left="0" w:right="0"/>
              <w:jc w:val="left"/>
              <w:rPr>
                <w:rFonts w:hint="default"/>
                <w:bCs/>
                <w:kern w:val="0"/>
                <w:szCs w:val="21"/>
              </w:rPr>
            </w:pPr>
            <w:r>
              <w:rPr>
                <w:rFonts w:hint="default"/>
                <w:szCs w:val="21"/>
              </w:rPr>
              <w:t>湖南省中小企业信用担保有限责任公司</w:t>
            </w:r>
          </w:p>
        </w:tc>
        <w:tc>
          <w:tcPr>
            <w:tcW w:w="1129" w:type="dxa"/>
            <w:vAlign w:val="center"/>
          </w:tcPr>
          <w:p w14:paraId="7FCCF6E3">
            <w:pPr>
              <w:keepNext w:val="0"/>
              <w:keepLines w:val="0"/>
              <w:suppressLineNumbers w:val="0"/>
              <w:adjustRightInd w:val="0"/>
              <w:snapToGrid w:val="0"/>
              <w:spacing w:before="0" w:beforeAutospacing="0" w:after="0" w:afterAutospacing="0" w:line="360" w:lineRule="auto"/>
              <w:ind w:left="0" w:right="0"/>
              <w:jc w:val="center"/>
              <w:rPr>
                <w:rFonts w:hint="default"/>
                <w:bCs/>
                <w:kern w:val="0"/>
                <w:szCs w:val="21"/>
              </w:rPr>
            </w:pPr>
            <w:r>
              <w:rPr>
                <w:rFonts w:hint="default"/>
                <w:szCs w:val="21"/>
              </w:rPr>
              <w:t>蔡建雄</w:t>
            </w:r>
          </w:p>
        </w:tc>
        <w:tc>
          <w:tcPr>
            <w:tcW w:w="3954" w:type="dxa"/>
            <w:vAlign w:val="center"/>
          </w:tcPr>
          <w:p w14:paraId="0A9420C4">
            <w:pPr>
              <w:keepNext w:val="0"/>
              <w:keepLines w:val="0"/>
              <w:suppressLineNumbers w:val="0"/>
              <w:adjustRightInd w:val="0"/>
              <w:snapToGrid w:val="0"/>
              <w:spacing w:before="0" w:beforeAutospacing="0" w:after="0" w:afterAutospacing="0" w:line="360" w:lineRule="auto"/>
              <w:ind w:left="0" w:right="0"/>
              <w:jc w:val="left"/>
              <w:rPr>
                <w:rFonts w:hint="default"/>
                <w:bCs/>
                <w:kern w:val="0"/>
                <w:szCs w:val="21"/>
              </w:rPr>
            </w:pPr>
            <w:r>
              <w:rPr>
                <w:rFonts w:hint="default"/>
                <w:szCs w:val="21"/>
              </w:rPr>
              <w:t>0731-84172390-201/15573193555</w:t>
            </w:r>
          </w:p>
        </w:tc>
      </w:tr>
      <w:tr w14:paraId="32DD5E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1258" w:hRule="atLeast"/>
        </w:trPr>
        <w:tc>
          <w:tcPr>
            <w:tcW w:w="4517" w:type="dxa"/>
            <w:vAlign w:val="center"/>
          </w:tcPr>
          <w:p w14:paraId="5D3CF0D1">
            <w:pPr>
              <w:keepNext w:val="0"/>
              <w:keepLines w:val="0"/>
              <w:suppressLineNumbers w:val="0"/>
              <w:adjustRightInd w:val="0"/>
              <w:snapToGrid w:val="0"/>
              <w:spacing w:before="0" w:beforeAutospacing="0" w:after="0" w:afterAutospacing="0" w:line="360" w:lineRule="auto"/>
              <w:ind w:left="0" w:right="0"/>
              <w:rPr>
                <w:rFonts w:hint="default"/>
                <w:szCs w:val="21"/>
              </w:rPr>
            </w:pPr>
            <w:r>
              <w:rPr>
                <w:rFonts w:hint="default"/>
                <w:szCs w:val="21"/>
              </w:rPr>
              <w:t>湖南农业信用担保有限公司</w:t>
            </w:r>
          </w:p>
        </w:tc>
        <w:tc>
          <w:tcPr>
            <w:tcW w:w="1129" w:type="dxa"/>
            <w:vAlign w:val="center"/>
          </w:tcPr>
          <w:p w14:paraId="446DE212">
            <w:pPr>
              <w:keepNext w:val="0"/>
              <w:keepLines w:val="0"/>
              <w:suppressLineNumbers w:val="0"/>
              <w:adjustRightInd w:val="0"/>
              <w:snapToGrid w:val="0"/>
              <w:spacing w:before="0" w:beforeAutospacing="0" w:after="0" w:afterAutospacing="0" w:line="360" w:lineRule="auto"/>
              <w:ind w:left="0" w:right="0"/>
              <w:jc w:val="center"/>
              <w:rPr>
                <w:rFonts w:hint="default"/>
                <w:szCs w:val="21"/>
              </w:rPr>
            </w:pPr>
            <w:r>
              <w:rPr>
                <w:rFonts w:hint="default"/>
                <w:szCs w:val="21"/>
              </w:rPr>
              <w:t>彭  球</w:t>
            </w:r>
          </w:p>
          <w:p w14:paraId="73D6CD82">
            <w:pPr>
              <w:keepNext w:val="0"/>
              <w:keepLines w:val="0"/>
              <w:suppressLineNumbers w:val="0"/>
              <w:adjustRightInd w:val="0"/>
              <w:snapToGrid w:val="0"/>
              <w:spacing w:before="0" w:beforeAutospacing="0" w:after="0" w:afterAutospacing="0" w:line="360" w:lineRule="auto"/>
              <w:ind w:left="0" w:right="0"/>
              <w:jc w:val="center"/>
              <w:rPr>
                <w:rFonts w:hint="default"/>
                <w:bCs/>
                <w:kern w:val="0"/>
                <w:szCs w:val="21"/>
              </w:rPr>
            </w:pPr>
            <w:r>
              <w:rPr>
                <w:rFonts w:hint="default"/>
                <w:szCs w:val="21"/>
              </w:rPr>
              <w:t>邓霞英</w:t>
            </w:r>
          </w:p>
        </w:tc>
        <w:tc>
          <w:tcPr>
            <w:tcW w:w="3954" w:type="dxa"/>
            <w:vAlign w:val="center"/>
          </w:tcPr>
          <w:p w14:paraId="67E8AF8A">
            <w:pPr>
              <w:keepNext w:val="0"/>
              <w:keepLines w:val="0"/>
              <w:suppressLineNumbers w:val="0"/>
              <w:adjustRightInd w:val="0"/>
              <w:snapToGrid w:val="0"/>
              <w:spacing w:before="0" w:beforeAutospacing="0" w:after="0" w:afterAutospacing="0" w:line="360" w:lineRule="auto"/>
              <w:ind w:left="0" w:right="0"/>
              <w:jc w:val="left"/>
              <w:rPr>
                <w:rFonts w:hint="default"/>
                <w:bCs/>
                <w:kern w:val="0"/>
                <w:szCs w:val="21"/>
              </w:rPr>
            </w:pPr>
            <w:r>
              <w:rPr>
                <w:rFonts w:hint="default"/>
                <w:szCs w:val="21"/>
              </w:rPr>
              <w:t>0731-89761702/13875980906 0731-89761706/13574125851</w:t>
            </w:r>
          </w:p>
        </w:tc>
      </w:tr>
    </w:tbl>
    <w:p w14:paraId="532435B4">
      <w:pPr>
        <w:adjustRightInd w:val="0"/>
        <w:snapToGrid w:val="0"/>
        <w:spacing w:line="360" w:lineRule="auto"/>
        <w:rPr>
          <w:b/>
          <w:bCs/>
          <w:szCs w:val="21"/>
        </w:rPr>
      </w:pPr>
    </w:p>
    <w:p w14:paraId="32FD90A5">
      <w:pPr>
        <w:pStyle w:val="26"/>
      </w:pPr>
      <w:r>
        <w:br w:type="page"/>
      </w:r>
    </w:p>
    <w:p w14:paraId="7FA0928A">
      <w:pPr>
        <w:adjustRightInd w:val="0"/>
        <w:snapToGrid w:val="0"/>
        <w:spacing w:line="360" w:lineRule="auto"/>
        <w:rPr>
          <w:b/>
          <w:bCs/>
          <w:szCs w:val="21"/>
        </w:rPr>
      </w:pPr>
      <w:r>
        <w:rPr>
          <w:b/>
          <w:bCs/>
          <w:szCs w:val="21"/>
        </w:rPr>
        <w:t>附页3</w:t>
      </w:r>
    </w:p>
    <w:p w14:paraId="0FD2981A">
      <w:pPr>
        <w:adjustRightInd w:val="0"/>
        <w:snapToGrid w:val="0"/>
        <w:spacing w:line="360" w:lineRule="auto"/>
        <w:jc w:val="center"/>
        <w:rPr>
          <w:b/>
          <w:kern w:val="0"/>
          <w:sz w:val="28"/>
          <w:szCs w:val="28"/>
        </w:rPr>
      </w:pPr>
      <w:r>
        <w:rPr>
          <w:b/>
          <w:kern w:val="0"/>
          <w:sz w:val="28"/>
          <w:szCs w:val="28"/>
        </w:rPr>
        <w:t>政府采购履约担保函</w:t>
      </w:r>
    </w:p>
    <w:p w14:paraId="10ACC0C3">
      <w:pPr>
        <w:adjustRightInd w:val="0"/>
        <w:snapToGrid w:val="0"/>
        <w:spacing w:line="360" w:lineRule="auto"/>
        <w:ind w:firstLine="6510" w:firstLineChars="3100"/>
        <w:rPr>
          <w:b/>
          <w:kern w:val="0"/>
          <w:szCs w:val="21"/>
        </w:rPr>
      </w:pPr>
      <w:r>
        <w:rPr>
          <w:kern w:val="0"/>
          <w:szCs w:val="21"/>
        </w:rPr>
        <w:t>编号：</w:t>
      </w:r>
    </w:p>
    <w:p w14:paraId="088AF9AC">
      <w:pPr>
        <w:adjustRightInd w:val="0"/>
        <w:snapToGrid w:val="0"/>
        <w:spacing w:line="360" w:lineRule="auto"/>
        <w:rPr>
          <w:kern w:val="0"/>
          <w:szCs w:val="21"/>
        </w:rPr>
      </w:pPr>
      <w:r>
        <w:rPr>
          <w:kern w:val="0"/>
          <w:szCs w:val="21"/>
        </w:rPr>
        <w:t xml:space="preserve">（采购人）： </w:t>
      </w:r>
    </w:p>
    <w:p w14:paraId="07E70627">
      <w:pPr>
        <w:adjustRightInd w:val="0"/>
        <w:snapToGrid w:val="0"/>
        <w:spacing w:line="360" w:lineRule="auto"/>
        <w:ind w:firstLine="420" w:firstLineChars="200"/>
        <w:rPr>
          <w:kern w:val="0"/>
          <w:szCs w:val="21"/>
        </w:rPr>
      </w:pPr>
      <w:r>
        <w:rPr>
          <w:kern w:val="0"/>
          <w:szCs w:val="21"/>
        </w:rPr>
        <w:t>鉴于你方与（以下简称供应商）于年月日签定编号为的《政府采购合同》（以下简称主合同），且依据该合同的约定，供应商应在年月日前向你方交纳履约保证金，且可以履约担保函的形式交纳履约保证金。应供应商的申请，我方以保证的方式向你方提供如下履约保证金担保：</w:t>
      </w:r>
    </w:p>
    <w:p w14:paraId="03FBC551">
      <w:pPr>
        <w:adjustRightInd w:val="0"/>
        <w:snapToGrid w:val="0"/>
        <w:spacing w:line="360" w:lineRule="auto"/>
        <w:ind w:firstLine="422" w:firstLineChars="200"/>
        <w:rPr>
          <w:b/>
          <w:kern w:val="0"/>
          <w:szCs w:val="21"/>
        </w:rPr>
      </w:pPr>
      <w:r>
        <w:rPr>
          <w:b/>
          <w:kern w:val="0"/>
          <w:szCs w:val="21"/>
        </w:rPr>
        <w:t>一、保证责任的情形及保证金额</w:t>
      </w:r>
    </w:p>
    <w:p w14:paraId="11003906">
      <w:pPr>
        <w:adjustRightInd w:val="0"/>
        <w:snapToGrid w:val="0"/>
        <w:spacing w:line="360" w:lineRule="auto"/>
        <w:ind w:firstLine="420" w:firstLineChars="200"/>
        <w:rPr>
          <w:kern w:val="0"/>
          <w:szCs w:val="21"/>
        </w:rPr>
      </w:pPr>
      <w:r>
        <w:rPr>
          <w:kern w:val="0"/>
          <w:szCs w:val="21"/>
        </w:rPr>
        <w:t>（一）在供应商出现下列情形之一时，我方承担保证责任：</w:t>
      </w:r>
    </w:p>
    <w:p w14:paraId="6D4640E9">
      <w:pPr>
        <w:adjustRightInd w:val="0"/>
        <w:snapToGrid w:val="0"/>
        <w:spacing w:line="360" w:lineRule="auto"/>
        <w:ind w:firstLine="420" w:firstLineChars="200"/>
        <w:rPr>
          <w:kern w:val="0"/>
          <w:szCs w:val="21"/>
        </w:rPr>
      </w:pPr>
      <w:r>
        <w:rPr>
          <w:kern w:val="0"/>
          <w:szCs w:val="21"/>
        </w:rPr>
        <w:t>1．将中标项目转让给他人，或者在投标文件中未说明，且未经采购人同意，将中标项目分包给他人的；</w:t>
      </w:r>
    </w:p>
    <w:p w14:paraId="71ACD6E5">
      <w:pPr>
        <w:adjustRightInd w:val="0"/>
        <w:snapToGrid w:val="0"/>
        <w:spacing w:line="360" w:lineRule="auto"/>
        <w:ind w:firstLine="420" w:firstLineChars="200"/>
        <w:rPr>
          <w:kern w:val="0"/>
          <w:szCs w:val="21"/>
        </w:rPr>
      </w:pPr>
      <w:r>
        <w:rPr>
          <w:kern w:val="0"/>
          <w:szCs w:val="21"/>
        </w:rPr>
        <w:t xml:space="preserve">2．主合同约定的应当缴纳履约保证金的情形: </w:t>
      </w:r>
    </w:p>
    <w:p w14:paraId="29EC82F8">
      <w:pPr>
        <w:adjustRightInd w:val="0"/>
        <w:snapToGrid w:val="0"/>
        <w:spacing w:line="360" w:lineRule="auto"/>
        <w:ind w:firstLine="420" w:firstLineChars="200"/>
        <w:rPr>
          <w:b/>
          <w:kern w:val="0"/>
          <w:szCs w:val="21"/>
        </w:rPr>
      </w:pPr>
      <w:r>
        <w:rPr>
          <w:kern w:val="0"/>
          <w:szCs w:val="21"/>
        </w:rPr>
        <w:t xml:space="preserve">（1）未按主合同约定的质量、数量和期限供应货物/提供服务/完成工程的； </w:t>
      </w:r>
    </w:p>
    <w:p w14:paraId="4EF423FF">
      <w:pPr>
        <w:adjustRightInd w:val="0"/>
        <w:snapToGrid w:val="0"/>
        <w:spacing w:line="360" w:lineRule="auto"/>
        <w:ind w:firstLine="420" w:firstLineChars="200"/>
        <w:rPr>
          <w:kern w:val="0"/>
          <w:szCs w:val="21"/>
          <w:u w:val="single"/>
        </w:rPr>
      </w:pPr>
      <w:r>
        <w:rPr>
          <w:kern w:val="0"/>
          <w:szCs w:val="21"/>
        </w:rPr>
        <w:t>（2）。</w:t>
      </w:r>
    </w:p>
    <w:p w14:paraId="494555BB">
      <w:pPr>
        <w:adjustRightInd w:val="0"/>
        <w:snapToGrid w:val="0"/>
        <w:spacing w:line="360" w:lineRule="auto"/>
        <w:ind w:firstLine="420" w:firstLineChars="200"/>
        <w:rPr>
          <w:kern w:val="0"/>
          <w:szCs w:val="21"/>
        </w:rPr>
      </w:pPr>
      <w:r>
        <w:rPr>
          <w:kern w:val="0"/>
          <w:szCs w:val="21"/>
        </w:rPr>
        <w:t>（二）我方的保证范围是主合同约定的合同价款总额的%数额为元（大写），币种为。（即主合同履约保证金金额）</w:t>
      </w:r>
    </w:p>
    <w:p w14:paraId="1A33BC53">
      <w:pPr>
        <w:adjustRightInd w:val="0"/>
        <w:snapToGrid w:val="0"/>
        <w:spacing w:line="360" w:lineRule="auto"/>
        <w:ind w:firstLine="422" w:firstLineChars="200"/>
        <w:rPr>
          <w:b/>
          <w:kern w:val="0"/>
          <w:szCs w:val="21"/>
        </w:rPr>
      </w:pPr>
      <w:r>
        <w:rPr>
          <w:b/>
          <w:kern w:val="0"/>
          <w:szCs w:val="21"/>
        </w:rPr>
        <w:t xml:space="preserve">二、保证的方式及保证期间 </w:t>
      </w:r>
    </w:p>
    <w:p w14:paraId="7DDA83AE">
      <w:pPr>
        <w:adjustRightInd w:val="0"/>
        <w:snapToGrid w:val="0"/>
        <w:spacing w:line="360" w:lineRule="auto"/>
        <w:ind w:firstLine="420" w:firstLineChars="200"/>
        <w:rPr>
          <w:kern w:val="0"/>
          <w:szCs w:val="21"/>
        </w:rPr>
      </w:pPr>
      <w:r>
        <w:rPr>
          <w:kern w:val="0"/>
          <w:szCs w:val="21"/>
        </w:rPr>
        <w:t xml:space="preserve">我方保证的方式为：连带责任保证。 </w:t>
      </w:r>
    </w:p>
    <w:p w14:paraId="3ECBC01C">
      <w:pPr>
        <w:adjustRightInd w:val="0"/>
        <w:snapToGrid w:val="0"/>
        <w:spacing w:line="360" w:lineRule="auto"/>
        <w:ind w:firstLine="420" w:firstLineChars="200"/>
        <w:rPr>
          <w:kern w:val="0"/>
          <w:szCs w:val="21"/>
        </w:rPr>
      </w:pPr>
      <w:r>
        <w:rPr>
          <w:kern w:val="0"/>
          <w:szCs w:val="21"/>
        </w:rPr>
        <w:t>我方保证的期间为：自本合同生效之日起至供应商按照主合同约定的供货/完工期限届满后日内。</w:t>
      </w:r>
    </w:p>
    <w:p w14:paraId="655DC79E">
      <w:pPr>
        <w:adjustRightInd w:val="0"/>
        <w:snapToGrid w:val="0"/>
        <w:spacing w:line="360" w:lineRule="auto"/>
        <w:ind w:firstLine="420" w:firstLineChars="200"/>
        <w:rPr>
          <w:kern w:val="0"/>
          <w:szCs w:val="21"/>
        </w:rPr>
      </w:pPr>
      <w:r>
        <w:rPr>
          <w:kern w:val="0"/>
          <w:szCs w:val="21"/>
        </w:rPr>
        <w:t xml:space="preserve">如果供应商未按主合同约定向贵方供应货物/提供服务/完成工程的，由我方在保证金额内向你方支付上述款项。 </w:t>
      </w:r>
    </w:p>
    <w:p w14:paraId="0338F06F">
      <w:pPr>
        <w:adjustRightInd w:val="0"/>
        <w:snapToGrid w:val="0"/>
        <w:spacing w:line="360" w:lineRule="auto"/>
        <w:ind w:firstLine="422" w:firstLineChars="200"/>
        <w:rPr>
          <w:b/>
          <w:kern w:val="0"/>
          <w:szCs w:val="21"/>
        </w:rPr>
      </w:pPr>
      <w:r>
        <w:rPr>
          <w:b/>
          <w:kern w:val="0"/>
          <w:szCs w:val="21"/>
        </w:rPr>
        <w:t>三、承担保证责任的程序</w:t>
      </w:r>
    </w:p>
    <w:p w14:paraId="210968BA">
      <w:pPr>
        <w:adjustRightInd w:val="0"/>
        <w:snapToGrid w:val="0"/>
        <w:spacing w:line="360" w:lineRule="auto"/>
        <w:ind w:firstLine="420" w:firstLineChars="200"/>
        <w:rPr>
          <w:b/>
          <w:kern w:val="0"/>
          <w:szCs w:val="21"/>
        </w:rPr>
      </w:pPr>
      <w:r>
        <w:rPr>
          <w:kern w:val="0"/>
          <w:szCs w:val="21"/>
        </w:rPr>
        <w:t xml:space="preserve">1．你方要求我方承担保证责任的，应在本保函保证期间内向我方发出书面索赔通知。索赔通知应写明要求索赔的金额，支付款项应到达的帐号。并附有证明供应商违约事实的证明材料。 </w:t>
      </w:r>
    </w:p>
    <w:p w14:paraId="5C5ED6F5">
      <w:pPr>
        <w:adjustRightInd w:val="0"/>
        <w:snapToGrid w:val="0"/>
        <w:spacing w:line="360" w:lineRule="auto"/>
        <w:ind w:firstLine="420" w:firstLineChars="200"/>
        <w:rPr>
          <w:kern w:val="0"/>
          <w:szCs w:val="21"/>
        </w:rPr>
      </w:pPr>
      <w:r>
        <w:rPr>
          <w:kern w:val="0"/>
          <w:szCs w:val="21"/>
        </w:rPr>
        <w:t>如果你方与供应商因货物质量问题产生争议，你方还需同时提供部门出具的质量检测报告，或经诉讼（仲裁）程序裁决后的裁决书、调解书，本保证人即按照检测结果或裁决书、调解书决定是否承担保证责任。</w:t>
      </w:r>
    </w:p>
    <w:p w14:paraId="61BE355A">
      <w:pPr>
        <w:adjustRightInd w:val="0"/>
        <w:snapToGrid w:val="0"/>
        <w:spacing w:line="360" w:lineRule="auto"/>
        <w:ind w:firstLine="420" w:firstLineChars="200"/>
        <w:rPr>
          <w:kern w:val="0"/>
          <w:szCs w:val="21"/>
        </w:rPr>
      </w:pPr>
      <w:r>
        <w:rPr>
          <w:kern w:val="0"/>
          <w:szCs w:val="21"/>
        </w:rPr>
        <w:t>2．我方收到你方的书面索赔通知及相应证明材料，在工作日内进行核定后按照本保函的承诺承担保证责任。</w:t>
      </w:r>
    </w:p>
    <w:p w14:paraId="1FEAD0EB">
      <w:pPr>
        <w:adjustRightInd w:val="0"/>
        <w:snapToGrid w:val="0"/>
        <w:spacing w:line="360" w:lineRule="auto"/>
        <w:ind w:firstLine="422" w:firstLineChars="200"/>
        <w:rPr>
          <w:b/>
          <w:kern w:val="0"/>
          <w:szCs w:val="21"/>
        </w:rPr>
      </w:pPr>
      <w:r>
        <w:rPr>
          <w:b/>
          <w:kern w:val="0"/>
          <w:szCs w:val="21"/>
        </w:rPr>
        <w:t>四、保证责任的终止</w:t>
      </w:r>
    </w:p>
    <w:p w14:paraId="1507A294">
      <w:pPr>
        <w:adjustRightInd w:val="0"/>
        <w:snapToGrid w:val="0"/>
        <w:spacing w:line="360" w:lineRule="auto"/>
        <w:ind w:firstLine="420" w:firstLineChars="200"/>
        <w:rPr>
          <w:kern w:val="0"/>
          <w:szCs w:val="21"/>
        </w:rPr>
      </w:pPr>
      <w:r>
        <w:rPr>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1AD3B764">
      <w:pPr>
        <w:adjustRightInd w:val="0"/>
        <w:snapToGrid w:val="0"/>
        <w:spacing w:line="360" w:lineRule="auto"/>
        <w:ind w:firstLine="420" w:firstLineChars="200"/>
        <w:rPr>
          <w:kern w:val="0"/>
          <w:szCs w:val="21"/>
        </w:rPr>
      </w:pPr>
      <w:r>
        <w:rPr>
          <w:kern w:val="0"/>
          <w:szCs w:val="21"/>
        </w:rPr>
        <w:t>2．我方按照本保函向你方履行了保证责任后，自我方向你方支付款项（支付款项从我方账户划出）之日起，保证责任即终止。</w:t>
      </w:r>
    </w:p>
    <w:p w14:paraId="01B5F90C">
      <w:pPr>
        <w:adjustRightInd w:val="0"/>
        <w:snapToGrid w:val="0"/>
        <w:spacing w:line="360" w:lineRule="auto"/>
        <w:ind w:firstLine="420" w:firstLineChars="200"/>
        <w:rPr>
          <w:kern w:val="0"/>
          <w:szCs w:val="21"/>
        </w:rPr>
      </w:pPr>
      <w:r>
        <w:rPr>
          <w:kern w:val="0"/>
          <w:szCs w:val="21"/>
        </w:rPr>
        <w:t>3．按照法律法规的规定或出现应终止我方保证责任的其它情形的，我方在本保函项下的保证责任亦终止。</w:t>
      </w:r>
    </w:p>
    <w:p w14:paraId="47026BB8">
      <w:pPr>
        <w:adjustRightInd w:val="0"/>
        <w:snapToGrid w:val="0"/>
        <w:spacing w:line="360" w:lineRule="auto"/>
        <w:ind w:firstLine="420" w:firstLineChars="200"/>
        <w:rPr>
          <w:kern w:val="0"/>
          <w:szCs w:val="21"/>
        </w:rPr>
      </w:pPr>
      <w:r>
        <w:rPr>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3C0293B1">
      <w:pPr>
        <w:adjustRightInd w:val="0"/>
        <w:snapToGrid w:val="0"/>
        <w:spacing w:line="360" w:lineRule="auto"/>
        <w:ind w:firstLine="422" w:firstLineChars="200"/>
        <w:rPr>
          <w:b/>
          <w:kern w:val="0"/>
          <w:szCs w:val="21"/>
        </w:rPr>
      </w:pPr>
      <w:r>
        <w:rPr>
          <w:b/>
          <w:kern w:val="0"/>
          <w:szCs w:val="21"/>
        </w:rPr>
        <w:t>五、免责条款</w:t>
      </w:r>
    </w:p>
    <w:p w14:paraId="7F2BC1DF">
      <w:pPr>
        <w:adjustRightInd w:val="0"/>
        <w:snapToGrid w:val="0"/>
        <w:spacing w:line="360" w:lineRule="auto"/>
        <w:ind w:firstLine="420" w:firstLineChars="200"/>
        <w:rPr>
          <w:kern w:val="0"/>
          <w:szCs w:val="21"/>
        </w:rPr>
      </w:pPr>
      <w:r>
        <w:rPr>
          <w:kern w:val="0"/>
          <w:szCs w:val="21"/>
        </w:rPr>
        <w:t>1．因你方违反主合同约定致使供应商不能履行义务的，我方不承担保证责任。</w:t>
      </w:r>
    </w:p>
    <w:p w14:paraId="6A9583B4">
      <w:pPr>
        <w:adjustRightInd w:val="0"/>
        <w:snapToGrid w:val="0"/>
        <w:spacing w:line="360" w:lineRule="auto"/>
        <w:ind w:firstLine="420" w:firstLineChars="200"/>
        <w:rPr>
          <w:b/>
          <w:kern w:val="0"/>
          <w:szCs w:val="21"/>
        </w:rPr>
      </w:pPr>
      <w:r>
        <w:rPr>
          <w:kern w:val="0"/>
          <w:szCs w:val="21"/>
        </w:rPr>
        <w:t>2．依照法律法规的规定或你方与供应商的另行约定，全部或者部分免除供应商应缴纳的保证金义务的，我方亦免除相应的保证责任。</w:t>
      </w:r>
    </w:p>
    <w:p w14:paraId="55288567">
      <w:pPr>
        <w:adjustRightInd w:val="0"/>
        <w:snapToGrid w:val="0"/>
        <w:spacing w:line="360" w:lineRule="auto"/>
        <w:ind w:firstLine="420" w:firstLineChars="200"/>
        <w:rPr>
          <w:kern w:val="0"/>
          <w:szCs w:val="21"/>
        </w:rPr>
      </w:pPr>
      <w:r>
        <w:rPr>
          <w:kern w:val="0"/>
          <w:szCs w:val="21"/>
        </w:rPr>
        <w:t>3．因不可抗力造成供应商不能履行供货义务的，我方不承担保证责任。</w:t>
      </w:r>
    </w:p>
    <w:p w14:paraId="52FF51CD">
      <w:pPr>
        <w:adjustRightInd w:val="0"/>
        <w:snapToGrid w:val="0"/>
        <w:spacing w:line="360" w:lineRule="auto"/>
        <w:ind w:firstLine="422" w:firstLineChars="200"/>
        <w:rPr>
          <w:b/>
          <w:kern w:val="0"/>
          <w:szCs w:val="21"/>
        </w:rPr>
      </w:pPr>
      <w:r>
        <w:rPr>
          <w:b/>
          <w:kern w:val="0"/>
          <w:szCs w:val="21"/>
        </w:rPr>
        <w:t>六、争议的解决</w:t>
      </w:r>
    </w:p>
    <w:p w14:paraId="410941A8">
      <w:pPr>
        <w:adjustRightInd w:val="0"/>
        <w:snapToGrid w:val="0"/>
        <w:spacing w:line="360" w:lineRule="auto"/>
        <w:ind w:firstLine="420" w:firstLineChars="200"/>
        <w:rPr>
          <w:kern w:val="0"/>
          <w:szCs w:val="21"/>
        </w:rPr>
      </w:pPr>
      <w:r>
        <w:rPr>
          <w:kern w:val="0"/>
          <w:szCs w:val="21"/>
        </w:rPr>
        <w:t>因本保函发生的纠纷，由你我双方协商解决，协商不成的，通过诉讼程序解决，诉讼管辖地法院为法院。</w:t>
      </w:r>
    </w:p>
    <w:p w14:paraId="215AA5A9">
      <w:pPr>
        <w:adjustRightInd w:val="0"/>
        <w:snapToGrid w:val="0"/>
        <w:spacing w:line="360" w:lineRule="auto"/>
        <w:ind w:firstLine="422" w:firstLineChars="200"/>
        <w:rPr>
          <w:b/>
          <w:kern w:val="0"/>
          <w:szCs w:val="21"/>
        </w:rPr>
      </w:pPr>
      <w:r>
        <w:rPr>
          <w:b/>
          <w:kern w:val="0"/>
          <w:szCs w:val="21"/>
        </w:rPr>
        <w:t xml:space="preserve">七、保函的生效 </w:t>
      </w:r>
    </w:p>
    <w:p w14:paraId="3A47B454">
      <w:pPr>
        <w:adjustRightInd w:val="0"/>
        <w:snapToGrid w:val="0"/>
        <w:spacing w:line="360" w:lineRule="auto"/>
        <w:ind w:firstLine="420" w:firstLineChars="200"/>
        <w:rPr>
          <w:kern w:val="0"/>
          <w:szCs w:val="21"/>
        </w:rPr>
      </w:pPr>
      <w:r>
        <w:rPr>
          <w:kern w:val="0"/>
          <w:szCs w:val="21"/>
        </w:rPr>
        <w:t xml:space="preserve">本保函自我方加盖公章之日起生效。 </w:t>
      </w:r>
    </w:p>
    <w:p w14:paraId="7E429C15">
      <w:pPr>
        <w:tabs>
          <w:tab w:val="left" w:pos="2850"/>
        </w:tabs>
        <w:adjustRightInd w:val="0"/>
        <w:snapToGrid w:val="0"/>
        <w:spacing w:line="360" w:lineRule="auto"/>
        <w:jc w:val="right"/>
        <w:rPr>
          <w:kern w:val="0"/>
          <w:szCs w:val="21"/>
        </w:rPr>
      </w:pPr>
      <w:r>
        <w:rPr>
          <w:kern w:val="0"/>
          <w:szCs w:val="21"/>
        </w:rPr>
        <w:tab/>
      </w:r>
      <w:r>
        <w:rPr>
          <w:kern w:val="0"/>
          <w:szCs w:val="21"/>
        </w:rPr>
        <w:t xml:space="preserve">          保证人：（公章） </w:t>
      </w:r>
    </w:p>
    <w:p w14:paraId="55F62603">
      <w:pPr>
        <w:adjustRightInd w:val="0"/>
        <w:snapToGrid w:val="0"/>
        <w:spacing w:line="360" w:lineRule="auto"/>
        <w:jc w:val="right"/>
        <w:rPr>
          <w:kern w:val="0"/>
          <w:szCs w:val="21"/>
        </w:rPr>
      </w:pPr>
      <w:r>
        <w:rPr>
          <w:kern w:val="0"/>
          <w:szCs w:val="21"/>
        </w:rPr>
        <w:t xml:space="preserve"> 年月 日</w:t>
      </w:r>
    </w:p>
    <w:p w14:paraId="287DAE71">
      <w:pPr>
        <w:widowControl/>
        <w:jc w:val="left"/>
      </w:pPr>
      <w:r>
        <w:br w:type="page"/>
      </w:r>
    </w:p>
    <w:p w14:paraId="5B7EECF0">
      <w:pPr>
        <w:adjustRightInd w:val="0"/>
        <w:snapToGrid w:val="0"/>
        <w:spacing w:beforeLines="50" w:line="360" w:lineRule="auto"/>
        <w:jc w:val="center"/>
        <w:rPr>
          <w:rFonts w:ascii="宋体" w:hAnsi="宋体" w:cs="宋体"/>
          <w:b/>
          <w:bCs/>
          <w:sz w:val="28"/>
          <w:szCs w:val="28"/>
        </w:rPr>
      </w:pPr>
      <w:r>
        <w:rPr>
          <w:rFonts w:hint="eastAsia" w:ascii="黑体" w:eastAsia="黑体"/>
          <w:b/>
          <w:sz w:val="28"/>
          <w:szCs w:val="28"/>
        </w:rPr>
        <w:t>评审办法及标准</w:t>
      </w:r>
    </w:p>
    <w:p w14:paraId="7552EC2C">
      <w:pPr>
        <w:adjustRightInd w:val="0"/>
        <w:snapToGrid w:val="0"/>
        <w:spacing w:beforeLines="50" w:line="360" w:lineRule="auto"/>
        <w:rPr>
          <w:rFonts w:ascii="宋体" w:hAnsi="宋体" w:cs="宋体"/>
          <w:b/>
          <w:szCs w:val="21"/>
        </w:rPr>
      </w:pPr>
      <w:r>
        <w:rPr>
          <w:rFonts w:hint="eastAsia" w:ascii="宋体" w:hAnsi="宋体" w:cs="宋体"/>
          <w:b/>
          <w:szCs w:val="21"/>
        </w:rPr>
        <w:t>1.磋商小组</w:t>
      </w:r>
    </w:p>
    <w:p w14:paraId="22D4726E">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1.1评审由依法组成的磋商小组负责。</w:t>
      </w:r>
    </w:p>
    <w:p w14:paraId="25492DB7">
      <w:pPr>
        <w:adjustRightInd w:val="0"/>
        <w:snapToGrid w:val="0"/>
        <w:spacing w:beforeLines="50" w:line="360" w:lineRule="auto"/>
        <w:rPr>
          <w:rFonts w:ascii="宋体" w:hAnsi="宋体" w:cs="宋体"/>
          <w:b/>
          <w:szCs w:val="21"/>
        </w:rPr>
      </w:pPr>
      <w:r>
        <w:rPr>
          <w:rFonts w:hint="eastAsia" w:ascii="宋体" w:hAnsi="宋体" w:cs="宋体"/>
          <w:b/>
          <w:bCs/>
          <w:szCs w:val="21"/>
        </w:rPr>
        <w:t>2.</w:t>
      </w:r>
      <w:r>
        <w:rPr>
          <w:rFonts w:hint="eastAsia" w:ascii="宋体" w:hAnsi="宋体" w:cs="宋体"/>
          <w:b/>
          <w:szCs w:val="21"/>
        </w:rPr>
        <w:t>评审方法</w:t>
      </w:r>
    </w:p>
    <w:p w14:paraId="48ED3BDA">
      <w:pPr>
        <w:tabs>
          <w:tab w:val="left" w:pos="0"/>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2.1评审方法：综合评分法，即响应文件能够最大限度的满足磋商文件规定的各项综合评价标准且经评审得分最高的供应商为成交供应商的评标方法。</w:t>
      </w:r>
    </w:p>
    <w:p w14:paraId="49F68987">
      <w:pPr>
        <w:tabs>
          <w:tab w:val="left" w:pos="0"/>
        </w:tabs>
        <w:adjustRightInd w:val="0"/>
        <w:snapToGrid w:val="0"/>
        <w:spacing w:beforeLines="50" w:line="360" w:lineRule="auto"/>
        <w:ind w:firstLine="420" w:firstLineChars="200"/>
        <w:rPr>
          <w:rFonts w:ascii="宋体" w:hAnsi="宋体" w:cs="宋体"/>
          <w:szCs w:val="21"/>
        </w:rPr>
      </w:pPr>
      <w:r>
        <w:rPr>
          <w:rFonts w:hint="eastAsia" w:ascii="宋体" w:hAnsi="宋体" w:cs="宋体"/>
          <w:bCs/>
          <w:szCs w:val="21"/>
        </w:rPr>
        <w:t>2.2本采购项目</w:t>
      </w:r>
      <w:r>
        <w:rPr>
          <w:rFonts w:hint="eastAsia" w:ascii="宋体" w:hAnsi="宋体" w:cs="宋体"/>
          <w:szCs w:val="21"/>
        </w:rPr>
        <w:t>的评审因素和标准见</w:t>
      </w:r>
      <w:r>
        <w:rPr>
          <w:rFonts w:hint="eastAsia" w:ascii="宋体" w:hAnsi="宋体" w:cs="宋体"/>
          <w:b/>
          <w:szCs w:val="21"/>
        </w:rPr>
        <w:t>磋商文件前附表，</w:t>
      </w:r>
      <w:r>
        <w:rPr>
          <w:rFonts w:hint="eastAsia" w:ascii="宋体" w:hAnsi="宋体" w:cs="宋体"/>
          <w:szCs w:val="21"/>
        </w:rPr>
        <w:t>不得对响应文件优于磋商文件要求的评审因素给予加分。</w:t>
      </w:r>
    </w:p>
    <w:p w14:paraId="08B86407">
      <w:pPr>
        <w:tabs>
          <w:tab w:val="left" w:pos="0"/>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评审因素：价格、技术、信誉、业绩、服务、对磋商文件的响应程度，以及相应的比重或者权值等，但不包括第二章“磋商须知”第3.1</w:t>
      </w:r>
      <w:r>
        <w:rPr>
          <w:rFonts w:hint="eastAsia" w:ascii="宋体" w:hAnsi="宋体" w:cs="宋体"/>
          <w:kern w:val="0"/>
          <w:szCs w:val="21"/>
          <w:lang w:val="zh-CN"/>
        </w:rPr>
        <w:t>款</w:t>
      </w:r>
      <w:r>
        <w:rPr>
          <w:rFonts w:hint="eastAsia" w:ascii="宋体" w:hAnsi="宋体" w:cs="宋体"/>
          <w:szCs w:val="21"/>
        </w:rPr>
        <w:t>规定的供应商资格条件。</w:t>
      </w:r>
    </w:p>
    <w:p w14:paraId="44EF721C">
      <w:pPr>
        <w:tabs>
          <w:tab w:val="left" w:pos="0"/>
        </w:tabs>
        <w:adjustRightInd w:val="0"/>
        <w:snapToGrid w:val="0"/>
        <w:spacing w:beforeLines="50" w:line="360" w:lineRule="auto"/>
        <w:ind w:firstLine="420" w:firstLineChars="200"/>
        <w:rPr>
          <w:rFonts w:ascii="宋体" w:hAnsi="宋体" w:cs="宋体"/>
          <w:szCs w:val="21"/>
        </w:rPr>
      </w:pPr>
      <w:r>
        <w:rPr>
          <w:rFonts w:hint="eastAsia" w:ascii="宋体" w:hAnsi="宋体" w:cs="宋体"/>
          <w:bCs/>
          <w:szCs w:val="21"/>
        </w:rPr>
        <w:t>2.3</w:t>
      </w:r>
      <w:r>
        <w:rPr>
          <w:rFonts w:hint="eastAsia" w:ascii="宋体" w:hAnsi="宋体" w:cs="宋体"/>
          <w:szCs w:val="21"/>
        </w:rPr>
        <w:t>权值的取值范围见下表，本采购项目的权值见</w:t>
      </w:r>
      <w:r>
        <w:rPr>
          <w:rFonts w:hint="eastAsia" w:ascii="宋体" w:hAnsi="宋体" w:cs="宋体"/>
          <w:b/>
          <w:szCs w:val="21"/>
        </w:rPr>
        <w:t>磋商文件前附表。</w:t>
      </w:r>
    </w:p>
    <w:tbl>
      <w:tblPr>
        <w:tblStyle w:val="46"/>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8"/>
        <w:gridCol w:w="3807"/>
        <w:gridCol w:w="4274"/>
      </w:tblGrid>
      <w:tr w14:paraId="0CE07D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718" w:type="dxa"/>
            <w:tcBorders>
              <w:top w:val="single" w:color="auto" w:sz="12" w:space="0"/>
            </w:tcBorders>
            <w:vAlign w:val="center"/>
          </w:tcPr>
          <w:p w14:paraId="27C881FE">
            <w:pPr>
              <w:keepNext w:val="0"/>
              <w:keepLines w:val="0"/>
              <w:suppressLineNumbers w:val="0"/>
              <w:adjustRightInd w:val="0"/>
              <w:snapToGrid w:val="0"/>
              <w:spacing w:before="0" w:beforeAutospacing="0" w:after="0" w:afterAutospacing="0" w:line="240" w:lineRule="exact"/>
              <w:ind w:left="0" w:right="0"/>
              <w:jc w:val="center"/>
              <w:rPr>
                <w:rFonts w:hint="default" w:ascii="宋体" w:cs="宋体"/>
                <w:kern w:val="0"/>
                <w:szCs w:val="21"/>
              </w:rPr>
            </w:pPr>
            <w:r>
              <w:rPr>
                <w:rFonts w:hint="eastAsia" w:ascii="宋体" w:hAnsi="宋体" w:cs="宋体"/>
                <w:kern w:val="0"/>
                <w:szCs w:val="21"/>
              </w:rPr>
              <w:t>序号</w:t>
            </w:r>
          </w:p>
        </w:tc>
        <w:tc>
          <w:tcPr>
            <w:tcW w:w="3807" w:type="dxa"/>
            <w:tcBorders>
              <w:top w:val="single" w:color="auto" w:sz="12" w:space="0"/>
              <w:bottom w:val="single" w:color="auto" w:sz="4" w:space="0"/>
            </w:tcBorders>
            <w:vAlign w:val="center"/>
          </w:tcPr>
          <w:p w14:paraId="16B2C65F">
            <w:pPr>
              <w:keepNext w:val="0"/>
              <w:keepLines w:val="0"/>
              <w:suppressLineNumbers w:val="0"/>
              <w:adjustRightInd w:val="0"/>
              <w:snapToGrid w:val="0"/>
              <w:spacing w:before="0" w:beforeAutospacing="0" w:after="0" w:afterAutospacing="0" w:line="240" w:lineRule="exact"/>
              <w:ind w:left="0" w:right="0"/>
              <w:jc w:val="center"/>
              <w:rPr>
                <w:rFonts w:hint="default" w:ascii="宋体" w:cs="宋体"/>
                <w:kern w:val="0"/>
                <w:szCs w:val="21"/>
              </w:rPr>
            </w:pPr>
            <w:r>
              <w:rPr>
                <w:rFonts w:hint="eastAsia" w:ascii="宋体" w:hAnsi="宋体" w:cs="宋体"/>
                <w:kern w:val="0"/>
                <w:szCs w:val="21"/>
              </w:rPr>
              <w:t>项目</w:t>
            </w:r>
          </w:p>
        </w:tc>
        <w:tc>
          <w:tcPr>
            <w:tcW w:w="4274" w:type="dxa"/>
            <w:tcBorders>
              <w:top w:val="single" w:color="auto" w:sz="12" w:space="0"/>
              <w:bottom w:val="single" w:color="auto" w:sz="4" w:space="0"/>
            </w:tcBorders>
            <w:vAlign w:val="center"/>
          </w:tcPr>
          <w:p w14:paraId="12DDF9DF">
            <w:pPr>
              <w:keepNext w:val="0"/>
              <w:keepLines w:val="0"/>
              <w:suppressLineNumbers w:val="0"/>
              <w:adjustRightInd w:val="0"/>
              <w:snapToGrid w:val="0"/>
              <w:spacing w:before="0" w:beforeAutospacing="0" w:after="0" w:afterAutospacing="0" w:line="240" w:lineRule="exact"/>
              <w:ind w:left="0" w:right="0"/>
              <w:jc w:val="center"/>
              <w:rPr>
                <w:rFonts w:hint="default" w:ascii="宋体" w:cs="宋体"/>
                <w:kern w:val="0"/>
                <w:szCs w:val="21"/>
              </w:rPr>
            </w:pPr>
            <w:r>
              <w:rPr>
                <w:rFonts w:hint="eastAsia" w:ascii="宋体" w:hAnsi="宋体" w:cs="宋体"/>
                <w:kern w:val="0"/>
                <w:szCs w:val="21"/>
              </w:rPr>
              <w:t>权值的取值</w:t>
            </w:r>
          </w:p>
        </w:tc>
      </w:tr>
      <w:tr w14:paraId="4AC4DC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8" w:hRule="atLeast"/>
        </w:trPr>
        <w:tc>
          <w:tcPr>
            <w:tcW w:w="718" w:type="dxa"/>
            <w:vAlign w:val="center"/>
          </w:tcPr>
          <w:p w14:paraId="6DE606DA">
            <w:pPr>
              <w:keepNext w:val="0"/>
              <w:keepLines w:val="0"/>
              <w:suppressLineNumbers w:val="0"/>
              <w:adjustRightInd w:val="0"/>
              <w:snapToGrid w:val="0"/>
              <w:spacing w:before="0" w:beforeAutospacing="0" w:after="0" w:afterAutospacing="0" w:line="240" w:lineRule="exact"/>
              <w:ind w:left="0" w:right="0"/>
              <w:jc w:val="center"/>
              <w:rPr>
                <w:rFonts w:hint="default" w:ascii="宋体" w:hAnsi="宋体" w:cs="宋体"/>
                <w:kern w:val="0"/>
                <w:szCs w:val="21"/>
              </w:rPr>
            </w:pPr>
            <w:r>
              <w:rPr>
                <w:rFonts w:hint="default" w:ascii="宋体" w:hAnsi="宋体" w:cs="宋体"/>
                <w:kern w:val="0"/>
                <w:szCs w:val="21"/>
              </w:rPr>
              <w:t>1</w:t>
            </w:r>
          </w:p>
        </w:tc>
        <w:tc>
          <w:tcPr>
            <w:tcW w:w="3807" w:type="dxa"/>
            <w:tcBorders>
              <w:bottom w:val="single" w:color="auto" w:sz="4" w:space="0"/>
            </w:tcBorders>
            <w:vAlign w:val="center"/>
          </w:tcPr>
          <w:p w14:paraId="1BB92BAB">
            <w:pPr>
              <w:keepNext w:val="0"/>
              <w:keepLines w:val="0"/>
              <w:widowControl/>
              <w:suppressLineNumbers w:val="0"/>
              <w:spacing w:before="0" w:beforeAutospacing="0" w:after="0" w:afterAutospacing="0"/>
              <w:ind w:left="0" w:right="0"/>
              <w:jc w:val="center"/>
              <w:textAlignment w:val="center"/>
              <w:rPr>
                <w:rFonts w:hint="default" w:ascii="宋体" w:cs="宋体"/>
                <w:kern w:val="0"/>
                <w:szCs w:val="21"/>
              </w:rPr>
            </w:pPr>
            <w:r>
              <w:rPr>
                <w:rFonts w:hint="eastAsia" w:ascii="宋体" w:hAnsi="宋体" w:eastAsia="宋体" w:cs="宋体"/>
                <w:i w:val="0"/>
                <w:iCs w:val="0"/>
                <w:color w:val="000000"/>
                <w:kern w:val="0"/>
                <w:sz w:val="21"/>
                <w:szCs w:val="21"/>
                <w:u w:val="none"/>
                <w:lang w:val="en-US" w:eastAsia="zh-CN" w:bidi="ar"/>
              </w:rPr>
              <w:t>报价</w:t>
            </w:r>
          </w:p>
        </w:tc>
        <w:tc>
          <w:tcPr>
            <w:tcW w:w="4274" w:type="dxa"/>
            <w:tcBorders>
              <w:bottom w:val="single" w:color="auto" w:sz="4" w:space="0"/>
            </w:tcBorders>
            <w:vAlign w:val="center"/>
          </w:tcPr>
          <w:p w14:paraId="2F24364F">
            <w:pPr>
              <w:keepNext w:val="0"/>
              <w:keepLines w:val="0"/>
              <w:widowControl/>
              <w:suppressLineNumbers w:val="0"/>
              <w:spacing w:before="0" w:beforeAutospacing="0" w:after="0" w:afterAutospacing="0"/>
              <w:ind w:left="0" w:right="0"/>
              <w:jc w:val="center"/>
              <w:textAlignment w:val="center"/>
              <w:rPr>
                <w:rFonts w:hint="eastAsia" w:ascii="宋体" w:eastAsia="宋体" w:cs="宋体"/>
                <w:b/>
                <w:bCs/>
                <w:color w:val="auto"/>
                <w:kern w:val="0"/>
                <w:szCs w:val="21"/>
                <w:lang w:val="en-US" w:eastAsia="zh-CN"/>
              </w:rPr>
            </w:pPr>
            <w:r>
              <w:rPr>
                <w:rFonts w:hint="eastAsia" w:ascii="宋体" w:hAnsi="宋体" w:eastAsia="宋体" w:cs="宋体"/>
                <w:i w:val="0"/>
                <w:iCs w:val="0"/>
                <w:color w:val="000000"/>
                <w:kern w:val="0"/>
                <w:sz w:val="21"/>
                <w:szCs w:val="21"/>
                <w:u w:val="none"/>
                <w:lang w:val="en-US" w:eastAsia="zh-CN" w:bidi="ar"/>
              </w:rPr>
              <w:t>30%</w:t>
            </w:r>
          </w:p>
        </w:tc>
      </w:tr>
      <w:tr w14:paraId="5EEF0C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8" w:hRule="atLeast"/>
        </w:trPr>
        <w:tc>
          <w:tcPr>
            <w:tcW w:w="718" w:type="dxa"/>
            <w:tcBorders>
              <w:bottom w:val="single" w:color="auto" w:sz="4" w:space="0"/>
            </w:tcBorders>
            <w:vAlign w:val="center"/>
          </w:tcPr>
          <w:p w14:paraId="2C9DBECB">
            <w:pPr>
              <w:keepNext w:val="0"/>
              <w:keepLines w:val="0"/>
              <w:suppressLineNumbers w:val="0"/>
              <w:adjustRightInd w:val="0"/>
              <w:snapToGrid w:val="0"/>
              <w:spacing w:before="0" w:beforeAutospacing="0" w:after="0" w:afterAutospacing="0" w:line="240" w:lineRule="exact"/>
              <w:ind w:left="0" w:right="0"/>
              <w:jc w:val="center"/>
              <w:rPr>
                <w:rFonts w:hint="default" w:ascii="宋体" w:hAnsi="宋体" w:cs="宋体"/>
                <w:kern w:val="0"/>
                <w:szCs w:val="21"/>
              </w:rPr>
            </w:pPr>
            <w:r>
              <w:rPr>
                <w:rFonts w:hint="default" w:ascii="宋体" w:hAnsi="宋体" w:cs="宋体"/>
                <w:kern w:val="0"/>
                <w:szCs w:val="21"/>
              </w:rPr>
              <w:t>2</w:t>
            </w:r>
          </w:p>
        </w:tc>
        <w:tc>
          <w:tcPr>
            <w:tcW w:w="3807" w:type="dxa"/>
            <w:tcBorders>
              <w:bottom w:val="single" w:color="auto" w:sz="4" w:space="0"/>
            </w:tcBorders>
            <w:vAlign w:val="center"/>
          </w:tcPr>
          <w:p w14:paraId="012BB75A">
            <w:pPr>
              <w:keepNext w:val="0"/>
              <w:keepLines w:val="0"/>
              <w:widowControl/>
              <w:suppressLineNumbers w:val="0"/>
              <w:spacing w:before="0" w:beforeAutospacing="0" w:after="0" w:afterAutospacing="0"/>
              <w:ind w:left="0" w:right="0"/>
              <w:jc w:val="center"/>
              <w:textAlignment w:val="center"/>
              <w:rPr>
                <w:rFonts w:hint="default" w:ascii="宋体" w:cs="宋体"/>
                <w:kern w:val="0"/>
                <w:szCs w:val="21"/>
              </w:rPr>
            </w:pPr>
            <w:r>
              <w:rPr>
                <w:rFonts w:hint="eastAsia" w:ascii="宋体" w:hAnsi="宋体" w:eastAsia="宋体" w:cs="宋体"/>
                <w:i w:val="0"/>
                <w:iCs w:val="0"/>
                <w:color w:val="000000"/>
                <w:kern w:val="0"/>
                <w:sz w:val="21"/>
                <w:szCs w:val="21"/>
                <w:u w:val="none"/>
                <w:lang w:val="en-US" w:eastAsia="zh-CN" w:bidi="ar"/>
              </w:rPr>
              <w:t>技术部分</w:t>
            </w:r>
          </w:p>
        </w:tc>
        <w:tc>
          <w:tcPr>
            <w:tcW w:w="4274" w:type="dxa"/>
            <w:tcBorders>
              <w:top w:val="single" w:color="auto" w:sz="4" w:space="0"/>
              <w:bottom w:val="single" w:color="auto" w:sz="4" w:space="0"/>
            </w:tcBorders>
            <w:vAlign w:val="center"/>
          </w:tcPr>
          <w:p w14:paraId="6540ACEF">
            <w:pPr>
              <w:keepNext w:val="0"/>
              <w:keepLines w:val="0"/>
              <w:widowControl/>
              <w:suppressLineNumbers w:val="0"/>
              <w:spacing w:before="0" w:beforeAutospacing="0" w:after="0" w:afterAutospacing="0"/>
              <w:ind w:left="0" w:right="0"/>
              <w:jc w:val="center"/>
              <w:textAlignment w:val="center"/>
              <w:rPr>
                <w:rFonts w:hint="eastAsia" w:ascii="宋体" w:eastAsia="宋体" w:cs="宋体"/>
                <w:b/>
                <w:bCs/>
                <w:color w:val="auto"/>
                <w:kern w:val="0"/>
                <w:szCs w:val="21"/>
                <w:lang w:val="en-US" w:eastAsia="zh-CN"/>
              </w:rPr>
            </w:pPr>
            <w:r>
              <w:rPr>
                <w:rFonts w:hint="eastAsia" w:ascii="宋体" w:hAnsi="宋体" w:eastAsia="宋体" w:cs="宋体"/>
                <w:i w:val="0"/>
                <w:iCs w:val="0"/>
                <w:color w:val="000000"/>
                <w:kern w:val="0"/>
                <w:sz w:val="21"/>
                <w:szCs w:val="21"/>
                <w:u w:val="none"/>
                <w:lang w:val="en-US" w:eastAsia="zh-CN" w:bidi="ar"/>
              </w:rPr>
              <w:t>50%</w:t>
            </w:r>
          </w:p>
        </w:tc>
      </w:tr>
      <w:tr w14:paraId="1D892D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8" w:hRule="atLeast"/>
        </w:trPr>
        <w:tc>
          <w:tcPr>
            <w:tcW w:w="718" w:type="dxa"/>
            <w:vAlign w:val="center"/>
          </w:tcPr>
          <w:p w14:paraId="7D84994A">
            <w:pPr>
              <w:keepNext w:val="0"/>
              <w:keepLines w:val="0"/>
              <w:suppressLineNumbers w:val="0"/>
              <w:adjustRightInd w:val="0"/>
              <w:snapToGrid w:val="0"/>
              <w:spacing w:before="0" w:beforeAutospacing="0" w:after="0" w:afterAutospacing="0" w:line="240" w:lineRule="exact"/>
              <w:ind w:left="0" w:right="0"/>
              <w:jc w:val="center"/>
              <w:rPr>
                <w:rFonts w:hint="default" w:ascii="宋体" w:hAnsi="宋体" w:cs="宋体"/>
                <w:kern w:val="0"/>
                <w:szCs w:val="21"/>
              </w:rPr>
            </w:pPr>
            <w:r>
              <w:rPr>
                <w:rFonts w:hint="eastAsia" w:ascii="宋体" w:hAnsi="宋体" w:cs="宋体"/>
                <w:kern w:val="0"/>
                <w:szCs w:val="21"/>
              </w:rPr>
              <w:t>3</w:t>
            </w:r>
          </w:p>
        </w:tc>
        <w:tc>
          <w:tcPr>
            <w:tcW w:w="3807" w:type="dxa"/>
            <w:vAlign w:val="center"/>
          </w:tcPr>
          <w:p w14:paraId="5B642A78">
            <w:pPr>
              <w:keepNext w:val="0"/>
              <w:keepLines w:val="0"/>
              <w:widowControl/>
              <w:suppressLineNumbers w:val="0"/>
              <w:spacing w:before="0" w:beforeAutospacing="0" w:after="0" w:afterAutospacing="0"/>
              <w:ind w:left="0" w:right="0"/>
              <w:jc w:val="center"/>
              <w:textAlignment w:val="center"/>
              <w:rPr>
                <w:rFonts w:hint="default" w:ascii="宋体" w:cs="宋体"/>
                <w:kern w:val="0"/>
                <w:szCs w:val="21"/>
              </w:rPr>
            </w:pPr>
            <w:r>
              <w:rPr>
                <w:rFonts w:hint="eastAsia" w:ascii="宋体" w:hAnsi="宋体" w:eastAsia="宋体" w:cs="宋体"/>
                <w:i w:val="0"/>
                <w:iCs w:val="0"/>
                <w:color w:val="000000"/>
                <w:kern w:val="0"/>
                <w:sz w:val="21"/>
                <w:szCs w:val="21"/>
                <w:u w:val="none"/>
                <w:lang w:val="en-US" w:eastAsia="zh-CN" w:bidi="ar"/>
              </w:rPr>
              <w:t>商务部分</w:t>
            </w:r>
          </w:p>
        </w:tc>
        <w:tc>
          <w:tcPr>
            <w:tcW w:w="4274" w:type="dxa"/>
            <w:tcBorders>
              <w:top w:val="single" w:color="auto" w:sz="4" w:space="0"/>
            </w:tcBorders>
            <w:vAlign w:val="center"/>
          </w:tcPr>
          <w:p w14:paraId="709039FD">
            <w:pPr>
              <w:keepNext w:val="0"/>
              <w:keepLines w:val="0"/>
              <w:widowControl/>
              <w:suppressLineNumbers w:val="0"/>
              <w:spacing w:before="0" w:beforeAutospacing="0" w:after="0" w:afterAutospacing="0"/>
              <w:ind w:left="0" w:right="0"/>
              <w:jc w:val="center"/>
              <w:textAlignment w:val="center"/>
              <w:rPr>
                <w:rFonts w:hint="default" w:ascii="宋体" w:hAnsi="宋体" w:cs="宋体"/>
                <w:b/>
                <w:bCs/>
                <w:color w:val="auto"/>
                <w:kern w:val="0"/>
                <w:szCs w:val="21"/>
              </w:rPr>
            </w:pPr>
            <w:r>
              <w:rPr>
                <w:rFonts w:hint="eastAsia" w:ascii="宋体" w:hAnsi="宋体" w:eastAsia="宋体" w:cs="宋体"/>
                <w:i w:val="0"/>
                <w:iCs w:val="0"/>
                <w:color w:val="000000"/>
                <w:kern w:val="0"/>
                <w:sz w:val="21"/>
                <w:szCs w:val="21"/>
                <w:u w:val="none"/>
                <w:lang w:val="en-US" w:eastAsia="zh-CN" w:bidi="ar"/>
              </w:rPr>
              <w:t>20%</w:t>
            </w:r>
          </w:p>
        </w:tc>
      </w:tr>
      <w:tr w14:paraId="63E4FD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1" w:hRule="atLeast"/>
        </w:trPr>
        <w:tc>
          <w:tcPr>
            <w:tcW w:w="4525" w:type="dxa"/>
            <w:gridSpan w:val="2"/>
            <w:tcBorders>
              <w:bottom w:val="single" w:color="auto" w:sz="12" w:space="0"/>
            </w:tcBorders>
            <w:vAlign w:val="center"/>
          </w:tcPr>
          <w:p w14:paraId="10729D43">
            <w:pPr>
              <w:keepNext w:val="0"/>
              <w:keepLines w:val="0"/>
              <w:suppressLineNumbers w:val="0"/>
              <w:adjustRightInd w:val="0"/>
              <w:snapToGrid w:val="0"/>
              <w:spacing w:before="0" w:beforeAutospacing="0" w:after="0" w:afterAutospacing="0" w:line="240" w:lineRule="exact"/>
              <w:ind w:left="0" w:right="0"/>
              <w:jc w:val="center"/>
              <w:rPr>
                <w:rFonts w:hint="default" w:ascii="宋体" w:hAnsi="宋体" w:cs="宋体"/>
                <w:kern w:val="0"/>
                <w:szCs w:val="21"/>
              </w:rPr>
            </w:pPr>
            <w:r>
              <w:rPr>
                <w:rFonts w:hint="eastAsia" w:ascii="宋体" w:hAnsi="宋体" w:cs="宋体"/>
                <w:kern w:val="0"/>
                <w:szCs w:val="21"/>
              </w:rPr>
              <w:t>∑</w:t>
            </w:r>
            <w:r>
              <w:rPr>
                <w:rFonts w:hint="default" w:ascii="宋体" w:hAnsi="宋体" w:cs="宋体"/>
                <w:kern w:val="0"/>
                <w:szCs w:val="21"/>
              </w:rPr>
              <w:t>(1+2+3)=1</w:t>
            </w:r>
          </w:p>
        </w:tc>
        <w:tc>
          <w:tcPr>
            <w:tcW w:w="4274" w:type="dxa"/>
            <w:tcBorders>
              <w:bottom w:val="single" w:color="auto" w:sz="12" w:space="0"/>
            </w:tcBorders>
            <w:vAlign w:val="center"/>
          </w:tcPr>
          <w:p w14:paraId="0F201708">
            <w:pPr>
              <w:keepNext w:val="0"/>
              <w:keepLines w:val="0"/>
              <w:suppressLineNumbers w:val="0"/>
              <w:adjustRightInd w:val="0"/>
              <w:snapToGrid w:val="0"/>
              <w:spacing w:before="0" w:beforeAutospacing="0" w:after="0" w:afterAutospacing="0" w:line="240" w:lineRule="exact"/>
              <w:ind w:left="0" w:right="0"/>
              <w:jc w:val="center"/>
              <w:rPr>
                <w:rFonts w:hint="default" w:ascii="宋体" w:hAnsi="宋体" w:cs="宋体"/>
                <w:b/>
                <w:bCs/>
                <w:color w:val="auto"/>
                <w:kern w:val="0"/>
                <w:szCs w:val="21"/>
              </w:rPr>
            </w:pPr>
            <w:r>
              <w:rPr>
                <w:rFonts w:hint="default" w:ascii="宋体" w:hAnsi="宋体" w:cs="宋体"/>
                <w:b/>
                <w:bCs/>
                <w:color w:val="auto"/>
                <w:kern w:val="0"/>
                <w:szCs w:val="21"/>
              </w:rPr>
              <w:t>1</w:t>
            </w:r>
            <w:r>
              <w:rPr>
                <w:rFonts w:hint="eastAsia" w:ascii="宋体" w:hAnsi="宋体" w:cs="宋体"/>
                <w:b/>
                <w:bCs/>
                <w:color w:val="auto"/>
                <w:kern w:val="0"/>
                <w:szCs w:val="21"/>
              </w:rPr>
              <w:t>.00</w:t>
            </w:r>
          </w:p>
        </w:tc>
      </w:tr>
    </w:tbl>
    <w:p w14:paraId="3FC3DA08">
      <w:pPr>
        <w:tabs>
          <w:tab w:val="left" w:pos="0"/>
        </w:tabs>
        <w:adjustRightInd w:val="0"/>
        <w:snapToGrid w:val="0"/>
        <w:spacing w:beforeLines="50" w:line="360" w:lineRule="auto"/>
        <w:rPr>
          <w:rFonts w:ascii="宋体" w:hAnsi="宋体" w:cs="宋体"/>
          <w:b/>
          <w:bCs/>
          <w:szCs w:val="21"/>
        </w:rPr>
      </w:pPr>
      <w:r>
        <w:rPr>
          <w:rFonts w:hint="eastAsia" w:ascii="宋体" w:hAnsi="宋体" w:cs="宋体"/>
          <w:b/>
          <w:bCs/>
          <w:szCs w:val="21"/>
        </w:rPr>
        <w:t>3.比较与评价</w:t>
      </w:r>
    </w:p>
    <w:p w14:paraId="63774ED3">
      <w:pPr>
        <w:tabs>
          <w:tab w:val="left" w:pos="0"/>
        </w:tabs>
        <w:adjustRightInd w:val="0"/>
        <w:snapToGrid w:val="0"/>
        <w:spacing w:beforeLines="50" w:line="360" w:lineRule="auto"/>
        <w:ind w:firstLine="420" w:firstLineChars="200"/>
        <w:rPr>
          <w:rFonts w:ascii="宋体" w:hAnsi="宋体" w:cs="宋体"/>
          <w:bCs/>
          <w:szCs w:val="21"/>
        </w:rPr>
      </w:pPr>
      <w:r>
        <w:rPr>
          <w:rFonts w:hint="eastAsia" w:ascii="宋体" w:hAnsi="宋体" w:cs="宋体"/>
          <w:bCs/>
          <w:szCs w:val="21"/>
        </w:rPr>
        <w:t>3.1磋商小组应按照磋商文件中规定的评审方法、</w:t>
      </w:r>
      <w:r>
        <w:rPr>
          <w:rFonts w:hint="eastAsia" w:ascii="宋体" w:hAnsi="宋体" w:cs="宋体"/>
          <w:szCs w:val="21"/>
        </w:rPr>
        <w:t>标准和评标因素，</w:t>
      </w:r>
      <w:r>
        <w:rPr>
          <w:rFonts w:hint="eastAsia" w:ascii="宋体" w:hAnsi="宋体" w:cs="宋体"/>
          <w:bCs/>
          <w:szCs w:val="21"/>
        </w:rPr>
        <w:t>对</w:t>
      </w:r>
      <w:r>
        <w:rPr>
          <w:rFonts w:hint="eastAsia" w:ascii="宋体" w:hAnsi="宋体" w:cs="宋体"/>
          <w:szCs w:val="21"/>
        </w:rPr>
        <w:t>资格性检查和符合性检查</w:t>
      </w:r>
      <w:r>
        <w:rPr>
          <w:rFonts w:hint="eastAsia" w:ascii="宋体" w:hAnsi="宋体" w:cs="宋体"/>
          <w:bCs/>
          <w:szCs w:val="21"/>
        </w:rPr>
        <w:t>合格的响应文件进行评估，综合比较与评价。</w:t>
      </w:r>
    </w:p>
    <w:p w14:paraId="1A26DE87">
      <w:pPr>
        <w:widowControl/>
        <w:jc w:val="left"/>
        <w:rPr>
          <w:rFonts w:ascii="宋体" w:cs="宋体"/>
          <w:b/>
          <w:bCs/>
          <w:kern w:val="0"/>
          <w:sz w:val="22"/>
          <w:szCs w:val="22"/>
        </w:rPr>
      </w:pPr>
      <w:r>
        <w:rPr>
          <w:rFonts w:ascii="宋体" w:cs="宋体"/>
          <w:b/>
          <w:bCs/>
          <w:kern w:val="0"/>
          <w:sz w:val="22"/>
          <w:szCs w:val="22"/>
        </w:rPr>
        <w:br w:type="page"/>
      </w:r>
    </w:p>
    <w:p w14:paraId="7DF6A5C9">
      <w:pPr>
        <w:spacing w:line="288" w:lineRule="auto"/>
        <w:rPr>
          <w:rFonts w:ascii="宋体" w:cs="宋体"/>
          <w:b/>
          <w:bCs/>
          <w:kern w:val="0"/>
          <w:sz w:val="22"/>
          <w:szCs w:val="22"/>
        </w:rPr>
      </w:pPr>
      <w:r>
        <w:rPr>
          <w:rFonts w:hint="eastAsia" w:ascii="宋体" w:cs="宋体"/>
          <w:b/>
          <w:bCs/>
          <w:kern w:val="0"/>
          <w:sz w:val="22"/>
          <w:szCs w:val="22"/>
        </w:rPr>
        <w:t>附表1</w:t>
      </w:r>
    </w:p>
    <w:p w14:paraId="5A5A3D09">
      <w:pPr>
        <w:spacing w:line="288" w:lineRule="auto"/>
        <w:jc w:val="center"/>
        <w:rPr>
          <w:rFonts w:ascii="宋体" w:hAnsi="宋体" w:cs="宋体"/>
          <w:b/>
          <w:bCs/>
          <w:kern w:val="0"/>
          <w:sz w:val="24"/>
        </w:rPr>
      </w:pPr>
      <w:r>
        <w:rPr>
          <w:rFonts w:hint="eastAsia" w:ascii="宋体" w:cs="宋体"/>
          <w:b/>
          <w:bCs/>
          <w:kern w:val="0"/>
          <w:sz w:val="24"/>
        </w:rPr>
        <w:t>资格评审表</w:t>
      </w:r>
    </w:p>
    <w:tbl>
      <w:tblPr>
        <w:tblStyle w:val="46"/>
        <w:tblpPr w:leftFromText="180" w:rightFromText="180" w:vertAnchor="text" w:horzAnchor="margin" w:tblpXSpec="center" w:tblpY="2"/>
        <w:tblW w:w="100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5803"/>
        <w:gridCol w:w="1268"/>
        <w:gridCol w:w="1153"/>
        <w:gridCol w:w="1241"/>
      </w:tblGrid>
      <w:tr w14:paraId="0F3F2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540" w:type="dxa"/>
            <w:vMerge w:val="restart"/>
            <w:tcBorders>
              <w:top w:val="single" w:color="auto" w:sz="4" w:space="0"/>
              <w:left w:val="single" w:color="auto" w:sz="4" w:space="0"/>
              <w:right w:val="single" w:color="auto" w:sz="4" w:space="0"/>
            </w:tcBorders>
            <w:vAlign w:val="center"/>
          </w:tcPr>
          <w:p w14:paraId="3FA33CD2">
            <w:pPr>
              <w:keepNext w:val="0"/>
              <w:keepLines w:val="0"/>
              <w:suppressLineNumbers w:val="0"/>
              <w:spacing w:before="0" w:beforeAutospacing="0" w:after="0" w:afterAutospacing="0"/>
              <w:ind w:left="0" w:right="-246" w:rightChars="-117"/>
              <w:rPr>
                <w:rFonts w:hint="default"/>
                <w:b/>
                <w:bCs/>
                <w:szCs w:val="21"/>
              </w:rPr>
            </w:pPr>
            <w:r>
              <w:rPr>
                <w:rFonts w:hint="eastAsia"/>
                <w:b/>
                <w:bCs/>
                <w:szCs w:val="21"/>
              </w:rPr>
              <w:t>序号</w:t>
            </w:r>
          </w:p>
        </w:tc>
        <w:tc>
          <w:tcPr>
            <w:tcW w:w="5803" w:type="dxa"/>
            <w:vMerge w:val="restart"/>
            <w:tcBorders>
              <w:top w:val="single" w:color="auto" w:sz="4" w:space="0"/>
              <w:left w:val="single" w:color="auto" w:sz="4" w:space="0"/>
              <w:right w:val="single" w:color="auto" w:sz="4" w:space="0"/>
            </w:tcBorders>
            <w:vAlign w:val="center"/>
          </w:tcPr>
          <w:p w14:paraId="5B24EB01">
            <w:pPr>
              <w:keepNext w:val="0"/>
              <w:keepLines w:val="0"/>
              <w:suppressLineNumbers w:val="0"/>
              <w:spacing w:before="0" w:beforeAutospacing="0" w:after="0" w:afterAutospacing="0"/>
              <w:ind w:left="0" w:right="-246" w:rightChars="-117"/>
              <w:jc w:val="center"/>
              <w:rPr>
                <w:rFonts w:hint="default"/>
                <w:b/>
                <w:bCs/>
                <w:szCs w:val="21"/>
              </w:rPr>
            </w:pPr>
            <w:r>
              <w:rPr>
                <w:rFonts w:hint="eastAsia"/>
                <w:b/>
                <w:bCs/>
                <w:szCs w:val="21"/>
              </w:rPr>
              <w:t>检查内容</w:t>
            </w:r>
          </w:p>
        </w:tc>
        <w:tc>
          <w:tcPr>
            <w:tcW w:w="3662" w:type="dxa"/>
            <w:gridSpan w:val="3"/>
            <w:tcBorders>
              <w:top w:val="single" w:color="auto" w:sz="4" w:space="0"/>
              <w:left w:val="single" w:color="auto" w:sz="4" w:space="0"/>
              <w:right w:val="single" w:color="auto" w:sz="4" w:space="0"/>
            </w:tcBorders>
            <w:vAlign w:val="center"/>
          </w:tcPr>
          <w:p w14:paraId="44E55DA1">
            <w:pPr>
              <w:keepNext w:val="0"/>
              <w:keepLines w:val="0"/>
              <w:suppressLineNumbers w:val="0"/>
              <w:spacing w:before="0" w:beforeAutospacing="0" w:after="0" w:afterAutospacing="0"/>
              <w:ind w:left="0" w:right="-246" w:rightChars="-117"/>
              <w:jc w:val="center"/>
              <w:rPr>
                <w:rFonts w:hint="default"/>
                <w:b/>
                <w:bCs/>
                <w:szCs w:val="21"/>
              </w:rPr>
            </w:pPr>
            <w:r>
              <w:rPr>
                <w:rFonts w:hint="eastAsia"/>
                <w:b/>
                <w:bCs/>
                <w:szCs w:val="21"/>
              </w:rPr>
              <w:t>投标人名称</w:t>
            </w:r>
          </w:p>
        </w:tc>
      </w:tr>
      <w:tr w14:paraId="1FCF8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540" w:type="dxa"/>
            <w:vMerge w:val="continue"/>
            <w:tcBorders>
              <w:left w:val="single" w:color="auto" w:sz="4" w:space="0"/>
              <w:right w:val="single" w:color="auto" w:sz="4" w:space="0"/>
            </w:tcBorders>
            <w:vAlign w:val="center"/>
          </w:tcPr>
          <w:p w14:paraId="3F89D7FF">
            <w:pPr>
              <w:keepNext w:val="0"/>
              <w:keepLines w:val="0"/>
              <w:suppressLineNumbers w:val="0"/>
              <w:spacing w:before="0" w:beforeAutospacing="0" w:after="0" w:afterAutospacing="0"/>
              <w:ind w:left="0" w:right="-246" w:rightChars="-117"/>
              <w:jc w:val="center"/>
              <w:rPr>
                <w:rFonts w:hint="default"/>
                <w:b/>
                <w:bCs/>
                <w:szCs w:val="21"/>
              </w:rPr>
            </w:pPr>
          </w:p>
        </w:tc>
        <w:tc>
          <w:tcPr>
            <w:tcW w:w="5803" w:type="dxa"/>
            <w:vMerge w:val="continue"/>
            <w:tcBorders>
              <w:left w:val="single" w:color="auto" w:sz="4" w:space="0"/>
              <w:right w:val="single" w:color="auto" w:sz="4" w:space="0"/>
            </w:tcBorders>
            <w:vAlign w:val="center"/>
          </w:tcPr>
          <w:p w14:paraId="505B21DA">
            <w:pPr>
              <w:keepNext w:val="0"/>
              <w:keepLines w:val="0"/>
              <w:suppressLineNumbers w:val="0"/>
              <w:spacing w:before="0" w:beforeAutospacing="0" w:after="0" w:afterAutospacing="0"/>
              <w:ind w:left="0" w:right="-246" w:rightChars="-117"/>
              <w:jc w:val="center"/>
              <w:rPr>
                <w:rFonts w:hint="default"/>
                <w:b/>
                <w:bCs/>
                <w:szCs w:val="21"/>
              </w:rPr>
            </w:pPr>
          </w:p>
        </w:tc>
        <w:tc>
          <w:tcPr>
            <w:tcW w:w="1268" w:type="dxa"/>
            <w:tcBorders>
              <w:top w:val="single" w:color="auto" w:sz="4" w:space="0"/>
              <w:left w:val="single" w:color="auto" w:sz="4" w:space="0"/>
              <w:right w:val="single" w:color="auto" w:sz="4" w:space="0"/>
            </w:tcBorders>
            <w:vAlign w:val="center"/>
          </w:tcPr>
          <w:p w14:paraId="250798C4">
            <w:pPr>
              <w:keepNext w:val="0"/>
              <w:keepLines w:val="0"/>
              <w:suppressLineNumbers w:val="0"/>
              <w:adjustRightInd w:val="0"/>
              <w:snapToGrid w:val="0"/>
              <w:spacing w:before="0" w:beforeAutospacing="0" w:after="0" w:afterAutospacing="0"/>
              <w:ind w:left="0" w:right="0"/>
              <w:jc w:val="center"/>
              <w:rPr>
                <w:rFonts w:hint="default" w:ascii="宋体" w:hAnsi="宋体" w:cs="宋体"/>
                <w:b/>
                <w:bCs/>
                <w:kern w:val="0"/>
                <w:szCs w:val="21"/>
              </w:rPr>
            </w:pPr>
          </w:p>
        </w:tc>
        <w:tc>
          <w:tcPr>
            <w:tcW w:w="1153" w:type="dxa"/>
            <w:tcBorders>
              <w:top w:val="single" w:color="auto" w:sz="4" w:space="0"/>
              <w:left w:val="single" w:color="auto" w:sz="4" w:space="0"/>
              <w:right w:val="single" w:color="auto" w:sz="4" w:space="0"/>
            </w:tcBorders>
            <w:vAlign w:val="center"/>
          </w:tcPr>
          <w:p w14:paraId="261CD1A6">
            <w:pPr>
              <w:keepNext w:val="0"/>
              <w:keepLines w:val="0"/>
              <w:suppressLineNumbers w:val="0"/>
              <w:adjustRightInd w:val="0"/>
              <w:snapToGrid w:val="0"/>
              <w:spacing w:before="0" w:beforeAutospacing="0" w:after="0" w:afterAutospacing="0"/>
              <w:ind w:left="0" w:right="0"/>
              <w:jc w:val="center"/>
              <w:rPr>
                <w:rFonts w:hint="default"/>
                <w:b/>
                <w:bCs/>
                <w:szCs w:val="21"/>
              </w:rPr>
            </w:pPr>
          </w:p>
        </w:tc>
        <w:tc>
          <w:tcPr>
            <w:tcW w:w="1241" w:type="dxa"/>
            <w:tcBorders>
              <w:top w:val="single" w:color="auto" w:sz="4" w:space="0"/>
              <w:left w:val="single" w:color="auto" w:sz="4" w:space="0"/>
              <w:right w:val="single" w:color="auto" w:sz="4" w:space="0"/>
            </w:tcBorders>
            <w:vAlign w:val="center"/>
          </w:tcPr>
          <w:p w14:paraId="6C43947F">
            <w:pPr>
              <w:keepNext w:val="0"/>
              <w:keepLines w:val="0"/>
              <w:suppressLineNumbers w:val="0"/>
              <w:adjustRightInd w:val="0"/>
              <w:snapToGrid w:val="0"/>
              <w:spacing w:before="0" w:beforeAutospacing="0" w:after="0" w:afterAutospacing="0"/>
              <w:ind w:left="0" w:right="0"/>
              <w:jc w:val="center"/>
              <w:rPr>
                <w:rFonts w:hint="default"/>
                <w:szCs w:val="21"/>
              </w:rPr>
            </w:pPr>
          </w:p>
        </w:tc>
      </w:tr>
      <w:tr w14:paraId="62D3D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8" w:hRule="atLeast"/>
        </w:trPr>
        <w:tc>
          <w:tcPr>
            <w:tcW w:w="540" w:type="dxa"/>
            <w:tcBorders>
              <w:top w:val="single" w:color="auto" w:sz="4" w:space="0"/>
              <w:left w:val="single" w:color="auto" w:sz="4" w:space="0"/>
              <w:right w:val="single" w:color="auto" w:sz="4" w:space="0"/>
            </w:tcBorders>
            <w:vAlign w:val="center"/>
          </w:tcPr>
          <w:p w14:paraId="376A228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1</w:t>
            </w:r>
          </w:p>
        </w:tc>
        <w:tc>
          <w:tcPr>
            <w:tcW w:w="5803" w:type="dxa"/>
            <w:tcBorders>
              <w:top w:val="single" w:color="auto" w:sz="4" w:space="0"/>
              <w:left w:val="single" w:color="auto" w:sz="4" w:space="0"/>
              <w:right w:val="single" w:color="auto" w:sz="4" w:space="0"/>
            </w:tcBorders>
            <w:vAlign w:val="center"/>
          </w:tcPr>
          <w:p w14:paraId="5117EAA3">
            <w:pPr>
              <w:keepNext w:val="0"/>
              <w:keepLines w:val="0"/>
              <w:suppressLineNumbers w:val="0"/>
              <w:spacing w:before="0" w:beforeAutospacing="0" w:after="0" w:afterAutospacing="0" w:line="240" w:lineRule="auto"/>
              <w:ind w:left="0" w:right="0"/>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投标人的基本资格条件：投标人必须是在中华人民共和国境内注册登记的法人、其他组织或者自然人，且应当符合《政府采购法》第二十二条第一款的规定，即：</w:t>
            </w:r>
          </w:p>
          <w:p w14:paraId="6FFDD7B7">
            <w:pPr>
              <w:keepNext w:val="0"/>
              <w:keepLines w:val="0"/>
              <w:suppressLineNumbers w:val="0"/>
              <w:spacing w:before="0" w:beforeAutospacing="0" w:after="0" w:afterAutospacing="0" w:line="240" w:lineRule="auto"/>
              <w:ind w:left="0" w:right="0"/>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（1）具有独立承担民事责任的能力；</w:t>
            </w:r>
          </w:p>
          <w:p w14:paraId="191E660A">
            <w:pPr>
              <w:keepNext w:val="0"/>
              <w:keepLines w:val="0"/>
              <w:suppressLineNumbers w:val="0"/>
              <w:spacing w:before="0" w:beforeAutospacing="0" w:after="0" w:afterAutospacing="0" w:line="240" w:lineRule="auto"/>
              <w:ind w:left="0" w:right="0"/>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（2）具有良好的商业信誉和健全的财务会计制度；</w:t>
            </w:r>
          </w:p>
          <w:p w14:paraId="4CB4C94C">
            <w:pPr>
              <w:keepNext w:val="0"/>
              <w:keepLines w:val="0"/>
              <w:suppressLineNumbers w:val="0"/>
              <w:spacing w:before="0" w:beforeAutospacing="0" w:after="0" w:afterAutospacing="0" w:line="240" w:lineRule="auto"/>
              <w:ind w:left="0" w:right="0"/>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（3）具有履行合同所必需的设备和专业技术能力；</w:t>
            </w:r>
          </w:p>
          <w:p w14:paraId="6B6EA903">
            <w:pPr>
              <w:keepNext w:val="0"/>
              <w:keepLines w:val="0"/>
              <w:suppressLineNumbers w:val="0"/>
              <w:spacing w:before="0" w:beforeAutospacing="0" w:after="0" w:afterAutospacing="0" w:line="240" w:lineRule="auto"/>
              <w:ind w:left="0" w:right="0"/>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（4）有依法缴纳税收和社会保障资金的良好记录；</w:t>
            </w:r>
          </w:p>
          <w:p w14:paraId="5F8188BD">
            <w:pPr>
              <w:keepNext w:val="0"/>
              <w:keepLines w:val="0"/>
              <w:suppressLineNumbers w:val="0"/>
              <w:spacing w:before="0" w:beforeAutospacing="0" w:after="0" w:afterAutospacing="0" w:line="240" w:lineRule="auto"/>
              <w:ind w:left="0" w:right="0"/>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（5）参加政府采购活动前三年内，在经营活动中没有重大违法记录；</w:t>
            </w:r>
          </w:p>
          <w:p w14:paraId="7C3AE383">
            <w:pPr>
              <w:keepNext w:val="0"/>
              <w:keepLines w:val="0"/>
              <w:suppressLineNumbers w:val="0"/>
              <w:spacing w:before="0" w:beforeAutospacing="0" w:after="0" w:afterAutospacing="0" w:line="240" w:lineRule="auto"/>
              <w:ind w:left="0" w:right="0"/>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（6）法律、行政法规规定的其他条件。</w:t>
            </w:r>
          </w:p>
          <w:p w14:paraId="5CF6CBD1">
            <w:pPr>
              <w:keepNext w:val="0"/>
              <w:keepLines w:val="0"/>
              <w:suppressLineNumbers w:val="0"/>
              <w:spacing w:before="0" w:beforeAutospacing="0" w:after="0" w:afterAutospacing="0" w:line="240" w:lineRule="auto"/>
              <w:ind w:left="0" w:right="0"/>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zh-CN" w:eastAsia="zh-CN" w:bidi="ar"/>
              </w:rPr>
              <w:t>依据湖南省财政厅关于政府采购促进中小企业发展有关措施的通知（湘财购〔2022〕17 号），符合法定条件的供应商凭《湖南省政府采购供应商资格承诺函》（格式见附件）参与政府采购活动，无需提供财务状况、缴纳税收和社会保障资金等资格证明材料。</w:t>
            </w:r>
            <w:r>
              <w:rPr>
                <w:rFonts w:hint="eastAsia" w:ascii="宋体" w:hAnsi="宋体" w:eastAsia="宋体" w:cs="宋体"/>
                <w:i w:val="0"/>
                <w:iCs w:val="0"/>
                <w:caps w:val="0"/>
                <w:color w:val="000000"/>
                <w:spacing w:val="0"/>
                <w:kern w:val="0"/>
                <w:sz w:val="21"/>
                <w:szCs w:val="21"/>
                <w:lang w:val="en-US" w:eastAsia="zh-CN" w:bidi="ar"/>
              </w:rPr>
              <w:t>）</w:t>
            </w:r>
          </w:p>
        </w:tc>
        <w:tc>
          <w:tcPr>
            <w:tcW w:w="1268" w:type="dxa"/>
            <w:tcBorders>
              <w:left w:val="single" w:color="auto" w:sz="4" w:space="0"/>
              <w:right w:val="single" w:color="auto" w:sz="4" w:space="0"/>
            </w:tcBorders>
            <w:vAlign w:val="center"/>
          </w:tcPr>
          <w:p w14:paraId="35F14D6F">
            <w:pPr>
              <w:keepNext w:val="0"/>
              <w:keepLines w:val="0"/>
              <w:suppressLineNumbers w:val="0"/>
              <w:spacing w:before="0" w:beforeAutospacing="0" w:after="0" w:afterAutospacing="0"/>
              <w:ind w:left="0" w:right="0"/>
              <w:jc w:val="center"/>
              <w:rPr>
                <w:rFonts w:hint="default"/>
                <w:szCs w:val="21"/>
              </w:rPr>
            </w:pPr>
          </w:p>
        </w:tc>
        <w:tc>
          <w:tcPr>
            <w:tcW w:w="1153" w:type="dxa"/>
            <w:tcBorders>
              <w:left w:val="single" w:color="auto" w:sz="4" w:space="0"/>
              <w:right w:val="single" w:color="auto" w:sz="4" w:space="0"/>
            </w:tcBorders>
            <w:vAlign w:val="center"/>
          </w:tcPr>
          <w:p w14:paraId="73EEE0C7">
            <w:pPr>
              <w:keepNext w:val="0"/>
              <w:keepLines w:val="0"/>
              <w:suppressLineNumbers w:val="0"/>
              <w:spacing w:before="0" w:beforeAutospacing="0" w:after="0" w:afterAutospacing="0"/>
              <w:ind w:left="0" w:right="0"/>
              <w:jc w:val="center"/>
              <w:rPr>
                <w:rFonts w:hint="default"/>
                <w:szCs w:val="21"/>
              </w:rPr>
            </w:pPr>
          </w:p>
        </w:tc>
        <w:tc>
          <w:tcPr>
            <w:tcW w:w="1241" w:type="dxa"/>
            <w:tcBorders>
              <w:left w:val="single" w:color="auto" w:sz="4" w:space="0"/>
              <w:right w:val="single" w:color="auto" w:sz="4" w:space="0"/>
            </w:tcBorders>
            <w:vAlign w:val="center"/>
          </w:tcPr>
          <w:p w14:paraId="21E1E815">
            <w:pPr>
              <w:keepNext w:val="0"/>
              <w:keepLines w:val="0"/>
              <w:suppressLineNumbers w:val="0"/>
              <w:spacing w:before="0" w:beforeAutospacing="0" w:after="0" w:afterAutospacing="0"/>
              <w:ind w:left="0" w:right="0"/>
              <w:jc w:val="center"/>
              <w:rPr>
                <w:rFonts w:hint="default"/>
                <w:szCs w:val="21"/>
              </w:rPr>
            </w:pPr>
          </w:p>
        </w:tc>
      </w:tr>
      <w:tr w14:paraId="0662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40" w:type="dxa"/>
            <w:tcBorders>
              <w:top w:val="single" w:color="auto" w:sz="4" w:space="0"/>
              <w:left w:val="single" w:color="auto" w:sz="4" w:space="0"/>
              <w:bottom w:val="single" w:color="auto" w:sz="4" w:space="0"/>
              <w:right w:val="single" w:color="auto" w:sz="4" w:space="0"/>
            </w:tcBorders>
            <w:vAlign w:val="center"/>
          </w:tcPr>
          <w:p w14:paraId="341FC866">
            <w:pPr>
              <w:keepNext w:val="0"/>
              <w:keepLines w:val="0"/>
              <w:suppressLineNumbers w:val="0"/>
              <w:spacing w:before="0" w:beforeAutospacing="0" w:after="0" w:afterAutospacing="0"/>
              <w:ind w:left="0" w:right="0"/>
              <w:jc w:val="center"/>
              <w:rPr>
                <w:rFonts w:hint="eastAsia" w:ascii="宋体" w:hAnsi="宋体" w:eastAsia="宋体"/>
                <w:szCs w:val="21"/>
                <w:lang w:val="en-US" w:eastAsia="zh-CN"/>
              </w:rPr>
            </w:pPr>
            <w:r>
              <w:rPr>
                <w:rFonts w:hint="eastAsia" w:ascii="宋体" w:hAnsi="宋体"/>
                <w:szCs w:val="21"/>
                <w:lang w:val="en-US" w:eastAsia="zh-CN"/>
              </w:rPr>
              <w:t>2</w:t>
            </w:r>
          </w:p>
        </w:tc>
        <w:tc>
          <w:tcPr>
            <w:tcW w:w="5803" w:type="dxa"/>
            <w:tcBorders>
              <w:top w:val="single" w:color="auto" w:sz="4" w:space="0"/>
              <w:left w:val="single" w:color="auto" w:sz="4" w:space="0"/>
              <w:bottom w:val="single" w:color="auto" w:sz="4" w:space="0"/>
              <w:right w:val="single" w:color="auto" w:sz="4" w:space="0"/>
            </w:tcBorders>
            <w:vAlign w:val="center"/>
          </w:tcPr>
          <w:p w14:paraId="6262D2EA">
            <w:pPr>
              <w:keepNext w:val="0"/>
              <w:keepLines w:val="0"/>
              <w:suppressLineNumbers w:val="0"/>
              <w:spacing w:before="0" w:beforeAutospacing="0" w:after="0" w:afterAutospacing="0" w:line="240" w:lineRule="auto"/>
              <w:ind w:left="0" w:right="0"/>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落实政府采购政策需满足的资格要求：专门面向中小企业采购</w:t>
            </w:r>
          </w:p>
        </w:tc>
        <w:tc>
          <w:tcPr>
            <w:tcW w:w="1268" w:type="dxa"/>
            <w:tcBorders>
              <w:left w:val="single" w:color="auto" w:sz="4" w:space="0"/>
              <w:right w:val="single" w:color="auto" w:sz="4" w:space="0"/>
            </w:tcBorders>
            <w:vAlign w:val="center"/>
          </w:tcPr>
          <w:p w14:paraId="4BA4187A">
            <w:pPr>
              <w:keepNext w:val="0"/>
              <w:keepLines w:val="0"/>
              <w:suppressLineNumbers w:val="0"/>
              <w:spacing w:before="0" w:beforeAutospacing="0" w:after="0" w:afterAutospacing="0"/>
              <w:ind w:left="0" w:right="-246" w:rightChars="-117"/>
              <w:jc w:val="center"/>
              <w:rPr>
                <w:rFonts w:hint="default"/>
                <w:szCs w:val="21"/>
              </w:rPr>
            </w:pPr>
          </w:p>
        </w:tc>
        <w:tc>
          <w:tcPr>
            <w:tcW w:w="1153" w:type="dxa"/>
            <w:tcBorders>
              <w:left w:val="single" w:color="auto" w:sz="4" w:space="0"/>
              <w:right w:val="single" w:color="auto" w:sz="4" w:space="0"/>
            </w:tcBorders>
          </w:tcPr>
          <w:p w14:paraId="13890C72">
            <w:pPr>
              <w:keepNext w:val="0"/>
              <w:keepLines w:val="0"/>
              <w:suppressLineNumbers w:val="0"/>
              <w:spacing w:before="0" w:beforeAutospacing="0" w:after="0" w:afterAutospacing="0"/>
              <w:ind w:left="0" w:right="-246" w:rightChars="-117"/>
              <w:jc w:val="center"/>
              <w:rPr>
                <w:rFonts w:hint="default"/>
                <w:szCs w:val="21"/>
              </w:rPr>
            </w:pPr>
          </w:p>
        </w:tc>
        <w:tc>
          <w:tcPr>
            <w:tcW w:w="1241" w:type="dxa"/>
            <w:tcBorders>
              <w:left w:val="single" w:color="auto" w:sz="4" w:space="0"/>
              <w:right w:val="single" w:color="auto" w:sz="4" w:space="0"/>
            </w:tcBorders>
          </w:tcPr>
          <w:p w14:paraId="5DAB2F5E">
            <w:pPr>
              <w:keepNext w:val="0"/>
              <w:keepLines w:val="0"/>
              <w:suppressLineNumbers w:val="0"/>
              <w:spacing w:before="0" w:beforeAutospacing="0" w:after="0" w:afterAutospacing="0"/>
              <w:ind w:left="0" w:right="-246" w:rightChars="-117"/>
              <w:jc w:val="center"/>
              <w:rPr>
                <w:rFonts w:hint="default"/>
                <w:szCs w:val="21"/>
              </w:rPr>
            </w:pPr>
          </w:p>
        </w:tc>
      </w:tr>
      <w:tr w14:paraId="5206E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40" w:type="dxa"/>
            <w:tcBorders>
              <w:top w:val="single" w:color="auto" w:sz="4" w:space="0"/>
              <w:left w:val="single" w:color="auto" w:sz="4" w:space="0"/>
              <w:bottom w:val="single" w:color="auto" w:sz="4" w:space="0"/>
              <w:right w:val="single" w:color="auto" w:sz="4" w:space="0"/>
            </w:tcBorders>
            <w:vAlign w:val="center"/>
          </w:tcPr>
          <w:p w14:paraId="506B7468">
            <w:pPr>
              <w:keepNext w:val="0"/>
              <w:keepLines w:val="0"/>
              <w:suppressLineNumbers w:val="0"/>
              <w:spacing w:before="0" w:beforeAutospacing="0" w:after="0" w:afterAutospacing="0"/>
              <w:ind w:left="0" w:right="0"/>
              <w:jc w:val="center"/>
              <w:rPr>
                <w:rFonts w:hint="eastAsia" w:ascii="宋体" w:hAnsi="宋体" w:eastAsia="宋体"/>
                <w:szCs w:val="21"/>
                <w:lang w:val="en-US" w:eastAsia="zh-CN"/>
              </w:rPr>
            </w:pPr>
            <w:r>
              <w:rPr>
                <w:rFonts w:hint="eastAsia" w:ascii="宋体" w:hAnsi="宋体"/>
                <w:szCs w:val="21"/>
                <w:lang w:val="en-US" w:eastAsia="zh-CN"/>
              </w:rPr>
              <w:t>3</w:t>
            </w:r>
          </w:p>
        </w:tc>
        <w:tc>
          <w:tcPr>
            <w:tcW w:w="5803" w:type="dxa"/>
            <w:tcBorders>
              <w:top w:val="single" w:color="auto" w:sz="4" w:space="0"/>
              <w:left w:val="single" w:color="auto" w:sz="4" w:space="0"/>
              <w:bottom w:val="single" w:color="auto" w:sz="4" w:space="0"/>
              <w:right w:val="single" w:color="auto" w:sz="4" w:space="0"/>
            </w:tcBorders>
            <w:vAlign w:val="center"/>
          </w:tcPr>
          <w:p w14:paraId="12C93C4A">
            <w:pPr>
              <w:keepNext w:val="0"/>
              <w:keepLines w:val="0"/>
              <w:suppressLineNumbers w:val="0"/>
              <w:spacing w:before="0" w:beforeAutospacing="0" w:after="0" w:afterAutospacing="0" w:line="240" w:lineRule="auto"/>
              <w:ind w:left="0" w:right="0"/>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供应商特定资格条件：详见邀请公告</w:t>
            </w:r>
          </w:p>
        </w:tc>
        <w:tc>
          <w:tcPr>
            <w:tcW w:w="1268" w:type="dxa"/>
            <w:tcBorders>
              <w:left w:val="single" w:color="auto" w:sz="4" w:space="0"/>
              <w:right w:val="single" w:color="auto" w:sz="4" w:space="0"/>
            </w:tcBorders>
            <w:vAlign w:val="center"/>
          </w:tcPr>
          <w:p w14:paraId="30BB0738">
            <w:pPr>
              <w:keepNext w:val="0"/>
              <w:keepLines w:val="0"/>
              <w:suppressLineNumbers w:val="0"/>
              <w:spacing w:before="0" w:beforeAutospacing="0" w:after="0" w:afterAutospacing="0"/>
              <w:ind w:left="0" w:right="-246" w:rightChars="-117"/>
              <w:jc w:val="center"/>
              <w:rPr>
                <w:rFonts w:hint="default"/>
                <w:szCs w:val="21"/>
              </w:rPr>
            </w:pPr>
          </w:p>
        </w:tc>
        <w:tc>
          <w:tcPr>
            <w:tcW w:w="1153" w:type="dxa"/>
            <w:tcBorders>
              <w:left w:val="single" w:color="auto" w:sz="4" w:space="0"/>
              <w:right w:val="single" w:color="auto" w:sz="4" w:space="0"/>
            </w:tcBorders>
          </w:tcPr>
          <w:p w14:paraId="5F6D5918">
            <w:pPr>
              <w:keepNext w:val="0"/>
              <w:keepLines w:val="0"/>
              <w:suppressLineNumbers w:val="0"/>
              <w:spacing w:before="0" w:beforeAutospacing="0" w:after="0" w:afterAutospacing="0"/>
              <w:ind w:left="0" w:right="-246" w:rightChars="-117"/>
              <w:jc w:val="center"/>
              <w:rPr>
                <w:rFonts w:hint="default"/>
                <w:szCs w:val="21"/>
              </w:rPr>
            </w:pPr>
          </w:p>
        </w:tc>
        <w:tc>
          <w:tcPr>
            <w:tcW w:w="1241" w:type="dxa"/>
            <w:tcBorders>
              <w:left w:val="single" w:color="auto" w:sz="4" w:space="0"/>
              <w:right w:val="single" w:color="auto" w:sz="4" w:space="0"/>
            </w:tcBorders>
          </w:tcPr>
          <w:p w14:paraId="3EEB41C2">
            <w:pPr>
              <w:keepNext w:val="0"/>
              <w:keepLines w:val="0"/>
              <w:suppressLineNumbers w:val="0"/>
              <w:spacing w:before="0" w:beforeAutospacing="0" w:after="0" w:afterAutospacing="0"/>
              <w:ind w:left="0" w:right="-246" w:rightChars="-117"/>
              <w:jc w:val="center"/>
              <w:rPr>
                <w:rFonts w:hint="default"/>
                <w:szCs w:val="21"/>
              </w:rPr>
            </w:pPr>
          </w:p>
        </w:tc>
      </w:tr>
      <w:tr w14:paraId="5F989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40" w:type="dxa"/>
            <w:tcBorders>
              <w:top w:val="single" w:color="auto" w:sz="4" w:space="0"/>
              <w:left w:val="single" w:color="auto" w:sz="4" w:space="0"/>
              <w:bottom w:val="single" w:color="auto" w:sz="4" w:space="0"/>
              <w:right w:val="single" w:color="auto" w:sz="4" w:space="0"/>
            </w:tcBorders>
            <w:vAlign w:val="center"/>
          </w:tcPr>
          <w:p w14:paraId="3ACD1685">
            <w:pPr>
              <w:keepNext w:val="0"/>
              <w:keepLines w:val="0"/>
              <w:suppressLineNumbers w:val="0"/>
              <w:spacing w:before="0" w:beforeAutospacing="0" w:after="0" w:afterAutospacing="0"/>
              <w:ind w:left="0" w:right="0"/>
              <w:jc w:val="center"/>
              <w:rPr>
                <w:rFonts w:hint="eastAsia" w:ascii="宋体" w:hAnsi="宋体" w:eastAsia="宋体"/>
                <w:szCs w:val="21"/>
                <w:lang w:eastAsia="zh-CN"/>
              </w:rPr>
            </w:pPr>
            <w:r>
              <w:rPr>
                <w:rFonts w:hint="eastAsia" w:ascii="宋体" w:hAnsi="宋体"/>
                <w:szCs w:val="21"/>
                <w:lang w:val="en-US" w:eastAsia="zh-CN"/>
              </w:rPr>
              <w:t>4</w:t>
            </w:r>
          </w:p>
        </w:tc>
        <w:tc>
          <w:tcPr>
            <w:tcW w:w="5803" w:type="dxa"/>
            <w:tcBorders>
              <w:top w:val="single" w:color="auto" w:sz="4" w:space="0"/>
              <w:left w:val="single" w:color="auto" w:sz="4" w:space="0"/>
              <w:bottom w:val="single" w:color="auto" w:sz="4" w:space="0"/>
              <w:right w:val="single" w:color="auto" w:sz="4" w:space="0"/>
            </w:tcBorders>
            <w:vAlign w:val="center"/>
          </w:tcPr>
          <w:p w14:paraId="6501FBBB">
            <w:pPr>
              <w:keepNext w:val="0"/>
              <w:keepLines w:val="0"/>
              <w:suppressLineNumbers w:val="0"/>
              <w:spacing w:before="0" w:beforeAutospacing="0" w:after="0" w:afterAutospacing="0" w:line="240" w:lineRule="auto"/>
              <w:ind w:left="0" w:right="0"/>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单位负责人为同一人或者存在直接控股、管理关系的不同投标人，不得参加同一合同项下的政府采购活动。</w:t>
            </w:r>
          </w:p>
        </w:tc>
        <w:tc>
          <w:tcPr>
            <w:tcW w:w="1268" w:type="dxa"/>
            <w:tcBorders>
              <w:left w:val="single" w:color="auto" w:sz="4" w:space="0"/>
              <w:right w:val="single" w:color="auto" w:sz="4" w:space="0"/>
            </w:tcBorders>
            <w:vAlign w:val="center"/>
          </w:tcPr>
          <w:p w14:paraId="6A892BAF">
            <w:pPr>
              <w:keepNext w:val="0"/>
              <w:keepLines w:val="0"/>
              <w:suppressLineNumbers w:val="0"/>
              <w:spacing w:before="0" w:beforeAutospacing="0" w:after="0" w:afterAutospacing="0"/>
              <w:ind w:left="0" w:right="0"/>
              <w:rPr>
                <w:rFonts w:hint="default"/>
                <w:szCs w:val="21"/>
              </w:rPr>
            </w:pPr>
          </w:p>
        </w:tc>
        <w:tc>
          <w:tcPr>
            <w:tcW w:w="1153" w:type="dxa"/>
            <w:tcBorders>
              <w:left w:val="single" w:color="auto" w:sz="4" w:space="0"/>
              <w:right w:val="single" w:color="auto" w:sz="4" w:space="0"/>
            </w:tcBorders>
          </w:tcPr>
          <w:p w14:paraId="1201A13D">
            <w:pPr>
              <w:keepNext w:val="0"/>
              <w:keepLines w:val="0"/>
              <w:suppressLineNumbers w:val="0"/>
              <w:spacing w:before="0" w:beforeAutospacing="0" w:after="0" w:afterAutospacing="0"/>
              <w:ind w:left="0" w:right="0"/>
              <w:rPr>
                <w:rFonts w:hint="default"/>
                <w:szCs w:val="21"/>
              </w:rPr>
            </w:pPr>
          </w:p>
        </w:tc>
        <w:tc>
          <w:tcPr>
            <w:tcW w:w="1241" w:type="dxa"/>
            <w:tcBorders>
              <w:left w:val="single" w:color="auto" w:sz="4" w:space="0"/>
              <w:right w:val="single" w:color="auto" w:sz="4" w:space="0"/>
            </w:tcBorders>
          </w:tcPr>
          <w:p w14:paraId="0BD5AD83">
            <w:pPr>
              <w:keepNext w:val="0"/>
              <w:keepLines w:val="0"/>
              <w:suppressLineNumbers w:val="0"/>
              <w:spacing w:before="0" w:beforeAutospacing="0" w:after="0" w:afterAutospacing="0"/>
              <w:ind w:left="0" w:right="0"/>
              <w:rPr>
                <w:rFonts w:hint="default"/>
                <w:szCs w:val="21"/>
              </w:rPr>
            </w:pPr>
          </w:p>
        </w:tc>
      </w:tr>
      <w:tr w14:paraId="07C8B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40" w:type="dxa"/>
            <w:tcBorders>
              <w:top w:val="single" w:color="auto" w:sz="4" w:space="0"/>
              <w:left w:val="single" w:color="auto" w:sz="4" w:space="0"/>
              <w:bottom w:val="single" w:color="auto" w:sz="4" w:space="0"/>
              <w:right w:val="single" w:color="auto" w:sz="4" w:space="0"/>
            </w:tcBorders>
            <w:vAlign w:val="center"/>
          </w:tcPr>
          <w:p w14:paraId="593DD98F">
            <w:pPr>
              <w:keepNext w:val="0"/>
              <w:keepLines w:val="0"/>
              <w:suppressLineNumbers w:val="0"/>
              <w:spacing w:before="0" w:beforeAutospacing="0" w:after="0" w:afterAutospacing="0"/>
              <w:ind w:left="0" w:right="0"/>
              <w:jc w:val="center"/>
              <w:rPr>
                <w:rFonts w:hint="eastAsia" w:ascii="宋体" w:hAnsi="宋体" w:eastAsia="宋体"/>
                <w:szCs w:val="21"/>
                <w:lang w:eastAsia="zh-CN"/>
              </w:rPr>
            </w:pPr>
            <w:r>
              <w:rPr>
                <w:rFonts w:hint="eastAsia" w:ascii="宋体" w:hAnsi="宋体"/>
                <w:szCs w:val="21"/>
                <w:lang w:val="en-US" w:eastAsia="zh-CN"/>
              </w:rPr>
              <w:t>5</w:t>
            </w:r>
          </w:p>
        </w:tc>
        <w:tc>
          <w:tcPr>
            <w:tcW w:w="5803" w:type="dxa"/>
            <w:tcBorders>
              <w:top w:val="single" w:color="auto" w:sz="4" w:space="0"/>
              <w:left w:val="single" w:color="auto" w:sz="4" w:space="0"/>
              <w:bottom w:val="single" w:color="auto" w:sz="4" w:space="0"/>
              <w:right w:val="single" w:color="auto" w:sz="4" w:space="0"/>
            </w:tcBorders>
            <w:vAlign w:val="center"/>
          </w:tcPr>
          <w:p w14:paraId="4B98A92D">
            <w:pPr>
              <w:keepNext w:val="0"/>
              <w:keepLines w:val="0"/>
              <w:suppressLineNumbers w:val="0"/>
              <w:spacing w:before="0" w:beforeAutospacing="0" w:after="0" w:afterAutospacing="0" w:line="240" w:lineRule="auto"/>
              <w:ind w:left="0" w:right="0"/>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为本采购项目提供整体设计、规范编制或者项目管理、监理、检测等服务的，不得再参加此项目的其他采购活动。</w:t>
            </w:r>
          </w:p>
        </w:tc>
        <w:tc>
          <w:tcPr>
            <w:tcW w:w="1268" w:type="dxa"/>
            <w:tcBorders>
              <w:left w:val="single" w:color="auto" w:sz="4" w:space="0"/>
              <w:right w:val="single" w:color="auto" w:sz="4" w:space="0"/>
            </w:tcBorders>
            <w:vAlign w:val="center"/>
          </w:tcPr>
          <w:p w14:paraId="2F4DE9E2">
            <w:pPr>
              <w:keepNext w:val="0"/>
              <w:keepLines w:val="0"/>
              <w:suppressLineNumbers w:val="0"/>
              <w:spacing w:before="0" w:beforeAutospacing="0" w:after="0" w:afterAutospacing="0"/>
              <w:ind w:left="0" w:right="-246" w:rightChars="-117"/>
              <w:jc w:val="center"/>
              <w:rPr>
                <w:rFonts w:hint="default"/>
                <w:szCs w:val="21"/>
              </w:rPr>
            </w:pPr>
          </w:p>
        </w:tc>
        <w:tc>
          <w:tcPr>
            <w:tcW w:w="1153" w:type="dxa"/>
            <w:tcBorders>
              <w:left w:val="single" w:color="auto" w:sz="4" w:space="0"/>
              <w:right w:val="single" w:color="auto" w:sz="4" w:space="0"/>
            </w:tcBorders>
          </w:tcPr>
          <w:p w14:paraId="44A07A3C">
            <w:pPr>
              <w:keepNext w:val="0"/>
              <w:keepLines w:val="0"/>
              <w:suppressLineNumbers w:val="0"/>
              <w:spacing w:before="0" w:beforeAutospacing="0" w:after="0" w:afterAutospacing="0"/>
              <w:ind w:left="0" w:right="-246" w:rightChars="-117"/>
              <w:jc w:val="center"/>
              <w:rPr>
                <w:rFonts w:hint="default"/>
                <w:szCs w:val="21"/>
              </w:rPr>
            </w:pPr>
          </w:p>
        </w:tc>
        <w:tc>
          <w:tcPr>
            <w:tcW w:w="1241" w:type="dxa"/>
            <w:tcBorders>
              <w:left w:val="single" w:color="auto" w:sz="4" w:space="0"/>
              <w:right w:val="single" w:color="auto" w:sz="4" w:space="0"/>
            </w:tcBorders>
          </w:tcPr>
          <w:p w14:paraId="48D03F2A">
            <w:pPr>
              <w:keepNext w:val="0"/>
              <w:keepLines w:val="0"/>
              <w:suppressLineNumbers w:val="0"/>
              <w:spacing w:before="0" w:beforeAutospacing="0" w:after="0" w:afterAutospacing="0"/>
              <w:ind w:left="0" w:right="-246" w:rightChars="-117"/>
              <w:jc w:val="center"/>
              <w:rPr>
                <w:rFonts w:hint="default"/>
                <w:szCs w:val="21"/>
              </w:rPr>
            </w:pPr>
          </w:p>
        </w:tc>
      </w:tr>
      <w:tr w14:paraId="41DAA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40" w:type="dxa"/>
            <w:tcBorders>
              <w:top w:val="single" w:color="auto" w:sz="4" w:space="0"/>
              <w:left w:val="single" w:color="auto" w:sz="4" w:space="0"/>
              <w:bottom w:val="single" w:color="auto" w:sz="4" w:space="0"/>
              <w:right w:val="single" w:color="auto" w:sz="4" w:space="0"/>
            </w:tcBorders>
            <w:vAlign w:val="center"/>
          </w:tcPr>
          <w:p w14:paraId="6E95F5C1">
            <w:pPr>
              <w:keepNext w:val="0"/>
              <w:keepLines w:val="0"/>
              <w:suppressLineNumbers w:val="0"/>
              <w:spacing w:before="0" w:beforeAutospacing="0" w:after="0" w:afterAutospacing="0"/>
              <w:ind w:left="0" w:right="0"/>
              <w:jc w:val="center"/>
              <w:rPr>
                <w:rFonts w:hint="eastAsia" w:ascii="宋体" w:hAnsi="宋体" w:eastAsia="宋体"/>
                <w:szCs w:val="21"/>
                <w:lang w:eastAsia="zh-CN"/>
              </w:rPr>
            </w:pPr>
            <w:r>
              <w:rPr>
                <w:rFonts w:hint="eastAsia" w:ascii="宋体" w:hAnsi="宋体"/>
                <w:szCs w:val="21"/>
                <w:lang w:val="en-US" w:eastAsia="zh-CN"/>
              </w:rPr>
              <w:t>6</w:t>
            </w:r>
          </w:p>
        </w:tc>
        <w:tc>
          <w:tcPr>
            <w:tcW w:w="5803" w:type="dxa"/>
            <w:tcBorders>
              <w:top w:val="single" w:color="auto" w:sz="4" w:space="0"/>
              <w:left w:val="single" w:color="auto" w:sz="4" w:space="0"/>
              <w:bottom w:val="single" w:color="auto" w:sz="4" w:space="0"/>
              <w:right w:val="single" w:color="auto" w:sz="4" w:space="0"/>
            </w:tcBorders>
            <w:vAlign w:val="center"/>
          </w:tcPr>
          <w:p w14:paraId="538410C6">
            <w:pPr>
              <w:keepNext w:val="0"/>
              <w:keepLines w:val="0"/>
              <w:suppressLineNumbers w:val="0"/>
              <w:spacing w:before="0" w:beforeAutospacing="0" w:after="0" w:afterAutospacing="0" w:line="240" w:lineRule="auto"/>
              <w:ind w:left="0" w:right="0"/>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列入失信被执行人、重大税收违法失信主体名单、政府采购严重违法失信行为记录名单的，拒绝其参与政府采购活动。</w:t>
            </w:r>
          </w:p>
        </w:tc>
        <w:tc>
          <w:tcPr>
            <w:tcW w:w="1268" w:type="dxa"/>
            <w:tcBorders>
              <w:left w:val="single" w:color="auto" w:sz="4" w:space="0"/>
              <w:right w:val="single" w:color="auto" w:sz="4" w:space="0"/>
            </w:tcBorders>
            <w:vAlign w:val="center"/>
          </w:tcPr>
          <w:p w14:paraId="4B1599F9">
            <w:pPr>
              <w:keepNext w:val="0"/>
              <w:keepLines w:val="0"/>
              <w:suppressLineNumbers w:val="0"/>
              <w:spacing w:before="0" w:beforeAutospacing="0" w:after="0" w:afterAutospacing="0"/>
              <w:ind w:left="0" w:right="-246" w:rightChars="-117"/>
              <w:jc w:val="center"/>
              <w:rPr>
                <w:rFonts w:hint="default"/>
                <w:szCs w:val="21"/>
              </w:rPr>
            </w:pPr>
          </w:p>
        </w:tc>
        <w:tc>
          <w:tcPr>
            <w:tcW w:w="1153" w:type="dxa"/>
            <w:tcBorders>
              <w:left w:val="single" w:color="auto" w:sz="4" w:space="0"/>
              <w:right w:val="single" w:color="auto" w:sz="4" w:space="0"/>
            </w:tcBorders>
          </w:tcPr>
          <w:p w14:paraId="7D894748">
            <w:pPr>
              <w:keepNext w:val="0"/>
              <w:keepLines w:val="0"/>
              <w:suppressLineNumbers w:val="0"/>
              <w:spacing w:before="0" w:beforeAutospacing="0" w:after="0" w:afterAutospacing="0"/>
              <w:ind w:left="0" w:right="-246" w:rightChars="-117"/>
              <w:jc w:val="center"/>
              <w:rPr>
                <w:rFonts w:hint="default"/>
                <w:szCs w:val="21"/>
              </w:rPr>
            </w:pPr>
          </w:p>
        </w:tc>
        <w:tc>
          <w:tcPr>
            <w:tcW w:w="1241" w:type="dxa"/>
            <w:tcBorders>
              <w:left w:val="single" w:color="auto" w:sz="4" w:space="0"/>
              <w:right w:val="single" w:color="auto" w:sz="4" w:space="0"/>
            </w:tcBorders>
          </w:tcPr>
          <w:p w14:paraId="02425490">
            <w:pPr>
              <w:keepNext w:val="0"/>
              <w:keepLines w:val="0"/>
              <w:suppressLineNumbers w:val="0"/>
              <w:spacing w:before="0" w:beforeAutospacing="0" w:after="0" w:afterAutospacing="0"/>
              <w:ind w:left="0" w:right="-246" w:rightChars="-117"/>
              <w:jc w:val="center"/>
              <w:rPr>
                <w:rFonts w:hint="default"/>
                <w:szCs w:val="21"/>
              </w:rPr>
            </w:pPr>
          </w:p>
        </w:tc>
      </w:tr>
      <w:tr w14:paraId="4FB6C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40" w:type="dxa"/>
            <w:tcBorders>
              <w:top w:val="single" w:color="auto" w:sz="4" w:space="0"/>
              <w:left w:val="single" w:color="auto" w:sz="4" w:space="0"/>
              <w:bottom w:val="single" w:color="auto" w:sz="4" w:space="0"/>
              <w:right w:val="single" w:color="auto" w:sz="4" w:space="0"/>
            </w:tcBorders>
            <w:vAlign w:val="center"/>
          </w:tcPr>
          <w:p w14:paraId="6541E207">
            <w:pPr>
              <w:keepNext w:val="0"/>
              <w:keepLines w:val="0"/>
              <w:suppressLineNumbers w:val="0"/>
              <w:spacing w:before="0" w:beforeAutospacing="0" w:after="0" w:afterAutospacing="0"/>
              <w:ind w:left="0" w:right="0"/>
              <w:jc w:val="center"/>
              <w:rPr>
                <w:rFonts w:hint="eastAsia" w:ascii="宋体" w:hAnsi="宋体" w:eastAsia="宋体"/>
                <w:szCs w:val="21"/>
                <w:lang w:eastAsia="zh-CN"/>
              </w:rPr>
            </w:pPr>
            <w:r>
              <w:rPr>
                <w:rFonts w:hint="eastAsia" w:ascii="宋体" w:hAnsi="宋体"/>
                <w:szCs w:val="21"/>
                <w:lang w:val="en-US" w:eastAsia="zh-CN"/>
              </w:rPr>
              <w:t>7</w:t>
            </w:r>
          </w:p>
        </w:tc>
        <w:tc>
          <w:tcPr>
            <w:tcW w:w="5803" w:type="dxa"/>
            <w:tcBorders>
              <w:top w:val="single" w:color="auto" w:sz="4" w:space="0"/>
              <w:left w:val="single" w:color="auto" w:sz="4" w:space="0"/>
              <w:bottom w:val="single" w:color="auto" w:sz="4" w:space="0"/>
              <w:right w:val="single" w:color="auto" w:sz="4" w:space="0"/>
            </w:tcBorders>
            <w:vAlign w:val="center"/>
          </w:tcPr>
          <w:p w14:paraId="3108BC32">
            <w:pPr>
              <w:keepNext w:val="0"/>
              <w:keepLines w:val="0"/>
              <w:suppressLineNumbers w:val="0"/>
              <w:spacing w:before="0" w:beforeAutospacing="0" w:after="0" w:afterAutospacing="0" w:line="240" w:lineRule="auto"/>
              <w:ind w:left="0" w:right="0"/>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联合体投标。本次招标不接受联合体投标。</w:t>
            </w:r>
          </w:p>
        </w:tc>
        <w:tc>
          <w:tcPr>
            <w:tcW w:w="1268" w:type="dxa"/>
            <w:tcBorders>
              <w:left w:val="single" w:color="auto" w:sz="4" w:space="0"/>
              <w:right w:val="single" w:color="auto" w:sz="4" w:space="0"/>
            </w:tcBorders>
            <w:vAlign w:val="center"/>
          </w:tcPr>
          <w:p w14:paraId="0C9E171F">
            <w:pPr>
              <w:keepNext w:val="0"/>
              <w:keepLines w:val="0"/>
              <w:suppressLineNumbers w:val="0"/>
              <w:spacing w:before="0" w:beforeAutospacing="0" w:after="0" w:afterAutospacing="0"/>
              <w:ind w:left="0" w:right="-246" w:rightChars="-117"/>
              <w:jc w:val="center"/>
              <w:rPr>
                <w:rFonts w:hint="default"/>
                <w:szCs w:val="21"/>
              </w:rPr>
            </w:pPr>
          </w:p>
        </w:tc>
        <w:tc>
          <w:tcPr>
            <w:tcW w:w="1153" w:type="dxa"/>
            <w:tcBorders>
              <w:left w:val="single" w:color="auto" w:sz="4" w:space="0"/>
              <w:right w:val="single" w:color="auto" w:sz="4" w:space="0"/>
            </w:tcBorders>
          </w:tcPr>
          <w:p w14:paraId="64C17E2B">
            <w:pPr>
              <w:keepNext w:val="0"/>
              <w:keepLines w:val="0"/>
              <w:suppressLineNumbers w:val="0"/>
              <w:spacing w:before="0" w:beforeAutospacing="0" w:after="0" w:afterAutospacing="0"/>
              <w:ind w:left="0" w:right="-246" w:rightChars="-117"/>
              <w:jc w:val="center"/>
              <w:rPr>
                <w:rFonts w:hint="default"/>
                <w:szCs w:val="21"/>
              </w:rPr>
            </w:pPr>
          </w:p>
        </w:tc>
        <w:tc>
          <w:tcPr>
            <w:tcW w:w="1241" w:type="dxa"/>
            <w:tcBorders>
              <w:left w:val="single" w:color="auto" w:sz="4" w:space="0"/>
              <w:right w:val="single" w:color="auto" w:sz="4" w:space="0"/>
            </w:tcBorders>
          </w:tcPr>
          <w:p w14:paraId="75B74B36">
            <w:pPr>
              <w:keepNext w:val="0"/>
              <w:keepLines w:val="0"/>
              <w:suppressLineNumbers w:val="0"/>
              <w:spacing w:before="0" w:beforeAutospacing="0" w:after="0" w:afterAutospacing="0"/>
              <w:ind w:left="0" w:right="-246" w:rightChars="-117"/>
              <w:jc w:val="center"/>
              <w:rPr>
                <w:rFonts w:hint="default"/>
                <w:szCs w:val="21"/>
              </w:rPr>
            </w:pPr>
          </w:p>
        </w:tc>
      </w:tr>
      <w:tr w14:paraId="0FBA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343" w:type="dxa"/>
            <w:gridSpan w:val="2"/>
            <w:tcBorders>
              <w:top w:val="single" w:color="auto" w:sz="4" w:space="0"/>
              <w:left w:val="single" w:color="auto" w:sz="4" w:space="0"/>
              <w:bottom w:val="single" w:color="auto" w:sz="4" w:space="0"/>
              <w:right w:val="single" w:color="auto" w:sz="4" w:space="0"/>
            </w:tcBorders>
            <w:vAlign w:val="center"/>
          </w:tcPr>
          <w:p w14:paraId="47331AD4">
            <w:pPr>
              <w:keepNext w:val="0"/>
              <w:keepLines w:val="0"/>
              <w:suppressLineNumbers w:val="0"/>
              <w:spacing w:before="0" w:beforeAutospacing="0" w:after="0" w:afterAutospacing="0"/>
              <w:ind w:left="0" w:right="0"/>
              <w:jc w:val="center"/>
              <w:rPr>
                <w:rFonts w:hint="default"/>
                <w:szCs w:val="21"/>
              </w:rPr>
            </w:pPr>
            <w:r>
              <w:rPr>
                <w:rFonts w:hint="eastAsia" w:ascii="宋体" w:hAnsi="宋体"/>
                <w:b/>
                <w:bCs/>
                <w:szCs w:val="21"/>
              </w:rPr>
              <w:t>评审结论（合格或不合格）</w:t>
            </w:r>
          </w:p>
        </w:tc>
        <w:tc>
          <w:tcPr>
            <w:tcW w:w="1268" w:type="dxa"/>
            <w:tcBorders>
              <w:left w:val="single" w:color="auto" w:sz="4" w:space="0"/>
              <w:right w:val="single" w:color="auto" w:sz="4" w:space="0"/>
            </w:tcBorders>
            <w:vAlign w:val="center"/>
          </w:tcPr>
          <w:p w14:paraId="73B607DC">
            <w:pPr>
              <w:keepNext w:val="0"/>
              <w:keepLines w:val="0"/>
              <w:suppressLineNumbers w:val="0"/>
              <w:spacing w:before="0" w:beforeAutospacing="0" w:after="0" w:afterAutospacing="0"/>
              <w:ind w:left="0" w:right="-246" w:rightChars="-117"/>
              <w:jc w:val="center"/>
              <w:rPr>
                <w:rFonts w:hint="default"/>
                <w:szCs w:val="21"/>
              </w:rPr>
            </w:pPr>
          </w:p>
        </w:tc>
        <w:tc>
          <w:tcPr>
            <w:tcW w:w="1153" w:type="dxa"/>
            <w:tcBorders>
              <w:left w:val="single" w:color="auto" w:sz="4" w:space="0"/>
              <w:right w:val="single" w:color="auto" w:sz="4" w:space="0"/>
            </w:tcBorders>
          </w:tcPr>
          <w:p w14:paraId="4D5B4C6A">
            <w:pPr>
              <w:keepNext w:val="0"/>
              <w:keepLines w:val="0"/>
              <w:suppressLineNumbers w:val="0"/>
              <w:spacing w:before="0" w:beforeAutospacing="0" w:after="0" w:afterAutospacing="0"/>
              <w:ind w:left="0" w:right="-246" w:rightChars="-117"/>
              <w:jc w:val="center"/>
              <w:rPr>
                <w:rFonts w:hint="default"/>
                <w:szCs w:val="21"/>
              </w:rPr>
            </w:pPr>
          </w:p>
        </w:tc>
        <w:tc>
          <w:tcPr>
            <w:tcW w:w="1241" w:type="dxa"/>
            <w:tcBorders>
              <w:left w:val="single" w:color="auto" w:sz="4" w:space="0"/>
              <w:right w:val="single" w:color="auto" w:sz="4" w:space="0"/>
            </w:tcBorders>
          </w:tcPr>
          <w:p w14:paraId="5742525F">
            <w:pPr>
              <w:keepNext w:val="0"/>
              <w:keepLines w:val="0"/>
              <w:suppressLineNumbers w:val="0"/>
              <w:spacing w:before="0" w:beforeAutospacing="0" w:after="0" w:afterAutospacing="0"/>
              <w:ind w:left="0" w:right="-246" w:rightChars="-117"/>
              <w:jc w:val="center"/>
              <w:rPr>
                <w:rFonts w:hint="default"/>
                <w:szCs w:val="21"/>
              </w:rPr>
            </w:pPr>
          </w:p>
        </w:tc>
      </w:tr>
    </w:tbl>
    <w:p w14:paraId="2FB70839"/>
    <w:p w14:paraId="2C1529DB">
      <w:pPr>
        <w:rPr>
          <w:rFonts w:ascii="宋体" w:cs="宋体"/>
          <w:b/>
          <w:bCs/>
          <w:kern w:val="0"/>
          <w:sz w:val="30"/>
          <w:szCs w:val="30"/>
        </w:rPr>
      </w:pPr>
      <w:r>
        <w:rPr>
          <w:rFonts w:hint="eastAsia"/>
        </w:rPr>
        <w:t>备注：</w:t>
      </w:r>
      <w:r>
        <w:rPr>
          <w:rFonts w:hint="eastAsia" w:ascii="宋体" w:hAnsi="宋体" w:cs="宋体"/>
          <w:szCs w:val="21"/>
          <w:shd w:val="clear" w:color="auto" w:fill="FFFFFF"/>
        </w:rPr>
        <w:t>投标人具有实行了“三证合一”登记制度改革的新证，视同为持有工商营业执照、组织机构代码证和税务登记证，符合基本资格条件的相关条款；投标人具有实行了“五证合一”等级制度改革的新政，视同持有工商营业执照、组织机构代码证、税务登记证、社会保险登记证和统计登记证，符合基本资格条件的相关条款。</w:t>
      </w:r>
      <w:r>
        <w:rPr>
          <w:rFonts w:hint="eastAsia"/>
        </w:rPr>
        <w:t>营业执照为“三证合一”或“五证合一”的请自行说明。</w:t>
      </w:r>
    </w:p>
    <w:p w14:paraId="29DDF256">
      <w:pPr>
        <w:rPr>
          <w:rFonts w:hint="eastAsia" w:ascii="宋体" w:cs="宋体"/>
          <w:b/>
          <w:bCs/>
          <w:kern w:val="0"/>
          <w:sz w:val="22"/>
          <w:szCs w:val="22"/>
        </w:rPr>
      </w:pPr>
      <w:r>
        <w:rPr>
          <w:rFonts w:hint="eastAsia" w:ascii="宋体" w:cs="宋体"/>
          <w:b/>
          <w:bCs/>
          <w:kern w:val="0"/>
          <w:sz w:val="22"/>
          <w:szCs w:val="22"/>
        </w:rPr>
        <w:br w:type="page"/>
      </w:r>
    </w:p>
    <w:p w14:paraId="278C820B">
      <w:pPr>
        <w:rPr>
          <w:rFonts w:ascii="宋体" w:cs="宋体"/>
          <w:b/>
          <w:bCs/>
          <w:kern w:val="0"/>
          <w:sz w:val="22"/>
          <w:szCs w:val="22"/>
        </w:rPr>
      </w:pPr>
      <w:r>
        <w:rPr>
          <w:rFonts w:hint="eastAsia" w:ascii="宋体" w:cs="宋体"/>
          <w:b/>
          <w:bCs/>
          <w:kern w:val="0"/>
          <w:sz w:val="22"/>
          <w:szCs w:val="22"/>
        </w:rPr>
        <w:t>附表2</w:t>
      </w:r>
    </w:p>
    <w:p w14:paraId="1BDC296F">
      <w:pPr>
        <w:jc w:val="center"/>
        <w:rPr>
          <w:rFonts w:ascii="宋体" w:cs="宋体"/>
          <w:b/>
          <w:bCs/>
          <w:kern w:val="0"/>
          <w:sz w:val="28"/>
          <w:szCs w:val="28"/>
        </w:rPr>
      </w:pPr>
      <w:r>
        <w:rPr>
          <w:rFonts w:hint="eastAsia" w:ascii="宋体" w:cs="宋体"/>
          <w:b/>
          <w:bCs/>
          <w:kern w:val="0"/>
          <w:sz w:val="24"/>
        </w:rPr>
        <w:t>符合性评审表</w:t>
      </w:r>
    </w:p>
    <w:tbl>
      <w:tblPr>
        <w:tblStyle w:val="46"/>
        <w:tblW w:w="0" w:type="auto"/>
        <w:tblInd w:w="0"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410"/>
        <w:gridCol w:w="2268"/>
        <w:gridCol w:w="3565"/>
      </w:tblGrid>
      <w:tr w14:paraId="7FD4E2D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817" w:type="dxa"/>
            <w:tcBorders>
              <w:tl2br w:val="nil"/>
              <w:tr2bl w:val="nil"/>
            </w:tcBorders>
          </w:tcPr>
          <w:p w14:paraId="35683F1A">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b/>
                <w:szCs w:val="21"/>
              </w:rPr>
            </w:pPr>
            <w:r>
              <w:rPr>
                <w:rFonts w:hint="eastAsia" w:ascii="宋体" w:hAnsi="宋体" w:cs="宋体"/>
                <w:b/>
                <w:kern w:val="0"/>
                <w:szCs w:val="21"/>
              </w:rPr>
              <w:t>序号</w:t>
            </w:r>
          </w:p>
        </w:tc>
        <w:tc>
          <w:tcPr>
            <w:tcW w:w="4678" w:type="dxa"/>
            <w:gridSpan w:val="2"/>
            <w:tcBorders>
              <w:tl2br w:val="nil"/>
              <w:tr2bl w:val="nil"/>
            </w:tcBorders>
          </w:tcPr>
          <w:p w14:paraId="43006452">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b/>
                <w:szCs w:val="21"/>
              </w:rPr>
            </w:pPr>
            <w:r>
              <w:rPr>
                <w:rFonts w:hint="eastAsia" w:ascii="宋体" w:hAnsi="宋体"/>
                <w:b/>
                <w:szCs w:val="21"/>
              </w:rPr>
              <w:t>审查项目</w:t>
            </w:r>
          </w:p>
        </w:tc>
        <w:tc>
          <w:tcPr>
            <w:tcW w:w="3565" w:type="dxa"/>
            <w:tcBorders>
              <w:tl2br w:val="nil"/>
              <w:tr2bl w:val="nil"/>
            </w:tcBorders>
          </w:tcPr>
          <w:p w14:paraId="00984BA8">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b/>
                <w:szCs w:val="21"/>
              </w:rPr>
            </w:pPr>
            <w:r>
              <w:rPr>
                <w:rFonts w:hint="eastAsia" w:ascii="宋体" w:hAnsi="宋体"/>
                <w:b/>
                <w:szCs w:val="21"/>
              </w:rPr>
              <w:t>审查标准</w:t>
            </w:r>
          </w:p>
        </w:tc>
      </w:tr>
      <w:tr w14:paraId="59279D2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817" w:type="dxa"/>
            <w:tcBorders>
              <w:tl2br w:val="nil"/>
              <w:tr2bl w:val="nil"/>
            </w:tcBorders>
            <w:vAlign w:val="center"/>
          </w:tcPr>
          <w:p w14:paraId="6FA9EB10">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w:t>
            </w:r>
          </w:p>
        </w:tc>
        <w:tc>
          <w:tcPr>
            <w:tcW w:w="4678" w:type="dxa"/>
            <w:gridSpan w:val="2"/>
            <w:tcBorders>
              <w:tl2br w:val="nil"/>
              <w:tr2bl w:val="nil"/>
            </w:tcBorders>
            <w:vAlign w:val="center"/>
          </w:tcPr>
          <w:p w14:paraId="0EB8B172">
            <w:pPr>
              <w:keepNext w:val="0"/>
              <w:keepLines w:val="0"/>
              <w:suppressLineNumbers w:val="0"/>
              <w:adjustRightInd w:val="0"/>
              <w:snapToGrid w:val="0"/>
              <w:spacing w:before="0" w:beforeAutospacing="0" w:after="0" w:afterAutospacing="0" w:line="360" w:lineRule="auto"/>
              <w:ind w:left="0" w:right="0"/>
              <w:jc w:val="both"/>
              <w:rPr>
                <w:rFonts w:hint="default" w:ascii="宋体" w:hAnsi="宋体"/>
                <w:szCs w:val="21"/>
              </w:rPr>
            </w:pPr>
            <w:r>
              <w:rPr>
                <w:rFonts w:hint="eastAsia" w:ascii="宋体" w:hAnsi="宋体"/>
                <w:szCs w:val="21"/>
              </w:rPr>
              <w:t>响应文件的签署、盖章</w:t>
            </w:r>
          </w:p>
        </w:tc>
        <w:tc>
          <w:tcPr>
            <w:tcW w:w="3565" w:type="dxa"/>
            <w:tcBorders>
              <w:tl2br w:val="nil"/>
              <w:tr2bl w:val="nil"/>
            </w:tcBorders>
            <w:vAlign w:val="center"/>
          </w:tcPr>
          <w:p w14:paraId="3BA2611D">
            <w:pPr>
              <w:keepNext w:val="0"/>
              <w:keepLines w:val="0"/>
              <w:suppressLineNumbers w:val="0"/>
              <w:adjustRightInd w:val="0"/>
              <w:snapToGrid w:val="0"/>
              <w:spacing w:before="0" w:beforeAutospacing="0" w:after="0" w:afterAutospacing="0" w:line="360" w:lineRule="auto"/>
              <w:ind w:left="0" w:right="0"/>
              <w:jc w:val="both"/>
              <w:rPr>
                <w:rFonts w:hint="default" w:ascii="宋体" w:hAnsi="宋体"/>
                <w:szCs w:val="21"/>
              </w:rPr>
            </w:pPr>
            <w:r>
              <w:rPr>
                <w:rFonts w:hint="eastAsia" w:ascii="Calibri" w:hAnsi="Calibri"/>
              </w:rPr>
              <w:t>响应文件</w:t>
            </w:r>
            <w:r>
              <w:rPr>
                <w:rFonts w:hint="eastAsia" w:ascii="宋体" w:hAnsi="宋体"/>
                <w:szCs w:val="21"/>
              </w:rPr>
              <w:t>的签署、盖章</w:t>
            </w:r>
            <w:r>
              <w:rPr>
                <w:rFonts w:hint="eastAsia" w:ascii="Calibri" w:hAnsi="Calibri"/>
              </w:rPr>
              <w:t>满足磋商文件要求</w:t>
            </w:r>
          </w:p>
        </w:tc>
      </w:tr>
      <w:tr w14:paraId="0732545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817" w:type="dxa"/>
            <w:tcBorders>
              <w:tl2br w:val="nil"/>
              <w:tr2bl w:val="nil"/>
            </w:tcBorders>
            <w:vAlign w:val="center"/>
          </w:tcPr>
          <w:p w14:paraId="15F05711">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2</w:t>
            </w:r>
          </w:p>
        </w:tc>
        <w:tc>
          <w:tcPr>
            <w:tcW w:w="4678" w:type="dxa"/>
            <w:gridSpan w:val="2"/>
            <w:tcBorders>
              <w:tl2br w:val="nil"/>
              <w:tr2bl w:val="nil"/>
            </w:tcBorders>
            <w:vAlign w:val="center"/>
          </w:tcPr>
          <w:p w14:paraId="70C44BFB">
            <w:pPr>
              <w:keepNext w:val="0"/>
              <w:keepLines w:val="0"/>
              <w:suppressLineNumbers w:val="0"/>
              <w:adjustRightInd w:val="0"/>
              <w:snapToGrid w:val="0"/>
              <w:spacing w:before="0" w:beforeAutospacing="0" w:after="0" w:afterAutospacing="0" w:line="360" w:lineRule="auto"/>
              <w:ind w:left="0" w:right="0"/>
              <w:jc w:val="both"/>
              <w:rPr>
                <w:rFonts w:hint="default" w:ascii="Calibri" w:hAnsi="Calibri"/>
              </w:rPr>
            </w:pPr>
            <w:r>
              <w:rPr>
                <w:rFonts w:hint="eastAsia" w:ascii="Calibri" w:hAnsi="Calibri"/>
              </w:rPr>
              <w:t>响应文件有效期</w:t>
            </w:r>
          </w:p>
        </w:tc>
        <w:tc>
          <w:tcPr>
            <w:tcW w:w="3565" w:type="dxa"/>
            <w:tcBorders>
              <w:tl2br w:val="nil"/>
              <w:tr2bl w:val="nil"/>
            </w:tcBorders>
            <w:vAlign w:val="center"/>
          </w:tcPr>
          <w:p w14:paraId="76F58B08">
            <w:pPr>
              <w:keepNext w:val="0"/>
              <w:keepLines w:val="0"/>
              <w:suppressLineNumbers w:val="0"/>
              <w:adjustRightInd w:val="0"/>
              <w:snapToGrid w:val="0"/>
              <w:spacing w:before="0" w:beforeAutospacing="0" w:after="0" w:afterAutospacing="0" w:line="360" w:lineRule="auto"/>
              <w:ind w:left="0" w:right="0"/>
              <w:jc w:val="both"/>
              <w:rPr>
                <w:rFonts w:hint="default" w:ascii="Calibri" w:hAnsi="Calibri"/>
              </w:rPr>
            </w:pPr>
            <w:r>
              <w:rPr>
                <w:rFonts w:hint="eastAsia" w:ascii="Calibri" w:hAnsi="Calibri"/>
              </w:rPr>
              <w:t>响应文件有效期满足磋商文件要求。</w:t>
            </w:r>
          </w:p>
        </w:tc>
      </w:tr>
      <w:tr w14:paraId="5EF1F3D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817" w:type="dxa"/>
            <w:tcBorders>
              <w:tl2br w:val="nil"/>
              <w:tr2bl w:val="nil"/>
            </w:tcBorders>
            <w:vAlign w:val="center"/>
          </w:tcPr>
          <w:p w14:paraId="71B79306">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3</w:t>
            </w:r>
          </w:p>
        </w:tc>
        <w:tc>
          <w:tcPr>
            <w:tcW w:w="4678" w:type="dxa"/>
            <w:gridSpan w:val="2"/>
            <w:tcBorders>
              <w:tl2br w:val="nil"/>
              <w:tr2bl w:val="nil"/>
            </w:tcBorders>
            <w:vAlign w:val="center"/>
          </w:tcPr>
          <w:p w14:paraId="43135483">
            <w:pPr>
              <w:keepNext w:val="0"/>
              <w:keepLines w:val="0"/>
              <w:suppressLineNumbers w:val="0"/>
              <w:adjustRightInd w:val="0"/>
              <w:snapToGrid w:val="0"/>
              <w:spacing w:before="0" w:beforeAutospacing="0" w:after="0" w:afterAutospacing="0" w:line="360" w:lineRule="auto"/>
              <w:ind w:left="0" w:right="0"/>
              <w:jc w:val="both"/>
              <w:rPr>
                <w:rFonts w:hint="default" w:ascii="宋体" w:hAnsi="宋体"/>
                <w:szCs w:val="21"/>
              </w:rPr>
            </w:pPr>
            <w:r>
              <w:rPr>
                <w:rFonts w:hint="eastAsia" w:ascii="宋体" w:hAnsi="宋体"/>
                <w:szCs w:val="21"/>
              </w:rPr>
              <w:t>磋商报价</w:t>
            </w:r>
          </w:p>
        </w:tc>
        <w:tc>
          <w:tcPr>
            <w:tcW w:w="3565" w:type="dxa"/>
            <w:tcBorders>
              <w:tl2br w:val="nil"/>
              <w:tr2bl w:val="nil"/>
            </w:tcBorders>
            <w:vAlign w:val="center"/>
          </w:tcPr>
          <w:p w14:paraId="3745AA1E">
            <w:pPr>
              <w:keepNext w:val="0"/>
              <w:keepLines w:val="0"/>
              <w:suppressLineNumbers w:val="0"/>
              <w:adjustRightInd w:val="0"/>
              <w:snapToGrid w:val="0"/>
              <w:spacing w:before="0" w:beforeAutospacing="0" w:after="0" w:afterAutospacing="0" w:line="360" w:lineRule="auto"/>
              <w:ind w:left="0" w:right="0"/>
              <w:jc w:val="both"/>
              <w:rPr>
                <w:rFonts w:hint="default" w:ascii="宋体" w:hAnsi="宋体"/>
                <w:szCs w:val="21"/>
              </w:rPr>
            </w:pPr>
            <w:r>
              <w:rPr>
                <w:rFonts w:hint="eastAsia" w:ascii="宋体" w:hAnsi="宋体"/>
                <w:szCs w:val="21"/>
              </w:rPr>
              <w:t>磋商报价总价未超过预算金额（磋商文件有最高限价的，报价未超过最高限价</w:t>
            </w:r>
            <w:r>
              <w:rPr>
                <w:rFonts w:hint="default" w:ascii="宋体" w:hAnsi="宋体"/>
                <w:szCs w:val="21"/>
              </w:rPr>
              <w:t>）</w:t>
            </w:r>
            <w:r>
              <w:rPr>
                <w:rFonts w:hint="eastAsia" w:ascii="宋体" w:hAnsi="宋体"/>
                <w:szCs w:val="21"/>
              </w:rPr>
              <w:t>。</w:t>
            </w:r>
          </w:p>
        </w:tc>
      </w:tr>
      <w:tr w14:paraId="3CA664B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17" w:type="dxa"/>
            <w:vMerge w:val="restart"/>
            <w:tcBorders>
              <w:tl2br w:val="nil"/>
              <w:tr2bl w:val="nil"/>
            </w:tcBorders>
            <w:vAlign w:val="center"/>
          </w:tcPr>
          <w:p w14:paraId="1879FCE2">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4</w:t>
            </w:r>
          </w:p>
        </w:tc>
        <w:tc>
          <w:tcPr>
            <w:tcW w:w="2410" w:type="dxa"/>
            <w:vMerge w:val="restart"/>
            <w:tcBorders>
              <w:tl2br w:val="nil"/>
              <w:tr2bl w:val="nil"/>
            </w:tcBorders>
            <w:vAlign w:val="center"/>
          </w:tcPr>
          <w:p w14:paraId="7399523E">
            <w:pPr>
              <w:keepNext w:val="0"/>
              <w:keepLines w:val="0"/>
              <w:suppressLineNumbers w:val="0"/>
              <w:adjustRightInd w:val="0"/>
              <w:snapToGrid w:val="0"/>
              <w:spacing w:before="0" w:beforeAutospacing="0" w:after="0" w:afterAutospacing="0" w:line="360" w:lineRule="auto"/>
              <w:ind w:left="0" w:right="0"/>
              <w:jc w:val="both"/>
              <w:rPr>
                <w:rFonts w:hint="default" w:ascii="宋体" w:hAnsi="宋体"/>
                <w:szCs w:val="21"/>
              </w:rPr>
            </w:pPr>
            <w:r>
              <w:rPr>
                <w:rFonts w:hint="eastAsia" w:ascii="宋体" w:hAnsi="宋体"/>
                <w:szCs w:val="21"/>
              </w:rPr>
              <w:t>磋商文件的实质性要求</w:t>
            </w:r>
          </w:p>
        </w:tc>
        <w:tc>
          <w:tcPr>
            <w:tcW w:w="2268" w:type="dxa"/>
            <w:tcBorders>
              <w:tl2br w:val="nil"/>
              <w:tr2bl w:val="nil"/>
            </w:tcBorders>
            <w:vAlign w:val="center"/>
          </w:tcPr>
          <w:p w14:paraId="3E828CC7">
            <w:pPr>
              <w:keepNext w:val="0"/>
              <w:keepLines w:val="0"/>
              <w:suppressLineNumbers w:val="0"/>
              <w:adjustRightInd w:val="0"/>
              <w:snapToGrid w:val="0"/>
              <w:spacing w:before="0" w:beforeAutospacing="0" w:after="0" w:afterAutospacing="0" w:line="360" w:lineRule="auto"/>
              <w:ind w:left="0" w:right="0"/>
              <w:jc w:val="both"/>
              <w:rPr>
                <w:rFonts w:hint="default" w:ascii="宋体" w:hAnsi="宋体"/>
                <w:szCs w:val="21"/>
              </w:rPr>
            </w:pPr>
            <w:r>
              <w:rPr>
                <w:rFonts w:hint="eastAsia" w:ascii="宋体" w:hAnsi="宋体"/>
                <w:szCs w:val="21"/>
              </w:rPr>
              <w:t>首次响应文件</w:t>
            </w:r>
          </w:p>
        </w:tc>
        <w:tc>
          <w:tcPr>
            <w:tcW w:w="3565" w:type="dxa"/>
            <w:vMerge w:val="restart"/>
            <w:tcBorders>
              <w:tl2br w:val="nil"/>
              <w:tr2bl w:val="nil"/>
            </w:tcBorders>
            <w:vAlign w:val="center"/>
          </w:tcPr>
          <w:p w14:paraId="3707CB56">
            <w:pPr>
              <w:keepNext w:val="0"/>
              <w:keepLines w:val="0"/>
              <w:suppressLineNumbers w:val="0"/>
              <w:adjustRightInd w:val="0"/>
              <w:snapToGrid w:val="0"/>
              <w:spacing w:before="0" w:beforeAutospacing="0" w:after="0" w:afterAutospacing="0" w:line="360" w:lineRule="auto"/>
              <w:ind w:left="0" w:right="0"/>
              <w:jc w:val="both"/>
              <w:rPr>
                <w:rFonts w:hint="default" w:ascii="宋体" w:hAnsi="宋体"/>
                <w:szCs w:val="21"/>
              </w:rPr>
            </w:pPr>
            <w:r>
              <w:rPr>
                <w:rFonts w:hint="eastAsia" w:ascii="宋体" w:hAnsi="宋体"/>
                <w:szCs w:val="21"/>
              </w:rPr>
              <w:t>满足磋商文件的全部实质性要求。</w:t>
            </w:r>
          </w:p>
        </w:tc>
      </w:tr>
      <w:tr w14:paraId="30F62A8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817" w:type="dxa"/>
            <w:vMerge w:val="continue"/>
            <w:tcBorders>
              <w:tl2br w:val="nil"/>
              <w:tr2bl w:val="nil"/>
            </w:tcBorders>
            <w:vAlign w:val="center"/>
          </w:tcPr>
          <w:p w14:paraId="08BFA3BF">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2410" w:type="dxa"/>
            <w:vMerge w:val="continue"/>
            <w:tcBorders>
              <w:tl2br w:val="nil"/>
              <w:tr2bl w:val="nil"/>
            </w:tcBorders>
            <w:vAlign w:val="center"/>
          </w:tcPr>
          <w:p w14:paraId="00483852">
            <w:pPr>
              <w:keepNext w:val="0"/>
              <w:keepLines w:val="0"/>
              <w:suppressLineNumbers w:val="0"/>
              <w:adjustRightInd w:val="0"/>
              <w:snapToGrid w:val="0"/>
              <w:spacing w:before="0" w:beforeAutospacing="0" w:after="0" w:afterAutospacing="0" w:line="360" w:lineRule="auto"/>
              <w:ind w:left="0" w:right="0"/>
              <w:jc w:val="both"/>
              <w:rPr>
                <w:rFonts w:hint="default" w:ascii="宋体" w:hAnsi="宋体"/>
                <w:szCs w:val="21"/>
              </w:rPr>
            </w:pPr>
          </w:p>
        </w:tc>
        <w:tc>
          <w:tcPr>
            <w:tcW w:w="2268" w:type="dxa"/>
            <w:tcBorders>
              <w:tl2br w:val="nil"/>
              <w:tr2bl w:val="nil"/>
            </w:tcBorders>
            <w:vAlign w:val="center"/>
          </w:tcPr>
          <w:p w14:paraId="197584F1">
            <w:pPr>
              <w:keepNext w:val="0"/>
              <w:keepLines w:val="0"/>
              <w:suppressLineNumbers w:val="0"/>
              <w:adjustRightInd w:val="0"/>
              <w:snapToGrid w:val="0"/>
              <w:spacing w:before="0" w:beforeAutospacing="0" w:after="0" w:afterAutospacing="0" w:line="360" w:lineRule="auto"/>
              <w:ind w:left="0" w:right="0"/>
              <w:jc w:val="both"/>
              <w:rPr>
                <w:rFonts w:hint="default" w:ascii="宋体" w:hAnsi="宋体"/>
                <w:szCs w:val="21"/>
              </w:rPr>
            </w:pPr>
            <w:r>
              <w:rPr>
                <w:rFonts w:hint="eastAsia" w:ascii="宋体" w:hAnsi="宋体"/>
                <w:szCs w:val="21"/>
              </w:rPr>
              <w:t>重新提交的响应文件</w:t>
            </w:r>
          </w:p>
        </w:tc>
        <w:tc>
          <w:tcPr>
            <w:tcW w:w="3565" w:type="dxa"/>
            <w:vMerge w:val="continue"/>
            <w:tcBorders>
              <w:tl2br w:val="nil"/>
              <w:tr2bl w:val="nil"/>
            </w:tcBorders>
            <w:vAlign w:val="center"/>
          </w:tcPr>
          <w:p w14:paraId="644542AA">
            <w:pPr>
              <w:keepNext w:val="0"/>
              <w:keepLines w:val="0"/>
              <w:suppressLineNumbers w:val="0"/>
              <w:adjustRightInd w:val="0"/>
              <w:snapToGrid w:val="0"/>
              <w:spacing w:before="0" w:beforeAutospacing="0" w:after="0" w:afterAutospacing="0" w:line="360" w:lineRule="auto"/>
              <w:ind w:left="0" w:right="0"/>
              <w:jc w:val="both"/>
              <w:rPr>
                <w:rFonts w:hint="default" w:ascii="宋体" w:hAnsi="宋体"/>
                <w:szCs w:val="21"/>
              </w:rPr>
            </w:pPr>
          </w:p>
        </w:tc>
      </w:tr>
      <w:tr w14:paraId="5AA7CAC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817" w:type="dxa"/>
            <w:tcBorders>
              <w:tl2br w:val="nil"/>
              <w:tr2bl w:val="nil"/>
            </w:tcBorders>
            <w:vAlign w:val="center"/>
          </w:tcPr>
          <w:p w14:paraId="0F7C2B42">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5</w:t>
            </w:r>
          </w:p>
        </w:tc>
        <w:tc>
          <w:tcPr>
            <w:tcW w:w="4678" w:type="dxa"/>
            <w:gridSpan w:val="2"/>
            <w:tcBorders>
              <w:tl2br w:val="nil"/>
              <w:tr2bl w:val="nil"/>
            </w:tcBorders>
            <w:vAlign w:val="center"/>
          </w:tcPr>
          <w:p w14:paraId="7479B297">
            <w:pPr>
              <w:keepNext w:val="0"/>
              <w:keepLines w:val="0"/>
              <w:suppressLineNumbers w:val="0"/>
              <w:adjustRightInd w:val="0"/>
              <w:snapToGrid w:val="0"/>
              <w:spacing w:before="0" w:beforeAutospacing="0" w:after="0" w:afterAutospacing="0" w:line="360" w:lineRule="auto"/>
              <w:ind w:left="0" w:right="0"/>
              <w:jc w:val="both"/>
              <w:rPr>
                <w:rFonts w:hint="default" w:ascii="Calibri" w:hAnsi="Calibri"/>
              </w:rPr>
            </w:pPr>
            <w:r>
              <w:rPr>
                <w:rFonts w:hint="eastAsia" w:ascii="Calibri" w:hAnsi="Calibri"/>
              </w:rPr>
              <w:t>最后报价</w:t>
            </w:r>
          </w:p>
        </w:tc>
        <w:tc>
          <w:tcPr>
            <w:tcW w:w="3565" w:type="dxa"/>
            <w:tcBorders>
              <w:tl2br w:val="nil"/>
              <w:tr2bl w:val="nil"/>
            </w:tcBorders>
            <w:vAlign w:val="center"/>
          </w:tcPr>
          <w:p w14:paraId="764F3F55">
            <w:pPr>
              <w:keepNext w:val="0"/>
              <w:keepLines w:val="0"/>
              <w:suppressLineNumbers w:val="0"/>
              <w:adjustRightInd w:val="0"/>
              <w:snapToGrid w:val="0"/>
              <w:spacing w:before="0" w:beforeAutospacing="0" w:after="0" w:afterAutospacing="0" w:line="360" w:lineRule="auto"/>
              <w:ind w:left="0" w:right="0"/>
              <w:jc w:val="both"/>
              <w:rPr>
                <w:rFonts w:hint="default" w:ascii="Calibri" w:hAnsi="Calibri"/>
              </w:rPr>
            </w:pPr>
            <w:r>
              <w:rPr>
                <w:rFonts w:hint="eastAsia" w:ascii="Calibri" w:hAnsi="Calibri"/>
              </w:rPr>
              <w:t>按照磋商文件的规定提交最后报价。</w:t>
            </w:r>
          </w:p>
        </w:tc>
      </w:tr>
      <w:tr w14:paraId="33C73EF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817" w:type="dxa"/>
            <w:tcBorders>
              <w:tl2br w:val="nil"/>
              <w:tr2bl w:val="nil"/>
            </w:tcBorders>
            <w:vAlign w:val="center"/>
          </w:tcPr>
          <w:p w14:paraId="62809CD8">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6</w:t>
            </w:r>
          </w:p>
        </w:tc>
        <w:tc>
          <w:tcPr>
            <w:tcW w:w="4678" w:type="dxa"/>
            <w:gridSpan w:val="2"/>
            <w:tcBorders>
              <w:tl2br w:val="nil"/>
              <w:tr2bl w:val="nil"/>
            </w:tcBorders>
            <w:vAlign w:val="center"/>
          </w:tcPr>
          <w:p w14:paraId="377A0B12">
            <w:pPr>
              <w:keepNext w:val="0"/>
              <w:keepLines w:val="0"/>
              <w:suppressLineNumbers w:val="0"/>
              <w:adjustRightInd w:val="0"/>
              <w:snapToGrid w:val="0"/>
              <w:spacing w:before="0" w:beforeAutospacing="0" w:after="0" w:afterAutospacing="0" w:line="360" w:lineRule="auto"/>
              <w:ind w:left="0" w:right="0"/>
              <w:jc w:val="both"/>
              <w:rPr>
                <w:rFonts w:hint="default" w:ascii="Calibri" w:hAnsi="Calibri"/>
              </w:rPr>
            </w:pPr>
            <w:r>
              <w:rPr>
                <w:rFonts w:hint="eastAsia" w:ascii="Calibri" w:hAnsi="Calibri"/>
              </w:rPr>
              <w:t>其他无效情形</w:t>
            </w:r>
          </w:p>
        </w:tc>
        <w:tc>
          <w:tcPr>
            <w:tcW w:w="3565" w:type="dxa"/>
            <w:tcBorders>
              <w:tl2br w:val="nil"/>
              <w:tr2bl w:val="nil"/>
            </w:tcBorders>
            <w:vAlign w:val="center"/>
          </w:tcPr>
          <w:p w14:paraId="46AE4A2E">
            <w:pPr>
              <w:keepNext w:val="0"/>
              <w:keepLines w:val="0"/>
              <w:suppressLineNumbers w:val="0"/>
              <w:adjustRightInd w:val="0"/>
              <w:snapToGrid w:val="0"/>
              <w:spacing w:before="0" w:beforeAutospacing="0" w:after="0" w:afterAutospacing="0" w:line="360" w:lineRule="auto"/>
              <w:ind w:left="0" w:right="0"/>
              <w:jc w:val="both"/>
              <w:rPr>
                <w:rFonts w:hint="default" w:ascii="Calibri" w:hAnsi="Calibri"/>
              </w:rPr>
            </w:pPr>
            <w:r>
              <w:rPr>
                <w:rFonts w:hint="eastAsia" w:ascii="Calibri" w:hAnsi="Calibri"/>
              </w:rPr>
              <w:t>法律、法规和磋商文件规定的其他无效情形。</w:t>
            </w:r>
          </w:p>
        </w:tc>
      </w:tr>
      <w:tr w14:paraId="755BD2C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817" w:type="dxa"/>
            <w:tcBorders>
              <w:tl2br w:val="nil"/>
              <w:tr2bl w:val="nil"/>
            </w:tcBorders>
            <w:vAlign w:val="center"/>
          </w:tcPr>
          <w:p w14:paraId="47DF77FD">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w:t>
            </w:r>
          </w:p>
        </w:tc>
        <w:tc>
          <w:tcPr>
            <w:tcW w:w="4678" w:type="dxa"/>
            <w:gridSpan w:val="2"/>
            <w:tcBorders>
              <w:tl2br w:val="nil"/>
              <w:tr2bl w:val="nil"/>
            </w:tcBorders>
            <w:vAlign w:val="center"/>
          </w:tcPr>
          <w:p w14:paraId="0747F9A7">
            <w:pPr>
              <w:keepNext w:val="0"/>
              <w:keepLines w:val="0"/>
              <w:suppressLineNumbers w:val="0"/>
              <w:adjustRightInd w:val="0"/>
              <w:snapToGrid w:val="0"/>
              <w:spacing w:before="0" w:beforeAutospacing="0" w:after="0" w:afterAutospacing="0" w:line="360" w:lineRule="auto"/>
              <w:ind w:left="0" w:right="0"/>
              <w:jc w:val="both"/>
              <w:rPr>
                <w:rFonts w:hint="default" w:ascii="宋体" w:hAnsi="宋体"/>
                <w:szCs w:val="21"/>
              </w:rPr>
            </w:pPr>
            <w:r>
              <w:rPr>
                <w:rFonts w:hint="default" w:ascii="宋体" w:hAnsi="宋体"/>
                <w:szCs w:val="21"/>
              </w:rPr>
              <w:t>…</w:t>
            </w:r>
          </w:p>
        </w:tc>
        <w:tc>
          <w:tcPr>
            <w:tcW w:w="3565" w:type="dxa"/>
            <w:tcBorders>
              <w:tl2br w:val="nil"/>
              <w:tr2bl w:val="nil"/>
            </w:tcBorders>
            <w:vAlign w:val="center"/>
          </w:tcPr>
          <w:p w14:paraId="368F3ACB">
            <w:pPr>
              <w:keepNext w:val="0"/>
              <w:keepLines w:val="0"/>
              <w:suppressLineNumbers w:val="0"/>
              <w:adjustRightInd w:val="0"/>
              <w:snapToGrid w:val="0"/>
              <w:spacing w:before="0" w:beforeAutospacing="0" w:after="0" w:afterAutospacing="0" w:line="360" w:lineRule="auto"/>
              <w:ind w:left="0" w:right="0"/>
              <w:jc w:val="both"/>
              <w:rPr>
                <w:rFonts w:hint="default" w:ascii="宋体" w:hAnsi="宋体"/>
                <w:szCs w:val="21"/>
              </w:rPr>
            </w:pPr>
            <w:r>
              <w:rPr>
                <w:rFonts w:hint="default" w:ascii="宋体" w:hAnsi="宋体"/>
                <w:szCs w:val="21"/>
              </w:rPr>
              <w:t>…</w:t>
            </w:r>
          </w:p>
        </w:tc>
      </w:tr>
      <w:tr w14:paraId="7B6F65B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817" w:type="dxa"/>
            <w:tcBorders>
              <w:tl2br w:val="nil"/>
              <w:tr2bl w:val="nil"/>
            </w:tcBorders>
          </w:tcPr>
          <w:p w14:paraId="42CFB136">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r>
              <w:rPr>
                <w:rFonts w:hint="eastAsia" w:ascii="宋体" w:hAnsi="宋体"/>
                <w:kern w:val="0"/>
                <w:szCs w:val="21"/>
              </w:rPr>
              <w:t>结论</w:t>
            </w:r>
          </w:p>
        </w:tc>
        <w:tc>
          <w:tcPr>
            <w:tcW w:w="4678" w:type="dxa"/>
            <w:gridSpan w:val="2"/>
            <w:tcBorders>
              <w:tl2br w:val="nil"/>
              <w:tr2bl w:val="nil"/>
            </w:tcBorders>
            <w:vAlign w:val="center"/>
          </w:tcPr>
          <w:p w14:paraId="514BAD52">
            <w:pPr>
              <w:keepNext w:val="0"/>
              <w:keepLines w:val="0"/>
              <w:suppressLineNumbers w:val="0"/>
              <w:adjustRightInd w:val="0"/>
              <w:snapToGrid w:val="0"/>
              <w:spacing w:before="0" w:beforeAutospacing="0" w:after="0" w:afterAutospacing="0" w:line="360" w:lineRule="auto"/>
              <w:ind w:left="0" w:right="0"/>
              <w:jc w:val="both"/>
              <w:rPr>
                <w:rFonts w:hint="default" w:ascii="宋体" w:hAnsi="宋体"/>
                <w:szCs w:val="21"/>
              </w:rPr>
            </w:pPr>
          </w:p>
        </w:tc>
        <w:tc>
          <w:tcPr>
            <w:tcW w:w="3565" w:type="dxa"/>
            <w:tcBorders>
              <w:tl2br w:val="nil"/>
              <w:tr2bl w:val="nil"/>
            </w:tcBorders>
            <w:vAlign w:val="center"/>
          </w:tcPr>
          <w:p w14:paraId="193D65C6">
            <w:pPr>
              <w:keepNext w:val="0"/>
              <w:keepLines w:val="0"/>
              <w:suppressLineNumbers w:val="0"/>
              <w:adjustRightInd w:val="0"/>
              <w:snapToGrid w:val="0"/>
              <w:spacing w:before="0" w:beforeAutospacing="0" w:after="0" w:afterAutospacing="0" w:line="360" w:lineRule="auto"/>
              <w:ind w:left="0" w:right="0"/>
              <w:jc w:val="both"/>
              <w:rPr>
                <w:rFonts w:hint="default" w:ascii="宋体" w:hAnsi="宋体"/>
                <w:szCs w:val="21"/>
              </w:rPr>
            </w:pPr>
          </w:p>
        </w:tc>
      </w:tr>
    </w:tbl>
    <w:p w14:paraId="1F3BFFBF">
      <w:pPr>
        <w:widowControl/>
        <w:adjustRightInd w:val="0"/>
        <w:snapToGrid w:val="0"/>
        <w:spacing w:beforeLines="50" w:line="288" w:lineRule="auto"/>
        <w:ind w:firstLine="420" w:firstLineChars="200"/>
        <w:jc w:val="left"/>
        <w:rPr>
          <w:rFonts w:ascii="宋体" w:hAnsi="宋体" w:cs="宋体"/>
          <w:bCs/>
          <w:szCs w:val="21"/>
        </w:rPr>
      </w:pPr>
      <w:r>
        <w:rPr>
          <w:rFonts w:hint="eastAsia" w:ascii="宋体" w:hAnsi="宋体" w:cs="宋体"/>
          <w:bCs/>
          <w:szCs w:val="21"/>
        </w:rPr>
        <w:t>3.2最终报价评价。磋商小组以最终报价为基础，依次对最终报价进行算术修正和政府采购政策优惠价格扣除计算。</w:t>
      </w:r>
    </w:p>
    <w:p w14:paraId="746D97B5">
      <w:pPr>
        <w:widowControl/>
        <w:adjustRightInd w:val="0"/>
        <w:snapToGrid w:val="0"/>
        <w:spacing w:beforeLines="50" w:line="288" w:lineRule="auto"/>
        <w:ind w:firstLine="420" w:firstLineChars="200"/>
        <w:jc w:val="left"/>
        <w:rPr>
          <w:rFonts w:ascii="宋体" w:hAnsi="宋体" w:cs="宋体"/>
          <w:bCs/>
          <w:szCs w:val="21"/>
        </w:rPr>
      </w:pPr>
      <w:r>
        <w:rPr>
          <w:rFonts w:hint="eastAsia" w:ascii="宋体" w:hAnsi="宋体" w:cs="宋体"/>
          <w:bCs/>
          <w:szCs w:val="21"/>
        </w:rPr>
        <w:t>3.3价格分采用低价优先法计算，即满足磋商文件要求且最终报价最低的价格为磋商基准价，其价格分为满分，其他有效供应商的价格分按照下列公式计算：</w:t>
      </w:r>
    </w:p>
    <w:p w14:paraId="389655F9">
      <w:pPr>
        <w:widowControl/>
        <w:adjustRightInd w:val="0"/>
        <w:snapToGrid w:val="0"/>
        <w:spacing w:beforeLines="50" w:line="288" w:lineRule="auto"/>
        <w:ind w:firstLine="420" w:firstLineChars="200"/>
        <w:jc w:val="left"/>
        <w:rPr>
          <w:rFonts w:ascii="宋体" w:hAnsi="宋体" w:cs="宋体"/>
          <w:bCs/>
          <w:szCs w:val="21"/>
        </w:rPr>
      </w:pPr>
      <w:r>
        <w:rPr>
          <w:rFonts w:hint="eastAsia" w:ascii="宋体" w:hAnsi="宋体" w:cs="宋体"/>
          <w:bCs/>
          <w:szCs w:val="21"/>
        </w:rPr>
        <w:t>磋商报价得分=（磋商基准价/最终磋商报价）×价格权值</w:t>
      </w:r>
    </w:p>
    <w:p w14:paraId="2A53490B">
      <w:pPr>
        <w:widowControl/>
        <w:adjustRightInd w:val="0"/>
        <w:snapToGrid w:val="0"/>
        <w:spacing w:beforeLines="50" w:line="288" w:lineRule="auto"/>
        <w:ind w:firstLine="420" w:firstLineChars="200"/>
        <w:jc w:val="left"/>
        <w:rPr>
          <w:rFonts w:ascii="宋体" w:hAnsi="宋体" w:cs="宋体"/>
          <w:bCs/>
          <w:szCs w:val="21"/>
        </w:rPr>
      </w:pPr>
      <w:r>
        <w:rPr>
          <w:rFonts w:hint="eastAsia" w:ascii="宋体" w:hAnsi="宋体" w:cs="宋体"/>
          <w:bCs/>
          <w:szCs w:val="21"/>
        </w:rPr>
        <w:t>本项所称最终报价为按本章第3.2</w:t>
      </w:r>
      <w:r>
        <w:rPr>
          <w:rFonts w:hint="eastAsia" w:ascii="宋体" w:hAnsi="宋体" w:cs="宋体"/>
          <w:bCs/>
          <w:szCs w:val="21"/>
          <w:lang w:val="zh-CN"/>
        </w:rPr>
        <w:t>款</w:t>
      </w:r>
      <w:r>
        <w:rPr>
          <w:rFonts w:hint="eastAsia" w:ascii="宋体" w:hAnsi="宋体" w:cs="宋体"/>
          <w:bCs/>
          <w:szCs w:val="21"/>
        </w:rPr>
        <w:t>规定价值扣除后的最终报价。</w:t>
      </w:r>
    </w:p>
    <w:p w14:paraId="15B58B5E">
      <w:pPr>
        <w:widowControl/>
        <w:adjustRightInd w:val="0"/>
        <w:snapToGrid w:val="0"/>
        <w:spacing w:beforeLines="50" w:line="288" w:lineRule="auto"/>
        <w:ind w:firstLine="420" w:firstLineChars="200"/>
        <w:jc w:val="left"/>
        <w:rPr>
          <w:rFonts w:ascii="宋体" w:hAnsi="宋体" w:cs="宋体"/>
          <w:bCs/>
          <w:szCs w:val="21"/>
        </w:rPr>
      </w:pPr>
      <w:r>
        <w:rPr>
          <w:rFonts w:hint="eastAsia" w:ascii="宋体" w:hAnsi="宋体" w:cs="宋体"/>
          <w:bCs/>
          <w:szCs w:val="21"/>
        </w:rPr>
        <w:t>3.4涉及政府采购政策优惠的，按磋商文件前附表规定调整供应商的技术、价格得分或总得分。</w:t>
      </w:r>
    </w:p>
    <w:p w14:paraId="78CC604E">
      <w:pPr>
        <w:widowControl/>
        <w:adjustRightInd w:val="0"/>
        <w:snapToGrid w:val="0"/>
        <w:spacing w:beforeLines="50" w:line="288" w:lineRule="auto"/>
        <w:ind w:firstLine="420" w:firstLineChars="200"/>
        <w:jc w:val="left"/>
        <w:rPr>
          <w:rFonts w:ascii="宋体" w:hAnsi="宋体" w:cs="宋体"/>
          <w:szCs w:val="21"/>
        </w:rPr>
      </w:pPr>
      <w:r>
        <w:rPr>
          <w:rFonts w:hint="eastAsia" w:ascii="宋体" w:hAnsi="宋体" w:cs="宋体"/>
          <w:bCs/>
          <w:szCs w:val="21"/>
        </w:rPr>
        <w:t>3.5涉及多处获得政府</w:t>
      </w:r>
      <w:r>
        <w:rPr>
          <w:rFonts w:hint="eastAsia" w:ascii="宋体" w:hAnsi="宋体" w:cs="宋体"/>
          <w:b/>
          <w:szCs w:val="21"/>
        </w:rPr>
        <w:t>采购政策优惠</w:t>
      </w:r>
      <w:r>
        <w:rPr>
          <w:rFonts w:hint="eastAsia" w:ascii="宋体" w:hAnsi="宋体" w:cs="宋体"/>
          <w:bCs/>
          <w:szCs w:val="21"/>
        </w:rPr>
        <w:t>的，涉及调整得分的，按本章第3.4</w:t>
      </w:r>
      <w:r>
        <w:rPr>
          <w:rFonts w:hint="eastAsia" w:ascii="宋体" w:hAnsi="宋体" w:cs="宋体"/>
          <w:bCs/>
          <w:szCs w:val="21"/>
          <w:lang w:val="zh-CN"/>
        </w:rPr>
        <w:t>款</w:t>
      </w:r>
      <w:r>
        <w:rPr>
          <w:rFonts w:hint="eastAsia" w:ascii="宋体" w:hAnsi="宋体" w:cs="宋体"/>
          <w:bCs/>
          <w:szCs w:val="21"/>
        </w:rPr>
        <w:t>规定调整得分；涉及调整价格的，按本章第3.2</w:t>
      </w:r>
      <w:r>
        <w:rPr>
          <w:rFonts w:hint="eastAsia" w:ascii="宋体" w:hAnsi="宋体" w:cs="宋体"/>
          <w:bCs/>
          <w:szCs w:val="21"/>
          <w:lang w:val="zh-CN"/>
        </w:rPr>
        <w:t>款</w:t>
      </w:r>
      <w:r>
        <w:rPr>
          <w:rFonts w:hint="eastAsia" w:ascii="宋体" w:hAnsi="宋体" w:cs="宋体"/>
          <w:bCs/>
          <w:szCs w:val="21"/>
        </w:rPr>
        <w:t>规定调整价格。</w:t>
      </w:r>
      <w:r>
        <w:rPr>
          <w:rFonts w:hint="eastAsia" w:ascii="宋体" w:hAnsi="宋体" w:cs="宋体"/>
          <w:szCs w:val="21"/>
        </w:rPr>
        <w:t>综合调整见</w:t>
      </w:r>
      <w:r>
        <w:rPr>
          <w:rFonts w:hint="eastAsia" w:ascii="宋体" w:hAnsi="宋体" w:cs="宋体"/>
          <w:b/>
          <w:szCs w:val="21"/>
        </w:rPr>
        <w:t>磋商文件前附表</w:t>
      </w:r>
      <w:r>
        <w:rPr>
          <w:rFonts w:hint="eastAsia" w:ascii="宋体" w:hAnsi="宋体" w:cs="宋体"/>
          <w:szCs w:val="21"/>
        </w:rPr>
        <w:t>相关规定。</w:t>
      </w:r>
    </w:p>
    <w:p w14:paraId="376D9B97">
      <w:pPr>
        <w:widowControl/>
        <w:adjustRightInd w:val="0"/>
        <w:snapToGrid w:val="0"/>
        <w:spacing w:beforeLines="50" w:line="288" w:lineRule="auto"/>
        <w:ind w:firstLine="420" w:firstLineChars="200"/>
        <w:jc w:val="left"/>
        <w:rPr>
          <w:rFonts w:ascii="宋体" w:hAnsi="宋体" w:cs="宋体"/>
          <w:szCs w:val="21"/>
        </w:rPr>
      </w:pPr>
      <w:r>
        <w:rPr>
          <w:rFonts w:hint="eastAsia" w:ascii="宋体" w:hAnsi="宋体" w:cs="宋体"/>
          <w:kern w:val="0"/>
          <w:szCs w:val="21"/>
        </w:rPr>
        <w:t>3.6</w:t>
      </w:r>
      <w:r>
        <w:rPr>
          <w:rFonts w:hint="eastAsia" w:ascii="宋体" w:hAnsi="宋体" w:cs="宋体"/>
          <w:szCs w:val="21"/>
        </w:rPr>
        <w:t>评审时，磋商小组各成员应当独立对每个供应商的</w:t>
      </w:r>
      <w:r>
        <w:rPr>
          <w:rFonts w:hint="eastAsia" w:ascii="宋体" w:hAnsi="宋体" w:cs="宋体"/>
          <w:bCs/>
          <w:szCs w:val="21"/>
        </w:rPr>
        <w:t>响应文件</w:t>
      </w:r>
      <w:r>
        <w:rPr>
          <w:rFonts w:hint="eastAsia" w:ascii="宋体" w:hAnsi="宋体" w:cs="宋体"/>
          <w:szCs w:val="21"/>
        </w:rPr>
        <w:t>进行评价、评分，然后汇总每个供应商项评分因素的得分。</w:t>
      </w:r>
    </w:p>
    <w:p w14:paraId="10AB7EA4">
      <w:pPr>
        <w:widowControl/>
        <w:adjustRightInd w:val="0"/>
        <w:snapToGrid w:val="0"/>
        <w:spacing w:beforeLines="50" w:line="288" w:lineRule="auto"/>
        <w:ind w:firstLine="420" w:firstLineChars="200"/>
        <w:jc w:val="left"/>
        <w:rPr>
          <w:rFonts w:ascii="宋体" w:hAnsi="宋体" w:cs="宋体"/>
          <w:szCs w:val="21"/>
        </w:rPr>
      </w:pPr>
      <w:r>
        <w:rPr>
          <w:rFonts w:hint="eastAsia" w:ascii="宋体" w:hAnsi="宋体" w:cs="宋体"/>
          <w:szCs w:val="21"/>
        </w:rPr>
        <w:t>3.7评分细则</w:t>
      </w:r>
    </w:p>
    <w:p w14:paraId="56494056">
      <w:pPr>
        <w:snapToGrid w:val="0"/>
        <w:spacing w:line="360" w:lineRule="auto"/>
        <w:rPr>
          <w:rFonts w:ascii="宋体" w:cs="宋体"/>
          <w:b/>
          <w:bCs/>
          <w:kern w:val="0"/>
          <w:sz w:val="28"/>
          <w:szCs w:val="28"/>
        </w:rPr>
      </w:pPr>
      <w:r>
        <w:rPr>
          <w:rFonts w:hint="eastAsia" w:ascii="黑体" w:hAnsi="黑体" w:eastAsia="黑体"/>
          <w:b/>
          <w:sz w:val="24"/>
        </w:rPr>
        <w:br w:type="page"/>
      </w:r>
      <w:r>
        <w:rPr>
          <w:rFonts w:hint="eastAsia" w:ascii="宋体" w:cs="宋体"/>
          <w:b/>
          <w:bCs/>
          <w:kern w:val="0"/>
          <w:sz w:val="20"/>
          <w:szCs w:val="20"/>
        </w:rPr>
        <w:t>附表3</w:t>
      </w:r>
    </w:p>
    <w:p w14:paraId="19511AF1">
      <w:pPr>
        <w:snapToGrid w:val="0"/>
        <w:spacing w:line="360" w:lineRule="auto"/>
        <w:jc w:val="center"/>
        <w:rPr>
          <w:sz w:val="20"/>
          <w:szCs w:val="22"/>
        </w:rPr>
      </w:pPr>
      <w:r>
        <w:rPr>
          <w:rFonts w:hint="eastAsia" w:ascii="黑体" w:hAnsi="黑体" w:eastAsia="黑体"/>
          <w:b/>
          <w:sz w:val="24"/>
        </w:rPr>
        <w:t>评分细则</w:t>
      </w:r>
    </w:p>
    <w:tbl>
      <w:tblPr>
        <w:tblStyle w:val="46"/>
        <w:tblW w:w="103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09"/>
        <w:gridCol w:w="1126"/>
        <w:gridCol w:w="690"/>
        <w:gridCol w:w="5968"/>
        <w:gridCol w:w="1427"/>
      </w:tblGrid>
      <w:tr w14:paraId="282E4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0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2FFB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评审因素及权值</w:t>
            </w:r>
          </w:p>
        </w:tc>
      </w:tr>
      <w:tr w14:paraId="0D94D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8849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评审因素</w:t>
            </w:r>
          </w:p>
        </w:tc>
        <w:tc>
          <w:tcPr>
            <w:tcW w:w="66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9B3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权值范围</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1FA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r>
      <w:tr w14:paraId="056BD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3840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报价</w:t>
            </w:r>
          </w:p>
        </w:tc>
        <w:tc>
          <w:tcPr>
            <w:tcW w:w="66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B21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A1=30%</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2433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1"/>
                <w:szCs w:val="21"/>
                <w:u w:val="none"/>
              </w:rPr>
            </w:pPr>
          </w:p>
        </w:tc>
      </w:tr>
      <w:tr w14:paraId="62232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DF77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技术部分</w:t>
            </w:r>
          </w:p>
        </w:tc>
        <w:tc>
          <w:tcPr>
            <w:tcW w:w="66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D56A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A2=50%</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E56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1"/>
                <w:szCs w:val="21"/>
                <w:u w:val="none"/>
              </w:rPr>
            </w:pPr>
          </w:p>
        </w:tc>
      </w:tr>
      <w:tr w14:paraId="2A64E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857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商务部分</w:t>
            </w:r>
          </w:p>
        </w:tc>
        <w:tc>
          <w:tcPr>
            <w:tcW w:w="66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3E98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A3=20%</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262F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1"/>
                <w:szCs w:val="21"/>
                <w:u w:val="none"/>
              </w:rPr>
            </w:pPr>
          </w:p>
        </w:tc>
      </w:tr>
      <w:tr w14:paraId="6833D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D52A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综合评分法</w:t>
            </w:r>
          </w:p>
        </w:tc>
      </w:tr>
      <w:tr w14:paraId="1B00F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73A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评审因素</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8AA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计分因素</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51C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分值</w:t>
            </w:r>
          </w:p>
        </w:tc>
        <w:tc>
          <w:tcPr>
            <w:tcW w:w="7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5BB4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评分标准</w:t>
            </w:r>
          </w:p>
        </w:tc>
      </w:tr>
      <w:tr w14:paraId="1DAF9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0" w:hRule="atLeast"/>
          <w:jc w:val="center"/>
        </w:trPr>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2E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报价(F1)</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9ED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磋商报价</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675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3FE028">
            <w:pPr>
              <w:keepNext w:val="0"/>
              <w:keepLines w:val="0"/>
              <w:widowControl/>
              <w:suppressLineNumbers w:val="0"/>
              <w:spacing w:before="0" w:beforeAutospacing="0" w:after="0" w:afterAutospacing="0"/>
              <w:ind w:left="0" w:right="0"/>
              <w:jc w:val="left"/>
              <w:textAlignment w:val="center"/>
              <w:rPr>
                <w:rFonts w:hint="default"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满足磋商文件要求且经评标委员会认定报价最低的供应商的价格为磋商基准价，其价格分为满分。其他供应商的价格分统一按照下列公式计算：</w:t>
            </w:r>
            <w:r>
              <w:rPr>
                <w:rFonts w:hint="eastAsia" w:ascii="新宋体" w:hAnsi="新宋体" w:eastAsia="新宋体" w:cs="新宋体"/>
                <w:i w:val="0"/>
                <w:iCs w:val="0"/>
                <w:color w:val="000000"/>
                <w:kern w:val="0"/>
                <w:sz w:val="21"/>
                <w:szCs w:val="21"/>
                <w:u w:val="none"/>
                <w:lang w:val="en-US" w:eastAsia="zh-CN" w:bidi="ar"/>
              </w:rPr>
              <w:br w:type="textWrapping"/>
            </w:r>
            <w:r>
              <w:rPr>
                <w:rFonts w:hint="eastAsia" w:ascii="新宋体" w:hAnsi="新宋体" w:eastAsia="新宋体" w:cs="新宋体"/>
                <w:i w:val="0"/>
                <w:iCs w:val="0"/>
                <w:color w:val="000000"/>
                <w:kern w:val="0"/>
                <w:sz w:val="21"/>
                <w:szCs w:val="21"/>
                <w:u w:val="none"/>
                <w:lang w:val="en-US" w:eastAsia="zh-CN" w:bidi="ar"/>
              </w:rPr>
              <w:t>磋商报价得分=（磋商基准价/最后磋商报价）×100</w:t>
            </w:r>
            <w:r>
              <w:rPr>
                <w:rFonts w:hint="eastAsia" w:ascii="新宋体" w:hAnsi="新宋体" w:eastAsia="新宋体" w:cs="新宋体"/>
                <w:i w:val="0"/>
                <w:iCs w:val="0"/>
                <w:color w:val="000000"/>
                <w:kern w:val="0"/>
                <w:sz w:val="21"/>
                <w:szCs w:val="21"/>
                <w:u w:val="none"/>
                <w:lang w:val="en-US" w:eastAsia="zh-CN" w:bidi="ar"/>
              </w:rPr>
              <w:br w:type="textWrapping"/>
            </w:r>
            <w:r>
              <w:rPr>
                <w:rFonts w:hint="eastAsia" w:ascii="新宋体" w:hAnsi="新宋体" w:eastAsia="新宋体" w:cs="新宋体"/>
                <w:i w:val="0"/>
                <w:iCs w:val="0"/>
                <w:color w:val="000000"/>
                <w:kern w:val="0"/>
                <w:sz w:val="21"/>
                <w:szCs w:val="21"/>
                <w:u w:val="none"/>
                <w:lang w:val="en-US" w:eastAsia="zh-CN" w:bidi="ar"/>
              </w:rPr>
              <w:t>项目评审过程中，不得去掉最后报价中的最高报价和最低报价。</w:t>
            </w:r>
            <w:r>
              <w:rPr>
                <w:rFonts w:hint="eastAsia" w:ascii="新宋体" w:hAnsi="新宋体" w:eastAsia="新宋体" w:cs="新宋体"/>
                <w:i w:val="0"/>
                <w:iCs w:val="0"/>
                <w:color w:val="000000"/>
                <w:kern w:val="0"/>
                <w:sz w:val="21"/>
                <w:szCs w:val="21"/>
                <w:u w:val="none"/>
                <w:lang w:val="en-US" w:eastAsia="zh-CN" w:bidi="ar"/>
              </w:rPr>
              <w:br w:type="textWrapping"/>
            </w:r>
            <w:r>
              <w:rPr>
                <w:rFonts w:hint="eastAsia" w:ascii="新宋体" w:hAnsi="新宋体" w:eastAsia="新宋体" w:cs="新宋体"/>
                <w:i w:val="0"/>
                <w:iCs w:val="0"/>
                <w:color w:val="000000"/>
                <w:kern w:val="0"/>
                <w:sz w:val="21"/>
                <w:szCs w:val="21"/>
                <w:u w:val="none"/>
                <w:lang w:val="en-US" w:eastAsia="zh-CN" w:bidi="ar"/>
              </w:rPr>
              <w:t>注：（一）评审中出现下列情形之一的，评审委员会应当启动异常低价投标（响应）审查程序：</w:t>
            </w:r>
            <w:r>
              <w:rPr>
                <w:rFonts w:hint="eastAsia" w:ascii="新宋体" w:hAnsi="新宋体" w:eastAsia="新宋体" w:cs="新宋体"/>
                <w:i w:val="0"/>
                <w:iCs w:val="0"/>
                <w:color w:val="000000"/>
                <w:kern w:val="0"/>
                <w:sz w:val="21"/>
                <w:szCs w:val="21"/>
                <w:u w:val="none"/>
                <w:lang w:val="en-US" w:eastAsia="zh-CN" w:bidi="ar"/>
              </w:rPr>
              <w:br w:type="textWrapping"/>
            </w:r>
            <w:r>
              <w:rPr>
                <w:rFonts w:hint="eastAsia" w:ascii="新宋体" w:hAnsi="新宋体" w:eastAsia="新宋体" w:cs="新宋体"/>
                <w:i w:val="0"/>
                <w:iCs w:val="0"/>
                <w:color w:val="000000"/>
                <w:kern w:val="0"/>
                <w:sz w:val="21"/>
                <w:szCs w:val="21"/>
                <w:u w:val="none"/>
                <w:lang w:val="en-US" w:eastAsia="zh-CN" w:bidi="ar"/>
              </w:rPr>
              <w:t>1.投标（响应）报价低于全部通过符合性审查供应商投标（响应）报价平均值65%的，即投标（响应）报价&lt;全部通过符合性审查供应商投标（响应）报价平均值×65%；</w:t>
            </w:r>
            <w:r>
              <w:rPr>
                <w:rFonts w:hint="eastAsia" w:ascii="新宋体" w:hAnsi="新宋体" w:eastAsia="新宋体" w:cs="新宋体"/>
                <w:i w:val="0"/>
                <w:iCs w:val="0"/>
                <w:color w:val="000000"/>
                <w:kern w:val="0"/>
                <w:sz w:val="21"/>
                <w:szCs w:val="21"/>
                <w:u w:val="none"/>
                <w:lang w:val="en-US" w:eastAsia="zh-CN" w:bidi="ar"/>
              </w:rPr>
              <w:br w:type="textWrapping"/>
            </w:r>
            <w:r>
              <w:rPr>
                <w:rFonts w:hint="eastAsia" w:ascii="新宋体" w:hAnsi="新宋体" w:eastAsia="新宋体" w:cs="新宋体"/>
                <w:i w:val="0"/>
                <w:iCs w:val="0"/>
                <w:color w:val="000000"/>
                <w:kern w:val="0"/>
                <w:sz w:val="21"/>
                <w:szCs w:val="21"/>
                <w:u w:val="none"/>
                <w:lang w:val="en-US" w:eastAsia="zh-CN" w:bidi="ar"/>
              </w:rPr>
              <w:t>2.投标（响应）报价低于通过符合性审查的次低报价供应商投标（响应）报价65%的，即投标（响应）报价&lt;通过符合性审查的次低报价供应商投标（响应）报价×65%；</w:t>
            </w:r>
            <w:r>
              <w:rPr>
                <w:rFonts w:hint="eastAsia" w:ascii="新宋体" w:hAnsi="新宋体" w:eastAsia="新宋体" w:cs="新宋体"/>
                <w:i w:val="0"/>
                <w:iCs w:val="0"/>
                <w:color w:val="000000"/>
                <w:kern w:val="0"/>
                <w:sz w:val="21"/>
                <w:szCs w:val="21"/>
                <w:u w:val="none"/>
                <w:lang w:val="en-US" w:eastAsia="zh-CN" w:bidi="ar"/>
              </w:rPr>
              <w:br w:type="textWrapping"/>
            </w:r>
            <w:r>
              <w:rPr>
                <w:rFonts w:hint="eastAsia" w:ascii="新宋体" w:hAnsi="新宋体" w:eastAsia="新宋体" w:cs="新宋体"/>
                <w:i w:val="0"/>
                <w:iCs w:val="0"/>
                <w:color w:val="000000"/>
                <w:kern w:val="0"/>
                <w:sz w:val="21"/>
                <w:szCs w:val="21"/>
                <w:u w:val="none"/>
                <w:lang w:val="en-US" w:eastAsia="zh-CN" w:bidi="ar"/>
              </w:rPr>
              <w:t>3.投标（响应）报价低于采购项目最高限价65%的，即投标（响应）报价&lt;采购项目最高限价×65%；</w:t>
            </w:r>
            <w:r>
              <w:rPr>
                <w:rFonts w:hint="eastAsia" w:ascii="新宋体" w:hAnsi="新宋体" w:eastAsia="新宋体" w:cs="新宋体"/>
                <w:i w:val="0"/>
                <w:iCs w:val="0"/>
                <w:color w:val="000000"/>
                <w:kern w:val="0"/>
                <w:sz w:val="21"/>
                <w:szCs w:val="21"/>
                <w:u w:val="none"/>
                <w:lang w:val="en-US" w:eastAsia="zh-CN" w:bidi="ar"/>
              </w:rPr>
              <w:br w:type="textWrapping"/>
            </w:r>
            <w:r>
              <w:rPr>
                <w:rFonts w:hint="eastAsia" w:ascii="新宋体" w:hAnsi="新宋体" w:eastAsia="新宋体" w:cs="新宋体"/>
                <w:i w:val="0"/>
                <w:iCs w:val="0"/>
                <w:color w:val="000000"/>
                <w:kern w:val="0"/>
                <w:sz w:val="21"/>
                <w:szCs w:val="21"/>
                <w:u w:val="none"/>
                <w:lang w:val="en-US" w:eastAsia="zh-CN" w:bidi="ar"/>
              </w:rPr>
              <w:t>4.评审委员会基于专业判断，认为供应商报价过低，有可能影响产品质量或者不能诚信履约的其他情形。</w:t>
            </w:r>
            <w:r>
              <w:rPr>
                <w:rFonts w:hint="eastAsia" w:ascii="新宋体" w:hAnsi="新宋体" w:eastAsia="新宋体" w:cs="新宋体"/>
                <w:i w:val="0"/>
                <w:iCs w:val="0"/>
                <w:color w:val="000000"/>
                <w:kern w:val="0"/>
                <w:sz w:val="21"/>
                <w:szCs w:val="21"/>
                <w:u w:val="none"/>
                <w:lang w:val="en-US" w:eastAsia="zh-CN" w:bidi="ar"/>
              </w:rPr>
              <w:br w:type="textWrapping"/>
            </w:r>
            <w:r>
              <w:rPr>
                <w:rFonts w:hint="eastAsia" w:ascii="新宋体" w:hAnsi="新宋体" w:eastAsia="新宋体" w:cs="新宋体"/>
                <w:i w:val="0"/>
                <w:iCs w:val="0"/>
                <w:color w:val="000000"/>
                <w:kern w:val="0"/>
                <w:sz w:val="21"/>
                <w:szCs w:val="21"/>
                <w:u w:val="none"/>
                <w:lang w:val="en-US" w:eastAsia="zh-CN" w:bidi="ar"/>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不少于30分钟。其中，属于第3项情形，供应商已随投标（响应）文件一并提交相关书面说明及必要的证明材料的，在评审现场可不再重复提交。</w:t>
            </w:r>
            <w:r>
              <w:rPr>
                <w:rFonts w:hint="eastAsia" w:ascii="新宋体" w:hAnsi="新宋体" w:eastAsia="新宋体" w:cs="新宋体"/>
                <w:i w:val="0"/>
                <w:iCs w:val="0"/>
                <w:color w:val="000000"/>
                <w:kern w:val="0"/>
                <w:sz w:val="21"/>
                <w:szCs w:val="21"/>
                <w:u w:val="none"/>
                <w:lang w:val="en-US" w:eastAsia="zh-CN" w:bidi="ar"/>
              </w:rPr>
              <w:br w:type="textWrapping"/>
            </w:r>
            <w:r>
              <w:rPr>
                <w:rFonts w:hint="eastAsia" w:ascii="新宋体" w:hAnsi="新宋体" w:eastAsia="新宋体" w:cs="新宋体"/>
                <w:i w:val="0"/>
                <w:iCs w:val="0"/>
                <w:color w:val="000000"/>
                <w:kern w:val="0"/>
                <w:sz w:val="21"/>
                <w:szCs w:val="21"/>
                <w:u w:val="none"/>
                <w:lang w:val="en-US" w:eastAsia="zh-CN" w:bidi="ar"/>
              </w:rPr>
              <w:t>（三）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44645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0" w:hRule="atLeast"/>
          <w:jc w:val="center"/>
        </w:trPr>
        <w:tc>
          <w:tcPr>
            <w:tcW w:w="11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609C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技术部分(F2)</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6F1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施工方案与技术措施</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C37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ED80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磋商小组根据投标供应商提供的施工方案与技术措施进行评审，内容至少包含但不限于：①对项目总体概况表述清晰、完整；②部署及措施先进、可靠；③对项目主要及关键方案有深入的表述，对重点、难点分析透彻，解决方案切实可行；④施工平面布置有针对性、合理，较好满足施工需要，符合安全、文明生产要求。）等进行综合评审：总体完全满足的，计20分；不完善或欠合理或有缺陷的每项扣3分；有缺漏项或与本项目无关的每项扣5分，扣完为止；未提供的不计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注：不完善、欠合理、内容缺陷是指:非专门针对本项目或不适用项目特性的情形、内容不完整、有缺陷或缺少关键节点、套用其他项目方案、内容前后矛盾、涉及的规范及标准错误、不利于项目实施、不可能实现的情形等任意一种情形。</w:t>
            </w:r>
          </w:p>
        </w:tc>
      </w:tr>
      <w:tr w14:paraId="6AEC0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jc w:val="center"/>
        </w:trPr>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4CE3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1"/>
                <w:szCs w:val="21"/>
                <w:u w:val="none"/>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FB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工程进度计划与保证措施</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7D2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7103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磋商小组根据投标供应商提供的工程进度计划与保证措施进行评审，内容至少包含但不限于：①总工期优于磋商文件要求；②施工进度计划内容全面，线路清晰、准确、完整，计划编制合理、可行；措施有力、合理、可行。）等进行综合评审：总体完全满足的，计20分；不完善或欠合理或有缺陷的每项扣5分；有缺漏项或与本项目无关的每项扣10分，扣完为止；未提供的不计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注：不完善、欠合理、内容缺陷是指:非专门针对本项目或不适用项目特性的情形、内容不完整、有缺陷或缺少关键节点、套用其他项目方案、内容前后矛盾、涉及的规范及标准错误、不利于项目实施、不可能实现的情形等任意一种情形。</w:t>
            </w:r>
          </w:p>
        </w:tc>
      </w:tr>
      <w:tr w14:paraId="545C8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60" w:hRule="atLeast"/>
          <w:jc w:val="center"/>
        </w:trPr>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6F7E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1"/>
                <w:szCs w:val="21"/>
                <w:u w:val="none"/>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4F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质量管理体系与措施</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50E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EA79E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磋商小组根据投标供应商提供的质量管理体系与措施进行评审，内容至少包含但不限于：①质量目标明确，优于磋商文件的要求；②管理机构健全，职责分工明确；③管理制度齐全；④实施与监控措施全面、有效。）等进行综合评审：总体完全满足的，计20分；不完善或欠合理或有缺陷的每项扣3分；有缺漏项或与本项目无关的每项扣5分，扣完为止；未提供的不计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注：不完善、欠合理、内容缺陷是指:非专门针对本项目或不适用项目特性的情形、内容不完整、有缺陷或缺少关键节点、套用其他项目方案、内容前后矛盾、涉及的规范及标准错误、不利于项目实施、不可能实现的情形等任意一种情形。</w:t>
            </w:r>
          </w:p>
        </w:tc>
      </w:tr>
      <w:tr w14:paraId="216BE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60" w:hRule="atLeast"/>
          <w:jc w:val="center"/>
        </w:trPr>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406F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1"/>
                <w:szCs w:val="21"/>
                <w:u w:val="none"/>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926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安全管理体系与措施</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A0A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8E422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磋商小组根据投标供应商提供的安全管理体系与措施进行评审，内容至少包含但不限于：①安全目标明确，优于磋商文件的要求；②管理机构健全，管理制度齐全，职责分工明确；③应急处置方案有针对性、合理；④实施与监控措施全面、有效。）等进行综合评审：总体完全满足的，计20分；不完善或欠合理或有缺陷的每项扣3分；有缺漏项或与本项目无关的每项扣5分，扣完为止；未提供的不计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注：不完善、欠合理、内容缺陷是指:非专门针对本项目或不适用项目特性的情形、内容不完整、有缺陷或缺少关键节点、套用其他项目方案、内容前后矛盾、涉及的规范及标准错误、不利于项目实施、不可能实现的情形等任意一种情形。</w:t>
            </w:r>
          </w:p>
        </w:tc>
      </w:tr>
      <w:tr w14:paraId="06B3C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0" w:hRule="atLeast"/>
          <w:jc w:val="center"/>
        </w:trPr>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E09F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1"/>
                <w:szCs w:val="21"/>
                <w:u w:val="none"/>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EEA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环境保护管理体系与措施</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FC7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90B15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磋商小组根据投标供应商提供的环境保护管理体系与措施进行评审，内容至少包含但不限于：①环境目标明确，优于磋商文件的要求；②管理机构健全，职责分工明确；③管理制度齐全；④实施与监控措施全面、有效。）等进行综合评审：总体完全满足的，计10分；不完善或欠合理或有缺陷的每项扣2分；有缺漏项或与本项目无关的每项扣2.5分，扣完为止；未提供的不计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注：不完善、欠合理、内容缺陷是指:非专门针对本项目或不适用项目特性的情形、内容不完整、有缺陷或缺少关键节点、套用其他项目方案、内容前后矛盾、涉及的规范及标准错误、不利于项目实施、不可能实现的情形等任意一种情形。</w:t>
            </w:r>
          </w:p>
        </w:tc>
      </w:tr>
      <w:tr w14:paraId="1EAAD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0" w:hRule="atLeast"/>
          <w:jc w:val="center"/>
        </w:trPr>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E1F6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1"/>
                <w:szCs w:val="21"/>
                <w:u w:val="none"/>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AB3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资源配备计划</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E07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6DC6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磋商小组根据投标供应商提供的资源配备计划进行评审，内容至少包含但不限于：①资源投入计划与施工部署、施工方法及进度计划呼应；②资源调配投入计划合理、准确。）等进行综合评审：总体完全满足的，计10分；不完善或欠合理或有缺陷的每项扣3分；有缺漏项或与本项目无关的每项扣5分，扣完为止；未提供的不计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注：不完善、欠合理、内容缺陷是指:非专门针对本项目或不适用项目特性的情形、内容不完整、有缺陷或缺少关键节点、套用其他项目方案、内容前后矛盾、涉及的规范及标准错误、不利于项目实施、不可能实现的情形等任意一种情形。</w:t>
            </w:r>
          </w:p>
        </w:tc>
      </w:tr>
      <w:tr w14:paraId="3BCD7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jc w:val="center"/>
        </w:trPr>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4FF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商务部分(F3)</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51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信用评价</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33A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EC6A5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信用加分和扣分： </w:t>
            </w:r>
          </w:p>
          <w:p w14:paraId="3099D891">
            <w:pPr>
              <w:keepNext w:val="0"/>
              <w:keepLines w:val="0"/>
              <w:widowControl/>
              <w:suppressLineNumbers w:val="0"/>
              <w:spacing w:before="0" w:beforeAutospacing="0" w:after="0" w:afterAutospacing="0"/>
              <w:ind w:left="0" w:right="0" w:firstLine="420" w:firstLineChars="20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信用得分由全国水利建设市场主体信用评价加分和行政处罚扣分两类组成，其中信用评价加分权重 30%（AAA 得分 100%，AA 得分 95%，A 得分 80%，B 得分 60%，C</w:t>
            </w:r>
            <w:r>
              <w:rPr>
                <w:rFonts w:hint="eastAsia" w:ascii="宋体" w:hAnsi="宋体" w:cs="宋体"/>
                <w:i w:val="0"/>
                <w:iCs w:val="0"/>
                <w:color w:val="000000"/>
                <w:kern w:val="0"/>
                <w:sz w:val="21"/>
                <w:szCs w:val="21"/>
                <w:u w:val="none"/>
                <w:lang w:val="en-US" w:eastAsia="zh-CN" w:bidi="ar"/>
              </w:rPr>
              <w:t>或</w:t>
            </w:r>
            <w:r>
              <w:rPr>
                <w:rFonts w:hint="eastAsia" w:ascii="宋体" w:hAnsi="宋体" w:eastAsia="宋体" w:cs="宋体"/>
                <w:i w:val="0"/>
                <w:iCs w:val="0"/>
                <w:color w:val="000000"/>
                <w:kern w:val="0"/>
                <w:sz w:val="21"/>
                <w:szCs w:val="21"/>
                <w:u w:val="none"/>
                <w:lang w:val="en-US" w:eastAsia="zh-CN" w:bidi="ar"/>
              </w:rPr>
              <w:t xml:space="preserve">未参加全国水利建设市场主体信用评价的不得分）；行政处罚扣分权重 70%，行政处罚信息是指在全国水利建设市场监管平台正在公示的行政处罚信息，以及截至开标之日向前追溯 1 年（以行政处罚决定时间为准），投标人在从事水利工程建设活动中，因围标串标、出借资质、投标弄虚作假、转包、违法分包、工程质量、安全生产、农民工工资受到的行政处罚（不含警告、通报批评），但在全国水利建设市场监管平台未公示过的行政处罚。 </w:t>
            </w:r>
          </w:p>
          <w:p w14:paraId="77CC40B8">
            <w:pPr>
              <w:keepNext w:val="0"/>
              <w:keepLines w:val="0"/>
              <w:widowControl/>
              <w:suppressLineNumbers w:val="0"/>
              <w:spacing w:before="0" w:beforeAutospacing="0" w:after="0" w:afterAutospacing="0"/>
              <w:ind w:left="0" w:right="0" w:firstLine="420" w:firstLineChars="20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存在多项行政处罚扣分的，按照第一项行政处罚扣分权重 10%、第二项扣 15%、第三项扣 20%、第四项扣 25%、第五项扣 30%的原则累加扣分，扣完为止。 </w:t>
            </w:r>
          </w:p>
          <w:p w14:paraId="25D58095">
            <w:pPr>
              <w:keepNext w:val="0"/>
              <w:keepLines w:val="0"/>
              <w:widowControl/>
              <w:suppressLineNumbers w:val="0"/>
              <w:spacing w:before="0" w:beforeAutospacing="0" w:after="0" w:afterAutospacing="0"/>
              <w:ind w:left="0" w:right="0" w:firstLine="420" w:firstLineChars="20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相关行政处罚信息由投标人自行填写。 </w:t>
            </w:r>
          </w:p>
          <w:p w14:paraId="077868E9">
            <w:pPr>
              <w:keepNext w:val="0"/>
              <w:keepLines w:val="0"/>
              <w:widowControl/>
              <w:suppressLineNumbers w:val="0"/>
              <w:spacing w:before="0" w:beforeAutospacing="0" w:after="0" w:afterAutospacing="0"/>
              <w:ind w:left="0" w:right="0" w:firstLine="420" w:firstLineChars="20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因未如实填写造成异议、投诉，经调查属实的，将取消其</w:t>
            </w:r>
            <w:r>
              <w:rPr>
                <w:rFonts w:hint="eastAsia" w:ascii="宋体" w:hAnsi="宋体" w:cs="宋体"/>
                <w:i w:val="0"/>
                <w:iCs w:val="0"/>
                <w:color w:val="000000"/>
                <w:kern w:val="0"/>
                <w:sz w:val="21"/>
                <w:szCs w:val="21"/>
                <w:u w:val="none"/>
                <w:lang w:val="en-US" w:eastAsia="zh-CN" w:bidi="ar"/>
              </w:rPr>
              <w:t>成交供应商</w:t>
            </w:r>
            <w:r>
              <w:rPr>
                <w:rFonts w:hint="eastAsia" w:ascii="宋体" w:hAnsi="宋体" w:eastAsia="宋体" w:cs="宋体"/>
                <w:i w:val="0"/>
                <w:iCs w:val="0"/>
                <w:color w:val="000000"/>
                <w:kern w:val="0"/>
                <w:sz w:val="21"/>
                <w:szCs w:val="21"/>
                <w:u w:val="none"/>
                <w:lang w:val="en-US" w:eastAsia="zh-CN" w:bidi="ar"/>
              </w:rPr>
              <w:t xml:space="preserve">资格并认定为失信行为。 </w:t>
            </w:r>
          </w:p>
          <w:p w14:paraId="62D6D510">
            <w:pPr>
              <w:keepNext w:val="0"/>
              <w:keepLines w:val="0"/>
              <w:widowControl/>
              <w:suppressLineNumbers w:val="0"/>
              <w:spacing w:before="0" w:beforeAutospacing="0" w:after="0" w:afterAutospacing="0"/>
              <w:ind w:left="0" w:right="0" w:firstLine="420" w:firstLineChars="20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注：提供全国水利建设市场主体信用评价等级截图。</w:t>
            </w:r>
          </w:p>
        </w:tc>
      </w:tr>
      <w:tr w14:paraId="12B26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10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C30F8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评审总得分=F1×A1+F2×A2+……+Fn×An</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F1、F2……Fn分别为各项评分因素的汇总得分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A1、A2……An分别为各项评分因素所占的权值（A1+A2+……An=1）</w:t>
            </w:r>
          </w:p>
        </w:tc>
      </w:tr>
      <w:tr w14:paraId="7E4A6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A3F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推荐的成交候选人数</w:t>
            </w:r>
          </w:p>
        </w:tc>
        <w:tc>
          <w:tcPr>
            <w:tcW w:w="9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F2DD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综合得分前3名</w:t>
            </w:r>
          </w:p>
        </w:tc>
      </w:tr>
      <w:tr w14:paraId="1101D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jc w:val="center"/>
        </w:trPr>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2BC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推荐成交供应商候选人方式</w:t>
            </w:r>
          </w:p>
        </w:tc>
        <w:tc>
          <w:tcPr>
            <w:tcW w:w="9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50A6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以综合得分高低顺序排名，得分最高的为第一成交候选人。</w:t>
            </w:r>
          </w:p>
        </w:tc>
      </w:tr>
    </w:tbl>
    <w:p w14:paraId="0E581E1F">
      <w:pPr>
        <w:wordWrap w:val="0"/>
        <w:spacing w:after="160"/>
        <w:jc w:val="left"/>
        <w:rPr>
          <w:rFonts w:ascii="新宋体" w:hAnsi="新宋体" w:eastAsia="新宋体" w:cs="新宋体"/>
        </w:rPr>
      </w:pPr>
      <w:r>
        <w:rPr>
          <w:rFonts w:hint="eastAsia" w:ascii="宋体" w:hAnsi="宋体" w:cs="宋体"/>
          <w:kern w:val="0"/>
          <w:szCs w:val="21"/>
        </w:rPr>
        <w:br w:type="page"/>
      </w:r>
    </w:p>
    <w:p w14:paraId="6A130D69">
      <w:pPr>
        <w:pStyle w:val="26"/>
        <w:jc w:val="center"/>
        <w:outlineLvl w:val="1"/>
        <w:rPr>
          <w:rFonts w:ascii="Times New Roman" w:hAnsi="Times New Roman" w:eastAsia="黑体"/>
          <w:b/>
          <w:sz w:val="24"/>
          <w:szCs w:val="24"/>
        </w:rPr>
      </w:pPr>
      <w:bookmarkStart w:id="18" w:name="_Toc16523"/>
      <w:r>
        <w:rPr>
          <w:rFonts w:hint="eastAsia" w:ascii="Times New Roman" w:hAnsi="Times New Roman" w:eastAsia="黑体"/>
          <w:b/>
          <w:sz w:val="24"/>
          <w:szCs w:val="24"/>
        </w:rPr>
        <w:t>第二节  磋商须知正文</w:t>
      </w:r>
      <w:bookmarkEnd w:id="18"/>
    </w:p>
    <w:p w14:paraId="5D8965CA">
      <w:pPr>
        <w:pStyle w:val="8"/>
        <w:spacing w:before="0" w:after="0" w:line="440" w:lineRule="exact"/>
        <w:jc w:val="center"/>
        <w:rPr>
          <w:rFonts w:ascii="新宋体" w:hAnsi="新宋体" w:eastAsia="新宋体" w:cs="新宋体"/>
          <w:b w:val="0"/>
          <w:bCs w:val="0"/>
          <w:sz w:val="24"/>
          <w:szCs w:val="24"/>
        </w:rPr>
      </w:pPr>
      <w:bookmarkStart w:id="19" w:name="_Toc13866"/>
      <w:r>
        <w:rPr>
          <w:rFonts w:hint="eastAsia" w:ascii="新宋体" w:hAnsi="新宋体" w:eastAsia="新宋体" w:cs="新宋体"/>
          <w:sz w:val="24"/>
          <w:szCs w:val="24"/>
        </w:rPr>
        <w:t>一、说明</w:t>
      </w:r>
      <w:bookmarkEnd w:id="19"/>
    </w:p>
    <w:p w14:paraId="742B52CC">
      <w:pPr>
        <w:snapToGrid w:val="0"/>
        <w:spacing w:line="360" w:lineRule="auto"/>
        <w:rPr>
          <w:rFonts w:ascii="新宋体" w:hAnsi="新宋体" w:eastAsia="新宋体" w:cs="新宋体"/>
          <w:b/>
        </w:rPr>
      </w:pPr>
      <w:r>
        <w:rPr>
          <w:rFonts w:hint="eastAsia" w:ascii="新宋体" w:hAnsi="新宋体" w:eastAsia="新宋体" w:cs="新宋体"/>
          <w:b/>
        </w:rPr>
        <w:t>1.适用范围</w:t>
      </w:r>
    </w:p>
    <w:p w14:paraId="24F7AB43">
      <w:pPr>
        <w:snapToGrid w:val="0"/>
        <w:spacing w:line="360" w:lineRule="auto"/>
        <w:ind w:firstLine="420"/>
        <w:rPr>
          <w:rFonts w:ascii="新宋体" w:hAnsi="新宋体" w:eastAsia="新宋体" w:cs="新宋体"/>
        </w:rPr>
      </w:pPr>
      <w:r>
        <w:rPr>
          <w:rFonts w:hint="eastAsia" w:ascii="新宋体" w:hAnsi="新宋体" w:eastAsia="新宋体" w:cs="新宋体"/>
        </w:rPr>
        <w:t>1.1 本磋商文件仅适用于磋商须知前附表(以下简称【</w:t>
      </w:r>
      <w:r>
        <w:rPr>
          <w:rFonts w:hint="eastAsia" w:ascii="新宋体" w:hAnsi="新宋体" w:eastAsia="新宋体" w:cs="新宋体"/>
          <w:b/>
        </w:rPr>
        <w:t>磋商须知前附表】)</w:t>
      </w:r>
      <w:r>
        <w:rPr>
          <w:rFonts w:hint="eastAsia" w:ascii="新宋体" w:hAnsi="新宋体" w:eastAsia="新宋体" w:cs="新宋体"/>
        </w:rPr>
        <w:t>中所叙述的采购项目。</w:t>
      </w:r>
    </w:p>
    <w:p w14:paraId="76810892">
      <w:pPr>
        <w:snapToGrid w:val="0"/>
        <w:spacing w:line="360" w:lineRule="auto"/>
        <w:rPr>
          <w:rFonts w:ascii="新宋体" w:hAnsi="新宋体" w:eastAsia="新宋体" w:cs="新宋体"/>
          <w:b/>
        </w:rPr>
      </w:pPr>
      <w:r>
        <w:rPr>
          <w:rFonts w:hint="eastAsia" w:ascii="新宋体" w:hAnsi="新宋体" w:eastAsia="新宋体" w:cs="新宋体"/>
          <w:b/>
        </w:rPr>
        <w:t>2.定义</w:t>
      </w:r>
    </w:p>
    <w:p w14:paraId="56084765">
      <w:pPr>
        <w:snapToGrid w:val="0"/>
        <w:spacing w:line="360" w:lineRule="auto"/>
        <w:ind w:firstLine="420"/>
        <w:rPr>
          <w:rFonts w:ascii="新宋体" w:hAnsi="新宋体" w:eastAsia="新宋体" w:cs="新宋体"/>
          <w:b/>
        </w:rPr>
      </w:pPr>
      <w:r>
        <w:rPr>
          <w:rFonts w:hint="eastAsia" w:ascii="新宋体" w:hAnsi="新宋体" w:eastAsia="新宋体" w:cs="新宋体"/>
        </w:rPr>
        <w:t>2.1 “采购人”是指依法进行政府采购的国家机关、事业单位、团体组织。本次政府采购的采购人名称、地址、电话、联系人见</w:t>
      </w:r>
      <w:r>
        <w:rPr>
          <w:rFonts w:hint="eastAsia" w:ascii="新宋体" w:hAnsi="新宋体" w:eastAsia="新宋体" w:cs="新宋体"/>
          <w:b/>
        </w:rPr>
        <w:t>【</w:t>
      </w:r>
      <w:r>
        <w:rPr>
          <w:rFonts w:hint="eastAsia" w:ascii="新宋体" w:hAnsi="新宋体" w:eastAsia="新宋体" w:cs="新宋体"/>
        </w:rPr>
        <w:t>磋商邀请</w:t>
      </w:r>
      <w:r>
        <w:rPr>
          <w:rFonts w:hint="eastAsia" w:ascii="新宋体" w:hAnsi="新宋体" w:eastAsia="新宋体" w:cs="新宋体"/>
          <w:b/>
        </w:rPr>
        <w:t>】</w:t>
      </w:r>
      <w:r>
        <w:rPr>
          <w:rFonts w:hint="eastAsia" w:ascii="新宋体" w:hAnsi="新宋体" w:eastAsia="新宋体" w:cs="新宋体"/>
        </w:rPr>
        <w:t>。</w:t>
      </w:r>
    </w:p>
    <w:p w14:paraId="0A25CF08">
      <w:pPr>
        <w:snapToGrid w:val="0"/>
        <w:spacing w:line="360" w:lineRule="auto"/>
        <w:ind w:firstLine="420"/>
        <w:rPr>
          <w:rFonts w:ascii="新宋体" w:hAnsi="新宋体" w:eastAsia="新宋体" w:cs="新宋体"/>
          <w:b/>
        </w:rPr>
      </w:pPr>
      <w:r>
        <w:rPr>
          <w:rFonts w:hint="eastAsia" w:ascii="新宋体" w:hAnsi="新宋体" w:eastAsia="新宋体" w:cs="新宋体"/>
        </w:rPr>
        <w:t>2.2 “采购代理机构”是指接受采购人委托，代理采购项目的集中采购机构和其他采购代理机构。本次政府采购的采购代理机构名称、地址、电话、联系人见</w:t>
      </w:r>
      <w:r>
        <w:rPr>
          <w:rFonts w:hint="eastAsia" w:ascii="新宋体" w:hAnsi="新宋体" w:eastAsia="新宋体" w:cs="新宋体"/>
          <w:b/>
        </w:rPr>
        <w:t>【</w:t>
      </w:r>
      <w:r>
        <w:rPr>
          <w:rFonts w:hint="eastAsia" w:ascii="新宋体" w:hAnsi="新宋体" w:eastAsia="新宋体" w:cs="新宋体"/>
        </w:rPr>
        <w:t>磋商邀请</w:t>
      </w:r>
      <w:r>
        <w:rPr>
          <w:rFonts w:hint="eastAsia" w:ascii="新宋体" w:hAnsi="新宋体" w:eastAsia="新宋体" w:cs="新宋体"/>
          <w:b/>
        </w:rPr>
        <w:t>】。</w:t>
      </w:r>
    </w:p>
    <w:p w14:paraId="1E8466D5">
      <w:pPr>
        <w:snapToGrid w:val="0"/>
        <w:spacing w:line="360" w:lineRule="auto"/>
        <w:ind w:firstLine="420"/>
        <w:rPr>
          <w:rFonts w:ascii="新宋体" w:hAnsi="新宋体" w:eastAsia="新宋体" w:cs="新宋体"/>
        </w:rPr>
      </w:pPr>
      <w:r>
        <w:rPr>
          <w:rFonts w:hint="eastAsia" w:ascii="新宋体" w:hAnsi="新宋体" w:eastAsia="新宋体" w:cs="新宋体"/>
        </w:rPr>
        <w:t>2.3 “供应商”是指响应磋商文件要求、参加竞争性磋商采购的法人、其他组织或者自然人。本次政府采购项目采用</w:t>
      </w:r>
      <w:r>
        <w:rPr>
          <w:rFonts w:hint="eastAsia" w:ascii="新宋体" w:hAnsi="新宋体" w:eastAsia="新宋体" w:cs="新宋体"/>
          <w:b/>
        </w:rPr>
        <w:t>【</w:t>
      </w:r>
      <w:r>
        <w:rPr>
          <w:rFonts w:hint="eastAsia" w:ascii="新宋体" w:hAnsi="新宋体" w:eastAsia="新宋体" w:cs="新宋体"/>
        </w:rPr>
        <w:t>磋商邀请</w:t>
      </w:r>
      <w:r>
        <w:rPr>
          <w:rFonts w:hint="eastAsia" w:ascii="新宋体" w:hAnsi="新宋体" w:eastAsia="新宋体" w:cs="新宋体"/>
          <w:b/>
        </w:rPr>
        <w:t>】</w:t>
      </w:r>
      <w:r>
        <w:rPr>
          <w:rFonts w:hint="eastAsia" w:ascii="新宋体" w:hAnsi="新宋体" w:eastAsia="新宋体" w:cs="新宋体"/>
        </w:rPr>
        <w:t>所述方式，邀请符合资格条件的供应商参与竞争性磋商采购活动。供应商应持</w:t>
      </w:r>
      <w:r>
        <w:rPr>
          <w:rFonts w:hint="eastAsia" w:ascii="新宋体" w:hAnsi="新宋体" w:eastAsia="新宋体" w:cs="新宋体"/>
          <w:b/>
        </w:rPr>
        <w:t>【</w:t>
      </w:r>
      <w:r>
        <w:rPr>
          <w:rFonts w:hint="eastAsia" w:ascii="新宋体" w:hAnsi="新宋体" w:eastAsia="新宋体" w:cs="新宋体"/>
        </w:rPr>
        <w:t>磋商邀请</w:t>
      </w:r>
      <w:r>
        <w:rPr>
          <w:rFonts w:hint="eastAsia" w:ascii="新宋体" w:hAnsi="新宋体" w:eastAsia="新宋体" w:cs="新宋体"/>
          <w:b/>
        </w:rPr>
        <w:t>】</w:t>
      </w:r>
      <w:r>
        <w:rPr>
          <w:rFonts w:hint="eastAsia" w:ascii="新宋体" w:hAnsi="新宋体" w:eastAsia="新宋体" w:cs="新宋体"/>
        </w:rPr>
        <w:t>规定的资料购买磋商文件。</w:t>
      </w:r>
    </w:p>
    <w:p w14:paraId="037B6846">
      <w:pPr>
        <w:snapToGrid w:val="0"/>
        <w:spacing w:line="360" w:lineRule="auto"/>
        <w:ind w:firstLine="420"/>
        <w:rPr>
          <w:rFonts w:ascii="新宋体" w:hAnsi="新宋体" w:eastAsia="新宋体" w:cs="新宋体"/>
        </w:rPr>
      </w:pPr>
      <w:r>
        <w:rPr>
          <w:rFonts w:hint="eastAsia" w:ascii="新宋体" w:hAnsi="新宋体" w:eastAsia="新宋体" w:cs="新宋体"/>
        </w:rPr>
        <w:t>2.4 “磋商小组”是指依据财政部《政府采购竞争性磋商采购方式管理暂行办法》有关规定组建，依法依规履行其职责和义务的机构。</w:t>
      </w:r>
    </w:p>
    <w:p w14:paraId="4BFFB99D">
      <w:pPr>
        <w:snapToGrid w:val="0"/>
        <w:spacing w:line="360" w:lineRule="auto"/>
        <w:ind w:firstLine="420"/>
        <w:rPr>
          <w:rFonts w:ascii="新宋体" w:hAnsi="新宋体" w:eastAsia="新宋体" w:cs="新宋体"/>
        </w:rPr>
      </w:pPr>
      <w:r>
        <w:rPr>
          <w:rFonts w:hint="eastAsia" w:ascii="新宋体" w:hAnsi="新宋体" w:eastAsia="新宋体" w:cs="新宋体"/>
        </w:rPr>
        <w:t>2.5 “货物”是指各种形态和种类的物品，包括原资料、燃料、设备、产品等，详见《政府采购品目分类目录》(财库[2013]189号)。</w:t>
      </w:r>
    </w:p>
    <w:p w14:paraId="4B6FA916">
      <w:pPr>
        <w:snapToGrid w:val="0"/>
        <w:spacing w:line="360" w:lineRule="auto"/>
        <w:ind w:firstLine="420"/>
        <w:rPr>
          <w:rFonts w:ascii="新宋体" w:hAnsi="新宋体" w:eastAsia="新宋体" w:cs="新宋体"/>
        </w:rPr>
      </w:pPr>
      <w:r>
        <w:rPr>
          <w:rFonts w:hint="eastAsia" w:ascii="新宋体" w:hAnsi="新宋体" w:eastAsia="新宋体" w:cs="新宋体"/>
        </w:rPr>
        <w:t>2.6 “工程”是指建设工程，包括建筑物和构筑物的新建、改建、扩建、装修、拆除、修缮等，详见《政府采购品目分类目录》(财库[2013]189号)。</w:t>
      </w:r>
    </w:p>
    <w:p w14:paraId="626F53F0">
      <w:pPr>
        <w:snapToGrid w:val="0"/>
        <w:spacing w:line="360" w:lineRule="auto"/>
        <w:ind w:firstLine="420"/>
        <w:rPr>
          <w:rFonts w:ascii="新宋体" w:hAnsi="新宋体" w:eastAsia="新宋体" w:cs="新宋体"/>
        </w:rPr>
      </w:pPr>
      <w:r>
        <w:rPr>
          <w:rFonts w:hint="eastAsia" w:ascii="新宋体" w:hAnsi="新宋体" w:eastAsia="新宋体" w:cs="新宋体"/>
        </w:rPr>
        <w:t>2.7 “服务”是指除货物和工程以外的其他政府采购对象，详见《政府采购品目分类目录》(财库[2013]189号)。</w:t>
      </w:r>
    </w:p>
    <w:p w14:paraId="1717D125">
      <w:pPr>
        <w:snapToGrid w:val="0"/>
        <w:spacing w:line="360" w:lineRule="auto"/>
        <w:ind w:firstLine="420"/>
        <w:rPr>
          <w:rFonts w:ascii="新宋体" w:hAnsi="新宋体" w:eastAsia="新宋体" w:cs="新宋体"/>
        </w:rPr>
      </w:pPr>
      <w:r>
        <w:rPr>
          <w:rFonts w:hint="eastAsia" w:ascii="新宋体" w:hAnsi="新宋体" w:eastAsia="新宋体" w:cs="新宋体"/>
        </w:rPr>
        <w:t>2.8 “节能产品”或者“环保产品”是指财政部发布的《节能产品政府采购清单》或者《环境标志产品政府采购清单》的产品，“两型产品”是指湖南省财政厅发布的《湖南省两型产品政府采购目录》的产品。</w:t>
      </w:r>
    </w:p>
    <w:p w14:paraId="5A92E654">
      <w:pPr>
        <w:snapToGrid w:val="0"/>
        <w:spacing w:line="360" w:lineRule="auto"/>
        <w:ind w:firstLine="420"/>
        <w:jc w:val="left"/>
        <w:rPr>
          <w:rFonts w:ascii="新宋体" w:hAnsi="新宋体" w:eastAsia="新宋体" w:cs="新宋体"/>
        </w:rPr>
      </w:pPr>
      <w:r>
        <w:rPr>
          <w:rFonts w:hint="eastAsia" w:ascii="新宋体" w:hAnsi="新宋体" w:eastAsia="新宋体" w:cs="新宋体"/>
        </w:rPr>
        <w:t>2.9“进口产品”是指通过中国海关报关验放进入中国境内且产自关境外的产品，详见《关于政府采购进口产品管理有关问题的通知》(财库[2007]119号)。</w:t>
      </w:r>
    </w:p>
    <w:p w14:paraId="7ECC95CC">
      <w:pPr>
        <w:snapToGrid w:val="0"/>
        <w:spacing w:line="360" w:lineRule="auto"/>
        <w:rPr>
          <w:rFonts w:ascii="新宋体" w:hAnsi="新宋体" w:eastAsia="新宋体" w:cs="新宋体"/>
          <w:b/>
        </w:rPr>
      </w:pPr>
      <w:r>
        <w:rPr>
          <w:rFonts w:hint="eastAsia" w:ascii="新宋体" w:hAnsi="新宋体" w:eastAsia="新宋体" w:cs="新宋体"/>
          <w:b/>
        </w:rPr>
        <w:t>3.供应商的资格要求</w:t>
      </w:r>
    </w:p>
    <w:p w14:paraId="54161834">
      <w:pPr>
        <w:snapToGrid w:val="0"/>
        <w:spacing w:line="360" w:lineRule="auto"/>
        <w:ind w:firstLine="420"/>
        <w:rPr>
          <w:rFonts w:ascii="新宋体" w:hAnsi="新宋体" w:eastAsia="新宋体" w:cs="新宋体"/>
        </w:rPr>
      </w:pPr>
      <w:r>
        <w:rPr>
          <w:rFonts w:hint="eastAsia" w:ascii="新宋体" w:hAnsi="新宋体" w:eastAsia="新宋体" w:cs="新宋体"/>
        </w:rPr>
        <w:t>3.1 供应商应当符合</w:t>
      </w:r>
      <w:r>
        <w:rPr>
          <w:rFonts w:hint="eastAsia" w:ascii="新宋体" w:hAnsi="新宋体" w:eastAsia="新宋体" w:cs="新宋体"/>
          <w:b/>
        </w:rPr>
        <w:t>【</w:t>
      </w:r>
      <w:r>
        <w:rPr>
          <w:rFonts w:hint="eastAsia" w:ascii="新宋体" w:hAnsi="新宋体" w:eastAsia="新宋体" w:cs="新宋体"/>
        </w:rPr>
        <w:t>磋商邀请</w:t>
      </w:r>
      <w:r>
        <w:rPr>
          <w:rFonts w:hint="eastAsia" w:ascii="新宋体" w:hAnsi="新宋体" w:eastAsia="新宋体" w:cs="新宋体"/>
          <w:b/>
        </w:rPr>
        <w:t>】</w:t>
      </w:r>
      <w:r>
        <w:rPr>
          <w:rFonts w:hint="eastAsia" w:ascii="新宋体" w:hAnsi="新宋体" w:eastAsia="新宋体" w:cs="新宋体"/>
        </w:rPr>
        <w:t>中规定的资格条件要求。</w:t>
      </w:r>
    </w:p>
    <w:p w14:paraId="4488C40F">
      <w:pPr>
        <w:snapToGrid w:val="0"/>
        <w:spacing w:line="360" w:lineRule="auto"/>
        <w:ind w:firstLine="420"/>
        <w:jc w:val="left"/>
        <w:rPr>
          <w:rFonts w:ascii="新宋体" w:hAnsi="新宋体" w:eastAsia="新宋体" w:cs="新宋体"/>
        </w:rPr>
      </w:pPr>
      <w:r>
        <w:rPr>
          <w:rFonts w:hint="eastAsia" w:ascii="新宋体" w:hAnsi="新宋体" w:eastAsia="新宋体" w:cs="新宋体"/>
        </w:rPr>
        <w:t xml:space="preserve">3.2供应商为联合体形式的，除应满足本章第3.1款资格条件要求及第3.3款规定外，还应遵守以下规定： </w:t>
      </w:r>
    </w:p>
    <w:p w14:paraId="52D9F89D">
      <w:pPr>
        <w:snapToGrid w:val="0"/>
        <w:spacing w:line="360" w:lineRule="auto"/>
        <w:ind w:firstLine="420"/>
        <w:jc w:val="left"/>
        <w:rPr>
          <w:rFonts w:ascii="新宋体" w:hAnsi="新宋体" w:eastAsia="新宋体" w:cs="新宋体"/>
        </w:rPr>
      </w:pPr>
      <w:r>
        <w:rPr>
          <w:rFonts w:hint="eastAsia" w:ascii="新宋体" w:hAnsi="新宋体" w:eastAsia="新宋体" w:cs="新宋体"/>
        </w:rPr>
        <w:t>（1）联合体各方应按磋商文件提供的格式签订联合体协议书，明确联合体牵头人和各方权利义务(含承担工作及工作量比例)；</w:t>
      </w:r>
    </w:p>
    <w:p w14:paraId="1759CA6F">
      <w:pPr>
        <w:snapToGrid w:val="0"/>
        <w:spacing w:line="360" w:lineRule="auto"/>
        <w:ind w:firstLine="420"/>
        <w:jc w:val="left"/>
        <w:rPr>
          <w:rFonts w:ascii="新宋体" w:hAnsi="新宋体" w:eastAsia="新宋体" w:cs="新宋体"/>
        </w:rPr>
      </w:pPr>
      <w:r>
        <w:rPr>
          <w:rFonts w:hint="eastAsia" w:ascii="新宋体" w:hAnsi="新宋体" w:eastAsia="新宋体" w:cs="新宋体"/>
        </w:rPr>
        <w:t>（2）联合体中有同类资质的供应商按照联合体分工承担相同工作的，应当按照资质等级较低的供应商确定资质等级；</w:t>
      </w:r>
    </w:p>
    <w:p w14:paraId="20507AE3">
      <w:pPr>
        <w:snapToGrid w:val="0"/>
        <w:spacing w:line="360" w:lineRule="auto"/>
        <w:ind w:firstLine="420"/>
        <w:jc w:val="left"/>
        <w:rPr>
          <w:rFonts w:ascii="新宋体" w:hAnsi="新宋体" w:eastAsia="新宋体" w:cs="新宋体"/>
        </w:rPr>
      </w:pPr>
      <w:r>
        <w:rPr>
          <w:rFonts w:hint="eastAsia" w:ascii="新宋体" w:hAnsi="新宋体" w:eastAsia="新宋体" w:cs="新宋体"/>
        </w:rPr>
        <w:t>（3）以联合体形式参加政府采购活动的，联合体各方不得再单独参加或者与其他供应商另外组成联合体参加同一合同项下的政府采购活动。</w:t>
      </w:r>
    </w:p>
    <w:p w14:paraId="0025FC9E">
      <w:pPr>
        <w:snapToGrid w:val="0"/>
        <w:spacing w:line="360" w:lineRule="auto"/>
        <w:ind w:firstLine="420"/>
        <w:rPr>
          <w:rFonts w:ascii="新宋体" w:hAnsi="新宋体" w:eastAsia="新宋体" w:cs="新宋体"/>
        </w:rPr>
      </w:pPr>
      <w:r>
        <w:rPr>
          <w:rFonts w:hint="eastAsia" w:ascii="新宋体" w:hAnsi="新宋体" w:eastAsia="新宋体" w:cs="新宋体"/>
        </w:rPr>
        <w:t>3.3 供应商不得存在下列情形之一：</w:t>
      </w:r>
    </w:p>
    <w:p w14:paraId="2C0F49F0">
      <w:pPr>
        <w:snapToGrid w:val="0"/>
        <w:spacing w:line="360" w:lineRule="auto"/>
        <w:ind w:firstLine="420"/>
        <w:rPr>
          <w:rFonts w:ascii="新宋体" w:hAnsi="新宋体" w:eastAsia="新宋体" w:cs="新宋体"/>
        </w:rPr>
      </w:pPr>
      <w:r>
        <w:rPr>
          <w:rFonts w:hint="eastAsia" w:ascii="新宋体" w:hAnsi="新宋体" w:eastAsia="新宋体" w:cs="新宋体"/>
        </w:rPr>
        <w:t>（l）与采购人、采购代理机构存在隶属关系或者其他利害关系。</w:t>
      </w:r>
    </w:p>
    <w:p w14:paraId="36354E0F">
      <w:pPr>
        <w:snapToGrid w:val="0"/>
        <w:spacing w:line="360" w:lineRule="auto"/>
        <w:ind w:firstLine="420"/>
        <w:rPr>
          <w:rFonts w:ascii="新宋体" w:hAnsi="新宋体" w:eastAsia="新宋体" w:cs="新宋体"/>
        </w:rPr>
      </w:pPr>
      <w:r>
        <w:rPr>
          <w:rFonts w:hint="eastAsia" w:ascii="新宋体" w:hAnsi="新宋体" w:eastAsia="新宋体" w:cs="新宋体"/>
        </w:rPr>
        <w:t>（2）与其他供应商的法定代表人（或者负责人）为同一人，或者与其他供应商存在控股、关联关系。</w:t>
      </w:r>
    </w:p>
    <w:p w14:paraId="1688DD91">
      <w:pPr>
        <w:snapToGrid w:val="0"/>
        <w:spacing w:line="360" w:lineRule="auto"/>
        <w:ind w:firstLine="420"/>
        <w:jc w:val="left"/>
        <w:rPr>
          <w:rFonts w:ascii="新宋体" w:hAnsi="新宋体" w:eastAsia="新宋体" w:cs="新宋体"/>
        </w:rPr>
      </w:pPr>
      <w:r>
        <w:rPr>
          <w:rFonts w:hint="eastAsia" w:ascii="新宋体" w:hAnsi="新宋体" w:eastAsia="新宋体" w:cs="新宋体"/>
        </w:rPr>
        <w:t>（3）为采购项目提供整体设计、规范编制或者项目管理、监理、检测等服务的供应商。</w:t>
      </w:r>
    </w:p>
    <w:p w14:paraId="55C605F7">
      <w:pPr>
        <w:snapToGrid w:val="0"/>
        <w:spacing w:line="360" w:lineRule="auto"/>
        <w:ind w:firstLine="420"/>
        <w:jc w:val="left"/>
        <w:rPr>
          <w:rFonts w:ascii="新宋体" w:hAnsi="新宋体" w:eastAsia="新宋体" w:cs="新宋体"/>
        </w:rPr>
      </w:pPr>
      <w:r>
        <w:rPr>
          <w:rFonts w:hint="eastAsia" w:ascii="新宋体" w:hAnsi="新宋体" w:eastAsia="新宋体" w:cs="新宋体"/>
        </w:rPr>
        <w:t>（4）列入失信被执行人、重大税收违法案件当事人名单、政府采购严重违法失信行为记录名单及其他不符合《中华人民共和国政府采购法》第二十二条规定条件（联合体形式投标的，联合体成员存在不良信用记录，视同联合体存在不良信用记录）。</w:t>
      </w:r>
    </w:p>
    <w:p w14:paraId="18345D95">
      <w:pPr>
        <w:snapToGrid w:val="0"/>
        <w:spacing w:line="360" w:lineRule="auto"/>
        <w:rPr>
          <w:rFonts w:ascii="新宋体" w:hAnsi="新宋体" w:eastAsia="新宋体" w:cs="新宋体"/>
          <w:b/>
        </w:rPr>
      </w:pPr>
      <w:r>
        <w:rPr>
          <w:rFonts w:hint="eastAsia" w:ascii="新宋体" w:hAnsi="新宋体" w:eastAsia="新宋体" w:cs="新宋体"/>
          <w:b/>
        </w:rPr>
        <w:t xml:space="preserve">4.参与磋商的费用 </w:t>
      </w:r>
    </w:p>
    <w:p w14:paraId="6038D8A2">
      <w:pPr>
        <w:snapToGrid w:val="0"/>
        <w:spacing w:line="360" w:lineRule="auto"/>
        <w:ind w:firstLine="420"/>
        <w:rPr>
          <w:rFonts w:ascii="新宋体" w:hAnsi="新宋体" w:eastAsia="新宋体" w:cs="新宋体"/>
        </w:rPr>
      </w:pPr>
      <w:r>
        <w:rPr>
          <w:rFonts w:hint="eastAsia" w:ascii="新宋体" w:hAnsi="新宋体" w:eastAsia="新宋体" w:cs="新宋体"/>
        </w:rPr>
        <w:t>4.1 无论磋商的结果如何，供应商应自行承担所有与竞争性磋商采购活动有关的全部费用。</w:t>
      </w:r>
    </w:p>
    <w:p w14:paraId="7FE6408E">
      <w:pPr>
        <w:snapToGrid w:val="0"/>
        <w:spacing w:line="360" w:lineRule="auto"/>
        <w:rPr>
          <w:rFonts w:ascii="新宋体" w:hAnsi="新宋体" w:eastAsia="新宋体" w:cs="新宋体"/>
          <w:b/>
        </w:rPr>
      </w:pPr>
      <w:r>
        <w:rPr>
          <w:rFonts w:hint="eastAsia" w:ascii="新宋体" w:hAnsi="新宋体" w:eastAsia="新宋体" w:cs="新宋体"/>
          <w:b/>
        </w:rPr>
        <w:t>5．授权委托</w:t>
      </w:r>
    </w:p>
    <w:p w14:paraId="3375B3A8">
      <w:pPr>
        <w:snapToGrid w:val="0"/>
        <w:spacing w:line="360" w:lineRule="auto"/>
        <w:ind w:firstLine="420"/>
        <w:rPr>
          <w:rFonts w:ascii="新宋体" w:hAnsi="新宋体" w:eastAsia="新宋体" w:cs="新宋体"/>
        </w:rPr>
      </w:pPr>
      <w:r>
        <w:rPr>
          <w:rFonts w:hint="eastAsia" w:ascii="新宋体" w:hAnsi="新宋体" w:eastAsia="新宋体" w:cs="新宋体"/>
        </w:rPr>
        <w:t>5.1供应商代表为供应商法定代表人的，应持有法定代表人身份证明。供应商代表不是供应商法定代表人的，应持有法定代表人授权书，并附法定代表人身份证明。</w:t>
      </w:r>
    </w:p>
    <w:p w14:paraId="44EB5126">
      <w:pPr>
        <w:snapToGrid w:val="0"/>
        <w:spacing w:line="360" w:lineRule="auto"/>
        <w:rPr>
          <w:rFonts w:ascii="新宋体" w:hAnsi="新宋体" w:eastAsia="新宋体" w:cs="新宋体"/>
          <w:b/>
        </w:rPr>
      </w:pPr>
      <w:r>
        <w:rPr>
          <w:rFonts w:hint="eastAsia" w:ascii="新宋体" w:hAnsi="新宋体" w:eastAsia="新宋体" w:cs="新宋体"/>
          <w:b/>
        </w:rPr>
        <w:t>6．联合体形式</w:t>
      </w:r>
    </w:p>
    <w:p w14:paraId="649E0E35">
      <w:pPr>
        <w:snapToGrid w:val="0"/>
        <w:spacing w:line="360" w:lineRule="auto"/>
        <w:ind w:firstLine="420"/>
        <w:rPr>
          <w:rFonts w:ascii="新宋体" w:hAnsi="新宋体" w:eastAsia="新宋体" w:cs="新宋体"/>
        </w:rPr>
      </w:pPr>
      <w:r>
        <w:rPr>
          <w:rFonts w:hint="eastAsia" w:ascii="新宋体" w:hAnsi="新宋体" w:eastAsia="新宋体" w:cs="新宋体"/>
        </w:rPr>
        <w:t>6.1除</w:t>
      </w:r>
      <w:r>
        <w:rPr>
          <w:rFonts w:hint="eastAsia" w:ascii="新宋体" w:hAnsi="新宋体" w:eastAsia="新宋体" w:cs="新宋体"/>
          <w:b/>
        </w:rPr>
        <w:t>【磋商须知前附表】</w:t>
      </w:r>
      <w:r>
        <w:rPr>
          <w:rFonts w:hint="eastAsia" w:ascii="新宋体" w:hAnsi="新宋体" w:eastAsia="新宋体" w:cs="新宋体"/>
        </w:rPr>
        <w:t>中另有规定，本次磋商采购不接受为联合体形式的供应商。</w:t>
      </w:r>
    </w:p>
    <w:p w14:paraId="6EB7AFE9">
      <w:pPr>
        <w:snapToGrid w:val="0"/>
        <w:spacing w:line="360" w:lineRule="auto"/>
        <w:ind w:firstLine="420"/>
        <w:jc w:val="left"/>
        <w:rPr>
          <w:rFonts w:ascii="新宋体" w:hAnsi="新宋体" w:eastAsia="新宋体" w:cs="新宋体"/>
        </w:rPr>
      </w:pPr>
      <w:r>
        <w:rPr>
          <w:rFonts w:hint="eastAsia" w:ascii="新宋体" w:hAnsi="新宋体" w:eastAsia="新宋体" w:cs="新宋体"/>
        </w:rPr>
        <w:t>6.2供应商为联合体形式的，除应符合本章第3条规定外，还应遵守以下规定：</w:t>
      </w:r>
    </w:p>
    <w:p w14:paraId="73B46D01">
      <w:pPr>
        <w:snapToGrid w:val="0"/>
        <w:spacing w:line="360" w:lineRule="auto"/>
        <w:ind w:firstLine="420"/>
        <w:jc w:val="left"/>
        <w:rPr>
          <w:rFonts w:ascii="新宋体" w:hAnsi="新宋体" w:eastAsia="新宋体" w:cs="新宋体"/>
        </w:rPr>
      </w:pPr>
      <w:r>
        <w:rPr>
          <w:rFonts w:hint="eastAsia" w:ascii="新宋体" w:hAnsi="新宋体" w:eastAsia="新宋体" w:cs="新宋体"/>
        </w:rPr>
        <w:t>（l）联合体各方必须签订联合体协议书，明确联合体牵头人和各方的义务、工作、合同工作量比例；</w:t>
      </w:r>
    </w:p>
    <w:p w14:paraId="44700AB9">
      <w:pPr>
        <w:snapToGrid w:val="0"/>
        <w:spacing w:line="360" w:lineRule="auto"/>
        <w:ind w:firstLine="420"/>
        <w:jc w:val="left"/>
        <w:rPr>
          <w:rFonts w:ascii="新宋体" w:hAnsi="新宋体" w:eastAsia="新宋体" w:cs="新宋体"/>
        </w:rPr>
      </w:pPr>
      <w:r>
        <w:rPr>
          <w:rFonts w:hint="eastAsia" w:ascii="新宋体" w:hAnsi="新宋体" w:eastAsia="新宋体" w:cs="新宋体"/>
        </w:rPr>
        <w:t>（2）联合体各方均应当符合本章第3.1款规定的供应商基本资格条件；</w:t>
      </w:r>
    </w:p>
    <w:p w14:paraId="17A0D745">
      <w:pPr>
        <w:snapToGrid w:val="0"/>
        <w:spacing w:line="360" w:lineRule="auto"/>
        <w:ind w:firstLine="420"/>
        <w:jc w:val="left"/>
        <w:rPr>
          <w:rFonts w:ascii="新宋体" w:hAnsi="新宋体" w:eastAsia="新宋体" w:cs="新宋体"/>
        </w:rPr>
      </w:pPr>
      <w:r>
        <w:rPr>
          <w:rFonts w:hint="eastAsia" w:ascii="新宋体" w:hAnsi="新宋体" w:eastAsia="新宋体" w:cs="新宋体"/>
        </w:rPr>
        <w:t>（3）除</w:t>
      </w:r>
      <w:r>
        <w:rPr>
          <w:rFonts w:hint="eastAsia" w:ascii="新宋体" w:hAnsi="新宋体" w:eastAsia="新宋体" w:cs="新宋体"/>
          <w:b/>
        </w:rPr>
        <w:t>【磋商须知前附表】</w:t>
      </w:r>
      <w:r>
        <w:rPr>
          <w:rFonts w:hint="eastAsia" w:ascii="新宋体" w:hAnsi="新宋体" w:eastAsia="新宋体" w:cs="新宋体"/>
        </w:rPr>
        <w:t>中另有规定，联合体各方中至少有一方应当符合本章第3.1款规定的供应商特定资格条件；</w:t>
      </w:r>
    </w:p>
    <w:p w14:paraId="159F1987">
      <w:pPr>
        <w:snapToGrid w:val="0"/>
        <w:spacing w:line="360" w:lineRule="auto"/>
        <w:ind w:firstLine="420"/>
        <w:jc w:val="left"/>
        <w:rPr>
          <w:rFonts w:ascii="新宋体" w:hAnsi="新宋体" w:eastAsia="新宋体" w:cs="新宋体"/>
        </w:rPr>
      </w:pPr>
      <w:r>
        <w:rPr>
          <w:rFonts w:hint="eastAsia" w:ascii="新宋体" w:hAnsi="新宋体" w:eastAsia="新宋体" w:cs="新宋体"/>
        </w:rPr>
        <w:t>（4）联合体各方不得再单独或与其他供应商组成新的联合体参加同一项目的采购活动。</w:t>
      </w:r>
    </w:p>
    <w:p w14:paraId="1AF0740F">
      <w:pPr>
        <w:snapToGrid w:val="0"/>
        <w:spacing w:line="360" w:lineRule="auto"/>
        <w:rPr>
          <w:rFonts w:ascii="新宋体" w:hAnsi="新宋体" w:eastAsia="新宋体" w:cs="新宋体"/>
          <w:b/>
        </w:rPr>
      </w:pPr>
      <w:r>
        <w:rPr>
          <w:rFonts w:hint="eastAsia" w:ascii="新宋体" w:hAnsi="新宋体" w:eastAsia="新宋体" w:cs="新宋体"/>
          <w:b/>
        </w:rPr>
        <w:t>7.现场勘察</w:t>
      </w:r>
    </w:p>
    <w:p w14:paraId="53A45CD7">
      <w:pPr>
        <w:snapToGrid w:val="0"/>
        <w:spacing w:line="360" w:lineRule="auto"/>
        <w:ind w:firstLine="420"/>
        <w:rPr>
          <w:rFonts w:ascii="新宋体" w:hAnsi="新宋体" w:eastAsia="新宋体" w:cs="新宋体"/>
        </w:rPr>
      </w:pPr>
      <w:r>
        <w:rPr>
          <w:rFonts w:hint="eastAsia" w:ascii="新宋体" w:hAnsi="新宋体" w:eastAsia="新宋体" w:cs="新宋体"/>
        </w:rPr>
        <w:t>7.1供应商应按</w:t>
      </w:r>
      <w:r>
        <w:rPr>
          <w:rFonts w:hint="eastAsia" w:ascii="新宋体" w:hAnsi="新宋体" w:eastAsia="新宋体" w:cs="新宋体"/>
          <w:b/>
        </w:rPr>
        <w:t>【磋商须知前附表】</w:t>
      </w:r>
      <w:r>
        <w:rPr>
          <w:rFonts w:hint="eastAsia" w:ascii="新宋体" w:hAnsi="新宋体" w:eastAsia="新宋体" w:cs="新宋体"/>
        </w:rPr>
        <w:t>中规定对采购项目现场和周围环境的现场考察。</w:t>
      </w:r>
    </w:p>
    <w:p w14:paraId="50E462C6">
      <w:pPr>
        <w:snapToGrid w:val="0"/>
        <w:spacing w:line="360" w:lineRule="auto"/>
        <w:ind w:firstLine="420"/>
        <w:rPr>
          <w:rFonts w:ascii="新宋体" w:hAnsi="新宋体" w:eastAsia="新宋体" w:cs="新宋体"/>
        </w:rPr>
      </w:pPr>
      <w:r>
        <w:rPr>
          <w:rFonts w:hint="eastAsia" w:ascii="新宋体" w:hAnsi="新宋体" w:eastAsia="新宋体" w:cs="新宋体"/>
        </w:rPr>
        <w:t>7.2勘察现场的费用由供应商自己承担，勘察期间所发生的人身伤害及财产损失由供应商自己负责。</w:t>
      </w:r>
    </w:p>
    <w:p w14:paraId="1DCB5698">
      <w:pPr>
        <w:snapToGrid w:val="0"/>
        <w:spacing w:line="360" w:lineRule="auto"/>
        <w:ind w:firstLine="420"/>
        <w:jc w:val="left"/>
        <w:rPr>
          <w:rFonts w:ascii="新宋体" w:hAnsi="新宋体" w:eastAsia="新宋体" w:cs="新宋体"/>
          <w:b/>
        </w:rPr>
      </w:pPr>
      <w:r>
        <w:rPr>
          <w:rFonts w:hint="eastAsia" w:ascii="新宋体" w:hAnsi="新宋体" w:eastAsia="新宋体" w:cs="新宋体"/>
        </w:rPr>
        <w:t>7.3采购人不对供应商据此而做出的推论、理解和结论负责。一旦成交，供应商不得以任何借口，提出额外补偿，或延长合同期限的要求。</w:t>
      </w:r>
    </w:p>
    <w:p w14:paraId="28E442C3">
      <w:pPr>
        <w:snapToGrid w:val="0"/>
        <w:spacing w:line="360" w:lineRule="auto"/>
        <w:jc w:val="left"/>
        <w:rPr>
          <w:rFonts w:ascii="新宋体" w:hAnsi="新宋体" w:eastAsia="新宋体" w:cs="新宋体"/>
          <w:b/>
        </w:rPr>
      </w:pPr>
      <w:r>
        <w:rPr>
          <w:rFonts w:hint="eastAsia" w:ascii="新宋体" w:hAnsi="新宋体" w:eastAsia="新宋体" w:cs="新宋体"/>
          <w:b/>
        </w:rPr>
        <w:t>8.采购进口产品</w:t>
      </w:r>
    </w:p>
    <w:p w14:paraId="709391A1">
      <w:pPr>
        <w:snapToGrid w:val="0"/>
        <w:spacing w:line="360" w:lineRule="auto"/>
        <w:ind w:firstLine="420"/>
        <w:jc w:val="left"/>
        <w:rPr>
          <w:rFonts w:ascii="新宋体" w:hAnsi="新宋体" w:eastAsia="新宋体" w:cs="新宋体"/>
        </w:rPr>
      </w:pPr>
      <w:r>
        <w:rPr>
          <w:rFonts w:hint="eastAsia" w:ascii="新宋体" w:hAnsi="新宋体" w:eastAsia="新宋体" w:cs="新宋体"/>
        </w:rPr>
        <w:t>8.1除</w:t>
      </w:r>
      <w:r>
        <w:rPr>
          <w:rFonts w:hint="eastAsia" w:ascii="新宋体" w:hAnsi="新宋体" w:eastAsia="新宋体" w:cs="新宋体"/>
          <w:b/>
        </w:rPr>
        <w:t>【磋商须知前附表】</w:t>
      </w:r>
      <w:r>
        <w:rPr>
          <w:rFonts w:hint="eastAsia" w:ascii="新宋体" w:hAnsi="新宋体" w:eastAsia="新宋体" w:cs="新宋体"/>
        </w:rPr>
        <w:t>另有规定外，本项目拒绝进口产品参加竞争性磋商采购活动。</w:t>
      </w:r>
    </w:p>
    <w:p w14:paraId="4CAAE8F3">
      <w:pPr>
        <w:snapToGrid w:val="0"/>
        <w:spacing w:line="360" w:lineRule="auto"/>
        <w:ind w:firstLine="420"/>
        <w:jc w:val="left"/>
        <w:rPr>
          <w:rFonts w:ascii="新宋体" w:hAnsi="新宋体" w:eastAsia="新宋体" w:cs="新宋体"/>
        </w:rPr>
      </w:pPr>
      <w:r>
        <w:rPr>
          <w:rFonts w:hint="eastAsia" w:ascii="新宋体" w:hAnsi="新宋体" w:eastAsia="新宋体" w:cs="新宋体"/>
        </w:rPr>
        <w:t>8.2本章第8.1款规定同意购买进口产品的，本项目采购活动不限制满足磋商文件要求的国内产品参与竞争性磋商。</w:t>
      </w:r>
    </w:p>
    <w:p w14:paraId="714CBA13">
      <w:pPr>
        <w:adjustRightInd w:val="0"/>
        <w:snapToGrid w:val="0"/>
        <w:spacing w:line="360" w:lineRule="auto"/>
        <w:jc w:val="left"/>
        <w:rPr>
          <w:b/>
          <w:szCs w:val="21"/>
        </w:rPr>
      </w:pPr>
      <w:r>
        <w:rPr>
          <w:b/>
          <w:bCs/>
          <w:szCs w:val="21"/>
        </w:rPr>
        <w:t>9.</w:t>
      </w:r>
      <w:r>
        <w:rPr>
          <w:b/>
          <w:szCs w:val="21"/>
        </w:rPr>
        <w:t xml:space="preserve"> 政府采购政策支持</w:t>
      </w:r>
    </w:p>
    <w:p w14:paraId="584F5236">
      <w:pPr>
        <w:adjustRightInd w:val="0"/>
        <w:snapToGrid w:val="0"/>
        <w:spacing w:line="360" w:lineRule="auto"/>
        <w:ind w:firstLine="420" w:firstLineChars="200"/>
        <w:rPr>
          <w:kern w:val="0"/>
          <w:szCs w:val="21"/>
        </w:rPr>
      </w:pPr>
      <w:r>
        <w:rPr>
          <w:kern w:val="0"/>
          <w:szCs w:val="21"/>
        </w:rPr>
        <w:t>9.1对列入财政部、国家发展改革委发布的《节能产品政府采购清单》且属于应当“强制采购的节能产品”，按照规定实行强制采购。实行政府采购强制采购的节能产品见</w:t>
      </w:r>
      <w:r>
        <w:rPr>
          <w:b/>
          <w:kern w:val="0"/>
          <w:szCs w:val="21"/>
        </w:rPr>
        <w:t>磋商文件前附表。</w:t>
      </w:r>
    </w:p>
    <w:p w14:paraId="7254B567">
      <w:pPr>
        <w:pStyle w:val="26"/>
        <w:adjustRightInd w:val="0"/>
        <w:snapToGrid w:val="0"/>
        <w:spacing w:line="360" w:lineRule="auto"/>
        <w:ind w:firstLine="420" w:firstLineChars="200"/>
        <w:rPr>
          <w:rFonts w:ascii="Times New Roman" w:hAnsi="Times New Roman"/>
        </w:rPr>
      </w:pPr>
      <w:r>
        <w:rPr>
          <w:rFonts w:ascii="Times New Roman" w:hAnsi="Times New Roman"/>
        </w:rPr>
        <w:t>9.2对列入财政部、国家发展改革委发布的《节能产品政府采购清单》的“非强制采购节能产品”，财政部、环境保护部发布的《环境标志产品政府采购清单》的“环境标志产品”，湖南省财政厅、湖南省科学技术厅、湖南省长株潭“两型社会”试验区建设管理委员会发布的《湖南省两型产品政府采购目录》的“两型产品”以及中小企业，实行优先采购，按照省级以上财政部门有关政策规定，评审时进行价格扣除或加分。实行政府采购优先采购的优惠率见</w:t>
      </w:r>
      <w:r>
        <w:rPr>
          <w:rFonts w:ascii="Times New Roman" w:hAnsi="Times New Roman"/>
          <w:b/>
        </w:rPr>
        <w:t>磋商文件前附表。</w:t>
      </w:r>
    </w:p>
    <w:p w14:paraId="49AB8BD4">
      <w:pPr>
        <w:adjustRightInd w:val="0"/>
        <w:snapToGrid w:val="0"/>
        <w:spacing w:line="360" w:lineRule="auto"/>
        <w:ind w:firstLine="420" w:firstLineChars="200"/>
        <w:rPr>
          <w:kern w:val="0"/>
          <w:szCs w:val="21"/>
        </w:rPr>
      </w:pPr>
      <w:r>
        <w:rPr>
          <w:kern w:val="0"/>
          <w:szCs w:val="21"/>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14:paraId="7A19BCC2">
      <w:pPr>
        <w:adjustRightInd w:val="0"/>
        <w:snapToGrid w:val="0"/>
        <w:spacing w:line="360" w:lineRule="auto"/>
        <w:ind w:firstLine="420" w:firstLineChars="200"/>
        <w:jc w:val="left"/>
        <w:rPr>
          <w:szCs w:val="21"/>
        </w:rPr>
      </w:pPr>
      <w:r>
        <w:rPr>
          <w:szCs w:val="21"/>
        </w:rPr>
        <w:t>9.4同一项目中部分产品属于优先采购政策的，评审时只对该部分产品的报价实行价格扣除及加分。</w:t>
      </w:r>
    </w:p>
    <w:p w14:paraId="4074C459">
      <w:pPr>
        <w:adjustRightInd w:val="0"/>
        <w:snapToGrid w:val="0"/>
        <w:spacing w:line="360" w:lineRule="auto"/>
        <w:ind w:firstLine="420" w:firstLineChars="200"/>
        <w:rPr>
          <w:kern w:val="0"/>
          <w:szCs w:val="21"/>
        </w:rPr>
      </w:pPr>
      <w:r>
        <w:rPr>
          <w:kern w:val="0"/>
          <w:szCs w:val="21"/>
        </w:rPr>
        <w:t>9.5符合本章第9.1</w:t>
      </w:r>
      <w:r>
        <w:rPr>
          <w:kern w:val="0"/>
          <w:szCs w:val="21"/>
          <w:lang w:val="zh-CN"/>
        </w:rPr>
        <w:t>款、</w:t>
      </w:r>
      <w:r>
        <w:rPr>
          <w:kern w:val="0"/>
          <w:szCs w:val="21"/>
        </w:rPr>
        <w:t>第9.2</w:t>
      </w:r>
      <w:r>
        <w:rPr>
          <w:kern w:val="0"/>
          <w:szCs w:val="21"/>
          <w:lang w:val="zh-CN"/>
        </w:rPr>
        <w:t>款</w:t>
      </w:r>
      <w:r>
        <w:rPr>
          <w:kern w:val="0"/>
          <w:szCs w:val="21"/>
        </w:rPr>
        <w:t>规定的，应提供相关证明资料。</w:t>
      </w:r>
    </w:p>
    <w:p w14:paraId="1584137D">
      <w:pPr>
        <w:adjustRightInd w:val="0"/>
        <w:snapToGrid w:val="0"/>
        <w:spacing w:line="360" w:lineRule="auto"/>
        <w:ind w:firstLine="420" w:firstLineChars="200"/>
        <w:jc w:val="left"/>
        <w:rPr>
          <w:szCs w:val="21"/>
        </w:rPr>
      </w:pPr>
      <w:r>
        <w:rPr>
          <w:szCs w:val="21"/>
        </w:rPr>
        <w:t>9.6供应商有融资、担保需求的，具体办理流程可向</w:t>
      </w:r>
      <w:r>
        <w:rPr>
          <w:b/>
          <w:szCs w:val="21"/>
        </w:rPr>
        <w:t>磋商须知前附表</w:t>
      </w:r>
      <w:r>
        <w:rPr>
          <w:szCs w:val="21"/>
        </w:rPr>
        <w:t>所列金融机构和担保机构询问。</w:t>
      </w:r>
    </w:p>
    <w:p w14:paraId="4F37F955">
      <w:pPr>
        <w:pStyle w:val="8"/>
        <w:spacing w:before="0" w:after="0" w:line="440" w:lineRule="exact"/>
        <w:jc w:val="center"/>
        <w:rPr>
          <w:rFonts w:ascii="新宋体" w:hAnsi="新宋体" w:eastAsia="新宋体" w:cs="新宋体"/>
          <w:sz w:val="24"/>
          <w:szCs w:val="24"/>
        </w:rPr>
      </w:pPr>
      <w:bookmarkStart w:id="20" w:name="_Toc14247"/>
      <w:r>
        <w:rPr>
          <w:rFonts w:hint="eastAsia" w:ascii="新宋体" w:hAnsi="新宋体" w:eastAsia="新宋体" w:cs="新宋体"/>
          <w:sz w:val="24"/>
          <w:szCs w:val="24"/>
        </w:rPr>
        <w:t>二、磋商文件</w:t>
      </w:r>
      <w:bookmarkEnd w:id="20"/>
    </w:p>
    <w:p w14:paraId="0065FAFE">
      <w:pPr>
        <w:snapToGrid w:val="0"/>
        <w:spacing w:line="440" w:lineRule="exact"/>
        <w:rPr>
          <w:rFonts w:ascii="新宋体" w:hAnsi="新宋体" w:eastAsia="新宋体" w:cs="新宋体"/>
          <w:b/>
          <w:bCs/>
          <w:sz w:val="28"/>
          <w:szCs w:val="28"/>
        </w:rPr>
      </w:pPr>
      <w:r>
        <w:rPr>
          <w:rFonts w:hint="eastAsia"/>
          <w:b/>
          <w:bCs/>
          <w:sz w:val="24"/>
        </w:rPr>
        <w:t>10.磋商文件的组成</w:t>
      </w:r>
    </w:p>
    <w:p w14:paraId="7EDA1695">
      <w:pPr>
        <w:pStyle w:val="26"/>
        <w:adjustRightInd w:val="0"/>
        <w:snapToGrid w:val="0"/>
        <w:spacing w:line="440" w:lineRule="exact"/>
        <w:ind w:firstLine="420" w:firstLineChars="200"/>
        <w:rPr>
          <w:rFonts w:hAnsi="宋体"/>
        </w:rPr>
      </w:pPr>
      <w:r>
        <w:rPr>
          <w:rFonts w:hint="eastAsia" w:hAnsi="宋体"/>
        </w:rPr>
        <w:t>10.1磋商文件由下列文件组成：</w:t>
      </w:r>
    </w:p>
    <w:p w14:paraId="4F8DB613">
      <w:pPr>
        <w:pStyle w:val="26"/>
        <w:adjustRightInd w:val="0"/>
        <w:snapToGrid w:val="0"/>
        <w:spacing w:line="440" w:lineRule="exact"/>
        <w:ind w:firstLine="420" w:firstLineChars="200"/>
        <w:rPr>
          <w:rFonts w:hAnsi="宋体"/>
        </w:rPr>
      </w:pPr>
      <w:r>
        <w:rPr>
          <w:rFonts w:hint="eastAsia" w:hAnsi="宋体"/>
        </w:rPr>
        <w:t>第一章 磋商邀请</w:t>
      </w:r>
    </w:p>
    <w:p w14:paraId="1272A51B">
      <w:pPr>
        <w:pStyle w:val="26"/>
        <w:adjustRightInd w:val="0"/>
        <w:snapToGrid w:val="0"/>
        <w:spacing w:line="440" w:lineRule="exact"/>
        <w:ind w:firstLine="420" w:firstLineChars="200"/>
        <w:rPr>
          <w:rFonts w:hAnsi="宋体"/>
        </w:rPr>
      </w:pPr>
      <w:r>
        <w:rPr>
          <w:rFonts w:hint="eastAsia" w:hAnsi="宋体"/>
        </w:rPr>
        <w:t>第二章 磋商须知</w:t>
      </w:r>
    </w:p>
    <w:p w14:paraId="29E1E610">
      <w:pPr>
        <w:pStyle w:val="26"/>
        <w:adjustRightInd w:val="0"/>
        <w:snapToGrid w:val="0"/>
        <w:spacing w:line="440" w:lineRule="exact"/>
        <w:ind w:firstLine="420" w:firstLineChars="200"/>
        <w:rPr>
          <w:rFonts w:hAnsi="宋体"/>
        </w:rPr>
      </w:pPr>
      <w:r>
        <w:rPr>
          <w:rFonts w:hint="eastAsia" w:hAnsi="宋体"/>
        </w:rPr>
        <w:t>第三章 采购需求</w:t>
      </w:r>
    </w:p>
    <w:p w14:paraId="64FC34EC">
      <w:pPr>
        <w:pStyle w:val="26"/>
        <w:adjustRightInd w:val="0"/>
        <w:snapToGrid w:val="0"/>
        <w:spacing w:line="440" w:lineRule="exact"/>
        <w:ind w:firstLine="420" w:firstLineChars="200"/>
        <w:rPr>
          <w:rFonts w:hAnsi="宋体"/>
        </w:rPr>
      </w:pPr>
      <w:r>
        <w:rPr>
          <w:rFonts w:hint="eastAsia" w:hAnsi="宋体"/>
        </w:rPr>
        <w:t>第四章 合同草案条款</w:t>
      </w:r>
    </w:p>
    <w:p w14:paraId="42D36FC0">
      <w:pPr>
        <w:pStyle w:val="26"/>
        <w:adjustRightInd w:val="0"/>
        <w:snapToGrid w:val="0"/>
        <w:spacing w:line="440" w:lineRule="exact"/>
        <w:ind w:firstLine="420" w:firstLineChars="200"/>
        <w:rPr>
          <w:rFonts w:hAnsi="宋体"/>
        </w:rPr>
      </w:pPr>
      <w:r>
        <w:rPr>
          <w:rFonts w:hint="eastAsia" w:hAnsi="宋体"/>
        </w:rPr>
        <w:t>第五章 响应文件组成</w:t>
      </w:r>
    </w:p>
    <w:p w14:paraId="3633D875">
      <w:pPr>
        <w:pStyle w:val="26"/>
        <w:adjustRightInd w:val="0"/>
        <w:snapToGrid w:val="0"/>
        <w:spacing w:line="440" w:lineRule="exact"/>
        <w:ind w:firstLine="420" w:firstLineChars="200"/>
        <w:rPr>
          <w:rFonts w:hAnsi="宋体" w:cs="宋体"/>
          <w:kern w:val="0"/>
        </w:rPr>
      </w:pPr>
      <w:r>
        <w:rPr>
          <w:rFonts w:hint="eastAsia" w:hAnsi="宋体" w:cs="宋体"/>
          <w:kern w:val="0"/>
        </w:rPr>
        <w:t>10.2采购人、采购代理机构或者磋商小组在提交首次响应文件截止之日前对已发出的磋商文件进行的澄清或者修改，构成磋商文件的组成部分。</w:t>
      </w:r>
    </w:p>
    <w:p w14:paraId="631F0BF8">
      <w:pPr>
        <w:pStyle w:val="26"/>
        <w:adjustRightInd w:val="0"/>
        <w:snapToGrid w:val="0"/>
        <w:spacing w:line="440" w:lineRule="exact"/>
        <w:ind w:firstLine="420" w:firstLineChars="200"/>
      </w:pPr>
      <w:r>
        <w:rPr>
          <w:rFonts w:hint="eastAsia" w:hAnsi="宋体" w:cs="宋体"/>
          <w:kern w:val="0"/>
        </w:rPr>
        <w:t>10.3磋商文件中，磋商小组根据与供应商磋商情况可能实质性变动的内容见</w:t>
      </w:r>
      <w:r>
        <w:rPr>
          <w:rFonts w:hint="eastAsia" w:hAnsi="宋体"/>
          <w:b/>
        </w:rPr>
        <w:t>【磋商须知前附表】</w:t>
      </w:r>
      <w:r>
        <w:rPr>
          <w:rFonts w:hint="eastAsia" w:hAnsi="宋体" w:cs="宋体"/>
          <w:kern w:val="0"/>
        </w:rPr>
        <w:t>。对磋商文件作出的实质性变动是磋商文件的有效组成部分。</w:t>
      </w:r>
    </w:p>
    <w:p w14:paraId="45E3C25C">
      <w:pPr>
        <w:pStyle w:val="26"/>
        <w:adjustRightInd w:val="0"/>
        <w:snapToGrid w:val="0"/>
        <w:spacing w:line="440" w:lineRule="exact"/>
        <w:ind w:firstLine="420" w:firstLineChars="200"/>
        <w:rPr>
          <w:rFonts w:hAnsi="宋体" w:cs="宋体"/>
        </w:rPr>
      </w:pPr>
      <w:r>
        <w:rPr>
          <w:rFonts w:hint="eastAsia" w:hAnsi="宋体"/>
        </w:rPr>
        <w:t>10.4供应商应仔细阅读</w:t>
      </w:r>
      <w:r>
        <w:rPr>
          <w:rFonts w:hint="eastAsia" w:hAnsi="宋体"/>
          <w:bCs/>
        </w:rPr>
        <w:t>磋商</w:t>
      </w:r>
      <w:r>
        <w:rPr>
          <w:rFonts w:hint="eastAsia" w:hAnsi="宋体"/>
        </w:rPr>
        <w:t>文件的全部内容，按照</w:t>
      </w:r>
      <w:r>
        <w:rPr>
          <w:rFonts w:hint="eastAsia" w:hAnsi="宋体"/>
          <w:bCs/>
        </w:rPr>
        <w:t>磋商</w:t>
      </w:r>
      <w:r>
        <w:rPr>
          <w:rFonts w:hint="eastAsia" w:hAnsi="宋体"/>
        </w:rPr>
        <w:t>文件要求编制</w:t>
      </w:r>
      <w:r>
        <w:rPr>
          <w:rFonts w:hint="eastAsia"/>
        </w:rPr>
        <w:t>响应</w:t>
      </w:r>
      <w:r>
        <w:rPr>
          <w:rFonts w:hint="eastAsia" w:hAnsi="宋体"/>
        </w:rPr>
        <w:t>文件。任何对</w:t>
      </w:r>
      <w:r>
        <w:rPr>
          <w:rFonts w:hint="eastAsia" w:hAnsi="宋体"/>
          <w:bCs/>
        </w:rPr>
        <w:t>磋商</w:t>
      </w:r>
      <w:r>
        <w:rPr>
          <w:rFonts w:hint="eastAsia" w:hAnsi="宋体"/>
        </w:rPr>
        <w:t>文件的忽略或误解不能作为</w:t>
      </w:r>
      <w:r>
        <w:rPr>
          <w:rFonts w:hint="eastAsia"/>
        </w:rPr>
        <w:t>响应</w:t>
      </w:r>
      <w:r>
        <w:rPr>
          <w:rFonts w:hint="eastAsia" w:hAnsi="宋体"/>
        </w:rPr>
        <w:t>文件存在缺陷或瑕疵的理由，其风险由供应商承担。</w:t>
      </w:r>
    </w:p>
    <w:p w14:paraId="4C4CF03E">
      <w:pPr>
        <w:tabs>
          <w:tab w:val="left" w:pos="0"/>
        </w:tabs>
        <w:snapToGrid w:val="0"/>
        <w:spacing w:line="440" w:lineRule="exact"/>
        <w:ind w:firstLine="420"/>
        <w:rPr>
          <w:rFonts w:ascii="宋体" w:hAnsi="宋体" w:cs="宋体"/>
        </w:rPr>
      </w:pPr>
      <w:r>
        <w:rPr>
          <w:rFonts w:hint="eastAsia" w:ascii="宋体" w:hAnsi="宋体" w:cs="宋体"/>
        </w:rPr>
        <w:t>10.5除法律、法规和规章规定外，磋商文件中用“</w:t>
      </w:r>
      <w:r>
        <w:rPr>
          <w:rFonts w:hint="eastAsia" w:ascii="宋体" w:hAnsi="宋体" w:cs="宋体"/>
          <w:b/>
          <w:bCs/>
        </w:rPr>
        <w:t>拒绝”、“不接受”、“无效”、“不得”等文字规定或标注“★”符号的条款为实质性要求条款（即重要条款）</w:t>
      </w:r>
      <w:r>
        <w:rPr>
          <w:rFonts w:hint="eastAsia" w:ascii="宋体" w:hAnsi="宋体" w:cs="宋体"/>
        </w:rPr>
        <w:t>，对其中任何一条的偏离，在评标时将其视为无效投标。未用上述文字规定或符号标注的条款为非实质性要求条款(即一般条款)。</w:t>
      </w:r>
    </w:p>
    <w:p w14:paraId="67E6B02C">
      <w:pPr>
        <w:tabs>
          <w:tab w:val="left" w:pos="0"/>
        </w:tabs>
        <w:snapToGrid w:val="0"/>
        <w:spacing w:line="440" w:lineRule="exact"/>
        <w:ind w:firstLine="420"/>
        <w:rPr>
          <w:rFonts w:ascii="宋体" w:hAnsi="宋体" w:cs="宋体"/>
          <w:b/>
        </w:rPr>
      </w:pPr>
      <w:r>
        <w:rPr>
          <w:rFonts w:hint="eastAsia" w:ascii="宋体" w:hAnsi="宋体" w:cs="宋体"/>
        </w:rPr>
        <w:t>10.6</w:t>
      </w:r>
      <w:r>
        <w:rPr>
          <w:rFonts w:hint="eastAsia" w:ascii="宋体" w:hAnsi="宋体" w:cs="宋体"/>
          <w:b/>
          <w:bCs/>
        </w:rPr>
        <w:t>第三章“采购需求”和第四章第三节“政府采购合同专用条款”中的一般商务</w:t>
      </w:r>
      <w:r>
        <w:rPr>
          <w:rFonts w:hint="eastAsia" w:ascii="宋体" w:hAnsi="宋体" w:cs="宋体"/>
          <w:b/>
          <w:bCs/>
          <w:spacing w:val="4"/>
        </w:rPr>
        <w:t>和</w:t>
      </w:r>
      <w:r>
        <w:rPr>
          <w:rFonts w:hint="eastAsia" w:ascii="宋体" w:hAnsi="宋体" w:cs="宋体"/>
          <w:b/>
          <w:bCs/>
        </w:rPr>
        <w:t>技术条款（参数），在超出允许偏离的条款数（最高项数）时，在评标时将其视为无效投标。前述章节中一般商务</w:t>
      </w:r>
      <w:r>
        <w:rPr>
          <w:rFonts w:hint="eastAsia" w:ascii="宋体" w:hAnsi="宋体" w:cs="宋体"/>
          <w:b/>
          <w:bCs/>
          <w:spacing w:val="4"/>
        </w:rPr>
        <w:t>和</w:t>
      </w:r>
      <w:r>
        <w:rPr>
          <w:rFonts w:hint="eastAsia" w:ascii="宋体" w:hAnsi="宋体" w:cs="宋体"/>
          <w:b/>
          <w:bCs/>
        </w:rPr>
        <w:t>技术条款允许偏离的最高项数见招标文件前附表</w:t>
      </w:r>
      <w:r>
        <w:rPr>
          <w:rFonts w:hint="eastAsia" w:ascii="宋体" w:hAnsi="宋体" w:cs="宋体"/>
          <w:b/>
        </w:rPr>
        <w:t>。</w:t>
      </w:r>
    </w:p>
    <w:p w14:paraId="25AA0761">
      <w:pPr>
        <w:numPr>
          <w:ilvl w:val="0"/>
          <w:numId w:val="4"/>
        </w:numPr>
        <w:snapToGrid w:val="0"/>
        <w:spacing w:line="440" w:lineRule="exact"/>
        <w:rPr>
          <w:rFonts w:ascii="新宋体" w:hAnsi="新宋体" w:eastAsia="新宋体" w:cs="新宋体"/>
          <w:b/>
        </w:rPr>
      </w:pPr>
      <w:r>
        <w:rPr>
          <w:rFonts w:hint="eastAsia" w:ascii="新宋体" w:hAnsi="新宋体" w:eastAsia="新宋体" w:cs="新宋体"/>
          <w:b/>
        </w:rPr>
        <w:t>磋商文件的提供期限及提交首次响应文件的截止时间</w:t>
      </w:r>
    </w:p>
    <w:p w14:paraId="219E79CB">
      <w:pPr>
        <w:pStyle w:val="2"/>
        <w:spacing w:line="440" w:lineRule="exact"/>
        <w:ind w:firstLine="0" w:firstLineChars="0"/>
        <w:rPr>
          <w:rFonts w:ascii="新宋体" w:hAnsi="新宋体" w:eastAsia="新宋体" w:cs="新宋体"/>
        </w:rPr>
      </w:pPr>
      <w:r>
        <w:rPr>
          <w:rFonts w:hint="eastAsia" w:ascii="新宋体" w:hAnsi="新宋体" w:eastAsia="新宋体" w:cs="新宋体"/>
        </w:rPr>
        <w:t xml:space="preserve">    11.1获取磋商文件的时间从发布公告之日起不少于5个工作日，具体时间见</w:t>
      </w:r>
      <w:r>
        <w:rPr>
          <w:rFonts w:hint="eastAsia" w:ascii="新宋体" w:hAnsi="新宋体" w:eastAsia="新宋体" w:cs="新宋体"/>
          <w:b/>
        </w:rPr>
        <w:t>【磋商须知前附表】</w:t>
      </w:r>
      <w:r>
        <w:rPr>
          <w:rFonts w:hint="eastAsia" w:ascii="新宋体" w:hAnsi="新宋体" w:eastAsia="新宋体" w:cs="新宋体"/>
        </w:rPr>
        <w:t>。</w:t>
      </w:r>
    </w:p>
    <w:p w14:paraId="5DC31AA8">
      <w:pPr>
        <w:snapToGrid w:val="0"/>
        <w:spacing w:line="440" w:lineRule="exact"/>
        <w:ind w:firstLine="420"/>
        <w:rPr>
          <w:rFonts w:ascii="新宋体" w:hAnsi="新宋体" w:eastAsia="新宋体" w:cs="新宋体"/>
        </w:rPr>
      </w:pPr>
      <w:r>
        <w:rPr>
          <w:rFonts w:hint="eastAsia" w:ascii="新宋体" w:hAnsi="新宋体" w:eastAsia="新宋体" w:cs="新宋体"/>
        </w:rPr>
        <w:t>11.2供应商提交首次响应文件截止时间见</w:t>
      </w:r>
      <w:r>
        <w:rPr>
          <w:rFonts w:hint="eastAsia" w:ascii="新宋体" w:hAnsi="新宋体" w:eastAsia="新宋体" w:cs="新宋体"/>
          <w:b/>
        </w:rPr>
        <w:t>【磋商须知前附表】</w:t>
      </w:r>
      <w:r>
        <w:rPr>
          <w:rFonts w:hint="eastAsia" w:ascii="新宋体" w:hAnsi="新宋体" w:eastAsia="新宋体" w:cs="新宋体"/>
        </w:rPr>
        <w:t>。</w:t>
      </w:r>
    </w:p>
    <w:p w14:paraId="3395CCB6">
      <w:pPr>
        <w:pStyle w:val="2"/>
        <w:spacing w:line="440" w:lineRule="exact"/>
        <w:rPr>
          <w:rFonts w:ascii="新宋体" w:hAnsi="新宋体" w:eastAsia="新宋体" w:cs="新宋体"/>
          <w:b/>
        </w:rPr>
      </w:pPr>
      <w:r>
        <w:rPr>
          <w:rFonts w:hint="eastAsia" w:ascii="新宋体" w:hAnsi="新宋体" w:eastAsia="新宋体" w:cs="新宋体"/>
        </w:rPr>
        <w:t>11.3领取或购买磋商文件时应提供的资料见</w:t>
      </w:r>
      <w:r>
        <w:rPr>
          <w:rFonts w:hint="eastAsia" w:ascii="新宋体" w:hAnsi="新宋体" w:eastAsia="新宋体" w:cs="新宋体"/>
          <w:b/>
        </w:rPr>
        <w:t>【磋商须知前附表】</w:t>
      </w:r>
      <w:r>
        <w:rPr>
          <w:rFonts w:hint="eastAsia" w:ascii="新宋体" w:hAnsi="新宋体" w:eastAsia="新宋体" w:cs="新宋体"/>
        </w:rPr>
        <w:t>。</w:t>
      </w:r>
    </w:p>
    <w:p w14:paraId="0F7CFF24">
      <w:pPr>
        <w:pStyle w:val="2"/>
        <w:spacing w:line="440" w:lineRule="exact"/>
        <w:ind w:firstLine="0" w:firstLineChars="0"/>
        <w:rPr>
          <w:rFonts w:ascii="新宋体" w:hAnsi="新宋体" w:eastAsia="新宋体" w:cs="新宋体"/>
          <w:b/>
          <w:szCs w:val="24"/>
        </w:rPr>
      </w:pPr>
      <w:r>
        <w:rPr>
          <w:rFonts w:hint="eastAsia" w:ascii="新宋体" w:hAnsi="新宋体" w:eastAsia="新宋体" w:cs="新宋体"/>
          <w:b/>
          <w:szCs w:val="24"/>
        </w:rPr>
        <w:t>12.磋商文件的澄清或者修改</w:t>
      </w:r>
    </w:p>
    <w:p w14:paraId="6CD96478">
      <w:pPr>
        <w:pStyle w:val="2"/>
        <w:spacing w:line="440" w:lineRule="exact"/>
        <w:rPr>
          <w:rFonts w:ascii="新宋体" w:hAnsi="新宋体" w:eastAsia="新宋体" w:cs="新宋体"/>
        </w:rPr>
      </w:pPr>
      <w:r>
        <w:rPr>
          <w:rFonts w:hint="eastAsia" w:ascii="新宋体" w:hAnsi="新宋体" w:eastAsia="新宋体" w:cs="新宋体"/>
        </w:rPr>
        <w:t xml:space="preserve">12.1在提交首次响应文件截止之日前，采购人、采购代理机构可以对已发出的磋商文件进行必要的澄清或者修改。 </w:t>
      </w:r>
    </w:p>
    <w:p w14:paraId="2C411B81">
      <w:pPr>
        <w:pStyle w:val="2"/>
        <w:spacing w:line="440" w:lineRule="exact"/>
        <w:rPr>
          <w:rFonts w:ascii="新宋体" w:hAnsi="新宋体" w:eastAsia="新宋体" w:cs="新宋体"/>
        </w:rPr>
      </w:pPr>
      <w:r>
        <w:rPr>
          <w:rFonts w:hint="eastAsia" w:ascii="新宋体" w:hAnsi="新宋体" w:eastAsia="新宋体" w:cs="新宋体"/>
        </w:rPr>
        <w:t>12.2澄清或者修改的内容可能影响响应文件编制的，采购人、采购代理机构应当在提交首次响应文件截止之日5日前，以书面形式通知所有接收磋商文件的供应商，不足5日的，顺延供应商提交首次响应文件截止时间。</w:t>
      </w:r>
    </w:p>
    <w:p w14:paraId="57267081">
      <w:pPr>
        <w:snapToGrid w:val="0"/>
        <w:spacing w:line="440" w:lineRule="exact"/>
        <w:ind w:firstLine="420"/>
        <w:rPr>
          <w:rFonts w:ascii="新宋体" w:hAnsi="新宋体" w:eastAsia="新宋体" w:cs="新宋体"/>
        </w:rPr>
      </w:pPr>
      <w:r>
        <w:rPr>
          <w:rFonts w:hint="eastAsia" w:ascii="新宋体" w:hAnsi="新宋体" w:eastAsia="新宋体" w:cs="新宋体"/>
        </w:rPr>
        <w:t>12.2提交首次响应文件截止时间前对磋商文件澄清或者修改内容，为磋商文件的组成部分。</w:t>
      </w:r>
    </w:p>
    <w:p w14:paraId="078BE24A">
      <w:pPr>
        <w:pStyle w:val="8"/>
        <w:spacing w:before="0" w:after="0" w:line="440" w:lineRule="exact"/>
        <w:jc w:val="center"/>
        <w:rPr>
          <w:rFonts w:ascii="新宋体" w:hAnsi="新宋体" w:eastAsia="新宋体" w:cs="新宋体"/>
          <w:sz w:val="24"/>
        </w:rPr>
      </w:pPr>
      <w:bookmarkStart w:id="21" w:name="_Toc27731"/>
      <w:r>
        <w:rPr>
          <w:rFonts w:hint="eastAsia" w:ascii="新宋体" w:hAnsi="新宋体" w:eastAsia="新宋体" w:cs="新宋体"/>
          <w:sz w:val="24"/>
        </w:rPr>
        <w:t>三、响应文件</w:t>
      </w:r>
      <w:bookmarkEnd w:id="21"/>
    </w:p>
    <w:p w14:paraId="31AE2F86">
      <w:pPr>
        <w:snapToGrid w:val="0"/>
        <w:spacing w:line="440" w:lineRule="exact"/>
        <w:rPr>
          <w:rFonts w:ascii="新宋体" w:hAnsi="新宋体" w:eastAsia="新宋体" w:cs="新宋体"/>
          <w:b/>
        </w:rPr>
      </w:pPr>
      <w:r>
        <w:rPr>
          <w:rFonts w:hint="eastAsia" w:ascii="新宋体" w:hAnsi="新宋体" w:eastAsia="新宋体" w:cs="新宋体"/>
          <w:b/>
        </w:rPr>
        <w:t>13.一般要求</w:t>
      </w:r>
    </w:p>
    <w:p w14:paraId="0F081765">
      <w:pPr>
        <w:snapToGrid w:val="0"/>
        <w:spacing w:line="440" w:lineRule="exact"/>
        <w:ind w:firstLine="420"/>
        <w:rPr>
          <w:rFonts w:ascii="新宋体" w:hAnsi="新宋体" w:eastAsia="新宋体" w:cs="新宋体"/>
        </w:rPr>
      </w:pPr>
      <w:r>
        <w:rPr>
          <w:rFonts w:hint="eastAsia" w:ascii="新宋体" w:hAnsi="新宋体" w:eastAsia="新宋体" w:cs="新宋体"/>
        </w:rPr>
        <w:t>13.1 供应商应仔细阅读磋商文件的所有内容，按磋商文件的要求编制响应文件，并保证所提供的全部资料的真实性，以使其响应文件对磋商文件做出实质性的响应。</w:t>
      </w:r>
    </w:p>
    <w:p w14:paraId="319E7582">
      <w:pPr>
        <w:snapToGrid w:val="0"/>
        <w:spacing w:line="440" w:lineRule="exact"/>
        <w:ind w:firstLine="420"/>
        <w:rPr>
          <w:rFonts w:ascii="新宋体" w:hAnsi="新宋体" w:eastAsia="新宋体" w:cs="新宋体"/>
        </w:rPr>
      </w:pPr>
      <w:r>
        <w:rPr>
          <w:rFonts w:hint="eastAsia" w:ascii="新宋体" w:hAnsi="新宋体" w:eastAsia="新宋体" w:cs="新宋体"/>
        </w:rPr>
        <w:t>13.2 供应商提交的响应文件及供应商与采购人或采购代理机构、磋商小组就有关磋商的所有来往函电均使用中文。供应商可以提交其它语言的资料，但应附中文注释，在有差异时以中文为准。</w:t>
      </w:r>
    </w:p>
    <w:p w14:paraId="765FA4DA">
      <w:pPr>
        <w:snapToGrid w:val="0"/>
        <w:spacing w:line="440" w:lineRule="exact"/>
        <w:ind w:firstLine="420"/>
        <w:rPr>
          <w:rFonts w:ascii="新宋体" w:hAnsi="新宋体" w:eastAsia="新宋体" w:cs="新宋体"/>
        </w:rPr>
      </w:pPr>
      <w:r>
        <w:rPr>
          <w:rFonts w:hint="eastAsia" w:ascii="新宋体" w:hAnsi="新宋体" w:eastAsia="新宋体" w:cs="新宋体"/>
        </w:rPr>
        <w:t>13.3 计量单位应使用我国法定计量单位，未列明时应默认为我国法定计量单位。</w:t>
      </w:r>
    </w:p>
    <w:p w14:paraId="2F9761CB">
      <w:pPr>
        <w:snapToGrid w:val="0"/>
        <w:spacing w:line="440" w:lineRule="exact"/>
        <w:ind w:firstLine="420"/>
        <w:rPr>
          <w:rFonts w:ascii="新宋体" w:hAnsi="新宋体" w:eastAsia="新宋体" w:cs="新宋体"/>
        </w:rPr>
      </w:pPr>
      <w:r>
        <w:rPr>
          <w:rFonts w:hint="eastAsia" w:ascii="新宋体" w:hAnsi="新宋体" w:eastAsia="新宋体" w:cs="新宋体"/>
        </w:rPr>
        <w:t>13.4 响应文件应采用书面形式，电报、传真、电子邮件形式的响应文件概不接受。</w:t>
      </w:r>
    </w:p>
    <w:p w14:paraId="12148BB5">
      <w:pPr>
        <w:snapToGrid w:val="0"/>
        <w:spacing w:line="440" w:lineRule="exact"/>
        <w:ind w:firstLine="420"/>
        <w:rPr>
          <w:rFonts w:ascii="新宋体" w:hAnsi="新宋体" w:eastAsia="新宋体" w:cs="新宋体"/>
        </w:rPr>
      </w:pPr>
      <w:r>
        <w:rPr>
          <w:rFonts w:hint="eastAsia" w:ascii="新宋体" w:hAnsi="新宋体" w:eastAsia="新宋体" w:cs="新宋体"/>
        </w:rPr>
        <w:t>13.5 供应商应按磋商文件中提供的响应文件格式填写。</w:t>
      </w:r>
    </w:p>
    <w:p w14:paraId="69E2A26D">
      <w:pPr>
        <w:snapToGrid w:val="0"/>
        <w:spacing w:line="440" w:lineRule="exact"/>
        <w:rPr>
          <w:rFonts w:ascii="新宋体" w:hAnsi="新宋体" w:eastAsia="新宋体" w:cs="新宋体"/>
          <w:b/>
        </w:rPr>
      </w:pPr>
      <w:r>
        <w:rPr>
          <w:rFonts w:hint="eastAsia" w:ascii="新宋体" w:hAnsi="新宋体" w:eastAsia="新宋体" w:cs="新宋体"/>
          <w:b/>
        </w:rPr>
        <w:t>14.响应文件的组成</w:t>
      </w:r>
    </w:p>
    <w:p w14:paraId="35858CFC">
      <w:pPr>
        <w:snapToGrid w:val="0"/>
        <w:spacing w:line="440" w:lineRule="exact"/>
        <w:ind w:firstLine="420"/>
        <w:rPr>
          <w:rFonts w:ascii="新宋体" w:hAnsi="新宋体" w:eastAsia="新宋体" w:cs="新宋体"/>
        </w:rPr>
      </w:pPr>
      <w:r>
        <w:rPr>
          <w:rFonts w:hint="eastAsia" w:ascii="新宋体" w:hAnsi="新宋体" w:eastAsia="新宋体" w:cs="新宋体"/>
        </w:rPr>
        <w:t xml:space="preserve">14.1 响应文件包括下列内容： </w:t>
      </w:r>
    </w:p>
    <w:p w14:paraId="2EAE4EE8">
      <w:pPr>
        <w:snapToGrid w:val="0"/>
        <w:spacing w:line="440" w:lineRule="exact"/>
        <w:ind w:firstLine="420"/>
        <w:rPr>
          <w:rFonts w:ascii="新宋体" w:hAnsi="新宋体" w:eastAsia="新宋体" w:cs="新宋体"/>
        </w:rPr>
      </w:pPr>
      <w:r>
        <w:rPr>
          <w:rFonts w:hint="eastAsia" w:ascii="新宋体" w:hAnsi="新宋体" w:eastAsia="新宋体" w:cs="新宋体"/>
        </w:rPr>
        <w:t>（1）磋商响应声明</w:t>
      </w:r>
    </w:p>
    <w:p w14:paraId="094066DF">
      <w:pPr>
        <w:snapToGrid w:val="0"/>
        <w:spacing w:line="440" w:lineRule="exact"/>
        <w:ind w:firstLine="420"/>
        <w:rPr>
          <w:rFonts w:ascii="新宋体" w:hAnsi="新宋体" w:eastAsia="新宋体" w:cs="新宋体"/>
        </w:rPr>
      </w:pPr>
      <w:r>
        <w:rPr>
          <w:rFonts w:hint="eastAsia" w:ascii="新宋体" w:hAnsi="新宋体" w:eastAsia="新宋体" w:cs="新宋体"/>
        </w:rPr>
        <w:t>（2）法定代表人身份证明</w:t>
      </w:r>
    </w:p>
    <w:p w14:paraId="61CD83AE">
      <w:pPr>
        <w:snapToGrid w:val="0"/>
        <w:spacing w:line="440" w:lineRule="exact"/>
        <w:ind w:firstLine="420"/>
        <w:rPr>
          <w:rFonts w:ascii="新宋体" w:hAnsi="新宋体" w:eastAsia="新宋体" w:cs="新宋体"/>
        </w:rPr>
      </w:pPr>
      <w:r>
        <w:rPr>
          <w:rFonts w:hint="eastAsia" w:ascii="新宋体" w:hAnsi="新宋体" w:eastAsia="新宋体" w:cs="新宋体"/>
        </w:rPr>
        <w:t>（3）授权委托书</w:t>
      </w:r>
    </w:p>
    <w:p w14:paraId="26D65E37">
      <w:pPr>
        <w:snapToGrid w:val="0"/>
        <w:spacing w:line="440" w:lineRule="exact"/>
        <w:ind w:firstLine="420"/>
        <w:rPr>
          <w:rFonts w:ascii="新宋体" w:hAnsi="新宋体" w:eastAsia="新宋体" w:cs="新宋体"/>
        </w:rPr>
      </w:pPr>
      <w:r>
        <w:rPr>
          <w:rFonts w:hint="eastAsia" w:ascii="新宋体" w:hAnsi="新宋体" w:eastAsia="新宋体" w:cs="新宋体"/>
        </w:rPr>
        <w:t>（4）保证金</w:t>
      </w:r>
    </w:p>
    <w:p w14:paraId="14DEBF5D">
      <w:pPr>
        <w:snapToGrid w:val="0"/>
        <w:spacing w:line="440" w:lineRule="exact"/>
        <w:ind w:firstLine="420"/>
        <w:rPr>
          <w:rFonts w:ascii="新宋体" w:hAnsi="新宋体" w:eastAsia="新宋体" w:cs="新宋体"/>
        </w:rPr>
      </w:pPr>
      <w:r>
        <w:rPr>
          <w:rFonts w:hint="eastAsia" w:ascii="新宋体" w:hAnsi="新宋体" w:eastAsia="新宋体" w:cs="新宋体"/>
        </w:rPr>
        <w:t>（5）供应商的资格证明材料</w:t>
      </w:r>
    </w:p>
    <w:p w14:paraId="1779BDA4">
      <w:pPr>
        <w:snapToGrid w:val="0"/>
        <w:spacing w:line="440" w:lineRule="exact"/>
        <w:ind w:firstLine="420"/>
        <w:rPr>
          <w:rFonts w:ascii="新宋体" w:hAnsi="新宋体" w:eastAsia="新宋体" w:cs="新宋体"/>
        </w:rPr>
      </w:pPr>
      <w:r>
        <w:rPr>
          <w:rFonts w:hint="eastAsia" w:ascii="新宋体" w:hAnsi="新宋体" w:eastAsia="新宋体" w:cs="新宋体"/>
        </w:rPr>
        <w:t>（6）施工组织设计方案</w:t>
      </w:r>
    </w:p>
    <w:p w14:paraId="0DEB2B6F">
      <w:pPr>
        <w:snapToGrid w:val="0"/>
        <w:spacing w:line="440" w:lineRule="exact"/>
        <w:ind w:firstLine="420"/>
        <w:rPr>
          <w:rFonts w:ascii="新宋体" w:hAnsi="新宋体" w:eastAsia="新宋体" w:cs="新宋体"/>
        </w:rPr>
      </w:pPr>
      <w:r>
        <w:rPr>
          <w:rFonts w:hint="eastAsia" w:ascii="新宋体" w:hAnsi="新宋体" w:eastAsia="新宋体" w:cs="新宋体"/>
        </w:rPr>
        <w:t>（7）报价表及报价文件</w:t>
      </w:r>
    </w:p>
    <w:p w14:paraId="110AC3A2">
      <w:pPr>
        <w:snapToGrid w:val="0"/>
        <w:spacing w:line="440" w:lineRule="exact"/>
        <w:ind w:firstLine="420"/>
        <w:rPr>
          <w:rFonts w:ascii="新宋体" w:hAnsi="新宋体" w:eastAsia="新宋体" w:cs="新宋体"/>
        </w:rPr>
      </w:pPr>
      <w:r>
        <w:rPr>
          <w:rFonts w:hint="eastAsia" w:ascii="新宋体" w:hAnsi="新宋体" w:eastAsia="新宋体" w:cs="新宋体"/>
        </w:rPr>
        <w:t>（8）采购需求响应</w:t>
      </w:r>
    </w:p>
    <w:p w14:paraId="510E7BDD">
      <w:pPr>
        <w:snapToGrid w:val="0"/>
        <w:spacing w:line="440" w:lineRule="exact"/>
        <w:ind w:firstLine="420"/>
        <w:rPr>
          <w:rFonts w:ascii="新宋体" w:hAnsi="新宋体" w:eastAsia="新宋体" w:cs="新宋体"/>
        </w:rPr>
      </w:pPr>
      <w:r>
        <w:rPr>
          <w:rFonts w:hint="eastAsia" w:ascii="新宋体" w:hAnsi="新宋体" w:eastAsia="新宋体" w:cs="新宋体"/>
        </w:rPr>
        <w:t>（9）合同条款偏离表</w:t>
      </w:r>
    </w:p>
    <w:p w14:paraId="3D9C1213">
      <w:pPr>
        <w:snapToGrid w:val="0"/>
        <w:spacing w:line="440" w:lineRule="exact"/>
        <w:ind w:firstLine="420"/>
        <w:rPr>
          <w:rFonts w:ascii="新宋体" w:hAnsi="新宋体" w:eastAsia="新宋体" w:cs="新宋体"/>
        </w:rPr>
      </w:pPr>
      <w:r>
        <w:rPr>
          <w:rFonts w:hint="eastAsia" w:ascii="新宋体" w:hAnsi="新宋体" w:eastAsia="新宋体" w:cs="新宋体"/>
        </w:rPr>
        <w:t>（10）采购需求偏离表</w:t>
      </w:r>
    </w:p>
    <w:p w14:paraId="59B107DE">
      <w:pPr>
        <w:snapToGrid w:val="0"/>
        <w:spacing w:line="440" w:lineRule="exact"/>
        <w:ind w:firstLine="420"/>
        <w:rPr>
          <w:rFonts w:ascii="新宋体" w:hAnsi="新宋体" w:eastAsia="新宋体" w:cs="新宋体"/>
        </w:rPr>
      </w:pPr>
      <w:r>
        <w:rPr>
          <w:rFonts w:hint="eastAsia" w:ascii="新宋体" w:hAnsi="新宋体" w:eastAsia="新宋体" w:cs="新宋体"/>
        </w:rPr>
        <w:t>（11）享受政府采购政策优惠的证明材料</w:t>
      </w:r>
    </w:p>
    <w:p w14:paraId="065898FF">
      <w:pPr>
        <w:snapToGrid w:val="0"/>
        <w:spacing w:line="440" w:lineRule="exact"/>
        <w:ind w:firstLine="420"/>
        <w:rPr>
          <w:rFonts w:ascii="新宋体" w:hAnsi="新宋体" w:eastAsia="新宋体" w:cs="新宋体"/>
        </w:rPr>
      </w:pPr>
      <w:r>
        <w:rPr>
          <w:rFonts w:hint="eastAsia" w:ascii="新宋体" w:hAnsi="新宋体" w:eastAsia="新宋体" w:cs="新宋体"/>
        </w:rPr>
        <w:t>（12）关于资格的说明(格式）</w:t>
      </w:r>
    </w:p>
    <w:p w14:paraId="38F8A0FB">
      <w:pPr>
        <w:snapToGrid w:val="0"/>
        <w:spacing w:line="440" w:lineRule="exact"/>
        <w:ind w:firstLine="420"/>
        <w:rPr>
          <w:rFonts w:ascii="新宋体" w:hAnsi="新宋体" w:eastAsia="新宋体" w:cs="新宋体"/>
        </w:rPr>
      </w:pPr>
      <w:r>
        <w:rPr>
          <w:rFonts w:hint="eastAsia" w:ascii="新宋体" w:hAnsi="新宋体" w:eastAsia="新宋体" w:cs="新宋体"/>
        </w:rPr>
        <w:t>（13）响应标的符合磋商文件规定的证明文件</w:t>
      </w:r>
    </w:p>
    <w:p w14:paraId="4E53153E">
      <w:pPr>
        <w:snapToGrid w:val="0"/>
        <w:spacing w:line="440" w:lineRule="exact"/>
        <w:ind w:firstLine="420"/>
        <w:rPr>
          <w:rFonts w:ascii="新宋体" w:hAnsi="新宋体" w:eastAsia="新宋体" w:cs="新宋体"/>
        </w:rPr>
      </w:pPr>
      <w:r>
        <w:rPr>
          <w:rFonts w:hint="eastAsia" w:ascii="新宋体" w:hAnsi="新宋体" w:eastAsia="新宋体" w:cs="新宋体"/>
        </w:rPr>
        <w:t>（14）供应商认为需要提供的其他资料</w:t>
      </w:r>
    </w:p>
    <w:p w14:paraId="58CF9A16">
      <w:pPr>
        <w:snapToGrid w:val="0"/>
        <w:spacing w:line="440" w:lineRule="exact"/>
        <w:ind w:firstLine="420"/>
        <w:rPr>
          <w:rFonts w:ascii="新宋体" w:hAnsi="新宋体" w:eastAsia="新宋体" w:cs="新宋体"/>
        </w:rPr>
      </w:pPr>
      <w:r>
        <w:rPr>
          <w:rFonts w:hint="eastAsia" w:ascii="新宋体" w:hAnsi="新宋体" w:eastAsia="新宋体" w:cs="新宋体"/>
        </w:rPr>
        <w:t xml:space="preserve"> (15) 最后报价表</w:t>
      </w:r>
    </w:p>
    <w:p w14:paraId="43C3A129">
      <w:pPr>
        <w:snapToGrid w:val="0"/>
        <w:spacing w:line="440" w:lineRule="exact"/>
        <w:ind w:firstLine="420"/>
        <w:rPr>
          <w:rFonts w:ascii="新宋体" w:hAnsi="新宋体" w:eastAsia="新宋体" w:cs="新宋体"/>
        </w:rPr>
      </w:pPr>
      <w:r>
        <w:rPr>
          <w:rFonts w:hint="eastAsia" w:ascii="新宋体" w:hAnsi="新宋体" w:eastAsia="新宋体" w:cs="新宋体"/>
        </w:rPr>
        <w:t>14.2在磋商过程中，供应商根据磋商小组书面形式要求提交的最后报价(或者重新提交的响应文件和最后报价)是响应文件的有效组成部分。</w:t>
      </w:r>
    </w:p>
    <w:p w14:paraId="0B54BC05">
      <w:pPr>
        <w:snapToGrid w:val="0"/>
        <w:spacing w:line="440" w:lineRule="exact"/>
        <w:ind w:firstLine="420"/>
        <w:rPr>
          <w:rFonts w:ascii="新宋体" w:hAnsi="新宋体" w:eastAsia="新宋体" w:cs="新宋体"/>
        </w:rPr>
      </w:pPr>
      <w:r>
        <w:rPr>
          <w:rFonts w:hint="eastAsia" w:ascii="新宋体" w:hAnsi="新宋体" w:eastAsia="新宋体" w:cs="新宋体"/>
        </w:rPr>
        <w:t>14.3根据《政府采购法》第四十二条的规定，供应商无论成交与否，其响应文件不予退还。</w:t>
      </w:r>
    </w:p>
    <w:p w14:paraId="6CFFA1A7">
      <w:pPr>
        <w:snapToGrid w:val="0"/>
        <w:spacing w:line="440" w:lineRule="exact"/>
        <w:rPr>
          <w:rFonts w:ascii="新宋体" w:hAnsi="新宋体" w:eastAsia="新宋体" w:cs="新宋体"/>
          <w:b/>
        </w:rPr>
      </w:pPr>
      <w:r>
        <w:rPr>
          <w:rFonts w:hint="eastAsia" w:ascii="新宋体" w:hAnsi="新宋体" w:eastAsia="新宋体" w:cs="新宋体"/>
          <w:b/>
        </w:rPr>
        <w:t>15.报价要求</w:t>
      </w:r>
    </w:p>
    <w:p w14:paraId="4E16EAA5">
      <w:pPr>
        <w:adjustRightInd w:val="0"/>
        <w:snapToGrid w:val="0"/>
        <w:spacing w:line="440" w:lineRule="exact"/>
        <w:ind w:firstLine="420" w:firstLineChars="200"/>
        <w:rPr>
          <w:rFonts w:ascii="宋体" w:hAnsi="宋体"/>
          <w:szCs w:val="21"/>
        </w:rPr>
      </w:pPr>
      <w:r>
        <w:rPr>
          <w:rFonts w:hint="eastAsia" w:ascii="宋体" w:hAnsi="宋体"/>
          <w:szCs w:val="21"/>
        </w:rPr>
        <w:t>15.1供应商应当根据磋商文件第三章第一节“采购清单一览表”逐一报价；磋商文件第三章提供第三节“工程量清单”的，供应商应按其要求填写相应表格。</w:t>
      </w:r>
    </w:p>
    <w:p w14:paraId="35391A44">
      <w:pPr>
        <w:adjustRightInd w:val="0"/>
        <w:snapToGrid w:val="0"/>
        <w:spacing w:line="440" w:lineRule="exact"/>
        <w:ind w:firstLine="420" w:firstLineChars="200"/>
        <w:rPr>
          <w:rFonts w:ascii="宋体" w:hAnsi="宋体"/>
          <w:szCs w:val="21"/>
        </w:rPr>
      </w:pPr>
      <w:r>
        <w:rPr>
          <w:rFonts w:hint="eastAsia" w:ascii="宋体" w:hAnsi="宋体"/>
          <w:szCs w:val="21"/>
        </w:rPr>
        <w:t>15.2在报价表、分项报价表填写报价时应注意下列要求：</w:t>
      </w:r>
    </w:p>
    <w:p w14:paraId="20ACC95B">
      <w:pPr>
        <w:pStyle w:val="26"/>
        <w:adjustRightInd w:val="0"/>
        <w:snapToGrid w:val="0"/>
        <w:spacing w:line="440" w:lineRule="exact"/>
        <w:ind w:firstLine="420" w:firstLineChars="200"/>
        <w:rPr>
          <w:rFonts w:hAnsi="宋体"/>
        </w:rPr>
      </w:pPr>
      <w:r>
        <w:rPr>
          <w:rFonts w:hint="eastAsia" w:hAnsi="宋体"/>
        </w:rPr>
        <w:t>（1）采购需求要求的安装、调试、培训、售后服务及其它附加服务的费用。</w:t>
      </w:r>
    </w:p>
    <w:p w14:paraId="4791A1A0">
      <w:pPr>
        <w:pStyle w:val="26"/>
        <w:adjustRightInd w:val="0"/>
        <w:snapToGrid w:val="0"/>
        <w:spacing w:line="440" w:lineRule="exact"/>
        <w:ind w:firstLine="420" w:firstLineChars="200"/>
        <w:rPr>
          <w:rFonts w:hAnsi="宋体"/>
        </w:rPr>
      </w:pPr>
      <w:r>
        <w:rPr>
          <w:rFonts w:hint="eastAsia" w:hAnsi="宋体"/>
        </w:rPr>
        <w:t>（2）所有根据合同或其它原因应由供应商交纳和支付的税款和费用。</w:t>
      </w:r>
    </w:p>
    <w:p w14:paraId="7439B941">
      <w:pPr>
        <w:adjustRightInd w:val="0"/>
        <w:snapToGrid w:val="0"/>
        <w:spacing w:line="440" w:lineRule="exact"/>
        <w:ind w:firstLine="420" w:firstLineChars="200"/>
        <w:rPr>
          <w:rFonts w:ascii="宋体" w:hAnsi="宋体"/>
          <w:color w:val="000000"/>
        </w:rPr>
      </w:pPr>
      <w:r>
        <w:rPr>
          <w:rFonts w:hint="eastAsia" w:ascii="宋体" w:hAnsi="宋体"/>
          <w:color w:val="000000"/>
        </w:rPr>
        <w:t>（3）磋商文件指定交货地点的运输、保险、装卸费。</w:t>
      </w:r>
    </w:p>
    <w:p w14:paraId="2B7D6E71">
      <w:pPr>
        <w:adjustRightInd w:val="0"/>
        <w:snapToGrid w:val="0"/>
        <w:spacing w:line="440" w:lineRule="exact"/>
        <w:ind w:firstLine="420" w:firstLineChars="200"/>
        <w:rPr>
          <w:rFonts w:ascii="宋体" w:hAnsi="宋体"/>
          <w:szCs w:val="21"/>
        </w:rPr>
      </w:pPr>
      <w:r>
        <w:rPr>
          <w:rFonts w:hint="eastAsia" w:ascii="宋体" w:hAnsi="宋体"/>
        </w:rPr>
        <w:t>（4）实行工程量清单报价的，供应商提交最后报价应与已标价工程量清单总报价一致。</w:t>
      </w:r>
    </w:p>
    <w:p w14:paraId="5F9D7E72">
      <w:pPr>
        <w:pStyle w:val="166"/>
        <w:widowControl w:val="0"/>
        <w:adjustRightInd w:val="0"/>
        <w:snapToGrid w:val="0"/>
        <w:spacing w:line="440" w:lineRule="exact"/>
        <w:ind w:firstLine="420" w:firstLineChars="200"/>
        <w:rPr>
          <w:rFonts w:ascii="宋体" w:hAnsi="宋体"/>
          <w:color w:val="000000"/>
        </w:rPr>
      </w:pPr>
      <w:r>
        <w:rPr>
          <w:rFonts w:hint="eastAsia" w:ascii="宋体" w:hAnsi="宋体"/>
          <w:color w:val="000000"/>
        </w:rPr>
        <w:t>15.3</w:t>
      </w:r>
      <w:r>
        <w:rPr>
          <w:rFonts w:hint="eastAsia" w:ascii="宋体" w:hAnsi="宋体" w:cs="宋体"/>
          <w:color w:val="000000"/>
          <w:lang w:val="zh-CN"/>
        </w:rPr>
        <w:t>供应商</w:t>
      </w:r>
      <w:r>
        <w:rPr>
          <w:rFonts w:hint="eastAsia" w:ascii="宋体" w:hAnsi="宋体"/>
          <w:color w:val="000000"/>
        </w:rPr>
        <w:t>的最后报价不得超过采购项目预算，采购项目预算见</w:t>
      </w:r>
      <w:r>
        <w:rPr>
          <w:rFonts w:hint="eastAsia" w:ascii="宋体" w:hAnsi="宋体"/>
          <w:b/>
        </w:rPr>
        <w:t>【磋商须知前附表】</w:t>
      </w:r>
      <w:r>
        <w:rPr>
          <w:rFonts w:hint="eastAsia" w:ascii="宋体" w:hAnsi="宋体"/>
          <w:color w:val="000000"/>
        </w:rPr>
        <w:t>。</w:t>
      </w:r>
    </w:p>
    <w:p w14:paraId="47CA752E">
      <w:pPr>
        <w:pStyle w:val="26"/>
        <w:adjustRightInd w:val="0"/>
        <w:snapToGrid w:val="0"/>
        <w:spacing w:line="440" w:lineRule="exact"/>
        <w:ind w:firstLine="420" w:firstLineChars="200"/>
        <w:rPr>
          <w:rFonts w:hAnsi="宋体"/>
          <w:color w:val="000000"/>
        </w:rPr>
      </w:pPr>
      <w:r>
        <w:rPr>
          <w:rFonts w:hint="eastAsia" w:hAnsi="宋体"/>
          <w:color w:val="000000"/>
        </w:rPr>
        <w:t>15.4供应商提交的最后报价在合同执行过程中是固定不变的，不得以任何理由予以变更。以可变动价格提交的报价将被认为是非实质响应而被拒绝。</w:t>
      </w:r>
    </w:p>
    <w:p w14:paraId="1FB3BC3D">
      <w:pPr>
        <w:adjustRightInd w:val="0"/>
        <w:snapToGrid w:val="0"/>
        <w:spacing w:line="440" w:lineRule="exact"/>
        <w:ind w:firstLine="420" w:firstLineChars="200"/>
        <w:jc w:val="left"/>
        <w:rPr>
          <w:rFonts w:ascii="宋体" w:hAnsi="宋体"/>
          <w:color w:val="000000"/>
        </w:rPr>
      </w:pPr>
      <w:r>
        <w:rPr>
          <w:rFonts w:hint="eastAsia" w:ascii="宋体" w:hAnsi="宋体"/>
          <w:color w:val="000000"/>
        </w:rPr>
        <w:t>15.5采购人不接受供应商给予的赠品、回扣或者与采购无关的其他商品、服务。</w:t>
      </w:r>
    </w:p>
    <w:p w14:paraId="31237108">
      <w:pPr>
        <w:pStyle w:val="26"/>
        <w:adjustRightInd w:val="0"/>
        <w:snapToGrid w:val="0"/>
        <w:spacing w:line="440" w:lineRule="exact"/>
        <w:ind w:firstLine="420" w:firstLineChars="200"/>
        <w:rPr>
          <w:rFonts w:ascii="新宋体" w:hAnsi="新宋体" w:eastAsia="新宋体" w:cs="新宋体"/>
        </w:rPr>
      </w:pPr>
      <w:r>
        <w:rPr>
          <w:rFonts w:hint="eastAsia" w:hAnsi="宋体"/>
          <w:color w:val="000000"/>
        </w:rPr>
        <w:t>15.6报价的其他要求见</w:t>
      </w:r>
      <w:r>
        <w:rPr>
          <w:rFonts w:hint="eastAsia" w:hAnsi="宋体"/>
          <w:b/>
        </w:rPr>
        <w:t>【磋商须知前附表】</w:t>
      </w:r>
      <w:r>
        <w:rPr>
          <w:rFonts w:hint="eastAsia" w:hAnsi="宋体"/>
          <w:color w:val="000000"/>
        </w:rPr>
        <w:t>。</w:t>
      </w:r>
    </w:p>
    <w:p w14:paraId="1A210B93">
      <w:pPr>
        <w:snapToGrid w:val="0"/>
        <w:spacing w:line="440" w:lineRule="exact"/>
        <w:rPr>
          <w:rFonts w:ascii="新宋体" w:hAnsi="新宋体" w:eastAsia="新宋体" w:cs="新宋体"/>
          <w:b/>
        </w:rPr>
      </w:pPr>
      <w:r>
        <w:rPr>
          <w:rFonts w:hint="eastAsia" w:ascii="新宋体" w:hAnsi="新宋体" w:eastAsia="新宋体" w:cs="新宋体"/>
          <w:b/>
        </w:rPr>
        <w:t>16.供应商符合磋商文件规定的证明文件</w:t>
      </w:r>
    </w:p>
    <w:p w14:paraId="7BB029D5">
      <w:pPr>
        <w:snapToGrid w:val="0"/>
        <w:spacing w:line="440" w:lineRule="exact"/>
        <w:ind w:firstLine="420"/>
        <w:jc w:val="left"/>
        <w:rPr>
          <w:rFonts w:ascii="新宋体" w:hAnsi="新宋体" w:eastAsia="新宋体" w:cs="新宋体"/>
        </w:rPr>
      </w:pPr>
      <w:r>
        <w:rPr>
          <w:rFonts w:hint="eastAsia" w:ascii="新宋体" w:hAnsi="新宋体" w:eastAsia="新宋体" w:cs="新宋体"/>
        </w:rPr>
        <w:t>16.1供应商应提交满足本章第3.1款规定的资格条件要求的证明文件,该证明文件作为响应文件的一部分。</w:t>
      </w:r>
    </w:p>
    <w:p w14:paraId="1604CABE">
      <w:pPr>
        <w:snapToGrid w:val="0"/>
        <w:spacing w:line="440" w:lineRule="exact"/>
        <w:ind w:firstLine="420"/>
        <w:jc w:val="left"/>
        <w:rPr>
          <w:rFonts w:ascii="新宋体" w:hAnsi="新宋体" w:eastAsia="新宋体" w:cs="新宋体"/>
        </w:rPr>
      </w:pPr>
      <w:r>
        <w:rPr>
          <w:rFonts w:hint="eastAsia" w:ascii="新宋体" w:hAnsi="新宋体" w:eastAsia="新宋体" w:cs="新宋体"/>
        </w:rPr>
        <w:t>16.2如果供应商为联合体，则应提交联合体各方资格证明文件、联合体协议。否则，在评审时将其视为无效响应。</w:t>
      </w:r>
    </w:p>
    <w:p w14:paraId="675E199E">
      <w:pPr>
        <w:snapToGrid w:val="0"/>
        <w:spacing w:line="440" w:lineRule="exact"/>
        <w:rPr>
          <w:rFonts w:ascii="新宋体" w:hAnsi="新宋体" w:eastAsia="新宋体" w:cs="新宋体"/>
          <w:b/>
        </w:rPr>
      </w:pPr>
      <w:r>
        <w:rPr>
          <w:rFonts w:hint="eastAsia" w:ascii="新宋体" w:hAnsi="新宋体" w:eastAsia="新宋体" w:cs="新宋体"/>
          <w:b/>
        </w:rPr>
        <w:t>17.保证金</w:t>
      </w:r>
    </w:p>
    <w:p w14:paraId="71E73F8D">
      <w:pPr>
        <w:snapToGrid w:val="0"/>
        <w:spacing w:line="440" w:lineRule="exact"/>
        <w:ind w:firstLine="420"/>
        <w:rPr>
          <w:rFonts w:ascii="新宋体" w:hAnsi="新宋体" w:eastAsia="新宋体" w:cs="新宋体"/>
        </w:rPr>
      </w:pPr>
      <w:r>
        <w:rPr>
          <w:rFonts w:hint="eastAsia" w:ascii="新宋体" w:hAnsi="新宋体" w:eastAsia="新宋体" w:cs="新宋体"/>
        </w:rPr>
        <w:t>17.1磋商文件要求供应商提交保证金的，供应商应按</w:t>
      </w:r>
      <w:r>
        <w:rPr>
          <w:rFonts w:hint="eastAsia" w:ascii="新宋体" w:hAnsi="新宋体" w:eastAsia="新宋体" w:cs="新宋体"/>
          <w:b/>
        </w:rPr>
        <w:t>【磋商须知前附表】</w:t>
      </w:r>
      <w:r>
        <w:rPr>
          <w:rFonts w:hint="eastAsia" w:ascii="新宋体" w:hAnsi="新宋体" w:eastAsia="新宋体" w:cs="新宋体"/>
        </w:rPr>
        <w:t>规定，在提交响应文件的截止时间前提交保证金。保证金有效期应当与响应文件有效期一致。</w:t>
      </w:r>
    </w:p>
    <w:p w14:paraId="4449E16F">
      <w:pPr>
        <w:snapToGrid w:val="0"/>
        <w:spacing w:line="440" w:lineRule="exact"/>
        <w:ind w:firstLine="420"/>
        <w:rPr>
          <w:rFonts w:ascii="新宋体" w:hAnsi="新宋体" w:eastAsia="新宋体" w:cs="新宋体"/>
          <w:b/>
        </w:rPr>
      </w:pPr>
      <w:r>
        <w:rPr>
          <w:rFonts w:hint="eastAsia" w:ascii="新宋体" w:hAnsi="新宋体" w:eastAsia="新宋体" w:cs="新宋体"/>
        </w:rPr>
        <w:t>17.2供应商为联合体的，可以由联合体中的一方或者共同交纳磋商保证金，其交纳的磋商保证金，对联合体各方均具有约束力。</w:t>
      </w:r>
    </w:p>
    <w:p w14:paraId="1D6274A4">
      <w:pPr>
        <w:snapToGrid w:val="0"/>
        <w:spacing w:line="440" w:lineRule="exact"/>
        <w:ind w:firstLine="420"/>
        <w:rPr>
          <w:rFonts w:ascii="新宋体" w:hAnsi="新宋体" w:eastAsia="新宋体" w:cs="新宋体"/>
        </w:rPr>
      </w:pPr>
      <w:r>
        <w:rPr>
          <w:rFonts w:hint="eastAsia" w:ascii="新宋体" w:hAnsi="新宋体" w:eastAsia="新宋体" w:cs="新宋体"/>
        </w:rPr>
        <w:t>17.3供应商未按照磋商文件要求提交磋商保证金的，响应无效。</w:t>
      </w:r>
    </w:p>
    <w:p w14:paraId="65EFF1E3">
      <w:pPr>
        <w:tabs>
          <w:tab w:val="left" w:pos="6300"/>
        </w:tabs>
        <w:snapToGrid w:val="0"/>
        <w:spacing w:line="440" w:lineRule="exact"/>
        <w:ind w:firstLine="420"/>
        <w:rPr>
          <w:rFonts w:ascii="新宋体" w:hAnsi="新宋体" w:eastAsia="新宋体" w:cs="新宋体"/>
        </w:rPr>
      </w:pPr>
      <w:r>
        <w:rPr>
          <w:rFonts w:hint="eastAsia" w:ascii="新宋体" w:hAnsi="新宋体" w:eastAsia="新宋体" w:cs="新宋体"/>
        </w:rPr>
        <w:t>17.4采购代理机构在成交通知书发出后5个工作日内退还未成交供应商的磋商保证金；在采购合同签定后5个工作日内退还成交供应商的磋商保证金，但因供应商自身原因导致无法及时退还的除外。</w:t>
      </w:r>
    </w:p>
    <w:p w14:paraId="54D7DA73">
      <w:pPr>
        <w:snapToGrid w:val="0"/>
        <w:spacing w:line="440" w:lineRule="exact"/>
        <w:ind w:firstLine="420"/>
        <w:rPr>
          <w:rFonts w:ascii="新宋体" w:hAnsi="新宋体" w:eastAsia="新宋体" w:cs="新宋体"/>
        </w:rPr>
      </w:pPr>
      <w:r>
        <w:rPr>
          <w:rFonts w:hint="eastAsia" w:ascii="新宋体" w:hAnsi="新宋体" w:eastAsia="新宋体" w:cs="新宋体"/>
        </w:rPr>
        <w:t>17.5 有下列情形之一的，磋商保证金不予退还，并上缴本级财政国库：</w:t>
      </w:r>
    </w:p>
    <w:p w14:paraId="10798EF1">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（1）供应商在提交首次响应文件截止时间后撤回响应文件的；</w:t>
      </w:r>
    </w:p>
    <w:p w14:paraId="4265EED1">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（2）供应商在响应文件中提供虚假资料的；</w:t>
      </w:r>
    </w:p>
    <w:p w14:paraId="2F0A933E">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（3）确定成交结果后，无正当理由放弃成交资格的；</w:t>
      </w:r>
    </w:p>
    <w:p w14:paraId="0C517D84">
      <w:pPr>
        <w:widowControl/>
        <w:snapToGrid w:val="0"/>
        <w:spacing w:line="440" w:lineRule="exact"/>
        <w:ind w:firstLine="525"/>
        <w:jc w:val="left"/>
        <w:rPr>
          <w:rFonts w:ascii="新宋体" w:hAnsi="新宋体" w:eastAsia="新宋体" w:cs="新宋体"/>
        </w:rPr>
      </w:pPr>
      <w:r>
        <w:rPr>
          <w:rFonts w:hint="eastAsia" w:ascii="新宋体" w:hAnsi="新宋体" w:eastAsia="新宋体" w:cs="新宋体"/>
        </w:rPr>
        <w:t>(4) 除因不可抗力或磋商文件认可的情形以外，成交供应商不与采购人签订合同的；</w:t>
      </w:r>
    </w:p>
    <w:p w14:paraId="1E0FDD18">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（5）供应商与采购人、其他供应商或者采购代理机构恶意串通的；</w:t>
      </w:r>
    </w:p>
    <w:p w14:paraId="5AC9ABF4">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（6）磋商文件规定的其他情形。</w:t>
      </w:r>
    </w:p>
    <w:p w14:paraId="7DA12CD7">
      <w:pPr>
        <w:snapToGrid w:val="0"/>
        <w:spacing w:line="440" w:lineRule="exact"/>
        <w:rPr>
          <w:rFonts w:ascii="新宋体" w:hAnsi="新宋体" w:eastAsia="新宋体" w:cs="新宋体"/>
          <w:b/>
        </w:rPr>
      </w:pPr>
      <w:r>
        <w:rPr>
          <w:rFonts w:hint="eastAsia" w:ascii="新宋体" w:hAnsi="新宋体" w:eastAsia="新宋体" w:cs="新宋体"/>
          <w:b/>
        </w:rPr>
        <w:t>18.响应文件有效期</w:t>
      </w:r>
    </w:p>
    <w:p w14:paraId="43806438">
      <w:pPr>
        <w:snapToGrid w:val="0"/>
        <w:spacing w:line="440" w:lineRule="exact"/>
        <w:ind w:firstLine="420"/>
        <w:jc w:val="left"/>
        <w:rPr>
          <w:rFonts w:ascii="新宋体" w:hAnsi="新宋体" w:eastAsia="新宋体" w:cs="新宋体"/>
        </w:rPr>
      </w:pPr>
      <w:r>
        <w:rPr>
          <w:rFonts w:hint="eastAsia" w:ascii="新宋体" w:hAnsi="新宋体" w:eastAsia="新宋体" w:cs="新宋体"/>
        </w:rPr>
        <w:t>18.1响应文件有效期见</w:t>
      </w:r>
      <w:r>
        <w:rPr>
          <w:rFonts w:hint="eastAsia" w:ascii="新宋体" w:hAnsi="新宋体" w:eastAsia="新宋体" w:cs="新宋体"/>
          <w:b/>
        </w:rPr>
        <w:t>【磋商须知前附表】</w:t>
      </w:r>
      <w:r>
        <w:rPr>
          <w:rFonts w:hint="eastAsia" w:ascii="新宋体" w:hAnsi="新宋体" w:eastAsia="新宋体" w:cs="新宋体"/>
        </w:rPr>
        <w:t>，在此期间响应文件对供应商具有法律约束力，从提交首次响应文件截止时间之日起计算。响应文件有效期不足的将被视为无效响应。</w:t>
      </w:r>
    </w:p>
    <w:p w14:paraId="796E046D">
      <w:pPr>
        <w:snapToGrid w:val="0"/>
        <w:spacing w:line="440" w:lineRule="exact"/>
        <w:rPr>
          <w:rFonts w:ascii="新宋体" w:hAnsi="新宋体" w:eastAsia="新宋体" w:cs="新宋体"/>
          <w:b/>
        </w:rPr>
      </w:pPr>
      <w:r>
        <w:rPr>
          <w:rFonts w:hint="eastAsia" w:ascii="新宋体" w:hAnsi="新宋体" w:eastAsia="新宋体" w:cs="新宋体"/>
          <w:b/>
        </w:rPr>
        <w:t>19.响应文件的签署及规定</w:t>
      </w:r>
    </w:p>
    <w:p w14:paraId="350DB071">
      <w:pPr>
        <w:snapToGrid w:val="0"/>
        <w:spacing w:line="440" w:lineRule="exact"/>
        <w:ind w:firstLine="420"/>
        <w:rPr>
          <w:rFonts w:ascii="新宋体" w:hAnsi="新宋体" w:eastAsia="新宋体" w:cs="新宋体"/>
        </w:rPr>
      </w:pPr>
      <w:r>
        <w:rPr>
          <w:rFonts w:hint="eastAsia" w:ascii="新宋体" w:hAnsi="新宋体" w:eastAsia="新宋体" w:cs="新宋体"/>
        </w:rPr>
        <w:t>19.1响应文件的正本和副本应装订成册，正本一份，副本份数见</w:t>
      </w:r>
      <w:r>
        <w:rPr>
          <w:rFonts w:hint="eastAsia" w:ascii="新宋体" w:hAnsi="新宋体" w:eastAsia="新宋体" w:cs="新宋体"/>
          <w:b/>
        </w:rPr>
        <w:t>【磋商须知前附表】</w:t>
      </w:r>
      <w:r>
        <w:rPr>
          <w:rFonts w:hint="eastAsia" w:ascii="新宋体" w:hAnsi="新宋体" w:eastAsia="新宋体" w:cs="新宋体"/>
        </w:rPr>
        <w:t>。正本和副本的封面上应标记“正本”或“副本”的字样，当正本和副本有差异时，以正本为准。</w:t>
      </w:r>
    </w:p>
    <w:p w14:paraId="644B9F2D">
      <w:pPr>
        <w:snapToGrid w:val="0"/>
        <w:spacing w:line="440" w:lineRule="exact"/>
        <w:ind w:firstLine="420"/>
        <w:rPr>
          <w:rFonts w:ascii="新宋体" w:hAnsi="新宋体" w:eastAsia="新宋体" w:cs="新宋体"/>
        </w:rPr>
      </w:pPr>
      <w:r>
        <w:rPr>
          <w:rFonts w:hint="eastAsia" w:ascii="新宋体" w:hAnsi="新宋体" w:eastAsia="新宋体" w:cs="新宋体"/>
        </w:rPr>
        <w:t>19.2 响应文件正本和副本应按磋商文件要求签章处盖单位章和由法定代表人或其委托代理人签字；任何加行、涂改、增删，应有法定代表人或其委托代理人在旁边签字。否则，将导致响应文件无效。</w:t>
      </w:r>
    </w:p>
    <w:p w14:paraId="7553AB5C">
      <w:pPr>
        <w:snapToGrid w:val="0"/>
        <w:spacing w:line="440" w:lineRule="exact"/>
        <w:ind w:firstLine="420"/>
        <w:rPr>
          <w:rFonts w:ascii="新宋体" w:hAnsi="新宋体" w:eastAsia="新宋体" w:cs="新宋体"/>
        </w:rPr>
      </w:pPr>
      <w:r>
        <w:rPr>
          <w:rFonts w:hint="eastAsia" w:ascii="新宋体" w:hAnsi="新宋体" w:eastAsia="新宋体" w:cs="新宋体"/>
        </w:rPr>
        <w:t>19.3 在磋商过程中，供应商按磋商文件规定和磋商小组要求提交的最后报价(或者重新提交的响应文件和最后报价)，一式两份，可打印或用不退色墨水书写，但需经法定代表人或其委托代理人签字，或者加盖供应商单位章。否则，将导致响应文件无效。</w:t>
      </w:r>
    </w:p>
    <w:p w14:paraId="419D9D64">
      <w:pPr>
        <w:pStyle w:val="8"/>
        <w:spacing w:before="0" w:after="0" w:line="440" w:lineRule="exact"/>
        <w:jc w:val="center"/>
        <w:rPr>
          <w:rFonts w:ascii="新宋体" w:hAnsi="新宋体" w:eastAsia="新宋体" w:cs="新宋体"/>
          <w:b w:val="0"/>
          <w:bCs w:val="0"/>
          <w:sz w:val="24"/>
        </w:rPr>
      </w:pPr>
      <w:bookmarkStart w:id="22" w:name="_Toc16986"/>
      <w:r>
        <w:rPr>
          <w:rFonts w:hint="eastAsia" w:ascii="新宋体" w:hAnsi="新宋体" w:eastAsia="新宋体" w:cs="新宋体"/>
          <w:sz w:val="24"/>
        </w:rPr>
        <w:t>四、响应文件的递交</w:t>
      </w:r>
      <w:bookmarkEnd w:id="22"/>
    </w:p>
    <w:p w14:paraId="4722170B">
      <w:pPr>
        <w:snapToGrid w:val="0"/>
        <w:spacing w:line="440" w:lineRule="exact"/>
        <w:rPr>
          <w:rFonts w:ascii="新宋体" w:hAnsi="新宋体" w:eastAsia="新宋体" w:cs="新宋体"/>
          <w:b/>
        </w:rPr>
      </w:pPr>
      <w:r>
        <w:rPr>
          <w:rFonts w:hint="eastAsia" w:ascii="新宋体" w:hAnsi="新宋体" w:eastAsia="新宋体" w:cs="新宋体"/>
          <w:b/>
        </w:rPr>
        <w:t>20.响应文件的密封和标记</w:t>
      </w:r>
    </w:p>
    <w:p w14:paraId="2E42F36B">
      <w:pPr>
        <w:snapToGrid w:val="0"/>
        <w:spacing w:line="440" w:lineRule="exact"/>
        <w:ind w:firstLine="420"/>
        <w:rPr>
          <w:rFonts w:ascii="新宋体" w:hAnsi="新宋体" w:eastAsia="新宋体" w:cs="新宋体"/>
        </w:rPr>
      </w:pPr>
      <w:r>
        <w:rPr>
          <w:rFonts w:hint="eastAsia" w:ascii="新宋体" w:hAnsi="新宋体" w:eastAsia="新宋体" w:cs="新宋体"/>
        </w:rPr>
        <w:t>20.1响应文件应密封包装，加贴封条，并在封套的封口处盖供应商单位章和由法定代表人或其委托代理人签字。</w:t>
      </w:r>
    </w:p>
    <w:p w14:paraId="5034B3BD">
      <w:pPr>
        <w:snapToGrid w:val="0"/>
        <w:spacing w:line="440" w:lineRule="exact"/>
        <w:ind w:firstLine="420"/>
        <w:jc w:val="left"/>
        <w:rPr>
          <w:rFonts w:ascii="新宋体" w:hAnsi="新宋体" w:eastAsia="新宋体" w:cs="新宋体"/>
        </w:rPr>
      </w:pPr>
      <w:r>
        <w:rPr>
          <w:rFonts w:hint="eastAsia" w:ascii="新宋体" w:hAnsi="新宋体" w:eastAsia="新宋体" w:cs="新宋体"/>
        </w:rPr>
        <w:t>20.2响应文件封套上应写明的内容见</w:t>
      </w:r>
      <w:r>
        <w:rPr>
          <w:rFonts w:hint="eastAsia" w:ascii="新宋体" w:hAnsi="新宋体" w:eastAsia="新宋体" w:cs="新宋体"/>
          <w:b/>
        </w:rPr>
        <w:t>【磋商须知前附表】。</w:t>
      </w:r>
    </w:p>
    <w:p w14:paraId="08D8E920">
      <w:pPr>
        <w:snapToGrid w:val="0"/>
        <w:spacing w:line="440" w:lineRule="exact"/>
        <w:ind w:firstLine="420"/>
        <w:jc w:val="left"/>
        <w:rPr>
          <w:rFonts w:ascii="新宋体" w:hAnsi="新宋体" w:eastAsia="新宋体" w:cs="新宋体"/>
        </w:rPr>
      </w:pPr>
      <w:r>
        <w:rPr>
          <w:rFonts w:hint="eastAsia" w:ascii="新宋体" w:hAnsi="新宋体" w:eastAsia="新宋体" w:cs="新宋体"/>
        </w:rPr>
        <w:t>20.3响应文件如果未按上述规定密封，采购人或采购代理机构将拒绝接收。</w:t>
      </w:r>
    </w:p>
    <w:p w14:paraId="3DDB0392">
      <w:pPr>
        <w:snapToGrid w:val="0"/>
        <w:spacing w:line="440" w:lineRule="exact"/>
        <w:rPr>
          <w:rFonts w:ascii="新宋体" w:hAnsi="新宋体" w:eastAsia="新宋体" w:cs="新宋体"/>
          <w:b/>
        </w:rPr>
      </w:pPr>
      <w:r>
        <w:rPr>
          <w:rFonts w:hint="eastAsia" w:ascii="新宋体" w:hAnsi="新宋体" w:eastAsia="新宋体" w:cs="新宋体"/>
          <w:b/>
        </w:rPr>
        <w:t>21.响应文件的补充、修改或者撤回</w:t>
      </w:r>
    </w:p>
    <w:p w14:paraId="1A9BA551">
      <w:pPr>
        <w:snapToGrid w:val="0"/>
        <w:spacing w:line="440" w:lineRule="exact"/>
        <w:ind w:firstLine="420"/>
        <w:rPr>
          <w:rFonts w:ascii="新宋体" w:hAnsi="新宋体" w:eastAsia="新宋体" w:cs="新宋体"/>
        </w:rPr>
      </w:pPr>
      <w:r>
        <w:rPr>
          <w:rFonts w:hint="eastAsia" w:ascii="新宋体" w:hAnsi="新宋体" w:eastAsia="新宋体" w:cs="新宋体"/>
        </w:rPr>
        <w:t>21.1供应商在提交首次响应文件截止时间前，可以对所提交的首次响应文件进行补充、修改或者撤回，并书面通知采购人、采购代理机构。该通知应有供应商法定代表人或其委托代理人签字。</w:t>
      </w:r>
    </w:p>
    <w:p w14:paraId="3EFD7F60">
      <w:pPr>
        <w:snapToGrid w:val="0"/>
        <w:spacing w:line="440" w:lineRule="exact"/>
        <w:ind w:firstLine="420"/>
        <w:rPr>
          <w:rFonts w:ascii="新宋体" w:hAnsi="新宋体" w:eastAsia="新宋体" w:cs="新宋体"/>
        </w:rPr>
      </w:pPr>
      <w:r>
        <w:rPr>
          <w:rFonts w:hint="eastAsia" w:ascii="新宋体" w:hAnsi="新宋体" w:eastAsia="新宋体" w:cs="新宋体"/>
        </w:rPr>
        <w:t>21.2补充、修改的内容与响应文件不一致时，以补充、修改的内容为准。</w:t>
      </w:r>
    </w:p>
    <w:p w14:paraId="7F568444">
      <w:pPr>
        <w:spacing w:line="440" w:lineRule="exact"/>
        <w:rPr>
          <w:rFonts w:ascii="新宋体" w:hAnsi="新宋体" w:eastAsia="新宋体" w:cs="新宋体"/>
          <w:b/>
        </w:rPr>
      </w:pPr>
      <w:r>
        <w:rPr>
          <w:rFonts w:hint="eastAsia" w:ascii="新宋体" w:hAnsi="新宋体" w:eastAsia="新宋体" w:cs="新宋体"/>
          <w:b/>
        </w:rPr>
        <w:t>22.响应文件的递交与接收</w:t>
      </w:r>
    </w:p>
    <w:p w14:paraId="02080D2B">
      <w:pPr>
        <w:adjustRightInd w:val="0"/>
        <w:snapToGrid w:val="0"/>
        <w:spacing w:line="440" w:lineRule="exact"/>
        <w:ind w:firstLine="420" w:firstLineChars="200"/>
        <w:rPr>
          <w:rFonts w:hAnsi="宋体" w:cs="宋体"/>
          <w:kern w:val="0"/>
        </w:rPr>
      </w:pPr>
      <w:r>
        <w:rPr>
          <w:rFonts w:hint="eastAsia" w:ascii="宋体" w:hAnsi="宋体"/>
          <w:szCs w:val="21"/>
        </w:rPr>
        <w:t>22.1供应商应在</w:t>
      </w:r>
      <w:r>
        <w:rPr>
          <w:rFonts w:hint="eastAsia" w:ascii="宋体" w:hAnsi="宋体"/>
          <w:b/>
          <w:szCs w:val="21"/>
        </w:rPr>
        <w:t>【</w:t>
      </w:r>
      <w:r>
        <w:rPr>
          <w:rFonts w:hint="eastAsia" w:hAnsi="宋体"/>
          <w:b/>
        </w:rPr>
        <w:t>磋商</w:t>
      </w:r>
      <w:r>
        <w:rPr>
          <w:rFonts w:hint="eastAsia" w:ascii="宋体" w:hAnsi="宋体"/>
          <w:b/>
          <w:szCs w:val="21"/>
        </w:rPr>
        <w:t>须知前附表】</w:t>
      </w:r>
      <w:r>
        <w:rPr>
          <w:rFonts w:hint="eastAsia" w:hAnsi="宋体"/>
        </w:rPr>
        <w:t>规定的</w:t>
      </w:r>
      <w:r>
        <w:rPr>
          <w:rFonts w:hint="eastAsia" w:ascii="宋体" w:hAnsi="宋体" w:cs="宋体"/>
          <w:kern w:val="0"/>
          <w:szCs w:val="21"/>
        </w:rPr>
        <w:t>时间和</w:t>
      </w:r>
      <w:r>
        <w:rPr>
          <w:rFonts w:hint="eastAsia" w:ascii="宋体" w:hAnsi="宋体"/>
          <w:szCs w:val="21"/>
        </w:rPr>
        <w:t>地点提交响应文件。</w:t>
      </w:r>
      <w:r>
        <w:rPr>
          <w:rFonts w:hint="eastAsia" w:hAnsi="宋体" w:cs="宋体"/>
          <w:kern w:val="0"/>
        </w:rPr>
        <w:t>采购人、采购代理机构或者磋商小组拒收逾期送达的响应文件。</w:t>
      </w:r>
    </w:p>
    <w:p w14:paraId="65029600">
      <w:pPr>
        <w:adjustRightInd w:val="0"/>
        <w:snapToGrid w:val="0"/>
        <w:spacing w:line="440" w:lineRule="exact"/>
        <w:ind w:firstLine="420" w:firstLineChars="200"/>
        <w:rPr>
          <w:rFonts w:ascii="宋体" w:hAnsi="宋体"/>
          <w:szCs w:val="21"/>
        </w:rPr>
      </w:pPr>
      <w:r>
        <w:rPr>
          <w:rFonts w:hint="eastAsia" w:ascii="宋体" w:hAnsi="宋体"/>
          <w:szCs w:val="21"/>
        </w:rPr>
        <w:t>22.2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0F411CF6">
      <w:pPr>
        <w:adjustRightInd w:val="0"/>
        <w:snapToGrid w:val="0"/>
        <w:spacing w:line="440" w:lineRule="exact"/>
        <w:ind w:firstLine="420" w:firstLineChars="200"/>
        <w:rPr>
          <w:rFonts w:ascii="宋体" w:hAnsi="宋体"/>
          <w:szCs w:val="21"/>
        </w:rPr>
      </w:pPr>
      <w:r>
        <w:rPr>
          <w:rFonts w:hint="eastAsia" w:ascii="宋体" w:hAnsi="宋体"/>
          <w:szCs w:val="21"/>
        </w:rPr>
        <w:t>（1）项目名称、采购代理编号；</w:t>
      </w:r>
    </w:p>
    <w:p w14:paraId="00B7C446">
      <w:pPr>
        <w:adjustRightInd w:val="0"/>
        <w:snapToGrid w:val="0"/>
        <w:spacing w:line="440" w:lineRule="exact"/>
        <w:ind w:firstLine="420" w:firstLineChars="200"/>
        <w:rPr>
          <w:rFonts w:ascii="宋体" w:hAnsi="宋体"/>
          <w:szCs w:val="21"/>
        </w:rPr>
      </w:pPr>
      <w:r>
        <w:rPr>
          <w:rFonts w:hint="eastAsia" w:ascii="宋体" w:hAnsi="宋体"/>
          <w:szCs w:val="21"/>
        </w:rPr>
        <w:t>（2）供应商名称；</w:t>
      </w:r>
    </w:p>
    <w:p w14:paraId="7FC758C9">
      <w:pPr>
        <w:adjustRightInd w:val="0"/>
        <w:snapToGrid w:val="0"/>
        <w:spacing w:line="440" w:lineRule="exact"/>
        <w:ind w:firstLine="420" w:firstLineChars="200"/>
        <w:rPr>
          <w:rFonts w:ascii="宋体" w:hAnsi="宋体"/>
          <w:szCs w:val="21"/>
        </w:rPr>
      </w:pPr>
      <w:r>
        <w:rPr>
          <w:rFonts w:hint="eastAsia" w:ascii="宋体" w:hAnsi="宋体"/>
          <w:szCs w:val="21"/>
        </w:rPr>
        <w:t>（3）响应文件送达时间、地址；</w:t>
      </w:r>
    </w:p>
    <w:p w14:paraId="4025B9A8">
      <w:pPr>
        <w:adjustRightInd w:val="0"/>
        <w:snapToGrid w:val="0"/>
        <w:spacing w:line="440" w:lineRule="exact"/>
        <w:ind w:firstLine="420" w:firstLineChars="200"/>
        <w:rPr>
          <w:rFonts w:ascii="宋体" w:hAnsi="宋体"/>
          <w:szCs w:val="21"/>
        </w:rPr>
      </w:pPr>
      <w:r>
        <w:rPr>
          <w:rFonts w:hint="eastAsia" w:ascii="宋体" w:hAnsi="宋体"/>
          <w:szCs w:val="21"/>
        </w:rPr>
        <w:t>（4）响应文件密封情况；</w:t>
      </w:r>
    </w:p>
    <w:p w14:paraId="764FAD44">
      <w:pPr>
        <w:adjustRightInd w:val="0"/>
        <w:snapToGrid w:val="0"/>
        <w:spacing w:line="440" w:lineRule="exact"/>
        <w:ind w:firstLine="420" w:firstLineChars="200"/>
        <w:rPr>
          <w:rFonts w:ascii="宋体" w:hAnsi="宋体"/>
          <w:szCs w:val="21"/>
        </w:rPr>
      </w:pPr>
      <w:r>
        <w:rPr>
          <w:rFonts w:hint="eastAsia" w:ascii="宋体" w:hAnsi="宋体"/>
          <w:szCs w:val="21"/>
        </w:rPr>
        <w:t>（5）采购人、采购代理机构名称；</w:t>
      </w:r>
    </w:p>
    <w:p w14:paraId="514E8EE6">
      <w:pPr>
        <w:adjustRightInd w:val="0"/>
        <w:snapToGrid w:val="0"/>
        <w:spacing w:line="440" w:lineRule="exact"/>
        <w:ind w:firstLine="420" w:firstLineChars="200"/>
        <w:rPr>
          <w:rFonts w:ascii="宋体" w:hAnsi="宋体"/>
          <w:szCs w:val="21"/>
        </w:rPr>
      </w:pPr>
      <w:r>
        <w:rPr>
          <w:rFonts w:hint="eastAsia" w:ascii="宋体" w:hAnsi="宋体"/>
          <w:szCs w:val="21"/>
        </w:rPr>
        <w:t>（6）采购人、采购代理机构接收人签字。</w:t>
      </w:r>
    </w:p>
    <w:p w14:paraId="1AD3F426">
      <w:pPr>
        <w:pStyle w:val="26"/>
        <w:adjustRightInd w:val="0"/>
        <w:snapToGrid w:val="0"/>
        <w:spacing w:line="440" w:lineRule="exact"/>
        <w:ind w:firstLine="420" w:firstLineChars="200"/>
        <w:rPr>
          <w:rFonts w:hAnsi="宋体"/>
        </w:rPr>
      </w:pPr>
      <w:r>
        <w:rPr>
          <w:rFonts w:hint="eastAsia" w:hAnsi="宋体"/>
        </w:rPr>
        <w:t>22.3采购人、</w:t>
      </w:r>
      <w:r>
        <w:rPr>
          <w:rFonts w:hint="eastAsia" w:hAnsi="宋体"/>
          <w:bCs/>
        </w:rPr>
        <w:t>采购代理机构</w:t>
      </w:r>
      <w:r>
        <w:rPr>
          <w:rFonts w:hint="eastAsia" w:hAnsi="宋体"/>
        </w:rPr>
        <w:t>在公布供应商的最后报价前，不公开供应商的技术资料和其他信息。</w:t>
      </w:r>
    </w:p>
    <w:p w14:paraId="29640DE3">
      <w:pPr>
        <w:pStyle w:val="8"/>
        <w:spacing w:before="0" w:after="0" w:line="440" w:lineRule="exact"/>
        <w:jc w:val="center"/>
        <w:rPr>
          <w:rFonts w:ascii="新宋体" w:hAnsi="新宋体" w:eastAsia="新宋体" w:cs="新宋体"/>
          <w:b w:val="0"/>
          <w:bCs w:val="0"/>
          <w:sz w:val="24"/>
        </w:rPr>
      </w:pPr>
      <w:bookmarkStart w:id="23" w:name="_Toc17870"/>
      <w:r>
        <w:rPr>
          <w:rFonts w:hint="eastAsia" w:ascii="新宋体" w:hAnsi="新宋体" w:eastAsia="新宋体" w:cs="新宋体"/>
          <w:sz w:val="24"/>
        </w:rPr>
        <w:t>五、响应文件的磋商与评审</w:t>
      </w:r>
      <w:bookmarkEnd w:id="23"/>
    </w:p>
    <w:p w14:paraId="4DDE849A">
      <w:pPr>
        <w:tabs>
          <w:tab w:val="left" w:pos="0"/>
        </w:tabs>
        <w:snapToGrid w:val="0"/>
        <w:spacing w:line="440" w:lineRule="exact"/>
        <w:rPr>
          <w:rFonts w:ascii="新宋体" w:hAnsi="新宋体" w:eastAsia="新宋体" w:cs="新宋体"/>
          <w:b/>
        </w:rPr>
      </w:pPr>
      <w:r>
        <w:rPr>
          <w:rFonts w:hint="eastAsia" w:ascii="新宋体" w:hAnsi="新宋体" w:eastAsia="新宋体" w:cs="新宋体"/>
          <w:b/>
        </w:rPr>
        <w:t>23.磋商程序</w:t>
      </w:r>
    </w:p>
    <w:p w14:paraId="1B599DD8">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23.1磋商程序：响应文件审查、磋商（包括澄清）、响应文件评审、提出成交供应商。其中，磋商按本章第28.1款或者第28.2款情形进行。</w:t>
      </w:r>
    </w:p>
    <w:p w14:paraId="24F8198B">
      <w:pPr>
        <w:widowControl/>
        <w:snapToGrid w:val="0"/>
        <w:spacing w:line="440" w:lineRule="exact"/>
        <w:rPr>
          <w:rFonts w:ascii="新宋体" w:hAnsi="新宋体" w:eastAsia="新宋体" w:cs="新宋体"/>
          <w:b/>
        </w:rPr>
      </w:pPr>
      <w:r>
        <w:rPr>
          <w:rFonts w:hint="eastAsia" w:ascii="新宋体" w:hAnsi="新宋体" w:eastAsia="新宋体" w:cs="新宋体"/>
          <w:b/>
        </w:rPr>
        <w:t>24.响应文件审查</w:t>
      </w:r>
    </w:p>
    <w:p w14:paraId="44FB9873">
      <w:pPr>
        <w:snapToGrid w:val="0"/>
        <w:spacing w:line="440" w:lineRule="exact"/>
        <w:ind w:firstLine="420"/>
        <w:rPr>
          <w:rFonts w:ascii="新宋体" w:hAnsi="新宋体" w:eastAsia="新宋体" w:cs="新宋体"/>
        </w:rPr>
      </w:pPr>
      <w:r>
        <w:rPr>
          <w:rFonts w:hint="eastAsia" w:ascii="新宋体" w:hAnsi="新宋体" w:eastAsia="新宋体" w:cs="新宋体"/>
        </w:rPr>
        <w:t>24.1 资格性审查：根据本章第3.1项规定的供应商资格条件要求，对响应文件的资格证明等进行审查，以确定供应商是否具备磋商资格条件。</w:t>
      </w:r>
    </w:p>
    <w:p w14:paraId="12CA405E">
      <w:pPr>
        <w:snapToGrid w:val="0"/>
        <w:spacing w:line="440" w:lineRule="exact"/>
        <w:ind w:firstLine="420"/>
        <w:rPr>
          <w:rFonts w:ascii="新宋体" w:hAnsi="新宋体" w:eastAsia="新宋体" w:cs="新宋体"/>
        </w:rPr>
      </w:pPr>
      <w:r>
        <w:rPr>
          <w:rFonts w:hint="eastAsia" w:ascii="新宋体" w:hAnsi="新宋体" w:eastAsia="新宋体" w:cs="新宋体"/>
        </w:rPr>
        <w:t>24.2符合性审查： 对响应文件(包括首次提交的响应文件、重新提交的响应文件)的有效性、完整性和响应程度进行审查，以确定是否对磋商文件的实质性要求作出响应。</w:t>
      </w:r>
    </w:p>
    <w:p w14:paraId="528F8505">
      <w:pPr>
        <w:snapToGrid w:val="0"/>
        <w:spacing w:line="440" w:lineRule="exact"/>
        <w:ind w:firstLine="420"/>
        <w:rPr>
          <w:rFonts w:ascii="新宋体" w:hAnsi="新宋体" w:eastAsia="新宋体" w:cs="新宋体"/>
        </w:rPr>
      </w:pPr>
      <w:r>
        <w:rPr>
          <w:rFonts w:hint="eastAsia" w:ascii="新宋体" w:hAnsi="新宋体" w:eastAsia="新宋体" w:cs="新宋体"/>
        </w:rPr>
        <w:t>24.3响应文件审查结束后，磋商小组所有成员集中与单一供应商分别进行磋商，并给予所有参加磋商的供应商平等的磋商机会。供应商应派其法定代表人或委托代理人参加磋商。</w:t>
      </w:r>
    </w:p>
    <w:p w14:paraId="1EFE0EFB">
      <w:pPr>
        <w:snapToGrid w:val="0"/>
        <w:spacing w:line="440" w:lineRule="exact"/>
        <w:rPr>
          <w:rFonts w:ascii="新宋体" w:hAnsi="新宋体" w:eastAsia="新宋体" w:cs="新宋体"/>
          <w:b/>
        </w:rPr>
      </w:pPr>
      <w:r>
        <w:rPr>
          <w:rFonts w:hint="eastAsia" w:ascii="新宋体" w:hAnsi="新宋体" w:eastAsia="新宋体" w:cs="新宋体"/>
          <w:b/>
        </w:rPr>
        <w:t>25.实质性响应</w:t>
      </w:r>
    </w:p>
    <w:p w14:paraId="019142B1">
      <w:pPr>
        <w:snapToGrid w:val="0"/>
        <w:spacing w:line="440" w:lineRule="exact"/>
        <w:ind w:firstLine="420"/>
        <w:rPr>
          <w:rFonts w:ascii="新宋体" w:hAnsi="新宋体" w:eastAsia="新宋体" w:cs="新宋体"/>
          <w:u w:val="single"/>
        </w:rPr>
      </w:pPr>
      <w:r>
        <w:rPr>
          <w:rFonts w:hint="eastAsia" w:ascii="新宋体" w:hAnsi="新宋体" w:eastAsia="新宋体" w:cs="新宋体"/>
        </w:rPr>
        <w:t>25.1实质性响应是指响应文件(包括首次响应文件、重新提交的响应文件)与磋商文件要求的所有条款、条件和规格相符，没有偏离。偏离指不满足、或不响应磋商文件的要求。</w:t>
      </w:r>
    </w:p>
    <w:p w14:paraId="27ECDE56">
      <w:pPr>
        <w:tabs>
          <w:tab w:val="left" w:pos="0"/>
          <w:tab w:val="left" w:pos="7560"/>
          <w:tab w:val="left" w:pos="7740"/>
          <w:tab w:val="left" w:pos="7920"/>
        </w:tabs>
        <w:snapToGrid w:val="0"/>
        <w:spacing w:line="440" w:lineRule="exact"/>
        <w:ind w:firstLine="420"/>
        <w:rPr>
          <w:rFonts w:ascii="新宋体" w:hAnsi="新宋体" w:eastAsia="新宋体" w:cs="新宋体"/>
        </w:rPr>
      </w:pPr>
      <w:r>
        <w:rPr>
          <w:rFonts w:hint="eastAsia" w:ascii="新宋体" w:hAnsi="新宋体" w:eastAsia="新宋体" w:cs="新宋体"/>
        </w:rPr>
        <w:t>25.2响应文件是否实质性响应磋商文件要求由磋商小组依据磋商文件规定认定。磋商小组决定响应文件的响应性只根据响应文件本身的真实无误的内容，而不依据外部的证据。</w:t>
      </w:r>
    </w:p>
    <w:p w14:paraId="5EBD9AF1">
      <w:pPr>
        <w:snapToGrid w:val="0"/>
        <w:spacing w:line="440" w:lineRule="exact"/>
        <w:rPr>
          <w:rFonts w:ascii="新宋体" w:hAnsi="新宋体" w:eastAsia="新宋体" w:cs="新宋体"/>
          <w:b/>
        </w:rPr>
      </w:pPr>
      <w:r>
        <w:rPr>
          <w:rFonts w:hint="eastAsia" w:ascii="新宋体" w:hAnsi="新宋体" w:eastAsia="新宋体" w:cs="新宋体"/>
          <w:b/>
        </w:rPr>
        <w:t xml:space="preserve">26.无效响应 </w:t>
      </w:r>
    </w:p>
    <w:p w14:paraId="1BC50DFD">
      <w:pPr>
        <w:snapToGrid w:val="0"/>
        <w:spacing w:line="440" w:lineRule="exact"/>
        <w:ind w:firstLine="411"/>
        <w:rPr>
          <w:rFonts w:ascii="新宋体" w:hAnsi="新宋体" w:eastAsia="新宋体" w:cs="新宋体"/>
          <w:b/>
        </w:rPr>
      </w:pPr>
      <w:r>
        <w:rPr>
          <w:rFonts w:hint="eastAsia" w:ascii="新宋体" w:hAnsi="新宋体" w:eastAsia="新宋体" w:cs="新宋体"/>
        </w:rPr>
        <w:t>26.1磋商小组在对资格性和符合性进行审查时，有下列情况之一的，属无效响应，磋商小组应当告知有关供应商：</w:t>
      </w:r>
    </w:p>
    <w:p w14:paraId="3A0F7BF9">
      <w:pPr>
        <w:snapToGrid w:val="0"/>
        <w:spacing w:line="440" w:lineRule="exact"/>
        <w:ind w:firstLine="420"/>
        <w:rPr>
          <w:rFonts w:ascii="新宋体" w:hAnsi="新宋体" w:eastAsia="新宋体" w:cs="新宋体"/>
        </w:rPr>
      </w:pPr>
      <w:r>
        <w:rPr>
          <w:rFonts w:hint="eastAsia" w:ascii="新宋体" w:hAnsi="新宋体" w:eastAsia="新宋体" w:cs="新宋体"/>
        </w:rPr>
        <w:t>（1）供应商不具备本章第3.1款规定的供应商资格条件要求，或存在本章第3.3款情形的；</w:t>
      </w:r>
    </w:p>
    <w:p w14:paraId="6E381CC5">
      <w:pPr>
        <w:snapToGrid w:val="0"/>
        <w:spacing w:line="440" w:lineRule="exact"/>
        <w:ind w:firstLine="420"/>
        <w:rPr>
          <w:rFonts w:ascii="新宋体" w:hAnsi="新宋体" w:eastAsia="新宋体" w:cs="新宋体"/>
        </w:rPr>
      </w:pPr>
      <w:r>
        <w:rPr>
          <w:rFonts w:hint="eastAsia" w:ascii="新宋体" w:hAnsi="新宋体" w:eastAsia="新宋体" w:cs="新宋体"/>
        </w:rPr>
        <w:t>（2）联合体不符合本章第3.2款规定的；</w:t>
      </w:r>
    </w:p>
    <w:p w14:paraId="4B9CC27B">
      <w:pPr>
        <w:snapToGrid w:val="0"/>
        <w:spacing w:line="440" w:lineRule="exact"/>
        <w:ind w:firstLine="420"/>
        <w:rPr>
          <w:rFonts w:ascii="新宋体" w:hAnsi="新宋体" w:eastAsia="新宋体" w:cs="新宋体"/>
        </w:rPr>
      </w:pPr>
      <w:r>
        <w:rPr>
          <w:rFonts w:hint="eastAsia" w:ascii="新宋体" w:hAnsi="新宋体" w:eastAsia="新宋体" w:cs="新宋体"/>
        </w:rPr>
        <w:t>（3）应交未交磋商保证金或金额不足、磋商保证金缴纳形式不符合磋商文件要求的；</w:t>
      </w:r>
    </w:p>
    <w:p w14:paraId="174FCD28">
      <w:pPr>
        <w:snapToGrid w:val="0"/>
        <w:spacing w:line="440" w:lineRule="exact"/>
        <w:ind w:firstLine="420"/>
        <w:rPr>
          <w:rFonts w:ascii="新宋体" w:hAnsi="新宋体" w:eastAsia="新宋体" w:cs="新宋体"/>
        </w:rPr>
      </w:pPr>
      <w:r>
        <w:rPr>
          <w:rFonts w:hint="eastAsia" w:ascii="新宋体" w:hAnsi="新宋体" w:eastAsia="新宋体" w:cs="新宋体"/>
        </w:rPr>
        <w:t>（4）响应文件未按照磋商文件要求签署、盖章的；</w:t>
      </w:r>
    </w:p>
    <w:p w14:paraId="543773E8">
      <w:pPr>
        <w:snapToGrid w:val="0"/>
        <w:spacing w:line="440" w:lineRule="exact"/>
        <w:ind w:firstLine="420"/>
        <w:rPr>
          <w:rFonts w:ascii="新宋体" w:hAnsi="新宋体" w:eastAsia="新宋体" w:cs="新宋体"/>
        </w:rPr>
      </w:pPr>
      <w:r>
        <w:rPr>
          <w:rFonts w:hint="eastAsia" w:ascii="新宋体" w:hAnsi="新宋体" w:eastAsia="新宋体" w:cs="新宋体"/>
        </w:rPr>
        <w:t>（5）响应文件不满足本章第25.1款规定的实质性要求的；</w:t>
      </w:r>
    </w:p>
    <w:p w14:paraId="3D083247">
      <w:pPr>
        <w:snapToGrid w:val="0"/>
        <w:spacing w:line="440" w:lineRule="exact"/>
        <w:ind w:firstLine="420"/>
        <w:rPr>
          <w:rFonts w:ascii="新宋体" w:hAnsi="新宋体" w:eastAsia="新宋体" w:cs="新宋体"/>
        </w:rPr>
      </w:pPr>
      <w:r>
        <w:rPr>
          <w:rFonts w:hint="eastAsia" w:ascii="新宋体" w:hAnsi="新宋体" w:eastAsia="新宋体" w:cs="新宋体"/>
        </w:rPr>
        <w:t>（6）报价超过采购项目预算的；</w:t>
      </w:r>
    </w:p>
    <w:p w14:paraId="6B4B26C6">
      <w:pPr>
        <w:snapToGrid w:val="0"/>
        <w:spacing w:line="440" w:lineRule="exact"/>
        <w:ind w:firstLine="420"/>
        <w:rPr>
          <w:rFonts w:ascii="新宋体" w:hAnsi="新宋体" w:eastAsia="新宋体" w:cs="新宋体"/>
        </w:rPr>
      </w:pPr>
      <w:r>
        <w:rPr>
          <w:rFonts w:hint="eastAsia" w:ascii="新宋体" w:hAnsi="新宋体" w:eastAsia="新宋体" w:cs="新宋体"/>
        </w:rPr>
        <w:t>（7）响应文件有效期不足的；</w:t>
      </w:r>
    </w:p>
    <w:p w14:paraId="4E6F575D">
      <w:pPr>
        <w:snapToGrid w:val="0"/>
        <w:spacing w:line="440" w:lineRule="exact"/>
        <w:ind w:firstLine="420"/>
        <w:rPr>
          <w:rFonts w:ascii="新宋体" w:hAnsi="新宋体" w:eastAsia="新宋体" w:cs="新宋体"/>
        </w:rPr>
      </w:pPr>
      <w:r>
        <w:rPr>
          <w:rFonts w:hint="eastAsia" w:ascii="新宋体" w:hAnsi="新宋体" w:eastAsia="新宋体" w:cs="新宋体"/>
        </w:rPr>
        <w:t>（8）响应文件不符合法律、规章、规范性文件和磋商文件规定及要求的。</w:t>
      </w:r>
    </w:p>
    <w:p w14:paraId="7BA8D390">
      <w:pPr>
        <w:widowControl/>
        <w:snapToGrid w:val="0"/>
        <w:spacing w:line="440" w:lineRule="exact"/>
        <w:jc w:val="left"/>
        <w:rPr>
          <w:rFonts w:ascii="新宋体" w:hAnsi="新宋体" w:eastAsia="新宋体" w:cs="新宋体"/>
          <w:b/>
        </w:rPr>
      </w:pPr>
      <w:r>
        <w:rPr>
          <w:rFonts w:hint="eastAsia" w:ascii="新宋体" w:hAnsi="新宋体" w:eastAsia="新宋体" w:cs="新宋体"/>
          <w:b/>
        </w:rPr>
        <w:t>27.澄清</w:t>
      </w:r>
    </w:p>
    <w:p w14:paraId="296EE276">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27.1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0B3C23D8">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27.2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4961C013">
      <w:pPr>
        <w:widowControl/>
        <w:snapToGrid w:val="0"/>
        <w:spacing w:line="440" w:lineRule="exact"/>
        <w:jc w:val="left"/>
        <w:rPr>
          <w:rFonts w:ascii="新宋体" w:hAnsi="新宋体" w:eastAsia="新宋体" w:cs="新宋体"/>
          <w:b/>
        </w:rPr>
      </w:pPr>
      <w:r>
        <w:rPr>
          <w:rFonts w:hint="eastAsia" w:ascii="新宋体" w:hAnsi="新宋体" w:eastAsia="新宋体" w:cs="新宋体"/>
          <w:b/>
        </w:rPr>
        <w:t>28.磋商</w:t>
      </w:r>
    </w:p>
    <w:p w14:paraId="49382BFD">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28.1本章第10.2项未明确磋商文件实质性变动内容的，或者磋商文件明确了可能发生实质性变动内容，但在磋商过程中，磋商小组根据磋商情况认为磋商文件无需发生实质性变动的，磋商小组应当直接与响应文件审查合格的供应商就价格组织多轮磋商。</w:t>
      </w:r>
    </w:p>
    <w:p w14:paraId="71BD2B80">
      <w:pPr>
        <w:widowControl/>
        <w:tabs>
          <w:tab w:val="left" w:pos="1080"/>
          <w:tab w:val="left" w:pos="1260"/>
        </w:tabs>
        <w:snapToGrid w:val="0"/>
        <w:spacing w:line="440" w:lineRule="exact"/>
        <w:ind w:firstLine="420"/>
        <w:jc w:val="left"/>
        <w:rPr>
          <w:rFonts w:ascii="新宋体" w:hAnsi="新宋体" w:eastAsia="新宋体" w:cs="新宋体"/>
        </w:rPr>
      </w:pPr>
      <w:r>
        <w:rPr>
          <w:rFonts w:hint="eastAsia" w:ascii="新宋体" w:hAnsi="新宋体" w:eastAsia="新宋体" w:cs="新宋体"/>
        </w:rPr>
        <w:t>（1）磋商结束后，磋商小组应当要求所有继续参加磋商的供应商在磋商小组规定时间内提交最后报价。</w:t>
      </w:r>
    </w:p>
    <w:p w14:paraId="32F91F88">
      <w:pPr>
        <w:widowControl/>
        <w:tabs>
          <w:tab w:val="left" w:pos="1080"/>
          <w:tab w:val="left" w:pos="1260"/>
        </w:tabs>
        <w:snapToGrid w:val="0"/>
        <w:spacing w:line="440" w:lineRule="exact"/>
        <w:ind w:firstLine="420"/>
        <w:jc w:val="left"/>
        <w:rPr>
          <w:rFonts w:ascii="新宋体" w:hAnsi="新宋体" w:eastAsia="新宋体" w:cs="新宋体"/>
        </w:rPr>
      </w:pPr>
      <w:r>
        <w:rPr>
          <w:rFonts w:hint="eastAsia" w:ascii="新宋体" w:hAnsi="新宋体" w:eastAsia="新宋体" w:cs="新宋体"/>
        </w:rPr>
        <w:t>（2）磋商文件明确可能发生实质性变动，但在磋商过程中磋商小组根据磋商情况认为磋商文件无需发生实质性变动的，磋商小组不另行通知。</w:t>
      </w:r>
    </w:p>
    <w:p w14:paraId="42BEC788">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28.2本章第10.2款明确磋商文件实质性变动内容的，磋商小组可以组织多轮磋商。在每一轮磋商中，磋商小组可以根据磋商文件规定和磋商情况，对磋商文件的采购需求中的技术、服务要求以及合同草案条款作实质性变动(磋商文件的实质性变动内容为磋商文件的组成部分)，并以书面形式要求响应文件审查合格的供应商，在规定的截止时间前重新提交响应文件。磋商小组应当根据本章第25.2款规定对供应商重新提交的响应文件进行审查。供应商重新提交的响应文件审查不合格的，不得进入下一轮磋商，也不得要求提交最后报价。</w:t>
      </w:r>
    </w:p>
    <w:p w14:paraId="7E35D96C">
      <w:pPr>
        <w:snapToGrid w:val="0"/>
        <w:spacing w:line="440" w:lineRule="exact"/>
        <w:ind w:firstLine="420"/>
        <w:rPr>
          <w:rFonts w:ascii="新宋体" w:hAnsi="新宋体" w:eastAsia="新宋体" w:cs="新宋体"/>
        </w:rPr>
      </w:pPr>
      <w:r>
        <w:rPr>
          <w:rFonts w:hint="eastAsia" w:ascii="新宋体" w:hAnsi="新宋体" w:eastAsia="新宋体" w:cs="新宋体"/>
        </w:rPr>
        <w:t>（1）磋商文件能够详细列明采购需求的技术、服务要求的，磋商结束后，磋商小组应当要求所有继续参加磋商的供应商在规定时间内提交最后报价。</w:t>
      </w:r>
    </w:p>
    <w:p w14:paraId="68717E49">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3ABB5AD6">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28.3重新提交的响应文件或者最后报价应按本章第19.3款规定，由其法定代表人或其委托代理人签字或者加盖供应商单位章，在规定时间内密封递交给磋商小组。</w:t>
      </w:r>
    </w:p>
    <w:p w14:paraId="284033F8">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28.4供应商的最后报价及政府采购政策规定的价格扣除情况，磋商小组应召集所有参加最后报价的供应商当场开封公布，并由供应商代表签字确认。</w:t>
      </w:r>
    </w:p>
    <w:p w14:paraId="4117EBDD">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28.5提交首次响应文件的供应商，在提交最后报价之前，可以根据磋商情况退出磋商，并书面通知采购代理机构或者磋商小组。该通知由供应商法定代表人或其委托代理人签字。采购代理机构按本章第17.4款规定退还退出磋商的供应商的磋商保证金。</w:t>
      </w:r>
    </w:p>
    <w:p w14:paraId="6D979FB5">
      <w:pPr>
        <w:snapToGrid w:val="0"/>
        <w:spacing w:line="440" w:lineRule="exact"/>
        <w:ind w:firstLine="420"/>
        <w:rPr>
          <w:rFonts w:ascii="新宋体" w:hAnsi="新宋体" w:eastAsia="新宋体" w:cs="新宋体"/>
        </w:rPr>
      </w:pPr>
      <w:r>
        <w:rPr>
          <w:rFonts w:hint="eastAsia" w:ascii="新宋体" w:hAnsi="新宋体" w:eastAsia="新宋体" w:cs="新宋体"/>
        </w:rPr>
        <w:t>28.6提交首次响应文件的供应商，未按磋商文件规定及磋商小组要求提交最后报价(或者重新提交的响应文件和最后报价)，且又未按本章第28.5款规定退出磋商的，供应商的磋商保证金不予退还。</w:t>
      </w:r>
    </w:p>
    <w:p w14:paraId="1208AD0E">
      <w:pPr>
        <w:adjustRightInd w:val="0"/>
        <w:snapToGrid w:val="0"/>
        <w:spacing w:line="440" w:lineRule="exact"/>
        <w:ind w:firstLine="420" w:firstLineChars="200"/>
        <w:jc w:val="left"/>
        <w:rPr>
          <w:rFonts w:ascii="宋体" w:hAnsi="宋体" w:cs="宋体"/>
          <w:kern w:val="0"/>
          <w:szCs w:val="21"/>
        </w:rPr>
      </w:pPr>
      <w:r>
        <w:rPr>
          <w:rFonts w:hint="eastAsia" w:ascii="新宋体" w:hAnsi="新宋体" w:eastAsia="新宋体" w:cs="新宋体"/>
        </w:rPr>
        <w:t>28.7</w:t>
      </w:r>
      <w:r>
        <w:rPr>
          <w:rFonts w:hint="eastAsia" w:ascii="宋体" w:hAnsi="宋体" w:eastAsia="新宋体"/>
          <w:bCs/>
          <w:szCs w:val="21"/>
        </w:rPr>
        <w:t>磋商</w:t>
      </w:r>
      <w:r>
        <w:rPr>
          <w:rFonts w:hint="eastAsia" w:ascii="宋体" w:hAnsi="宋体"/>
          <w:bCs/>
          <w:szCs w:val="21"/>
        </w:rPr>
        <w:t>小组认为供应商的报价明显低于其他通过资格性、符合性审查供应商的报价，有可能影响产品质量或者不能诚信履约的，应当要求其在磋商现场合理的时间内提供书面说明，必要时提交相关证明材料；供应商不能证明其报价合理性的，磋商小组应当将其作为响应无效处理。</w:t>
      </w:r>
    </w:p>
    <w:p w14:paraId="3BAD3240">
      <w:pPr>
        <w:widowControl/>
        <w:snapToGrid w:val="0"/>
        <w:spacing w:line="440" w:lineRule="exact"/>
        <w:jc w:val="left"/>
        <w:rPr>
          <w:rFonts w:ascii="新宋体" w:hAnsi="新宋体" w:eastAsia="新宋体" w:cs="新宋体"/>
          <w:b/>
        </w:rPr>
      </w:pPr>
      <w:r>
        <w:rPr>
          <w:rFonts w:hint="eastAsia" w:ascii="新宋体" w:hAnsi="新宋体" w:eastAsia="新宋体" w:cs="新宋体"/>
          <w:b/>
        </w:rPr>
        <w:t>29.响应文件评审</w:t>
      </w:r>
    </w:p>
    <w:p w14:paraId="6E00D613">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29.1经磋商确定最终采购需求和提交最后报价的供应商后，由磋商小组采用综合评分法对提交最后报价的供应商的响应文件和最后报价进行综合评价。</w:t>
      </w:r>
    </w:p>
    <w:p w14:paraId="1B80899E">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29.2综合评分法，是指响应文件满足磋商文件全部实质性要求且按评审因素的量化指标评审得分最高的供应商为成交候选供应商的评审方法。本采购项目的评审因素和标准见</w:t>
      </w:r>
      <w:r>
        <w:rPr>
          <w:rFonts w:hint="eastAsia" w:ascii="新宋体" w:hAnsi="新宋体" w:eastAsia="新宋体" w:cs="新宋体"/>
          <w:b/>
        </w:rPr>
        <w:t>【磋商须知前附表】。</w:t>
      </w:r>
    </w:p>
    <w:p w14:paraId="1214B210">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29.3最后报价调整。磋商小组以各供应商最后报价为基础，按照第二章39.1款的规定，对供应商的最后报价进行价格扣除，用扣除后的最后报价计算价格得分，具体价格扣除比例见本章第39.2款规定。</w:t>
      </w:r>
    </w:p>
    <w:p w14:paraId="774CDBA2">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29.4综合评分法中的价格分采用低价优先法计算，即满足磋商文件要求且经调整后的最后报价最低的供应商的价格为磋商基准价，其价格分为满分。其他供应商的价格分按照下列公式计算：</w:t>
      </w:r>
    </w:p>
    <w:p w14:paraId="4D3AD145">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磋商报价得分=（磋商基准价/最后磋商报价）×价格权值</w:t>
      </w:r>
    </w:p>
    <w:p w14:paraId="0E3A6BB6">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项目评审过程中，不得去掉最后报价中的最高报价和最低报价。</w:t>
      </w:r>
    </w:p>
    <w:p w14:paraId="61F3B782">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29.5评审时，磋商小组各成员应当独立对每个供应商的响应文件进行评价、评分，并按照政府采购优惠政策对最后报价进行价格扣除和技术、商务、价格加分后，汇总各供应商的总得分。</w:t>
      </w:r>
    </w:p>
    <w:p w14:paraId="217A83AE">
      <w:pPr>
        <w:pStyle w:val="2"/>
        <w:spacing w:line="440" w:lineRule="exact"/>
        <w:rPr>
          <w:rFonts w:ascii="新宋体" w:hAnsi="新宋体" w:eastAsia="新宋体" w:cs="新宋体"/>
        </w:rPr>
      </w:pPr>
      <w:r>
        <w:rPr>
          <w:rFonts w:hint="eastAsia" w:ascii="新宋体" w:hAnsi="新宋体" w:eastAsia="新宋体" w:cs="新宋体"/>
        </w:rPr>
        <w:t>29.6评审因素和标准见</w:t>
      </w:r>
      <w:r>
        <w:rPr>
          <w:rFonts w:hint="eastAsia" w:ascii="新宋体" w:hAnsi="新宋体" w:eastAsia="新宋体" w:cs="新宋体"/>
          <w:b/>
        </w:rPr>
        <w:t>【磋商须知前附表】</w:t>
      </w:r>
      <w:r>
        <w:rPr>
          <w:rFonts w:hint="eastAsia" w:ascii="新宋体" w:hAnsi="新宋体" w:eastAsia="新宋体" w:cs="新宋体"/>
        </w:rPr>
        <w:t>。</w:t>
      </w:r>
    </w:p>
    <w:p w14:paraId="78F467A3">
      <w:pPr>
        <w:widowControl/>
        <w:snapToGrid w:val="0"/>
        <w:spacing w:line="440" w:lineRule="exact"/>
        <w:jc w:val="left"/>
        <w:rPr>
          <w:rFonts w:ascii="新宋体" w:hAnsi="新宋体" w:eastAsia="新宋体" w:cs="新宋体"/>
          <w:b/>
        </w:rPr>
      </w:pPr>
      <w:r>
        <w:rPr>
          <w:rFonts w:hint="eastAsia" w:ascii="新宋体" w:hAnsi="新宋体" w:eastAsia="新宋体" w:cs="新宋体"/>
          <w:b/>
        </w:rPr>
        <w:t>30.提出成交供应商</w:t>
      </w:r>
    </w:p>
    <w:p w14:paraId="25C1F069">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30.1磋商小组应当根据综合评分情况，按照评审得分由高到低顺序推荐3名以上成交候选供应商，并编写评审报告。评审得分相同的，按照最后报价由低到高的顺序推荐。评审得分和最后报价均相同的，按照技术指标优劣顺序推荐。</w:t>
      </w:r>
    </w:p>
    <w:p w14:paraId="51F23E46">
      <w:pPr>
        <w:adjustRightInd w:val="0"/>
        <w:snapToGrid w:val="0"/>
        <w:spacing w:line="440" w:lineRule="exact"/>
        <w:ind w:firstLine="420"/>
        <w:jc w:val="left"/>
        <w:rPr>
          <w:rFonts w:ascii="宋体" w:hAnsi="宋体" w:cs="宋体"/>
          <w:kern w:val="0"/>
          <w:szCs w:val="21"/>
        </w:rPr>
      </w:pPr>
      <w:r>
        <w:rPr>
          <w:rFonts w:hint="eastAsia" w:ascii="宋体" w:hAnsi="宋体"/>
          <w:bCs/>
          <w:szCs w:val="21"/>
        </w:rPr>
        <w:t>30.2</w:t>
      </w:r>
      <w:r>
        <w:rPr>
          <w:rFonts w:hint="eastAsia" w:ascii="宋体" w:hAnsi="宋体" w:cs="宋体"/>
          <w:kern w:val="0"/>
          <w:szCs w:val="21"/>
        </w:rPr>
        <w:t>最后报价有算术错误的，除</w:t>
      </w:r>
      <w:r>
        <w:rPr>
          <w:rFonts w:hint="eastAsia" w:ascii="宋体" w:hAnsi="宋体"/>
          <w:b/>
          <w:szCs w:val="21"/>
        </w:rPr>
        <w:t>【磋商须知前附表】</w:t>
      </w:r>
      <w:r>
        <w:rPr>
          <w:rFonts w:hint="eastAsia" w:ascii="宋体" w:hAnsi="宋体" w:cs="宋体"/>
          <w:kern w:val="0"/>
          <w:szCs w:val="21"/>
        </w:rPr>
        <w:t>另有规定外，磋商小组按以下原则对报价进行修正，修正的价格经供应商书面确认，并由供应商代表签字或者加盖单位公章确认后产生约束力，供应商不接受修正价格的，其报价作无效报价处理。</w:t>
      </w:r>
    </w:p>
    <w:p w14:paraId="5961A336">
      <w:pPr>
        <w:adjustRightInd w:val="0"/>
        <w:snapToGrid w:val="0"/>
        <w:spacing w:line="440" w:lineRule="exact"/>
        <w:ind w:firstLine="420"/>
        <w:jc w:val="left"/>
        <w:rPr>
          <w:rFonts w:ascii="宋体" w:hAnsi="宋体" w:cs="宋体"/>
          <w:kern w:val="0"/>
          <w:szCs w:val="21"/>
        </w:rPr>
      </w:pPr>
      <w:r>
        <w:rPr>
          <w:rFonts w:hint="eastAsia" w:ascii="宋体" w:hAnsi="宋体" w:cs="宋体"/>
          <w:kern w:val="0"/>
          <w:szCs w:val="21"/>
        </w:rPr>
        <w:t>（1）大写金额与小写金额不一致的，以大写金额为准。</w:t>
      </w:r>
    </w:p>
    <w:p w14:paraId="22F886FD">
      <w:pPr>
        <w:adjustRightInd w:val="0"/>
        <w:snapToGrid w:val="0"/>
        <w:spacing w:line="440" w:lineRule="exact"/>
        <w:ind w:firstLine="420" w:firstLineChars="200"/>
        <w:jc w:val="left"/>
        <w:rPr>
          <w:rFonts w:ascii="宋体" w:hAnsi="宋体"/>
          <w:szCs w:val="21"/>
        </w:rPr>
      </w:pPr>
      <w:r>
        <w:rPr>
          <w:rFonts w:hint="eastAsia" w:ascii="宋体" w:hAnsi="宋体"/>
          <w:szCs w:val="21"/>
        </w:rPr>
        <w:t>（2）总价金额与按单价汇总金额不一致的，以单价金额计算结果为准。</w:t>
      </w:r>
    </w:p>
    <w:p w14:paraId="330C4C48">
      <w:pPr>
        <w:adjustRightInd w:val="0"/>
        <w:snapToGrid w:val="0"/>
        <w:spacing w:line="440" w:lineRule="exact"/>
        <w:ind w:firstLine="420" w:firstLineChars="200"/>
        <w:jc w:val="left"/>
        <w:rPr>
          <w:rFonts w:ascii="宋体" w:hAnsi="宋体"/>
          <w:szCs w:val="21"/>
        </w:rPr>
      </w:pPr>
      <w:r>
        <w:rPr>
          <w:rFonts w:hint="eastAsia" w:ascii="宋体" w:hAnsi="宋体"/>
          <w:szCs w:val="21"/>
        </w:rPr>
        <w:t>修正后的报价由供应商代表签字或者加盖单位公章确认后产生约束力，不确认的，其报价无效。</w:t>
      </w:r>
    </w:p>
    <w:p w14:paraId="31D7A1FF">
      <w:pPr>
        <w:adjustRightInd w:val="0"/>
        <w:snapToGrid w:val="0"/>
        <w:spacing w:line="440" w:lineRule="exact"/>
        <w:ind w:firstLine="420" w:firstLineChars="200"/>
        <w:jc w:val="left"/>
        <w:rPr>
          <w:rFonts w:ascii="宋体" w:hAnsi="宋体"/>
          <w:bCs/>
          <w:szCs w:val="21"/>
        </w:rPr>
      </w:pPr>
      <w:r>
        <w:rPr>
          <w:rFonts w:hint="eastAsia" w:ascii="宋体" w:hAnsi="宋体"/>
          <w:bCs/>
          <w:szCs w:val="21"/>
        </w:rPr>
        <w:t>30.3最后报价的评审</w:t>
      </w:r>
    </w:p>
    <w:p w14:paraId="688202EB">
      <w:pPr>
        <w:adjustRightInd w:val="0"/>
        <w:snapToGrid w:val="0"/>
        <w:spacing w:line="440" w:lineRule="exact"/>
        <w:ind w:firstLine="420" w:firstLineChars="200"/>
        <w:jc w:val="left"/>
        <w:rPr>
          <w:rFonts w:ascii="宋体" w:hAnsi="宋体"/>
          <w:bCs/>
          <w:szCs w:val="21"/>
        </w:rPr>
      </w:pPr>
      <w:r>
        <w:rPr>
          <w:rFonts w:hint="eastAsia" w:ascii="宋体" w:hAnsi="宋体"/>
          <w:bCs/>
          <w:szCs w:val="21"/>
        </w:rPr>
        <w:t>（1）如果有算术错误，最后报价将按上款规定进行算术修正。</w:t>
      </w:r>
    </w:p>
    <w:p w14:paraId="5FC57B25">
      <w:pPr>
        <w:adjustRightInd w:val="0"/>
        <w:snapToGrid w:val="0"/>
        <w:spacing w:line="440" w:lineRule="exact"/>
        <w:ind w:firstLine="420" w:firstLineChars="200"/>
        <w:jc w:val="left"/>
        <w:rPr>
          <w:rFonts w:ascii="宋体" w:hAnsi="宋体"/>
          <w:bCs/>
          <w:szCs w:val="21"/>
        </w:rPr>
      </w:pPr>
      <w:r>
        <w:rPr>
          <w:rFonts w:hint="eastAsia" w:ascii="宋体" w:hAnsi="宋体"/>
          <w:bCs/>
          <w:szCs w:val="21"/>
        </w:rPr>
        <w:t>（2）需落实政府采购政策（优先采购、价格评审优惠）的，按本章本节第39、41条等相关规定进行价格扣除。</w:t>
      </w:r>
    </w:p>
    <w:p w14:paraId="04A8F7C9">
      <w:pPr>
        <w:tabs>
          <w:tab w:val="left" w:pos="0"/>
        </w:tabs>
        <w:snapToGrid w:val="0"/>
        <w:spacing w:line="440" w:lineRule="exact"/>
        <w:rPr>
          <w:rFonts w:ascii="新宋体" w:hAnsi="新宋体" w:eastAsia="新宋体" w:cs="新宋体"/>
          <w:b/>
        </w:rPr>
      </w:pPr>
      <w:r>
        <w:rPr>
          <w:rFonts w:hint="eastAsia" w:ascii="新宋体" w:hAnsi="新宋体" w:eastAsia="新宋体" w:cs="新宋体"/>
          <w:b/>
        </w:rPr>
        <w:t>31.确定成交供应商</w:t>
      </w:r>
    </w:p>
    <w:p w14:paraId="44B40FCA">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31.1采购代理机构应当在评审结束后2个工作日内将评审报告送采购人确认。</w:t>
      </w:r>
    </w:p>
    <w:p w14:paraId="5E28176A">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31.2采购人应当在收到评审报告后5个工作日内，从评审报告提出的成交候选供应商中，按照排序由高到低的原则确定成交供应商，也可以书面授权磋商小组直接确定成交供应商。</w:t>
      </w:r>
    </w:p>
    <w:p w14:paraId="4C1E159E">
      <w:pPr>
        <w:snapToGrid w:val="0"/>
        <w:spacing w:line="440" w:lineRule="exact"/>
        <w:ind w:left="632" w:hanging="632"/>
        <w:rPr>
          <w:rFonts w:ascii="新宋体" w:hAnsi="新宋体" w:eastAsia="新宋体" w:cs="新宋体"/>
          <w:b/>
        </w:rPr>
      </w:pPr>
      <w:r>
        <w:rPr>
          <w:rFonts w:hint="eastAsia" w:ascii="新宋体" w:hAnsi="新宋体" w:eastAsia="新宋体" w:cs="新宋体"/>
          <w:b/>
        </w:rPr>
        <w:t>32.磋商终止</w:t>
      </w:r>
    </w:p>
    <w:p w14:paraId="57E3229C">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 xml:space="preserve">32.1出现下列情形之一的，采购人或者采购代理机构应当终止竞争性磋商采购活动，在本章第35.1款指定的媒体上发布项目终止公告并说明原因，重新开展采购活动： </w:t>
      </w:r>
    </w:p>
    <w:p w14:paraId="5EFDB69E">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（1）因情况变化，不再符合规定的竞争性磋商采购方式适用情形的；</w:t>
      </w:r>
    </w:p>
    <w:p w14:paraId="4637EFDE">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（2）出现影响采购公正的违法、违规行为的；</w:t>
      </w:r>
    </w:p>
    <w:p w14:paraId="50D020A0">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（3）在采购过程中符合磋商要求的供应商或者报价未超过采购预算的供应商不足3家的，或者提交最后报价的供应商少于3家的。</w:t>
      </w:r>
    </w:p>
    <w:p w14:paraId="52EFEB07">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（4）因重大变故，采购任务取消的。</w:t>
      </w:r>
    </w:p>
    <w:p w14:paraId="2C42EA81">
      <w:pPr>
        <w:widowControl/>
        <w:snapToGrid w:val="0"/>
        <w:spacing w:line="440" w:lineRule="exact"/>
        <w:jc w:val="left"/>
        <w:rPr>
          <w:rFonts w:ascii="新宋体" w:hAnsi="新宋体" w:eastAsia="新宋体" w:cs="新宋体"/>
          <w:b/>
        </w:rPr>
      </w:pPr>
      <w:r>
        <w:rPr>
          <w:rFonts w:hint="eastAsia" w:ascii="新宋体" w:hAnsi="新宋体" w:eastAsia="新宋体" w:cs="新宋体"/>
          <w:b/>
        </w:rPr>
        <w:t>33．重新评审</w:t>
      </w:r>
    </w:p>
    <w:p w14:paraId="662B438D">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33.1除资格性审查认定错误和价格计算错误外，采购人、采购代理机构不以任何理由组织重新评审。</w:t>
      </w:r>
    </w:p>
    <w:p w14:paraId="693E564A">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采购人、采购代理机构发现磋商小组未按照磋商文件规定的评定成交的标准进行评审的，应当重新开展采购活动，并同时书面报告本及财政部门。</w:t>
      </w:r>
    </w:p>
    <w:p w14:paraId="7CFEA5CE">
      <w:pPr>
        <w:widowControl/>
        <w:snapToGrid w:val="0"/>
        <w:spacing w:line="440" w:lineRule="exact"/>
        <w:jc w:val="left"/>
        <w:rPr>
          <w:rFonts w:ascii="新宋体" w:hAnsi="新宋体" w:eastAsia="新宋体" w:cs="新宋体"/>
          <w:b/>
        </w:rPr>
      </w:pPr>
      <w:r>
        <w:rPr>
          <w:rFonts w:hint="eastAsia" w:ascii="新宋体" w:hAnsi="新宋体" w:eastAsia="新宋体" w:cs="新宋体"/>
          <w:b/>
        </w:rPr>
        <w:t>34.保密及串通行为</w:t>
      </w:r>
    </w:p>
    <w:p w14:paraId="113D2866">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34.1磋商小组成员以及与评审工作有关的人员不得泄露评审情况以及评审过程中获悉的国家秘密、商业秘密。</w:t>
      </w:r>
    </w:p>
    <w:p w14:paraId="2FA395CA">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34.2供应商不得与采购人、采购代理机构、其他供应商恶意串通；不得向采购人、采购代理机构或者磋商小组成员行贿或者提供其他不正当利益；不得提供虚假资料谋取成交；不得以任何方式干扰、影响采购工作。</w:t>
      </w:r>
    </w:p>
    <w:p w14:paraId="1F358B80">
      <w:pPr>
        <w:widowControl/>
        <w:snapToGrid w:val="0"/>
        <w:spacing w:line="440" w:lineRule="exact"/>
        <w:ind w:firstLine="420"/>
        <w:jc w:val="left"/>
        <w:rPr>
          <w:rFonts w:ascii="新宋体" w:hAnsi="新宋体" w:eastAsia="新宋体" w:cs="新宋体"/>
        </w:rPr>
      </w:pPr>
      <w:r>
        <w:rPr>
          <w:rFonts w:hint="eastAsia" w:ascii="新宋体" w:hAnsi="新宋体" w:eastAsia="新宋体" w:cs="新宋体"/>
        </w:rPr>
        <w:t>34.3有下列情形之一的，属于恶意串通，对供应商依照政府采购法第七十七条第一款的规定追究法律责任：</w:t>
      </w:r>
    </w:p>
    <w:p w14:paraId="2F1304A8">
      <w:pPr>
        <w:snapToGrid w:val="0"/>
        <w:spacing w:line="440" w:lineRule="exact"/>
        <w:ind w:firstLine="420"/>
        <w:rPr>
          <w:rFonts w:ascii="新宋体" w:hAnsi="新宋体" w:eastAsia="新宋体" w:cs="新宋体"/>
        </w:rPr>
      </w:pPr>
      <w:r>
        <w:rPr>
          <w:rFonts w:hint="eastAsia" w:ascii="新宋体" w:hAnsi="新宋体" w:eastAsia="新宋体" w:cs="新宋体"/>
        </w:rPr>
        <w:t>（1）供应商直接或者间接从采购人、采购代理机构获得其他供应商的响应情况，并修改其响应文件的；</w:t>
      </w:r>
    </w:p>
    <w:p w14:paraId="383484D0">
      <w:pPr>
        <w:snapToGrid w:val="0"/>
        <w:spacing w:line="440" w:lineRule="exact"/>
        <w:ind w:firstLine="420"/>
        <w:rPr>
          <w:rFonts w:ascii="新宋体" w:hAnsi="新宋体" w:eastAsia="新宋体" w:cs="新宋体"/>
        </w:rPr>
      </w:pPr>
      <w:r>
        <w:rPr>
          <w:rFonts w:hint="eastAsia" w:ascii="新宋体" w:hAnsi="新宋体" w:eastAsia="新宋体" w:cs="新宋体"/>
        </w:rPr>
        <w:t>（2）采购人、采购代理机构授意供应商撤换、修改响应文件的；</w:t>
      </w:r>
    </w:p>
    <w:p w14:paraId="1C92E101">
      <w:pPr>
        <w:snapToGrid w:val="0"/>
        <w:spacing w:line="440" w:lineRule="exact"/>
        <w:ind w:firstLine="420"/>
        <w:rPr>
          <w:rFonts w:ascii="新宋体" w:hAnsi="新宋体" w:eastAsia="新宋体" w:cs="新宋体"/>
        </w:rPr>
      </w:pPr>
      <w:r>
        <w:rPr>
          <w:rFonts w:hint="eastAsia" w:ascii="新宋体" w:hAnsi="新宋体" w:eastAsia="新宋体" w:cs="新宋体"/>
        </w:rPr>
        <w:t>（3）供应商之间协商技术方案、合同条款以及报价等响应文件实质性内容的；</w:t>
      </w:r>
    </w:p>
    <w:p w14:paraId="102151C7">
      <w:pPr>
        <w:snapToGrid w:val="0"/>
        <w:spacing w:line="440" w:lineRule="exact"/>
        <w:ind w:firstLine="420"/>
        <w:rPr>
          <w:rFonts w:ascii="新宋体" w:hAnsi="新宋体" w:eastAsia="新宋体" w:cs="新宋体"/>
        </w:rPr>
      </w:pPr>
      <w:r>
        <w:rPr>
          <w:rFonts w:hint="eastAsia" w:ascii="新宋体" w:hAnsi="新宋体" w:eastAsia="新宋体" w:cs="新宋体"/>
        </w:rPr>
        <w:t>（4）属于同一集团、协会、商会等组织成员的供应商按照该组织要求协同参加竞争性磋商政府采购活动的；</w:t>
      </w:r>
    </w:p>
    <w:p w14:paraId="4EA3C088">
      <w:pPr>
        <w:snapToGrid w:val="0"/>
        <w:spacing w:line="440" w:lineRule="exact"/>
        <w:ind w:firstLine="420"/>
        <w:rPr>
          <w:rFonts w:ascii="新宋体" w:hAnsi="新宋体" w:eastAsia="新宋体" w:cs="新宋体"/>
        </w:rPr>
      </w:pPr>
      <w:r>
        <w:rPr>
          <w:rFonts w:hint="eastAsia" w:ascii="新宋体" w:hAnsi="新宋体" w:eastAsia="新宋体" w:cs="新宋体"/>
        </w:rPr>
        <w:t>（5）供应商之间事先约定由某一特定供应商成交的；</w:t>
      </w:r>
    </w:p>
    <w:p w14:paraId="5D08C39D">
      <w:pPr>
        <w:snapToGrid w:val="0"/>
        <w:spacing w:line="440" w:lineRule="exact"/>
        <w:ind w:firstLine="420"/>
        <w:rPr>
          <w:rFonts w:ascii="新宋体" w:hAnsi="新宋体" w:eastAsia="新宋体" w:cs="新宋体"/>
        </w:rPr>
      </w:pPr>
      <w:r>
        <w:rPr>
          <w:rFonts w:hint="eastAsia" w:ascii="新宋体" w:hAnsi="新宋体" w:eastAsia="新宋体" w:cs="新宋体"/>
        </w:rPr>
        <w:t>（6）供应商之间商定部分供应商放弃提交响应文件或者退出磋商或者放弃成交的；</w:t>
      </w:r>
    </w:p>
    <w:p w14:paraId="2B636730">
      <w:pPr>
        <w:snapToGrid w:val="0"/>
        <w:spacing w:line="440" w:lineRule="exact"/>
        <w:ind w:firstLine="420"/>
        <w:rPr>
          <w:rFonts w:ascii="新宋体" w:hAnsi="新宋体" w:eastAsia="新宋体" w:cs="新宋体"/>
          <w:b/>
        </w:rPr>
      </w:pPr>
      <w:r>
        <w:rPr>
          <w:rFonts w:hint="eastAsia" w:ascii="新宋体" w:hAnsi="新宋体" w:eastAsia="新宋体" w:cs="新宋体"/>
        </w:rPr>
        <w:t>（7）供应商与采购人、采购代理机构以及磋商小组成员之间、供应商相互之间，为谋求特定供应商成交或者排斥其他供应商的其他串通行为的。</w:t>
      </w:r>
    </w:p>
    <w:p w14:paraId="7094249F">
      <w:pPr>
        <w:snapToGrid w:val="0"/>
        <w:spacing w:line="440" w:lineRule="exact"/>
        <w:ind w:firstLine="420"/>
        <w:rPr>
          <w:rFonts w:ascii="新宋体" w:hAnsi="新宋体" w:eastAsia="新宋体" w:cs="新宋体"/>
        </w:rPr>
      </w:pPr>
      <w:r>
        <w:rPr>
          <w:rFonts w:hint="eastAsia" w:ascii="新宋体" w:hAnsi="新宋体" w:eastAsia="新宋体" w:cs="新宋体"/>
        </w:rPr>
        <w:t>（8）法律、行政法规或规章规定的其他串通行为。</w:t>
      </w:r>
    </w:p>
    <w:p w14:paraId="4CE78705">
      <w:pPr>
        <w:pStyle w:val="8"/>
        <w:spacing w:before="0" w:after="0" w:line="440" w:lineRule="exact"/>
        <w:jc w:val="center"/>
        <w:rPr>
          <w:rFonts w:ascii="新宋体" w:hAnsi="新宋体" w:eastAsia="新宋体" w:cs="新宋体"/>
          <w:sz w:val="24"/>
        </w:rPr>
      </w:pPr>
      <w:bookmarkStart w:id="24" w:name="_Toc17862"/>
      <w:r>
        <w:rPr>
          <w:rFonts w:hint="eastAsia" w:ascii="新宋体" w:hAnsi="新宋体" w:eastAsia="新宋体" w:cs="新宋体"/>
          <w:sz w:val="24"/>
        </w:rPr>
        <w:t>六、成交结果信息公布与授予合同</w:t>
      </w:r>
      <w:bookmarkEnd w:id="24"/>
    </w:p>
    <w:p w14:paraId="65001EC2">
      <w:pPr>
        <w:snapToGrid w:val="0"/>
        <w:spacing w:line="440" w:lineRule="exact"/>
        <w:rPr>
          <w:rFonts w:ascii="新宋体" w:hAnsi="新宋体" w:eastAsia="新宋体" w:cs="新宋体"/>
          <w:b/>
        </w:rPr>
      </w:pPr>
      <w:r>
        <w:rPr>
          <w:rFonts w:hint="eastAsia" w:ascii="新宋体" w:hAnsi="新宋体" w:eastAsia="新宋体" w:cs="新宋体"/>
          <w:b/>
        </w:rPr>
        <w:t>35.成交信息的公布</w:t>
      </w:r>
    </w:p>
    <w:p w14:paraId="1F00C393">
      <w:pPr>
        <w:snapToGrid w:val="0"/>
        <w:spacing w:line="440" w:lineRule="exact"/>
        <w:ind w:firstLine="420"/>
        <w:rPr>
          <w:rFonts w:ascii="新宋体" w:hAnsi="新宋体" w:eastAsia="新宋体" w:cs="新宋体"/>
        </w:rPr>
      </w:pPr>
      <w:r>
        <w:rPr>
          <w:rFonts w:hint="eastAsia" w:ascii="新宋体" w:hAnsi="新宋体" w:eastAsia="新宋体" w:cs="新宋体"/>
        </w:rPr>
        <w:t>35.1成交供应商确定后2个工作日内，成交结果信息将在</w:t>
      </w:r>
      <w:r>
        <w:rPr>
          <w:rFonts w:hint="eastAsia" w:ascii="新宋体" w:hAnsi="新宋体" w:eastAsia="新宋体" w:cs="新宋体"/>
          <w:b/>
        </w:rPr>
        <w:t>【磋商须知前附表】</w:t>
      </w:r>
      <w:r>
        <w:rPr>
          <w:rFonts w:hint="eastAsia" w:ascii="新宋体" w:hAnsi="新宋体" w:eastAsia="新宋体" w:cs="新宋体"/>
        </w:rPr>
        <w:t>指定的媒体上公布。</w:t>
      </w:r>
    </w:p>
    <w:p w14:paraId="44ABED5B">
      <w:pPr>
        <w:numPr>
          <w:ilvl w:val="0"/>
          <w:numId w:val="5"/>
        </w:numPr>
        <w:snapToGrid w:val="0"/>
        <w:spacing w:line="440" w:lineRule="exact"/>
        <w:rPr>
          <w:rFonts w:ascii="新宋体" w:hAnsi="新宋体" w:eastAsia="新宋体" w:cs="新宋体"/>
          <w:b/>
        </w:rPr>
      </w:pPr>
      <w:r>
        <w:rPr>
          <w:rFonts w:hint="eastAsia" w:ascii="新宋体" w:hAnsi="新宋体" w:eastAsia="新宋体" w:cs="新宋体"/>
          <w:b/>
        </w:rPr>
        <w:t>询问及质疑</w:t>
      </w:r>
    </w:p>
    <w:p w14:paraId="064B283A">
      <w:pPr>
        <w:adjustRightInd w:val="0"/>
        <w:snapToGrid w:val="0"/>
        <w:spacing w:line="440" w:lineRule="exact"/>
        <w:ind w:firstLine="420" w:firstLineChars="200"/>
        <w:jc w:val="left"/>
        <w:rPr>
          <w:rFonts w:ascii="宋体" w:hAnsi="宋体"/>
          <w:szCs w:val="21"/>
        </w:rPr>
      </w:pPr>
      <w:r>
        <w:rPr>
          <w:rFonts w:hint="eastAsia" w:ascii="宋体" w:hAnsi="宋体"/>
          <w:szCs w:val="21"/>
        </w:rPr>
        <w:t>36.1供应商对政府采购活动事项有疑问的，可以向采购人、采购代理机构提出询问。</w:t>
      </w:r>
    </w:p>
    <w:p w14:paraId="2800ACDA">
      <w:pPr>
        <w:adjustRightInd w:val="0"/>
        <w:snapToGrid w:val="0"/>
        <w:spacing w:line="440" w:lineRule="exact"/>
        <w:ind w:firstLine="420" w:firstLineChars="200"/>
        <w:jc w:val="left"/>
        <w:rPr>
          <w:rFonts w:hAnsi="宋体"/>
        </w:rPr>
      </w:pPr>
      <w:r>
        <w:rPr>
          <w:rFonts w:hint="eastAsia" w:ascii="宋体" w:hAnsi="宋体"/>
          <w:szCs w:val="21"/>
        </w:rPr>
        <w:t>36.2供应商若认为磋商文件、采购过程和成交结果使自己的权益受到损害，可以按法律、规章及《湖南省财政厅关于印发＜政府采购质疑答复和投诉处理操作规程＞的通知》(湘财购〔2024〕67号)文件规定向采购人、采购代理机构提出质疑。</w:t>
      </w:r>
    </w:p>
    <w:p w14:paraId="2C4415F3">
      <w:pPr>
        <w:snapToGrid w:val="0"/>
        <w:spacing w:line="440" w:lineRule="exact"/>
        <w:rPr>
          <w:rFonts w:ascii="新宋体" w:hAnsi="新宋体" w:eastAsia="新宋体" w:cs="新宋体"/>
          <w:b/>
        </w:rPr>
      </w:pPr>
      <w:r>
        <w:rPr>
          <w:rFonts w:hint="eastAsia" w:ascii="新宋体" w:hAnsi="新宋体" w:eastAsia="新宋体" w:cs="新宋体"/>
          <w:b/>
        </w:rPr>
        <w:t>37.成交通知</w:t>
      </w:r>
    </w:p>
    <w:p w14:paraId="33AE0DD0">
      <w:pPr>
        <w:snapToGrid w:val="0"/>
        <w:spacing w:line="440" w:lineRule="exact"/>
        <w:ind w:firstLine="420"/>
        <w:rPr>
          <w:rFonts w:ascii="新宋体" w:hAnsi="新宋体" w:eastAsia="新宋体" w:cs="新宋体"/>
        </w:rPr>
      </w:pPr>
      <w:r>
        <w:rPr>
          <w:rFonts w:hint="eastAsia" w:ascii="新宋体" w:hAnsi="新宋体" w:eastAsia="新宋体" w:cs="新宋体"/>
        </w:rPr>
        <w:t>37.1成交供应商确定后，采购人或采购代理机构将以书面形式向成交供应商发出成交通知书。成交通知书对采购人和成交供应商具有同等法律效力。</w:t>
      </w:r>
    </w:p>
    <w:p w14:paraId="4F6B8D6B">
      <w:pPr>
        <w:snapToGrid w:val="0"/>
        <w:spacing w:line="440" w:lineRule="exact"/>
        <w:ind w:firstLine="420"/>
        <w:rPr>
          <w:rFonts w:ascii="新宋体" w:hAnsi="新宋体" w:eastAsia="新宋体" w:cs="新宋体"/>
        </w:rPr>
      </w:pPr>
      <w:r>
        <w:rPr>
          <w:rFonts w:hint="eastAsia" w:ascii="新宋体" w:hAnsi="新宋体" w:eastAsia="新宋体" w:cs="新宋体"/>
        </w:rPr>
        <w:t>37.2 成交通知书是合同文件的组成部分。</w:t>
      </w:r>
    </w:p>
    <w:p w14:paraId="7A9BA76A">
      <w:pPr>
        <w:tabs>
          <w:tab w:val="left" w:pos="7560"/>
          <w:tab w:val="left" w:pos="7740"/>
          <w:tab w:val="left" w:pos="7920"/>
        </w:tabs>
        <w:autoSpaceDN w:val="0"/>
        <w:snapToGrid w:val="0"/>
        <w:spacing w:line="440" w:lineRule="exact"/>
        <w:ind w:firstLine="420"/>
        <w:rPr>
          <w:rFonts w:ascii="新宋体" w:hAnsi="新宋体" w:eastAsia="新宋体" w:cs="新宋体"/>
        </w:rPr>
      </w:pPr>
      <w:r>
        <w:rPr>
          <w:rFonts w:hint="eastAsia" w:ascii="新宋体" w:hAnsi="新宋体" w:eastAsia="新宋体" w:cs="新宋体"/>
        </w:rPr>
        <w:t>37.3 成交供应商在收到采购代理机构的成交通知书后10日内，应按照</w:t>
      </w:r>
      <w:r>
        <w:rPr>
          <w:rFonts w:hint="eastAsia" w:ascii="新宋体" w:hAnsi="新宋体" w:eastAsia="新宋体" w:cs="新宋体"/>
          <w:b/>
        </w:rPr>
        <w:t>【磋商须知前附表】</w:t>
      </w:r>
      <w:r>
        <w:rPr>
          <w:rFonts w:hint="eastAsia" w:ascii="新宋体" w:hAnsi="新宋体" w:eastAsia="新宋体" w:cs="新宋体"/>
        </w:rPr>
        <w:t>的规定，向采购人提交履约担保。联合体成交的，履约担保由联合体各方或联合体中牵头人的名义提交。</w:t>
      </w:r>
    </w:p>
    <w:p w14:paraId="71F5816B">
      <w:pPr>
        <w:snapToGrid w:val="0"/>
        <w:spacing w:line="440" w:lineRule="exact"/>
        <w:ind w:firstLine="420"/>
        <w:rPr>
          <w:rFonts w:ascii="新宋体" w:hAnsi="新宋体" w:eastAsia="新宋体" w:cs="新宋体"/>
        </w:rPr>
      </w:pPr>
      <w:r>
        <w:rPr>
          <w:rFonts w:hint="eastAsia" w:ascii="新宋体" w:hAnsi="新宋体" w:eastAsia="新宋体" w:cs="新宋体"/>
        </w:rPr>
        <w:t>37.4 成交供应商</w:t>
      </w:r>
      <w:r>
        <w:rPr>
          <w:rFonts w:hint="eastAsia" w:ascii="新宋体" w:hAnsi="新宋体" w:eastAsia="新宋体" w:cs="新宋体"/>
          <w:spacing w:val="4"/>
        </w:rPr>
        <w:t>没有按照本章第37.3</w:t>
      </w:r>
      <w:r>
        <w:rPr>
          <w:rFonts w:hint="eastAsia" w:ascii="新宋体" w:hAnsi="新宋体" w:eastAsia="新宋体" w:cs="新宋体"/>
        </w:rPr>
        <w:t>款</w:t>
      </w:r>
      <w:r>
        <w:rPr>
          <w:rFonts w:hint="eastAsia" w:ascii="新宋体" w:hAnsi="新宋体" w:eastAsia="新宋体" w:cs="新宋体"/>
          <w:spacing w:val="4"/>
        </w:rPr>
        <w:t>规定</w:t>
      </w:r>
      <w:r>
        <w:rPr>
          <w:rFonts w:hint="eastAsia" w:ascii="新宋体" w:hAnsi="新宋体" w:eastAsia="新宋体" w:cs="新宋体"/>
        </w:rPr>
        <w:t>提交履约担保的</w:t>
      </w:r>
      <w:r>
        <w:rPr>
          <w:rFonts w:hint="eastAsia" w:ascii="新宋体" w:hAnsi="新宋体" w:eastAsia="新宋体" w:cs="新宋体"/>
          <w:spacing w:val="4"/>
        </w:rPr>
        <w:t>，视为放弃</w:t>
      </w:r>
      <w:r>
        <w:rPr>
          <w:rFonts w:hint="eastAsia" w:ascii="新宋体" w:hAnsi="新宋体" w:eastAsia="新宋体" w:cs="新宋体"/>
        </w:rPr>
        <w:t>成交资格</w:t>
      </w:r>
      <w:r>
        <w:rPr>
          <w:rFonts w:hint="eastAsia" w:ascii="新宋体" w:hAnsi="新宋体" w:eastAsia="新宋体" w:cs="新宋体"/>
          <w:spacing w:val="4"/>
        </w:rPr>
        <w:t>，</w:t>
      </w:r>
      <w:r>
        <w:rPr>
          <w:rFonts w:hint="eastAsia" w:ascii="新宋体" w:hAnsi="新宋体" w:eastAsia="新宋体" w:cs="新宋体"/>
          <w:spacing w:val="2"/>
        </w:rPr>
        <w:t>其保证金不予退还。</w:t>
      </w:r>
    </w:p>
    <w:p w14:paraId="3B912A7B">
      <w:pPr>
        <w:snapToGrid w:val="0"/>
        <w:spacing w:line="440" w:lineRule="exact"/>
        <w:rPr>
          <w:rFonts w:ascii="新宋体" w:hAnsi="新宋体" w:eastAsia="新宋体" w:cs="新宋体"/>
          <w:b/>
        </w:rPr>
      </w:pPr>
      <w:r>
        <w:rPr>
          <w:rFonts w:hint="eastAsia" w:ascii="新宋体" w:hAnsi="新宋体" w:eastAsia="新宋体" w:cs="新宋体"/>
          <w:b/>
        </w:rPr>
        <w:t>38.签订合同</w:t>
      </w:r>
    </w:p>
    <w:p w14:paraId="71A75531">
      <w:pPr>
        <w:pStyle w:val="26"/>
        <w:adjustRightInd w:val="0"/>
        <w:snapToGrid w:val="0"/>
        <w:spacing w:line="440" w:lineRule="exact"/>
        <w:ind w:firstLine="420" w:firstLineChars="200"/>
        <w:rPr>
          <w:rFonts w:hAnsi="宋体"/>
        </w:rPr>
      </w:pPr>
      <w:r>
        <w:rPr>
          <w:rFonts w:hint="eastAsia" w:hAnsi="宋体"/>
        </w:rPr>
        <w:t>38.1磋商文件、成交供应商的响应文件及其补充的响应文件等均为签订政府采购合同的依据。</w:t>
      </w:r>
    </w:p>
    <w:p w14:paraId="6F442B90">
      <w:pPr>
        <w:pStyle w:val="26"/>
        <w:adjustRightInd w:val="0"/>
        <w:snapToGrid w:val="0"/>
        <w:spacing w:line="440" w:lineRule="exact"/>
        <w:ind w:firstLine="420" w:firstLineChars="200"/>
        <w:rPr>
          <w:rFonts w:hAnsi="宋体"/>
        </w:rPr>
      </w:pPr>
      <w:r>
        <w:rPr>
          <w:rFonts w:hint="eastAsia" w:hAnsi="宋体"/>
        </w:rPr>
        <w:t>38.2成交供应商应当在成交通知书发出之日起30日内与采购人签订政府采购合同。</w:t>
      </w:r>
    </w:p>
    <w:p w14:paraId="00EFE3B2">
      <w:pPr>
        <w:pStyle w:val="26"/>
        <w:adjustRightInd w:val="0"/>
        <w:snapToGrid w:val="0"/>
        <w:spacing w:line="440" w:lineRule="exact"/>
        <w:ind w:firstLine="420" w:firstLineChars="200"/>
        <w:rPr>
          <w:rFonts w:hAnsi="宋体"/>
        </w:rPr>
      </w:pPr>
      <w:r>
        <w:rPr>
          <w:rFonts w:hint="eastAsia" w:hAnsi="宋体"/>
        </w:rPr>
        <w:t>38.3成交供应商应当按照合同约定履行义务。成交供应商不得向他人转让成交项目，也不得将成交项目分包后分别向他人转让。</w:t>
      </w:r>
    </w:p>
    <w:p w14:paraId="689B2E8A">
      <w:pPr>
        <w:pStyle w:val="26"/>
        <w:adjustRightInd w:val="0"/>
        <w:snapToGrid w:val="0"/>
        <w:spacing w:line="440" w:lineRule="exact"/>
        <w:ind w:firstLine="420" w:firstLineChars="200"/>
        <w:rPr>
          <w:rFonts w:hAnsi="宋体"/>
        </w:rPr>
      </w:pPr>
      <w:r>
        <w:rPr>
          <w:rFonts w:hint="eastAsia" w:hAnsi="宋体"/>
        </w:rPr>
        <w:t>38.4成交供应商有下列情形之一的，责令限期改正，情节严重的，列入不良行为记录名单，在1至3年内禁止参加政府采购活动，并予以通报：</w:t>
      </w:r>
    </w:p>
    <w:p w14:paraId="65EC933D">
      <w:pPr>
        <w:pStyle w:val="26"/>
        <w:adjustRightInd w:val="0"/>
        <w:snapToGrid w:val="0"/>
        <w:spacing w:line="440" w:lineRule="exact"/>
        <w:ind w:firstLine="420" w:firstLineChars="200"/>
        <w:rPr>
          <w:rFonts w:hAnsi="宋体"/>
        </w:rPr>
      </w:pPr>
      <w:r>
        <w:rPr>
          <w:rFonts w:hint="eastAsia" w:hAnsi="宋体"/>
        </w:rPr>
        <w:t>（一）成交后无正当理由不与采购人签订合同的；</w:t>
      </w:r>
    </w:p>
    <w:p w14:paraId="091E96C3">
      <w:pPr>
        <w:pStyle w:val="26"/>
        <w:adjustRightInd w:val="0"/>
        <w:snapToGrid w:val="0"/>
        <w:spacing w:line="440" w:lineRule="exact"/>
        <w:ind w:firstLine="420" w:firstLineChars="200"/>
        <w:rPr>
          <w:rFonts w:hAnsi="宋体"/>
        </w:rPr>
      </w:pPr>
      <w:r>
        <w:rPr>
          <w:rFonts w:hint="eastAsia" w:hAnsi="宋体"/>
        </w:rPr>
        <w:t>（二）未按照采购文件确定的事项签订政府采购合同，或者与采购人另行订立背离合同实质性内容的协议的；</w:t>
      </w:r>
    </w:p>
    <w:p w14:paraId="12C555A8">
      <w:pPr>
        <w:pStyle w:val="26"/>
        <w:adjustRightInd w:val="0"/>
        <w:snapToGrid w:val="0"/>
        <w:spacing w:line="440" w:lineRule="exact"/>
        <w:ind w:firstLine="420" w:firstLineChars="200"/>
        <w:rPr>
          <w:rFonts w:hAnsi="宋体"/>
        </w:rPr>
      </w:pPr>
      <w:r>
        <w:rPr>
          <w:rFonts w:hint="eastAsia" w:hAnsi="宋体"/>
        </w:rPr>
        <w:t>（三）拒绝履行合同义务的；</w:t>
      </w:r>
    </w:p>
    <w:p w14:paraId="25820632">
      <w:pPr>
        <w:pStyle w:val="26"/>
        <w:adjustRightInd w:val="0"/>
        <w:snapToGrid w:val="0"/>
        <w:spacing w:line="440" w:lineRule="exact"/>
        <w:ind w:firstLine="420" w:firstLineChars="200"/>
        <w:rPr>
          <w:rFonts w:hAnsi="宋体" w:cs="宋体"/>
          <w:kern w:val="0"/>
        </w:rPr>
      </w:pPr>
      <w:r>
        <w:rPr>
          <w:rFonts w:hint="eastAsia" w:hAnsi="宋体"/>
        </w:rPr>
        <w:t>（四）</w:t>
      </w:r>
      <w:r>
        <w:rPr>
          <w:rFonts w:hint="eastAsia" w:hAnsi="宋体" w:cs="宋体"/>
          <w:kern w:val="0"/>
        </w:rPr>
        <w:t>违反法律、规章、规范性文件规定的。</w:t>
      </w:r>
    </w:p>
    <w:p w14:paraId="03BE5EF3">
      <w:pPr>
        <w:pStyle w:val="8"/>
        <w:spacing w:before="0" w:after="0" w:line="440" w:lineRule="exact"/>
        <w:jc w:val="center"/>
        <w:rPr>
          <w:rFonts w:ascii="新宋体" w:hAnsi="新宋体" w:eastAsia="新宋体" w:cs="新宋体"/>
          <w:b w:val="0"/>
          <w:sz w:val="24"/>
        </w:rPr>
      </w:pPr>
      <w:bookmarkStart w:id="25" w:name="_Toc5656"/>
      <w:r>
        <w:rPr>
          <w:rFonts w:hint="eastAsia" w:ascii="新宋体" w:hAnsi="新宋体" w:eastAsia="新宋体" w:cs="新宋体"/>
          <w:sz w:val="24"/>
        </w:rPr>
        <w:t>七、 政府采购政策支持</w:t>
      </w:r>
      <w:bookmarkEnd w:id="25"/>
    </w:p>
    <w:p w14:paraId="7D596841">
      <w:pPr>
        <w:adjustRightInd w:val="0"/>
        <w:snapToGrid w:val="0"/>
        <w:spacing w:line="440" w:lineRule="exact"/>
        <w:jc w:val="left"/>
        <w:rPr>
          <w:rFonts w:ascii="新宋体" w:hAnsi="新宋体" w:eastAsia="新宋体" w:cs="新宋体"/>
          <w:b/>
          <w:bCs/>
          <w:kern w:val="0"/>
        </w:rPr>
      </w:pPr>
      <w:r>
        <w:rPr>
          <w:rFonts w:hint="eastAsia" w:ascii="新宋体" w:hAnsi="新宋体" w:eastAsia="新宋体" w:cs="新宋体"/>
          <w:b/>
          <w:bCs/>
          <w:kern w:val="0"/>
        </w:rPr>
        <w:t>3</w:t>
      </w:r>
      <w:r>
        <w:rPr>
          <w:rFonts w:ascii="新宋体" w:hAnsi="新宋体" w:eastAsia="新宋体" w:cs="新宋体"/>
          <w:b/>
          <w:bCs/>
          <w:kern w:val="0"/>
        </w:rPr>
        <w:t>9.</w:t>
      </w:r>
      <w:r>
        <w:rPr>
          <w:rFonts w:hint="eastAsia" w:ascii="新宋体" w:hAnsi="新宋体" w:eastAsia="新宋体" w:cs="新宋体"/>
          <w:b/>
          <w:bCs/>
          <w:kern w:val="0"/>
        </w:rPr>
        <w:t>政府采购政策</w:t>
      </w:r>
    </w:p>
    <w:p w14:paraId="2609303E">
      <w:pPr>
        <w:adjustRightInd w:val="0"/>
        <w:snapToGrid w:val="0"/>
        <w:spacing w:line="440" w:lineRule="exact"/>
        <w:ind w:firstLine="420" w:firstLineChars="200"/>
        <w:jc w:val="left"/>
        <w:rPr>
          <w:rFonts w:ascii="新宋体" w:hAnsi="新宋体" w:eastAsia="新宋体" w:cs="新宋体"/>
          <w:kern w:val="0"/>
        </w:rPr>
      </w:pPr>
      <w:r>
        <w:rPr>
          <w:rFonts w:hint="eastAsia" w:ascii="新宋体" w:hAnsi="新宋体" w:eastAsia="新宋体" w:cs="新宋体"/>
          <w:kern w:val="0"/>
        </w:rPr>
        <w:t>39.1优先采购：</w:t>
      </w:r>
    </w:p>
    <w:p w14:paraId="060EE8CC">
      <w:pPr>
        <w:adjustRightInd w:val="0"/>
        <w:snapToGrid w:val="0"/>
        <w:spacing w:line="440" w:lineRule="exact"/>
        <w:ind w:firstLine="420" w:firstLineChars="200"/>
        <w:jc w:val="left"/>
        <w:rPr>
          <w:rFonts w:ascii="新宋体" w:hAnsi="新宋体" w:eastAsia="新宋体" w:cs="新宋体"/>
        </w:rPr>
      </w:pPr>
      <w:r>
        <w:rPr>
          <w:rFonts w:hint="eastAsia" w:ascii="新宋体" w:hAnsi="新宋体" w:eastAsia="新宋体" w:cs="新宋体"/>
        </w:rPr>
        <w:t>（1）</w:t>
      </w:r>
      <w:r>
        <w:rPr>
          <w:rFonts w:hint="eastAsia" w:ascii="新宋体" w:hAnsi="新宋体" w:eastAsia="新宋体" w:cs="新宋体"/>
          <w:szCs w:val="21"/>
        </w:rPr>
        <w:t>纳入财政部会同国务院有关部门发布的节能产品、环境标志产品政府采购品目清单，实施政府优先采购的，评审时按磋商文件有关规定给予一定比例的价格折扣或者加分；</w:t>
      </w:r>
    </w:p>
    <w:p w14:paraId="5D3A91A3">
      <w:pPr>
        <w:adjustRightInd w:val="0"/>
        <w:snapToGrid w:val="0"/>
        <w:spacing w:line="440" w:lineRule="exact"/>
        <w:ind w:firstLine="420" w:firstLineChars="200"/>
        <w:jc w:val="left"/>
        <w:rPr>
          <w:rFonts w:ascii="新宋体" w:hAnsi="新宋体" w:eastAsia="新宋体" w:cs="新宋体"/>
        </w:rPr>
      </w:pPr>
      <w:r>
        <w:rPr>
          <w:rFonts w:hint="eastAsia" w:ascii="新宋体" w:hAnsi="新宋体" w:eastAsia="新宋体" w:cs="新宋体"/>
        </w:rPr>
        <w:t>（2）纳入湖南省财政厅等有关部门发布的湖南省两型产品政府采购目录的，实施政府优先采购，评审时按磋商</w:t>
      </w:r>
      <w:r>
        <w:rPr>
          <w:rFonts w:hint="eastAsia" w:ascii="新宋体" w:hAnsi="新宋体" w:eastAsia="新宋体" w:cs="新宋体"/>
          <w:szCs w:val="21"/>
        </w:rPr>
        <w:t>文件有关规定</w:t>
      </w:r>
      <w:r>
        <w:rPr>
          <w:rFonts w:hint="eastAsia" w:ascii="新宋体" w:hAnsi="新宋体" w:eastAsia="新宋体" w:cs="新宋体"/>
        </w:rPr>
        <w:t>给予一定比例的价格折扣或者加分。</w:t>
      </w:r>
    </w:p>
    <w:p w14:paraId="7052F50E">
      <w:pPr>
        <w:adjustRightInd w:val="0"/>
        <w:snapToGrid w:val="0"/>
        <w:spacing w:line="440" w:lineRule="exact"/>
        <w:ind w:firstLine="420" w:firstLineChars="200"/>
        <w:jc w:val="left"/>
        <w:rPr>
          <w:rFonts w:ascii="新宋体" w:hAnsi="新宋体" w:eastAsia="新宋体" w:cs="新宋体"/>
          <w:kern w:val="0"/>
        </w:rPr>
      </w:pPr>
      <w:r>
        <w:rPr>
          <w:rFonts w:hint="eastAsia" w:ascii="新宋体" w:hAnsi="新宋体" w:eastAsia="新宋体" w:cs="新宋体"/>
          <w:kern w:val="0"/>
        </w:rPr>
        <w:t>39.2强制采购：</w:t>
      </w:r>
    </w:p>
    <w:p w14:paraId="565E346F">
      <w:pPr>
        <w:adjustRightInd w:val="0"/>
        <w:snapToGrid w:val="0"/>
        <w:spacing w:line="440" w:lineRule="exact"/>
        <w:ind w:firstLine="420" w:firstLineChars="200"/>
        <w:jc w:val="left"/>
        <w:rPr>
          <w:rFonts w:ascii="新宋体" w:hAnsi="新宋体" w:eastAsia="新宋体" w:cs="新宋体"/>
          <w:kern w:val="0"/>
        </w:rPr>
      </w:pPr>
      <w:r>
        <w:rPr>
          <w:rFonts w:hint="eastAsia" w:ascii="新宋体" w:hAnsi="新宋体" w:eastAsia="新宋体" w:cs="新宋体"/>
          <w:kern w:val="0"/>
        </w:rPr>
        <w:t>（1）纳入财政部会同国务院有关部门发布的节能产品政府采购品目清单，实施政府强制采购的（品目清单标注</w:t>
      </w:r>
      <w:r>
        <w:rPr>
          <w:rFonts w:hint="eastAsia" w:ascii="新宋体" w:hAnsi="新宋体" w:eastAsia="新宋体" w:cs="新宋体"/>
          <w:kern w:val="0"/>
        </w:rPr>
        <w:sym w:font="Wingdings" w:char="F0AB"/>
      </w:r>
      <w:r>
        <w:rPr>
          <w:rFonts w:hint="eastAsia" w:ascii="新宋体" w:hAnsi="新宋体" w:eastAsia="新宋体" w:cs="新宋体"/>
          <w:kern w:val="0"/>
        </w:rPr>
        <w:t>符号产品），供应商投标产品应当取得国家确定的认证机构出具的、处于有效期之内的节能产品认证证书，否则其</w:t>
      </w:r>
      <w:r>
        <w:rPr>
          <w:rFonts w:hint="eastAsia" w:ascii="新宋体" w:hAnsi="新宋体" w:eastAsia="新宋体" w:cs="新宋体"/>
          <w:b/>
          <w:kern w:val="0"/>
          <w:szCs w:val="21"/>
        </w:rPr>
        <w:t>投标无效</w:t>
      </w:r>
      <w:r>
        <w:rPr>
          <w:rFonts w:hint="eastAsia" w:ascii="新宋体" w:hAnsi="新宋体" w:eastAsia="新宋体" w:cs="新宋体"/>
          <w:kern w:val="0"/>
        </w:rPr>
        <w:t>。</w:t>
      </w:r>
    </w:p>
    <w:p w14:paraId="4B700E04">
      <w:pPr>
        <w:adjustRightInd w:val="0"/>
        <w:snapToGrid w:val="0"/>
        <w:spacing w:line="440" w:lineRule="exact"/>
        <w:ind w:firstLine="420" w:firstLineChars="200"/>
        <w:jc w:val="left"/>
        <w:rPr>
          <w:rFonts w:ascii="新宋体" w:hAnsi="新宋体" w:eastAsia="新宋体" w:cs="新宋体"/>
        </w:rPr>
      </w:pPr>
      <w:r>
        <w:rPr>
          <w:rFonts w:hint="eastAsia" w:ascii="新宋体" w:hAnsi="新宋体" w:eastAsia="新宋体" w:cs="新宋体"/>
        </w:rPr>
        <w:t>39.3价格评审优惠：</w:t>
      </w:r>
    </w:p>
    <w:p w14:paraId="6AB87A3D">
      <w:pPr>
        <w:adjustRightInd w:val="0"/>
        <w:snapToGrid w:val="0"/>
        <w:spacing w:line="440" w:lineRule="exact"/>
        <w:ind w:firstLine="420" w:firstLineChars="200"/>
        <w:jc w:val="left"/>
        <w:rPr>
          <w:rFonts w:ascii="新宋体" w:hAnsi="新宋体" w:eastAsia="新宋体" w:cs="新宋体"/>
        </w:rPr>
      </w:pPr>
      <w:r>
        <w:rPr>
          <w:rFonts w:hint="eastAsia" w:ascii="新宋体" w:hAnsi="新宋体" w:eastAsia="新宋体" w:cs="新宋体"/>
        </w:rPr>
        <w:t>（1）供应商为小型、微型企业，且提供本企业生产的货物或者提供其他小型、微型企业生产的货物，投标价格按磋商</w:t>
      </w:r>
      <w:r>
        <w:rPr>
          <w:rFonts w:hint="eastAsia" w:ascii="新宋体" w:hAnsi="新宋体" w:eastAsia="新宋体" w:cs="新宋体"/>
          <w:szCs w:val="21"/>
        </w:rPr>
        <w:t>文件有关规定</w:t>
      </w:r>
      <w:r>
        <w:rPr>
          <w:rFonts w:hint="eastAsia" w:ascii="新宋体" w:hAnsi="新宋体" w:eastAsia="新宋体" w:cs="新宋体"/>
        </w:rPr>
        <w:t>给予一定比例的价格折扣，用扣除后的价格参与评审。本项所称货物不包括使用大型企业注册商标的货物；</w:t>
      </w:r>
    </w:p>
    <w:p w14:paraId="52663D0D">
      <w:pPr>
        <w:adjustRightInd w:val="0"/>
        <w:snapToGrid w:val="0"/>
        <w:spacing w:line="440" w:lineRule="exact"/>
        <w:ind w:firstLine="420" w:firstLineChars="200"/>
        <w:jc w:val="left"/>
        <w:rPr>
          <w:rFonts w:ascii="新宋体" w:hAnsi="新宋体" w:eastAsia="新宋体" w:cs="新宋体"/>
        </w:rPr>
      </w:pPr>
      <w:r>
        <w:rPr>
          <w:rFonts w:hint="eastAsia" w:ascii="新宋体" w:hAnsi="新宋体" w:eastAsia="新宋体" w:cs="新宋体"/>
        </w:rPr>
        <w:t>（2）小型、微型企业参加联合体投标并在联合体协议中明确其在合同金额占联合体合同总金额 30%以上的，该联合体投标价格按磋商</w:t>
      </w:r>
      <w:r>
        <w:rPr>
          <w:rFonts w:hint="eastAsia" w:ascii="新宋体" w:hAnsi="新宋体" w:eastAsia="新宋体" w:cs="新宋体"/>
          <w:szCs w:val="21"/>
        </w:rPr>
        <w:t>文件有关规定</w:t>
      </w:r>
      <w:r>
        <w:rPr>
          <w:rFonts w:hint="eastAsia" w:ascii="新宋体" w:hAnsi="新宋体" w:eastAsia="新宋体" w:cs="新宋体"/>
        </w:rPr>
        <w:t>给予一定比例的价格折扣，用扣除后的价格参与评审。联合体各方均为小型、微型企业的，联合体视同为小型、微型企业；</w:t>
      </w:r>
    </w:p>
    <w:p w14:paraId="69954E2C">
      <w:pPr>
        <w:adjustRightInd w:val="0"/>
        <w:snapToGrid w:val="0"/>
        <w:spacing w:line="440" w:lineRule="exact"/>
        <w:ind w:firstLine="420" w:firstLineChars="200"/>
        <w:jc w:val="left"/>
        <w:rPr>
          <w:rFonts w:ascii="新宋体" w:hAnsi="新宋体" w:eastAsia="新宋体" w:cs="新宋体"/>
        </w:rPr>
      </w:pPr>
      <w:r>
        <w:rPr>
          <w:rFonts w:hint="eastAsia" w:ascii="新宋体" w:hAnsi="新宋体" w:eastAsia="新宋体" w:cs="新宋体"/>
        </w:rPr>
        <w:t>（3）监狱企业、残</w:t>
      </w:r>
      <w:r>
        <w:rPr>
          <w:rFonts w:hint="eastAsia" w:ascii="新宋体" w:hAnsi="新宋体" w:eastAsia="新宋体" w:cs="新宋体"/>
          <w:szCs w:val="21"/>
        </w:rPr>
        <w:t>疾人福利性单位视同小型、微型企业，享受评审中价格扣除等促进中小企业发展的政府采购政策。</w:t>
      </w:r>
    </w:p>
    <w:p w14:paraId="42E56689">
      <w:pPr>
        <w:adjustRightInd w:val="0"/>
        <w:snapToGrid w:val="0"/>
        <w:spacing w:line="440" w:lineRule="exact"/>
        <w:ind w:firstLine="420" w:firstLineChars="200"/>
        <w:jc w:val="left"/>
        <w:rPr>
          <w:rFonts w:ascii="新宋体" w:hAnsi="新宋体" w:eastAsia="新宋体" w:cs="新宋体"/>
        </w:rPr>
      </w:pPr>
      <w:r>
        <w:rPr>
          <w:rFonts w:hint="eastAsia" w:ascii="新宋体" w:hAnsi="新宋体" w:eastAsia="新宋体" w:cs="新宋体"/>
        </w:rPr>
        <w:t>39.4政府采购政策交叉与叠加</w:t>
      </w:r>
    </w:p>
    <w:p w14:paraId="47EE2F6F">
      <w:pPr>
        <w:adjustRightInd w:val="0"/>
        <w:snapToGrid w:val="0"/>
        <w:spacing w:line="440" w:lineRule="exact"/>
        <w:ind w:firstLine="420" w:firstLineChars="200"/>
        <w:jc w:val="left"/>
        <w:rPr>
          <w:rFonts w:ascii="新宋体" w:hAnsi="新宋体" w:eastAsia="新宋体" w:cs="新宋体"/>
        </w:rPr>
      </w:pPr>
      <w:r>
        <w:rPr>
          <w:rFonts w:hint="eastAsia" w:ascii="新宋体" w:hAnsi="新宋体" w:eastAsia="新宋体" w:cs="新宋体"/>
        </w:rPr>
        <w:t>（1）投标产品取得两个及以上优先采购产品认证的，评审时只有其中一项产品能享受优先采购优惠（供应商自行选择，并在响应文件中并填报相关信息及数据）</w:t>
      </w:r>
    </w:p>
    <w:p w14:paraId="402650A1">
      <w:pPr>
        <w:adjustRightInd w:val="0"/>
        <w:snapToGrid w:val="0"/>
        <w:spacing w:line="440" w:lineRule="exact"/>
        <w:ind w:firstLine="420" w:firstLineChars="200"/>
        <w:jc w:val="left"/>
        <w:rPr>
          <w:rFonts w:ascii="新宋体" w:hAnsi="新宋体" w:eastAsia="新宋体" w:cs="新宋体"/>
        </w:rPr>
      </w:pPr>
      <w:r>
        <w:rPr>
          <w:rFonts w:hint="eastAsia" w:ascii="新宋体" w:hAnsi="新宋体" w:eastAsia="新宋体" w:cs="新宋体"/>
        </w:rPr>
        <w:t>（2）供应商同时符合小型、微型企业及监狱企业、残疾人福利性单位要求的，评审时只有一种类型享受价格评审优惠政策；</w:t>
      </w:r>
    </w:p>
    <w:p w14:paraId="7A8C26B5">
      <w:pPr>
        <w:adjustRightInd w:val="0"/>
        <w:snapToGrid w:val="0"/>
        <w:spacing w:line="440" w:lineRule="exact"/>
        <w:ind w:firstLine="420" w:firstLineChars="200"/>
        <w:jc w:val="left"/>
        <w:rPr>
          <w:rFonts w:ascii="新宋体" w:hAnsi="新宋体" w:eastAsia="新宋体" w:cs="新宋体"/>
        </w:rPr>
      </w:pPr>
      <w:r>
        <w:rPr>
          <w:rFonts w:hint="eastAsia" w:ascii="新宋体" w:hAnsi="新宋体" w:eastAsia="新宋体" w:cs="新宋体"/>
        </w:rPr>
        <w:t>（3）小型和微型企业的价格评审优惠可以与同时属于“节能产品”、“环境标志产品”及“两型产品”中的一项优先采购优惠累加计算。</w:t>
      </w:r>
    </w:p>
    <w:p w14:paraId="1381C62B">
      <w:pPr>
        <w:adjustRightInd w:val="0"/>
        <w:snapToGrid w:val="0"/>
        <w:spacing w:line="440" w:lineRule="exact"/>
        <w:ind w:firstLine="420" w:firstLineChars="200"/>
        <w:jc w:val="left"/>
        <w:rPr>
          <w:rFonts w:ascii="新宋体" w:hAnsi="新宋体" w:eastAsia="新宋体" w:cs="新宋体"/>
        </w:rPr>
      </w:pPr>
      <w:r>
        <w:rPr>
          <w:rFonts w:hint="eastAsia" w:ascii="新宋体" w:hAnsi="新宋体" w:eastAsia="新宋体" w:cs="新宋体"/>
        </w:rPr>
        <w:t>39.5小型、微型企业的供应商提供部分小型、微型企业制造的产品，以及部分投标产品属于优先采购的，评审时只对该部分产品的报价实行价格扣除及加分。供应商应按本章第39.6款规定提供相关证明资料（包括提供相关报价）。</w:t>
      </w:r>
    </w:p>
    <w:p w14:paraId="3B32D4FB">
      <w:pPr>
        <w:adjustRightInd w:val="0"/>
        <w:snapToGrid w:val="0"/>
        <w:spacing w:line="440" w:lineRule="exact"/>
        <w:ind w:firstLine="420" w:firstLineChars="200"/>
        <w:jc w:val="left"/>
        <w:rPr>
          <w:rFonts w:ascii="新宋体" w:hAnsi="新宋体" w:eastAsia="新宋体" w:cs="新宋体"/>
        </w:rPr>
      </w:pPr>
      <w:r>
        <w:rPr>
          <w:rFonts w:hint="eastAsia" w:ascii="新宋体" w:hAnsi="新宋体" w:eastAsia="新宋体" w:cs="新宋体"/>
        </w:rPr>
        <w:t>39.6供应商符合本章第39.1款、第39.2款、第39.3款规定的，应提供相关证明资料。</w:t>
      </w:r>
    </w:p>
    <w:p w14:paraId="2268FA6C">
      <w:pPr>
        <w:adjustRightInd w:val="0"/>
        <w:snapToGrid w:val="0"/>
        <w:spacing w:line="440" w:lineRule="exact"/>
        <w:ind w:firstLine="420" w:firstLineChars="200"/>
        <w:jc w:val="left"/>
        <w:rPr>
          <w:rFonts w:ascii="新宋体" w:hAnsi="新宋体" w:eastAsia="新宋体" w:cs="新宋体"/>
        </w:rPr>
      </w:pPr>
      <w:r>
        <w:rPr>
          <w:rFonts w:hint="eastAsia" w:ascii="新宋体" w:hAnsi="新宋体" w:eastAsia="新宋体" w:cs="新宋体"/>
        </w:rPr>
        <w:t>（1）节能产品、环境标志产品：提供国家确定的认证机构出具的、处于有效期之内的节能产品、环境标志产品认证证书（复印件）。</w:t>
      </w:r>
    </w:p>
    <w:p w14:paraId="2FFC8F8C">
      <w:pPr>
        <w:adjustRightInd w:val="0"/>
        <w:snapToGrid w:val="0"/>
        <w:spacing w:line="440" w:lineRule="exact"/>
        <w:ind w:firstLine="420" w:firstLineChars="200"/>
        <w:jc w:val="left"/>
        <w:rPr>
          <w:rFonts w:ascii="新宋体" w:hAnsi="新宋体" w:eastAsia="新宋体" w:cs="新宋体"/>
        </w:rPr>
      </w:pPr>
      <w:r>
        <w:rPr>
          <w:rFonts w:hint="eastAsia" w:ascii="新宋体" w:hAnsi="新宋体" w:eastAsia="新宋体" w:cs="新宋体"/>
        </w:rPr>
        <w:t>（2）两型产品：提供《湖南省两型产品政府采购目录》（最新一期）文件首页和投标产品所在页（截图）。</w:t>
      </w:r>
    </w:p>
    <w:p w14:paraId="2E127D17">
      <w:pPr>
        <w:adjustRightInd w:val="0"/>
        <w:snapToGrid w:val="0"/>
        <w:spacing w:line="440" w:lineRule="exact"/>
        <w:ind w:firstLine="420" w:firstLineChars="200"/>
        <w:jc w:val="left"/>
        <w:rPr>
          <w:rFonts w:ascii="新宋体" w:hAnsi="新宋体" w:eastAsia="新宋体" w:cs="新宋体"/>
        </w:rPr>
      </w:pPr>
      <w:r>
        <w:rPr>
          <w:rFonts w:hint="eastAsia" w:ascii="新宋体" w:hAnsi="新宋体" w:eastAsia="新宋体" w:cs="新宋体"/>
        </w:rPr>
        <w:t>（3）中小企业：根据《政府采购促进中小企业发展管理办法》（财库﹝2020﹞46 号）的规定供应商提供《小型、微型企业声明函》（格式）。</w:t>
      </w:r>
    </w:p>
    <w:p w14:paraId="5757C8A6">
      <w:pPr>
        <w:adjustRightInd w:val="0"/>
        <w:snapToGrid w:val="0"/>
        <w:spacing w:line="440" w:lineRule="exact"/>
        <w:ind w:firstLine="420" w:firstLineChars="200"/>
        <w:jc w:val="left"/>
        <w:rPr>
          <w:rFonts w:ascii="新宋体" w:hAnsi="新宋体" w:eastAsia="新宋体" w:cs="新宋体"/>
        </w:rPr>
      </w:pPr>
      <w:r>
        <w:rPr>
          <w:rFonts w:hint="eastAsia" w:ascii="新宋体" w:hAnsi="新宋体" w:eastAsia="新宋体" w:cs="新宋体"/>
        </w:rPr>
        <w:t>（4）监狱企业：按《关于政府采购支持监狱企业发展有关问题的通知》(财库〔2014〕68号)文件规定提供证明文件（复印件）。</w:t>
      </w:r>
    </w:p>
    <w:p w14:paraId="41755F19">
      <w:pPr>
        <w:adjustRightInd w:val="0"/>
        <w:snapToGrid w:val="0"/>
        <w:spacing w:line="440" w:lineRule="exact"/>
        <w:ind w:firstLine="420" w:firstLineChars="200"/>
        <w:jc w:val="left"/>
        <w:rPr>
          <w:rFonts w:ascii="新宋体" w:hAnsi="新宋体" w:eastAsia="新宋体" w:cs="新宋体"/>
        </w:rPr>
      </w:pPr>
      <w:r>
        <w:rPr>
          <w:rFonts w:hint="eastAsia" w:ascii="新宋体" w:hAnsi="新宋体" w:eastAsia="新宋体" w:cs="新宋体"/>
        </w:rPr>
        <w:t>（5）残疾人福利性单位：按《关于促进残疾人就业政府采购政策的通知》(财库〔2017〕141号)文件规定提供《残疾人福利性单位声明函》（格式）。</w:t>
      </w:r>
    </w:p>
    <w:p w14:paraId="6D7F2DCC">
      <w:pPr>
        <w:adjustRightInd w:val="0"/>
        <w:snapToGrid w:val="0"/>
        <w:spacing w:line="440" w:lineRule="exact"/>
        <w:ind w:firstLine="420" w:firstLineChars="200"/>
        <w:jc w:val="left"/>
        <w:rPr>
          <w:rFonts w:ascii="新宋体" w:hAnsi="新宋体" w:eastAsia="新宋体" w:cs="新宋体"/>
          <w:sz w:val="28"/>
          <w:szCs w:val="28"/>
        </w:rPr>
      </w:pPr>
      <w:r>
        <w:rPr>
          <w:rFonts w:hint="eastAsia" w:ascii="新宋体" w:hAnsi="新宋体" w:eastAsia="新宋体" w:cs="新宋体"/>
        </w:rPr>
        <w:t>39.7供应商有融资、担保需求的，可登陆中国湖南政府采购网查询相关银行、担保机构业务。</w:t>
      </w:r>
    </w:p>
    <w:p w14:paraId="3B986BF2">
      <w:pPr>
        <w:pStyle w:val="8"/>
        <w:spacing w:before="0" w:after="0" w:line="440" w:lineRule="exact"/>
        <w:jc w:val="center"/>
        <w:rPr>
          <w:rFonts w:ascii="新宋体" w:hAnsi="新宋体" w:eastAsia="新宋体" w:cs="新宋体"/>
          <w:b w:val="0"/>
          <w:bCs w:val="0"/>
          <w:sz w:val="24"/>
        </w:rPr>
      </w:pPr>
      <w:bookmarkStart w:id="26" w:name="_Toc9954"/>
      <w:r>
        <w:rPr>
          <w:rFonts w:hint="eastAsia" w:ascii="新宋体" w:hAnsi="新宋体" w:eastAsia="新宋体" w:cs="新宋体"/>
          <w:sz w:val="24"/>
        </w:rPr>
        <w:t>八、其他规定</w:t>
      </w:r>
      <w:bookmarkEnd w:id="26"/>
    </w:p>
    <w:p w14:paraId="3AA430CB">
      <w:pPr>
        <w:snapToGrid w:val="0"/>
        <w:spacing w:line="440" w:lineRule="exact"/>
        <w:jc w:val="left"/>
        <w:rPr>
          <w:rFonts w:ascii="新宋体" w:hAnsi="新宋体" w:eastAsia="新宋体" w:cs="新宋体"/>
          <w:b/>
        </w:rPr>
      </w:pPr>
      <w:r>
        <w:rPr>
          <w:rFonts w:hint="eastAsia" w:ascii="新宋体" w:hAnsi="新宋体" w:eastAsia="新宋体" w:cs="新宋体"/>
          <w:b/>
        </w:rPr>
        <w:t>40.采购代理服务费</w:t>
      </w:r>
    </w:p>
    <w:p w14:paraId="22F209A7">
      <w:pPr>
        <w:tabs>
          <w:tab w:val="left" w:pos="420"/>
          <w:tab w:val="left" w:pos="7560"/>
          <w:tab w:val="left" w:pos="7740"/>
          <w:tab w:val="left" w:pos="7920"/>
        </w:tabs>
        <w:snapToGrid w:val="0"/>
        <w:spacing w:line="440" w:lineRule="exact"/>
        <w:ind w:firstLine="420"/>
        <w:rPr>
          <w:rFonts w:ascii="新宋体" w:hAnsi="新宋体" w:eastAsia="新宋体" w:cs="新宋体"/>
        </w:rPr>
      </w:pPr>
      <w:r>
        <w:rPr>
          <w:rFonts w:hint="eastAsia" w:ascii="新宋体" w:hAnsi="新宋体" w:eastAsia="新宋体" w:cs="新宋体"/>
        </w:rPr>
        <w:t>40.1采购代理机构应按</w:t>
      </w:r>
      <w:r>
        <w:rPr>
          <w:rFonts w:hint="eastAsia" w:ascii="新宋体" w:hAnsi="新宋体" w:eastAsia="新宋体" w:cs="新宋体"/>
          <w:b/>
        </w:rPr>
        <w:t>【磋商须知前附表】</w:t>
      </w:r>
      <w:r>
        <w:rPr>
          <w:rFonts w:hint="eastAsia" w:ascii="新宋体" w:hAnsi="新宋体" w:eastAsia="新宋体" w:cs="新宋体"/>
        </w:rPr>
        <w:t>规定收取采购代理服务费。</w:t>
      </w:r>
    </w:p>
    <w:p w14:paraId="1E5F93CF">
      <w:pPr>
        <w:tabs>
          <w:tab w:val="left" w:pos="420"/>
          <w:tab w:val="left" w:pos="7560"/>
          <w:tab w:val="left" w:pos="7740"/>
          <w:tab w:val="left" w:pos="7920"/>
        </w:tabs>
        <w:snapToGrid w:val="0"/>
        <w:spacing w:line="440" w:lineRule="exact"/>
        <w:rPr>
          <w:rFonts w:ascii="新宋体" w:hAnsi="新宋体" w:eastAsia="新宋体" w:cs="新宋体"/>
          <w:b/>
        </w:rPr>
      </w:pPr>
      <w:r>
        <w:rPr>
          <w:rFonts w:hint="eastAsia" w:ascii="新宋体" w:hAnsi="新宋体" w:eastAsia="新宋体" w:cs="新宋体"/>
          <w:b/>
        </w:rPr>
        <w:t>41.其他规定</w:t>
      </w:r>
    </w:p>
    <w:p w14:paraId="6F67784C">
      <w:pPr>
        <w:tabs>
          <w:tab w:val="left" w:pos="420"/>
          <w:tab w:val="left" w:pos="7560"/>
          <w:tab w:val="left" w:pos="7740"/>
          <w:tab w:val="left" w:pos="7920"/>
        </w:tabs>
        <w:snapToGrid w:val="0"/>
        <w:spacing w:line="440" w:lineRule="exact"/>
        <w:ind w:firstLine="420"/>
        <w:rPr>
          <w:rFonts w:ascii="新宋体" w:hAnsi="新宋体" w:eastAsia="新宋体" w:cs="新宋体"/>
          <w:b/>
        </w:rPr>
      </w:pPr>
      <w:r>
        <w:rPr>
          <w:rFonts w:hint="eastAsia" w:ascii="新宋体" w:hAnsi="新宋体" w:eastAsia="新宋体" w:cs="新宋体"/>
        </w:rPr>
        <w:t>41.1磋商文件的其他规定见</w:t>
      </w:r>
      <w:r>
        <w:rPr>
          <w:rFonts w:hint="eastAsia" w:ascii="新宋体" w:hAnsi="新宋体" w:eastAsia="新宋体" w:cs="新宋体"/>
          <w:b/>
        </w:rPr>
        <w:t>【磋商须知前附表】。</w:t>
      </w:r>
    </w:p>
    <w:p w14:paraId="48FB9AB1">
      <w:pPr>
        <w:widowControl/>
        <w:jc w:val="left"/>
        <w:rPr>
          <w:rFonts w:ascii="宋体" w:hAnsi="宋体"/>
          <w:b/>
          <w:color w:val="000000"/>
          <w:kern w:val="0"/>
          <w:sz w:val="32"/>
          <w:szCs w:val="32"/>
        </w:rPr>
      </w:pPr>
      <w:bookmarkStart w:id="27" w:name="_Toc27637"/>
      <w:bookmarkStart w:id="28" w:name="_Toc3744"/>
      <w:r>
        <w:rPr>
          <w:rFonts w:ascii="宋体" w:hAnsi="宋体"/>
          <w:b/>
          <w:color w:val="000000"/>
          <w:sz w:val="32"/>
          <w:szCs w:val="32"/>
        </w:rPr>
        <w:br w:type="page"/>
      </w:r>
    </w:p>
    <w:p w14:paraId="7F800F48">
      <w:pPr>
        <w:pStyle w:val="5"/>
        <w:rPr>
          <w:rFonts w:ascii="黑体" w:hAnsi="黑体" w:eastAsia="黑体"/>
          <w:b w:val="0"/>
          <w:color w:val="000000"/>
          <w:sz w:val="32"/>
          <w:szCs w:val="32"/>
        </w:rPr>
      </w:pPr>
      <w:bookmarkStart w:id="29" w:name="_Toc22509"/>
      <w:r>
        <w:rPr>
          <w:rFonts w:hint="eastAsia" w:ascii="黑体" w:hAnsi="黑体" w:eastAsia="黑体"/>
          <w:color w:val="000000"/>
          <w:sz w:val="32"/>
          <w:szCs w:val="32"/>
        </w:rPr>
        <w:t>第三章 采购需求</w:t>
      </w:r>
      <w:bookmarkEnd w:id="27"/>
      <w:bookmarkEnd w:id="28"/>
      <w:bookmarkEnd w:id="29"/>
      <w:bookmarkStart w:id="30" w:name="_Toc448948634"/>
    </w:p>
    <w:bookmarkEnd w:id="30"/>
    <w:p w14:paraId="5FFE8F6A">
      <w:pPr>
        <w:spacing w:line="440" w:lineRule="exact"/>
        <w:ind w:firstLine="422" w:firstLineChars="200"/>
        <w:rPr>
          <w:rFonts w:hint="eastAsia" w:ascii="宋体" w:hAnsi="宋体" w:eastAsia="宋体" w:cs="宋体"/>
          <w:b/>
          <w:bCs/>
          <w:color w:val="000000"/>
          <w:lang w:eastAsia="zh-CN"/>
        </w:rPr>
      </w:pPr>
      <w:r>
        <w:rPr>
          <w:rFonts w:hint="eastAsia" w:ascii="宋体" w:hAnsi="宋体" w:cs="宋体"/>
          <w:b/>
          <w:bCs/>
          <w:color w:val="000000"/>
        </w:rPr>
        <w:t>一、项目名称：</w:t>
      </w:r>
      <w:r>
        <w:rPr>
          <w:rFonts w:hint="eastAsia"/>
          <w:color w:val="000000"/>
          <w:szCs w:val="21"/>
          <w:lang w:eastAsia="zh-CN"/>
        </w:rPr>
        <w:t>永定区青安坪水厂胡家坡村管网延伸供水工程</w:t>
      </w:r>
    </w:p>
    <w:p w14:paraId="46642FDD">
      <w:pPr>
        <w:spacing w:line="440" w:lineRule="exact"/>
        <w:ind w:firstLine="422" w:firstLineChars="200"/>
        <w:rPr>
          <w:color w:val="000000"/>
        </w:rPr>
      </w:pPr>
      <w:r>
        <w:rPr>
          <w:rFonts w:hint="eastAsia" w:ascii="宋体" w:hAnsi="宋体" w:cs="宋体"/>
          <w:b/>
          <w:bCs/>
          <w:color w:val="000000"/>
        </w:rPr>
        <w:t>二、工程条件</w:t>
      </w:r>
      <w:r>
        <w:rPr>
          <w:rFonts w:ascii="宋体" w:hAnsi="宋体" w:cs="宋体"/>
          <w:b/>
          <w:bCs/>
          <w:color w:val="000000"/>
        </w:rPr>
        <w:t>:</w:t>
      </w:r>
      <w:r>
        <w:rPr>
          <w:rFonts w:hint="eastAsia"/>
          <w:color w:val="000000"/>
          <w:szCs w:val="21"/>
        </w:rPr>
        <w:t>已具备施工条件</w:t>
      </w:r>
    </w:p>
    <w:p w14:paraId="2E5A1AD0">
      <w:pPr>
        <w:widowControl/>
        <w:spacing w:line="440" w:lineRule="exact"/>
        <w:ind w:firstLine="413" w:firstLineChars="196"/>
        <w:rPr>
          <w:rFonts w:ascii="宋体"/>
          <w:b/>
          <w:bCs/>
          <w:color w:val="auto"/>
        </w:rPr>
      </w:pPr>
      <w:bookmarkStart w:id="31" w:name="_Hlk531875343"/>
      <w:r>
        <w:rPr>
          <w:rFonts w:hint="eastAsia" w:ascii="宋体" w:hAnsi="宋体" w:cs="宋体"/>
          <w:b/>
          <w:bCs/>
          <w:color w:val="000000"/>
        </w:rPr>
        <w:t>三、工程基</w:t>
      </w:r>
      <w:r>
        <w:rPr>
          <w:rFonts w:hint="eastAsia" w:ascii="宋体" w:hAnsi="宋体" w:cs="宋体"/>
          <w:b/>
          <w:bCs/>
          <w:color w:val="auto"/>
        </w:rPr>
        <w:t>本情况</w:t>
      </w:r>
    </w:p>
    <w:p w14:paraId="3C64D05C">
      <w:pPr>
        <w:widowControl/>
        <w:spacing w:line="440" w:lineRule="exact"/>
        <w:ind w:firstLine="420" w:firstLineChars="200"/>
        <w:rPr>
          <w:rFonts w:hint="eastAsia"/>
          <w:color w:val="auto"/>
          <w:kern w:val="2"/>
          <w:sz w:val="21"/>
        </w:rPr>
      </w:pPr>
      <w:r>
        <w:rPr>
          <w:rFonts w:hint="eastAsia"/>
          <w:color w:val="auto"/>
          <w:kern w:val="2"/>
          <w:sz w:val="21"/>
        </w:rPr>
        <w:t>本项目位</w:t>
      </w:r>
      <w:r>
        <w:rPr>
          <w:rFonts w:hint="eastAsia"/>
          <w:color w:val="auto"/>
          <w:szCs w:val="21"/>
          <w:lang w:eastAsia="zh-CN"/>
        </w:rPr>
        <w:t>永定区青安坪水厂胡家坡村管网延伸供水工程</w:t>
      </w:r>
      <w:r>
        <w:rPr>
          <w:rFonts w:hint="eastAsia"/>
          <w:color w:val="auto"/>
          <w:kern w:val="2"/>
          <w:sz w:val="21"/>
        </w:rPr>
        <w:t>。主要施工内容</w:t>
      </w:r>
      <w:r>
        <w:rPr>
          <w:rFonts w:hint="eastAsia"/>
          <w:color w:val="auto"/>
          <w:kern w:val="2"/>
          <w:sz w:val="21"/>
          <w:lang w:eastAsia="zh-CN"/>
        </w:rPr>
        <w:t>详见工程量清单</w:t>
      </w:r>
      <w:r>
        <w:rPr>
          <w:rFonts w:hint="eastAsia"/>
          <w:color w:val="auto"/>
          <w:kern w:val="2"/>
          <w:sz w:val="21"/>
        </w:rPr>
        <w:t>。项目资金来源为</w:t>
      </w:r>
      <w:r>
        <w:rPr>
          <w:rFonts w:hint="eastAsia"/>
          <w:color w:val="auto"/>
          <w:kern w:val="2"/>
          <w:sz w:val="21"/>
          <w:lang w:val="en-US" w:eastAsia="zh-CN"/>
        </w:rPr>
        <w:t>省级补助资金</w:t>
      </w:r>
      <w:r>
        <w:rPr>
          <w:rFonts w:hint="eastAsia"/>
          <w:color w:val="auto"/>
          <w:kern w:val="2"/>
          <w:sz w:val="21"/>
        </w:rPr>
        <w:t>。</w:t>
      </w:r>
    </w:p>
    <w:p w14:paraId="090663A8">
      <w:pPr>
        <w:widowControl/>
        <w:spacing w:line="440" w:lineRule="exact"/>
        <w:ind w:firstLine="422" w:firstLineChars="200"/>
        <w:rPr>
          <w:rFonts w:ascii="宋体"/>
          <w:b/>
          <w:bCs/>
          <w:color w:val="auto"/>
        </w:rPr>
      </w:pPr>
      <w:r>
        <w:rPr>
          <w:rFonts w:hint="eastAsia" w:ascii="宋体" w:hAnsi="宋体" w:cs="宋体"/>
          <w:b/>
          <w:bCs/>
          <w:color w:val="auto"/>
        </w:rPr>
        <w:t>（一）工期要求</w:t>
      </w:r>
    </w:p>
    <w:p w14:paraId="7AB2C921">
      <w:pPr>
        <w:adjustRightInd w:val="0"/>
        <w:snapToGrid w:val="0"/>
        <w:spacing w:line="440" w:lineRule="exact"/>
        <w:ind w:firstLine="420" w:firstLineChars="200"/>
        <w:rPr>
          <w:rFonts w:ascii="宋体"/>
          <w:b/>
          <w:bCs/>
          <w:color w:val="auto"/>
        </w:rPr>
      </w:pPr>
      <w:r>
        <w:rPr>
          <w:rFonts w:hint="eastAsia" w:ascii="宋体" w:hAnsi="宋体" w:cs="宋体"/>
          <w:color w:val="auto"/>
        </w:rPr>
        <w:t>合同签订后</w:t>
      </w:r>
      <w:r>
        <w:rPr>
          <w:rFonts w:hint="eastAsia" w:ascii="宋体" w:hAnsi="宋体" w:cs="宋体"/>
          <w:color w:val="auto"/>
          <w:lang w:val="en-US" w:eastAsia="zh-CN"/>
        </w:rPr>
        <w:t>90</w:t>
      </w:r>
      <w:r>
        <w:rPr>
          <w:rFonts w:hint="eastAsia" w:ascii="宋体" w:hAnsi="宋体" w:cs="宋体"/>
          <w:color w:val="auto"/>
        </w:rPr>
        <w:t>日历天内完工。</w:t>
      </w:r>
    </w:p>
    <w:p w14:paraId="6C90AF2D">
      <w:pPr>
        <w:adjustRightInd w:val="0"/>
        <w:snapToGrid w:val="0"/>
        <w:spacing w:line="440" w:lineRule="exact"/>
        <w:ind w:firstLine="422" w:firstLineChars="200"/>
        <w:rPr>
          <w:rFonts w:ascii="宋体"/>
          <w:b/>
          <w:bCs/>
          <w:color w:val="auto"/>
        </w:rPr>
      </w:pPr>
      <w:r>
        <w:rPr>
          <w:rFonts w:hint="eastAsia" w:ascii="宋体" w:hAnsi="宋体" w:cs="宋体"/>
          <w:b/>
          <w:bCs/>
          <w:color w:val="auto"/>
        </w:rPr>
        <w:t>（二）项目实施要求（含材料运输保管保险、施工要求、验收要求、质量保证等）</w:t>
      </w:r>
    </w:p>
    <w:p w14:paraId="5B4C9B39">
      <w:pPr>
        <w:spacing w:line="440" w:lineRule="exact"/>
        <w:ind w:left="568" w:leftChars="174" w:hanging="203" w:hangingChars="97"/>
        <w:rPr>
          <w:rFonts w:ascii="宋体"/>
          <w:color w:val="auto"/>
        </w:rPr>
      </w:pPr>
      <w:r>
        <w:rPr>
          <w:rFonts w:ascii="宋体" w:hAnsi="宋体" w:cs="宋体"/>
          <w:color w:val="auto"/>
        </w:rPr>
        <w:t xml:space="preserve">1. </w:t>
      </w:r>
      <w:r>
        <w:rPr>
          <w:rFonts w:hint="eastAsia" w:ascii="宋体" w:hAnsi="宋体" w:cs="宋体"/>
          <w:color w:val="auto"/>
        </w:rPr>
        <w:t>建筑材料运输、保险及保管</w:t>
      </w:r>
    </w:p>
    <w:p w14:paraId="71FA4E6E">
      <w:pPr>
        <w:spacing w:line="440" w:lineRule="exact"/>
        <w:ind w:left="568" w:leftChars="174" w:hanging="203" w:hangingChars="97"/>
        <w:rPr>
          <w:rFonts w:ascii="宋体"/>
          <w:color w:val="000000"/>
        </w:rPr>
      </w:pPr>
      <w:r>
        <w:rPr>
          <w:rFonts w:ascii="宋体" w:hAnsi="宋体" w:cs="宋体"/>
          <w:color w:val="000000"/>
        </w:rPr>
        <w:t xml:space="preserve">1.1  </w:t>
      </w:r>
      <w:r>
        <w:rPr>
          <w:rFonts w:hint="eastAsia" w:ascii="宋体" w:hAnsi="宋体" w:cs="宋体"/>
          <w:color w:val="000000"/>
        </w:rPr>
        <w:t>成交人负责建筑材料到施工地点的全部运输，包括装卸及现场搬运等。</w:t>
      </w:r>
    </w:p>
    <w:p w14:paraId="5058A5F6">
      <w:pPr>
        <w:spacing w:line="440" w:lineRule="exact"/>
        <w:ind w:left="568" w:leftChars="174" w:hanging="203" w:hangingChars="97"/>
        <w:rPr>
          <w:rFonts w:ascii="宋体"/>
          <w:color w:val="000000"/>
        </w:rPr>
      </w:pPr>
      <w:r>
        <w:rPr>
          <w:rFonts w:ascii="宋体" w:hAnsi="宋体" w:cs="宋体"/>
          <w:color w:val="000000"/>
        </w:rPr>
        <w:t xml:space="preserve">1.2  </w:t>
      </w:r>
      <w:r>
        <w:rPr>
          <w:rFonts w:hint="eastAsia" w:ascii="宋体" w:hAnsi="宋体" w:cs="宋体"/>
          <w:color w:val="000000"/>
        </w:rPr>
        <w:t>成交人负责建筑材料在施工地点的保管，直至项目验收合格。</w:t>
      </w:r>
    </w:p>
    <w:p w14:paraId="03FD82A7">
      <w:pPr>
        <w:spacing w:line="440" w:lineRule="exact"/>
        <w:ind w:left="568" w:leftChars="174" w:hanging="203" w:hangingChars="97"/>
        <w:rPr>
          <w:rFonts w:ascii="宋体" w:hAnsi="宋体" w:cs="宋体"/>
          <w:color w:val="000000"/>
        </w:rPr>
      </w:pPr>
      <w:r>
        <w:rPr>
          <w:rFonts w:ascii="宋体" w:hAnsi="宋体" w:cs="宋体"/>
          <w:color w:val="000000"/>
        </w:rPr>
        <w:t xml:space="preserve">1.3  </w:t>
      </w:r>
      <w:r>
        <w:rPr>
          <w:rFonts w:hint="eastAsia" w:ascii="宋体" w:hAnsi="宋体" w:cs="宋体"/>
          <w:color w:val="000000"/>
        </w:rPr>
        <w:t>成交人负责其派出的施工人员的人身意外保险。</w:t>
      </w:r>
    </w:p>
    <w:p w14:paraId="41B60DCE">
      <w:pPr>
        <w:spacing w:line="440" w:lineRule="exact"/>
        <w:ind w:left="568" w:leftChars="174" w:hanging="203" w:hangingChars="97"/>
        <w:rPr>
          <w:rFonts w:ascii="宋体"/>
          <w:color w:val="000000"/>
        </w:rPr>
      </w:pPr>
      <w:r>
        <w:rPr>
          <w:rFonts w:ascii="宋体" w:hAnsi="宋体" w:cs="宋体"/>
          <w:color w:val="000000"/>
        </w:rPr>
        <w:t xml:space="preserve">1.4  </w:t>
      </w:r>
      <w:r>
        <w:rPr>
          <w:rFonts w:hint="eastAsia" w:ascii="宋体" w:hAnsi="宋体" w:cs="宋体"/>
          <w:color w:val="000000"/>
        </w:rPr>
        <w:t>成交人负责保护好施工场地的各类设施及绿化。</w:t>
      </w:r>
    </w:p>
    <w:p w14:paraId="6A8F75EC">
      <w:pPr>
        <w:spacing w:line="440" w:lineRule="exact"/>
        <w:ind w:firstLine="420" w:firstLineChars="200"/>
        <w:rPr>
          <w:rFonts w:ascii="宋体"/>
          <w:color w:val="000000"/>
        </w:rPr>
      </w:pPr>
      <w:r>
        <w:rPr>
          <w:rFonts w:ascii="宋体" w:hAnsi="宋体" w:cs="宋体"/>
          <w:color w:val="000000"/>
        </w:rPr>
        <w:t>2</w:t>
      </w:r>
      <w:r>
        <w:rPr>
          <w:rFonts w:hint="eastAsia" w:ascii="宋体" w:hAnsi="宋体" w:cs="宋体"/>
          <w:color w:val="000000"/>
        </w:rPr>
        <w:t>、施工要求</w:t>
      </w:r>
    </w:p>
    <w:p w14:paraId="5498F5ED">
      <w:pPr>
        <w:spacing w:line="440" w:lineRule="exact"/>
        <w:ind w:firstLine="420" w:firstLineChars="200"/>
        <w:rPr>
          <w:rFonts w:ascii="宋体"/>
          <w:color w:val="000000"/>
        </w:rPr>
      </w:pPr>
      <w:r>
        <w:rPr>
          <w:rFonts w:ascii="宋体" w:hAnsi="宋体" w:cs="宋体"/>
          <w:color w:val="000000"/>
        </w:rPr>
        <w:t xml:space="preserve">2.1  </w:t>
      </w:r>
      <w:r>
        <w:rPr>
          <w:rFonts w:hint="eastAsia" w:ascii="宋体" w:hAnsi="宋体" w:cs="宋体"/>
          <w:color w:val="000000"/>
        </w:rPr>
        <w:t>成交人须加强施工的组织管理，所有施工人员须遵守文明安全施工的有关规章制度，持证上岗。施工期间，应接受采购人及监理工程师的监督管理，遵守有关规定。</w:t>
      </w:r>
    </w:p>
    <w:p w14:paraId="7AA857A6">
      <w:pPr>
        <w:spacing w:line="440" w:lineRule="exact"/>
        <w:ind w:firstLine="420" w:firstLineChars="200"/>
        <w:rPr>
          <w:rFonts w:ascii="宋体"/>
          <w:color w:val="000000"/>
        </w:rPr>
      </w:pPr>
      <w:r>
        <w:rPr>
          <w:rFonts w:ascii="宋体" w:hAnsi="宋体" w:cs="宋体"/>
          <w:color w:val="000000"/>
        </w:rPr>
        <w:t xml:space="preserve">2.2  </w:t>
      </w:r>
      <w:r>
        <w:rPr>
          <w:rFonts w:hint="eastAsia" w:ascii="宋体" w:hAnsi="宋体" w:cs="宋体"/>
          <w:color w:val="000000"/>
        </w:rPr>
        <w:t>工程竣工验收后，成交人应在</w:t>
      </w:r>
      <w:r>
        <w:rPr>
          <w:rFonts w:ascii="宋体" w:hAnsi="宋体" w:cs="宋体"/>
          <w:color w:val="000000"/>
        </w:rPr>
        <w:t>30</w:t>
      </w:r>
      <w:r>
        <w:rPr>
          <w:rFonts w:hint="eastAsia" w:ascii="宋体" w:hAnsi="宋体" w:cs="宋体"/>
          <w:color w:val="000000"/>
        </w:rPr>
        <w:t>天内提交完整齐备的工程竣工资料和验收资料装整成册交采购人贰套存档，并必须保证所有归档资料的真实性。</w:t>
      </w:r>
    </w:p>
    <w:p w14:paraId="48B91708">
      <w:pPr>
        <w:spacing w:line="440" w:lineRule="exact"/>
        <w:ind w:firstLine="420" w:firstLineChars="200"/>
        <w:rPr>
          <w:rFonts w:ascii="宋体"/>
          <w:color w:val="000000"/>
        </w:rPr>
      </w:pPr>
      <w:r>
        <w:rPr>
          <w:rFonts w:ascii="宋体" w:hAnsi="宋体" w:cs="宋体"/>
          <w:color w:val="000000"/>
        </w:rPr>
        <w:t>3</w:t>
      </w:r>
      <w:r>
        <w:rPr>
          <w:rFonts w:hint="eastAsia" w:ascii="宋体" w:hAnsi="宋体" w:cs="宋体"/>
          <w:color w:val="000000"/>
        </w:rPr>
        <w:t>、验收要求</w:t>
      </w:r>
    </w:p>
    <w:p w14:paraId="1CFF5B4C">
      <w:pPr>
        <w:spacing w:line="440" w:lineRule="exact"/>
        <w:ind w:firstLine="420" w:firstLineChars="200"/>
        <w:rPr>
          <w:rFonts w:ascii="宋体"/>
          <w:color w:val="000000"/>
        </w:rPr>
      </w:pPr>
      <w:r>
        <w:rPr>
          <w:rFonts w:ascii="宋体" w:hAnsi="宋体" w:cs="宋体"/>
          <w:color w:val="000000"/>
        </w:rPr>
        <w:t xml:space="preserve">3.1  </w:t>
      </w:r>
      <w:r>
        <w:rPr>
          <w:rFonts w:hint="eastAsia" w:ascii="宋体" w:hAnsi="宋体" w:cs="宋体"/>
          <w:color w:val="000000"/>
        </w:rPr>
        <w:t>项目验收国家有强制性规定的，按国家规定执行，验收费用由成交供应商承担，验收报告作为申请付款的凭证之一。</w:t>
      </w:r>
    </w:p>
    <w:p w14:paraId="3DCF1E60">
      <w:pPr>
        <w:spacing w:line="440" w:lineRule="exact"/>
        <w:ind w:firstLine="420" w:firstLineChars="200"/>
        <w:rPr>
          <w:rFonts w:ascii="宋体"/>
          <w:color w:val="000000"/>
        </w:rPr>
      </w:pPr>
      <w:r>
        <w:rPr>
          <w:rFonts w:ascii="宋体" w:hAnsi="宋体" w:cs="宋体"/>
          <w:color w:val="000000"/>
        </w:rPr>
        <w:t xml:space="preserve">3.2  </w:t>
      </w:r>
      <w:r>
        <w:rPr>
          <w:rFonts w:hint="eastAsia" w:ascii="宋体" w:hAnsi="宋体" w:cs="宋体"/>
          <w:color w:val="000000"/>
        </w:rPr>
        <w:t>验收过程中产生纠纷的，由质量技术监督部门认定的检测机构检测</w:t>
      </w:r>
      <w:r>
        <w:rPr>
          <w:rFonts w:ascii="宋体" w:cs="宋体"/>
          <w:color w:val="000000"/>
        </w:rPr>
        <w:t>,</w:t>
      </w:r>
      <w:r>
        <w:rPr>
          <w:rFonts w:hint="eastAsia" w:ascii="宋体" w:hAnsi="宋体" w:cs="宋体"/>
          <w:color w:val="000000"/>
        </w:rPr>
        <w:t>如为成交供应商原因造成的，由成交供应商承担检测费用；否则，由采购人承担。</w:t>
      </w:r>
    </w:p>
    <w:p w14:paraId="08728DF9">
      <w:pPr>
        <w:spacing w:line="440" w:lineRule="exact"/>
        <w:ind w:firstLine="420" w:firstLineChars="200"/>
        <w:rPr>
          <w:rFonts w:ascii="宋体" w:hAnsi="宋体" w:cs="宋体"/>
          <w:color w:val="000000"/>
        </w:rPr>
      </w:pPr>
      <w:r>
        <w:rPr>
          <w:rFonts w:ascii="宋体" w:hAnsi="宋体" w:cs="宋体"/>
          <w:color w:val="000000"/>
        </w:rPr>
        <w:t xml:space="preserve">3.3  </w:t>
      </w:r>
      <w:r>
        <w:rPr>
          <w:rFonts w:hint="eastAsia" w:ascii="宋体" w:hAnsi="宋体" w:cs="宋体"/>
          <w:color w:val="000000"/>
        </w:rPr>
        <w:t>项目验收不合格，由成交供应商返工直至合格，有关返工、再行验收，以及给采购人造成的损失等费用由成交供应商承担。连续两次项目验收不合格的，采购人可终止合同，另行按规定选择其他供应商采购，由此带来的一切损失由成交供应商承担。</w:t>
      </w:r>
    </w:p>
    <w:p w14:paraId="686EC548">
      <w:pPr>
        <w:spacing w:line="440" w:lineRule="exact"/>
        <w:ind w:firstLine="420" w:firstLineChars="200"/>
        <w:rPr>
          <w:rFonts w:ascii="宋体"/>
          <w:color w:val="000000"/>
        </w:rPr>
      </w:pPr>
      <w:r>
        <w:rPr>
          <w:rFonts w:ascii="宋体" w:hAnsi="宋体" w:cs="宋体"/>
          <w:color w:val="000000"/>
        </w:rPr>
        <w:t xml:space="preserve">3.4  </w:t>
      </w:r>
      <w:r>
        <w:rPr>
          <w:rFonts w:hint="eastAsia" w:ascii="宋体" w:hAnsi="宋体" w:cs="宋体"/>
          <w:color w:val="000000"/>
        </w:rPr>
        <w:t>采购人组织验收活动，</w:t>
      </w:r>
      <w:r>
        <w:rPr>
          <w:rFonts w:hint="eastAsia" w:cs="宋体"/>
        </w:rPr>
        <w:t>按合同确定的施工项目内容、数量组织验收</w:t>
      </w:r>
      <w:r>
        <w:rPr>
          <w:rFonts w:hint="eastAsia" w:ascii="宋体" w:hAnsi="宋体" w:cs="宋体"/>
          <w:color w:val="000000"/>
        </w:rPr>
        <w:t>。</w:t>
      </w:r>
    </w:p>
    <w:p w14:paraId="351A6700">
      <w:pPr>
        <w:spacing w:line="440" w:lineRule="exact"/>
        <w:ind w:firstLine="420" w:firstLineChars="200"/>
        <w:rPr>
          <w:rFonts w:ascii="宋体"/>
          <w:color w:val="000000"/>
        </w:rPr>
      </w:pPr>
      <w:r>
        <w:rPr>
          <w:rFonts w:ascii="宋体" w:hAnsi="宋体" w:cs="宋体"/>
          <w:color w:val="000000"/>
        </w:rPr>
        <w:t>4</w:t>
      </w:r>
      <w:r>
        <w:rPr>
          <w:rFonts w:hint="eastAsia" w:ascii="宋体" w:hAnsi="宋体" w:cs="宋体"/>
          <w:color w:val="000000"/>
        </w:rPr>
        <w:t>、质量保证</w:t>
      </w:r>
    </w:p>
    <w:p w14:paraId="786A825C">
      <w:pPr>
        <w:spacing w:line="440" w:lineRule="exact"/>
        <w:ind w:firstLine="420" w:firstLineChars="200"/>
        <w:rPr>
          <w:rFonts w:hint="eastAsia" w:ascii="宋体" w:hAnsi="宋体" w:cs="宋体"/>
          <w:color w:val="000000"/>
        </w:rPr>
      </w:pPr>
      <w:r>
        <w:rPr>
          <w:rFonts w:ascii="宋体" w:hAnsi="宋体" w:cs="宋体"/>
          <w:color w:val="000000"/>
          <w:szCs w:val="21"/>
        </w:rPr>
        <w:t xml:space="preserve">4.1 </w:t>
      </w:r>
      <w:r>
        <w:rPr>
          <w:rFonts w:hint="eastAsia" w:ascii="宋体" w:hAnsi="宋体" w:cs="宋体"/>
          <w:color w:val="000000"/>
        </w:rPr>
        <w:t>质量要求：达到《工程施工质量验收规范》的合格标准</w:t>
      </w:r>
    </w:p>
    <w:p w14:paraId="7592359B">
      <w:pPr>
        <w:spacing w:line="440" w:lineRule="exact"/>
        <w:ind w:firstLine="420" w:firstLineChars="200"/>
        <w:rPr>
          <w:rFonts w:hint="eastAsia" w:ascii="宋体" w:hAnsi="宋体" w:eastAsia="宋体" w:cs="宋体"/>
          <w:color w:val="000000"/>
        </w:rPr>
      </w:pPr>
      <w:r>
        <w:rPr>
          <w:rFonts w:hint="eastAsia" w:ascii="宋体" w:hAnsi="宋体" w:eastAsia="宋体" w:cs="宋体"/>
          <w:color w:val="auto"/>
          <w:szCs w:val="21"/>
          <w:lang w:val="en-US" w:eastAsia="zh-CN"/>
        </w:rPr>
        <w:t>4.2缺陷责任期：24个月</w:t>
      </w:r>
    </w:p>
    <w:bookmarkEnd w:id="31"/>
    <w:p w14:paraId="27D77F3A">
      <w:pPr>
        <w:spacing w:line="440" w:lineRule="exact"/>
        <w:ind w:firstLine="420"/>
        <w:rPr>
          <w:rFonts w:ascii="宋体" w:hAnsi="宋体" w:cs="宋体"/>
          <w:color w:val="000000"/>
        </w:rPr>
      </w:pPr>
      <w:r>
        <w:rPr>
          <w:rFonts w:hint="eastAsia" w:ascii="宋体" w:hAnsi="宋体" w:cs="宋体"/>
          <w:b/>
          <w:bCs/>
          <w:color w:val="000000"/>
        </w:rPr>
        <w:t>四、工程承包范围</w:t>
      </w:r>
      <w:r>
        <w:rPr>
          <w:rFonts w:ascii="宋体" w:hAnsi="宋体" w:cs="宋体"/>
          <w:b/>
          <w:bCs/>
          <w:color w:val="000000"/>
        </w:rPr>
        <w:t xml:space="preserve">: </w:t>
      </w:r>
      <w:r>
        <w:rPr>
          <w:rFonts w:hint="eastAsia" w:ascii="宋体" w:hAnsi="宋体" w:cs="宋体"/>
          <w:color w:val="000000"/>
        </w:rPr>
        <w:t>工程量清单和施工图纸包含的全部内容。</w:t>
      </w:r>
    </w:p>
    <w:p w14:paraId="1CABA5F0">
      <w:pPr>
        <w:spacing w:line="440" w:lineRule="exact"/>
        <w:ind w:firstLine="422" w:firstLineChars="200"/>
        <w:rPr>
          <w:rFonts w:ascii="宋体" w:hAnsi="宋体" w:cs="宋体"/>
          <w:b/>
          <w:bCs/>
          <w:color w:val="auto"/>
        </w:rPr>
      </w:pPr>
      <w:r>
        <w:rPr>
          <w:rFonts w:hint="eastAsia" w:ascii="宋体" w:hAnsi="宋体" w:cs="宋体"/>
          <w:b/>
          <w:bCs/>
          <w:color w:val="000000"/>
        </w:rPr>
        <w:t>五、工程竣工结算</w:t>
      </w:r>
    </w:p>
    <w:p w14:paraId="61C82B3F">
      <w:pPr>
        <w:spacing w:line="440" w:lineRule="exact"/>
        <w:ind w:firstLine="420" w:firstLineChars="200"/>
        <w:rPr>
          <w:rFonts w:ascii="宋体" w:hAnsi="宋体" w:cs="宋体"/>
          <w:color w:val="auto"/>
        </w:rPr>
      </w:pPr>
      <w:r>
        <w:rPr>
          <w:rFonts w:hint="eastAsia" w:ascii="宋体" w:hAnsi="宋体" w:cs="宋体"/>
          <w:color w:val="auto"/>
        </w:rPr>
        <w:t>5.1工程竣工后双方应及时办理工程结算，成交供应商应积极配合。</w:t>
      </w:r>
    </w:p>
    <w:p w14:paraId="52C322A8">
      <w:pPr>
        <w:spacing w:line="440" w:lineRule="exact"/>
        <w:ind w:firstLine="420" w:firstLineChars="200"/>
        <w:rPr>
          <w:rFonts w:ascii="宋体" w:hAnsi="宋体" w:cs="宋体"/>
          <w:color w:val="auto"/>
        </w:rPr>
      </w:pPr>
      <w:r>
        <w:rPr>
          <w:rFonts w:hint="eastAsia" w:ascii="宋体" w:hAnsi="宋体" w:cs="宋体"/>
          <w:color w:val="auto"/>
        </w:rPr>
        <w:t>5.2结算综合单价=首轮清单报价综合单价×（最后报价总价÷首轮报价总价）。</w:t>
      </w:r>
    </w:p>
    <w:p w14:paraId="649BC2AE">
      <w:pPr>
        <w:adjustRightInd w:val="0"/>
        <w:snapToGrid w:val="0"/>
        <w:spacing w:line="360" w:lineRule="auto"/>
        <w:rPr>
          <w:rFonts w:hint="eastAsia" w:eastAsia="宋体"/>
          <w:b/>
          <w:bCs/>
          <w:color w:val="auto"/>
          <w:szCs w:val="21"/>
          <w:lang w:eastAsia="zh-CN"/>
        </w:rPr>
      </w:pPr>
      <w:r>
        <w:rPr>
          <w:rFonts w:hint="eastAsia" w:ascii="宋体" w:hAnsi="宋体" w:cs="宋体"/>
          <w:color w:val="auto"/>
        </w:rPr>
        <w:t>5.3付款方式：</w:t>
      </w:r>
      <w:r>
        <w:rPr>
          <w:rFonts w:hint="eastAsia" w:eastAsia="宋体"/>
          <w:b/>
          <w:bCs/>
          <w:color w:val="auto"/>
          <w:szCs w:val="21"/>
          <w:lang w:eastAsia="zh-CN"/>
        </w:rPr>
        <w:t>（1）预付款支付比例为合同金额的30%；（2）按工程进度支付工程款，完成</w:t>
      </w:r>
      <w:r>
        <w:rPr>
          <w:rFonts w:hint="eastAsia" w:ascii="Times New Roman" w:eastAsia="宋体"/>
          <w:b/>
          <w:bCs/>
          <w:color w:val="auto"/>
          <w:szCs w:val="21"/>
          <w:lang w:val="en-US" w:eastAsia="zh-CN"/>
        </w:rPr>
        <w:t>40</w:t>
      </w:r>
      <w:r>
        <w:rPr>
          <w:rFonts w:hint="eastAsia" w:eastAsia="宋体"/>
          <w:b/>
          <w:bCs/>
          <w:color w:val="auto"/>
          <w:szCs w:val="21"/>
          <w:lang w:eastAsia="zh-CN"/>
        </w:rPr>
        <w:t>%的工程量，付至已完成量的合同价80%，完成</w:t>
      </w:r>
      <w:r>
        <w:rPr>
          <w:rFonts w:hint="eastAsia" w:ascii="Times New Roman" w:eastAsia="宋体"/>
          <w:b/>
          <w:bCs/>
          <w:color w:val="auto"/>
          <w:szCs w:val="21"/>
          <w:lang w:val="en-US" w:eastAsia="zh-CN"/>
        </w:rPr>
        <w:t>70</w:t>
      </w:r>
      <w:r>
        <w:rPr>
          <w:rFonts w:hint="eastAsia" w:eastAsia="宋体"/>
          <w:b/>
          <w:bCs/>
          <w:color w:val="auto"/>
          <w:szCs w:val="21"/>
          <w:lang w:eastAsia="zh-CN"/>
        </w:rPr>
        <w:t>%的工程量，付至已完成量的合同价80%，完成100%的工程量，付至已完成量的合同价80%；竣工验收合格后付至已完工程价款的85%，完成工程结算审核后由承包人提交付款申请及相关资料，支付至结算总价的97% ；剩余款项为质保金。(3)结算总价的3%作为质保金，缺陷责任期24个月。发包人在整体工程竣工验收合格满两年后经发包人核实无质量问题付清(不计利息) 。</w:t>
      </w:r>
    </w:p>
    <w:p w14:paraId="49B81F70">
      <w:pPr>
        <w:spacing w:line="440" w:lineRule="exact"/>
        <w:ind w:firstLine="422" w:firstLineChars="200"/>
        <w:rPr>
          <w:rFonts w:hint="eastAsia" w:eastAsia="宋体"/>
          <w:b/>
          <w:bCs/>
          <w:color w:val="auto"/>
          <w:szCs w:val="21"/>
          <w:lang w:val="en-US" w:eastAsia="zh-CN"/>
        </w:rPr>
      </w:pPr>
      <w:r>
        <w:rPr>
          <w:rFonts w:hint="eastAsia"/>
          <w:b/>
          <w:bCs/>
          <w:color w:val="auto"/>
          <w:szCs w:val="21"/>
          <w:lang w:val="en-US" w:eastAsia="zh-CN"/>
        </w:rPr>
        <w:t>5.4预付款的扣除：从第一次支付工程进度款时一次性扣回。</w:t>
      </w:r>
    </w:p>
    <w:p w14:paraId="4E022CBA">
      <w:pPr>
        <w:spacing w:line="440" w:lineRule="exact"/>
        <w:ind w:firstLine="422" w:firstLineChars="200"/>
        <w:rPr>
          <w:rFonts w:ascii="宋体" w:hAnsi="宋体" w:cs="宋体"/>
          <w:b/>
          <w:bCs/>
          <w:color w:val="auto"/>
        </w:rPr>
      </w:pPr>
      <w:r>
        <w:rPr>
          <w:rFonts w:hint="eastAsia" w:ascii="宋体" w:hAnsi="宋体" w:cs="宋体"/>
          <w:b/>
          <w:bCs/>
          <w:color w:val="auto"/>
        </w:rPr>
        <w:t>六、其它需要说明的事项</w:t>
      </w:r>
    </w:p>
    <w:p w14:paraId="423E345F">
      <w:pPr>
        <w:spacing w:line="440" w:lineRule="exact"/>
        <w:rPr>
          <w:rFonts w:ascii="宋体" w:hAnsi="宋体" w:cs="宋体"/>
          <w:b/>
          <w:bCs/>
          <w:color w:val="000000"/>
          <w:szCs w:val="21"/>
        </w:rPr>
      </w:pPr>
      <w:r>
        <w:rPr>
          <w:rFonts w:hint="eastAsia" w:ascii="宋体" w:hAnsi="宋体" w:cs="宋体"/>
          <w:b/>
          <w:bCs/>
          <w:color w:val="000000"/>
          <w:szCs w:val="21"/>
        </w:rPr>
        <w:t>注意：对本次采购涉及有关国家或省内有最新的法规或政策文件出台的，按最新的政策执行。</w:t>
      </w:r>
    </w:p>
    <w:p w14:paraId="7D3F272F">
      <w:pPr>
        <w:jc w:val="left"/>
        <w:rPr>
          <w:rFonts w:ascii="宋体" w:hAnsi="宋体" w:cs="宋体"/>
          <w:b/>
          <w:bCs/>
          <w:color w:val="000000"/>
          <w:szCs w:val="21"/>
        </w:rPr>
      </w:pPr>
    </w:p>
    <w:p w14:paraId="62F3EE60">
      <w:pPr>
        <w:rPr>
          <w:color w:val="000000"/>
        </w:rPr>
      </w:pPr>
    </w:p>
    <w:p w14:paraId="39098ABA">
      <w:pPr>
        <w:pStyle w:val="45"/>
        <w:ind w:left="0" w:leftChars="0" w:firstLine="0" w:firstLineChars="0"/>
        <w:rPr>
          <w:color w:val="000000"/>
        </w:rPr>
      </w:pPr>
    </w:p>
    <w:p w14:paraId="49A06478">
      <w:pPr>
        <w:rPr>
          <w:rFonts w:hint="eastAsia" w:ascii="黑体" w:hAnsi="黑体" w:eastAsia="黑体"/>
          <w:color w:val="000000"/>
          <w:sz w:val="28"/>
          <w:szCs w:val="28"/>
        </w:rPr>
      </w:pPr>
      <w:r>
        <w:rPr>
          <w:rFonts w:hint="eastAsia" w:ascii="黑体" w:hAnsi="黑体" w:eastAsia="黑体"/>
          <w:color w:val="000000"/>
          <w:sz w:val="28"/>
          <w:szCs w:val="28"/>
        </w:rPr>
        <w:br w:type="page"/>
      </w:r>
    </w:p>
    <w:p w14:paraId="203379C4">
      <w:pPr>
        <w:jc w:val="center"/>
        <w:rPr>
          <w:rFonts w:ascii="黑体" w:hAnsi="黑体" w:eastAsia="黑体"/>
          <w:color w:val="000000"/>
          <w:sz w:val="28"/>
          <w:szCs w:val="28"/>
        </w:rPr>
      </w:pPr>
      <w:r>
        <w:rPr>
          <w:rFonts w:hint="eastAsia" w:ascii="黑体" w:hAnsi="黑体" w:eastAsia="黑体"/>
          <w:color w:val="000000"/>
          <w:sz w:val="28"/>
          <w:szCs w:val="28"/>
        </w:rPr>
        <w:t>工程量清单(另册）</w:t>
      </w:r>
    </w:p>
    <w:p w14:paraId="387F1FD3">
      <w:pPr>
        <w:widowControl/>
        <w:jc w:val="left"/>
        <w:rPr>
          <w:rFonts w:ascii="黑体" w:hAnsi="华文中宋" w:eastAsia="黑体"/>
          <w:b/>
          <w:bCs/>
          <w:color w:val="000000"/>
          <w:sz w:val="32"/>
          <w:szCs w:val="32"/>
        </w:rPr>
      </w:pPr>
      <w:r>
        <w:rPr>
          <w:rFonts w:ascii="黑体" w:hAnsi="华文中宋" w:eastAsia="黑体"/>
          <w:b/>
          <w:bCs/>
          <w:color w:val="000000"/>
          <w:sz w:val="32"/>
          <w:szCs w:val="32"/>
        </w:rPr>
        <w:br w:type="page"/>
      </w:r>
    </w:p>
    <w:p w14:paraId="1427523A">
      <w:pPr>
        <w:pStyle w:val="5"/>
        <w:rPr>
          <w:rFonts w:ascii="黑体" w:hAnsi="黑体" w:eastAsia="黑体"/>
          <w:sz w:val="32"/>
          <w:szCs w:val="32"/>
        </w:rPr>
      </w:pPr>
      <w:bookmarkStart w:id="32" w:name="_Toc8322"/>
      <w:bookmarkStart w:id="33" w:name="_Toc34637777"/>
      <w:r>
        <w:rPr>
          <w:rFonts w:hint="eastAsia" w:ascii="黑体" w:hAnsi="黑体" w:eastAsia="黑体"/>
          <w:sz w:val="32"/>
          <w:szCs w:val="32"/>
        </w:rPr>
        <w:t>第四章 合同草案条款</w:t>
      </w:r>
      <w:bookmarkEnd w:id="32"/>
      <w:bookmarkEnd w:id="33"/>
      <w:bookmarkStart w:id="34" w:name="_Toc28004827"/>
    </w:p>
    <w:p w14:paraId="142A9E37"/>
    <w:p w14:paraId="6EF25508">
      <w:pPr>
        <w:pStyle w:val="7"/>
        <w:adjustRightInd w:val="0"/>
        <w:snapToGrid w:val="0"/>
        <w:spacing w:line="240" w:lineRule="auto"/>
        <w:jc w:val="center"/>
        <w:rPr>
          <w:rFonts w:hint="eastAsia" w:ascii="宋体" w:hAnsi="宋体" w:eastAsia="宋体" w:cs="宋体"/>
          <w:b w:val="0"/>
          <w:sz w:val="28"/>
          <w:szCs w:val="28"/>
        </w:rPr>
      </w:pPr>
      <w:bookmarkStart w:id="35" w:name="_Toc25042"/>
      <w:r>
        <w:rPr>
          <w:rFonts w:hint="eastAsia" w:ascii="宋体" w:hAnsi="宋体" w:eastAsia="宋体" w:cs="宋体"/>
          <w:b w:val="0"/>
          <w:sz w:val="28"/>
          <w:szCs w:val="28"/>
        </w:rPr>
        <w:t>第一节 政府采购合同协议书</w:t>
      </w:r>
      <w:bookmarkEnd w:id="34"/>
      <w:bookmarkEnd w:id="35"/>
    </w:p>
    <w:p w14:paraId="712E756B">
      <w:pPr>
        <w:adjustRightInd w:val="0"/>
        <w:snapToGrid w:val="0"/>
        <w:spacing w:beforeLines="50" w:line="360" w:lineRule="auto"/>
        <w:ind w:firstLine="5460" w:firstLineChars="2600"/>
        <w:rPr>
          <w:rFonts w:hint="eastAsia" w:ascii="宋体" w:hAnsi="宋体" w:eastAsia="宋体" w:cs="宋体"/>
          <w:b/>
          <w:szCs w:val="21"/>
        </w:rPr>
      </w:pPr>
      <w:r>
        <w:rPr>
          <w:rFonts w:hint="eastAsia" w:ascii="宋体" w:hAnsi="宋体" w:eastAsia="宋体" w:cs="宋体"/>
          <w:szCs w:val="21"/>
        </w:rPr>
        <w:t>采购合同编号：</w:t>
      </w:r>
    </w:p>
    <w:p w14:paraId="2B053667">
      <w:pPr>
        <w:adjustRightInd w:val="0"/>
        <w:snapToGrid w:val="0"/>
        <w:spacing w:beforeLines="50" w:line="360" w:lineRule="auto"/>
        <w:jc w:val="center"/>
        <w:rPr>
          <w:rFonts w:hint="eastAsia" w:ascii="宋体" w:hAnsi="宋体" w:eastAsia="宋体" w:cs="宋体"/>
          <w:b/>
          <w:szCs w:val="21"/>
        </w:rPr>
      </w:pPr>
    </w:p>
    <w:p w14:paraId="4AF4E34F">
      <w:pPr>
        <w:adjustRightInd w:val="0"/>
        <w:snapToGrid w:val="0"/>
        <w:spacing w:beforeLines="50"/>
        <w:rPr>
          <w:rFonts w:hint="eastAsia" w:ascii="宋体" w:hAnsi="宋体" w:eastAsia="宋体" w:cs="宋体"/>
          <w:szCs w:val="21"/>
        </w:rPr>
      </w:pPr>
      <w:r>
        <w:rPr>
          <w:rFonts w:hint="eastAsia" w:ascii="宋体" w:hAnsi="宋体" w:eastAsia="宋体" w:cs="宋体"/>
          <w:szCs w:val="21"/>
        </w:rPr>
        <w:t>采购人（全称）：（甲方）</w:t>
      </w:r>
    </w:p>
    <w:p w14:paraId="3BFD4088">
      <w:pPr>
        <w:adjustRightInd w:val="0"/>
        <w:snapToGrid w:val="0"/>
        <w:spacing w:beforeLines="50"/>
        <w:rPr>
          <w:rFonts w:hint="eastAsia" w:ascii="宋体" w:hAnsi="宋体" w:eastAsia="宋体" w:cs="宋体"/>
          <w:szCs w:val="21"/>
        </w:rPr>
      </w:pPr>
      <w:r>
        <w:rPr>
          <w:rFonts w:hint="eastAsia" w:ascii="宋体" w:hAnsi="宋体" w:eastAsia="宋体" w:cs="宋体"/>
          <w:szCs w:val="21"/>
        </w:rPr>
        <w:t>供应商（全称）：（乙方）</w:t>
      </w:r>
    </w:p>
    <w:p w14:paraId="42B202FF">
      <w:pPr>
        <w:pStyle w:val="21"/>
        <w:adjustRightInd w:val="0"/>
        <w:snapToGrid w:val="0"/>
        <w:spacing w:beforeLines="50" w:after="0"/>
        <w:rPr>
          <w:rFonts w:hint="eastAsia" w:ascii="宋体" w:hAnsi="宋体" w:eastAsia="宋体" w:cs="宋体"/>
          <w:szCs w:val="21"/>
        </w:rPr>
      </w:pPr>
    </w:p>
    <w:p w14:paraId="764CC7B6">
      <w:pPr>
        <w:pStyle w:val="21"/>
        <w:adjustRightInd w:val="0"/>
        <w:snapToGrid w:val="0"/>
        <w:spacing w:beforeLines="50" w:after="0"/>
        <w:ind w:left="0" w:leftChars="0" w:firstLine="420" w:firstLineChars="200"/>
        <w:rPr>
          <w:rFonts w:hint="eastAsia" w:ascii="宋体" w:hAnsi="宋体" w:eastAsia="宋体" w:cs="宋体"/>
          <w:szCs w:val="21"/>
        </w:rPr>
      </w:pPr>
      <w:r>
        <w:rPr>
          <w:rFonts w:hint="eastAsia" w:ascii="宋体" w:hAnsi="宋体" w:eastAsia="宋体" w:cs="宋体"/>
          <w:szCs w:val="21"/>
        </w:rPr>
        <w:t>为了保护甲、乙双方合法权益，根据《中华人民共和国民法典》、《中华人民共和国政府采购法》及其他有关法律、法规、规章，双方签订本合同协议书。</w:t>
      </w:r>
    </w:p>
    <w:p w14:paraId="53CD4316">
      <w:pPr>
        <w:adjustRightInd w:val="0"/>
        <w:snapToGrid w:val="0"/>
        <w:spacing w:beforeLines="50"/>
        <w:ind w:firstLine="422" w:firstLineChars="200"/>
        <w:rPr>
          <w:rFonts w:hint="eastAsia" w:ascii="宋体" w:hAnsi="宋体" w:eastAsia="宋体" w:cs="宋体"/>
          <w:b/>
          <w:szCs w:val="21"/>
        </w:rPr>
      </w:pPr>
      <w:r>
        <w:rPr>
          <w:rFonts w:hint="eastAsia" w:ascii="宋体" w:hAnsi="宋体" w:eastAsia="宋体" w:cs="宋体"/>
          <w:b/>
          <w:szCs w:val="21"/>
        </w:rPr>
        <w:t>1.项目信息</w:t>
      </w:r>
    </w:p>
    <w:p w14:paraId="5178ABF8">
      <w:pPr>
        <w:pStyle w:val="21"/>
        <w:adjustRightInd w:val="0"/>
        <w:snapToGrid w:val="0"/>
        <w:spacing w:beforeLines="50" w:after="0"/>
        <w:rPr>
          <w:rFonts w:hint="eastAsia" w:ascii="宋体" w:hAnsi="宋体" w:eastAsia="宋体" w:cs="宋体"/>
          <w:szCs w:val="21"/>
        </w:rPr>
      </w:pPr>
      <w:r>
        <w:rPr>
          <w:rFonts w:hint="eastAsia" w:ascii="宋体" w:hAnsi="宋体" w:eastAsia="宋体" w:cs="宋体"/>
          <w:szCs w:val="21"/>
        </w:rPr>
        <w:t>（1）采购项目名称：</w:t>
      </w:r>
    </w:p>
    <w:p w14:paraId="59B77CBD">
      <w:pPr>
        <w:pStyle w:val="21"/>
        <w:adjustRightInd w:val="0"/>
        <w:snapToGrid w:val="0"/>
        <w:spacing w:beforeLines="50" w:after="0"/>
        <w:rPr>
          <w:rFonts w:hint="eastAsia" w:ascii="宋体" w:hAnsi="宋体" w:eastAsia="宋体" w:cs="宋体"/>
          <w:szCs w:val="21"/>
        </w:rPr>
      </w:pPr>
      <w:r>
        <w:rPr>
          <w:rFonts w:hint="eastAsia" w:ascii="宋体" w:hAnsi="宋体" w:eastAsia="宋体" w:cs="宋体"/>
          <w:szCs w:val="21"/>
        </w:rPr>
        <w:t>（2）采购计划编号：</w:t>
      </w:r>
    </w:p>
    <w:p w14:paraId="2E6C5CD0">
      <w:pPr>
        <w:adjustRightInd w:val="0"/>
        <w:snapToGrid w:val="0"/>
        <w:spacing w:beforeLines="50"/>
        <w:ind w:firstLine="420" w:firstLineChars="200"/>
        <w:rPr>
          <w:rFonts w:hint="eastAsia" w:ascii="宋体" w:hAnsi="宋体" w:eastAsia="宋体" w:cs="宋体"/>
          <w:szCs w:val="21"/>
        </w:rPr>
      </w:pPr>
      <w:r>
        <w:rPr>
          <w:rFonts w:hint="eastAsia" w:ascii="宋体" w:hAnsi="宋体" w:eastAsia="宋体" w:cs="宋体"/>
          <w:szCs w:val="21"/>
        </w:rPr>
        <w:t>（3）项目内容：</w:t>
      </w:r>
    </w:p>
    <w:p w14:paraId="1A07676B">
      <w:pPr>
        <w:adjustRightInd w:val="0"/>
        <w:snapToGrid w:val="0"/>
        <w:spacing w:beforeLines="50"/>
        <w:ind w:firstLine="420" w:firstLineChars="200"/>
        <w:rPr>
          <w:rFonts w:hint="eastAsia" w:ascii="宋体" w:hAnsi="宋体" w:eastAsia="宋体" w:cs="宋体"/>
          <w:szCs w:val="21"/>
        </w:rPr>
      </w:pPr>
      <w:r>
        <w:rPr>
          <w:rFonts w:hint="eastAsia" w:ascii="宋体" w:hAnsi="宋体" w:eastAsia="宋体" w:cs="宋体"/>
          <w:szCs w:val="21"/>
        </w:rPr>
        <w:t>（4）项目负责人：。</w:t>
      </w:r>
    </w:p>
    <w:p w14:paraId="56AC6B10">
      <w:pPr>
        <w:adjustRightInd w:val="0"/>
        <w:snapToGrid w:val="0"/>
        <w:spacing w:beforeLines="50"/>
        <w:ind w:firstLine="413" w:firstLineChars="196"/>
        <w:rPr>
          <w:rFonts w:hint="eastAsia" w:ascii="宋体" w:hAnsi="宋体" w:eastAsia="宋体" w:cs="宋体"/>
          <w:b/>
          <w:szCs w:val="21"/>
        </w:rPr>
      </w:pPr>
      <w:r>
        <w:rPr>
          <w:rFonts w:hint="eastAsia" w:ascii="宋体" w:hAnsi="宋体" w:eastAsia="宋体" w:cs="宋体"/>
          <w:b/>
          <w:szCs w:val="21"/>
        </w:rPr>
        <w:t>2.合同金额</w:t>
      </w:r>
    </w:p>
    <w:p w14:paraId="60696530">
      <w:pPr>
        <w:adjustRightInd w:val="0"/>
        <w:snapToGrid w:val="0"/>
        <w:spacing w:beforeLines="50"/>
        <w:ind w:firstLine="420" w:firstLineChars="200"/>
        <w:rPr>
          <w:rFonts w:hint="eastAsia" w:ascii="宋体" w:hAnsi="宋体" w:eastAsia="宋体" w:cs="宋体"/>
          <w:szCs w:val="21"/>
        </w:rPr>
      </w:pPr>
      <w:r>
        <w:rPr>
          <w:rFonts w:hint="eastAsia" w:ascii="宋体" w:hAnsi="宋体" w:eastAsia="宋体" w:cs="宋体"/>
          <w:szCs w:val="21"/>
        </w:rPr>
        <w:t>（1）合同金额小写：</w:t>
      </w:r>
    </w:p>
    <w:p w14:paraId="4FA5AC2B">
      <w:pPr>
        <w:adjustRightInd w:val="0"/>
        <w:snapToGrid w:val="0"/>
        <w:spacing w:beforeLines="50"/>
        <w:ind w:firstLine="1260" w:firstLineChars="600"/>
        <w:rPr>
          <w:rFonts w:hint="eastAsia" w:ascii="宋体" w:hAnsi="宋体" w:eastAsia="宋体" w:cs="宋体"/>
          <w:b/>
          <w:szCs w:val="21"/>
        </w:rPr>
      </w:pPr>
      <w:r>
        <w:rPr>
          <w:rFonts w:hint="eastAsia" w:ascii="宋体" w:hAnsi="宋体" w:eastAsia="宋体" w:cs="宋体"/>
          <w:szCs w:val="21"/>
        </w:rPr>
        <w:t>大写：</w:t>
      </w:r>
    </w:p>
    <w:p w14:paraId="6331DEB3">
      <w:pPr>
        <w:adjustRightInd w:val="0"/>
        <w:snapToGrid w:val="0"/>
        <w:spacing w:beforeLines="50"/>
        <w:ind w:firstLine="420" w:firstLineChars="200"/>
        <w:rPr>
          <w:rFonts w:hint="eastAsia" w:ascii="宋体" w:hAnsi="宋体" w:eastAsia="宋体" w:cs="宋体"/>
          <w:szCs w:val="21"/>
        </w:rPr>
      </w:pPr>
      <w:r>
        <w:rPr>
          <w:rFonts w:hint="eastAsia" w:ascii="宋体" w:hAnsi="宋体" w:eastAsia="宋体" w:cs="宋体"/>
          <w:szCs w:val="21"/>
        </w:rPr>
        <w:t>（2）具体标的见附件。</w:t>
      </w:r>
    </w:p>
    <w:p w14:paraId="7168A7CF">
      <w:pPr>
        <w:adjustRightInd w:val="0"/>
        <w:snapToGrid w:val="0"/>
        <w:spacing w:beforeLines="50"/>
        <w:ind w:firstLine="420" w:firstLineChars="200"/>
        <w:rPr>
          <w:rFonts w:hint="eastAsia" w:ascii="宋体" w:hAnsi="宋体" w:eastAsia="宋体" w:cs="宋体"/>
          <w:szCs w:val="21"/>
        </w:rPr>
      </w:pPr>
      <w:r>
        <w:rPr>
          <w:rFonts w:hint="eastAsia" w:ascii="宋体" w:hAnsi="宋体" w:eastAsia="宋体" w:cs="宋体"/>
          <w:szCs w:val="21"/>
        </w:rPr>
        <w:t>（3）合同价格形式： 。</w:t>
      </w:r>
    </w:p>
    <w:p w14:paraId="4B52913B">
      <w:pPr>
        <w:adjustRightInd w:val="0"/>
        <w:snapToGrid w:val="0"/>
        <w:spacing w:beforeLines="50"/>
        <w:ind w:firstLine="422" w:firstLineChars="200"/>
        <w:rPr>
          <w:rFonts w:hint="eastAsia" w:ascii="宋体" w:hAnsi="宋体" w:eastAsia="宋体" w:cs="宋体"/>
          <w:szCs w:val="21"/>
          <w:u w:val="single"/>
        </w:rPr>
      </w:pPr>
      <w:r>
        <w:rPr>
          <w:rFonts w:hint="eastAsia" w:ascii="宋体" w:hAnsi="宋体" w:eastAsia="宋体" w:cs="宋体"/>
          <w:b/>
          <w:szCs w:val="21"/>
        </w:rPr>
        <w:t>3.履行合同的时间、地点及方式</w:t>
      </w:r>
    </w:p>
    <w:p w14:paraId="5AE874F6">
      <w:pPr>
        <w:adjustRightInd w:val="0"/>
        <w:snapToGrid w:val="0"/>
        <w:spacing w:beforeLines="50"/>
        <w:ind w:firstLine="630" w:firstLineChars="300"/>
        <w:rPr>
          <w:rFonts w:hint="eastAsia" w:ascii="宋体" w:hAnsi="宋体" w:eastAsia="宋体" w:cs="宋体"/>
          <w:szCs w:val="21"/>
        </w:rPr>
      </w:pPr>
      <w:r>
        <w:rPr>
          <w:rFonts w:hint="eastAsia" w:ascii="宋体" w:hAnsi="宋体" w:eastAsia="宋体" w:cs="宋体"/>
          <w:szCs w:val="21"/>
        </w:rPr>
        <w:t>起始日期：年月日，完成日期：年月日。总日历天数：天。</w:t>
      </w:r>
    </w:p>
    <w:p w14:paraId="1D138954">
      <w:pPr>
        <w:adjustRightInd w:val="0"/>
        <w:snapToGrid w:val="0"/>
        <w:spacing w:beforeLines="50"/>
        <w:ind w:firstLine="630" w:firstLineChars="300"/>
        <w:rPr>
          <w:rFonts w:hint="eastAsia" w:ascii="宋体" w:hAnsi="宋体" w:eastAsia="宋体" w:cs="宋体"/>
          <w:szCs w:val="21"/>
          <w:u w:val="single"/>
        </w:rPr>
      </w:pPr>
      <w:r>
        <w:rPr>
          <w:rFonts w:hint="eastAsia" w:ascii="宋体" w:hAnsi="宋体" w:eastAsia="宋体" w:cs="宋体"/>
          <w:szCs w:val="21"/>
        </w:rPr>
        <w:t>地点</w:t>
      </w:r>
      <w:r>
        <w:rPr>
          <w:rFonts w:hint="eastAsia" w:ascii="宋体" w:hAnsi="宋体" w:eastAsia="宋体" w:cs="宋体"/>
          <w:b/>
          <w:szCs w:val="21"/>
        </w:rPr>
        <w:t>：</w:t>
      </w:r>
    </w:p>
    <w:p w14:paraId="60D0B299">
      <w:pPr>
        <w:adjustRightInd w:val="0"/>
        <w:snapToGrid w:val="0"/>
        <w:spacing w:beforeLines="50"/>
        <w:ind w:firstLine="630" w:firstLineChars="300"/>
        <w:rPr>
          <w:rFonts w:hint="eastAsia" w:ascii="宋体" w:hAnsi="宋体" w:eastAsia="宋体" w:cs="宋体"/>
          <w:szCs w:val="21"/>
        </w:rPr>
      </w:pPr>
      <w:r>
        <w:rPr>
          <w:rFonts w:hint="eastAsia" w:ascii="宋体" w:hAnsi="宋体" w:eastAsia="宋体" w:cs="宋体"/>
          <w:szCs w:val="21"/>
        </w:rPr>
        <w:t>方式：</w:t>
      </w:r>
    </w:p>
    <w:p w14:paraId="79D64AAE">
      <w:pPr>
        <w:adjustRightInd w:val="0"/>
        <w:snapToGrid w:val="0"/>
        <w:spacing w:beforeLines="50"/>
        <w:ind w:firstLine="422" w:firstLineChars="200"/>
        <w:rPr>
          <w:rFonts w:hint="eastAsia" w:ascii="宋体" w:hAnsi="宋体" w:eastAsia="宋体" w:cs="宋体"/>
          <w:b/>
          <w:szCs w:val="21"/>
        </w:rPr>
      </w:pPr>
      <w:r>
        <w:rPr>
          <w:rFonts w:hint="eastAsia" w:ascii="宋体" w:hAnsi="宋体" w:eastAsia="宋体" w:cs="宋体"/>
          <w:b/>
          <w:szCs w:val="21"/>
        </w:rPr>
        <w:t>4.付款：</w:t>
      </w:r>
    </w:p>
    <w:p w14:paraId="5094F9DE">
      <w:pPr>
        <w:adjustRightInd w:val="0"/>
        <w:snapToGrid w:val="0"/>
        <w:spacing w:beforeLines="50"/>
        <w:ind w:firstLine="630" w:firstLineChars="300"/>
        <w:rPr>
          <w:rFonts w:hint="eastAsia" w:ascii="宋体" w:hAnsi="宋体" w:eastAsia="宋体" w:cs="宋体"/>
          <w:bCs/>
          <w:szCs w:val="21"/>
          <w:u w:val="single"/>
        </w:rPr>
      </w:pPr>
      <w:r>
        <w:rPr>
          <w:rFonts w:hint="eastAsia" w:ascii="宋体" w:hAnsi="宋体" w:eastAsia="宋体" w:cs="宋体"/>
          <w:szCs w:val="21"/>
        </w:rPr>
        <w:t>1、</w:t>
      </w:r>
    </w:p>
    <w:p w14:paraId="2BF13CE1">
      <w:pPr>
        <w:adjustRightInd w:val="0"/>
        <w:snapToGrid w:val="0"/>
        <w:spacing w:beforeLines="50"/>
        <w:ind w:firstLine="630" w:firstLineChars="300"/>
        <w:rPr>
          <w:rFonts w:hint="eastAsia" w:ascii="宋体" w:hAnsi="宋体" w:eastAsia="宋体" w:cs="宋体"/>
          <w:szCs w:val="21"/>
        </w:rPr>
      </w:pPr>
      <w:r>
        <w:rPr>
          <w:rFonts w:hint="eastAsia" w:ascii="宋体" w:hAnsi="宋体" w:eastAsia="宋体" w:cs="宋体"/>
          <w:bCs/>
          <w:szCs w:val="21"/>
        </w:rPr>
        <w:t>2、预付款根据采购文件的约定，在合同签订前提交合同金额10%的履约担保。</w:t>
      </w:r>
    </w:p>
    <w:p w14:paraId="2A2DE5E9">
      <w:pPr>
        <w:adjustRightInd w:val="0"/>
        <w:snapToGrid w:val="0"/>
        <w:spacing w:beforeLines="50"/>
        <w:ind w:firstLine="422" w:firstLineChars="200"/>
        <w:rPr>
          <w:rFonts w:hint="eastAsia" w:ascii="宋体" w:hAnsi="宋体" w:eastAsia="宋体" w:cs="宋体"/>
          <w:b/>
          <w:szCs w:val="21"/>
        </w:rPr>
      </w:pPr>
      <w:r>
        <w:rPr>
          <w:rFonts w:hint="eastAsia" w:ascii="宋体" w:hAnsi="宋体" w:eastAsia="宋体" w:cs="宋体"/>
          <w:b/>
          <w:szCs w:val="21"/>
        </w:rPr>
        <w:t>5.解决合同纠纷方式</w:t>
      </w:r>
    </w:p>
    <w:p w14:paraId="07C73020">
      <w:pPr>
        <w:adjustRightInd w:val="0"/>
        <w:snapToGrid w:val="0"/>
        <w:spacing w:beforeLines="50"/>
        <w:ind w:firstLine="420" w:firstLineChars="200"/>
        <w:rPr>
          <w:rFonts w:hint="eastAsia" w:ascii="宋体" w:hAnsi="宋体" w:eastAsia="宋体" w:cs="宋体"/>
          <w:szCs w:val="21"/>
        </w:rPr>
      </w:pPr>
      <w:r>
        <w:rPr>
          <w:rFonts w:hint="eastAsia" w:ascii="宋体" w:hAnsi="宋体" w:eastAsia="宋体" w:cs="宋体"/>
          <w:szCs w:val="21"/>
        </w:rPr>
        <w:t>首先通过双方协商解决，协商解决不成，则通过以下途径之一解决纠纷：</w:t>
      </w:r>
    </w:p>
    <w:p w14:paraId="7D4AAFDC">
      <w:pPr>
        <w:adjustRightInd w:val="0"/>
        <w:snapToGrid w:val="0"/>
        <w:spacing w:beforeLines="50"/>
        <w:ind w:firstLine="840" w:firstLineChars="400"/>
        <w:rPr>
          <w:rFonts w:hint="eastAsia" w:ascii="宋体" w:hAnsi="宋体" w:eastAsia="宋体" w:cs="宋体"/>
          <w:szCs w:val="21"/>
        </w:rPr>
      </w:pPr>
      <w:r>
        <w:rPr>
          <w:rFonts w:hint="eastAsia" w:ascii="宋体" w:hAnsi="宋体" w:eastAsia="宋体" w:cs="宋体"/>
          <w:szCs w:val="21"/>
        </w:rPr>
        <w:t>□ 提请仲裁       □ 向本合同履行地人民法院提起诉讼</w:t>
      </w:r>
    </w:p>
    <w:p w14:paraId="2125155A">
      <w:pPr>
        <w:adjustRightInd w:val="0"/>
        <w:snapToGrid w:val="0"/>
        <w:spacing w:beforeLines="50"/>
        <w:ind w:firstLine="422" w:firstLineChars="200"/>
        <w:rPr>
          <w:rFonts w:hint="eastAsia" w:ascii="宋体" w:hAnsi="宋体" w:eastAsia="宋体" w:cs="宋体"/>
          <w:b/>
          <w:szCs w:val="21"/>
        </w:rPr>
      </w:pPr>
      <w:r>
        <w:rPr>
          <w:rFonts w:hint="eastAsia" w:ascii="宋体" w:hAnsi="宋体" w:eastAsia="宋体" w:cs="宋体"/>
          <w:b/>
          <w:szCs w:val="21"/>
        </w:rPr>
        <w:t>6.组成合同的文件</w:t>
      </w:r>
    </w:p>
    <w:p w14:paraId="1BAA080B">
      <w:pPr>
        <w:adjustRightInd w:val="0"/>
        <w:snapToGrid w:val="0"/>
        <w:spacing w:beforeLines="50"/>
        <w:ind w:firstLine="420" w:firstLineChars="200"/>
        <w:rPr>
          <w:rFonts w:hint="eastAsia" w:ascii="宋体" w:hAnsi="宋体" w:eastAsia="宋体" w:cs="宋体"/>
          <w:szCs w:val="21"/>
        </w:rPr>
      </w:pPr>
      <w:r>
        <w:rPr>
          <w:rFonts w:hint="eastAsia" w:ascii="宋体" w:hAnsi="宋体" w:eastAsia="宋体" w:cs="宋体"/>
          <w:szCs w:val="21"/>
        </w:rPr>
        <w:t>本协议书与下列文件一起构成合同文件，如下述文件之间有任何抵触、矛盾或歧义，应按以下顺序解释：</w:t>
      </w:r>
    </w:p>
    <w:p w14:paraId="7C06E25A">
      <w:pPr>
        <w:adjustRightInd w:val="0"/>
        <w:snapToGrid w:val="0"/>
        <w:spacing w:beforeLines="50"/>
        <w:ind w:firstLine="420" w:firstLineChars="200"/>
        <w:rPr>
          <w:rFonts w:hint="eastAsia" w:ascii="宋体" w:hAnsi="宋体" w:eastAsia="宋体" w:cs="宋体"/>
          <w:szCs w:val="21"/>
        </w:rPr>
      </w:pPr>
      <w:r>
        <w:rPr>
          <w:rFonts w:hint="eastAsia" w:ascii="宋体" w:hAnsi="宋体" w:eastAsia="宋体" w:cs="宋体"/>
          <w:szCs w:val="21"/>
        </w:rPr>
        <w:t>（1）在采购或合同履行过程中乙方作出的承诺以及双方协商达成的变更或补充协议</w:t>
      </w:r>
    </w:p>
    <w:p w14:paraId="605EBD4C">
      <w:pPr>
        <w:adjustRightInd w:val="0"/>
        <w:snapToGrid w:val="0"/>
        <w:spacing w:beforeLines="50"/>
        <w:ind w:firstLine="420" w:firstLineChars="200"/>
        <w:rPr>
          <w:rFonts w:hint="eastAsia" w:ascii="宋体" w:hAnsi="宋体" w:eastAsia="宋体" w:cs="宋体"/>
          <w:szCs w:val="21"/>
        </w:rPr>
      </w:pPr>
      <w:r>
        <w:rPr>
          <w:rFonts w:hint="eastAsia" w:ascii="宋体" w:hAnsi="宋体" w:eastAsia="宋体" w:cs="宋体"/>
          <w:szCs w:val="21"/>
        </w:rPr>
        <w:t>（2）本合同协议书</w:t>
      </w:r>
    </w:p>
    <w:p w14:paraId="6BD54086">
      <w:pPr>
        <w:adjustRightInd w:val="0"/>
        <w:snapToGrid w:val="0"/>
        <w:spacing w:beforeLines="50"/>
        <w:ind w:firstLine="420" w:firstLineChars="200"/>
        <w:rPr>
          <w:rFonts w:hint="eastAsia" w:ascii="宋体" w:hAnsi="宋体" w:eastAsia="宋体" w:cs="宋体"/>
          <w:szCs w:val="21"/>
        </w:rPr>
      </w:pPr>
      <w:r>
        <w:rPr>
          <w:rFonts w:hint="eastAsia" w:ascii="宋体" w:hAnsi="宋体" w:eastAsia="宋体" w:cs="宋体"/>
          <w:szCs w:val="21"/>
        </w:rPr>
        <w:t>（3）中标通知书</w:t>
      </w:r>
    </w:p>
    <w:p w14:paraId="7C9BA27A">
      <w:pPr>
        <w:adjustRightInd w:val="0"/>
        <w:snapToGrid w:val="0"/>
        <w:spacing w:beforeLines="50"/>
        <w:ind w:firstLine="420" w:firstLineChars="200"/>
        <w:rPr>
          <w:rFonts w:hint="eastAsia" w:ascii="宋体" w:hAnsi="宋体" w:eastAsia="宋体" w:cs="宋体"/>
          <w:szCs w:val="21"/>
        </w:rPr>
      </w:pPr>
      <w:r>
        <w:rPr>
          <w:rFonts w:hint="eastAsia" w:ascii="宋体" w:hAnsi="宋体" w:eastAsia="宋体" w:cs="宋体"/>
          <w:szCs w:val="21"/>
        </w:rPr>
        <w:t>（4）投标文件</w:t>
      </w:r>
    </w:p>
    <w:p w14:paraId="3D908848">
      <w:pPr>
        <w:adjustRightInd w:val="0"/>
        <w:snapToGrid w:val="0"/>
        <w:spacing w:beforeLines="50"/>
        <w:ind w:firstLine="420" w:firstLineChars="200"/>
        <w:rPr>
          <w:rFonts w:hint="eastAsia" w:ascii="宋体" w:hAnsi="宋体" w:eastAsia="宋体" w:cs="宋体"/>
          <w:szCs w:val="21"/>
        </w:rPr>
      </w:pPr>
      <w:r>
        <w:rPr>
          <w:rFonts w:hint="eastAsia" w:ascii="宋体" w:hAnsi="宋体" w:eastAsia="宋体" w:cs="宋体"/>
          <w:szCs w:val="21"/>
        </w:rPr>
        <w:t>（5）政府采购合同专用条款</w:t>
      </w:r>
    </w:p>
    <w:p w14:paraId="6875465F">
      <w:pPr>
        <w:adjustRightInd w:val="0"/>
        <w:snapToGrid w:val="0"/>
        <w:spacing w:beforeLines="50"/>
        <w:ind w:firstLine="420" w:firstLineChars="200"/>
        <w:rPr>
          <w:rFonts w:hint="eastAsia" w:ascii="宋体" w:hAnsi="宋体" w:eastAsia="宋体" w:cs="宋体"/>
          <w:szCs w:val="21"/>
        </w:rPr>
      </w:pPr>
      <w:r>
        <w:rPr>
          <w:rFonts w:hint="eastAsia" w:ascii="宋体" w:hAnsi="宋体" w:eastAsia="宋体" w:cs="宋体"/>
          <w:szCs w:val="21"/>
        </w:rPr>
        <w:t>（6）政府采购合同通用条款</w:t>
      </w:r>
    </w:p>
    <w:p w14:paraId="2D55DEF1">
      <w:pPr>
        <w:adjustRightInd w:val="0"/>
        <w:snapToGrid w:val="0"/>
        <w:spacing w:beforeLines="50"/>
        <w:ind w:firstLine="420" w:firstLineChars="200"/>
        <w:rPr>
          <w:rFonts w:hint="eastAsia" w:ascii="宋体" w:hAnsi="宋体" w:eastAsia="宋体" w:cs="宋体"/>
          <w:szCs w:val="21"/>
        </w:rPr>
      </w:pPr>
      <w:r>
        <w:rPr>
          <w:rFonts w:hint="eastAsia" w:ascii="宋体" w:hAnsi="宋体" w:eastAsia="宋体" w:cs="宋体"/>
          <w:szCs w:val="21"/>
        </w:rPr>
        <w:t>（7）标准、规范及有关技术文件，图纸。</w:t>
      </w:r>
    </w:p>
    <w:p w14:paraId="28F13F98">
      <w:pPr>
        <w:adjustRightInd w:val="0"/>
        <w:snapToGrid w:val="0"/>
        <w:spacing w:beforeLines="50"/>
        <w:ind w:firstLine="420" w:firstLineChars="200"/>
        <w:rPr>
          <w:rFonts w:hint="eastAsia" w:ascii="宋体" w:hAnsi="宋体" w:eastAsia="宋体" w:cs="宋体"/>
          <w:szCs w:val="21"/>
        </w:rPr>
      </w:pPr>
      <w:r>
        <w:rPr>
          <w:rFonts w:hint="eastAsia" w:ascii="宋体" w:hAnsi="宋体" w:eastAsia="宋体" w:cs="宋体"/>
          <w:szCs w:val="21"/>
        </w:rPr>
        <w:t>（8）其他合同文件。</w:t>
      </w:r>
    </w:p>
    <w:p w14:paraId="684C06BE">
      <w:pPr>
        <w:adjustRightInd w:val="0"/>
        <w:snapToGrid w:val="0"/>
        <w:spacing w:beforeLines="50"/>
        <w:ind w:firstLine="310" w:firstLineChars="147"/>
        <w:rPr>
          <w:rFonts w:hint="eastAsia" w:ascii="宋体" w:hAnsi="宋体" w:eastAsia="宋体" w:cs="宋体"/>
          <w:b/>
          <w:szCs w:val="21"/>
        </w:rPr>
      </w:pPr>
      <w:r>
        <w:rPr>
          <w:rFonts w:hint="eastAsia" w:ascii="宋体" w:hAnsi="宋体" w:eastAsia="宋体" w:cs="宋体"/>
          <w:b/>
          <w:szCs w:val="21"/>
        </w:rPr>
        <w:t>7.合同生效</w:t>
      </w:r>
    </w:p>
    <w:p w14:paraId="699BD8EE">
      <w:pPr>
        <w:adjustRightInd w:val="0"/>
        <w:snapToGrid w:val="0"/>
        <w:spacing w:beforeLines="50"/>
        <w:ind w:firstLine="420" w:firstLineChars="200"/>
        <w:rPr>
          <w:rFonts w:hint="eastAsia" w:ascii="宋体" w:hAnsi="宋体" w:eastAsia="宋体" w:cs="宋体"/>
          <w:szCs w:val="21"/>
        </w:rPr>
      </w:pPr>
      <w:r>
        <w:rPr>
          <w:rFonts w:hint="eastAsia" w:ascii="宋体" w:hAnsi="宋体" w:eastAsia="宋体" w:cs="宋体"/>
          <w:szCs w:val="21"/>
        </w:rPr>
        <w:t>本合同自</w:t>
      </w:r>
      <w:r>
        <w:rPr>
          <w:rFonts w:hint="eastAsia" w:ascii="宋体" w:hAnsi="宋体" w:eastAsia="宋体" w:cs="宋体"/>
          <w:szCs w:val="21"/>
          <w:u w:val="single"/>
        </w:rPr>
        <w:t xml:space="preserve">  双方签字并盖章之日起    </w:t>
      </w:r>
      <w:r>
        <w:rPr>
          <w:rFonts w:hint="eastAsia" w:ascii="宋体" w:hAnsi="宋体" w:eastAsia="宋体" w:cs="宋体"/>
          <w:szCs w:val="21"/>
        </w:rPr>
        <w:t>生效。</w:t>
      </w:r>
    </w:p>
    <w:p w14:paraId="1878E14F">
      <w:pPr>
        <w:adjustRightInd w:val="0"/>
        <w:snapToGrid w:val="0"/>
        <w:spacing w:beforeLines="50"/>
        <w:ind w:firstLine="310" w:firstLineChars="147"/>
        <w:rPr>
          <w:rFonts w:hint="eastAsia" w:ascii="宋体" w:hAnsi="宋体" w:eastAsia="宋体" w:cs="宋体"/>
          <w:b/>
          <w:szCs w:val="21"/>
        </w:rPr>
      </w:pPr>
      <w:r>
        <w:rPr>
          <w:rFonts w:hint="eastAsia" w:ascii="宋体" w:hAnsi="宋体" w:eastAsia="宋体" w:cs="宋体"/>
          <w:b/>
          <w:szCs w:val="21"/>
        </w:rPr>
        <w:t>8.合同份数</w:t>
      </w:r>
    </w:p>
    <w:p w14:paraId="756AEDAD">
      <w:pPr>
        <w:adjustRightInd w:val="0"/>
        <w:snapToGrid w:val="0"/>
        <w:spacing w:beforeLines="50"/>
        <w:ind w:firstLine="420" w:firstLineChars="200"/>
        <w:rPr>
          <w:rFonts w:hint="eastAsia" w:ascii="宋体" w:hAnsi="宋体" w:eastAsia="宋体" w:cs="宋体"/>
          <w:szCs w:val="21"/>
        </w:rPr>
      </w:pPr>
      <w:r>
        <w:rPr>
          <w:rFonts w:hint="eastAsia" w:ascii="宋体" w:hAnsi="宋体" w:eastAsia="宋体" w:cs="宋体"/>
          <w:szCs w:val="21"/>
        </w:rPr>
        <w:t>本合同一式份，采购人执份，供应商执份，均具有同等法律效力。</w:t>
      </w:r>
    </w:p>
    <w:p w14:paraId="6E109B18">
      <w:pPr>
        <w:adjustRightInd w:val="0"/>
        <w:snapToGrid w:val="0"/>
        <w:spacing w:beforeLines="50"/>
        <w:rPr>
          <w:rFonts w:hint="eastAsia" w:ascii="宋体" w:hAnsi="宋体" w:eastAsia="宋体" w:cs="宋体"/>
          <w:szCs w:val="21"/>
        </w:rPr>
      </w:pPr>
    </w:p>
    <w:p w14:paraId="26280957">
      <w:pPr>
        <w:adjustRightInd w:val="0"/>
        <w:snapToGrid w:val="0"/>
        <w:spacing w:beforeLines="50"/>
        <w:rPr>
          <w:rFonts w:hint="eastAsia" w:ascii="宋体" w:hAnsi="宋体" w:eastAsia="宋体" w:cs="宋体"/>
          <w:szCs w:val="21"/>
        </w:rPr>
      </w:pPr>
      <w:r>
        <w:rPr>
          <w:rFonts w:hint="eastAsia" w:ascii="宋体" w:hAnsi="宋体" w:eastAsia="宋体" w:cs="宋体"/>
          <w:szCs w:val="21"/>
        </w:rPr>
        <w:t>合同订立时间：年月日</w:t>
      </w:r>
    </w:p>
    <w:p w14:paraId="24C391EC">
      <w:pPr>
        <w:adjustRightInd w:val="0"/>
        <w:snapToGrid w:val="0"/>
        <w:spacing w:beforeLines="50"/>
        <w:rPr>
          <w:rFonts w:hint="eastAsia" w:ascii="宋体" w:hAnsi="宋体" w:eastAsia="宋体" w:cs="宋体"/>
          <w:szCs w:val="21"/>
        </w:rPr>
      </w:pPr>
      <w:r>
        <w:rPr>
          <w:rFonts w:hint="eastAsia" w:ascii="宋体" w:hAnsi="宋体" w:eastAsia="宋体" w:cs="宋体"/>
          <w:szCs w:val="21"/>
        </w:rPr>
        <w:t>合同订立地点：</w:t>
      </w:r>
    </w:p>
    <w:p w14:paraId="5A8D5ED1">
      <w:pPr>
        <w:adjustRightInd w:val="0"/>
        <w:snapToGrid w:val="0"/>
        <w:spacing w:beforeLines="50"/>
        <w:ind w:firstLine="420" w:firstLineChars="200"/>
        <w:rPr>
          <w:rFonts w:hint="eastAsia" w:ascii="宋体" w:hAnsi="宋体" w:eastAsia="宋体" w:cs="宋体"/>
          <w:szCs w:val="21"/>
        </w:rPr>
      </w:pPr>
    </w:p>
    <w:p w14:paraId="306A5F61">
      <w:pPr>
        <w:adjustRightInd w:val="0"/>
        <w:snapToGrid w:val="0"/>
        <w:spacing w:beforeLines="50"/>
        <w:rPr>
          <w:rFonts w:hint="eastAsia" w:ascii="宋体" w:hAnsi="宋体" w:eastAsia="宋体" w:cs="宋体"/>
          <w:szCs w:val="21"/>
        </w:rPr>
      </w:pPr>
      <w:r>
        <w:rPr>
          <w:rFonts w:hint="eastAsia" w:ascii="宋体" w:hAnsi="宋体" w:eastAsia="宋体" w:cs="宋体"/>
          <w:szCs w:val="21"/>
        </w:rPr>
        <w:t>甲      方：（公章）                     乙      方：（公章）</w:t>
      </w:r>
    </w:p>
    <w:p w14:paraId="438D7511">
      <w:pPr>
        <w:adjustRightInd w:val="0"/>
        <w:snapToGrid w:val="0"/>
        <w:spacing w:beforeLines="50"/>
        <w:rPr>
          <w:rFonts w:hint="eastAsia" w:ascii="宋体" w:hAnsi="宋体" w:eastAsia="宋体" w:cs="宋体"/>
          <w:szCs w:val="21"/>
        </w:rPr>
      </w:pPr>
      <w:r>
        <w:rPr>
          <w:rFonts w:hint="eastAsia" w:ascii="宋体" w:hAnsi="宋体" w:eastAsia="宋体" w:cs="宋体"/>
          <w:szCs w:val="21"/>
        </w:rPr>
        <w:t>法定代表人：         法定代表人：</w:t>
      </w:r>
    </w:p>
    <w:p w14:paraId="6F66AB4C">
      <w:pPr>
        <w:adjustRightInd w:val="0"/>
        <w:snapToGrid w:val="0"/>
        <w:spacing w:beforeLines="50"/>
        <w:rPr>
          <w:rFonts w:hint="eastAsia" w:ascii="宋体" w:hAnsi="宋体" w:eastAsia="宋体" w:cs="宋体"/>
          <w:szCs w:val="21"/>
        </w:rPr>
      </w:pPr>
      <w:r>
        <w:rPr>
          <w:rFonts w:hint="eastAsia" w:ascii="宋体" w:hAnsi="宋体" w:eastAsia="宋体" w:cs="宋体"/>
          <w:szCs w:val="21"/>
        </w:rPr>
        <w:t>委托代理人：         委托代理人：</w:t>
      </w:r>
    </w:p>
    <w:p w14:paraId="4D3F89FB">
      <w:pPr>
        <w:adjustRightInd w:val="0"/>
        <w:snapToGrid w:val="0"/>
        <w:spacing w:beforeLines="50"/>
        <w:rPr>
          <w:rFonts w:hint="eastAsia" w:ascii="宋体" w:hAnsi="宋体" w:eastAsia="宋体" w:cs="宋体"/>
          <w:szCs w:val="21"/>
        </w:rPr>
      </w:pPr>
      <w:r>
        <w:rPr>
          <w:rFonts w:hint="eastAsia" w:ascii="宋体" w:hAnsi="宋体" w:eastAsia="宋体" w:cs="宋体"/>
          <w:szCs w:val="21"/>
        </w:rPr>
        <w:t>电      话：         电      话：</w:t>
      </w:r>
    </w:p>
    <w:p w14:paraId="59D5E954">
      <w:pPr>
        <w:adjustRightInd w:val="0"/>
        <w:snapToGrid w:val="0"/>
        <w:spacing w:beforeLines="50"/>
        <w:rPr>
          <w:rFonts w:hint="eastAsia" w:ascii="宋体" w:hAnsi="宋体" w:eastAsia="宋体" w:cs="宋体"/>
          <w:szCs w:val="21"/>
        </w:rPr>
      </w:pPr>
      <w:r>
        <w:rPr>
          <w:rFonts w:hint="eastAsia" w:ascii="宋体" w:hAnsi="宋体" w:eastAsia="宋体" w:cs="宋体"/>
          <w:szCs w:val="21"/>
        </w:rPr>
        <w:t>传      真：         传      真：</w:t>
      </w:r>
    </w:p>
    <w:p w14:paraId="03AF3A43">
      <w:pPr>
        <w:adjustRightInd w:val="0"/>
        <w:snapToGrid w:val="0"/>
        <w:spacing w:beforeLines="50"/>
        <w:ind w:firstLine="420" w:firstLineChars="200"/>
        <w:rPr>
          <w:rFonts w:hint="eastAsia" w:ascii="宋体" w:hAnsi="宋体" w:eastAsia="宋体" w:cs="宋体"/>
          <w:szCs w:val="21"/>
        </w:rPr>
      </w:pPr>
      <w:r>
        <w:rPr>
          <w:rFonts w:hint="eastAsia" w:ascii="宋体" w:hAnsi="宋体" w:eastAsia="宋体" w:cs="宋体"/>
          <w:szCs w:val="21"/>
        </w:rPr>
        <w:t xml:space="preserve">                                    开 户 银 行：</w:t>
      </w:r>
    </w:p>
    <w:p w14:paraId="23D54BE0">
      <w:pPr>
        <w:adjustRightInd w:val="0"/>
        <w:snapToGrid w:val="0"/>
        <w:spacing w:beforeLines="50"/>
        <w:jc w:val="center"/>
        <w:rPr>
          <w:rFonts w:hint="eastAsia" w:ascii="宋体" w:hAnsi="宋体" w:eastAsia="宋体" w:cs="宋体"/>
          <w:szCs w:val="21"/>
          <w:u w:val="single"/>
        </w:rPr>
      </w:pPr>
      <w:r>
        <w:rPr>
          <w:rFonts w:hint="eastAsia" w:ascii="宋体" w:hAnsi="宋体" w:eastAsia="宋体" w:cs="宋体"/>
          <w:szCs w:val="21"/>
        </w:rPr>
        <w:t xml:space="preserve">         帐       号：</w:t>
      </w:r>
    </w:p>
    <w:p w14:paraId="286C6D66">
      <w:pPr>
        <w:widowControl/>
        <w:jc w:val="left"/>
        <w:rPr>
          <w:rFonts w:hint="eastAsia" w:ascii="宋体" w:hAnsi="宋体" w:eastAsia="宋体" w:cs="宋体"/>
        </w:rPr>
      </w:pPr>
      <w:r>
        <w:rPr>
          <w:rFonts w:hint="eastAsia" w:ascii="宋体" w:hAnsi="宋体" w:eastAsia="宋体" w:cs="宋体"/>
        </w:rPr>
        <w:br w:type="page"/>
      </w:r>
    </w:p>
    <w:p w14:paraId="2186A5CF">
      <w:pPr>
        <w:pStyle w:val="7"/>
        <w:jc w:val="center"/>
        <w:rPr>
          <w:rFonts w:hint="eastAsia" w:ascii="宋体" w:hAnsi="宋体" w:eastAsia="宋体" w:cs="宋体"/>
          <w:b w:val="0"/>
          <w:color w:val="000000"/>
          <w:sz w:val="28"/>
          <w:szCs w:val="28"/>
        </w:rPr>
      </w:pPr>
      <w:bookmarkStart w:id="36" w:name="_Toc550"/>
      <w:bookmarkStart w:id="37" w:name="_Toc28004829"/>
      <w:r>
        <w:rPr>
          <w:rFonts w:hint="eastAsia" w:ascii="宋体" w:hAnsi="宋体" w:eastAsia="宋体" w:cs="宋体"/>
          <w:color w:val="000000"/>
          <w:sz w:val="28"/>
          <w:szCs w:val="28"/>
        </w:rPr>
        <w:t>第二节 合同通用条款</w:t>
      </w:r>
      <w:bookmarkEnd w:id="36"/>
    </w:p>
    <w:p w14:paraId="0E4E864B">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1．一般约定</w:t>
      </w:r>
    </w:p>
    <w:p w14:paraId="256C5DFC">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1.1 词语定义</w:t>
      </w:r>
    </w:p>
    <w:p w14:paraId="00B5F93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通用合同条款、专用合同条款中的下列词语应具有本款所赋予的含义。</w:t>
      </w:r>
    </w:p>
    <w:p w14:paraId="70741206">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1.1.1  合同</w:t>
      </w:r>
    </w:p>
    <w:p w14:paraId="1B6045D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1.1.1.1  合同文件（或称合同）：指合同协议书、中标通知书、投标函及投标函附录、专用合同条款、通用合同条款、技术标准和要求、图纸、已标价工程量清单，以及其他合同文件。</w:t>
      </w:r>
    </w:p>
    <w:p w14:paraId="3FC20DB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1.1.1.2  合同协议书：指第1.5款所指的合同协议书。</w:t>
      </w:r>
    </w:p>
    <w:p w14:paraId="46E2BBA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1.1.1.3  中标通知书：指发包人通知承包人中标的函件。</w:t>
      </w:r>
    </w:p>
    <w:p w14:paraId="222F879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1.1.1.4  投标函：指构成合同文件组成部分的由承包人填写并签署的投标函。</w:t>
      </w:r>
    </w:p>
    <w:p w14:paraId="023E309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1.1.1.5  投标函附录：指附在投标函后构成合同文件的投标函附录。</w:t>
      </w:r>
    </w:p>
    <w:p w14:paraId="6E82CB3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1.1.1.6  技术标准和要求：指构成合同文件组成部分的名为技术标准和要求（合同技术条款）的文件，包括合同双方当事人约定对其所作的修改或补充。</w:t>
      </w:r>
    </w:p>
    <w:p w14:paraId="021C082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1.1.1.7  图纸：指列入合同的招标图纸、投标图纸和发包人按合同约定向承包人提供的施工图纸和其它图纸（包括配套说明和有关资料）。列入合同的招标图纸已成为合同文件的一部分，具有合同效力，主要用于在履行合同中作为衡量变更的依据，但不能直接用于施工。经发包人确认进入合同的投标图纸亦成为合同文件的一部分，用于在履行合同中检验承包人是否按其投标时承诺的条件进行施工的依据，亦不能直接用于施工。</w:t>
      </w:r>
    </w:p>
    <w:p w14:paraId="1047B67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1.1.1.8  已标价工程量清单：指构成合同文件组成部分的由承包人按照规定的格式和要求填写并标明价格的工程量清单。</w:t>
      </w:r>
    </w:p>
    <w:p w14:paraId="1BEB8D2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1.1.1.9  其他合同文件：指经合同双方当事人确认构成合同文件的其他文件。</w:t>
      </w:r>
    </w:p>
    <w:p w14:paraId="2E288AED">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1.1.2  合同当事人和人员</w:t>
      </w:r>
    </w:p>
    <w:p w14:paraId="0F40A88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1.1.2.1  合同当事人:指发包人和（或）承包人。</w:t>
      </w:r>
    </w:p>
    <w:p w14:paraId="2FC1FF6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1.1.2.2  发包人：指专用合同条款中指明并与承包人在合同协议书中签字的当事人。</w:t>
      </w:r>
    </w:p>
    <w:p w14:paraId="41AEF54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1.1.2.3  承包人：指专用合同条款中指明并与发包人在合同协议书中签字的当事人。</w:t>
      </w:r>
    </w:p>
    <w:p w14:paraId="5060BC7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1.1.2.4  承包人项目经理：指承包人派驻施工场地的全权负责人。</w:t>
      </w:r>
    </w:p>
    <w:p w14:paraId="48BB1B3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1.1.2.5  分包人：指专用合同条款中指明的，从承包人处分包合同中某一部分工程，并与其签订分包合同的分包人。</w:t>
      </w:r>
    </w:p>
    <w:p w14:paraId="3ACD1CE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1.1.2.6  监理人：指在专用合同条款中指明的，受发包人委托对合同履行实施管理的法人或其他组织。</w:t>
      </w:r>
    </w:p>
    <w:p w14:paraId="1442A8E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1.1.2.7  总监理工程师（总监）：指由监理人委派常驻施工场地对合同履行实施管理的全权负责人。</w:t>
      </w:r>
    </w:p>
    <w:p w14:paraId="3F829DA9">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1.1.3  工程和设备</w:t>
      </w:r>
    </w:p>
    <w:p w14:paraId="053C63B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1.1.3.1  工程：指永久工程和（或）临时工程。</w:t>
      </w:r>
    </w:p>
    <w:p w14:paraId="41E5556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1.1.3.2  永久工程：指按合同约定建造并移交给发包人的工程，包括工程设备。</w:t>
      </w:r>
    </w:p>
    <w:p w14:paraId="69A0AC2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1.1.3.3  临时工程：指为完成合同约定的永久工程所修建的各类临时性工程，不包括施工设备。</w:t>
      </w:r>
    </w:p>
    <w:p w14:paraId="57811E9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1.1.3.4  单位工程：指专用合同条款中指明特定范围的永久工程。</w:t>
      </w:r>
    </w:p>
    <w:p w14:paraId="067DE63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1.1.3.5  工程设备：指构成或计划构成永久工程一部分的机电设备、金属结构设备、仪器装置及其他类似的设备和装置。</w:t>
      </w:r>
    </w:p>
    <w:p w14:paraId="4EA2D13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1.1.3.6  施工设备：指为完成合同约定的各项工作所需的设备、器具和其他物品，不包括临时工程和材料。</w:t>
      </w:r>
    </w:p>
    <w:p w14:paraId="77D420D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1.1.3.7  临时设施：指为完成合同约定的各项工作所服务的临时性生产和生活设施。</w:t>
      </w:r>
    </w:p>
    <w:p w14:paraId="58BD2A6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1.1.3.8  承包人设备：指承包人自带的施工设备。</w:t>
      </w:r>
    </w:p>
    <w:p w14:paraId="32E1C4A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1.1.3.9  施工场地（或称工地、现场）：指用于合同工程施工的场所，以及在合同中指定作为施工场地组成部分的其他场所，包括永久占地和临时占地。</w:t>
      </w:r>
    </w:p>
    <w:p w14:paraId="5475B17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1.1.3.10 永久占地：指发包人为建设本合同工程永久征用的场地。</w:t>
      </w:r>
    </w:p>
    <w:p w14:paraId="27686F4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1.1.3.11  临时占地：指发包人为建设本合同工程临时征用，承包人在完工后须按合同要求退还的场地。</w:t>
      </w:r>
    </w:p>
    <w:p w14:paraId="6FC51A39">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1.1.4  日期</w:t>
      </w:r>
    </w:p>
    <w:p w14:paraId="33ED83B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1.1.4.1  开工通知：指监理人按第11.1款通知承包人开工的函件。</w:t>
      </w:r>
    </w:p>
    <w:p w14:paraId="0CF9083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1.1.4.2  开工日期：指监理人按第11.1款发出的开工通知中写明的开工日期。</w:t>
      </w:r>
    </w:p>
    <w:p w14:paraId="3BE8670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1.1.4.3  工期：指承包人在投标函中承诺的完成合同工程所需的期限，包括按第11.3 款、第11.4款和第11.6款约定所作的变更。</w:t>
      </w:r>
    </w:p>
    <w:p w14:paraId="2763BE8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1.1.4.4  竣工日期：即合同工程完工日期，指第1.1.4.3目约定工期届满时的日期。实际完工日期以合同工程完工证书中写明的日期为准。</w:t>
      </w:r>
    </w:p>
    <w:p w14:paraId="2DDF22C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1.1.4.5  缺陷责任期：即工程质量保修期，指履行第19.2款约定的缺陷责任的期限，包括根据第19.3款约定所作的延长，具体期限由专用合同条款约定。</w:t>
      </w:r>
    </w:p>
    <w:p w14:paraId="37F0B3F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1.1.4.6  基准日期：指投标截止时间前28天的日期。</w:t>
      </w:r>
    </w:p>
    <w:p w14:paraId="2F3F66F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1.1.4.7  天：除特别指明外，指日历天。合同中按天计算时间的，开始当天不计入，从次日开始计算。期限最后一天的截止时间为当天24:00。</w:t>
      </w:r>
    </w:p>
    <w:p w14:paraId="4A5D9A92">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1.1.5  合同价格和费用</w:t>
      </w:r>
    </w:p>
    <w:p w14:paraId="1AFA557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1.1.5.1  签约合同价：指签定合同时合同协议书中写明的，包括了暂列金额、暂估价的合同总金额。</w:t>
      </w:r>
    </w:p>
    <w:p w14:paraId="4D0D5EA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1.1.5.2  合同价格：指承包人按合同约定完成了包括缺陷责任期内的全部承包工作后，发包人应付给承包人的金额，包括在履行合同过程中按合同约定进行的变更和调整。</w:t>
      </w:r>
    </w:p>
    <w:p w14:paraId="176B286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1.1.5.3  费用：指为履行合同所发生的或将要发生的所有合理开支，包括管理费和应分摊的其他费用，但不包括利润。</w:t>
      </w:r>
    </w:p>
    <w:p w14:paraId="66F5A8D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1.1.5.4  暂列金额：指已标价工程量清单中所列的暂列金额，用于在签订协议书时尚未确定或不可预见变更的施工及其所需材料、工程设备、服务等的金额，包括以计日工方式支付的金额。</w:t>
      </w:r>
    </w:p>
    <w:p w14:paraId="232CD43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1.1.5.5  暂估价：指发包人在工程量清单中给定的用于支付必然发生但暂时不能确定价格的材料、设备以及专业工程的金额。</w:t>
      </w:r>
    </w:p>
    <w:p w14:paraId="2D07BD6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1.1.5.6  计日工：指对零星工作采取的一种计价方式，按合同中的计日工子目及其单价计价付款。</w:t>
      </w:r>
    </w:p>
    <w:p w14:paraId="4C0DD00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1.1.5.7  质量保证金（或称保留金）：指按第17.4.1项约定用于保证在缺陷责任期内履行缺陷修复义务的金额。</w:t>
      </w:r>
    </w:p>
    <w:p w14:paraId="3828DA3A">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1.1.6 其他</w:t>
      </w:r>
    </w:p>
    <w:p w14:paraId="759BA4C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1.1.6.1  书面形式：指合同文件、信函、电报、传真等可以有形地表现所载内容的形式。</w:t>
      </w:r>
    </w:p>
    <w:p w14:paraId="4E63CB87">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1.2 语言文字</w:t>
      </w:r>
    </w:p>
    <w:p w14:paraId="33CE223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除专用术语外，合同使用的语言文字为中文。必要时专用术语应附有中文注释。</w:t>
      </w:r>
    </w:p>
    <w:p w14:paraId="212AD00A">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1.3 法律</w:t>
      </w:r>
    </w:p>
    <w:p w14:paraId="0F8CF4D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适用于合同的法律包括中华人民共和国法律、行政法规、部门规章，以及工程所在地的地方法规、自治条例、单行条例和地方政府规章。</w:t>
      </w:r>
    </w:p>
    <w:p w14:paraId="0A295CAC">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1.4 合同文件的优先顺序</w:t>
      </w:r>
    </w:p>
    <w:p w14:paraId="7668DEB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组成合同的各项文件应互相解释，互为说明。除专用合同条款另有约定外，解释合同文件的优先顺序如下：</w:t>
      </w:r>
    </w:p>
    <w:p w14:paraId="37E97DF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（1）合同协议书；</w:t>
      </w:r>
    </w:p>
    <w:p w14:paraId="0BD4001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（2）中标通知书；</w:t>
      </w:r>
    </w:p>
    <w:p w14:paraId="0F41E2B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（3）投标函及投标函附录；</w:t>
      </w:r>
    </w:p>
    <w:p w14:paraId="59CD39B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（4）专用合同条款；</w:t>
      </w:r>
    </w:p>
    <w:p w14:paraId="770F100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（5）通用合同条款；</w:t>
      </w:r>
    </w:p>
    <w:p w14:paraId="2DB5699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（6）技术标准和要求；</w:t>
      </w:r>
    </w:p>
    <w:p w14:paraId="513C77C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（7）图纸；</w:t>
      </w:r>
    </w:p>
    <w:p w14:paraId="7D5DCE8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（8）已标价工程量清单；</w:t>
      </w:r>
    </w:p>
    <w:p w14:paraId="42A3F49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（9）其他合同文件。</w:t>
      </w:r>
    </w:p>
    <w:p w14:paraId="7E97802C">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1.5 合同协议书</w:t>
      </w:r>
    </w:p>
    <w:p w14:paraId="7CD65A6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承包人按中标通知书规定的时间与发包人签订合同协议书。除法律另有规定或合同另有约定外，发包人和承包人的法定代表人或其委托代理人在合同协议书上签字并盖单位章后，合同生效。</w:t>
      </w:r>
    </w:p>
    <w:p w14:paraId="383B7858">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1.6 图纸和承包人文件</w:t>
      </w:r>
    </w:p>
    <w:p w14:paraId="35D1BF4E">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1.6.1  图纸的提供</w:t>
      </w:r>
    </w:p>
    <w:p w14:paraId="488E2AA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发包人应按技术标准和要求（合同技术条款）约定的期限和数量将施工图纸以及其它图纸（包括配套说明和有关资料）提供给承包人。由于发包人未按时提供图纸造成工期延误的，按第11.3款的约定办理。</w:t>
      </w:r>
    </w:p>
    <w:p w14:paraId="3BB3BA8E">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1.6.2  承包人提供的文件</w:t>
      </w:r>
    </w:p>
    <w:p w14:paraId="29A4F90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承包人提供的文件应按技术标准和要求（合同技术条款）约定的期限和数量提供给监理人。监理人应按技术标准和要求（合同技术条款）约定的期限批复承包人。</w:t>
      </w:r>
    </w:p>
    <w:p w14:paraId="50257AE2">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1.6.3  图纸的修改</w:t>
      </w:r>
    </w:p>
    <w:p w14:paraId="7E82431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设计人需要对已发给承包人的施工图纸进行修改时，监理人应在技术标准和要求（合同技术条款）约定的期限内签发施工图纸的修改图给承包人。承包人应按技术标准和要求（合同技术条款）的约定编制一份承包人实施计划提交监理人批准后执行。</w:t>
      </w:r>
    </w:p>
    <w:p w14:paraId="5570D559">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1.6.4  图纸的错误</w:t>
      </w:r>
    </w:p>
    <w:p w14:paraId="725F0A6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承包人发现发包人提供的图纸存在明显错误或疏忽，应及时通知监理人。</w:t>
      </w:r>
    </w:p>
    <w:p w14:paraId="6A0755A0">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1.6.5  图纸和承包人文件的保管</w:t>
      </w:r>
    </w:p>
    <w:p w14:paraId="778CED9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监理人和承包人均应在施工场地各保存一套完整的包含第1.6.1项、第1.6.2 项、第1.6.3 项约定内容的图纸和承包人文件。</w:t>
      </w:r>
    </w:p>
    <w:p w14:paraId="60C834AF">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1.7 联络</w:t>
      </w:r>
    </w:p>
    <w:p w14:paraId="03D157C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1.7.1  与合同有关的通知、批准、证明、证书、指示、要求、请求、同意、意见、确定和决定等，均应采用书面形式。</w:t>
      </w:r>
    </w:p>
    <w:p w14:paraId="51663EE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1.7.2  第1.7.1项中的通知、批准、证明、证书、指示、要求、请求、同意、意见、确定和决定等来往函件，均应在合同约定的期限内送达指定地点和接收人，并办理签收手续。来往函件的送达期限在技术标准和要求（合同技术条款）中约定，送达地点在专用合同条款中约定。</w:t>
      </w:r>
    </w:p>
    <w:p w14:paraId="63798E3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1.7.3  来往函件均应按合同约定的期限及时发出和答复，不得无故扣压和拖延，亦不得拒收。否则，由此造成的后果由责任方负责。</w:t>
      </w:r>
    </w:p>
    <w:p w14:paraId="7F7A11C0">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1.8 转让</w:t>
      </w:r>
    </w:p>
    <w:p w14:paraId="1514E4E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除合同另有约定外，未经对方当事人同意，一方当事人不得将合同权利全部或部分转让给第三人，也不得全部或部分转移合同义务。</w:t>
      </w:r>
    </w:p>
    <w:p w14:paraId="142F04BF">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1.9 严禁贿赂</w:t>
      </w:r>
    </w:p>
    <w:p w14:paraId="77612ED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合同双方当事人不得以贿赂或变相贿赂的方式，谋取不当利益或损害对方权益。因贿赂造成对方损失的，行为人应赔偿损失，并承担相应的法律责任。</w:t>
      </w:r>
    </w:p>
    <w:p w14:paraId="71534E00">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1.10 化石、文物</w:t>
      </w:r>
    </w:p>
    <w:p w14:paraId="5F452E1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1.10.1  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监理人和承包人应按文物行政部门要求采取妥善保护措施，由此导致费用增加和（或）工期延误由发包人承担。</w:t>
      </w:r>
    </w:p>
    <w:p w14:paraId="66C22D7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1.10.2  承包人发现文物后不及时报告或隐瞒不报，致使文物丢失或损坏的，应赔偿损失，并承担相应的法律责任。</w:t>
      </w:r>
    </w:p>
    <w:p w14:paraId="66B4293A">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1.11 专利技术</w:t>
      </w:r>
    </w:p>
    <w:p w14:paraId="61E7A5F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1.11.1  承包人在使用任何材料、承包人设备、工程设备或采用施工工艺时，因侵犯专利权或其他知识产权所引起的责任，由承包人承担，但由于遵照发包人提供的设计或技术标准和要求引起的除外。</w:t>
      </w:r>
    </w:p>
    <w:p w14:paraId="4CC7B18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1.11.2  承包人在投标文件中采用专利技术的，专利技术的使用费包含在投标报价内。</w:t>
      </w:r>
    </w:p>
    <w:p w14:paraId="1842C2F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1.11.3  承包人的技术秘密和声明需要保密的资料和信息，发包人和监理人不得为合同以外的目的泄露给他人。</w:t>
      </w:r>
    </w:p>
    <w:p w14:paraId="702957E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1.11.4  合同实施过程中，发包人要求承包人采用专利技术的，发包人应办理相应的使用手续，承包人应按发包人约定的条件使用，并承担使用专利技术的相关试验工作，所需费用由发包人承担。</w:t>
      </w:r>
    </w:p>
    <w:p w14:paraId="343111F5">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1.12 图纸和文件的保密</w:t>
      </w:r>
    </w:p>
    <w:p w14:paraId="09CD2B1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1.12.1  发包人提供的图纸和文件，未经发包人同意，承包人不得为合同以外的目的泄露给他人或公开发表与引用。</w:t>
      </w:r>
    </w:p>
    <w:p w14:paraId="77B699B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1.12.2  承包人提供的文件，未经承包人同意，发包人和监理人不得为合同以外的目的泄露给他人或公开发表与引用。</w:t>
      </w:r>
    </w:p>
    <w:p w14:paraId="77B99BDA">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2．发包人义务</w:t>
      </w:r>
    </w:p>
    <w:p w14:paraId="3CA93D8A">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2.1 遵守法律</w:t>
      </w:r>
    </w:p>
    <w:p w14:paraId="283443D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发包人在履行合同过程中应遵守法律，并保证承包人免于承担因发包人违反法律而引起的任何责任。</w:t>
      </w:r>
    </w:p>
    <w:p w14:paraId="56D8303D">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2.2 发出开工通知</w:t>
      </w:r>
    </w:p>
    <w:p w14:paraId="392CECC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发包人应委托监理人按第11.1款的约定向承包人发出开工通知。</w:t>
      </w:r>
    </w:p>
    <w:p w14:paraId="01ECC41F">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2.3 提供施工场地</w:t>
      </w:r>
    </w:p>
    <w:p w14:paraId="047AA2F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2.3.1  发包人应在合同双方签订合同协议书后的14天内，将本合同工程的施工场地范围图提交给承包人。发包人提供的施工场地范围图应标明场地范围内永久占地与临时占地的范围和界限，以及指明提供给承包人用于施工场地布置的范围和界限及其有关资料。</w:t>
      </w:r>
    </w:p>
    <w:p w14:paraId="29A4E7E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2.3.2  发包人提供的施工用地范围在专用合同条款中约定。</w:t>
      </w:r>
    </w:p>
    <w:p w14:paraId="5BC3A04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2.3.3  除专用合同条款另有约定外，发包人应按技术标准和要求（合同技术条款）的约定，向承包人提供施工场地内的工程地质图纸和报告，以及地下障碍物图纸等施工场地有关资料，并保证资料的真实、准确、完整。</w:t>
      </w:r>
    </w:p>
    <w:p w14:paraId="716DFD60">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2.4 协助承包人办理证件和批件</w:t>
      </w:r>
    </w:p>
    <w:p w14:paraId="27D37B4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发包人应协助承包人办理法律规定的有关施工证件和批件。</w:t>
      </w:r>
    </w:p>
    <w:p w14:paraId="0063A6BE">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2.5 组织设计交底</w:t>
      </w:r>
    </w:p>
    <w:p w14:paraId="63FCC18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发包人应根据合同进度计划，组织设计单位向承包人进行设计交底。</w:t>
      </w:r>
    </w:p>
    <w:p w14:paraId="34A25E75">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2.6 支付合同价款</w:t>
      </w:r>
    </w:p>
    <w:p w14:paraId="3790510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发包人应按合同约定向承包人及时支付合同价款。</w:t>
      </w:r>
    </w:p>
    <w:p w14:paraId="22FB16DD">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2.7  组织竣工验收（组织法人验收）</w:t>
      </w:r>
    </w:p>
    <w:p w14:paraId="4B7B0B7A">
      <w:pPr>
        <w:widowControl w:val="0"/>
        <w:spacing w:line="240" w:lineRule="auto"/>
        <w:ind w:firstLine="420" w:firstLineChars="2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发包人应按合同约定及时组织法人验收。</w:t>
      </w:r>
    </w:p>
    <w:p w14:paraId="7B224192">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2.8 其他义务</w:t>
      </w:r>
    </w:p>
    <w:p w14:paraId="7962A93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其它义务在专用合同条款中补充约定。</w:t>
      </w:r>
    </w:p>
    <w:p w14:paraId="35578C3F">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3．监理人</w:t>
      </w:r>
    </w:p>
    <w:p w14:paraId="634AFCF6">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3.1 监理人的职责和权力</w:t>
      </w:r>
    </w:p>
    <w:p w14:paraId="65A2D86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3.1.1  监理人受发包人的委托，享有合同约定的权力。监理人的权力范围在专用合同条款中明确。当监理人认为出现了危及生命、工程或毗邻财产等安全的紧急事件时，在不免除合同约定的承包人责任的情况下，监理人可以指示承包人实施为消除或减少这种危险所必须进行的工作，即使没有发包人的事先批准，承包人也应立即遵照执行。监理人应按第15条的约定增加相应的费用，并通知承包人。</w:t>
      </w:r>
    </w:p>
    <w:p w14:paraId="7DFF0E6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3.1.2  监理人发出的任何指示应视为已得到发包人的批准，但监理人无权免除或变更合同约定的发包人和承包人的权利、义务和责任。</w:t>
      </w:r>
    </w:p>
    <w:p w14:paraId="269DB51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3.1.3  合同约定应由承包人承担的义务和责任，不因监理人对承包人提交文件的审查或批准，对工程、材料和设备的检查和检验，以及为实施监理作出的指示等职务行为而减轻或解除。</w:t>
      </w:r>
    </w:p>
    <w:p w14:paraId="51DCEDA1">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3.2 总监理工程师</w:t>
      </w:r>
    </w:p>
    <w:p w14:paraId="03654E1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发包人应在发出开工通知前将总监理工程师的任命通知承包人。总监理工程师更换时，应在调离14天前通知承包人。总监理工程师短期离开施工场地的，应委派代表代行其职责，并通知承包人。</w:t>
      </w:r>
    </w:p>
    <w:p w14:paraId="16106347">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3.3 监理人员</w:t>
      </w:r>
    </w:p>
    <w:p w14:paraId="53F68AB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3.3.1  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14:paraId="4F2EBDD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3.3.2  监理人员对承包人的任何工作、工程或其采用的材料和工程设备未在约定的或合理的期限内提出否定意见的，视为已获批准，但不影响监理人在以后拒绝该项工作、工程、材料或工程设备的权利。</w:t>
      </w:r>
    </w:p>
    <w:p w14:paraId="1A320AE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3.3.3  承包人对总监理工程师授权的监理人员发出的指示有疑问的，可向总监理工程师提出书面异议，总监理工程师应在48小时内对该指示予以确认、更改或撤销。</w:t>
      </w:r>
    </w:p>
    <w:p w14:paraId="06F8479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3.3.4  除专用合同条款另有约定外，总监理工程师不应将第3.5款约定应由总监理工程师作出确定的权力授权或委托给其他监理人员。</w:t>
      </w:r>
    </w:p>
    <w:p w14:paraId="6F77BB51">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3.4 监理人的指示</w:t>
      </w:r>
    </w:p>
    <w:p w14:paraId="628C3D6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3.4.1  监理人应按第3.1款的约定向承包人发出指示，监理人的指示应盖有监理人授权的施工场地机构章，并由总监理工程师或总监理工程师按第3.3.1项约定授权的监理人员签字。</w:t>
      </w:r>
    </w:p>
    <w:p w14:paraId="6556C20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3.4.2  承包人收到监理人按第3.4.1 项作出的指示后应遵照执行。指示构成变更的，应按第15 条处理。</w:t>
      </w:r>
    </w:p>
    <w:p w14:paraId="1ABBBA4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3.4.3  在紧急情况下，总监理工程师或被授权的监理人员可以当场签发临时书面指示，承包人应遵照执行。承包人应在收到上述临时书面指示后24小时内，向监理人发出书面确认函。监理人在收到书面确认函后24小时内未予答复的，该书面确认函应被视为监理人的正式指示。</w:t>
      </w:r>
    </w:p>
    <w:p w14:paraId="6ED70E8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3.4.4  除合同另有约定外，承包人只从总监理工程师或按第3.3.1 项被授权的监理人员处取得指示。</w:t>
      </w:r>
    </w:p>
    <w:p w14:paraId="433E2B7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3.4.5  由于监理人未能按合同约定发出指示、指示延误或指示错误而导致承包人费用增加和（或）工期延误的，由发包人承担赔偿责任。</w:t>
      </w:r>
    </w:p>
    <w:p w14:paraId="4CD9C0CD">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3.5 商定或确定</w:t>
      </w:r>
    </w:p>
    <w:p w14:paraId="6948DDF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3.5.1  合同约定总监理工程师应按照本款对任何事项进行商定或确定时，总监理工程师应与合同当事人协商，尽量达成一致。不能达成一致的，总监理工程师应认真研究后审慎确定。</w:t>
      </w:r>
    </w:p>
    <w:p w14:paraId="09C4A7D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3.5.2  总监理工程师应将商定或确定的事项通知合同当事人，并附详细依据。对总监理工程师的确定有异议的，构成争议，按照第24条的约定处理。在争议解决前，双方应暂按总监理工程师的确定执行，按照第24条的约定对总监理工程师的确定作出修改的，按修改后的结果执行。</w:t>
      </w:r>
    </w:p>
    <w:p w14:paraId="664DC168">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4．承包人</w:t>
      </w:r>
    </w:p>
    <w:p w14:paraId="2E452546">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4.1 承包人的一般义务</w:t>
      </w:r>
    </w:p>
    <w:p w14:paraId="0EDAE385">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4.1.1  遵守法律</w:t>
      </w:r>
    </w:p>
    <w:p w14:paraId="47ED166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承包人在履行合同过程中应遵守法律，并保证发包人免于承担因承包人违反法律而引起的任何责任。</w:t>
      </w:r>
    </w:p>
    <w:p w14:paraId="7F03053C">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4.1.2  依法纳税</w:t>
      </w:r>
    </w:p>
    <w:p w14:paraId="4949426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承包人应按有关法律规定纳税，应缴纳的税金包括在合同价格内。</w:t>
      </w:r>
    </w:p>
    <w:p w14:paraId="5283BD00">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4.1.3  完成各项承包工作</w:t>
      </w:r>
    </w:p>
    <w:p w14:paraId="6FBB2A4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应按合同约定以及监理人根据第3.4款作出的指示，实施、完成全部工程，并修补工程中的任何缺陷。除第5.2款、第6.2款另有约定外，承包人应提供为完成合同工作所需的劳务、材料、施工设备、工程设备和其它物品，并按合同约定负责临时设施的设计、建造、运行、维护、管理和拆除。</w:t>
      </w:r>
    </w:p>
    <w:p w14:paraId="3C0DF8B6">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4.1.4  对施工作业和施工方法的完备性负责</w:t>
      </w:r>
    </w:p>
    <w:p w14:paraId="507E6C8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承包人应按合同约定的工作内容和施工进度要求，编制施工组织设计和施工措施计划，并对所有施工作业和施工方法的完备性和安全可靠性负责。</w:t>
      </w:r>
    </w:p>
    <w:p w14:paraId="45FB18B1">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4.1.5  保证工程施工和人员的安全</w:t>
      </w:r>
    </w:p>
    <w:p w14:paraId="112B402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承包人应按第9.2 款约定采取施工安全措施，确保工程及其人员、材料、设备和设施的安全，防止因工程施工造成的人身伤害和财产损失。</w:t>
      </w:r>
    </w:p>
    <w:p w14:paraId="07BFE253">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4.1.6  负责施工场地及其周边环境与生态的保护工作</w:t>
      </w:r>
    </w:p>
    <w:p w14:paraId="4BA3C7F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承包人应按照第9.4 款约定负责施工场地及其周边环境与生态的保护工作。</w:t>
      </w:r>
    </w:p>
    <w:p w14:paraId="7B0A0F26">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4.1.7  避免施工对公众与他人的利益造成损害</w:t>
      </w:r>
    </w:p>
    <w:p w14:paraId="7CE6A57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141CE9BB">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4.1.8  为他人提供方便</w:t>
      </w:r>
    </w:p>
    <w:p w14:paraId="7038E18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承包人应按监理人的指示为他人在施工场地或附近实施与工程有关的其他各项工作提供可能的条件。除合同另有约定外，提供有关条件的内容和可能发生的费用，由监理人按第3.5 款商定或确定。</w:t>
      </w:r>
    </w:p>
    <w:p w14:paraId="2E9FB739">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4.1.9  工程的维护和照管</w:t>
      </w:r>
    </w:p>
    <w:p w14:paraId="5E3E7C1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除合同另有约定外，合同工程完工证书颁发前，承包人应负责照管和维护工程。合同工程完工证书颁发时尚有部分未完工程的，承包人还应负责该未完工程的照管和维护工作，直至完工后移交给发包人为止。</w:t>
      </w:r>
    </w:p>
    <w:p w14:paraId="745A8C34">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4.1.10  其他义务</w:t>
      </w:r>
    </w:p>
    <w:p w14:paraId="5A416F7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其它义务在专用合同条款中补充约定。</w:t>
      </w:r>
    </w:p>
    <w:p w14:paraId="0D7B5E95">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4.2 履约担保</w:t>
      </w:r>
    </w:p>
    <w:p w14:paraId="36E48E5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承包人应保证其履约担保在发包人颁发合同工程完工证书前一直有效。发包人应在合同工程完工证书颁发后28天内将履约担保退还给承包人。</w:t>
      </w:r>
    </w:p>
    <w:p w14:paraId="08C3348E">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4.3 分包</w:t>
      </w:r>
    </w:p>
    <w:p w14:paraId="2A12FFA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4.3.1  承包人不得将其承包的全部工程转包给第三人，或将其承包的全部工程肢解后以分包的名义转包给第三人。</w:t>
      </w:r>
    </w:p>
    <w:p w14:paraId="3D92A9B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4.3.2  承包人不得将工程主体、关键性工作分包给第三人。除专用合同条款另有约定外，未经发包人同意，承包人不得将工程的其他部分或工作分包给第三人。</w:t>
      </w:r>
    </w:p>
    <w:p w14:paraId="0B46728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4.3.3  分包人的资格能力应与其分包工程的标准和规模相适应。</w:t>
      </w:r>
    </w:p>
    <w:p w14:paraId="7509DCC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4.3.4  按投标函附录约定分包工程的，承包人应向发包人和监理人提交分包合同副本。</w:t>
      </w:r>
    </w:p>
    <w:p w14:paraId="3601410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4.3.5  承包人应与分包人就分包工程向发包人承担连带责任。</w:t>
      </w:r>
    </w:p>
    <w:p w14:paraId="05A5EB8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4.3.6  分包分为工程分包和劳务作业分包。工程分包应遵循合同约定或者经发包人书面认可。禁止承包人将本合同工程进行违法分包。分包人应具备与分包工程规模和标准相适应的资质和业绩，在人力、设备、资金等方面具有承担分包工程施工的能力。分包人应自行完成所承包的任务。</w:t>
      </w:r>
    </w:p>
    <w:p w14:paraId="3759511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4.3.7  在合同实施过程中，如承包人无力在合同规定的期限内完成合同中的应急防汛、抢险等危及公共安全和工程安全的项目，发包人可对该应急防汛、抢险等项目的部分工程指定分包人。因非承包人原因形成指定分包条件的，发包人的指定分包不应增加承包人的额外费用；因承包人原因形成指定分包条件的，承包人应承担指定分包所增加的费用。</w:t>
      </w:r>
    </w:p>
    <w:p w14:paraId="74FCCFE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由指定分包人造成的与其分包工作有关的一切索赔、诉讼和损失赔偿由指定分包人直接对发包人负责，承包人不对此承担责任。</w:t>
      </w:r>
    </w:p>
    <w:p w14:paraId="62DECF6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4.3.8  承包人和分包人应当签订分包合同，并履行合同约定的义务。分包合同必须遵循承包合同的各项原则，满足承包合同中相应条款的要求。发包人可以对分包合同实施情况进行监督检查。承包人应将分包合同副本提交发包人和监理人。</w:t>
      </w:r>
    </w:p>
    <w:p w14:paraId="6D96F79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4.3.9  除第4.3.7项规定的指定分包外，承包人对其分包项目的实施以及分包人的行为向发包人负全部责任。承包人应对分包项目的工程进度、质量、安全、计量和验收等实施监督和管理。</w:t>
      </w:r>
    </w:p>
    <w:p w14:paraId="2DDEC64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4.3.10  分包人应按专用合同条款的约定设立项目管理机构组织管理分包工程的施工活动。</w:t>
      </w:r>
    </w:p>
    <w:p w14:paraId="154ED0ED">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4.4 联合体</w:t>
      </w:r>
    </w:p>
    <w:p w14:paraId="53011E9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4.4.1  联合体各方应共同与发包人签订合同协议书。联合体各方应为履行合同承担连带责任。</w:t>
      </w:r>
    </w:p>
    <w:p w14:paraId="1EB6F9C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4.4.2  联合体协议经发包人确认后作为合同附件。在履行合同过程中，未经发包人同意，不得修改联合体协议。</w:t>
      </w:r>
    </w:p>
    <w:p w14:paraId="2B063AB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4.4.3  联合体牵头人负责与发包人和监理人联系，并接受指示，负责组织联合体各成员全面履行合同。</w:t>
      </w:r>
    </w:p>
    <w:p w14:paraId="3264ECB0">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4.5 承包人项目经理</w:t>
      </w:r>
    </w:p>
    <w:p w14:paraId="1054775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4.5.1  承包人应按合同约定指派项目经理，并在约定的期限内到职。承包人更换项目经理应事先征得发包人同意，并应在更换14 天前通知发包人和监理人。承包人项目经理短期离开施工场地，应事先征得监理人同意，并委派代表代行其职责。</w:t>
      </w:r>
    </w:p>
    <w:p w14:paraId="76B2E60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4.5.2  承包人项目经理应按合同约定以及监理人按第3.4 款作出的指示，负责组织合同工程的实施。在情况紧急且无法与监理人取得联系时，可采取保证工程和人员生命财产安全的紧急措施，并在采取措施后24 小时内向监理人提交书面报告。</w:t>
      </w:r>
    </w:p>
    <w:p w14:paraId="2109324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4.5.3  承包人为履行合同发出的一切函件均应盖有承包人授权的施工场地管理机构章，并由承包人项目经理或其授权代表签字。</w:t>
      </w:r>
    </w:p>
    <w:p w14:paraId="351A9B5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4.5.4  承包人项目经理可以授权其下属人员履行其某项职责，但事先应将这些人员的姓名和授权范围通知监理人。</w:t>
      </w:r>
    </w:p>
    <w:p w14:paraId="07450F16">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4.6 承包人人员的管理</w:t>
      </w:r>
    </w:p>
    <w:p w14:paraId="1BBF6E2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4.6.1  承包人应在接到开工通知后28 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5F4F083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4.6.2  为完成合同约定的各项工作，承包人应向施工场地派遣或雇佣足够数量的下列人员：</w:t>
      </w:r>
    </w:p>
    <w:p w14:paraId="5B74615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（1）具有相应资格的专业技工和合格的普工；</w:t>
      </w:r>
    </w:p>
    <w:p w14:paraId="7147851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（2）具有相应施工经验的技术人员；</w:t>
      </w:r>
    </w:p>
    <w:p w14:paraId="1686488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（3）具有相应岗位资格的各级管理人员。</w:t>
      </w:r>
    </w:p>
    <w:p w14:paraId="560982B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4.6.3  承包人安排在施工场地的主要管理人员和技术骨干应相对稳定。承包人更换主要管理人员和技术骨干时，应取得监理人的同意。</w:t>
      </w:r>
    </w:p>
    <w:p w14:paraId="55DDB39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4.6.4  特殊岗位的工作人员均应持有相应的资格证明，监理人有权随时检查。监理人认为有必要时，可进行现场考核。</w:t>
      </w:r>
    </w:p>
    <w:p w14:paraId="7B9C33BD">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4.7 撤换承包人项目经理和其他人员</w:t>
      </w:r>
    </w:p>
    <w:p w14:paraId="13E9231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承包人应对其项目经理和其他人员进行有效管理。监理人要求撤换不能胜任本职工作、行为不端或玩忽职守的承包人项目经理和其他人员的，承包人应予以撤换。</w:t>
      </w:r>
    </w:p>
    <w:p w14:paraId="47461850">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4.8 保障承包人人员的合法权益</w:t>
      </w:r>
    </w:p>
    <w:p w14:paraId="516CA49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4.8.1  承包人应与其雇佣的人员签订劳动合同，并按时发放工资。</w:t>
      </w:r>
    </w:p>
    <w:p w14:paraId="74A99F1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4.8.2  承包人应按劳动法的规定安排工作时间，保证其雇佣人员享有休息和休假的权利。因工程施工的特殊需要占用休假日或延长工作时间的，应不超过法律规定的限度，并按法律规定给予补休或付酬。</w:t>
      </w:r>
    </w:p>
    <w:p w14:paraId="120FDAC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4.8.3  承包人应为其雇佣人员提供必要的食宿条件，以及符合环境保护和卫生要求的生活环境，在远离城镇的施工场地，还应配备必要的伤病防治和急救的医务人员与医疗设施。</w:t>
      </w:r>
    </w:p>
    <w:p w14:paraId="7E1FCEF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4.8.4  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1FA2CAF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4.8.5  承包人应按有关法律规定和合同约定，为其雇佣人员办理保险。</w:t>
      </w:r>
    </w:p>
    <w:p w14:paraId="3DACEE0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4.8.6  承包人应负责处理其雇佣人员因工伤亡事故的善后事宜。</w:t>
      </w:r>
    </w:p>
    <w:p w14:paraId="364B53D9">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4.9 工程价款应专款专用</w:t>
      </w:r>
    </w:p>
    <w:p w14:paraId="52E91D4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发包人按合同约定支付给承包人的各项价款应专用于合同工程。</w:t>
      </w:r>
    </w:p>
    <w:p w14:paraId="06F115E6">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4.10 承包人现场查勘</w:t>
      </w:r>
    </w:p>
    <w:p w14:paraId="246B4CA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4.10.1  发包人应将其持有的现场地质勘探资料、水文气象资料提供给承包人，并对其准确性负责。但承包人应对其阅读上述有关资料后所作出的解释和推断负责。</w:t>
      </w:r>
    </w:p>
    <w:p w14:paraId="14798B9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4.10.2  承包人应对施工场地和周围环境进行查勘，并收集有关地质、水文、气象条件、交通条件、风俗习惯以及其他为完成合同工作有关的当地资料。在全部合同工作中，应视为承包人已充分估计了应承担的责任和风险。</w:t>
      </w:r>
    </w:p>
    <w:p w14:paraId="4026A172">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4.11 不利物质条件</w:t>
      </w:r>
    </w:p>
    <w:p w14:paraId="15C2D46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4.11.1  除专用合同条款另有约定外，不利物质条件是指在施工中遭遇不可预见的外界障碍或自然条件造成施工受阻。</w:t>
      </w:r>
    </w:p>
    <w:p w14:paraId="75BDA28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4.11.2  承包人遇到不利物质条件时，应采取适应不利物质条件的合理措施继续施工，并及时通知监理人。承包人有权根据第23.1款的约定，要求延长工期及增加费用。监理人收到此类要求后，应在分析上述外界障碍或自然条件是否不可预见及不可预见程度的基础上，按照通用合同条款第15条的约定办理。</w:t>
      </w:r>
    </w:p>
    <w:p w14:paraId="3E73621A">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5．材料和工程设备</w:t>
      </w:r>
    </w:p>
    <w:p w14:paraId="77CAA82E">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5.1承包人提供的材料和工程设备</w:t>
      </w:r>
    </w:p>
    <w:p w14:paraId="3246CAA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5.1.1  除第5.2款约定由发包人提供的材料和工程设备外，承包人负责采购、运输和保管完成本合同工作所需的材料和工程设备。承包人应对其采购的材料和工程设备负责。</w:t>
      </w:r>
    </w:p>
    <w:p w14:paraId="0D05203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5.1.2  承包人应按专用合同条款的约定，将各项材料和工程设备的供货人及品种、规格、数量和供货时间等报送监理人审批。承包人应向监理人提交其负责提供的材料和工程设备的质量证明文件，并满足合同约定的质量标准。</w:t>
      </w:r>
    </w:p>
    <w:p w14:paraId="54F3E54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5.1.3  对承包人提供的材料和工程设备，承包人应会同监理人进行检验和交货验收，查验材料合格证明和产品合格证书，并按合同约定和监理人指示，进行材料的抽样检验和工程设备的检验测试，检验和测试结果应提交监理人，所需费用由承包人承担。</w:t>
      </w:r>
    </w:p>
    <w:p w14:paraId="126AC4C3">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5.2 发包人提供的材料和工程设备</w:t>
      </w:r>
    </w:p>
    <w:p w14:paraId="764FC01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5.2.1 发包人提供的材料和工程设备，应在专用合同条款中写明材料和工程设备的名称、规格、数量、价格、交货方式、交货地点和计划交货日期等。</w:t>
      </w:r>
    </w:p>
    <w:p w14:paraId="1DAEC17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5.2.2  承包人应根据合同进度计划的安排，向监理人报送要求发包人交货的日期计划。发包人应按照监理人与合同双方当事人商定的交货日期，向承包人提交材料和工程设备。</w:t>
      </w:r>
    </w:p>
    <w:p w14:paraId="2FB5198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5.2.3  发包人应在材料和工程设备到货7天前通知承包人，承包人应会同监理人在约定的时间内，赴交货地点共同进行验收。发包人提供的材料和工程设备运至交货地点验收后，由承包人负责接收、卸货、运输和保管。</w:t>
      </w:r>
    </w:p>
    <w:p w14:paraId="73DBDE8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5.2.4  发包人要求向承包人提前交货的，承包人不得拒绝，但发包人应承担承包人由此增加的费用。</w:t>
      </w:r>
    </w:p>
    <w:p w14:paraId="7867B31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5.2.5  承包人要求更改交货日期或地点的，应事先报请监理人批准。由于承包人要求更改交货时间或地点所增加的费用和（或）工期延误由承包人承担。</w:t>
      </w:r>
    </w:p>
    <w:p w14:paraId="0E6AD55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5.2.6  发包人提供的材料和工程设备的规格、数量或质量不符合合同要求，或由于发包人原因发生交货日期延误及交货地点变更等情况的，发包人应承担由此增加的费用和（或）工期延误，并向承包人支付合理利润。</w:t>
      </w:r>
    </w:p>
    <w:p w14:paraId="3F6B949C">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5.3 材料和工程设备专用于合同工程</w:t>
      </w:r>
    </w:p>
    <w:p w14:paraId="4C59917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5.3.1  运入施工场地的材料、工程设备，包括备品备件、安装专用工器具与随机资料，必须专用于合同工程，未经监理人同意，承包人不得运出施工场地或挪作他用。</w:t>
      </w:r>
    </w:p>
    <w:p w14:paraId="7587CC5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5.3.2  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14:paraId="68C495A9">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5.4 禁止使用不合格的材料和工程设备</w:t>
      </w:r>
    </w:p>
    <w:p w14:paraId="0CAFC2E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5.4.1  监理人有权拒绝承包人提供的不合格材料或工程设备，并要求承包人立即进行更换。监理人应在更换后再次进行检查和检验，由此增加的费用和（或）工期延误由承包人承担。</w:t>
      </w:r>
    </w:p>
    <w:p w14:paraId="1830F3E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5.4.2  监理人发现承包人使用了不合格的材料和工程设备，应即时发出指示要求承包人立即改正，并禁止在工程中继续使用不合格的材料和工程设备。</w:t>
      </w:r>
    </w:p>
    <w:p w14:paraId="4FE3226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5.4.3  发包人提供的材料或工程设备不符合合同要求的，承包人有权拒绝，并可要求发包人更换，由此增加的费用和（或）工期延误由发包人承担。</w:t>
      </w:r>
    </w:p>
    <w:p w14:paraId="17F89F2E">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6．施工设备和临时设施</w:t>
      </w:r>
    </w:p>
    <w:p w14:paraId="7EC44B19">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6.1承包人提供的施工设备和临时设施</w:t>
      </w:r>
    </w:p>
    <w:p w14:paraId="58D8B54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6.1.1  承包人应按合同进度计划的要求，及时配置施工设备和修建临时设施。进入施工场地的承包人设备需经监理人核查后才能投入使用。承包人更换合同约定的承包人设备的，应报监理人批准。</w:t>
      </w:r>
    </w:p>
    <w:p w14:paraId="76E687A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6.1.2  除专用合同条款另有约定外，承包人应自行承担修建临时设施的费用，需要临时占地的，应由发包人办理申请手续并承担相应费用。</w:t>
      </w:r>
    </w:p>
    <w:p w14:paraId="2156BA65">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6.2 发包人提供的施工设备和临时设施</w:t>
      </w:r>
    </w:p>
    <w:p w14:paraId="663F61D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发包人提供的施工设备或临时设施在专用合同条款中约定。</w:t>
      </w:r>
    </w:p>
    <w:p w14:paraId="6CCEE3A1">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6.3 要求承包人增加或更换施工设备</w:t>
      </w:r>
    </w:p>
    <w:p w14:paraId="48163AF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承包人使用的施工设备不能满足合同进度计划和（或）质量要求时，监理人有权要求承包人增加或更换施工设备，承包人应及时增加或更换，由此增加的费用和（或）工期延误由承包人承担。</w:t>
      </w:r>
    </w:p>
    <w:p w14:paraId="0D859986">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6.4 施工设备和临时设施专用于合同工程</w:t>
      </w:r>
    </w:p>
    <w:p w14:paraId="78BCA49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6.4.1  除合同另有约定外，运入施工场地的所有施工设备以及在施工场地建设的临时设施应专用于合同工程。未经监理人同意，不得将上述施工设备和临时设施中的任何部分运出施工场地或挪作他用。</w:t>
      </w:r>
    </w:p>
    <w:p w14:paraId="5468638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6.4.2  经监理人同意，承包人可根据合同进度计划撤走闲置的施工设备。</w:t>
      </w:r>
    </w:p>
    <w:p w14:paraId="3F7B25C5">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7．交通运输</w:t>
      </w:r>
    </w:p>
    <w:p w14:paraId="42FD5C1D">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7.1道路通行权和场外设施</w:t>
      </w:r>
    </w:p>
    <w:p w14:paraId="1DAFABF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除专用合同条款另有约定外，承包人应根据合同工程的施工需要，负责办理取得出入施工场地的专用和临时道路的通行权，以及取得为工程建设所需修建场外设施的权利，并承担相关费用。发包人应协助承包人办理上述手续。</w:t>
      </w:r>
    </w:p>
    <w:p w14:paraId="7BABCA85">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7.2 场内施工道路</w:t>
      </w:r>
    </w:p>
    <w:p w14:paraId="33CC5FD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7.2.1  除本合同约定由发包人提供的部分道路和交通设施外，承包人应负责修建、维修、养护和管理其施工所需的全部临时道路和交通设施（包括合同约定由发包人提供的部分道路和交通设施的维修、养护和管理），并承担相应费用。</w:t>
      </w:r>
    </w:p>
    <w:p w14:paraId="1C1B33A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7.2.2  承包人修建的临时道路和交通设施，应免费提供发包人、监理人以及与本合同有关的其他承包人使用。</w:t>
      </w:r>
    </w:p>
    <w:p w14:paraId="1A0237AA">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7.3 场外交通</w:t>
      </w:r>
    </w:p>
    <w:p w14:paraId="672282B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7.3.1  承包人车辆外出行驶所需的场外公共道路的通行费、养路费和税款等由承包人承担。</w:t>
      </w:r>
    </w:p>
    <w:p w14:paraId="62948AF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7.3.2  承包人应遵守有关交通法规，严格按照道路和桥梁的限制荷重安全行驶，并服从交通管理部门的检查和监督。</w:t>
      </w:r>
    </w:p>
    <w:p w14:paraId="560E047E">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7.4 超大件和超重件的运输</w:t>
      </w:r>
    </w:p>
    <w:p w14:paraId="5026D7F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4818D9DF">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7.5 道路和桥梁的损坏责任</w:t>
      </w:r>
    </w:p>
    <w:p w14:paraId="653FB31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因承包人运输造成施工场地内外公共道路和桥梁损坏的，由承包人承担修复损坏的全部费用和可能引起的赔偿。</w:t>
      </w:r>
    </w:p>
    <w:p w14:paraId="26FCFC19">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7.6 水路和航空运输</w:t>
      </w:r>
    </w:p>
    <w:p w14:paraId="32A0BF0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本条上述各款的内容适用于水路运输和航空运输，其中“道路”一词的涵义包括河道、航线、船闸、机场、码头、堤防以及水路或航空运输中其他相似结构物；“车辆”一词的涵义包括船舶和飞机等。</w:t>
      </w:r>
    </w:p>
    <w:p w14:paraId="0B354576">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8．测量放线</w:t>
      </w:r>
    </w:p>
    <w:p w14:paraId="4780BA9F">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8.1施工控制网</w:t>
      </w:r>
    </w:p>
    <w:p w14:paraId="6591ECF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8.1.1  除专用合同条款另有约定外，施工控制网由承包人负责测设，发包人应在本合同协议书签订后的14天内，向承包人提供测量基准点、基准线和水准点及其相关资料。承包人应在收到上述资料后的28天内，将施测的施工控制网资料提交监理人审批。监理人应在收到报批件后的14天内批复承包人。</w:t>
      </w:r>
    </w:p>
    <w:p w14:paraId="4E3B08D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8.1.2  承包人应负责管理施工控制网点。施工控制网点丢失或损坏的，承包人应及时修复。承包人应承担施工控制网点的管理与修复费用，并在工程竣工后将施工控制网点移交发包人。</w:t>
      </w:r>
    </w:p>
    <w:p w14:paraId="7AFCB760">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8.2 施工测量</w:t>
      </w:r>
    </w:p>
    <w:p w14:paraId="3FA07B7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8.2.1  承包人应负责施工过程中的全部施工测量放线工作，并配置合格的人员、仪器、设备和其他物品。</w:t>
      </w:r>
    </w:p>
    <w:p w14:paraId="211CE03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8.2.2  监理人可以指示承包人进行抽样复测，当复测中发现错误或出现超过合同约定的误差时，承包人应按监理人指示进行修正或补测，并承担相应的复测费用。</w:t>
      </w:r>
    </w:p>
    <w:p w14:paraId="505800F3">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8.3 基准资料错误的责任</w:t>
      </w:r>
    </w:p>
    <w:p w14:paraId="233DFDE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14:paraId="16C9E348">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8.4 监理人使用施工控制网</w:t>
      </w:r>
    </w:p>
    <w:p w14:paraId="05B3A8B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监理人需要使用施工控制网的，承包人应提供必要的协助，发包人不再为此支付费用。</w:t>
      </w:r>
    </w:p>
    <w:p w14:paraId="3E0D64B9">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8.5  补充地质勘探</w:t>
      </w:r>
    </w:p>
    <w:p w14:paraId="4779E07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在合同实施期间，监理人可以指示承包人进行必要的补充地质勘探并提供有关资料。承包人为本合同永久工程施工的需要进行补充地质勘探时，须经监理人批准，并应向监理人提交有关资料，上述补充勘探的费用由发包人承担。承包人为其临时工程设计及施工的需要进行的补充地质勘探，其费用由承包人承担。</w:t>
      </w:r>
    </w:p>
    <w:p w14:paraId="1FB12D8E">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9．施工安全、治安保卫和环境保护</w:t>
      </w:r>
    </w:p>
    <w:p w14:paraId="0446AD1A">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9.1发包人的施工安全责任</w:t>
      </w:r>
    </w:p>
    <w:p w14:paraId="38E8298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9.1.1  发包人应按合同约定履行安全职责。发包人委托监理人根据国家有关安全的法律、法规、强制性标准以及部门规章，对承包人的安全责任履行情况进行监督和检查。监理人的监督检查不减轻承包人应负的安全责任。</w:t>
      </w:r>
    </w:p>
    <w:p w14:paraId="09557A1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9.1.2  发包人应对其现场机构雇佣的全部人员的工伤事故承担责任，但由于承包人原因造成发包人人员工伤的，应由承包人承担责任。</w:t>
      </w:r>
    </w:p>
    <w:p w14:paraId="452A587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9.1.3  发包人应负责赔偿以下各种情况造成的第三者人身伤亡和财产损失：</w:t>
      </w:r>
    </w:p>
    <w:p w14:paraId="089BCB6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（1）工程或工程的任何部分对土地的占用所造成的第三者财产损失；</w:t>
      </w:r>
    </w:p>
    <w:p w14:paraId="0A54017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（2）由于发包人原因在施工场地及其毗邻地带造成的第三者人身伤亡和财产损失。</w:t>
      </w:r>
    </w:p>
    <w:p w14:paraId="1346EB4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9.1.4  除专用合同条款另有约定外，发包人负责向承包人提供施工现场及施工可能影响的毗邻区域内供水、排水、供电、供气、供热、通信、广播电视等地下管线资料，气象和水文观测资料，拟建工程可能影响的相邻建筑物地下工程的有关资料，并保证有关资料的真实、准确、完整，满足有关技术规程的要求。</w:t>
      </w:r>
    </w:p>
    <w:p w14:paraId="35B55F3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9.1.5  发包人按照已标价工程量清单所列金额和合同约定的计量支付规定，支付安全作业环境及安全施工措施所需费用。</w:t>
      </w:r>
    </w:p>
    <w:p w14:paraId="2193CF7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9.1.6  发包人负责组织工程参建单位编制保证安全生产的措施方案。工程开工前，就落实保证安全生产的措施进行全面系统的布置，进一步明确承包人的安全生产责任。</w:t>
      </w:r>
    </w:p>
    <w:p w14:paraId="1CE5D50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9.1.7  发包人负责在拆除工程和爆破工程施工14天前向有关部门或机构报送相关备案资料。</w:t>
      </w:r>
    </w:p>
    <w:p w14:paraId="723A9FFA">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9.2 承包人的施工安全责任</w:t>
      </w:r>
    </w:p>
    <w:p w14:paraId="018565B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9.2.1  承包人应按合同约定履行安全职责，执行监理人有关安全工作的指示。承包人应按技术标准和要求（合同技术条款）约定的内容和期限，以及监理人的指示，编制施工安全技术措施提交监理人审批。监理人应在技术标准和要求（合同技术条款）约定的期限内批复承包人。</w:t>
      </w:r>
    </w:p>
    <w:p w14:paraId="70BA07A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9.2.2  承包人应加强施工作业安全管理，特别应加强易燃、易爆材料、火工器材、有毒与腐蚀性材料和其他危险品的管理，以及对爆破作业和地下工程施工等危险作业的管理。</w:t>
      </w:r>
    </w:p>
    <w:p w14:paraId="4F62CE0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9.2.3  承包人应严格按照国家安全标准制定施工安全操作规程，配备必要的安全生产和劳动保护设施，加强对承包人人员的安全教育，并发放安全工作手册和劳动保护用具。</w:t>
      </w:r>
    </w:p>
    <w:p w14:paraId="791ABE8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9.2.4  承包人应按监理人的指示制定应对灾害的紧急预案，报送监理人审批。承包人还应按预案做好安全检查，配置必要的救助物资和器材，切实保护好有关人员的人身和财产安全。</w:t>
      </w:r>
    </w:p>
    <w:p w14:paraId="29AF6A0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9.2.5  合同约定的安全作业环境及安全施工措施所需费用应遵守有关规定，并包括在相关工作的合同价格中。因采取合同未约定的安全作业环境及安全施工措施增加的费用，由监理人按第3.5款商定或确定。</w:t>
      </w:r>
    </w:p>
    <w:p w14:paraId="3090BC6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9.2.6  承包人应对其履行合同所雇佣的全部人员，包括分包人人员的工伤事故承担责任，但由于发包人原因造成承包人人员工伤事故的，应由发包人承担责任。</w:t>
      </w:r>
    </w:p>
    <w:p w14:paraId="030B43B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9.2.7  由于承包人原因在施工场地内及其毗邻地带造成的第三者人员伤亡和财产损失，由承包人负责赔偿。</w:t>
      </w:r>
    </w:p>
    <w:p w14:paraId="5BC7ADD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9.2.8  承包人已标价工程量清单应包含工程安全作业环境及安全施工措施所需费用。</w:t>
      </w:r>
    </w:p>
    <w:p w14:paraId="3D8623D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9.2.9  承包人应建立健全安全生产责任制度和安全生产教育培训制度，制定安全生产规章制度和操作规程，保证本单位建立和完善安全生产条件所需资金的投入，对本工程进行定期和专项安全检查，并做好安全检查记录。</w:t>
      </w:r>
    </w:p>
    <w:p w14:paraId="666E240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9.2.10  承包人应设立安全生产管理机构，施工现场应有专职安全生产管理人员。</w:t>
      </w:r>
    </w:p>
    <w:p w14:paraId="5A46D6C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9.2.11  承包人应负责对特种作业人员进行专门的安全作业培训，并保证特种作业人员持证上岗。</w:t>
      </w:r>
    </w:p>
    <w:p w14:paraId="0CF1C0C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9.2.12  承包人应在施工组织设计中编制安全技术措施和施工现场临时用电方案。对专用合同条款约定的工程，应编制专项施工方案报监理人批准。对专用合同条款约定的专项施工方案，还应组织专家进行论证、审查，其中专家1/2人员应经发包人同意。</w:t>
      </w:r>
    </w:p>
    <w:p w14:paraId="72BB070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9.2.13  承包人在使用施工起重机械和整体提升脚手架、模板等自升式架设设施前，应组织有关单位进行验收。</w:t>
      </w:r>
    </w:p>
    <w:p w14:paraId="02C037BE">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9.3 治安保卫</w:t>
      </w:r>
    </w:p>
    <w:p w14:paraId="0CE37CE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9.3.1  除合同另有约定外，发包人应与当地公安部门协商，在现场建立治安管理机构或联防组织，统一管理施工场地的治安保卫事项，履行合同工程的治安保卫职责。</w:t>
      </w:r>
    </w:p>
    <w:p w14:paraId="78AD6E3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9.3.2  发包人和承包人除应协助现场治安管理机构或联防组织维护施工场地的社会治安外，还应做好包括生活区在内的各自管辖区的治安保卫工作。</w:t>
      </w:r>
    </w:p>
    <w:p w14:paraId="4CCB710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9.3.3  除合同另有约定外，发包人和承包人应在工程开工后，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减少财产损失和避免人员伤亡。</w:t>
      </w:r>
    </w:p>
    <w:p w14:paraId="7BACCD71">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9.4 环境保护</w:t>
      </w:r>
    </w:p>
    <w:p w14:paraId="1DDCB79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9.4.1  承包人在施工过程中，应遵守有关环境保护的法律，履行合同约定的环境保护义务，并对违反法律和合同约定义务所造成的环境破坏、人身伤害和财产损失负责。</w:t>
      </w:r>
    </w:p>
    <w:p w14:paraId="093FF5A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9.4.2  承包人应按合同约定的环保工作内容，编制施工环保措施计划，报送监理人审批。</w:t>
      </w:r>
    </w:p>
    <w:p w14:paraId="13B6745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9.4.3  承包人应按照批准的施工环保措施计划有序地堆放和处理施工废弃物，避免对环境造成破坏。因承包人任意堆放或弃置施工废弃物造成妨碍公共交通、影响城镇居民生活、降低河流行洪能力、危及居民安全、破坏周边环境，或者影响其他承包人施工等后果的，承包人应承担责任。</w:t>
      </w:r>
    </w:p>
    <w:p w14:paraId="599A723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9.4.4  承包人应按合同约定采取有效措施，对施工开挖的边坡及时进行支护,维护排水设施，并进行水土保护，避免因施工造成的地质灾害。</w:t>
      </w:r>
    </w:p>
    <w:p w14:paraId="1AA580E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9.4.5  承包人应按国家饮用水管理标准定期对饮用水源进行监测，防止施工活动污染饮用水源。</w:t>
      </w:r>
    </w:p>
    <w:p w14:paraId="0426EBA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9.4.6  承包人应按合同约定，加强对噪声、粉尘、废气、废水和废油的控制，努力降低噪声，控制粉尘和废气浓度，做好废水和废油的治理和排放。</w:t>
      </w:r>
    </w:p>
    <w:p w14:paraId="22216E43">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9.5 事故处理</w:t>
      </w:r>
    </w:p>
    <w:p w14:paraId="329767A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9.5.1  发包人负责组织参建单位制定本工程的质量与安全事故应急预案，建立质量与安全事故应急处置指挥部。</w:t>
      </w:r>
    </w:p>
    <w:p w14:paraId="62D17FF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9.5.2  承包人应对施工现场易发生重大事故的部位、环节进行监控，配备救援器材、设备，并定期组织演练。</w:t>
      </w:r>
    </w:p>
    <w:p w14:paraId="2910C5E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9.5.3  工程开工前，承包人应根据本工程的特点制定施工现场施工质量与安全事故应急预案，并报发包人备案。</w:t>
      </w:r>
    </w:p>
    <w:p w14:paraId="2751997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9.5.4  施工过程中发生事故时，发包人、承包人应立即启动应急预案。</w:t>
      </w:r>
    </w:p>
    <w:p w14:paraId="476E3B0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9.5.5  事故调查处理由发包人按相关规定履行手续，承包人应配合。</w:t>
      </w:r>
    </w:p>
    <w:p w14:paraId="2D8568B2">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9.6  水土保持</w:t>
      </w:r>
    </w:p>
    <w:p w14:paraId="18467D1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9.6.1  发包人应及时向承包人提供水土保持方案。</w:t>
      </w:r>
    </w:p>
    <w:p w14:paraId="2D9C642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9.6.2  承包人在施工过程中，应遵守有关水土保持的法律法规和规章，履行合同约定的水土保持义务，并对其违反法律和合同约定义务所造成的水土流失灾害、人身伤害和财产损失负责。</w:t>
      </w:r>
    </w:p>
    <w:p w14:paraId="23CD50E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9.6.3  承包人的水土保持措施计划，应满足技术标准和要求（合同技术条款）约定的要求。</w:t>
      </w:r>
    </w:p>
    <w:p w14:paraId="715938D9">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9.7  文明工地</w:t>
      </w:r>
    </w:p>
    <w:p w14:paraId="7CAD574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9.7.1  发包人应按专用合同条款的约定，负责建立创建文明建设工地的组织机构，制定创建文明建设工地的规划和办法。</w:t>
      </w:r>
    </w:p>
    <w:p w14:paraId="64F102E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9.7.2  承包人应按创建文明建设工地的规划和办法，履行职责，承担相应责任。所需费用应含在已标价工程量清单中。</w:t>
      </w:r>
    </w:p>
    <w:p w14:paraId="17CEACAB">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9.8  防汛度汛</w:t>
      </w:r>
    </w:p>
    <w:p w14:paraId="0EE88C1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9.8.1  发包人负责组织工程参建单位编制本工程的度汛方案和措施。</w:t>
      </w:r>
    </w:p>
    <w:p w14:paraId="49BAA4B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9.8.2  承包人应根据发包人编制的本工程度汛方案和措施，制定相应的度汛方案，报发包人批准后实施。</w:t>
      </w:r>
    </w:p>
    <w:p w14:paraId="48F9166A">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10．进度计划</w:t>
      </w:r>
    </w:p>
    <w:p w14:paraId="7C9C0D58">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10.1 合同进度计划</w:t>
      </w:r>
    </w:p>
    <w:p w14:paraId="38B88D2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应按技术标准和要求（合同技术条款）约定的内容和期限以及监理人的指示，编制详细的施工总进度计划及其说明提交监理人审批。监理人应在技术标准和要求（合同技术条款）约定的期限内批复承包人，否则该进度计划视为已得到批准。经监理人批准的施工进度计划称为合同进度计划，是控制合同工程进度的依据。承包人还应根据合同进度计划，编制更为详细的分阶段或单位工程或分部工程进度计划，报监理人审批。</w:t>
      </w:r>
    </w:p>
    <w:p w14:paraId="42FB1B3B">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10.2 合同进度计划的修订</w:t>
      </w:r>
    </w:p>
    <w:p w14:paraId="01C8BC9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不论何种原因造成工程的实际进度与第10.1款的合同进度计划不符时，承包人均应在14天内向监理人提交修订合同进度计划的申请报告，并附有关措施和相关资料，报监理人审批，监理人应在收到申请报告后的14天内批复。当监理人认为需要修订合同进度计划时，承包人应按监理人的指示，在14天内向监理人提交修订的合同进度计划，并附调整计划的相关资料，提交监理人审批。监理人应在收到进度计划后的14天内批复。</w:t>
      </w:r>
    </w:p>
    <w:p w14:paraId="5AF6457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不论何种原因造成施工进度延迟，承包人均应按监理人的指示，采取有效措施赶上进度。承包人应在向监理人提交修订合同进度计划的同时，编制一份赶工措施报告提交监理人审批。由于发包人原因造成施工进度延迟，应按第11.3款的约定办理；由于承包人原因造成施工进度延迟，应按第11.5款的约定办理。</w:t>
      </w:r>
    </w:p>
    <w:p w14:paraId="3A47A136">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10.3  单位工程进度计划</w:t>
      </w:r>
    </w:p>
    <w:p w14:paraId="05B24FF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监理人认为有必要时，承包人应按监理人指示的内容和期限，并根据合同进度计划的进度控制要求，编制单位工程进度计划，提交监理人审批。</w:t>
      </w:r>
    </w:p>
    <w:p w14:paraId="45F46288">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10.4  提交资金流估算表</w:t>
      </w:r>
    </w:p>
    <w:p w14:paraId="4B43687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应在按第10.1款约定向监理人提交施工总进度计划的同时，按下表约定的格式，向监理人提交按月的资金流估算表。估算表应包括承包人计划可从发包人处得到的全部款额，以供发包人参考。此后，当监理人提出要求时，承包人应在监理人指定的期限内提交修订的资金流估算表。</w:t>
      </w:r>
    </w:p>
    <w:p w14:paraId="05724D01">
      <w:pPr>
        <w:widowControl w:val="0"/>
        <w:spacing w:before="156" w:beforeLines="50" w:after="156" w:afterLines="50" w:line="240" w:lineRule="auto"/>
        <w:ind w:firstLine="422" w:firstLineChars="200"/>
        <w:jc w:val="center"/>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资金流估算表（参考格式）</w:t>
      </w:r>
    </w:p>
    <w:p w14:paraId="3F09A6DC">
      <w:pPr>
        <w:widowControl w:val="0"/>
        <w:spacing w:line="240" w:lineRule="auto"/>
        <w:ind w:firstLine="7560" w:firstLineChars="36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金额单位</w:t>
      </w:r>
    </w:p>
    <w:tbl>
      <w:tblPr>
        <w:tblStyle w:val="4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426"/>
        <w:gridCol w:w="1187"/>
        <w:gridCol w:w="1062"/>
        <w:gridCol w:w="1206"/>
        <w:gridCol w:w="1151"/>
        <w:gridCol w:w="927"/>
        <w:gridCol w:w="615"/>
        <w:gridCol w:w="851"/>
        <w:gridCol w:w="1158"/>
      </w:tblGrid>
      <w:tr w14:paraId="1144B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6" w:type="dxa"/>
            <w:noWrap w:val="0"/>
            <w:vAlign w:val="center"/>
          </w:tcPr>
          <w:p w14:paraId="42BC46E5">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年</w:t>
            </w:r>
          </w:p>
        </w:tc>
        <w:tc>
          <w:tcPr>
            <w:tcW w:w="426" w:type="dxa"/>
            <w:noWrap w:val="0"/>
            <w:vAlign w:val="center"/>
          </w:tcPr>
          <w:p w14:paraId="52C2A251">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月</w:t>
            </w:r>
          </w:p>
        </w:tc>
        <w:tc>
          <w:tcPr>
            <w:tcW w:w="1187" w:type="dxa"/>
            <w:noWrap w:val="0"/>
            <w:vAlign w:val="center"/>
          </w:tcPr>
          <w:p w14:paraId="5D934BC2">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工程预付款</w:t>
            </w:r>
          </w:p>
        </w:tc>
        <w:tc>
          <w:tcPr>
            <w:tcW w:w="1062" w:type="dxa"/>
            <w:noWrap w:val="0"/>
            <w:vAlign w:val="center"/>
          </w:tcPr>
          <w:p w14:paraId="6452F688">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完成工作量付款</w:t>
            </w:r>
          </w:p>
        </w:tc>
        <w:tc>
          <w:tcPr>
            <w:tcW w:w="1206" w:type="dxa"/>
            <w:noWrap w:val="0"/>
            <w:vAlign w:val="center"/>
          </w:tcPr>
          <w:p w14:paraId="17D8D90F">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质量保证金扣留</w:t>
            </w:r>
          </w:p>
        </w:tc>
        <w:tc>
          <w:tcPr>
            <w:tcW w:w="1151" w:type="dxa"/>
            <w:noWrap w:val="0"/>
            <w:vAlign w:val="center"/>
          </w:tcPr>
          <w:p w14:paraId="6FFBDCFB">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材料款扣除</w:t>
            </w:r>
          </w:p>
        </w:tc>
        <w:tc>
          <w:tcPr>
            <w:tcW w:w="927" w:type="dxa"/>
            <w:noWrap w:val="0"/>
            <w:vAlign w:val="center"/>
          </w:tcPr>
          <w:p w14:paraId="4A814AA9">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预付款扣还</w:t>
            </w:r>
          </w:p>
        </w:tc>
        <w:tc>
          <w:tcPr>
            <w:tcW w:w="615" w:type="dxa"/>
            <w:noWrap w:val="0"/>
            <w:vAlign w:val="center"/>
          </w:tcPr>
          <w:p w14:paraId="6E7D25A4">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其它</w:t>
            </w:r>
          </w:p>
        </w:tc>
        <w:tc>
          <w:tcPr>
            <w:tcW w:w="851" w:type="dxa"/>
            <w:noWrap w:val="0"/>
            <w:vAlign w:val="center"/>
          </w:tcPr>
          <w:p w14:paraId="04E02424">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应收款</w:t>
            </w:r>
          </w:p>
        </w:tc>
        <w:tc>
          <w:tcPr>
            <w:tcW w:w="1158" w:type="dxa"/>
            <w:noWrap w:val="0"/>
            <w:vAlign w:val="center"/>
          </w:tcPr>
          <w:p w14:paraId="1CFDE9B8">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累计应收款</w:t>
            </w:r>
          </w:p>
        </w:tc>
      </w:tr>
      <w:tr w14:paraId="5259F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6" w:type="dxa"/>
            <w:noWrap w:val="0"/>
            <w:vAlign w:val="center"/>
          </w:tcPr>
          <w:p w14:paraId="2B8A8CDB">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426" w:type="dxa"/>
            <w:noWrap w:val="0"/>
            <w:vAlign w:val="center"/>
          </w:tcPr>
          <w:p w14:paraId="60DD292B">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1187" w:type="dxa"/>
            <w:noWrap w:val="0"/>
            <w:vAlign w:val="center"/>
          </w:tcPr>
          <w:p w14:paraId="731DD7A9">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1062" w:type="dxa"/>
            <w:noWrap w:val="0"/>
            <w:vAlign w:val="center"/>
          </w:tcPr>
          <w:p w14:paraId="290DBFD1">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1206" w:type="dxa"/>
            <w:noWrap w:val="0"/>
            <w:vAlign w:val="center"/>
          </w:tcPr>
          <w:p w14:paraId="60760485">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1151" w:type="dxa"/>
            <w:noWrap w:val="0"/>
            <w:vAlign w:val="center"/>
          </w:tcPr>
          <w:p w14:paraId="3564B729">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927" w:type="dxa"/>
            <w:noWrap w:val="0"/>
            <w:vAlign w:val="center"/>
          </w:tcPr>
          <w:p w14:paraId="41EACCD3">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615" w:type="dxa"/>
            <w:noWrap w:val="0"/>
            <w:vAlign w:val="center"/>
          </w:tcPr>
          <w:p w14:paraId="09685A96">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851" w:type="dxa"/>
            <w:noWrap w:val="0"/>
            <w:vAlign w:val="center"/>
          </w:tcPr>
          <w:p w14:paraId="4EAA8E6F">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1158" w:type="dxa"/>
            <w:noWrap w:val="0"/>
            <w:vAlign w:val="center"/>
          </w:tcPr>
          <w:p w14:paraId="3BA3127D">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r>
      <w:tr w14:paraId="5F5EE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6" w:type="dxa"/>
            <w:noWrap w:val="0"/>
            <w:vAlign w:val="center"/>
          </w:tcPr>
          <w:p w14:paraId="14151996">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426" w:type="dxa"/>
            <w:noWrap w:val="0"/>
            <w:vAlign w:val="center"/>
          </w:tcPr>
          <w:p w14:paraId="32B79F43">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1187" w:type="dxa"/>
            <w:noWrap w:val="0"/>
            <w:vAlign w:val="center"/>
          </w:tcPr>
          <w:p w14:paraId="14D4D1D3">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1062" w:type="dxa"/>
            <w:noWrap w:val="0"/>
            <w:vAlign w:val="center"/>
          </w:tcPr>
          <w:p w14:paraId="48A04422">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1206" w:type="dxa"/>
            <w:noWrap w:val="0"/>
            <w:vAlign w:val="center"/>
          </w:tcPr>
          <w:p w14:paraId="5BC0F0D8">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1151" w:type="dxa"/>
            <w:noWrap w:val="0"/>
            <w:vAlign w:val="center"/>
          </w:tcPr>
          <w:p w14:paraId="4B087862">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927" w:type="dxa"/>
            <w:noWrap w:val="0"/>
            <w:vAlign w:val="center"/>
          </w:tcPr>
          <w:p w14:paraId="330AD67D">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615" w:type="dxa"/>
            <w:noWrap w:val="0"/>
            <w:vAlign w:val="center"/>
          </w:tcPr>
          <w:p w14:paraId="459C756D">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851" w:type="dxa"/>
            <w:noWrap w:val="0"/>
            <w:vAlign w:val="center"/>
          </w:tcPr>
          <w:p w14:paraId="4336B62C">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1158" w:type="dxa"/>
            <w:noWrap w:val="0"/>
            <w:vAlign w:val="center"/>
          </w:tcPr>
          <w:p w14:paraId="5588B137">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r>
      <w:tr w14:paraId="790C0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6" w:type="dxa"/>
            <w:noWrap w:val="0"/>
            <w:vAlign w:val="center"/>
          </w:tcPr>
          <w:p w14:paraId="1A1FD195">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426" w:type="dxa"/>
            <w:noWrap w:val="0"/>
            <w:vAlign w:val="center"/>
          </w:tcPr>
          <w:p w14:paraId="6CA298BC">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1187" w:type="dxa"/>
            <w:noWrap w:val="0"/>
            <w:vAlign w:val="center"/>
          </w:tcPr>
          <w:p w14:paraId="313F5743">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1062" w:type="dxa"/>
            <w:noWrap w:val="0"/>
            <w:vAlign w:val="center"/>
          </w:tcPr>
          <w:p w14:paraId="40D2A79F">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1206" w:type="dxa"/>
            <w:noWrap w:val="0"/>
            <w:vAlign w:val="center"/>
          </w:tcPr>
          <w:p w14:paraId="21642DED">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1151" w:type="dxa"/>
            <w:noWrap w:val="0"/>
            <w:vAlign w:val="center"/>
          </w:tcPr>
          <w:p w14:paraId="4447BBB1">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927" w:type="dxa"/>
            <w:noWrap w:val="0"/>
            <w:vAlign w:val="center"/>
          </w:tcPr>
          <w:p w14:paraId="233A4CC2">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615" w:type="dxa"/>
            <w:noWrap w:val="0"/>
            <w:vAlign w:val="center"/>
          </w:tcPr>
          <w:p w14:paraId="2D0BAD46">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851" w:type="dxa"/>
            <w:noWrap w:val="0"/>
            <w:vAlign w:val="center"/>
          </w:tcPr>
          <w:p w14:paraId="04E8265E">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c>
          <w:tcPr>
            <w:tcW w:w="1158" w:type="dxa"/>
            <w:noWrap w:val="0"/>
            <w:vAlign w:val="center"/>
          </w:tcPr>
          <w:p w14:paraId="048D143D">
            <w:pPr>
              <w:keepNext w:val="0"/>
              <w:keepLines w:val="0"/>
              <w:widowControl w:val="0"/>
              <w:suppressLineNumbers w:val="0"/>
              <w:spacing w:before="0" w:beforeAutospacing="0" w:after="0" w:afterAutospacing="0" w:line="240" w:lineRule="auto"/>
              <w:ind w:left="0" w:right="0" w:firstLine="420" w:firstLineChars="200"/>
              <w:jc w:val="both"/>
              <w:rPr>
                <w:rFonts w:hint="eastAsia" w:ascii="宋体" w:hAnsi="宋体" w:eastAsia="宋体" w:cs="宋体"/>
                <w:color w:val="auto"/>
                <w:kern w:val="0"/>
                <w:sz w:val="21"/>
                <w:szCs w:val="21"/>
                <w:lang w:val="en-US" w:eastAsia="zh-CN" w:bidi="ar-SA"/>
              </w:rPr>
            </w:pPr>
          </w:p>
        </w:tc>
      </w:tr>
    </w:tbl>
    <w:p w14:paraId="43A0000D">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11．开工和竣工</w:t>
      </w:r>
    </w:p>
    <w:p w14:paraId="67689E40">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11.1 开工</w:t>
      </w:r>
    </w:p>
    <w:p w14:paraId="33F53CE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11.1.1  监理人应在开工日期7天前向承包人发出开工通知。监理人在发出开工通知前应获得发包人同意。工期自监理人发出的开工通知中载明的开工日期起计算。承包人应在开工日期后尽快施工。</w:t>
      </w:r>
    </w:p>
    <w:p w14:paraId="5E9811A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11.1.2  承包人应按第10.1款约定的合同进度计划，向监理人提交工程开工报审表，经监理人审批后执行。开工报审表应详细说明按合同进度计划正常施工所需的施工道路、临时设施、材料设备、施工人员等施工组织措施的落实情况以及工程的进度安排。</w:t>
      </w:r>
    </w:p>
    <w:p w14:paraId="4396CBC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11.1.3  若发包人未能按合同约定向承包人提供开工的必要条件，承包人有权要求延长工期。监理人应在收到承包人的书面要求后，按第3.5款的约定，与合同双方商定或确定增加的费用和延长的工期。</w:t>
      </w:r>
    </w:p>
    <w:p w14:paraId="4D447F9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11.1.4  承包人在接到开工通知后14天内未按进度计划要求及时进场组织施工，监理人可通知承包人在接到通知后7天内提交一份说明其进场延误的书面报告，报送监理人。书面报告应说明不能及时进场的原因和补救措施，由此增加的费用和工期延误责任由承包人承担。</w:t>
      </w:r>
    </w:p>
    <w:p w14:paraId="21E72C59">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11.2竣工</w:t>
      </w:r>
    </w:p>
    <w:p w14:paraId="72393D2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承包人应在第1.1.4.3目约定的期限内完成合同工程。合同工程实际完工日期在合同工程完工证书中明确。</w:t>
      </w:r>
    </w:p>
    <w:p w14:paraId="2E78F25E">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11.3 发包人的工期延误</w:t>
      </w:r>
    </w:p>
    <w:p w14:paraId="14379F9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在履行合同过程中，由于发包人的下列原因造成工期延误的，承包人有权要求发包人延长工期和（或）增加费用，并支付合理利润。需要修订合同进度计划的，按照第10.2 款的约定办理。</w:t>
      </w:r>
    </w:p>
    <w:p w14:paraId="1EF7904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（1）增加合同工作内容；</w:t>
      </w:r>
    </w:p>
    <w:p w14:paraId="4B05047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（2）改变合同中任何一项工作的质量要求或其他特性；</w:t>
      </w:r>
    </w:p>
    <w:p w14:paraId="294076A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（3）发包人迟延提供材料、工程设备或变更交货地点的；</w:t>
      </w:r>
    </w:p>
    <w:p w14:paraId="4F72263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（4）因发包人原因导致的暂停施工；</w:t>
      </w:r>
    </w:p>
    <w:p w14:paraId="69100B8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（5）提供图纸延误；</w:t>
      </w:r>
    </w:p>
    <w:p w14:paraId="4829BA0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（6）未按合同约定及时支付预付款、进度款；</w:t>
      </w:r>
    </w:p>
    <w:p w14:paraId="26D0B0C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（7）发包人造成工期延误的其他原因。</w:t>
      </w:r>
    </w:p>
    <w:p w14:paraId="4DDB4ED7">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11.4 异常恶劣的气候条件</w:t>
      </w:r>
    </w:p>
    <w:p w14:paraId="666A34D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11.4.1  当工程所在地发生危及施工安全的异常恶劣气候时，发包人和承包人应按本合同通用合同条款第12条的约定，及时采取暂停施工或部分暂停施工措施。异常恶劣气候条件解除后，承包人应及时安排复工。</w:t>
      </w:r>
    </w:p>
    <w:p w14:paraId="4535172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11.4.2  异常恶劣气候条件造成的工期延误和工程损坏，应由发包人与承包人参照本合同通用合同条款第21.3款的约定协商处理。</w:t>
      </w:r>
    </w:p>
    <w:p w14:paraId="3241F24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11.4.3  本合同工程界定异常恶劣气候条件的范围在专用合同条款中约定。</w:t>
      </w:r>
    </w:p>
    <w:p w14:paraId="407E6ADD">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11.5 承包人的工期延误</w:t>
      </w:r>
    </w:p>
    <w:p w14:paraId="39CE16E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由于承包人原因，未能按合同进度计划完成工作，或监理人认为承包人施工进度不能满足合同工期要求的，承包人应采取措施加快进度，并承担加快进度所增加的费用。由于承包人原因造成工期延误，承包人应支付逾期竣工违约金。逾期竣工违约金的计算方法在专用合同条款中约定。承包人支付逾期竣工违约金，不免除承包人完成工程及修补缺陷的义务。</w:t>
      </w:r>
    </w:p>
    <w:p w14:paraId="2E481954">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11.6 工期提前</w:t>
      </w:r>
    </w:p>
    <w:p w14:paraId="5B59A76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发包人要求承包人提前完工，或承包人提出提前完工的建议能够给发包人带来效益的，应由监理人与承包人共同协商采取加快工程进度的措施和修订合同进度计划。发包人应承担承包人由此增加的费用，并向承包人支付专用合同条款约定的相应奖金。</w:t>
      </w:r>
    </w:p>
    <w:p w14:paraId="4BE5659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发包人要求提前完工的，双方协商一致后应签订提前完工协议，协议内容包括：</w:t>
      </w:r>
    </w:p>
    <w:p w14:paraId="64B5B46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（1）提前的时间和修订后的进度计划；</w:t>
      </w:r>
    </w:p>
    <w:p w14:paraId="70A44AE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（2）承包人的赶工措施；</w:t>
      </w:r>
    </w:p>
    <w:p w14:paraId="3E45D78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（3）发包人为赶工提供的条件；</w:t>
      </w:r>
    </w:p>
    <w:p w14:paraId="36BC8AB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（4）赶工费用（包括利润和奖金）。</w:t>
      </w:r>
    </w:p>
    <w:p w14:paraId="361BB0DC">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12．暂停施工</w:t>
      </w:r>
    </w:p>
    <w:p w14:paraId="5F21E2F6">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12.1 承包人暂停施工的责任</w:t>
      </w:r>
    </w:p>
    <w:p w14:paraId="71991E0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因下列暂停施工增加的费用和（或）工期延误由承包人承担：</w:t>
      </w:r>
    </w:p>
    <w:p w14:paraId="599D680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（1）承包人违约引起的暂停施工；</w:t>
      </w:r>
    </w:p>
    <w:p w14:paraId="1FE2338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（2）由于承包人原因为工程合理施工和安全保障所必需的暂停施工；</w:t>
      </w:r>
    </w:p>
    <w:p w14:paraId="07FFE20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（3）承包人擅自暂停施工；</w:t>
      </w:r>
    </w:p>
    <w:p w14:paraId="5C92048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（4）承包人其他原因引起的暂停施工；</w:t>
      </w:r>
    </w:p>
    <w:p w14:paraId="3BAD482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（5）专用合同条款约定由承包人承担的其他暂停施工。</w:t>
      </w:r>
    </w:p>
    <w:p w14:paraId="222F9367">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12.2 发包人暂停施工的责任</w:t>
      </w:r>
    </w:p>
    <w:p w14:paraId="54FC98D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由于发包人原因引起的暂停施工造成工期延误的，承包人有权要求发包人延长工期和（或）增加费用，并支付合理利润。</w:t>
      </w:r>
    </w:p>
    <w:p w14:paraId="494A51F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属于下列任何一种情况引起的暂停施工，均为发包人的责任：</w:t>
      </w:r>
    </w:p>
    <w:p w14:paraId="355FA99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（1）由于发包人违约引起的暂停施工；</w:t>
      </w:r>
    </w:p>
    <w:p w14:paraId="6989D8D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（2）由于不可抗力的自然或社会因素引起的暂停施工；</w:t>
      </w:r>
    </w:p>
    <w:p w14:paraId="24FD9AC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（3）专用合同条款中约定的其它由于发包人原因引起的暂停施工。</w:t>
      </w:r>
    </w:p>
    <w:p w14:paraId="3F555A98">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12.3 监理人暂停施工指示</w:t>
      </w:r>
    </w:p>
    <w:p w14:paraId="627D5F1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12.3.1  监理人认为有必要时，可向承包人作出暂停施工的指示，承包人应按监理人指示暂停施工。不论由于何种原因引起的暂停施工，暂停施工期间承包人应负责妥善保护工程并提供安全保障。</w:t>
      </w:r>
    </w:p>
    <w:p w14:paraId="2A81F76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12.3.2  由于发包人的原因发生暂停施工的紧急情况，且监理人未及时下达暂停施工指示的，承包人可先暂停施工，并及时向监理人提出暂停施工的书面请求。监理人应在接到书面请求后的24小时内予以答复，逾期未答复的，视为同意承包人的暂停施工请求。</w:t>
      </w:r>
    </w:p>
    <w:p w14:paraId="18EAACB3">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12.4 暂停施工后的复工</w:t>
      </w:r>
    </w:p>
    <w:p w14:paraId="7FEB9E5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12.4.1  暂停施工后，监理人应与发包人和承包人协商，采取有效措施积极消除暂停施工的影响。当工程具备复工条件时，监理人应立即向承包人发出复工通知。承包人收到复工通知后，应在监理人指定的期限内复工。</w:t>
      </w:r>
    </w:p>
    <w:p w14:paraId="6D4EB62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12.4.2  承包人无故拖延和拒绝复工的，由此增加的费用和工期延误由承包人承担；因发包人原因无法按时复工的，承包人有权要求发包人延长工期和（或）增加费用，并支付合理利润。</w:t>
      </w:r>
    </w:p>
    <w:p w14:paraId="0435A3E5">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12.5 暂停施工持续56天以上</w:t>
      </w:r>
    </w:p>
    <w:p w14:paraId="584B454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12.5.1  监理人发出暂停施工指示后56天内未向承包人发出复工通知，除了该项停工属于第12.1款的情况外，承包人可向监理人提交书面通知，要求监理人在收到书面通知后28天内准许已暂停施工的工程或其中一部分工程继续施工。如监理人逾期不予批准，则承包人可以通知监理人，将工程受影响的部分视为按第15.1（1）项的可取消工作。如暂停施工影响到整个工程，可视为发包人违约，应按第22.2款的规定办理。</w:t>
      </w:r>
    </w:p>
    <w:p w14:paraId="487A01E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12.5.2  由于承包人责任引起的暂停施工，如承包人在收到监理人暂停施工指示后56 天内不认真采取有效的复工措施，造成工期延误，可视为承包人违约，应按第22.1 款的规定办理。</w:t>
      </w:r>
    </w:p>
    <w:p w14:paraId="3A601955">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13．工程质量</w:t>
      </w:r>
    </w:p>
    <w:p w14:paraId="25919F69">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13.1 工程质量要求</w:t>
      </w:r>
    </w:p>
    <w:p w14:paraId="415651B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13.1.1  工程质量验收按合同约定验收标准执行。</w:t>
      </w:r>
    </w:p>
    <w:p w14:paraId="698956E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13.1.2  因承包人原因造成工程质量达不到合同约定验收标准的，监理人有权要求承包人返工直至符合合同要求为止，由此造成的费用增加和（或）工期延误由承包人承担。</w:t>
      </w:r>
    </w:p>
    <w:p w14:paraId="2BE071B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13.1.3  因发包人原因造成工程质量达不到合同约定验收标准的，发包人应承担由于承包人返工造成的费用增加和（或）工期延误，并支付承包人合理利润。</w:t>
      </w:r>
    </w:p>
    <w:p w14:paraId="5F10D589">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13.2 承包人的质量管理</w:t>
      </w:r>
    </w:p>
    <w:p w14:paraId="766F07B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13.2.1  承包人应在施工场地设置专门的质量检查机构，配备专职质量检查人员，建立完善的质量检查制度。承包人应按技术标准和要求（合同技术条款）约定的内容和期限，编制工程质量保证措施文件，包括质量检查机构的组织和岗位责任、质量检查人员的组成、质量检查程序和实施细则等，提交监理人审批。监理人应在技术标准和要求（合同技术条款）约定的期限内批复承包人。</w:t>
      </w:r>
    </w:p>
    <w:p w14:paraId="3A078B5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13.2.2  承包人应加强对施工人员的质量教育和技术培训，定期考核施工人员的劳动技能，严格执行规范和操作规程。</w:t>
      </w:r>
    </w:p>
    <w:p w14:paraId="4286F11A">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13.3 承包人的质量检查</w:t>
      </w:r>
    </w:p>
    <w:p w14:paraId="7E7BBEA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承包人应按合同约定对材料、工程设备以及工程的所有部位及其施工工艺进行全过程的质量检查和检验，并作详细记录，编制工程质量报表，报送监理人审查。</w:t>
      </w:r>
    </w:p>
    <w:p w14:paraId="6C103B9A">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13.4 监理人的质量检查</w:t>
      </w:r>
    </w:p>
    <w:p w14:paraId="3288170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w:t>
      </w:r>
    </w:p>
    <w:p w14:paraId="702BB216">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13.5 工程隐蔽部位覆盖前的检查</w:t>
      </w:r>
    </w:p>
    <w:p w14:paraId="7C07A7EF">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13.5.1  通知监理人检查</w:t>
      </w:r>
    </w:p>
    <w:p w14:paraId="01533AF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经承包人自检确认的工程隐蔽部位具备覆盖条件后，承包人应通知监理人在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w:t>
      </w:r>
    </w:p>
    <w:p w14:paraId="0D222E17">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13.5.2  监理人未到场检查</w:t>
      </w:r>
    </w:p>
    <w:p w14:paraId="5F42568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监理人未按第13.5.1项约定的时间进行检查的，除监理人另有指示外，承包人可自行完成覆盖工作，并作相应记录报送监理人，监理人应签字确认。监理人事后对检查记录有疑问的，可按第13.5.3项的约定重新检查。</w:t>
      </w:r>
    </w:p>
    <w:p w14:paraId="018504CC">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13.5.3  监理人重新检查</w:t>
      </w:r>
    </w:p>
    <w:p w14:paraId="0DE8580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按第13.5.1项或第13.5.2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4688CBD3">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13.5.4  承包人私自覆盖</w:t>
      </w:r>
    </w:p>
    <w:p w14:paraId="34A0FEE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承包人未通知监理人到场检查，私自将工程隐蔽部位覆盖的，监理人有权指示承包人钻孔探测或揭开检查，由此增加的费用和（或）工期延误由承包人承担。</w:t>
      </w:r>
    </w:p>
    <w:p w14:paraId="634F7BC7">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13.6  清除不合格工程</w:t>
      </w:r>
    </w:p>
    <w:p w14:paraId="75ED202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13.6.1  承包人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14:paraId="01B98AF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13.6.2  由于发包人提供的材料或工程设备不合格造成的工程不合格，需要承包人采取措施补救的，发包人应承担由此增加的费用和（或）工期延误，并支付承包人合理利润。</w:t>
      </w:r>
    </w:p>
    <w:p w14:paraId="75D56DC8">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13.7  质量评定</w:t>
      </w:r>
    </w:p>
    <w:p w14:paraId="2407659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13.7.1  发包人应组织承包人进行工程项目划分，并确定单位工程、主要分部工程、重要隐蔽单元工程和关键部位单元工程。</w:t>
      </w:r>
    </w:p>
    <w:p w14:paraId="14EBA5D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13.7.2  工程实施过程中，单位工程、主要分部工程、重要隐蔽单元工程和关键部位单元工程的项目划分需要调整时，承包人应报发包人确认。</w:t>
      </w:r>
    </w:p>
    <w:p w14:paraId="20904BC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13.7.3  承包人应在单元（工序）工程质量自评合格后，报监理人核定质量等级并签证认可。</w:t>
      </w:r>
    </w:p>
    <w:p w14:paraId="3AA15EA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13.7.4  除专用合同条款另有约定外，承包人应在重要隐蔽单元工程和关键部位单元工程质量自评合格以及监理人抽检后，由监理人组织承包人等单位组成的联合小组，共同检查核定其质量等级并填写签证表。发包人按有关规定完成质量结论报工程质量监督机构核备手续。</w:t>
      </w:r>
    </w:p>
    <w:p w14:paraId="6316D77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13.7.5  承包人应在分部工程质量自评合格后，报监理人复核和发包人认定。发包人负责按有关规定完成分部工程质量结论报工程质量监督机构核备（核定）手续。</w:t>
      </w:r>
    </w:p>
    <w:p w14:paraId="0BB678D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13.7.6  承包人应在单位工程质量自评合格后，报监理人复核和发包人认定。发包人负责按有关规定完成单位工程质量结论报工程质量监督机构核定手续。</w:t>
      </w:r>
    </w:p>
    <w:p w14:paraId="1456671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13.7.7  除专用合同条款另有约定外，工程质量等级分为合格和优良，应分别达到约定的标准。</w:t>
      </w:r>
    </w:p>
    <w:p w14:paraId="31FCAAD7">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13.8  质量事故处理</w:t>
      </w:r>
    </w:p>
    <w:p w14:paraId="682CBEE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13.8.1  发生质量事故时，承包人应及时向发包人和监理人报告。</w:t>
      </w:r>
    </w:p>
    <w:p w14:paraId="1DD6BFA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13.8.2  质量事故调查处理由发包人按相关规定履行手续，承包人应配合。</w:t>
      </w:r>
    </w:p>
    <w:p w14:paraId="748B569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13.8.3  承包人应对质量缺陷进行备案。发包人委托监理人对质量缺陷备案情况进行监督检查并履行相关手续。</w:t>
      </w:r>
    </w:p>
    <w:p w14:paraId="7A0485D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13.8.4  除专用合同条款另有约定外，工程竣工验收时，发包人负责向竣工验收委员会汇报并提交历次质量缺陷处理的备案资料。</w:t>
      </w:r>
    </w:p>
    <w:p w14:paraId="25C9B29E">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14．试验和检验</w:t>
      </w:r>
    </w:p>
    <w:p w14:paraId="64511139">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14.1材料、工程设备和工程的试验和检验</w:t>
      </w:r>
    </w:p>
    <w:p w14:paraId="2B3E9BE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14.1.1  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37EB5AE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14.1.2  监理人未按合同约定派员参加试验和检验的，除监理人另有指示外，承包人可自行试验和检验，并应立即将试验和检验结果报送监理人，监理人应签字确认。</w:t>
      </w:r>
    </w:p>
    <w:p w14:paraId="74B211C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14.1.3  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638E897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14.1.4  承包人应按相关规定和标准对水泥、钢材等原材料与中间产品质量进行检验，并报监理人复核。</w:t>
      </w:r>
    </w:p>
    <w:p w14:paraId="0F30A3F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14.1.5  除专用合同条款另有约定外，水工金属结构、启闭机及机电产品进场后，监理人组织发包人按合同进行交货检查和验收。安装前，承包人应检查产品是否有出厂合格证、设备安装说明书及有关技术文件，对在运输和存放过程中发生的变形、受潮、损坏等问题应作好记录，并进行妥善处理。</w:t>
      </w:r>
    </w:p>
    <w:p w14:paraId="74C812E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14.1.6  对专用合同条款约定的试块、试件及有关材料，监理人实行见证取样。见证取样资料由承包人制备，记录应真实齐全，监理人、承包人等参与见证取样人员均应在相关文件上签字。</w:t>
      </w:r>
    </w:p>
    <w:p w14:paraId="34F50142">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14.2 现场材料试验</w:t>
      </w:r>
    </w:p>
    <w:p w14:paraId="461E273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14.2.1  承包人根据合同约定或监理人指示进行的现场材料试验，应由承包人提供试验场所、试验人员、试验设备器材以及其他必要的试验条件。</w:t>
      </w:r>
    </w:p>
    <w:p w14:paraId="1C355BB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14.2.2  监理人在必要时可以使用承包人的试验场所、试验设备器材以及其他试验条件，进行以工程质量检查为目的的复核性材料试验，承包人应予以协助。</w:t>
      </w:r>
    </w:p>
    <w:p w14:paraId="7EE6B5DA">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14.3 现场工艺试验</w:t>
      </w:r>
    </w:p>
    <w:p w14:paraId="3AC86FA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承包人应按合同约定或监理人指示进行现场工艺试验。对大型的现场工艺试验，监理人认为必要时，应由承包人根据监理人提出的工艺试验要求，编制工艺试验措施计划，报送监理人审批。</w:t>
      </w:r>
    </w:p>
    <w:p w14:paraId="77C3F281">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15．变更</w:t>
      </w:r>
    </w:p>
    <w:p w14:paraId="4AD3395B">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15.1 变更的范围和内容</w:t>
      </w:r>
    </w:p>
    <w:p w14:paraId="7057A68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在履行合同中发生以下情形之一，应按照本款规定进行变更。</w:t>
      </w:r>
    </w:p>
    <w:p w14:paraId="24567E7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（1）取消合同中任何一项工作，但被取消的工作不能转由发包人或其它人实施；</w:t>
      </w:r>
    </w:p>
    <w:p w14:paraId="4DF1933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（2）改变合同中任何一项工作的质量或其它特性；</w:t>
      </w:r>
    </w:p>
    <w:p w14:paraId="485A270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（3）改变合同工程的基线、标高、位置或尺寸；</w:t>
      </w:r>
    </w:p>
    <w:p w14:paraId="7A8EEE6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（4）改变合同中任何一项工作的施工时间或改变已批准的施工工艺或顺序；</w:t>
      </w:r>
    </w:p>
    <w:p w14:paraId="4BE8C78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（5）为完成工程需要追加的额外工作；</w:t>
      </w:r>
    </w:p>
    <w:p w14:paraId="31A1E7C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（6）增加或减少专用合同条款中约定的关键项目工程量超过其工程总量的一定数量百分比。</w:t>
      </w:r>
    </w:p>
    <w:p w14:paraId="2FE7B43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上述第（1）～（6）目的变更内容引起工程施工组织和进度计划发生实质性变动和影响其原定的价格时，才予调整该项目的单价。第（6）目情形下单价调整方式在专用合同条款中约定。</w:t>
      </w:r>
    </w:p>
    <w:p w14:paraId="6A93503E">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15.2 变更权</w:t>
      </w:r>
    </w:p>
    <w:p w14:paraId="2CCC70E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在履行合同过程中，经发包人同意，监理人可按第15.3款约定的变更程序向承包人作出变更指示，承包人应遵照执行。没有监理人的变更指示，承包人不得擅自变更。</w:t>
      </w:r>
    </w:p>
    <w:p w14:paraId="1AD4EBE7">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15.3 变更程序</w:t>
      </w:r>
    </w:p>
    <w:p w14:paraId="46E3640A">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15.3.1  变更的提出</w:t>
      </w:r>
    </w:p>
    <w:p w14:paraId="040D0F4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在合同履行过程中，可能发生第15.1款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15.3.3 项约定发出变更指示。</w:t>
      </w:r>
    </w:p>
    <w:p w14:paraId="434CC0A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（2）在合同履行过程中，发生第15.1款约定情形的，监理人应按照第15.3.3项约定向承包人发出变更指示。</w:t>
      </w:r>
    </w:p>
    <w:p w14:paraId="3C8CE33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承包人收到监理人按合同约定发出的图纸和文件，经检查认为其中存在第15.1款约定情形的，可向监理人提出书面变更建议。变更建议应阐明要求变更的依据，并附必要的图纸和说明。监理人收到承包人书面建议后，应与发包人共同研究，确认存在变更的，应在收到承包人书面建议后的14 天内作出变更指示。经研究后不同意作为变更的，应由监理人书面答复承包人。</w:t>
      </w:r>
    </w:p>
    <w:p w14:paraId="6EC4EC9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（4）若承包人收到监理人的变更意向书后认为难以实施此项变更，应立即通知监理人，说明原因并附详细依据。监理人与承包人和发包人协商后确定撤销、改变或不改变原变更意向书。</w:t>
      </w:r>
    </w:p>
    <w:p w14:paraId="322152E2">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15.3.2  变更估价</w:t>
      </w:r>
    </w:p>
    <w:p w14:paraId="370D857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除专用合同条款对期限另有约定外，承包人应在收到变更指示或变更意向书后的14天内，向监理人提交变更报价书，报价内容应根据第15.4款约定的估价原则，详细开列变更工作的价格组成及其依据，并附必要的施工方法说明和有关图纸。</w:t>
      </w:r>
    </w:p>
    <w:p w14:paraId="47321D0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（2）变更工作影响工期的，承包人应提出调整工期的具体细节。监理人认为有必要时，可要求承包人提交要求提前或延长工期的施工进度计划及相应施工措施等详细资料。</w:t>
      </w:r>
    </w:p>
    <w:p w14:paraId="3638055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（3）除专用合同条款对期限另有约定外，监理人收到承包人变更报价书后的14 天内，根据第15.4款约定的估价原则，按照第3.5款商定或确定变更价格。</w:t>
      </w:r>
    </w:p>
    <w:p w14:paraId="541D86A8">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15.3.3  变更指示</w:t>
      </w:r>
    </w:p>
    <w:p w14:paraId="15B8EE0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（1）变更指示只能由监理人发出。</w:t>
      </w:r>
    </w:p>
    <w:p w14:paraId="01C9BBB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（2）变更指示应说明变更的目的、范围、变更内容以及变更的工程量及其进度和技术要求，并附有关图纸和文件。承包人收到变更指示后，应按变更指示进行变更工作。</w:t>
      </w:r>
    </w:p>
    <w:p w14:paraId="4ECD3A61">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15.4 变更的估价原则</w:t>
      </w:r>
    </w:p>
    <w:p w14:paraId="61DABB5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除专用合同条款另有约定外，因变更引起的价格调整按照本款约定处理。</w:t>
      </w:r>
    </w:p>
    <w:p w14:paraId="21AAB24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15.4.1  已标价工程量清单中有适用于变更工作的子目的，采用该子目的单价。</w:t>
      </w:r>
    </w:p>
    <w:p w14:paraId="35F0F56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15.4.2  已标价工程量清单中无适用于变更工作的子目，但有类似子目的，可在合理范围内参照类似子目的单价，由监理人按第3.5款商定或确定变更工作的单价。</w:t>
      </w:r>
    </w:p>
    <w:p w14:paraId="2BDFA3B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15.4.3  已标价工程量清单中无适用或类似子目的单价，可按照成本加利润的原则，由监理人按第3.5款商定或确定变更工作的单价。</w:t>
      </w:r>
    </w:p>
    <w:p w14:paraId="56E94C5C">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15.5 承包人的合理化建议</w:t>
      </w:r>
    </w:p>
    <w:p w14:paraId="5900F5D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15.5.1  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15.3.3项约定向承包人发出变更指示。</w:t>
      </w:r>
    </w:p>
    <w:p w14:paraId="1182F4D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15.5.2  承包人提出的合理化建议降低了合同价格、缩短了工期或者提高了工程经济效益的，发包人可按国家有关规定在专用合同条款中约定给予奖励。</w:t>
      </w:r>
    </w:p>
    <w:p w14:paraId="511B91EE">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15.6 暂列金额</w:t>
      </w:r>
    </w:p>
    <w:p w14:paraId="20E5B7C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暂列金额只能按照监理人的指示使用，并对合同价格进行相应调整。</w:t>
      </w:r>
    </w:p>
    <w:p w14:paraId="7177CF5C">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15.7 计日工</w:t>
      </w:r>
    </w:p>
    <w:p w14:paraId="47F35E7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15.7.1  发包人认为有必要时，由监理人通知承包人以计日工方式实施变更的零星工作。其价款按列入已标价工程量清单中的计日工计价子目及其单价进行计算。</w:t>
      </w:r>
    </w:p>
    <w:p w14:paraId="60192D1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15.7.2  采用计日工计价的任何一项变更工作，应从暂列金额中支付，承包人应在该项变更的实施过程中，每天提交以下报表和有关凭证报送监理人审批：</w:t>
      </w:r>
    </w:p>
    <w:p w14:paraId="0D722B4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（1）工作名称、内容和数量；</w:t>
      </w:r>
    </w:p>
    <w:p w14:paraId="3C587F7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（2）投入该工作所有人员的姓名、工种、级别和耗用工时；</w:t>
      </w:r>
    </w:p>
    <w:p w14:paraId="4AE17D3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（3）投入该工作的材料类别和数量；</w:t>
      </w:r>
    </w:p>
    <w:p w14:paraId="54CD406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（4）投入该工作的施工设备型号、台数和耗用台时；</w:t>
      </w:r>
    </w:p>
    <w:p w14:paraId="5E209A6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（5）监理人要求提交的其他资料和凭证。</w:t>
      </w:r>
    </w:p>
    <w:p w14:paraId="29270B6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15.7.3  计日工由承包人汇总后，按第17.3.2项的约定列入进度付款申请单，由监理人复核并经发包人同意后列入进度付款。</w:t>
      </w:r>
    </w:p>
    <w:p w14:paraId="407A5EC1">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15.8 暂估价</w:t>
      </w:r>
    </w:p>
    <w:p w14:paraId="4133A5A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15.8.1  发包人在工程量清单中给定暂估价的材料、工程设备和专业工程属于依法必须招标的范围并达到规定的规模标准的，若承包人不具备承担暂估价项目的能力或具备承担暂估价项目的能力但明确不参与投标的，由发包人和承包人组织招标；若承包人具备承担暂估价项目的能力且明确参与投标的，由发包人组织招标。暂估价项目中标金额与工程量清单中所列金额差以及相应的税金等其它费用列入合同价格。必须招标的暂估价项目招标组织形式、发包人和承包人组织招标时双方的权利义务关系在专用合同条款中约定。</w:t>
      </w:r>
    </w:p>
    <w:p w14:paraId="59E4899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15.8.2  发包人在工程量清单中给定暂估价的材料和工程设备不属于依法必须招标的范围或未达到规定的规模标准的，应由承包人按第5.1款的约定提供。经监理人确认的材料、工程设备的价格与工程量清单中所列的暂估价的金额差以及相应的税金等其他费用列入合同价格。</w:t>
      </w:r>
    </w:p>
    <w:p w14:paraId="42923E4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15.8.3  发包人在工程量清单中给定暂估价的专业工程不属于依法必须招标的范围或未达到规定的规模标准的，由监理人按照第15.4款进行估价，但专用合同条款另有约定的除外。经估价的专业工程与工程量清单中所列的暂估价的金额差以及相应的税金等其他费用列入合同价格。</w:t>
      </w:r>
    </w:p>
    <w:p w14:paraId="5BFC7922">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16．价格调整</w:t>
      </w:r>
    </w:p>
    <w:p w14:paraId="34628F90">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16.1 物价波动引起的价格调整</w:t>
      </w:r>
    </w:p>
    <w:p w14:paraId="5E7B81C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由于物价波动原因引起合同价格需要调整的，其价格调整方式在专用合同条款中约定。</w:t>
      </w:r>
    </w:p>
    <w:p w14:paraId="1BCCB8A9">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16.1.1  采用价格指数调整价格差额</w:t>
      </w:r>
    </w:p>
    <w:p w14:paraId="00B969E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16.1.1.1  价格调整公式</w:t>
      </w:r>
    </w:p>
    <w:p w14:paraId="12B06F6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因人工、材料和设备等价格波动影响合同价格时，根据投标函附录中的价格指数和权重表约定的数据，按以下公式计算差额并调整合同价格。</w:t>
      </w:r>
    </w:p>
    <w:p w14:paraId="17711D7D">
      <w:pPr>
        <w:widowControl w:val="0"/>
        <w:spacing w:line="240" w:lineRule="auto"/>
        <w:ind w:firstLine="378" w:firstLineChars="200"/>
        <w:jc w:val="left"/>
        <w:rPr>
          <w:rFonts w:hint="eastAsia" w:ascii="宋体" w:hAnsi="宋体" w:eastAsia="宋体" w:cs="宋体"/>
          <w:color w:val="auto"/>
          <w:w w:val="90"/>
          <w:kern w:val="0"/>
          <w:sz w:val="21"/>
          <w:szCs w:val="21"/>
          <w:lang w:val="en-US" w:eastAsia="zh-CN" w:bidi="ar-SA"/>
        </w:rPr>
      </w:pPr>
      <w:r>
        <w:rPr>
          <w:rFonts w:hint="eastAsia" w:ascii="宋体" w:hAnsi="宋体" w:eastAsia="宋体" w:cs="宋体"/>
          <w:color w:val="auto"/>
          <w:w w:val="90"/>
          <w:kern w:val="0"/>
          <w:sz w:val="21"/>
          <w:szCs w:val="21"/>
          <w:lang w:val="en-US" w:eastAsia="zh-CN" w:bidi="ar-SA"/>
        </w:rPr>
        <w:t>ΔP＝P0[A＋（B1×Ft1/F01＋B2×Ft2/F02＋B3×Ft3/F03＋…＋Bn×Ftn/F0n）－1]</w:t>
      </w:r>
    </w:p>
    <w:p w14:paraId="38F64B0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式中：△P—需调整的价格差额；</w:t>
      </w:r>
    </w:p>
    <w:p w14:paraId="4094DFE7">
      <w:pPr>
        <w:widowControl w:val="0"/>
        <w:spacing w:line="240" w:lineRule="auto"/>
        <w:ind w:firstLine="1050" w:firstLineChars="5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P0—第17.3.3项、第17.5.2项和第17.6.2项约定的付款证书中承包人应得到的已完成工程量的金额。此项金额应不包括价格调整、不计质量保证金的扣留和支付、预付款的支付和扣回。第15条约定的变更及其他金额已按现行价格计价的，也不计在内；</w:t>
      </w:r>
    </w:p>
    <w:p w14:paraId="0C41AB1A">
      <w:pPr>
        <w:widowControl w:val="0"/>
        <w:spacing w:line="240" w:lineRule="auto"/>
        <w:ind w:firstLine="1029" w:firstLineChars="49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 xml:space="preserve">A—定值权重（即不调部分的权重）； </w:t>
      </w:r>
    </w:p>
    <w:p w14:paraId="4782E59B">
      <w:pPr>
        <w:widowControl w:val="0"/>
        <w:spacing w:line="240" w:lineRule="auto"/>
        <w:ind w:firstLine="1029" w:firstLineChars="49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 xml:space="preserve">B1；B2；B3…Bn—各可调因子的变值权重（即可调部分的权重）为各调因子在投标函投标总报价中所占的比例； </w:t>
      </w:r>
    </w:p>
    <w:p w14:paraId="1000B9A8">
      <w:pPr>
        <w:widowControl w:val="0"/>
        <w:spacing w:line="240" w:lineRule="auto"/>
        <w:ind w:firstLine="1008" w:firstLineChars="48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 xml:space="preserve">Ft1；Ft2；Ft3…Ftn—各可调因子的现行价格指数，指第17.3.3项、17.5.2项和第17.6.2项约定的付款证书相关周期最后一天的前42天的各可调因子的价格指数； </w:t>
      </w:r>
    </w:p>
    <w:p w14:paraId="3901CABC">
      <w:pPr>
        <w:widowControl w:val="0"/>
        <w:spacing w:line="240" w:lineRule="auto"/>
        <w:ind w:firstLine="1008" w:firstLineChars="48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F01；F02；F03…F0n—各可调因子的基本价格指数，指基准日期的各可调因子的价格指数。</w:t>
      </w:r>
    </w:p>
    <w:p w14:paraId="401130B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14:paraId="0C47B50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16.1.1.2  暂时确定调整差额</w:t>
      </w:r>
    </w:p>
    <w:p w14:paraId="33BF29D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在计算调整差额时得不到现行价格指数的，可暂用上一次价格指数计算，并在以后的付款中再按实际价格指数进行调整。</w:t>
      </w:r>
    </w:p>
    <w:p w14:paraId="37E3DFB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16.1.1.3  权重的调整</w:t>
      </w:r>
    </w:p>
    <w:p w14:paraId="2C595BC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按第15.1款约定的变更导致原定合同中的权重不合理时，由监理人与承包人和发包人协商后进行调整。</w:t>
      </w:r>
    </w:p>
    <w:p w14:paraId="45D2E54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16.1.1.4  承包人工期延误后的价格调整</w:t>
      </w:r>
    </w:p>
    <w:p w14:paraId="5C2A354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由于承包人原因未在约定的工期内竣工的，则对原约定竣工日期后继续施工的工程，在使用第16.1.1.1目价格调整公式时，应采用原约定竣工日期与实际竣工日期的两个价格指数中较低的一个作为现行价格指数。</w:t>
      </w:r>
    </w:p>
    <w:p w14:paraId="3BD10429">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 xml:space="preserve">16.1.2  采用造价信息调整价格差额 </w:t>
      </w:r>
    </w:p>
    <w:p w14:paraId="074B362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施工期内，因人工、材料、设备和机械台班价格波动影响合同价格时，人工、机械使用费按照国家或省（自治区、直辖市）建设行政管理部门、行业建设管理部门或其授权的工程造价管理机构发布的人工成本信息、机械台班单价或机械使用费系数进行调整；需要进行价格调整的材料，其单价和采购数应由监理人复核，监理人确认需调整的材料单价及数量，作为调整工程合同价格差额的依据。</w:t>
      </w:r>
    </w:p>
    <w:p w14:paraId="1A44ACF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工程造价信息的来源以及价格调整的项目和系数在专用合同条款中约定。</w:t>
      </w:r>
    </w:p>
    <w:p w14:paraId="07ECD017">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16.2 法律变化引起的价格调整</w:t>
      </w:r>
    </w:p>
    <w:p w14:paraId="203AC98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在基准日后，因法律变化导致承包人在合同履行中所需要的工程费用发生除第16.1 款约定以外的增减时，监理人应根据法律、国家或省、自治区、直辖市有关部门的规定，按第3.5款商定或确定需调整的合同价款。</w:t>
      </w:r>
    </w:p>
    <w:p w14:paraId="62902386">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17．计量与支付</w:t>
      </w:r>
    </w:p>
    <w:p w14:paraId="7CED86F3">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17.1 计量</w:t>
      </w:r>
    </w:p>
    <w:p w14:paraId="0FE29613">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17.1.1  计量单位</w:t>
      </w:r>
    </w:p>
    <w:p w14:paraId="018CE02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计量采用国家法定的计量单位。</w:t>
      </w:r>
    </w:p>
    <w:p w14:paraId="200C2F53">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17.1.2  计量方法</w:t>
      </w:r>
    </w:p>
    <w:p w14:paraId="51093C0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结算工程量应按工程量清单中约定的方法计量。</w:t>
      </w:r>
    </w:p>
    <w:p w14:paraId="370F4CD0">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17.1.3  计量周期</w:t>
      </w:r>
    </w:p>
    <w:p w14:paraId="020EC08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除专用合同条款另有约定外，单价子目已完成工程量按月计量，总价子目的计量周期按批准的支付分解报告确定。</w:t>
      </w:r>
    </w:p>
    <w:p w14:paraId="682FD84B">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17.1.4  单价子目的计量</w:t>
      </w:r>
    </w:p>
    <w:p w14:paraId="44BFDBD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（1）已标价工程量清单中的单价子目工程量为估算工程量。结算工程量是承包人实际完成的，并按合同约定的计量方法进行计量的工程量。</w:t>
      </w:r>
    </w:p>
    <w:p w14:paraId="4656C66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（2）承包人对已完成的工程进行计量，向监理人提交进度付款申请单、已完成工程量报表和有关计量资料。</w:t>
      </w:r>
    </w:p>
    <w:p w14:paraId="5D85AB1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监理人对承包人提交的工程量报表进行复核，以确定实际完成的工程量。对数量有异议的，可要求承包人按第8.2款约定进行共同复核和抽样复测。承包人应协助监理人进行复核并按监理人要求提供补充计量资料。承包人未按监理人要求参加复核，监理人复核或修正的工程量视为承包人实际完成的工程量。</w:t>
      </w:r>
    </w:p>
    <w:p w14:paraId="01EBDEB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（4）监理人认为有必要时，可通知承包人共同进行联合测量、计量，承包人应遵照执行。</w:t>
      </w:r>
    </w:p>
    <w:p w14:paraId="449542C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监理人最终核实的工程量视为承包人完成该子目的准确工程量。</w:t>
      </w:r>
    </w:p>
    <w:p w14:paraId="2DEC366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（6）监理人应在收到承包人提交的工程量报表后的7天内进行复核，监理人未在约定时间内复核的，承包人提交的工程量报表中的工程量视为承包人实际完成的工程量，据此计算工程价款。</w:t>
      </w:r>
    </w:p>
    <w:p w14:paraId="1C3AC240">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17.1.5  总价子目的计量</w:t>
      </w:r>
    </w:p>
    <w:p w14:paraId="36FB63B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总价子目的分解和计量按照下述约定进行。</w:t>
      </w:r>
    </w:p>
    <w:p w14:paraId="5599DCE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（1）总价子目的计量和支付应以总价为基础，不因第16.1款中的因素而进行调整。承包人实际完成的工程量，是进行工程目标管理和控制进度支付的依据。</w:t>
      </w:r>
    </w:p>
    <w:p w14:paraId="38C5E64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承包人应按工程量清单的要求对总价子目进行分解，并在签订协议书后的28天内将各子目的总价支付分解表提交监理人审批。分解表应标明其所属子目和分阶段需支付的金额。承包人应按批准的各总价子目支付周期，对已完成的总价子目进行计量，确定分项的应付金额列入进度付款申请单中。</w:t>
      </w:r>
    </w:p>
    <w:p w14:paraId="6E7B260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（3）监理人对承包人提交的上述资料进行复核，以确定分阶段实际完成的工程量和工程形象目标。对其有异议的，可要求承包人按第8.2款约定进行共同复核和抽样复测。</w:t>
      </w:r>
    </w:p>
    <w:p w14:paraId="5D58FC8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（4）除按照第15条约定的变更外，总价子目的工程量是承包人用于结算的最终工程量。</w:t>
      </w:r>
    </w:p>
    <w:p w14:paraId="232BA3D0">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17.2 预付款</w:t>
      </w:r>
    </w:p>
    <w:p w14:paraId="747F8BC3">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17.2.1  预付款</w:t>
      </w:r>
    </w:p>
    <w:p w14:paraId="5EB6DDB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预付款用于承包人为合同工程施工购置材料、工程设备、施工设备、修建临时设施以及组织施工队伍进场等，分为工程预付款和工程材料预付款。预付款必须专用于合同工程。预付款的额度和预付办法在专用合同条款中约定。</w:t>
      </w:r>
    </w:p>
    <w:p w14:paraId="3BBBC85F">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17.2.2  预付款保函（担保）</w:t>
      </w:r>
    </w:p>
    <w:p w14:paraId="2A21F4B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（1）承包人应在收到第一次工程预付款的同时向发包人提交工程预付款担保，担保金额应与第一次工程预付款金额相同，工程预付款担保在第一次工程预付款被发包人扣回前一直有效。</w:t>
      </w:r>
    </w:p>
    <w:p w14:paraId="7A11406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（2）工程材料预付款的担保在专用合同条款中约定。</w:t>
      </w:r>
    </w:p>
    <w:p w14:paraId="5AE3EFB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（3）预付款担保的担保金额可根据预付款扣回的金额相应递减。</w:t>
      </w:r>
    </w:p>
    <w:p w14:paraId="43C74503">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17.2.3  预付款的扣回与还清</w:t>
      </w:r>
    </w:p>
    <w:p w14:paraId="304DC94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预付款在进度付款中扣回，扣回与还清办法在专用合同条款中约定。在颁发合同工程完工证书前，由于不可抗力或其它原因解除合同时，预付款尚未扣清的，尚未扣清的预付款余额应作为承包人的到期应付款。</w:t>
      </w:r>
    </w:p>
    <w:p w14:paraId="2861C550">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17.3 工程进度付款</w:t>
      </w:r>
    </w:p>
    <w:p w14:paraId="577EDB13">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17.3.1  付款周期</w:t>
      </w:r>
    </w:p>
    <w:p w14:paraId="7263C20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付款周期同计量周期。</w:t>
      </w:r>
    </w:p>
    <w:p w14:paraId="2C194888">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17.3.2  进度付款申请单</w:t>
      </w:r>
    </w:p>
    <w:p w14:paraId="189629E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承包人应在每个付款周期末，按监理人批准的格式和专用合同条款约定的份数，向监理人提交进度付款申请单，并附相应的支持性证明文件。除专用合同条款另有约定外，进度付款申请单应包括下列内容：</w:t>
      </w:r>
    </w:p>
    <w:p w14:paraId="3C64C31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（1）截至本次付款周期末已实施工程的价款；</w:t>
      </w:r>
    </w:p>
    <w:p w14:paraId="7357981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（2）根据第15条应增加和扣减的变更金额；</w:t>
      </w:r>
    </w:p>
    <w:p w14:paraId="0AC99B5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（3）根据第23条应增加和扣减的索赔金额；</w:t>
      </w:r>
    </w:p>
    <w:p w14:paraId="7525E21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（4）根据第17.2款约定应支付的预付款和扣减的返还预付款；</w:t>
      </w:r>
    </w:p>
    <w:p w14:paraId="4987A37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（5）根据第17.4.1项约定应扣减的质量保证金；</w:t>
      </w:r>
    </w:p>
    <w:p w14:paraId="68C7A9C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（6）根据合同应增加和扣减的其他金额。</w:t>
      </w:r>
    </w:p>
    <w:p w14:paraId="050A89B4">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17.3.3  进度付款证书和支付时间</w:t>
      </w:r>
    </w:p>
    <w:p w14:paraId="6EB5D96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监理人在收到承包人进度付款申请单以及相应的支持性证明文件后的14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14:paraId="6EF9E56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（2）发包人应在监理人收到进度付款申请单后的28天内，将进度应付款支付给承包人。发包人不按期支付的，按专用合同条款的约定支付逾期付款违约金。</w:t>
      </w:r>
    </w:p>
    <w:p w14:paraId="6C20384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（3）监理人出具进度付款证书，不应视为监理人已同意、批准或接受了承包人完成的该部分工作。</w:t>
      </w:r>
    </w:p>
    <w:p w14:paraId="06CAB1A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（4）进度付款涉及政府投资资金的，按照国库集中支付等国家相关规定和专用合同条款的约定办理。</w:t>
      </w:r>
    </w:p>
    <w:p w14:paraId="1F136A47">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17.3.4  工程进度付款的修正</w:t>
      </w:r>
    </w:p>
    <w:p w14:paraId="2C430F2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在对以往历次已签发的进度付款证书进行汇总和复核中发现错、漏或重复的，监理人有权予以修正，承包人也有权提出修正申请。经双方复核同意的修正，应在本次进度付款中支付或扣除。</w:t>
      </w:r>
    </w:p>
    <w:p w14:paraId="305D5E6E">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17.4 质量保证金</w:t>
      </w:r>
    </w:p>
    <w:p w14:paraId="5D5747F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17.4.1  监理人应从第一个工程进度付款周期开始，在发包人的进度付款中，按专用合同条款的约定扣留质量保证金，直至扣留的质量保证金总额达到专用合同条款约定的金额或比例为止。质量保证金的计算额度不包括预付款的支付与扣回金额。</w:t>
      </w:r>
    </w:p>
    <w:p w14:paraId="2E8B37C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17.4.2 合同工程完工证书颁发后14天内，发包人将质量保证金总额的一半支付给承包人。在第1.1.4.5目约定的缺陷责任期（工程质量保修期）满时，发包人将在30个工作日内会同承包人按照合同约定的内容核实承包人是否完成保修责任。如无异议，发包人应当在核实后将剩余的质量保证金支付给承包人。</w:t>
      </w:r>
    </w:p>
    <w:p w14:paraId="38DCD00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17.4.3  在第1.1.4.5目约定的缺陷责任期满时，承包人没有完成缺陷责任的，发包人有权扣留与未履行责任剩余工作所需金额相应的质量保证金余额，并有权根据第19.3款约定要求延长缺陷责任期，直至完成剩余工作为止。</w:t>
      </w:r>
    </w:p>
    <w:p w14:paraId="31F12158">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17.5 竣工结算（完工结算）</w:t>
      </w:r>
    </w:p>
    <w:p w14:paraId="662C7777">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17.5.1  竣工（完工）付款申请单</w:t>
      </w:r>
    </w:p>
    <w:p w14:paraId="06BBAE1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承包人应在合同工程完工证书颁发后28天内，按专用合同条款约定的份数向监理人提交完工付款申请单，并提供相关证明材料。完工付款申请单应包括下列内容：完工结算合同总价、发包人已支付承包人的工程价款、应扣留的质量保证金、应支付的完工付款金额。</w:t>
      </w:r>
    </w:p>
    <w:p w14:paraId="6ECA200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（2）监理人对完工付款申请单有异议的，有权要求承包人进行修正和提供补充资料。经监理人和承包人协商后，由承包人向监理人提交修正后的完工付款申请单。</w:t>
      </w:r>
    </w:p>
    <w:p w14:paraId="05220681">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17.5.2  竣工（完工）付款证书及支付时间</w:t>
      </w:r>
    </w:p>
    <w:p w14:paraId="4E0C79C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监理人在收到承包人提交的完工付款申请单后的14天内完成核查，提出发包人到期应支付给承包人的价款送发包人审核并抄送承包人。发包人应在收到后14天内审核完毕，由监理人向承包人出具经发包人签认的完工付款证书。监理人未在约定时间内核查，又未提出具体意见的，视为承包人提交的完工付款申请单已经监理人核查同意。发包人未在约定时间内审核又未提出具体意见的，监理人提出发包人到期应支付给承包人的价款视为已经发包人同意。</w:t>
      </w:r>
    </w:p>
    <w:p w14:paraId="657DE8B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（2）发包人应在监理人出具完工付款证书后的14天内，将应支付款支付给承包人。发包人不按期支付的，按第17.3.3（2）目的约定，将逾期付款违约金支付给承包人。</w:t>
      </w:r>
    </w:p>
    <w:p w14:paraId="55AAD43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（3）承包人对发包人签认的完工付款证书有异议的，发包人可出具完工付款申请单中承包人已同意部分的临时付款证书。存在争议的部分，按第24条的约定办理。</w:t>
      </w:r>
    </w:p>
    <w:p w14:paraId="360720E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（4）完工付款涉及政府投资资金的，按第17.3.3（4）目的约定办理。</w:t>
      </w:r>
    </w:p>
    <w:p w14:paraId="3BDA6AD3">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17.6 最终结清</w:t>
      </w:r>
    </w:p>
    <w:p w14:paraId="0C87C522">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17.6.1  最终结清申请单</w:t>
      </w:r>
    </w:p>
    <w:p w14:paraId="0C547FB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（1）工程质量保修责任终止证书签发后，承包人应按监理人批准的格式提交最终结清申请单。提交最终结清申请单的份数在专用合同条款中约定。</w:t>
      </w:r>
    </w:p>
    <w:p w14:paraId="1B6D473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（2）发包人对最终结清申请单内容有异议的，有权要求承包人进行修正和提供补充资料，由承包人向监理人提交修正后的最终结清申请单。</w:t>
      </w:r>
    </w:p>
    <w:p w14:paraId="61FA5603">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17.6.2  最终结清证书和支付时间</w:t>
      </w:r>
    </w:p>
    <w:p w14:paraId="02907B6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（1）监理人收到承包人提交的最终结清申请单后的14天内，提出发包人应支付给承包人的价款送发包人审核并抄送承包人。发包人应在收到后14 天内审核完毕，由监理人向承包人出具经发包人签认的最终结清证书。监理人未在约定时间内核查，又未提出具体意见的，视为承包人提交的最终结清申请已经监理人核查同意；发包人未在约定时间内审核又未提出具体意见的，监理人提出应支付给承包人的价款视为已经发包人同意。</w:t>
      </w:r>
    </w:p>
    <w:p w14:paraId="2B923BB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（2）发包人应在监理人出具最终结清证书后的14天内，将应支付款支付给承包人。发包人不按期支付的，按第17.3.3（2）目的约定，将逾期付款违约金支付给承包人。</w:t>
      </w:r>
    </w:p>
    <w:p w14:paraId="0063367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（3）承包人对发包人签认的最终结清证书有异议的，按第24条的约定办理。</w:t>
      </w:r>
    </w:p>
    <w:p w14:paraId="4EA79D9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（4）最终结清付款涉及政府投资资金的，按第17.3.3（４）目的约定办理。</w:t>
      </w:r>
    </w:p>
    <w:p w14:paraId="437B1533">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17.7  竣工财务决算</w:t>
      </w:r>
    </w:p>
    <w:p w14:paraId="1AD6EBA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发包人负责编制本工程项目竣工财务决算，承包人应按专用合同条款的约定提供竣工财务决算编制所需的相关材料。</w:t>
      </w:r>
    </w:p>
    <w:p w14:paraId="6E8A8047">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17.8  竣工审计</w:t>
      </w:r>
    </w:p>
    <w:p w14:paraId="4A51477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发包人负责完成本工程竣工审计手续，承包人应完成相关配合工作。</w:t>
      </w:r>
    </w:p>
    <w:p w14:paraId="6BF38252">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18．竣工验收（验收）</w:t>
      </w:r>
    </w:p>
    <w:p w14:paraId="43885EE9">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18.1  验收工作分类</w:t>
      </w:r>
    </w:p>
    <w:p w14:paraId="7D32711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本工程验收工作按主持单位分为法人验收和政府验收。法人验收和政府验收的类别在专用合同条款中约定。除专用合同条款另有约定外，法人验收由发包人主持。承包人应完成法人验收和政府验收的配合工作，所需费用应含在已标价工程量清单中。</w:t>
      </w:r>
    </w:p>
    <w:p w14:paraId="7520C3DA">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18.2  分部工程验收</w:t>
      </w:r>
    </w:p>
    <w:p w14:paraId="6A644CB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18.2.1  分部工程具备验收条件时，承包人应向发包人提交验收申请报告，发包人应在收到验收申请报告之日起10个工作日内决定是否同意进行验收。</w:t>
      </w:r>
    </w:p>
    <w:p w14:paraId="7C2AF6B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18.2.2  除专用合同条款另有约定外，监理人主持分部工程验收，承包人应派符合条件的代表参加验收工作组。</w:t>
      </w:r>
    </w:p>
    <w:p w14:paraId="1C05E7A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18.2.3  分部工程验收通过后，发包人向承包人发送分部工程验收鉴定书。承包人应及时完成分部工程验收鉴定书载明应由承包人处理的遗留问题。</w:t>
      </w:r>
    </w:p>
    <w:p w14:paraId="6D2D67F9">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18.3  单位工程验收</w:t>
      </w:r>
    </w:p>
    <w:p w14:paraId="46F105C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18.3.1  单位工程具备验收条件时，承包人应向发包人提交验收申请报告，发包人应在收到验收申请报告之日起10个工作日内决定是否同意进行验收。</w:t>
      </w:r>
    </w:p>
    <w:p w14:paraId="29F124C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18.3.2  发包人主持单位工程验收，承包人应派符合条件的代表参加验收工作组。</w:t>
      </w:r>
    </w:p>
    <w:p w14:paraId="0266E1F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18.3.3  单位工程验收通过后，发包人向承包人发送单位工程验收鉴定书。承包人应及时完成单位工程验收鉴定书载明应由承包人处理的遗留问题。</w:t>
      </w:r>
    </w:p>
    <w:p w14:paraId="71C8848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18.3.4  需提前投入使用的单位工程在专用合同条款中明确。</w:t>
      </w:r>
    </w:p>
    <w:p w14:paraId="6F04F419">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18.4  合同工程完工验收</w:t>
      </w:r>
    </w:p>
    <w:p w14:paraId="6546C0B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18.4.1  合同工程具备验收条件时，承包人应向发包人提交验收申请报告，发包人应在收到验收申请报告之日起20个工作日内决定是否同意进行验收。</w:t>
      </w:r>
    </w:p>
    <w:p w14:paraId="324B519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18.4.2  发包人主持合同工程完工验收，承包人应派代表参加验收工作组。</w:t>
      </w:r>
    </w:p>
    <w:p w14:paraId="6BDE75B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18.4.3  合同工程完工验收通过后，发包人向承包人发送合同工程完工验收鉴定书。承包人应及时完成合同工程完工验收鉴定书载明应由承包人处理的遗留问题。</w:t>
      </w:r>
    </w:p>
    <w:p w14:paraId="46FED0A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18.4.4  合同工程完工验收通过后，发包人与承包人应在30个工作日内组织专人负责工程交接，双方交接负责人应在交接记录上签字。承包人应按验收鉴定书约定的时间及时移交工程及其档案资料。工程移交时，承包人应向发包人递交工程质量保修书。在承包人递交了工程质量保修书、完成施工场地清理以及提交有关资料后，发包人应在30个工作日内向承包人颁发合同工程完工证书。</w:t>
      </w:r>
    </w:p>
    <w:p w14:paraId="0BB3D323">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18.5  阶段验收</w:t>
      </w:r>
    </w:p>
    <w:p w14:paraId="44B087C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18.5.1  工程建设具备阶段验收条件时，发包人负责提出阶段验收申请报告。承包人应派代表参加阶段验收，并作为被验收单位在验收鉴定书上签字。阶段验收的具体类别在专用合同条款中约定。</w:t>
      </w:r>
    </w:p>
    <w:p w14:paraId="00B32DF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18.5.2  承包人应及时完成阶段验收鉴定书载明应由承包人处理的遗留问题。</w:t>
      </w:r>
    </w:p>
    <w:p w14:paraId="041AF603">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18.6  专项验收</w:t>
      </w:r>
    </w:p>
    <w:p w14:paraId="4576D08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18.6.1  发包人负责提出专项验收申请报告。承包人应按专项验收的相关规定参加专项验收。专项验收的具体类别在专用合同条款中约定。</w:t>
      </w:r>
    </w:p>
    <w:p w14:paraId="547339E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18.6.2  承包人应及时完成专项验收成果性文件载明应由承包人处理的遗留问题。</w:t>
      </w:r>
    </w:p>
    <w:p w14:paraId="74CBB3EB">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18.7  竣工验收</w:t>
      </w:r>
    </w:p>
    <w:p w14:paraId="5B7BA94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18.7.1  申请竣工验收前，发包人组织竣工验收自查，承包人应派代表参加。</w:t>
      </w:r>
    </w:p>
    <w:p w14:paraId="3F1C3CF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18.7.2  竣工验收分为竣工技术预验收和竣工验收两个阶段。发包人应通知承包人派代表参加技术预验收和竣工验收。</w:t>
      </w:r>
    </w:p>
    <w:p w14:paraId="1156473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18.7.3  专用合同条款约定工程需要进行技术鉴定的，承包人应提交有关资料并完成配合工作。</w:t>
      </w:r>
    </w:p>
    <w:p w14:paraId="38297CB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18.7.4  竣工验收需要进行质量检测的，所需费用由发包人承担，但因承包人原因造成质量不合格的除外。</w:t>
      </w:r>
    </w:p>
    <w:p w14:paraId="165C280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18.7.5  工程质量保修期满以及竣工验收遗留问题和尾工处理完成并通过验收后，发包人负责将处理情况和验收成果报送竣工验收主持单位，申请领取工程竣工证书，并发送承包人。</w:t>
      </w:r>
    </w:p>
    <w:p w14:paraId="1CA43F86">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18.8  施工期运行</w:t>
      </w:r>
    </w:p>
    <w:p w14:paraId="2919848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18.8.1  施工期运行是指合同工程尚未全部完工，其中某单位工程或部分工程已完工，需要投入施工期运行的，经发包人按第18.2款或第18.3款的约定验收合格，证明能确保安全后，才能在施工期投入运行。需要在施工期运行的单位工程或部分工程在专用合同条款中约定。</w:t>
      </w:r>
    </w:p>
    <w:p w14:paraId="74D7311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18.8.2  在施工期运行中发现工程或工程设备损坏或存在缺陷的，由承包人按第19.2款约定进行修复。</w:t>
      </w:r>
    </w:p>
    <w:p w14:paraId="09C5FBAF">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18.9  试运行</w:t>
      </w:r>
    </w:p>
    <w:p w14:paraId="414A2EF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18.9.1  除专用合同条款另有约定外，承包人应按规定进行工程及工程设备试运行，负责提供试运行所需的人员、器材和必要的条件，并承担全部试运行费用。</w:t>
      </w:r>
    </w:p>
    <w:p w14:paraId="18BCC26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18.9.2  由于承包人的原因导致试运行失败的，承包人应采取措施保证试运行合格，并承担相应费用。由于发包人的原因导致试运行失败的，承包人应当采取措施保证试运行合格，发包人应承担由此产生的费用，并支付承包人合理利润。</w:t>
      </w:r>
    </w:p>
    <w:p w14:paraId="294FADB3">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18.10  竣工（完工）清场</w:t>
      </w:r>
    </w:p>
    <w:p w14:paraId="5C0C0A7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18.10.1  工程项目竣工（完工）清场的工作范围和内容在技术标准和要求（合同技术条款）中约定。</w:t>
      </w:r>
    </w:p>
    <w:p w14:paraId="4B75C51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18.10.2  承包人未按监理人的要求恢复临时占地，或者场地清理未达到合同约定的，发包人有权委托其它人恢复或清理，所发生的金额从拟支付给承包人的款项中扣除。</w:t>
      </w:r>
    </w:p>
    <w:p w14:paraId="75A3A3DB">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18.11  施工队伍的撤离</w:t>
      </w:r>
    </w:p>
    <w:p w14:paraId="36D2446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合同工程完工证书颁发后的56天内，除了经监理人同意需在缺陷责任期（工程质量保修期）内继续工作和使用的人员、施工设备和临时工程外，其余的人员、施工设备和临时工程均应撤离施工场地或拆除。除合同另有约定外，缺陷责任期（工程质量保修期）满时，承包人的人员和施工设备应全部撤离施工场地。</w:t>
      </w:r>
    </w:p>
    <w:p w14:paraId="4F99810F">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19．缺陷责任与保修责任</w:t>
      </w:r>
    </w:p>
    <w:p w14:paraId="21B6D125">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19.1缺陷责任期的起算时间</w:t>
      </w:r>
    </w:p>
    <w:p w14:paraId="14EF98B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除专用合同条款另有约定外，缺陷责任期（工程质量保修期）从工程通过合同工程完工验收后开始计算。在合同工程完工验收前，已经发包人提前验收的单位工程或部分工程，若未投入使用，其缺陷责任期（工程质量保修期）亦从工程通过合同工程完工验收后开始计算；若已投入使用，其缺陷责任期（工程质量保修期）从通过单位工程或部分工程投入使用验收后开始计算。缺陷责任期（工程质量保修期）的期限在专用合同条款中约定。</w:t>
      </w:r>
    </w:p>
    <w:p w14:paraId="063B1A13">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19.2 缺陷责任</w:t>
      </w:r>
    </w:p>
    <w:p w14:paraId="6469CD6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19.2.1  承包人应在缺陷责任期内对已交付使用的工程承担缺陷责任。</w:t>
      </w:r>
    </w:p>
    <w:p w14:paraId="5390213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19.2.2  缺陷责任期内，发包人对已接收使用的工程负责日常维护工作。发包人在使用过程中，发现已接收的工程存在新的缺陷或已修复的缺陷部位或部件又遭损坏的，承包人应负责修复，直至检验合格为止。</w:t>
      </w:r>
    </w:p>
    <w:p w14:paraId="18D503C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19.2.3  监理人和承包人应共同查清缺陷和（或）损坏的原因。经查明属承包人原因造成的，应由承包人承担修复和查验的费用。经查验属发包人原因造成的，发包人应承担修复和查验的费用，并支付承包人合理利润。</w:t>
      </w:r>
    </w:p>
    <w:p w14:paraId="0FA3E1E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19.2.4  承包人不能在合理时间内修复缺陷的，发包人可自行修复或委托其他人修复，所需费用和利润的承担，按第19.2.3项约定办理。</w:t>
      </w:r>
    </w:p>
    <w:p w14:paraId="5A69CA76">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19.3 缺陷责任期的延长</w:t>
      </w:r>
    </w:p>
    <w:p w14:paraId="0C2F42E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由于承包人原因造成某项缺陷或损坏使某项工程或工程设备不能按原定目标使用而需要再次检查、检验和修复的，发包人有权要求承包人相应延长缺陷责任期，但缺陷责任期最长不超过2年。</w:t>
      </w:r>
    </w:p>
    <w:p w14:paraId="50A17F43">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19.4 进一步试验和试运行</w:t>
      </w:r>
    </w:p>
    <w:p w14:paraId="057AC28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任何一项缺陷或损坏修复后，经检查证明其影响了工程或工程设备的使用性能，承包人应重新进行合同约定的试验和试运行，试验和试运行的全部费用应由责任方承担。</w:t>
      </w:r>
    </w:p>
    <w:p w14:paraId="6B297F65">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19.5 承包人的进入权</w:t>
      </w:r>
    </w:p>
    <w:p w14:paraId="3A52300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缺陷责任期内承包人为缺陷修复工作需要，有权进入工程现场，但应遵守发包人的保安和保密规定。</w:t>
      </w:r>
    </w:p>
    <w:p w14:paraId="1982B8C0">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19.6  缺陷责任期终止证书（工程质量保修责任终止证书）</w:t>
      </w:r>
    </w:p>
    <w:p w14:paraId="0007D33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合同工程完工验收或投入使用验收后，发包人与承包人应办理工程交接手续，承包人应向发包人递交工程质量保修书。</w:t>
      </w:r>
    </w:p>
    <w:p w14:paraId="6A0BC98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缺陷责任期（工程质量保修期）满后30个工作日内，发包人应向承包人颁发工程质量保修责任终止证书，并退还剩余的质量保证金，但保修责任范围内的质量缺陷未处理完成的应除外。</w:t>
      </w:r>
    </w:p>
    <w:p w14:paraId="038655E6">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19.7 保修责任</w:t>
      </w:r>
    </w:p>
    <w:p w14:paraId="2596303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合同当事人根据有关法律规定，在专用合同条款中约定工程质量保修范围、期限和责任。保修期自实际竣工日期起计算。在全部工程竣工验收前，已经发包人提前验收的单位工程，其保修期的起算日期相应提前。</w:t>
      </w:r>
    </w:p>
    <w:p w14:paraId="3CAF932A">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20．保险</w:t>
      </w:r>
    </w:p>
    <w:p w14:paraId="67BE61AA">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20.1工程保险</w:t>
      </w:r>
    </w:p>
    <w:p w14:paraId="0A60FAC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除专用合同条款另有约定外，承包人应以发包人和承包人的共同名义向双方同意的保险人投保建筑工程一切险、安装工程一切险。其具体的投保内容、保险金额、保险费率、保险期限等有关内容在专用合同条款中约定。</w:t>
      </w:r>
    </w:p>
    <w:p w14:paraId="66FD9ED9">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20.2 人员工伤事故的保险</w:t>
      </w:r>
    </w:p>
    <w:p w14:paraId="1BF37DE0">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 xml:space="preserve">20.2.1  承包人员工伤事故的保险 </w:t>
      </w:r>
    </w:p>
    <w:p w14:paraId="0952649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承包人应依照有关法律规定参加工伤保险，为其履行合同所雇佣的全部人员，缴纳工伤保险费，并要求其分包人也进行此项保险。</w:t>
      </w:r>
    </w:p>
    <w:p w14:paraId="5CCDD12F">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 xml:space="preserve">20.2.2  发包人员工伤事故的保险 </w:t>
      </w:r>
    </w:p>
    <w:p w14:paraId="31658E0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发包人应依照有关法律规定参加工伤保险，为其现场机构雇佣的全部人员，缴纳工伤保险费，并要求其监理人也进行此项保险。</w:t>
      </w:r>
    </w:p>
    <w:p w14:paraId="07B4F9E0">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20.3 人身意外伤害险</w:t>
      </w:r>
    </w:p>
    <w:p w14:paraId="094D031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20.3.1  发包人应在整个施工期间为其现场机构雇用的全部人员，投保人身意外伤害险，缴纳保险费，并要求其监理人也进行此项保险。</w:t>
      </w:r>
    </w:p>
    <w:p w14:paraId="20950C5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20.3.2  承包人应在整个施工期间为其现场机构雇用的全部人员，投保人身意外伤害险，缴纳保险费，并要求其分包人也进行此项保险。</w:t>
      </w:r>
    </w:p>
    <w:p w14:paraId="2F1A4083">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20.4 第三者责任险</w:t>
      </w:r>
    </w:p>
    <w:p w14:paraId="1E1684F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20.4.1  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14:paraId="0A42C2F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20.4.2  在缺陷责任期终止证书颁发前，承包人应以承包人和发包人的共同名义，投保第项约定的第三者责任险，其保险费率、保险金额等有关内容在专用合同条款中约定。</w:t>
      </w:r>
    </w:p>
    <w:p w14:paraId="056E767B">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20.5 其他保险</w:t>
      </w:r>
    </w:p>
    <w:p w14:paraId="34A485A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除专用合同条款另有约定外，承包人应为其施工设备、进场的材料和工程设备等办理保险。</w:t>
      </w:r>
    </w:p>
    <w:p w14:paraId="0FA9CBE1">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20.6 对各项保险的一般要求</w:t>
      </w:r>
    </w:p>
    <w:p w14:paraId="1D49EE3D">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20.6.1  保险凭证</w:t>
      </w:r>
    </w:p>
    <w:p w14:paraId="3D6910A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承包人应在专用合同条款约定的期限内向发包人提交各项保险生效的证据和保险单副本，保险单必须与专用合同条款约定的条件保持一致。</w:t>
      </w:r>
    </w:p>
    <w:p w14:paraId="022CD5CA">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20.6.2  保险合同条款的变动</w:t>
      </w:r>
    </w:p>
    <w:p w14:paraId="3C7663B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承包人需要变动保险合同条款时，应事先征得发包人同意，并通知监理人。保险人作出变动的，承包人应在收到保险人通知后立即通知发包人和监理人。</w:t>
      </w:r>
    </w:p>
    <w:p w14:paraId="681B2996">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20.6.3  持续保险</w:t>
      </w:r>
    </w:p>
    <w:p w14:paraId="022FEA2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承包人应与保险人保持联系，使保险人能够随时了解工程实施中的变动，并确保按保险合同条款要求持续保险。</w:t>
      </w:r>
    </w:p>
    <w:p w14:paraId="64309B90">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 xml:space="preserve">20.6.4  保险金不足的补偿 </w:t>
      </w:r>
    </w:p>
    <w:p w14:paraId="16E4B7A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保险金不足以补偿损失时，应由承包人和发包人各自负责补偿的范围和金额在专用合同条款中约定。</w:t>
      </w:r>
    </w:p>
    <w:p w14:paraId="3BC4F32B">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 xml:space="preserve">20.6.5  未按约定投保的补救 </w:t>
      </w:r>
    </w:p>
    <w:p w14:paraId="4F2912D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（1）由于负有投保义务的一方当事人未按合同约定办理保险，或未能使保险持续有效的，另一方当事人可代为办理，所需费用由对方当事人承担。</w:t>
      </w:r>
    </w:p>
    <w:p w14:paraId="48A71E2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（2）由于负有投保义务的一方当事人未按合同约定办理某项保险，导致受益人未能得到保险人的赔偿，原应从该项保险得到的保险金应由负有投保义务的一方当事人支付。</w:t>
      </w:r>
    </w:p>
    <w:p w14:paraId="68FBB92C">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 xml:space="preserve">20.6.6  报告义务 </w:t>
      </w:r>
    </w:p>
    <w:p w14:paraId="04E67B2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当保险事故发生时，投保人应按照保险单规定的条件和期限及时向保险人报告。</w:t>
      </w:r>
    </w:p>
    <w:p w14:paraId="6F18C77E">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21．不可抗力</w:t>
      </w:r>
    </w:p>
    <w:p w14:paraId="42E24B40">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21.1 不可抗力的确认</w:t>
      </w:r>
    </w:p>
    <w:p w14:paraId="312C831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21.1.1  不可抗力是指承包人和发包人在订立合同时不可预见，在工程施工过程中不可避免发生并不能克服的自然灾害和社会性突发事件，如地震、海啸、瘟疫、水灾、骚乱、暴动、战争和专用合同条款约定的其他情形。</w:t>
      </w:r>
    </w:p>
    <w:p w14:paraId="3157E11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21.1.2  不可抗力发生后，发包人和承包人应及时认真统计所造成的损失，收集不可抗力造成损失的证据。合同双方对是否属于不可抗力或其损失的意见不一致的，由监理人按第款商定或确定。发生争议时，按第24条的约定办理。</w:t>
      </w:r>
    </w:p>
    <w:p w14:paraId="650C7ADD">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21.2 不可抗力的通知</w:t>
      </w:r>
    </w:p>
    <w:p w14:paraId="335FC3F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21.2.1  合同一方当事人遇到不可抗力事件，使其履行合同义务受到阻碍时，应立即通知合同另一方当事人和监理人，书面说明不可抗力和受阻碍的详细情况，并提供必要的证明。</w:t>
      </w:r>
    </w:p>
    <w:p w14:paraId="4D5EA1C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21.2.2  如不可抗力持续发生，合同一方当事人应及时向合同另一方当事人和监理人提交中间报告，说明不可抗力和履行合同受阻的情况，并于不可抗力事件结束后28天内提交最终报告及有关资料。</w:t>
      </w:r>
    </w:p>
    <w:p w14:paraId="289C7836">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21.3 不可抗力后果及其处理</w:t>
      </w:r>
    </w:p>
    <w:p w14:paraId="351F334B">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21.3.1  不可抗力造成损害的责任</w:t>
      </w:r>
    </w:p>
    <w:p w14:paraId="173271A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除专用合同条款另有约定外，不可抗力导致的人员伤亡、财产损失、费用增加和（或）工期延误等后果，由合同双方按以下原则承担：</w:t>
      </w:r>
    </w:p>
    <w:p w14:paraId="40889FF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（1）永久工程，包括已运至施工场地的材料和工程设备的损害，以及因工程损害造成的第三者人员伤亡和财产损失由发包人承担；</w:t>
      </w:r>
    </w:p>
    <w:p w14:paraId="0870F46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（2）承包人设备的损坏由承包人承担；</w:t>
      </w:r>
    </w:p>
    <w:p w14:paraId="45395DE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（3）发包人和承包人各自承担其人员伤亡和其他财产损失及其相关费用；</w:t>
      </w:r>
    </w:p>
    <w:p w14:paraId="46AFACC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（4）承包人的停工损失由承包人承担，但停工期间应监理人要求照管工程和清理、修复工程的金额由发包人承担；</w:t>
      </w:r>
    </w:p>
    <w:p w14:paraId="7CA65EE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（5）不能按期竣工的，应合理延长工期，承包人不需支付逾期竣工违约金。发包人要求赶工的，承包人应采取赶工措施，赶工费用由发包人承担。</w:t>
      </w:r>
    </w:p>
    <w:p w14:paraId="313510AA">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21.3.2  延迟履行期间发生的不可抗力</w:t>
      </w:r>
    </w:p>
    <w:p w14:paraId="760AB15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合同一方当事人延迟履行，在延迟履行期间发生不可抗力的，不免除其责任。</w:t>
      </w:r>
    </w:p>
    <w:p w14:paraId="22EAF185">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21.3.3  避免和减少不可抗力损失</w:t>
      </w:r>
    </w:p>
    <w:p w14:paraId="60DC1A3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不可抗力发生后，发包人和承包人均应采取措施尽量避免和减少损失的扩大，任何一方没有采取有效措施导致损失扩大的，应对扩大的损失承担责任。</w:t>
      </w:r>
    </w:p>
    <w:p w14:paraId="6CB587B6">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21.3.4  因不可抗力解除合同</w:t>
      </w:r>
    </w:p>
    <w:p w14:paraId="61819E2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合同一方当事人因不可抗力不能履行合同的，应当及时通知对方解除合同。合同解除后，承包人应按照第22.2.5项约定撤离施工场地。已经订货的材料、设备由订货方负责退货或解除订货合同，不能退还的货款和因退货、解除订货合同发生的费用，由发包人承担，因未及时退货造成的损失由责任方承担。合同解除后的付款，参照第22.2.4项约定，由监理人按第3.5 款商定或确定。</w:t>
      </w:r>
    </w:p>
    <w:p w14:paraId="3F7CD1D6">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22．违约</w:t>
      </w:r>
    </w:p>
    <w:p w14:paraId="26C97729">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22.1承包人违约</w:t>
      </w:r>
    </w:p>
    <w:p w14:paraId="03D3F717">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22.1.1  承包人违约的情形</w:t>
      </w:r>
    </w:p>
    <w:p w14:paraId="29ABD28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在履行合同过程中发生的下列情况属承包人违约：</w:t>
      </w:r>
    </w:p>
    <w:p w14:paraId="3DDF9C4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（1）承包人违反第1.8款或第4.3款的约定，私自将合同的全部或部分权利转让给其他人，或私自将合同的全部或部分义务转移给其他人；</w:t>
      </w:r>
    </w:p>
    <w:p w14:paraId="3937712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（2）承包人违反第5.3款或第6.4款的约定，未经监理人批准，私自将已按合同约定进入施工场地的施工设备、临时设施或材料撤离施工场地；</w:t>
      </w:r>
    </w:p>
    <w:p w14:paraId="07900D3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（3）承包人违反第5.4款的约定使用了不合格材料或工程设备，工程质量达不到标准要求，又拒绝清除不合格工程；</w:t>
      </w:r>
    </w:p>
    <w:p w14:paraId="768177FF">
      <w:pPr>
        <w:widowControl w:val="0"/>
        <w:spacing w:line="240" w:lineRule="auto"/>
        <w:ind w:firstLine="420" w:firstLineChars="2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（4）承包人未能按合同进度计划及时完成合同约定的工作，已造成或预期造成工期延误；</w:t>
      </w:r>
    </w:p>
    <w:p w14:paraId="381A46E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（5）承包人在缺陷责任期（工程质量保修期）内，未能对合同工程完工验收鉴定书所列的缺陷清单的内容或缺陷责任期（工程质量保修期）内发生的缺陷进行修复，而又拒绝按监理人指示再进行修补；</w:t>
      </w:r>
    </w:p>
    <w:p w14:paraId="6CC9391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（6）承包人无法继续履行或明确表示不履行或实质上已停止履行合同；</w:t>
      </w:r>
    </w:p>
    <w:p w14:paraId="45A4E0A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（7）承包人不按合同约定履行义务的其它情况。</w:t>
      </w:r>
    </w:p>
    <w:p w14:paraId="692CAD61">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 xml:space="preserve">22.1.2  对承包人违约的处理 </w:t>
      </w:r>
    </w:p>
    <w:p w14:paraId="56C6E75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（1）承包人发生第22.1.1（6）目约定的违约情况时，发包人可通知承包人立即解除合同，并按有关法律处理。</w:t>
      </w:r>
    </w:p>
    <w:p w14:paraId="5ADAD26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（2）承包人发生除第22.1.1（6）目约定以外的其他违约情况时，监理人可向承包人发出整改通知，要求其在指定的期限内改正。承包人应承担其违约所引起的费用增加和（或）工期延误。</w:t>
      </w:r>
    </w:p>
    <w:p w14:paraId="0B3A728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（3）经检查证明承包人已采取了有效措施纠正违约行为，具备复工条件的，可由监理人签发复工通知复工。</w:t>
      </w:r>
    </w:p>
    <w:p w14:paraId="4C62F5FA">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 xml:space="preserve">22.1.3  承包人违约解除合同 </w:t>
      </w:r>
    </w:p>
    <w:p w14:paraId="7F25312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监理人发出整改通知28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定享有的索赔权利。</w:t>
      </w:r>
    </w:p>
    <w:p w14:paraId="40256193">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 xml:space="preserve">22.1.4  合同解除后的估价、付款和结清 </w:t>
      </w:r>
    </w:p>
    <w:p w14:paraId="539B761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（1）合同解除后，监理人按第3.5款商定或确定承包人实际完成工作的价值，以及承包人已提供的材料、施工设备、工程设备和临时工程等的价值。</w:t>
      </w:r>
    </w:p>
    <w:p w14:paraId="7DCBEE1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（2）合同解除后，发包人应暂停对承包人的一切付款，查清各项付款和已扣款金额，包括承包人应支付的违约金。</w:t>
      </w:r>
    </w:p>
    <w:p w14:paraId="5DC7052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（3）合同解除后，发包人应按第23.4款的约定向承包人索赔由于解除合同给发包人造成的损失。</w:t>
      </w:r>
    </w:p>
    <w:p w14:paraId="19A4F41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（4）合同双方确认上述往来款项后，出具最终结清付款证书，结清全部合同款项。</w:t>
      </w:r>
    </w:p>
    <w:p w14:paraId="7D84EB1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（5）发包人和承包人未能就解除合同后的结清达成一致而形成争议的，按第24条的约定办理。</w:t>
      </w:r>
    </w:p>
    <w:p w14:paraId="46DE2BBC">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 xml:space="preserve">22.1.5  协议利益的转让 </w:t>
      </w:r>
    </w:p>
    <w:p w14:paraId="71CA388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因承包人违约解除合同的，发包人有权要求承包人将其为实施合同而签订的材料和设备的订货协议或任何服务协议利益转让给发包人，并在解除合同后的14 天内，依法办理转让手续。</w:t>
      </w:r>
    </w:p>
    <w:p w14:paraId="00CCF76B">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 xml:space="preserve">22.1.6  紧急情况下无能力或不愿进行抢救 </w:t>
      </w:r>
    </w:p>
    <w:p w14:paraId="7DEADA0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14:paraId="749683FE">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22.2 发包人违约</w:t>
      </w:r>
    </w:p>
    <w:p w14:paraId="073A7C2D">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 xml:space="preserve">22.2.1  发包人违约的情形 </w:t>
      </w:r>
    </w:p>
    <w:p w14:paraId="709AAE6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在履行合同过程中发生的下列情形，属发包人违约：</w:t>
      </w:r>
    </w:p>
    <w:p w14:paraId="17EADA5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（1）发包人未能按合同约定支付预付款或合同价款，或拖延、拒绝批准付款申请和支付凭证，导致付款延误的；</w:t>
      </w:r>
    </w:p>
    <w:p w14:paraId="3B957A6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（2）发包人原因造成停工的；</w:t>
      </w:r>
    </w:p>
    <w:p w14:paraId="193A481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（3）监理人无正当理由没有在约定期限内发出复工指示，导致承包人无法复工的；</w:t>
      </w:r>
    </w:p>
    <w:p w14:paraId="7AB584A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（4）发包人无法继续履行或明确表示不履行或实质上已停止履行合同的；</w:t>
      </w:r>
    </w:p>
    <w:p w14:paraId="5336BCD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（5）发包人不履行合同约定其他义务的。</w:t>
      </w:r>
    </w:p>
    <w:p w14:paraId="131B8952">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22.2.2  承包人有权暂停施工</w:t>
      </w:r>
    </w:p>
    <w:p w14:paraId="649DED5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发包人发生除第22.2.1（4）目以外的违约情况时，承包人可向发包人发出通知，要求发包人采取有效措施纠正违约行为。发包人收到承包人通知后的28 天内仍不履行合同义务，承包人有权暂停施工，并通知监理人，发包人应承担由此增加的费用和（或）工期延误，并支付承包人合理利润。</w:t>
      </w:r>
    </w:p>
    <w:p w14:paraId="26350379">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22.2.3  发包人违约解除合同</w:t>
      </w:r>
    </w:p>
    <w:p w14:paraId="214CB6B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（1）发生第22.2.1（4）目的违约情况时，承包人可书面通知发包人解除合同。</w:t>
      </w:r>
    </w:p>
    <w:p w14:paraId="0BB29C7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（2）承包人按22.2.2 项暂停施工28天后，发包人仍不纠正违约行为的，承包人可向发包人发出解除合同通知。但承包人的这一行动不免除发包人承担的违约责任，也不影响承包人根据合同约定享有的索赔权利。</w:t>
      </w:r>
    </w:p>
    <w:p w14:paraId="13BD2500">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 xml:space="preserve">22.2.4  解除合同后的付款 </w:t>
      </w:r>
    </w:p>
    <w:p w14:paraId="0C4D0EA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因发包人违约解除合同的，发包人应在解除合同后28天内向承包人支付下列金额，承包人应在此期限内及时向发包人提交要求支付下列金额的有关资料和凭证：</w:t>
      </w:r>
    </w:p>
    <w:p w14:paraId="68A2522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（1）合同解除日以前所完成工作的价款；</w:t>
      </w:r>
    </w:p>
    <w:p w14:paraId="4749A9A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（2）承包人为该工程施工订购并已付款的材料、工程设备和其他物品的金额。发包人付还后，该材料、工程设备和其他物品归发包人所有；</w:t>
      </w:r>
    </w:p>
    <w:p w14:paraId="16B8F83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（3）承包人为完成工程所发生的，而发包人未支付的金额；</w:t>
      </w:r>
    </w:p>
    <w:p w14:paraId="2A1D651F">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（4）承包人撤离施工场地以及遣散承包人人员的金额；</w:t>
      </w:r>
    </w:p>
    <w:p w14:paraId="222123D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（5）由于解除合同应赔偿的承包人损失；</w:t>
      </w:r>
    </w:p>
    <w:p w14:paraId="4E7E996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（6）按合同约定在合同解除日前应支付给承包人的其他金额。</w:t>
      </w:r>
    </w:p>
    <w:p w14:paraId="3B8E3E13">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发包人应按本项约定支付上述金额并退还质量保证金和履约担保，但有权要求承包人支付应偿还给发包人的各项金额。</w:t>
      </w:r>
    </w:p>
    <w:p w14:paraId="7EAF87D8">
      <w:pPr>
        <w:widowControl w:val="0"/>
        <w:spacing w:line="240" w:lineRule="auto"/>
        <w:ind w:firstLine="422" w:firstLineChars="200"/>
        <w:jc w:val="both"/>
        <w:rPr>
          <w:rFonts w:hint="eastAsia" w:ascii="宋体" w:hAnsi="宋体" w:eastAsia="宋体" w:cs="宋体"/>
          <w:b/>
          <w:color w:val="auto"/>
          <w:kern w:val="0"/>
          <w:sz w:val="21"/>
          <w:szCs w:val="21"/>
          <w:lang w:val="en-US" w:eastAsia="zh-CN" w:bidi="ar-SA"/>
        </w:rPr>
      </w:pPr>
      <w:r>
        <w:rPr>
          <w:rFonts w:hint="eastAsia" w:ascii="宋体" w:hAnsi="宋体" w:eastAsia="宋体" w:cs="宋体"/>
          <w:b/>
          <w:color w:val="auto"/>
          <w:kern w:val="0"/>
          <w:sz w:val="21"/>
          <w:szCs w:val="21"/>
          <w:lang w:val="en-US" w:eastAsia="zh-CN" w:bidi="ar-SA"/>
        </w:rPr>
        <w:t xml:space="preserve">22.2.5  解除合同后的承包人撤离 </w:t>
      </w:r>
    </w:p>
    <w:p w14:paraId="05ABC75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因发包人违约而解除合同后，承包人应妥善做好已竣工工程和已购材料、设备的保护和移交工作，按发包人要求将承包人设备和人员撤出施工场地。承包人撤出施工场地应遵守第18.7.1项的约定，发包人应为承包人撤出提供必要条件。</w:t>
      </w:r>
    </w:p>
    <w:p w14:paraId="3643FE87">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22.3第三人造成的违约</w:t>
      </w:r>
    </w:p>
    <w:p w14:paraId="34DF3AD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在履行合同过程中，一方当事人因第三人的原因造成违约的，应当向对方当事人承担违约责任。一方当事人和第三人之间的纠纷，依照法律规定或者按照约定解决。</w:t>
      </w:r>
    </w:p>
    <w:p w14:paraId="02F066B8">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23．索赔</w:t>
      </w:r>
    </w:p>
    <w:p w14:paraId="6BB72639">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23.1 承包人索赔的提出</w:t>
      </w:r>
    </w:p>
    <w:p w14:paraId="38C3528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根据合同约定，承包人认为有权得到追加付款和（或）延长工期的，应按以下程序向发包人提出索赔：</w:t>
      </w:r>
    </w:p>
    <w:p w14:paraId="65A0B91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2B1197D0">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（2）承包人应在发出索赔意向通知书后28天内，向监理人正式递交索赔通知书。索赔通知书应详细说明索赔理由以及要求追加的付款金额和（或）延长的工期，并附必要的记录和证明材料；</w:t>
      </w:r>
    </w:p>
    <w:p w14:paraId="4C2DD5B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（3）索赔事件具有连续影响的，承包人应按合理时间间隔继续递交延续索赔通知，说明连续影响的实际情况和记录，列出累计的追加付款金额和（或）工期延长天数；</w:t>
      </w:r>
    </w:p>
    <w:p w14:paraId="3C6876A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（4）在索赔事件影响结束后的28天内，承包人应向监理人递交最终索赔通知书，说明最终要求索赔的追加付款金额和延长的工期，并附必要的记录和证明材料。</w:t>
      </w:r>
    </w:p>
    <w:p w14:paraId="089B4BF8">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23.2 承包人索赔处理程序</w:t>
      </w:r>
    </w:p>
    <w:p w14:paraId="14EB4C48">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（1）监理人收到承包人提交的索赔通知书后，应及时审查索赔通知书的内容、查验承包人的记录和证明材料，必要时监理人可要求承包人提交全部原始记录副本。</w:t>
      </w:r>
    </w:p>
    <w:p w14:paraId="1455CD1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（2）监理人应按第3.5款商定或确定追加的付款和（或）延长的工期，并在收到上述索赔通知书或有关索赔的进一步证明材料后的42天内，将索赔处理结果答复承包人。</w:t>
      </w:r>
    </w:p>
    <w:p w14:paraId="5EA776E2">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（3）承包人接受索赔处理结果的，发包人应在作出索赔处理结果答复后28 天内完成赔付。承包人不接受索赔处理结果的，按第24条的约定办理。</w:t>
      </w:r>
    </w:p>
    <w:p w14:paraId="5DD7201F">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23.3 承包人提出索赔的期限</w:t>
      </w:r>
    </w:p>
    <w:p w14:paraId="0FAF9F8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23.3.1  承包人按第17.5款的约定接受了完工付款证书后，应被认为已无权再提出在合同工程完工证书颁发前所发生的任何索赔。</w:t>
      </w:r>
    </w:p>
    <w:p w14:paraId="0AEBEF26">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23.3.2  承包人按第17.6款的约定提交的最终结清申请单中，只限于提出合同工程完工证书颁发后发生的索赔。提出索赔的期限自接受最终结清证书时终止。</w:t>
      </w:r>
    </w:p>
    <w:p w14:paraId="1DF4AB71">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23.4 发包人的索赔</w:t>
      </w:r>
    </w:p>
    <w:p w14:paraId="6F3C3A4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23.4.1  发生索赔事件后，监理人应及时书面通知承包人，详细说明发包人有权得到的索赔金额和（或）延长缺陷责任期的细节和依据。发包人提出索赔的期限和要求与第23.3款的约定相同，延长缺陷责任期的通知应在缺陷责任期届满前发出。</w:t>
      </w:r>
    </w:p>
    <w:p w14:paraId="30154D4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23.4.2  监理人按第3.5款商定或确定发包人从承包人处得到赔付的金额和（或）缺陷责任期的延长期。承包人应付给发包人的金额可从拟支付给承包人的合同价款中扣除，或由承包人以其他方式支付给发包人。</w:t>
      </w:r>
    </w:p>
    <w:p w14:paraId="20EB84BC">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23.4.3  承包人对监理人按第23.4.1项发出的索赔书面通知内容持异议时，应在收到书面通知后的14天内，将持有异议的书面报告及其证明材料提交监理人。监理人应在收到承包人书面报告后的14天内，将异议的处理意见通知承包人，并按第23.4.2项的约定执行赔付。若承包人不接受监理人的索赔处理意见，可按本合同第24条的规定办理。</w:t>
      </w:r>
    </w:p>
    <w:p w14:paraId="45A77EE7">
      <w:pPr>
        <w:widowControl w:val="0"/>
        <w:spacing w:line="240" w:lineRule="auto"/>
        <w:ind w:firstLine="422" w:firstLineChars="200"/>
        <w:jc w:val="both"/>
        <w:outlineLvl w:val="2"/>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24．争议的解决</w:t>
      </w:r>
    </w:p>
    <w:p w14:paraId="254269F7">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24.1争议的解决方式</w:t>
      </w:r>
    </w:p>
    <w:p w14:paraId="130D734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发包人和承包人在履行合同中发生争议的，可以友好协商解决或者提请争议评审组评审。合同当事人友好协商解决不成、不愿提请争议评审或者不接受争议评审组意见的，可在专用合同条款中约定下列一种方式解决。</w:t>
      </w:r>
    </w:p>
    <w:p w14:paraId="6894445A">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（1）向约定的仲裁委员会申请仲裁；</w:t>
      </w:r>
    </w:p>
    <w:p w14:paraId="4B53D43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（2）向有管辖权的人民法院提起诉讼。</w:t>
      </w:r>
    </w:p>
    <w:p w14:paraId="25F99073">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24.2 友好解决</w:t>
      </w:r>
    </w:p>
    <w:p w14:paraId="6C8F4B99">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在提请争议评审、仲裁或者诉讼前，以及在争议评审、仲裁或诉讼过程中，发包人和承包人均可共同努力友好协商解决争议。</w:t>
      </w:r>
    </w:p>
    <w:p w14:paraId="2C0CE7BA">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24.3 争议评审</w:t>
      </w:r>
    </w:p>
    <w:p w14:paraId="58054BF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24.3.1  采用争议评审的，发包人和承包人应在开工日后的28天内或在争议发生后，协商成立争议评审组。争议评审组由有合同管理和工程实践经验的专家组成。</w:t>
      </w:r>
    </w:p>
    <w:p w14:paraId="561BB3A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24.3.2  合同双方的争议，应首先由申请人向争议评审组提交一份详细的评审申请报告，并附必要的文件、图纸和证明材料，申请人还应将上述报告的副本同时提交给被申请人和监理人。</w:t>
      </w:r>
    </w:p>
    <w:p w14:paraId="144B1515">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24.3.3  被申请人在收到申请人评审申请报告副本后的28天内，向争议评审组提交一份答辩报告，并附证明材料。被申请人应将答辩报告的副本同时提交给申请人和监理人。</w:t>
      </w:r>
    </w:p>
    <w:p w14:paraId="6D6C58AD">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24.3.4  除专用合同条款另有约定外，争议评审组在收到合同双方报告后的14 天内，邀请双方代表和有关人员举行调查会，向双方调查争议细节；必要时争议评审组可要求双方进一步提供补充材料。</w:t>
      </w:r>
    </w:p>
    <w:p w14:paraId="13D52664">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24.3.5  除专用合同条款另有约定外，在调查会结束后的14天内，争议评审组应在不受任何干扰的情况下进行独立、公正的评审，作出书面评审意见，并说明理由。在争议评审期间，争议双方暂按总监理工程师的确定执行。</w:t>
      </w:r>
    </w:p>
    <w:p w14:paraId="29F469AB">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24.3.6  发包人和承包人接受评审意见的，由监理人根据评审意见拟定执行协议，经争议双方签字后作为合同的补充文件，并遵照执行。</w:t>
      </w:r>
    </w:p>
    <w:p w14:paraId="29B6D2B1">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24.3.7  发包人或承包人不接受评审意见，并要求提交仲裁或提起诉讼的，应在收到评审意见后的14天内将仲裁或起诉意向书面通知另一方，并抄送监理人，但在仲裁或诉讼结束前应暂按总监理工程师的确定执行。</w:t>
      </w:r>
    </w:p>
    <w:p w14:paraId="2E5E820A">
      <w:pPr>
        <w:widowControl w:val="0"/>
        <w:spacing w:line="240" w:lineRule="auto"/>
        <w:ind w:firstLine="422" w:firstLineChars="200"/>
        <w:jc w:val="both"/>
        <w:outlineLvl w:val="3"/>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24.4  仲裁</w:t>
      </w:r>
    </w:p>
    <w:p w14:paraId="537CB527">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24.4.1  若合同双方商定直接向仲裁机构申请仲裁，应签订仲裁协议并约定仲裁机构。</w:t>
      </w:r>
    </w:p>
    <w:p w14:paraId="6CB6265E">
      <w:pPr>
        <w:widowControl w:val="0"/>
        <w:spacing w:line="240" w:lineRule="auto"/>
        <w:ind w:firstLine="420" w:firstLine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24.4.2  若合同双方未能达成仲裁协议，则本合同的仲裁条款无效，任一方均有权向人民法院提起诉讼。</w:t>
      </w:r>
    </w:p>
    <w:p w14:paraId="540A1394">
      <w:pPr>
        <w:rPr>
          <w:rFonts w:hint="eastAsia" w:ascii="宋体" w:hAnsi="宋体" w:eastAsia="宋体" w:cs="宋体"/>
          <w:color w:val="000000"/>
        </w:rPr>
      </w:pPr>
    </w:p>
    <w:p w14:paraId="3D5A8A2B">
      <w:pPr>
        <w:spacing w:line="360" w:lineRule="auto"/>
        <w:jc w:val="center"/>
        <w:rPr>
          <w:rFonts w:hint="eastAsia" w:ascii="宋体" w:hAnsi="宋体" w:eastAsia="宋体" w:cs="宋体"/>
          <w:b/>
          <w:color w:val="000000"/>
          <w:sz w:val="24"/>
        </w:rPr>
      </w:pPr>
    </w:p>
    <w:p w14:paraId="21CA020F">
      <w:pPr>
        <w:pStyle w:val="8"/>
        <w:jc w:val="center"/>
        <w:rPr>
          <w:rFonts w:hint="eastAsia" w:ascii="宋体" w:hAnsi="宋体" w:eastAsia="宋体" w:cs="宋体"/>
          <w:color w:val="000000"/>
          <w:sz w:val="28"/>
          <w:szCs w:val="28"/>
        </w:rPr>
      </w:pPr>
      <w:bookmarkStart w:id="38" w:name="_Toc22265"/>
      <w:bookmarkStart w:id="39" w:name="_Toc5134"/>
      <w:r>
        <w:rPr>
          <w:rFonts w:hint="eastAsia" w:ascii="宋体" w:hAnsi="宋体" w:eastAsia="宋体" w:cs="宋体"/>
          <w:color w:val="000000"/>
          <w:sz w:val="28"/>
          <w:szCs w:val="28"/>
        </w:rPr>
        <w:t>第三节 专用合同条款</w:t>
      </w:r>
      <w:bookmarkEnd w:id="38"/>
      <w:bookmarkEnd w:id="39"/>
    </w:p>
    <w:p w14:paraId="4B8A3472">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按采购建设工程的特殊要求，对第二部分通用合同条款的原则性约定进行细化、完善、补充、修改或另行约定。</w:t>
      </w:r>
    </w:p>
    <w:p w14:paraId="5901B583">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1、工程承包范围：</w:t>
      </w:r>
      <w:r>
        <w:rPr>
          <w:rFonts w:hint="eastAsia" w:ascii="宋体" w:hAnsi="宋体" w:eastAsia="宋体" w:cs="宋体"/>
          <w:szCs w:val="21"/>
          <w:u w:val="single"/>
        </w:rPr>
        <w:t>施工图纸及工程量清单中的全部内容</w:t>
      </w:r>
      <w:r>
        <w:rPr>
          <w:rFonts w:hint="eastAsia" w:ascii="宋体" w:hAnsi="宋体" w:eastAsia="宋体" w:cs="宋体"/>
          <w:bCs/>
          <w:szCs w:val="21"/>
        </w:rPr>
        <w:t>。</w:t>
      </w:r>
    </w:p>
    <w:p w14:paraId="5F1F9BD4">
      <w:pPr>
        <w:adjustRightInd w:val="0"/>
        <w:snapToGrid w:val="0"/>
        <w:spacing w:line="360" w:lineRule="auto"/>
        <w:rPr>
          <w:rFonts w:hint="eastAsia" w:ascii="宋体" w:hAnsi="宋体" w:eastAsia="宋体" w:cs="宋体"/>
          <w:color w:val="auto"/>
          <w:szCs w:val="21"/>
        </w:rPr>
      </w:pPr>
      <w:r>
        <w:rPr>
          <w:rFonts w:hint="eastAsia" w:ascii="宋体" w:hAnsi="宋体" w:eastAsia="宋体" w:cs="宋体"/>
          <w:szCs w:val="21"/>
        </w:rPr>
        <w:t>2、工期及质量要</w:t>
      </w:r>
      <w:r>
        <w:rPr>
          <w:rFonts w:hint="eastAsia" w:ascii="宋体" w:hAnsi="宋体" w:eastAsia="宋体" w:cs="宋体"/>
          <w:color w:val="auto"/>
          <w:szCs w:val="21"/>
        </w:rPr>
        <w:t>求：</w:t>
      </w:r>
      <w:r>
        <w:rPr>
          <w:rFonts w:hint="eastAsia" w:ascii="宋体" w:hAnsi="宋体" w:cs="宋体"/>
          <w:color w:val="auto"/>
          <w:szCs w:val="21"/>
          <w:u w:val="single"/>
          <w:lang w:val="en-US" w:eastAsia="zh-CN"/>
        </w:rPr>
        <w:t>90</w:t>
      </w:r>
      <w:r>
        <w:rPr>
          <w:rFonts w:hint="eastAsia" w:ascii="宋体" w:hAnsi="宋体" w:eastAsia="宋体" w:cs="宋体"/>
          <w:color w:val="auto"/>
          <w:szCs w:val="21"/>
          <w:u w:val="single"/>
        </w:rPr>
        <w:t xml:space="preserve">日历天/合格 </w:t>
      </w:r>
      <w:r>
        <w:rPr>
          <w:rFonts w:hint="eastAsia" w:ascii="宋体" w:hAnsi="宋体" w:eastAsia="宋体" w:cs="宋体"/>
          <w:color w:val="auto"/>
          <w:szCs w:val="21"/>
        </w:rPr>
        <w:t>。</w:t>
      </w:r>
    </w:p>
    <w:p w14:paraId="1E7BE4A5">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lang w:val="en-US" w:eastAsia="zh-CN"/>
        </w:rPr>
        <w:t>3</w:t>
      </w:r>
      <w:r>
        <w:rPr>
          <w:rFonts w:hint="eastAsia" w:ascii="宋体" w:hAnsi="宋体" w:eastAsia="宋体" w:cs="宋体"/>
          <w:color w:val="auto"/>
          <w:szCs w:val="21"/>
        </w:rPr>
        <w:t>、结算综合单价=首轮清单报价综合单价×（最后报价总价÷首轮报价总价）。</w:t>
      </w:r>
    </w:p>
    <w:p w14:paraId="081F631C">
      <w:pPr>
        <w:adjustRightInd w:val="0"/>
        <w:snapToGrid w:val="0"/>
        <w:spacing w:line="360" w:lineRule="auto"/>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4、缺陷责任期：24个月</w:t>
      </w:r>
    </w:p>
    <w:p w14:paraId="5CD80B2F">
      <w:pPr>
        <w:adjustRightInd w:val="0"/>
        <w:snapToGrid w:val="0"/>
        <w:spacing w:line="360" w:lineRule="auto"/>
        <w:rPr>
          <w:rFonts w:hint="eastAsia" w:ascii="宋体" w:hAnsi="宋体" w:eastAsia="宋体" w:cs="宋体"/>
          <w:b/>
          <w:bCs/>
          <w:color w:val="auto"/>
          <w:szCs w:val="21"/>
          <w:lang w:eastAsia="zh-CN"/>
        </w:rPr>
      </w:pPr>
      <w:r>
        <w:rPr>
          <w:rFonts w:hint="eastAsia" w:ascii="宋体" w:hAnsi="宋体" w:cs="宋体"/>
          <w:b/>
          <w:bCs/>
          <w:color w:val="auto"/>
          <w:szCs w:val="21"/>
          <w:lang w:val="en-US" w:eastAsia="zh-CN"/>
        </w:rPr>
        <w:t>5</w:t>
      </w:r>
      <w:r>
        <w:rPr>
          <w:rFonts w:hint="eastAsia" w:ascii="宋体" w:hAnsi="宋体" w:eastAsia="宋体" w:cs="宋体"/>
          <w:b/>
          <w:bCs/>
          <w:color w:val="auto"/>
          <w:szCs w:val="21"/>
        </w:rPr>
        <w:t>、工程款支付方式：</w:t>
      </w:r>
      <w:r>
        <w:rPr>
          <w:rFonts w:hint="eastAsia" w:ascii="宋体" w:hAnsi="宋体" w:eastAsia="宋体" w:cs="宋体"/>
          <w:b/>
          <w:bCs/>
          <w:color w:val="auto"/>
          <w:szCs w:val="21"/>
          <w:lang w:eastAsia="zh-CN"/>
        </w:rPr>
        <w:t>（1）预付款支付比例为合同金额的30%；（2）按工程进度支付工程款，完成</w:t>
      </w:r>
      <w:r>
        <w:rPr>
          <w:rFonts w:hint="eastAsia" w:ascii="宋体" w:hAnsi="宋体" w:eastAsia="宋体" w:cs="宋体"/>
          <w:b/>
          <w:bCs/>
          <w:color w:val="auto"/>
          <w:szCs w:val="21"/>
          <w:lang w:val="en-US" w:eastAsia="zh-CN"/>
        </w:rPr>
        <w:t>40</w:t>
      </w:r>
      <w:r>
        <w:rPr>
          <w:rFonts w:hint="eastAsia" w:ascii="宋体" w:hAnsi="宋体" w:eastAsia="宋体" w:cs="宋体"/>
          <w:b/>
          <w:bCs/>
          <w:color w:val="auto"/>
          <w:szCs w:val="21"/>
          <w:lang w:eastAsia="zh-CN"/>
        </w:rPr>
        <w:t>%的工程量，付至已完成量的合同价80%，完成</w:t>
      </w:r>
      <w:r>
        <w:rPr>
          <w:rFonts w:hint="eastAsia" w:ascii="宋体" w:hAnsi="宋体" w:eastAsia="宋体" w:cs="宋体"/>
          <w:b/>
          <w:bCs/>
          <w:color w:val="auto"/>
          <w:szCs w:val="21"/>
          <w:lang w:val="en-US" w:eastAsia="zh-CN"/>
        </w:rPr>
        <w:t>70</w:t>
      </w:r>
      <w:r>
        <w:rPr>
          <w:rFonts w:hint="eastAsia" w:ascii="宋体" w:hAnsi="宋体" w:eastAsia="宋体" w:cs="宋体"/>
          <w:b/>
          <w:bCs/>
          <w:color w:val="auto"/>
          <w:szCs w:val="21"/>
          <w:lang w:eastAsia="zh-CN"/>
        </w:rPr>
        <w:t>%的工程量，付至已完成量的合同价80%，完成100%的工程量，付至已完成量的合同价80%；竣工验收合格后付至已完工程价款的85%，完成工程结算审核后由承包人提交付款申请及相关资料，支付至结算总价的97% ；剩余款项为质保金。(3)结算总价的3%作为质保金，缺陷责任期24个月。发包人在整体工程竣工验收合格满两年后经发包人核实无质量问题付清(不计利息) 。</w:t>
      </w:r>
    </w:p>
    <w:p w14:paraId="7E0C0B36">
      <w:pPr>
        <w:adjustRightInd w:val="0"/>
        <w:snapToGrid w:val="0"/>
        <w:spacing w:line="360" w:lineRule="auto"/>
        <w:rPr>
          <w:rFonts w:hint="eastAsia" w:ascii="宋体" w:hAnsi="宋体" w:eastAsia="宋体" w:cs="宋体"/>
          <w:b/>
          <w:bCs/>
          <w:color w:val="auto"/>
          <w:szCs w:val="21"/>
          <w:lang w:val="en-US" w:eastAsia="zh-CN"/>
        </w:rPr>
      </w:pPr>
      <w:r>
        <w:rPr>
          <w:rFonts w:hint="eastAsia" w:ascii="宋体" w:hAnsi="宋体" w:cs="宋体"/>
          <w:b/>
          <w:bCs/>
          <w:color w:val="auto"/>
          <w:szCs w:val="21"/>
          <w:lang w:val="en-US" w:eastAsia="zh-CN"/>
        </w:rPr>
        <w:t>6</w:t>
      </w:r>
      <w:r>
        <w:rPr>
          <w:rFonts w:hint="eastAsia" w:ascii="宋体" w:hAnsi="宋体" w:eastAsia="宋体" w:cs="宋体"/>
          <w:b/>
          <w:bCs/>
          <w:color w:val="auto"/>
          <w:szCs w:val="21"/>
          <w:lang w:val="en-US" w:eastAsia="zh-CN"/>
        </w:rPr>
        <w:t>、预付款的扣除：从第一次支付工程进度款时一次性扣回。</w:t>
      </w:r>
    </w:p>
    <w:p w14:paraId="19BAAAF9">
      <w:pPr>
        <w:widowControl/>
        <w:jc w:val="left"/>
        <w:rPr>
          <w:rFonts w:ascii="新宋体" w:hAnsi="新宋体" w:eastAsia="新宋体" w:cs="新宋体"/>
          <w:b/>
          <w:bCs/>
          <w:color w:val="auto"/>
          <w:kern w:val="0"/>
          <w:sz w:val="32"/>
          <w:szCs w:val="20"/>
        </w:rPr>
      </w:pPr>
    </w:p>
    <w:bookmarkEnd w:id="37"/>
    <w:p w14:paraId="503841FE">
      <w:pPr>
        <w:rPr>
          <w:rFonts w:hint="eastAsia" w:ascii="黑体" w:hAnsi="黑体" w:eastAsia="黑体"/>
          <w:color w:val="auto"/>
          <w:sz w:val="32"/>
        </w:rPr>
      </w:pPr>
      <w:r>
        <w:rPr>
          <w:rFonts w:hint="eastAsia" w:ascii="黑体" w:hAnsi="黑体" w:eastAsia="黑体"/>
          <w:color w:val="auto"/>
          <w:sz w:val="32"/>
        </w:rPr>
        <w:br w:type="page"/>
      </w:r>
    </w:p>
    <w:p w14:paraId="7AF52A61">
      <w:pPr>
        <w:pStyle w:val="5"/>
        <w:rPr>
          <w:rFonts w:ascii="黑体" w:hAnsi="黑体" w:eastAsia="黑体"/>
          <w:sz w:val="32"/>
        </w:rPr>
      </w:pPr>
      <w:bookmarkStart w:id="40" w:name="_Toc26269"/>
      <w:r>
        <w:rPr>
          <w:rFonts w:hint="eastAsia" w:ascii="黑体" w:hAnsi="黑体" w:eastAsia="黑体"/>
          <w:sz w:val="32"/>
        </w:rPr>
        <w:t>第五章 响应文件组成</w:t>
      </w:r>
      <w:bookmarkEnd w:id="40"/>
    </w:p>
    <w:p w14:paraId="628D45F9">
      <w:pPr>
        <w:widowControl/>
        <w:tabs>
          <w:tab w:val="left" w:pos="753"/>
        </w:tabs>
        <w:adjustRightInd w:val="0"/>
        <w:snapToGrid w:val="0"/>
        <w:spacing w:beforeLines="50" w:line="360" w:lineRule="auto"/>
        <w:ind w:firstLine="3600" w:firstLineChars="1500"/>
        <w:rPr>
          <w:rFonts w:ascii="宋体" w:hAnsi="宋体"/>
          <w:sz w:val="24"/>
        </w:rPr>
      </w:pPr>
    </w:p>
    <w:p w14:paraId="3EF6EC98">
      <w:pPr>
        <w:adjustRightInd w:val="0"/>
        <w:snapToGrid w:val="0"/>
        <w:spacing w:beforeLines="50" w:line="360" w:lineRule="auto"/>
        <w:rPr>
          <w:rFonts w:ascii="宋体"/>
        </w:rPr>
      </w:pPr>
      <w:r>
        <w:rPr>
          <w:rFonts w:hint="eastAsia" w:ascii="宋体"/>
        </w:rPr>
        <w:t>供应商的响应文件应包含以下部分：</w:t>
      </w:r>
    </w:p>
    <w:p w14:paraId="3B2F7FE5">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szCs w:val="21"/>
        </w:rPr>
        <w:t>一、磋商响应声明(格式)</w:t>
      </w:r>
    </w:p>
    <w:p w14:paraId="70D125C1">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szCs w:val="21"/>
        </w:rPr>
        <w:t>二、法定代表人（单位负责人）身份证明(格式)</w:t>
      </w:r>
    </w:p>
    <w:p w14:paraId="2690C03B">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szCs w:val="21"/>
        </w:rPr>
        <w:t>三、授权委托书(格式)</w:t>
      </w:r>
    </w:p>
    <w:p w14:paraId="296E948F">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szCs w:val="21"/>
        </w:rPr>
        <w:t>四、保证金</w:t>
      </w:r>
    </w:p>
    <w:p w14:paraId="1C069E52">
      <w:pPr>
        <w:pStyle w:val="2"/>
        <w:spacing w:line="360" w:lineRule="auto"/>
      </w:pPr>
      <w:r>
        <w:rPr>
          <w:rFonts w:hint="eastAsia" w:ascii="宋体" w:hAnsi="宋体"/>
          <w:szCs w:val="21"/>
        </w:rPr>
        <w:t>五、供应商的资格证明材料</w:t>
      </w:r>
    </w:p>
    <w:p w14:paraId="5B0F28D4">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szCs w:val="21"/>
        </w:rPr>
        <w:t>六、施工组织设计方案</w:t>
      </w:r>
    </w:p>
    <w:p w14:paraId="28C2059E">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szCs w:val="21"/>
        </w:rPr>
        <w:t>七、报价表及报价文件(格式)</w:t>
      </w:r>
    </w:p>
    <w:p w14:paraId="13BCF79E">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szCs w:val="21"/>
        </w:rPr>
        <w:t>八、采购需求响应</w:t>
      </w:r>
    </w:p>
    <w:p w14:paraId="34E44DDB">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szCs w:val="21"/>
        </w:rPr>
        <w:t>九、合同条款偏离表</w:t>
      </w:r>
    </w:p>
    <w:p w14:paraId="0E84AD88">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szCs w:val="21"/>
        </w:rPr>
        <w:t>十、采购需求偏离表</w:t>
      </w:r>
    </w:p>
    <w:p w14:paraId="7A527391">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szCs w:val="21"/>
        </w:rPr>
        <w:t>十一、享受政府采购政策优惠的证明资料</w:t>
      </w:r>
    </w:p>
    <w:p w14:paraId="0BBC477F">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szCs w:val="21"/>
        </w:rPr>
        <w:t>十二、</w:t>
      </w:r>
      <w:r>
        <w:rPr>
          <w:rFonts w:hint="eastAsia" w:ascii="宋体" w:hAnsi="宋体"/>
          <w:kern w:val="32"/>
          <w:szCs w:val="21"/>
        </w:rPr>
        <w:t>关于资格的声明(格式)</w:t>
      </w:r>
    </w:p>
    <w:p w14:paraId="63D27011">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kern w:val="32"/>
          <w:szCs w:val="21"/>
        </w:rPr>
        <w:t>十三、</w:t>
      </w:r>
      <w:r>
        <w:rPr>
          <w:rFonts w:hint="eastAsia" w:ascii="宋体" w:hAnsi="宋体"/>
          <w:szCs w:val="21"/>
        </w:rPr>
        <w:t>响应标的符合磋商文件规定的证明文件</w:t>
      </w:r>
    </w:p>
    <w:p w14:paraId="3FC4AD1D">
      <w:pPr>
        <w:pStyle w:val="2"/>
        <w:spacing w:line="360" w:lineRule="auto"/>
        <w:rPr>
          <w:rFonts w:ascii="宋体" w:hAnsi="宋体"/>
          <w:szCs w:val="21"/>
        </w:rPr>
      </w:pPr>
      <w:r>
        <w:rPr>
          <w:rFonts w:hint="eastAsia" w:ascii="宋体" w:hAnsi="宋体"/>
          <w:szCs w:val="21"/>
        </w:rPr>
        <w:t>十四、供应商认为需提供的其他资料</w:t>
      </w:r>
    </w:p>
    <w:p w14:paraId="1785A08B">
      <w:pPr>
        <w:pStyle w:val="2"/>
        <w:spacing w:line="360" w:lineRule="auto"/>
        <w:rPr>
          <w:rFonts w:ascii="宋体" w:hAnsi="宋体"/>
          <w:szCs w:val="21"/>
        </w:rPr>
      </w:pPr>
      <w:r>
        <w:rPr>
          <w:rFonts w:hint="eastAsia" w:ascii="宋体" w:hAnsi="宋体"/>
          <w:szCs w:val="21"/>
        </w:rPr>
        <w:t>十五、最终报价表</w:t>
      </w:r>
    </w:p>
    <w:p w14:paraId="40753487">
      <w:pPr>
        <w:widowControl/>
        <w:jc w:val="left"/>
        <w:rPr>
          <w:rFonts w:ascii="宋体"/>
        </w:rPr>
      </w:pPr>
      <w:r>
        <w:rPr>
          <w:rFonts w:ascii="宋体"/>
        </w:rPr>
        <w:br w:type="page"/>
      </w:r>
    </w:p>
    <w:p w14:paraId="2DE919B6">
      <w:pPr>
        <w:adjustRightInd w:val="0"/>
        <w:snapToGrid w:val="0"/>
        <w:spacing w:line="360" w:lineRule="auto"/>
        <w:rPr>
          <w:rFonts w:ascii="黑体" w:eastAsia="黑体"/>
          <w:color w:val="000000"/>
          <w:sz w:val="32"/>
          <w:szCs w:val="32"/>
        </w:rPr>
      </w:pPr>
    </w:p>
    <w:p w14:paraId="3D702B46">
      <w:pPr>
        <w:pStyle w:val="26"/>
        <w:adjustRightInd w:val="0"/>
        <w:snapToGrid w:val="0"/>
        <w:spacing w:line="360" w:lineRule="auto"/>
        <w:jc w:val="center"/>
        <w:rPr>
          <w:rFonts w:hAnsi="宋体"/>
          <w:b/>
          <w:bCs/>
          <w:sz w:val="72"/>
          <w:szCs w:val="72"/>
        </w:rPr>
      </w:pPr>
      <w:r>
        <w:rPr>
          <w:rFonts w:hint="eastAsia" w:hAnsi="宋体"/>
          <w:b/>
          <w:bCs/>
          <w:sz w:val="72"/>
          <w:szCs w:val="72"/>
        </w:rPr>
        <w:t>政府采购</w:t>
      </w:r>
    </w:p>
    <w:p w14:paraId="05EA9CCD">
      <w:pPr>
        <w:adjustRightInd w:val="0"/>
        <w:snapToGrid w:val="0"/>
        <w:spacing w:line="360" w:lineRule="auto"/>
        <w:jc w:val="center"/>
        <w:rPr>
          <w:rFonts w:ascii="宋体" w:hAnsi="宋体"/>
          <w:b/>
          <w:bCs/>
          <w:sz w:val="84"/>
          <w:szCs w:val="84"/>
        </w:rPr>
      </w:pPr>
      <w:r>
        <w:rPr>
          <w:rFonts w:hint="eastAsia" w:ascii="宋体" w:hAnsi="宋体"/>
          <w:b/>
          <w:bCs/>
          <w:sz w:val="84"/>
          <w:szCs w:val="84"/>
        </w:rPr>
        <w:t>响 应 文 件</w:t>
      </w:r>
    </w:p>
    <w:p w14:paraId="25F94FF6">
      <w:pPr>
        <w:adjustRightInd w:val="0"/>
        <w:snapToGrid w:val="0"/>
        <w:spacing w:line="360" w:lineRule="auto"/>
        <w:rPr>
          <w:rFonts w:ascii="黑体" w:hAnsi="黑体" w:eastAsia="黑体"/>
          <w:b/>
          <w:color w:val="000000"/>
          <w:sz w:val="32"/>
          <w:szCs w:val="32"/>
        </w:rPr>
      </w:pPr>
    </w:p>
    <w:p w14:paraId="2684D766">
      <w:pPr>
        <w:adjustRightInd w:val="0"/>
        <w:snapToGrid w:val="0"/>
        <w:spacing w:line="360" w:lineRule="auto"/>
        <w:rPr>
          <w:rFonts w:ascii="宋体" w:hAnsi="宋体"/>
          <w:b/>
          <w:color w:val="000000"/>
          <w:sz w:val="30"/>
          <w:szCs w:val="30"/>
        </w:rPr>
      </w:pPr>
    </w:p>
    <w:p w14:paraId="3079350C">
      <w:pPr>
        <w:pStyle w:val="26"/>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采购项目名称:</w:t>
      </w:r>
    </w:p>
    <w:p w14:paraId="6145D464">
      <w:pPr>
        <w:pStyle w:val="26"/>
        <w:adjustRightInd w:val="0"/>
        <w:snapToGrid w:val="0"/>
        <w:spacing w:line="360" w:lineRule="auto"/>
        <w:ind w:firstLine="1988" w:firstLineChars="660"/>
        <w:rPr>
          <w:rFonts w:hAnsi="宋体"/>
          <w:b/>
          <w:bCs/>
          <w:sz w:val="30"/>
          <w:szCs w:val="30"/>
        </w:rPr>
      </w:pPr>
      <w:r>
        <w:rPr>
          <w:rFonts w:hint="eastAsia" w:hAnsi="宋体"/>
          <w:b/>
          <w:bCs/>
          <w:sz w:val="30"/>
          <w:szCs w:val="30"/>
        </w:rPr>
        <w:t>采   购   人：</w:t>
      </w:r>
    </w:p>
    <w:p w14:paraId="4FC6C1B0">
      <w:pPr>
        <w:pStyle w:val="26"/>
        <w:adjustRightInd w:val="0"/>
        <w:snapToGrid w:val="0"/>
        <w:spacing w:line="360" w:lineRule="auto"/>
        <w:ind w:firstLine="1988" w:firstLineChars="660"/>
        <w:rPr>
          <w:rFonts w:hAnsi="宋体"/>
          <w:b/>
          <w:bCs/>
          <w:sz w:val="30"/>
          <w:szCs w:val="30"/>
          <w:u w:val="single"/>
        </w:rPr>
      </w:pPr>
      <w:r>
        <w:rPr>
          <w:rFonts w:hint="eastAsia" w:hAnsi="宋体"/>
          <w:b/>
          <w:bCs/>
          <w:sz w:val="30"/>
          <w:szCs w:val="30"/>
        </w:rPr>
        <w:t>政府采购编号:</w:t>
      </w:r>
    </w:p>
    <w:p w14:paraId="69DBF72D">
      <w:pPr>
        <w:pStyle w:val="26"/>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采购代理编号:</w:t>
      </w:r>
    </w:p>
    <w:p w14:paraId="38A4EB0F">
      <w:pPr>
        <w:pStyle w:val="26"/>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采购代理机构：</w:t>
      </w:r>
    </w:p>
    <w:p w14:paraId="37AA1F13">
      <w:pPr>
        <w:adjustRightInd w:val="0"/>
        <w:snapToGrid w:val="0"/>
        <w:spacing w:line="360" w:lineRule="auto"/>
        <w:rPr>
          <w:rFonts w:ascii="黑体" w:hAnsi="黑体" w:eastAsia="黑体"/>
          <w:color w:val="000000"/>
          <w:sz w:val="30"/>
          <w:szCs w:val="30"/>
        </w:rPr>
      </w:pPr>
    </w:p>
    <w:p w14:paraId="19C76F6E">
      <w:pPr>
        <w:adjustRightInd w:val="0"/>
        <w:snapToGrid w:val="0"/>
        <w:rPr>
          <w:rFonts w:ascii="黑体" w:hAnsi="宋体" w:eastAsia="黑体"/>
          <w:color w:val="000000"/>
          <w:sz w:val="30"/>
          <w:szCs w:val="30"/>
        </w:rPr>
      </w:pPr>
    </w:p>
    <w:p w14:paraId="5DAC0274">
      <w:pPr>
        <w:adjustRightInd w:val="0"/>
        <w:snapToGrid w:val="0"/>
        <w:spacing w:line="360" w:lineRule="auto"/>
        <w:rPr>
          <w:rFonts w:ascii="黑体" w:hAnsi="宋体" w:eastAsia="黑体"/>
          <w:color w:val="000000"/>
          <w:sz w:val="30"/>
          <w:szCs w:val="30"/>
        </w:rPr>
      </w:pPr>
    </w:p>
    <w:p w14:paraId="0F440806">
      <w:pPr>
        <w:adjustRightInd w:val="0"/>
        <w:snapToGrid w:val="0"/>
        <w:spacing w:line="360" w:lineRule="auto"/>
        <w:rPr>
          <w:rFonts w:ascii="黑体" w:hAnsi="宋体" w:eastAsia="黑体"/>
          <w:color w:val="000000"/>
          <w:sz w:val="30"/>
          <w:szCs w:val="30"/>
        </w:rPr>
      </w:pPr>
    </w:p>
    <w:p w14:paraId="65B37091">
      <w:pPr>
        <w:adjustRightInd w:val="0"/>
        <w:snapToGrid w:val="0"/>
        <w:spacing w:line="360" w:lineRule="auto"/>
        <w:rPr>
          <w:rFonts w:ascii="黑体" w:hAnsi="宋体" w:eastAsia="黑体"/>
          <w:color w:val="000000"/>
          <w:sz w:val="30"/>
          <w:szCs w:val="30"/>
        </w:rPr>
      </w:pPr>
    </w:p>
    <w:p w14:paraId="67D99042">
      <w:pPr>
        <w:adjustRightInd w:val="0"/>
        <w:snapToGrid w:val="0"/>
        <w:spacing w:line="360" w:lineRule="auto"/>
        <w:ind w:firstLine="1984" w:firstLineChars="620"/>
        <w:rPr>
          <w:rFonts w:ascii="黑体" w:hAnsi="黑体" w:eastAsia="黑体"/>
          <w:color w:val="000000"/>
          <w:sz w:val="32"/>
          <w:szCs w:val="32"/>
          <w:u w:val="single"/>
        </w:rPr>
      </w:pPr>
      <w:r>
        <w:rPr>
          <w:rFonts w:hint="eastAsia" w:ascii="黑体" w:hAnsi="黑体" w:eastAsia="黑体"/>
          <w:color w:val="000000"/>
          <w:sz w:val="32"/>
          <w:szCs w:val="32"/>
        </w:rPr>
        <w:t>供应商</w:t>
      </w:r>
    </w:p>
    <w:p w14:paraId="5A15DBBF">
      <w:pPr>
        <w:jc w:val="center"/>
        <w:rPr>
          <w:rFonts w:ascii="黑体" w:hAnsi="黑体" w:eastAsia="黑体"/>
          <w:sz w:val="32"/>
          <w:szCs w:val="32"/>
        </w:rPr>
      </w:pPr>
      <w:r>
        <w:rPr>
          <w:rFonts w:hint="eastAsia" w:ascii="黑体" w:hAnsi="黑体" w:eastAsia="黑体"/>
          <w:sz w:val="32"/>
          <w:szCs w:val="32"/>
        </w:rPr>
        <w:t>年  月  日</w:t>
      </w:r>
    </w:p>
    <w:p w14:paraId="2FDA382A">
      <w:pPr>
        <w:widowControl/>
        <w:jc w:val="left"/>
      </w:pPr>
      <w:r>
        <w:br w:type="page"/>
      </w:r>
    </w:p>
    <w:p w14:paraId="47F82014">
      <w:pPr>
        <w:pStyle w:val="7"/>
        <w:jc w:val="center"/>
        <w:rPr>
          <w:rFonts w:ascii="宋体" w:hAnsi="宋体"/>
          <w:color w:val="000000"/>
          <w:szCs w:val="21"/>
        </w:rPr>
      </w:pPr>
      <w:bookmarkStart w:id="41" w:name="_Toc29518"/>
      <w:r>
        <w:rPr>
          <w:rFonts w:hint="eastAsia" w:ascii="黑体" w:hAnsi="黑体" w:eastAsia="黑体"/>
          <w:color w:val="000000"/>
          <w:sz w:val="28"/>
          <w:szCs w:val="28"/>
        </w:rPr>
        <w:t>一、磋商响应声明(格式)</w:t>
      </w:r>
      <w:bookmarkEnd w:id="41"/>
    </w:p>
    <w:p w14:paraId="4155E39F">
      <w:pPr>
        <w:adjustRightInd w:val="0"/>
        <w:snapToGrid w:val="0"/>
        <w:spacing w:beforeLines="50" w:line="360" w:lineRule="auto"/>
        <w:rPr>
          <w:rFonts w:ascii="宋体" w:hAnsi="宋体"/>
          <w:color w:val="000000"/>
          <w:szCs w:val="21"/>
        </w:rPr>
      </w:pPr>
    </w:p>
    <w:p w14:paraId="7DB9FE08">
      <w:pPr>
        <w:adjustRightInd w:val="0"/>
        <w:snapToGrid w:val="0"/>
        <w:spacing w:beforeLines="50" w:line="360" w:lineRule="auto"/>
        <w:rPr>
          <w:rFonts w:ascii="宋体" w:hAnsi="宋体"/>
          <w:color w:val="000000"/>
          <w:szCs w:val="21"/>
        </w:rPr>
      </w:pPr>
      <w:r>
        <w:rPr>
          <w:rFonts w:hint="eastAsia" w:ascii="宋体" w:hAnsi="宋体"/>
          <w:color w:val="000000"/>
          <w:szCs w:val="21"/>
        </w:rPr>
        <w:t>致 (采购人、采购代理机构)：</w:t>
      </w:r>
    </w:p>
    <w:p w14:paraId="1F318D7F">
      <w:pPr>
        <w:adjustRightInd w:val="0"/>
        <w:snapToGrid w:val="0"/>
        <w:spacing w:beforeLines="50" w:line="360" w:lineRule="auto"/>
        <w:ind w:firstLine="435"/>
        <w:rPr>
          <w:rFonts w:ascii="宋体" w:hAnsi="宋体"/>
          <w:color w:val="000000"/>
          <w:szCs w:val="21"/>
        </w:rPr>
      </w:pPr>
      <w:r>
        <w:rPr>
          <w:rFonts w:hint="eastAsia" w:ascii="宋体" w:hAnsi="宋体"/>
          <w:color w:val="000000"/>
          <w:szCs w:val="21"/>
        </w:rPr>
        <w:t>根据贵方为（项目名称）的磋商邀请（</w:t>
      </w:r>
      <w:r>
        <w:rPr>
          <w:rFonts w:hint="eastAsia" w:ascii="宋体" w:hAnsi="宋体"/>
          <w:color w:val="000000"/>
        </w:rPr>
        <w:t>政府</w:t>
      </w:r>
      <w:r>
        <w:rPr>
          <w:rFonts w:hint="eastAsia" w:ascii="宋体" w:hAnsi="宋体"/>
          <w:iCs/>
          <w:color w:val="000000"/>
        </w:rPr>
        <w:t>采购编号： ，</w:t>
      </w:r>
      <w:r>
        <w:rPr>
          <w:rFonts w:hint="eastAsia" w:ascii="宋体" w:hAnsi="宋体"/>
          <w:color w:val="000000"/>
          <w:szCs w:val="21"/>
        </w:rPr>
        <w:t>采购代理编号：），签字代表 （姓名、职务）经正式授权并代表供应商 （供应商名称）提交响应文件正本一份,副本份；响应文件电子文档：一份，参加采购项目第包磋商，并在此声明，所递交的响应文件内容完整、真实。</w:t>
      </w:r>
    </w:p>
    <w:p w14:paraId="03660485">
      <w:pPr>
        <w:pStyle w:val="26"/>
        <w:adjustRightInd w:val="0"/>
        <w:snapToGrid w:val="0"/>
        <w:spacing w:beforeLines="50" w:line="360" w:lineRule="auto"/>
        <w:ind w:firstLine="420" w:firstLineChars="200"/>
        <w:rPr>
          <w:rFonts w:hAnsi="宋体"/>
          <w:color w:val="000000"/>
        </w:rPr>
      </w:pPr>
      <w:r>
        <w:rPr>
          <w:rFonts w:hint="eastAsia" w:hAnsi="宋体"/>
          <w:color w:val="000000"/>
        </w:rPr>
        <w:t>一、我方已详细审查磋商文件。我们完全理解并同意放弃对这方面有不明及误解的权力。</w:t>
      </w:r>
    </w:p>
    <w:p w14:paraId="1AE219D4">
      <w:pPr>
        <w:pStyle w:val="26"/>
        <w:adjustRightInd w:val="0"/>
        <w:snapToGrid w:val="0"/>
        <w:spacing w:beforeLines="50" w:line="360" w:lineRule="auto"/>
        <w:ind w:firstLine="420" w:firstLineChars="200"/>
        <w:rPr>
          <w:rFonts w:hAnsi="宋体"/>
          <w:bCs/>
          <w:color w:val="000000"/>
        </w:rPr>
      </w:pPr>
      <w:r>
        <w:rPr>
          <w:rFonts w:hint="eastAsia" w:hAnsi="宋体"/>
          <w:color w:val="000000"/>
        </w:rPr>
        <w:t>二、我方愿意向贵方提供任何与本项采购有关的数据、情况和技术资料。若贵方需要，我方愿意提供我方作出的一切承诺的证明材料。</w:t>
      </w:r>
    </w:p>
    <w:p w14:paraId="190011AC">
      <w:pPr>
        <w:pStyle w:val="26"/>
        <w:adjustRightInd w:val="0"/>
        <w:snapToGrid w:val="0"/>
        <w:spacing w:beforeLines="50" w:line="360" w:lineRule="auto"/>
        <w:ind w:firstLine="420" w:firstLineChars="200"/>
        <w:rPr>
          <w:rFonts w:hAnsi="宋体"/>
          <w:color w:val="000000"/>
        </w:rPr>
      </w:pPr>
      <w:r>
        <w:rPr>
          <w:rFonts w:hint="eastAsia" w:hAnsi="宋体"/>
          <w:color w:val="000000"/>
        </w:rPr>
        <w:t>三、我方愿意按磋商文件规定和磋商小组要求重新提交响应文件和最后报价。</w:t>
      </w:r>
    </w:p>
    <w:p w14:paraId="5409B699">
      <w:pPr>
        <w:pStyle w:val="26"/>
        <w:adjustRightInd w:val="0"/>
        <w:snapToGrid w:val="0"/>
        <w:spacing w:beforeLines="50" w:line="360" w:lineRule="auto"/>
        <w:ind w:firstLine="420" w:firstLineChars="200"/>
        <w:rPr>
          <w:rFonts w:hAnsi="宋体"/>
          <w:color w:val="000000"/>
        </w:rPr>
      </w:pPr>
      <w:r>
        <w:rPr>
          <w:rFonts w:hint="eastAsia" w:hAnsi="宋体"/>
          <w:color w:val="000000"/>
        </w:rPr>
        <w:t>四、我方同意在磋商文件中规定的提交首次响应文件截止时间起日内(响应文件有效期)遵守本响应文件中的承诺且在此期限期满之前均具有法律约束力。</w:t>
      </w:r>
    </w:p>
    <w:p w14:paraId="14B477E4">
      <w:pPr>
        <w:pStyle w:val="26"/>
        <w:adjustRightInd w:val="0"/>
        <w:snapToGrid w:val="0"/>
        <w:spacing w:beforeLines="50" w:line="360" w:lineRule="auto"/>
        <w:ind w:firstLine="420" w:firstLineChars="200"/>
        <w:rPr>
          <w:rFonts w:hAnsi="宋体"/>
          <w:color w:val="000000"/>
        </w:rPr>
      </w:pPr>
      <w:r>
        <w:rPr>
          <w:rFonts w:hint="eastAsia" w:hAnsi="宋体"/>
          <w:color w:val="000000"/>
        </w:rPr>
        <w:t>五、我方承诺遵守《政府采购法》及实施条例、《政府采购非招标方式管理办法》（财政部第74号令）的有关规定，保证在获得成交资格后，按照磋商文件确定的事项签订政府采购合同，履行双方所签订的合同，并承担合同规定的责任和义务。</w:t>
      </w:r>
    </w:p>
    <w:p w14:paraId="31473415">
      <w:pPr>
        <w:pStyle w:val="26"/>
        <w:adjustRightInd w:val="0"/>
        <w:snapToGrid w:val="0"/>
        <w:spacing w:beforeLines="50" w:line="360" w:lineRule="auto"/>
        <w:ind w:firstLine="420" w:firstLineChars="200"/>
        <w:rPr>
          <w:rFonts w:hAnsi="宋体"/>
          <w:color w:val="000000"/>
        </w:rPr>
      </w:pPr>
      <w:r>
        <w:rPr>
          <w:rFonts w:hint="eastAsia" w:hAnsi="宋体"/>
          <w:color w:val="000000"/>
        </w:rPr>
        <w:t>六、我方承诺在参与竞争性磋商过程中，若出现《政府采购法》第七十七条、《政府采购法实施条例》第七十二条和《政府采购非招标方式管理办法》第五十四条规定之情形，我方同意接受条款规定作出的处罚。</w:t>
      </w:r>
    </w:p>
    <w:p w14:paraId="4907CC8C">
      <w:pPr>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七、我方的联系方式：</w:t>
      </w:r>
    </w:p>
    <w:p w14:paraId="0BCB4B66">
      <w:pPr>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地址：；邮编： ；电话：；电子邮箱： 。</w:t>
      </w:r>
    </w:p>
    <w:p w14:paraId="13F985AC">
      <w:pPr>
        <w:pStyle w:val="26"/>
        <w:adjustRightInd w:val="0"/>
        <w:snapToGrid w:val="0"/>
        <w:spacing w:beforeLines="50" w:line="360" w:lineRule="auto"/>
        <w:rPr>
          <w:rFonts w:hAnsi="宋体"/>
          <w:color w:val="000000"/>
        </w:rPr>
      </w:pPr>
    </w:p>
    <w:p w14:paraId="62FE01FA">
      <w:pPr>
        <w:pStyle w:val="26"/>
        <w:adjustRightInd w:val="0"/>
        <w:snapToGrid w:val="0"/>
        <w:spacing w:beforeLines="50" w:line="360" w:lineRule="auto"/>
        <w:rPr>
          <w:rFonts w:hAnsi="宋体"/>
          <w:color w:val="000000"/>
        </w:rPr>
      </w:pPr>
      <w:r>
        <w:rPr>
          <w:rFonts w:hint="eastAsia" w:hAnsi="宋体"/>
          <w:color w:val="000000"/>
        </w:rPr>
        <w:t>供应商名称(盖单位公章)：</w:t>
      </w:r>
    </w:p>
    <w:p w14:paraId="74F9CF1E">
      <w:pPr>
        <w:adjustRightInd w:val="0"/>
        <w:snapToGrid w:val="0"/>
        <w:spacing w:beforeLines="50" w:line="360" w:lineRule="auto"/>
        <w:rPr>
          <w:rFonts w:ascii="宋体" w:hAnsi="宋体"/>
          <w:color w:val="000000"/>
          <w:szCs w:val="21"/>
          <w:u w:val="single"/>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olor w:val="000000"/>
          <w:szCs w:val="21"/>
        </w:rPr>
        <w:t>或其授权的代理人（签字或印章）：</w:t>
      </w:r>
    </w:p>
    <w:p w14:paraId="4958D828">
      <w:pPr>
        <w:adjustRightInd w:val="0"/>
        <w:snapToGrid w:val="0"/>
        <w:spacing w:beforeLines="50" w:line="360" w:lineRule="auto"/>
        <w:rPr>
          <w:rFonts w:ascii="宋体" w:hAnsi="宋体"/>
          <w:color w:val="000000"/>
          <w:szCs w:val="21"/>
        </w:rPr>
      </w:pPr>
      <w:r>
        <w:rPr>
          <w:rFonts w:hint="eastAsia" w:ascii="宋体" w:hAnsi="宋体"/>
          <w:color w:val="000000"/>
          <w:szCs w:val="21"/>
        </w:rPr>
        <w:t>日期：年月日</w:t>
      </w:r>
    </w:p>
    <w:p w14:paraId="28F714D2">
      <w:pPr>
        <w:widowControl/>
        <w:jc w:val="left"/>
      </w:pPr>
      <w:r>
        <w:br w:type="page"/>
      </w:r>
    </w:p>
    <w:p w14:paraId="3C044A41">
      <w:pPr>
        <w:pStyle w:val="7"/>
        <w:jc w:val="center"/>
        <w:rPr>
          <w:rFonts w:ascii="黑体" w:hAnsi="黑体" w:eastAsia="黑体"/>
          <w:color w:val="000000"/>
          <w:sz w:val="28"/>
          <w:szCs w:val="28"/>
        </w:rPr>
      </w:pPr>
      <w:bookmarkStart w:id="42" w:name="_Toc34637791"/>
      <w:bookmarkStart w:id="43" w:name="_Toc10381"/>
      <w:r>
        <w:rPr>
          <w:rFonts w:hint="eastAsia" w:ascii="黑体" w:hAnsi="黑体" w:eastAsia="黑体"/>
          <w:color w:val="000000"/>
          <w:sz w:val="28"/>
          <w:szCs w:val="28"/>
        </w:rPr>
        <w:t>二、法定代表人（单位负责人）身份证明(格式)</w:t>
      </w:r>
      <w:bookmarkEnd w:id="42"/>
      <w:bookmarkEnd w:id="43"/>
    </w:p>
    <w:p w14:paraId="1939CC28">
      <w:pPr>
        <w:tabs>
          <w:tab w:val="left" w:pos="3880"/>
        </w:tabs>
        <w:autoSpaceDE w:val="0"/>
        <w:autoSpaceDN w:val="0"/>
        <w:adjustRightInd w:val="0"/>
        <w:snapToGrid w:val="0"/>
        <w:spacing w:beforeLines="50" w:line="360" w:lineRule="auto"/>
        <w:ind w:left="100" w:right="-20"/>
        <w:jc w:val="left"/>
        <w:rPr>
          <w:rFonts w:ascii="宋体" w:hAnsi="宋体" w:cs="微软雅黑"/>
          <w:color w:val="000000"/>
          <w:kern w:val="0"/>
          <w:position w:val="-4"/>
          <w:szCs w:val="21"/>
        </w:rPr>
      </w:pPr>
    </w:p>
    <w:p w14:paraId="542EDE60">
      <w:pPr>
        <w:tabs>
          <w:tab w:val="left" w:pos="3880"/>
        </w:tabs>
        <w:autoSpaceDE w:val="0"/>
        <w:autoSpaceDN w:val="0"/>
        <w:adjustRightInd w:val="0"/>
        <w:snapToGrid w:val="0"/>
        <w:spacing w:beforeLines="50" w:line="360" w:lineRule="auto"/>
        <w:ind w:left="100" w:right="-20"/>
        <w:jc w:val="left"/>
        <w:rPr>
          <w:rFonts w:ascii="宋体" w:hAnsi="宋体" w:cs="微软雅黑"/>
          <w:color w:val="000000"/>
          <w:kern w:val="0"/>
          <w:szCs w:val="21"/>
        </w:rPr>
      </w:pPr>
      <w:r>
        <w:rPr>
          <w:rFonts w:hint="eastAsia" w:ascii="宋体" w:hAnsi="宋体" w:cs="微软雅黑"/>
          <w:color w:val="000000"/>
          <w:kern w:val="0"/>
          <w:position w:val="-4"/>
          <w:szCs w:val="21"/>
        </w:rPr>
        <w:t>供应商名</w:t>
      </w:r>
      <w:r>
        <w:rPr>
          <w:rFonts w:hint="eastAsia" w:ascii="宋体" w:hAnsi="宋体" w:cs="微软雅黑"/>
          <w:color w:val="000000"/>
          <w:spacing w:val="-2"/>
          <w:kern w:val="0"/>
          <w:position w:val="-4"/>
          <w:szCs w:val="21"/>
        </w:rPr>
        <w:t>称</w:t>
      </w:r>
      <w:r>
        <w:rPr>
          <w:rFonts w:hint="eastAsia" w:ascii="宋体" w:hAnsi="宋体" w:cs="微软雅黑"/>
          <w:color w:val="000000"/>
          <w:kern w:val="0"/>
          <w:position w:val="-4"/>
          <w:szCs w:val="21"/>
        </w:rPr>
        <w:t>：</w:t>
      </w:r>
    </w:p>
    <w:p w14:paraId="1E8AEC5D">
      <w:pPr>
        <w:tabs>
          <w:tab w:val="left" w:pos="2400"/>
          <w:tab w:val="left" w:pos="3880"/>
          <w:tab w:val="left" w:pos="5340"/>
          <w:tab w:val="left" w:pos="6820"/>
        </w:tabs>
        <w:autoSpaceDE w:val="0"/>
        <w:autoSpaceDN w:val="0"/>
        <w:adjustRightInd w:val="0"/>
        <w:snapToGrid w:val="0"/>
        <w:spacing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统一社会信用代码：</w:t>
      </w:r>
    </w:p>
    <w:p w14:paraId="51822F90">
      <w:pPr>
        <w:tabs>
          <w:tab w:val="left" w:pos="2400"/>
          <w:tab w:val="left" w:pos="3880"/>
          <w:tab w:val="left" w:pos="5340"/>
          <w:tab w:val="left" w:pos="6820"/>
        </w:tabs>
        <w:autoSpaceDE w:val="0"/>
        <w:autoSpaceDN w:val="0"/>
        <w:adjustRightInd w:val="0"/>
        <w:snapToGrid w:val="0"/>
        <w:spacing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注册地址：</w:t>
      </w:r>
    </w:p>
    <w:p w14:paraId="50617BA2">
      <w:pPr>
        <w:tabs>
          <w:tab w:val="left" w:pos="2400"/>
          <w:tab w:val="left" w:pos="3880"/>
          <w:tab w:val="left" w:pos="5340"/>
          <w:tab w:val="left" w:pos="6820"/>
        </w:tabs>
        <w:autoSpaceDE w:val="0"/>
        <w:autoSpaceDN w:val="0"/>
        <w:adjustRightInd w:val="0"/>
        <w:snapToGrid w:val="0"/>
        <w:spacing w:beforeLines="50" w:line="360" w:lineRule="auto"/>
        <w:ind w:left="102" w:right="-23" w:firstLine="420" w:firstLineChars="200"/>
        <w:jc w:val="left"/>
        <w:rPr>
          <w:rFonts w:ascii="宋体" w:hAnsi="宋体" w:cs="微软雅黑"/>
          <w:color w:val="000000"/>
          <w:kern w:val="0"/>
          <w:szCs w:val="21"/>
        </w:rPr>
      </w:pPr>
      <w:r>
        <w:rPr>
          <w:rFonts w:hint="eastAsia" w:ascii="宋体" w:hAnsi="宋体" w:cs="微软雅黑"/>
          <w:color w:val="000000"/>
          <w:kern w:val="0"/>
          <w:position w:val="-2"/>
          <w:szCs w:val="21"/>
        </w:rPr>
        <w:t>姓名</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性别</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年</w:t>
      </w:r>
      <w:r>
        <w:rPr>
          <w:rFonts w:hint="eastAsia" w:ascii="宋体" w:hAnsi="宋体" w:cs="微软雅黑"/>
          <w:color w:val="000000"/>
          <w:spacing w:val="-2"/>
          <w:kern w:val="0"/>
          <w:position w:val="-2"/>
          <w:szCs w:val="21"/>
        </w:rPr>
        <w:t>龄</w:t>
      </w:r>
      <w:r>
        <w:rPr>
          <w:rFonts w:hint="eastAsia" w:ascii="宋体" w:hAnsi="宋体" w:cs="微软雅黑"/>
          <w:color w:val="000000"/>
          <w:kern w:val="0"/>
          <w:position w:val="-2"/>
          <w:szCs w:val="21"/>
        </w:rPr>
        <w:t>：职</w:t>
      </w:r>
      <w:r>
        <w:rPr>
          <w:rFonts w:hint="eastAsia" w:ascii="宋体" w:hAnsi="宋体" w:cs="微软雅黑"/>
          <w:color w:val="000000"/>
          <w:spacing w:val="-2"/>
          <w:kern w:val="0"/>
          <w:position w:val="-2"/>
          <w:szCs w:val="21"/>
        </w:rPr>
        <w:t>务</w:t>
      </w:r>
      <w:r>
        <w:rPr>
          <w:rFonts w:hint="eastAsia" w:ascii="宋体" w:hAnsi="宋体" w:cs="微软雅黑"/>
          <w:color w:val="000000"/>
          <w:kern w:val="0"/>
          <w:position w:val="-2"/>
          <w:szCs w:val="21"/>
        </w:rPr>
        <w:t>：系</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供应商</w:t>
      </w:r>
      <w:r>
        <w:rPr>
          <w:rFonts w:hint="eastAsia" w:ascii="宋体" w:hAnsi="宋体" w:cs="微软雅黑"/>
          <w:color w:val="000000"/>
          <w:spacing w:val="-2"/>
          <w:kern w:val="0"/>
          <w:position w:val="-2"/>
          <w:szCs w:val="21"/>
        </w:rPr>
        <w:t>名</w:t>
      </w:r>
      <w:r>
        <w:rPr>
          <w:rFonts w:hint="eastAsia" w:ascii="宋体" w:hAnsi="宋体" w:cs="微软雅黑"/>
          <w:color w:val="000000"/>
          <w:kern w:val="0"/>
          <w:position w:val="-2"/>
          <w:szCs w:val="21"/>
        </w:rPr>
        <w:t>称</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的</w:t>
      </w:r>
      <w:r>
        <w:rPr>
          <w:rFonts w:hint="eastAsia" w:ascii="宋体" w:hAnsi="宋体" w:cs="微软雅黑"/>
          <w:color w:val="000000"/>
          <w:spacing w:val="-2"/>
          <w:kern w:val="0"/>
          <w:position w:val="-2"/>
          <w:szCs w:val="21"/>
        </w:rPr>
        <w:t>法定</w:t>
      </w:r>
      <w:r>
        <w:rPr>
          <w:rFonts w:hint="eastAsia" w:ascii="宋体" w:hAnsi="宋体" w:cs="微软雅黑"/>
          <w:color w:val="000000"/>
          <w:kern w:val="0"/>
          <w:position w:val="-2"/>
          <w:szCs w:val="21"/>
        </w:rPr>
        <w:t>代表</w:t>
      </w:r>
      <w:r>
        <w:rPr>
          <w:rFonts w:hint="eastAsia" w:ascii="宋体" w:hAnsi="宋体" w:cs="微软雅黑"/>
          <w:color w:val="000000"/>
          <w:spacing w:val="-2"/>
          <w:kern w:val="0"/>
          <w:position w:val="-2"/>
          <w:szCs w:val="21"/>
        </w:rPr>
        <w:t>人</w:t>
      </w:r>
      <w:r>
        <w:rPr>
          <w:rFonts w:hint="eastAsia" w:ascii="宋体" w:hAnsi="宋体" w:cs="微软雅黑"/>
          <w:color w:val="000000"/>
          <w:kern w:val="0"/>
          <w:position w:val="-2"/>
          <w:szCs w:val="21"/>
        </w:rPr>
        <w:t>（</w:t>
      </w:r>
      <w:r>
        <w:rPr>
          <w:rFonts w:hint="eastAsia" w:ascii="宋体" w:hAnsi="宋体" w:cs="微软雅黑"/>
          <w:color w:val="000000"/>
          <w:spacing w:val="-2"/>
          <w:kern w:val="0"/>
          <w:position w:val="-2"/>
          <w:szCs w:val="21"/>
        </w:rPr>
        <w:t>单</w:t>
      </w:r>
      <w:r>
        <w:rPr>
          <w:rFonts w:hint="eastAsia" w:ascii="宋体" w:hAnsi="宋体" w:cs="微软雅黑"/>
          <w:color w:val="000000"/>
          <w:kern w:val="0"/>
          <w:position w:val="-2"/>
          <w:szCs w:val="21"/>
        </w:rPr>
        <w:t>位</w:t>
      </w:r>
      <w:r>
        <w:rPr>
          <w:rFonts w:hint="eastAsia" w:ascii="宋体" w:hAnsi="宋体" w:cs="微软雅黑"/>
          <w:color w:val="000000"/>
          <w:spacing w:val="-2"/>
          <w:kern w:val="0"/>
          <w:position w:val="-2"/>
          <w:szCs w:val="21"/>
        </w:rPr>
        <w:t>负</w:t>
      </w:r>
      <w:r>
        <w:rPr>
          <w:rFonts w:hint="eastAsia" w:ascii="宋体" w:hAnsi="宋体" w:cs="微软雅黑"/>
          <w:color w:val="000000"/>
          <w:kern w:val="0"/>
          <w:position w:val="-2"/>
          <w:szCs w:val="21"/>
        </w:rPr>
        <w:t>责</w:t>
      </w:r>
      <w:r>
        <w:rPr>
          <w:rFonts w:hint="eastAsia" w:ascii="宋体" w:hAnsi="宋体" w:cs="微软雅黑"/>
          <w:color w:val="000000"/>
          <w:spacing w:val="-2"/>
          <w:kern w:val="0"/>
          <w:position w:val="-2"/>
          <w:szCs w:val="21"/>
        </w:rPr>
        <w:t>人</w:t>
      </w:r>
      <w:r>
        <w:rPr>
          <w:rFonts w:hint="eastAsia" w:ascii="宋体" w:hAnsi="宋体" w:cs="微软雅黑"/>
          <w:color w:val="000000"/>
          <w:spacing w:val="-106"/>
          <w:kern w:val="0"/>
          <w:position w:val="-2"/>
          <w:szCs w:val="21"/>
        </w:rPr>
        <w:t>）</w:t>
      </w:r>
      <w:r>
        <w:rPr>
          <w:rFonts w:hint="eastAsia" w:ascii="宋体" w:hAnsi="宋体" w:cs="微软雅黑"/>
          <w:color w:val="000000"/>
          <w:kern w:val="0"/>
          <w:position w:val="-2"/>
          <w:szCs w:val="21"/>
        </w:rPr>
        <w:t>。</w:t>
      </w:r>
    </w:p>
    <w:p w14:paraId="38927F1F">
      <w:pPr>
        <w:autoSpaceDE w:val="0"/>
        <w:autoSpaceDN w:val="0"/>
        <w:adjustRightInd w:val="0"/>
        <w:snapToGrid w:val="0"/>
        <w:spacing w:beforeLines="50" w:line="360" w:lineRule="auto"/>
        <w:ind w:left="520" w:right="-20"/>
        <w:jc w:val="left"/>
        <w:rPr>
          <w:rFonts w:ascii="宋体" w:hAnsi="宋体" w:cs="微软雅黑"/>
          <w:color w:val="000000"/>
          <w:kern w:val="0"/>
          <w:szCs w:val="21"/>
        </w:rPr>
      </w:pPr>
      <w:r>
        <w:rPr>
          <w:rFonts w:hint="eastAsia" w:ascii="宋体" w:hAnsi="宋体" w:cs="微软雅黑"/>
          <w:color w:val="000000"/>
          <w:kern w:val="0"/>
          <w:szCs w:val="21"/>
        </w:rPr>
        <w:t>特此</w:t>
      </w:r>
      <w:r>
        <w:rPr>
          <w:rFonts w:hint="eastAsia" w:ascii="宋体" w:hAnsi="宋体" w:cs="微软雅黑"/>
          <w:color w:val="000000"/>
          <w:spacing w:val="-2"/>
          <w:kern w:val="0"/>
          <w:szCs w:val="21"/>
        </w:rPr>
        <w:t>证</w:t>
      </w:r>
      <w:r>
        <w:rPr>
          <w:rFonts w:hint="eastAsia" w:ascii="宋体" w:hAnsi="宋体" w:cs="微软雅黑"/>
          <w:color w:val="000000"/>
          <w:kern w:val="0"/>
          <w:szCs w:val="21"/>
        </w:rPr>
        <w:t>明。</w:t>
      </w:r>
    </w:p>
    <w:p w14:paraId="1FDC7924">
      <w:pPr>
        <w:autoSpaceDE w:val="0"/>
        <w:autoSpaceDN w:val="0"/>
        <w:adjustRightInd w:val="0"/>
        <w:snapToGrid w:val="0"/>
        <w:spacing w:beforeLines="50" w:line="360" w:lineRule="auto"/>
        <w:ind w:left="100" w:right="4231"/>
        <w:jc w:val="left"/>
        <w:rPr>
          <w:rFonts w:ascii="宋体" w:hAnsi="宋体" w:cs="微软雅黑"/>
          <w:color w:val="000000"/>
          <w:kern w:val="0"/>
          <w:szCs w:val="21"/>
        </w:rPr>
      </w:pPr>
      <w:r>
        <w:rPr>
          <w:rFonts w:hint="eastAsia" w:ascii="宋体" w:hAnsi="宋体" w:cs="微软雅黑"/>
          <w:color w:val="000000"/>
          <w:kern w:val="0"/>
          <w:szCs w:val="21"/>
        </w:rPr>
        <w:t>附：</w:t>
      </w: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微软雅黑"/>
          <w:color w:val="000000"/>
          <w:kern w:val="0"/>
          <w:szCs w:val="21"/>
        </w:rPr>
        <w:t>身</w:t>
      </w:r>
      <w:r>
        <w:rPr>
          <w:rFonts w:hint="eastAsia" w:ascii="宋体" w:hAnsi="宋体" w:cs="微软雅黑"/>
          <w:color w:val="000000"/>
          <w:spacing w:val="-2"/>
          <w:kern w:val="0"/>
          <w:szCs w:val="21"/>
        </w:rPr>
        <w:t>份</w:t>
      </w:r>
      <w:r>
        <w:rPr>
          <w:rFonts w:hint="eastAsia" w:ascii="宋体" w:hAnsi="宋体" w:cs="微软雅黑"/>
          <w:color w:val="000000"/>
          <w:kern w:val="0"/>
          <w:szCs w:val="21"/>
        </w:rPr>
        <w:t>证</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r>
        <w:rPr>
          <w:rFonts w:hint="eastAsia" w:ascii="宋体" w:hAnsi="宋体" w:cs="微软雅黑"/>
          <w:color w:val="000000"/>
          <w:kern w:val="0"/>
          <w:szCs w:val="21"/>
        </w:rPr>
        <w:t>。</w:t>
      </w:r>
    </w:p>
    <w:tbl>
      <w:tblPr>
        <w:tblStyle w:val="46"/>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5"/>
        <w:gridCol w:w="4017"/>
      </w:tblGrid>
      <w:tr w14:paraId="45B1A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3" w:hRule="atLeast"/>
        </w:trPr>
        <w:tc>
          <w:tcPr>
            <w:tcW w:w="4015" w:type="dxa"/>
            <w:vAlign w:val="center"/>
          </w:tcPr>
          <w:p w14:paraId="31D8456C">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4017" w:type="dxa"/>
            <w:vAlign w:val="center"/>
          </w:tcPr>
          <w:p w14:paraId="3682455D">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5009838E">
      <w:pPr>
        <w:adjustRightInd w:val="0"/>
        <w:snapToGrid w:val="0"/>
        <w:spacing w:beforeLines="50" w:line="360" w:lineRule="auto"/>
        <w:rPr>
          <w:rFonts w:ascii="宋体" w:hAnsi="宋体"/>
          <w:color w:val="000000"/>
          <w:szCs w:val="21"/>
        </w:rPr>
      </w:pPr>
    </w:p>
    <w:p w14:paraId="2CE7D08F">
      <w:pPr>
        <w:adjustRightInd w:val="0"/>
        <w:snapToGrid w:val="0"/>
        <w:spacing w:beforeLines="50" w:line="360" w:lineRule="auto"/>
        <w:rPr>
          <w:rFonts w:ascii="宋体" w:hAnsi="宋体"/>
          <w:color w:val="000000"/>
          <w:szCs w:val="21"/>
        </w:rPr>
      </w:pPr>
      <w:r>
        <w:rPr>
          <w:rFonts w:hint="eastAsia" w:ascii="宋体" w:hAnsi="宋体"/>
          <w:color w:val="000000"/>
          <w:szCs w:val="21"/>
        </w:rPr>
        <w:t>注：供应商代表为法定代表人（单位负责人）的提供。供应商为自然人的无需提供。</w:t>
      </w:r>
    </w:p>
    <w:p w14:paraId="53AA0F9F">
      <w:pPr>
        <w:adjustRightInd w:val="0"/>
        <w:snapToGrid w:val="0"/>
        <w:spacing w:beforeLines="50" w:line="360" w:lineRule="auto"/>
        <w:rPr>
          <w:rFonts w:ascii="宋体" w:hAnsi="宋体"/>
          <w:color w:val="000000"/>
          <w:szCs w:val="21"/>
        </w:rPr>
      </w:pPr>
    </w:p>
    <w:p w14:paraId="4E932988">
      <w:pPr>
        <w:pStyle w:val="26"/>
        <w:adjustRightInd w:val="0"/>
        <w:snapToGrid w:val="0"/>
        <w:spacing w:beforeLines="50" w:line="360" w:lineRule="auto"/>
        <w:rPr>
          <w:rFonts w:hAnsi="宋体"/>
          <w:color w:val="000000"/>
        </w:rPr>
      </w:pPr>
      <w:r>
        <w:rPr>
          <w:rFonts w:hint="eastAsia" w:hAnsi="宋体"/>
          <w:color w:val="000000"/>
        </w:rPr>
        <w:t>供应商名称(盖单位公章)：</w:t>
      </w:r>
    </w:p>
    <w:p w14:paraId="4E8E695F">
      <w:pPr>
        <w:adjustRightInd w:val="0"/>
        <w:snapToGrid w:val="0"/>
        <w:spacing w:beforeLines="50" w:line="360" w:lineRule="auto"/>
        <w:ind w:right="24"/>
        <w:rPr>
          <w:rFonts w:ascii="宋体" w:hAnsi="宋体"/>
          <w:color w:val="000000"/>
          <w:szCs w:val="21"/>
        </w:rPr>
      </w:pPr>
      <w:r>
        <w:rPr>
          <w:rFonts w:hint="eastAsia" w:ascii="宋体" w:hAnsi="宋体"/>
          <w:color w:val="000000"/>
          <w:szCs w:val="21"/>
        </w:rPr>
        <w:t>日期：年月日</w:t>
      </w:r>
    </w:p>
    <w:p w14:paraId="635141D7">
      <w:pPr>
        <w:pStyle w:val="20"/>
      </w:pPr>
    </w:p>
    <w:p w14:paraId="16D43EEE">
      <w:pPr>
        <w:pStyle w:val="20"/>
      </w:pPr>
    </w:p>
    <w:p w14:paraId="6DED0FCF">
      <w:pPr>
        <w:pStyle w:val="20"/>
      </w:pPr>
    </w:p>
    <w:p w14:paraId="7F93F1A8">
      <w:pPr>
        <w:pStyle w:val="20"/>
      </w:pPr>
    </w:p>
    <w:p w14:paraId="757279BC">
      <w:pPr>
        <w:widowControl/>
        <w:topLinePunct/>
        <w:spacing w:line="440" w:lineRule="atLeast"/>
        <w:jc w:val="left"/>
        <w:rPr>
          <w:rFonts w:ascii="宋体" w:hAnsi="宋体" w:cs="宋体"/>
          <w:b/>
          <w:kern w:val="0"/>
        </w:rPr>
      </w:pPr>
      <w:r>
        <w:rPr>
          <w:rFonts w:hint="eastAsia" w:ascii="宋体" w:hAnsi="宋体" w:cs="宋体"/>
          <w:b/>
          <w:kern w:val="0"/>
        </w:rPr>
        <w:t>注：请另准备本授权委托书原件一份，开标会时单独提交。</w:t>
      </w:r>
    </w:p>
    <w:p w14:paraId="6E7A4F3E">
      <w:pPr>
        <w:widowControl/>
        <w:jc w:val="left"/>
      </w:pPr>
      <w:r>
        <w:br w:type="page"/>
      </w:r>
    </w:p>
    <w:p w14:paraId="49BFC708">
      <w:pPr>
        <w:pStyle w:val="7"/>
        <w:jc w:val="center"/>
        <w:rPr>
          <w:rFonts w:ascii="黑体" w:hAnsi="黑体" w:eastAsia="黑体"/>
          <w:color w:val="000000"/>
          <w:sz w:val="28"/>
          <w:szCs w:val="28"/>
        </w:rPr>
      </w:pPr>
      <w:bookmarkStart w:id="44" w:name="_Toc34637792"/>
      <w:bookmarkStart w:id="45" w:name="_Toc32138"/>
      <w:r>
        <w:rPr>
          <w:rFonts w:hint="eastAsia" w:ascii="黑体" w:hAnsi="黑体" w:eastAsia="黑体"/>
          <w:color w:val="000000"/>
          <w:sz w:val="28"/>
          <w:szCs w:val="28"/>
        </w:rPr>
        <w:t>三、授权委托书(格式)</w:t>
      </w:r>
      <w:bookmarkEnd w:id="44"/>
      <w:bookmarkEnd w:id="45"/>
    </w:p>
    <w:p w14:paraId="62B1C042">
      <w:pPr>
        <w:autoSpaceDE w:val="0"/>
        <w:autoSpaceDN w:val="0"/>
        <w:adjustRightInd w:val="0"/>
        <w:snapToGrid w:val="0"/>
        <w:spacing w:beforeLines="50" w:line="360" w:lineRule="auto"/>
        <w:ind w:firstLine="420" w:firstLineChars="200"/>
        <w:jc w:val="left"/>
        <w:rPr>
          <w:rFonts w:ascii="宋体" w:hAnsi="宋体" w:cs="宋体"/>
          <w:color w:val="000000"/>
          <w:kern w:val="0"/>
          <w:szCs w:val="21"/>
        </w:rPr>
      </w:pPr>
    </w:p>
    <w:p w14:paraId="301FABF7">
      <w:pPr>
        <w:autoSpaceDE w:val="0"/>
        <w:autoSpaceDN w:val="0"/>
        <w:adjustRightInd w:val="0"/>
        <w:snapToGrid w:val="0"/>
        <w:spacing w:beforeLines="50"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本人（姓名、职务）系 （</w:t>
      </w:r>
      <w:r>
        <w:rPr>
          <w:rFonts w:hint="eastAsia" w:ascii="宋体" w:hAnsi="宋体"/>
          <w:color w:val="000000"/>
          <w:szCs w:val="21"/>
        </w:rPr>
        <w:t>供应商</w:t>
      </w:r>
      <w:r>
        <w:rPr>
          <w:rFonts w:hint="eastAsia" w:ascii="宋体" w:hAnsi="宋体" w:cs="宋体"/>
          <w:color w:val="000000"/>
          <w:kern w:val="0"/>
          <w:szCs w:val="21"/>
        </w:rPr>
        <w:t>名称）的法定代表人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宋体"/>
          <w:color w:val="000000"/>
          <w:kern w:val="0"/>
          <w:szCs w:val="21"/>
        </w:rPr>
        <w:t>，现授权（姓名、职务）为我方代理人。代理人根据授权，以我方名义：(1)签署、澄清、补正、修改、撤回、提交（项目名称、</w:t>
      </w:r>
      <w:r>
        <w:rPr>
          <w:rFonts w:hint="eastAsia" w:ascii="宋体" w:hAnsi="宋体"/>
          <w:color w:val="000000"/>
          <w:szCs w:val="21"/>
        </w:rPr>
        <w:t>政府</w:t>
      </w:r>
      <w:r>
        <w:rPr>
          <w:rFonts w:hint="eastAsia" w:ascii="宋体" w:hAnsi="宋体" w:cs="宋体"/>
          <w:color w:val="000000"/>
          <w:kern w:val="0"/>
          <w:szCs w:val="21"/>
        </w:rPr>
        <w:t>采购编号、采购代理编号）响应文件；(2)签署并重新提交响应文件及最后报价；(3)退出磋商（如可能）；(4)签订合同和处理有关事宜，其法律后果由我方承担。</w:t>
      </w:r>
    </w:p>
    <w:p w14:paraId="2CA87A52">
      <w:pPr>
        <w:autoSpaceDE w:val="0"/>
        <w:autoSpaceDN w:val="0"/>
        <w:adjustRightInd w:val="0"/>
        <w:snapToGrid w:val="0"/>
        <w:spacing w:beforeLines="50"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委托期限： 。</w:t>
      </w:r>
    </w:p>
    <w:p w14:paraId="6C2F69D8">
      <w:pPr>
        <w:adjustRightInd w:val="0"/>
        <w:snapToGrid w:val="0"/>
        <w:spacing w:beforeLines="50" w:line="360" w:lineRule="auto"/>
        <w:ind w:firstLine="435"/>
        <w:rPr>
          <w:rFonts w:ascii="宋体" w:hAnsi="宋体" w:cs="宋体"/>
          <w:color w:val="000000"/>
          <w:kern w:val="0"/>
          <w:szCs w:val="21"/>
        </w:rPr>
      </w:pPr>
      <w:r>
        <w:rPr>
          <w:rFonts w:hint="eastAsia" w:ascii="宋体" w:hAnsi="宋体" w:cs="宋体"/>
          <w:color w:val="000000"/>
          <w:kern w:val="0"/>
          <w:szCs w:val="21"/>
        </w:rPr>
        <w:t>代理人无转委托权。</w:t>
      </w:r>
    </w:p>
    <w:p w14:paraId="660968B9">
      <w:pPr>
        <w:adjustRightInd w:val="0"/>
        <w:snapToGrid w:val="0"/>
        <w:spacing w:beforeLines="50" w:line="360" w:lineRule="auto"/>
        <w:ind w:firstLine="435"/>
        <w:rPr>
          <w:rFonts w:ascii="宋体" w:hAnsi="宋体" w:cs="微软雅黑"/>
          <w:color w:val="000000"/>
          <w:kern w:val="0"/>
          <w:szCs w:val="21"/>
        </w:rPr>
      </w:pPr>
      <w:r>
        <w:rPr>
          <w:rFonts w:hint="eastAsia" w:ascii="宋体" w:hAnsi="宋体"/>
          <w:color w:val="000000"/>
          <w:szCs w:val="21"/>
        </w:rPr>
        <w:t>本授权书于年月日签字生效，特此声明。</w:t>
      </w:r>
    </w:p>
    <w:tbl>
      <w:tblPr>
        <w:tblStyle w:val="46"/>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0"/>
      </w:tblGrid>
      <w:tr w14:paraId="7F37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trPr>
        <w:tc>
          <w:tcPr>
            <w:tcW w:w="7580" w:type="dxa"/>
            <w:vAlign w:val="center"/>
          </w:tcPr>
          <w:p w14:paraId="25B736A8">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olor w:val="000000"/>
                <w:szCs w:val="21"/>
              </w:rPr>
            </w:pPr>
            <w:r>
              <w:rPr>
                <w:rFonts w:hint="eastAsia" w:ascii="宋体" w:hAnsi="宋体" w:cs="宋体"/>
                <w:szCs w:val="21"/>
              </w:rPr>
              <w:t>法定代表人身份证、</w:t>
            </w:r>
            <w:r>
              <w:rPr>
                <w:rFonts w:hint="eastAsia" w:ascii="宋体" w:hAnsi="宋体"/>
                <w:szCs w:val="21"/>
              </w:rPr>
              <w:t>委托代理人身份证（正、反面）复印件</w:t>
            </w:r>
          </w:p>
        </w:tc>
      </w:tr>
    </w:tbl>
    <w:p w14:paraId="74C872D7">
      <w:pPr>
        <w:adjustRightInd w:val="0"/>
        <w:snapToGrid w:val="0"/>
        <w:spacing w:beforeLines="50" w:line="360" w:lineRule="auto"/>
        <w:ind w:firstLine="420" w:firstLineChars="200"/>
        <w:rPr>
          <w:rFonts w:ascii="宋体" w:hAnsi="宋体"/>
          <w:color w:val="000000"/>
          <w:szCs w:val="21"/>
        </w:rPr>
      </w:pPr>
    </w:p>
    <w:p w14:paraId="5E78DF16">
      <w:pPr>
        <w:adjustRightInd w:val="0"/>
        <w:snapToGrid w:val="0"/>
        <w:spacing w:beforeLines="50" w:line="360" w:lineRule="auto"/>
        <w:ind w:firstLine="420" w:firstLineChars="200"/>
        <w:rPr>
          <w:rFonts w:ascii="宋体" w:hAnsi="宋体"/>
          <w:color w:val="000000"/>
          <w:szCs w:val="21"/>
        </w:rPr>
      </w:pPr>
    </w:p>
    <w:p w14:paraId="120F0E3D">
      <w:pPr>
        <w:adjustRightInd w:val="0"/>
        <w:snapToGrid w:val="0"/>
        <w:spacing w:beforeLines="50" w:line="360" w:lineRule="auto"/>
        <w:rPr>
          <w:rFonts w:ascii="宋体" w:hAnsi="宋体"/>
          <w:color w:val="000000"/>
          <w:szCs w:val="21"/>
        </w:rPr>
      </w:pPr>
      <w:r>
        <w:rPr>
          <w:rFonts w:hint="eastAsia" w:ascii="宋体" w:hAnsi="宋体"/>
          <w:color w:val="000000"/>
          <w:szCs w:val="21"/>
        </w:rPr>
        <w:t>注：供应商代表不是供应商的法定代表人（单位负责人）的提供。供应商为自然人的无需提供。</w:t>
      </w:r>
    </w:p>
    <w:p w14:paraId="7303692A">
      <w:pPr>
        <w:adjustRightInd w:val="0"/>
        <w:snapToGrid w:val="0"/>
        <w:spacing w:beforeLines="50" w:line="360" w:lineRule="auto"/>
        <w:ind w:firstLine="420" w:firstLineChars="200"/>
        <w:rPr>
          <w:rFonts w:ascii="宋体" w:hAnsi="宋体"/>
          <w:color w:val="000000"/>
          <w:szCs w:val="21"/>
        </w:rPr>
      </w:pPr>
    </w:p>
    <w:p w14:paraId="43AC8E80">
      <w:pPr>
        <w:adjustRightInd w:val="0"/>
        <w:snapToGrid w:val="0"/>
        <w:spacing w:beforeLines="50" w:line="360" w:lineRule="auto"/>
        <w:ind w:firstLine="420" w:firstLineChars="200"/>
        <w:rPr>
          <w:rFonts w:ascii="宋体" w:hAnsi="宋体"/>
          <w:color w:val="000000"/>
          <w:szCs w:val="21"/>
        </w:rPr>
      </w:pPr>
    </w:p>
    <w:p w14:paraId="5B8C914C">
      <w:pPr>
        <w:pStyle w:val="26"/>
        <w:adjustRightInd w:val="0"/>
        <w:snapToGrid w:val="0"/>
        <w:spacing w:beforeLines="50" w:line="360" w:lineRule="auto"/>
        <w:rPr>
          <w:rFonts w:hAnsi="宋体"/>
          <w:color w:val="000000"/>
        </w:rPr>
      </w:pPr>
      <w:r>
        <w:rPr>
          <w:rFonts w:hint="eastAsia" w:hAnsi="宋体"/>
          <w:color w:val="000000"/>
        </w:rPr>
        <w:t>供应商名称(盖单位公章)：</w:t>
      </w:r>
    </w:p>
    <w:p w14:paraId="77D7024A">
      <w:pPr>
        <w:adjustRightInd w:val="0"/>
        <w:snapToGrid w:val="0"/>
        <w:spacing w:beforeLines="50" w:line="360" w:lineRule="auto"/>
        <w:rPr>
          <w:rFonts w:ascii="宋体" w:hAnsi="宋体"/>
          <w:color w:val="000000"/>
          <w:szCs w:val="21"/>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olor w:val="000000"/>
          <w:szCs w:val="21"/>
        </w:rPr>
        <w:t>（签字或印章）：</w:t>
      </w:r>
    </w:p>
    <w:p w14:paraId="1F2C589A">
      <w:pPr>
        <w:adjustRightInd w:val="0"/>
        <w:snapToGrid w:val="0"/>
        <w:spacing w:beforeLines="50" w:line="360" w:lineRule="auto"/>
        <w:rPr>
          <w:rFonts w:ascii="宋体" w:hAnsi="宋体"/>
          <w:color w:val="000000"/>
          <w:szCs w:val="21"/>
          <w:u w:val="single"/>
        </w:rPr>
      </w:pPr>
      <w:r>
        <w:rPr>
          <w:rFonts w:hint="eastAsia" w:ascii="宋体" w:hAnsi="宋体"/>
          <w:color w:val="000000"/>
          <w:szCs w:val="21"/>
        </w:rPr>
        <w:t>委托代理人（签字或印章）：</w:t>
      </w:r>
    </w:p>
    <w:p w14:paraId="3C399C2A">
      <w:pPr>
        <w:adjustRightInd w:val="0"/>
        <w:snapToGrid w:val="0"/>
        <w:spacing w:beforeLines="50" w:line="360" w:lineRule="auto"/>
        <w:rPr>
          <w:rFonts w:ascii="宋体" w:hAnsi="宋体"/>
          <w:color w:val="000000"/>
          <w:szCs w:val="21"/>
        </w:rPr>
      </w:pPr>
      <w:r>
        <w:rPr>
          <w:rFonts w:hint="eastAsia" w:ascii="宋体" w:hAnsi="宋体"/>
          <w:color w:val="000000"/>
          <w:szCs w:val="21"/>
        </w:rPr>
        <w:t>日期：年月日</w:t>
      </w:r>
    </w:p>
    <w:p w14:paraId="23D683CC">
      <w:pPr>
        <w:pStyle w:val="20"/>
      </w:pPr>
    </w:p>
    <w:p w14:paraId="2CBBCD68">
      <w:pPr>
        <w:widowControl/>
        <w:topLinePunct/>
        <w:spacing w:line="440" w:lineRule="atLeast"/>
        <w:jc w:val="left"/>
        <w:rPr>
          <w:rFonts w:ascii="宋体" w:hAnsi="宋体" w:cs="宋体"/>
          <w:b/>
          <w:kern w:val="0"/>
        </w:rPr>
      </w:pPr>
      <w:r>
        <w:rPr>
          <w:rFonts w:hint="eastAsia" w:ascii="宋体" w:hAnsi="宋体" w:cs="宋体"/>
          <w:b/>
          <w:kern w:val="0"/>
        </w:rPr>
        <w:t>注：请另准备本授权委托书原件一份，开标会时单独提交，并同时提交委托代理人身份证原件。</w:t>
      </w:r>
      <w:r>
        <w:br w:type="page"/>
      </w:r>
    </w:p>
    <w:p w14:paraId="38F08BD3">
      <w:pPr>
        <w:pStyle w:val="7"/>
        <w:jc w:val="center"/>
        <w:rPr>
          <w:rFonts w:ascii="黑体" w:hAnsi="黑体" w:eastAsia="黑体"/>
          <w:color w:val="000000"/>
          <w:sz w:val="28"/>
          <w:szCs w:val="28"/>
        </w:rPr>
      </w:pPr>
      <w:bookmarkStart w:id="46" w:name="_Toc34637793"/>
      <w:bookmarkStart w:id="47" w:name="_Toc19540"/>
      <w:r>
        <w:rPr>
          <w:rFonts w:hint="eastAsia" w:ascii="黑体" w:hAnsi="黑体" w:eastAsia="黑体"/>
          <w:color w:val="000000"/>
          <w:sz w:val="28"/>
          <w:szCs w:val="28"/>
        </w:rPr>
        <w:t>四、保证金</w:t>
      </w:r>
      <w:bookmarkEnd w:id="46"/>
      <w:bookmarkEnd w:id="47"/>
    </w:p>
    <w:p w14:paraId="64577546">
      <w:pPr>
        <w:adjustRightInd w:val="0"/>
        <w:snapToGrid w:val="0"/>
        <w:spacing w:beforeLines="50" w:line="360" w:lineRule="auto"/>
        <w:ind w:firstLine="422" w:firstLineChars="200"/>
        <w:jc w:val="left"/>
        <w:rPr>
          <w:rFonts w:ascii="宋体" w:hAnsi="宋体"/>
          <w:color w:val="000000"/>
          <w:szCs w:val="21"/>
        </w:rPr>
      </w:pPr>
      <w:r>
        <w:rPr>
          <w:rFonts w:hint="eastAsia" w:ascii="宋体" w:hAnsi="宋体"/>
          <w:b/>
          <w:color w:val="000000"/>
          <w:szCs w:val="21"/>
        </w:rPr>
        <w:t>备注</w:t>
      </w:r>
      <w:r>
        <w:rPr>
          <w:rFonts w:hint="eastAsia" w:ascii="宋体" w:hAnsi="宋体"/>
          <w:color w:val="000000"/>
          <w:szCs w:val="21"/>
        </w:rPr>
        <w:t>：</w:t>
      </w:r>
    </w:p>
    <w:p w14:paraId="60D693CB">
      <w:pPr>
        <w:adjustRightInd w:val="0"/>
        <w:snapToGrid w:val="0"/>
        <w:spacing w:beforeLines="50" w:line="360" w:lineRule="auto"/>
        <w:ind w:firstLine="420" w:firstLineChars="200"/>
        <w:jc w:val="left"/>
        <w:rPr>
          <w:rFonts w:ascii="宋体" w:hAnsi="宋体"/>
          <w:color w:val="000000"/>
          <w:szCs w:val="21"/>
        </w:rPr>
      </w:pPr>
      <w:r>
        <w:rPr>
          <w:rFonts w:hint="eastAsia" w:ascii="宋体" w:hAnsi="宋体"/>
          <w:color w:val="000000"/>
          <w:szCs w:val="21"/>
        </w:rPr>
        <w:t>提供：1.付款凭证复印件，或金融机构、担保机构出具的保函原件。</w:t>
      </w:r>
    </w:p>
    <w:p w14:paraId="4E5DB41A">
      <w:pPr>
        <w:pStyle w:val="2"/>
      </w:pPr>
      <w:r>
        <w:rPr>
          <w:rFonts w:hint="eastAsia" w:ascii="宋体" w:hAnsi="宋体"/>
          <w:color w:val="000000"/>
          <w:szCs w:val="21"/>
        </w:rPr>
        <w:t xml:space="preserve">      2.开户许可证。</w:t>
      </w:r>
    </w:p>
    <w:p w14:paraId="433AA3E2">
      <w:pPr>
        <w:adjustRightInd w:val="0"/>
        <w:snapToGrid w:val="0"/>
        <w:spacing w:beforeLines="50" w:line="360" w:lineRule="auto"/>
        <w:ind w:firstLine="420" w:firstLineChars="200"/>
        <w:jc w:val="left"/>
        <w:rPr>
          <w:rFonts w:ascii="宋体" w:hAnsi="宋体"/>
          <w:color w:val="000000"/>
        </w:rPr>
      </w:pPr>
    </w:p>
    <w:p w14:paraId="5849C357">
      <w:pPr>
        <w:rPr>
          <w:rFonts w:ascii="宋体" w:hAnsi="宋体"/>
          <w:b/>
          <w:bCs/>
          <w:color w:val="000000"/>
          <w:szCs w:val="21"/>
        </w:rPr>
      </w:pPr>
      <w:bookmarkStart w:id="48" w:name="_Toc34637794"/>
      <w:r>
        <w:rPr>
          <w:rFonts w:hint="eastAsia" w:ascii="宋体" w:hAnsi="宋体"/>
          <w:b/>
          <w:bCs/>
          <w:color w:val="000000"/>
          <w:szCs w:val="21"/>
        </w:rPr>
        <w:t>附件4</w:t>
      </w:r>
      <w:r>
        <w:rPr>
          <w:rStyle w:val="71"/>
          <w:rFonts w:hint="eastAsia" w:ascii="宋体" w:hAnsi="宋体"/>
          <w:b w:val="0"/>
          <w:bCs w:val="0"/>
          <w:color w:val="000000"/>
          <w:sz w:val="21"/>
          <w:szCs w:val="21"/>
        </w:rPr>
        <w:t>-</w:t>
      </w:r>
      <w:r>
        <w:rPr>
          <w:rFonts w:hint="eastAsia" w:ascii="宋体" w:hAnsi="宋体"/>
          <w:b/>
          <w:bCs/>
          <w:color w:val="000000"/>
          <w:szCs w:val="21"/>
        </w:rPr>
        <w:t>1 保函（格式）</w:t>
      </w:r>
      <w:bookmarkEnd w:id="48"/>
    </w:p>
    <w:p w14:paraId="4E9F25AE">
      <w:pPr>
        <w:adjustRightInd w:val="0"/>
        <w:snapToGrid w:val="0"/>
        <w:spacing w:beforeLines="50" w:line="360" w:lineRule="auto"/>
        <w:jc w:val="center"/>
        <w:rPr>
          <w:rFonts w:ascii="黑体" w:hAnsi="黑体" w:eastAsia="黑体"/>
          <w:b/>
          <w:color w:val="000000"/>
          <w:sz w:val="28"/>
          <w:szCs w:val="28"/>
          <w:u w:val="single"/>
        </w:rPr>
      </w:pPr>
      <w:r>
        <w:rPr>
          <w:rFonts w:hint="eastAsia" w:ascii="黑体" w:hAnsi="黑体" w:eastAsia="黑体"/>
          <w:b/>
          <w:color w:val="000000"/>
          <w:sz w:val="28"/>
          <w:szCs w:val="28"/>
        </w:rPr>
        <w:t>保函（格式）</w:t>
      </w:r>
    </w:p>
    <w:p w14:paraId="3D6AE29D">
      <w:pPr>
        <w:adjustRightInd w:val="0"/>
        <w:snapToGrid w:val="0"/>
        <w:spacing w:beforeLines="50" w:line="360" w:lineRule="auto"/>
        <w:jc w:val="center"/>
        <w:rPr>
          <w:rFonts w:ascii="宋体" w:hAnsi="宋体"/>
          <w:color w:val="000000"/>
          <w:u w:val="single"/>
        </w:rPr>
      </w:pPr>
      <w:r>
        <w:rPr>
          <w:rFonts w:hint="eastAsia" w:ascii="宋体" w:hAnsi="宋体"/>
          <w:color w:val="000000"/>
        </w:rPr>
        <w:t>（金融机构、担保机构保函）</w:t>
      </w:r>
    </w:p>
    <w:p w14:paraId="26DACFAC">
      <w:pPr>
        <w:adjustRightInd w:val="0"/>
        <w:snapToGrid w:val="0"/>
        <w:spacing w:beforeLines="50" w:line="360" w:lineRule="auto"/>
        <w:jc w:val="left"/>
        <w:rPr>
          <w:rFonts w:ascii="宋体" w:hAnsi="宋体"/>
          <w:color w:val="000000"/>
        </w:rPr>
      </w:pPr>
      <w:r>
        <w:rPr>
          <w:rFonts w:hint="eastAsia" w:ascii="宋体" w:hAnsi="宋体"/>
          <w:color w:val="000000"/>
        </w:rPr>
        <w:t>（采购人名称）：</w:t>
      </w:r>
    </w:p>
    <w:p w14:paraId="7351D24C">
      <w:pPr>
        <w:adjustRightInd w:val="0"/>
        <w:snapToGrid w:val="0"/>
        <w:spacing w:beforeLines="50" w:line="360" w:lineRule="auto"/>
        <w:ind w:firstLine="420" w:firstLineChars="200"/>
        <w:jc w:val="left"/>
        <w:rPr>
          <w:rFonts w:ascii="宋体" w:hAnsi="宋体"/>
          <w:color w:val="000000"/>
        </w:rPr>
      </w:pPr>
      <w:r>
        <w:rPr>
          <w:rFonts w:hint="eastAsia" w:ascii="宋体" w:hAnsi="宋体"/>
          <w:color w:val="000000"/>
        </w:rPr>
        <w:t>鉴于（供应商名称）（以下称“供应商”）于年月日参加（项目名称）的竞争性磋商</w:t>
      </w:r>
      <w:r>
        <w:rPr>
          <w:rFonts w:hint="eastAsia" w:ascii="宋体" w:hAnsi="宋体"/>
          <w:color w:val="000000"/>
          <w:szCs w:val="21"/>
        </w:rPr>
        <w:t>（政府采购编号：，采购代理编号：）</w:t>
      </w:r>
      <w:r>
        <w:rPr>
          <w:rFonts w:hint="eastAsia" w:ascii="宋体" w:hAnsi="宋体"/>
          <w:color w:val="000000"/>
        </w:rPr>
        <w:t xml:space="preserve">，（担保人名称，以下简称“我方”）无条件地、不可撤销地保证：若供应商在响应文件有效期内撤销响应文件，或成交后无正当理由不与采购人订立合同，或在签订合同时向采购人提出附加条件，或不按照磋商文件要求提交履约保证金，以及发生磋商文件明确规定可以不予退还保证金的其他情形，我方承担保证责任。收到你方书面通知后，我方在 7 日内向你方无条件支付人民币（大写）。 </w:t>
      </w:r>
    </w:p>
    <w:p w14:paraId="3FA062A3">
      <w:pPr>
        <w:adjustRightInd w:val="0"/>
        <w:snapToGrid w:val="0"/>
        <w:spacing w:beforeLines="50" w:line="360" w:lineRule="auto"/>
        <w:ind w:firstLine="420" w:firstLineChars="200"/>
        <w:jc w:val="left"/>
        <w:rPr>
          <w:rFonts w:ascii="宋体" w:hAnsi="宋体"/>
          <w:color w:val="000000"/>
        </w:rPr>
      </w:pPr>
      <w:r>
        <w:rPr>
          <w:rFonts w:hint="eastAsia" w:ascii="宋体" w:hAnsi="宋体"/>
          <w:color w:val="000000"/>
        </w:rPr>
        <w:t>本保函在响应文件有效期内保持有效。要求我方承担保证责任的通知应在响应文件有效期内送达我方。</w:t>
      </w:r>
    </w:p>
    <w:p w14:paraId="15D0F7C5">
      <w:pPr>
        <w:adjustRightInd w:val="0"/>
        <w:snapToGrid w:val="0"/>
        <w:spacing w:beforeLines="50" w:line="360" w:lineRule="auto"/>
        <w:ind w:firstLine="420" w:firstLineChars="200"/>
        <w:jc w:val="left"/>
        <w:rPr>
          <w:rFonts w:ascii="宋体" w:hAnsi="宋体"/>
          <w:color w:val="000000"/>
        </w:rPr>
      </w:pPr>
    </w:p>
    <w:p w14:paraId="61DC0D16">
      <w:pPr>
        <w:adjustRightInd w:val="0"/>
        <w:snapToGrid w:val="0"/>
        <w:spacing w:beforeLines="50" w:line="360" w:lineRule="auto"/>
        <w:ind w:firstLine="420" w:firstLineChars="200"/>
        <w:jc w:val="left"/>
        <w:rPr>
          <w:rFonts w:ascii="宋体" w:hAnsi="宋体"/>
          <w:color w:val="000000"/>
        </w:rPr>
      </w:pPr>
      <w:r>
        <w:rPr>
          <w:rFonts w:hint="eastAsia" w:ascii="宋体" w:hAnsi="宋体"/>
          <w:color w:val="000000"/>
        </w:rPr>
        <w:t>担保人名称：（盖单位公章）</w:t>
      </w:r>
    </w:p>
    <w:p w14:paraId="0A03314E">
      <w:pPr>
        <w:adjustRightInd w:val="0"/>
        <w:snapToGrid w:val="0"/>
        <w:spacing w:beforeLines="50" w:line="360" w:lineRule="auto"/>
        <w:ind w:firstLine="420" w:firstLineChars="200"/>
        <w:jc w:val="left"/>
        <w:rPr>
          <w:rFonts w:ascii="宋体" w:hAnsi="宋体"/>
          <w:color w:val="000000"/>
        </w:rPr>
      </w:pPr>
      <w:r>
        <w:rPr>
          <w:rFonts w:hint="eastAsia" w:ascii="宋体" w:hAnsi="宋体"/>
          <w:color w:val="000000"/>
        </w:rPr>
        <w:t>法定代表人（单位负责人）或委托代理人：（签字或印章）</w:t>
      </w:r>
    </w:p>
    <w:p w14:paraId="4E531F7A">
      <w:pPr>
        <w:adjustRightInd w:val="0"/>
        <w:snapToGrid w:val="0"/>
        <w:spacing w:beforeLines="50" w:line="360" w:lineRule="auto"/>
        <w:ind w:firstLine="420" w:firstLineChars="200"/>
        <w:jc w:val="left"/>
        <w:rPr>
          <w:rFonts w:ascii="宋体" w:hAnsi="宋体"/>
          <w:color w:val="000000"/>
        </w:rPr>
      </w:pPr>
      <w:r>
        <w:rPr>
          <w:rFonts w:hint="eastAsia" w:ascii="宋体" w:hAnsi="宋体"/>
          <w:color w:val="000000"/>
        </w:rPr>
        <w:t>地    址：</w:t>
      </w:r>
    </w:p>
    <w:p w14:paraId="355E242B">
      <w:pPr>
        <w:adjustRightInd w:val="0"/>
        <w:snapToGrid w:val="0"/>
        <w:spacing w:beforeLines="50" w:line="360" w:lineRule="auto"/>
        <w:ind w:firstLine="420" w:firstLineChars="200"/>
        <w:jc w:val="left"/>
        <w:rPr>
          <w:rFonts w:ascii="宋体" w:hAnsi="宋体"/>
          <w:color w:val="000000"/>
        </w:rPr>
      </w:pPr>
      <w:r>
        <w:rPr>
          <w:rFonts w:hint="eastAsia" w:ascii="宋体" w:hAnsi="宋体"/>
          <w:color w:val="000000"/>
        </w:rPr>
        <w:t>邮政编码：</w:t>
      </w:r>
    </w:p>
    <w:p w14:paraId="64699831">
      <w:pPr>
        <w:adjustRightInd w:val="0"/>
        <w:snapToGrid w:val="0"/>
        <w:spacing w:beforeLines="50" w:line="360" w:lineRule="auto"/>
        <w:ind w:firstLine="420" w:firstLineChars="200"/>
        <w:jc w:val="left"/>
        <w:rPr>
          <w:rFonts w:ascii="宋体" w:hAnsi="宋体"/>
          <w:color w:val="000000"/>
        </w:rPr>
      </w:pPr>
      <w:r>
        <w:rPr>
          <w:rFonts w:hint="eastAsia" w:ascii="宋体" w:hAnsi="宋体"/>
          <w:color w:val="000000"/>
        </w:rPr>
        <w:t>电    话：</w:t>
      </w:r>
    </w:p>
    <w:p w14:paraId="1641C719">
      <w:pPr>
        <w:adjustRightInd w:val="0"/>
        <w:snapToGrid w:val="0"/>
        <w:spacing w:beforeLines="50" w:line="360" w:lineRule="auto"/>
        <w:ind w:firstLine="420" w:firstLineChars="200"/>
        <w:jc w:val="left"/>
        <w:rPr>
          <w:rFonts w:ascii="宋体" w:hAnsi="宋体"/>
          <w:color w:val="000000"/>
        </w:rPr>
      </w:pPr>
      <w:r>
        <w:rPr>
          <w:rFonts w:hint="eastAsia" w:ascii="宋体" w:hAnsi="宋体"/>
          <w:color w:val="000000"/>
        </w:rPr>
        <w:t>年月日</w:t>
      </w:r>
    </w:p>
    <w:p w14:paraId="4DF87AC1">
      <w:pPr>
        <w:widowControl/>
        <w:jc w:val="left"/>
        <w:rPr>
          <w:color w:val="000000"/>
        </w:rPr>
      </w:pPr>
      <w:r>
        <w:rPr>
          <w:color w:val="000000"/>
        </w:rPr>
        <w:br w:type="page"/>
      </w:r>
    </w:p>
    <w:p w14:paraId="15B8151F">
      <w:pPr>
        <w:spacing w:line="480" w:lineRule="exact"/>
        <w:ind w:right="23" w:rightChars="11"/>
        <w:rPr>
          <w:rFonts w:ascii="宋体" w:hAnsi="宋体"/>
          <w:b/>
          <w:bCs/>
          <w:color w:val="000000"/>
          <w:sz w:val="32"/>
          <w:szCs w:val="32"/>
        </w:rPr>
      </w:pPr>
      <w:r>
        <w:rPr>
          <w:rFonts w:hint="eastAsia" w:ascii="宋体" w:hAnsi="宋体"/>
          <w:b/>
          <w:bCs/>
          <w:color w:val="000000"/>
          <w:szCs w:val="21"/>
        </w:rPr>
        <w:t xml:space="preserve">附件4-2                </w:t>
      </w:r>
    </w:p>
    <w:p w14:paraId="47CEF314">
      <w:pPr>
        <w:spacing w:line="480" w:lineRule="exact"/>
        <w:ind w:right="23" w:rightChars="11"/>
        <w:jc w:val="center"/>
        <w:rPr>
          <w:rFonts w:ascii="黑体" w:hAnsi="黑体" w:eastAsia="黑体" w:cs="黑体"/>
          <w:b/>
          <w:bCs/>
          <w:color w:val="000000"/>
          <w:sz w:val="28"/>
          <w:szCs w:val="28"/>
        </w:rPr>
      </w:pPr>
      <w:r>
        <w:rPr>
          <w:rFonts w:hint="eastAsia" w:ascii="黑体" w:hAnsi="黑体" w:eastAsia="黑体" w:cs="黑体"/>
          <w:b/>
          <w:bCs/>
          <w:color w:val="000000"/>
          <w:sz w:val="28"/>
          <w:szCs w:val="28"/>
        </w:rPr>
        <w:t>保证金退还申请书</w:t>
      </w:r>
    </w:p>
    <w:p w14:paraId="1D64DA77">
      <w:pPr>
        <w:adjustRightInd w:val="0"/>
        <w:snapToGrid w:val="0"/>
        <w:spacing w:beforeLines="50" w:line="360" w:lineRule="auto"/>
        <w:rPr>
          <w:rFonts w:ascii="宋体" w:hAnsi="宋体" w:cs="宋体"/>
          <w:szCs w:val="21"/>
        </w:rPr>
      </w:pPr>
    </w:p>
    <w:p w14:paraId="39CA3763">
      <w:pPr>
        <w:adjustRightInd w:val="0"/>
        <w:snapToGrid w:val="0"/>
        <w:spacing w:beforeLines="50" w:line="360" w:lineRule="auto"/>
        <w:rPr>
          <w:rFonts w:ascii="宋体" w:hAnsi="宋体" w:cs="宋体"/>
          <w:szCs w:val="21"/>
        </w:rPr>
      </w:pPr>
    </w:p>
    <w:p w14:paraId="49D2854A">
      <w:pPr>
        <w:adjustRightInd w:val="0"/>
        <w:snapToGrid w:val="0"/>
        <w:spacing w:beforeLines="50" w:line="360" w:lineRule="auto"/>
        <w:rPr>
          <w:rFonts w:ascii="宋体" w:hAnsi="宋体" w:cs="宋体"/>
          <w:szCs w:val="21"/>
        </w:rPr>
      </w:pPr>
      <w:r>
        <w:rPr>
          <w:rFonts w:hint="eastAsia" w:ascii="宋体" w:hAnsi="宋体" w:cs="宋体"/>
          <w:szCs w:val="21"/>
        </w:rPr>
        <w:t xml:space="preserve">致 (采购人或采购代理机构)： </w:t>
      </w:r>
    </w:p>
    <w:p w14:paraId="1BD9273D">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我系参加（项目名称），政府采购编号： ，</w:t>
      </w:r>
      <w:r>
        <w:rPr>
          <w:rFonts w:hint="eastAsia" w:ascii="宋体" w:hAnsi="宋体" w:cs="宋体"/>
          <w:color w:val="000000"/>
          <w:szCs w:val="21"/>
        </w:rPr>
        <w:t>采购代理编号</w:t>
      </w:r>
      <w:r>
        <w:rPr>
          <w:rFonts w:hint="eastAsia" w:ascii="宋体" w:hAnsi="宋体" w:cs="宋体"/>
          <w:szCs w:val="21"/>
        </w:rPr>
        <w:t>：竞争性磋商的供应商，现申请按该项目磋商文件规定，退返保证金人民币(大写）￥(小写），保证金请退还到以下原缴纳账户：</w:t>
      </w:r>
    </w:p>
    <w:p w14:paraId="0C30ED08">
      <w:pPr>
        <w:adjustRightInd w:val="0"/>
        <w:snapToGrid w:val="0"/>
        <w:spacing w:before="50" w:line="360" w:lineRule="auto"/>
        <w:ind w:firstLine="420" w:firstLineChars="200"/>
        <w:rPr>
          <w:rFonts w:ascii="宋体" w:hAnsi="宋体" w:cs="宋体"/>
          <w:szCs w:val="21"/>
          <w:u w:val="single"/>
        </w:rPr>
      </w:pPr>
      <w:r>
        <w:rPr>
          <w:rFonts w:hint="eastAsia" w:ascii="宋体" w:hAnsi="宋体" w:cs="宋体"/>
          <w:szCs w:val="21"/>
        </w:rPr>
        <w:t>户名：</w:t>
      </w:r>
    </w:p>
    <w:p w14:paraId="0CEB7212">
      <w:pPr>
        <w:adjustRightInd w:val="0"/>
        <w:snapToGrid w:val="0"/>
        <w:spacing w:before="50" w:line="360" w:lineRule="auto"/>
        <w:ind w:firstLine="420" w:firstLineChars="200"/>
        <w:rPr>
          <w:rFonts w:ascii="宋体" w:hAnsi="宋体" w:cs="宋体"/>
          <w:szCs w:val="21"/>
          <w:u w:val="single"/>
        </w:rPr>
      </w:pPr>
      <w:r>
        <w:rPr>
          <w:rFonts w:hint="eastAsia" w:ascii="宋体" w:hAnsi="宋体" w:cs="宋体"/>
          <w:szCs w:val="21"/>
        </w:rPr>
        <w:t>账号：</w:t>
      </w:r>
    </w:p>
    <w:p w14:paraId="047B6CDA">
      <w:pPr>
        <w:adjustRightInd w:val="0"/>
        <w:snapToGrid w:val="0"/>
        <w:spacing w:before="50" w:line="360" w:lineRule="auto"/>
        <w:ind w:firstLine="420" w:firstLineChars="200"/>
        <w:rPr>
          <w:rFonts w:ascii="宋体" w:hAnsi="宋体" w:cs="宋体"/>
          <w:szCs w:val="21"/>
          <w:u w:val="single"/>
        </w:rPr>
      </w:pPr>
      <w:r>
        <w:rPr>
          <w:rFonts w:hint="eastAsia" w:ascii="宋体" w:hAnsi="宋体" w:cs="宋体"/>
          <w:szCs w:val="21"/>
        </w:rPr>
        <w:t>开户行：</w:t>
      </w:r>
    </w:p>
    <w:p w14:paraId="1689B1F0">
      <w:pPr>
        <w:adjustRightInd w:val="0"/>
        <w:snapToGrid w:val="0"/>
        <w:spacing w:before="50" w:line="360" w:lineRule="auto"/>
        <w:ind w:firstLine="420" w:firstLineChars="200"/>
        <w:rPr>
          <w:rFonts w:ascii="宋体" w:hAnsi="宋体" w:cs="宋体"/>
          <w:szCs w:val="21"/>
        </w:rPr>
      </w:pPr>
      <w:r>
        <w:rPr>
          <w:rFonts w:hint="eastAsia" w:ascii="宋体" w:hAnsi="宋体" w:cs="宋体"/>
          <w:szCs w:val="21"/>
        </w:rPr>
        <w:t>开户行地址：省市</w:t>
      </w:r>
    </w:p>
    <w:p w14:paraId="6D81D21B">
      <w:pPr>
        <w:adjustRightInd w:val="0"/>
        <w:snapToGrid w:val="0"/>
        <w:spacing w:before="50" w:line="360" w:lineRule="auto"/>
        <w:ind w:firstLine="420" w:firstLineChars="200"/>
        <w:rPr>
          <w:rFonts w:ascii="宋体" w:hAnsi="宋体" w:cs="宋体"/>
          <w:szCs w:val="21"/>
        </w:rPr>
      </w:pPr>
      <w:r>
        <w:rPr>
          <w:rFonts w:hint="eastAsia" w:ascii="宋体" w:hAnsi="宋体" w:cs="宋体"/>
          <w:szCs w:val="21"/>
        </w:rPr>
        <w:t>如果提供的账户信息有误或因账户信息变更未及时通知，一切后果均由本单位自行负责。</w:t>
      </w:r>
    </w:p>
    <w:p w14:paraId="1037B311">
      <w:pPr>
        <w:adjustRightInd w:val="0"/>
        <w:snapToGrid w:val="0"/>
        <w:spacing w:before="50" w:line="360" w:lineRule="auto"/>
        <w:ind w:left="4429" w:leftChars="2109"/>
        <w:rPr>
          <w:rFonts w:ascii="宋体" w:hAnsi="宋体" w:cs="宋体"/>
          <w:szCs w:val="21"/>
        </w:rPr>
      </w:pPr>
      <w:r>
        <w:rPr>
          <w:rFonts w:hint="eastAsia" w:ascii="宋体" w:hAnsi="宋体" w:cs="宋体"/>
          <w:szCs w:val="21"/>
        </w:rPr>
        <w:t xml:space="preserve">                                         供应商(盖单位章)：</w:t>
      </w:r>
    </w:p>
    <w:p w14:paraId="66FE4FD7">
      <w:pPr>
        <w:adjustRightInd w:val="0"/>
        <w:snapToGrid w:val="0"/>
        <w:spacing w:before="50" w:line="360" w:lineRule="auto"/>
        <w:ind w:left="4429" w:leftChars="2109"/>
        <w:rPr>
          <w:rFonts w:ascii="宋体" w:hAnsi="宋体" w:cs="宋体"/>
          <w:szCs w:val="21"/>
        </w:rPr>
      </w:pPr>
      <w:r>
        <w:rPr>
          <w:rFonts w:hint="eastAsia" w:ascii="宋体" w:hAnsi="宋体" w:cs="宋体"/>
          <w:szCs w:val="21"/>
        </w:rPr>
        <w:t>联系人：</w:t>
      </w:r>
    </w:p>
    <w:p w14:paraId="702F5CFA">
      <w:pPr>
        <w:adjustRightInd w:val="0"/>
        <w:snapToGrid w:val="0"/>
        <w:spacing w:before="50" w:line="360" w:lineRule="auto"/>
        <w:ind w:left="4429" w:leftChars="2109"/>
        <w:rPr>
          <w:rFonts w:ascii="宋体" w:hAnsi="宋体" w:cs="宋体"/>
          <w:szCs w:val="21"/>
        </w:rPr>
      </w:pPr>
      <w:r>
        <w:rPr>
          <w:rFonts w:hint="eastAsia" w:ascii="宋体" w:hAnsi="宋体" w:cs="宋体"/>
          <w:szCs w:val="21"/>
        </w:rPr>
        <w:t>移动电话：</w:t>
      </w:r>
    </w:p>
    <w:p w14:paraId="0F7684B0">
      <w:pPr>
        <w:adjustRightInd w:val="0"/>
        <w:snapToGrid w:val="0"/>
        <w:spacing w:before="50" w:line="360" w:lineRule="auto"/>
        <w:ind w:left="4429" w:leftChars="2109"/>
        <w:rPr>
          <w:rFonts w:ascii="宋体" w:hAnsi="宋体" w:cs="宋体"/>
          <w:szCs w:val="21"/>
        </w:rPr>
      </w:pPr>
      <w:r>
        <w:rPr>
          <w:rFonts w:hint="eastAsia" w:ascii="宋体" w:hAnsi="宋体" w:cs="宋体"/>
          <w:szCs w:val="21"/>
        </w:rPr>
        <w:t>固定电话：</w:t>
      </w:r>
    </w:p>
    <w:p w14:paraId="739F1C5C">
      <w:pPr>
        <w:adjustRightInd w:val="0"/>
        <w:snapToGrid w:val="0"/>
        <w:spacing w:before="50" w:line="360" w:lineRule="auto"/>
        <w:ind w:left="4429" w:leftChars="2109"/>
        <w:rPr>
          <w:rFonts w:eastAsia="黑体"/>
          <w:b/>
          <w:bCs/>
          <w:sz w:val="28"/>
          <w:szCs w:val="28"/>
        </w:rPr>
      </w:pPr>
      <w:r>
        <w:rPr>
          <w:rFonts w:hint="eastAsia"/>
          <w:szCs w:val="21"/>
        </w:rPr>
        <w:t>日期：年月日</w:t>
      </w:r>
    </w:p>
    <w:p w14:paraId="44A07DF9">
      <w:pPr>
        <w:pStyle w:val="26"/>
        <w:adjustRightInd w:val="0"/>
        <w:snapToGrid w:val="0"/>
        <w:spacing w:beforeLines="50" w:line="360" w:lineRule="auto"/>
        <w:ind w:right="23" w:rightChars="11"/>
        <w:rPr>
          <w:rFonts w:ascii="Times New Roman" w:hAnsi="Times New Roman"/>
        </w:rPr>
      </w:pPr>
    </w:p>
    <w:p w14:paraId="6C575898">
      <w:pPr>
        <w:pStyle w:val="26"/>
        <w:adjustRightInd w:val="0"/>
        <w:snapToGrid w:val="0"/>
        <w:spacing w:beforeLines="50" w:line="360" w:lineRule="auto"/>
        <w:ind w:right="23" w:rightChars="11"/>
        <w:rPr>
          <w:rFonts w:ascii="Times New Roman" w:hAnsi="Times New Roman" w:eastAsia="仿宋_GB2312"/>
        </w:rPr>
      </w:pPr>
      <w:r>
        <w:rPr>
          <w:rFonts w:ascii="Times New Roman" w:hAnsi="Times New Roman"/>
        </w:rPr>
        <w:t>说明：《保证金退还申请书》需单独递交，不得装订在响应文件中；可在办理保证金交割手续时提交，也可在提交首次响应文件截止时间后补交，未交《保证金退还申请书》的供应商，将影响其保证金的正常退还。</w:t>
      </w:r>
    </w:p>
    <w:p w14:paraId="45D10842">
      <w:pPr>
        <w:widowControl/>
        <w:jc w:val="left"/>
        <w:rPr>
          <w:rFonts w:ascii="新宋体" w:hAnsi="新宋体" w:eastAsia="新宋体" w:cs="新宋体"/>
          <w:b/>
          <w:sz w:val="28"/>
          <w:szCs w:val="28"/>
        </w:rPr>
      </w:pPr>
      <w:r>
        <w:rPr>
          <w:rFonts w:ascii="新宋体" w:hAnsi="新宋体" w:eastAsia="新宋体" w:cs="新宋体"/>
          <w:b/>
          <w:sz w:val="28"/>
          <w:szCs w:val="28"/>
        </w:rPr>
        <w:br w:type="page"/>
      </w:r>
    </w:p>
    <w:p w14:paraId="5A61AB4F">
      <w:pPr>
        <w:pStyle w:val="7"/>
        <w:jc w:val="center"/>
        <w:rPr>
          <w:rFonts w:ascii="黑体" w:hAnsi="黑体" w:eastAsia="黑体" w:cs="黑体"/>
          <w:b w:val="0"/>
          <w:bCs w:val="0"/>
          <w:sz w:val="28"/>
          <w:szCs w:val="28"/>
        </w:rPr>
      </w:pPr>
      <w:bookmarkStart w:id="49" w:name="_Toc13026"/>
      <w:r>
        <w:rPr>
          <w:rFonts w:hint="eastAsia" w:ascii="黑体" w:hAnsi="黑体" w:eastAsia="黑体" w:cs="黑体"/>
          <w:sz w:val="28"/>
          <w:szCs w:val="28"/>
        </w:rPr>
        <w:t>五、供应商的资格证明材料</w:t>
      </w:r>
      <w:bookmarkEnd w:id="49"/>
    </w:p>
    <w:p w14:paraId="7B149CE7">
      <w:pPr>
        <w:rPr>
          <w:rFonts w:ascii="新宋体" w:hAnsi="新宋体" w:eastAsia="新宋体" w:cs="新宋体"/>
          <w:sz w:val="24"/>
        </w:rPr>
      </w:pPr>
    </w:p>
    <w:p w14:paraId="273A7205">
      <w:pPr>
        <w:spacing w:line="480" w:lineRule="exact"/>
        <w:ind w:right="23" w:rightChars="11"/>
        <w:rPr>
          <w:rFonts w:ascii="宋体" w:hAnsi="宋体"/>
          <w:b/>
          <w:bCs/>
          <w:color w:val="000000"/>
          <w:szCs w:val="21"/>
        </w:rPr>
      </w:pPr>
      <w:r>
        <w:rPr>
          <w:rFonts w:hint="eastAsia" w:ascii="宋体" w:hAnsi="宋体"/>
          <w:b/>
          <w:bCs/>
          <w:color w:val="000000"/>
          <w:szCs w:val="21"/>
        </w:rPr>
        <w:t>附件5-1</w:t>
      </w:r>
    </w:p>
    <w:p w14:paraId="6481ABE1">
      <w:pPr>
        <w:adjustRightInd w:val="0"/>
        <w:snapToGrid w:val="0"/>
        <w:rPr>
          <w:rFonts w:ascii="新宋体" w:hAnsi="新宋体" w:eastAsia="新宋体" w:cs="新宋体"/>
          <w:sz w:val="24"/>
        </w:rPr>
      </w:pPr>
      <w:r>
        <w:rPr>
          <w:rFonts w:hint="eastAsia" w:ascii="新宋体" w:hAnsi="新宋体" w:eastAsia="新宋体" w:cs="新宋体"/>
          <w:sz w:val="24"/>
        </w:rPr>
        <w:t xml:space="preserve">                       供应商基本情况表</w:t>
      </w:r>
    </w:p>
    <w:p w14:paraId="050F2270">
      <w:pPr>
        <w:adjustRightInd w:val="0"/>
        <w:snapToGrid w:val="0"/>
        <w:rPr>
          <w:rFonts w:ascii="宋体" w:hAnsi="宋体" w:cs="宋体"/>
          <w:szCs w:val="21"/>
        </w:rPr>
      </w:pPr>
    </w:p>
    <w:p w14:paraId="3FFF7262">
      <w:pPr>
        <w:adjustRightInd w:val="0"/>
        <w:snapToGrid w:val="0"/>
        <w:rPr>
          <w:rFonts w:ascii="宋体" w:hAnsi="宋体" w:cs="宋体"/>
          <w:szCs w:val="21"/>
        </w:rPr>
      </w:pPr>
      <w:r>
        <w:rPr>
          <w:rFonts w:hint="eastAsia" w:ascii="宋体" w:hAnsi="宋体" w:cs="宋体"/>
          <w:szCs w:val="21"/>
        </w:rPr>
        <w:t>盖供应商单位章</w:t>
      </w:r>
    </w:p>
    <w:tbl>
      <w:tblPr>
        <w:tblStyle w:val="46"/>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2067"/>
        <w:gridCol w:w="25"/>
        <w:gridCol w:w="9"/>
      </w:tblGrid>
      <w:tr w14:paraId="45F2C4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vAlign w:val="center"/>
          </w:tcPr>
          <w:p w14:paraId="1D9C3FCC">
            <w:pPr>
              <w:keepNext w:val="0"/>
              <w:keepLines w:val="0"/>
              <w:suppressLineNumbers w:val="0"/>
              <w:topLinePunct/>
              <w:spacing w:before="0" w:beforeAutospacing="0" w:after="0" w:afterAutospacing="0"/>
              <w:ind w:left="0" w:right="0"/>
              <w:jc w:val="center"/>
              <w:rPr>
                <w:rFonts w:hint="default" w:ascii="宋体" w:hAnsi="宋体" w:cs="宋体"/>
                <w:szCs w:val="21"/>
              </w:rPr>
            </w:pPr>
            <w:r>
              <w:rPr>
                <w:rFonts w:hint="eastAsia" w:ascii="宋体" w:hAnsi="宋体" w:cs="宋体"/>
                <w:szCs w:val="21"/>
              </w:rPr>
              <w:t>供应商名称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14:paraId="10820CB1">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1329" w:type="dxa"/>
            <w:tcBorders>
              <w:top w:val="double" w:color="auto" w:sz="4" w:space="0"/>
              <w:left w:val="single" w:color="auto" w:sz="6" w:space="0"/>
              <w:bottom w:val="single" w:color="auto" w:sz="6" w:space="0"/>
              <w:right w:val="single" w:color="auto" w:sz="6" w:space="0"/>
            </w:tcBorders>
            <w:vAlign w:val="center"/>
          </w:tcPr>
          <w:p w14:paraId="07BE33E9">
            <w:pPr>
              <w:keepNext w:val="0"/>
              <w:keepLines w:val="0"/>
              <w:suppressLineNumbers w:val="0"/>
              <w:topLinePunct/>
              <w:spacing w:before="0" w:beforeAutospacing="0" w:after="0" w:afterAutospacing="0"/>
              <w:ind w:left="0" w:right="0"/>
              <w:jc w:val="center"/>
              <w:rPr>
                <w:rFonts w:hint="default" w:ascii="宋体" w:hAnsi="宋体" w:cs="宋体"/>
                <w:szCs w:val="21"/>
              </w:rPr>
            </w:pPr>
            <w:r>
              <w:rPr>
                <w:rFonts w:hint="eastAsia" w:ascii="宋体" w:hAnsi="宋体" w:cs="宋体"/>
                <w:szCs w:val="21"/>
              </w:rPr>
              <w:t>法定代表人</w:t>
            </w:r>
          </w:p>
        </w:tc>
        <w:tc>
          <w:tcPr>
            <w:tcW w:w="2101" w:type="dxa"/>
            <w:gridSpan w:val="3"/>
            <w:tcBorders>
              <w:top w:val="double" w:color="auto" w:sz="4" w:space="0"/>
              <w:left w:val="single" w:color="auto" w:sz="6" w:space="0"/>
              <w:bottom w:val="single" w:color="auto" w:sz="6" w:space="0"/>
              <w:right w:val="double" w:color="auto" w:sz="4" w:space="0"/>
            </w:tcBorders>
            <w:vAlign w:val="center"/>
          </w:tcPr>
          <w:p w14:paraId="02F1C5C1">
            <w:pPr>
              <w:keepNext w:val="0"/>
              <w:keepLines w:val="0"/>
              <w:suppressLineNumbers w:val="0"/>
              <w:topLinePunct/>
              <w:spacing w:before="0" w:beforeAutospacing="0" w:after="0" w:afterAutospacing="0"/>
              <w:ind w:left="0" w:right="0"/>
              <w:jc w:val="center"/>
              <w:rPr>
                <w:rFonts w:hint="default" w:ascii="宋体" w:hAnsi="宋体" w:cs="宋体"/>
                <w:szCs w:val="21"/>
              </w:rPr>
            </w:pPr>
          </w:p>
        </w:tc>
      </w:tr>
      <w:tr w14:paraId="4EA32D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11"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0A266651">
            <w:pPr>
              <w:keepNext w:val="0"/>
              <w:keepLines w:val="0"/>
              <w:suppressLineNumbers w:val="0"/>
              <w:topLinePunct/>
              <w:spacing w:before="0" w:beforeAutospacing="0" w:after="0" w:afterAutospacing="0"/>
              <w:ind w:left="0" w:right="0"/>
              <w:jc w:val="center"/>
              <w:rPr>
                <w:rFonts w:hint="default" w:ascii="宋体" w:hAnsi="宋体" w:cs="宋体"/>
                <w:szCs w:val="21"/>
              </w:rPr>
            </w:pPr>
            <w:r>
              <w:rPr>
                <w:rFonts w:hint="eastAsia" w:ascii="宋体" w:hAnsi="宋体" w:cs="宋体"/>
                <w:szCs w:val="21"/>
              </w:rPr>
              <w:t>组织机构代码</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72839193">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31CEF574">
            <w:pPr>
              <w:keepNext w:val="0"/>
              <w:keepLines w:val="0"/>
              <w:suppressLineNumbers w:val="0"/>
              <w:topLinePunct/>
              <w:spacing w:before="0" w:beforeAutospacing="0" w:after="0" w:afterAutospacing="0"/>
              <w:ind w:left="0" w:right="0"/>
              <w:jc w:val="center"/>
              <w:rPr>
                <w:rFonts w:hint="default" w:ascii="宋体" w:hAnsi="宋体" w:cs="宋体"/>
                <w:szCs w:val="21"/>
              </w:rPr>
            </w:pPr>
            <w:r>
              <w:rPr>
                <w:rFonts w:hint="eastAsia" w:ascii="宋体" w:hAnsi="宋体" w:cs="宋体"/>
                <w:szCs w:val="21"/>
              </w:rPr>
              <w:t>邮政编码</w:t>
            </w:r>
          </w:p>
        </w:tc>
        <w:tc>
          <w:tcPr>
            <w:tcW w:w="2092" w:type="dxa"/>
            <w:gridSpan w:val="2"/>
            <w:tcBorders>
              <w:top w:val="single" w:color="auto" w:sz="6" w:space="0"/>
              <w:left w:val="single" w:color="auto" w:sz="6" w:space="0"/>
              <w:bottom w:val="single" w:color="auto" w:sz="6" w:space="0"/>
              <w:right w:val="double" w:color="auto" w:sz="4" w:space="0"/>
            </w:tcBorders>
            <w:vAlign w:val="center"/>
          </w:tcPr>
          <w:p w14:paraId="6966659D">
            <w:pPr>
              <w:keepNext w:val="0"/>
              <w:keepLines w:val="0"/>
              <w:suppressLineNumbers w:val="0"/>
              <w:topLinePunct/>
              <w:spacing w:before="0" w:beforeAutospacing="0" w:after="0" w:afterAutospacing="0"/>
              <w:ind w:left="0" w:right="0"/>
              <w:jc w:val="center"/>
              <w:rPr>
                <w:rFonts w:hint="default" w:ascii="宋体" w:hAnsi="宋体" w:cs="宋体"/>
                <w:szCs w:val="21"/>
              </w:rPr>
            </w:pPr>
          </w:p>
        </w:tc>
      </w:tr>
      <w:tr w14:paraId="023907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64501BBA">
            <w:pPr>
              <w:keepNext w:val="0"/>
              <w:keepLines w:val="0"/>
              <w:suppressLineNumbers w:val="0"/>
              <w:topLinePunct/>
              <w:spacing w:before="0" w:beforeAutospacing="0" w:after="0" w:afterAutospacing="0"/>
              <w:ind w:left="0" w:right="0"/>
              <w:jc w:val="center"/>
              <w:rPr>
                <w:rFonts w:hint="default" w:ascii="宋体" w:hAnsi="宋体" w:cs="宋体"/>
                <w:szCs w:val="21"/>
              </w:rPr>
            </w:pPr>
            <w:r>
              <w:rPr>
                <w:rFonts w:hint="eastAsia" w:ascii="宋体" w:hAnsi="宋体" w:cs="宋体"/>
                <w:szCs w:val="21"/>
              </w:rPr>
              <w:t>委托代理人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1CE889BF">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194B207A">
            <w:pPr>
              <w:keepNext w:val="0"/>
              <w:keepLines w:val="0"/>
              <w:suppressLineNumbers w:val="0"/>
              <w:topLinePunct/>
              <w:spacing w:before="0" w:beforeAutospacing="0" w:after="0" w:afterAutospacing="0"/>
              <w:ind w:left="0" w:right="0"/>
              <w:jc w:val="center"/>
              <w:rPr>
                <w:rFonts w:hint="default" w:ascii="宋体" w:hAnsi="宋体" w:cs="宋体"/>
                <w:szCs w:val="21"/>
              </w:rPr>
            </w:pPr>
            <w:r>
              <w:rPr>
                <w:rFonts w:hint="eastAsia" w:ascii="宋体" w:hAnsi="宋体" w:cs="宋体"/>
                <w:szCs w:val="21"/>
              </w:rPr>
              <w:t>电子邮箱</w:t>
            </w:r>
          </w:p>
        </w:tc>
        <w:tc>
          <w:tcPr>
            <w:tcW w:w="2092" w:type="dxa"/>
            <w:gridSpan w:val="2"/>
            <w:tcBorders>
              <w:top w:val="single" w:color="auto" w:sz="6" w:space="0"/>
              <w:left w:val="single" w:color="auto" w:sz="6" w:space="0"/>
              <w:bottom w:val="single" w:color="auto" w:sz="6" w:space="0"/>
              <w:right w:val="double" w:color="auto" w:sz="4" w:space="0"/>
            </w:tcBorders>
            <w:vAlign w:val="center"/>
          </w:tcPr>
          <w:p w14:paraId="296AA6BB">
            <w:pPr>
              <w:keepNext w:val="0"/>
              <w:keepLines w:val="0"/>
              <w:suppressLineNumbers w:val="0"/>
              <w:topLinePunct/>
              <w:spacing w:before="0" w:beforeAutospacing="0" w:after="0" w:afterAutospacing="0"/>
              <w:ind w:left="0" w:right="0"/>
              <w:jc w:val="center"/>
              <w:rPr>
                <w:rFonts w:hint="default" w:ascii="宋体" w:hAnsi="宋体" w:cs="宋体"/>
                <w:szCs w:val="21"/>
              </w:rPr>
            </w:pPr>
          </w:p>
        </w:tc>
      </w:tr>
      <w:tr w14:paraId="36F58E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28C59C8B">
            <w:pPr>
              <w:keepNext w:val="0"/>
              <w:keepLines w:val="0"/>
              <w:suppressLineNumbers w:val="0"/>
              <w:topLinePunct/>
              <w:spacing w:before="0" w:beforeAutospacing="0" w:after="0" w:afterAutospacing="0"/>
              <w:ind w:left="0" w:right="0"/>
              <w:jc w:val="center"/>
              <w:rPr>
                <w:rFonts w:hint="default" w:ascii="宋体" w:hAnsi="宋体" w:cs="宋体"/>
                <w:szCs w:val="21"/>
              </w:rPr>
            </w:pPr>
            <w:r>
              <w:rPr>
                <w:rFonts w:hint="eastAsia" w:ascii="宋体" w:hAnsi="宋体" w:cs="宋体"/>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2C584AF4">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1F97E8C8">
            <w:pPr>
              <w:keepNext w:val="0"/>
              <w:keepLines w:val="0"/>
              <w:suppressLineNumbers w:val="0"/>
              <w:topLinePunct/>
              <w:spacing w:before="0" w:beforeAutospacing="0" w:after="0" w:afterAutospacing="0"/>
              <w:ind w:left="0" w:right="0"/>
              <w:jc w:val="center"/>
              <w:rPr>
                <w:rFonts w:hint="default" w:ascii="宋体" w:hAnsi="宋体" w:cs="宋体"/>
                <w:szCs w:val="21"/>
              </w:rPr>
            </w:pPr>
            <w:r>
              <w:rPr>
                <w:rFonts w:hint="eastAsia" w:ascii="宋体" w:hAnsi="宋体" w:cs="宋体"/>
                <w:szCs w:val="21"/>
              </w:rPr>
              <w:t>员工总人数</w:t>
            </w:r>
          </w:p>
        </w:tc>
        <w:tc>
          <w:tcPr>
            <w:tcW w:w="2092" w:type="dxa"/>
            <w:gridSpan w:val="2"/>
            <w:tcBorders>
              <w:top w:val="single" w:color="auto" w:sz="6" w:space="0"/>
              <w:left w:val="single" w:color="auto" w:sz="6" w:space="0"/>
              <w:bottom w:val="single" w:color="auto" w:sz="6" w:space="0"/>
              <w:right w:val="double" w:color="auto" w:sz="4" w:space="0"/>
            </w:tcBorders>
            <w:vAlign w:val="center"/>
          </w:tcPr>
          <w:p w14:paraId="2A147FC8">
            <w:pPr>
              <w:keepNext w:val="0"/>
              <w:keepLines w:val="0"/>
              <w:suppressLineNumbers w:val="0"/>
              <w:topLinePunct/>
              <w:spacing w:before="0" w:beforeAutospacing="0" w:after="0" w:afterAutospacing="0"/>
              <w:ind w:left="0" w:right="0"/>
              <w:jc w:val="center"/>
              <w:rPr>
                <w:rFonts w:hint="default" w:ascii="宋体" w:hAnsi="宋体" w:cs="宋体"/>
                <w:szCs w:val="21"/>
              </w:rPr>
            </w:pPr>
          </w:p>
        </w:tc>
      </w:tr>
      <w:tr w14:paraId="74F9DF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trPr>
        <w:tc>
          <w:tcPr>
            <w:tcW w:w="719" w:type="dxa"/>
            <w:vMerge w:val="restart"/>
            <w:tcBorders>
              <w:top w:val="single" w:color="auto" w:sz="6" w:space="0"/>
              <w:left w:val="double" w:color="auto" w:sz="4" w:space="0"/>
              <w:bottom w:val="single" w:color="auto" w:sz="6" w:space="0"/>
              <w:right w:val="single" w:color="auto" w:sz="6" w:space="0"/>
            </w:tcBorders>
            <w:vAlign w:val="center"/>
          </w:tcPr>
          <w:p w14:paraId="66C56C3A">
            <w:pPr>
              <w:keepNext w:val="0"/>
              <w:keepLines w:val="0"/>
              <w:suppressLineNumbers w:val="0"/>
              <w:topLinePunct/>
              <w:spacing w:before="0" w:beforeAutospacing="0" w:after="0" w:afterAutospacing="0"/>
              <w:ind w:left="0" w:right="0"/>
              <w:jc w:val="center"/>
              <w:rPr>
                <w:rFonts w:hint="default" w:ascii="宋体" w:hAnsi="宋体" w:cs="宋体"/>
                <w:szCs w:val="21"/>
              </w:rPr>
            </w:pPr>
            <w:r>
              <w:rPr>
                <w:rFonts w:hint="eastAsia" w:ascii="宋体" w:hAnsi="宋体" w:cs="宋体"/>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541C7136">
            <w:pPr>
              <w:keepNext w:val="0"/>
              <w:keepLines w:val="0"/>
              <w:suppressLineNumbers w:val="0"/>
              <w:topLinePunct/>
              <w:spacing w:before="0" w:beforeAutospacing="0" w:after="0" w:afterAutospacing="0"/>
              <w:ind w:left="0" w:right="0"/>
              <w:jc w:val="center"/>
              <w:rPr>
                <w:rFonts w:hint="default" w:ascii="宋体" w:hAnsi="宋体" w:cs="宋体"/>
                <w:szCs w:val="21"/>
              </w:rPr>
            </w:pPr>
            <w:r>
              <w:rPr>
                <w:rFonts w:hint="eastAsia" w:ascii="宋体" w:hAnsi="宋体" w:cs="宋体"/>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410DA688">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4F211563">
            <w:pPr>
              <w:keepNext w:val="0"/>
              <w:keepLines w:val="0"/>
              <w:suppressLineNumbers w:val="0"/>
              <w:topLinePunct/>
              <w:spacing w:before="0" w:beforeAutospacing="0" w:after="0" w:afterAutospacing="0"/>
              <w:ind w:left="0" w:right="0" w:firstLine="105" w:firstLineChars="50"/>
              <w:jc w:val="center"/>
              <w:rPr>
                <w:rFonts w:hint="default" w:ascii="宋体" w:hAnsi="宋体" w:cs="宋体"/>
                <w:szCs w:val="21"/>
              </w:rPr>
            </w:pPr>
            <w:r>
              <w:rPr>
                <w:rFonts w:hint="eastAsia" w:ascii="宋体" w:hAnsi="宋体" w:cs="宋体"/>
                <w:szCs w:val="21"/>
              </w:rPr>
              <w:t>注册地址</w:t>
            </w:r>
          </w:p>
        </w:tc>
        <w:tc>
          <w:tcPr>
            <w:tcW w:w="3421" w:type="dxa"/>
            <w:gridSpan w:val="3"/>
            <w:tcBorders>
              <w:top w:val="single" w:color="auto" w:sz="6" w:space="0"/>
              <w:left w:val="single" w:color="auto" w:sz="6" w:space="0"/>
              <w:bottom w:val="single" w:color="auto" w:sz="6" w:space="0"/>
              <w:right w:val="double" w:color="auto" w:sz="4" w:space="0"/>
            </w:tcBorders>
            <w:vAlign w:val="center"/>
          </w:tcPr>
          <w:p w14:paraId="502B0A6C">
            <w:pPr>
              <w:keepNext w:val="0"/>
              <w:keepLines w:val="0"/>
              <w:suppressLineNumbers w:val="0"/>
              <w:topLinePunct/>
              <w:spacing w:before="0" w:beforeAutospacing="0" w:after="0" w:afterAutospacing="0"/>
              <w:ind w:left="0" w:right="0" w:firstLine="105" w:firstLineChars="50"/>
              <w:jc w:val="center"/>
              <w:rPr>
                <w:rFonts w:hint="default" w:ascii="宋体" w:hAnsi="宋体" w:cs="宋体"/>
                <w:szCs w:val="21"/>
              </w:rPr>
            </w:pPr>
          </w:p>
        </w:tc>
      </w:tr>
      <w:tr w14:paraId="774E29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2"/>
          <w:wAfter w:w="34" w:type="dxa"/>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4FC93FF2">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647834EE">
            <w:pPr>
              <w:keepNext w:val="0"/>
              <w:keepLines w:val="0"/>
              <w:suppressLineNumbers w:val="0"/>
              <w:topLinePunct/>
              <w:spacing w:before="0" w:beforeAutospacing="0" w:after="0" w:afterAutospacing="0"/>
              <w:ind w:left="0" w:right="0"/>
              <w:jc w:val="center"/>
              <w:rPr>
                <w:rFonts w:hint="default" w:ascii="宋体" w:hAnsi="宋体" w:cs="宋体"/>
                <w:szCs w:val="21"/>
              </w:rPr>
            </w:pPr>
            <w:r>
              <w:rPr>
                <w:rFonts w:hint="eastAsia" w:ascii="宋体" w:hAnsi="宋体" w:cs="宋体"/>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1EA36CE8">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70C277C1">
            <w:pPr>
              <w:keepNext w:val="0"/>
              <w:keepLines w:val="0"/>
              <w:suppressLineNumbers w:val="0"/>
              <w:topLinePunct/>
              <w:spacing w:before="0" w:beforeAutospacing="0" w:after="0" w:afterAutospacing="0"/>
              <w:ind w:left="0" w:right="0" w:firstLine="105" w:firstLineChars="50"/>
              <w:jc w:val="center"/>
              <w:rPr>
                <w:rFonts w:hint="default" w:ascii="宋体" w:hAnsi="宋体" w:cs="宋体"/>
                <w:szCs w:val="21"/>
              </w:rPr>
            </w:pPr>
            <w:r>
              <w:rPr>
                <w:rFonts w:hint="eastAsia" w:ascii="宋体" w:hAnsi="宋体" w:cs="宋体"/>
                <w:szCs w:val="21"/>
              </w:rPr>
              <w:t>发证日期</w:t>
            </w:r>
          </w:p>
        </w:tc>
        <w:tc>
          <w:tcPr>
            <w:tcW w:w="3396" w:type="dxa"/>
            <w:gridSpan w:val="2"/>
            <w:tcBorders>
              <w:top w:val="single" w:color="auto" w:sz="6" w:space="0"/>
              <w:left w:val="single" w:color="auto" w:sz="6" w:space="0"/>
              <w:bottom w:val="single" w:color="auto" w:sz="6" w:space="0"/>
              <w:right w:val="double" w:color="auto" w:sz="4" w:space="0"/>
            </w:tcBorders>
            <w:vAlign w:val="center"/>
          </w:tcPr>
          <w:p w14:paraId="5307C23C">
            <w:pPr>
              <w:keepNext w:val="0"/>
              <w:keepLines w:val="0"/>
              <w:suppressLineNumbers w:val="0"/>
              <w:topLinePunct/>
              <w:spacing w:before="0" w:beforeAutospacing="0" w:after="0" w:afterAutospacing="0"/>
              <w:ind w:left="0" w:right="0" w:firstLine="105" w:firstLineChars="50"/>
              <w:jc w:val="center"/>
              <w:rPr>
                <w:rFonts w:hint="default" w:ascii="宋体" w:hAnsi="宋体" w:cs="宋体"/>
                <w:szCs w:val="21"/>
              </w:rPr>
            </w:pPr>
          </w:p>
        </w:tc>
      </w:tr>
      <w:tr w14:paraId="679253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0A0A7270">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456DE270">
            <w:pPr>
              <w:keepNext w:val="0"/>
              <w:keepLines w:val="0"/>
              <w:suppressLineNumbers w:val="0"/>
              <w:topLinePunct/>
              <w:spacing w:before="0" w:beforeAutospacing="0" w:after="0" w:afterAutospacing="0"/>
              <w:ind w:left="0" w:right="0"/>
              <w:jc w:val="center"/>
              <w:rPr>
                <w:rFonts w:hint="default" w:ascii="宋体" w:hAnsi="宋体" w:cs="宋体"/>
                <w:szCs w:val="21"/>
              </w:rPr>
            </w:pPr>
            <w:r>
              <w:rPr>
                <w:rFonts w:hint="eastAsia" w:ascii="宋体" w:hAnsi="宋体" w:cs="宋体"/>
                <w:szCs w:val="21"/>
              </w:rPr>
              <w:t>营业范围（主营）</w:t>
            </w:r>
          </w:p>
        </w:tc>
        <w:tc>
          <w:tcPr>
            <w:tcW w:w="6238" w:type="dxa"/>
            <w:gridSpan w:val="7"/>
            <w:tcBorders>
              <w:top w:val="single" w:color="auto" w:sz="6" w:space="0"/>
              <w:left w:val="single" w:color="auto" w:sz="6" w:space="0"/>
              <w:bottom w:val="single" w:color="auto" w:sz="6" w:space="0"/>
              <w:right w:val="double" w:color="auto" w:sz="4" w:space="0"/>
            </w:tcBorders>
            <w:vAlign w:val="center"/>
          </w:tcPr>
          <w:p w14:paraId="6C0B03B7">
            <w:pPr>
              <w:keepNext w:val="0"/>
              <w:keepLines w:val="0"/>
              <w:suppressLineNumbers w:val="0"/>
              <w:topLinePunct/>
              <w:spacing w:before="0" w:beforeAutospacing="0" w:after="0" w:afterAutospacing="0"/>
              <w:ind w:left="0" w:right="0" w:firstLine="105" w:firstLineChars="50"/>
              <w:jc w:val="center"/>
              <w:rPr>
                <w:rFonts w:hint="default" w:ascii="宋体" w:hAnsi="宋体" w:cs="宋体"/>
                <w:szCs w:val="21"/>
              </w:rPr>
            </w:pPr>
          </w:p>
        </w:tc>
      </w:tr>
      <w:tr w14:paraId="17AFBA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33515063">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2A418548">
            <w:pPr>
              <w:keepNext w:val="0"/>
              <w:keepLines w:val="0"/>
              <w:suppressLineNumbers w:val="0"/>
              <w:topLinePunct/>
              <w:spacing w:before="0" w:beforeAutospacing="0" w:after="0" w:afterAutospacing="0"/>
              <w:ind w:left="0" w:right="0"/>
              <w:jc w:val="center"/>
              <w:rPr>
                <w:rFonts w:hint="default" w:ascii="宋体" w:hAnsi="宋体" w:cs="宋体"/>
                <w:szCs w:val="21"/>
              </w:rPr>
            </w:pPr>
            <w:r>
              <w:rPr>
                <w:rFonts w:hint="eastAsia" w:ascii="宋体" w:hAnsi="宋体" w:cs="宋体"/>
                <w:szCs w:val="21"/>
              </w:rPr>
              <w:t>营业范围（兼营）</w:t>
            </w:r>
          </w:p>
        </w:tc>
        <w:tc>
          <w:tcPr>
            <w:tcW w:w="6238" w:type="dxa"/>
            <w:gridSpan w:val="7"/>
            <w:tcBorders>
              <w:top w:val="single" w:color="auto" w:sz="6" w:space="0"/>
              <w:left w:val="single" w:color="auto" w:sz="6" w:space="0"/>
              <w:bottom w:val="single" w:color="auto" w:sz="6" w:space="0"/>
              <w:right w:val="double" w:color="auto" w:sz="4" w:space="0"/>
            </w:tcBorders>
            <w:vAlign w:val="center"/>
          </w:tcPr>
          <w:p w14:paraId="44625C75">
            <w:pPr>
              <w:keepNext w:val="0"/>
              <w:keepLines w:val="0"/>
              <w:suppressLineNumbers w:val="0"/>
              <w:topLinePunct/>
              <w:spacing w:before="0" w:beforeAutospacing="0" w:after="0" w:afterAutospacing="0"/>
              <w:ind w:left="0" w:right="0" w:firstLine="105" w:firstLineChars="50"/>
              <w:jc w:val="center"/>
              <w:rPr>
                <w:rFonts w:hint="default" w:ascii="宋体" w:hAnsi="宋体" w:cs="宋体"/>
                <w:szCs w:val="21"/>
              </w:rPr>
            </w:pPr>
          </w:p>
        </w:tc>
      </w:tr>
      <w:tr w14:paraId="42AF07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33971566">
            <w:pPr>
              <w:keepNext w:val="0"/>
              <w:keepLines w:val="0"/>
              <w:suppressLineNumbers w:val="0"/>
              <w:topLinePunct/>
              <w:spacing w:before="0" w:beforeAutospacing="0" w:after="0" w:afterAutospacing="0"/>
              <w:ind w:left="0" w:right="0"/>
              <w:jc w:val="center"/>
              <w:rPr>
                <w:rFonts w:hint="default" w:ascii="宋体" w:hAnsi="宋体" w:cs="宋体"/>
                <w:szCs w:val="21"/>
              </w:rPr>
            </w:pPr>
            <w:r>
              <w:rPr>
                <w:rFonts w:hint="eastAsia" w:ascii="宋体" w:hAnsi="宋体" w:cs="宋体"/>
                <w:szCs w:val="21"/>
              </w:rPr>
              <w:t>基本账户开户行及帐号</w:t>
            </w:r>
          </w:p>
        </w:tc>
        <w:tc>
          <w:tcPr>
            <w:tcW w:w="6238" w:type="dxa"/>
            <w:gridSpan w:val="7"/>
            <w:tcBorders>
              <w:top w:val="single" w:color="auto" w:sz="6" w:space="0"/>
              <w:left w:val="single" w:color="auto" w:sz="6" w:space="0"/>
              <w:bottom w:val="single" w:color="auto" w:sz="6" w:space="0"/>
              <w:right w:val="double" w:color="auto" w:sz="4" w:space="0"/>
            </w:tcBorders>
            <w:vAlign w:val="center"/>
          </w:tcPr>
          <w:p w14:paraId="3743F805">
            <w:pPr>
              <w:keepNext w:val="0"/>
              <w:keepLines w:val="0"/>
              <w:suppressLineNumbers w:val="0"/>
              <w:topLinePunct/>
              <w:spacing w:before="0" w:beforeAutospacing="0" w:after="0" w:afterAutospacing="0"/>
              <w:ind w:left="0" w:right="0"/>
              <w:jc w:val="center"/>
              <w:rPr>
                <w:rFonts w:hint="default" w:ascii="宋体" w:hAnsi="宋体" w:cs="宋体"/>
                <w:szCs w:val="21"/>
              </w:rPr>
            </w:pPr>
          </w:p>
        </w:tc>
      </w:tr>
      <w:tr w14:paraId="59B4F7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63B52577">
            <w:pPr>
              <w:keepNext w:val="0"/>
              <w:keepLines w:val="0"/>
              <w:suppressLineNumbers w:val="0"/>
              <w:topLinePunct/>
              <w:spacing w:before="0" w:beforeAutospacing="0" w:after="0" w:afterAutospacing="0"/>
              <w:ind w:left="0" w:right="0"/>
              <w:jc w:val="center"/>
              <w:rPr>
                <w:rFonts w:hint="default" w:ascii="宋体" w:hAnsi="宋体" w:cs="宋体"/>
                <w:szCs w:val="21"/>
              </w:rPr>
            </w:pPr>
            <w:r>
              <w:rPr>
                <w:rFonts w:hint="eastAsia" w:ascii="宋体" w:hAnsi="宋体" w:cs="宋体"/>
                <w:szCs w:val="21"/>
              </w:rPr>
              <w:t>税务登记机关</w:t>
            </w:r>
          </w:p>
        </w:tc>
        <w:tc>
          <w:tcPr>
            <w:tcW w:w="6238" w:type="dxa"/>
            <w:gridSpan w:val="7"/>
            <w:tcBorders>
              <w:top w:val="single" w:color="auto" w:sz="6" w:space="0"/>
              <w:left w:val="single" w:color="auto" w:sz="6" w:space="0"/>
              <w:bottom w:val="single" w:color="auto" w:sz="6" w:space="0"/>
              <w:right w:val="double" w:color="auto" w:sz="4" w:space="0"/>
            </w:tcBorders>
            <w:vAlign w:val="center"/>
          </w:tcPr>
          <w:p w14:paraId="379F2EDD">
            <w:pPr>
              <w:keepNext w:val="0"/>
              <w:keepLines w:val="0"/>
              <w:suppressLineNumbers w:val="0"/>
              <w:topLinePunct/>
              <w:spacing w:before="0" w:beforeAutospacing="0" w:after="0" w:afterAutospacing="0"/>
              <w:ind w:left="0" w:right="0"/>
              <w:jc w:val="center"/>
              <w:rPr>
                <w:rFonts w:hint="default" w:ascii="宋体" w:hAnsi="宋体" w:cs="宋体"/>
                <w:szCs w:val="21"/>
              </w:rPr>
            </w:pPr>
          </w:p>
        </w:tc>
      </w:tr>
      <w:tr w14:paraId="2711B3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2069405E">
            <w:pPr>
              <w:keepNext w:val="0"/>
              <w:keepLines w:val="0"/>
              <w:suppressLineNumbers w:val="0"/>
              <w:topLinePunct/>
              <w:spacing w:before="0" w:beforeAutospacing="0" w:after="0" w:afterAutospacing="0"/>
              <w:ind w:left="0" w:right="0"/>
              <w:jc w:val="center"/>
              <w:rPr>
                <w:rFonts w:hint="default" w:ascii="宋体" w:hAnsi="宋体" w:cs="宋体"/>
                <w:szCs w:val="21"/>
              </w:rPr>
            </w:pPr>
            <w:r>
              <w:rPr>
                <w:rFonts w:hint="eastAsia" w:ascii="宋体" w:hAnsi="宋体" w:cs="宋体"/>
                <w:szCs w:val="21"/>
              </w:rPr>
              <w:t>资质名称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53958C3C">
            <w:pPr>
              <w:keepNext w:val="0"/>
              <w:keepLines w:val="0"/>
              <w:suppressLineNumbers w:val="0"/>
              <w:topLinePunct/>
              <w:spacing w:before="0" w:beforeAutospacing="0" w:after="0" w:afterAutospacing="0"/>
              <w:ind w:left="0" w:right="0"/>
              <w:jc w:val="center"/>
              <w:rPr>
                <w:rFonts w:hint="default" w:ascii="宋体" w:hAnsi="宋体" w:cs="宋体"/>
                <w:szCs w:val="21"/>
              </w:rPr>
            </w:pPr>
            <w:r>
              <w:rPr>
                <w:rFonts w:hint="eastAsia" w:ascii="宋体" w:hAnsi="宋体" w:cs="宋体"/>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13CB7FA3">
            <w:pPr>
              <w:keepNext w:val="0"/>
              <w:keepLines w:val="0"/>
              <w:suppressLineNumbers w:val="0"/>
              <w:topLinePunct/>
              <w:spacing w:before="0" w:beforeAutospacing="0" w:after="0" w:afterAutospacing="0"/>
              <w:ind w:left="0" w:right="0"/>
              <w:jc w:val="center"/>
              <w:rPr>
                <w:rFonts w:hint="default" w:ascii="宋体" w:hAnsi="宋体" w:cs="宋体"/>
                <w:szCs w:val="21"/>
              </w:rPr>
            </w:pPr>
            <w:r>
              <w:rPr>
                <w:rFonts w:hint="eastAsia" w:ascii="宋体" w:hAnsi="宋体" w:cs="宋体"/>
                <w:szCs w:val="21"/>
              </w:rPr>
              <w:t>发证机关</w:t>
            </w:r>
          </w:p>
        </w:tc>
        <w:tc>
          <w:tcPr>
            <w:tcW w:w="3421" w:type="dxa"/>
            <w:gridSpan w:val="3"/>
            <w:tcBorders>
              <w:top w:val="single" w:color="auto" w:sz="6" w:space="0"/>
              <w:left w:val="single" w:color="auto" w:sz="6" w:space="0"/>
              <w:bottom w:val="single" w:color="auto" w:sz="6" w:space="0"/>
              <w:right w:val="double" w:color="auto" w:sz="4" w:space="0"/>
            </w:tcBorders>
            <w:vAlign w:val="center"/>
          </w:tcPr>
          <w:p w14:paraId="79BAD5D4">
            <w:pPr>
              <w:keepNext w:val="0"/>
              <w:keepLines w:val="0"/>
              <w:suppressLineNumbers w:val="0"/>
              <w:topLinePunct/>
              <w:spacing w:before="0" w:beforeAutospacing="0" w:after="0" w:afterAutospacing="0"/>
              <w:ind w:left="0" w:right="0"/>
              <w:jc w:val="center"/>
              <w:rPr>
                <w:rFonts w:hint="default" w:ascii="宋体" w:hAnsi="宋体" w:cs="宋体"/>
                <w:szCs w:val="21"/>
              </w:rPr>
            </w:pPr>
            <w:r>
              <w:rPr>
                <w:rFonts w:hint="eastAsia" w:ascii="宋体" w:hAnsi="宋体" w:cs="宋体"/>
                <w:szCs w:val="21"/>
              </w:rPr>
              <w:t>有效期</w:t>
            </w:r>
          </w:p>
        </w:tc>
      </w:tr>
      <w:tr w14:paraId="05F50D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3D7A9D91">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7F8F7C38">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5CDABC72">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3421" w:type="dxa"/>
            <w:gridSpan w:val="3"/>
            <w:tcBorders>
              <w:top w:val="single" w:color="auto" w:sz="6" w:space="0"/>
              <w:left w:val="single" w:color="auto" w:sz="6" w:space="0"/>
              <w:bottom w:val="single" w:color="auto" w:sz="6" w:space="0"/>
              <w:right w:val="double" w:color="auto" w:sz="4" w:space="0"/>
            </w:tcBorders>
            <w:vAlign w:val="center"/>
          </w:tcPr>
          <w:p w14:paraId="4D45B753">
            <w:pPr>
              <w:keepNext w:val="0"/>
              <w:keepLines w:val="0"/>
              <w:suppressLineNumbers w:val="0"/>
              <w:topLinePunct/>
              <w:spacing w:before="0" w:beforeAutospacing="0" w:after="0" w:afterAutospacing="0"/>
              <w:ind w:left="0" w:right="0"/>
              <w:jc w:val="center"/>
              <w:rPr>
                <w:rFonts w:hint="default" w:ascii="宋体" w:hAnsi="宋体" w:cs="宋体"/>
                <w:szCs w:val="21"/>
              </w:rPr>
            </w:pPr>
          </w:p>
        </w:tc>
      </w:tr>
      <w:tr w14:paraId="3ADD4E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5063C473">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36F0B412">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20A72C34">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3421" w:type="dxa"/>
            <w:gridSpan w:val="3"/>
            <w:tcBorders>
              <w:top w:val="single" w:color="auto" w:sz="6" w:space="0"/>
              <w:left w:val="single" w:color="auto" w:sz="6" w:space="0"/>
              <w:bottom w:val="single" w:color="auto" w:sz="6" w:space="0"/>
              <w:right w:val="double" w:color="auto" w:sz="4" w:space="0"/>
            </w:tcBorders>
            <w:vAlign w:val="center"/>
          </w:tcPr>
          <w:p w14:paraId="223A2B57">
            <w:pPr>
              <w:keepNext w:val="0"/>
              <w:keepLines w:val="0"/>
              <w:suppressLineNumbers w:val="0"/>
              <w:topLinePunct/>
              <w:spacing w:before="0" w:beforeAutospacing="0" w:after="0" w:afterAutospacing="0"/>
              <w:ind w:left="0" w:right="0"/>
              <w:jc w:val="center"/>
              <w:rPr>
                <w:rFonts w:hint="default" w:ascii="宋体" w:hAnsi="宋体" w:cs="宋体"/>
                <w:szCs w:val="21"/>
              </w:rPr>
            </w:pPr>
          </w:p>
        </w:tc>
      </w:tr>
      <w:tr w14:paraId="10ECD1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07B3D642">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3E24B7DD">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643759E1">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3421" w:type="dxa"/>
            <w:gridSpan w:val="3"/>
            <w:tcBorders>
              <w:top w:val="single" w:color="auto" w:sz="6" w:space="0"/>
              <w:left w:val="single" w:color="auto" w:sz="6" w:space="0"/>
              <w:bottom w:val="single" w:color="auto" w:sz="6" w:space="0"/>
              <w:right w:val="double" w:color="auto" w:sz="4" w:space="0"/>
            </w:tcBorders>
            <w:vAlign w:val="center"/>
          </w:tcPr>
          <w:p w14:paraId="6A17E433">
            <w:pPr>
              <w:keepNext w:val="0"/>
              <w:keepLines w:val="0"/>
              <w:suppressLineNumbers w:val="0"/>
              <w:topLinePunct/>
              <w:spacing w:before="0" w:beforeAutospacing="0" w:after="0" w:afterAutospacing="0"/>
              <w:ind w:left="0" w:right="0"/>
              <w:jc w:val="center"/>
              <w:rPr>
                <w:rFonts w:hint="default" w:ascii="宋体" w:hAnsi="宋体" w:cs="宋体"/>
                <w:szCs w:val="21"/>
              </w:rPr>
            </w:pPr>
          </w:p>
        </w:tc>
      </w:tr>
      <w:tr w14:paraId="324328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306EE841">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3AC38D15">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3AE089D5">
            <w:pPr>
              <w:keepNext w:val="0"/>
              <w:keepLines w:val="0"/>
              <w:suppressLineNumbers w:val="0"/>
              <w:topLinePunct/>
              <w:spacing w:before="0" w:beforeAutospacing="0" w:after="0" w:afterAutospacing="0"/>
              <w:ind w:left="0" w:right="0"/>
              <w:jc w:val="center"/>
              <w:rPr>
                <w:rFonts w:hint="default" w:ascii="宋体" w:hAnsi="宋体" w:cs="宋体"/>
                <w:szCs w:val="21"/>
              </w:rPr>
            </w:pPr>
          </w:p>
        </w:tc>
        <w:tc>
          <w:tcPr>
            <w:tcW w:w="3421" w:type="dxa"/>
            <w:gridSpan w:val="3"/>
            <w:tcBorders>
              <w:top w:val="single" w:color="auto" w:sz="6" w:space="0"/>
              <w:left w:val="single" w:color="auto" w:sz="6" w:space="0"/>
              <w:bottom w:val="single" w:color="auto" w:sz="6" w:space="0"/>
              <w:right w:val="double" w:color="auto" w:sz="4" w:space="0"/>
            </w:tcBorders>
            <w:vAlign w:val="center"/>
          </w:tcPr>
          <w:p w14:paraId="7A8AAF0B">
            <w:pPr>
              <w:keepNext w:val="0"/>
              <w:keepLines w:val="0"/>
              <w:suppressLineNumbers w:val="0"/>
              <w:topLinePunct/>
              <w:spacing w:before="0" w:beforeAutospacing="0" w:after="0" w:afterAutospacing="0"/>
              <w:ind w:left="0" w:right="0"/>
              <w:jc w:val="center"/>
              <w:rPr>
                <w:rFonts w:hint="default" w:ascii="宋体" w:hAnsi="宋体" w:cs="宋体"/>
                <w:szCs w:val="21"/>
              </w:rPr>
            </w:pPr>
          </w:p>
        </w:tc>
      </w:tr>
      <w:tr w14:paraId="255134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1477" w:hRule="atLeast"/>
        </w:trPr>
        <w:tc>
          <w:tcPr>
            <w:tcW w:w="1258" w:type="dxa"/>
            <w:gridSpan w:val="2"/>
            <w:tcBorders>
              <w:top w:val="single" w:color="auto" w:sz="6" w:space="0"/>
              <w:left w:val="double" w:color="auto" w:sz="4" w:space="0"/>
              <w:bottom w:val="double" w:color="auto" w:sz="4" w:space="0"/>
              <w:right w:val="single" w:color="auto" w:sz="6" w:space="0"/>
            </w:tcBorders>
            <w:vAlign w:val="center"/>
          </w:tcPr>
          <w:p w14:paraId="5012B452">
            <w:pPr>
              <w:keepNext w:val="0"/>
              <w:keepLines w:val="0"/>
              <w:suppressLineNumbers w:val="0"/>
              <w:topLinePunct/>
              <w:spacing w:before="0" w:beforeAutospacing="0" w:after="0" w:afterAutospacing="0"/>
              <w:ind w:left="0" w:right="0"/>
              <w:jc w:val="center"/>
              <w:rPr>
                <w:rFonts w:hint="default" w:ascii="宋体" w:hAnsi="宋体" w:cs="宋体"/>
                <w:szCs w:val="21"/>
              </w:rPr>
            </w:pPr>
            <w:r>
              <w:rPr>
                <w:rFonts w:hint="eastAsia" w:ascii="宋体" w:hAnsi="宋体" w:cs="宋体"/>
                <w:szCs w:val="21"/>
              </w:rPr>
              <w:t>备注</w:t>
            </w:r>
          </w:p>
        </w:tc>
        <w:tc>
          <w:tcPr>
            <w:tcW w:w="7743" w:type="dxa"/>
            <w:gridSpan w:val="9"/>
            <w:tcBorders>
              <w:top w:val="single" w:color="auto" w:sz="6" w:space="0"/>
              <w:left w:val="single" w:color="auto" w:sz="6" w:space="0"/>
              <w:bottom w:val="double" w:color="auto" w:sz="4" w:space="0"/>
              <w:right w:val="double" w:color="auto" w:sz="4" w:space="0"/>
            </w:tcBorders>
            <w:vAlign w:val="center"/>
          </w:tcPr>
          <w:p w14:paraId="583EE0CA">
            <w:pPr>
              <w:keepNext w:val="0"/>
              <w:keepLines w:val="0"/>
              <w:suppressLineNumbers w:val="0"/>
              <w:topLinePunct/>
              <w:spacing w:before="0" w:beforeAutospacing="0" w:after="0" w:afterAutospacing="0"/>
              <w:ind w:left="0" w:right="0" w:firstLine="630" w:firstLineChars="300"/>
              <w:rPr>
                <w:rFonts w:hint="default" w:ascii="宋体" w:hAnsi="宋体" w:cs="宋体"/>
                <w:szCs w:val="21"/>
              </w:rPr>
            </w:pPr>
            <w:r>
              <w:rPr>
                <w:rStyle w:val="148"/>
                <w:rFonts w:hint="eastAsia" w:ascii="宋体" w:hAnsi="宋体" w:cs="宋体"/>
                <w:szCs w:val="21"/>
              </w:rPr>
              <w:t>附《营业执照》或《事业单位法人证书》（副本）复印件</w:t>
            </w:r>
          </w:p>
        </w:tc>
      </w:tr>
    </w:tbl>
    <w:p w14:paraId="1ACCC8F3">
      <w:pPr>
        <w:widowControl/>
        <w:jc w:val="left"/>
        <w:rPr>
          <w:rFonts w:ascii="宋体" w:hAnsi="宋体"/>
          <w:b/>
          <w:bCs/>
          <w:color w:val="000000"/>
          <w:szCs w:val="21"/>
        </w:rPr>
      </w:pPr>
      <w:r>
        <w:rPr>
          <w:rFonts w:ascii="宋体" w:hAnsi="宋体"/>
          <w:b/>
          <w:bCs/>
          <w:color w:val="000000"/>
          <w:szCs w:val="21"/>
        </w:rPr>
        <w:br w:type="page"/>
      </w:r>
    </w:p>
    <w:p w14:paraId="73B74650">
      <w:pPr>
        <w:spacing w:line="360" w:lineRule="atLeast"/>
        <w:rPr>
          <w:color w:val="000000"/>
        </w:rPr>
      </w:pPr>
      <w:r>
        <w:rPr>
          <w:rFonts w:hint="eastAsia" w:ascii="宋体" w:hAnsi="宋体"/>
          <w:b/>
          <w:bCs/>
          <w:color w:val="000000"/>
          <w:szCs w:val="21"/>
        </w:rPr>
        <w:t>附件5-2</w:t>
      </w:r>
    </w:p>
    <w:p w14:paraId="7287C976">
      <w:pPr>
        <w:spacing w:line="480" w:lineRule="atLeast"/>
        <w:jc w:val="center"/>
        <w:rPr>
          <w:rFonts w:ascii="黑体" w:hAnsi="黑体" w:eastAsia="黑体"/>
          <w:color w:val="000000"/>
          <w:sz w:val="18"/>
          <w:szCs w:val="21"/>
        </w:rPr>
      </w:pPr>
      <w:r>
        <w:rPr>
          <w:rFonts w:ascii="黑体" w:hAnsi="黑体" w:eastAsia="黑体" w:cs="方正小标宋_GBK"/>
          <w:color w:val="000000"/>
          <w:sz w:val="28"/>
          <w:szCs w:val="28"/>
        </w:rPr>
        <w:t>工程质量保修书(工程类项目适用)</w:t>
      </w:r>
    </w:p>
    <w:p w14:paraId="3A9043F1">
      <w:pPr>
        <w:rPr>
          <w:color w:val="000000"/>
        </w:rPr>
      </w:pPr>
      <w:r>
        <w:rPr>
          <w:color w:val="000000"/>
          <w:szCs w:val="21"/>
        </w:rPr>
        <w:t xml:space="preserve">  </w:t>
      </w:r>
    </w:p>
    <w:p w14:paraId="679D1AF1">
      <w:pPr>
        <w:spacing w:line="460" w:lineRule="exact"/>
        <w:ind w:firstLine="420"/>
        <w:rPr>
          <w:color w:val="000000"/>
        </w:rPr>
      </w:pPr>
      <w:r>
        <w:rPr>
          <w:rFonts w:ascii="宋体" w:hAnsi="宋体" w:cs="宋体"/>
          <w:color w:val="000000"/>
          <w:szCs w:val="21"/>
        </w:rPr>
        <w:t>发包人：（全称）</w:t>
      </w:r>
      <w:r>
        <w:rPr>
          <w:rFonts w:ascii="宋体" w:hAnsi="宋体" w:cs="宋体"/>
          <w:color w:val="000000"/>
          <w:szCs w:val="21"/>
          <w:u w:val="single"/>
        </w:rPr>
        <w:t>                           </w:t>
      </w:r>
    </w:p>
    <w:p w14:paraId="5419722E">
      <w:pPr>
        <w:spacing w:line="460" w:lineRule="exact"/>
        <w:ind w:firstLine="420"/>
        <w:rPr>
          <w:color w:val="000000"/>
        </w:rPr>
      </w:pPr>
      <w:r>
        <w:rPr>
          <w:rFonts w:ascii="宋体" w:hAnsi="宋体" w:cs="宋体"/>
          <w:color w:val="000000"/>
          <w:szCs w:val="21"/>
        </w:rPr>
        <w:t>承包人：（全称）</w:t>
      </w:r>
      <w:r>
        <w:rPr>
          <w:rFonts w:ascii="宋体" w:hAnsi="宋体" w:cs="宋体"/>
          <w:color w:val="000000"/>
          <w:szCs w:val="21"/>
          <w:u w:val="single"/>
        </w:rPr>
        <w:t>                           </w:t>
      </w:r>
    </w:p>
    <w:p w14:paraId="663FCFE5">
      <w:pPr>
        <w:spacing w:line="460" w:lineRule="exact"/>
        <w:ind w:firstLine="420"/>
        <w:rPr>
          <w:color w:val="000000"/>
        </w:rPr>
      </w:pPr>
      <w:r>
        <w:rPr>
          <w:rFonts w:ascii="宋体" w:hAnsi="宋体" w:cs="宋体"/>
          <w:color w:val="000000"/>
          <w:szCs w:val="21"/>
        </w:rPr>
        <w:t>为保证</w:t>
      </w:r>
      <w:r>
        <w:rPr>
          <w:rFonts w:ascii="宋体" w:hAnsi="宋体" w:cs="宋体"/>
          <w:color w:val="000000"/>
          <w:szCs w:val="21"/>
          <w:u w:val="single"/>
        </w:rPr>
        <w:t>                               </w:t>
      </w:r>
      <w:r>
        <w:rPr>
          <w:rFonts w:ascii="宋体" w:hAnsi="宋体" w:cs="宋体"/>
          <w:color w:val="000000"/>
          <w:szCs w:val="21"/>
        </w:rPr>
        <w:t xml:space="preserve"> （工程名称）在合理使用期限内正常使用，发包人和承包人根据《中华人民共和国建筑法》、《建设工程质量管理条例》和《房屋建筑工程质量保修办法》，经协商一致，签订工程质量保修书，承包人在质量保修期内应按照有关规定及双方约定承担工程质量保修责任。</w:t>
      </w:r>
    </w:p>
    <w:p w14:paraId="5A3C230D">
      <w:pPr>
        <w:spacing w:line="460" w:lineRule="exact"/>
        <w:ind w:firstLine="422"/>
        <w:rPr>
          <w:color w:val="000000"/>
        </w:rPr>
      </w:pPr>
      <w:r>
        <w:rPr>
          <w:rFonts w:ascii="宋体" w:hAnsi="宋体" w:cs="宋体"/>
          <w:b/>
          <w:bCs/>
          <w:color w:val="000000"/>
          <w:szCs w:val="21"/>
        </w:rPr>
        <w:t>1质量保修范围</w:t>
      </w:r>
    </w:p>
    <w:p w14:paraId="537273B4">
      <w:pPr>
        <w:spacing w:line="460" w:lineRule="exact"/>
        <w:ind w:firstLine="420"/>
        <w:rPr>
          <w:color w:val="000000"/>
        </w:rPr>
      </w:pPr>
      <w:r>
        <w:rPr>
          <w:rFonts w:ascii="宋体" w:hAnsi="宋体" w:cs="宋体"/>
          <w:color w:val="000000"/>
          <w:szCs w:val="21"/>
        </w:rPr>
        <w:t>质量保修范围包括地基基础工程、主体结构工程、屋面防水工程、有防水要求的卫生间、房间、外墙面的防渗漏工程、电气管线工程、给排水管道工程、设备安装工程、供热、供冷系统工程、装饰装修工程以及双方约定其他项目。具体质量保修范围，双方约定如下：</w:t>
      </w:r>
    </w:p>
    <w:p w14:paraId="5CB277A6">
      <w:pPr>
        <w:spacing w:line="460" w:lineRule="exact"/>
        <w:ind w:firstLine="420"/>
        <w:rPr>
          <w:color w:val="000000"/>
        </w:rPr>
      </w:pPr>
      <w:r>
        <w:rPr>
          <w:rFonts w:ascii="宋体" w:hAnsi="宋体" w:cs="宋体"/>
          <w:color w:val="000000"/>
          <w:szCs w:val="21"/>
        </w:rPr>
        <w:t>（1）</w:t>
      </w:r>
      <w:r>
        <w:rPr>
          <w:rFonts w:ascii="宋体" w:hAnsi="宋体" w:cs="宋体"/>
          <w:color w:val="000000"/>
          <w:szCs w:val="21"/>
          <w:u w:val="single"/>
        </w:rPr>
        <w:t>                                                                          </w:t>
      </w:r>
    </w:p>
    <w:p w14:paraId="24CE4D4A">
      <w:pPr>
        <w:spacing w:line="460" w:lineRule="exact"/>
        <w:ind w:firstLine="420"/>
        <w:rPr>
          <w:color w:val="000000"/>
        </w:rPr>
      </w:pPr>
      <w:r>
        <w:rPr>
          <w:rFonts w:ascii="宋体" w:hAnsi="宋体" w:cs="宋体"/>
          <w:color w:val="000000"/>
          <w:szCs w:val="21"/>
        </w:rPr>
        <w:t>（2）</w:t>
      </w:r>
      <w:r>
        <w:rPr>
          <w:rFonts w:ascii="宋体" w:hAnsi="宋体" w:cs="宋体"/>
          <w:color w:val="000000"/>
          <w:szCs w:val="21"/>
          <w:u w:val="single"/>
        </w:rPr>
        <w:t>                                                                           </w:t>
      </w:r>
    </w:p>
    <w:p w14:paraId="4F323503">
      <w:pPr>
        <w:spacing w:line="460" w:lineRule="exact"/>
        <w:ind w:firstLine="420"/>
        <w:rPr>
          <w:color w:val="000000"/>
        </w:rPr>
      </w:pPr>
      <w:r>
        <w:rPr>
          <w:rFonts w:ascii="宋体" w:hAnsi="宋体" w:cs="宋体"/>
          <w:color w:val="000000"/>
          <w:szCs w:val="21"/>
        </w:rPr>
        <w:t>（3）</w:t>
      </w:r>
      <w:r>
        <w:rPr>
          <w:rFonts w:ascii="宋体" w:hAnsi="宋体" w:cs="宋体"/>
          <w:color w:val="000000"/>
          <w:szCs w:val="21"/>
          <w:u w:val="single"/>
        </w:rPr>
        <w:t>                                                                          </w:t>
      </w:r>
    </w:p>
    <w:p w14:paraId="74173546">
      <w:pPr>
        <w:spacing w:line="460" w:lineRule="exact"/>
        <w:ind w:firstLine="422"/>
        <w:rPr>
          <w:color w:val="000000"/>
        </w:rPr>
      </w:pPr>
      <w:r>
        <w:rPr>
          <w:rFonts w:ascii="宋体" w:hAnsi="宋体" w:cs="宋体"/>
          <w:b/>
          <w:bCs/>
          <w:color w:val="000000"/>
          <w:szCs w:val="21"/>
        </w:rPr>
        <w:t>2质量保修期</w:t>
      </w:r>
    </w:p>
    <w:p w14:paraId="68F14C22">
      <w:pPr>
        <w:spacing w:line="460" w:lineRule="exact"/>
        <w:ind w:firstLine="420"/>
        <w:rPr>
          <w:color w:val="000000"/>
        </w:rPr>
      </w:pPr>
      <w:r>
        <w:rPr>
          <w:rFonts w:ascii="宋体" w:hAnsi="宋体" w:cs="宋体"/>
          <w:color w:val="000000"/>
          <w:szCs w:val="21"/>
        </w:rPr>
        <w:t>2.1质量保修期从工程实际竣工验收合格之日起计算。单项竣工验收的工程，按单项工程分别计算质量保修期。</w:t>
      </w:r>
    </w:p>
    <w:p w14:paraId="23AA2CCD">
      <w:pPr>
        <w:spacing w:line="460" w:lineRule="exact"/>
        <w:ind w:firstLine="420"/>
        <w:rPr>
          <w:color w:val="000000"/>
        </w:rPr>
      </w:pPr>
      <w:r>
        <w:rPr>
          <w:rFonts w:ascii="宋体" w:hAnsi="宋体" w:cs="宋体"/>
          <w:color w:val="000000"/>
          <w:szCs w:val="21"/>
        </w:rPr>
        <w:t>2.2双方根据《建设工程质量管理条例》及有关规定，约定本工程质量保修期如下：</w:t>
      </w:r>
    </w:p>
    <w:p w14:paraId="3E3A3650">
      <w:pPr>
        <w:spacing w:line="460" w:lineRule="exact"/>
        <w:ind w:firstLine="420"/>
        <w:rPr>
          <w:color w:val="000000"/>
        </w:rPr>
      </w:pPr>
      <w:r>
        <w:rPr>
          <w:rFonts w:ascii="宋体" w:hAnsi="宋体" w:cs="宋体"/>
          <w:color w:val="000000"/>
          <w:szCs w:val="21"/>
        </w:rPr>
        <w:t>（1）地基基础工程、主体结构工程为设计文件规定的合理使用年限；</w:t>
      </w:r>
    </w:p>
    <w:p w14:paraId="57E6F6D5">
      <w:pPr>
        <w:spacing w:line="460" w:lineRule="exact"/>
        <w:ind w:firstLine="420"/>
        <w:rPr>
          <w:color w:val="000000"/>
        </w:rPr>
      </w:pPr>
      <w:r>
        <w:rPr>
          <w:rFonts w:ascii="宋体" w:hAnsi="宋体" w:cs="宋体"/>
          <w:color w:val="000000"/>
          <w:szCs w:val="21"/>
        </w:rPr>
        <w:t xml:space="preserve">（2）屋面防水工程、有防水要求的卫生间、房间和外墙面的防渗漏工程为： </w:t>
      </w:r>
      <w:r>
        <w:rPr>
          <w:rFonts w:ascii="宋体" w:hAnsi="宋体" w:cs="宋体"/>
          <w:color w:val="000000"/>
          <w:szCs w:val="21"/>
          <w:u w:val="single"/>
        </w:rPr>
        <w:t>        </w:t>
      </w:r>
      <w:r>
        <w:rPr>
          <w:rFonts w:ascii="宋体" w:hAnsi="宋体" w:cs="宋体"/>
          <w:color w:val="000000"/>
          <w:szCs w:val="21"/>
        </w:rPr>
        <w:t>年；</w:t>
      </w:r>
    </w:p>
    <w:p w14:paraId="25C9F5DD">
      <w:pPr>
        <w:spacing w:line="460" w:lineRule="exact"/>
        <w:ind w:firstLine="420"/>
        <w:rPr>
          <w:color w:val="000000"/>
        </w:rPr>
      </w:pPr>
      <w:r>
        <w:rPr>
          <w:rFonts w:ascii="宋体" w:hAnsi="宋体" w:cs="宋体"/>
          <w:color w:val="000000"/>
          <w:szCs w:val="21"/>
        </w:rPr>
        <w:t>（3）电气管线工程、给排水管道、设备安装工程为：</w:t>
      </w:r>
      <w:r>
        <w:rPr>
          <w:rFonts w:ascii="宋体" w:hAnsi="宋体" w:cs="宋体"/>
          <w:color w:val="000000"/>
          <w:szCs w:val="21"/>
          <w:u w:val="single"/>
        </w:rPr>
        <w:t>           </w:t>
      </w:r>
      <w:r>
        <w:rPr>
          <w:rFonts w:ascii="宋体" w:hAnsi="宋体" w:cs="宋体"/>
          <w:color w:val="000000"/>
          <w:szCs w:val="21"/>
        </w:rPr>
        <w:t xml:space="preserve"> 年；</w:t>
      </w:r>
    </w:p>
    <w:p w14:paraId="5E0137FE">
      <w:pPr>
        <w:spacing w:line="460" w:lineRule="exact"/>
        <w:ind w:firstLine="420"/>
        <w:rPr>
          <w:color w:val="000000"/>
        </w:rPr>
      </w:pPr>
      <w:r>
        <w:rPr>
          <w:rFonts w:ascii="宋体" w:hAnsi="宋体" w:cs="宋体"/>
          <w:color w:val="000000"/>
          <w:szCs w:val="21"/>
        </w:rPr>
        <w:t>（4）供热、供冷系统工程为：</w:t>
      </w:r>
      <w:r>
        <w:rPr>
          <w:rFonts w:ascii="宋体" w:hAnsi="宋体" w:cs="宋体"/>
          <w:color w:val="000000"/>
          <w:szCs w:val="21"/>
          <w:u w:val="single"/>
        </w:rPr>
        <w:t>             </w:t>
      </w:r>
      <w:r>
        <w:rPr>
          <w:rFonts w:ascii="宋体" w:hAnsi="宋体" w:cs="宋体"/>
          <w:color w:val="000000"/>
          <w:szCs w:val="21"/>
        </w:rPr>
        <w:t xml:space="preserve"> 个采暖期、供冷期；</w:t>
      </w:r>
    </w:p>
    <w:p w14:paraId="1CB0E7B4">
      <w:pPr>
        <w:spacing w:line="460" w:lineRule="exact"/>
        <w:ind w:firstLine="420"/>
        <w:rPr>
          <w:color w:val="000000"/>
        </w:rPr>
      </w:pPr>
      <w:r>
        <w:rPr>
          <w:rFonts w:ascii="宋体" w:hAnsi="宋体" w:cs="宋体"/>
          <w:color w:val="000000"/>
          <w:szCs w:val="21"/>
        </w:rPr>
        <w:t>（5）装饰装修工程为</w:t>
      </w:r>
      <w:r>
        <w:rPr>
          <w:rFonts w:ascii="宋体" w:hAnsi="宋体" w:cs="宋体"/>
          <w:color w:val="000000"/>
          <w:szCs w:val="21"/>
          <w:u w:val="single"/>
        </w:rPr>
        <w:t>            </w:t>
      </w:r>
      <w:r>
        <w:rPr>
          <w:rFonts w:ascii="宋体" w:hAnsi="宋体" w:cs="宋体"/>
          <w:color w:val="000000"/>
          <w:szCs w:val="21"/>
        </w:rPr>
        <w:t xml:space="preserve"> 年；</w:t>
      </w:r>
    </w:p>
    <w:p w14:paraId="7ECA0B66">
      <w:pPr>
        <w:spacing w:line="460" w:lineRule="exact"/>
        <w:ind w:firstLine="420"/>
        <w:rPr>
          <w:color w:val="000000"/>
        </w:rPr>
      </w:pPr>
      <w:r>
        <w:rPr>
          <w:rFonts w:ascii="宋体" w:hAnsi="宋体" w:cs="宋体"/>
          <w:color w:val="000000"/>
          <w:szCs w:val="21"/>
        </w:rPr>
        <w:t>（6）其他项目</w:t>
      </w:r>
      <w:r>
        <w:rPr>
          <w:rFonts w:ascii="宋体" w:hAnsi="宋体" w:cs="宋体"/>
          <w:color w:val="000000"/>
          <w:szCs w:val="21"/>
          <w:u w:val="single"/>
        </w:rPr>
        <w:t>            </w:t>
      </w:r>
      <w:r>
        <w:rPr>
          <w:rFonts w:ascii="宋体" w:hAnsi="宋体" w:cs="宋体"/>
          <w:color w:val="000000"/>
          <w:szCs w:val="21"/>
        </w:rPr>
        <w:t xml:space="preserve"> 年。</w:t>
      </w:r>
    </w:p>
    <w:p w14:paraId="2D6A89E5">
      <w:pPr>
        <w:spacing w:line="460" w:lineRule="exact"/>
        <w:ind w:firstLine="422"/>
        <w:rPr>
          <w:color w:val="000000"/>
        </w:rPr>
      </w:pPr>
      <w:r>
        <w:rPr>
          <w:rFonts w:ascii="宋体" w:hAnsi="宋体" w:cs="宋体"/>
          <w:b/>
          <w:bCs/>
          <w:color w:val="000000"/>
          <w:szCs w:val="21"/>
        </w:rPr>
        <w:t>3质量保修责任</w:t>
      </w:r>
    </w:p>
    <w:p w14:paraId="4E9B665B">
      <w:pPr>
        <w:spacing w:line="460" w:lineRule="exact"/>
        <w:ind w:firstLine="420"/>
        <w:rPr>
          <w:color w:val="000000"/>
        </w:rPr>
      </w:pPr>
      <w:r>
        <w:rPr>
          <w:rFonts w:ascii="宋体" w:hAnsi="宋体" w:cs="宋体"/>
          <w:color w:val="000000"/>
          <w:szCs w:val="21"/>
        </w:rPr>
        <w:t>3.1属于保修范围的项目，承包人应在接到通知后的7天内派人保修，承包人不在约定期限内派人保修，发包人可自行或指派第三方保修。</w:t>
      </w:r>
    </w:p>
    <w:p w14:paraId="556BECE0">
      <w:pPr>
        <w:spacing w:line="460" w:lineRule="exact"/>
        <w:ind w:firstLine="420"/>
        <w:rPr>
          <w:color w:val="000000"/>
        </w:rPr>
      </w:pPr>
      <w:r>
        <w:rPr>
          <w:rFonts w:ascii="宋体" w:hAnsi="宋体" w:cs="宋体"/>
          <w:color w:val="000000"/>
          <w:szCs w:val="21"/>
        </w:rPr>
        <w:t>3.2发生紧急抢修事故的，承包人在接到通知后，应立即到达事故现场抢修。</w:t>
      </w:r>
    </w:p>
    <w:p w14:paraId="750C0F7C">
      <w:pPr>
        <w:spacing w:line="460" w:lineRule="exact"/>
        <w:ind w:firstLine="420"/>
        <w:rPr>
          <w:color w:val="000000"/>
        </w:rPr>
      </w:pPr>
      <w:r>
        <w:rPr>
          <w:rFonts w:ascii="宋体" w:hAnsi="宋体" w:cs="宋体"/>
          <w:color w:val="000000"/>
          <w:szCs w:val="21"/>
        </w:rPr>
        <w:t>3.3在国家规定的工程合理使用期限内，承包人应确保地基基础工程和主体结构的安全和质量。凡出现其质量问题，应立即报告当地建设行政主管部门，由设计单位提出保修方案，承包人应立即实施保修。</w:t>
      </w:r>
    </w:p>
    <w:p w14:paraId="08CFAB0C">
      <w:pPr>
        <w:spacing w:line="460" w:lineRule="exact"/>
        <w:ind w:firstLine="420"/>
        <w:rPr>
          <w:color w:val="000000"/>
        </w:rPr>
      </w:pPr>
      <w:r>
        <w:rPr>
          <w:rFonts w:ascii="宋体" w:hAnsi="宋体" w:cs="宋体"/>
          <w:color w:val="000000"/>
          <w:szCs w:val="21"/>
        </w:rPr>
        <w:t>3.4质量保修完成后，由发包人组织验收。</w:t>
      </w:r>
    </w:p>
    <w:p w14:paraId="323E867F">
      <w:pPr>
        <w:spacing w:line="460" w:lineRule="exact"/>
        <w:ind w:firstLine="422"/>
        <w:rPr>
          <w:color w:val="000000"/>
        </w:rPr>
      </w:pPr>
      <w:r>
        <w:rPr>
          <w:rFonts w:ascii="宋体" w:hAnsi="宋体" w:cs="宋体"/>
          <w:b/>
          <w:bCs/>
          <w:color w:val="000000"/>
          <w:szCs w:val="21"/>
        </w:rPr>
        <w:t>4质量保修费用</w:t>
      </w:r>
    </w:p>
    <w:p w14:paraId="6E65C1A2">
      <w:pPr>
        <w:spacing w:line="460" w:lineRule="exact"/>
        <w:ind w:firstLine="420"/>
        <w:rPr>
          <w:color w:val="000000"/>
        </w:rPr>
      </w:pPr>
      <w:r>
        <w:rPr>
          <w:rFonts w:ascii="宋体" w:hAnsi="宋体" w:cs="宋体"/>
          <w:color w:val="000000"/>
          <w:szCs w:val="21"/>
        </w:rPr>
        <w:t>质量保修费用及相关的损害赔偿费，由造成质量缺陷的责任方承担。</w:t>
      </w:r>
    </w:p>
    <w:p w14:paraId="0C3C0AA9">
      <w:pPr>
        <w:spacing w:line="460" w:lineRule="exact"/>
        <w:ind w:firstLine="422"/>
        <w:rPr>
          <w:color w:val="000000"/>
        </w:rPr>
      </w:pPr>
      <w:r>
        <w:rPr>
          <w:rFonts w:ascii="宋体" w:hAnsi="宋体" w:cs="宋体"/>
          <w:b/>
          <w:bCs/>
          <w:color w:val="000000"/>
          <w:szCs w:val="21"/>
        </w:rPr>
        <w:t>5质量保证金</w:t>
      </w:r>
    </w:p>
    <w:p w14:paraId="19838F9B">
      <w:pPr>
        <w:spacing w:line="460" w:lineRule="exact"/>
        <w:ind w:firstLine="420"/>
        <w:rPr>
          <w:color w:val="000000"/>
        </w:rPr>
      </w:pPr>
      <w:r>
        <w:rPr>
          <w:rFonts w:ascii="宋体" w:hAnsi="宋体" w:cs="宋体"/>
          <w:color w:val="000000"/>
          <w:szCs w:val="21"/>
        </w:rPr>
        <w:t>质量保证金的使用、约定、支付、返还与本合同的质量保证金赋予的约定一致。</w:t>
      </w:r>
    </w:p>
    <w:p w14:paraId="52DDEC4C">
      <w:pPr>
        <w:spacing w:line="460" w:lineRule="exact"/>
        <w:ind w:firstLine="422"/>
        <w:rPr>
          <w:color w:val="000000"/>
        </w:rPr>
      </w:pPr>
      <w:r>
        <w:rPr>
          <w:rFonts w:ascii="宋体" w:hAnsi="宋体" w:cs="宋体"/>
          <w:b/>
          <w:bCs/>
          <w:color w:val="000000"/>
          <w:szCs w:val="21"/>
        </w:rPr>
        <w:t>6其他</w:t>
      </w:r>
    </w:p>
    <w:p w14:paraId="1024CA44">
      <w:pPr>
        <w:spacing w:line="460" w:lineRule="exact"/>
        <w:ind w:firstLine="420"/>
        <w:rPr>
          <w:rFonts w:ascii="宋体" w:hAnsi="宋体" w:cs="宋体"/>
          <w:color w:val="000000"/>
          <w:szCs w:val="21"/>
        </w:rPr>
      </w:pPr>
      <w:r>
        <w:rPr>
          <w:rFonts w:ascii="宋体" w:hAnsi="宋体" w:cs="宋体"/>
          <w:color w:val="000000"/>
          <w:szCs w:val="21"/>
        </w:rPr>
        <w:t>6.1双方约定的其它工程质量保修事项：</w:t>
      </w:r>
    </w:p>
    <w:p w14:paraId="4522ACA8">
      <w:pPr>
        <w:spacing w:line="460" w:lineRule="exact"/>
        <w:ind w:firstLine="420"/>
        <w:rPr>
          <w:color w:val="000000"/>
        </w:rPr>
      </w:pPr>
      <w:r>
        <w:rPr>
          <w:rFonts w:ascii="宋体" w:hAnsi="宋体" w:cs="宋体"/>
          <w:color w:val="000000"/>
          <w:szCs w:val="21"/>
        </w:rPr>
        <w:t>_________________________________________________________________________</w:t>
      </w:r>
    </w:p>
    <w:p w14:paraId="28F2745E">
      <w:pPr>
        <w:spacing w:line="460" w:lineRule="exact"/>
        <w:ind w:firstLine="420"/>
        <w:rPr>
          <w:color w:val="000000"/>
        </w:rPr>
      </w:pPr>
      <w:r>
        <w:rPr>
          <w:rFonts w:ascii="宋体" w:hAnsi="宋体" w:cs="宋体"/>
          <w:color w:val="000000"/>
          <w:szCs w:val="21"/>
        </w:rPr>
        <w:t>6.2本工程质量保修书，由发包人承包人在工程竣工验收前签署，作为合同附件，其有效期限至保修期满。</w:t>
      </w:r>
    </w:p>
    <w:p w14:paraId="07DBBA7F">
      <w:pPr>
        <w:spacing w:line="460" w:lineRule="exact"/>
        <w:ind w:firstLine="480"/>
        <w:rPr>
          <w:color w:val="000000"/>
        </w:rPr>
      </w:pPr>
      <w:r>
        <w:rPr>
          <w:color w:val="000000"/>
          <w:szCs w:val="21"/>
        </w:rPr>
        <w:t xml:space="preserve">  </w:t>
      </w:r>
    </w:p>
    <w:p w14:paraId="1660D7B1">
      <w:pPr>
        <w:spacing w:line="460" w:lineRule="exact"/>
        <w:ind w:firstLine="480"/>
        <w:rPr>
          <w:color w:val="000000"/>
        </w:rPr>
      </w:pPr>
      <w:r>
        <w:rPr>
          <w:color w:val="000000"/>
          <w:szCs w:val="21"/>
        </w:rPr>
        <w:t xml:space="preserve">  </w:t>
      </w:r>
    </w:p>
    <w:p w14:paraId="5EEB780B">
      <w:pPr>
        <w:spacing w:line="460" w:lineRule="exact"/>
        <w:ind w:firstLine="420"/>
        <w:rPr>
          <w:color w:val="000000"/>
        </w:rPr>
      </w:pPr>
      <w:r>
        <w:rPr>
          <w:rFonts w:ascii="宋体" w:hAnsi="宋体" w:cs="宋体"/>
          <w:color w:val="000000"/>
          <w:szCs w:val="21"/>
        </w:rPr>
        <w:t>发包人（公章）：</w:t>
      </w:r>
      <w:r>
        <w:rPr>
          <w:rFonts w:ascii="宋体" w:hAnsi="宋体" w:cs="宋体"/>
          <w:color w:val="000000"/>
          <w:szCs w:val="21"/>
          <w:u w:val="single"/>
        </w:rPr>
        <w:t xml:space="preserve">         </w:t>
      </w:r>
      <w:r>
        <w:rPr>
          <w:rFonts w:ascii="宋体" w:hAnsi="宋体" w:cs="宋体"/>
          <w:color w:val="000000"/>
          <w:szCs w:val="21"/>
        </w:rPr>
        <w:t>   承包人（公章）：</w:t>
      </w:r>
      <w:r>
        <w:rPr>
          <w:rFonts w:ascii="宋体" w:hAnsi="宋体" w:cs="宋体"/>
          <w:color w:val="000000"/>
          <w:szCs w:val="21"/>
          <w:u w:val="single"/>
        </w:rPr>
        <w:t>        </w:t>
      </w:r>
    </w:p>
    <w:p w14:paraId="44D5842C">
      <w:pPr>
        <w:spacing w:line="460" w:lineRule="exact"/>
        <w:ind w:firstLine="420"/>
        <w:rPr>
          <w:color w:val="000000"/>
        </w:rPr>
      </w:pPr>
      <w:r>
        <w:rPr>
          <w:rFonts w:ascii="宋体" w:hAnsi="宋体" w:cs="宋体"/>
          <w:color w:val="000000"/>
          <w:szCs w:val="21"/>
        </w:rPr>
        <w:t>法定代表人（签字）：</w:t>
      </w:r>
      <w:r>
        <w:rPr>
          <w:rFonts w:ascii="宋体" w:hAnsi="宋体" w:cs="宋体"/>
          <w:color w:val="000000"/>
          <w:szCs w:val="21"/>
          <w:u w:val="single"/>
        </w:rPr>
        <w:t>     </w:t>
      </w:r>
      <w:r>
        <w:rPr>
          <w:rFonts w:ascii="宋体" w:hAnsi="宋体" w:cs="宋体"/>
          <w:color w:val="000000"/>
          <w:szCs w:val="21"/>
        </w:rPr>
        <w:t xml:space="preserve">   法定代表人（签字）：</w:t>
      </w:r>
      <w:r>
        <w:rPr>
          <w:rFonts w:ascii="宋体" w:hAnsi="宋体" w:cs="宋体"/>
          <w:color w:val="000000"/>
          <w:szCs w:val="21"/>
          <w:u w:val="single"/>
        </w:rPr>
        <w:t>     </w:t>
      </w:r>
    </w:p>
    <w:p w14:paraId="1AC2862A">
      <w:pPr>
        <w:spacing w:line="460" w:lineRule="exact"/>
        <w:ind w:firstLine="420"/>
        <w:rPr>
          <w:color w:val="000000"/>
        </w:rPr>
      </w:pPr>
      <w:r>
        <w:rPr>
          <w:rFonts w:ascii="宋体" w:hAnsi="宋体" w:cs="宋体"/>
          <w:color w:val="000000"/>
          <w:szCs w:val="21"/>
          <w:u w:val="single"/>
        </w:rPr>
        <w:t>    </w:t>
      </w:r>
      <w:r>
        <w:rPr>
          <w:rFonts w:ascii="宋体" w:hAnsi="宋体" w:cs="宋体"/>
          <w:color w:val="000000"/>
          <w:szCs w:val="21"/>
        </w:rPr>
        <w:t>年</w:t>
      </w:r>
      <w:r>
        <w:rPr>
          <w:rFonts w:ascii="宋体" w:hAnsi="宋体" w:cs="宋体"/>
          <w:color w:val="000000"/>
          <w:szCs w:val="21"/>
          <w:u w:val="single"/>
        </w:rPr>
        <w:t>  </w:t>
      </w:r>
      <w:r>
        <w:rPr>
          <w:rFonts w:ascii="宋体" w:hAnsi="宋体" w:cs="宋体"/>
          <w:color w:val="000000"/>
          <w:szCs w:val="21"/>
        </w:rPr>
        <w:t xml:space="preserve"> 月</w:t>
      </w:r>
      <w:r>
        <w:rPr>
          <w:rFonts w:ascii="宋体" w:hAnsi="宋体" w:cs="宋体"/>
          <w:color w:val="000000"/>
          <w:szCs w:val="21"/>
          <w:u w:val="single"/>
        </w:rPr>
        <w:t>  </w:t>
      </w:r>
      <w:r>
        <w:rPr>
          <w:rFonts w:ascii="宋体" w:hAnsi="宋体" w:cs="宋体"/>
          <w:color w:val="000000"/>
          <w:szCs w:val="21"/>
        </w:rPr>
        <w:t xml:space="preserve"> 日     </w:t>
      </w:r>
      <w:r>
        <w:rPr>
          <w:rFonts w:ascii="宋体" w:hAnsi="宋体" w:cs="宋体"/>
          <w:color w:val="000000"/>
          <w:szCs w:val="21"/>
          <w:u w:val="single"/>
        </w:rPr>
        <w:t>  </w:t>
      </w:r>
      <w:r>
        <w:rPr>
          <w:rFonts w:ascii="宋体" w:hAnsi="宋体" w:cs="宋体"/>
          <w:color w:val="000000"/>
          <w:szCs w:val="21"/>
        </w:rPr>
        <w:t>年</w:t>
      </w:r>
      <w:r>
        <w:rPr>
          <w:rFonts w:ascii="宋体" w:hAnsi="宋体" w:cs="宋体"/>
          <w:color w:val="000000"/>
          <w:szCs w:val="21"/>
          <w:u w:val="single"/>
        </w:rPr>
        <w:t>  </w:t>
      </w:r>
      <w:r>
        <w:rPr>
          <w:rFonts w:ascii="宋体" w:hAnsi="宋体" w:cs="宋体"/>
          <w:color w:val="000000"/>
          <w:szCs w:val="21"/>
        </w:rPr>
        <w:t xml:space="preserve"> 月</w:t>
      </w:r>
      <w:r>
        <w:rPr>
          <w:rFonts w:ascii="宋体" w:hAnsi="宋体" w:cs="宋体"/>
          <w:color w:val="000000"/>
          <w:szCs w:val="21"/>
          <w:u w:val="single"/>
        </w:rPr>
        <w:t>  </w:t>
      </w:r>
      <w:r>
        <w:rPr>
          <w:rFonts w:ascii="宋体" w:hAnsi="宋体" w:cs="宋体"/>
          <w:color w:val="000000"/>
          <w:szCs w:val="21"/>
        </w:rPr>
        <w:t xml:space="preserve"> 日</w:t>
      </w:r>
    </w:p>
    <w:p w14:paraId="5C074D84">
      <w:pPr>
        <w:spacing w:line="460" w:lineRule="exact"/>
        <w:jc w:val="center"/>
        <w:rPr>
          <w:color w:val="000000"/>
        </w:rPr>
      </w:pPr>
      <w:r>
        <w:rPr>
          <w:rFonts w:ascii="宋体" w:hAnsi="宋体" w:cs="宋体"/>
          <w:color w:val="000000"/>
          <w:sz w:val="20"/>
          <w:szCs w:val="20"/>
        </w:rPr>
        <w:t xml:space="preserve">  </w:t>
      </w:r>
    </w:p>
    <w:p w14:paraId="3B5D31EC">
      <w:pPr>
        <w:rPr>
          <w:color w:val="000000"/>
        </w:rPr>
      </w:pPr>
    </w:p>
    <w:p w14:paraId="7100377C">
      <w:pPr>
        <w:rPr>
          <w:color w:val="000000"/>
        </w:rPr>
      </w:pPr>
    </w:p>
    <w:p w14:paraId="08BC9725">
      <w:pPr>
        <w:widowControl/>
        <w:adjustRightInd w:val="0"/>
        <w:snapToGrid w:val="0"/>
        <w:spacing w:beforeLines="50" w:line="360" w:lineRule="auto"/>
        <w:rPr>
          <w:rFonts w:ascii="宋体" w:hAnsi="宋体" w:cs="宋体"/>
          <w:b/>
          <w:sz w:val="28"/>
          <w:szCs w:val="28"/>
        </w:rPr>
      </w:pPr>
      <w:r>
        <w:rPr>
          <w:rFonts w:ascii="黑体" w:hAnsi="Courier New" w:eastAsia="黑体" w:cs="Courier New"/>
          <w:b/>
          <w:color w:val="000000"/>
          <w:sz w:val="32"/>
          <w:szCs w:val="32"/>
        </w:rPr>
        <w:br w:type="page"/>
      </w:r>
      <w:r>
        <w:rPr>
          <w:rFonts w:hint="eastAsia" w:ascii="宋体" w:hAnsi="宋体"/>
          <w:b/>
          <w:bCs/>
          <w:color w:val="000000"/>
          <w:szCs w:val="21"/>
        </w:rPr>
        <w:t>附件5-3</w:t>
      </w:r>
    </w:p>
    <w:p w14:paraId="6E15132C">
      <w:pPr>
        <w:spacing w:line="480" w:lineRule="exact"/>
        <w:ind w:right="23" w:rightChars="11"/>
        <w:jc w:val="center"/>
        <w:rPr>
          <w:rFonts w:eastAsia="黑体"/>
          <w:sz w:val="24"/>
        </w:rPr>
      </w:pPr>
      <w:r>
        <w:rPr>
          <w:rFonts w:eastAsia="黑体"/>
          <w:b/>
          <w:sz w:val="28"/>
          <w:szCs w:val="28"/>
        </w:rPr>
        <w:t>磋商文件规定的基本资格条件证明资料</w:t>
      </w:r>
    </w:p>
    <w:p w14:paraId="786C17D3">
      <w:pPr>
        <w:adjustRightInd w:val="0"/>
        <w:snapToGrid w:val="0"/>
        <w:spacing w:line="360" w:lineRule="auto"/>
        <w:ind w:right="23" w:rightChars="11"/>
        <w:rPr>
          <w:kern w:val="0"/>
          <w:szCs w:val="21"/>
        </w:rPr>
      </w:pPr>
      <w:r>
        <w:rPr>
          <w:kern w:val="0"/>
          <w:szCs w:val="21"/>
        </w:rPr>
        <w:t>备注：</w:t>
      </w:r>
    </w:p>
    <w:p w14:paraId="6494CEA7">
      <w:pPr>
        <w:spacing w:line="440" w:lineRule="exact"/>
        <w:ind w:firstLine="420" w:firstLineChars="200"/>
        <w:rPr>
          <w:szCs w:val="21"/>
        </w:rPr>
      </w:pPr>
      <w:r>
        <w:rPr>
          <w:szCs w:val="21"/>
        </w:rPr>
        <w:t>供应商基本资格条件：符合《中华人民共和国政府采购法》第二十二条规定的供应商条件；</w:t>
      </w:r>
    </w:p>
    <w:p w14:paraId="67E1E93B">
      <w:pPr>
        <w:spacing w:line="440" w:lineRule="exact"/>
        <w:ind w:firstLine="200"/>
        <w:rPr>
          <w:szCs w:val="21"/>
        </w:rPr>
      </w:pPr>
      <w:r>
        <w:rPr>
          <w:szCs w:val="21"/>
        </w:rPr>
        <w:t>（1）</w:t>
      </w:r>
      <w:r>
        <w:rPr>
          <w:rFonts w:hint="eastAsia"/>
          <w:szCs w:val="21"/>
        </w:rPr>
        <w:t>具有独立承担民事责任的能力（法人提交营业执照副本或者法人登记证书）</w:t>
      </w:r>
      <w:r>
        <w:rPr>
          <w:szCs w:val="21"/>
        </w:rPr>
        <w:t>；</w:t>
      </w:r>
    </w:p>
    <w:p w14:paraId="4B197D75">
      <w:pPr>
        <w:spacing w:line="440" w:lineRule="exact"/>
        <w:ind w:firstLine="200"/>
        <w:rPr>
          <w:rFonts w:ascii="宋体" w:hAnsi="宋体"/>
          <w:szCs w:val="21"/>
        </w:rPr>
      </w:pPr>
      <w:r>
        <w:rPr>
          <w:rFonts w:hint="eastAsia" w:ascii="宋体" w:hAnsi="宋体"/>
          <w:szCs w:val="21"/>
        </w:rPr>
        <w:t>（2）具有良好的商业信誉和健全的财务会计制度；</w:t>
      </w:r>
    </w:p>
    <w:p w14:paraId="6DF6462A">
      <w:pPr>
        <w:spacing w:line="440" w:lineRule="exact"/>
        <w:ind w:firstLine="200"/>
        <w:rPr>
          <w:rFonts w:ascii="宋体" w:hAnsi="宋体"/>
          <w:szCs w:val="21"/>
        </w:rPr>
      </w:pPr>
      <w:r>
        <w:rPr>
          <w:rFonts w:hint="eastAsia" w:ascii="宋体" w:hAnsi="宋体"/>
          <w:szCs w:val="21"/>
        </w:rPr>
        <w:t>（3）具有履行合同所必需的设备和专业技术能力；</w:t>
      </w:r>
    </w:p>
    <w:p w14:paraId="677EEF0D">
      <w:pPr>
        <w:spacing w:line="440" w:lineRule="exact"/>
        <w:ind w:firstLine="200"/>
        <w:rPr>
          <w:rFonts w:ascii="宋体" w:hAnsi="宋体"/>
          <w:szCs w:val="21"/>
        </w:rPr>
      </w:pPr>
      <w:r>
        <w:rPr>
          <w:rFonts w:hint="eastAsia" w:ascii="宋体" w:hAnsi="宋体"/>
          <w:szCs w:val="21"/>
        </w:rPr>
        <w:t>（4）有依法缴纳税收和社会保障资金的良好记录；</w:t>
      </w:r>
    </w:p>
    <w:p w14:paraId="767D3036">
      <w:pPr>
        <w:spacing w:line="440" w:lineRule="exact"/>
        <w:ind w:firstLine="200"/>
        <w:rPr>
          <w:rFonts w:ascii="宋体" w:hAnsi="宋体"/>
          <w:szCs w:val="21"/>
        </w:rPr>
      </w:pPr>
      <w:r>
        <w:rPr>
          <w:rFonts w:hint="eastAsia" w:ascii="宋体" w:hAnsi="宋体"/>
          <w:szCs w:val="21"/>
        </w:rPr>
        <w:t>（5）参加政府采购活动前三年内，在经营活动中没有重大违法记录。</w:t>
      </w:r>
    </w:p>
    <w:p w14:paraId="1ABD143E">
      <w:pPr>
        <w:spacing w:line="440" w:lineRule="exact"/>
        <w:ind w:firstLine="200"/>
        <w:rPr>
          <w:rFonts w:ascii="宋体" w:hAnsi="宋体"/>
          <w:szCs w:val="21"/>
        </w:rPr>
      </w:pPr>
      <w:r>
        <w:rPr>
          <w:rFonts w:hint="eastAsia" w:ascii="宋体" w:hAnsi="宋体"/>
          <w:szCs w:val="21"/>
        </w:rPr>
        <w:t>（6）法律、行政法规规定的其他条件。</w:t>
      </w:r>
    </w:p>
    <w:p w14:paraId="4E19325C">
      <w:pPr>
        <w:spacing w:line="440" w:lineRule="exact"/>
        <w:ind w:firstLine="200"/>
        <w:rPr>
          <w:rFonts w:ascii="宋体" w:hAnsi="宋体"/>
          <w:color w:val="FF0000"/>
          <w:szCs w:val="21"/>
        </w:rPr>
      </w:pPr>
    </w:p>
    <w:p w14:paraId="4699DF46">
      <w:pPr>
        <w:spacing w:line="440" w:lineRule="exact"/>
        <w:ind w:firstLine="200"/>
        <w:rPr>
          <w:rFonts w:ascii="宋体" w:hAnsi="宋体"/>
          <w:b/>
          <w:bCs/>
          <w:szCs w:val="21"/>
        </w:rPr>
      </w:pPr>
      <w:r>
        <w:rPr>
          <w:rFonts w:hint="eastAsia" w:ascii="宋体" w:hAnsi="宋体"/>
          <w:szCs w:val="21"/>
        </w:rPr>
        <w:t>注：1、</w:t>
      </w:r>
      <w:r>
        <w:rPr>
          <w:rFonts w:hint="eastAsia" w:ascii="宋体" w:hAnsi="宋体"/>
          <w:b/>
          <w:bCs/>
          <w:szCs w:val="21"/>
        </w:rPr>
        <w:t>依据湖南省财政厅《关于政府采购促进中小企业发展有关措施的通知》，符合法定条件的供应商</w:t>
      </w:r>
      <w:r>
        <w:rPr>
          <w:rFonts w:ascii="宋体" w:hAnsi="宋体"/>
          <w:b/>
          <w:bCs/>
          <w:szCs w:val="21"/>
        </w:rPr>
        <w:t>凭</w:t>
      </w:r>
      <w:r>
        <w:rPr>
          <w:rFonts w:hint="eastAsia" w:ascii="宋体" w:hAnsi="宋体"/>
          <w:b/>
          <w:bCs/>
          <w:szCs w:val="21"/>
        </w:rPr>
        <w:t>《湖南省政府采购供应商资格承诺函》（附件5-4-1 ）</w:t>
      </w:r>
      <w:r>
        <w:rPr>
          <w:rFonts w:ascii="宋体" w:hAnsi="宋体"/>
          <w:b/>
          <w:bCs/>
          <w:szCs w:val="21"/>
        </w:rPr>
        <w:t>参与政府采购活动，无需提供财务状况、缴纳税收和社会保障资金等资格证明材料。</w:t>
      </w:r>
    </w:p>
    <w:p w14:paraId="6D42C0A1">
      <w:pPr>
        <w:spacing w:line="440" w:lineRule="exact"/>
        <w:ind w:firstLine="200"/>
        <w:rPr>
          <w:rFonts w:ascii="宋体" w:hAnsi="宋体"/>
          <w:color w:val="FF0000"/>
          <w:szCs w:val="21"/>
        </w:rPr>
      </w:pPr>
      <w:r>
        <w:rPr>
          <w:rFonts w:hint="eastAsia" w:ascii="宋体" w:hAnsi="宋体"/>
          <w:szCs w:val="21"/>
        </w:rPr>
        <w:t>2、投标人具有实行了“三证合一”登记制度改革的新证，视同为持有工商营业执照、组织机构代码证和税务登记证；如办理了“五证合一”， 视同为持有工商营业执照、组织机构代码证和税务登记证，社保登记证，符合基本资格条件的相关条款。</w:t>
      </w:r>
    </w:p>
    <w:p w14:paraId="1D47C61F">
      <w:pPr>
        <w:adjustRightInd w:val="0"/>
        <w:snapToGrid w:val="0"/>
        <w:spacing w:line="360" w:lineRule="auto"/>
        <w:ind w:right="23" w:rightChars="11"/>
        <w:rPr>
          <w:rFonts w:eastAsia="仿宋_GB2312"/>
          <w:kern w:val="0"/>
          <w:szCs w:val="21"/>
        </w:rPr>
      </w:pPr>
    </w:p>
    <w:p w14:paraId="5487524A">
      <w:pPr>
        <w:spacing w:line="480" w:lineRule="exact"/>
        <w:ind w:right="23" w:rightChars="11"/>
        <w:rPr>
          <w:rFonts w:ascii="宋体" w:hAnsi="宋体"/>
          <w:b/>
          <w:bCs/>
          <w:color w:val="000000"/>
          <w:szCs w:val="21"/>
        </w:rPr>
      </w:pPr>
    </w:p>
    <w:p w14:paraId="01AD2A72">
      <w:pPr>
        <w:spacing w:line="480" w:lineRule="exact"/>
        <w:ind w:right="23" w:rightChars="11"/>
        <w:rPr>
          <w:rFonts w:ascii="宋体" w:hAnsi="宋体"/>
          <w:b/>
          <w:bCs/>
          <w:color w:val="000000"/>
          <w:szCs w:val="21"/>
        </w:rPr>
      </w:pPr>
      <w:r>
        <w:rPr>
          <w:rFonts w:ascii="宋体" w:hAnsi="宋体"/>
          <w:b/>
          <w:bCs/>
          <w:color w:val="000000"/>
          <w:szCs w:val="21"/>
        </w:rPr>
        <w:br w:type="page"/>
      </w:r>
      <w:r>
        <w:rPr>
          <w:rFonts w:hint="eastAsia" w:ascii="宋体" w:hAnsi="宋体"/>
          <w:b/>
          <w:bCs/>
          <w:color w:val="000000"/>
          <w:szCs w:val="21"/>
        </w:rPr>
        <w:t>附件5-4</w:t>
      </w:r>
    </w:p>
    <w:p w14:paraId="14BCCF2D">
      <w:pPr>
        <w:widowControl/>
        <w:adjustRightInd w:val="0"/>
        <w:snapToGrid w:val="0"/>
        <w:spacing w:beforeLines="50" w:line="360" w:lineRule="auto"/>
        <w:jc w:val="center"/>
        <w:rPr>
          <w:rFonts w:ascii="宋体" w:hAnsi="宋体" w:cs="宋体"/>
          <w:szCs w:val="21"/>
        </w:rPr>
      </w:pPr>
      <w:r>
        <w:rPr>
          <w:rFonts w:hint="eastAsia" w:ascii="宋体" w:hAnsi="宋体" w:cs="宋体"/>
          <w:b/>
          <w:sz w:val="28"/>
          <w:szCs w:val="28"/>
        </w:rPr>
        <w:t>供应商资格声明(格式)</w:t>
      </w:r>
    </w:p>
    <w:p w14:paraId="67422945">
      <w:pPr>
        <w:widowControl/>
        <w:adjustRightInd w:val="0"/>
        <w:snapToGrid w:val="0"/>
        <w:spacing w:beforeLines="50" w:line="360" w:lineRule="auto"/>
        <w:jc w:val="left"/>
        <w:rPr>
          <w:rFonts w:ascii="宋体" w:hAnsi="宋体" w:cs="宋体"/>
          <w:kern w:val="0"/>
          <w:szCs w:val="21"/>
        </w:rPr>
      </w:pPr>
      <w:r>
        <w:rPr>
          <w:rFonts w:hint="eastAsia" w:ascii="宋体" w:hAnsi="宋体" w:cs="宋体"/>
          <w:szCs w:val="21"/>
        </w:rPr>
        <w:t>致(采购人、采购代理机构)：</w:t>
      </w:r>
    </w:p>
    <w:p w14:paraId="10461566">
      <w:pPr>
        <w:widowControl/>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szCs w:val="21"/>
        </w:rPr>
        <w:t>按照《中华人民共和国政府采购法》第二十二条和招标文件的规定，我单位郑重声明如下：</w:t>
      </w:r>
    </w:p>
    <w:p w14:paraId="03075E10">
      <w:pPr>
        <w:widowControl/>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szCs w:val="21"/>
        </w:rPr>
        <w:t>一、我单位是按照中华人民共和国法律规定登记注册的，注册地点为，全称为，统一社会信用代码为，法定代表人</w:t>
      </w:r>
      <w:r>
        <w:rPr>
          <w:rFonts w:hint="eastAsia" w:ascii="宋体" w:hAnsi="宋体" w:cs="宋体"/>
          <w:kern w:val="0"/>
          <w:szCs w:val="21"/>
        </w:rPr>
        <w:t>（</w:t>
      </w:r>
      <w:r>
        <w:rPr>
          <w:rFonts w:hint="eastAsia" w:ascii="宋体" w:hAnsi="宋体" w:cs="宋体"/>
          <w:spacing w:val="-2"/>
          <w:kern w:val="0"/>
          <w:szCs w:val="21"/>
        </w:rPr>
        <w:t>单</w:t>
      </w:r>
      <w:r>
        <w:rPr>
          <w:rFonts w:hint="eastAsia" w:ascii="宋体" w:hAnsi="宋体" w:cs="宋体"/>
          <w:kern w:val="0"/>
          <w:szCs w:val="21"/>
        </w:rPr>
        <w:t>位</w:t>
      </w:r>
      <w:r>
        <w:rPr>
          <w:rFonts w:hint="eastAsia" w:ascii="宋体" w:hAnsi="宋体" w:cs="宋体"/>
          <w:spacing w:val="-2"/>
          <w:kern w:val="0"/>
          <w:szCs w:val="21"/>
        </w:rPr>
        <w:t>负</w:t>
      </w:r>
      <w:r>
        <w:rPr>
          <w:rFonts w:hint="eastAsia" w:ascii="宋体" w:hAnsi="宋体" w:cs="宋体"/>
          <w:kern w:val="0"/>
          <w:szCs w:val="21"/>
        </w:rPr>
        <w:t>责人</w:t>
      </w:r>
      <w:r>
        <w:rPr>
          <w:rFonts w:hint="eastAsia" w:ascii="宋体" w:hAnsi="宋体" w:cs="宋体"/>
          <w:spacing w:val="-2"/>
          <w:kern w:val="0"/>
          <w:szCs w:val="21"/>
        </w:rPr>
        <w:t>）</w:t>
      </w:r>
      <w:r>
        <w:rPr>
          <w:rFonts w:hint="eastAsia" w:ascii="宋体" w:hAnsi="宋体" w:cs="宋体"/>
          <w:szCs w:val="21"/>
        </w:rPr>
        <w:t>为，具有独立承担民事责任的能力。</w:t>
      </w:r>
    </w:p>
    <w:p w14:paraId="24034DDE">
      <w:pPr>
        <w:widowControl/>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二、我单位未被“国家企业信用信息系统”列入经营异常名录或者严重违法企业名单。</w:t>
      </w:r>
    </w:p>
    <w:p w14:paraId="272BECEE">
      <w:pPr>
        <w:widowControl/>
        <w:adjustRightInd w:val="0"/>
        <w:snapToGrid w:val="0"/>
        <w:spacing w:beforeLines="50" w:line="360" w:lineRule="auto"/>
        <w:ind w:firstLine="420" w:firstLineChars="200"/>
        <w:jc w:val="left"/>
        <w:rPr>
          <w:rFonts w:ascii="宋体" w:hAnsi="宋体" w:cs="宋体"/>
          <w:szCs w:val="21"/>
        </w:rPr>
      </w:pPr>
      <w:r>
        <w:rPr>
          <w:rFonts w:hint="eastAsia" w:ascii="宋体" w:hAnsi="宋体" w:cs="宋体"/>
          <w:kern w:val="0"/>
          <w:szCs w:val="21"/>
        </w:rPr>
        <w:t>三、</w:t>
      </w:r>
      <w:r>
        <w:rPr>
          <w:rFonts w:hint="eastAsia" w:ascii="宋体" w:hAnsi="宋体" w:cs="宋体"/>
          <w:szCs w:val="21"/>
        </w:rPr>
        <w:t>我单位具有良好的商业信誉和健全的财务会计制度。</w:t>
      </w:r>
    </w:p>
    <w:p w14:paraId="04E0062B">
      <w:pPr>
        <w:widowControl/>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kern w:val="0"/>
          <w:szCs w:val="21"/>
        </w:rPr>
        <w:t>四、我</w:t>
      </w:r>
      <w:r>
        <w:rPr>
          <w:rFonts w:hint="eastAsia" w:ascii="宋体" w:hAnsi="宋体" w:cs="宋体"/>
          <w:szCs w:val="21"/>
        </w:rPr>
        <w:t>单位</w:t>
      </w:r>
      <w:r>
        <w:rPr>
          <w:rFonts w:hint="eastAsia" w:ascii="宋体" w:hAnsi="宋体" w:cs="宋体"/>
          <w:kern w:val="0"/>
          <w:szCs w:val="21"/>
        </w:rPr>
        <w:t>依法进行纳税和社会保险申报并实际履行了义务。</w:t>
      </w:r>
    </w:p>
    <w:p w14:paraId="5E432B10">
      <w:pPr>
        <w:widowControl/>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szCs w:val="21"/>
        </w:rPr>
        <w:t>五、我单位具有履行本项目采购合同所必需的设备和专业技术能力，并具有履行合同的良好记录。</w:t>
      </w:r>
    </w:p>
    <w:p w14:paraId="258BC10C">
      <w:pPr>
        <w:widowControl/>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六、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57D0EFE0">
      <w:pPr>
        <w:widowControl/>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供应商在参加政府采购活动前3年内因违法经营被禁止在一定期限内参加政府采购活动，期限届满的，可以参加政府采购活动。</w:t>
      </w:r>
    </w:p>
    <w:p w14:paraId="229A698F">
      <w:pPr>
        <w:widowControl/>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七、我单位具备法律、行政法规规定的其他条件。</w:t>
      </w:r>
    </w:p>
    <w:p w14:paraId="1474058F">
      <w:pPr>
        <w:widowControl/>
        <w:adjustRightInd w:val="0"/>
        <w:snapToGrid w:val="0"/>
        <w:spacing w:beforeLines="50" w:line="360" w:lineRule="auto"/>
        <w:ind w:firstLine="420" w:firstLineChars="200"/>
        <w:jc w:val="left"/>
        <w:rPr>
          <w:rFonts w:ascii="宋体" w:hAnsi="宋体" w:cs="宋体"/>
          <w:szCs w:val="21"/>
        </w:rPr>
      </w:pPr>
      <w:r>
        <w:rPr>
          <w:rFonts w:hint="eastAsia" w:ascii="宋体" w:hAnsi="宋体" w:cs="宋体"/>
          <w:kern w:val="0"/>
          <w:szCs w:val="21"/>
        </w:rPr>
        <w:t>八、</w:t>
      </w:r>
      <w:r>
        <w:rPr>
          <w:rFonts w:hint="eastAsia" w:ascii="宋体" w:hAnsi="宋体" w:cs="宋体"/>
          <w:szCs w:val="21"/>
        </w:rPr>
        <w:t>与我单位存在“单位负责人为同一人或者存在直接控股、管理关系”的其他单位信息如下（如无，填写“无”）：</w:t>
      </w:r>
    </w:p>
    <w:p w14:paraId="225008AD">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1、与我单位的法定代表人（单位负责人）为同一人的其他单位如下：</w:t>
      </w:r>
    </w:p>
    <w:p w14:paraId="0BB28F33">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2、我单位直接控股的其他单位如下：</w:t>
      </w:r>
    </w:p>
    <w:p w14:paraId="6BEE959C">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3、与我单位存在管理关系的其他单位如下：</w:t>
      </w:r>
    </w:p>
    <w:p w14:paraId="375F38F1">
      <w:pPr>
        <w:widowControl/>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九、我单位不属于为本项目提供整体设计、规范编制或者项目管理、监理、检测等服务的投标人。</w:t>
      </w:r>
    </w:p>
    <w:p w14:paraId="0566A6F1">
      <w:pPr>
        <w:widowControl/>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十、我单位无以下不良信用记录情形：</w:t>
      </w:r>
    </w:p>
    <w:p w14:paraId="2C8BA070">
      <w:pPr>
        <w:widowControl/>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1、在“信用中国”网站被列入失信被执行人和重大税收违法案件当事人名单；</w:t>
      </w:r>
    </w:p>
    <w:p w14:paraId="0DA1B49B">
      <w:pPr>
        <w:widowControl/>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2、在“中国政府采购网”网站被列入政府采购严重违法失信行为记录名单；</w:t>
      </w:r>
    </w:p>
    <w:p w14:paraId="48F08121">
      <w:pPr>
        <w:widowControl/>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3、不符合《政府采购法》第二十二条规定的条件。</w:t>
      </w:r>
    </w:p>
    <w:p w14:paraId="5CBBACBE">
      <w:pPr>
        <w:widowControl/>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szCs w:val="21"/>
        </w:rPr>
        <w:t>我单位保证上述声明的事项都是真实的，如有虚假，我单位愿意承担相应的法律责任，并承担因此所造成的一切损失。</w:t>
      </w:r>
    </w:p>
    <w:p w14:paraId="290927D2">
      <w:pPr>
        <w:widowControl/>
        <w:adjustRightInd w:val="0"/>
        <w:snapToGrid w:val="0"/>
        <w:spacing w:beforeLines="50" w:line="360" w:lineRule="auto"/>
        <w:jc w:val="left"/>
        <w:rPr>
          <w:rFonts w:ascii="宋体" w:hAnsi="宋体" w:cs="宋体"/>
          <w:szCs w:val="21"/>
        </w:rPr>
      </w:pPr>
    </w:p>
    <w:p w14:paraId="11E8676C">
      <w:pPr>
        <w:widowControl/>
        <w:adjustRightInd w:val="0"/>
        <w:snapToGrid w:val="0"/>
        <w:spacing w:beforeLines="50" w:line="360" w:lineRule="auto"/>
        <w:jc w:val="left"/>
        <w:rPr>
          <w:rFonts w:ascii="宋体" w:hAnsi="宋体" w:cs="宋体"/>
          <w:szCs w:val="21"/>
        </w:rPr>
      </w:pPr>
      <w:r>
        <w:rPr>
          <w:rFonts w:hint="eastAsia" w:ascii="宋体" w:hAnsi="宋体" w:cs="宋体"/>
          <w:szCs w:val="21"/>
        </w:rPr>
        <w:t>注：第三条“良好的商业信誉”是指投标人经营状况良好，无本资格声明第十条情形。</w:t>
      </w:r>
    </w:p>
    <w:p w14:paraId="1FCDD88F">
      <w:pPr>
        <w:widowControl/>
        <w:adjustRightInd w:val="0"/>
        <w:snapToGrid w:val="0"/>
        <w:spacing w:beforeLines="50" w:line="360" w:lineRule="auto"/>
        <w:jc w:val="left"/>
        <w:rPr>
          <w:rFonts w:ascii="宋体" w:hAnsi="宋体" w:cs="宋体"/>
          <w:szCs w:val="21"/>
        </w:rPr>
      </w:pPr>
    </w:p>
    <w:p w14:paraId="087D2ECA">
      <w:pPr>
        <w:widowControl/>
        <w:adjustRightInd w:val="0"/>
        <w:snapToGrid w:val="0"/>
        <w:spacing w:line="360" w:lineRule="auto"/>
        <w:jc w:val="left"/>
        <w:rPr>
          <w:rFonts w:ascii="宋体" w:hAnsi="宋体" w:cs="宋体"/>
          <w:kern w:val="0"/>
          <w:szCs w:val="21"/>
        </w:rPr>
      </w:pPr>
      <w:r>
        <w:rPr>
          <w:rFonts w:hint="eastAsia" w:ascii="宋体" w:hAnsi="宋体" w:cs="宋体"/>
          <w:szCs w:val="21"/>
        </w:rPr>
        <w:t>供应商名称（盖单位公章）：</w:t>
      </w:r>
    </w:p>
    <w:p w14:paraId="239F1383">
      <w:pPr>
        <w:widowControl/>
        <w:adjustRightInd w:val="0"/>
        <w:snapToGrid w:val="0"/>
        <w:spacing w:line="360" w:lineRule="auto"/>
        <w:jc w:val="left"/>
        <w:rPr>
          <w:rFonts w:ascii="宋体" w:hAnsi="宋体" w:cs="宋体"/>
          <w:b/>
          <w:bCs/>
          <w:kern w:val="0"/>
          <w:sz w:val="44"/>
          <w:szCs w:val="44"/>
        </w:rPr>
      </w:pPr>
      <w:r>
        <w:rPr>
          <w:rFonts w:hint="eastAsia" w:ascii="宋体" w:hAnsi="宋体" w:cs="宋体"/>
          <w:spacing w:val="-2"/>
          <w:kern w:val="0"/>
          <w:szCs w:val="21"/>
        </w:rPr>
        <w:t>法</w:t>
      </w:r>
      <w:r>
        <w:rPr>
          <w:rFonts w:hint="eastAsia" w:ascii="宋体" w:hAnsi="宋体" w:cs="宋体"/>
          <w:kern w:val="0"/>
          <w:szCs w:val="21"/>
        </w:rPr>
        <w:t>定</w:t>
      </w:r>
      <w:r>
        <w:rPr>
          <w:rFonts w:hint="eastAsia" w:ascii="宋体" w:hAnsi="宋体" w:cs="宋体"/>
          <w:spacing w:val="-2"/>
          <w:kern w:val="0"/>
          <w:szCs w:val="21"/>
        </w:rPr>
        <w:t>代</w:t>
      </w:r>
      <w:r>
        <w:rPr>
          <w:rFonts w:hint="eastAsia" w:ascii="宋体" w:hAnsi="宋体" w:cs="宋体"/>
          <w:kern w:val="0"/>
          <w:szCs w:val="21"/>
        </w:rPr>
        <w:t>表</w:t>
      </w:r>
      <w:r>
        <w:rPr>
          <w:rFonts w:hint="eastAsia" w:ascii="宋体" w:hAnsi="宋体" w:cs="宋体"/>
          <w:spacing w:val="-2"/>
          <w:kern w:val="0"/>
          <w:szCs w:val="21"/>
        </w:rPr>
        <w:t>人</w:t>
      </w:r>
      <w:r>
        <w:rPr>
          <w:rFonts w:hint="eastAsia" w:ascii="宋体" w:hAnsi="宋体" w:cs="宋体"/>
          <w:kern w:val="0"/>
          <w:szCs w:val="21"/>
        </w:rPr>
        <w:t>（</w:t>
      </w:r>
      <w:r>
        <w:rPr>
          <w:rFonts w:hint="eastAsia" w:ascii="宋体" w:hAnsi="宋体" w:cs="宋体"/>
          <w:spacing w:val="-2"/>
          <w:kern w:val="0"/>
          <w:szCs w:val="21"/>
        </w:rPr>
        <w:t>单</w:t>
      </w:r>
      <w:r>
        <w:rPr>
          <w:rFonts w:hint="eastAsia" w:ascii="宋体" w:hAnsi="宋体" w:cs="宋体"/>
          <w:kern w:val="0"/>
          <w:szCs w:val="21"/>
        </w:rPr>
        <w:t>位</w:t>
      </w:r>
      <w:r>
        <w:rPr>
          <w:rFonts w:hint="eastAsia" w:ascii="宋体" w:hAnsi="宋体" w:cs="宋体"/>
          <w:spacing w:val="-2"/>
          <w:kern w:val="0"/>
          <w:szCs w:val="21"/>
        </w:rPr>
        <w:t>负</w:t>
      </w:r>
      <w:r>
        <w:rPr>
          <w:rFonts w:hint="eastAsia" w:ascii="宋体" w:hAnsi="宋体" w:cs="宋体"/>
          <w:kern w:val="0"/>
          <w:szCs w:val="21"/>
        </w:rPr>
        <w:t>责人</w:t>
      </w:r>
      <w:r>
        <w:rPr>
          <w:rFonts w:hint="eastAsia" w:ascii="宋体" w:hAnsi="宋体" w:cs="宋体"/>
          <w:spacing w:val="-2"/>
          <w:kern w:val="0"/>
          <w:szCs w:val="21"/>
        </w:rPr>
        <w:t>）</w:t>
      </w:r>
      <w:r>
        <w:rPr>
          <w:rFonts w:hint="eastAsia" w:ascii="宋体" w:hAnsi="宋体" w:cs="宋体"/>
        </w:rPr>
        <w:t>或委托代理人：（签字）</w:t>
      </w:r>
    </w:p>
    <w:p w14:paraId="048C398F">
      <w:pPr>
        <w:spacing w:line="480" w:lineRule="exact"/>
        <w:rPr>
          <w:rFonts w:ascii="黑体" w:eastAsia="黑体"/>
          <w:sz w:val="30"/>
          <w:szCs w:val="30"/>
        </w:rPr>
      </w:pPr>
      <w:r>
        <w:rPr>
          <w:rFonts w:hint="eastAsia" w:ascii="宋体" w:hAnsi="宋体" w:cs="宋体"/>
          <w:szCs w:val="21"/>
        </w:rPr>
        <w:t>日期：年月日</w:t>
      </w:r>
    </w:p>
    <w:p w14:paraId="5DCEC3DA"/>
    <w:p w14:paraId="41A3A237">
      <w:pPr>
        <w:widowControl/>
        <w:jc w:val="left"/>
        <w:rPr>
          <w:rFonts w:ascii="黑体" w:eastAsia="黑体"/>
          <w:sz w:val="30"/>
          <w:szCs w:val="30"/>
        </w:rPr>
      </w:pPr>
      <w:r>
        <w:rPr>
          <w:rStyle w:val="148"/>
          <w:rFonts w:ascii="黑体" w:eastAsia="黑体"/>
          <w:sz w:val="30"/>
          <w:szCs w:val="30"/>
        </w:rPr>
        <w:br w:type="page"/>
      </w:r>
      <w:r>
        <w:rPr>
          <w:rFonts w:hint="eastAsia" w:ascii="宋体" w:hAnsi="宋体"/>
          <w:b/>
          <w:bCs/>
          <w:color w:val="000000"/>
          <w:szCs w:val="21"/>
        </w:rPr>
        <w:t>附件5-4-1</w:t>
      </w:r>
    </w:p>
    <w:p w14:paraId="66C0634F">
      <w:pPr>
        <w:widowControl/>
        <w:adjustRightInd w:val="0"/>
        <w:snapToGrid w:val="0"/>
        <w:spacing w:line="360" w:lineRule="auto"/>
        <w:jc w:val="center"/>
        <w:rPr>
          <w:rFonts w:ascii="黑体" w:hAnsi="仿宋" w:eastAsia="黑体" w:cs="宋体"/>
          <w:b/>
          <w:sz w:val="28"/>
          <w:szCs w:val="28"/>
        </w:rPr>
      </w:pPr>
    </w:p>
    <w:p w14:paraId="7246DA3A">
      <w:pPr>
        <w:widowControl/>
        <w:adjustRightInd w:val="0"/>
        <w:snapToGrid w:val="0"/>
        <w:spacing w:line="360" w:lineRule="auto"/>
        <w:jc w:val="center"/>
        <w:rPr>
          <w:rFonts w:ascii="宋体" w:hAnsi="宋体" w:cs="宋体"/>
          <w:szCs w:val="21"/>
        </w:rPr>
      </w:pPr>
      <w:r>
        <w:rPr>
          <w:rFonts w:hint="eastAsia" w:ascii="黑体" w:hAnsi="仿宋" w:eastAsia="黑体" w:cs="宋体"/>
          <w:b/>
          <w:sz w:val="28"/>
          <w:szCs w:val="28"/>
        </w:rPr>
        <w:t>湖南省政府采购供应商资格承诺函（格式）</w:t>
      </w:r>
    </w:p>
    <w:p w14:paraId="0CE302DF">
      <w:pPr>
        <w:widowControl/>
        <w:adjustRightInd w:val="0"/>
        <w:snapToGrid w:val="0"/>
        <w:spacing w:beforeLines="50" w:line="360" w:lineRule="auto"/>
        <w:jc w:val="center"/>
        <w:rPr>
          <w:rFonts w:ascii="宋体" w:hAnsi="宋体" w:cs="宋体"/>
          <w:b/>
          <w:bCs/>
          <w:sz w:val="28"/>
          <w:szCs w:val="28"/>
        </w:rPr>
      </w:pPr>
    </w:p>
    <w:p w14:paraId="07781D76">
      <w:pPr>
        <w:widowControl/>
        <w:adjustRightInd w:val="0"/>
        <w:snapToGrid w:val="0"/>
        <w:spacing w:beforeLines="50" w:line="360" w:lineRule="auto"/>
        <w:jc w:val="center"/>
        <w:rPr>
          <w:rFonts w:ascii="宋体" w:hAnsi="宋体" w:cs="宋体"/>
          <w:szCs w:val="21"/>
        </w:rPr>
      </w:pPr>
      <w:r>
        <w:rPr>
          <w:rFonts w:hint="eastAsia" w:ascii="宋体" w:hAnsi="宋体" w:cs="宋体"/>
          <w:b/>
          <w:bCs/>
          <w:sz w:val="28"/>
          <w:szCs w:val="28"/>
        </w:rPr>
        <w:t>湖南省政府采购供应商资格承诺函</w:t>
      </w:r>
    </w:p>
    <w:p w14:paraId="64343FDB">
      <w:pPr>
        <w:widowControl/>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72188D79">
      <w:pPr>
        <w:widowControl/>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按照《政府采购促进中小企业发展管理办法》(财库[2020]46号),本公司企业规模为:大型</w:t>
      </w:r>
      <w:r>
        <w:rPr>
          <w:rFonts w:ascii="Segoe UI Symbol" w:hAnsi="Segoe UI Symbol" w:cs="Segoe UI Symbol"/>
          <w:szCs w:val="21"/>
        </w:rPr>
        <w:t>☐</w:t>
      </w:r>
      <w:r>
        <w:rPr>
          <w:rFonts w:hint="eastAsia" w:ascii="宋体" w:hAnsi="宋体" w:cs="宋体"/>
          <w:szCs w:val="21"/>
        </w:rPr>
        <w:t xml:space="preserve">   中型</w:t>
      </w:r>
      <w:r>
        <w:rPr>
          <w:rFonts w:ascii="Segoe UI Symbol" w:hAnsi="Segoe UI Symbol" w:cs="Segoe UI Symbol"/>
          <w:szCs w:val="21"/>
        </w:rPr>
        <w:t>☐</w:t>
      </w:r>
      <w:r>
        <w:rPr>
          <w:rFonts w:hint="eastAsia" w:ascii="宋体" w:hAnsi="宋体" w:cs="宋体"/>
          <w:szCs w:val="21"/>
        </w:rPr>
        <w:t xml:space="preserve">   小型</w:t>
      </w:r>
      <w:r>
        <w:rPr>
          <w:rFonts w:ascii="Segoe UI Symbol" w:hAnsi="Segoe UI Symbol" w:cs="Segoe UI Symbol"/>
          <w:szCs w:val="21"/>
        </w:rPr>
        <w:t>☐</w:t>
      </w:r>
      <w:r>
        <w:rPr>
          <w:rFonts w:hint="eastAsia" w:ascii="宋体" w:hAnsi="宋体" w:cs="宋体"/>
          <w:szCs w:val="21"/>
        </w:rPr>
        <w:t xml:space="preserve">   微型</w:t>
      </w:r>
      <w:r>
        <w:rPr>
          <w:rFonts w:ascii="Segoe UI Symbol" w:hAnsi="Segoe UI Symbol" w:cs="Segoe UI Symbol"/>
          <w:szCs w:val="21"/>
        </w:rPr>
        <w:t>☐</w:t>
      </w:r>
    </w:p>
    <w:p w14:paraId="6EA89A7F">
      <w:pPr>
        <w:widowControl/>
        <w:adjustRightInd w:val="0"/>
        <w:snapToGrid w:val="0"/>
        <w:spacing w:beforeLines="50" w:line="360" w:lineRule="auto"/>
        <w:ind w:firstLine="420" w:firstLineChars="200"/>
        <w:jc w:val="left"/>
        <w:rPr>
          <w:rFonts w:ascii="宋体" w:hAnsi="宋体" w:cs="宋体"/>
          <w:szCs w:val="21"/>
        </w:rPr>
      </w:pPr>
      <w:r>
        <w:rPr>
          <w:rFonts w:ascii="Segoe UI Symbol" w:hAnsi="Segoe UI Symbol" w:cs="Segoe UI Symbol"/>
          <w:szCs w:val="21"/>
        </w:rPr>
        <w:t>☐</w:t>
      </w:r>
      <w:r>
        <w:rPr>
          <w:rFonts w:hint="eastAsia" w:ascii="宋体" w:hAnsi="宋体" w:cs="宋体"/>
          <w:szCs w:val="21"/>
        </w:rPr>
        <w:t>本公司自愿入驻湖南省政府采购电子卖场,遵守《湖南省政府采购电子卖场管理办法》(湘财购[2019] 27号),如违反承诺，同意金融机构将增信保证划缴国库(非电子卖场采购活动项目不需勾选)。</w:t>
      </w:r>
    </w:p>
    <w:p w14:paraId="6CA33122">
      <w:pPr>
        <w:widowControl/>
        <w:adjustRightInd w:val="0"/>
        <w:snapToGrid w:val="0"/>
        <w:spacing w:beforeLines="50" w:line="360" w:lineRule="auto"/>
        <w:jc w:val="right"/>
        <w:rPr>
          <w:rFonts w:ascii="宋体" w:hAnsi="宋体" w:cs="宋体"/>
          <w:szCs w:val="21"/>
        </w:rPr>
      </w:pPr>
      <w:r>
        <w:rPr>
          <w:rFonts w:hint="eastAsia" w:ascii="宋体" w:hAnsi="宋体" w:cs="宋体"/>
          <w:szCs w:val="21"/>
        </w:rPr>
        <w:t>公司(单位)名称(盖章)</w:t>
      </w:r>
    </w:p>
    <w:p w14:paraId="117B3FB3">
      <w:pPr>
        <w:widowControl/>
        <w:adjustRightInd w:val="0"/>
        <w:snapToGrid w:val="0"/>
        <w:spacing w:beforeLines="50" w:line="360" w:lineRule="auto"/>
        <w:jc w:val="right"/>
        <w:rPr>
          <w:rFonts w:ascii="宋体" w:hAnsi="宋体" w:cs="宋体"/>
          <w:szCs w:val="21"/>
        </w:rPr>
      </w:pPr>
      <w:r>
        <w:rPr>
          <w:rFonts w:hint="eastAsia" w:ascii="宋体" w:hAnsi="宋体" w:cs="宋体"/>
          <w:szCs w:val="21"/>
        </w:rPr>
        <w:t>年月日</w:t>
      </w:r>
    </w:p>
    <w:p w14:paraId="78627EF7">
      <w:pPr>
        <w:widowControl/>
        <w:adjustRightInd w:val="0"/>
        <w:snapToGrid w:val="0"/>
        <w:spacing w:beforeLines="50" w:line="360" w:lineRule="auto"/>
        <w:jc w:val="left"/>
        <w:rPr>
          <w:rFonts w:ascii="宋体" w:hAnsi="宋体" w:cs="宋体"/>
          <w:szCs w:val="21"/>
        </w:rPr>
      </w:pPr>
    </w:p>
    <w:p w14:paraId="2AC8404D">
      <w:pPr>
        <w:adjustRightInd w:val="0"/>
        <w:snapToGrid w:val="0"/>
        <w:spacing w:line="360" w:lineRule="auto"/>
        <w:ind w:left="420" w:leftChars="200"/>
        <w:rPr>
          <w:rFonts w:ascii="宋体" w:hAnsi="宋体" w:cs="宋体"/>
          <w:szCs w:val="21"/>
        </w:rPr>
      </w:pPr>
      <w:r>
        <w:rPr>
          <w:rFonts w:hint="eastAsia" w:ascii="宋体" w:hAnsi="宋体" w:cs="宋体"/>
          <w:szCs w:val="21"/>
        </w:rPr>
        <w:t>机构代码：注册登记机构：日期：有效期：</w:t>
      </w:r>
    </w:p>
    <w:p w14:paraId="4C78B0E8">
      <w:pPr>
        <w:adjustRightInd w:val="0"/>
        <w:snapToGrid w:val="0"/>
        <w:spacing w:line="360" w:lineRule="auto"/>
        <w:ind w:left="420" w:leftChars="200"/>
        <w:rPr>
          <w:rFonts w:ascii="宋体" w:hAnsi="宋体" w:cs="宋体"/>
          <w:szCs w:val="21"/>
        </w:rPr>
      </w:pPr>
      <w:r>
        <w:rPr>
          <w:rFonts w:hint="eastAsia" w:ascii="宋体" w:hAnsi="宋体" w:cs="宋体"/>
          <w:szCs w:val="21"/>
        </w:rPr>
        <w:t>注册资本：地 址：经济行业： 经济性质：</w:t>
      </w:r>
    </w:p>
    <w:p w14:paraId="01F86188">
      <w:pPr>
        <w:adjustRightInd w:val="0"/>
        <w:snapToGrid w:val="0"/>
        <w:spacing w:line="360" w:lineRule="auto"/>
        <w:ind w:firstLine="420" w:firstLineChars="200"/>
        <w:rPr>
          <w:rFonts w:ascii="宋体" w:hAnsi="宋体" w:cs="宋体"/>
          <w:szCs w:val="21"/>
        </w:rPr>
      </w:pPr>
    </w:p>
    <w:p w14:paraId="15F9D003">
      <w:pPr>
        <w:adjustRightInd w:val="0"/>
        <w:snapToGrid w:val="0"/>
        <w:spacing w:line="360" w:lineRule="auto"/>
        <w:ind w:firstLine="420" w:firstLineChars="200"/>
        <w:rPr>
          <w:rFonts w:ascii="宋体" w:hAnsi="宋体" w:cs="宋体"/>
          <w:szCs w:val="21"/>
        </w:rPr>
      </w:pPr>
      <w:r>
        <w:rPr>
          <w:rFonts w:hint="eastAsia" w:ascii="宋体" w:hAnsi="宋体" w:cs="宋体"/>
          <w:szCs w:val="21"/>
        </w:rPr>
        <w:t>法定代表人(负责人)姓名(签字)：</w:t>
      </w:r>
    </w:p>
    <w:p w14:paraId="7DA33CAD">
      <w:pPr>
        <w:adjustRightInd w:val="0"/>
        <w:snapToGrid w:val="0"/>
        <w:spacing w:line="360" w:lineRule="auto"/>
        <w:ind w:firstLine="420" w:firstLineChars="200"/>
        <w:rPr>
          <w:rFonts w:ascii="宋体" w:hAnsi="宋体" w:cs="宋体"/>
          <w:szCs w:val="21"/>
        </w:rPr>
      </w:pPr>
      <w:r>
        <w:rPr>
          <w:rFonts w:hint="eastAsia" w:ascii="宋体" w:hAnsi="宋体" w:cs="宋体"/>
          <w:szCs w:val="21"/>
        </w:rPr>
        <w:t>身份证号：</w:t>
      </w:r>
    </w:p>
    <w:p w14:paraId="55BBE195">
      <w:pPr>
        <w:adjustRightInd w:val="0"/>
        <w:snapToGrid w:val="0"/>
        <w:spacing w:line="360" w:lineRule="auto"/>
        <w:ind w:firstLine="420" w:firstLineChars="200"/>
        <w:rPr>
          <w:rFonts w:ascii="宋体" w:hAnsi="宋体" w:cs="宋体"/>
          <w:szCs w:val="21"/>
        </w:rPr>
      </w:pPr>
      <w:r>
        <w:rPr>
          <w:rFonts w:hint="eastAsia" w:ascii="宋体" w:hAnsi="宋体" w:cs="宋体"/>
          <w:szCs w:val="21"/>
        </w:rPr>
        <w:t>手机号:</w:t>
      </w:r>
    </w:p>
    <w:p w14:paraId="51EBD48A">
      <w:pPr>
        <w:adjustRightInd w:val="0"/>
        <w:snapToGrid w:val="0"/>
        <w:spacing w:line="360" w:lineRule="auto"/>
        <w:ind w:firstLine="420" w:firstLineChars="200"/>
        <w:rPr>
          <w:rFonts w:ascii="宋体" w:hAnsi="宋体" w:cs="宋体"/>
          <w:szCs w:val="21"/>
        </w:rPr>
      </w:pPr>
    </w:p>
    <w:p w14:paraId="4080B057">
      <w:pPr>
        <w:adjustRightInd w:val="0"/>
        <w:snapToGrid w:val="0"/>
        <w:spacing w:line="360" w:lineRule="auto"/>
        <w:ind w:firstLine="420" w:firstLineChars="200"/>
        <w:rPr>
          <w:rFonts w:ascii="宋体" w:hAnsi="宋体" w:cs="宋体"/>
          <w:szCs w:val="21"/>
        </w:rPr>
      </w:pPr>
      <w:r>
        <w:rPr>
          <w:rFonts w:hint="eastAsia" w:ascii="宋体" w:hAnsi="宋体" w:cs="宋体"/>
          <w:szCs w:val="21"/>
        </w:rPr>
        <w:t>授权代表人姓名(签字)：</w:t>
      </w:r>
    </w:p>
    <w:p w14:paraId="66C31C1A">
      <w:pPr>
        <w:adjustRightInd w:val="0"/>
        <w:snapToGrid w:val="0"/>
        <w:spacing w:line="360" w:lineRule="auto"/>
        <w:ind w:firstLine="420" w:firstLineChars="200"/>
        <w:rPr>
          <w:rFonts w:ascii="宋体" w:hAnsi="宋体" w:cs="宋体"/>
          <w:szCs w:val="21"/>
        </w:rPr>
      </w:pPr>
      <w:r>
        <w:rPr>
          <w:rFonts w:hint="eastAsia" w:ascii="宋体" w:hAnsi="宋体" w:cs="宋体"/>
          <w:szCs w:val="21"/>
        </w:rPr>
        <w:t>身份证号：</w:t>
      </w:r>
    </w:p>
    <w:p w14:paraId="20723F0D">
      <w:pPr>
        <w:adjustRightInd w:val="0"/>
        <w:snapToGrid w:val="0"/>
        <w:spacing w:line="360" w:lineRule="auto"/>
        <w:ind w:right="24" w:firstLine="420" w:firstLineChars="200"/>
        <w:rPr>
          <w:rFonts w:ascii="宋体" w:hAnsi="宋体"/>
          <w:bCs/>
          <w:sz w:val="24"/>
        </w:rPr>
      </w:pPr>
      <w:r>
        <w:rPr>
          <w:rFonts w:hint="eastAsia" w:ascii="宋体" w:hAnsi="宋体" w:cs="宋体"/>
          <w:szCs w:val="21"/>
        </w:rPr>
        <w:t>手机号:</w:t>
      </w:r>
    </w:p>
    <w:p w14:paraId="6A1ED9AC">
      <w:pPr>
        <w:spacing w:line="480" w:lineRule="exact"/>
        <w:ind w:right="23" w:rightChars="11"/>
        <w:rPr>
          <w:rFonts w:ascii="宋体" w:hAnsi="宋体"/>
          <w:b/>
          <w:bCs/>
          <w:color w:val="000000"/>
          <w:szCs w:val="21"/>
        </w:rPr>
      </w:pPr>
    </w:p>
    <w:p w14:paraId="4D8ADD35">
      <w:pPr>
        <w:widowControl/>
        <w:jc w:val="left"/>
        <w:rPr>
          <w:rFonts w:ascii="宋体" w:hAnsi="宋体"/>
          <w:b/>
          <w:bCs/>
          <w:color w:val="000000"/>
          <w:szCs w:val="21"/>
        </w:rPr>
      </w:pPr>
      <w:r>
        <w:rPr>
          <w:rFonts w:ascii="宋体" w:hAnsi="宋体"/>
          <w:b/>
          <w:bCs/>
          <w:color w:val="000000"/>
          <w:szCs w:val="21"/>
        </w:rPr>
        <w:br w:type="page"/>
      </w:r>
      <w:r>
        <w:rPr>
          <w:rFonts w:hint="eastAsia" w:ascii="宋体" w:hAnsi="宋体"/>
          <w:b/>
          <w:bCs/>
          <w:color w:val="000000"/>
          <w:szCs w:val="21"/>
        </w:rPr>
        <w:t>附件5-4-2</w:t>
      </w:r>
    </w:p>
    <w:p w14:paraId="5A291F5B">
      <w:pPr>
        <w:adjustRightInd w:val="0"/>
        <w:snapToGrid w:val="0"/>
        <w:spacing w:line="360" w:lineRule="auto"/>
        <w:jc w:val="center"/>
        <w:rPr>
          <w:rFonts w:eastAsia="黑体"/>
          <w:b/>
          <w:sz w:val="28"/>
          <w:szCs w:val="28"/>
        </w:rPr>
      </w:pPr>
      <w:r>
        <w:rPr>
          <w:rFonts w:eastAsia="黑体"/>
          <w:b/>
          <w:sz w:val="28"/>
          <w:szCs w:val="28"/>
        </w:rPr>
        <w:t>参加政府采购活动前三年内在经营活动中</w:t>
      </w:r>
    </w:p>
    <w:p w14:paraId="6EA02DBC">
      <w:pPr>
        <w:adjustRightInd w:val="0"/>
        <w:snapToGrid w:val="0"/>
        <w:spacing w:line="360" w:lineRule="auto"/>
        <w:jc w:val="center"/>
        <w:rPr>
          <w:rFonts w:eastAsia="黑体"/>
          <w:b/>
          <w:sz w:val="28"/>
          <w:szCs w:val="28"/>
        </w:rPr>
      </w:pPr>
      <w:r>
        <w:rPr>
          <w:rFonts w:eastAsia="黑体"/>
          <w:b/>
          <w:sz w:val="28"/>
          <w:szCs w:val="28"/>
        </w:rPr>
        <w:t>没有重大违法记录的书面声明</w:t>
      </w:r>
    </w:p>
    <w:p w14:paraId="4628E903">
      <w:pPr>
        <w:spacing w:line="480" w:lineRule="exact"/>
        <w:ind w:right="23" w:rightChars="11"/>
        <w:rPr>
          <w:rFonts w:eastAsia="黑体"/>
          <w:sz w:val="24"/>
        </w:rPr>
      </w:pPr>
    </w:p>
    <w:p w14:paraId="6E9CF7DC">
      <w:pPr>
        <w:adjustRightInd w:val="0"/>
        <w:snapToGrid w:val="0"/>
        <w:spacing w:beforeLines="50" w:line="360" w:lineRule="auto"/>
        <w:ind w:firstLine="420" w:firstLineChars="200"/>
        <w:rPr>
          <w:bCs/>
          <w:szCs w:val="21"/>
        </w:rPr>
      </w:pPr>
      <w:r>
        <w:rPr>
          <w:bCs/>
          <w:szCs w:val="21"/>
        </w:rPr>
        <w:t>致</w:t>
      </w:r>
      <w:r>
        <w:rPr>
          <w:bCs/>
          <w:szCs w:val="21"/>
          <w:u w:val="single"/>
        </w:rPr>
        <w:t xml:space="preserve">              (采购代理机构)</w:t>
      </w:r>
      <w:r>
        <w:rPr>
          <w:bCs/>
          <w:szCs w:val="21"/>
        </w:rPr>
        <w:t>：</w:t>
      </w:r>
    </w:p>
    <w:p w14:paraId="7D99D760">
      <w:pPr>
        <w:adjustRightInd w:val="0"/>
        <w:snapToGrid w:val="0"/>
        <w:spacing w:beforeLines="50" w:line="360" w:lineRule="auto"/>
        <w:ind w:firstLine="420" w:firstLineChars="200"/>
        <w:rPr>
          <w:bCs/>
          <w:szCs w:val="21"/>
        </w:rPr>
      </w:pPr>
    </w:p>
    <w:p w14:paraId="566F71A7">
      <w:pPr>
        <w:adjustRightInd w:val="0"/>
        <w:snapToGrid w:val="0"/>
        <w:spacing w:beforeLines="50" w:line="360" w:lineRule="auto"/>
        <w:ind w:firstLine="420" w:firstLineChars="200"/>
        <w:rPr>
          <w:bCs/>
          <w:szCs w:val="21"/>
        </w:rPr>
      </w:pPr>
      <w:r>
        <w:rPr>
          <w:bCs/>
          <w:szCs w:val="21"/>
        </w:rPr>
        <w:t>我单位在参加采购活动前三年内在经营活动中没有政府采购法第二十二条第一款第（五）项所称重大违法记录，包括：</w:t>
      </w:r>
    </w:p>
    <w:p w14:paraId="0174B5DC">
      <w:pPr>
        <w:adjustRightInd w:val="0"/>
        <w:snapToGrid w:val="0"/>
        <w:spacing w:beforeLines="50" w:line="360" w:lineRule="auto"/>
        <w:ind w:firstLine="420" w:firstLineChars="200"/>
        <w:rPr>
          <w:bCs/>
          <w:szCs w:val="21"/>
        </w:rPr>
      </w:pPr>
      <w:r>
        <w:rPr>
          <w:bCs/>
          <w:szCs w:val="21"/>
        </w:rPr>
        <w:t>受到刑事处罚，受到三万元以上的罚款、责令停产停业、在一至三年内禁止参加政府采购活动、暂扣或者吊销许可证、暂扣或者吊销执照等情形之一的行政处罚，或者存在财政部门认定的其他重大违法记录。</w:t>
      </w:r>
    </w:p>
    <w:p w14:paraId="17FC981F">
      <w:pPr>
        <w:adjustRightInd w:val="0"/>
        <w:snapToGrid w:val="0"/>
        <w:spacing w:beforeLines="50" w:line="360" w:lineRule="auto"/>
        <w:ind w:firstLine="420" w:firstLineChars="200"/>
        <w:rPr>
          <w:bCs/>
          <w:szCs w:val="21"/>
        </w:rPr>
      </w:pPr>
      <w:r>
        <w:rPr>
          <w:bCs/>
          <w:szCs w:val="21"/>
        </w:rPr>
        <w:t>特此声明！</w:t>
      </w:r>
    </w:p>
    <w:p w14:paraId="1D56E919">
      <w:pPr>
        <w:adjustRightInd w:val="0"/>
        <w:snapToGrid w:val="0"/>
        <w:spacing w:beforeLines="50" w:line="360" w:lineRule="auto"/>
        <w:ind w:firstLine="420" w:firstLineChars="200"/>
        <w:rPr>
          <w:bCs/>
          <w:szCs w:val="21"/>
        </w:rPr>
      </w:pPr>
    </w:p>
    <w:p w14:paraId="2F7A0783">
      <w:pPr>
        <w:adjustRightInd w:val="0"/>
        <w:snapToGrid w:val="0"/>
        <w:spacing w:beforeLines="50" w:line="360" w:lineRule="auto"/>
        <w:ind w:firstLine="420" w:firstLineChars="200"/>
        <w:rPr>
          <w:bCs/>
          <w:szCs w:val="21"/>
        </w:rPr>
      </w:pPr>
    </w:p>
    <w:p w14:paraId="7BAAC964">
      <w:pPr>
        <w:adjustRightInd w:val="0"/>
        <w:snapToGrid w:val="0"/>
        <w:spacing w:beforeLines="50" w:line="360" w:lineRule="auto"/>
        <w:ind w:firstLine="420" w:firstLineChars="200"/>
        <w:rPr>
          <w:bCs/>
          <w:szCs w:val="21"/>
        </w:rPr>
      </w:pPr>
      <w:r>
        <w:rPr>
          <w:bCs/>
          <w:szCs w:val="21"/>
        </w:rPr>
        <w:t xml:space="preserve">供应商名称（单位章）： </w:t>
      </w:r>
    </w:p>
    <w:p w14:paraId="227AF453">
      <w:pPr>
        <w:adjustRightInd w:val="0"/>
        <w:snapToGrid w:val="0"/>
        <w:spacing w:beforeLines="50" w:line="360" w:lineRule="auto"/>
        <w:ind w:firstLine="420" w:firstLineChars="200"/>
        <w:rPr>
          <w:bCs/>
          <w:szCs w:val="21"/>
        </w:rPr>
      </w:pPr>
      <w:r>
        <w:rPr>
          <w:bCs/>
          <w:szCs w:val="21"/>
        </w:rPr>
        <w:t xml:space="preserve">法定代表人（签字）：              </w:t>
      </w:r>
    </w:p>
    <w:p w14:paraId="394F139B">
      <w:pPr>
        <w:adjustRightInd w:val="0"/>
        <w:snapToGrid w:val="0"/>
        <w:spacing w:beforeLines="50" w:line="360" w:lineRule="auto"/>
        <w:ind w:firstLine="420" w:firstLineChars="200"/>
        <w:rPr>
          <w:bCs/>
          <w:szCs w:val="21"/>
        </w:rPr>
      </w:pPr>
      <w:r>
        <w:rPr>
          <w:bCs/>
          <w:szCs w:val="21"/>
        </w:rPr>
        <w:t>日期：年月日</w:t>
      </w:r>
    </w:p>
    <w:p w14:paraId="26FE08B2">
      <w:pPr>
        <w:rPr>
          <w:rStyle w:val="148"/>
          <w:rFonts w:ascii="黑体" w:eastAsia="黑体"/>
          <w:sz w:val="30"/>
          <w:szCs w:val="30"/>
        </w:rPr>
      </w:pPr>
    </w:p>
    <w:p w14:paraId="7C8C4D6C">
      <w:pPr>
        <w:spacing w:line="480" w:lineRule="exact"/>
        <w:ind w:right="23" w:rightChars="11"/>
        <w:rPr>
          <w:rFonts w:ascii="宋体" w:hAnsi="宋体"/>
          <w:b/>
          <w:bCs/>
          <w:color w:val="000000"/>
          <w:szCs w:val="21"/>
        </w:rPr>
      </w:pPr>
      <w:r>
        <w:rPr>
          <w:rFonts w:ascii="宋体" w:hAnsi="宋体"/>
          <w:b/>
          <w:bCs/>
          <w:color w:val="000000"/>
          <w:szCs w:val="21"/>
        </w:rPr>
        <w:br w:type="page"/>
      </w:r>
      <w:r>
        <w:rPr>
          <w:rFonts w:hint="eastAsia" w:ascii="宋体" w:hAnsi="宋体"/>
          <w:b/>
          <w:bCs/>
          <w:color w:val="000000"/>
          <w:szCs w:val="21"/>
        </w:rPr>
        <w:t>附件5-5</w:t>
      </w:r>
    </w:p>
    <w:p w14:paraId="28216AA6">
      <w:pPr>
        <w:spacing w:line="480" w:lineRule="exact"/>
        <w:ind w:firstLine="1405" w:firstLineChars="500"/>
        <w:rPr>
          <w:rStyle w:val="148"/>
          <w:rFonts w:ascii="黑体" w:eastAsia="黑体"/>
          <w:b/>
          <w:bCs/>
          <w:sz w:val="28"/>
          <w:szCs w:val="28"/>
        </w:rPr>
      </w:pPr>
      <w:r>
        <w:rPr>
          <w:rStyle w:val="148"/>
          <w:rFonts w:ascii="黑体" w:eastAsia="黑体"/>
          <w:b/>
          <w:bCs/>
          <w:sz w:val="28"/>
          <w:szCs w:val="28"/>
        </w:rPr>
        <w:t>磋商文件规定的特定资格条件证明资料</w:t>
      </w:r>
    </w:p>
    <w:p w14:paraId="30C01C97">
      <w:pPr>
        <w:spacing w:line="480" w:lineRule="exact"/>
        <w:rPr>
          <w:rStyle w:val="148"/>
          <w:rFonts w:ascii="宋体" w:hAnsi="宋体"/>
          <w:szCs w:val="21"/>
        </w:rPr>
      </w:pPr>
    </w:p>
    <w:p w14:paraId="4925B0EA">
      <w:pPr>
        <w:spacing w:line="480" w:lineRule="exact"/>
        <w:rPr>
          <w:rStyle w:val="148"/>
          <w:rFonts w:ascii="宋体" w:hAnsi="宋体"/>
          <w:szCs w:val="21"/>
        </w:rPr>
      </w:pPr>
      <w:r>
        <w:rPr>
          <w:rStyle w:val="148"/>
          <w:rFonts w:ascii="宋体" w:hAnsi="宋体"/>
          <w:szCs w:val="21"/>
        </w:rPr>
        <w:t>提供第二章 磋商须知第3.1款供应商特定资格条件证明资料的复印件。</w:t>
      </w:r>
    </w:p>
    <w:p w14:paraId="4EE1BA5E">
      <w:pPr>
        <w:snapToGrid w:val="0"/>
        <w:spacing w:line="360" w:lineRule="auto"/>
        <w:rPr>
          <w:rStyle w:val="148"/>
          <w:rFonts w:ascii="黑体" w:eastAsia="黑体"/>
          <w:szCs w:val="21"/>
        </w:rPr>
      </w:pPr>
    </w:p>
    <w:p w14:paraId="20FA4253">
      <w:pPr>
        <w:widowControl/>
        <w:jc w:val="left"/>
      </w:pPr>
      <w:r>
        <w:br w:type="page"/>
      </w:r>
    </w:p>
    <w:p w14:paraId="06925A16">
      <w:pPr>
        <w:pStyle w:val="7"/>
        <w:jc w:val="center"/>
        <w:rPr>
          <w:color w:val="000000"/>
        </w:rPr>
      </w:pPr>
      <w:bookmarkStart w:id="50" w:name="_Toc4581"/>
      <w:r>
        <w:rPr>
          <w:rFonts w:hint="eastAsia" w:ascii="黑体" w:hAnsi="黑体" w:eastAsia="黑体" w:cs="黑体"/>
          <w:color w:val="000000"/>
          <w:sz w:val="28"/>
          <w:szCs w:val="28"/>
        </w:rPr>
        <w:t>六</w:t>
      </w:r>
      <w:r>
        <w:rPr>
          <w:rFonts w:ascii="黑体" w:hAnsi="黑体" w:eastAsia="黑体" w:cs="黑体"/>
          <w:color w:val="000000"/>
          <w:sz w:val="28"/>
          <w:szCs w:val="28"/>
        </w:rPr>
        <w:t>、施工组织设计方案</w:t>
      </w:r>
      <w:bookmarkEnd w:id="50"/>
    </w:p>
    <w:p w14:paraId="70FE45DB">
      <w:pPr>
        <w:ind w:firstLine="580"/>
        <w:rPr>
          <w:color w:val="000000"/>
        </w:rPr>
      </w:pPr>
      <w:r>
        <w:rPr>
          <w:color w:val="000000"/>
          <w:szCs w:val="21"/>
        </w:rPr>
        <w:t xml:space="preserve">  </w:t>
      </w:r>
    </w:p>
    <w:p w14:paraId="5CFC695A">
      <w:pPr>
        <w:spacing w:line="440" w:lineRule="exact"/>
        <w:ind w:firstLine="578"/>
        <w:rPr>
          <w:rFonts w:ascii="宋体" w:hAnsi="宋体"/>
          <w:color w:val="000000"/>
          <w:sz w:val="18"/>
          <w:szCs w:val="21"/>
        </w:rPr>
      </w:pPr>
      <w:r>
        <w:rPr>
          <w:rFonts w:ascii="宋体" w:hAnsi="宋体" w:cs="仿宋_GB2312"/>
          <w:color w:val="000000"/>
          <w:sz w:val="24"/>
        </w:rPr>
        <w:t>供应商应提交完整的施工组织设计。施工组织设计</w:t>
      </w:r>
      <w:r>
        <w:rPr>
          <w:rFonts w:hint="eastAsia" w:ascii="宋体" w:hAnsi="宋体" w:cs="仿宋_GB2312"/>
          <w:color w:val="000000"/>
          <w:sz w:val="24"/>
        </w:rPr>
        <w:t>包括但不限于</w:t>
      </w:r>
      <w:r>
        <w:rPr>
          <w:rFonts w:ascii="宋体" w:hAnsi="宋体" w:cs="仿宋_GB2312"/>
          <w:color w:val="000000"/>
          <w:sz w:val="24"/>
        </w:rPr>
        <w:t>(1)施工方案与技术措施；(2)质量管理体系与措施；(3)安全管理体系与措施；(4)</w:t>
      </w:r>
      <w:r>
        <w:rPr>
          <w:rFonts w:hint="eastAsia" w:ascii="宋体" w:hAnsi="宋体" w:cs="仿宋_GB2312"/>
          <w:color w:val="000000"/>
          <w:sz w:val="24"/>
        </w:rPr>
        <w:t>环境保护管理体系与措施;(5)工程进度计划与保证措施;(6)资源配备计划。</w:t>
      </w:r>
    </w:p>
    <w:p w14:paraId="73574840">
      <w:pPr>
        <w:snapToGrid w:val="0"/>
        <w:spacing w:line="360" w:lineRule="auto"/>
        <w:rPr>
          <w:rStyle w:val="148"/>
          <w:rFonts w:ascii="宋体" w:hAnsi="宋体"/>
          <w:szCs w:val="21"/>
        </w:rPr>
      </w:pPr>
    </w:p>
    <w:p w14:paraId="26CE49D3">
      <w:pPr>
        <w:spacing w:line="360" w:lineRule="atLeast"/>
        <w:jc w:val="center"/>
        <w:rPr>
          <w:rFonts w:ascii="黑体" w:hAnsi="黑体" w:eastAsia="黑体"/>
          <w:color w:val="000000"/>
          <w:sz w:val="28"/>
          <w:szCs w:val="28"/>
        </w:rPr>
      </w:pPr>
      <w:r>
        <w:rPr>
          <w:rFonts w:hint="eastAsia" w:ascii="黑体" w:hAnsi="黑体" w:eastAsia="黑体"/>
          <w:color w:val="000000"/>
          <w:sz w:val="28"/>
          <w:szCs w:val="28"/>
        </w:rPr>
        <w:t>主要人员简历表</w:t>
      </w:r>
    </w:p>
    <w:tbl>
      <w:tblPr>
        <w:tblStyle w:val="46"/>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4CAFC3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vAlign w:val="center"/>
          </w:tcPr>
          <w:p w14:paraId="5CBD99AB">
            <w:pPr>
              <w:keepNext w:val="0"/>
              <w:keepLines w:val="0"/>
              <w:suppressLineNumbers w:val="0"/>
              <w:spacing w:before="0" w:beforeAutospacing="0" w:after="0" w:afterAutospacing="0" w:line="360" w:lineRule="atLeast"/>
              <w:ind w:left="0" w:right="0"/>
              <w:jc w:val="center"/>
              <w:rPr>
                <w:rFonts w:hint="default" w:ascii="宋体"/>
                <w:color w:val="000000"/>
              </w:rPr>
            </w:pPr>
            <w:r>
              <w:rPr>
                <w:rFonts w:hint="eastAsia" w:ascii="宋体"/>
                <w:color w:val="000000"/>
              </w:rPr>
              <w:t>姓名</w:t>
            </w:r>
          </w:p>
        </w:tc>
        <w:tc>
          <w:tcPr>
            <w:tcW w:w="2468" w:type="dxa"/>
            <w:vAlign w:val="center"/>
          </w:tcPr>
          <w:p w14:paraId="5DC7817D">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2340" w:type="dxa"/>
            <w:gridSpan w:val="3"/>
            <w:vAlign w:val="center"/>
          </w:tcPr>
          <w:p w14:paraId="08CCB661">
            <w:pPr>
              <w:keepNext w:val="0"/>
              <w:keepLines w:val="0"/>
              <w:suppressLineNumbers w:val="0"/>
              <w:spacing w:before="0" w:beforeAutospacing="0" w:after="0" w:afterAutospacing="0" w:line="360" w:lineRule="atLeast"/>
              <w:ind w:left="0" w:right="0"/>
              <w:jc w:val="center"/>
              <w:rPr>
                <w:rFonts w:hint="default" w:ascii="宋体"/>
                <w:color w:val="000000"/>
              </w:rPr>
            </w:pPr>
            <w:r>
              <w:rPr>
                <w:rFonts w:hint="eastAsia" w:ascii="宋体"/>
                <w:color w:val="000000"/>
              </w:rPr>
              <w:t>性别</w:t>
            </w:r>
          </w:p>
        </w:tc>
        <w:tc>
          <w:tcPr>
            <w:tcW w:w="1663" w:type="dxa"/>
            <w:vAlign w:val="center"/>
          </w:tcPr>
          <w:p w14:paraId="1FC6A026">
            <w:pPr>
              <w:keepNext w:val="0"/>
              <w:keepLines w:val="0"/>
              <w:suppressLineNumbers w:val="0"/>
              <w:spacing w:before="0" w:beforeAutospacing="0" w:after="0" w:afterAutospacing="0" w:line="360" w:lineRule="atLeast"/>
              <w:ind w:left="0" w:right="0"/>
              <w:jc w:val="center"/>
              <w:rPr>
                <w:rFonts w:hint="default" w:ascii="宋体"/>
                <w:color w:val="000000"/>
              </w:rPr>
            </w:pPr>
          </w:p>
        </w:tc>
      </w:tr>
      <w:tr w14:paraId="2E8249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14:paraId="65413F51">
            <w:pPr>
              <w:keepNext w:val="0"/>
              <w:keepLines w:val="0"/>
              <w:suppressLineNumbers w:val="0"/>
              <w:spacing w:before="0" w:beforeAutospacing="0" w:after="0" w:afterAutospacing="0" w:line="360" w:lineRule="atLeast"/>
              <w:ind w:left="0" w:right="0"/>
              <w:jc w:val="center"/>
              <w:rPr>
                <w:rFonts w:hint="default" w:ascii="宋体"/>
                <w:color w:val="000000"/>
              </w:rPr>
            </w:pPr>
            <w:r>
              <w:rPr>
                <w:rFonts w:hint="eastAsia" w:ascii="宋体"/>
                <w:color w:val="000000"/>
              </w:rPr>
              <w:t>职务</w:t>
            </w:r>
          </w:p>
        </w:tc>
        <w:tc>
          <w:tcPr>
            <w:tcW w:w="2468" w:type="dxa"/>
            <w:vAlign w:val="center"/>
          </w:tcPr>
          <w:p w14:paraId="5B1FDAB2">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2340" w:type="dxa"/>
            <w:gridSpan w:val="3"/>
            <w:vAlign w:val="center"/>
          </w:tcPr>
          <w:p w14:paraId="15BE45F1">
            <w:pPr>
              <w:keepNext w:val="0"/>
              <w:keepLines w:val="0"/>
              <w:suppressLineNumbers w:val="0"/>
              <w:spacing w:before="0" w:beforeAutospacing="0" w:after="0" w:afterAutospacing="0" w:line="360" w:lineRule="atLeast"/>
              <w:ind w:left="0" w:right="0"/>
              <w:jc w:val="center"/>
              <w:rPr>
                <w:rFonts w:hint="default" w:ascii="宋体"/>
                <w:color w:val="000000"/>
              </w:rPr>
            </w:pPr>
            <w:r>
              <w:rPr>
                <w:rFonts w:hint="eastAsia" w:ascii="宋体"/>
                <w:color w:val="000000"/>
              </w:rPr>
              <w:t>职称</w:t>
            </w:r>
          </w:p>
        </w:tc>
        <w:tc>
          <w:tcPr>
            <w:tcW w:w="1663" w:type="dxa"/>
            <w:vAlign w:val="center"/>
          </w:tcPr>
          <w:p w14:paraId="1FE3EB9F">
            <w:pPr>
              <w:keepNext w:val="0"/>
              <w:keepLines w:val="0"/>
              <w:suppressLineNumbers w:val="0"/>
              <w:spacing w:before="0" w:beforeAutospacing="0" w:after="0" w:afterAutospacing="0" w:line="360" w:lineRule="atLeast"/>
              <w:ind w:left="0" w:right="0"/>
              <w:jc w:val="center"/>
              <w:rPr>
                <w:rFonts w:hint="default" w:ascii="宋体"/>
                <w:color w:val="000000"/>
              </w:rPr>
            </w:pPr>
          </w:p>
        </w:tc>
      </w:tr>
      <w:tr w14:paraId="21C637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14:paraId="64AFA18F">
            <w:pPr>
              <w:keepNext w:val="0"/>
              <w:keepLines w:val="0"/>
              <w:suppressLineNumbers w:val="0"/>
              <w:spacing w:before="0" w:beforeAutospacing="0" w:after="0" w:afterAutospacing="0" w:line="360" w:lineRule="atLeast"/>
              <w:ind w:left="0" w:right="0"/>
              <w:jc w:val="center"/>
              <w:rPr>
                <w:rFonts w:hint="default" w:ascii="宋体"/>
                <w:color w:val="000000"/>
              </w:rPr>
            </w:pPr>
            <w:r>
              <w:rPr>
                <w:rFonts w:hint="eastAsia" w:ascii="宋体"/>
                <w:color w:val="000000"/>
              </w:rPr>
              <w:t>毕业学校、专业</w:t>
            </w:r>
          </w:p>
        </w:tc>
        <w:tc>
          <w:tcPr>
            <w:tcW w:w="6471" w:type="dxa"/>
            <w:gridSpan w:val="5"/>
            <w:vAlign w:val="center"/>
          </w:tcPr>
          <w:p w14:paraId="04E19E9F">
            <w:pPr>
              <w:keepNext w:val="0"/>
              <w:keepLines w:val="0"/>
              <w:suppressLineNumbers w:val="0"/>
              <w:spacing w:before="0" w:beforeAutospacing="0" w:after="0" w:afterAutospacing="0" w:line="360" w:lineRule="atLeast"/>
              <w:ind w:left="0" w:right="0"/>
              <w:jc w:val="center"/>
              <w:rPr>
                <w:rFonts w:hint="default" w:ascii="宋体"/>
                <w:color w:val="000000"/>
              </w:rPr>
            </w:pPr>
          </w:p>
        </w:tc>
      </w:tr>
      <w:tr w14:paraId="37B6B5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1DF03143">
            <w:pPr>
              <w:keepNext w:val="0"/>
              <w:keepLines w:val="0"/>
              <w:suppressLineNumbers w:val="0"/>
              <w:spacing w:before="0" w:beforeAutospacing="0" w:after="0" w:afterAutospacing="0" w:line="360" w:lineRule="atLeast"/>
              <w:ind w:left="0" w:right="0"/>
              <w:jc w:val="center"/>
              <w:rPr>
                <w:rFonts w:hint="default" w:ascii="宋体"/>
                <w:color w:val="000000"/>
              </w:rPr>
            </w:pPr>
            <w:r>
              <w:rPr>
                <w:rFonts w:hint="eastAsia" w:ascii="宋体"/>
                <w:color w:val="000000"/>
              </w:rPr>
              <w:t>身份证号</w:t>
            </w:r>
          </w:p>
        </w:tc>
        <w:tc>
          <w:tcPr>
            <w:tcW w:w="2468" w:type="dxa"/>
            <w:vAlign w:val="center"/>
          </w:tcPr>
          <w:p w14:paraId="76EFBBB2">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2340" w:type="dxa"/>
            <w:gridSpan w:val="3"/>
            <w:vAlign w:val="center"/>
          </w:tcPr>
          <w:p w14:paraId="18AD59FD">
            <w:pPr>
              <w:keepNext w:val="0"/>
              <w:keepLines w:val="0"/>
              <w:suppressLineNumbers w:val="0"/>
              <w:spacing w:before="0" w:beforeAutospacing="0" w:after="0" w:afterAutospacing="0" w:line="360" w:lineRule="atLeast"/>
              <w:ind w:left="0" w:right="0"/>
              <w:jc w:val="center"/>
              <w:rPr>
                <w:rFonts w:hint="default" w:ascii="宋体"/>
                <w:color w:val="000000"/>
              </w:rPr>
            </w:pPr>
            <w:r>
              <w:rPr>
                <w:rFonts w:hint="eastAsia" w:ascii="宋体"/>
                <w:color w:val="000000"/>
              </w:rPr>
              <w:t>拟在本合同任职</w:t>
            </w:r>
          </w:p>
        </w:tc>
        <w:tc>
          <w:tcPr>
            <w:tcW w:w="1663" w:type="dxa"/>
            <w:vAlign w:val="center"/>
          </w:tcPr>
          <w:p w14:paraId="19CBA1D2">
            <w:pPr>
              <w:keepNext w:val="0"/>
              <w:keepLines w:val="0"/>
              <w:suppressLineNumbers w:val="0"/>
              <w:spacing w:before="0" w:beforeAutospacing="0" w:after="0" w:afterAutospacing="0" w:line="360" w:lineRule="atLeast"/>
              <w:ind w:left="0" w:right="-105" w:rightChars="-50"/>
              <w:jc w:val="center"/>
              <w:rPr>
                <w:rFonts w:hint="default" w:ascii="宋体"/>
                <w:color w:val="000000"/>
              </w:rPr>
            </w:pPr>
          </w:p>
        </w:tc>
      </w:tr>
      <w:tr w14:paraId="586D16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78E4C423">
            <w:pPr>
              <w:keepNext w:val="0"/>
              <w:keepLines w:val="0"/>
              <w:suppressLineNumbers w:val="0"/>
              <w:spacing w:before="0" w:beforeAutospacing="0" w:after="0" w:afterAutospacing="0" w:line="360" w:lineRule="atLeast"/>
              <w:ind w:left="0" w:right="0"/>
              <w:jc w:val="center"/>
              <w:rPr>
                <w:rFonts w:hint="default" w:ascii="宋体"/>
                <w:color w:val="000000"/>
              </w:rPr>
            </w:pPr>
            <w:r>
              <w:rPr>
                <w:rFonts w:hint="eastAsia" w:ascii="宋体"/>
                <w:color w:val="000000"/>
              </w:rPr>
              <w:t>执业资格证</w:t>
            </w:r>
          </w:p>
        </w:tc>
        <w:tc>
          <w:tcPr>
            <w:tcW w:w="2468" w:type="dxa"/>
            <w:vAlign w:val="center"/>
          </w:tcPr>
          <w:p w14:paraId="4BE1E11F">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2340" w:type="dxa"/>
            <w:gridSpan w:val="3"/>
            <w:vAlign w:val="center"/>
          </w:tcPr>
          <w:p w14:paraId="7D4C4D33">
            <w:pPr>
              <w:keepNext w:val="0"/>
              <w:keepLines w:val="0"/>
              <w:suppressLineNumbers w:val="0"/>
              <w:spacing w:before="0" w:beforeAutospacing="0" w:after="0" w:afterAutospacing="0" w:line="360" w:lineRule="atLeast"/>
              <w:ind w:left="0" w:right="0"/>
              <w:jc w:val="center"/>
              <w:rPr>
                <w:rFonts w:hint="default" w:ascii="宋体"/>
                <w:color w:val="000000"/>
              </w:rPr>
            </w:pPr>
            <w:r>
              <w:rPr>
                <w:rFonts w:hint="eastAsia" w:ascii="宋体"/>
                <w:color w:val="000000"/>
              </w:rPr>
              <w:t>执业资格证书号</w:t>
            </w:r>
          </w:p>
        </w:tc>
        <w:tc>
          <w:tcPr>
            <w:tcW w:w="1663" w:type="dxa"/>
            <w:vAlign w:val="center"/>
          </w:tcPr>
          <w:p w14:paraId="4C1FEB21">
            <w:pPr>
              <w:keepNext w:val="0"/>
              <w:keepLines w:val="0"/>
              <w:suppressLineNumbers w:val="0"/>
              <w:spacing w:before="0" w:beforeAutospacing="0" w:after="0" w:afterAutospacing="0" w:line="360" w:lineRule="atLeast"/>
              <w:ind w:left="0" w:right="-105" w:rightChars="-50"/>
              <w:jc w:val="center"/>
              <w:rPr>
                <w:rFonts w:hint="default" w:ascii="宋体"/>
                <w:color w:val="000000"/>
              </w:rPr>
            </w:pPr>
          </w:p>
        </w:tc>
      </w:tr>
      <w:tr w14:paraId="645486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503" w:type="dxa"/>
            <w:gridSpan w:val="7"/>
            <w:vAlign w:val="center"/>
          </w:tcPr>
          <w:p w14:paraId="2CE93CA4">
            <w:pPr>
              <w:keepNext w:val="0"/>
              <w:keepLines w:val="0"/>
              <w:suppressLineNumbers w:val="0"/>
              <w:spacing w:before="0" w:beforeAutospacing="0" w:after="0" w:afterAutospacing="0" w:line="360" w:lineRule="atLeast"/>
              <w:ind w:left="0" w:right="0"/>
              <w:rPr>
                <w:rFonts w:hint="default" w:ascii="宋体"/>
                <w:color w:val="000000"/>
              </w:rPr>
            </w:pPr>
            <w:r>
              <w:rPr>
                <w:rFonts w:hint="eastAsia" w:ascii="宋体"/>
                <w:color w:val="000000"/>
              </w:rPr>
              <w:t>近三年承担项目情况</w:t>
            </w:r>
          </w:p>
        </w:tc>
      </w:tr>
      <w:tr w14:paraId="337F89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4A4BB85">
            <w:pPr>
              <w:keepNext w:val="0"/>
              <w:keepLines w:val="0"/>
              <w:suppressLineNumbers w:val="0"/>
              <w:spacing w:before="0" w:beforeAutospacing="0" w:after="0" w:afterAutospacing="0" w:line="360" w:lineRule="atLeast"/>
              <w:ind w:left="0" w:right="0"/>
              <w:jc w:val="center"/>
              <w:rPr>
                <w:rFonts w:hint="default" w:ascii="宋体"/>
                <w:color w:val="000000"/>
              </w:rPr>
            </w:pPr>
            <w:r>
              <w:rPr>
                <w:rFonts w:hint="eastAsia" w:ascii="宋体"/>
                <w:color w:val="000000"/>
              </w:rPr>
              <w:t>时间</w:t>
            </w:r>
          </w:p>
        </w:tc>
        <w:tc>
          <w:tcPr>
            <w:tcW w:w="3636" w:type="dxa"/>
            <w:gridSpan w:val="3"/>
            <w:vAlign w:val="center"/>
          </w:tcPr>
          <w:p w14:paraId="1E350427">
            <w:pPr>
              <w:keepNext w:val="0"/>
              <w:keepLines w:val="0"/>
              <w:suppressLineNumbers w:val="0"/>
              <w:spacing w:before="0" w:beforeAutospacing="0" w:after="0" w:afterAutospacing="0" w:line="360" w:lineRule="atLeast"/>
              <w:ind w:left="0" w:right="0"/>
              <w:jc w:val="center"/>
              <w:rPr>
                <w:rFonts w:hint="default" w:ascii="宋体"/>
                <w:color w:val="000000"/>
              </w:rPr>
            </w:pPr>
            <w:r>
              <w:rPr>
                <w:rFonts w:hint="eastAsia" w:ascii="宋体"/>
                <w:color w:val="000000"/>
              </w:rPr>
              <w:t>类似项目名称</w:t>
            </w:r>
          </w:p>
        </w:tc>
        <w:tc>
          <w:tcPr>
            <w:tcW w:w="1404" w:type="dxa"/>
            <w:vAlign w:val="center"/>
          </w:tcPr>
          <w:p w14:paraId="141DDF5F">
            <w:pPr>
              <w:keepNext w:val="0"/>
              <w:keepLines w:val="0"/>
              <w:suppressLineNumbers w:val="0"/>
              <w:spacing w:before="0" w:beforeAutospacing="0" w:after="0" w:afterAutospacing="0" w:line="360" w:lineRule="atLeast"/>
              <w:ind w:left="0" w:right="0"/>
              <w:jc w:val="center"/>
              <w:rPr>
                <w:rFonts w:hint="default" w:ascii="宋体"/>
                <w:color w:val="000000"/>
              </w:rPr>
            </w:pPr>
            <w:r>
              <w:rPr>
                <w:rFonts w:hint="eastAsia" w:ascii="宋体"/>
                <w:color w:val="000000"/>
              </w:rPr>
              <w:t>担任职务</w:t>
            </w:r>
          </w:p>
        </w:tc>
        <w:tc>
          <w:tcPr>
            <w:tcW w:w="2203" w:type="dxa"/>
            <w:gridSpan w:val="2"/>
            <w:vAlign w:val="center"/>
          </w:tcPr>
          <w:p w14:paraId="64A609CB">
            <w:pPr>
              <w:keepNext w:val="0"/>
              <w:keepLines w:val="0"/>
              <w:suppressLineNumbers w:val="0"/>
              <w:spacing w:before="0" w:beforeAutospacing="0" w:after="0" w:afterAutospacing="0" w:line="360" w:lineRule="atLeast"/>
              <w:ind w:left="0" w:right="0"/>
              <w:jc w:val="center"/>
              <w:rPr>
                <w:rFonts w:hint="default" w:ascii="宋体"/>
                <w:color w:val="000000"/>
              </w:rPr>
            </w:pPr>
            <w:r>
              <w:rPr>
                <w:rFonts w:hint="eastAsia" w:ascii="宋体"/>
                <w:color w:val="000000"/>
              </w:rPr>
              <w:t>项目单位名称及电话</w:t>
            </w:r>
          </w:p>
        </w:tc>
      </w:tr>
      <w:tr w14:paraId="409322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5E84D68F">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3636" w:type="dxa"/>
            <w:gridSpan w:val="3"/>
            <w:vAlign w:val="center"/>
          </w:tcPr>
          <w:p w14:paraId="09D6068E">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1404" w:type="dxa"/>
            <w:vAlign w:val="center"/>
          </w:tcPr>
          <w:p w14:paraId="39611203">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2203" w:type="dxa"/>
            <w:gridSpan w:val="2"/>
            <w:vAlign w:val="center"/>
          </w:tcPr>
          <w:p w14:paraId="154B7297">
            <w:pPr>
              <w:keepNext w:val="0"/>
              <w:keepLines w:val="0"/>
              <w:suppressLineNumbers w:val="0"/>
              <w:spacing w:before="0" w:beforeAutospacing="0" w:after="0" w:afterAutospacing="0" w:line="360" w:lineRule="atLeast"/>
              <w:ind w:left="0" w:right="0"/>
              <w:jc w:val="center"/>
              <w:rPr>
                <w:rFonts w:hint="default" w:ascii="宋体"/>
                <w:color w:val="000000"/>
              </w:rPr>
            </w:pPr>
          </w:p>
        </w:tc>
      </w:tr>
      <w:tr w14:paraId="2F6877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1EB6C283">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3636" w:type="dxa"/>
            <w:gridSpan w:val="3"/>
            <w:vAlign w:val="center"/>
          </w:tcPr>
          <w:p w14:paraId="238215F7">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1404" w:type="dxa"/>
            <w:vAlign w:val="center"/>
          </w:tcPr>
          <w:p w14:paraId="4F595896">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2203" w:type="dxa"/>
            <w:gridSpan w:val="2"/>
            <w:vAlign w:val="center"/>
          </w:tcPr>
          <w:p w14:paraId="1ABACDCF">
            <w:pPr>
              <w:keepNext w:val="0"/>
              <w:keepLines w:val="0"/>
              <w:suppressLineNumbers w:val="0"/>
              <w:spacing w:before="0" w:beforeAutospacing="0" w:after="0" w:afterAutospacing="0" w:line="360" w:lineRule="atLeast"/>
              <w:ind w:left="0" w:right="0"/>
              <w:jc w:val="center"/>
              <w:rPr>
                <w:rFonts w:hint="default" w:ascii="宋体"/>
                <w:color w:val="000000"/>
              </w:rPr>
            </w:pPr>
          </w:p>
        </w:tc>
      </w:tr>
      <w:tr w14:paraId="1BE86C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57128E04">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3636" w:type="dxa"/>
            <w:gridSpan w:val="3"/>
            <w:vAlign w:val="center"/>
          </w:tcPr>
          <w:p w14:paraId="3A980AC7">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1404" w:type="dxa"/>
            <w:vAlign w:val="center"/>
          </w:tcPr>
          <w:p w14:paraId="7C8A3F79">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2203" w:type="dxa"/>
            <w:gridSpan w:val="2"/>
            <w:vAlign w:val="center"/>
          </w:tcPr>
          <w:p w14:paraId="568DAE26">
            <w:pPr>
              <w:keepNext w:val="0"/>
              <w:keepLines w:val="0"/>
              <w:suppressLineNumbers w:val="0"/>
              <w:spacing w:before="0" w:beforeAutospacing="0" w:after="0" w:afterAutospacing="0" w:line="360" w:lineRule="atLeast"/>
              <w:ind w:left="0" w:right="0"/>
              <w:jc w:val="center"/>
              <w:rPr>
                <w:rFonts w:hint="default" w:ascii="宋体"/>
                <w:color w:val="000000"/>
              </w:rPr>
            </w:pPr>
          </w:p>
        </w:tc>
      </w:tr>
      <w:tr w14:paraId="6C3E13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58BBEF0E">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3636" w:type="dxa"/>
            <w:gridSpan w:val="3"/>
            <w:vAlign w:val="center"/>
          </w:tcPr>
          <w:p w14:paraId="1B796589">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1404" w:type="dxa"/>
            <w:vAlign w:val="center"/>
          </w:tcPr>
          <w:p w14:paraId="78CA5229">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2203" w:type="dxa"/>
            <w:gridSpan w:val="2"/>
            <w:vAlign w:val="center"/>
          </w:tcPr>
          <w:p w14:paraId="7B15F411">
            <w:pPr>
              <w:keepNext w:val="0"/>
              <w:keepLines w:val="0"/>
              <w:suppressLineNumbers w:val="0"/>
              <w:spacing w:before="0" w:beforeAutospacing="0" w:after="0" w:afterAutospacing="0" w:line="360" w:lineRule="atLeast"/>
              <w:ind w:left="0" w:right="0"/>
              <w:jc w:val="center"/>
              <w:rPr>
                <w:rFonts w:hint="default" w:ascii="宋体"/>
                <w:color w:val="000000"/>
              </w:rPr>
            </w:pPr>
          </w:p>
        </w:tc>
      </w:tr>
      <w:tr w14:paraId="6BE65C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736A8C19">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3636" w:type="dxa"/>
            <w:gridSpan w:val="3"/>
            <w:vAlign w:val="center"/>
          </w:tcPr>
          <w:p w14:paraId="3632FA13">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1404" w:type="dxa"/>
            <w:vAlign w:val="center"/>
          </w:tcPr>
          <w:p w14:paraId="450D748C">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2203" w:type="dxa"/>
            <w:gridSpan w:val="2"/>
            <w:vAlign w:val="center"/>
          </w:tcPr>
          <w:p w14:paraId="313614F2">
            <w:pPr>
              <w:keepNext w:val="0"/>
              <w:keepLines w:val="0"/>
              <w:suppressLineNumbers w:val="0"/>
              <w:spacing w:before="0" w:beforeAutospacing="0" w:after="0" w:afterAutospacing="0" w:line="360" w:lineRule="atLeast"/>
              <w:ind w:left="0" w:right="0"/>
              <w:jc w:val="center"/>
              <w:rPr>
                <w:rFonts w:hint="default" w:ascii="宋体"/>
                <w:color w:val="000000"/>
              </w:rPr>
            </w:pPr>
          </w:p>
        </w:tc>
      </w:tr>
      <w:tr w14:paraId="379B5E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CAE9CD3">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3636" w:type="dxa"/>
            <w:gridSpan w:val="3"/>
            <w:vAlign w:val="center"/>
          </w:tcPr>
          <w:p w14:paraId="10BF9C1C">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1404" w:type="dxa"/>
            <w:vAlign w:val="center"/>
          </w:tcPr>
          <w:p w14:paraId="158D0384">
            <w:pPr>
              <w:keepNext w:val="0"/>
              <w:keepLines w:val="0"/>
              <w:suppressLineNumbers w:val="0"/>
              <w:spacing w:before="0" w:beforeAutospacing="0" w:after="0" w:afterAutospacing="0" w:line="360" w:lineRule="atLeast"/>
              <w:ind w:left="0" w:right="0"/>
              <w:jc w:val="center"/>
              <w:rPr>
                <w:rFonts w:hint="default" w:ascii="宋体"/>
                <w:color w:val="000000"/>
              </w:rPr>
            </w:pPr>
          </w:p>
        </w:tc>
        <w:tc>
          <w:tcPr>
            <w:tcW w:w="2203" w:type="dxa"/>
            <w:gridSpan w:val="2"/>
            <w:vAlign w:val="center"/>
          </w:tcPr>
          <w:p w14:paraId="0B1868D8">
            <w:pPr>
              <w:keepNext w:val="0"/>
              <w:keepLines w:val="0"/>
              <w:suppressLineNumbers w:val="0"/>
              <w:spacing w:before="0" w:beforeAutospacing="0" w:after="0" w:afterAutospacing="0" w:line="360" w:lineRule="atLeast"/>
              <w:ind w:left="0" w:right="0"/>
              <w:jc w:val="center"/>
              <w:rPr>
                <w:rFonts w:hint="default" w:ascii="宋体"/>
                <w:color w:val="000000"/>
              </w:rPr>
            </w:pPr>
          </w:p>
        </w:tc>
      </w:tr>
    </w:tbl>
    <w:p w14:paraId="04B31EDF">
      <w:pPr>
        <w:spacing w:line="360" w:lineRule="atLeast"/>
        <w:rPr>
          <w:rFonts w:ascii="仿宋_GB2312" w:eastAsia="仿宋_GB2312"/>
          <w:color w:val="000000"/>
        </w:rPr>
      </w:pPr>
    </w:p>
    <w:p w14:paraId="4F38CE97">
      <w:pPr>
        <w:adjustRightInd w:val="0"/>
        <w:snapToGrid w:val="0"/>
        <w:rPr>
          <w:rFonts w:ascii="宋体" w:hAnsi="宋体"/>
          <w:color w:val="000000"/>
          <w:szCs w:val="21"/>
        </w:rPr>
      </w:pPr>
    </w:p>
    <w:p w14:paraId="4A051C61">
      <w:pPr>
        <w:rPr>
          <w:rFonts w:ascii="宋体" w:hAnsi="宋体"/>
          <w:color w:val="000000"/>
          <w:szCs w:val="21"/>
        </w:rPr>
      </w:pPr>
    </w:p>
    <w:p w14:paraId="41DC04BD">
      <w:pPr>
        <w:pStyle w:val="28"/>
        <w:adjustRightInd w:val="0"/>
        <w:snapToGrid w:val="0"/>
        <w:rPr>
          <w:rFonts w:ascii="宋体" w:hAnsi="宋体"/>
          <w:bCs/>
          <w:color w:val="000000"/>
          <w:sz w:val="21"/>
          <w:szCs w:val="21"/>
        </w:rPr>
      </w:pPr>
      <w:bookmarkStart w:id="51" w:name="_Toc5019"/>
      <w:bookmarkStart w:id="52" w:name="_Toc11888"/>
      <w:r>
        <w:rPr>
          <w:rFonts w:hint="eastAsia" w:ascii="宋体" w:hAnsi="宋体"/>
          <w:color w:val="000000"/>
          <w:sz w:val="21"/>
          <w:szCs w:val="21"/>
        </w:rPr>
        <w:t>供应商名称：</w:t>
      </w:r>
      <w:bookmarkEnd w:id="51"/>
      <w:bookmarkEnd w:id="52"/>
    </w:p>
    <w:p w14:paraId="3CCA1F33">
      <w:pPr>
        <w:rPr>
          <w:rFonts w:ascii="宋体" w:hAnsi="宋体"/>
          <w:color w:val="000000"/>
          <w:szCs w:val="21"/>
        </w:rPr>
      </w:pPr>
      <w:bookmarkStart w:id="53" w:name="_Toc18793"/>
      <w:bookmarkStart w:id="54" w:name="_Toc18649"/>
      <w:r>
        <w:rPr>
          <w:rFonts w:hint="eastAsia" w:ascii="宋体" w:hAnsi="宋体"/>
          <w:color w:val="000000"/>
          <w:szCs w:val="21"/>
        </w:rPr>
        <w:t>法定代表人（负责人）或其委托代理人(签字)：_</w:t>
      </w:r>
      <w:bookmarkEnd w:id="53"/>
      <w:bookmarkEnd w:id="54"/>
    </w:p>
    <w:p w14:paraId="76A273CC">
      <w:pPr>
        <w:rPr>
          <w:rFonts w:ascii="宋体"/>
          <w:color w:val="000000"/>
        </w:rPr>
      </w:pPr>
      <w:r>
        <w:rPr>
          <w:rFonts w:hint="eastAsia" w:ascii="宋体" w:hAnsi="宋体"/>
          <w:color w:val="000000"/>
          <w:szCs w:val="21"/>
        </w:rPr>
        <w:t>日期：  年  月  日</w:t>
      </w:r>
    </w:p>
    <w:p w14:paraId="3973B727">
      <w:pPr>
        <w:snapToGrid w:val="0"/>
        <w:spacing w:line="360" w:lineRule="auto"/>
        <w:jc w:val="center"/>
        <w:rPr>
          <w:rStyle w:val="148"/>
          <w:rFonts w:ascii="黑体" w:eastAsia="黑体"/>
          <w:b/>
          <w:sz w:val="32"/>
          <w:szCs w:val="32"/>
        </w:rPr>
      </w:pPr>
    </w:p>
    <w:p w14:paraId="3B91833B">
      <w:pPr>
        <w:pStyle w:val="7"/>
        <w:ind w:firstLine="2249" w:firstLineChars="800"/>
        <w:rPr>
          <w:rFonts w:ascii="黑体" w:hAnsi="黑体" w:eastAsia="黑体"/>
          <w:sz w:val="28"/>
          <w:szCs w:val="28"/>
        </w:rPr>
      </w:pPr>
      <w:bookmarkStart w:id="55" w:name="_Toc34637795"/>
      <w:bookmarkStart w:id="56" w:name="_Toc23176"/>
      <w:r>
        <w:rPr>
          <w:rFonts w:hint="eastAsia" w:ascii="黑体" w:hAnsi="黑体" w:eastAsia="黑体" w:cs="黑体"/>
          <w:color w:val="000000"/>
          <w:sz w:val="28"/>
          <w:szCs w:val="28"/>
        </w:rPr>
        <w:t>七</w:t>
      </w:r>
      <w:r>
        <w:rPr>
          <w:rFonts w:hint="eastAsia" w:ascii="黑体" w:hAnsi="黑体" w:eastAsia="黑体" w:cs="黑体"/>
          <w:sz w:val="28"/>
          <w:szCs w:val="28"/>
        </w:rPr>
        <w:t>、报价表及报价文件(格式)</w:t>
      </w:r>
      <w:bookmarkEnd w:id="55"/>
      <w:bookmarkEnd w:id="56"/>
    </w:p>
    <w:p w14:paraId="430F61FE">
      <w:pPr>
        <w:spacing w:line="480" w:lineRule="exact"/>
        <w:ind w:right="23" w:rightChars="11"/>
        <w:rPr>
          <w:rFonts w:ascii="宋体" w:hAnsi="宋体"/>
          <w:b/>
          <w:bCs/>
          <w:color w:val="000000"/>
          <w:szCs w:val="21"/>
        </w:rPr>
      </w:pPr>
      <w:bookmarkStart w:id="57" w:name="_Toc34637796"/>
      <w:r>
        <w:rPr>
          <w:rFonts w:hint="eastAsia" w:ascii="宋体" w:hAnsi="宋体"/>
          <w:b/>
          <w:bCs/>
          <w:color w:val="000000"/>
          <w:szCs w:val="21"/>
        </w:rPr>
        <w:t>附件</w:t>
      </w:r>
      <w:r>
        <w:rPr>
          <w:rFonts w:ascii="宋体" w:hAnsi="宋体"/>
          <w:b/>
          <w:bCs/>
          <w:color w:val="000000"/>
          <w:szCs w:val="21"/>
        </w:rPr>
        <w:t>7</w:t>
      </w:r>
      <w:r>
        <w:rPr>
          <w:rFonts w:hint="eastAsia" w:ascii="宋体" w:hAnsi="宋体"/>
          <w:b/>
          <w:bCs/>
          <w:color w:val="000000"/>
          <w:szCs w:val="21"/>
        </w:rPr>
        <w:t>-1 报价表</w:t>
      </w:r>
      <w:bookmarkEnd w:id="57"/>
    </w:p>
    <w:p w14:paraId="269B0BF2">
      <w:pPr>
        <w:jc w:val="center"/>
        <w:rPr>
          <w:rFonts w:ascii="黑体" w:hAnsi="黑体" w:eastAsia="黑体"/>
          <w:b/>
          <w:sz w:val="28"/>
          <w:szCs w:val="28"/>
        </w:rPr>
      </w:pPr>
      <w:r>
        <w:rPr>
          <w:rFonts w:hint="eastAsia" w:ascii="黑体" w:hAnsi="黑体" w:eastAsia="黑体"/>
          <w:b/>
          <w:sz w:val="28"/>
          <w:szCs w:val="28"/>
        </w:rPr>
        <w:t>报价表</w:t>
      </w:r>
    </w:p>
    <w:p w14:paraId="1A5D0972">
      <w:pPr>
        <w:adjustRightInd w:val="0"/>
        <w:snapToGrid w:val="0"/>
        <w:spacing w:line="360" w:lineRule="auto"/>
        <w:ind w:left="-88" w:leftChars="-42"/>
        <w:jc w:val="center"/>
        <w:rPr>
          <w:rFonts w:ascii="仿宋_GB2312" w:hAnsi="宋体" w:eastAsia="仿宋_GB2312"/>
          <w:sz w:val="24"/>
        </w:rPr>
      </w:pPr>
    </w:p>
    <w:tbl>
      <w:tblPr>
        <w:tblStyle w:val="46"/>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18"/>
        <w:gridCol w:w="2762"/>
        <w:gridCol w:w="1620"/>
        <w:gridCol w:w="2520"/>
      </w:tblGrid>
      <w:tr w14:paraId="56ED31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1918" w:type="dxa"/>
            <w:vMerge w:val="restart"/>
            <w:tcBorders>
              <w:top w:val="double" w:color="auto" w:sz="4" w:space="0"/>
              <w:left w:val="double" w:color="auto" w:sz="4" w:space="0"/>
              <w:bottom w:val="single" w:color="auto" w:sz="6" w:space="0"/>
              <w:right w:val="single" w:color="auto" w:sz="6" w:space="0"/>
            </w:tcBorders>
            <w:vAlign w:val="center"/>
          </w:tcPr>
          <w:p w14:paraId="32A57742">
            <w:pPr>
              <w:keepNext w:val="0"/>
              <w:keepLines w:val="0"/>
              <w:suppressLineNumbers w:val="0"/>
              <w:tabs>
                <w:tab w:val="left" w:pos="403"/>
                <w:tab w:val="center" w:pos="3781"/>
              </w:tabs>
              <w:spacing w:before="0" w:beforeAutospacing="0" w:after="0" w:afterAutospacing="0" w:line="420" w:lineRule="exact"/>
              <w:ind w:left="0" w:right="-5206" w:rightChars="-2479" w:firstLine="210" w:firstLineChars="100"/>
              <w:rPr>
                <w:rFonts w:hint="default" w:ascii="宋体" w:hAnsi="宋体" w:cs="宋体"/>
                <w:szCs w:val="21"/>
              </w:rPr>
            </w:pPr>
            <w:r>
              <w:rPr>
                <w:rFonts w:hint="eastAsia" w:ascii="宋体" w:hAnsi="宋体" w:cs="宋体"/>
                <w:szCs w:val="21"/>
              </w:rPr>
              <w:t>项目名称</w:t>
            </w:r>
            <w:r>
              <w:rPr>
                <w:rFonts w:hint="eastAsia" w:ascii="宋体" w:hAnsi="宋体" w:cs="宋体"/>
                <w:szCs w:val="21"/>
              </w:rPr>
              <w:tab/>
            </w:r>
            <w:r>
              <w:rPr>
                <w:rFonts w:hint="eastAsia" w:ascii="宋体" w:hAnsi="宋体" w:cs="宋体"/>
                <w:szCs w:val="21"/>
              </w:rPr>
              <w:t>项目名称</w:t>
            </w:r>
          </w:p>
        </w:tc>
        <w:tc>
          <w:tcPr>
            <w:tcW w:w="2762" w:type="dxa"/>
            <w:vMerge w:val="restart"/>
            <w:tcBorders>
              <w:top w:val="double" w:color="auto" w:sz="4" w:space="0"/>
              <w:left w:val="single" w:color="auto" w:sz="6" w:space="0"/>
              <w:bottom w:val="single" w:color="auto" w:sz="6" w:space="0"/>
              <w:right w:val="single" w:color="auto" w:sz="6" w:space="0"/>
            </w:tcBorders>
            <w:vAlign w:val="center"/>
          </w:tcPr>
          <w:p w14:paraId="1B0BB8A1">
            <w:pPr>
              <w:keepNext w:val="0"/>
              <w:keepLines w:val="0"/>
              <w:suppressLineNumbers w:val="0"/>
              <w:spacing w:before="0" w:beforeAutospacing="0" w:after="0" w:afterAutospacing="0" w:line="420" w:lineRule="exact"/>
              <w:ind w:left="0" w:right="0"/>
              <w:jc w:val="center"/>
              <w:rPr>
                <w:rFonts w:hint="default" w:ascii="宋体" w:hAnsi="宋体" w:cs="宋体"/>
                <w:szCs w:val="21"/>
              </w:rPr>
            </w:pPr>
          </w:p>
        </w:tc>
        <w:tc>
          <w:tcPr>
            <w:tcW w:w="1620" w:type="dxa"/>
            <w:tcBorders>
              <w:top w:val="double" w:color="auto" w:sz="4" w:space="0"/>
              <w:left w:val="single" w:color="auto" w:sz="6" w:space="0"/>
              <w:bottom w:val="single" w:color="auto" w:sz="6" w:space="0"/>
              <w:right w:val="single" w:color="auto" w:sz="6" w:space="0"/>
            </w:tcBorders>
            <w:vAlign w:val="center"/>
          </w:tcPr>
          <w:p w14:paraId="181AEBDB">
            <w:pPr>
              <w:keepNext w:val="0"/>
              <w:keepLines w:val="0"/>
              <w:suppressLineNumbers w:val="0"/>
              <w:spacing w:before="0" w:beforeAutospacing="0" w:after="0" w:afterAutospacing="0" w:line="420" w:lineRule="exact"/>
              <w:ind w:left="0" w:right="0"/>
              <w:jc w:val="center"/>
              <w:rPr>
                <w:rFonts w:hint="default" w:ascii="宋体" w:hAnsi="宋体" w:cs="宋体"/>
                <w:szCs w:val="21"/>
              </w:rPr>
            </w:pPr>
            <w:r>
              <w:rPr>
                <w:rFonts w:hint="eastAsia" w:ascii="宋体" w:hAnsi="宋体" w:cs="宋体"/>
                <w:szCs w:val="21"/>
              </w:rPr>
              <w:t>政府采购编号</w:t>
            </w:r>
          </w:p>
        </w:tc>
        <w:tc>
          <w:tcPr>
            <w:tcW w:w="2520" w:type="dxa"/>
            <w:tcBorders>
              <w:top w:val="double" w:color="auto" w:sz="4" w:space="0"/>
              <w:left w:val="single" w:color="auto" w:sz="6" w:space="0"/>
              <w:bottom w:val="single" w:color="auto" w:sz="6" w:space="0"/>
              <w:right w:val="double" w:color="auto" w:sz="4" w:space="0"/>
            </w:tcBorders>
            <w:vAlign w:val="center"/>
          </w:tcPr>
          <w:p w14:paraId="0DCDE979">
            <w:pPr>
              <w:keepNext w:val="0"/>
              <w:keepLines w:val="0"/>
              <w:suppressLineNumbers w:val="0"/>
              <w:spacing w:before="0" w:beforeAutospacing="0" w:after="0" w:afterAutospacing="0" w:line="420" w:lineRule="exact"/>
              <w:ind w:left="0" w:right="0"/>
              <w:jc w:val="center"/>
              <w:rPr>
                <w:rFonts w:hint="default" w:ascii="宋体" w:hAnsi="宋体" w:cs="宋体"/>
                <w:szCs w:val="21"/>
              </w:rPr>
            </w:pPr>
          </w:p>
        </w:tc>
      </w:tr>
      <w:tr w14:paraId="488235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1918" w:type="dxa"/>
            <w:vMerge w:val="continue"/>
            <w:tcBorders>
              <w:top w:val="single" w:color="auto" w:sz="6" w:space="0"/>
              <w:left w:val="double" w:color="auto" w:sz="4" w:space="0"/>
              <w:bottom w:val="single" w:color="auto" w:sz="6" w:space="0"/>
              <w:right w:val="single" w:color="auto" w:sz="6" w:space="0"/>
            </w:tcBorders>
            <w:vAlign w:val="center"/>
          </w:tcPr>
          <w:p w14:paraId="510DB545">
            <w:pPr>
              <w:keepNext w:val="0"/>
              <w:keepLines w:val="0"/>
              <w:suppressLineNumbers w:val="0"/>
              <w:tabs>
                <w:tab w:val="left" w:pos="403"/>
                <w:tab w:val="center" w:pos="3781"/>
              </w:tabs>
              <w:spacing w:before="0" w:beforeAutospacing="0" w:after="0" w:afterAutospacing="0" w:line="420" w:lineRule="exact"/>
              <w:ind w:left="0" w:right="-5206" w:rightChars="-2479"/>
              <w:rPr>
                <w:rFonts w:hint="default" w:ascii="宋体" w:hAnsi="宋体" w:cs="宋体"/>
                <w:szCs w:val="21"/>
              </w:rPr>
            </w:pPr>
          </w:p>
        </w:tc>
        <w:tc>
          <w:tcPr>
            <w:tcW w:w="2762" w:type="dxa"/>
            <w:vMerge w:val="continue"/>
            <w:tcBorders>
              <w:top w:val="single" w:color="auto" w:sz="6" w:space="0"/>
              <w:left w:val="single" w:color="auto" w:sz="6" w:space="0"/>
              <w:bottom w:val="single" w:color="auto" w:sz="6" w:space="0"/>
              <w:right w:val="single" w:color="auto" w:sz="6" w:space="0"/>
            </w:tcBorders>
            <w:vAlign w:val="center"/>
          </w:tcPr>
          <w:p w14:paraId="33BD4DD7">
            <w:pPr>
              <w:keepNext w:val="0"/>
              <w:keepLines w:val="0"/>
              <w:suppressLineNumbers w:val="0"/>
              <w:spacing w:before="0" w:beforeAutospacing="0" w:after="0" w:afterAutospacing="0" w:line="420" w:lineRule="exact"/>
              <w:ind w:left="0" w:right="0"/>
              <w:jc w:val="center"/>
              <w:rPr>
                <w:rFonts w:hint="default"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14:paraId="141A7FAA">
            <w:pPr>
              <w:keepNext w:val="0"/>
              <w:keepLines w:val="0"/>
              <w:suppressLineNumbers w:val="0"/>
              <w:spacing w:before="0" w:beforeAutospacing="0" w:after="0" w:afterAutospacing="0" w:line="420" w:lineRule="exact"/>
              <w:ind w:left="0" w:right="0"/>
              <w:jc w:val="center"/>
              <w:rPr>
                <w:rFonts w:hint="default" w:ascii="宋体" w:hAnsi="宋体" w:cs="宋体"/>
                <w:szCs w:val="21"/>
              </w:rPr>
            </w:pPr>
            <w:r>
              <w:rPr>
                <w:rFonts w:hint="eastAsia" w:ascii="宋体" w:hAnsi="宋体" w:cs="宋体"/>
                <w:szCs w:val="21"/>
              </w:rPr>
              <w:t>采购代理编号</w:t>
            </w:r>
          </w:p>
        </w:tc>
        <w:tc>
          <w:tcPr>
            <w:tcW w:w="2520" w:type="dxa"/>
            <w:tcBorders>
              <w:top w:val="single" w:color="auto" w:sz="6" w:space="0"/>
              <w:left w:val="single" w:color="auto" w:sz="6" w:space="0"/>
              <w:bottom w:val="single" w:color="auto" w:sz="6" w:space="0"/>
              <w:right w:val="double" w:color="auto" w:sz="4" w:space="0"/>
            </w:tcBorders>
            <w:vAlign w:val="center"/>
          </w:tcPr>
          <w:p w14:paraId="15D4DB36">
            <w:pPr>
              <w:keepNext w:val="0"/>
              <w:keepLines w:val="0"/>
              <w:suppressLineNumbers w:val="0"/>
              <w:spacing w:before="0" w:beforeAutospacing="0" w:after="0" w:afterAutospacing="0" w:line="420" w:lineRule="exact"/>
              <w:ind w:left="0" w:right="0"/>
              <w:jc w:val="center"/>
              <w:rPr>
                <w:rFonts w:hint="default" w:ascii="宋体" w:hAnsi="宋体" w:cs="宋体"/>
                <w:szCs w:val="21"/>
              </w:rPr>
            </w:pPr>
          </w:p>
        </w:tc>
      </w:tr>
      <w:tr w14:paraId="5F47A8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97" w:hRule="atLeast"/>
        </w:trPr>
        <w:tc>
          <w:tcPr>
            <w:tcW w:w="1918" w:type="dxa"/>
            <w:tcBorders>
              <w:top w:val="single" w:color="auto" w:sz="6" w:space="0"/>
              <w:left w:val="double" w:color="auto" w:sz="4" w:space="0"/>
              <w:right w:val="single" w:color="auto" w:sz="6" w:space="0"/>
            </w:tcBorders>
            <w:vAlign w:val="center"/>
          </w:tcPr>
          <w:p w14:paraId="17E6F279">
            <w:pPr>
              <w:keepNext w:val="0"/>
              <w:keepLines w:val="0"/>
              <w:suppressLineNumbers w:val="0"/>
              <w:spacing w:before="0" w:beforeAutospacing="0" w:after="0" w:afterAutospacing="0" w:line="420" w:lineRule="exact"/>
              <w:ind w:left="0" w:right="0"/>
              <w:jc w:val="center"/>
              <w:rPr>
                <w:rFonts w:hint="default" w:ascii="宋体" w:hAnsi="宋体" w:cs="宋体"/>
                <w:szCs w:val="21"/>
              </w:rPr>
            </w:pPr>
            <w:r>
              <w:rPr>
                <w:rFonts w:hint="eastAsia" w:ascii="宋体" w:hAnsi="宋体" w:cs="宋体"/>
                <w:szCs w:val="21"/>
              </w:rPr>
              <w:t>报价</w:t>
            </w:r>
          </w:p>
        </w:tc>
        <w:tc>
          <w:tcPr>
            <w:tcW w:w="6902" w:type="dxa"/>
            <w:gridSpan w:val="3"/>
            <w:tcBorders>
              <w:top w:val="single" w:color="auto" w:sz="6" w:space="0"/>
              <w:left w:val="single" w:color="auto" w:sz="6" w:space="0"/>
              <w:bottom w:val="single" w:color="auto" w:sz="6" w:space="0"/>
              <w:right w:val="double" w:color="auto" w:sz="4" w:space="0"/>
            </w:tcBorders>
            <w:vAlign w:val="center"/>
          </w:tcPr>
          <w:p w14:paraId="76DFA489">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大写：（人民币）</w:t>
            </w:r>
          </w:p>
          <w:p w14:paraId="47BEB84C">
            <w:pPr>
              <w:keepNext w:val="0"/>
              <w:keepLines w:val="0"/>
              <w:suppressLineNumbers w:val="0"/>
              <w:spacing w:before="0" w:beforeAutospacing="0" w:after="0" w:afterAutospacing="0" w:line="420" w:lineRule="exact"/>
              <w:ind w:left="0" w:right="0"/>
              <w:rPr>
                <w:rFonts w:hint="default" w:ascii="宋体" w:hAnsi="宋体" w:cs="宋体"/>
                <w:szCs w:val="21"/>
              </w:rPr>
            </w:pPr>
            <w:r>
              <w:rPr>
                <w:rFonts w:hint="eastAsia" w:ascii="宋体" w:hAnsi="宋体" w:cs="宋体"/>
                <w:szCs w:val="21"/>
              </w:rPr>
              <w:t>小写：（人民币）</w:t>
            </w:r>
          </w:p>
        </w:tc>
      </w:tr>
      <w:tr w14:paraId="6478EA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918" w:type="dxa"/>
            <w:tcBorders>
              <w:top w:val="single" w:color="auto" w:sz="6" w:space="0"/>
              <w:left w:val="double" w:color="auto" w:sz="4" w:space="0"/>
              <w:bottom w:val="single" w:color="auto" w:sz="6" w:space="0"/>
              <w:right w:val="single" w:color="auto" w:sz="6" w:space="0"/>
            </w:tcBorders>
            <w:vAlign w:val="center"/>
          </w:tcPr>
          <w:p w14:paraId="5E317E66">
            <w:pPr>
              <w:keepNext w:val="0"/>
              <w:keepLines w:val="0"/>
              <w:suppressLineNumbers w:val="0"/>
              <w:spacing w:before="0" w:beforeAutospacing="0" w:after="0" w:afterAutospacing="0"/>
              <w:ind w:left="0" w:right="0"/>
              <w:jc w:val="center"/>
              <w:rPr>
                <w:rFonts w:hint="default"/>
                <w:color w:val="000000"/>
              </w:rPr>
            </w:pPr>
            <w:r>
              <w:rPr>
                <w:rFonts w:hint="default" w:ascii="宋体" w:hAnsi="宋体" w:cs="宋体"/>
                <w:color w:val="000000"/>
                <w:szCs w:val="21"/>
              </w:rPr>
              <w:t>工期（日历天）</w:t>
            </w:r>
          </w:p>
        </w:tc>
        <w:tc>
          <w:tcPr>
            <w:tcW w:w="6902" w:type="dxa"/>
            <w:gridSpan w:val="3"/>
            <w:tcBorders>
              <w:top w:val="single" w:color="auto" w:sz="6" w:space="0"/>
              <w:left w:val="single" w:color="auto" w:sz="6" w:space="0"/>
              <w:bottom w:val="single" w:color="auto" w:sz="6" w:space="0"/>
              <w:right w:val="double" w:color="auto" w:sz="4" w:space="0"/>
            </w:tcBorders>
            <w:vAlign w:val="center"/>
          </w:tcPr>
          <w:p w14:paraId="3AD4B1F9">
            <w:pPr>
              <w:keepNext w:val="0"/>
              <w:keepLines w:val="0"/>
              <w:suppressLineNumbers w:val="0"/>
              <w:spacing w:before="0" w:beforeAutospacing="0" w:after="0" w:afterAutospacing="0" w:line="420" w:lineRule="exact"/>
              <w:ind w:left="0" w:right="0"/>
              <w:rPr>
                <w:rFonts w:hint="default" w:ascii="宋体" w:hAnsi="宋体" w:cs="宋体"/>
                <w:szCs w:val="21"/>
              </w:rPr>
            </w:pPr>
          </w:p>
        </w:tc>
      </w:tr>
      <w:tr w14:paraId="78798A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918" w:type="dxa"/>
            <w:tcBorders>
              <w:top w:val="single" w:color="auto" w:sz="6" w:space="0"/>
              <w:left w:val="double" w:color="auto" w:sz="4" w:space="0"/>
              <w:bottom w:val="single" w:color="auto" w:sz="6" w:space="0"/>
              <w:right w:val="single" w:color="auto" w:sz="6" w:space="0"/>
            </w:tcBorders>
            <w:vAlign w:val="center"/>
          </w:tcPr>
          <w:p w14:paraId="38C63505">
            <w:pPr>
              <w:keepNext w:val="0"/>
              <w:keepLines w:val="0"/>
              <w:suppressLineNumbers w:val="0"/>
              <w:spacing w:before="0" w:beforeAutospacing="0" w:after="0" w:afterAutospacing="0"/>
              <w:ind w:left="0" w:right="0"/>
              <w:jc w:val="center"/>
              <w:rPr>
                <w:rFonts w:hint="default"/>
                <w:color w:val="000000"/>
              </w:rPr>
            </w:pPr>
            <w:r>
              <w:rPr>
                <w:rFonts w:hint="default" w:ascii="宋体" w:hAnsi="宋体" w:cs="宋体"/>
                <w:color w:val="000000"/>
                <w:szCs w:val="21"/>
              </w:rPr>
              <w:t>质量等级</w:t>
            </w:r>
          </w:p>
        </w:tc>
        <w:tc>
          <w:tcPr>
            <w:tcW w:w="6902" w:type="dxa"/>
            <w:gridSpan w:val="3"/>
            <w:tcBorders>
              <w:top w:val="single" w:color="auto" w:sz="6" w:space="0"/>
              <w:left w:val="single" w:color="auto" w:sz="6" w:space="0"/>
              <w:bottom w:val="single" w:color="auto" w:sz="6" w:space="0"/>
              <w:right w:val="double" w:color="auto" w:sz="4" w:space="0"/>
            </w:tcBorders>
            <w:vAlign w:val="center"/>
          </w:tcPr>
          <w:p w14:paraId="01F8F50A">
            <w:pPr>
              <w:keepNext w:val="0"/>
              <w:keepLines w:val="0"/>
              <w:suppressLineNumbers w:val="0"/>
              <w:spacing w:before="0" w:beforeAutospacing="0" w:after="0" w:afterAutospacing="0" w:line="420" w:lineRule="exact"/>
              <w:ind w:left="0" w:right="0"/>
              <w:rPr>
                <w:rFonts w:hint="default" w:ascii="宋体" w:hAnsi="宋体" w:cs="宋体"/>
                <w:szCs w:val="21"/>
              </w:rPr>
            </w:pPr>
          </w:p>
        </w:tc>
      </w:tr>
      <w:tr w14:paraId="6F7859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918" w:type="dxa"/>
            <w:tcBorders>
              <w:top w:val="single" w:color="auto" w:sz="6" w:space="0"/>
              <w:left w:val="double" w:color="auto" w:sz="4" w:space="0"/>
              <w:bottom w:val="single" w:color="auto" w:sz="6" w:space="0"/>
              <w:right w:val="single" w:color="auto" w:sz="6" w:space="0"/>
            </w:tcBorders>
            <w:vAlign w:val="center"/>
          </w:tcPr>
          <w:p w14:paraId="04273BB5">
            <w:pPr>
              <w:keepNext w:val="0"/>
              <w:keepLines w:val="0"/>
              <w:suppressLineNumbers w:val="0"/>
              <w:spacing w:before="0" w:beforeAutospacing="0" w:after="0" w:afterAutospacing="0"/>
              <w:ind w:left="0" w:right="0"/>
              <w:jc w:val="center"/>
              <w:rPr>
                <w:rFonts w:hint="default"/>
                <w:color w:val="000000"/>
              </w:rPr>
            </w:pPr>
            <w:r>
              <w:rPr>
                <w:rFonts w:hint="eastAsia" w:ascii="宋体" w:hAnsi="宋体" w:cs="宋体"/>
                <w:color w:val="auto"/>
                <w:szCs w:val="21"/>
                <w:lang w:val="en-US" w:eastAsia="zh-CN"/>
              </w:rPr>
              <w:t>缺陷责任期</w:t>
            </w:r>
          </w:p>
        </w:tc>
        <w:tc>
          <w:tcPr>
            <w:tcW w:w="6902" w:type="dxa"/>
            <w:gridSpan w:val="3"/>
            <w:tcBorders>
              <w:top w:val="single" w:color="auto" w:sz="6" w:space="0"/>
              <w:left w:val="single" w:color="auto" w:sz="6" w:space="0"/>
              <w:bottom w:val="single" w:color="auto" w:sz="6" w:space="0"/>
              <w:right w:val="double" w:color="auto" w:sz="4" w:space="0"/>
            </w:tcBorders>
            <w:vAlign w:val="center"/>
          </w:tcPr>
          <w:p w14:paraId="6D5D4DF8">
            <w:pPr>
              <w:keepNext w:val="0"/>
              <w:keepLines w:val="0"/>
              <w:suppressLineNumbers w:val="0"/>
              <w:spacing w:before="0" w:beforeAutospacing="0" w:after="0" w:afterAutospacing="0" w:line="420" w:lineRule="exact"/>
              <w:ind w:left="0" w:right="0"/>
              <w:rPr>
                <w:rFonts w:hint="default" w:ascii="宋体" w:hAnsi="宋体" w:cs="宋体"/>
                <w:szCs w:val="21"/>
              </w:rPr>
            </w:pPr>
          </w:p>
        </w:tc>
      </w:tr>
      <w:tr w14:paraId="739563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918" w:type="dxa"/>
            <w:tcBorders>
              <w:top w:val="single" w:color="auto" w:sz="6" w:space="0"/>
              <w:left w:val="double" w:color="auto" w:sz="4" w:space="0"/>
              <w:bottom w:val="single" w:color="auto" w:sz="6" w:space="0"/>
              <w:right w:val="single" w:color="auto" w:sz="6" w:space="0"/>
            </w:tcBorders>
            <w:vAlign w:val="center"/>
          </w:tcPr>
          <w:p w14:paraId="6CB6AACD">
            <w:pPr>
              <w:keepNext w:val="0"/>
              <w:keepLines w:val="0"/>
              <w:suppressLineNumbers w:val="0"/>
              <w:spacing w:before="0" w:beforeAutospacing="0" w:after="0" w:afterAutospacing="0"/>
              <w:ind w:left="0" w:right="0"/>
              <w:jc w:val="center"/>
              <w:rPr>
                <w:rFonts w:hint="default"/>
                <w:color w:val="000000"/>
              </w:rPr>
            </w:pPr>
            <w:r>
              <w:rPr>
                <w:rFonts w:hint="default" w:ascii="宋体" w:hAnsi="宋体" w:cs="宋体"/>
                <w:color w:val="000000"/>
                <w:szCs w:val="21"/>
              </w:rPr>
              <w:t>项目负责人</w:t>
            </w:r>
          </w:p>
        </w:tc>
        <w:tc>
          <w:tcPr>
            <w:tcW w:w="6902" w:type="dxa"/>
            <w:gridSpan w:val="3"/>
            <w:tcBorders>
              <w:top w:val="single" w:color="auto" w:sz="6" w:space="0"/>
              <w:left w:val="single" w:color="auto" w:sz="6" w:space="0"/>
              <w:bottom w:val="single" w:color="auto" w:sz="6" w:space="0"/>
              <w:right w:val="double" w:color="auto" w:sz="4" w:space="0"/>
            </w:tcBorders>
            <w:vAlign w:val="center"/>
          </w:tcPr>
          <w:p w14:paraId="326A6FE1">
            <w:pPr>
              <w:keepNext w:val="0"/>
              <w:keepLines w:val="0"/>
              <w:suppressLineNumbers w:val="0"/>
              <w:spacing w:before="0" w:beforeAutospacing="0" w:after="0" w:afterAutospacing="0" w:line="420" w:lineRule="exact"/>
              <w:ind w:left="0" w:right="0"/>
              <w:rPr>
                <w:rFonts w:hint="default" w:ascii="宋体" w:hAnsi="宋体" w:cs="宋体"/>
                <w:szCs w:val="21"/>
              </w:rPr>
            </w:pPr>
          </w:p>
        </w:tc>
      </w:tr>
      <w:tr w14:paraId="1236FF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918" w:type="dxa"/>
            <w:tcBorders>
              <w:top w:val="single" w:color="auto" w:sz="6" w:space="0"/>
              <w:left w:val="double" w:color="auto" w:sz="4" w:space="0"/>
              <w:bottom w:val="double" w:color="auto" w:sz="4" w:space="0"/>
              <w:right w:val="single" w:color="auto" w:sz="6" w:space="0"/>
            </w:tcBorders>
            <w:vAlign w:val="center"/>
          </w:tcPr>
          <w:p w14:paraId="733718BC">
            <w:pPr>
              <w:keepNext w:val="0"/>
              <w:keepLines w:val="0"/>
              <w:suppressLineNumbers w:val="0"/>
              <w:spacing w:before="0" w:beforeAutospacing="0" w:after="0" w:afterAutospacing="0" w:line="420" w:lineRule="exact"/>
              <w:ind w:left="0" w:right="0"/>
              <w:jc w:val="center"/>
              <w:rPr>
                <w:rFonts w:hint="default" w:ascii="宋体" w:hAnsi="宋体" w:cs="宋体"/>
                <w:szCs w:val="21"/>
              </w:rPr>
            </w:pPr>
            <w:r>
              <w:rPr>
                <w:rFonts w:hint="eastAsia" w:ascii="宋体" w:hAnsi="宋体" w:cs="宋体"/>
                <w:szCs w:val="21"/>
              </w:rPr>
              <w:t>备  注</w:t>
            </w:r>
          </w:p>
        </w:tc>
        <w:tc>
          <w:tcPr>
            <w:tcW w:w="6902" w:type="dxa"/>
            <w:gridSpan w:val="3"/>
            <w:tcBorders>
              <w:top w:val="single" w:color="auto" w:sz="6" w:space="0"/>
              <w:left w:val="single" w:color="auto" w:sz="6" w:space="0"/>
              <w:bottom w:val="double" w:color="auto" w:sz="4" w:space="0"/>
              <w:right w:val="double" w:color="auto" w:sz="4" w:space="0"/>
            </w:tcBorders>
            <w:vAlign w:val="center"/>
          </w:tcPr>
          <w:p w14:paraId="3C935EEE">
            <w:pPr>
              <w:keepNext w:val="0"/>
              <w:keepLines w:val="0"/>
              <w:suppressLineNumbers w:val="0"/>
              <w:spacing w:before="0" w:beforeAutospacing="0" w:after="0" w:afterAutospacing="0" w:line="420" w:lineRule="exact"/>
              <w:ind w:left="0" w:right="0"/>
              <w:rPr>
                <w:rFonts w:hint="default" w:ascii="宋体" w:hAnsi="宋体" w:cs="宋体"/>
                <w:szCs w:val="21"/>
              </w:rPr>
            </w:pPr>
          </w:p>
        </w:tc>
      </w:tr>
    </w:tbl>
    <w:p w14:paraId="1CD43710">
      <w:pPr>
        <w:adjustRightInd w:val="0"/>
        <w:snapToGrid w:val="0"/>
        <w:spacing w:beforeLines="50" w:line="360" w:lineRule="auto"/>
        <w:rPr>
          <w:rFonts w:ascii="宋体" w:hAnsi="宋体"/>
          <w:szCs w:val="21"/>
        </w:rPr>
      </w:pPr>
    </w:p>
    <w:p w14:paraId="5207CE96">
      <w:pPr>
        <w:adjustRightInd w:val="0"/>
        <w:snapToGrid w:val="0"/>
        <w:spacing w:line="360" w:lineRule="auto"/>
        <w:rPr>
          <w:rFonts w:ascii="宋体" w:hAnsi="宋体"/>
          <w:color w:val="FF0000"/>
          <w:szCs w:val="21"/>
        </w:rPr>
      </w:pPr>
    </w:p>
    <w:p w14:paraId="530BA692">
      <w:pPr>
        <w:adjustRightInd w:val="0"/>
        <w:snapToGrid w:val="0"/>
        <w:spacing w:line="360" w:lineRule="auto"/>
        <w:rPr>
          <w:rFonts w:ascii="宋体" w:hAnsi="宋体"/>
          <w:szCs w:val="21"/>
        </w:rPr>
      </w:pPr>
      <w:r>
        <w:rPr>
          <w:rFonts w:hint="eastAsia" w:ascii="宋体" w:hAnsi="宋体"/>
          <w:szCs w:val="21"/>
        </w:rPr>
        <w:t>供应商名称（盖单位公章）：</w:t>
      </w:r>
    </w:p>
    <w:p w14:paraId="190DE57C">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或其授权的代理人（签字或印章）：_</w:t>
      </w:r>
    </w:p>
    <w:p w14:paraId="009187D9">
      <w:pPr>
        <w:adjustRightInd w:val="0"/>
        <w:snapToGrid w:val="0"/>
        <w:spacing w:line="360" w:lineRule="auto"/>
        <w:rPr>
          <w:rFonts w:ascii="宋体" w:hAnsi="宋体"/>
          <w:szCs w:val="21"/>
        </w:rPr>
      </w:pPr>
      <w:r>
        <w:rPr>
          <w:rFonts w:hint="eastAsia" w:ascii="宋体" w:hAnsi="宋体"/>
          <w:szCs w:val="21"/>
        </w:rPr>
        <w:t>日期：年月日</w:t>
      </w:r>
    </w:p>
    <w:p w14:paraId="3484A63B">
      <w:pPr>
        <w:widowControl/>
        <w:jc w:val="left"/>
        <w:rPr>
          <w:rFonts w:ascii="黑体" w:hAnsi="黑体" w:eastAsia="黑体"/>
          <w:bCs/>
          <w:sz w:val="30"/>
          <w:szCs w:val="30"/>
        </w:rPr>
      </w:pPr>
      <w:r>
        <w:rPr>
          <w:rFonts w:ascii="黑体" w:hAnsi="黑体" w:eastAsia="黑体"/>
          <w:bCs/>
          <w:sz w:val="30"/>
          <w:szCs w:val="30"/>
        </w:rPr>
        <w:br w:type="page"/>
      </w:r>
    </w:p>
    <w:p w14:paraId="06B92207">
      <w:pPr>
        <w:rPr>
          <w:rFonts w:ascii="宋体" w:hAnsi="宋体"/>
          <w:b/>
          <w:bCs/>
          <w:szCs w:val="21"/>
        </w:rPr>
      </w:pPr>
      <w:bookmarkStart w:id="58" w:name="_Toc34637797"/>
      <w:r>
        <w:rPr>
          <w:rFonts w:hint="eastAsia" w:ascii="宋体" w:hAnsi="宋体"/>
          <w:b/>
          <w:bCs/>
          <w:szCs w:val="21"/>
        </w:rPr>
        <w:t>附件</w:t>
      </w:r>
      <w:r>
        <w:rPr>
          <w:rFonts w:ascii="宋体" w:hAnsi="宋体"/>
          <w:b/>
          <w:bCs/>
          <w:szCs w:val="21"/>
        </w:rPr>
        <w:t>7</w:t>
      </w:r>
      <w:r>
        <w:rPr>
          <w:rFonts w:hint="eastAsia" w:ascii="宋体" w:hAnsi="宋体"/>
          <w:b/>
          <w:bCs/>
          <w:szCs w:val="21"/>
        </w:rPr>
        <w:t>-2 分项报价说明</w:t>
      </w:r>
      <w:bookmarkEnd w:id="58"/>
    </w:p>
    <w:p w14:paraId="572E692D">
      <w:pPr>
        <w:autoSpaceDE w:val="0"/>
        <w:autoSpaceDN w:val="0"/>
        <w:adjustRightInd w:val="0"/>
        <w:snapToGrid w:val="0"/>
        <w:spacing w:beforeLines="50" w:line="360" w:lineRule="auto"/>
        <w:jc w:val="center"/>
        <w:rPr>
          <w:rFonts w:ascii="宋体" w:hAnsi="宋体" w:cs="微软雅黑"/>
          <w:kern w:val="0"/>
          <w:szCs w:val="21"/>
        </w:rPr>
      </w:pPr>
      <w:r>
        <w:rPr>
          <w:rFonts w:hint="eastAsia" w:ascii="黑体" w:hAnsi="宋体" w:eastAsia="黑体" w:cs="微软雅黑"/>
          <w:b/>
          <w:spacing w:val="-2"/>
          <w:kern w:val="0"/>
          <w:sz w:val="28"/>
          <w:szCs w:val="28"/>
        </w:rPr>
        <w:t>分</w:t>
      </w:r>
      <w:r>
        <w:rPr>
          <w:rFonts w:hint="eastAsia" w:ascii="黑体" w:hAnsi="宋体" w:eastAsia="黑体" w:cs="微软雅黑"/>
          <w:b/>
          <w:kern w:val="0"/>
          <w:sz w:val="28"/>
          <w:szCs w:val="28"/>
        </w:rPr>
        <w:t>项</w:t>
      </w:r>
      <w:r>
        <w:rPr>
          <w:rFonts w:hint="eastAsia" w:ascii="黑体" w:hAnsi="宋体" w:eastAsia="黑体" w:cs="微软雅黑"/>
          <w:b/>
          <w:spacing w:val="-2"/>
          <w:kern w:val="0"/>
          <w:sz w:val="28"/>
          <w:szCs w:val="28"/>
        </w:rPr>
        <w:t>报</w:t>
      </w:r>
      <w:r>
        <w:rPr>
          <w:rFonts w:hint="eastAsia" w:ascii="黑体" w:hAnsi="宋体" w:eastAsia="黑体" w:cs="微软雅黑"/>
          <w:b/>
          <w:kern w:val="0"/>
          <w:sz w:val="28"/>
          <w:szCs w:val="28"/>
        </w:rPr>
        <w:t>价说明</w:t>
      </w:r>
    </w:p>
    <w:p w14:paraId="5C4A2DF9">
      <w:pPr>
        <w:autoSpaceDE w:val="0"/>
        <w:autoSpaceDN w:val="0"/>
        <w:adjustRightInd w:val="0"/>
        <w:snapToGrid w:val="0"/>
        <w:spacing w:beforeLines="50" w:line="360" w:lineRule="auto"/>
        <w:jc w:val="left"/>
        <w:rPr>
          <w:rFonts w:ascii="宋体" w:hAnsi="宋体" w:cs="微软雅黑"/>
          <w:kern w:val="0"/>
          <w:szCs w:val="21"/>
        </w:rPr>
      </w:pPr>
      <w:r>
        <w:rPr>
          <w:rFonts w:hint="eastAsia" w:ascii="宋体" w:hAnsi="宋体" w:cs="微软雅黑"/>
          <w:kern w:val="0"/>
          <w:szCs w:val="21"/>
        </w:rPr>
        <w:t>备注：1、供应商应按磋商文件第二章相关要求，对本节</w:t>
      </w:r>
      <w:r>
        <w:rPr>
          <w:rFonts w:hint="eastAsia" w:ascii="宋体" w:hAnsi="宋体"/>
          <w:bCs/>
          <w:szCs w:val="21"/>
        </w:rPr>
        <w:t>“</w:t>
      </w:r>
      <w:r>
        <w:rPr>
          <w:rFonts w:hint="eastAsia" w:ascii="宋体" w:hAnsi="宋体" w:cs="微软雅黑"/>
          <w:kern w:val="0"/>
          <w:szCs w:val="21"/>
        </w:rPr>
        <w:t>分项报价明细表</w:t>
      </w:r>
      <w:r>
        <w:rPr>
          <w:rFonts w:hint="eastAsia" w:ascii="宋体" w:hAnsi="宋体"/>
          <w:bCs/>
          <w:szCs w:val="21"/>
        </w:rPr>
        <w:t>”进行</w:t>
      </w:r>
      <w:r>
        <w:rPr>
          <w:rFonts w:hint="eastAsia" w:ascii="宋体" w:hAnsi="宋体" w:cs="微软雅黑"/>
          <w:kern w:val="0"/>
          <w:szCs w:val="21"/>
        </w:rPr>
        <w:t>编制，并说明。</w:t>
      </w:r>
    </w:p>
    <w:p w14:paraId="3610B02B">
      <w:pPr>
        <w:autoSpaceDE w:val="0"/>
        <w:autoSpaceDN w:val="0"/>
        <w:adjustRightInd w:val="0"/>
        <w:snapToGrid w:val="0"/>
        <w:spacing w:beforeLines="50" w:line="360" w:lineRule="auto"/>
        <w:ind w:firstLine="630" w:firstLineChars="300"/>
        <w:jc w:val="left"/>
        <w:rPr>
          <w:rFonts w:ascii="宋体" w:hAnsi="宋体" w:cs="微软雅黑"/>
          <w:kern w:val="0"/>
          <w:szCs w:val="21"/>
        </w:rPr>
      </w:pPr>
    </w:p>
    <w:p w14:paraId="0845B3D5">
      <w:pPr>
        <w:adjustRightInd w:val="0"/>
        <w:snapToGrid w:val="0"/>
        <w:spacing w:beforeLines="50" w:line="360" w:lineRule="auto"/>
      </w:pPr>
    </w:p>
    <w:p w14:paraId="5079822C">
      <w:pPr>
        <w:rPr>
          <w:rFonts w:ascii="宋体" w:hAnsi="宋体"/>
          <w:b/>
          <w:bCs/>
          <w:szCs w:val="21"/>
        </w:rPr>
      </w:pPr>
      <w:bookmarkStart w:id="59" w:name="_Toc34637798"/>
      <w:r>
        <w:rPr>
          <w:rFonts w:hint="eastAsia" w:ascii="宋体" w:hAnsi="宋体" w:cs="宋体"/>
          <w:b/>
          <w:bCs/>
          <w:szCs w:val="21"/>
        </w:rPr>
        <w:t>附件</w:t>
      </w:r>
      <w:r>
        <w:rPr>
          <w:rFonts w:ascii="宋体" w:hAnsi="宋体" w:cs="宋体"/>
          <w:b/>
          <w:bCs/>
          <w:szCs w:val="21"/>
        </w:rPr>
        <w:t>7</w:t>
      </w:r>
      <w:r>
        <w:rPr>
          <w:rFonts w:hint="eastAsia" w:ascii="宋体" w:hAnsi="宋体" w:cs="宋体"/>
          <w:b/>
          <w:bCs/>
          <w:szCs w:val="21"/>
        </w:rPr>
        <w:t xml:space="preserve">-3 </w:t>
      </w:r>
      <w:r>
        <w:rPr>
          <w:rFonts w:hint="eastAsia" w:ascii="宋体" w:hAnsi="宋体"/>
          <w:b/>
          <w:bCs/>
          <w:spacing w:val="-2"/>
          <w:position w:val="-3"/>
          <w:szCs w:val="21"/>
        </w:rPr>
        <w:t>分</w:t>
      </w:r>
      <w:r>
        <w:rPr>
          <w:rFonts w:hint="eastAsia" w:ascii="宋体" w:hAnsi="宋体"/>
          <w:b/>
          <w:bCs/>
          <w:position w:val="-3"/>
          <w:szCs w:val="21"/>
        </w:rPr>
        <w:t>项</w:t>
      </w:r>
      <w:r>
        <w:rPr>
          <w:rFonts w:hint="eastAsia" w:ascii="宋体" w:hAnsi="宋体"/>
          <w:b/>
          <w:bCs/>
          <w:spacing w:val="-2"/>
          <w:position w:val="-3"/>
          <w:szCs w:val="21"/>
        </w:rPr>
        <w:t>报</w:t>
      </w:r>
      <w:r>
        <w:rPr>
          <w:rFonts w:hint="eastAsia" w:ascii="宋体" w:hAnsi="宋体"/>
          <w:b/>
          <w:bCs/>
          <w:position w:val="-3"/>
          <w:szCs w:val="21"/>
        </w:rPr>
        <w:t>价明细表</w:t>
      </w:r>
      <w:bookmarkEnd w:id="59"/>
    </w:p>
    <w:p w14:paraId="3285B326">
      <w:pPr>
        <w:adjustRightInd w:val="0"/>
        <w:snapToGrid w:val="0"/>
        <w:spacing w:beforeLines="50" w:line="360" w:lineRule="auto"/>
        <w:jc w:val="center"/>
        <w:rPr>
          <w:rFonts w:ascii="黑体" w:hAnsi="宋体" w:eastAsia="黑体" w:cs="微软雅黑"/>
          <w:b/>
          <w:kern w:val="0"/>
          <w:position w:val="-3"/>
          <w:sz w:val="28"/>
          <w:szCs w:val="28"/>
        </w:rPr>
      </w:pPr>
      <w:r>
        <w:rPr>
          <w:rFonts w:hint="eastAsia" w:ascii="黑体" w:hAnsi="宋体" w:eastAsia="黑体" w:cs="微软雅黑"/>
          <w:b/>
          <w:spacing w:val="-2"/>
          <w:kern w:val="0"/>
          <w:position w:val="-3"/>
          <w:sz w:val="28"/>
          <w:szCs w:val="28"/>
        </w:rPr>
        <w:t>分</w:t>
      </w:r>
      <w:r>
        <w:rPr>
          <w:rFonts w:hint="eastAsia" w:ascii="黑体" w:hAnsi="宋体" w:eastAsia="黑体" w:cs="微软雅黑"/>
          <w:b/>
          <w:kern w:val="0"/>
          <w:position w:val="-3"/>
          <w:sz w:val="28"/>
          <w:szCs w:val="28"/>
        </w:rPr>
        <w:t>项</w:t>
      </w:r>
      <w:r>
        <w:rPr>
          <w:rFonts w:hint="eastAsia" w:ascii="黑体" w:hAnsi="宋体" w:eastAsia="黑体" w:cs="微软雅黑"/>
          <w:b/>
          <w:spacing w:val="-2"/>
          <w:kern w:val="0"/>
          <w:position w:val="-3"/>
          <w:sz w:val="28"/>
          <w:szCs w:val="28"/>
        </w:rPr>
        <w:t>报</w:t>
      </w:r>
      <w:r>
        <w:rPr>
          <w:rFonts w:hint="eastAsia" w:ascii="黑体" w:hAnsi="宋体" w:eastAsia="黑体" w:cs="微软雅黑"/>
          <w:b/>
          <w:kern w:val="0"/>
          <w:position w:val="-3"/>
          <w:sz w:val="28"/>
          <w:szCs w:val="28"/>
        </w:rPr>
        <w:t>价明细表</w:t>
      </w:r>
    </w:p>
    <w:p w14:paraId="6DA98C09">
      <w:pPr>
        <w:adjustRightInd w:val="0"/>
        <w:snapToGrid w:val="0"/>
        <w:spacing w:line="360" w:lineRule="auto"/>
        <w:rPr>
          <w:rFonts w:ascii="宋体" w:hAnsi="宋体"/>
          <w:szCs w:val="21"/>
        </w:rPr>
      </w:pPr>
      <w:r>
        <w:rPr>
          <w:rFonts w:hint="eastAsia" w:ascii="宋体" w:hAnsi="宋体"/>
          <w:szCs w:val="21"/>
        </w:rPr>
        <w:t xml:space="preserve">政府采购编号： </w:t>
      </w:r>
    </w:p>
    <w:p w14:paraId="4321AE61">
      <w:pPr>
        <w:adjustRightInd w:val="0"/>
        <w:snapToGrid w:val="0"/>
        <w:spacing w:line="360" w:lineRule="auto"/>
        <w:rPr>
          <w:rFonts w:ascii="宋体" w:hAnsi="宋体"/>
          <w:szCs w:val="21"/>
        </w:rPr>
      </w:pPr>
      <w:r>
        <w:rPr>
          <w:rFonts w:hint="eastAsia" w:ascii="宋体" w:hAnsi="宋体"/>
          <w:szCs w:val="21"/>
        </w:rPr>
        <w:t>采购代理编号：</w:t>
      </w:r>
    </w:p>
    <w:p w14:paraId="3CFDE3C1">
      <w:pPr>
        <w:adjustRightInd w:val="0"/>
        <w:snapToGrid w:val="0"/>
        <w:spacing w:line="360" w:lineRule="auto"/>
        <w:rPr>
          <w:rFonts w:ascii="宋体" w:hAnsi="宋体"/>
          <w:szCs w:val="21"/>
        </w:rPr>
      </w:pPr>
      <w:r>
        <w:rPr>
          <w:rFonts w:hint="eastAsia" w:ascii="宋体" w:hAnsi="宋体"/>
          <w:szCs w:val="21"/>
        </w:rPr>
        <w:t>项目名称：</w:t>
      </w:r>
    </w:p>
    <w:tbl>
      <w:tblPr>
        <w:tblStyle w:val="46"/>
        <w:tblW w:w="0" w:type="auto"/>
        <w:tblInd w:w="15" w:type="dxa"/>
        <w:tblLayout w:type="fixed"/>
        <w:tblCellMar>
          <w:top w:w="0" w:type="dxa"/>
          <w:left w:w="0" w:type="dxa"/>
          <w:bottom w:w="0" w:type="dxa"/>
          <w:right w:w="0" w:type="dxa"/>
        </w:tblCellMar>
      </w:tblPr>
      <w:tblGrid>
        <w:gridCol w:w="333"/>
        <w:gridCol w:w="1383"/>
        <w:gridCol w:w="2126"/>
        <w:gridCol w:w="1200"/>
        <w:gridCol w:w="1092"/>
        <w:gridCol w:w="1096"/>
        <w:gridCol w:w="992"/>
        <w:gridCol w:w="652"/>
      </w:tblGrid>
      <w:tr w14:paraId="7A918A5F">
        <w:tblPrEx>
          <w:tblCellMar>
            <w:top w:w="0" w:type="dxa"/>
            <w:left w:w="0" w:type="dxa"/>
            <w:bottom w:w="0" w:type="dxa"/>
            <w:right w:w="0" w:type="dxa"/>
          </w:tblCellMar>
        </w:tblPrEx>
        <w:tc>
          <w:tcPr>
            <w:tcW w:w="1716" w:type="dxa"/>
            <w:gridSpan w:val="2"/>
            <w:vMerge w:val="restart"/>
            <w:tcBorders>
              <w:top w:val="double" w:color="auto" w:sz="4" w:space="0"/>
              <w:left w:val="double" w:color="auto" w:sz="4" w:space="0"/>
              <w:right w:val="single" w:color="auto" w:sz="6" w:space="0"/>
            </w:tcBorders>
            <w:vAlign w:val="center"/>
          </w:tcPr>
          <w:p w14:paraId="556EF573">
            <w:pPr>
              <w:keepNext w:val="0"/>
              <w:keepLines w:val="0"/>
              <w:suppressLineNumbers w:val="0"/>
              <w:autoSpaceDE w:val="0"/>
              <w:autoSpaceDN w:val="0"/>
              <w:adjustRightInd w:val="0"/>
              <w:snapToGrid w:val="0"/>
              <w:spacing w:before="0" w:beforeAutospacing="0" w:after="0" w:afterAutospacing="0" w:line="360" w:lineRule="auto"/>
              <w:ind w:left="0" w:right="-20"/>
              <w:jc w:val="center"/>
              <w:rPr>
                <w:rFonts w:hint="default" w:ascii="宋体" w:hAnsi="宋体" w:cs="微软雅黑"/>
                <w:kern w:val="0"/>
                <w:position w:val="-1"/>
                <w:szCs w:val="21"/>
              </w:rPr>
            </w:pPr>
            <w:r>
              <w:rPr>
                <w:rFonts w:hint="eastAsia" w:ascii="宋体" w:hAnsi="宋体" w:cs="微软雅黑"/>
                <w:kern w:val="0"/>
                <w:position w:val="-1"/>
                <w:szCs w:val="21"/>
              </w:rPr>
              <w:t>货物名称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14:paraId="497A0005">
            <w:pPr>
              <w:keepNext w:val="0"/>
              <w:keepLines w:val="0"/>
              <w:suppressLineNumbers w:val="0"/>
              <w:autoSpaceDE w:val="0"/>
              <w:autoSpaceDN w:val="0"/>
              <w:adjustRightInd w:val="0"/>
              <w:snapToGrid w:val="0"/>
              <w:spacing w:before="0" w:beforeAutospacing="0" w:after="0" w:afterAutospacing="0" w:line="360" w:lineRule="auto"/>
              <w:ind w:left="0" w:right="-20"/>
              <w:jc w:val="center"/>
              <w:rPr>
                <w:rFonts w:hint="default" w:ascii="宋体" w:hAnsi="宋体"/>
                <w:szCs w:val="21"/>
              </w:rPr>
            </w:pPr>
            <w:r>
              <w:rPr>
                <w:rFonts w:hint="eastAsia" w:ascii="宋体" w:hAnsi="宋体"/>
                <w:szCs w:val="21"/>
              </w:rPr>
              <w:t>规格型号</w:t>
            </w:r>
          </w:p>
          <w:p w14:paraId="5A6AD75D">
            <w:pPr>
              <w:keepNext w:val="0"/>
              <w:keepLines w:val="0"/>
              <w:suppressLineNumbers w:val="0"/>
              <w:autoSpaceDE w:val="0"/>
              <w:autoSpaceDN w:val="0"/>
              <w:adjustRightInd w:val="0"/>
              <w:snapToGrid w:val="0"/>
              <w:spacing w:before="0" w:beforeAutospacing="0" w:after="0" w:afterAutospacing="0" w:line="360" w:lineRule="auto"/>
              <w:ind w:left="0" w:right="-20"/>
              <w:jc w:val="center"/>
              <w:rPr>
                <w:rFonts w:hint="default" w:ascii="宋体" w:hAnsi="宋体"/>
                <w:szCs w:val="21"/>
              </w:rPr>
            </w:pPr>
            <w:r>
              <w:rPr>
                <w:rFonts w:hint="eastAsia" w:ascii="宋体" w:hAnsi="宋体"/>
                <w:szCs w:val="21"/>
              </w:rPr>
              <w:t>（或项目特征描述</w:t>
            </w:r>
            <w:r>
              <w:rPr>
                <w:rFonts w:hint="default" w:ascii="宋体" w:hAnsi="宋体"/>
                <w:szCs w:val="21"/>
              </w:rPr>
              <w:t>）</w:t>
            </w:r>
          </w:p>
        </w:tc>
        <w:tc>
          <w:tcPr>
            <w:tcW w:w="1200" w:type="dxa"/>
            <w:vMerge w:val="restart"/>
            <w:tcBorders>
              <w:top w:val="double" w:color="auto" w:sz="4" w:space="0"/>
              <w:left w:val="single" w:color="auto" w:sz="4" w:space="0"/>
              <w:bottom w:val="single" w:color="auto" w:sz="6" w:space="0"/>
              <w:right w:val="single" w:color="auto" w:sz="6" w:space="0"/>
            </w:tcBorders>
            <w:vAlign w:val="center"/>
          </w:tcPr>
          <w:p w14:paraId="41E46991">
            <w:pPr>
              <w:keepNext w:val="0"/>
              <w:keepLines w:val="0"/>
              <w:suppressLineNumbers w:val="0"/>
              <w:autoSpaceDE w:val="0"/>
              <w:autoSpaceDN w:val="0"/>
              <w:adjustRightInd w:val="0"/>
              <w:snapToGrid w:val="0"/>
              <w:spacing w:before="0" w:beforeAutospacing="0" w:after="0" w:afterAutospacing="0" w:line="360" w:lineRule="auto"/>
              <w:ind w:left="0" w:right="-20"/>
              <w:jc w:val="center"/>
              <w:rPr>
                <w:rFonts w:hint="default" w:ascii="宋体" w:hAnsi="宋体"/>
                <w:szCs w:val="21"/>
              </w:rPr>
            </w:pPr>
            <w:r>
              <w:rPr>
                <w:rFonts w:hint="eastAsia" w:ascii="宋体" w:hAnsi="宋体"/>
                <w:szCs w:val="21"/>
              </w:rPr>
              <w:t>品牌/产地</w:t>
            </w:r>
          </w:p>
        </w:tc>
        <w:tc>
          <w:tcPr>
            <w:tcW w:w="1092" w:type="dxa"/>
            <w:vMerge w:val="restart"/>
            <w:tcBorders>
              <w:top w:val="double" w:color="auto" w:sz="4" w:space="0"/>
              <w:left w:val="single" w:color="auto" w:sz="6" w:space="0"/>
              <w:right w:val="single" w:color="auto" w:sz="4" w:space="0"/>
            </w:tcBorders>
            <w:vAlign w:val="center"/>
          </w:tcPr>
          <w:p w14:paraId="2DEFC454">
            <w:pPr>
              <w:keepNext w:val="0"/>
              <w:keepLines w:val="0"/>
              <w:suppressLineNumbers w:val="0"/>
              <w:autoSpaceDE w:val="0"/>
              <w:autoSpaceDN w:val="0"/>
              <w:adjustRightInd w:val="0"/>
              <w:snapToGrid w:val="0"/>
              <w:spacing w:before="0" w:beforeAutospacing="0" w:after="0" w:afterAutospacing="0" w:line="360" w:lineRule="auto"/>
              <w:ind w:left="0" w:right="-20"/>
              <w:jc w:val="center"/>
              <w:rPr>
                <w:rFonts w:hint="default" w:ascii="宋体" w:hAnsi="宋体" w:cs="微软雅黑"/>
                <w:kern w:val="0"/>
                <w:position w:val="-1"/>
                <w:szCs w:val="21"/>
              </w:rPr>
            </w:pPr>
            <w:r>
              <w:rPr>
                <w:rFonts w:hint="eastAsia" w:ascii="宋体" w:hAnsi="宋体"/>
                <w:kern w:val="0"/>
                <w:szCs w:val="21"/>
              </w:rPr>
              <w:t>数量/单位</w:t>
            </w:r>
          </w:p>
        </w:tc>
        <w:tc>
          <w:tcPr>
            <w:tcW w:w="2088" w:type="dxa"/>
            <w:gridSpan w:val="2"/>
            <w:tcBorders>
              <w:top w:val="double" w:color="auto" w:sz="4" w:space="0"/>
              <w:left w:val="single" w:color="auto" w:sz="4" w:space="0"/>
              <w:bottom w:val="single" w:color="auto" w:sz="6" w:space="0"/>
              <w:right w:val="single" w:color="auto" w:sz="6" w:space="0"/>
            </w:tcBorders>
            <w:vAlign w:val="center"/>
          </w:tcPr>
          <w:p w14:paraId="066850A4">
            <w:pPr>
              <w:keepNext w:val="0"/>
              <w:keepLines w:val="0"/>
              <w:suppressLineNumbers w:val="0"/>
              <w:autoSpaceDE w:val="0"/>
              <w:autoSpaceDN w:val="0"/>
              <w:adjustRightInd w:val="0"/>
              <w:snapToGrid w:val="0"/>
              <w:spacing w:before="0" w:beforeAutospacing="0" w:after="0" w:afterAutospacing="0" w:line="360" w:lineRule="auto"/>
              <w:ind w:left="0" w:right="-20"/>
              <w:jc w:val="center"/>
              <w:rPr>
                <w:rFonts w:hint="default" w:ascii="宋体" w:hAnsi="宋体" w:cs="微软雅黑"/>
                <w:kern w:val="0"/>
                <w:position w:val="-1"/>
                <w:szCs w:val="21"/>
              </w:rPr>
            </w:pPr>
            <w:r>
              <w:rPr>
                <w:rFonts w:hint="eastAsia" w:ascii="宋体" w:hAnsi="宋体" w:cs="微软雅黑"/>
                <w:kern w:val="0"/>
                <w:position w:val="-1"/>
                <w:szCs w:val="21"/>
              </w:rPr>
              <w:t>金额（元）</w:t>
            </w:r>
          </w:p>
        </w:tc>
        <w:tc>
          <w:tcPr>
            <w:tcW w:w="652" w:type="dxa"/>
            <w:vMerge w:val="restart"/>
            <w:tcBorders>
              <w:top w:val="double" w:color="auto" w:sz="4" w:space="0"/>
              <w:left w:val="single" w:color="auto" w:sz="6" w:space="0"/>
              <w:bottom w:val="single" w:color="auto" w:sz="6" w:space="0"/>
              <w:right w:val="double" w:color="auto" w:sz="4" w:space="0"/>
            </w:tcBorders>
            <w:vAlign w:val="center"/>
          </w:tcPr>
          <w:p w14:paraId="4F549207">
            <w:pPr>
              <w:keepNext w:val="0"/>
              <w:keepLines w:val="0"/>
              <w:suppressLineNumbers w:val="0"/>
              <w:autoSpaceDE w:val="0"/>
              <w:autoSpaceDN w:val="0"/>
              <w:adjustRightInd w:val="0"/>
              <w:snapToGrid w:val="0"/>
              <w:spacing w:before="0" w:beforeAutospacing="0" w:after="0" w:afterAutospacing="0" w:line="360" w:lineRule="auto"/>
              <w:ind w:left="0" w:right="-20"/>
              <w:jc w:val="center"/>
              <w:rPr>
                <w:rFonts w:hint="default" w:ascii="宋体" w:hAnsi="宋体" w:cs="微软雅黑"/>
                <w:kern w:val="0"/>
                <w:position w:val="-1"/>
                <w:szCs w:val="21"/>
              </w:rPr>
            </w:pPr>
            <w:r>
              <w:rPr>
                <w:rFonts w:hint="eastAsia" w:ascii="宋体" w:hAnsi="宋体" w:cs="微软雅黑"/>
                <w:kern w:val="0"/>
                <w:position w:val="-1"/>
                <w:szCs w:val="21"/>
              </w:rPr>
              <w:t>备注</w:t>
            </w:r>
          </w:p>
        </w:tc>
      </w:tr>
      <w:tr w14:paraId="11DC755A">
        <w:tblPrEx>
          <w:tblCellMar>
            <w:top w:w="0" w:type="dxa"/>
            <w:left w:w="0" w:type="dxa"/>
            <w:bottom w:w="0" w:type="dxa"/>
            <w:right w:w="0" w:type="dxa"/>
          </w:tblCellMar>
        </w:tblPrEx>
        <w:tc>
          <w:tcPr>
            <w:tcW w:w="1716" w:type="dxa"/>
            <w:gridSpan w:val="2"/>
            <w:vMerge w:val="continue"/>
            <w:tcBorders>
              <w:left w:val="double" w:color="auto" w:sz="4" w:space="0"/>
              <w:bottom w:val="single" w:color="auto" w:sz="6" w:space="0"/>
              <w:right w:val="single" w:color="auto" w:sz="6" w:space="0"/>
            </w:tcBorders>
          </w:tcPr>
          <w:p w14:paraId="0EACA909">
            <w:pPr>
              <w:keepNext w:val="0"/>
              <w:keepLines w:val="0"/>
              <w:suppressLineNumbers w:val="0"/>
              <w:autoSpaceDE w:val="0"/>
              <w:autoSpaceDN w:val="0"/>
              <w:adjustRightInd w:val="0"/>
              <w:snapToGrid w:val="0"/>
              <w:spacing w:before="0" w:beforeAutospacing="0" w:after="0" w:afterAutospacing="0" w:line="360" w:lineRule="auto"/>
              <w:ind w:left="352" w:right="-20"/>
              <w:jc w:val="left"/>
              <w:rPr>
                <w:rFonts w:hint="default" w:ascii="宋体" w:hAnsi="宋体"/>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14:paraId="4C11B523">
            <w:pPr>
              <w:keepNext w:val="0"/>
              <w:keepLines w:val="0"/>
              <w:suppressLineNumbers w:val="0"/>
              <w:autoSpaceDE w:val="0"/>
              <w:autoSpaceDN w:val="0"/>
              <w:adjustRightInd w:val="0"/>
              <w:snapToGrid w:val="0"/>
              <w:spacing w:before="0" w:beforeAutospacing="0" w:after="0" w:afterAutospacing="0" w:line="360" w:lineRule="auto"/>
              <w:ind w:left="0" w:right="-20"/>
              <w:jc w:val="center"/>
              <w:rPr>
                <w:rFonts w:hint="default" w:ascii="宋体" w:hAnsi="宋体"/>
                <w:kern w:val="0"/>
                <w:szCs w:val="21"/>
              </w:rPr>
            </w:pPr>
          </w:p>
        </w:tc>
        <w:tc>
          <w:tcPr>
            <w:tcW w:w="1200" w:type="dxa"/>
            <w:vMerge w:val="continue"/>
            <w:tcBorders>
              <w:top w:val="single" w:color="auto" w:sz="6" w:space="0"/>
              <w:left w:val="single" w:color="auto" w:sz="4" w:space="0"/>
              <w:bottom w:val="single" w:color="auto" w:sz="6" w:space="0"/>
              <w:right w:val="single" w:color="auto" w:sz="6" w:space="0"/>
            </w:tcBorders>
            <w:vAlign w:val="center"/>
          </w:tcPr>
          <w:p w14:paraId="5537E919">
            <w:pPr>
              <w:keepNext w:val="0"/>
              <w:keepLines w:val="0"/>
              <w:suppressLineNumbers w:val="0"/>
              <w:autoSpaceDE w:val="0"/>
              <w:autoSpaceDN w:val="0"/>
              <w:adjustRightInd w:val="0"/>
              <w:snapToGrid w:val="0"/>
              <w:spacing w:before="0" w:beforeAutospacing="0" w:after="0" w:afterAutospacing="0" w:line="360" w:lineRule="auto"/>
              <w:ind w:left="0" w:right="-20"/>
              <w:jc w:val="center"/>
              <w:rPr>
                <w:rFonts w:hint="default" w:ascii="宋体" w:hAnsi="宋体"/>
                <w:kern w:val="0"/>
                <w:szCs w:val="21"/>
              </w:rPr>
            </w:pPr>
          </w:p>
        </w:tc>
        <w:tc>
          <w:tcPr>
            <w:tcW w:w="1092" w:type="dxa"/>
            <w:vMerge w:val="continue"/>
            <w:tcBorders>
              <w:left w:val="single" w:color="auto" w:sz="6" w:space="0"/>
              <w:bottom w:val="single" w:color="auto" w:sz="6" w:space="0"/>
              <w:right w:val="single" w:color="auto" w:sz="4" w:space="0"/>
            </w:tcBorders>
            <w:vAlign w:val="center"/>
          </w:tcPr>
          <w:p w14:paraId="399F4B3C">
            <w:pPr>
              <w:keepNext w:val="0"/>
              <w:keepLines w:val="0"/>
              <w:suppressLineNumbers w:val="0"/>
              <w:autoSpaceDE w:val="0"/>
              <w:autoSpaceDN w:val="0"/>
              <w:adjustRightInd w:val="0"/>
              <w:snapToGrid w:val="0"/>
              <w:spacing w:before="0" w:beforeAutospacing="0" w:after="0" w:afterAutospacing="0" w:line="360" w:lineRule="auto"/>
              <w:ind w:left="0" w:right="-20"/>
              <w:jc w:val="center"/>
              <w:rPr>
                <w:rFonts w:hint="default" w:ascii="宋体" w:hAnsi="宋体"/>
                <w:kern w:val="0"/>
                <w:szCs w:val="21"/>
              </w:rPr>
            </w:pPr>
          </w:p>
        </w:tc>
        <w:tc>
          <w:tcPr>
            <w:tcW w:w="1096" w:type="dxa"/>
            <w:tcBorders>
              <w:top w:val="single" w:color="auto" w:sz="6" w:space="0"/>
              <w:left w:val="single" w:color="auto" w:sz="4" w:space="0"/>
              <w:bottom w:val="single" w:color="auto" w:sz="6" w:space="0"/>
              <w:right w:val="single" w:color="auto" w:sz="4" w:space="0"/>
            </w:tcBorders>
            <w:vAlign w:val="center"/>
          </w:tcPr>
          <w:p w14:paraId="7DED8590">
            <w:pPr>
              <w:keepNext w:val="0"/>
              <w:keepLines w:val="0"/>
              <w:suppressLineNumbers w:val="0"/>
              <w:autoSpaceDE w:val="0"/>
              <w:autoSpaceDN w:val="0"/>
              <w:adjustRightInd w:val="0"/>
              <w:snapToGrid w:val="0"/>
              <w:spacing w:before="0" w:beforeAutospacing="0" w:after="0" w:afterAutospacing="0" w:line="360" w:lineRule="auto"/>
              <w:ind w:left="0" w:right="-20"/>
              <w:jc w:val="center"/>
              <w:rPr>
                <w:rFonts w:hint="default" w:ascii="宋体" w:hAnsi="宋体"/>
                <w:kern w:val="0"/>
                <w:szCs w:val="21"/>
              </w:rPr>
            </w:pPr>
            <w:r>
              <w:rPr>
                <w:rFonts w:hint="eastAsia" w:ascii="宋体" w:hAnsi="宋体" w:cs="微软雅黑"/>
                <w:kern w:val="0"/>
                <w:position w:val="-1"/>
                <w:szCs w:val="21"/>
              </w:rPr>
              <w:t>单价</w:t>
            </w:r>
          </w:p>
        </w:tc>
        <w:tc>
          <w:tcPr>
            <w:tcW w:w="992" w:type="dxa"/>
            <w:tcBorders>
              <w:top w:val="single" w:color="auto" w:sz="6" w:space="0"/>
              <w:left w:val="single" w:color="auto" w:sz="4" w:space="0"/>
              <w:bottom w:val="single" w:color="auto" w:sz="6" w:space="0"/>
              <w:right w:val="single" w:color="auto" w:sz="6" w:space="0"/>
            </w:tcBorders>
            <w:vAlign w:val="center"/>
          </w:tcPr>
          <w:p w14:paraId="2ECB566E">
            <w:pPr>
              <w:keepNext w:val="0"/>
              <w:keepLines w:val="0"/>
              <w:suppressLineNumbers w:val="0"/>
              <w:autoSpaceDE w:val="0"/>
              <w:autoSpaceDN w:val="0"/>
              <w:adjustRightInd w:val="0"/>
              <w:snapToGrid w:val="0"/>
              <w:spacing w:before="0" w:beforeAutospacing="0" w:after="0" w:afterAutospacing="0" w:line="360" w:lineRule="auto"/>
              <w:ind w:left="70" w:right="-20"/>
              <w:jc w:val="center"/>
              <w:rPr>
                <w:rFonts w:hint="default" w:ascii="宋体" w:hAnsi="宋体"/>
                <w:kern w:val="0"/>
                <w:szCs w:val="21"/>
              </w:rPr>
            </w:pPr>
            <w:r>
              <w:rPr>
                <w:rFonts w:hint="eastAsia" w:ascii="宋体" w:hAnsi="宋体"/>
                <w:kern w:val="0"/>
                <w:szCs w:val="21"/>
              </w:rPr>
              <w:t>小计</w:t>
            </w:r>
          </w:p>
        </w:tc>
        <w:tc>
          <w:tcPr>
            <w:tcW w:w="652" w:type="dxa"/>
            <w:vMerge w:val="continue"/>
            <w:tcBorders>
              <w:top w:val="single" w:color="auto" w:sz="6" w:space="0"/>
              <w:left w:val="single" w:color="auto" w:sz="6" w:space="0"/>
              <w:bottom w:val="single" w:color="auto" w:sz="6" w:space="0"/>
              <w:right w:val="double" w:color="auto" w:sz="4" w:space="0"/>
            </w:tcBorders>
          </w:tcPr>
          <w:p w14:paraId="51C7568A">
            <w:pPr>
              <w:keepNext w:val="0"/>
              <w:keepLines w:val="0"/>
              <w:suppressLineNumbers w:val="0"/>
              <w:autoSpaceDE w:val="0"/>
              <w:autoSpaceDN w:val="0"/>
              <w:adjustRightInd w:val="0"/>
              <w:snapToGrid w:val="0"/>
              <w:spacing w:before="0" w:beforeAutospacing="0" w:after="0" w:afterAutospacing="0" w:line="360" w:lineRule="auto"/>
              <w:ind w:left="422" w:right="-20"/>
              <w:jc w:val="left"/>
              <w:rPr>
                <w:rFonts w:hint="default" w:ascii="宋体" w:hAnsi="宋体"/>
                <w:kern w:val="0"/>
                <w:szCs w:val="21"/>
              </w:rPr>
            </w:pPr>
          </w:p>
        </w:tc>
      </w:tr>
      <w:tr w14:paraId="46BF8ADC">
        <w:tblPrEx>
          <w:tblCellMar>
            <w:top w:w="0" w:type="dxa"/>
            <w:left w:w="0" w:type="dxa"/>
            <w:bottom w:w="0" w:type="dxa"/>
            <w:right w:w="0" w:type="dxa"/>
          </w:tblCellMar>
        </w:tblPrEx>
        <w:tc>
          <w:tcPr>
            <w:tcW w:w="333" w:type="dxa"/>
            <w:tcBorders>
              <w:top w:val="single" w:color="auto" w:sz="6" w:space="0"/>
              <w:left w:val="double" w:color="auto" w:sz="4" w:space="0"/>
              <w:bottom w:val="single" w:color="auto" w:sz="6" w:space="0"/>
              <w:right w:val="single" w:color="auto" w:sz="6" w:space="0"/>
            </w:tcBorders>
            <w:vAlign w:val="center"/>
          </w:tcPr>
          <w:p w14:paraId="77859163">
            <w:pPr>
              <w:keepNext w:val="0"/>
              <w:keepLines w:val="0"/>
              <w:suppressLineNumbers w:val="0"/>
              <w:spacing w:before="0" w:beforeAutospacing="0" w:after="0" w:afterAutospacing="0"/>
              <w:ind w:left="0" w:right="0"/>
              <w:jc w:val="center"/>
              <w:rPr>
                <w:rFonts w:hint="default" w:ascii="宋体" w:hAnsi="宋体" w:cs="宋体"/>
              </w:rPr>
            </w:pPr>
            <w:r>
              <w:rPr>
                <w:rFonts w:hint="eastAsia" w:ascii="宋体" w:hAnsi="宋体" w:cs="宋体"/>
              </w:rPr>
              <w:t>1</w:t>
            </w:r>
          </w:p>
        </w:tc>
        <w:tc>
          <w:tcPr>
            <w:tcW w:w="1383" w:type="dxa"/>
            <w:tcBorders>
              <w:top w:val="single" w:color="auto" w:sz="6" w:space="0"/>
              <w:left w:val="single" w:color="auto" w:sz="6" w:space="0"/>
              <w:bottom w:val="single" w:color="auto" w:sz="6" w:space="0"/>
              <w:right w:val="single" w:color="auto" w:sz="6" w:space="0"/>
            </w:tcBorders>
            <w:vAlign w:val="center"/>
          </w:tcPr>
          <w:p w14:paraId="0D98729F">
            <w:pPr>
              <w:keepNext w:val="0"/>
              <w:keepLines w:val="0"/>
              <w:suppressLineNumbers w:val="0"/>
              <w:autoSpaceDE w:val="0"/>
              <w:autoSpaceDN w:val="0"/>
              <w:adjustRightInd w:val="0"/>
              <w:snapToGrid w:val="0"/>
              <w:spacing w:before="0" w:beforeAutospacing="0" w:after="0" w:afterAutospacing="0" w:line="360" w:lineRule="auto"/>
              <w:ind w:left="0" w:right="0"/>
              <w:jc w:val="center"/>
              <w:rPr>
                <w:rFonts w:hint="default"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3BDA22FF">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6786916B">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300FF863">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1096" w:type="dxa"/>
            <w:tcBorders>
              <w:top w:val="single" w:color="auto" w:sz="6" w:space="0"/>
              <w:left w:val="single" w:color="auto" w:sz="6" w:space="0"/>
              <w:bottom w:val="single" w:color="auto" w:sz="6" w:space="0"/>
              <w:right w:val="single" w:color="auto" w:sz="6" w:space="0"/>
            </w:tcBorders>
          </w:tcPr>
          <w:p w14:paraId="67BD6FEF">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992" w:type="dxa"/>
            <w:tcBorders>
              <w:top w:val="single" w:color="auto" w:sz="6" w:space="0"/>
              <w:left w:val="single" w:color="auto" w:sz="6" w:space="0"/>
              <w:bottom w:val="single" w:color="auto" w:sz="6" w:space="0"/>
              <w:right w:val="single" w:color="auto" w:sz="6" w:space="0"/>
            </w:tcBorders>
          </w:tcPr>
          <w:p w14:paraId="0846694E">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652" w:type="dxa"/>
            <w:tcBorders>
              <w:top w:val="single" w:color="auto" w:sz="6" w:space="0"/>
              <w:left w:val="single" w:color="auto" w:sz="6" w:space="0"/>
              <w:bottom w:val="single" w:color="auto" w:sz="6" w:space="0"/>
              <w:right w:val="double" w:color="auto" w:sz="4" w:space="0"/>
            </w:tcBorders>
          </w:tcPr>
          <w:p w14:paraId="3D380AF4">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r>
      <w:tr w14:paraId="68CC1B8B">
        <w:tblPrEx>
          <w:tblCellMar>
            <w:top w:w="0" w:type="dxa"/>
            <w:left w:w="0" w:type="dxa"/>
            <w:bottom w:w="0" w:type="dxa"/>
            <w:right w:w="0" w:type="dxa"/>
          </w:tblCellMar>
        </w:tblPrEx>
        <w:tc>
          <w:tcPr>
            <w:tcW w:w="333" w:type="dxa"/>
            <w:tcBorders>
              <w:top w:val="single" w:color="auto" w:sz="6" w:space="0"/>
              <w:left w:val="double" w:color="auto" w:sz="4" w:space="0"/>
              <w:bottom w:val="single" w:color="auto" w:sz="6" w:space="0"/>
              <w:right w:val="single" w:color="auto" w:sz="6" w:space="0"/>
            </w:tcBorders>
            <w:vAlign w:val="center"/>
          </w:tcPr>
          <w:p w14:paraId="37FE25E2">
            <w:pPr>
              <w:keepNext w:val="0"/>
              <w:keepLines w:val="0"/>
              <w:suppressLineNumbers w:val="0"/>
              <w:spacing w:before="0" w:beforeAutospacing="0" w:after="0" w:afterAutospacing="0"/>
              <w:ind w:left="0" w:right="0"/>
              <w:jc w:val="center"/>
              <w:rPr>
                <w:rFonts w:hint="default" w:ascii="宋体" w:hAnsi="宋体" w:cs="宋体"/>
              </w:rPr>
            </w:pPr>
            <w:r>
              <w:rPr>
                <w:rFonts w:hint="eastAsia" w:ascii="宋体" w:hAnsi="宋体" w:cs="宋体"/>
              </w:rPr>
              <w:t>2</w:t>
            </w:r>
          </w:p>
        </w:tc>
        <w:tc>
          <w:tcPr>
            <w:tcW w:w="1383" w:type="dxa"/>
            <w:tcBorders>
              <w:top w:val="single" w:color="auto" w:sz="6" w:space="0"/>
              <w:left w:val="single" w:color="auto" w:sz="6" w:space="0"/>
              <w:bottom w:val="single" w:color="auto" w:sz="6" w:space="0"/>
              <w:right w:val="single" w:color="auto" w:sz="6" w:space="0"/>
            </w:tcBorders>
            <w:vAlign w:val="center"/>
          </w:tcPr>
          <w:p w14:paraId="18894B93">
            <w:pPr>
              <w:keepNext w:val="0"/>
              <w:keepLines w:val="0"/>
              <w:suppressLineNumbers w:val="0"/>
              <w:autoSpaceDE w:val="0"/>
              <w:autoSpaceDN w:val="0"/>
              <w:adjustRightInd w:val="0"/>
              <w:snapToGrid w:val="0"/>
              <w:spacing w:before="0" w:beforeAutospacing="0" w:after="0" w:afterAutospacing="0" w:line="360" w:lineRule="auto"/>
              <w:ind w:left="0" w:right="0"/>
              <w:jc w:val="center"/>
              <w:rPr>
                <w:rFonts w:hint="default"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46E3E64F">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3518E9FC">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017DA820">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1096" w:type="dxa"/>
            <w:tcBorders>
              <w:top w:val="single" w:color="auto" w:sz="6" w:space="0"/>
              <w:left w:val="single" w:color="auto" w:sz="6" w:space="0"/>
              <w:bottom w:val="single" w:color="auto" w:sz="6" w:space="0"/>
              <w:right w:val="single" w:color="auto" w:sz="6" w:space="0"/>
            </w:tcBorders>
          </w:tcPr>
          <w:p w14:paraId="111681D9">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992" w:type="dxa"/>
            <w:tcBorders>
              <w:top w:val="single" w:color="auto" w:sz="6" w:space="0"/>
              <w:left w:val="single" w:color="auto" w:sz="6" w:space="0"/>
              <w:bottom w:val="single" w:color="auto" w:sz="6" w:space="0"/>
              <w:right w:val="single" w:color="auto" w:sz="6" w:space="0"/>
            </w:tcBorders>
          </w:tcPr>
          <w:p w14:paraId="549D839F">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652" w:type="dxa"/>
            <w:tcBorders>
              <w:top w:val="single" w:color="auto" w:sz="6" w:space="0"/>
              <w:left w:val="single" w:color="auto" w:sz="6" w:space="0"/>
              <w:bottom w:val="single" w:color="auto" w:sz="6" w:space="0"/>
              <w:right w:val="double" w:color="auto" w:sz="4" w:space="0"/>
            </w:tcBorders>
          </w:tcPr>
          <w:p w14:paraId="3A145E1D">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r>
      <w:tr w14:paraId="30F71D2B">
        <w:tblPrEx>
          <w:tblCellMar>
            <w:top w:w="0" w:type="dxa"/>
            <w:left w:w="0" w:type="dxa"/>
            <w:bottom w:w="0" w:type="dxa"/>
            <w:right w:w="0" w:type="dxa"/>
          </w:tblCellMar>
        </w:tblPrEx>
        <w:tc>
          <w:tcPr>
            <w:tcW w:w="333" w:type="dxa"/>
            <w:tcBorders>
              <w:top w:val="single" w:color="auto" w:sz="6" w:space="0"/>
              <w:left w:val="double" w:color="auto" w:sz="4" w:space="0"/>
              <w:bottom w:val="single" w:color="auto" w:sz="6" w:space="0"/>
              <w:right w:val="single" w:color="auto" w:sz="6" w:space="0"/>
            </w:tcBorders>
            <w:vAlign w:val="center"/>
          </w:tcPr>
          <w:p w14:paraId="76A904D4">
            <w:pPr>
              <w:keepNext w:val="0"/>
              <w:keepLines w:val="0"/>
              <w:suppressLineNumbers w:val="0"/>
              <w:spacing w:before="0" w:beforeAutospacing="0" w:after="0" w:afterAutospacing="0"/>
              <w:ind w:left="0" w:right="0"/>
              <w:jc w:val="center"/>
              <w:rPr>
                <w:rFonts w:hint="default" w:ascii="宋体" w:hAnsi="宋体" w:cs="宋体"/>
              </w:rPr>
            </w:pPr>
            <w:r>
              <w:rPr>
                <w:rFonts w:hint="eastAsia" w:ascii="宋体" w:hAnsi="宋体" w:cs="宋体"/>
              </w:rPr>
              <w:t>3</w:t>
            </w:r>
          </w:p>
        </w:tc>
        <w:tc>
          <w:tcPr>
            <w:tcW w:w="1383" w:type="dxa"/>
            <w:tcBorders>
              <w:top w:val="single" w:color="auto" w:sz="6" w:space="0"/>
              <w:left w:val="single" w:color="auto" w:sz="6" w:space="0"/>
              <w:bottom w:val="single" w:color="auto" w:sz="6" w:space="0"/>
              <w:right w:val="single" w:color="auto" w:sz="6" w:space="0"/>
            </w:tcBorders>
            <w:vAlign w:val="center"/>
          </w:tcPr>
          <w:p w14:paraId="26E9D21E">
            <w:pPr>
              <w:keepNext w:val="0"/>
              <w:keepLines w:val="0"/>
              <w:suppressLineNumbers w:val="0"/>
              <w:autoSpaceDE w:val="0"/>
              <w:autoSpaceDN w:val="0"/>
              <w:adjustRightInd w:val="0"/>
              <w:snapToGrid w:val="0"/>
              <w:spacing w:before="0" w:beforeAutospacing="0" w:after="0" w:afterAutospacing="0" w:line="360" w:lineRule="auto"/>
              <w:ind w:left="0" w:right="0"/>
              <w:jc w:val="center"/>
              <w:rPr>
                <w:rFonts w:hint="default"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32354305">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36F8F511">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023DA5CE">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1096" w:type="dxa"/>
            <w:tcBorders>
              <w:top w:val="single" w:color="auto" w:sz="6" w:space="0"/>
              <w:left w:val="single" w:color="auto" w:sz="6" w:space="0"/>
              <w:bottom w:val="single" w:color="auto" w:sz="6" w:space="0"/>
              <w:right w:val="single" w:color="auto" w:sz="6" w:space="0"/>
            </w:tcBorders>
          </w:tcPr>
          <w:p w14:paraId="6633F1F6">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992" w:type="dxa"/>
            <w:tcBorders>
              <w:top w:val="single" w:color="auto" w:sz="6" w:space="0"/>
              <w:left w:val="single" w:color="auto" w:sz="6" w:space="0"/>
              <w:bottom w:val="single" w:color="auto" w:sz="6" w:space="0"/>
              <w:right w:val="single" w:color="auto" w:sz="6" w:space="0"/>
            </w:tcBorders>
          </w:tcPr>
          <w:p w14:paraId="5155A655">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652" w:type="dxa"/>
            <w:tcBorders>
              <w:top w:val="single" w:color="auto" w:sz="6" w:space="0"/>
              <w:left w:val="single" w:color="auto" w:sz="6" w:space="0"/>
              <w:bottom w:val="single" w:color="auto" w:sz="6" w:space="0"/>
              <w:right w:val="double" w:color="auto" w:sz="4" w:space="0"/>
            </w:tcBorders>
          </w:tcPr>
          <w:p w14:paraId="1CA7F0DB">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r>
      <w:tr w14:paraId="15A9AF70">
        <w:tblPrEx>
          <w:tblCellMar>
            <w:top w:w="0" w:type="dxa"/>
            <w:left w:w="0" w:type="dxa"/>
            <w:bottom w:w="0" w:type="dxa"/>
            <w:right w:w="0" w:type="dxa"/>
          </w:tblCellMar>
        </w:tblPrEx>
        <w:tc>
          <w:tcPr>
            <w:tcW w:w="333" w:type="dxa"/>
            <w:tcBorders>
              <w:top w:val="single" w:color="auto" w:sz="6" w:space="0"/>
              <w:left w:val="double" w:color="auto" w:sz="4" w:space="0"/>
              <w:bottom w:val="single" w:color="auto" w:sz="6" w:space="0"/>
              <w:right w:val="single" w:color="auto" w:sz="6" w:space="0"/>
            </w:tcBorders>
            <w:vAlign w:val="center"/>
          </w:tcPr>
          <w:p w14:paraId="5EC4D607">
            <w:pPr>
              <w:keepNext w:val="0"/>
              <w:keepLines w:val="0"/>
              <w:suppressLineNumbers w:val="0"/>
              <w:spacing w:before="0" w:beforeAutospacing="0" w:after="0" w:afterAutospacing="0"/>
              <w:ind w:left="0" w:right="0"/>
              <w:jc w:val="center"/>
              <w:rPr>
                <w:rFonts w:hint="default" w:ascii="宋体" w:hAnsi="宋体" w:cs="宋体"/>
              </w:rPr>
            </w:pPr>
            <w:r>
              <w:rPr>
                <w:rFonts w:hint="default"/>
              </w:rPr>
              <w:t>…</w:t>
            </w:r>
          </w:p>
        </w:tc>
        <w:tc>
          <w:tcPr>
            <w:tcW w:w="1383" w:type="dxa"/>
            <w:tcBorders>
              <w:top w:val="single" w:color="auto" w:sz="6" w:space="0"/>
              <w:left w:val="single" w:color="auto" w:sz="6" w:space="0"/>
              <w:bottom w:val="single" w:color="auto" w:sz="6" w:space="0"/>
              <w:right w:val="single" w:color="auto" w:sz="6" w:space="0"/>
            </w:tcBorders>
            <w:vAlign w:val="center"/>
          </w:tcPr>
          <w:p w14:paraId="640BB1B3">
            <w:pPr>
              <w:keepNext w:val="0"/>
              <w:keepLines w:val="0"/>
              <w:suppressLineNumbers w:val="0"/>
              <w:autoSpaceDE w:val="0"/>
              <w:autoSpaceDN w:val="0"/>
              <w:adjustRightInd w:val="0"/>
              <w:snapToGrid w:val="0"/>
              <w:spacing w:before="0" w:beforeAutospacing="0" w:after="0" w:afterAutospacing="0" w:line="360" w:lineRule="auto"/>
              <w:ind w:left="0" w:right="0"/>
              <w:jc w:val="center"/>
              <w:rPr>
                <w:rFonts w:hint="default"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7DC4E388">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0352271D">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5AB686BE">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1096" w:type="dxa"/>
            <w:tcBorders>
              <w:top w:val="single" w:color="auto" w:sz="6" w:space="0"/>
              <w:left w:val="single" w:color="auto" w:sz="4" w:space="0"/>
              <w:bottom w:val="single" w:color="auto" w:sz="6" w:space="0"/>
              <w:right w:val="single" w:color="auto" w:sz="6" w:space="0"/>
            </w:tcBorders>
          </w:tcPr>
          <w:p w14:paraId="6CF2A14E">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992" w:type="dxa"/>
            <w:tcBorders>
              <w:top w:val="single" w:color="auto" w:sz="6" w:space="0"/>
              <w:left w:val="single" w:color="auto" w:sz="6" w:space="0"/>
              <w:bottom w:val="single" w:color="auto" w:sz="6" w:space="0"/>
              <w:right w:val="single" w:color="auto" w:sz="6" w:space="0"/>
            </w:tcBorders>
          </w:tcPr>
          <w:p w14:paraId="7B3CDE10">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652" w:type="dxa"/>
            <w:tcBorders>
              <w:top w:val="single" w:color="auto" w:sz="6" w:space="0"/>
              <w:left w:val="single" w:color="auto" w:sz="6" w:space="0"/>
              <w:bottom w:val="single" w:color="auto" w:sz="6" w:space="0"/>
              <w:right w:val="double" w:color="auto" w:sz="4" w:space="0"/>
            </w:tcBorders>
          </w:tcPr>
          <w:p w14:paraId="6A2E361E">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r>
      <w:tr w14:paraId="09342897">
        <w:tblPrEx>
          <w:tblCellMar>
            <w:top w:w="0" w:type="dxa"/>
            <w:left w:w="0" w:type="dxa"/>
            <w:bottom w:w="0" w:type="dxa"/>
            <w:right w:w="0" w:type="dxa"/>
          </w:tblCellMar>
        </w:tblPrEx>
        <w:tc>
          <w:tcPr>
            <w:tcW w:w="7230" w:type="dxa"/>
            <w:gridSpan w:val="6"/>
            <w:tcBorders>
              <w:top w:val="single" w:color="auto" w:sz="6" w:space="0"/>
              <w:left w:val="double" w:color="auto" w:sz="4" w:space="0"/>
              <w:bottom w:val="double" w:color="auto" w:sz="4" w:space="0"/>
              <w:right w:val="single" w:color="auto" w:sz="6" w:space="0"/>
            </w:tcBorders>
            <w:vAlign w:val="center"/>
          </w:tcPr>
          <w:p w14:paraId="738D60A8">
            <w:pPr>
              <w:keepNext w:val="0"/>
              <w:keepLines w:val="0"/>
              <w:suppressLineNumbers w:val="0"/>
              <w:autoSpaceDE w:val="0"/>
              <w:autoSpaceDN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cs="微软雅黑"/>
                <w:kern w:val="0"/>
                <w:position w:val="-1"/>
                <w:szCs w:val="21"/>
              </w:rPr>
              <w:t>投标报价（元）：</w:t>
            </w:r>
          </w:p>
        </w:tc>
        <w:tc>
          <w:tcPr>
            <w:tcW w:w="992" w:type="dxa"/>
            <w:tcBorders>
              <w:top w:val="single" w:color="auto" w:sz="6" w:space="0"/>
              <w:left w:val="single" w:color="auto" w:sz="6" w:space="0"/>
              <w:bottom w:val="double" w:color="auto" w:sz="4" w:space="0"/>
              <w:right w:val="single" w:color="auto" w:sz="6" w:space="0"/>
            </w:tcBorders>
          </w:tcPr>
          <w:p w14:paraId="6411F9BD">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c>
          <w:tcPr>
            <w:tcW w:w="652" w:type="dxa"/>
            <w:tcBorders>
              <w:top w:val="single" w:color="auto" w:sz="6" w:space="0"/>
              <w:left w:val="single" w:color="auto" w:sz="6" w:space="0"/>
              <w:bottom w:val="double" w:color="auto" w:sz="4" w:space="0"/>
              <w:right w:val="double" w:color="auto" w:sz="4" w:space="0"/>
            </w:tcBorders>
          </w:tcPr>
          <w:p w14:paraId="4A759279">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kern w:val="0"/>
                <w:szCs w:val="21"/>
              </w:rPr>
            </w:pPr>
          </w:p>
        </w:tc>
      </w:tr>
    </w:tbl>
    <w:p w14:paraId="5E0E817D">
      <w:pPr>
        <w:pStyle w:val="2"/>
      </w:pPr>
    </w:p>
    <w:p w14:paraId="32F982C5">
      <w:pPr>
        <w:adjustRightInd w:val="0"/>
        <w:snapToGrid w:val="0"/>
        <w:spacing w:line="360" w:lineRule="auto"/>
        <w:rPr>
          <w:rFonts w:ascii="宋体" w:hAnsi="宋体"/>
          <w:szCs w:val="21"/>
        </w:rPr>
      </w:pPr>
      <w:r>
        <w:rPr>
          <w:rFonts w:hint="eastAsia" w:ascii="宋体" w:hAnsi="宋体"/>
          <w:szCs w:val="21"/>
        </w:rPr>
        <w:t>备注：（1）</w:t>
      </w:r>
      <w:r>
        <w:rPr>
          <w:rFonts w:hint="eastAsia" w:ascii="宋体" w:hAnsi="宋体"/>
          <w:b/>
          <w:szCs w:val="21"/>
        </w:rPr>
        <w:t>本表应对应</w:t>
      </w:r>
      <w:r>
        <w:rPr>
          <w:rFonts w:hint="eastAsia" w:ascii="宋体" w:hAnsi="宋体"/>
          <w:szCs w:val="21"/>
        </w:rPr>
        <w:t>“</w:t>
      </w:r>
      <w:r>
        <w:rPr>
          <w:rFonts w:hint="eastAsia" w:ascii="宋体" w:hAnsi="宋体"/>
          <w:b/>
          <w:szCs w:val="21"/>
        </w:rPr>
        <w:t>报价表</w:t>
      </w:r>
      <w:r>
        <w:rPr>
          <w:rFonts w:hint="eastAsia" w:ascii="宋体" w:hAnsi="宋体"/>
          <w:szCs w:val="21"/>
        </w:rPr>
        <w:t>”</w:t>
      </w:r>
      <w:r>
        <w:rPr>
          <w:rFonts w:hint="eastAsia" w:ascii="宋体" w:hAnsi="宋体"/>
          <w:b/>
          <w:szCs w:val="21"/>
        </w:rPr>
        <w:t>填写</w:t>
      </w:r>
      <w:r>
        <w:rPr>
          <w:rFonts w:hint="eastAsia" w:ascii="宋体" w:hAnsi="宋体"/>
          <w:szCs w:val="21"/>
        </w:rPr>
        <w:t>。供应商如果不提供分项报价明细表，其</w:t>
      </w:r>
      <w:r>
        <w:rPr>
          <w:rFonts w:hint="eastAsia" w:ascii="宋体" w:hAnsi="宋体"/>
          <w:b/>
          <w:szCs w:val="21"/>
        </w:rPr>
        <w:t>响应无效</w:t>
      </w:r>
      <w:r>
        <w:rPr>
          <w:rFonts w:hint="eastAsia" w:ascii="宋体" w:hAnsi="宋体"/>
          <w:szCs w:val="21"/>
        </w:rPr>
        <w:t>。</w:t>
      </w:r>
    </w:p>
    <w:p w14:paraId="0A3D53B5">
      <w:pPr>
        <w:adjustRightInd w:val="0"/>
        <w:snapToGrid w:val="0"/>
        <w:spacing w:line="360" w:lineRule="auto"/>
        <w:ind w:firstLine="630" w:firstLineChars="300"/>
        <w:rPr>
          <w:rFonts w:ascii="宋体" w:hAnsi="宋体"/>
          <w:szCs w:val="21"/>
        </w:rPr>
      </w:pPr>
      <w:r>
        <w:rPr>
          <w:rFonts w:hint="eastAsia" w:ascii="宋体" w:hAnsi="宋体"/>
          <w:szCs w:val="21"/>
        </w:rPr>
        <w:t>（2）不得填写“免费”或“赠与”，也不得进行“零”报价，否则</w:t>
      </w:r>
      <w:r>
        <w:rPr>
          <w:rFonts w:hint="eastAsia" w:ascii="宋体" w:hAnsi="宋体"/>
          <w:b/>
          <w:szCs w:val="21"/>
        </w:rPr>
        <w:t>响应无效</w:t>
      </w:r>
      <w:r>
        <w:rPr>
          <w:rFonts w:hint="eastAsia" w:ascii="宋体" w:hAnsi="宋体"/>
          <w:szCs w:val="21"/>
        </w:rPr>
        <w:t>。</w:t>
      </w:r>
    </w:p>
    <w:p w14:paraId="08062F7A">
      <w:pPr>
        <w:adjustRightInd w:val="0"/>
        <w:snapToGrid w:val="0"/>
        <w:spacing w:line="360" w:lineRule="auto"/>
        <w:ind w:firstLine="422" w:firstLineChars="200"/>
        <w:rPr>
          <w:rFonts w:ascii="宋体" w:hAnsi="宋体"/>
          <w:b/>
          <w:szCs w:val="21"/>
        </w:rPr>
      </w:pPr>
    </w:p>
    <w:p w14:paraId="1FB476AC">
      <w:pPr>
        <w:adjustRightInd w:val="0"/>
        <w:snapToGrid w:val="0"/>
        <w:spacing w:line="360" w:lineRule="auto"/>
        <w:rPr>
          <w:rFonts w:ascii="宋体" w:hAnsi="宋体"/>
          <w:szCs w:val="21"/>
        </w:rPr>
      </w:pPr>
    </w:p>
    <w:p w14:paraId="5666B87B">
      <w:pPr>
        <w:adjustRightInd w:val="0"/>
        <w:snapToGrid w:val="0"/>
        <w:spacing w:line="360" w:lineRule="auto"/>
        <w:rPr>
          <w:rFonts w:ascii="宋体" w:hAnsi="宋体"/>
          <w:szCs w:val="21"/>
        </w:rPr>
      </w:pPr>
      <w:r>
        <w:rPr>
          <w:rFonts w:hint="eastAsia" w:ascii="宋体" w:hAnsi="宋体"/>
          <w:szCs w:val="21"/>
        </w:rPr>
        <w:t>供应商名称（盖单位公章）：</w:t>
      </w:r>
    </w:p>
    <w:p w14:paraId="6813AF34">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05A7E00B">
      <w:pPr>
        <w:adjustRightInd w:val="0"/>
        <w:snapToGrid w:val="0"/>
        <w:spacing w:line="360" w:lineRule="auto"/>
        <w:rPr>
          <w:rFonts w:ascii="黑体" w:hAnsi="黑体" w:eastAsia="黑体"/>
          <w:sz w:val="28"/>
          <w:szCs w:val="28"/>
        </w:rPr>
      </w:pPr>
      <w:r>
        <w:rPr>
          <w:rFonts w:hint="eastAsia" w:ascii="宋体" w:hAnsi="宋体"/>
          <w:szCs w:val="21"/>
        </w:rPr>
        <w:t>日期：年月日</w:t>
      </w:r>
      <w:bookmarkStart w:id="60" w:name="_Toc22201157"/>
    </w:p>
    <w:p w14:paraId="791087B1">
      <w:pPr>
        <w:rPr>
          <w:rFonts w:ascii="宋体" w:hAnsi="宋体"/>
          <w:color w:val="000000"/>
          <w:spacing w:val="-2"/>
          <w:position w:val="-3"/>
          <w:szCs w:val="21"/>
        </w:rPr>
      </w:pPr>
      <w:bookmarkStart w:id="61" w:name="_Toc26512"/>
      <w:bookmarkStart w:id="62" w:name="_Toc3699"/>
      <w:bookmarkStart w:id="63" w:name="_Toc34637800"/>
    </w:p>
    <w:p w14:paraId="095A7D78">
      <w:pPr>
        <w:rPr>
          <w:rFonts w:ascii="宋体" w:hAnsi="宋体"/>
          <w:b/>
          <w:bCs/>
          <w:color w:val="000000"/>
          <w:spacing w:val="-2"/>
          <w:position w:val="-3"/>
          <w:szCs w:val="21"/>
        </w:rPr>
      </w:pPr>
      <w:r>
        <w:rPr>
          <w:rFonts w:hint="eastAsia" w:ascii="宋体" w:hAnsi="宋体"/>
          <w:b/>
          <w:bCs/>
          <w:color w:val="000000"/>
          <w:spacing w:val="-2"/>
          <w:position w:val="-3"/>
          <w:szCs w:val="21"/>
        </w:rPr>
        <w:t>附件</w:t>
      </w:r>
      <w:r>
        <w:rPr>
          <w:rFonts w:ascii="宋体" w:hAnsi="宋体"/>
          <w:b/>
          <w:bCs/>
          <w:color w:val="000000"/>
          <w:spacing w:val="-2"/>
          <w:position w:val="-3"/>
          <w:szCs w:val="21"/>
        </w:rPr>
        <w:t>7</w:t>
      </w:r>
      <w:r>
        <w:rPr>
          <w:rFonts w:hint="eastAsia" w:ascii="宋体" w:hAnsi="宋体"/>
          <w:b/>
          <w:bCs/>
          <w:color w:val="000000"/>
          <w:spacing w:val="-2"/>
          <w:position w:val="-3"/>
          <w:szCs w:val="21"/>
        </w:rPr>
        <w:t>-3： 已标价工程量清单</w:t>
      </w:r>
      <w:bookmarkEnd w:id="61"/>
      <w:bookmarkEnd w:id="62"/>
    </w:p>
    <w:p w14:paraId="55E97329">
      <w:pPr>
        <w:adjustRightInd w:val="0"/>
        <w:snapToGrid w:val="0"/>
        <w:spacing w:beforeLines="50" w:line="360" w:lineRule="auto"/>
        <w:jc w:val="center"/>
        <w:rPr>
          <w:rFonts w:ascii="黑体" w:hAnsi="黑体" w:eastAsia="黑体"/>
          <w:color w:val="000000"/>
          <w:sz w:val="28"/>
          <w:szCs w:val="28"/>
        </w:rPr>
      </w:pPr>
      <w:r>
        <w:rPr>
          <w:rFonts w:hint="eastAsia" w:ascii="黑体" w:hAnsi="黑体" w:eastAsia="黑体"/>
          <w:color w:val="000000"/>
          <w:sz w:val="28"/>
          <w:szCs w:val="28"/>
        </w:rPr>
        <w:t>已标价工程量清单</w:t>
      </w:r>
    </w:p>
    <w:p w14:paraId="72FBF49D">
      <w:pPr>
        <w:jc w:val="center"/>
        <w:rPr>
          <w:rFonts w:ascii="宋体" w:hAnsi="宋体"/>
          <w:color w:val="000000"/>
          <w:szCs w:val="21"/>
        </w:rPr>
      </w:pPr>
      <w:r>
        <w:rPr>
          <w:rFonts w:hint="eastAsia" w:ascii="宋体" w:hAnsi="宋体"/>
          <w:color w:val="000000"/>
          <w:szCs w:val="21"/>
        </w:rPr>
        <w:t>(工程建设施工项目)</w:t>
      </w:r>
    </w:p>
    <w:p w14:paraId="44F416C8">
      <w:pPr>
        <w:widowControl/>
        <w:jc w:val="left"/>
      </w:pPr>
      <w:r>
        <w:br w:type="page"/>
      </w:r>
    </w:p>
    <w:p w14:paraId="07258E4A">
      <w:pPr>
        <w:pStyle w:val="7"/>
        <w:jc w:val="center"/>
        <w:rPr>
          <w:rFonts w:ascii="黑体" w:hAnsi="黑体" w:eastAsia="黑体"/>
          <w:b w:val="0"/>
          <w:bCs w:val="0"/>
          <w:sz w:val="28"/>
          <w:szCs w:val="28"/>
        </w:rPr>
      </w:pPr>
      <w:bookmarkStart w:id="64" w:name="_Toc13959"/>
      <w:r>
        <w:rPr>
          <w:rFonts w:hint="eastAsia" w:ascii="黑体" w:hAnsi="黑体" w:eastAsia="黑体"/>
          <w:sz w:val="28"/>
          <w:szCs w:val="28"/>
        </w:rPr>
        <w:t>八、采购需求的响应</w:t>
      </w:r>
      <w:bookmarkEnd w:id="60"/>
      <w:bookmarkEnd w:id="63"/>
      <w:bookmarkEnd w:id="64"/>
    </w:p>
    <w:p w14:paraId="30DAD34F">
      <w:pPr>
        <w:adjustRightInd w:val="0"/>
        <w:snapToGrid w:val="0"/>
        <w:spacing w:line="360" w:lineRule="auto"/>
        <w:rPr>
          <w:rFonts w:ascii="宋体" w:hAnsi="宋体"/>
          <w:b/>
          <w:szCs w:val="21"/>
        </w:rPr>
      </w:pPr>
    </w:p>
    <w:p w14:paraId="1B1F1C61">
      <w:pPr>
        <w:adjustRightInd w:val="0"/>
        <w:snapToGrid w:val="0"/>
        <w:spacing w:line="360" w:lineRule="auto"/>
        <w:rPr>
          <w:b/>
        </w:rPr>
      </w:pPr>
      <w:r>
        <w:rPr>
          <w:rFonts w:hint="eastAsia" w:ascii="宋体" w:hAnsi="宋体"/>
          <w:b/>
          <w:szCs w:val="21"/>
        </w:rPr>
        <w:t>编制说明</w:t>
      </w:r>
      <w:r>
        <w:rPr>
          <w:rFonts w:hint="eastAsia" w:ascii="宋体" w:hAnsi="宋体"/>
          <w:bCs/>
          <w:szCs w:val="21"/>
        </w:rPr>
        <w:t>：</w:t>
      </w:r>
      <w:r>
        <w:rPr>
          <w:rFonts w:hint="eastAsia"/>
          <w:b/>
        </w:rPr>
        <w:t>供应商应按磋商文件第三章采购需求自行编写采购需求响应文件，格式自拟。</w:t>
      </w:r>
    </w:p>
    <w:p w14:paraId="2088F109"/>
    <w:p w14:paraId="770E48DC">
      <w:pPr>
        <w:pStyle w:val="28"/>
        <w:tabs>
          <w:tab w:val="left" w:pos="6208"/>
        </w:tabs>
        <w:adjustRightInd w:val="0"/>
        <w:snapToGrid w:val="0"/>
        <w:spacing w:line="360" w:lineRule="auto"/>
        <w:ind w:left="-88" w:leftChars="-42"/>
        <w:rPr>
          <w:rFonts w:ascii="宋体" w:hAnsi="宋体"/>
          <w:bCs/>
          <w:sz w:val="21"/>
          <w:szCs w:val="21"/>
        </w:rPr>
      </w:pPr>
    </w:p>
    <w:p w14:paraId="2B575CBD">
      <w:pPr>
        <w:adjustRightInd w:val="0"/>
        <w:snapToGrid w:val="0"/>
        <w:spacing w:line="360" w:lineRule="auto"/>
        <w:rPr>
          <w:rFonts w:ascii="宋体" w:hAnsi="宋体"/>
          <w:szCs w:val="21"/>
        </w:rPr>
      </w:pPr>
    </w:p>
    <w:p w14:paraId="4E8B8974">
      <w:pPr>
        <w:adjustRightInd w:val="0"/>
        <w:snapToGrid w:val="0"/>
        <w:spacing w:line="360" w:lineRule="auto"/>
        <w:rPr>
          <w:rFonts w:ascii="宋体" w:hAnsi="宋体"/>
          <w:szCs w:val="21"/>
        </w:rPr>
      </w:pPr>
      <w:r>
        <w:rPr>
          <w:rFonts w:hint="eastAsia" w:ascii="宋体" w:hAnsi="宋体"/>
          <w:szCs w:val="21"/>
        </w:rPr>
        <w:t>供应商名称（盖单位公章）：</w:t>
      </w:r>
    </w:p>
    <w:p w14:paraId="6417C435">
      <w:pPr>
        <w:adjustRightInd w:val="0"/>
        <w:snapToGrid w:val="0"/>
        <w:spacing w:line="360" w:lineRule="auto"/>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61E5C436">
      <w:pPr>
        <w:adjustRightInd w:val="0"/>
        <w:snapToGrid w:val="0"/>
        <w:spacing w:line="360" w:lineRule="auto"/>
        <w:rPr>
          <w:rFonts w:ascii="宋体" w:hAnsi="宋体"/>
          <w:szCs w:val="21"/>
        </w:rPr>
      </w:pPr>
      <w:r>
        <w:rPr>
          <w:rFonts w:hint="eastAsia" w:ascii="宋体" w:hAnsi="宋体"/>
          <w:szCs w:val="21"/>
        </w:rPr>
        <w:t>日期：年月日</w:t>
      </w:r>
    </w:p>
    <w:p w14:paraId="49286DCA"/>
    <w:p w14:paraId="600F0372"/>
    <w:p w14:paraId="58DBEDD4">
      <w:pPr>
        <w:rPr>
          <w:rFonts w:ascii="宋体" w:hAnsi="宋体"/>
          <w:b/>
          <w:bCs/>
          <w:szCs w:val="21"/>
        </w:rPr>
      </w:pPr>
      <w:bookmarkStart w:id="65" w:name="_Toc34637801"/>
      <w:bookmarkStart w:id="66" w:name="_Toc22201158"/>
      <w:r>
        <w:rPr>
          <w:rFonts w:hint="eastAsia" w:ascii="宋体" w:hAnsi="宋体"/>
          <w:b/>
          <w:bCs/>
          <w:szCs w:val="21"/>
        </w:rPr>
        <w:t>附件</w:t>
      </w:r>
      <w:r>
        <w:rPr>
          <w:rFonts w:ascii="宋体" w:hAnsi="宋体"/>
          <w:b/>
          <w:bCs/>
          <w:szCs w:val="21"/>
        </w:rPr>
        <w:t>8</w:t>
      </w:r>
      <w:r>
        <w:rPr>
          <w:rFonts w:hint="eastAsia" w:ascii="宋体" w:hAnsi="宋体"/>
          <w:b/>
          <w:bCs/>
          <w:szCs w:val="21"/>
        </w:rPr>
        <w:t>-1 响应一览表</w:t>
      </w:r>
      <w:bookmarkEnd w:id="65"/>
      <w:bookmarkEnd w:id="66"/>
    </w:p>
    <w:p w14:paraId="56AC6D40">
      <w:pPr>
        <w:adjustRightInd w:val="0"/>
        <w:snapToGrid w:val="0"/>
        <w:spacing w:beforeLines="50" w:line="360" w:lineRule="auto"/>
        <w:jc w:val="center"/>
        <w:rPr>
          <w:rFonts w:ascii="黑体" w:hAnsi="黑体" w:eastAsia="黑体"/>
          <w:b/>
          <w:bCs/>
          <w:sz w:val="24"/>
        </w:rPr>
      </w:pPr>
      <w:r>
        <w:rPr>
          <w:rFonts w:hint="eastAsia" w:ascii="黑体" w:hAnsi="黑体" w:eastAsia="黑体"/>
          <w:b/>
          <w:bCs/>
          <w:sz w:val="24"/>
        </w:rPr>
        <w:t>响应一览表</w:t>
      </w:r>
    </w:p>
    <w:p w14:paraId="13F6F5C3">
      <w:pPr>
        <w:jc w:val="center"/>
        <w:rPr>
          <w:rFonts w:ascii="宋体" w:hAnsi="宋体"/>
          <w:szCs w:val="21"/>
        </w:rPr>
      </w:pPr>
    </w:p>
    <w:tbl>
      <w:tblPr>
        <w:tblStyle w:val="46"/>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9"/>
        <w:gridCol w:w="2124"/>
        <w:gridCol w:w="2127"/>
        <w:gridCol w:w="992"/>
        <w:gridCol w:w="894"/>
        <w:gridCol w:w="945"/>
        <w:gridCol w:w="1350"/>
      </w:tblGrid>
      <w:tr w14:paraId="23133B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6" w:hRule="atLeast"/>
        </w:trPr>
        <w:tc>
          <w:tcPr>
            <w:tcW w:w="429" w:type="dxa"/>
            <w:vMerge w:val="restart"/>
            <w:vAlign w:val="center"/>
          </w:tcPr>
          <w:p w14:paraId="51655F0E">
            <w:pPr>
              <w:keepNext w:val="0"/>
              <w:keepLines w:val="0"/>
              <w:suppressLineNumbers w:val="0"/>
              <w:spacing w:before="0" w:beforeAutospacing="0" w:after="0" w:afterAutospacing="0"/>
              <w:ind w:left="0" w:right="0"/>
              <w:jc w:val="center"/>
              <w:rPr>
                <w:rFonts w:hint="default"/>
                <w:szCs w:val="21"/>
              </w:rPr>
            </w:pPr>
            <w:r>
              <w:rPr>
                <w:rFonts w:hint="eastAsia"/>
                <w:szCs w:val="21"/>
              </w:rPr>
              <w:t xml:space="preserve">序号 </w:t>
            </w:r>
          </w:p>
        </w:tc>
        <w:tc>
          <w:tcPr>
            <w:tcW w:w="2124" w:type="dxa"/>
            <w:vMerge w:val="restart"/>
            <w:tcBorders>
              <w:left w:val="single" w:color="auto" w:sz="4" w:space="0"/>
            </w:tcBorders>
            <w:vAlign w:val="center"/>
          </w:tcPr>
          <w:p w14:paraId="21E4A057">
            <w:pPr>
              <w:keepNext w:val="0"/>
              <w:keepLines w:val="0"/>
              <w:suppressLineNumbers w:val="0"/>
              <w:spacing w:before="0" w:beforeAutospacing="0" w:after="0" w:afterAutospacing="0"/>
              <w:ind w:left="0" w:right="0"/>
              <w:jc w:val="center"/>
              <w:rPr>
                <w:rFonts w:hint="default"/>
                <w:szCs w:val="21"/>
              </w:rPr>
            </w:pPr>
            <w:r>
              <w:rPr>
                <w:rFonts w:hint="eastAsia"/>
                <w:szCs w:val="21"/>
              </w:rPr>
              <w:t>工程名称</w:t>
            </w:r>
          </w:p>
          <w:p w14:paraId="4DD0323E">
            <w:pPr>
              <w:keepNext w:val="0"/>
              <w:keepLines w:val="0"/>
              <w:suppressLineNumbers w:val="0"/>
              <w:spacing w:before="0" w:beforeAutospacing="0" w:after="0" w:afterAutospacing="0"/>
              <w:ind w:left="0" w:right="0"/>
              <w:jc w:val="center"/>
              <w:rPr>
                <w:rFonts w:hint="default"/>
                <w:szCs w:val="21"/>
              </w:rPr>
            </w:pPr>
          </w:p>
        </w:tc>
        <w:tc>
          <w:tcPr>
            <w:tcW w:w="2127" w:type="dxa"/>
            <w:vMerge w:val="restart"/>
            <w:vAlign w:val="center"/>
          </w:tcPr>
          <w:p w14:paraId="1B286439">
            <w:pPr>
              <w:keepNext w:val="0"/>
              <w:keepLines w:val="0"/>
              <w:suppressLineNumbers w:val="0"/>
              <w:spacing w:before="0" w:beforeAutospacing="0" w:after="0" w:afterAutospacing="0"/>
              <w:ind w:left="0" w:right="0"/>
              <w:jc w:val="center"/>
              <w:rPr>
                <w:rFonts w:hint="default"/>
              </w:rPr>
            </w:pPr>
            <w:r>
              <w:rPr>
                <w:rFonts w:hint="eastAsia"/>
              </w:rPr>
              <w:t>主要技术参数或规格</w:t>
            </w:r>
          </w:p>
          <w:p w14:paraId="445F6B02">
            <w:pPr>
              <w:pStyle w:val="15"/>
              <w:keepNext w:val="0"/>
              <w:keepLines w:val="0"/>
              <w:suppressLineNumbers w:val="0"/>
              <w:spacing w:before="0" w:beforeAutospacing="0" w:after="0" w:afterAutospacing="0"/>
              <w:ind w:left="0" w:right="0"/>
              <w:rPr>
                <w:rFonts w:hint="default"/>
              </w:rPr>
            </w:pPr>
          </w:p>
        </w:tc>
        <w:tc>
          <w:tcPr>
            <w:tcW w:w="992" w:type="dxa"/>
            <w:vMerge w:val="restart"/>
            <w:vAlign w:val="center"/>
          </w:tcPr>
          <w:p w14:paraId="5C1D9D5C">
            <w:pPr>
              <w:keepNext w:val="0"/>
              <w:keepLines w:val="0"/>
              <w:suppressLineNumbers w:val="0"/>
              <w:spacing w:before="0" w:beforeAutospacing="0" w:after="0" w:afterAutospacing="0"/>
              <w:ind w:left="0" w:right="0"/>
              <w:jc w:val="center"/>
              <w:rPr>
                <w:rFonts w:hint="default"/>
                <w:szCs w:val="21"/>
              </w:rPr>
            </w:pPr>
            <w:r>
              <w:rPr>
                <w:rFonts w:hint="eastAsia"/>
                <w:szCs w:val="21"/>
              </w:rPr>
              <w:t>数量</w:t>
            </w:r>
          </w:p>
          <w:p w14:paraId="309EAB01">
            <w:pPr>
              <w:keepNext w:val="0"/>
              <w:keepLines w:val="0"/>
              <w:suppressLineNumbers w:val="0"/>
              <w:spacing w:before="0" w:beforeAutospacing="0" w:after="0" w:afterAutospacing="0"/>
              <w:ind w:left="0" w:right="0"/>
              <w:jc w:val="center"/>
              <w:rPr>
                <w:rFonts w:hint="default"/>
                <w:szCs w:val="21"/>
              </w:rPr>
            </w:pPr>
          </w:p>
        </w:tc>
        <w:tc>
          <w:tcPr>
            <w:tcW w:w="1839" w:type="dxa"/>
            <w:gridSpan w:val="2"/>
            <w:vAlign w:val="center"/>
          </w:tcPr>
          <w:p w14:paraId="0DD6802B">
            <w:pPr>
              <w:keepNext w:val="0"/>
              <w:keepLines w:val="0"/>
              <w:suppressLineNumbers w:val="0"/>
              <w:spacing w:before="0" w:beforeAutospacing="0" w:after="0" w:afterAutospacing="0"/>
              <w:ind w:left="0" w:right="0"/>
              <w:jc w:val="center"/>
              <w:rPr>
                <w:rFonts w:hint="default"/>
                <w:szCs w:val="21"/>
              </w:rPr>
            </w:pPr>
            <w:r>
              <w:rPr>
                <w:rFonts w:hint="eastAsia"/>
                <w:szCs w:val="21"/>
              </w:rPr>
              <w:t>工期</w:t>
            </w:r>
          </w:p>
        </w:tc>
        <w:tc>
          <w:tcPr>
            <w:tcW w:w="1350" w:type="dxa"/>
            <w:vMerge w:val="restart"/>
            <w:vAlign w:val="center"/>
          </w:tcPr>
          <w:p w14:paraId="190FF124">
            <w:pPr>
              <w:keepNext w:val="0"/>
              <w:keepLines w:val="0"/>
              <w:suppressLineNumbers w:val="0"/>
              <w:spacing w:before="0" w:beforeAutospacing="0" w:after="0" w:afterAutospacing="0"/>
              <w:ind w:left="0" w:right="0"/>
              <w:jc w:val="center"/>
              <w:rPr>
                <w:rFonts w:hint="default"/>
                <w:szCs w:val="21"/>
              </w:rPr>
            </w:pPr>
            <w:r>
              <w:rPr>
                <w:rFonts w:hint="eastAsia"/>
                <w:szCs w:val="21"/>
              </w:rPr>
              <w:t>备注</w:t>
            </w:r>
          </w:p>
        </w:tc>
      </w:tr>
      <w:tr w14:paraId="13F8B1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trPr>
        <w:tc>
          <w:tcPr>
            <w:tcW w:w="429" w:type="dxa"/>
            <w:vMerge w:val="continue"/>
            <w:vAlign w:val="center"/>
          </w:tcPr>
          <w:p w14:paraId="119C18D7">
            <w:pPr>
              <w:keepNext w:val="0"/>
              <w:keepLines w:val="0"/>
              <w:suppressLineNumbers w:val="0"/>
              <w:spacing w:before="0" w:beforeAutospacing="0" w:after="0" w:afterAutospacing="0"/>
              <w:ind w:left="0" w:right="0"/>
              <w:jc w:val="center"/>
              <w:rPr>
                <w:rFonts w:hint="default"/>
                <w:szCs w:val="21"/>
              </w:rPr>
            </w:pPr>
          </w:p>
        </w:tc>
        <w:tc>
          <w:tcPr>
            <w:tcW w:w="2124" w:type="dxa"/>
            <w:vMerge w:val="continue"/>
            <w:tcBorders>
              <w:left w:val="single" w:color="auto" w:sz="4" w:space="0"/>
            </w:tcBorders>
            <w:vAlign w:val="center"/>
          </w:tcPr>
          <w:p w14:paraId="4D7DC10B">
            <w:pPr>
              <w:keepNext w:val="0"/>
              <w:keepLines w:val="0"/>
              <w:suppressLineNumbers w:val="0"/>
              <w:spacing w:before="0" w:beforeAutospacing="0" w:after="0" w:afterAutospacing="0"/>
              <w:ind w:left="0" w:right="0"/>
              <w:jc w:val="center"/>
              <w:rPr>
                <w:rFonts w:hint="default"/>
                <w:szCs w:val="21"/>
              </w:rPr>
            </w:pPr>
          </w:p>
        </w:tc>
        <w:tc>
          <w:tcPr>
            <w:tcW w:w="2127" w:type="dxa"/>
            <w:vMerge w:val="continue"/>
            <w:vAlign w:val="center"/>
          </w:tcPr>
          <w:p w14:paraId="2088FA28">
            <w:pPr>
              <w:keepNext w:val="0"/>
              <w:keepLines w:val="0"/>
              <w:suppressLineNumbers w:val="0"/>
              <w:spacing w:before="0" w:beforeAutospacing="0" w:after="0" w:afterAutospacing="0"/>
              <w:ind w:left="0" w:right="0"/>
              <w:jc w:val="center"/>
              <w:rPr>
                <w:rFonts w:hint="default"/>
                <w:szCs w:val="21"/>
              </w:rPr>
            </w:pPr>
          </w:p>
        </w:tc>
        <w:tc>
          <w:tcPr>
            <w:tcW w:w="992" w:type="dxa"/>
            <w:vMerge w:val="continue"/>
            <w:vAlign w:val="center"/>
          </w:tcPr>
          <w:p w14:paraId="41EDF8C6">
            <w:pPr>
              <w:keepNext w:val="0"/>
              <w:keepLines w:val="0"/>
              <w:suppressLineNumbers w:val="0"/>
              <w:spacing w:before="0" w:beforeAutospacing="0" w:after="0" w:afterAutospacing="0"/>
              <w:ind w:left="0" w:right="0"/>
              <w:jc w:val="center"/>
              <w:rPr>
                <w:rFonts w:hint="default"/>
                <w:szCs w:val="21"/>
              </w:rPr>
            </w:pPr>
          </w:p>
        </w:tc>
        <w:tc>
          <w:tcPr>
            <w:tcW w:w="894" w:type="dxa"/>
            <w:vAlign w:val="center"/>
          </w:tcPr>
          <w:p w14:paraId="7B5DFCA1">
            <w:pPr>
              <w:keepNext w:val="0"/>
              <w:keepLines w:val="0"/>
              <w:suppressLineNumbers w:val="0"/>
              <w:spacing w:before="0" w:beforeAutospacing="0" w:after="0" w:afterAutospacing="0"/>
              <w:ind w:left="0" w:right="0"/>
              <w:jc w:val="center"/>
              <w:rPr>
                <w:rFonts w:hint="default"/>
                <w:szCs w:val="21"/>
              </w:rPr>
            </w:pPr>
            <w:r>
              <w:rPr>
                <w:rFonts w:hint="eastAsia"/>
                <w:szCs w:val="21"/>
              </w:rPr>
              <w:t>时间</w:t>
            </w:r>
          </w:p>
        </w:tc>
        <w:tc>
          <w:tcPr>
            <w:tcW w:w="945" w:type="dxa"/>
            <w:vAlign w:val="center"/>
          </w:tcPr>
          <w:p w14:paraId="54F110F4">
            <w:pPr>
              <w:keepNext w:val="0"/>
              <w:keepLines w:val="0"/>
              <w:suppressLineNumbers w:val="0"/>
              <w:spacing w:before="0" w:beforeAutospacing="0" w:after="0" w:afterAutospacing="0"/>
              <w:ind w:left="0" w:right="0"/>
              <w:jc w:val="center"/>
              <w:rPr>
                <w:rFonts w:hint="default"/>
                <w:szCs w:val="21"/>
              </w:rPr>
            </w:pPr>
            <w:r>
              <w:rPr>
                <w:rFonts w:hint="eastAsia"/>
                <w:szCs w:val="21"/>
              </w:rPr>
              <w:t>地点</w:t>
            </w:r>
          </w:p>
        </w:tc>
        <w:tc>
          <w:tcPr>
            <w:tcW w:w="1350" w:type="dxa"/>
            <w:vMerge w:val="continue"/>
          </w:tcPr>
          <w:p w14:paraId="692A7609">
            <w:pPr>
              <w:keepNext w:val="0"/>
              <w:keepLines w:val="0"/>
              <w:suppressLineNumbers w:val="0"/>
              <w:spacing w:before="0" w:beforeAutospacing="0" w:after="0" w:afterAutospacing="0"/>
              <w:ind w:left="0" w:right="0"/>
              <w:rPr>
                <w:rFonts w:hint="default"/>
                <w:szCs w:val="21"/>
              </w:rPr>
            </w:pPr>
          </w:p>
        </w:tc>
      </w:tr>
      <w:tr w14:paraId="066F2C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3E1637C9">
            <w:pPr>
              <w:keepNext w:val="0"/>
              <w:keepLines w:val="0"/>
              <w:suppressLineNumbers w:val="0"/>
              <w:spacing w:before="0" w:beforeAutospacing="0" w:after="0" w:afterAutospacing="0"/>
              <w:ind w:left="0" w:right="0"/>
              <w:rPr>
                <w:rFonts w:hint="default"/>
                <w:szCs w:val="21"/>
              </w:rPr>
            </w:pPr>
          </w:p>
        </w:tc>
        <w:tc>
          <w:tcPr>
            <w:tcW w:w="2124" w:type="dxa"/>
            <w:tcBorders>
              <w:left w:val="single" w:color="auto" w:sz="4" w:space="0"/>
            </w:tcBorders>
          </w:tcPr>
          <w:p w14:paraId="599E21F3">
            <w:pPr>
              <w:keepNext w:val="0"/>
              <w:keepLines w:val="0"/>
              <w:suppressLineNumbers w:val="0"/>
              <w:spacing w:before="0" w:beforeAutospacing="0" w:after="0" w:afterAutospacing="0"/>
              <w:ind w:left="0" w:right="0"/>
              <w:rPr>
                <w:rFonts w:hint="default"/>
                <w:szCs w:val="21"/>
              </w:rPr>
            </w:pPr>
          </w:p>
        </w:tc>
        <w:tc>
          <w:tcPr>
            <w:tcW w:w="2127" w:type="dxa"/>
          </w:tcPr>
          <w:p w14:paraId="4617D930">
            <w:pPr>
              <w:keepNext w:val="0"/>
              <w:keepLines w:val="0"/>
              <w:suppressLineNumbers w:val="0"/>
              <w:spacing w:before="0" w:beforeAutospacing="0" w:after="0" w:afterAutospacing="0"/>
              <w:ind w:left="0" w:right="0"/>
              <w:rPr>
                <w:rFonts w:hint="default"/>
                <w:szCs w:val="21"/>
              </w:rPr>
            </w:pPr>
          </w:p>
        </w:tc>
        <w:tc>
          <w:tcPr>
            <w:tcW w:w="992" w:type="dxa"/>
          </w:tcPr>
          <w:p w14:paraId="787126A0">
            <w:pPr>
              <w:keepNext w:val="0"/>
              <w:keepLines w:val="0"/>
              <w:suppressLineNumbers w:val="0"/>
              <w:spacing w:before="0" w:beforeAutospacing="0" w:after="0" w:afterAutospacing="0"/>
              <w:ind w:left="0" w:right="0"/>
              <w:rPr>
                <w:rFonts w:hint="default"/>
                <w:szCs w:val="21"/>
              </w:rPr>
            </w:pPr>
          </w:p>
        </w:tc>
        <w:tc>
          <w:tcPr>
            <w:tcW w:w="894" w:type="dxa"/>
            <w:tcBorders>
              <w:bottom w:val="single" w:color="auto" w:sz="4" w:space="0"/>
            </w:tcBorders>
          </w:tcPr>
          <w:p w14:paraId="1D2E6F41">
            <w:pPr>
              <w:keepNext w:val="0"/>
              <w:keepLines w:val="0"/>
              <w:suppressLineNumbers w:val="0"/>
              <w:spacing w:before="0" w:beforeAutospacing="0" w:after="0" w:afterAutospacing="0"/>
              <w:ind w:left="0" w:right="0"/>
              <w:rPr>
                <w:rFonts w:hint="default"/>
                <w:szCs w:val="21"/>
              </w:rPr>
            </w:pPr>
          </w:p>
        </w:tc>
        <w:tc>
          <w:tcPr>
            <w:tcW w:w="945" w:type="dxa"/>
            <w:tcBorders>
              <w:bottom w:val="single" w:color="auto" w:sz="4" w:space="0"/>
            </w:tcBorders>
          </w:tcPr>
          <w:p w14:paraId="4221D203">
            <w:pPr>
              <w:keepNext w:val="0"/>
              <w:keepLines w:val="0"/>
              <w:suppressLineNumbers w:val="0"/>
              <w:spacing w:before="0" w:beforeAutospacing="0" w:after="0" w:afterAutospacing="0"/>
              <w:ind w:left="0" w:right="0"/>
              <w:rPr>
                <w:rFonts w:hint="default"/>
                <w:szCs w:val="21"/>
              </w:rPr>
            </w:pPr>
          </w:p>
        </w:tc>
        <w:tc>
          <w:tcPr>
            <w:tcW w:w="1350" w:type="dxa"/>
          </w:tcPr>
          <w:p w14:paraId="626892F7">
            <w:pPr>
              <w:keepNext w:val="0"/>
              <w:keepLines w:val="0"/>
              <w:suppressLineNumbers w:val="0"/>
              <w:spacing w:before="0" w:beforeAutospacing="0" w:after="0" w:afterAutospacing="0"/>
              <w:ind w:left="0" w:right="0"/>
              <w:rPr>
                <w:rFonts w:hint="default"/>
                <w:szCs w:val="21"/>
              </w:rPr>
            </w:pPr>
          </w:p>
        </w:tc>
      </w:tr>
      <w:tr w14:paraId="1A773A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12FD9CE3">
            <w:pPr>
              <w:keepNext w:val="0"/>
              <w:keepLines w:val="0"/>
              <w:suppressLineNumbers w:val="0"/>
              <w:spacing w:before="0" w:beforeAutospacing="0" w:after="0" w:afterAutospacing="0"/>
              <w:ind w:left="0" w:right="0"/>
              <w:rPr>
                <w:rFonts w:hint="default"/>
                <w:szCs w:val="21"/>
              </w:rPr>
            </w:pPr>
          </w:p>
        </w:tc>
        <w:tc>
          <w:tcPr>
            <w:tcW w:w="2124" w:type="dxa"/>
            <w:tcBorders>
              <w:left w:val="single" w:color="auto" w:sz="4" w:space="0"/>
            </w:tcBorders>
          </w:tcPr>
          <w:p w14:paraId="2DBF9D89">
            <w:pPr>
              <w:keepNext w:val="0"/>
              <w:keepLines w:val="0"/>
              <w:suppressLineNumbers w:val="0"/>
              <w:spacing w:before="0" w:beforeAutospacing="0" w:after="0" w:afterAutospacing="0"/>
              <w:ind w:left="0" w:right="0"/>
              <w:rPr>
                <w:rFonts w:hint="default"/>
                <w:szCs w:val="21"/>
              </w:rPr>
            </w:pPr>
          </w:p>
        </w:tc>
        <w:tc>
          <w:tcPr>
            <w:tcW w:w="2127" w:type="dxa"/>
          </w:tcPr>
          <w:p w14:paraId="6D7C86D9">
            <w:pPr>
              <w:keepNext w:val="0"/>
              <w:keepLines w:val="0"/>
              <w:suppressLineNumbers w:val="0"/>
              <w:spacing w:before="0" w:beforeAutospacing="0" w:after="0" w:afterAutospacing="0"/>
              <w:ind w:left="0" w:right="0"/>
              <w:rPr>
                <w:rFonts w:hint="default"/>
                <w:szCs w:val="21"/>
              </w:rPr>
            </w:pPr>
          </w:p>
        </w:tc>
        <w:tc>
          <w:tcPr>
            <w:tcW w:w="992" w:type="dxa"/>
          </w:tcPr>
          <w:p w14:paraId="60382554">
            <w:pPr>
              <w:keepNext w:val="0"/>
              <w:keepLines w:val="0"/>
              <w:suppressLineNumbers w:val="0"/>
              <w:spacing w:before="0" w:beforeAutospacing="0" w:after="0" w:afterAutospacing="0"/>
              <w:ind w:left="0" w:right="0"/>
              <w:rPr>
                <w:rFonts w:hint="default"/>
                <w:szCs w:val="21"/>
              </w:rPr>
            </w:pPr>
          </w:p>
        </w:tc>
        <w:tc>
          <w:tcPr>
            <w:tcW w:w="894" w:type="dxa"/>
            <w:tcBorders>
              <w:top w:val="single" w:color="auto" w:sz="4" w:space="0"/>
              <w:bottom w:val="single" w:color="auto" w:sz="4" w:space="0"/>
            </w:tcBorders>
          </w:tcPr>
          <w:p w14:paraId="00427014">
            <w:pPr>
              <w:keepNext w:val="0"/>
              <w:keepLines w:val="0"/>
              <w:suppressLineNumbers w:val="0"/>
              <w:spacing w:before="0" w:beforeAutospacing="0" w:after="0" w:afterAutospacing="0"/>
              <w:ind w:left="0" w:right="0"/>
              <w:rPr>
                <w:rFonts w:hint="default"/>
                <w:szCs w:val="21"/>
              </w:rPr>
            </w:pPr>
          </w:p>
        </w:tc>
        <w:tc>
          <w:tcPr>
            <w:tcW w:w="945" w:type="dxa"/>
            <w:tcBorders>
              <w:top w:val="single" w:color="auto" w:sz="4" w:space="0"/>
              <w:bottom w:val="single" w:color="auto" w:sz="4" w:space="0"/>
            </w:tcBorders>
          </w:tcPr>
          <w:p w14:paraId="47900E00">
            <w:pPr>
              <w:keepNext w:val="0"/>
              <w:keepLines w:val="0"/>
              <w:suppressLineNumbers w:val="0"/>
              <w:spacing w:before="0" w:beforeAutospacing="0" w:after="0" w:afterAutospacing="0"/>
              <w:ind w:left="0" w:right="0"/>
              <w:rPr>
                <w:rFonts w:hint="default"/>
                <w:szCs w:val="21"/>
              </w:rPr>
            </w:pPr>
          </w:p>
        </w:tc>
        <w:tc>
          <w:tcPr>
            <w:tcW w:w="1350" w:type="dxa"/>
          </w:tcPr>
          <w:p w14:paraId="797F31E3">
            <w:pPr>
              <w:keepNext w:val="0"/>
              <w:keepLines w:val="0"/>
              <w:suppressLineNumbers w:val="0"/>
              <w:spacing w:before="0" w:beforeAutospacing="0" w:after="0" w:afterAutospacing="0"/>
              <w:ind w:left="0" w:right="0"/>
              <w:rPr>
                <w:rFonts w:hint="default"/>
                <w:szCs w:val="21"/>
              </w:rPr>
            </w:pPr>
          </w:p>
        </w:tc>
      </w:tr>
      <w:tr w14:paraId="417283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636AB20A">
            <w:pPr>
              <w:keepNext w:val="0"/>
              <w:keepLines w:val="0"/>
              <w:suppressLineNumbers w:val="0"/>
              <w:spacing w:before="0" w:beforeAutospacing="0" w:after="0" w:afterAutospacing="0"/>
              <w:ind w:left="0" w:right="0"/>
              <w:rPr>
                <w:rFonts w:hint="default"/>
                <w:szCs w:val="21"/>
              </w:rPr>
            </w:pPr>
          </w:p>
        </w:tc>
        <w:tc>
          <w:tcPr>
            <w:tcW w:w="2124" w:type="dxa"/>
            <w:tcBorders>
              <w:left w:val="single" w:color="auto" w:sz="4" w:space="0"/>
            </w:tcBorders>
          </w:tcPr>
          <w:p w14:paraId="137EBA2F">
            <w:pPr>
              <w:keepNext w:val="0"/>
              <w:keepLines w:val="0"/>
              <w:suppressLineNumbers w:val="0"/>
              <w:spacing w:before="0" w:beforeAutospacing="0" w:after="0" w:afterAutospacing="0"/>
              <w:ind w:left="0" w:right="0"/>
              <w:rPr>
                <w:rFonts w:hint="default"/>
                <w:szCs w:val="21"/>
              </w:rPr>
            </w:pPr>
          </w:p>
        </w:tc>
        <w:tc>
          <w:tcPr>
            <w:tcW w:w="2127" w:type="dxa"/>
          </w:tcPr>
          <w:p w14:paraId="154632DE">
            <w:pPr>
              <w:keepNext w:val="0"/>
              <w:keepLines w:val="0"/>
              <w:suppressLineNumbers w:val="0"/>
              <w:spacing w:before="0" w:beforeAutospacing="0" w:after="0" w:afterAutospacing="0"/>
              <w:ind w:left="0" w:right="0"/>
              <w:rPr>
                <w:rFonts w:hint="default"/>
                <w:szCs w:val="21"/>
              </w:rPr>
            </w:pPr>
          </w:p>
        </w:tc>
        <w:tc>
          <w:tcPr>
            <w:tcW w:w="992" w:type="dxa"/>
          </w:tcPr>
          <w:p w14:paraId="12711B85">
            <w:pPr>
              <w:keepNext w:val="0"/>
              <w:keepLines w:val="0"/>
              <w:suppressLineNumbers w:val="0"/>
              <w:spacing w:before="0" w:beforeAutospacing="0" w:after="0" w:afterAutospacing="0"/>
              <w:ind w:left="0" w:right="0"/>
              <w:rPr>
                <w:rFonts w:hint="default"/>
                <w:szCs w:val="21"/>
              </w:rPr>
            </w:pPr>
          </w:p>
        </w:tc>
        <w:tc>
          <w:tcPr>
            <w:tcW w:w="894" w:type="dxa"/>
            <w:tcBorders>
              <w:top w:val="single" w:color="auto" w:sz="4" w:space="0"/>
              <w:bottom w:val="single" w:color="auto" w:sz="4" w:space="0"/>
            </w:tcBorders>
          </w:tcPr>
          <w:p w14:paraId="4A1099EE">
            <w:pPr>
              <w:keepNext w:val="0"/>
              <w:keepLines w:val="0"/>
              <w:suppressLineNumbers w:val="0"/>
              <w:spacing w:before="0" w:beforeAutospacing="0" w:after="0" w:afterAutospacing="0"/>
              <w:ind w:left="0" w:right="0"/>
              <w:rPr>
                <w:rFonts w:hint="default"/>
                <w:szCs w:val="21"/>
              </w:rPr>
            </w:pPr>
          </w:p>
        </w:tc>
        <w:tc>
          <w:tcPr>
            <w:tcW w:w="945" w:type="dxa"/>
            <w:tcBorders>
              <w:top w:val="single" w:color="auto" w:sz="4" w:space="0"/>
              <w:bottom w:val="single" w:color="auto" w:sz="4" w:space="0"/>
            </w:tcBorders>
          </w:tcPr>
          <w:p w14:paraId="371E57CF">
            <w:pPr>
              <w:keepNext w:val="0"/>
              <w:keepLines w:val="0"/>
              <w:suppressLineNumbers w:val="0"/>
              <w:spacing w:before="0" w:beforeAutospacing="0" w:after="0" w:afterAutospacing="0"/>
              <w:ind w:left="0" w:right="0"/>
              <w:rPr>
                <w:rFonts w:hint="default"/>
                <w:szCs w:val="21"/>
              </w:rPr>
            </w:pPr>
          </w:p>
        </w:tc>
        <w:tc>
          <w:tcPr>
            <w:tcW w:w="1350" w:type="dxa"/>
          </w:tcPr>
          <w:p w14:paraId="5DEEE5A0">
            <w:pPr>
              <w:keepNext w:val="0"/>
              <w:keepLines w:val="0"/>
              <w:suppressLineNumbers w:val="0"/>
              <w:spacing w:before="0" w:beforeAutospacing="0" w:after="0" w:afterAutospacing="0"/>
              <w:ind w:left="0" w:right="0"/>
              <w:rPr>
                <w:rFonts w:hint="default"/>
                <w:szCs w:val="21"/>
              </w:rPr>
            </w:pPr>
          </w:p>
        </w:tc>
      </w:tr>
      <w:tr w14:paraId="6401A3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0F485158">
            <w:pPr>
              <w:keepNext w:val="0"/>
              <w:keepLines w:val="0"/>
              <w:suppressLineNumbers w:val="0"/>
              <w:spacing w:before="0" w:beforeAutospacing="0" w:after="0" w:afterAutospacing="0"/>
              <w:ind w:left="0" w:right="0"/>
              <w:rPr>
                <w:rFonts w:hint="default"/>
                <w:szCs w:val="21"/>
              </w:rPr>
            </w:pPr>
          </w:p>
        </w:tc>
        <w:tc>
          <w:tcPr>
            <w:tcW w:w="2124" w:type="dxa"/>
            <w:tcBorders>
              <w:left w:val="single" w:color="auto" w:sz="4" w:space="0"/>
            </w:tcBorders>
          </w:tcPr>
          <w:p w14:paraId="1B4A6C9A">
            <w:pPr>
              <w:keepNext w:val="0"/>
              <w:keepLines w:val="0"/>
              <w:suppressLineNumbers w:val="0"/>
              <w:spacing w:before="0" w:beforeAutospacing="0" w:after="0" w:afterAutospacing="0"/>
              <w:ind w:left="0" w:right="0"/>
              <w:rPr>
                <w:rFonts w:hint="default"/>
                <w:szCs w:val="21"/>
              </w:rPr>
            </w:pPr>
          </w:p>
        </w:tc>
        <w:tc>
          <w:tcPr>
            <w:tcW w:w="2127" w:type="dxa"/>
          </w:tcPr>
          <w:p w14:paraId="5E86C956">
            <w:pPr>
              <w:keepNext w:val="0"/>
              <w:keepLines w:val="0"/>
              <w:suppressLineNumbers w:val="0"/>
              <w:spacing w:before="0" w:beforeAutospacing="0" w:after="0" w:afterAutospacing="0"/>
              <w:ind w:left="0" w:right="0"/>
              <w:rPr>
                <w:rFonts w:hint="default"/>
                <w:szCs w:val="21"/>
              </w:rPr>
            </w:pPr>
          </w:p>
        </w:tc>
        <w:tc>
          <w:tcPr>
            <w:tcW w:w="992" w:type="dxa"/>
          </w:tcPr>
          <w:p w14:paraId="68C7084B">
            <w:pPr>
              <w:keepNext w:val="0"/>
              <w:keepLines w:val="0"/>
              <w:suppressLineNumbers w:val="0"/>
              <w:spacing w:before="0" w:beforeAutospacing="0" w:after="0" w:afterAutospacing="0"/>
              <w:ind w:left="0" w:right="0"/>
              <w:rPr>
                <w:rFonts w:hint="default"/>
                <w:szCs w:val="21"/>
              </w:rPr>
            </w:pPr>
          </w:p>
        </w:tc>
        <w:tc>
          <w:tcPr>
            <w:tcW w:w="894" w:type="dxa"/>
            <w:tcBorders>
              <w:top w:val="single" w:color="auto" w:sz="4" w:space="0"/>
              <w:bottom w:val="single" w:color="auto" w:sz="4" w:space="0"/>
            </w:tcBorders>
          </w:tcPr>
          <w:p w14:paraId="66BF813E">
            <w:pPr>
              <w:keepNext w:val="0"/>
              <w:keepLines w:val="0"/>
              <w:suppressLineNumbers w:val="0"/>
              <w:spacing w:before="0" w:beforeAutospacing="0" w:after="0" w:afterAutospacing="0"/>
              <w:ind w:left="0" w:right="0"/>
              <w:rPr>
                <w:rFonts w:hint="default"/>
                <w:szCs w:val="21"/>
              </w:rPr>
            </w:pPr>
          </w:p>
        </w:tc>
        <w:tc>
          <w:tcPr>
            <w:tcW w:w="945" w:type="dxa"/>
            <w:tcBorders>
              <w:top w:val="single" w:color="auto" w:sz="4" w:space="0"/>
              <w:bottom w:val="single" w:color="auto" w:sz="4" w:space="0"/>
            </w:tcBorders>
          </w:tcPr>
          <w:p w14:paraId="1251D2D7">
            <w:pPr>
              <w:keepNext w:val="0"/>
              <w:keepLines w:val="0"/>
              <w:suppressLineNumbers w:val="0"/>
              <w:spacing w:before="0" w:beforeAutospacing="0" w:after="0" w:afterAutospacing="0"/>
              <w:ind w:left="0" w:right="0"/>
              <w:rPr>
                <w:rFonts w:hint="default"/>
                <w:szCs w:val="21"/>
              </w:rPr>
            </w:pPr>
          </w:p>
        </w:tc>
        <w:tc>
          <w:tcPr>
            <w:tcW w:w="1350" w:type="dxa"/>
          </w:tcPr>
          <w:p w14:paraId="4EA16D8F">
            <w:pPr>
              <w:keepNext w:val="0"/>
              <w:keepLines w:val="0"/>
              <w:suppressLineNumbers w:val="0"/>
              <w:spacing w:before="0" w:beforeAutospacing="0" w:after="0" w:afterAutospacing="0"/>
              <w:ind w:left="0" w:right="0"/>
              <w:rPr>
                <w:rFonts w:hint="default"/>
                <w:szCs w:val="21"/>
              </w:rPr>
            </w:pPr>
          </w:p>
        </w:tc>
      </w:tr>
      <w:tr w14:paraId="4AEC16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3E2005C8">
            <w:pPr>
              <w:keepNext w:val="0"/>
              <w:keepLines w:val="0"/>
              <w:suppressLineNumbers w:val="0"/>
              <w:spacing w:before="0" w:beforeAutospacing="0" w:after="0" w:afterAutospacing="0"/>
              <w:ind w:left="0" w:right="0"/>
              <w:rPr>
                <w:rFonts w:hint="default"/>
                <w:szCs w:val="21"/>
              </w:rPr>
            </w:pPr>
          </w:p>
        </w:tc>
        <w:tc>
          <w:tcPr>
            <w:tcW w:w="2124" w:type="dxa"/>
            <w:tcBorders>
              <w:left w:val="single" w:color="auto" w:sz="4" w:space="0"/>
            </w:tcBorders>
          </w:tcPr>
          <w:p w14:paraId="41C994F5">
            <w:pPr>
              <w:keepNext w:val="0"/>
              <w:keepLines w:val="0"/>
              <w:suppressLineNumbers w:val="0"/>
              <w:spacing w:before="0" w:beforeAutospacing="0" w:after="0" w:afterAutospacing="0"/>
              <w:ind w:left="0" w:right="0"/>
              <w:rPr>
                <w:rFonts w:hint="default"/>
                <w:szCs w:val="21"/>
              </w:rPr>
            </w:pPr>
          </w:p>
        </w:tc>
        <w:tc>
          <w:tcPr>
            <w:tcW w:w="2127" w:type="dxa"/>
          </w:tcPr>
          <w:p w14:paraId="62F50DF7">
            <w:pPr>
              <w:keepNext w:val="0"/>
              <w:keepLines w:val="0"/>
              <w:suppressLineNumbers w:val="0"/>
              <w:spacing w:before="0" w:beforeAutospacing="0" w:after="0" w:afterAutospacing="0"/>
              <w:ind w:left="0" w:right="0"/>
              <w:rPr>
                <w:rFonts w:hint="default"/>
                <w:szCs w:val="21"/>
              </w:rPr>
            </w:pPr>
          </w:p>
        </w:tc>
        <w:tc>
          <w:tcPr>
            <w:tcW w:w="992" w:type="dxa"/>
          </w:tcPr>
          <w:p w14:paraId="62C84703">
            <w:pPr>
              <w:keepNext w:val="0"/>
              <w:keepLines w:val="0"/>
              <w:suppressLineNumbers w:val="0"/>
              <w:spacing w:before="0" w:beforeAutospacing="0" w:after="0" w:afterAutospacing="0"/>
              <w:ind w:left="0" w:right="0"/>
              <w:rPr>
                <w:rFonts w:hint="default"/>
                <w:szCs w:val="21"/>
              </w:rPr>
            </w:pPr>
          </w:p>
        </w:tc>
        <w:tc>
          <w:tcPr>
            <w:tcW w:w="894" w:type="dxa"/>
            <w:tcBorders>
              <w:top w:val="single" w:color="auto" w:sz="4" w:space="0"/>
            </w:tcBorders>
          </w:tcPr>
          <w:p w14:paraId="3D85756F">
            <w:pPr>
              <w:keepNext w:val="0"/>
              <w:keepLines w:val="0"/>
              <w:suppressLineNumbers w:val="0"/>
              <w:spacing w:before="0" w:beforeAutospacing="0" w:after="0" w:afterAutospacing="0"/>
              <w:ind w:left="0" w:right="0"/>
              <w:rPr>
                <w:rFonts w:hint="default"/>
                <w:szCs w:val="21"/>
              </w:rPr>
            </w:pPr>
          </w:p>
        </w:tc>
        <w:tc>
          <w:tcPr>
            <w:tcW w:w="945" w:type="dxa"/>
            <w:tcBorders>
              <w:top w:val="single" w:color="auto" w:sz="4" w:space="0"/>
            </w:tcBorders>
          </w:tcPr>
          <w:p w14:paraId="62875DEA">
            <w:pPr>
              <w:keepNext w:val="0"/>
              <w:keepLines w:val="0"/>
              <w:suppressLineNumbers w:val="0"/>
              <w:spacing w:before="0" w:beforeAutospacing="0" w:after="0" w:afterAutospacing="0"/>
              <w:ind w:left="0" w:right="0"/>
              <w:rPr>
                <w:rFonts w:hint="default"/>
                <w:szCs w:val="21"/>
              </w:rPr>
            </w:pPr>
          </w:p>
        </w:tc>
        <w:tc>
          <w:tcPr>
            <w:tcW w:w="1350" w:type="dxa"/>
          </w:tcPr>
          <w:p w14:paraId="707A3CA7">
            <w:pPr>
              <w:keepNext w:val="0"/>
              <w:keepLines w:val="0"/>
              <w:suppressLineNumbers w:val="0"/>
              <w:spacing w:before="0" w:beforeAutospacing="0" w:after="0" w:afterAutospacing="0"/>
              <w:ind w:left="0" w:right="0"/>
              <w:rPr>
                <w:rFonts w:hint="default"/>
                <w:szCs w:val="21"/>
              </w:rPr>
            </w:pPr>
          </w:p>
        </w:tc>
      </w:tr>
    </w:tbl>
    <w:p w14:paraId="41226E98">
      <w:pPr>
        <w:adjustRightInd w:val="0"/>
        <w:snapToGrid w:val="0"/>
        <w:spacing w:line="360" w:lineRule="auto"/>
        <w:rPr>
          <w:rFonts w:ascii="宋体" w:hAnsi="宋体"/>
          <w:szCs w:val="21"/>
        </w:rPr>
      </w:pPr>
    </w:p>
    <w:p w14:paraId="4522D8B6">
      <w:pPr>
        <w:adjustRightInd w:val="0"/>
        <w:snapToGrid w:val="0"/>
        <w:spacing w:line="360" w:lineRule="auto"/>
        <w:rPr>
          <w:rFonts w:ascii="宋体" w:hAnsi="宋体"/>
          <w:szCs w:val="21"/>
        </w:rPr>
      </w:pPr>
    </w:p>
    <w:p w14:paraId="7304E16C">
      <w:pPr>
        <w:adjustRightInd w:val="0"/>
        <w:snapToGrid w:val="0"/>
        <w:spacing w:line="360" w:lineRule="auto"/>
        <w:rPr>
          <w:rFonts w:ascii="黑体" w:hAnsi="宋体" w:eastAsia="黑体"/>
          <w:sz w:val="28"/>
          <w:szCs w:val="28"/>
        </w:rPr>
        <w:sectPr>
          <w:headerReference r:id="rId4" w:type="first"/>
          <w:headerReference r:id="rId3" w:type="default"/>
          <w:footerReference r:id="rId5" w:type="default"/>
          <w:pgSz w:w="11906" w:h="16838"/>
          <w:pgMar w:top="1474" w:right="1474" w:bottom="1474" w:left="1588" w:header="851" w:footer="992" w:gutter="0"/>
          <w:cols w:space="720" w:num="1"/>
          <w:titlePg/>
          <w:docGrid w:type="lines" w:linePitch="312" w:charSpace="0"/>
        </w:sectPr>
      </w:pPr>
    </w:p>
    <w:p w14:paraId="3DF70095">
      <w:pPr>
        <w:pStyle w:val="7"/>
        <w:jc w:val="center"/>
        <w:rPr>
          <w:rFonts w:ascii="黑体" w:hAnsi="黑体" w:eastAsia="黑体"/>
          <w:sz w:val="28"/>
          <w:szCs w:val="28"/>
        </w:rPr>
      </w:pPr>
      <w:bookmarkStart w:id="67" w:name="_Toc3072"/>
      <w:bookmarkStart w:id="68" w:name="_Toc22201159"/>
      <w:bookmarkStart w:id="69" w:name="_Toc34637802"/>
      <w:r>
        <w:rPr>
          <w:rFonts w:hint="eastAsia" w:ascii="黑体" w:hAnsi="黑体" w:eastAsia="黑体"/>
          <w:sz w:val="28"/>
          <w:szCs w:val="28"/>
        </w:rPr>
        <w:t>九、合同条款偏离表</w:t>
      </w:r>
      <w:bookmarkEnd w:id="67"/>
      <w:bookmarkEnd w:id="68"/>
      <w:bookmarkEnd w:id="69"/>
    </w:p>
    <w:p w14:paraId="0EAE8130">
      <w:pPr>
        <w:adjustRightInd w:val="0"/>
        <w:snapToGrid w:val="0"/>
        <w:spacing w:line="360" w:lineRule="auto"/>
        <w:rPr>
          <w:rFonts w:ascii="宋体" w:hAnsi="宋体"/>
          <w:spacing w:val="28"/>
          <w:szCs w:val="21"/>
        </w:rPr>
      </w:pPr>
    </w:p>
    <w:p w14:paraId="3C834A2D">
      <w:pPr>
        <w:adjustRightInd w:val="0"/>
        <w:snapToGrid w:val="0"/>
        <w:spacing w:line="360" w:lineRule="auto"/>
        <w:rPr>
          <w:rFonts w:ascii="宋体" w:hAnsi="宋体"/>
          <w:szCs w:val="21"/>
        </w:rPr>
      </w:pPr>
      <w:r>
        <w:rPr>
          <w:rFonts w:hint="eastAsia" w:ascii="宋体" w:hAnsi="宋体"/>
          <w:szCs w:val="21"/>
        </w:rPr>
        <w:t xml:space="preserve">政府采购编号: </w:t>
      </w:r>
    </w:p>
    <w:p w14:paraId="56D49B31">
      <w:pPr>
        <w:adjustRightInd w:val="0"/>
        <w:snapToGrid w:val="0"/>
        <w:spacing w:line="360" w:lineRule="auto"/>
        <w:rPr>
          <w:rFonts w:ascii="宋体" w:hAnsi="宋体"/>
          <w:szCs w:val="21"/>
        </w:rPr>
      </w:pPr>
      <w:r>
        <w:rPr>
          <w:rFonts w:hint="eastAsia" w:ascii="宋体" w:hAnsi="宋体"/>
          <w:szCs w:val="21"/>
        </w:rPr>
        <w:t xml:space="preserve">采购代理编号：  </w:t>
      </w:r>
    </w:p>
    <w:p w14:paraId="09928937">
      <w:pPr>
        <w:adjustRightInd w:val="0"/>
        <w:snapToGrid w:val="0"/>
        <w:spacing w:line="360" w:lineRule="auto"/>
        <w:rPr>
          <w:rFonts w:ascii="宋体" w:hAnsi="宋体"/>
          <w:szCs w:val="21"/>
          <w:u w:val="single"/>
        </w:rPr>
      </w:pPr>
      <w:r>
        <w:rPr>
          <w:rFonts w:hint="eastAsia" w:ascii="宋体" w:hAnsi="宋体"/>
          <w:szCs w:val="21"/>
        </w:rPr>
        <w:t>项目名称：</w:t>
      </w:r>
      <w:r>
        <w:rPr>
          <w:rFonts w:hint="eastAsia" w:ascii="宋体" w:hAnsi="宋体"/>
          <w:szCs w:val="21"/>
          <w:u w:val="single"/>
        </w:rPr>
        <w:t>____            ______</w:t>
      </w:r>
    </w:p>
    <w:tbl>
      <w:tblPr>
        <w:tblStyle w:val="46"/>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4ED63C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6C577769">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bCs/>
                <w:szCs w:val="21"/>
              </w:rPr>
              <w:t>序</w:t>
            </w:r>
            <w:r>
              <w:rPr>
                <w:rFonts w:hint="eastAsia" w:ascii="宋体" w:hAnsi="宋体"/>
                <w:szCs w:val="21"/>
              </w:rPr>
              <w:t>号</w:t>
            </w:r>
          </w:p>
        </w:tc>
        <w:tc>
          <w:tcPr>
            <w:tcW w:w="2410" w:type="dxa"/>
            <w:vAlign w:val="center"/>
          </w:tcPr>
          <w:p w14:paraId="0D957BD6">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szCs w:val="21"/>
              </w:rPr>
              <w:t>磋商文件章节</w:t>
            </w:r>
            <w:r>
              <w:rPr>
                <w:rFonts w:hint="eastAsia" w:ascii="宋体" w:hAnsi="宋体"/>
                <w:bCs/>
                <w:szCs w:val="21"/>
              </w:rPr>
              <w:t>条</w:t>
            </w:r>
            <w:r>
              <w:rPr>
                <w:rFonts w:hint="eastAsia" w:ascii="宋体" w:hAnsi="宋体"/>
                <w:szCs w:val="21"/>
              </w:rPr>
              <w:t>款号</w:t>
            </w:r>
          </w:p>
        </w:tc>
        <w:tc>
          <w:tcPr>
            <w:tcW w:w="1985" w:type="dxa"/>
            <w:vAlign w:val="center"/>
          </w:tcPr>
          <w:p w14:paraId="15C69BBC">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szCs w:val="21"/>
              </w:rPr>
              <w:t>磋商</w:t>
            </w:r>
            <w:r>
              <w:rPr>
                <w:rFonts w:hint="eastAsia"/>
              </w:rPr>
              <w:t>文件要求</w:t>
            </w:r>
          </w:p>
        </w:tc>
        <w:tc>
          <w:tcPr>
            <w:tcW w:w="2082" w:type="dxa"/>
            <w:tcBorders>
              <w:right w:val="single" w:color="auto" w:sz="4" w:space="0"/>
            </w:tcBorders>
            <w:vAlign w:val="center"/>
          </w:tcPr>
          <w:p w14:paraId="1F16B550">
            <w:pPr>
              <w:keepNext w:val="0"/>
              <w:keepLines w:val="0"/>
              <w:suppressLineNumbers w:val="0"/>
              <w:adjustRightInd w:val="0"/>
              <w:snapToGrid w:val="0"/>
              <w:spacing w:before="50" w:beforeAutospacing="0" w:after="0" w:afterAutospacing="0" w:line="360" w:lineRule="auto"/>
              <w:ind w:left="0" w:right="0"/>
              <w:jc w:val="center"/>
              <w:rPr>
                <w:rFonts w:hint="default" w:ascii="宋体" w:hAnsi="宋体"/>
                <w:szCs w:val="21"/>
              </w:rPr>
            </w:pPr>
            <w:r>
              <w:rPr>
                <w:rFonts w:hint="eastAsia"/>
              </w:rPr>
              <w:t>响应文件的应答</w:t>
            </w:r>
          </w:p>
        </w:tc>
        <w:tc>
          <w:tcPr>
            <w:tcW w:w="1942" w:type="dxa"/>
            <w:tcBorders>
              <w:left w:val="single" w:color="auto" w:sz="4" w:space="0"/>
            </w:tcBorders>
            <w:vAlign w:val="center"/>
          </w:tcPr>
          <w:p w14:paraId="559A084E">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szCs w:val="21"/>
              </w:rPr>
              <w:t>偏离说明</w:t>
            </w:r>
          </w:p>
        </w:tc>
      </w:tr>
      <w:tr w14:paraId="5FA4C9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8EBCB33">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4367AADC">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Pr>
          <w:p w14:paraId="344EBC71">
            <w:pPr>
              <w:keepNext w:val="0"/>
              <w:keepLines w:val="0"/>
              <w:suppressLineNumbers w:val="0"/>
              <w:adjustRightInd w:val="0"/>
              <w:snapToGrid w:val="0"/>
              <w:spacing w:before="50" w:beforeAutospacing="0" w:after="0" w:afterAutospacing="0" w:line="360" w:lineRule="auto"/>
              <w:ind w:left="0" w:right="0"/>
              <w:rPr>
                <w:rFonts w:hint="default"/>
              </w:rPr>
            </w:pPr>
          </w:p>
        </w:tc>
        <w:tc>
          <w:tcPr>
            <w:tcW w:w="2082" w:type="dxa"/>
            <w:tcBorders>
              <w:right w:val="single" w:color="auto" w:sz="4" w:space="0"/>
            </w:tcBorders>
          </w:tcPr>
          <w:p w14:paraId="577D891D">
            <w:pPr>
              <w:keepNext w:val="0"/>
              <w:keepLines w:val="0"/>
              <w:suppressLineNumbers w:val="0"/>
              <w:adjustRightInd w:val="0"/>
              <w:snapToGrid w:val="0"/>
              <w:spacing w:before="50" w:beforeAutospacing="0" w:after="0" w:afterAutospacing="0" w:line="360" w:lineRule="auto"/>
              <w:ind w:left="0" w:right="0"/>
              <w:rPr>
                <w:rFonts w:hint="default"/>
              </w:rPr>
            </w:pPr>
          </w:p>
        </w:tc>
        <w:tc>
          <w:tcPr>
            <w:tcW w:w="1942" w:type="dxa"/>
            <w:tcBorders>
              <w:left w:val="single" w:color="auto" w:sz="4" w:space="0"/>
            </w:tcBorders>
          </w:tcPr>
          <w:p w14:paraId="7335CF33">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1C369D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0BFB9D1">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24552655">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vAlign w:val="center"/>
          </w:tcPr>
          <w:p w14:paraId="71B9E6B9">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082" w:type="dxa"/>
            <w:tcBorders>
              <w:right w:val="single" w:color="auto" w:sz="4" w:space="0"/>
            </w:tcBorders>
            <w:vAlign w:val="center"/>
          </w:tcPr>
          <w:p w14:paraId="078A1F78">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42" w:type="dxa"/>
            <w:tcBorders>
              <w:left w:val="single" w:color="auto" w:sz="4" w:space="0"/>
            </w:tcBorders>
            <w:vAlign w:val="center"/>
          </w:tcPr>
          <w:p w14:paraId="0D0A2429">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4FD7F0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609387C">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78213B83">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vAlign w:val="center"/>
          </w:tcPr>
          <w:p w14:paraId="2E3962E4">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082" w:type="dxa"/>
            <w:tcBorders>
              <w:right w:val="single" w:color="auto" w:sz="4" w:space="0"/>
            </w:tcBorders>
            <w:vAlign w:val="center"/>
          </w:tcPr>
          <w:p w14:paraId="11B2EABD">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42" w:type="dxa"/>
            <w:tcBorders>
              <w:left w:val="single" w:color="auto" w:sz="4" w:space="0"/>
            </w:tcBorders>
            <w:vAlign w:val="center"/>
          </w:tcPr>
          <w:p w14:paraId="38394AB3">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693910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BCCB1F2">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4259B92D">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vAlign w:val="center"/>
          </w:tcPr>
          <w:p w14:paraId="05992134">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082" w:type="dxa"/>
            <w:tcBorders>
              <w:right w:val="single" w:color="auto" w:sz="4" w:space="0"/>
            </w:tcBorders>
            <w:vAlign w:val="center"/>
          </w:tcPr>
          <w:p w14:paraId="342BD695">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42" w:type="dxa"/>
            <w:tcBorders>
              <w:left w:val="single" w:color="auto" w:sz="4" w:space="0"/>
            </w:tcBorders>
            <w:vAlign w:val="center"/>
          </w:tcPr>
          <w:p w14:paraId="73FD22A4">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65C265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CE030D1">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04F766F0">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vAlign w:val="center"/>
          </w:tcPr>
          <w:p w14:paraId="6EAB2B3B">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082" w:type="dxa"/>
            <w:tcBorders>
              <w:right w:val="single" w:color="auto" w:sz="4" w:space="0"/>
            </w:tcBorders>
            <w:vAlign w:val="center"/>
          </w:tcPr>
          <w:p w14:paraId="4C015F83">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42" w:type="dxa"/>
            <w:tcBorders>
              <w:left w:val="single" w:color="auto" w:sz="4" w:space="0"/>
            </w:tcBorders>
            <w:vAlign w:val="center"/>
          </w:tcPr>
          <w:p w14:paraId="20D6629F">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575B74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DE3850D">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0F7A972D">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vAlign w:val="center"/>
          </w:tcPr>
          <w:p w14:paraId="59DE80B8">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082" w:type="dxa"/>
            <w:tcBorders>
              <w:right w:val="single" w:color="auto" w:sz="4" w:space="0"/>
            </w:tcBorders>
            <w:vAlign w:val="center"/>
          </w:tcPr>
          <w:p w14:paraId="50E5BE59">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42" w:type="dxa"/>
            <w:tcBorders>
              <w:left w:val="single" w:color="auto" w:sz="4" w:space="0"/>
            </w:tcBorders>
            <w:vAlign w:val="center"/>
          </w:tcPr>
          <w:p w14:paraId="51A68A97">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797B6B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602D9F4">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16358B5D">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vAlign w:val="center"/>
          </w:tcPr>
          <w:p w14:paraId="37B9DB18">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4024" w:type="dxa"/>
            <w:gridSpan w:val="2"/>
            <w:vAlign w:val="center"/>
          </w:tcPr>
          <w:p w14:paraId="59370DD1">
            <w:pPr>
              <w:keepNext w:val="0"/>
              <w:keepLines w:val="0"/>
              <w:suppressLineNumbers w:val="0"/>
              <w:adjustRightInd w:val="0"/>
              <w:snapToGrid w:val="0"/>
              <w:spacing w:before="50" w:beforeAutospacing="0" w:after="0" w:afterAutospacing="0" w:line="360" w:lineRule="auto"/>
              <w:ind w:left="0" w:right="0" w:firstLine="422" w:firstLineChars="200"/>
              <w:jc w:val="left"/>
              <w:rPr>
                <w:rFonts w:hint="default" w:ascii="宋体" w:hAnsi="宋体"/>
                <w:b/>
                <w:szCs w:val="21"/>
              </w:rPr>
            </w:pPr>
            <w:r>
              <w:rPr>
                <w:rFonts w:hint="eastAsia" w:ascii="宋体" w:hAnsi="宋体"/>
                <w:b/>
                <w:szCs w:val="21"/>
              </w:rPr>
              <w:t>供应商保证：除本合同条款偏离表列出的偏离外，我单位对磋商文件的其他商务、合同条款完全响应，无偏离。</w:t>
            </w:r>
          </w:p>
        </w:tc>
      </w:tr>
    </w:tbl>
    <w:p w14:paraId="12C30D94">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：（1）供应商应根据磋商文件第四章</w:t>
      </w:r>
      <w:r>
        <w:rPr>
          <w:rFonts w:hint="eastAsia" w:ascii="华文宋体" w:hAnsi="华文宋体" w:eastAsia="华文宋体"/>
          <w:szCs w:val="21"/>
        </w:rPr>
        <w:t>“</w:t>
      </w:r>
      <w:r>
        <w:rPr>
          <w:rFonts w:hint="eastAsia" w:ascii="宋体" w:hAnsi="宋体"/>
          <w:szCs w:val="21"/>
        </w:rPr>
        <w:t>合同草案条款</w:t>
      </w:r>
      <w:r>
        <w:rPr>
          <w:rFonts w:hint="eastAsia" w:ascii="华文宋体" w:hAnsi="华文宋体" w:eastAsia="华文宋体"/>
          <w:szCs w:val="21"/>
        </w:rPr>
        <w:t>”</w:t>
      </w:r>
      <w:r>
        <w:rPr>
          <w:rFonts w:hint="eastAsia" w:ascii="宋体" w:hAnsi="宋体"/>
          <w:szCs w:val="21"/>
        </w:rPr>
        <w:t>填写本表；</w:t>
      </w:r>
    </w:p>
    <w:p w14:paraId="19A39894">
      <w:pPr>
        <w:adjustRightInd w:val="0"/>
        <w:snapToGrid w:val="0"/>
        <w:spacing w:before="50" w:line="360" w:lineRule="auto"/>
        <w:ind w:left="-88" w:leftChars="-42" w:firstLine="420" w:firstLineChars="200"/>
        <w:rPr>
          <w:rFonts w:ascii="宋体" w:hAnsi="宋体"/>
          <w:b/>
          <w:szCs w:val="21"/>
        </w:rPr>
      </w:pPr>
      <w:r>
        <w:rPr>
          <w:rFonts w:hint="eastAsia" w:ascii="宋体" w:hAnsi="宋体"/>
          <w:szCs w:val="21"/>
        </w:rPr>
        <w:t>（2）</w:t>
      </w:r>
      <w:r>
        <w:rPr>
          <w:rFonts w:hint="eastAsia" w:ascii="宋体" w:hAnsi="宋体"/>
          <w:b/>
          <w:szCs w:val="21"/>
        </w:rPr>
        <w:t>供应商如果对磋商文件第四章“合同草案条款”的响应有偏离，应将偏离条款逐条如实应答，并作出说明；</w:t>
      </w:r>
    </w:p>
    <w:p w14:paraId="7616AC75">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（3）如不提供此表，则视为供应商不满足磋商文件第四章的所有条款要求，其</w:t>
      </w:r>
      <w:r>
        <w:rPr>
          <w:rFonts w:hint="eastAsia" w:ascii="宋体" w:hAnsi="宋体"/>
          <w:b/>
          <w:szCs w:val="21"/>
        </w:rPr>
        <w:t>响应无效</w:t>
      </w:r>
      <w:r>
        <w:rPr>
          <w:rFonts w:hint="eastAsia" w:ascii="宋体" w:hAnsi="宋体"/>
          <w:szCs w:val="21"/>
        </w:rPr>
        <w:t>。</w:t>
      </w:r>
    </w:p>
    <w:p w14:paraId="6649CBF2">
      <w:pPr>
        <w:adjustRightInd w:val="0"/>
        <w:snapToGrid w:val="0"/>
        <w:spacing w:before="50" w:line="360" w:lineRule="auto"/>
        <w:rPr>
          <w:rFonts w:ascii="宋体" w:hAnsi="宋体"/>
          <w:szCs w:val="21"/>
        </w:rPr>
      </w:pPr>
    </w:p>
    <w:p w14:paraId="6C730BC8">
      <w:pPr>
        <w:adjustRightInd w:val="0"/>
        <w:snapToGrid w:val="0"/>
        <w:spacing w:before="50" w:line="360" w:lineRule="auto"/>
        <w:rPr>
          <w:rFonts w:ascii="宋体" w:hAnsi="宋体"/>
          <w:szCs w:val="21"/>
        </w:rPr>
      </w:pPr>
    </w:p>
    <w:p w14:paraId="48BF3EF7">
      <w:pPr>
        <w:adjustRightInd w:val="0"/>
        <w:snapToGrid w:val="0"/>
        <w:spacing w:before="50" w:line="360" w:lineRule="auto"/>
        <w:rPr>
          <w:rFonts w:ascii="宋体" w:hAnsi="宋体"/>
          <w:szCs w:val="21"/>
        </w:rPr>
      </w:pPr>
    </w:p>
    <w:p w14:paraId="40C795DB">
      <w:pPr>
        <w:adjustRightInd w:val="0"/>
        <w:snapToGrid w:val="0"/>
        <w:spacing w:before="50" w:line="360" w:lineRule="auto"/>
        <w:rPr>
          <w:rFonts w:ascii="宋体" w:hAnsi="宋体"/>
          <w:szCs w:val="21"/>
        </w:rPr>
      </w:pPr>
      <w:r>
        <w:rPr>
          <w:rFonts w:hint="eastAsia" w:ascii="宋体" w:hAnsi="宋体"/>
          <w:szCs w:val="21"/>
        </w:rPr>
        <w:t>供应商名称（盖单位公章）：</w:t>
      </w:r>
    </w:p>
    <w:p w14:paraId="7B5AD8EC">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00CC66EF">
      <w:r>
        <w:rPr>
          <w:rFonts w:hint="eastAsia"/>
        </w:rPr>
        <w:t>日       期：          年        月      日</w:t>
      </w:r>
    </w:p>
    <w:p w14:paraId="69FC078F">
      <w:pPr>
        <w:widowControl/>
        <w:jc w:val="left"/>
      </w:pPr>
      <w:r>
        <w:br w:type="page"/>
      </w:r>
    </w:p>
    <w:p w14:paraId="64654127">
      <w:pPr>
        <w:pStyle w:val="7"/>
        <w:jc w:val="center"/>
        <w:rPr>
          <w:rFonts w:ascii="黑体" w:eastAsia="黑体"/>
          <w:sz w:val="28"/>
          <w:szCs w:val="28"/>
        </w:rPr>
      </w:pPr>
      <w:bookmarkStart w:id="70" w:name="_Toc28071"/>
      <w:bookmarkStart w:id="71" w:name="_Toc22201160"/>
      <w:bookmarkStart w:id="72" w:name="_Toc34637803"/>
      <w:r>
        <w:rPr>
          <w:rFonts w:hint="eastAsia" w:ascii="黑体" w:eastAsia="黑体"/>
          <w:sz w:val="28"/>
          <w:szCs w:val="28"/>
        </w:rPr>
        <w:t>十、采购需求偏离表</w:t>
      </w:r>
      <w:bookmarkEnd w:id="70"/>
      <w:bookmarkEnd w:id="71"/>
      <w:bookmarkEnd w:id="72"/>
    </w:p>
    <w:p w14:paraId="46A7D551">
      <w:pPr>
        <w:adjustRightInd w:val="0"/>
        <w:snapToGrid w:val="0"/>
        <w:spacing w:beforeLines="50" w:line="360" w:lineRule="auto"/>
        <w:rPr>
          <w:rFonts w:ascii="宋体" w:hAnsi="宋体"/>
          <w:szCs w:val="21"/>
        </w:rPr>
      </w:pPr>
      <w:r>
        <w:rPr>
          <w:rFonts w:hint="eastAsia" w:ascii="宋体" w:hAnsi="宋体"/>
          <w:spacing w:val="28"/>
          <w:szCs w:val="21"/>
        </w:rPr>
        <w:t>政府采购编号</w:t>
      </w:r>
      <w:r>
        <w:rPr>
          <w:rFonts w:hint="eastAsia" w:ascii="宋体" w:hAnsi="宋体"/>
          <w:szCs w:val="21"/>
        </w:rPr>
        <w:t>:</w:t>
      </w:r>
    </w:p>
    <w:p w14:paraId="5B4A4CA2">
      <w:pPr>
        <w:adjustRightInd w:val="0"/>
        <w:snapToGrid w:val="0"/>
        <w:spacing w:beforeLines="50" w:line="360" w:lineRule="auto"/>
        <w:rPr>
          <w:rFonts w:ascii="宋体" w:hAnsi="宋体"/>
          <w:szCs w:val="21"/>
          <w:u w:val="single"/>
        </w:rPr>
      </w:pPr>
      <w:r>
        <w:rPr>
          <w:rFonts w:hint="eastAsia" w:ascii="宋体" w:hAnsi="宋体" w:eastAsia="宋体" w:cs="Times New Roman"/>
          <w:spacing w:val="28"/>
          <w:szCs w:val="21"/>
        </w:rPr>
        <w:t>采购代理编号：</w:t>
      </w:r>
      <w:r>
        <w:rPr>
          <w:rFonts w:hint="eastAsia" w:ascii="宋体" w:hAnsi="宋体"/>
          <w:szCs w:val="21"/>
        </w:rPr>
        <w:t xml:space="preserve"> </w:t>
      </w:r>
    </w:p>
    <w:p w14:paraId="7509D6E8">
      <w:pPr>
        <w:adjustRightInd w:val="0"/>
        <w:snapToGrid w:val="0"/>
        <w:spacing w:beforeLines="50" w:line="360" w:lineRule="auto"/>
        <w:rPr>
          <w:rFonts w:ascii="宋体" w:hAnsi="宋体"/>
          <w:szCs w:val="21"/>
          <w:u w:val="single"/>
        </w:rPr>
      </w:pPr>
      <w:r>
        <w:rPr>
          <w:rFonts w:hint="eastAsia" w:ascii="宋体" w:hAnsi="宋体"/>
          <w:szCs w:val="21"/>
        </w:rPr>
        <w:t xml:space="preserve"> 项目名称：</w:t>
      </w:r>
    </w:p>
    <w:tbl>
      <w:tblPr>
        <w:tblStyle w:val="46"/>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7B7181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3B44F807">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bCs/>
                <w:szCs w:val="21"/>
              </w:rPr>
              <w:t>序</w:t>
            </w:r>
            <w:r>
              <w:rPr>
                <w:rFonts w:hint="eastAsia" w:ascii="宋体" w:hAnsi="宋体"/>
                <w:szCs w:val="21"/>
              </w:rPr>
              <w:t>号</w:t>
            </w:r>
          </w:p>
        </w:tc>
        <w:tc>
          <w:tcPr>
            <w:tcW w:w="2410" w:type="dxa"/>
            <w:vAlign w:val="center"/>
          </w:tcPr>
          <w:p w14:paraId="10D60998">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szCs w:val="21"/>
              </w:rPr>
              <w:t>磋商文件章节</w:t>
            </w:r>
            <w:r>
              <w:rPr>
                <w:rFonts w:hint="eastAsia" w:ascii="宋体" w:hAnsi="宋体"/>
                <w:bCs/>
                <w:szCs w:val="21"/>
              </w:rPr>
              <w:t>条</w:t>
            </w:r>
            <w:r>
              <w:rPr>
                <w:rFonts w:hint="eastAsia" w:ascii="宋体" w:hAnsi="宋体"/>
                <w:szCs w:val="21"/>
              </w:rPr>
              <w:t>款号</w:t>
            </w:r>
          </w:p>
        </w:tc>
        <w:tc>
          <w:tcPr>
            <w:tcW w:w="1985" w:type="dxa"/>
            <w:tcBorders>
              <w:right w:val="single" w:color="auto" w:sz="4" w:space="0"/>
            </w:tcBorders>
          </w:tcPr>
          <w:p w14:paraId="2C08D8F0">
            <w:pPr>
              <w:keepNext w:val="0"/>
              <w:keepLines w:val="0"/>
              <w:suppressLineNumbers w:val="0"/>
              <w:adjustRightInd w:val="0"/>
              <w:snapToGrid w:val="0"/>
              <w:spacing w:before="50" w:beforeAutospacing="0" w:after="0" w:afterAutospacing="0" w:line="360" w:lineRule="auto"/>
              <w:ind w:left="0" w:right="0"/>
              <w:jc w:val="center"/>
              <w:rPr>
                <w:rFonts w:hint="default"/>
              </w:rPr>
            </w:pPr>
            <w:r>
              <w:rPr>
                <w:rFonts w:hint="eastAsia" w:ascii="宋体" w:hAnsi="宋体"/>
                <w:szCs w:val="21"/>
              </w:rPr>
              <w:t>磋商</w:t>
            </w:r>
            <w:r>
              <w:rPr>
                <w:rFonts w:hint="eastAsia"/>
              </w:rPr>
              <w:t>文件要求</w:t>
            </w:r>
          </w:p>
        </w:tc>
        <w:tc>
          <w:tcPr>
            <w:tcW w:w="2126" w:type="dxa"/>
            <w:tcBorders>
              <w:left w:val="single" w:color="auto" w:sz="4" w:space="0"/>
            </w:tcBorders>
          </w:tcPr>
          <w:p w14:paraId="368A724B">
            <w:pPr>
              <w:keepNext w:val="0"/>
              <w:keepLines w:val="0"/>
              <w:suppressLineNumbers w:val="0"/>
              <w:adjustRightInd w:val="0"/>
              <w:snapToGrid w:val="0"/>
              <w:spacing w:before="50" w:beforeAutospacing="0" w:after="0" w:afterAutospacing="0" w:line="360" w:lineRule="auto"/>
              <w:ind w:left="0" w:right="0"/>
              <w:jc w:val="center"/>
              <w:rPr>
                <w:rFonts w:hint="default"/>
              </w:rPr>
            </w:pPr>
            <w:r>
              <w:rPr>
                <w:rFonts w:hint="eastAsia" w:ascii="宋体" w:hAnsi="宋体"/>
                <w:szCs w:val="21"/>
              </w:rPr>
              <w:t>响应</w:t>
            </w:r>
            <w:r>
              <w:rPr>
                <w:rFonts w:hint="eastAsia"/>
              </w:rPr>
              <w:t>文件应答</w:t>
            </w:r>
          </w:p>
        </w:tc>
        <w:tc>
          <w:tcPr>
            <w:tcW w:w="1756" w:type="dxa"/>
            <w:vAlign w:val="center"/>
          </w:tcPr>
          <w:p w14:paraId="36923FF1">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r>
              <w:rPr>
                <w:rFonts w:hint="eastAsia" w:ascii="宋体" w:hAnsi="宋体"/>
                <w:szCs w:val="21"/>
              </w:rPr>
              <w:t>偏离说明</w:t>
            </w:r>
          </w:p>
        </w:tc>
      </w:tr>
      <w:tr w14:paraId="05E27B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06A68D8">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4B5CF346">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Borders>
              <w:right w:val="single" w:color="auto" w:sz="4" w:space="0"/>
            </w:tcBorders>
            <w:vAlign w:val="center"/>
          </w:tcPr>
          <w:p w14:paraId="08CA9110">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126" w:type="dxa"/>
            <w:tcBorders>
              <w:left w:val="single" w:color="auto" w:sz="4" w:space="0"/>
            </w:tcBorders>
            <w:vAlign w:val="center"/>
          </w:tcPr>
          <w:p w14:paraId="22A482D8">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756" w:type="dxa"/>
            <w:vAlign w:val="center"/>
          </w:tcPr>
          <w:p w14:paraId="3B553E73">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0558D3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2FC902C">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268096E1">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Borders>
              <w:right w:val="single" w:color="auto" w:sz="4" w:space="0"/>
            </w:tcBorders>
            <w:vAlign w:val="center"/>
          </w:tcPr>
          <w:p w14:paraId="48C1BFBD">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126" w:type="dxa"/>
            <w:tcBorders>
              <w:left w:val="single" w:color="auto" w:sz="4" w:space="0"/>
            </w:tcBorders>
            <w:vAlign w:val="center"/>
          </w:tcPr>
          <w:p w14:paraId="6B1EF07A">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756" w:type="dxa"/>
            <w:vAlign w:val="center"/>
          </w:tcPr>
          <w:p w14:paraId="1F4DFCC6">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509F79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E2F8CF9">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755E8FC9">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Borders>
              <w:right w:val="single" w:color="auto" w:sz="4" w:space="0"/>
            </w:tcBorders>
            <w:vAlign w:val="center"/>
          </w:tcPr>
          <w:p w14:paraId="27B86D1B">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126" w:type="dxa"/>
            <w:tcBorders>
              <w:left w:val="single" w:color="auto" w:sz="4" w:space="0"/>
            </w:tcBorders>
            <w:vAlign w:val="center"/>
          </w:tcPr>
          <w:p w14:paraId="5A3CC843">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756" w:type="dxa"/>
            <w:vAlign w:val="center"/>
          </w:tcPr>
          <w:p w14:paraId="28913DE1">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61FD55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D8DB6F2">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52318E75">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Borders>
              <w:right w:val="single" w:color="auto" w:sz="4" w:space="0"/>
            </w:tcBorders>
            <w:vAlign w:val="center"/>
          </w:tcPr>
          <w:p w14:paraId="787F9C70">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126" w:type="dxa"/>
            <w:tcBorders>
              <w:left w:val="single" w:color="auto" w:sz="4" w:space="0"/>
            </w:tcBorders>
            <w:vAlign w:val="center"/>
          </w:tcPr>
          <w:p w14:paraId="42F30668">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756" w:type="dxa"/>
            <w:vAlign w:val="center"/>
          </w:tcPr>
          <w:p w14:paraId="0E2DBF89">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62CF20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491" w:hRule="atLeast"/>
          <w:jc w:val="center"/>
        </w:trPr>
        <w:tc>
          <w:tcPr>
            <w:tcW w:w="737" w:type="dxa"/>
            <w:vAlign w:val="center"/>
          </w:tcPr>
          <w:p w14:paraId="525E7CC8">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1DF1DADE">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Borders>
              <w:right w:val="single" w:color="auto" w:sz="4" w:space="0"/>
            </w:tcBorders>
            <w:vAlign w:val="center"/>
          </w:tcPr>
          <w:p w14:paraId="192E4A45">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126" w:type="dxa"/>
            <w:tcBorders>
              <w:left w:val="single" w:color="auto" w:sz="4" w:space="0"/>
            </w:tcBorders>
            <w:vAlign w:val="center"/>
          </w:tcPr>
          <w:p w14:paraId="3B9F7C1D">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756" w:type="dxa"/>
            <w:vAlign w:val="center"/>
          </w:tcPr>
          <w:p w14:paraId="12BA28AB">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r>
      <w:tr w14:paraId="56BE5B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B83A8E3">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2410" w:type="dxa"/>
            <w:vAlign w:val="center"/>
          </w:tcPr>
          <w:p w14:paraId="6C1BF403">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1985" w:type="dxa"/>
            <w:tcBorders>
              <w:right w:val="single" w:color="auto" w:sz="4" w:space="0"/>
            </w:tcBorders>
            <w:vAlign w:val="center"/>
          </w:tcPr>
          <w:p w14:paraId="03162199">
            <w:pPr>
              <w:keepNext w:val="0"/>
              <w:keepLines w:val="0"/>
              <w:suppressLineNumbers w:val="0"/>
              <w:adjustRightInd w:val="0"/>
              <w:snapToGrid w:val="0"/>
              <w:spacing w:before="50" w:beforeAutospacing="0" w:after="0" w:afterAutospacing="0" w:line="360" w:lineRule="auto"/>
              <w:ind w:left="-88" w:leftChars="-42" w:right="0"/>
              <w:jc w:val="center"/>
              <w:rPr>
                <w:rFonts w:hint="default" w:ascii="宋体" w:hAnsi="宋体"/>
                <w:szCs w:val="21"/>
              </w:rPr>
            </w:pPr>
          </w:p>
        </w:tc>
        <w:tc>
          <w:tcPr>
            <w:tcW w:w="3882" w:type="dxa"/>
            <w:gridSpan w:val="2"/>
            <w:tcBorders>
              <w:left w:val="single" w:color="auto" w:sz="4" w:space="0"/>
            </w:tcBorders>
            <w:vAlign w:val="center"/>
          </w:tcPr>
          <w:p w14:paraId="67F07A39">
            <w:pPr>
              <w:keepNext w:val="0"/>
              <w:keepLines w:val="0"/>
              <w:suppressLineNumbers w:val="0"/>
              <w:adjustRightInd w:val="0"/>
              <w:snapToGrid w:val="0"/>
              <w:spacing w:before="50" w:beforeAutospacing="0" w:after="0" w:afterAutospacing="0" w:line="360" w:lineRule="auto"/>
              <w:ind w:left="0" w:right="0" w:firstLine="422" w:firstLineChars="200"/>
              <w:rPr>
                <w:rFonts w:hint="default" w:ascii="宋体" w:hAnsi="宋体"/>
                <w:szCs w:val="21"/>
              </w:rPr>
            </w:pPr>
            <w:r>
              <w:rPr>
                <w:rFonts w:hint="eastAsia" w:ascii="宋体" w:hAnsi="宋体"/>
                <w:b/>
                <w:szCs w:val="21"/>
              </w:rPr>
              <w:t>供应商保证：除本采购需求偏离表列出的偏离外，我单位对磋商文件的其他采购需求条款完全响应，无偏离。</w:t>
            </w:r>
          </w:p>
        </w:tc>
      </w:tr>
    </w:tbl>
    <w:p w14:paraId="6E451554">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：（1）供应商应根据磋商文件第三章“采购需求”填写本表；</w:t>
      </w:r>
    </w:p>
    <w:p w14:paraId="1CB9FF37">
      <w:pPr>
        <w:adjustRightInd w:val="0"/>
        <w:snapToGrid w:val="0"/>
        <w:spacing w:before="50" w:line="360" w:lineRule="auto"/>
        <w:ind w:left="-88" w:leftChars="-42" w:firstLine="420" w:firstLineChars="200"/>
        <w:rPr>
          <w:rFonts w:ascii="宋体" w:hAnsi="宋体"/>
          <w:b/>
          <w:color w:val="FF0000"/>
          <w:szCs w:val="21"/>
        </w:rPr>
      </w:pPr>
      <w:r>
        <w:rPr>
          <w:rFonts w:hint="eastAsia" w:ascii="宋体" w:hAnsi="宋体"/>
          <w:szCs w:val="21"/>
        </w:rPr>
        <w:t>（2）</w:t>
      </w:r>
      <w:r>
        <w:rPr>
          <w:rFonts w:hint="eastAsia" w:ascii="宋体" w:hAnsi="宋体"/>
          <w:b/>
          <w:szCs w:val="21"/>
        </w:rPr>
        <w:t>供应商如果对磋商文件第三章“采购需求”的响应有偏离，应将偏离条款逐条如实应答，并作出说明；</w:t>
      </w:r>
    </w:p>
    <w:p w14:paraId="044294C0">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（3）如不提供此表，则视为供应商不满足磋商文件第三章的所有条款要求，其</w:t>
      </w:r>
      <w:r>
        <w:rPr>
          <w:rFonts w:hint="eastAsia" w:ascii="宋体" w:hAnsi="宋体"/>
          <w:b/>
          <w:szCs w:val="21"/>
        </w:rPr>
        <w:t>响应无效</w:t>
      </w:r>
      <w:r>
        <w:rPr>
          <w:rFonts w:hint="eastAsia" w:ascii="宋体" w:hAnsi="宋体"/>
          <w:szCs w:val="21"/>
        </w:rPr>
        <w:t>。</w:t>
      </w:r>
    </w:p>
    <w:p w14:paraId="41D4543C">
      <w:pPr>
        <w:adjustRightInd w:val="0"/>
        <w:snapToGrid w:val="0"/>
        <w:spacing w:before="50" w:line="360" w:lineRule="auto"/>
        <w:rPr>
          <w:rFonts w:ascii="宋体" w:hAnsi="宋体"/>
          <w:szCs w:val="21"/>
        </w:rPr>
      </w:pPr>
    </w:p>
    <w:p w14:paraId="040DFEA0">
      <w:pPr>
        <w:adjustRightInd w:val="0"/>
        <w:snapToGrid w:val="0"/>
        <w:spacing w:before="50" w:line="360" w:lineRule="auto"/>
        <w:rPr>
          <w:rFonts w:ascii="宋体" w:hAnsi="宋体"/>
          <w:szCs w:val="21"/>
        </w:rPr>
      </w:pPr>
    </w:p>
    <w:p w14:paraId="7A05557F">
      <w:pPr>
        <w:adjustRightInd w:val="0"/>
        <w:snapToGrid w:val="0"/>
        <w:spacing w:before="50" w:line="360" w:lineRule="auto"/>
        <w:rPr>
          <w:rFonts w:ascii="宋体" w:hAnsi="宋体"/>
          <w:szCs w:val="21"/>
        </w:rPr>
      </w:pPr>
    </w:p>
    <w:p w14:paraId="7EC56ECE">
      <w:pPr>
        <w:adjustRightInd w:val="0"/>
        <w:snapToGrid w:val="0"/>
        <w:spacing w:before="50" w:line="360" w:lineRule="auto"/>
        <w:rPr>
          <w:rFonts w:ascii="宋体" w:hAnsi="宋体"/>
          <w:szCs w:val="21"/>
        </w:rPr>
      </w:pPr>
      <w:r>
        <w:rPr>
          <w:rFonts w:hint="eastAsia" w:ascii="宋体" w:hAnsi="宋体"/>
          <w:szCs w:val="21"/>
        </w:rPr>
        <w:t>供应商名称（盖单位公章）：</w:t>
      </w:r>
    </w:p>
    <w:p w14:paraId="0491A92B">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611916FD">
      <w:pPr>
        <w:adjustRightInd w:val="0"/>
        <w:snapToGrid w:val="0"/>
        <w:spacing w:before="50" w:line="360" w:lineRule="auto"/>
        <w:rPr>
          <w:rFonts w:ascii="宋体" w:hAnsi="宋体"/>
          <w:szCs w:val="21"/>
        </w:rPr>
      </w:pPr>
      <w:r>
        <w:rPr>
          <w:rFonts w:hint="eastAsia" w:ascii="宋体" w:hAnsi="宋体"/>
          <w:szCs w:val="21"/>
        </w:rPr>
        <w:t>日      期：年月_日</w:t>
      </w:r>
    </w:p>
    <w:p w14:paraId="27E995E7"/>
    <w:p w14:paraId="2A418009">
      <w:pPr>
        <w:widowControl/>
        <w:jc w:val="left"/>
      </w:pPr>
      <w:r>
        <w:br w:type="page"/>
      </w:r>
    </w:p>
    <w:p w14:paraId="6437C2E4">
      <w:pPr>
        <w:pStyle w:val="7"/>
        <w:jc w:val="center"/>
        <w:rPr>
          <w:rFonts w:ascii="黑体" w:hAnsi="黑体" w:eastAsia="黑体"/>
          <w:sz w:val="28"/>
          <w:szCs w:val="28"/>
        </w:rPr>
      </w:pPr>
      <w:bookmarkStart w:id="73" w:name="_Toc1836"/>
      <w:bookmarkStart w:id="74" w:name="_Toc22201161"/>
      <w:bookmarkStart w:id="75" w:name="_Toc34637804"/>
      <w:r>
        <w:rPr>
          <w:rFonts w:hint="eastAsia" w:ascii="黑体" w:hAnsi="黑体" w:eastAsia="黑体" w:cs="黑体"/>
          <w:sz w:val="28"/>
          <w:szCs w:val="28"/>
        </w:rPr>
        <w:t>十一、享受政府采购政策优惠的证明资料</w:t>
      </w:r>
      <w:bookmarkEnd w:id="73"/>
      <w:bookmarkEnd w:id="74"/>
      <w:bookmarkEnd w:id="75"/>
    </w:p>
    <w:p w14:paraId="7A34CE0B">
      <w:pPr>
        <w:adjustRightInd w:val="0"/>
        <w:snapToGrid w:val="0"/>
        <w:spacing w:line="360" w:lineRule="auto"/>
        <w:rPr>
          <w:rFonts w:ascii="黑体" w:hAnsi="华文中宋" w:eastAsia="黑体" w:cs="宋体"/>
          <w:bCs/>
          <w:spacing w:val="6"/>
          <w:kern w:val="0"/>
          <w:szCs w:val="21"/>
        </w:rPr>
      </w:pPr>
    </w:p>
    <w:p w14:paraId="7A774A0D">
      <w:pPr>
        <w:adjustRightInd w:val="0"/>
        <w:snapToGrid w:val="0"/>
        <w:spacing w:line="360" w:lineRule="auto"/>
        <w:ind w:firstLine="444" w:firstLineChars="200"/>
        <w:rPr>
          <w:rFonts w:ascii="宋体" w:hAnsi="宋体" w:cs="宋体"/>
          <w:bCs/>
          <w:spacing w:val="6"/>
          <w:kern w:val="0"/>
          <w:szCs w:val="21"/>
        </w:rPr>
      </w:pPr>
      <w:r>
        <w:rPr>
          <w:rFonts w:hint="eastAsia" w:ascii="宋体" w:hAnsi="宋体" w:cs="宋体"/>
          <w:bCs/>
          <w:spacing w:val="6"/>
          <w:kern w:val="0"/>
          <w:szCs w:val="21"/>
        </w:rPr>
        <w:t>供应商符合第二章第二节第39条要求的，应提供下列证明资料，并填写相关数据。否则，评审时不予以考虑。</w:t>
      </w:r>
    </w:p>
    <w:p w14:paraId="618D4FE9">
      <w:pPr>
        <w:widowControl/>
        <w:adjustRightInd w:val="0"/>
        <w:snapToGrid w:val="0"/>
        <w:spacing w:line="360" w:lineRule="auto"/>
        <w:rPr>
          <w:rFonts w:ascii="宋体" w:hAnsi="宋体" w:cs="宋体"/>
          <w:b/>
          <w:spacing w:val="6"/>
          <w:kern w:val="0"/>
        </w:rPr>
      </w:pPr>
    </w:p>
    <w:p w14:paraId="0F06DC7A">
      <w:pPr>
        <w:widowControl/>
        <w:adjustRightInd w:val="0"/>
        <w:snapToGrid w:val="0"/>
        <w:spacing w:line="360" w:lineRule="auto"/>
        <w:rPr>
          <w:rFonts w:ascii="宋体" w:hAnsi="宋体" w:cs="宋体"/>
          <w:b/>
          <w:kern w:val="0"/>
          <w:sz w:val="30"/>
          <w:szCs w:val="30"/>
        </w:rPr>
      </w:pPr>
      <w:r>
        <w:rPr>
          <w:rFonts w:hint="eastAsia" w:ascii="宋体" w:hAnsi="宋体" w:cs="宋体"/>
          <w:b/>
          <w:spacing w:val="6"/>
          <w:kern w:val="0"/>
        </w:rPr>
        <w:t>附件1</w:t>
      </w:r>
      <w:r>
        <w:rPr>
          <w:rFonts w:ascii="宋体" w:hAnsi="宋体" w:cs="宋体"/>
          <w:b/>
          <w:spacing w:val="6"/>
          <w:kern w:val="0"/>
        </w:rPr>
        <w:t>1</w:t>
      </w:r>
      <w:r>
        <w:rPr>
          <w:rFonts w:hint="eastAsia" w:ascii="宋体" w:hAnsi="宋体" w:cs="宋体"/>
          <w:b/>
          <w:spacing w:val="6"/>
          <w:kern w:val="0"/>
        </w:rPr>
        <w:t>-</w:t>
      </w:r>
      <w:r>
        <w:rPr>
          <w:rFonts w:ascii="宋体" w:hAnsi="宋体" w:cs="宋体"/>
          <w:b/>
          <w:spacing w:val="6"/>
          <w:kern w:val="0"/>
        </w:rPr>
        <w:t>1</w:t>
      </w:r>
      <w:r>
        <w:rPr>
          <w:rFonts w:hint="eastAsia" w:ascii="宋体" w:hAnsi="宋体"/>
          <w:b/>
          <w:spacing w:val="6"/>
        </w:rPr>
        <w:t>中小企业声明函</w:t>
      </w:r>
    </w:p>
    <w:p w14:paraId="10EA1BAD">
      <w:pPr>
        <w:widowControl/>
        <w:adjustRightInd w:val="0"/>
        <w:snapToGrid w:val="0"/>
        <w:spacing w:line="360" w:lineRule="auto"/>
        <w:jc w:val="center"/>
        <w:rPr>
          <w:rFonts w:ascii="宋体" w:hAnsi="宋体" w:cs="宋体"/>
          <w:b/>
          <w:kern w:val="0"/>
          <w:sz w:val="30"/>
          <w:szCs w:val="30"/>
        </w:rPr>
      </w:pPr>
      <w:r>
        <w:rPr>
          <w:rFonts w:hint="eastAsia" w:ascii="宋体" w:hAnsi="宋体" w:cs="宋体"/>
          <w:b/>
          <w:kern w:val="0"/>
          <w:sz w:val="30"/>
          <w:szCs w:val="30"/>
        </w:rPr>
        <w:t>中小企业声明函(工程</w:t>
      </w:r>
      <w:bookmarkStart w:id="86" w:name="_GoBack"/>
      <w:bookmarkEnd w:id="86"/>
      <w:r>
        <w:rPr>
          <w:rFonts w:hint="eastAsia" w:ascii="宋体" w:hAnsi="宋体" w:cs="宋体"/>
          <w:b/>
          <w:kern w:val="0"/>
          <w:sz w:val="30"/>
          <w:szCs w:val="30"/>
        </w:rPr>
        <w:t>)</w:t>
      </w:r>
    </w:p>
    <w:p w14:paraId="06FC4A26">
      <w:pPr>
        <w:adjustRightInd w:val="0"/>
        <w:snapToGrid w:val="0"/>
        <w:spacing w:line="360" w:lineRule="auto"/>
        <w:jc w:val="center"/>
        <w:rPr>
          <w:rFonts w:ascii="宋体" w:hAnsi="宋体"/>
          <w:b/>
          <w:spacing w:val="6"/>
          <w:szCs w:val="21"/>
        </w:rPr>
      </w:pPr>
      <w:r>
        <w:rPr>
          <w:rFonts w:hint="eastAsia" w:ascii="宋体" w:hAnsi="宋体"/>
          <w:b/>
          <w:spacing w:val="6"/>
          <w:szCs w:val="21"/>
        </w:rPr>
        <w:t>(不符合政策要求的无需提供)</w:t>
      </w:r>
    </w:p>
    <w:p w14:paraId="41702273">
      <w:pPr>
        <w:widowControl/>
        <w:adjustRightInd w:val="0"/>
        <w:snapToGrid w:val="0"/>
        <w:spacing w:line="360" w:lineRule="auto"/>
        <w:ind w:firstLine="420" w:firstLineChars="200"/>
        <w:jc w:val="left"/>
        <w:rPr>
          <w:rFonts w:ascii="宋体" w:hAnsi="宋体" w:cs="宋体"/>
          <w:kern w:val="0"/>
          <w:szCs w:val="21"/>
        </w:rPr>
      </w:pPr>
    </w:p>
    <w:p w14:paraId="4F332CC8">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本公司(联合体)郑重声明，根据《政府采购促进中小企业发展管理办法》(财库[2020]46号)的规定，本公司(联合体)参加</w:t>
      </w:r>
      <w:r>
        <w:rPr>
          <w:rFonts w:hint="eastAsia" w:ascii="宋体" w:hAnsi="宋体" w:cs="宋体"/>
          <w:kern w:val="0"/>
          <w:szCs w:val="21"/>
          <w:u w:val="single"/>
        </w:rPr>
        <w:t xml:space="preserve">      (单位名称)</w:t>
      </w:r>
      <w:r>
        <w:rPr>
          <w:rFonts w:hint="eastAsia" w:ascii="宋体" w:hAnsi="宋体" w:cs="宋体"/>
          <w:kern w:val="0"/>
          <w:szCs w:val="21"/>
        </w:rPr>
        <w:t>的</w:t>
      </w:r>
      <w:r>
        <w:rPr>
          <w:rFonts w:hint="eastAsia" w:ascii="宋体" w:hAnsi="宋体" w:cs="宋体"/>
          <w:kern w:val="0"/>
          <w:szCs w:val="21"/>
          <w:u w:val="single"/>
        </w:rPr>
        <w:t xml:space="preserve">      (项目名称)</w:t>
      </w:r>
      <w:r>
        <w:rPr>
          <w:rFonts w:hint="eastAsia" w:ascii="宋体" w:hAnsi="宋体" w:cs="宋体"/>
          <w:kern w:val="0"/>
          <w:szCs w:val="21"/>
        </w:rPr>
        <w:t>采购活动，工程的施工单位全部为符合政策要求的中小企业(或者：服务全部由符合政策要求的中小企业承接)。相关企业(含联合体中的中小企业、签订分包意向协议的中小企业)的具体情况如下:</w:t>
      </w:r>
    </w:p>
    <w:p w14:paraId="5C476B7D">
      <w:pPr>
        <w:widowControl/>
        <w:adjustRightInd w:val="0"/>
        <w:snapToGrid w:val="0"/>
        <w:spacing w:line="360" w:lineRule="auto"/>
        <w:ind w:firstLine="420" w:firstLineChars="200"/>
        <w:jc w:val="left"/>
        <w:rPr>
          <w:rFonts w:ascii="宋体" w:hAnsi="宋体"/>
        </w:rPr>
      </w:pPr>
      <w:r>
        <w:rPr>
          <w:rFonts w:hint="eastAsia" w:ascii="宋体" w:hAnsi="宋体"/>
        </w:rPr>
        <w:t>1、</w:t>
      </w:r>
      <w:r>
        <w:rPr>
          <w:rFonts w:hint="eastAsia" w:ascii="宋体" w:hAnsi="宋体"/>
          <w:u w:val="single"/>
        </w:rPr>
        <w:t xml:space="preserve">   ( 标的名称)</w:t>
      </w:r>
      <w:r>
        <w:rPr>
          <w:rFonts w:hint="eastAsia" w:ascii="宋体" w:hAnsi="宋体"/>
        </w:rPr>
        <w:t>，属于</w:t>
      </w:r>
      <w:r>
        <w:rPr>
          <w:rFonts w:hint="eastAsia" w:ascii="宋体" w:hAnsi="宋体"/>
          <w:lang w:eastAsia="zh-CN"/>
        </w:rPr>
        <w:t>：</w:t>
      </w:r>
      <w:r>
        <w:rPr>
          <w:rFonts w:hint="eastAsia" w:ascii="宋体" w:hAnsi="宋体"/>
          <w:u w:val="single"/>
        </w:rPr>
        <w:t>(采购文件中明确的所属行业)</w:t>
      </w:r>
      <w:r>
        <w:rPr>
          <w:rFonts w:hint="eastAsia" w:ascii="宋体" w:hAnsi="宋体"/>
        </w:rPr>
        <w:t>行业</w:t>
      </w:r>
      <w:r>
        <w:rPr>
          <w:rFonts w:hint="eastAsia" w:ascii="宋体" w:hAnsi="宋体"/>
          <w:lang w:eastAsia="zh-CN"/>
        </w:rPr>
        <w:t>，</w:t>
      </w:r>
      <w:r>
        <w:rPr>
          <w:rFonts w:hint="eastAsia" w:ascii="宋体" w:hAnsi="宋体"/>
        </w:rPr>
        <w:t>承建(承接)为</w:t>
      </w:r>
      <w:r>
        <w:rPr>
          <w:rFonts w:hint="eastAsia" w:ascii="宋体" w:hAnsi="宋体"/>
          <w:u w:val="single"/>
        </w:rPr>
        <w:t xml:space="preserve">    (企业名称)</w:t>
      </w:r>
      <w:r>
        <w:rPr>
          <w:rFonts w:hint="eastAsia" w:ascii="宋体" w:hAnsi="宋体"/>
        </w:rPr>
        <w:t>，从业人员人，营业收入为万元，资产总额为万元</w:t>
      </w:r>
      <w:r>
        <w:rPr>
          <w:rFonts w:hint="eastAsia" w:ascii="宋体" w:hAnsi="宋体"/>
          <w:b/>
          <w:vertAlign w:val="superscript"/>
        </w:rPr>
        <w:t>[1]</w:t>
      </w:r>
      <w:r>
        <w:rPr>
          <w:rFonts w:hint="eastAsia" w:ascii="宋体" w:hAnsi="宋体"/>
        </w:rPr>
        <w:t>，属于</w:t>
      </w:r>
      <w:r>
        <w:rPr>
          <w:rFonts w:hint="eastAsia" w:ascii="宋体" w:hAnsi="宋体"/>
          <w:u w:val="single"/>
        </w:rPr>
        <w:t xml:space="preserve">   (中型企业、小型企业，微型企业)</w:t>
      </w:r>
      <w:r>
        <w:rPr>
          <w:rFonts w:hint="eastAsia" w:ascii="宋体" w:hAnsi="宋体"/>
        </w:rPr>
        <w:t xml:space="preserve"> 。</w:t>
      </w:r>
    </w:p>
    <w:p w14:paraId="2A8D6C65">
      <w:pPr>
        <w:widowControl/>
        <w:adjustRightInd w:val="0"/>
        <w:snapToGrid w:val="0"/>
        <w:spacing w:line="360" w:lineRule="auto"/>
        <w:ind w:firstLine="420" w:firstLineChars="200"/>
        <w:jc w:val="left"/>
        <w:rPr>
          <w:rFonts w:ascii="宋体" w:hAnsi="宋体"/>
        </w:rPr>
      </w:pPr>
      <w:r>
        <w:rPr>
          <w:rFonts w:hint="eastAsia" w:ascii="宋体" w:hAnsi="宋体"/>
        </w:rPr>
        <w:t>2、</w:t>
      </w:r>
      <w:r>
        <w:rPr>
          <w:rFonts w:hint="eastAsia" w:ascii="宋体" w:hAnsi="宋体"/>
          <w:u w:val="single"/>
        </w:rPr>
        <w:t xml:space="preserve">   ( 标的名称)</w:t>
      </w:r>
      <w:r>
        <w:rPr>
          <w:rFonts w:hint="eastAsia" w:ascii="宋体" w:hAnsi="宋体"/>
        </w:rPr>
        <w:t>，属于</w:t>
      </w:r>
      <w:r>
        <w:rPr>
          <w:rFonts w:hint="eastAsia" w:ascii="宋体" w:hAnsi="宋体"/>
          <w:lang w:eastAsia="zh-CN"/>
        </w:rPr>
        <w:t>：</w:t>
      </w:r>
      <w:r>
        <w:rPr>
          <w:rFonts w:hint="eastAsia" w:ascii="宋体" w:hAnsi="宋体"/>
          <w:u w:val="single"/>
        </w:rPr>
        <w:t>(采购文件中明确的所属行业)</w:t>
      </w:r>
      <w:r>
        <w:rPr>
          <w:rFonts w:hint="eastAsia" w:ascii="宋体" w:hAnsi="宋体"/>
        </w:rPr>
        <w:t xml:space="preserve"> 行业</w:t>
      </w:r>
      <w:r>
        <w:rPr>
          <w:rFonts w:hint="eastAsia" w:ascii="宋体" w:hAnsi="宋体"/>
          <w:lang w:eastAsia="zh-CN"/>
        </w:rPr>
        <w:t>，</w:t>
      </w:r>
      <w:r>
        <w:rPr>
          <w:rFonts w:hint="eastAsia" w:ascii="宋体" w:hAnsi="宋体"/>
        </w:rPr>
        <w:t>承建(承接)为</w:t>
      </w:r>
      <w:r>
        <w:rPr>
          <w:rFonts w:hint="eastAsia" w:ascii="宋体" w:hAnsi="宋体"/>
          <w:u w:val="single"/>
        </w:rPr>
        <w:t xml:space="preserve">    (企业名称)</w:t>
      </w:r>
      <w:r>
        <w:rPr>
          <w:rFonts w:hint="eastAsia" w:ascii="宋体" w:hAnsi="宋体"/>
        </w:rPr>
        <w:t>，从业人员人，营业收入为万元，资产总额为万元</w:t>
      </w:r>
      <w:r>
        <w:rPr>
          <w:rFonts w:hint="eastAsia" w:ascii="宋体" w:hAnsi="宋体"/>
          <w:b/>
          <w:vertAlign w:val="superscript"/>
        </w:rPr>
        <w:t>[1]</w:t>
      </w:r>
      <w:r>
        <w:rPr>
          <w:rFonts w:hint="eastAsia" w:ascii="宋体" w:hAnsi="宋体"/>
        </w:rPr>
        <w:t>，属于</w:t>
      </w:r>
      <w:r>
        <w:rPr>
          <w:rFonts w:hint="eastAsia" w:ascii="宋体" w:hAnsi="宋体"/>
          <w:u w:val="single"/>
        </w:rPr>
        <w:t xml:space="preserve">   (中型企业、小型企业，微型企业)</w:t>
      </w:r>
      <w:r>
        <w:rPr>
          <w:rFonts w:hint="eastAsia" w:ascii="宋体" w:hAnsi="宋体"/>
        </w:rPr>
        <w:t xml:space="preserve"> 。</w:t>
      </w:r>
    </w:p>
    <w:p w14:paraId="43DC1B48">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以上企业，不属于大企业的分支机构，不存在控股股东为大企业的情形，也不存在与大企业的负责人为同一人的情形。</w:t>
      </w:r>
    </w:p>
    <w:p w14:paraId="7B99872C">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本企业对上述声明内容的真实性负责。如有虚假，将法承担相应责任。</w:t>
      </w:r>
    </w:p>
    <w:p w14:paraId="11BEE82C">
      <w:pPr>
        <w:widowControl/>
        <w:adjustRightInd w:val="0"/>
        <w:snapToGrid w:val="0"/>
        <w:spacing w:line="360" w:lineRule="auto"/>
        <w:ind w:firstLine="420" w:firstLineChars="200"/>
        <w:jc w:val="left"/>
        <w:rPr>
          <w:rFonts w:ascii="宋体" w:hAnsi="宋体" w:cs="宋体"/>
          <w:kern w:val="0"/>
          <w:szCs w:val="21"/>
        </w:rPr>
      </w:pPr>
    </w:p>
    <w:p w14:paraId="0E468DA3">
      <w:pPr>
        <w:widowControl/>
        <w:adjustRightInd w:val="0"/>
        <w:snapToGrid w:val="0"/>
        <w:spacing w:line="360" w:lineRule="auto"/>
        <w:ind w:firstLine="4830" w:firstLineChars="2300"/>
        <w:jc w:val="left"/>
        <w:rPr>
          <w:rFonts w:ascii="宋体" w:hAnsi="宋体" w:cs="宋体"/>
          <w:kern w:val="0"/>
          <w:szCs w:val="21"/>
        </w:rPr>
      </w:pPr>
      <w:r>
        <w:rPr>
          <w:rFonts w:hint="eastAsia" w:ascii="宋体" w:hAnsi="宋体" w:cs="宋体"/>
          <w:kern w:val="0"/>
          <w:szCs w:val="21"/>
        </w:rPr>
        <w:t>企业名称(盖章)：</w:t>
      </w:r>
    </w:p>
    <w:p w14:paraId="68934043">
      <w:pPr>
        <w:widowControl/>
        <w:adjustRightInd w:val="0"/>
        <w:snapToGrid w:val="0"/>
        <w:spacing w:line="360" w:lineRule="auto"/>
        <w:ind w:firstLine="4830" w:firstLineChars="2300"/>
        <w:jc w:val="left"/>
        <w:rPr>
          <w:rFonts w:ascii="宋体" w:hAnsi="宋体" w:cs="宋体"/>
          <w:kern w:val="0"/>
          <w:szCs w:val="21"/>
        </w:rPr>
      </w:pPr>
      <w:r>
        <w:rPr>
          <w:rFonts w:hint="eastAsia" w:ascii="宋体" w:hAnsi="宋体" w:cs="宋体"/>
          <w:kern w:val="0"/>
          <w:szCs w:val="21"/>
        </w:rPr>
        <w:t>日期：</w:t>
      </w:r>
    </w:p>
    <w:p w14:paraId="5993E5FA">
      <w:pPr>
        <w:widowControl/>
        <w:adjustRightInd w:val="0"/>
        <w:snapToGrid w:val="0"/>
        <w:spacing w:line="360" w:lineRule="auto"/>
        <w:ind w:firstLine="446" w:firstLineChars="200"/>
        <w:jc w:val="center"/>
        <w:rPr>
          <w:rFonts w:ascii="宋体" w:hAnsi="宋体" w:cs="宋体"/>
          <w:b/>
          <w:spacing w:val="6"/>
          <w:kern w:val="0"/>
          <w:szCs w:val="21"/>
          <w:u w:val="single"/>
        </w:rPr>
      </w:pPr>
    </w:p>
    <w:p w14:paraId="24823BCB">
      <w:pPr>
        <w:widowControl/>
        <w:jc w:val="left"/>
        <w:rPr>
          <w:rFonts w:ascii="黑体" w:hAnsi="华文中宋" w:cs="宋体"/>
          <w:b/>
          <w:bCs/>
          <w:spacing w:val="6"/>
          <w:kern w:val="0"/>
          <w:sz w:val="20"/>
          <w:szCs w:val="21"/>
        </w:rPr>
      </w:pPr>
      <w:r>
        <w:rPr>
          <w:rFonts w:ascii="黑体" w:hAnsi="华文中宋" w:cs="宋体"/>
          <w:b/>
          <w:bCs/>
          <w:spacing w:val="6"/>
          <w:szCs w:val="21"/>
        </w:rPr>
        <w:br w:type="page"/>
      </w:r>
    </w:p>
    <w:p w14:paraId="3174AF90">
      <w:pPr>
        <w:widowControl/>
        <w:jc w:val="left"/>
        <w:rPr>
          <w:rFonts w:ascii="黑体" w:hAnsi="宋体"/>
          <w:b/>
          <w:szCs w:val="21"/>
        </w:rPr>
      </w:pPr>
      <w:r>
        <w:rPr>
          <w:rFonts w:hint="eastAsia" w:ascii="黑体" w:hAnsi="华文中宋" w:cs="宋体"/>
          <w:b/>
          <w:bCs/>
          <w:spacing w:val="6"/>
          <w:szCs w:val="21"/>
        </w:rPr>
        <w:t>附页1</w:t>
      </w:r>
      <w:r>
        <w:rPr>
          <w:rFonts w:hint="eastAsia" w:ascii="黑体" w:hAnsi="宋体"/>
          <w:b/>
          <w:szCs w:val="21"/>
        </w:rPr>
        <w:t>价格评审优惠货物清单</w:t>
      </w:r>
    </w:p>
    <w:p w14:paraId="42E4B28F">
      <w:pPr>
        <w:adjustRightInd w:val="0"/>
        <w:snapToGrid w:val="0"/>
        <w:spacing w:before="50" w:line="360" w:lineRule="auto"/>
        <w:jc w:val="center"/>
        <w:rPr>
          <w:rFonts w:ascii="宋体" w:hAnsi="宋体"/>
          <w:szCs w:val="21"/>
        </w:rPr>
      </w:pPr>
      <w:r>
        <w:rPr>
          <w:rFonts w:hint="eastAsia" w:ascii="黑体" w:hAnsi="宋体" w:eastAsia="黑体"/>
          <w:b/>
          <w:sz w:val="28"/>
          <w:szCs w:val="28"/>
        </w:rPr>
        <w:t>价格评审优惠货物清单</w:t>
      </w:r>
    </w:p>
    <w:p w14:paraId="3DBC0124">
      <w:pPr>
        <w:adjustRightInd w:val="0"/>
        <w:snapToGrid w:val="0"/>
        <w:spacing w:before="50" w:line="360" w:lineRule="auto"/>
        <w:rPr>
          <w:rFonts w:ascii="宋体" w:hAnsi="宋体"/>
          <w:szCs w:val="21"/>
        </w:rPr>
      </w:pPr>
      <w:r>
        <w:rPr>
          <w:rFonts w:hint="eastAsia" w:ascii="宋体" w:hAnsi="宋体"/>
          <w:szCs w:val="21"/>
        </w:rPr>
        <w:t>采购代理编号：</w:t>
      </w:r>
      <w:r>
        <w:rPr>
          <w:rFonts w:hint="eastAsia" w:ascii="宋体" w:hAnsi="宋体"/>
          <w:szCs w:val="21"/>
          <w:u w:val="single"/>
        </w:rPr>
        <w:t>__    ________</w:t>
      </w:r>
      <w:r>
        <w:rPr>
          <w:rFonts w:hint="eastAsia" w:ascii="宋体" w:hAnsi="宋体"/>
          <w:szCs w:val="21"/>
        </w:rPr>
        <w:t xml:space="preserve">                       项目名称：</w:t>
      </w:r>
      <w:r>
        <w:rPr>
          <w:rFonts w:hint="eastAsia" w:ascii="宋体" w:hAnsi="宋体"/>
          <w:szCs w:val="21"/>
          <w:u w:val="single"/>
        </w:rPr>
        <w:t>____            ______</w:t>
      </w:r>
    </w:p>
    <w:tbl>
      <w:tblPr>
        <w:tblStyle w:val="46"/>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14:paraId="664674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7"/>
            <w:vAlign w:val="center"/>
          </w:tcPr>
          <w:p w14:paraId="73AFF23A">
            <w:pPr>
              <w:keepNext w:val="0"/>
              <w:keepLines w:val="0"/>
              <w:widowControl/>
              <w:suppressLineNumbers w:val="0"/>
              <w:adjustRightInd w:val="0"/>
              <w:snapToGrid w:val="0"/>
              <w:spacing w:before="0" w:beforeAutospacing="0" w:after="0" w:afterAutospacing="0" w:line="360" w:lineRule="auto"/>
              <w:ind w:left="0" w:right="0" w:firstLine="480" w:firstLineChars="200"/>
              <w:jc w:val="left"/>
              <w:rPr>
                <w:rFonts w:hint="default" w:ascii="黑体" w:hAnsi="宋体" w:eastAsia="黑体"/>
                <w:kern w:val="0"/>
                <w:sz w:val="24"/>
              </w:rPr>
            </w:pPr>
            <w:r>
              <w:rPr>
                <w:rFonts w:hint="eastAsia" w:ascii="黑体" w:hAnsi="宋体" w:eastAsia="黑体"/>
                <w:kern w:val="0"/>
                <w:sz w:val="24"/>
              </w:rPr>
              <w:t>以下为供应商提供的享受价格评审优惠的货物，供应商对本表的真实性负责。如有虚假，将依法承担相应责任。</w:t>
            </w:r>
          </w:p>
        </w:tc>
      </w:tr>
      <w:tr w14:paraId="187CB7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vAlign w:val="center"/>
          </w:tcPr>
          <w:p w14:paraId="564A230F">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1</w:t>
            </w:r>
          </w:p>
        </w:tc>
        <w:tc>
          <w:tcPr>
            <w:tcW w:w="1134" w:type="dxa"/>
            <w:vAlign w:val="center"/>
          </w:tcPr>
          <w:p w14:paraId="289746D7">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2</w:t>
            </w:r>
          </w:p>
        </w:tc>
        <w:tc>
          <w:tcPr>
            <w:tcW w:w="1134" w:type="dxa"/>
            <w:tcBorders>
              <w:right w:val="single" w:color="auto" w:sz="4" w:space="0"/>
            </w:tcBorders>
            <w:vAlign w:val="center"/>
          </w:tcPr>
          <w:p w14:paraId="6DC2E1A4">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3</w:t>
            </w:r>
          </w:p>
        </w:tc>
        <w:tc>
          <w:tcPr>
            <w:tcW w:w="1134" w:type="dxa"/>
            <w:tcBorders>
              <w:left w:val="single" w:color="auto" w:sz="4" w:space="0"/>
            </w:tcBorders>
            <w:vAlign w:val="center"/>
          </w:tcPr>
          <w:p w14:paraId="7326CEEE">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4</w:t>
            </w:r>
          </w:p>
        </w:tc>
        <w:tc>
          <w:tcPr>
            <w:tcW w:w="1701" w:type="dxa"/>
            <w:vAlign w:val="center"/>
          </w:tcPr>
          <w:p w14:paraId="4238E7FD">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5</w:t>
            </w:r>
          </w:p>
        </w:tc>
        <w:tc>
          <w:tcPr>
            <w:tcW w:w="1843" w:type="dxa"/>
            <w:vAlign w:val="center"/>
          </w:tcPr>
          <w:p w14:paraId="7C63548B">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6</w:t>
            </w:r>
          </w:p>
        </w:tc>
        <w:tc>
          <w:tcPr>
            <w:tcW w:w="1134" w:type="dxa"/>
            <w:vAlign w:val="center"/>
          </w:tcPr>
          <w:p w14:paraId="5777F973">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7</w:t>
            </w:r>
          </w:p>
        </w:tc>
      </w:tr>
      <w:tr w14:paraId="510B8C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vAlign w:val="center"/>
          </w:tcPr>
          <w:p w14:paraId="77647D5E">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序号</w:t>
            </w:r>
          </w:p>
        </w:tc>
        <w:tc>
          <w:tcPr>
            <w:tcW w:w="1134" w:type="dxa"/>
            <w:vAlign w:val="center"/>
          </w:tcPr>
          <w:p w14:paraId="7C0FB985">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货物名称</w:t>
            </w:r>
          </w:p>
        </w:tc>
        <w:tc>
          <w:tcPr>
            <w:tcW w:w="1134" w:type="dxa"/>
            <w:tcBorders>
              <w:right w:val="single" w:color="auto" w:sz="4" w:space="0"/>
            </w:tcBorders>
            <w:vAlign w:val="center"/>
          </w:tcPr>
          <w:p w14:paraId="248EE9BE">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规格型号</w:t>
            </w:r>
          </w:p>
        </w:tc>
        <w:tc>
          <w:tcPr>
            <w:tcW w:w="1134" w:type="dxa"/>
            <w:tcBorders>
              <w:left w:val="single" w:color="auto" w:sz="4" w:space="0"/>
            </w:tcBorders>
            <w:vAlign w:val="center"/>
          </w:tcPr>
          <w:p w14:paraId="6FC7192B">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价格（元）</w:t>
            </w:r>
          </w:p>
        </w:tc>
        <w:tc>
          <w:tcPr>
            <w:tcW w:w="1701" w:type="dxa"/>
            <w:vAlign w:val="center"/>
          </w:tcPr>
          <w:p w14:paraId="15E737FE">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货物制造商名称</w:t>
            </w:r>
          </w:p>
        </w:tc>
        <w:tc>
          <w:tcPr>
            <w:tcW w:w="1843" w:type="dxa"/>
            <w:vAlign w:val="center"/>
          </w:tcPr>
          <w:p w14:paraId="17C4D926">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货物制造商类型</w:t>
            </w:r>
          </w:p>
        </w:tc>
        <w:tc>
          <w:tcPr>
            <w:tcW w:w="1134" w:type="dxa"/>
            <w:vAlign w:val="center"/>
          </w:tcPr>
          <w:p w14:paraId="3A07DDC2">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商标名称</w:t>
            </w:r>
          </w:p>
        </w:tc>
      </w:tr>
      <w:tr w14:paraId="1D02CE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15497241">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134" w:type="dxa"/>
            <w:vAlign w:val="center"/>
          </w:tcPr>
          <w:p w14:paraId="543E542C">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134" w:type="dxa"/>
            <w:tcBorders>
              <w:right w:val="single" w:color="auto" w:sz="4" w:space="0"/>
            </w:tcBorders>
            <w:vAlign w:val="center"/>
          </w:tcPr>
          <w:p w14:paraId="159AA5C3">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134" w:type="dxa"/>
            <w:tcBorders>
              <w:left w:val="single" w:color="auto" w:sz="4" w:space="0"/>
            </w:tcBorders>
            <w:vAlign w:val="center"/>
          </w:tcPr>
          <w:p w14:paraId="2A7881C5">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701" w:type="dxa"/>
            <w:vAlign w:val="center"/>
          </w:tcPr>
          <w:p w14:paraId="5E7E1D5B">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843" w:type="dxa"/>
          </w:tcPr>
          <w:p w14:paraId="0532A353">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134" w:type="dxa"/>
            <w:vAlign w:val="center"/>
          </w:tcPr>
          <w:p w14:paraId="0D508006">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r>
      <w:tr w14:paraId="55591C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5C40A82A">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134" w:type="dxa"/>
            <w:vAlign w:val="center"/>
          </w:tcPr>
          <w:p w14:paraId="17D8FDB0">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134" w:type="dxa"/>
            <w:tcBorders>
              <w:right w:val="single" w:color="auto" w:sz="4" w:space="0"/>
            </w:tcBorders>
            <w:vAlign w:val="center"/>
          </w:tcPr>
          <w:p w14:paraId="7A426CF9">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134" w:type="dxa"/>
            <w:tcBorders>
              <w:left w:val="single" w:color="auto" w:sz="4" w:space="0"/>
            </w:tcBorders>
            <w:vAlign w:val="center"/>
          </w:tcPr>
          <w:p w14:paraId="6758BC3A">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701" w:type="dxa"/>
            <w:vAlign w:val="center"/>
          </w:tcPr>
          <w:p w14:paraId="71002464">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843" w:type="dxa"/>
          </w:tcPr>
          <w:p w14:paraId="48CF1342">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134" w:type="dxa"/>
            <w:vAlign w:val="center"/>
          </w:tcPr>
          <w:p w14:paraId="3AAF1BE5">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r>
      <w:tr w14:paraId="3F9293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34CC6D9B">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134" w:type="dxa"/>
            <w:vAlign w:val="center"/>
          </w:tcPr>
          <w:p w14:paraId="439B9795">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134" w:type="dxa"/>
            <w:tcBorders>
              <w:right w:val="single" w:color="auto" w:sz="4" w:space="0"/>
            </w:tcBorders>
            <w:vAlign w:val="center"/>
          </w:tcPr>
          <w:p w14:paraId="3AF60B64">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134" w:type="dxa"/>
            <w:tcBorders>
              <w:left w:val="single" w:color="auto" w:sz="4" w:space="0"/>
            </w:tcBorders>
            <w:vAlign w:val="center"/>
          </w:tcPr>
          <w:p w14:paraId="09DD611E">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701" w:type="dxa"/>
            <w:vAlign w:val="center"/>
          </w:tcPr>
          <w:p w14:paraId="5E314E8F">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843" w:type="dxa"/>
          </w:tcPr>
          <w:p w14:paraId="4DF0293B">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134" w:type="dxa"/>
            <w:vAlign w:val="center"/>
          </w:tcPr>
          <w:p w14:paraId="5366D1FD">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r>
      <w:tr w14:paraId="171AEE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4619B428">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134" w:type="dxa"/>
            <w:vAlign w:val="center"/>
          </w:tcPr>
          <w:p w14:paraId="0E8309AE">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134" w:type="dxa"/>
            <w:tcBorders>
              <w:right w:val="single" w:color="auto" w:sz="4" w:space="0"/>
            </w:tcBorders>
            <w:vAlign w:val="center"/>
          </w:tcPr>
          <w:p w14:paraId="32080699">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134" w:type="dxa"/>
            <w:tcBorders>
              <w:left w:val="single" w:color="auto" w:sz="4" w:space="0"/>
            </w:tcBorders>
            <w:vAlign w:val="center"/>
          </w:tcPr>
          <w:p w14:paraId="19FECD19">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701" w:type="dxa"/>
            <w:vAlign w:val="center"/>
          </w:tcPr>
          <w:p w14:paraId="39E01EB6">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843" w:type="dxa"/>
          </w:tcPr>
          <w:p w14:paraId="3E7F6576">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134" w:type="dxa"/>
            <w:vAlign w:val="center"/>
          </w:tcPr>
          <w:p w14:paraId="5F6CDA87">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r>
      <w:tr w14:paraId="2ED30A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08591CDC">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小计</w:t>
            </w:r>
          </w:p>
        </w:tc>
        <w:tc>
          <w:tcPr>
            <w:tcW w:w="1134" w:type="dxa"/>
            <w:vAlign w:val="center"/>
          </w:tcPr>
          <w:p w14:paraId="513B4F02">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r>
              <w:rPr>
                <w:rFonts w:hint="eastAsia" w:ascii="宋体" w:hAnsi="宋体"/>
                <w:b/>
                <w:szCs w:val="21"/>
              </w:rPr>
              <w:t>/</w:t>
            </w:r>
          </w:p>
        </w:tc>
        <w:tc>
          <w:tcPr>
            <w:tcW w:w="1134" w:type="dxa"/>
            <w:tcBorders>
              <w:right w:val="single" w:color="auto" w:sz="4" w:space="0"/>
            </w:tcBorders>
            <w:vAlign w:val="center"/>
          </w:tcPr>
          <w:p w14:paraId="4F7210A7">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134" w:type="dxa"/>
            <w:tcBorders>
              <w:left w:val="single" w:color="auto" w:sz="4" w:space="0"/>
            </w:tcBorders>
            <w:vAlign w:val="center"/>
          </w:tcPr>
          <w:p w14:paraId="3FF3D862">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701" w:type="dxa"/>
            <w:vAlign w:val="center"/>
          </w:tcPr>
          <w:p w14:paraId="538BFC34">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r>
              <w:rPr>
                <w:rFonts w:hint="eastAsia" w:ascii="宋体" w:hAnsi="宋体"/>
                <w:b/>
                <w:szCs w:val="21"/>
              </w:rPr>
              <w:t>/</w:t>
            </w:r>
          </w:p>
        </w:tc>
        <w:tc>
          <w:tcPr>
            <w:tcW w:w="1843" w:type="dxa"/>
            <w:vAlign w:val="center"/>
          </w:tcPr>
          <w:p w14:paraId="56143573">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r>
              <w:rPr>
                <w:rFonts w:hint="eastAsia" w:ascii="宋体" w:hAnsi="宋体"/>
                <w:b/>
                <w:szCs w:val="21"/>
              </w:rPr>
              <w:t>/</w:t>
            </w:r>
          </w:p>
        </w:tc>
        <w:tc>
          <w:tcPr>
            <w:tcW w:w="1134" w:type="dxa"/>
            <w:vAlign w:val="center"/>
          </w:tcPr>
          <w:p w14:paraId="24D70EDE">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r>
              <w:rPr>
                <w:rFonts w:hint="eastAsia" w:ascii="宋体" w:hAnsi="宋体"/>
                <w:b/>
                <w:szCs w:val="21"/>
              </w:rPr>
              <w:t>/</w:t>
            </w:r>
          </w:p>
        </w:tc>
      </w:tr>
    </w:tbl>
    <w:p w14:paraId="1F2D92BC">
      <w:pPr>
        <w:adjustRightInd w:val="0"/>
        <w:snapToGrid w:val="0"/>
        <w:spacing w:line="360" w:lineRule="auto"/>
        <w:rPr>
          <w:rFonts w:ascii="宋体" w:hAnsi="宋体"/>
          <w:szCs w:val="21"/>
        </w:rPr>
      </w:pPr>
      <w:r>
        <w:rPr>
          <w:rFonts w:hint="eastAsia" w:ascii="宋体" w:hAnsi="宋体"/>
          <w:szCs w:val="21"/>
        </w:rPr>
        <w:t>说明：1、本清单用于计算政府采购价格评审优惠应享受的政府采购政策价格扣除。提供附件1</w:t>
      </w:r>
      <w:r>
        <w:rPr>
          <w:rFonts w:ascii="宋体" w:hAnsi="宋体"/>
          <w:szCs w:val="21"/>
        </w:rPr>
        <w:t>1</w:t>
      </w:r>
      <w:r>
        <w:rPr>
          <w:rFonts w:hint="eastAsia" w:ascii="宋体" w:hAnsi="宋体"/>
          <w:szCs w:val="21"/>
        </w:rPr>
        <w:t>-1、附件1</w:t>
      </w:r>
      <w:r>
        <w:rPr>
          <w:rFonts w:ascii="宋体" w:hAnsi="宋体"/>
          <w:szCs w:val="21"/>
        </w:rPr>
        <w:t>1</w:t>
      </w:r>
      <w:r>
        <w:rPr>
          <w:rFonts w:hint="eastAsia" w:ascii="宋体" w:hAnsi="宋体"/>
          <w:szCs w:val="21"/>
        </w:rPr>
        <w:t>-2、附件1</w:t>
      </w:r>
      <w:r>
        <w:rPr>
          <w:rFonts w:ascii="宋体" w:hAnsi="宋体"/>
          <w:szCs w:val="21"/>
        </w:rPr>
        <w:t>1</w:t>
      </w:r>
      <w:r>
        <w:rPr>
          <w:rFonts w:hint="eastAsia" w:ascii="宋体" w:hAnsi="宋体"/>
          <w:szCs w:val="21"/>
        </w:rPr>
        <w:t>-3的，且提供的货物为小型、微型企业制造的，包括视同小型、微型企业，享受评审中价格扣除的监狱企业、残疾人福利性单位制造的货物。货物制造商类型填写小型、微型企业或监狱企业或残疾人福利性单位。</w:t>
      </w:r>
    </w:p>
    <w:p w14:paraId="4B9F6325">
      <w:pPr>
        <w:adjustRightInd w:val="0"/>
        <w:snapToGrid w:val="0"/>
        <w:spacing w:line="360" w:lineRule="auto"/>
        <w:ind w:firstLine="630" w:firstLineChars="300"/>
        <w:rPr>
          <w:rFonts w:ascii="宋体" w:hAnsi="宋体"/>
          <w:szCs w:val="21"/>
        </w:rPr>
      </w:pPr>
      <w:r>
        <w:rPr>
          <w:rFonts w:hint="eastAsia" w:ascii="宋体" w:hAnsi="宋体"/>
          <w:szCs w:val="21"/>
        </w:rPr>
        <w:t>2、栏目4“价格”为综合单价，包含该货物所有隐含的内容，如运输费、保险费、安装调试费、管理费和利润等。</w:t>
      </w:r>
    </w:p>
    <w:p w14:paraId="4645815B">
      <w:pPr>
        <w:adjustRightInd w:val="0"/>
        <w:snapToGrid w:val="0"/>
        <w:ind w:firstLine="630" w:firstLineChars="300"/>
        <w:rPr>
          <w:rFonts w:ascii="宋体" w:hAnsi="宋体"/>
          <w:bCs/>
          <w:szCs w:val="21"/>
        </w:rPr>
      </w:pPr>
      <w:r>
        <w:rPr>
          <w:rFonts w:hint="eastAsia" w:ascii="宋体" w:hAnsi="宋体"/>
          <w:bCs/>
          <w:szCs w:val="21"/>
        </w:rPr>
        <w:t>3、供应商在最后报价环节修改报价（最后）表的，应修改本表相应内容。否则，评审时涉及本表所有优惠不予以考虑。</w:t>
      </w:r>
    </w:p>
    <w:p w14:paraId="532C1593">
      <w:pPr>
        <w:adjustRightInd w:val="0"/>
        <w:snapToGrid w:val="0"/>
        <w:spacing w:line="360" w:lineRule="auto"/>
        <w:ind w:firstLine="630" w:firstLineChars="300"/>
        <w:rPr>
          <w:rFonts w:ascii="宋体" w:hAnsi="宋体"/>
          <w:szCs w:val="21"/>
        </w:rPr>
      </w:pPr>
    </w:p>
    <w:p w14:paraId="62B2C987">
      <w:pPr>
        <w:adjustRightInd w:val="0"/>
        <w:snapToGrid w:val="0"/>
        <w:spacing w:line="360" w:lineRule="auto"/>
        <w:rPr>
          <w:rFonts w:ascii="宋体" w:hAnsi="宋体"/>
          <w:szCs w:val="21"/>
        </w:rPr>
      </w:pPr>
      <w:r>
        <w:rPr>
          <w:rFonts w:hint="eastAsia" w:ascii="宋体" w:hAnsi="宋体"/>
          <w:szCs w:val="21"/>
        </w:rPr>
        <w:t>供应商名称（盖单位章）：</w:t>
      </w:r>
    </w:p>
    <w:p w14:paraId="65FDAC25">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或其委托代理人（签字或印章）：</w:t>
      </w:r>
    </w:p>
    <w:p w14:paraId="2DEE4A5E">
      <w:pPr>
        <w:adjustRightInd w:val="0"/>
        <w:snapToGrid w:val="0"/>
        <w:spacing w:line="360" w:lineRule="auto"/>
        <w:rPr>
          <w:rFonts w:ascii="宋体" w:hAnsi="宋体"/>
          <w:szCs w:val="21"/>
        </w:rPr>
      </w:pPr>
      <w:r>
        <w:rPr>
          <w:rFonts w:hint="eastAsia" w:ascii="宋体" w:hAnsi="宋体"/>
          <w:szCs w:val="21"/>
        </w:rPr>
        <w:t>日期：年月日</w:t>
      </w:r>
    </w:p>
    <w:p w14:paraId="074CB36A">
      <w:pPr>
        <w:pStyle w:val="20"/>
        <w:rPr>
          <w:rFonts w:eastAsia="仿宋_GB2312"/>
          <w:b/>
          <w:sz w:val="24"/>
        </w:rPr>
      </w:pPr>
      <w:r>
        <w:rPr>
          <w:rFonts w:eastAsia="仿宋_GB2312"/>
          <w:sz w:val="24"/>
        </w:rPr>
        <w:br w:type="page"/>
      </w:r>
      <w:bookmarkStart w:id="76" w:name="_Toc34637806"/>
      <w:bookmarkStart w:id="77" w:name="_Toc22201164"/>
      <w:r>
        <w:rPr>
          <w:rFonts w:hint="eastAsia" w:ascii="宋体" w:hAnsi="宋体" w:cs="宋体"/>
          <w:b/>
          <w:spacing w:val="6"/>
          <w:kern w:val="0"/>
        </w:rPr>
        <w:t>附件1</w:t>
      </w:r>
      <w:r>
        <w:rPr>
          <w:rFonts w:ascii="宋体" w:hAnsi="宋体" w:cs="宋体"/>
          <w:b/>
          <w:spacing w:val="6"/>
          <w:kern w:val="0"/>
        </w:rPr>
        <w:t>1</w:t>
      </w:r>
      <w:r>
        <w:rPr>
          <w:rFonts w:hint="eastAsia" w:ascii="宋体" w:hAnsi="宋体" w:cs="宋体"/>
          <w:b/>
          <w:spacing w:val="6"/>
          <w:kern w:val="0"/>
        </w:rPr>
        <w:t xml:space="preserve">-2 </w:t>
      </w:r>
      <w:r>
        <w:rPr>
          <w:rFonts w:hint="eastAsia" w:ascii="宋体" w:hAnsi="宋体"/>
          <w:b/>
          <w:spacing w:val="6"/>
        </w:rPr>
        <w:t>残疾人福利性单位声明函</w:t>
      </w:r>
      <w:bookmarkEnd w:id="76"/>
      <w:bookmarkEnd w:id="77"/>
    </w:p>
    <w:p w14:paraId="0F8F820E">
      <w:pPr>
        <w:adjustRightInd w:val="0"/>
        <w:snapToGrid w:val="0"/>
        <w:spacing w:line="360" w:lineRule="auto"/>
        <w:jc w:val="center"/>
        <w:rPr>
          <w:rFonts w:ascii="黑体" w:hAnsi="黑体" w:eastAsia="黑体"/>
          <w:b/>
          <w:spacing w:val="6"/>
          <w:sz w:val="28"/>
          <w:szCs w:val="28"/>
        </w:rPr>
      </w:pPr>
      <w:r>
        <w:rPr>
          <w:rFonts w:hint="eastAsia" w:ascii="黑体" w:hAnsi="黑体" w:eastAsia="黑体"/>
          <w:b/>
          <w:spacing w:val="6"/>
          <w:sz w:val="28"/>
          <w:szCs w:val="28"/>
        </w:rPr>
        <w:t>残疾人福利性单位声明函</w:t>
      </w:r>
    </w:p>
    <w:p w14:paraId="27B5BB79">
      <w:pPr>
        <w:adjustRightInd w:val="0"/>
        <w:snapToGrid w:val="0"/>
        <w:spacing w:line="360" w:lineRule="auto"/>
        <w:jc w:val="center"/>
        <w:rPr>
          <w:rFonts w:ascii="宋体" w:hAnsi="宋体"/>
          <w:b/>
          <w:spacing w:val="6"/>
          <w:szCs w:val="21"/>
        </w:rPr>
      </w:pPr>
      <w:r>
        <w:rPr>
          <w:rFonts w:hint="eastAsia" w:ascii="宋体" w:hAnsi="宋体"/>
          <w:b/>
          <w:spacing w:val="6"/>
          <w:szCs w:val="21"/>
        </w:rPr>
        <w:t>(不属于残疾人福利性单位的无需填写)</w:t>
      </w:r>
    </w:p>
    <w:p w14:paraId="653A1766">
      <w:pPr>
        <w:adjustRightInd w:val="0"/>
        <w:snapToGrid w:val="0"/>
        <w:spacing w:line="360" w:lineRule="auto"/>
        <w:ind w:firstLine="444" w:firstLineChars="200"/>
        <w:rPr>
          <w:rFonts w:ascii="宋体" w:hAnsi="宋体"/>
          <w:spacing w:val="6"/>
          <w:szCs w:val="21"/>
        </w:rPr>
      </w:pPr>
    </w:p>
    <w:p w14:paraId="56DE8D3A">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本单位郑重声明，根据《财政部 民政部 中国残疾人联合会关于促进残疾人就业政府采购政策的通知》（财库</w:t>
      </w:r>
      <w:r>
        <w:rPr>
          <w:rFonts w:hint="eastAsia" w:ascii="宋体" w:hAnsi="宋体"/>
          <w:szCs w:val="21"/>
        </w:rPr>
        <w:t>〔2017〕141</w:t>
      </w:r>
      <w:r>
        <w:rPr>
          <w:rFonts w:hint="eastAsia" w:ascii="宋体" w:hAnsi="宋体"/>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2DDF9CE">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本单位对上述声明的真实性负责。如有虚假，将依法承担相应责任。</w:t>
      </w:r>
    </w:p>
    <w:p w14:paraId="1E39B6E0">
      <w:pPr>
        <w:adjustRightInd w:val="0"/>
        <w:snapToGrid w:val="0"/>
        <w:spacing w:line="360" w:lineRule="auto"/>
        <w:ind w:firstLine="444" w:firstLineChars="200"/>
        <w:rPr>
          <w:rFonts w:ascii="宋体" w:hAnsi="宋体"/>
          <w:spacing w:val="6"/>
          <w:szCs w:val="21"/>
        </w:rPr>
      </w:pPr>
    </w:p>
    <w:p w14:paraId="311FECA6">
      <w:pPr>
        <w:adjustRightInd w:val="0"/>
        <w:snapToGrid w:val="0"/>
        <w:spacing w:line="360" w:lineRule="auto"/>
        <w:ind w:firstLine="444" w:firstLineChars="200"/>
        <w:rPr>
          <w:rFonts w:ascii="宋体" w:hAnsi="宋体"/>
          <w:spacing w:val="6"/>
          <w:szCs w:val="21"/>
        </w:rPr>
      </w:pPr>
    </w:p>
    <w:p w14:paraId="16D64828">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单位名称（盖章）：</w:t>
      </w:r>
    </w:p>
    <w:p w14:paraId="76B5B9E2">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日  期：</w:t>
      </w:r>
    </w:p>
    <w:p w14:paraId="3F4EA0C2">
      <w:pPr>
        <w:widowControl/>
        <w:adjustRightInd w:val="0"/>
        <w:snapToGrid w:val="0"/>
        <w:spacing w:line="360" w:lineRule="auto"/>
        <w:jc w:val="left"/>
        <w:rPr>
          <w:rFonts w:ascii="宋体" w:hAnsi="宋体" w:cs="宋体"/>
          <w:kern w:val="0"/>
          <w:szCs w:val="21"/>
        </w:rPr>
      </w:pPr>
    </w:p>
    <w:p w14:paraId="0CD3925F">
      <w:pPr>
        <w:rPr>
          <w:rFonts w:ascii="宋体" w:hAnsi="宋体"/>
          <w:b/>
          <w:bCs/>
          <w:szCs w:val="21"/>
        </w:rPr>
      </w:pPr>
      <w:r>
        <w:rPr>
          <w:rFonts w:ascii="黑体" w:hAnsi="华文中宋" w:cs="宋体"/>
          <w:spacing w:val="6"/>
          <w:kern w:val="0"/>
        </w:rPr>
        <w:br w:type="page"/>
      </w:r>
      <w:bookmarkStart w:id="78" w:name="_Toc34637807"/>
      <w:bookmarkStart w:id="79" w:name="_Toc22201165"/>
      <w:r>
        <w:rPr>
          <w:rFonts w:hint="eastAsia" w:ascii="宋体" w:hAnsi="宋体" w:cs="宋体"/>
          <w:b/>
          <w:bCs/>
          <w:kern w:val="0"/>
          <w:szCs w:val="21"/>
        </w:rPr>
        <w:t>附件1</w:t>
      </w:r>
      <w:r>
        <w:rPr>
          <w:rFonts w:ascii="宋体" w:hAnsi="宋体" w:cs="宋体"/>
          <w:b/>
          <w:bCs/>
          <w:kern w:val="0"/>
          <w:szCs w:val="21"/>
        </w:rPr>
        <w:t>1</w:t>
      </w:r>
      <w:r>
        <w:rPr>
          <w:rFonts w:hint="eastAsia" w:ascii="宋体" w:hAnsi="宋体" w:cs="宋体"/>
          <w:b/>
          <w:bCs/>
          <w:kern w:val="0"/>
          <w:szCs w:val="21"/>
        </w:rPr>
        <w:t xml:space="preserve">-3 </w:t>
      </w:r>
      <w:r>
        <w:rPr>
          <w:rFonts w:hint="eastAsia" w:ascii="宋体" w:hAnsi="宋体"/>
          <w:b/>
          <w:bCs/>
          <w:szCs w:val="21"/>
        </w:rPr>
        <w:t>监狱企业证明资料</w:t>
      </w:r>
      <w:bookmarkEnd w:id="78"/>
      <w:bookmarkEnd w:id="79"/>
    </w:p>
    <w:p w14:paraId="295E2D8D">
      <w:pPr>
        <w:adjustRightInd w:val="0"/>
        <w:snapToGrid w:val="0"/>
        <w:spacing w:line="360" w:lineRule="auto"/>
        <w:jc w:val="center"/>
        <w:rPr>
          <w:rFonts w:ascii="黑体" w:hAnsi="宋体"/>
          <w:b/>
          <w:sz w:val="28"/>
          <w:szCs w:val="28"/>
        </w:rPr>
      </w:pPr>
      <w:r>
        <w:rPr>
          <w:rFonts w:hint="eastAsia" w:ascii="黑体" w:hAnsi="宋体"/>
          <w:b/>
          <w:sz w:val="28"/>
          <w:szCs w:val="28"/>
        </w:rPr>
        <w:t>监狱企业证明资料</w:t>
      </w:r>
    </w:p>
    <w:p w14:paraId="7DDA7E50">
      <w:pPr>
        <w:adjustRightInd w:val="0"/>
        <w:snapToGrid w:val="0"/>
        <w:spacing w:line="360" w:lineRule="auto"/>
        <w:jc w:val="center"/>
        <w:rPr>
          <w:rFonts w:ascii="宋体" w:hAnsi="宋体"/>
          <w:b/>
          <w:spacing w:val="6"/>
          <w:szCs w:val="21"/>
        </w:rPr>
      </w:pPr>
      <w:r>
        <w:rPr>
          <w:rFonts w:hint="eastAsia" w:ascii="宋体" w:hAnsi="宋体"/>
          <w:b/>
          <w:spacing w:val="6"/>
          <w:szCs w:val="21"/>
        </w:rPr>
        <w:t>(不属于监狱企业的无需提供)</w:t>
      </w:r>
    </w:p>
    <w:p w14:paraId="4E7D7FE3">
      <w:pPr>
        <w:adjustRightInd w:val="0"/>
        <w:snapToGrid w:val="0"/>
        <w:spacing w:line="360" w:lineRule="auto"/>
        <w:rPr>
          <w:rFonts w:ascii="宋体" w:hAnsi="宋体"/>
          <w:szCs w:val="21"/>
        </w:rPr>
      </w:pPr>
    </w:p>
    <w:p w14:paraId="4507B483">
      <w:pPr>
        <w:adjustRightInd w:val="0"/>
        <w:snapToGrid w:val="0"/>
        <w:spacing w:line="360" w:lineRule="auto"/>
        <w:ind w:firstLine="444" w:firstLineChars="200"/>
        <w:rPr>
          <w:rFonts w:ascii="宋体" w:hAnsi="宋体"/>
          <w:szCs w:val="21"/>
        </w:rPr>
      </w:pPr>
      <w:r>
        <w:rPr>
          <w:rFonts w:hint="eastAsia" w:ascii="宋体" w:hAnsi="宋体" w:cs="宋体"/>
          <w:bCs/>
          <w:spacing w:val="6"/>
          <w:kern w:val="0"/>
          <w:szCs w:val="21"/>
        </w:rPr>
        <w:t>备注：</w:t>
      </w:r>
      <w:r>
        <w:rPr>
          <w:rFonts w:hint="eastAsia" w:ascii="宋体" w:hAnsi="宋体"/>
          <w:szCs w:val="21"/>
        </w:rPr>
        <w:t>按</w:t>
      </w:r>
      <w:r>
        <w:rPr>
          <w:rFonts w:hint="eastAsia" w:ascii="宋体" w:hAnsi="宋体"/>
          <w:spacing w:val="6"/>
          <w:szCs w:val="21"/>
        </w:rPr>
        <w:t>《</w:t>
      </w:r>
      <w:r>
        <w:rPr>
          <w:rFonts w:hint="eastAsia" w:ascii="宋体" w:hAnsi="宋体"/>
          <w:szCs w:val="21"/>
        </w:rPr>
        <w:t>财政部 司法部关于政府采购支持监狱企业发展有关问题的通知</w:t>
      </w:r>
      <w:r>
        <w:rPr>
          <w:rFonts w:hint="eastAsia" w:ascii="宋体" w:hAnsi="宋体"/>
          <w:spacing w:val="6"/>
          <w:szCs w:val="21"/>
        </w:rPr>
        <w:t>》</w:t>
      </w:r>
      <w:r>
        <w:rPr>
          <w:rFonts w:hint="eastAsia" w:ascii="宋体" w:hAnsi="宋体"/>
          <w:szCs w:val="21"/>
        </w:rPr>
        <w:t>(财库〔2014〕68号)文件规定提供证明文件（复印件）。</w:t>
      </w:r>
    </w:p>
    <w:p w14:paraId="624F37BC">
      <w:pPr>
        <w:adjustRightInd w:val="0"/>
        <w:snapToGrid w:val="0"/>
        <w:spacing w:line="360" w:lineRule="auto"/>
        <w:ind w:firstLine="420" w:firstLineChars="200"/>
        <w:rPr>
          <w:rFonts w:ascii="宋体" w:hAnsi="宋体"/>
          <w:szCs w:val="21"/>
        </w:rPr>
      </w:pPr>
    </w:p>
    <w:p w14:paraId="29125F8C">
      <w:pPr>
        <w:pStyle w:val="20"/>
        <w:rPr>
          <w:rFonts w:eastAsia="仿宋_GB2312"/>
          <w:b/>
          <w:sz w:val="24"/>
        </w:rPr>
      </w:pPr>
      <w:r>
        <w:rPr>
          <w:rFonts w:eastAsia="仿宋_GB2312"/>
          <w:sz w:val="24"/>
        </w:rPr>
        <w:br w:type="page"/>
      </w:r>
      <w:r>
        <w:rPr>
          <w:rFonts w:hint="eastAsia" w:ascii="宋体" w:hAnsi="宋体" w:cs="宋体"/>
          <w:b/>
          <w:kern w:val="0"/>
          <w:szCs w:val="21"/>
        </w:rPr>
        <w:t>附件1</w:t>
      </w:r>
      <w:r>
        <w:rPr>
          <w:rFonts w:ascii="宋体" w:hAnsi="宋体" w:cs="宋体"/>
          <w:b/>
          <w:kern w:val="0"/>
          <w:szCs w:val="21"/>
        </w:rPr>
        <w:t>1</w:t>
      </w:r>
      <w:r>
        <w:rPr>
          <w:rFonts w:hint="eastAsia" w:ascii="宋体" w:hAnsi="宋体" w:cs="宋体"/>
          <w:b/>
          <w:kern w:val="0"/>
          <w:szCs w:val="21"/>
        </w:rPr>
        <w:t>-4 强制采购或者优先采购产品的证明材料</w:t>
      </w:r>
    </w:p>
    <w:p w14:paraId="7675B60A">
      <w:pPr>
        <w:adjustRightInd w:val="0"/>
        <w:snapToGrid w:val="0"/>
        <w:spacing w:line="360" w:lineRule="auto"/>
        <w:jc w:val="center"/>
        <w:rPr>
          <w:rFonts w:ascii="黑体" w:hAnsi="黑体" w:eastAsia="黑体"/>
          <w:b/>
          <w:sz w:val="28"/>
          <w:szCs w:val="28"/>
        </w:rPr>
      </w:pPr>
      <w:r>
        <w:rPr>
          <w:rFonts w:hint="eastAsia" w:ascii="黑体" w:hAnsi="黑体" w:eastAsia="黑体"/>
          <w:b/>
          <w:sz w:val="28"/>
          <w:szCs w:val="28"/>
        </w:rPr>
        <w:t>强制采购或者优先采购产品</w:t>
      </w:r>
      <w:r>
        <w:rPr>
          <w:rFonts w:hint="eastAsia" w:ascii="黑体" w:hAnsi="黑体" w:eastAsia="黑体"/>
          <w:b/>
          <w:bCs/>
          <w:sz w:val="28"/>
          <w:szCs w:val="28"/>
        </w:rPr>
        <w:t>的</w:t>
      </w:r>
      <w:r>
        <w:rPr>
          <w:rFonts w:hint="eastAsia" w:ascii="黑体" w:hAnsi="黑体" w:eastAsia="黑体"/>
          <w:b/>
          <w:sz w:val="28"/>
          <w:szCs w:val="28"/>
        </w:rPr>
        <w:t>证明材料</w:t>
      </w:r>
    </w:p>
    <w:p w14:paraId="677006F7">
      <w:pPr>
        <w:adjustRightInd w:val="0"/>
        <w:snapToGrid w:val="0"/>
        <w:spacing w:line="360" w:lineRule="auto"/>
        <w:jc w:val="center"/>
        <w:rPr>
          <w:rFonts w:ascii="宋体" w:hAnsi="宋体"/>
          <w:b/>
          <w:spacing w:val="6"/>
          <w:szCs w:val="21"/>
        </w:rPr>
      </w:pPr>
      <w:r>
        <w:rPr>
          <w:rFonts w:hint="eastAsia" w:ascii="宋体" w:hAnsi="宋体"/>
          <w:b/>
          <w:spacing w:val="6"/>
          <w:szCs w:val="21"/>
        </w:rPr>
        <w:t>(不属于强制采购或者优先采购产品的无需提供)</w:t>
      </w:r>
    </w:p>
    <w:p w14:paraId="75555859">
      <w:pPr>
        <w:adjustRightInd w:val="0"/>
        <w:snapToGrid w:val="0"/>
        <w:spacing w:line="360" w:lineRule="auto"/>
        <w:ind w:firstLine="420" w:firstLineChars="200"/>
        <w:jc w:val="left"/>
        <w:rPr>
          <w:rFonts w:ascii="宋体" w:hAnsi="宋体"/>
          <w:szCs w:val="21"/>
        </w:rPr>
      </w:pPr>
    </w:p>
    <w:p w14:paraId="6727977A">
      <w:pPr>
        <w:adjustRightInd w:val="0"/>
        <w:snapToGrid w:val="0"/>
        <w:spacing w:line="360" w:lineRule="auto"/>
        <w:ind w:firstLine="420" w:firstLineChars="200"/>
        <w:jc w:val="left"/>
        <w:rPr>
          <w:rFonts w:ascii="宋体" w:hAnsi="宋体"/>
          <w:szCs w:val="21"/>
        </w:rPr>
      </w:pPr>
      <w:r>
        <w:rPr>
          <w:rFonts w:hint="eastAsia" w:ascii="宋体" w:hAnsi="宋体"/>
          <w:szCs w:val="21"/>
        </w:rPr>
        <w:t>说明：供应商提供的产品</w:t>
      </w:r>
      <w:r>
        <w:rPr>
          <w:rFonts w:hint="eastAsia" w:ascii="宋体" w:hAnsi="宋体"/>
          <w:bCs/>
          <w:szCs w:val="21"/>
        </w:rPr>
        <w:t>属于强制采购或者优先采购的</w:t>
      </w:r>
      <w:r>
        <w:rPr>
          <w:rFonts w:hint="eastAsia" w:ascii="宋体" w:hAnsi="宋体"/>
          <w:szCs w:val="21"/>
        </w:rPr>
        <w:t>，应按第二章第39款规定提供证明材料和本章本节附页2“优先采购产品清单”，并加盖供应商单位章。</w:t>
      </w:r>
    </w:p>
    <w:p w14:paraId="102F4CC4">
      <w:pPr>
        <w:adjustRightInd w:val="0"/>
        <w:snapToGrid w:val="0"/>
        <w:spacing w:line="360" w:lineRule="auto"/>
        <w:ind w:firstLine="420" w:firstLineChars="200"/>
        <w:jc w:val="left"/>
        <w:rPr>
          <w:rFonts w:ascii="宋体" w:hAnsi="宋体"/>
          <w:szCs w:val="21"/>
        </w:rPr>
      </w:pPr>
    </w:p>
    <w:p w14:paraId="26A7D20C">
      <w:pPr>
        <w:adjustRightInd w:val="0"/>
        <w:snapToGrid w:val="0"/>
        <w:spacing w:line="360" w:lineRule="auto"/>
        <w:rPr>
          <w:rFonts w:ascii="黑体" w:hAnsi="宋体"/>
          <w:b/>
          <w:szCs w:val="21"/>
        </w:rPr>
      </w:pPr>
      <w:r>
        <w:rPr>
          <w:rFonts w:ascii="黑体" w:hAnsi="宋体" w:eastAsia="黑体"/>
          <w:b/>
          <w:sz w:val="28"/>
          <w:szCs w:val="28"/>
        </w:rPr>
        <w:br w:type="page"/>
      </w:r>
      <w:r>
        <w:rPr>
          <w:rFonts w:hint="eastAsia" w:ascii="黑体" w:hAnsi="华文中宋" w:cs="宋体"/>
          <w:b/>
          <w:bCs/>
          <w:spacing w:val="6"/>
          <w:kern w:val="0"/>
          <w:szCs w:val="21"/>
        </w:rPr>
        <w:t xml:space="preserve">附页 2 </w:t>
      </w:r>
      <w:r>
        <w:rPr>
          <w:rFonts w:hint="eastAsia" w:ascii="黑体" w:hAnsi="宋体"/>
          <w:b/>
          <w:szCs w:val="21"/>
        </w:rPr>
        <w:t>优先采购产品清单</w:t>
      </w:r>
    </w:p>
    <w:p w14:paraId="06AB8F35">
      <w:pPr>
        <w:adjustRightInd w:val="0"/>
        <w:snapToGrid w:val="0"/>
        <w:spacing w:line="360" w:lineRule="auto"/>
        <w:jc w:val="center"/>
        <w:rPr>
          <w:rFonts w:ascii="宋体" w:hAnsi="宋体"/>
          <w:b/>
          <w:spacing w:val="6"/>
          <w:szCs w:val="21"/>
        </w:rPr>
      </w:pPr>
      <w:r>
        <w:rPr>
          <w:rFonts w:hint="eastAsia" w:ascii="黑体" w:hAnsi="宋体" w:eastAsia="黑体"/>
          <w:b/>
          <w:sz w:val="28"/>
          <w:szCs w:val="28"/>
        </w:rPr>
        <w:t>优先采购产品清单</w:t>
      </w:r>
    </w:p>
    <w:p w14:paraId="10A72C90">
      <w:pPr>
        <w:adjustRightInd w:val="0"/>
        <w:snapToGrid w:val="0"/>
        <w:spacing w:line="360" w:lineRule="auto"/>
        <w:rPr>
          <w:rFonts w:ascii="宋体" w:hAnsi="宋体"/>
          <w:szCs w:val="21"/>
        </w:rPr>
      </w:pPr>
      <w:r>
        <w:rPr>
          <w:rFonts w:hint="eastAsia" w:ascii="宋体" w:hAnsi="宋体"/>
          <w:szCs w:val="21"/>
        </w:rPr>
        <w:t>采购代理编号：</w:t>
      </w:r>
      <w:r>
        <w:rPr>
          <w:rFonts w:hint="eastAsia" w:ascii="宋体" w:hAnsi="宋体"/>
          <w:szCs w:val="21"/>
          <w:u w:val="single"/>
        </w:rPr>
        <w:t>__    ________</w:t>
      </w:r>
      <w:r>
        <w:rPr>
          <w:rFonts w:hint="eastAsia" w:ascii="宋体" w:hAnsi="宋体"/>
          <w:szCs w:val="21"/>
        </w:rPr>
        <w:t xml:space="preserve">                     项目名称：</w:t>
      </w:r>
      <w:r>
        <w:rPr>
          <w:rFonts w:hint="eastAsia" w:ascii="宋体" w:hAnsi="宋体"/>
          <w:szCs w:val="21"/>
          <w:u w:val="single"/>
        </w:rPr>
        <w:t>____            ______</w:t>
      </w:r>
    </w:p>
    <w:p w14:paraId="07D35981">
      <w:pPr>
        <w:adjustRightInd w:val="0"/>
        <w:snapToGrid w:val="0"/>
        <w:spacing w:line="360" w:lineRule="auto"/>
        <w:rPr>
          <w:rFonts w:ascii="宋体" w:hAnsi="宋体"/>
          <w:szCs w:val="21"/>
        </w:rPr>
      </w:pPr>
    </w:p>
    <w:tbl>
      <w:tblPr>
        <w:tblStyle w:val="46"/>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391143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vAlign w:val="center"/>
          </w:tcPr>
          <w:p w14:paraId="3C5AC053">
            <w:pPr>
              <w:keepNext w:val="0"/>
              <w:keepLines w:val="0"/>
              <w:widowControl/>
              <w:suppressLineNumbers w:val="0"/>
              <w:adjustRightInd w:val="0"/>
              <w:snapToGrid w:val="0"/>
              <w:spacing w:before="0" w:beforeAutospacing="0" w:after="0" w:afterAutospacing="0" w:line="360" w:lineRule="auto"/>
              <w:ind w:left="0" w:right="0" w:firstLine="480" w:firstLineChars="200"/>
              <w:jc w:val="left"/>
              <w:rPr>
                <w:rFonts w:hint="default" w:ascii="黑体" w:hAnsi="黑体" w:eastAsia="黑体"/>
                <w:kern w:val="0"/>
                <w:sz w:val="24"/>
              </w:rPr>
            </w:pPr>
            <w:r>
              <w:rPr>
                <w:rFonts w:hint="eastAsia" w:ascii="黑体" w:hAnsi="宋体" w:eastAsia="黑体"/>
                <w:kern w:val="0"/>
                <w:sz w:val="24"/>
              </w:rPr>
              <w:t>以下为供应商提供的政府采购优先采购产品，供应商对本表的真实性负责。如有虚假，将依法承担相应责任。</w:t>
            </w:r>
          </w:p>
        </w:tc>
      </w:tr>
      <w:tr w14:paraId="385351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4C1E5463">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1</w:t>
            </w:r>
          </w:p>
        </w:tc>
        <w:tc>
          <w:tcPr>
            <w:tcW w:w="1739" w:type="dxa"/>
            <w:vAlign w:val="center"/>
          </w:tcPr>
          <w:p w14:paraId="2AA44144">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2</w:t>
            </w:r>
          </w:p>
        </w:tc>
        <w:tc>
          <w:tcPr>
            <w:tcW w:w="1134" w:type="dxa"/>
            <w:tcBorders>
              <w:right w:val="single" w:color="auto" w:sz="4" w:space="0"/>
            </w:tcBorders>
            <w:vAlign w:val="center"/>
          </w:tcPr>
          <w:p w14:paraId="1596EFB0">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3</w:t>
            </w:r>
          </w:p>
        </w:tc>
        <w:tc>
          <w:tcPr>
            <w:tcW w:w="1418" w:type="dxa"/>
            <w:tcBorders>
              <w:left w:val="single" w:color="auto" w:sz="4" w:space="0"/>
            </w:tcBorders>
            <w:vAlign w:val="center"/>
          </w:tcPr>
          <w:p w14:paraId="3C3EDC4D">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4</w:t>
            </w:r>
          </w:p>
        </w:tc>
        <w:tc>
          <w:tcPr>
            <w:tcW w:w="1984" w:type="dxa"/>
            <w:vAlign w:val="center"/>
          </w:tcPr>
          <w:p w14:paraId="44BE5CB7">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5</w:t>
            </w:r>
          </w:p>
        </w:tc>
        <w:tc>
          <w:tcPr>
            <w:tcW w:w="1843" w:type="dxa"/>
            <w:vAlign w:val="center"/>
          </w:tcPr>
          <w:p w14:paraId="25441F29">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6</w:t>
            </w:r>
          </w:p>
        </w:tc>
      </w:tr>
      <w:tr w14:paraId="3B4BE2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733DDB2E">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序号</w:t>
            </w:r>
          </w:p>
        </w:tc>
        <w:tc>
          <w:tcPr>
            <w:tcW w:w="1739" w:type="dxa"/>
            <w:vAlign w:val="center"/>
          </w:tcPr>
          <w:p w14:paraId="74DD4943">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货物名称</w:t>
            </w:r>
          </w:p>
        </w:tc>
        <w:tc>
          <w:tcPr>
            <w:tcW w:w="1134" w:type="dxa"/>
            <w:tcBorders>
              <w:right w:val="single" w:color="auto" w:sz="4" w:space="0"/>
            </w:tcBorders>
            <w:vAlign w:val="center"/>
          </w:tcPr>
          <w:p w14:paraId="01BD66F1">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规格型号</w:t>
            </w:r>
          </w:p>
        </w:tc>
        <w:tc>
          <w:tcPr>
            <w:tcW w:w="1418" w:type="dxa"/>
            <w:tcBorders>
              <w:left w:val="single" w:color="auto" w:sz="4" w:space="0"/>
            </w:tcBorders>
            <w:vAlign w:val="center"/>
          </w:tcPr>
          <w:p w14:paraId="414B820A">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价格（元）</w:t>
            </w:r>
          </w:p>
        </w:tc>
        <w:tc>
          <w:tcPr>
            <w:tcW w:w="1984" w:type="dxa"/>
            <w:vAlign w:val="center"/>
          </w:tcPr>
          <w:p w14:paraId="03197273">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货物制造商名称</w:t>
            </w:r>
          </w:p>
        </w:tc>
        <w:tc>
          <w:tcPr>
            <w:tcW w:w="1843" w:type="dxa"/>
            <w:vAlign w:val="center"/>
          </w:tcPr>
          <w:p w14:paraId="24A3666B">
            <w:pPr>
              <w:keepNext w:val="0"/>
              <w:keepLines w:val="0"/>
              <w:widowControl/>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政策功能编码</w:t>
            </w:r>
          </w:p>
        </w:tc>
      </w:tr>
      <w:tr w14:paraId="24A674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1EF28186">
            <w:pPr>
              <w:keepNext w:val="0"/>
              <w:keepLines w:val="0"/>
              <w:suppressLineNumbers w:val="0"/>
              <w:adjustRightInd w:val="0"/>
              <w:snapToGrid w:val="0"/>
              <w:spacing w:before="0" w:beforeAutospacing="0" w:after="0" w:afterAutospacing="0" w:line="360" w:lineRule="auto"/>
              <w:ind w:left="0" w:right="0"/>
              <w:jc w:val="left"/>
              <w:rPr>
                <w:rFonts w:hint="default" w:ascii="宋体" w:hAnsi="宋体"/>
                <w:b/>
                <w:szCs w:val="21"/>
              </w:rPr>
            </w:pPr>
            <w:r>
              <w:rPr>
                <w:rFonts w:hint="eastAsia" w:ascii="宋体" w:hAnsi="宋体"/>
                <w:b/>
                <w:szCs w:val="21"/>
              </w:rPr>
              <w:t>节能产品</w:t>
            </w:r>
          </w:p>
        </w:tc>
      </w:tr>
      <w:tr w14:paraId="33021F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7A881D9C">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b/>
                <w:szCs w:val="21"/>
              </w:rPr>
            </w:pPr>
          </w:p>
        </w:tc>
        <w:tc>
          <w:tcPr>
            <w:tcW w:w="1739" w:type="dxa"/>
            <w:vAlign w:val="center"/>
          </w:tcPr>
          <w:p w14:paraId="0584D2D7">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b/>
                <w:szCs w:val="21"/>
              </w:rPr>
            </w:pPr>
          </w:p>
        </w:tc>
        <w:tc>
          <w:tcPr>
            <w:tcW w:w="1134" w:type="dxa"/>
            <w:tcBorders>
              <w:right w:val="single" w:color="auto" w:sz="4" w:space="0"/>
            </w:tcBorders>
            <w:vAlign w:val="center"/>
          </w:tcPr>
          <w:p w14:paraId="7A7E3D33">
            <w:pPr>
              <w:keepNext w:val="0"/>
              <w:keepLines w:val="0"/>
              <w:suppressLineNumbers w:val="0"/>
              <w:adjustRightInd w:val="0"/>
              <w:snapToGrid w:val="0"/>
              <w:spacing w:before="0" w:beforeAutospacing="0" w:after="0" w:afterAutospacing="0" w:line="360" w:lineRule="auto"/>
              <w:ind w:left="0" w:right="0"/>
              <w:jc w:val="left"/>
              <w:rPr>
                <w:rFonts w:hint="default" w:ascii="宋体" w:hAnsi="宋体"/>
                <w:b/>
                <w:szCs w:val="21"/>
              </w:rPr>
            </w:pPr>
          </w:p>
        </w:tc>
        <w:tc>
          <w:tcPr>
            <w:tcW w:w="1418" w:type="dxa"/>
            <w:tcBorders>
              <w:left w:val="single" w:color="auto" w:sz="4" w:space="0"/>
            </w:tcBorders>
            <w:vAlign w:val="center"/>
          </w:tcPr>
          <w:p w14:paraId="3C25CA23">
            <w:pPr>
              <w:keepNext w:val="0"/>
              <w:keepLines w:val="0"/>
              <w:suppressLineNumbers w:val="0"/>
              <w:adjustRightInd w:val="0"/>
              <w:snapToGrid w:val="0"/>
              <w:spacing w:before="0" w:beforeAutospacing="0" w:after="0" w:afterAutospacing="0" w:line="360" w:lineRule="auto"/>
              <w:ind w:left="0" w:right="0"/>
              <w:jc w:val="left"/>
              <w:rPr>
                <w:rFonts w:hint="default" w:ascii="宋体" w:hAnsi="宋体"/>
                <w:b/>
                <w:szCs w:val="21"/>
              </w:rPr>
            </w:pPr>
          </w:p>
        </w:tc>
        <w:tc>
          <w:tcPr>
            <w:tcW w:w="1984" w:type="dxa"/>
            <w:vAlign w:val="center"/>
          </w:tcPr>
          <w:p w14:paraId="0F878939">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b/>
                <w:szCs w:val="21"/>
              </w:rPr>
            </w:pPr>
          </w:p>
        </w:tc>
        <w:tc>
          <w:tcPr>
            <w:tcW w:w="1843" w:type="dxa"/>
          </w:tcPr>
          <w:p w14:paraId="21A69244">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b/>
                <w:szCs w:val="21"/>
              </w:rPr>
            </w:pPr>
          </w:p>
        </w:tc>
      </w:tr>
      <w:tr w14:paraId="69D974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317857BF">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小计</w:t>
            </w:r>
          </w:p>
        </w:tc>
        <w:tc>
          <w:tcPr>
            <w:tcW w:w="1739" w:type="dxa"/>
            <w:vAlign w:val="center"/>
          </w:tcPr>
          <w:p w14:paraId="41991528">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b/>
                <w:szCs w:val="21"/>
              </w:rPr>
            </w:pPr>
            <w:r>
              <w:rPr>
                <w:rFonts w:hint="eastAsia" w:ascii="宋体" w:hAnsi="宋体"/>
                <w:b/>
                <w:szCs w:val="21"/>
              </w:rPr>
              <w:t>/</w:t>
            </w:r>
          </w:p>
        </w:tc>
        <w:tc>
          <w:tcPr>
            <w:tcW w:w="1134" w:type="dxa"/>
            <w:tcBorders>
              <w:right w:val="single" w:color="auto" w:sz="4" w:space="0"/>
            </w:tcBorders>
            <w:vAlign w:val="center"/>
          </w:tcPr>
          <w:p w14:paraId="26FEE4A0">
            <w:pPr>
              <w:keepNext w:val="0"/>
              <w:keepLines w:val="0"/>
              <w:suppressLineNumbers w:val="0"/>
              <w:adjustRightInd w:val="0"/>
              <w:snapToGrid w:val="0"/>
              <w:spacing w:before="0" w:beforeAutospacing="0" w:after="0" w:afterAutospacing="0" w:line="360" w:lineRule="auto"/>
              <w:ind w:left="0" w:right="0"/>
              <w:jc w:val="left"/>
              <w:rPr>
                <w:rFonts w:hint="default" w:ascii="宋体" w:hAnsi="宋体"/>
                <w:b/>
                <w:szCs w:val="21"/>
              </w:rPr>
            </w:pPr>
          </w:p>
        </w:tc>
        <w:tc>
          <w:tcPr>
            <w:tcW w:w="1418" w:type="dxa"/>
            <w:tcBorders>
              <w:left w:val="single" w:color="auto" w:sz="4" w:space="0"/>
            </w:tcBorders>
            <w:vAlign w:val="center"/>
          </w:tcPr>
          <w:p w14:paraId="3069413C">
            <w:pPr>
              <w:keepNext w:val="0"/>
              <w:keepLines w:val="0"/>
              <w:suppressLineNumbers w:val="0"/>
              <w:adjustRightInd w:val="0"/>
              <w:snapToGrid w:val="0"/>
              <w:spacing w:before="0" w:beforeAutospacing="0" w:after="0" w:afterAutospacing="0" w:line="360" w:lineRule="auto"/>
              <w:ind w:left="0" w:right="0"/>
              <w:jc w:val="left"/>
              <w:rPr>
                <w:rFonts w:hint="default" w:ascii="宋体" w:hAnsi="宋体"/>
                <w:b/>
                <w:szCs w:val="21"/>
              </w:rPr>
            </w:pPr>
          </w:p>
        </w:tc>
        <w:tc>
          <w:tcPr>
            <w:tcW w:w="1984" w:type="dxa"/>
            <w:vAlign w:val="center"/>
          </w:tcPr>
          <w:p w14:paraId="50844BA6">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b/>
                <w:szCs w:val="21"/>
              </w:rPr>
            </w:pPr>
            <w:r>
              <w:rPr>
                <w:rFonts w:hint="eastAsia" w:ascii="宋体" w:hAnsi="宋体"/>
                <w:b/>
                <w:szCs w:val="21"/>
              </w:rPr>
              <w:t>/</w:t>
            </w:r>
          </w:p>
        </w:tc>
        <w:tc>
          <w:tcPr>
            <w:tcW w:w="1843" w:type="dxa"/>
          </w:tcPr>
          <w:p w14:paraId="035F9AFA">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b/>
                <w:szCs w:val="21"/>
              </w:rPr>
            </w:pPr>
            <w:r>
              <w:rPr>
                <w:rFonts w:hint="eastAsia" w:ascii="宋体" w:hAnsi="宋体"/>
                <w:b/>
                <w:szCs w:val="21"/>
              </w:rPr>
              <w:t>/</w:t>
            </w:r>
          </w:p>
        </w:tc>
      </w:tr>
      <w:tr w14:paraId="670D5F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168A8B8B">
            <w:pPr>
              <w:keepNext w:val="0"/>
              <w:keepLines w:val="0"/>
              <w:suppressLineNumbers w:val="0"/>
              <w:adjustRightInd w:val="0"/>
              <w:snapToGrid w:val="0"/>
              <w:spacing w:before="0" w:beforeAutospacing="0" w:after="0" w:afterAutospacing="0" w:line="360" w:lineRule="auto"/>
              <w:ind w:left="0" w:right="0"/>
              <w:jc w:val="left"/>
              <w:rPr>
                <w:rFonts w:hint="default" w:ascii="宋体" w:hAnsi="宋体"/>
                <w:b/>
                <w:szCs w:val="21"/>
              </w:rPr>
            </w:pPr>
            <w:r>
              <w:rPr>
                <w:rFonts w:hint="eastAsia" w:ascii="宋体" w:hAnsi="宋体"/>
                <w:b/>
                <w:szCs w:val="21"/>
              </w:rPr>
              <w:t>环境标志产品</w:t>
            </w:r>
          </w:p>
        </w:tc>
      </w:tr>
      <w:tr w14:paraId="47824A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76E5C7E0">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b/>
                <w:szCs w:val="21"/>
              </w:rPr>
            </w:pPr>
          </w:p>
        </w:tc>
        <w:tc>
          <w:tcPr>
            <w:tcW w:w="1739" w:type="dxa"/>
            <w:vAlign w:val="center"/>
          </w:tcPr>
          <w:p w14:paraId="3F079F08">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b/>
                <w:szCs w:val="21"/>
              </w:rPr>
            </w:pPr>
          </w:p>
        </w:tc>
        <w:tc>
          <w:tcPr>
            <w:tcW w:w="1134" w:type="dxa"/>
            <w:tcBorders>
              <w:right w:val="single" w:color="auto" w:sz="4" w:space="0"/>
            </w:tcBorders>
            <w:vAlign w:val="center"/>
          </w:tcPr>
          <w:p w14:paraId="54350EC6">
            <w:pPr>
              <w:keepNext w:val="0"/>
              <w:keepLines w:val="0"/>
              <w:suppressLineNumbers w:val="0"/>
              <w:adjustRightInd w:val="0"/>
              <w:snapToGrid w:val="0"/>
              <w:spacing w:before="0" w:beforeAutospacing="0" w:after="0" w:afterAutospacing="0" w:line="360" w:lineRule="auto"/>
              <w:ind w:left="0" w:right="0"/>
              <w:jc w:val="left"/>
              <w:rPr>
                <w:rFonts w:hint="default" w:ascii="宋体" w:hAnsi="宋体"/>
                <w:b/>
                <w:szCs w:val="21"/>
              </w:rPr>
            </w:pPr>
          </w:p>
        </w:tc>
        <w:tc>
          <w:tcPr>
            <w:tcW w:w="1418" w:type="dxa"/>
            <w:tcBorders>
              <w:left w:val="single" w:color="auto" w:sz="4" w:space="0"/>
            </w:tcBorders>
            <w:vAlign w:val="center"/>
          </w:tcPr>
          <w:p w14:paraId="238D2154">
            <w:pPr>
              <w:keepNext w:val="0"/>
              <w:keepLines w:val="0"/>
              <w:suppressLineNumbers w:val="0"/>
              <w:adjustRightInd w:val="0"/>
              <w:snapToGrid w:val="0"/>
              <w:spacing w:before="0" w:beforeAutospacing="0" w:after="0" w:afterAutospacing="0" w:line="360" w:lineRule="auto"/>
              <w:ind w:left="0" w:right="0"/>
              <w:jc w:val="left"/>
              <w:rPr>
                <w:rFonts w:hint="default" w:ascii="宋体" w:hAnsi="宋体"/>
                <w:b/>
                <w:szCs w:val="21"/>
              </w:rPr>
            </w:pPr>
          </w:p>
        </w:tc>
        <w:tc>
          <w:tcPr>
            <w:tcW w:w="1984" w:type="dxa"/>
            <w:vAlign w:val="center"/>
          </w:tcPr>
          <w:p w14:paraId="75A7859E">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b/>
                <w:szCs w:val="21"/>
              </w:rPr>
            </w:pPr>
          </w:p>
        </w:tc>
        <w:tc>
          <w:tcPr>
            <w:tcW w:w="1843" w:type="dxa"/>
          </w:tcPr>
          <w:p w14:paraId="1E9A35DD">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b/>
                <w:szCs w:val="21"/>
              </w:rPr>
            </w:pPr>
          </w:p>
        </w:tc>
      </w:tr>
      <w:tr w14:paraId="257F8C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78060C1A">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小计</w:t>
            </w:r>
          </w:p>
        </w:tc>
        <w:tc>
          <w:tcPr>
            <w:tcW w:w="1739" w:type="dxa"/>
            <w:vAlign w:val="center"/>
          </w:tcPr>
          <w:p w14:paraId="250112F0">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b/>
                <w:szCs w:val="21"/>
              </w:rPr>
            </w:pPr>
            <w:r>
              <w:rPr>
                <w:rFonts w:hint="eastAsia" w:ascii="宋体" w:hAnsi="宋体"/>
                <w:b/>
                <w:szCs w:val="21"/>
              </w:rPr>
              <w:t>/</w:t>
            </w:r>
          </w:p>
        </w:tc>
        <w:tc>
          <w:tcPr>
            <w:tcW w:w="1134" w:type="dxa"/>
            <w:tcBorders>
              <w:right w:val="single" w:color="auto" w:sz="4" w:space="0"/>
            </w:tcBorders>
            <w:vAlign w:val="center"/>
          </w:tcPr>
          <w:p w14:paraId="21CAF258">
            <w:pPr>
              <w:keepNext w:val="0"/>
              <w:keepLines w:val="0"/>
              <w:suppressLineNumbers w:val="0"/>
              <w:adjustRightInd w:val="0"/>
              <w:snapToGrid w:val="0"/>
              <w:spacing w:before="0" w:beforeAutospacing="0" w:after="0" w:afterAutospacing="0" w:line="360" w:lineRule="auto"/>
              <w:ind w:left="0" w:right="0"/>
              <w:jc w:val="left"/>
              <w:rPr>
                <w:rFonts w:hint="default" w:ascii="宋体" w:hAnsi="宋体"/>
                <w:b/>
                <w:szCs w:val="21"/>
              </w:rPr>
            </w:pPr>
          </w:p>
        </w:tc>
        <w:tc>
          <w:tcPr>
            <w:tcW w:w="1418" w:type="dxa"/>
            <w:tcBorders>
              <w:left w:val="single" w:color="auto" w:sz="4" w:space="0"/>
            </w:tcBorders>
            <w:vAlign w:val="center"/>
          </w:tcPr>
          <w:p w14:paraId="3219F679">
            <w:pPr>
              <w:keepNext w:val="0"/>
              <w:keepLines w:val="0"/>
              <w:suppressLineNumbers w:val="0"/>
              <w:adjustRightInd w:val="0"/>
              <w:snapToGrid w:val="0"/>
              <w:spacing w:before="0" w:beforeAutospacing="0" w:after="0" w:afterAutospacing="0" w:line="360" w:lineRule="auto"/>
              <w:ind w:left="0" w:right="0"/>
              <w:jc w:val="left"/>
              <w:rPr>
                <w:rFonts w:hint="default" w:ascii="宋体" w:hAnsi="宋体"/>
                <w:b/>
                <w:szCs w:val="21"/>
              </w:rPr>
            </w:pPr>
          </w:p>
        </w:tc>
        <w:tc>
          <w:tcPr>
            <w:tcW w:w="1984" w:type="dxa"/>
            <w:vAlign w:val="center"/>
          </w:tcPr>
          <w:p w14:paraId="5EF236A6">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b/>
                <w:szCs w:val="21"/>
              </w:rPr>
            </w:pPr>
            <w:r>
              <w:rPr>
                <w:rFonts w:hint="eastAsia" w:ascii="宋体" w:hAnsi="宋体"/>
                <w:b/>
                <w:szCs w:val="21"/>
              </w:rPr>
              <w:t>/</w:t>
            </w:r>
          </w:p>
        </w:tc>
        <w:tc>
          <w:tcPr>
            <w:tcW w:w="1843" w:type="dxa"/>
          </w:tcPr>
          <w:p w14:paraId="2E18EBCC">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b/>
                <w:szCs w:val="21"/>
              </w:rPr>
            </w:pPr>
            <w:r>
              <w:rPr>
                <w:rFonts w:hint="eastAsia" w:ascii="宋体" w:hAnsi="宋体"/>
                <w:b/>
                <w:szCs w:val="21"/>
              </w:rPr>
              <w:t>/</w:t>
            </w:r>
          </w:p>
        </w:tc>
      </w:tr>
      <w:tr w14:paraId="26FE26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0ABED213">
            <w:pPr>
              <w:keepNext w:val="0"/>
              <w:keepLines w:val="0"/>
              <w:suppressLineNumbers w:val="0"/>
              <w:adjustRightInd w:val="0"/>
              <w:snapToGrid w:val="0"/>
              <w:spacing w:before="0" w:beforeAutospacing="0" w:after="0" w:afterAutospacing="0" w:line="360" w:lineRule="auto"/>
              <w:ind w:left="0" w:right="0"/>
              <w:jc w:val="left"/>
              <w:rPr>
                <w:rFonts w:hint="default" w:ascii="宋体" w:hAnsi="宋体"/>
                <w:b/>
                <w:szCs w:val="21"/>
              </w:rPr>
            </w:pPr>
            <w:r>
              <w:rPr>
                <w:rFonts w:hint="eastAsia" w:ascii="宋体" w:hAnsi="宋体"/>
                <w:b/>
                <w:szCs w:val="21"/>
              </w:rPr>
              <w:t>两型产品</w:t>
            </w:r>
          </w:p>
        </w:tc>
      </w:tr>
      <w:tr w14:paraId="6C89BC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3C78CD0E">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739" w:type="dxa"/>
            <w:vAlign w:val="center"/>
          </w:tcPr>
          <w:p w14:paraId="453AD97C">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134" w:type="dxa"/>
            <w:tcBorders>
              <w:right w:val="single" w:color="auto" w:sz="4" w:space="0"/>
            </w:tcBorders>
            <w:vAlign w:val="center"/>
          </w:tcPr>
          <w:p w14:paraId="182CD73D">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418" w:type="dxa"/>
            <w:tcBorders>
              <w:left w:val="single" w:color="auto" w:sz="4" w:space="0"/>
            </w:tcBorders>
            <w:vAlign w:val="center"/>
          </w:tcPr>
          <w:p w14:paraId="4C6B19B0">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984" w:type="dxa"/>
            <w:vAlign w:val="center"/>
          </w:tcPr>
          <w:p w14:paraId="082AE923">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843" w:type="dxa"/>
          </w:tcPr>
          <w:p w14:paraId="31BD2005">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r>
      <w:tr w14:paraId="02AB6B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21C8CD9F">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小计</w:t>
            </w:r>
          </w:p>
        </w:tc>
        <w:tc>
          <w:tcPr>
            <w:tcW w:w="1739" w:type="dxa"/>
            <w:vAlign w:val="center"/>
          </w:tcPr>
          <w:p w14:paraId="4B95560E">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w:t>
            </w:r>
          </w:p>
        </w:tc>
        <w:tc>
          <w:tcPr>
            <w:tcW w:w="1134" w:type="dxa"/>
            <w:tcBorders>
              <w:right w:val="single" w:color="auto" w:sz="4" w:space="0"/>
            </w:tcBorders>
            <w:vAlign w:val="center"/>
          </w:tcPr>
          <w:p w14:paraId="45D9FD15">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418" w:type="dxa"/>
            <w:tcBorders>
              <w:left w:val="single" w:color="auto" w:sz="4" w:space="0"/>
            </w:tcBorders>
            <w:vAlign w:val="center"/>
          </w:tcPr>
          <w:p w14:paraId="177898E3">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p>
        </w:tc>
        <w:tc>
          <w:tcPr>
            <w:tcW w:w="1984" w:type="dxa"/>
            <w:vAlign w:val="center"/>
          </w:tcPr>
          <w:p w14:paraId="454C6FC6">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w:t>
            </w:r>
          </w:p>
        </w:tc>
        <w:tc>
          <w:tcPr>
            <w:tcW w:w="1843" w:type="dxa"/>
          </w:tcPr>
          <w:p w14:paraId="6C7C01DC">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w:t>
            </w:r>
          </w:p>
        </w:tc>
      </w:tr>
    </w:tbl>
    <w:p w14:paraId="44F63BDC">
      <w:pPr>
        <w:adjustRightInd w:val="0"/>
        <w:snapToGrid w:val="0"/>
        <w:jc w:val="left"/>
        <w:rPr>
          <w:rFonts w:ascii="宋体" w:hAnsi="宋体"/>
          <w:szCs w:val="21"/>
        </w:rPr>
      </w:pPr>
      <w:r>
        <w:rPr>
          <w:rFonts w:hint="eastAsia" w:ascii="宋体" w:hAnsi="宋体"/>
          <w:szCs w:val="21"/>
        </w:rPr>
        <w:t>说明：</w:t>
      </w:r>
      <w:r>
        <w:rPr>
          <w:rFonts w:hint="eastAsia" w:ascii="宋体" w:hAnsi="宋体"/>
          <w:bCs/>
          <w:szCs w:val="21"/>
        </w:rPr>
        <w:t>1、</w:t>
      </w:r>
      <w:r>
        <w:rPr>
          <w:rFonts w:hint="eastAsia" w:ascii="宋体" w:hAnsi="宋体"/>
          <w:szCs w:val="21"/>
        </w:rPr>
        <w:t>本表用于计算政府采购优先采购产品（节能产品或环境标志产品或两型产品）的政府采购政策加分或者价格扣除。</w:t>
      </w:r>
    </w:p>
    <w:p w14:paraId="0BBFFE5F">
      <w:pPr>
        <w:adjustRightInd w:val="0"/>
        <w:snapToGrid w:val="0"/>
        <w:ind w:firstLine="630" w:firstLineChars="300"/>
        <w:jc w:val="left"/>
        <w:rPr>
          <w:rFonts w:ascii="宋体" w:hAnsi="宋体"/>
          <w:szCs w:val="21"/>
        </w:rPr>
      </w:pPr>
      <w:r>
        <w:rPr>
          <w:rFonts w:hint="eastAsia" w:ascii="宋体" w:hAnsi="宋体"/>
          <w:szCs w:val="21"/>
        </w:rPr>
        <w:t>2、栏目4“价格”为综合单价，包含货物所有隐含的内容，如运输费、保险费、管理费和利润等。</w:t>
      </w:r>
    </w:p>
    <w:p w14:paraId="5E54B3F1">
      <w:pPr>
        <w:adjustRightInd w:val="0"/>
        <w:snapToGrid w:val="0"/>
        <w:ind w:firstLine="630" w:firstLineChars="300"/>
        <w:jc w:val="left"/>
        <w:rPr>
          <w:rFonts w:ascii="宋体" w:hAnsi="宋体"/>
          <w:szCs w:val="21"/>
        </w:rPr>
      </w:pPr>
      <w:r>
        <w:rPr>
          <w:rFonts w:hint="eastAsia" w:ascii="宋体" w:hAnsi="宋体"/>
          <w:szCs w:val="21"/>
        </w:rPr>
        <w:t>3、栏目6“政策功能编码”是指货物的中国环境标志认证证书编号、中国节能标志认证证书号、湖南两型产品编号（货物同时属于节能产品、环境标志产品、两型产品的，只须填写一种）。</w:t>
      </w:r>
    </w:p>
    <w:p w14:paraId="46D52D71">
      <w:pPr>
        <w:adjustRightInd w:val="0"/>
        <w:snapToGrid w:val="0"/>
        <w:ind w:firstLine="630" w:firstLineChars="300"/>
        <w:rPr>
          <w:rFonts w:ascii="宋体" w:hAnsi="宋体"/>
          <w:bCs/>
          <w:szCs w:val="21"/>
        </w:rPr>
      </w:pPr>
      <w:r>
        <w:rPr>
          <w:rFonts w:hint="eastAsia" w:ascii="宋体" w:hAnsi="宋体"/>
          <w:bCs/>
          <w:szCs w:val="21"/>
        </w:rPr>
        <w:t>4、供应商在最后报价环节修改报价（最后）表的，应修改本表相应内容。否则，评审时涉及本表所有优惠不予以考虑。</w:t>
      </w:r>
    </w:p>
    <w:p w14:paraId="3BFDA47F">
      <w:pPr>
        <w:adjustRightInd w:val="0"/>
        <w:snapToGrid w:val="0"/>
        <w:rPr>
          <w:rFonts w:ascii="宋体" w:hAnsi="宋体"/>
          <w:szCs w:val="21"/>
        </w:rPr>
      </w:pPr>
    </w:p>
    <w:p w14:paraId="692DD60D">
      <w:pPr>
        <w:adjustRightInd w:val="0"/>
        <w:snapToGrid w:val="0"/>
        <w:rPr>
          <w:rFonts w:ascii="宋体" w:hAnsi="宋体"/>
          <w:szCs w:val="21"/>
        </w:rPr>
      </w:pPr>
      <w:r>
        <w:rPr>
          <w:rFonts w:hint="eastAsia" w:ascii="宋体" w:hAnsi="宋体"/>
          <w:szCs w:val="21"/>
        </w:rPr>
        <w:t>供应商名称（盖单位章）：</w:t>
      </w:r>
    </w:p>
    <w:p w14:paraId="5CEA1DC2">
      <w:pPr>
        <w:adjustRightInd w:val="0"/>
        <w:snapToGrid w:val="0"/>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或其委托代理人（签字或印章）：</w:t>
      </w:r>
    </w:p>
    <w:p w14:paraId="5778F702">
      <w:r>
        <w:rPr>
          <w:rFonts w:hint="eastAsia"/>
        </w:rPr>
        <w:t>日期：        年    月   日</w:t>
      </w:r>
      <w:bookmarkStart w:id="80" w:name="_Toc34637809"/>
    </w:p>
    <w:p w14:paraId="06D95E04">
      <w:pPr>
        <w:widowControl/>
        <w:jc w:val="left"/>
      </w:pPr>
      <w:r>
        <w:br w:type="page"/>
      </w:r>
    </w:p>
    <w:p w14:paraId="1604975E">
      <w:pPr>
        <w:pStyle w:val="7"/>
        <w:adjustRightInd w:val="0"/>
        <w:snapToGrid w:val="0"/>
        <w:spacing w:beforeLines="50"/>
        <w:jc w:val="center"/>
        <w:rPr>
          <w:rFonts w:ascii="黑体" w:hAnsi="黑体" w:eastAsia="黑体"/>
          <w:sz w:val="28"/>
          <w:szCs w:val="28"/>
        </w:rPr>
      </w:pPr>
      <w:bookmarkStart w:id="81" w:name="_Toc4378"/>
      <w:r>
        <w:rPr>
          <w:rFonts w:hint="eastAsia" w:ascii="黑体" w:hAnsi="黑体" w:eastAsia="黑体"/>
          <w:sz w:val="28"/>
          <w:szCs w:val="28"/>
        </w:rPr>
        <w:t>十二、关于资格的说明(格式)</w:t>
      </w:r>
      <w:bookmarkEnd w:id="80"/>
      <w:bookmarkEnd w:id="81"/>
    </w:p>
    <w:p w14:paraId="396A619E">
      <w:pPr>
        <w:rPr>
          <w:rFonts w:ascii="宋体" w:hAnsi="宋体"/>
          <w:b/>
          <w:bCs/>
          <w:szCs w:val="21"/>
        </w:rPr>
      </w:pPr>
      <w:r>
        <w:rPr>
          <w:rFonts w:hint="eastAsia" w:ascii="宋体" w:hAnsi="宋体"/>
          <w:b/>
          <w:bCs/>
          <w:szCs w:val="21"/>
        </w:rPr>
        <w:t>附件 供应商的资格条件更新材料(如有提供)</w:t>
      </w:r>
    </w:p>
    <w:p w14:paraId="0FA0578A">
      <w:pPr>
        <w:adjustRightInd w:val="0"/>
        <w:snapToGrid w:val="0"/>
        <w:spacing w:beforeLines="50" w:line="360" w:lineRule="auto"/>
        <w:jc w:val="center"/>
        <w:rPr>
          <w:rFonts w:ascii="仿宋_GB2312" w:hAnsi="宋体" w:eastAsia="仿宋_GB2312"/>
          <w:b/>
          <w:sz w:val="28"/>
          <w:szCs w:val="28"/>
        </w:rPr>
      </w:pPr>
      <w:r>
        <w:rPr>
          <w:rFonts w:hint="eastAsia" w:ascii="黑体" w:hAnsi="宋体" w:eastAsia="黑体"/>
          <w:b/>
          <w:sz w:val="28"/>
          <w:szCs w:val="28"/>
        </w:rPr>
        <w:t>供应商的资格条件更新材料</w:t>
      </w:r>
    </w:p>
    <w:p w14:paraId="26688C48">
      <w:pPr>
        <w:adjustRightInd w:val="0"/>
        <w:snapToGrid w:val="0"/>
        <w:spacing w:beforeLines="50" w:line="360" w:lineRule="auto"/>
        <w:rPr>
          <w:rFonts w:ascii="宋体" w:hAnsi="宋体"/>
          <w:szCs w:val="21"/>
        </w:rPr>
      </w:pPr>
      <w:r>
        <w:rPr>
          <w:rFonts w:hint="eastAsia" w:ascii="宋体" w:hAnsi="宋体"/>
          <w:szCs w:val="21"/>
        </w:rPr>
        <w:t>说明</w:t>
      </w:r>
      <w:r>
        <w:rPr>
          <w:rFonts w:hint="eastAsia" w:ascii="宋体" w:hAnsi="宋体"/>
        </w:rPr>
        <w:t>：</w:t>
      </w:r>
      <w:r>
        <w:rPr>
          <w:rFonts w:hint="eastAsia" w:ascii="宋体" w:hAnsi="宋体" w:cs="宋体"/>
          <w:kern w:val="0"/>
          <w:szCs w:val="21"/>
          <w:lang w:val="zh-CN"/>
        </w:rPr>
        <w:t>根据磋商文件第二章第二节第18.1款规定，被邀请的</w:t>
      </w:r>
      <w:r>
        <w:rPr>
          <w:rFonts w:hint="eastAsia" w:ascii="宋体" w:hAnsi="宋体"/>
          <w:szCs w:val="21"/>
        </w:rPr>
        <w:t>供应商在提交资格证明材料</w:t>
      </w:r>
      <w:r>
        <w:rPr>
          <w:rFonts w:hint="eastAsia" w:ascii="宋体" w:hAnsi="宋体"/>
          <w:bCs/>
          <w:szCs w:val="21"/>
        </w:rPr>
        <w:t>起</w:t>
      </w:r>
      <w:r>
        <w:rPr>
          <w:rFonts w:hint="eastAsia" w:ascii="宋体" w:hAnsi="宋体"/>
          <w:szCs w:val="21"/>
        </w:rPr>
        <w:t>至</w:t>
      </w:r>
      <w:r>
        <w:rPr>
          <w:rFonts w:hint="eastAsia" w:ascii="宋体" w:hAnsi="宋体" w:cs="宋体"/>
          <w:kern w:val="0"/>
          <w:szCs w:val="21"/>
        </w:rPr>
        <w:t>提交首次响应文件</w:t>
      </w:r>
      <w:r>
        <w:rPr>
          <w:rFonts w:hint="eastAsia" w:ascii="宋体" w:hAnsi="宋体"/>
          <w:szCs w:val="21"/>
        </w:rPr>
        <w:t>止，其资格条件发生变化，影响或者可能影响资格条件的，应随本响应文件提供更新或者补充的资格证明材料。</w:t>
      </w:r>
    </w:p>
    <w:p w14:paraId="50AE16AF"/>
    <w:p w14:paraId="3C9A06EA">
      <w:pPr>
        <w:spacing w:line="480" w:lineRule="exact"/>
        <w:rPr>
          <w:rFonts w:ascii="黑体" w:eastAsia="黑体"/>
          <w:sz w:val="24"/>
        </w:rPr>
      </w:pPr>
    </w:p>
    <w:p w14:paraId="76627507">
      <w:pPr>
        <w:widowControl/>
        <w:jc w:val="left"/>
        <w:rPr>
          <w:rFonts w:ascii="黑体" w:eastAsia="黑体"/>
          <w:b/>
          <w:bCs/>
          <w:sz w:val="32"/>
          <w:szCs w:val="32"/>
        </w:rPr>
      </w:pPr>
      <w:r>
        <w:rPr>
          <w:rFonts w:ascii="黑体" w:eastAsia="黑体"/>
          <w:b/>
          <w:bCs/>
          <w:sz w:val="32"/>
          <w:szCs w:val="32"/>
        </w:rPr>
        <w:br w:type="page"/>
      </w:r>
    </w:p>
    <w:p w14:paraId="5995D7CC">
      <w:pPr>
        <w:pStyle w:val="7"/>
        <w:jc w:val="center"/>
        <w:rPr>
          <w:rFonts w:ascii="黑体" w:hAnsi="黑体" w:eastAsia="黑体"/>
          <w:sz w:val="28"/>
          <w:szCs w:val="28"/>
        </w:rPr>
      </w:pPr>
      <w:bookmarkStart w:id="82" w:name="_Toc31242"/>
      <w:bookmarkStart w:id="83" w:name="_Toc34637810"/>
      <w:r>
        <w:rPr>
          <w:rFonts w:hint="eastAsia" w:ascii="黑体" w:hAnsi="黑体" w:eastAsia="黑体"/>
          <w:sz w:val="28"/>
          <w:szCs w:val="28"/>
        </w:rPr>
        <w:t>十三、响应标的符合磋商文件规定的证明文件</w:t>
      </w:r>
      <w:bookmarkEnd w:id="82"/>
      <w:bookmarkEnd w:id="83"/>
    </w:p>
    <w:p w14:paraId="34228CC1">
      <w:pPr>
        <w:adjustRightInd w:val="0"/>
        <w:snapToGrid w:val="0"/>
        <w:spacing w:line="360" w:lineRule="auto"/>
        <w:rPr>
          <w:rFonts w:ascii="宋体" w:hAnsi="宋体"/>
          <w:szCs w:val="21"/>
        </w:rPr>
      </w:pPr>
    </w:p>
    <w:p w14:paraId="159A1132">
      <w:pPr>
        <w:adjustRightInd w:val="0"/>
        <w:snapToGrid w:val="0"/>
        <w:spacing w:line="360" w:lineRule="auto"/>
        <w:rPr>
          <w:rFonts w:ascii="宋体" w:hAnsi="宋体"/>
        </w:rPr>
      </w:pPr>
      <w:r>
        <w:rPr>
          <w:rFonts w:hint="eastAsia" w:ascii="宋体" w:hAnsi="宋体"/>
          <w:szCs w:val="21"/>
        </w:rPr>
        <w:t>备注：提供第三章规定的证明材料复印件。</w:t>
      </w:r>
    </w:p>
    <w:p w14:paraId="53557C3E">
      <w:pPr>
        <w:tabs>
          <w:tab w:val="left" w:pos="3600"/>
        </w:tabs>
        <w:adjustRightInd w:val="0"/>
        <w:snapToGrid w:val="0"/>
        <w:jc w:val="center"/>
        <w:rPr>
          <w:rFonts w:ascii="黑体" w:hAnsi="华文中宋" w:eastAsia="黑体" w:cs="宋体"/>
          <w:bCs/>
          <w:color w:val="000000"/>
          <w:spacing w:val="6"/>
          <w:kern w:val="0"/>
          <w:sz w:val="36"/>
          <w:szCs w:val="36"/>
        </w:rPr>
      </w:pPr>
    </w:p>
    <w:p w14:paraId="0402E84D">
      <w:pPr>
        <w:widowControl/>
        <w:jc w:val="left"/>
      </w:pPr>
      <w:r>
        <w:br w:type="page"/>
      </w:r>
    </w:p>
    <w:p w14:paraId="1F11CCD9">
      <w:pPr>
        <w:pStyle w:val="7"/>
        <w:jc w:val="center"/>
        <w:rPr>
          <w:rFonts w:ascii="黑体" w:hAnsi="黑体" w:eastAsia="黑体"/>
          <w:b w:val="0"/>
          <w:sz w:val="28"/>
          <w:szCs w:val="28"/>
        </w:rPr>
      </w:pPr>
      <w:bookmarkStart w:id="84" w:name="_Toc19581"/>
      <w:r>
        <w:rPr>
          <w:rFonts w:hint="eastAsia" w:ascii="黑体" w:hAnsi="黑体" w:eastAsia="黑体"/>
          <w:sz w:val="28"/>
          <w:szCs w:val="28"/>
        </w:rPr>
        <w:t>十四、供应商认为需提供的其他资料</w:t>
      </w:r>
      <w:bookmarkEnd w:id="84"/>
    </w:p>
    <w:p w14:paraId="10F064F7">
      <w:pPr>
        <w:adjustRightInd w:val="0"/>
        <w:snapToGrid w:val="0"/>
        <w:spacing w:beforeLines="50" w:line="360" w:lineRule="auto"/>
        <w:rPr>
          <w:rFonts w:ascii="宋体" w:hAnsi="宋体"/>
        </w:rPr>
      </w:pPr>
    </w:p>
    <w:p w14:paraId="4EEA8B8D">
      <w:pPr>
        <w:adjustRightInd w:val="0"/>
        <w:snapToGrid w:val="0"/>
        <w:spacing w:beforeLines="50" w:line="360" w:lineRule="auto"/>
        <w:rPr>
          <w:rFonts w:ascii="宋体" w:hAnsi="宋体"/>
        </w:rPr>
      </w:pPr>
      <w:r>
        <w:rPr>
          <w:rFonts w:hint="eastAsia" w:ascii="宋体" w:hAnsi="宋体"/>
        </w:rPr>
        <w:t>备注：供应商认为需提供的其他资料包括：</w:t>
      </w:r>
    </w:p>
    <w:p w14:paraId="452B0EF8">
      <w:pPr>
        <w:adjustRightInd w:val="0"/>
        <w:snapToGrid w:val="0"/>
        <w:spacing w:beforeLines="50" w:line="360" w:lineRule="auto"/>
        <w:ind w:firstLine="420" w:firstLineChars="200"/>
        <w:rPr>
          <w:rFonts w:ascii="宋体" w:hAnsi="宋体"/>
        </w:rPr>
      </w:pPr>
      <w:r>
        <w:rPr>
          <w:rFonts w:hint="eastAsia" w:ascii="宋体" w:hAnsi="宋体"/>
        </w:rPr>
        <w:t>（1）磋商文件第三章采购需求要求的其他资料；</w:t>
      </w:r>
    </w:p>
    <w:p w14:paraId="52EEFC66">
      <w:pPr>
        <w:adjustRightInd w:val="0"/>
        <w:snapToGrid w:val="0"/>
        <w:spacing w:beforeLines="50" w:line="360" w:lineRule="auto"/>
        <w:ind w:firstLine="420" w:firstLineChars="200"/>
        <w:rPr>
          <w:rFonts w:ascii="宋体" w:hAnsi="宋体"/>
        </w:rPr>
      </w:pPr>
      <w:r>
        <w:rPr>
          <w:rFonts w:hint="eastAsia" w:ascii="宋体" w:hAnsi="宋体"/>
        </w:rPr>
        <w:t>（2）磋商文件要求的其他相关资料。</w:t>
      </w:r>
    </w:p>
    <w:p w14:paraId="372A1E00">
      <w:pPr>
        <w:adjustRightInd w:val="0"/>
        <w:snapToGrid w:val="0"/>
        <w:spacing w:beforeLines="50" w:line="360" w:lineRule="auto"/>
        <w:rPr>
          <w:rFonts w:ascii="宋体" w:hAnsi="宋体"/>
        </w:rPr>
      </w:pPr>
    </w:p>
    <w:p w14:paraId="67D6EC39">
      <w:pPr>
        <w:adjustRightInd w:val="0"/>
        <w:snapToGrid w:val="0"/>
        <w:spacing w:line="360" w:lineRule="auto"/>
        <w:rPr>
          <w:rFonts w:ascii="宋体" w:hAnsi="宋体"/>
          <w:b/>
          <w:bCs/>
          <w:szCs w:val="21"/>
        </w:rPr>
      </w:pPr>
      <w:r>
        <w:rPr>
          <w:rFonts w:hint="eastAsia" w:ascii="宋体" w:hAnsi="宋体"/>
          <w:b/>
          <w:bCs/>
          <w:szCs w:val="21"/>
        </w:rPr>
        <w:t>附件1</w:t>
      </w:r>
      <w:r>
        <w:rPr>
          <w:rFonts w:ascii="宋体" w:hAnsi="宋体"/>
          <w:b/>
          <w:bCs/>
          <w:szCs w:val="21"/>
        </w:rPr>
        <w:t>4</w:t>
      </w:r>
      <w:r>
        <w:rPr>
          <w:rFonts w:hint="eastAsia" w:ascii="宋体" w:hAnsi="宋体"/>
          <w:b/>
          <w:bCs/>
          <w:szCs w:val="21"/>
        </w:rPr>
        <w:t>-1</w:t>
      </w:r>
    </w:p>
    <w:p w14:paraId="4EB8B4A7">
      <w:pPr>
        <w:adjustRightInd w:val="0"/>
        <w:snapToGrid w:val="0"/>
        <w:spacing w:beforeLines="50"/>
        <w:jc w:val="center"/>
        <w:outlineLvl w:val="0"/>
        <w:rPr>
          <w:rFonts w:ascii="宋体" w:hAnsi="宋体"/>
          <w:color w:val="000000"/>
          <w:sz w:val="44"/>
          <w:szCs w:val="44"/>
        </w:rPr>
      </w:pPr>
    </w:p>
    <w:p w14:paraId="69028F5A">
      <w:pPr>
        <w:jc w:val="center"/>
        <w:rPr>
          <w:rFonts w:ascii="宋体" w:hAnsi="宋体"/>
          <w:b/>
          <w:bCs/>
          <w:color w:val="000000"/>
          <w:sz w:val="28"/>
          <w:szCs w:val="28"/>
        </w:rPr>
      </w:pPr>
      <w:r>
        <w:rPr>
          <w:rFonts w:hint="eastAsia" w:ascii="宋体" w:hAnsi="宋体"/>
          <w:b/>
          <w:bCs/>
          <w:color w:val="000000"/>
          <w:sz w:val="28"/>
          <w:szCs w:val="28"/>
        </w:rPr>
        <w:t>无在建项目承诺函</w:t>
      </w:r>
    </w:p>
    <w:p w14:paraId="403C3107">
      <w:pPr>
        <w:pStyle w:val="250"/>
        <w:rPr>
          <w:color w:val="000000"/>
        </w:rPr>
      </w:pPr>
      <w:r>
        <w:rPr>
          <w:rFonts w:hint="eastAsia"/>
          <w:color w:val="000000"/>
        </w:rPr>
        <w:t>拟任项目负责人没有在建项目的承诺函（格式自拟）</w:t>
      </w:r>
    </w:p>
    <w:p w14:paraId="40578EC8">
      <w:pPr>
        <w:adjustRightInd w:val="0"/>
        <w:snapToGrid w:val="0"/>
        <w:spacing w:beforeLines="50"/>
        <w:rPr>
          <w:rFonts w:ascii="宋体" w:hAnsi="宋体" w:cs="宋体"/>
          <w:color w:val="000000"/>
          <w:sz w:val="24"/>
        </w:rPr>
      </w:pPr>
    </w:p>
    <w:p w14:paraId="22B30E41">
      <w:pPr>
        <w:adjustRightInd w:val="0"/>
        <w:snapToGrid w:val="0"/>
        <w:spacing w:beforeLines="50"/>
        <w:jc w:val="center"/>
        <w:rPr>
          <w:rFonts w:ascii="宋体" w:hAnsi="宋体" w:cs="宋体"/>
          <w:color w:val="000000"/>
          <w:szCs w:val="21"/>
        </w:rPr>
      </w:pPr>
    </w:p>
    <w:p w14:paraId="589D6C73">
      <w:pPr>
        <w:rPr>
          <w:rFonts w:ascii="宋体" w:hAnsi="宋体" w:cs="宋体"/>
          <w:color w:val="000000"/>
          <w:szCs w:val="21"/>
        </w:rPr>
      </w:pPr>
    </w:p>
    <w:p w14:paraId="7C7588F7">
      <w:pPr>
        <w:ind w:firstLine="1920" w:firstLineChars="800"/>
        <w:rPr>
          <w:rFonts w:ascii="宋体" w:hAnsi="宋体" w:cs="宋体"/>
          <w:color w:val="000000"/>
          <w:sz w:val="24"/>
        </w:rPr>
      </w:pPr>
    </w:p>
    <w:p w14:paraId="37E7D10F">
      <w:pPr>
        <w:ind w:firstLine="1920" w:firstLineChars="800"/>
        <w:rPr>
          <w:rFonts w:ascii="宋体" w:hAnsi="宋体" w:cs="宋体"/>
          <w:color w:val="000000"/>
          <w:sz w:val="24"/>
        </w:rPr>
      </w:pPr>
    </w:p>
    <w:p w14:paraId="16F4F753">
      <w:pPr>
        <w:ind w:firstLine="1920" w:firstLineChars="800"/>
        <w:rPr>
          <w:rFonts w:ascii="宋体" w:hAnsi="宋体" w:cs="宋体"/>
          <w:color w:val="000000"/>
          <w:sz w:val="24"/>
        </w:rPr>
      </w:pPr>
      <w:r>
        <w:rPr>
          <w:rFonts w:hint="eastAsia" w:ascii="宋体" w:hAnsi="宋体" w:cs="宋体"/>
          <w:color w:val="000000"/>
          <w:sz w:val="24"/>
        </w:rPr>
        <w:t>供应商</w:t>
      </w:r>
      <w:r>
        <w:rPr>
          <w:rFonts w:ascii="宋体" w:hAnsi="宋体" w:cs="宋体"/>
          <w:color w:val="000000"/>
          <w:sz w:val="24"/>
        </w:rPr>
        <w:t>（</w:t>
      </w:r>
      <w:r>
        <w:rPr>
          <w:rFonts w:hint="eastAsia" w:ascii="宋体" w:hAnsi="宋体" w:cs="宋体"/>
          <w:color w:val="000000"/>
          <w:sz w:val="24"/>
        </w:rPr>
        <w:t>盖单位公</w:t>
      </w:r>
      <w:r>
        <w:rPr>
          <w:rFonts w:ascii="宋体" w:hAnsi="宋体" w:cs="宋体"/>
          <w:color w:val="000000"/>
          <w:sz w:val="24"/>
        </w:rPr>
        <w:t xml:space="preserve">章）： </w:t>
      </w:r>
    </w:p>
    <w:p w14:paraId="64C6E8C3">
      <w:pPr>
        <w:ind w:firstLine="1920" w:firstLineChars="800"/>
        <w:rPr>
          <w:rFonts w:ascii="宋体" w:hAnsi="宋体" w:cs="宋体"/>
          <w:color w:val="000000"/>
          <w:sz w:val="24"/>
        </w:rPr>
      </w:pPr>
      <w:r>
        <w:rPr>
          <w:rFonts w:ascii="宋体" w:hAnsi="宋体" w:cs="宋体"/>
          <w:color w:val="000000"/>
          <w:sz w:val="24"/>
        </w:rPr>
        <w:t>法定代表人</w:t>
      </w:r>
      <w:r>
        <w:rPr>
          <w:rFonts w:hint="eastAsia" w:ascii="宋体" w:hAnsi="宋体" w:cs="宋体"/>
          <w:color w:val="000000"/>
          <w:sz w:val="24"/>
        </w:rPr>
        <w:t>（签字或盖章）</w:t>
      </w:r>
      <w:r>
        <w:rPr>
          <w:rFonts w:ascii="宋体" w:hAnsi="宋体" w:cs="宋体"/>
          <w:color w:val="000000"/>
          <w:sz w:val="24"/>
        </w:rPr>
        <w:t>或</w:t>
      </w:r>
      <w:r>
        <w:rPr>
          <w:rFonts w:hint="eastAsia" w:ascii="宋体" w:hAnsi="宋体" w:cs="宋体"/>
          <w:color w:val="000000"/>
          <w:sz w:val="24"/>
        </w:rPr>
        <w:t>授权代表(签字)</w:t>
      </w:r>
      <w:r>
        <w:rPr>
          <w:rFonts w:ascii="宋体" w:hAnsi="宋体" w:cs="宋体"/>
          <w:color w:val="000000"/>
          <w:sz w:val="24"/>
        </w:rPr>
        <w:t xml:space="preserve">：       </w:t>
      </w:r>
    </w:p>
    <w:p w14:paraId="003BC711">
      <w:pPr>
        <w:ind w:firstLine="1920" w:firstLineChars="800"/>
        <w:rPr>
          <w:rFonts w:ascii="宋体" w:hAnsi="宋体" w:cs="宋体"/>
          <w:color w:val="000000"/>
          <w:sz w:val="24"/>
        </w:rPr>
      </w:pPr>
      <w:r>
        <w:rPr>
          <w:rFonts w:ascii="宋体" w:hAnsi="宋体" w:cs="宋体"/>
          <w:color w:val="000000"/>
          <w:sz w:val="24"/>
        </w:rPr>
        <w:t xml:space="preserve">日期：       年    月    日 </w:t>
      </w:r>
    </w:p>
    <w:p w14:paraId="464A64C5"/>
    <w:p w14:paraId="26D93CF7">
      <w:pPr>
        <w:pStyle w:val="20"/>
      </w:pPr>
    </w:p>
    <w:p w14:paraId="2E890F52">
      <w:r>
        <w:br w:type="page"/>
      </w:r>
    </w:p>
    <w:p w14:paraId="540A1706">
      <w:pPr>
        <w:pStyle w:val="7"/>
        <w:jc w:val="center"/>
        <w:rPr>
          <w:rFonts w:ascii="黑体" w:hAnsi="黑体" w:eastAsia="黑体"/>
          <w:b w:val="0"/>
          <w:bCs w:val="0"/>
          <w:sz w:val="28"/>
          <w:szCs w:val="28"/>
        </w:rPr>
      </w:pPr>
      <w:bookmarkStart w:id="85" w:name="_Toc2316"/>
      <w:r>
        <w:rPr>
          <w:rFonts w:hint="eastAsia" w:ascii="黑体" w:hAnsi="黑体" w:eastAsia="黑体"/>
          <w:sz w:val="28"/>
          <w:szCs w:val="28"/>
        </w:rPr>
        <w:t>十五、最终报价表</w:t>
      </w:r>
      <w:bookmarkEnd w:id="85"/>
    </w:p>
    <w:p w14:paraId="26B3DE3A">
      <w:pPr>
        <w:adjustRightInd w:val="0"/>
        <w:snapToGrid w:val="0"/>
        <w:ind w:left="-88" w:leftChars="-42"/>
        <w:rPr>
          <w:rFonts w:ascii="宋体" w:hAnsi="宋体"/>
          <w:color w:val="000000"/>
          <w:szCs w:val="21"/>
        </w:rPr>
      </w:pPr>
    </w:p>
    <w:p w14:paraId="1AC5825C">
      <w:pPr>
        <w:adjustRightInd w:val="0"/>
        <w:snapToGrid w:val="0"/>
        <w:ind w:firstLine="482" w:firstLineChars="200"/>
        <w:rPr>
          <w:rFonts w:ascii="新宋体" w:hAnsi="新宋体" w:eastAsia="新宋体" w:cs="新宋体"/>
          <w:color w:val="000000"/>
          <w:sz w:val="24"/>
        </w:rPr>
      </w:pPr>
      <w:r>
        <w:rPr>
          <w:rFonts w:hint="eastAsia" w:ascii="新宋体" w:hAnsi="新宋体" w:eastAsia="新宋体" w:cs="新宋体"/>
          <w:b/>
          <w:color w:val="000000"/>
          <w:sz w:val="24"/>
        </w:rPr>
        <w:t>说明：不装入文件中，用小信封密封，磋商时单独提交</w:t>
      </w:r>
    </w:p>
    <w:p w14:paraId="2BA097C1">
      <w:pPr>
        <w:adjustRightInd w:val="0"/>
        <w:snapToGrid w:val="0"/>
        <w:ind w:firstLine="480" w:firstLineChars="200"/>
        <w:rPr>
          <w:rFonts w:ascii="新宋体" w:hAnsi="新宋体" w:eastAsia="新宋体" w:cs="新宋体"/>
          <w:color w:val="000000"/>
          <w:sz w:val="24"/>
        </w:rPr>
      </w:pPr>
    </w:p>
    <w:p w14:paraId="27E3109D">
      <w:pPr>
        <w:spacing w:line="460" w:lineRule="exact"/>
        <w:jc w:val="center"/>
        <w:rPr>
          <w:rFonts w:ascii="宋体" w:hAnsi="宋体"/>
          <w:b/>
          <w:color w:val="000000"/>
          <w:sz w:val="32"/>
          <w:szCs w:val="32"/>
        </w:rPr>
      </w:pPr>
    </w:p>
    <w:p w14:paraId="54A7941F">
      <w:pPr>
        <w:spacing w:line="460" w:lineRule="exact"/>
        <w:jc w:val="center"/>
        <w:rPr>
          <w:rFonts w:ascii="宋体" w:hAnsi="宋体"/>
          <w:b/>
          <w:color w:val="000000"/>
          <w:sz w:val="28"/>
          <w:szCs w:val="28"/>
        </w:rPr>
      </w:pPr>
      <w:r>
        <w:rPr>
          <w:rFonts w:hint="eastAsia" w:ascii="宋体" w:hAnsi="宋体"/>
          <w:b/>
          <w:color w:val="000000"/>
          <w:sz w:val="28"/>
          <w:szCs w:val="28"/>
        </w:rPr>
        <w:t>最终报价表</w:t>
      </w:r>
    </w:p>
    <w:tbl>
      <w:tblPr>
        <w:tblStyle w:val="46"/>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18"/>
        <w:gridCol w:w="2762"/>
        <w:gridCol w:w="1620"/>
        <w:gridCol w:w="2520"/>
      </w:tblGrid>
      <w:tr w14:paraId="5FFB3C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1918" w:type="dxa"/>
            <w:vMerge w:val="restart"/>
            <w:tcBorders>
              <w:top w:val="double" w:color="auto" w:sz="4" w:space="0"/>
              <w:left w:val="double" w:color="auto" w:sz="4" w:space="0"/>
              <w:bottom w:val="single" w:color="auto" w:sz="6" w:space="0"/>
              <w:right w:val="single" w:color="auto" w:sz="6" w:space="0"/>
            </w:tcBorders>
            <w:vAlign w:val="center"/>
          </w:tcPr>
          <w:p w14:paraId="51D0DDFF">
            <w:pPr>
              <w:keepNext w:val="0"/>
              <w:keepLines w:val="0"/>
              <w:suppressLineNumbers w:val="0"/>
              <w:tabs>
                <w:tab w:val="left" w:pos="403"/>
                <w:tab w:val="center" w:pos="3781"/>
              </w:tabs>
              <w:spacing w:before="0" w:beforeAutospacing="0" w:after="0" w:afterAutospacing="0" w:line="420" w:lineRule="exact"/>
              <w:ind w:left="0" w:right="-5206" w:rightChars="-2479" w:firstLine="210" w:firstLineChars="100"/>
              <w:rPr>
                <w:rFonts w:hint="default" w:ascii="宋体" w:hAnsi="宋体" w:cs="宋体"/>
                <w:szCs w:val="21"/>
              </w:rPr>
            </w:pPr>
            <w:r>
              <w:rPr>
                <w:rFonts w:hint="eastAsia" w:ascii="宋体" w:hAnsi="宋体" w:cs="宋体"/>
                <w:szCs w:val="21"/>
              </w:rPr>
              <w:t>项目名称</w:t>
            </w:r>
            <w:r>
              <w:rPr>
                <w:rFonts w:hint="eastAsia" w:ascii="宋体" w:hAnsi="宋体" w:cs="宋体"/>
                <w:szCs w:val="21"/>
              </w:rPr>
              <w:tab/>
            </w:r>
            <w:r>
              <w:rPr>
                <w:rFonts w:hint="eastAsia" w:ascii="宋体" w:hAnsi="宋体" w:cs="宋体"/>
                <w:szCs w:val="21"/>
              </w:rPr>
              <w:t>项目名称</w:t>
            </w:r>
          </w:p>
        </w:tc>
        <w:tc>
          <w:tcPr>
            <w:tcW w:w="2762" w:type="dxa"/>
            <w:vMerge w:val="restart"/>
            <w:tcBorders>
              <w:top w:val="double" w:color="auto" w:sz="4" w:space="0"/>
              <w:left w:val="single" w:color="auto" w:sz="6" w:space="0"/>
              <w:bottom w:val="single" w:color="auto" w:sz="6" w:space="0"/>
              <w:right w:val="single" w:color="auto" w:sz="6" w:space="0"/>
            </w:tcBorders>
            <w:vAlign w:val="center"/>
          </w:tcPr>
          <w:p w14:paraId="20F090BC">
            <w:pPr>
              <w:keepNext w:val="0"/>
              <w:keepLines w:val="0"/>
              <w:suppressLineNumbers w:val="0"/>
              <w:spacing w:before="0" w:beforeAutospacing="0" w:after="0" w:afterAutospacing="0" w:line="420" w:lineRule="exact"/>
              <w:ind w:left="0" w:right="0"/>
              <w:jc w:val="center"/>
              <w:rPr>
                <w:rFonts w:hint="default" w:ascii="宋体" w:hAnsi="宋体" w:cs="宋体"/>
                <w:szCs w:val="21"/>
              </w:rPr>
            </w:pPr>
          </w:p>
        </w:tc>
        <w:tc>
          <w:tcPr>
            <w:tcW w:w="1620" w:type="dxa"/>
            <w:tcBorders>
              <w:top w:val="double" w:color="auto" w:sz="4" w:space="0"/>
              <w:left w:val="single" w:color="auto" w:sz="6" w:space="0"/>
              <w:bottom w:val="single" w:color="auto" w:sz="6" w:space="0"/>
              <w:right w:val="single" w:color="auto" w:sz="6" w:space="0"/>
            </w:tcBorders>
            <w:vAlign w:val="center"/>
          </w:tcPr>
          <w:p w14:paraId="501D56D8">
            <w:pPr>
              <w:keepNext w:val="0"/>
              <w:keepLines w:val="0"/>
              <w:suppressLineNumbers w:val="0"/>
              <w:spacing w:before="0" w:beforeAutospacing="0" w:after="0" w:afterAutospacing="0" w:line="420" w:lineRule="exact"/>
              <w:ind w:left="0" w:right="0"/>
              <w:jc w:val="center"/>
              <w:rPr>
                <w:rFonts w:hint="default" w:ascii="宋体" w:hAnsi="宋体" w:cs="宋体"/>
                <w:szCs w:val="21"/>
              </w:rPr>
            </w:pPr>
            <w:r>
              <w:rPr>
                <w:rFonts w:hint="eastAsia" w:ascii="宋体" w:hAnsi="宋体" w:cs="宋体"/>
                <w:szCs w:val="21"/>
              </w:rPr>
              <w:t>政府采购编号</w:t>
            </w:r>
          </w:p>
        </w:tc>
        <w:tc>
          <w:tcPr>
            <w:tcW w:w="2520" w:type="dxa"/>
            <w:tcBorders>
              <w:top w:val="double" w:color="auto" w:sz="4" w:space="0"/>
              <w:left w:val="single" w:color="auto" w:sz="6" w:space="0"/>
              <w:bottom w:val="single" w:color="auto" w:sz="6" w:space="0"/>
              <w:right w:val="double" w:color="auto" w:sz="4" w:space="0"/>
            </w:tcBorders>
            <w:vAlign w:val="center"/>
          </w:tcPr>
          <w:p w14:paraId="6B724068">
            <w:pPr>
              <w:keepNext w:val="0"/>
              <w:keepLines w:val="0"/>
              <w:suppressLineNumbers w:val="0"/>
              <w:spacing w:before="0" w:beforeAutospacing="0" w:after="0" w:afterAutospacing="0" w:line="420" w:lineRule="exact"/>
              <w:ind w:left="0" w:right="0"/>
              <w:jc w:val="center"/>
              <w:rPr>
                <w:rFonts w:hint="default" w:ascii="宋体" w:hAnsi="宋体" w:cs="宋体"/>
                <w:szCs w:val="21"/>
              </w:rPr>
            </w:pPr>
          </w:p>
        </w:tc>
      </w:tr>
      <w:tr w14:paraId="1DC49F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1918" w:type="dxa"/>
            <w:vMerge w:val="continue"/>
            <w:tcBorders>
              <w:top w:val="single" w:color="auto" w:sz="6" w:space="0"/>
              <w:left w:val="double" w:color="auto" w:sz="4" w:space="0"/>
              <w:bottom w:val="single" w:color="auto" w:sz="6" w:space="0"/>
              <w:right w:val="single" w:color="auto" w:sz="6" w:space="0"/>
            </w:tcBorders>
            <w:vAlign w:val="center"/>
          </w:tcPr>
          <w:p w14:paraId="07D0D5E3">
            <w:pPr>
              <w:keepNext w:val="0"/>
              <w:keepLines w:val="0"/>
              <w:suppressLineNumbers w:val="0"/>
              <w:tabs>
                <w:tab w:val="left" w:pos="403"/>
                <w:tab w:val="center" w:pos="3781"/>
              </w:tabs>
              <w:spacing w:before="0" w:beforeAutospacing="0" w:after="0" w:afterAutospacing="0" w:line="420" w:lineRule="exact"/>
              <w:ind w:left="0" w:right="-5206" w:rightChars="-2479"/>
              <w:rPr>
                <w:rFonts w:hint="default" w:ascii="宋体" w:hAnsi="宋体" w:cs="宋体"/>
                <w:szCs w:val="21"/>
              </w:rPr>
            </w:pPr>
          </w:p>
        </w:tc>
        <w:tc>
          <w:tcPr>
            <w:tcW w:w="2762" w:type="dxa"/>
            <w:vMerge w:val="continue"/>
            <w:tcBorders>
              <w:top w:val="single" w:color="auto" w:sz="6" w:space="0"/>
              <w:left w:val="single" w:color="auto" w:sz="6" w:space="0"/>
              <w:bottom w:val="single" w:color="auto" w:sz="6" w:space="0"/>
              <w:right w:val="single" w:color="auto" w:sz="6" w:space="0"/>
            </w:tcBorders>
            <w:vAlign w:val="center"/>
          </w:tcPr>
          <w:p w14:paraId="576CFB0E">
            <w:pPr>
              <w:keepNext w:val="0"/>
              <w:keepLines w:val="0"/>
              <w:suppressLineNumbers w:val="0"/>
              <w:spacing w:before="0" w:beforeAutospacing="0" w:after="0" w:afterAutospacing="0" w:line="420" w:lineRule="exact"/>
              <w:ind w:left="0" w:right="0"/>
              <w:jc w:val="center"/>
              <w:rPr>
                <w:rFonts w:hint="default"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14:paraId="091ABF04">
            <w:pPr>
              <w:keepNext w:val="0"/>
              <w:keepLines w:val="0"/>
              <w:suppressLineNumbers w:val="0"/>
              <w:spacing w:before="0" w:beforeAutospacing="0" w:after="0" w:afterAutospacing="0" w:line="420" w:lineRule="exact"/>
              <w:ind w:left="0" w:right="0"/>
              <w:jc w:val="center"/>
              <w:rPr>
                <w:rFonts w:hint="default" w:ascii="宋体" w:hAnsi="宋体" w:cs="宋体"/>
                <w:szCs w:val="21"/>
              </w:rPr>
            </w:pPr>
            <w:r>
              <w:rPr>
                <w:rFonts w:hint="eastAsia" w:ascii="宋体" w:hAnsi="宋体" w:cs="宋体"/>
                <w:szCs w:val="21"/>
              </w:rPr>
              <w:t>采购代理编号</w:t>
            </w:r>
          </w:p>
        </w:tc>
        <w:tc>
          <w:tcPr>
            <w:tcW w:w="2520" w:type="dxa"/>
            <w:tcBorders>
              <w:top w:val="single" w:color="auto" w:sz="6" w:space="0"/>
              <w:left w:val="single" w:color="auto" w:sz="6" w:space="0"/>
              <w:bottom w:val="single" w:color="auto" w:sz="6" w:space="0"/>
              <w:right w:val="double" w:color="auto" w:sz="4" w:space="0"/>
            </w:tcBorders>
            <w:vAlign w:val="center"/>
          </w:tcPr>
          <w:p w14:paraId="0F77E48A">
            <w:pPr>
              <w:keepNext w:val="0"/>
              <w:keepLines w:val="0"/>
              <w:suppressLineNumbers w:val="0"/>
              <w:spacing w:before="0" w:beforeAutospacing="0" w:after="0" w:afterAutospacing="0" w:line="420" w:lineRule="exact"/>
              <w:ind w:left="0" w:right="0"/>
              <w:jc w:val="center"/>
              <w:rPr>
                <w:rFonts w:hint="default" w:ascii="宋体" w:hAnsi="宋体" w:cs="宋体"/>
                <w:szCs w:val="21"/>
              </w:rPr>
            </w:pPr>
          </w:p>
        </w:tc>
      </w:tr>
      <w:tr w14:paraId="3E3D52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97" w:hRule="atLeast"/>
        </w:trPr>
        <w:tc>
          <w:tcPr>
            <w:tcW w:w="1918" w:type="dxa"/>
            <w:tcBorders>
              <w:top w:val="single" w:color="auto" w:sz="6" w:space="0"/>
              <w:left w:val="double" w:color="auto" w:sz="4" w:space="0"/>
              <w:right w:val="single" w:color="auto" w:sz="6" w:space="0"/>
            </w:tcBorders>
            <w:vAlign w:val="center"/>
          </w:tcPr>
          <w:p w14:paraId="740FF5AF">
            <w:pPr>
              <w:keepNext w:val="0"/>
              <w:keepLines w:val="0"/>
              <w:suppressLineNumbers w:val="0"/>
              <w:spacing w:before="0" w:beforeAutospacing="0" w:after="0" w:afterAutospacing="0" w:line="420" w:lineRule="exact"/>
              <w:ind w:left="0" w:right="0"/>
              <w:jc w:val="center"/>
              <w:rPr>
                <w:rFonts w:hint="default" w:ascii="宋体" w:hAnsi="宋体" w:cs="宋体"/>
                <w:szCs w:val="21"/>
              </w:rPr>
            </w:pPr>
            <w:r>
              <w:rPr>
                <w:rFonts w:hint="eastAsia" w:ascii="宋体" w:hAnsi="宋体" w:cs="宋体"/>
                <w:szCs w:val="21"/>
              </w:rPr>
              <w:t>报价</w:t>
            </w:r>
          </w:p>
        </w:tc>
        <w:tc>
          <w:tcPr>
            <w:tcW w:w="6902" w:type="dxa"/>
            <w:gridSpan w:val="3"/>
            <w:tcBorders>
              <w:top w:val="single" w:color="auto" w:sz="6" w:space="0"/>
              <w:left w:val="single" w:color="auto" w:sz="6" w:space="0"/>
              <w:bottom w:val="single" w:color="auto" w:sz="6" w:space="0"/>
              <w:right w:val="double" w:color="auto" w:sz="4" w:space="0"/>
            </w:tcBorders>
            <w:vAlign w:val="center"/>
          </w:tcPr>
          <w:p w14:paraId="27F169FE">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大写：（人民币）</w:t>
            </w:r>
          </w:p>
          <w:p w14:paraId="167F56C2">
            <w:pPr>
              <w:keepNext w:val="0"/>
              <w:keepLines w:val="0"/>
              <w:suppressLineNumbers w:val="0"/>
              <w:spacing w:before="0" w:beforeAutospacing="0" w:after="0" w:afterAutospacing="0" w:line="420" w:lineRule="exact"/>
              <w:ind w:left="0" w:right="0"/>
              <w:rPr>
                <w:rFonts w:hint="default" w:ascii="宋体" w:hAnsi="宋体" w:cs="宋体"/>
                <w:szCs w:val="21"/>
              </w:rPr>
            </w:pPr>
            <w:r>
              <w:rPr>
                <w:rFonts w:hint="eastAsia" w:ascii="宋体" w:hAnsi="宋体" w:cs="宋体"/>
                <w:szCs w:val="21"/>
              </w:rPr>
              <w:t>小写：（人民币）</w:t>
            </w:r>
          </w:p>
        </w:tc>
      </w:tr>
      <w:tr w14:paraId="30E50E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918" w:type="dxa"/>
            <w:tcBorders>
              <w:top w:val="single" w:color="auto" w:sz="6" w:space="0"/>
              <w:left w:val="double" w:color="auto" w:sz="4" w:space="0"/>
              <w:bottom w:val="single" w:color="auto" w:sz="6" w:space="0"/>
              <w:right w:val="single" w:color="auto" w:sz="6" w:space="0"/>
            </w:tcBorders>
            <w:vAlign w:val="center"/>
          </w:tcPr>
          <w:p w14:paraId="3D1535AA">
            <w:pPr>
              <w:keepNext w:val="0"/>
              <w:keepLines w:val="0"/>
              <w:suppressLineNumbers w:val="0"/>
              <w:spacing w:before="0" w:beforeAutospacing="0" w:after="0" w:afterAutospacing="0"/>
              <w:ind w:left="0" w:right="0"/>
              <w:jc w:val="center"/>
              <w:rPr>
                <w:rFonts w:hint="default"/>
                <w:color w:val="000000"/>
              </w:rPr>
            </w:pPr>
            <w:r>
              <w:rPr>
                <w:rFonts w:hint="default" w:ascii="宋体" w:hAnsi="宋体" w:cs="宋体"/>
                <w:color w:val="000000"/>
                <w:szCs w:val="21"/>
              </w:rPr>
              <w:t>工期（日历天）</w:t>
            </w:r>
          </w:p>
        </w:tc>
        <w:tc>
          <w:tcPr>
            <w:tcW w:w="6902" w:type="dxa"/>
            <w:gridSpan w:val="3"/>
            <w:tcBorders>
              <w:top w:val="single" w:color="auto" w:sz="6" w:space="0"/>
              <w:left w:val="single" w:color="auto" w:sz="6" w:space="0"/>
              <w:bottom w:val="single" w:color="auto" w:sz="6" w:space="0"/>
              <w:right w:val="double" w:color="auto" w:sz="4" w:space="0"/>
            </w:tcBorders>
            <w:vAlign w:val="center"/>
          </w:tcPr>
          <w:p w14:paraId="690C4DFF">
            <w:pPr>
              <w:keepNext w:val="0"/>
              <w:keepLines w:val="0"/>
              <w:suppressLineNumbers w:val="0"/>
              <w:spacing w:before="0" w:beforeAutospacing="0" w:after="0" w:afterAutospacing="0" w:line="420" w:lineRule="exact"/>
              <w:ind w:left="0" w:right="0"/>
              <w:rPr>
                <w:rFonts w:hint="default" w:ascii="宋体" w:hAnsi="宋体" w:cs="宋体"/>
                <w:szCs w:val="21"/>
              </w:rPr>
            </w:pPr>
          </w:p>
        </w:tc>
      </w:tr>
      <w:tr w14:paraId="70CD34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918" w:type="dxa"/>
            <w:tcBorders>
              <w:top w:val="single" w:color="auto" w:sz="6" w:space="0"/>
              <w:left w:val="double" w:color="auto" w:sz="4" w:space="0"/>
              <w:bottom w:val="single" w:color="auto" w:sz="6" w:space="0"/>
              <w:right w:val="single" w:color="auto" w:sz="6" w:space="0"/>
            </w:tcBorders>
            <w:vAlign w:val="center"/>
          </w:tcPr>
          <w:p w14:paraId="1E955954">
            <w:pPr>
              <w:keepNext w:val="0"/>
              <w:keepLines w:val="0"/>
              <w:suppressLineNumbers w:val="0"/>
              <w:spacing w:before="0" w:beforeAutospacing="0" w:after="0" w:afterAutospacing="0"/>
              <w:ind w:left="0" w:right="0"/>
              <w:jc w:val="center"/>
              <w:rPr>
                <w:rFonts w:hint="default"/>
                <w:color w:val="000000"/>
              </w:rPr>
            </w:pPr>
            <w:r>
              <w:rPr>
                <w:rFonts w:hint="default" w:ascii="宋体" w:hAnsi="宋体" w:cs="宋体"/>
                <w:color w:val="000000"/>
                <w:szCs w:val="21"/>
              </w:rPr>
              <w:t>质量等级</w:t>
            </w:r>
          </w:p>
        </w:tc>
        <w:tc>
          <w:tcPr>
            <w:tcW w:w="6902" w:type="dxa"/>
            <w:gridSpan w:val="3"/>
            <w:tcBorders>
              <w:top w:val="single" w:color="auto" w:sz="6" w:space="0"/>
              <w:left w:val="single" w:color="auto" w:sz="6" w:space="0"/>
              <w:bottom w:val="single" w:color="auto" w:sz="6" w:space="0"/>
              <w:right w:val="double" w:color="auto" w:sz="4" w:space="0"/>
            </w:tcBorders>
            <w:vAlign w:val="center"/>
          </w:tcPr>
          <w:p w14:paraId="36352B42">
            <w:pPr>
              <w:keepNext w:val="0"/>
              <w:keepLines w:val="0"/>
              <w:suppressLineNumbers w:val="0"/>
              <w:spacing w:before="0" w:beforeAutospacing="0" w:after="0" w:afterAutospacing="0" w:line="420" w:lineRule="exact"/>
              <w:ind w:left="0" w:right="0"/>
              <w:rPr>
                <w:rFonts w:hint="default" w:ascii="宋体" w:hAnsi="宋体" w:cs="宋体"/>
                <w:szCs w:val="21"/>
              </w:rPr>
            </w:pPr>
          </w:p>
        </w:tc>
      </w:tr>
      <w:tr w14:paraId="099B0A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918" w:type="dxa"/>
            <w:tcBorders>
              <w:top w:val="single" w:color="auto" w:sz="6" w:space="0"/>
              <w:left w:val="double" w:color="auto" w:sz="4" w:space="0"/>
              <w:bottom w:val="single" w:color="auto" w:sz="6" w:space="0"/>
              <w:right w:val="single" w:color="auto" w:sz="6" w:space="0"/>
            </w:tcBorders>
            <w:vAlign w:val="center"/>
          </w:tcPr>
          <w:p w14:paraId="279D341A">
            <w:pPr>
              <w:keepNext w:val="0"/>
              <w:keepLines w:val="0"/>
              <w:suppressLineNumbers w:val="0"/>
              <w:spacing w:before="0" w:beforeAutospacing="0" w:after="0" w:afterAutospacing="0"/>
              <w:ind w:left="0" w:right="0"/>
              <w:jc w:val="center"/>
              <w:rPr>
                <w:rFonts w:hint="default"/>
                <w:color w:val="000000"/>
              </w:rPr>
            </w:pPr>
            <w:r>
              <w:rPr>
                <w:rFonts w:hint="eastAsia" w:ascii="宋体" w:hAnsi="宋体" w:cs="宋体"/>
                <w:color w:val="auto"/>
                <w:szCs w:val="21"/>
                <w:lang w:val="en-US" w:eastAsia="zh-CN"/>
              </w:rPr>
              <w:t>缺陷责任期</w:t>
            </w:r>
          </w:p>
        </w:tc>
        <w:tc>
          <w:tcPr>
            <w:tcW w:w="6902" w:type="dxa"/>
            <w:gridSpan w:val="3"/>
            <w:tcBorders>
              <w:top w:val="single" w:color="auto" w:sz="6" w:space="0"/>
              <w:left w:val="single" w:color="auto" w:sz="6" w:space="0"/>
              <w:bottom w:val="single" w:color="auto" w:sz="6" w:space="0"/>
              <w:right w:val="double" w:color="auto" w:sz="4" w:space="0"/>
            </w:tcBorders>
            <w:vAlign w:val="center"/>
          </w:tcPr>
          <w:p w14:paraId="45B9F600">
            <w:pPr>
              <w:keepNext w:val="0"/>
              <w:keepLines w:val="0"/>
              <w:suppressLineNumbers w:val="0"/>
              <w:spacing w:before="0" w:beforeAutospacing="0" w:after="0" w:afterAutospacing="0" w:line="420" w:lineRule="exact"/>
              <w:ind w:left="0" w:right="0"/>
              <w:rPr>
                <w:rFonts w:hint="default" w:ascii="宋体" w:hAnsi="宋体" w:cs="宋体"/>
                <w:szCs w:val="21"/>
              </w:rPr>
            </w:pPr>
          </w:p>
        </w:tc>
      </w:tr>
      <w:tr w14:paraId="02DDE2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918" w:type="dxa"/>
            <w:tcBorders>
              <w:top w:val="single" w:color="auto" w:sz="6" w:space="0"/>
              <w:left w:val="double" w:color="auto" w:sz="4" w:space="0"/>
              <w:bottom w:val="single" w:color="auto" w:sz="6" w:space="0"/>
              <w:right w:val="single" w:color="auto" w:sz="6" w:space="0"/>
            </w:tcBorders>
            <w:vAlign w:val="center"/>
          </w:tcPr>
          <w:p w14:paraId="1127E7BB">
            <w:pPr>
              <w:keepNext w:val="0"/>
              <w:keepLines w:val="0"/>
              <w:suppressLineNumbers w:val="0"/>
              <w:spacing w:before="0" w:beforeAutospacing="0" w:after="0" w:afterAutospacing="0"/>
              <w:ind w:left="0" w:right="0"/>
              <w:jc w:val="center"/>
              <w:rPr>
                <w:rFonts w:hint="default"/>
                <w:color w:val="000000"/>
              </w:rPr>
            </w:pPr>
            <w:r>
              <w:rPr>
                <w:rFonts w:hint="default" w:ascii="宋体" w:hAnsi="宋体" w:cs="宋体"/>
                <w:color w:val="000000"/>
                <w:szCs w:val="21"/>
              </w:rPr>
              <w:t>项目负责人</w:t>
            </w:r>
          </w:p>
        </w:tc>
        <w:tc>
          <w:tcPr>
            <w:tcW w:w="6902" w:type="dxa"/>
            <w:gridSpan w:val="3"/>
            <w:tcBorders>
              <w:top w:val="single" w:color="auto" w:sz="6" w:space="0"/>
              <w:left w:val="single" w:color="auto" w:sz="6" w:space="0"/>
              <w:bottom w:val="single" w:color="auto" w:sz="6" w:space="0"/>
              <w:right w:val="double" w:color="auto" w:sz="4" w:space="0"/>
            </w:tcBorders>
            <w:vAlign w:val="center"/>
          </w:tcPr>
          <w:p w14:paraId="25FF01E6">
            <w:pPr>
              <w:keepNext w:val="0"/>
              <w:keepLines w:val="0"/>
              <w:suppressLineNumbers w:val="0"/>
              <w:spacing w:before="0" w:beforeAutospacing="0" w:after="0" w:afterAutospacing="0" w:line="420" w:lineRule="exact"/>
              <w:ind w:left="0" w:right="0"/>
              <w:rPr>
                <w:rFonts w:hint="default" w:ascii="宋体" w:hAnsi="宋体" w:cs="宋体"/>
                <w:szCs w:val="21"/>
              </w:rPr>
            </w:pPr>
          </w:p>
        </w:tc>
      </w:tr>
      <w:tr w14:paraId="63D5B3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918" w:type="dxa"/>
            <w:tcBorders>
              <w:top w:val="single" w:color="auto" w:sz="6" w:space="0"/>
              <w:left w:val="double" w:color="auto" w:sz="4" w:space="0"/>
              <w:bottom w:val="double" w:color="auto" w:sz="4" w:space="0"/>
              <w:right w:val="single" w:color="auto" w:sz="6" w:space="0"/>
            </w:tcBorders>
            <w:vAlign w:val="center"/>
          </w:tcPr>
          <w:p w14:paraId="03EA0E09">
            <w:pPr>
              <w:keepNext w:val="0"/>
              <w:keepLines w:val="0"/>
              <w:suppressLineNumbers w:val="0"/>
              <w:spacing w:before="0" w:beforeAutospacing="0" w:after="0" w:afterAutospacing="0" w:line="420" w:lineRule="exact"/>
              <w:ind w:left="0" w:right="0"/>
              <w:jc w:val="center"/>
              <w:rPr>
                <w:rFonts w:hint="default" w:ascii="宋体" w:hAnsi="宋体" w:cs="宋体"/>
                <w:szCs w:val="21"/>
              </w:rPr>
            </w:pPr>
            <w:r>
              <w:rPr>
                <w:rFonts w:hint="eastAsia" w:ascii="宋体" w:hAnsi="宋体" w:cs="宋体"/>
                <w:szCs w:val="21"/>
              </w:rPr>
              <w:t>备  注</w:t>
            </w:r>
          </w:p>
        </w:tc>
        <w:tc>
          <w:tcPr>
            <w:tcW w:w="6902" w:type="dxa"/>
            <w:gridSpan w:val="3"/>
            <w:tcBorders>
              <w:top w:val="single" w:color="auto" w:sz="6" w:space="0"/>
              <w:left w:val="single" w:color="auto" w:sz="6" w:space="0"/>
              <w:bottom w:val="double" w:color="auto" w:sz="4" w:space="0"/>
              <w:right w:val="double" w:color="auto" w:sz="4" w:space="0"/>
            </w:tcBorders>
            <w:vAlign w:val="center"/>
          </w:tcPr>
          <w:p w14:paraId="2894493C">
            <w:pPr>
              <w:keepNext w:val="0"/>
              <w:keepLines w:val="0"/>
              <w:suppressLineNumbers w:val="0"/>
              <w:spacing w:before="0" w:beforeAutospacing="0" w:after="0" w:afterAutospacing="0" w:line="420" w:lineRule="exact"/>
              <w:ind w:left="0" w:right="0"/>
              <w:rPr>
                <w:rFonts w:hint="default" w:ascii="宋体" w:hAnsi="宋体" w:cs="宋体"/>
                <w:szCs w:val="21"/>
              </w:rPr>
            </w:pPr>
            <w:r>
              <w:rPr>
                <w:rFonts w:hint="eastAsia" w:ascii="宋体" w:hAnsi="宋体" w:cs="宋体"/>
                <w:szCs w:val="21"/>
              </w:rPr>
              <w:t>1. 项目总报价须包不可预见费其价格不得变动（如果有）。</w:t>
            </w:r>
          </w:p>
          <w:p w14:paraId="7F420E6E">
            <w:pPr>
              <w:keepNext w:val="0"/>
              <w:keepLines w:val="0"/>
              <w:suppressLineNumbers w:val="0"/>
              <w:spacing w:before="0" w:beforeAutospacing="0" w:after="0" w:afterAutospacing="0" w:line="420" w:lineRule="exact"/>
              <w:ind w:left="0" w:right="0"/>
              <w:rPr>
                <w:rFonts w:hint="default" w:ascii="宋体" w:hAnsi="宋体" w:cs="宋体"/>
                <w:szCs w:val="21"/>
              </w:rPr>
            </w:pPr>
            <w:r>
              <w:rPr>
                <w:rFonts w:hint="eastAsia" w:ascii="宋体" w:hAnsi="宋体" w:cs="宋体"/>
                <w:szCs w:val="21"/>
              </w:rPr>
              <w:t>2. 项目报价的各种规费必须按规定计算，不得打折或优惠。</w:t>
            </w:r>
          </w:p>
          <w:p w14:paraId="59754ECB">
            <w:pPr>
              <w:keepNext w:val="0"/>
              <w:keepLines w:val="0"/>
              <w:suppressLineNumbers w:val="0"/>
              <w:spacing w:before="0" w:beforeAutospacing="0" w:after="0" w:afterAutospacing="0" w:line="420" w:lineRule="exact"/>
              <w:ind w:left="0" w:right="0"/>
              <w:rPr>
                <w:rFonts w:hint="default" w:ascii="宋体" w:hAnsi="宋体" w:cs="宋体"/>
                <w:szCs w:val="21"/>
              </w:rPr>
            </w:pPr>
            <w:r>
              <w:rPr>
                <w:rFonts w:hint="eastAsia" w:ascii="宋体" w:hAnsi="宋体" w:cs="宋体"/>
                <w:szCs w:val="21"/>
              </w:rPr>
              <w:t>3. 最后报价不提供分项报价，将响应文件中的第一轮报价减去最后报价所得数值（优惠值）按比例优惠到第一轮报价的相应分项报价中，形成最后报价的分项价。</w:t>
            </w:r>
          </w:p>
        </w:tc>
      </w:tr>
    </w:tbl>
    <w:p w14:paraId="760E7744">
      <w:pPr>
        <w:adjustRightInd w:val="0"/>
        <w:snapToGrid w:val="0"/>
        <w:spacing w:beforeLines="50" w:line="360" w:lineRule="auto"/>
        <w:rPr>
          <w:rFonts w:ascii="宋体" w:hAnsi="宋体"/>
          <w:szCs w:val="21"/>
        </w:rPr>
      </w:pPr>
    </w:p>
    <w:p w14:paraId="7F4EE3E5">
      <w:pPr>
        <w:adjustRightInd w:val="0"/>
        <w:snapToGrid w:val="0"/>
        <w:spacing w:line="360" w:lineRule="auto"/>
        <w:rPr>
          <w:rFonts w:ascii="宋体" w:hAnsi="宋体"/>
          <w:color w:val="FF0000"/>
          <w:szCs w:val="21"/>
        </w:rPr>
      </w:pPr>
    </w:p>
    <w:p w14:paraId="22E974B2">
      <w:pPr>
        <w:adjustRightInd w:val="0"/>
        <w:snapToGrid w:val="0"/>
        <w:spacing w:line="360" w:lineRule="auto"/>
        <w:rPr>
          <w:rFonts w:ascii="宋体" w:hAnsi="宋体"/>
          <w:szCs w:val="21"/>
        </w:rPr>
      </w:pPr>
      <w:r>
        <w:rPr>
          <w:rFonts w:hint="eastAsia" w:ascii="宋体" w:hAnsi="宋体"/>
          <w:szCs w:val="21"/>
        </w:rPr>
        <w:t>供应商名称（盖单位公章）：</w:t>
      </w:r>
    </w:p>
    <w:p w14:paraId="5955D32F">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或其授权的代理人（签字或印章）：_</w:t>
      </w:r>
    </w:p>
    <w:p w14:paraId="69C999DC">
      <w:pPr>
        <w:widowControl/>
        <w:jc w:val="left"/>
        <w:rPr>
          <w:rFonts w:ascii="宋体"/>
          <w:szCs w:val="21"/>
        </w:rPr>
      </w:pPr>
      <w:r>
        <w:rPr>
          <w:rFonts w:hint="eastAsia" w:ascii="宋体" w:hAnsi="宋体"/>
          <w:szCs w:val="21"/>
        </w:rPr>
        <w:t>日期：年月日</w:t>
      </w:r>
    </w:p>
    <w:p w14:paraId="4545CDCD"/>
    <w:bookmarkEnd w:id="0"/>
    <w:p w14:paraId="7290E2E3"/>
    <w:sectPr>
      <w:footerReference r:id="rId6" w:type="even"/>
      <w:pgSz w:w="11906" w:h="16838"/>
      <w:pgMar w:top="1474" w:right="1474" w:bottom="1474"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font-weight : 700">
    <w:altName w:val="微软雅黑"/>
    <w:panose1 w:val="00000000000000000000"/>
    <w:charset w:val="00"/>
    <w:family w:val="auto"/>
    <w:pitch w:val="default"/>
    <w:sig w:usb0="00000000" w:usb1="00000000" w:usb2="00000000" w:usb3="00000000" w:csb0="00040001" w:csb1="00000000"/>
  </w:font>
  <w:font w:name="font-weight : 400">
    <w:altName w:val="微软雅黑"/>
    <w:panose1 w:val="00000000000000000000"/>
    <w:charset w:val="00"/>
    <w:family w:val="auto"/>
    <w:pitch w:val="default"/>
    <w:sig w:usb0="00000000" w:usb1="00000000" w:usb2="00000000" w:usb3="00000000" w:csb0="00040001" w:csb1="00000000"/>
  </w:font>
  <w:font w:name="TimesNewRomanPSMT">
    <w:altName w:val="Times New Roman"/>
    <w:panose1 w:val="00000000000000000000"/>
    <w:charset w:val="00"/>
    <w:family w:val="roman"/>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00001" w:csb1="0000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Arial Narrow">
    <w:altName w:val="Arial"/>
    <w:panose1 w:val="020B0606020202030204"/>
    <w:charset w:val="00"/>
    <w:family w:val="swiss"/>
    <w:pitch w:val="default"/>
    <w:sig w:usb0="00000000" w:usb1="00000000" w:usb2="00000000" w:usb3="00000000" w:csb0="0000009F" w:csb1="00000000"/>
  </w:font>
  <w:font w:name="隶书">
    <w:altName w:val="微软雅黑"/>
    <w:panose1 w:val="0201050906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华文楷体">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003" w:usb1="288F0000" w:usb2="00000006" w:usb3="00000000" w:csb0="00040001" w:csb1="00000000"/>
  </w:font>
  <w:font w:name="Segoe UI Symbol">
    <w:panose1 w:val="020B0502040204020203"/>
    <w:charset w:val="00"/>
    <w:family w:val="swiss"/>
    <w:pitch w:val="default"/>
    <w:sig w:usb0="8000006F" w:usb1="1200FBEF" w:usb2="0064C000" w:usb3="00000002" w:csb0="00000001" w:csb1="40000000"/>
  </w:font>
  <w:font w:name="方正小标宋_GBK">
    <w:altName w:val="微软雅黑"/>
    <w:panose1 w:val="02000000000000000000"/>
    <w:charset w:val="86"/>
    <w:family w:val="script"/>
    <w:pitch w:val="default"/>
    <w:sig w:usb0="00000000" w:usb1="00000000" w:usb2="00082016" w:usb3="00000000" w:csb0="00040001" w:csb1="00000000"/>
  </w:font>
  <w:font w:name="华文宋体">
    <w:altName w:val="宋体"/>
    <w:panose1 w:val="02010600040101010101"/>
    <w:charset w:val="86"/>
    <w:family w:val="auto"/>
    <w:pitch w:val="default"/>
    <w:sig w:usb0="00000000" w:usb1="00000000" w:usb2="00000000" w:usb3="00000000" w:csb0="0004009F" w:csb1="DFD70000"/>
  </w:font>
  <w:font w:name="等线">
    <w:altName w:val="微软雅黑"/>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7659C">
    <w:pPr>
      <w:pStyle w:val="31"/>
      <w:ind w:left="240" w:right="359" w:rightChars="171" w:hanging="240" w:hangingChars="100"/>
      <w:jc w:val="center"/>
      <w:rPr>
        <w:rFonts w:eastAsia="楷体_GB2312"/>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a:effectLst/>
                    </wps:spPr>
                    <wps:txbx>
                      <w:txbxContent>
                        <w:p w14:paraId="4E585439">
                          <w:pPr>
                            <w:pStyle w:val="31"/>
                          </w:pPr>
                          <w:r>
                            <w:fldChar w:fldCharType="begin"/>
                          </w:r>
                          <w:r>
                            <w:instrText xml:space="preserve"> PAGE  \* MERGEFORMAT </w:instrText>
                          </w:r>
                          <w:r>
                            <w:fldChar w:fldCharType="separate"/>
                          </w:r>
                          <w:r>
                            <w:t>4</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D5X5J0AAAAAMBAAAPAAAAAAAAAAEAIAAAACIAAABk&#10;cnMvZG93bnJldi54bWxQSwECFAAUAAAACACHTuJA7yCxPA4CAAAQBAAADgAAAAAAAAABACAAAAAf&#10;AQAAZHJzL2Uyb0RvYy54bWxQSwUGAAAAAAYABgBZAQAAnwUAAAAA&#10;">
              <v:fill on="f" focussize="0,0"/>
              <v:stroke on="f"/>
              <v:imagedata o:title=""/>
              <o:lock v:ext="edit" aspectratio="f"/>
              <v:textbox inset="0mm,0mm,0mm,0mm" style="mso-fit-shape-to-text:t;">
                <w:txbxContent>
                  <w:p w14:paraId="4E585439">
                    <w:pPr>
                      <w:pStyle w:val="31"/>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E6A53">
    <w:pPr>
      <w:pStyle w:val="31"/>
      <w:framePr w:wrap="around" w:vAnchor="text" w:hAnchor="margin" w:xAlign="right" w:y="1"/>
      <w:rPr>
        <w:rStyle w:val="50"/>
      </w:rPr>
    </w:pPr>
    <w:r>
      <w:fldChar w:fldCharType="begin"/>
    </w:r>
    <w:r>
      <w:rPr>
        <w:rStyle w:val="50"/>
      </w:rPr>
      <w:instrText xml:space="preserve">PAGE  </w:instrText>
    </w:r>
    <w:r>
      <w:fldChar w:fldCharType="separate"/>
    </w:r>
    <w:r>
      <w:rPr>
        <w:rStyle w:val="50"/>
      </w:rPr>
      <w:t>1</w:t>
    </w:r>
    <w:r>
      <w:fldChar w:fldCharType="end"/>
    </w:r>
  </w:p>
  <w:p w14:paraId="549A5420">
    <w:pPr>
      <w:pStyle w:val="31"/>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AB2F3">
    <w:pPr>
      <w:pStyle w:val="32"/>
      <w:jc w:val="left"/>
    </w:pPr>
    <w:r>
      <w:rPr>
        <w:rFonts w:hint="eastAsia"/>
        <w:lang w:eastAsia="zh-CN"/>
      </w:rPr>
      <w:t>永定区青安坪水厂胡家坡村管网延伸供水工程</w:t>
    </w:r>
    <w:r>
      <w:rPr>
        <w:rFonts w:hint="eastAsia"/>
      </w:rPr>
      <w:t xml:space="preserve">                            </w:t>
    </w:r>
    <w:r>
      <w:rPr>
        <w:rFonts w:hint="eastAsia"/>
        <w:lang w:val="en-US" w:eastAsia="zh-CN"/>
      </w:rPr>
      <w:t xml:space="preserve">             </w:t>
    </w:r>
    <w:r>
      <w:rPr>
        <w:rFonts w:hint="eastAsia"/>
      </w:rPr>
      <w:t xml:space="preserve">竞争性磋商文件      </w:t>
    </w:r>
  </w:p>
  <w:p w14:paraId="33234466">
    <w:pPr>
      <w:pStyle w:val="32"/>
      <w:pBdr>
        <w:bottom w:val="none" w:color="auto" w:sz="0" w:space="0"/>
      </w:pBdr>
      <w:jc w:val="right"/>
    </w:pPr>
    <w:r>
      <w:rPr>
        <w:rFonts w:hint="eastAsia"/>
      </w:rPr>
      <w:t>中技建设咨询有限公司</w:t>
    </w:r>
  </w:p>
  <w:p w14:paraId="08D0E641">
    <w:pPr>
      <w:pStyle w:val="32"/>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59974">
    <w:pPr>
      <w:pStyle w:val="3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600px;height:356px" o:bullet="t">
        <v:imagedata r:id="rId1" o:title=""/>
      </v:shape>
    </w:pict>
  </w:numPicBullet>
  <w:abstractNum w:abstractNumId="0">
    <w:nsid w:val="E8596340"/>
    <w:multiLevelType w:val="singleLevel"/>
    <w:tmpl w:val="E8596340"/>
    <w:lvl w:ilvl="0" w:tentative="0">
      <w:start w:val="11"/>
      <w:numFmt w:val="decimal"/>
      <w:lvlText w:val="%1."/>
      <w:lvlJc w:val="left"/>
      <w:pPr>
        <w:tabs>
          <w:tab w:val="left" w:pos="312"/>
        </w:tabs>
      </w:pPr>
    </w:lvl>
  </w:abstractNum>
  <w:abstractNum w:abstractNumId="1">
    <w:nsid w:val="1372601B"/>
    <w:multiLevelType w:val="singleLevel"/>
    <w:tmpl w:val="1372601B"/>
    <w:lvl w:ilvl="0" w:tentative="0">
      <w:start w:val="36"/>
      <w:numFmt w:val="decimal"/>
      <w:lvlText w:val="%1."/>
      <w:lvlJc w:val="left"/>
      <w:pPr>
        <w:tabs>
          <w:tab w:val="left" w:pos="312"/>
        </w:tabs>
      </w:pPr>
    </w:lvl>
  </w:abstractNum>
  <w:abstractNum w:abstractNumId="2">
    <w:nsid w:val="4895AC2E"/>
    <w:multiLevelType w:val="singleLevel"/>
    <w:tmpl w:val="4895AC2E"/>
    <w:lvl w:ilvl="0" w:tentative="0">
      <w:start w:val="3"/>
      <w:numFmt w:val="decimal"/>
      <w:suff w:val="nothing"/>
      <w:lvlText w:val="%1、"/>
      <w:lvlJc w:val="left"/>
    </w:lvl>
  </w:abstractNum>
  <w:abstractNum w:abstractNumId="3">
    <w:nsid w:val="61390DFD"/>
    <w:multiLevelType w:val="multilevel"/>
    <w:tmpl w:val="61390DFD"/>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7E415E2D"/>
    <w:multiLevelType w:val="multilevel"/>
    <w:tmpl w:val="7E415E2D"/>
    <w:lvl w:ilvl="0" w:tentative="0">
      <w:start w:val="1"/>
      <w:numFmt w:val="bullet"/>
      <w:pStyle w:val="219"/>
      <w:lvlText w:val=""/>
      <w:lvlPicBulletId w:val="0"/>
      <w:lvlJc w:val="left"/>
      <w:pPr>
        <w:ind w:left="420" w:hanging="420"/>
      </w:pPr>
      <w:rPr>
        <w:rFonts w:hint="default" w:ascii="Symbol" w:hAnsi="Symbol"/>
        <w:color w:val="auto"/>
      </w:rPr>
    </w:lvl>
    <w:lvl w:ilvl="1" w:tentative="0">
      <w:start w:val="1"/>
      <w:numFmt w:val="bullet"/>
      <w:lvlText w:val=""/>
      <w:lvlJc w:val="left"/>
      <w:pPr>
        <w:ind w:left="1040" w:hanging="420"/>
      </w:pPr>
      <w:rPr>
        <w:rFonts w:hint="default" w:ascii="Wingdings" w:hAnsi="Wingdings"/>
      </w:rPr>
    </w:lvl>
    <w:lvl w:ilvl="2" w:tentative="0">
      <w:start w:val="1"/>
      <w:numFmt w:val="bullet"/>
      <w:lvlText w:val=""/>
      <w:lvlJc w:val="left"/>
      <w:pPr>
        <w:ind w:left="1460" w:hanging="420"/>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0ODBhYjYyZWM0MDZiOTM5MzExYjM0NTlhNThhOTMifQ=="/>
  </w:docVars>
  <w:rsids>
    <w:rsidRoot w:val="00172A27"/>
    <w:rsid w:val="000716D8"/>
    <w:rsid w:val="00085555"/>
    <w:rsid w:val="00092330"/>
    <w:rsid w:val="000D3FE4"/>
    <w:rsid w:val="0017546E"/>
    <w:rsid w:val="001C1141"/>
    <w:rsid w:val="00200EBF"/>
    <w:rsid w:val="002368AE"/>
    <w:rsid w:val="0028091C"/>
    <w:rsid w:val="002A2A3C"/>
    <w:rsid w:val="00317421"/>
    <w:rsid w:val="00332C3B"/>
    <w:rsid w:val="00364C74"/>
    <w:rsid w:val="003723A0"/>
    <w:rsid w:val="003963C4"/>
    <w:rsid w:val="003A0432"/>
    <w:rsid w:val="003A0BBB"/>
    <w:rsid w:val="003E0829"/>
    <w:rsid w:val="003F4816"/>
    <w:rsid w:val="00414C7F"/>
    <w:rsid w:val="00443988"/>
    <w:rsid w:val="00447EE8"/>
    <w:rsid w:val="00462CD1"/>
    <w:rsid w:val="004926B5"/>
    <w:rsid w:val="004F550B"/>
    <w:rsid w:val="0054655D"/>
    <w:rsid w:val="0056220C"/>
    <w:rsid w:val="00581441"/>
    <w:rsid w:val="005F2B9A"/>
    <w:rsid w:val="00615668"/>
    <w:rsid w:val="00633471"/>
    <w:rsid w:val="00641E35"/>
    <w:rsid w:val="00664EF4"/>
    <w:rsid w:val="00692650"/>
    <w:rsid w:val="006D2510"/>
    <w:rsid w:val="007370CD"/>
    <w:rsid w:val="007F133F"/>
    <w:rsid w:val="007F78C2"/>
    <w:rsid w:val="00807A48"/>
    <w:rsid w:val="00834A62"/>
    <w:rsid w:val="00A87EE9"/>
    <w:rsid w:val="00BD1E39"/>
    <w:rsid w:val="00C2178B"/>
    <w:rsid w:val="00C4142D"/>
    <w:rsid w:val="00C80302"/>
    <w:rsid w:val="00CF4841"/>
    <w:rsid w:val="00D44AF2"/>
    <w:rsid w:val="00D82436"/>
    <w:rsid w:val="00D87EE2"/>
    <w:rsid w:val="00D90E98"/>
    <w:rsid w:val="00E674A2"/>
    <w:rsid w:val="00E73C39"/>
    <w:rsid w:val="00EC0382"/>
    <w:rsid w:val="00EF1C4B"/>
    <w:rsid w:val="00EF55AB"/>
    <w:rsid w:val="00F72D3F"/>
    <w:rsid w:val="00F85C5F"/>
    <w:rsid w:val="00FA2CF6"/>
    <w:rsid w:val="00FE17E1"/>
    <w:rsid w:val="00FF79AE"/>
    <w:rsid w:val="01115B19"/>
    <w:rsid w:val="0195118D"/>
    <w:rsid w:val="01A050EF"/>
    <w:rsid w:val="01E305B6"/>
    <w:rsid w:val="02D45050"/>
    <w:rsid w:val="03F42AD1"/>
    <w:rsid w:val="048900BC"/>
    <w:rsid w:val="054E1D3E"/>
    <w:rsid w:val="064C6772"/>
    <w:rsid w:val="07273397"/>
    <w:rsid w:val="08915791"/>
    <w:rsid w:val="08A721BB"/>
    <w:rsid w:val="090D306A"/>
    <w:rsid w:val="09BF0534"/>
    <w:rsid w:val="0B3D6736"/>
    <w:rsid w:val="0D933D59"/>
    <w:rsid w:val="0DDF6F9F"/>
    <w:rsid w:val="0F24110D"/>
    <w:rsid w:val="0F482B1C"/>
    <w:rsid w:val="11B5429E"/>
    <w:rsid w:val="1255782F"/>
    <w:rsid w:val="12754C05"/>
    <w:rsid w:val="129739A4"/>
    <w:rsid w:val="12F47048"/>
    <w:rsid w:val="135D4BEE"/>
    <w:rsid w:val="148E5FE9"/>
    <w:rsid w:val="163F05DA"/>
    <w:rsid w:val="167F30CD"/>
    <w:rsid w:val="16E77900"/>
    <w:rsid w:val="17E92EF4"/>
    <w:rsid w:val="18A156DC"/>
    <w:rsid w:val="18D806C7"/>
    <w:rsid w:val="195C76F5"/>
    <w:rsid w:val="19670D32"/>
    <w:rsid w:val="1ADC0AEE"/>
    <w:rsid w:val="1B0F70BD"/>
    <w:rsid w:val="1C80194D"/>
    <w:rsid w:val="1CA61FB7"/>
    <w:rsid w:val="1CD6156D"/>
    <w:rsid w:val="1CDA2245"/>
    <w:rsid w:val="1D3931A1"/>
    <w:rsid w:val="1D90796E"/>
    <w:rsid w:val="1D9C1B84"/>
    <w:rsid w:val="1E032835"/>
    <w:rsid w:val="20767C89"/>
    <w:rsid w:val="212D2648"/>
    <w:rsid w:val="214B360B"/>
    <w:rsid w:val="21674F3A"/>
    <w:rsid w:val="21793326"/>
    <w:rsid w:val="22AC2D12"/>
    <w:rsid w:val="23490CEA"/>
    <w:rsid w:val="264A1001"/>
    <w:rsid w:val="26BC5523"/>
    <w:rsid w:val="28215D92"/>
    <w:rsid w:val="28345274"/>
    <w:rsid w:val="28B9334D"/>
    <w:rsid w:val="29F3375E"/>
    <w:rsid w:val="2A471C93"/>
    <w:rsid w:val="2A7C73EC"/>
    <w:rsid w:val="2A966EC1"/>
    <w:rsid w:val="2B8A1EA0"/>
    <w:rsid w:val="2BCF1FA9"/>
    <w:rsid w:val="2C2311DE"/>
    <w:rsid w:val="2D5A4622"/>
    <w:rsid w:val="2D872B3B"/>
    <w:rsid w:val="2DFC2773"/>
    <w:rsid w:val="2E1A3F39"/>
    <w:rsid w:val="2F097580"/>
    <w:rsid w:val="2FF724B1"/>
    <w:rsid w:val="32053350"/>
    <w:rsid w:val="3240150B"/>
    <w:rsid w:val="32BB5035"/>
    <w:rsid w:val="32E225C2"/>
    <w:rsid w:val="335A2AA0"/>
    <w:rsid w:val="336D4065"/>
    <w:rsid w:val="33B026C0"/>
    <w:rsid w:val="33CE0028"/>
    <w:rsid w:val="33D62126"/>
    <w:rsid w:val="34A336FF"/>
    <w:rsid w:val="36EE3C2B"/>
    <w:rsid w:val="375C22A9"/>
    <w:rsid w:val="376B4FF9"/>
    <w:rsid w:val="38997BC6"/>
    <w:rsid w:val="39B34CB8"/>
    <w:rsid w:val="3A835DE3"/>
    <w:rsid w:val="3ABB3E24"/>
    <w:rsid w:val="3B634284"/>
    <w:rsid w:val="3C97441D"/>
    <w:rsid w:val="3CF96E86"/>
    <w:rsid w:val="3D2410E7"/>
    <w:rsid w:val="3D5945BA"/>
    <w:rsid w:val="3DCB0822"/>
    <w:rsid w:val="3F116709"/>
    <w:rsid w:val="407056B1"/>
    <w:rsid w:val="408927FA"/>
    <w:rsid w:val="41A039FB"/>
    <w:rsid w:val="426C62D9"/>
    <w:rsid w:val="428B1584"/>
    <w:rsid w:val="42993F16"/>
    <w:rsid w:val="43652732"/>
    <w:rsid w:val="436D4129"/>
    <w:rsid w:val="44FC6808"/>
    <w:rsid w:val="45102FBE"/>
    <w:rsid w:val="45246A6A"/>
    <w:rsid w:val="45AB43E5"/>
    <w:rsid w:val="45D87F80"/>
    <w:rsid w:val="461E53A0"/>
    <w:rsid w:val="474F7726"/>
    <w:rsid w:val="477E4E55"/>
    <w:rsid w:val="490177EE"/>
    <w:rsid w:val="496C0326"/>
    <w:rsid w:val="4A3D5D50"/>
    <w:rsid w:val="4B4E2288"/>
    <w:rsid w:val="4B680126"/>
    <w:rsid w:val="4BA34B8C"/>
    <w:rsid w:val="4C085C69"/>
    <w:rsid w:val="4CDA6ACC"/>
    <w:rsid w:val="4CFF4044"/>
    <w:rsid w:val="4D01600E"/>
    <w:rsid w:val="4D412B24"/>
    <w:rsid w:val="4E0F02B7"/>
    <w:rsid w:val="4F783370"/>
    <w:rsid w:val="4F9150FF"/>
    <w:rsid w:val="4FD12FCD"/>
    <w:rsid w:val="50F33EC0"/>
    <w:rsid w:val="510B5593"/>
    <w:rsid w:val="511107EA"/>
    <w:rsid w:val="52983293"/>
    <w:rsid w:val="537D544D"/>
    <w:rsid w:val="54AA6F8B"/>
    <w:rsid w:val="54C47921"/>
    <w:rsid w:val="54D758A7"/>
    <w:rsid w:val="555962BC"/>
    <w:rsid w:val="563C1E65"/>
    <w:rsid w:val="58207565"/>
    <w:rsid w:val="5A1B4488"/>
    <w:rsid w:val="5ADB13C2"/>
    <w:rsid w:val="5B6B4F9B"/>
    <w:rsid w:val="5BF25FDB"/>
    <w:rsid w:val="5C741C2D"/>
    <w:rsid w:val="5C7D6D34"/>
    <w:rsid w:val="5CDC1EAD"/>
    <w:rsid w:val="5D3F66DF"/>
    <w:rsid w:val="5D6B3030"/>
    <w:rsid w:val="5E4C2E61"/>
    <w:rsid w:val="5E74066B"/>
    <w:rsid w:val="5EA11795"/>
    <w:rsid w:val="5EB12A83"/>
    <w:rsid w:val="611B6B1B"/>
    <w:rsid w:val="61483DB4"/>
    <w:rsid w:val="619F0A39"/>
    <w:rsid w:val="61F47A98"/>
    <w:rsid w:val="62031A89"/>
    <w:rsid w:val="630C7063"/>
    <w:rsid w:val="63D91771"/>
    <w:rsid w:val="64701E66"/>
    <w:rsid w:val="67C63C85"/>
    <w:rsid w:val="681F15E7"/>
    <w:rsid w:val="682409AB"/>
    <w:rsid w:val="68776D2D"/>
    <w:rsid w:val="6888718C"/>
    <w:rsid w:val="69CB37D4"/>
    <w:rsid w:val="6A3749C6"/>
    <w:rsid w:val="6BA047ED"/>
    <w:rsid w:val="6D45564C"/>
    <w:rsid w:val="6DE54739"/>
    <w:rsid w:val="6E1374F8"/>
    <w:rsid w:val="6E2F2779"/>
    <w:rsid w:val="6EC802E2"/>
    <w:rsid w:val="6EF33DE3"/>
    <w:rsid w:val="6F112BDC"/>
    <w:rsid w:val="6F9423D4"/>
    <w:rsid w:val="6FEF5D43"/>
    <w:rsid w:val="70DC68F1"/>
    <w:rsid w:val="71463740"/>
    <w:rsid w:val="719B1CDE"/>
    <w:rsid w:val="71E03B95"/>
    <w:rsid w:val="72807126"/>
    <w:rsid w:val="72C847CA"/>
    <w:rsid w:val="735B764F"/>
    <w:rsid w:val="740F6B94"/>
    <w:rsid w:val="74810CDA"/>
    <w:rsid w:val="74DD616A"/>
    <w:rsid w:val="757069E7"/>
    <w:rsid w:val="75B96BD7"/>
    <w:rsid w:val="76805946"/>
    <w:rsid w:val="77C67389"/>
    <w:rsid w:val="77DE0B76"/>
    <w:rsid w:val="797D2716"/>
    <w:rsid w:val="79A35483"/>
    <w:rsid w:val="79F8272E"/>
    <w:rsid w:val="7A1A39BC"/>
    <w:rsid w:val="7B3B22B3"/>
    <w:rsid w:val="7B5A1BAF"/>
    <w:rsid w:val="7B917CAE"/>
    <w:rsid w:val="7B9751B2"/>
    <w:rsid w:val="7C5326C5"/>
    <w:rsid w:val="7D380D29"/>
    <w:rsid w:val="7D823D52"/>
    <w:rsid w:val="7EA627B3"/>
    <w:rsid w:val="7ECD72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99"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6"/>
    <w:next w:val="1"/>
    <w:link w:val="61"/>
    <w:qFormat/>
    <w:uiPriority w:val="0"/>
    <w:pPr>
      <w:keepNext/>
    </w:pPr>
    <w:rPr>
      <w:bCs/>
      <w:sz w:val="24"/>
      <w:szCs w:val="20"/>
    </w:rPr>
  </w:style>
  <w:style w:type="paragraph" w:styleId="7">
    <w:name w:val="heading 2"/>
    <w:basedOn w:val="1"/>
    <w:next w:val="1"/>
    <w:link w:val="62"/>
    <w:qFormat/>
    <w:uiPriority w:val="0"/>
    <w:pPr>
      <w:keepNext/>
      <w:keepLines/>
      <w:spacing w:line="360" w:lineRule="auto"/>
      <w:outlineLvl w:val="1"/>
    </w:pPr>
    <w:rPr>
      <w:rFonts w:ascii="Arial" w:hAnsi="Arial"/>
      <w:b/>
      <w:bCs/>
      <w:sz w:val="24"/>
      <w:szCs w:val="32"/>
    </w:rPr>
  </w:style>
  <w:style w:type="paragraph" w:styleId="8">
    <w:name w:val="heading 3"/>
    <w:basedOn w:val="1"/>
    <w:next w:val="1"/>
    <w:link w:val="63"/>
    <w:qFormat/>
    <w:uiPriority w:val="0"/>
    <w:pPr>
      <w:keepNext/>
      <w:keepLines/>
      <w:spacing w:before="260" w:after="260" w:line="416" w:lineRule="auto"/>
      <w:outlineLvl w:val="2"/>
    </w:pPr>
    <w:rPr>
      <w:b/>
      <w:bCs/>
      <w:sz w:val="32"/>
      <w:szCs w:val="32"/>
    </w:rPr>
  </w:style>
  <w:style w:type="paragraph" w:styleId="9">
    <w:name w:val="heading 4"/>
    <w:basedOn w:val="1"/>
    <w:next w:val="1"/>
    <w:link w:val="64"/>
    <w:qFormat/>
    <w:uiPriority w:val="0"/>
    <w:pPr>
      <w:keepNext/>
      <w:keepLines/>
      <w:spacing w:before="280" w:after="290" w:line="376" w:lineRule="auto"/>
      <w:outlineLvl w:val="3"/>
    </w:pPr>
    <w:rPr>
      <w:rFonts w:ascii="Arial" w:hAnsi="Arial" w:eastAsia="黑体"/>
      <w:b/>
      <w:bCs/>
      <w:sz w:val="28"/>
      <w:szCs w:val="28"/>
    </w:rPr>
  </w:style>
  <w:style w:type="paragraph" w:styleId="10">
    <w:name w:val="heading 5"/>
    <w:basedOn w:val="1"/>
    <w:next w:val="1"/>
    <w:link w:val="65"/>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11">
    <w:name w:val="heading 6"/>
    <w:basedOn w:val="1"/>
    <w:next w:val="1"/>
    <w:link w:val="66"/>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4">
    <w:name w:val="heading 7"/>
    <w:basedOn w:val="1"/>
    <w:next w:val="1"/>
    <w:link w:val="67"/>
    <w:qFormat/>
    <w:uiPriority w:val="0"/>
    <w:pPr>
      <w:keepNext/>
      <w:keepLines/>
      <w:adjustRightInd w:val="0"/>
      <w:spacing w:before="240" w:after="64" w:line="320" w:lineRule="atLeast"/>
      <w:jc w:val="left"/>
      <w:textAlignment w:val="baseline"/>
      <w:outlineLvl w:val="6"/>
    </w:pPr>
    <w:rPr>
      <w:b/>
      <w:bCs/>
      <w:kern w:val="0"/>
      <w:sz w:val="24"/>
    </w:rPr>
  </w:style>
  <w:style w:type="paragraph" w:styleId="12">
    <w:name w:val="heading 8"/>
    <w:basedOn w:val="1"/>
    <w:next w:val="1"/>
    <w:link w:val="68"/>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3">
    <w:name w:val="heading 9"/>
    <w:basedOn w:val="1"/>
    <w:next w:val="1"/>
    <w:link w:val="69"/>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8">
    <w:name w:val="Default Paragraph Font"/>
    <w:unhideWhenUsed/>
    <w:qFormat/>
    <w:uiPriority w:val="1"/>
  </w:style>
  <w:style w:type="table" w:default="1" w:styleId="4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列出段落1"/>
    <w:basedOn w:val="3"/>
    <w:next w:val="4"/>
    <w:qFormat/>
    <w:uiPriority w:val="0"/>
    <w:pPr>
      <w:ind w:firstLine="420" w:firstLineChars="200"/>
    </w:pPr>
    <w:rPr>
      <w:rFonts w:ascii="Calibri" w:hAnsi="Calibri"/>
      <w:szCs w:val="22"/>
    </w:rPr>
  </w:style>
  <w:style w:type="paragraph" w:customStyle="1" w:styleId="3">
    <w:name w:val="正文_10_43"/>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Title"/>
    <w:basedOn w:val="1"/>
    <w:next w:val="1"/>
    <w:link w:val="80"/>
    <w:qFormat/>
    <w:uiPriority w:val="0"/>
    <w:pPr>
      <w:spacing w:before="240" w:after="60"/>
      <w:jc w:val="center"/>
      <w:outlineLvl w:val="0"/>
    </w:pPr>
    <w:rPr>
      <w:rFonts w:ascii="Cambria" w:hAnsi="Cambria"/>
      <w:b/>
      <w:sz w:val="32"/>
    </w:rPr>
  </w:style>
  <w:style w:type="paragraph" w:styleId="14">
    <w:name w:val="toc 7"/>
    <w:basedOn w:val="1"/>
    <w:next w:val="1"/>
    <w:qFormat/>
    <w:uiPriority w:val="39"/>
    <w:pPr>
      <w:ind w:left="2520" w:leftChars="1200"/>
    </w:pPr>
    <w:rPr>
      <w:rFonts w:ascii="Calibri" w:hAnsi="Calibri"/>
      <w:szCs w:val="22"/>
    </w:rPr>
  </w:style>
  <w:style w:type="paragraph" w:styleId="15">
    <w:name w:val="Normal Indent"/>
    <w:basedOn w:val="1"/>
    <w:qFormat/>
    <w:uiPriority w:val="0"/>
    <w:pPr>
      <w:widowControl/>
      <w:ind w:firstLine="420"/>
      <w:jc w:val="left"/>
    </w:pPr>
    <w:rPr>
      <w:kern w:val="0"/>
      <w:sz w:val="20"/>
      <w:szCs w:val="20"/>
    </w:rPr>
  </w:style>
  <w:style w:type="paragraph" w:styleId="16">
    <w:name w:val="Document Map"/>
    <w:basedOn w:val="1"/>
    <w:link w:val="81"/>
    <w:semiHidden/>
    <w:qFormat/>
    <w:uiPriority w:val="0"/>
    <w:pPr>
      <w:shd w:val="clear" w:color="auto" w:fill="000080"/>
    </w:pPr>
  </w:style>
  <w:style w:type="paragraph" w:styleId="17">
    <w:name w:val="annotation text"/>
    <w:basedOn w:val="1"/>
    <w:link w:val="82"/>
    <w:semiHidden/>
    <w:qFormat/>
    <w:uiPriority w:val="0"/>
    <w:pPr>
      <w:jc w:val="left"/>
    </w:pPr>
  </w:style>
  <w:style w:type="paragraph" w:styleId="18">
    <w:name w:val="Salutation"/>
    <w:basedOn w:val="1"/>
    <w:next w:val="1"/>
    <w:link w:val="84"/>
    <w:qFormat/>
    <w:uiPriority w:val="0"/>
    <w:rPr>
      <w:rFonts w:ascii="仿宋_GB2312" w:eastAsia="仿宋_GB2312"/>
      <w:sz w:val="24"/>
    </w:rPr>
  </w:style>
  <w:style w:type="paragraph" w:styleId="19">
    <w:name w:val="Body Text 3"/>
    <w:basedOn w:val="1"/>
    <w:link w:val="85"/>
    <w:qFormat/>
    <w:uiPriority w:val="0"/>
    <w:pPr>
      <w:autoSpaceDE w:val="0"/>
      <w:autoSpaceDN w:val="0"/>
      <w:adjustRightInd w:val="0"/>
      <w:spacing w:line="410" w:lineRule="atLeast"/>
      <w:jc w:val="left"/>
    </w:pPr>
    <w:rPr>
      <w:rFonts w:ascii="宋体"/>
      <w:color w:val="000000"/>
      <w:kern w:val="0"/>
      <w:sz w:val="24"/>
      <w:szCs w:val="20"/>
    </w:rPr>
  </w:style>
  <w:style w:type="paragraph" w:styleId="20">
    <w:name w:val="Body Text"/>
    <w:basedOn w:val="1"/>
    <w:link w:val="79"/>
    <w:qFormat/>
    <w:uiPriority w:val="0"/>
    <w:pPr>
      <w:spacing w:after="120"/>
    </w:pPr>
  </w:style>
  <w:style w:type="paragraph" w:styleId="21">
    <w:name w:val="Body Text Indent"/>
    <w:basedOn w:val="1"/>
    <w:next w:val="22"/>
    <w:link w:val="86"/>
    <w:qFormat/>
    <w:uiPriority w:val="0"/>
    <w:pPr>
      <w:spacing w:after="120"/>
      <w:ind w:left="420" w:leftChars="200"/>
    </w:pPr>
  </w:style>
  <w:style w:type="paragraph" w:customStyle="1" w:styleId="22">
    <w:name w:val="font5"/>
    <w:basedOn w:val="1"/>
    <w:qFormat/>
    <w:uiPriority w:val="0"/>
    <w:pPr>
      <w:widowControl/>
      <w:spacing w:before="100" w:beforeAutospacing="1" w:after="100" w:afterAutospacing="1"/>
      <w:jc w:val="left"/>
    </w:pPr>
    <w:rPr>
      <w:rFonts w:ascii="宋体"/>
      <w:kern w:val="0"/>
      <w:sz w:val="18"/>
      <w:szCs w:val="18"/>
    </w:rPr>
  </w:style>
  <w:style w:type="paragraph" w:styleId="23">
    <w:name w:val="Block Text"/>
    <w:basedOn w:val="1"/>
    <w:qFormat/>
    <w:uiPriority w:val="0"/>
    <w:pPr>
      <w:ind w:left="1171" w:right="91" w:hanging="1080"/>
    </w:pPr>
    <w:rPr>
      <w:rFonts w:eastAsia="楷体_GB2312"/>
      <w:szCs w:val="20"/>
    </w:rPr>
  </w:style>
  <w:style w:type="paragraph" w:styleId="24">
    <w:name w:val="toc 5"/>
    <w:basedOn w:val="1"/>
    <w:next w:val="1"/>
    <w:qFormat/>
    <w:uiPriority w:val="39"/>
    <w:pPr>
      <w:ind w:left="1680" w:leftChars="800"/>
    </w:pPr>
    <w:rPr>
      <w:rFonts w:ascii="Calibri" w:hAnsi="Calibri"/>
      <w:szCs w:val="22"/>
    </w:rPr>
  </w:style>
  <w:style w:type="paragraph" w:styleId="25">
    <w:name w:val="toc 3"/>
    <w:basedOn w:val="1"/>
    <w:next w:val="1"/>
    <w:qFormat/>
    <w:uiPriority w:val="39"/>
    <w:pPr>
      <w:adjustRightInd w:val="0"/>
      <w:snapToGrid w:val="0"/>
      <w:spacing w:line="360" w:lineRule="auto"/>
      <w:ind w:left="400" w:leftChars="400"/>
    </w:pPr>
  </w:style>
  <w:style w:type="paragraph" w:styleId="26">
    <w:name w:val="Plain Text"/>
    <w:basedOn w:val="1"/>
    <w:link w:val="88"/>
    <w:qFormat/>
    <w:uiPriority w:val="0"/>
    <w:rPr>
      <w:rFonts w:ascii="宋体" w:hAnsi="Courier New" w:cs="Courier New"/>
      <w:szCs w:val="21"/>
    </w:rPr>
  </w:style>
  <w:style w:type="paragraph" w:styleId="27">
    <w:name w:val="toc 8"/>
    <w:basedOn w:val="1"/>
    <w:next w:val="1"/>
    <w:qFormat/>
    <w:uiPriority w:val="39"/>
    <w:pPr>
      <w:ind w:left="2940" w:leftChars="1400"/>
    </w:pPr>
    <w:rPr>
      <w:rFonts w:ascii="Calibri" w:hAnsi="Calibri"/>
      <w:szCs w:val="22"/>
    </w:rPr>
  </w:style>
  <w:style w:type="paragraph" w:styleId="28">
    <w:name w:val="Date"/>
    <w:basedOn w:val="1"/>
    <w:next w:val="1"/>
    <w:link w:val="89"/>
    <w:qFormat/>
    <w:uiPriority w:val="0"/>
    <w:rPr>
      <w:sz w:val="24"/>
      <w:szCs w:val="20"/>
    </w:rPr>
  </w:style>
  <w:style w:type="paragraph" w:styleId="29">
    <w:name w:val="Body Text Indent 2"/>
    <w:basedOn w:val="1"/>
    <w:link w:val="91"/>
    <w:qFormat/>
    <w:uiPriority w:val="0"/>
    <w:pPr>
      <w:spacing w:after="120" w:line="480" w:lineRule="auto"/>
      <w:ind w:left="420" w:leftChars="200"/>
    </w:pPr>
  </w:style>
  <w:style w:type="paragraph" w:styleId="30">
    <w:name w:val="Balloon Text"/>
    <w:basedOn w:val="1"/>
    <w:link w:val="92"/>
    <w:qFormat/>
    <w:uiPriority w:val="0"/>
    <w:rPr>
      <w:rFonts w:ascii="Calibri" w:hAnsi="Calibri"/>
      <w:sz w:val="18"/>
      <w:szCs w:val="18"/>
    </w:rPr>
  </w:style>
  <w:style w:type="paragraph" w:styleId="31">
    <w:name w:val="footer"/>
    <w:basedOn w:val="1"/>
    <w:link w:val="94"/>
    <w:qFormat/>
    <w:uiPriority w:val="99"/>
    <w:pPr>
      <w:tabs>
        <w:tab w:val="center" w:pos="4153"/>
        <w:tab w:val="right" w:pos="8306"/>
      </w:tabs>
      <w:snapToGrid w:val="0"/>
      <w:jc w:val="left"/>
    </w:pPr>
    <w:rPr>
      <w:sz w:val="18"/>
      <w:szCs w:val="18"/>
    </w:rPr>
  </w:style>
  <w:style w:type="paragraph" w:styleId="32">
    <w:name w:val="header"/>
    <w:basedOn w:val="1"/>
    <w:link w:val="96"/>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adjustRightInd w:val="0"/>
      <w:snapToGrid w:val="0"/>
      <w:spacing w:line="360" w:lineRule="auto"/>
    </w:pPr>
    <w:rPr>
      <w:b/>
      <w:sz w:val="28"/>
    </w:rPr>
  </w:style>
  <w:style w:type="paragraph" w:styleId="34">
    <w:name w:val="toc 4"/>
    <w:basedOn w:val="1"/>
    <w:next w:val="1"/>
    <w:qFormat/>
    <w:uiPriority w:val="39"/>
    <w:pPr>
      <w:adjustRightInd w:val="0"/>
      <w:snapToGrid w:val="0"/>
      <w:spacing w:line="360" w:lineRule="auto"/>
      <w:ind w:left="600" w:leftChars="600"/>
    </w:pPr>
    <w:rPr>
      <w:b/>
    </w:rPr>
  </w:style>
  <w:style w:type="paragraph" w:styleId="35">
    <w:name w:val="toc 6"/>
    <w:basedOn w:val="1"/>
    <w:next w:val="1"/>
    <w:qFormat/>
    <w:uiPriority w:val="39"/>
    <w:pPr>
      <w:ind w:left="2100" w:leftChars="1000"/>
    </w:pPr>
    <w:rPr>
      <w:rFonts w:ascii="Calibri" w:hAnsi="Calibri"/>
      <w:szCs w:val="22"/>
    </w:rPr>
  </w:style>
  <w:style w:type="paragraph" w:styleId="36">
    <w:name w:val="Body Text Indent 3"/>
    <w:basedOn w:val="1"/>
    <w:link w:val="98"/>
    <w:qFormat/>
    <w:uiPriority w:val="0"/>
    <w:pPr>
      <w:spacing w:after="120"/>
      <w:ind w:left="420" w:leftChars="200"/>
    </w:pPr>
    <w:rPr>
      <w:sz w:val="16"/>
      <w:szCs w:val="16"/>
    </w:rPr>
  </w:style>
  <w:style w:type="paragraph" w:styleId="37">
    <w:name w:val="toc 2"/>
    <w:basedOn w:val="1"/>
    <w:next w:val="1"/>
    <w:qFormat/>
    <w:uiPriority w:val="39"/>
    <w:pPr>
      <w:adjustRightInd w:val="0"/>
      <w:snapToGrid w:val="0"/>
      <w:spacing w:line="360" w:lineRule="auto"/>
      <w:ind w:left="200" w:leftChars="200"/>
    </w:pPr>
  </w:style>
  <w:style w:type="paragraph" w:styleId="38">
    <w:name w:val="toc 9"/>
    <w:basedOn w:val="1"/>
    <w:next w:val="1"/>
    <w:qFormat/>
    <w:uiPriority w:val="39"/>
    <w:pPr>
      <w:ind w:left="3360" w:leftChars="1600"/>
    </w:pPr>
    <w:rPr>
      <w:rFonts w:ascii="Calibri" w:hAnsi="Calibri"/>
      <w:szCs w:val="22"/>
    </w:rPr>
  </w:style>
  <w:style w:type="paragraph" w:styleId="39">
    <w:name w:val="Body Text 2"/>
    <w:basedOn w:val="1"/>
    <w:link w:val="100"/>
    <w:qFormat/>
    <w:uiPriority w:val="0"/>
    <w:pPr>
      <w:spacing w:after="120" w:line="480" w:lineRule="auto"/>
    </w:pPr>
  </w:style>
  <w:style w:type="paragraph" w:styleId="40">
    <w:name w:val="HTML Preformatted"/>
    <w:basedOn w:val="1"/>
    <w:link w:val="10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4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2">
    <w:name w:val="index 1"/>
    <w:basedOn w:val="1"/>
    <w:next w:val="1"/>
    <w:qFormat/>
    <w:uiPriority w:val="0"/>
    <w:pPr>
      <w:spacing w:line="220" w:lineRule="exact"/>
      <w:jc w:val="center"/>
    </w:pPr>
    <w:rPr>
      <w:rFonts w:ascii="仿宋_GB2312" w:eastAsia="仿宋_GB2312"/>
      <w:szCs w:val="20"/>
    </w:rPr>
  </w:style>
  <w:style w:type="paragraph" w:styleId="43">
    <w:name w:val="annotation subject"/>
    <w:basedOn w:val="17"/>
    <w:next w:val="17"/>
    <w:link w:val="102"/>
    <w:qFormat/>
    <w:uiPriority w:val="0"/>
    <w:rPr>
      <w:b/>
      <w:bCs/>
    </w:rPr>
  </w:style>
  <w:style w:type="paragraph" w:styleId="44">
    <w:name w:val="Body Text First Indent"/>
    <w:basedOn w:val="20"/>
    <w:link w:val="104"/>
    <w:unhideWhenUsed/>
    <w:qFormat/>
    <w:uiPriority w:val="99"/>
    <w:pPr>
      <w:ind w:firstLine="420" w:firstLineChars="100"/>
    </w:pPr>
  </w:style>
  <w:style w:type="paragraph" w:styleId="45">
    <w:name w:val="Body Text First Indent 2"/>
    <w:basedOn w:val="21"/>
    <w:next w:val="15"/>
    <w:link w:val="105"/>
    <w:qFormat/>
    <w:uiPriority w:val="0"/>
    <w:pPr>
      <w:ind w:firstLine="420" w:firstLineChars="200"/>
    </w:pPr>
  </w:style>
  <w:style w:type="table" w:styleId="47">
    <w:name w:val="Table Grid"/>
    <w:basedOn w:val="46"/>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9">
    <w:name w:val="Strong"/>
    <w:qFormat/>
    <w:uiPriority w:val="0"/>
    <w:rPr>
      <w:b/>
      <w:bCs/>
    </w:rPr>
  </w:style>
  <w:style w:type="character" w:styleId="50">
    <w:name w:val="page number"/>
    <w:basedOn w:val="48"/>
    <w:qFormat/>
    <w:uiPriority w:val="0"/>
    <w:rPr>
      <w:rFonts w:eastAsia="仿宋_GB2312"/>
      <w:sz w:val="24"/>
    </w:rPr>
  </w:style>
  <w:style w:type="character" w:styleId="51">
    <w:name w:val="FollowedHyperlink"/>
    <w:qFormat/>
    <w:uiPriority w:val="0"/>
    <w:rPr>
      <w:color w:val="800080"/>
      <w:u w:val="single"/>
    </w:rPr>
  </w:style>
  <w:style w:type="character" w:styleId="52">
    <w:name w:val="Emphasis"/>
    <w:qFormat/>
    <w:uiPriority w:val="0"/>
    <w:rPr>
      <w:rFonts w:ascii="Times New Roman" w:hAnsi="Times New Roman" w:eastAsia="宋体"/>
    </w:rPr>
  </w:style>
  <w:style w:type="character" w:styleId="53">
    <w:name w:val="HTML Definition"/>
    <w:qFormat/>
    <w:uiPriority w:val="0"/>
    <w:rPr>
      <w:rFonts w:ascii="Times New Roman" w:hAnsi="Times New Roman" w:eastAsia="宋体"/>
    </w:rPr>
  </w:style>
  <w:style w:type="character" w:styleId="54">
    <w:name w:val="HTML Variable"/>
    <w:qFormat/>
    <w:uiPriority w:val="0"/>
    <w:rPr>
      <w:rFonts w:ascii="Times New Roman" w:hAnsi="Times New Roman" w:eastAsia="宋体"/>
    </w:rPr>
  </w:style>
  <w:style w:type="character" w:styleId="55">
    <w:name w:val="Hyperlink"/>
    <w:qFormat/>
    <w:uiPriority w:val="99"/>
    <w:rPr>
      <w:color w:val="136EC2"/>
      <w:u w:val="single"/>
    </w:rPr>
  </w:style>
  <w:style w:type="character" w:styleId="56">
    <w:name w:val="HTML Code"/>
    <w:qFormat/>
    <w:uiPriority w:val="0"/>
    <w:rPr>
      <w:rFonts w:ascii="Courier New" w:hAnsi="Courier New" w:eastAsia="Courier New" w:cs="Courier New"/>
      <w:sz w:val="20"/>
    </w:rPr>
  </w:style>
  <w:style w:type="character" w:styleId="57">
    <w:name w:val="annotation reference"/>
    <w:qFormat/>
    <w:uiPriority w:val="0"/>
    <w:rPr>
      <w:sz w:val="21"/>
      <w:szCs w:val="21"/>
    </w:rPr>
  </w:style>
  <w:style w:type="character" w:styleId="58">
    <w:name w:val="HTML Cite"/>
    <w:qFormat/>
    <w:uiPriority w:val="0"/>
    <w:rPr>
      <w:rFonts w:ascii="Times New Roman" w:hAnsi="Times New Roman" w:eastAsia="宋体"/>
    </w:rPr>
  </w:style>
  <w:style w:type="character" w:styleId="59">
    <w:name w:val="HTML Keyboard"/>
    <w:qFormat/>
    <w:uiPriority w:val="0"/>
    <w:rPr>
      <w:rFonts w:ascii="Courier New" w:hAnsi="Courier New" w:eastAsia="Courier New" w:cs="Courier New"/>
      <w:sz w:val="20"/>
    </w:rPr>
  </w:style>
  <w:style w:type="character" w:styleId="60">
    <w:name w:val="HTML Sample"/>
    <w:qFormat/>
    <w:uiPriority w:val="0"/>
    <w:rPr>
      <w:rFonts w:ascii="Courier New" w:hAnsi="Courier New" w:eastAsia="Courier New" w:cs="Courier New"/>
    </w:rPr>
  </w:style>
  <w:style w:type="character" w:customStyle="1" w:styleId="61">
    <w:name w:val="标题 1 Char1"/>
    <w:basedOn w:val="48"/>
    <w:link w:val="5"/>
    <w:qFormat/>
    <w:uiPriority w:val="0"/>
    <w:rPr>
      <w:rFonts w:ascii="Cambria" w:hAnsi="Cambria" w:eastAsia="宋体" w:cs="Times New Roman"/>
      <w:b/>
      <w:bCs/>
      <w:sz w:val="24"/>
      <w:szCs w:val="20"/>
    </w:rPr>
  </w:style>
  <w:style w:type="character" w:customStyle="1" w:styleId="62">
    <w:name w:val="标题 2 Char1"/>
    <w:basedOn w:val="48"/>
    <w:link w:val="7"/>
    <w:qFormat/>
    <w:uiPriority w:val="0"/>
    <w:rPr>
      <w:rFonts w:ascii="Arial" w:hAnsi="Arial" w:eastAsia="宋体" w:cs="Times New Roman"/>
      <w:b/>
      <w:bCs/>
      <w:sz w:val="24"/>
      <w:szCs w:val="32"/>
    </w:rPr>
  </w:style>
  <w:style w:type="character" w:customStyle="1" w:styleId="63">
    <w:name w:val="标题 3 Char1"/>
    <w:basedOn w:val="48"/>
    <w:link w:val="8"/>
    <w:qFormat/>
    <w:uiPriority w:val="0"/>
    <w:rPr>
      <w:rFonts w:ascii="Times New Roman" w:hAnsi="Times New Roman" w:eastAsia="宋体" w:cs="Times New Roman"/>
      <w:b/>
      <w:bCs/>
      <w:sz w:val="32"/>
      <w:szCs w:val="32"/>
    </w:rPr>
  </w:style>
  <w:style w:type="character" w:customStyle="1" w:styleId="64">
    <w:name w:val="标题 4 Char1"/>
    <w:basedOn w:val="48"/>
    <w:link w:val="9"/>
    <w:qFormat/>
    <w:uiPriority w:val="0"/>
    <w:rPr>
      <w:rFonts w:ascii="Arial" w:hAnsi="Arial" w:eastAsia="黑体" w:cs="Times New Roman"/>
      <w:b/>
      <w:bCs/>
      <w:sz w:val="28"/>
      <w:szCs w:val="28"/>
    </w:rPr>
  </w:style>
  <w:style w:type="character" w:customStyle="1" w:styleId="65">
    <w:name w:val="标题 5 Char1"/>
    <w:basedOn w:val="48"/>
    <w:link w:val="10"/>
    <w:qFormat/>
    <w:uiPriority w:val="0"/>
    <w:rPr>
      <w:rFonts w:ascii="Times New Roman" w:hAnsi="Times New Roman" w:eastAsia="宋体" w:cs="Times New Roman"/>
      <w:b/>
      <w:bCs/>
      <w:kern w:val="0"/>
      <w:sz w:val="28"/>
      <w:szCs w:val="28"/>
    </w:rPr>
  </w:style>
  <w:style w:type="character" w:customStyle="1" w:styleId="66">
    <w:name w:val="标题 6 Char1"/>
    <w:basedOn w:val="48"/>
    <w:link w:val="11"/>
    <w:qFormat/>
    <w:uiPriority w:val="0"/>
    <w:rPr>
      <w:rFonts w:ascii="Arial" w:hAnsi="Arial" w:eastAsia="黑体" w:cs="Times New Roman"/>
      <w:b/>
      <w:bCs/>
      <w:kern w:val="0"/>
      <w:sz w:val="24"/>
      <w:szCs w:val="24"/>
    </w:rPr>
  </w:style>
  <w:style w:type="character" w:customStyle="1" w:styleId="67">
    <w:name w:val="标题 7 Char1"/>
    <w:basedOn w:val="48"/>
    <w:link w:val="4"/>
    <w:qFormat/>
    <w:uiPriority w:val="0"/>
    <w:rPr>
      <w:rFonts w:ascii="Times New Roman" w:hAnsi="Times New Roman" w:eastAsia="宋体" w:cs="Times New Roman"/>
      <w:b/>
      <w:bCs/>
      <w:kern w:val="0"/>
      <w:sz w:val="24"/>
      <w:szCs w:val="24"/>
    </w:rPr>
  </w:style>
  <w:style w:type="character" w:customStyle="1" w:styleId="68">
    <w:name w:val="标题 8 Char1"/>
    <w:basedOn w:val="48"/>
    <w:link w:val="12"/>
    <w:qFormat/>
    <w:uiPriority w:val="0"/>
    <w:rPr>
      <w:rFonts w:ascii="Arial" w:hAnsi="Arial" w:eastAsia="黑体" w:cs="Times New Roman"/>
      <w:kern w:val="0"/>
      <w:sz w:val="24"/>
      <w:szCs w:val="24"/>
    </w:rPr>
  </w:style>
  <w:style w:type="character" w:customStyle="1" w:styleId="69">
    <w:name w:val="标题 9 Char1"/>
    <w:basedOn w:val="48"/>
    <w:link w:val="13"/>
    <w:qFormat/>
    <w:uiPriority w:val="0"/>
    <w:rPr>
      <w:rFonts w:ascii="Arial" w:hAnsi="Arial" w:eastAsia="黑体" w:cs="Times New Roman"/>
      <w:kern w:val="0"/>
      <w:szCs w:val="21"/>
    </w:rPr>
  </w:style>
  <w:style w:type="character" w:customStyle="1" w:styleId="70">
    <w:name w:val="标题 1 Char"/>
    <w:basedOn w:val="48"/>
    <w:qFormat/>
    <w:uiPriority w:val="0"/>
    <w:rPr>
      <w:rFonts w:ascii="Times New Roman" w:hAnsi="Times New Roman" w:eastAsia="宋体" w:cs="Times New Roman"/>
      <w:b/>
      <w:bCs/>
      <w:kern w:val="44"/>
      <w:sz w:val="44"/>
      <w:szCs w:val="44"/>
    </w:rPr>
  </w:style>
  <w:style w:type="character" w:customStyle="1" w:styleId="71">
    <w:name w:val="标题 2 Char"/>
    <w:basedOn w:val="48"/>
    <w:qFormat/>
    <w:uiPriority w:val="0"/>
    <w:rPr>
      <w:rFonts w:asciiTheme="majorHAnsi" w:hAnsiTheme="majorHAnsi" w:eastAsiaTheme="majorEastAsia" w:cstheme="majorBidi"/>
      <w:b/>
      <w:bCs/>
      <w:sz w:val="32"/>
      <w:szCs w:val="32"/>
    </w:rPr>
  </w:style>
  <w:style w:type="character" w:customStyle="1" w:styleId="72">
    <w:name w:val="标题 3 Char"/>
    <w:basedOn w:val="48"/>
    <w:qFormat/>
    <w:uiPriority w:val="0"/>
    <w:rPr>
      <w:rFonts w:ascii="Times New Roman" w:hAnsi="Times New Roman" w:eastAsia="宋体" w:cs="Times New Roman"/>
      <w:b/>
      <w:bCs/>
      <w:sz w:val="32"/>
      <w:szCs w:val="32"/>
    </w:rPr>
  </w:style>
  <w:style w:type="character" w:customStyle="1" w:styleId="73">
    <w:name w:val="标题 4 Char"/>
    <w:basedOn w:val="48"/>
    <w:qFormat/>
    <w:uiPriority w:val="0"/>
    <w:rPr>
      <w:rFonts w:asciiTheme="majorHAnsi" w:hAnsiTheme="majorHAnsi" w:eastAsiaTheme="majorEastAsia" w:cstheme="majorBidi"/>
      <w:b/>
      <w:bCs/>
      <w:sz w:val="28"/>
      <w:szCs w:val="28"/>
    </w:rPr>
  </w:style>
  <w:style w:type="character" w:customStyle="1" w:styleId="74">
    <w:name w:val="标题 5 Char"/>
    <w:basedOn w:val="48"/>
    <w:qFormat/>
    <w:uiPriority w:val="0"/>
    <w:rPr>
      <w:rFonts w:ascii="Times New Roman" w:hAnsi="Times New Roman" w:eastAsia="宋体" w:cs="Times New Roman"/>
      <w:b/>
      <w:bCs/>
      <w:sz w:val="28"/>
      <w:szCs w:val="28"/>
    </w:rPr>
  </w:style>
  <w:style w:type="character" w:customStyle="1" w:styleId="75">
    <w:name w:val="标题 6 Char"/>
    <w:basedOn w:val="48"/>
    <w:qFormat/>
    <w:uiPriority w:val="0"/>
    <w:rPr>
      <w:rFonts w:asciiTheme="majorHAnsi" w:hAnsiTheme="majorHAnsi" w:eastAsiaTheme="majorEastAsia" w:cstheme="majorBidi"/>
      <w:b/>
      <w:bCs/>
      <w:sz w:val="24"/>
      <w:szCs w:val="24"/>
    </w:rPr>
  </w:style>
  <w:style w:type="character" w:customStyle="1" w:styleId="76">
    <w:name w:val="标题 7 Char"/>
    <w:basedOn w:val="48"/>
    <w:qFormat/>
    <w:uiPriority w:val="0"/>
    <w:rPr>
      <w:rFonts w:ascii="Times New Roman" w:hAnsi="Times New Roman" w:eastAsia="宋体" w:cs="Times New Roman"/>
      <w:b/>
      <w:bCs/>
      <w:sz w:val="24"/>
      <w:szCs w:val="24"/>
    </w:rPr>
  </w:style>
  <w:style w:type="character" w:customStyle="1" w:styleId="77">
    <w:name w:val="标题 8 Char"/>
    <w:basedOn w:val="48"/>
    <w:qFormat/>
    <w:uiPriority w:val="0"/>
    <w:rPr>
      <w:rFonts w:asciiTheme="majorHAnsi" w:hAnsiTheme="majorHAnsi" w:eastAsiaTheme="majorEastAsia" w:cstheme="majorBidi"/>
      <w:sz w:val="24"/>
      <w:szCs w:val="24"/>
    </w:rPr>
  </w:style>
  <w:style w:type="character" w:customStyle="1" w:styleId="78">
    <w:name w:val="标题 9 Char"/>
    <w:basedOn w:val="48"/>
    <w:qFormat/>
    <w:uiPriority w:val="0"/>
    <w:rPr>
      <w:rFonts w:asciiTheme="majorHAnsi" w:hAnsiTheme="majorHAnsi" w:eastAsiaTheme="majorEastAsia" w:cstheme="majorBidi"/>
      <w:szCs w:val="21"/>
    </w:rPr>
  </w:style>
  <w:style w:type="character" w:customStyle="1" w:styleId="79">
    <w:name w:val="正文文本 Char"/>
    <w:basedOn w:val="48"/>
    <w:link w:val="20"/>
    <w:qFormat/>
    <w:uiPriority w:val="0"/>
    <w:rPr>
      <w:rFonts w:ascii="Times New Roman" w:hAnsi="Times New Roman" w:eastAsia="宋体" w:cs="Times New Roman"/>
      <w:szCs w:val="24"/>
    </w:rPr>
  </w:style>
  <w:style w:type="character" w:customStyle="1" w:styleId="80">
    <w:name w:val="标题 Char"/>
    <w:basedOn w:val="48"/>
    <w:link w:val="6"/>
    <w:qFormat/>
    <w:uiPriority w:val="0"/>
    <w:rPr>
      <w:rFonts w:ascii="Cambria" w:hAnsi="Cambria" w:eastAsia="宋体" w:cs="Times New Roman"/>
      <w:b/>
      <w:sz w:val="32"/>
      <w:szCs w:val="24"/>
    </w:rPr>
  </w:style>
  <w:style w:type="character" w:customStyle="1" w:styleId="81">
    <w:name w:val="文档结构图 Char"/>
    <w:basedOn w:val="48"/>
    <w:link w:val="16"/>
    <w:semiHidden/>
    <w:qFormat/>
    <w:uiPriority w:val="0"/>
    <w:rPr>
      <w:rFonts w:ascii="Times New Roman" w:hAnsi="Times New Roman" w:eastAsia="宋体" w:cs="Times New Roman"/>
      <w:szCs w:val="24"/>
      <w:shd w:val="clear" w:color="auto" w:fill="000080"/>
    </w:rPr>
  </w:style>
  <w:style w:type="character" w:customStyle="1" w:styleId="82">
    <w:name w:val="批注文字 Char1"/>
    <w:basedOn w:val="48"/>
    <w:link w:val="17"/>
    <w:semiHidden/>
    <w:qFormat/>
    <w:uiPriority w:val="0"/>
    <w:rPr>
      <w:rFonts w:ascii="Times New Roman" w:hAnsi="Times New Roman" w:eastAsia="宋体" w:cs="Times New Roman"/>
      <w:szCs w:val="24"/>
    </w:rPr>
  </w:style>
  <w:style w:type="character" w:customStyle="1" w:styleId="83">
    <w:name w:val="批注文字 Char"/>
    <w:basedOn w:val="48"/>
    <w:qFormat/>
    <w:uiPriority w:val="0"/>
    <w:rPr>
      <w:rFonts w:ascii="Times New Roman" w:hAnsi="Times New Roman" w:eastAsia="宋体" w:cs="Times New Roman"/>
      <w:szCs w:val="24"/>
    </w:rPr>
  </w:style>
  <w:style w:type="character" w:customStyle="1" w:styleId="84">
    <w:name w:val="称呼 Char"/>
    <w:basedOn w:val="48"/>
    <w:link w:val="18"/>
    <w:qFormat/>
    <w:uiPriority w:val="0"/>
    <w:rPr>
      <w:rFonts w:ascii="仿宋_GB2312" w:hAnsi="Times New Roman" w:eastAsia="仿宋_GB2312" w:cs="Times New Roman"/>
      <w:sz w:val="24"/>
      <w:szCs w:val="24"/>
    </w:rPr>
  </w:style>
  <w:style w:type="character" w:customStyle="1" w:styleId="85">
    <w:name w:val="正文文本 3 Char"/>
    <w:basedOn w:val="48"/>
    <w:link w:val="19"/>
    <w:qFormat/>
    <w:uiPriority w:val="0"/>
    <w:rPr>
      <w:rFonts w:ascii="宋体" w:hAnsi="Times New Roman" w:eastAsia="宋体" w:cs="Times New Roman"/>
      <w:color w:val="000000"/>
      <w:kern w:val="0"/>
      <w:sz w:val="24"/>
      <w:szCs w:val="20"/>
    </w:rPr>
  </w:style>
  <w:style w:type="character" w:customStyle="1" w:styleId="86">
    <w:name w:val="正文文本缩进 Char"/>
    <w:basedOn w:val="48"/>
    <w:link w:val="21"/>
    <w:qFormat/>
    <w:uiPriority w:val="0"/>
    <w:rPr>
      <w:rFonts w:ascii="Times New Roman" w:hAnsi="Times New Roman" w:eastAsia="宋体" w:cs="Times New Roman"/>
      <w:szCs w:val="24"/>
    </w:rPr>
  </w:style>
  <w:style w:type="character" w:customStyle="1" w:styleId="87">
    <w:name w:val="纯文本 字符"/>
    <w:basedOn w:val="48"/>
    <w:qFormat/>
    <w:uiPriority w:val="0"/>
    <w:rPr>
      <w:rFonts w:hAnsi="Courier New" w:cs="Courier New" w:asciiTheme="minorEastAsia"/>
      <w:szCs w:val="24"/>
    </w:rPr>
  </w:style>
  <w:style w:type="character" w:customStyle="1" w:styleId="88">
    <w:name w:val="纯文本 Char"/>
    <w:basedOn w:val="48"/>
    <w:link w:val="26"/>
    <w:qFormat/>
    <w:uiPriority w:val="0"/>
    <w:rPr>
      <w:rFonts w:ascii="宋体" w:hAnsi="Courier New" w:eastAsia="宋体" w:cs="Courier New"/>
      <w:szCs w:val="21"/>
    </w:rPr>
  </w:style>
  <w:style w:type="character" w:customStyle="1" w:styleId="89">
    <w:name w:val="日期 Char1"/>
    <w:basedOn w:val="48"/>
    <w:link w:val="28"/>
    <w:qFormat/>
    <w:uiPriority w:val="0"/>
    <w:rPr>
      <w:rFonts w:ascii="Times New Roman" w:hAnsi="Times New Roman" w:eastAsia="宋体" w:cs="Times New Roman"/>
      <w:sz w:val="24"/>
      <w:szCs w:val="20"/>
    </w:rPr>
  </w:style>
  <w:style w:type="character" w:customStyle="1" w:styleId="90">
    <w:name w:val="日期 Char"/>
    <w:basedOn w:val="48"/>
    <w:qFormat/>
    <w:uiPriority w:val="0"/>
    <w:rPr>
      <w:rFonts w:ascii="Times New Roman" w:hAnsi="Times New Roman" w:eastAsia="宋体" w:cs="Times New Roman"/>
      <w:szCs w:val="24"/>
    </w:rPr>
  </w:style>
  <w:style w:type="character" w:customStyle="1" w:styleId="91">
    <w:name w:val="正文文本缩进 2 Char"/>
    <w:basedOn w:val="48"/>
    <w:link w:val="29"/>
    <w:qFormat/>
    <w:uiPriority w:val="0"/>
    <w:rPr>
      <w:rFonts w:ascii="Times New Roman" w:hAnsi="Times New Roman" w:eastAsia="宋体" w:cs="Times New Roman"/>
      <w:szCs w:val="24"/>
    </w:rPr>
  </w:style>
  <w:style w:type="character" w:customStyle="1" w:styleId="92">
    <w:name w:val="批注框文本 Char1"/>
    <w:basedOn w:val="48"/>
    <w:link w:val="30"/>
    <w:qFormat/>
    <w:uiPriority w:val="0"/>
    <w:rPr>
      <w:rFonts w:ascii="Calibri" w:hAnsi="Calibri" w:eastAsia="宋体" w:cs="Times New Roman"/>
      <w:sz w:val="18"/>
      <w:szCs w:val="18"/>
    </w:rPr>
  </w:style>
  <w:style w:type="character" w:customStyle="1" w:styleId="93">
    <w:name w:val="批注框文本 Char"/>
    <w:basedOn w:val="48"/>
    <w:qFormat/>
    <w:uiPriority w:val="0"/>
    <w:rPr>
      <w:rFonts w:ascii="Times New Roman" w:hAnsi="Times New Roman" w:eastAsia="宋体" w:cs="Times New Roman"/>
      <w:sz w:val="18"/>
      <w:szCs w:val="18"/>
    </w:rPr>
  </w:style>
  <w:style w:type="character" w:customStyle="1" w:styleId="94">
    <w:name w:val="页脚 Char1"/>
    <w:basedOn w:val="48"/>
    <w:link w:val="31"/>
    <w:qFormat/>
    <w:uiPriority w:val="99"/>
    <w:rPr>
      <w:rFonts w:ascii="Times New Roman" w:hAnsi="Times New Roman" w:eastAsia="宋体" w:cs="Times New Roman"/>
      <w:sz w:val="18"/>
      <w:szCs w:val="18"/>
    </w:rPr>
  </w:style>
  <w:style w:type="character" w:customStyle="1" w:styleId="95">
    <w:name w:val="页脚 Char"/>
    <w:basedOn w:val="48"/>
    <w:qFormat/>
    <w:uiPriority w:val="99"/>
    <w:rPr>
      <w:rFonts w:ascii="Times New Roman" w:hAnsi="Times New Roman" w:eastAsia="宋体" w:cs="Times New Roman"/>
      <w:sz w:val="18"/>
      <w:szCs w:val="18"/>
    </w:rPr>
  </w:style>
  <w:style w:type="character" w:customStyle="1" w:styleId="96">
    <w:name w:val="页眉 Char1"/>
    <w:basedOn w:val="48"/>
    <w:link w:val="32"/>
    <w:qFormat/>
    <w:uiPriority w:val="99"/>
    <w:rPr>
      <w:rFonts w:ascii="Times New Roman" w:hAnsi="Times New Roman" w:eastAsia="宋体" w:cs="Times New Roman"/>
      <w:sz w:val="18"/>
      <w:szCs w:val="18"/>
    </w:rPr>
  </w:style>
  <w:style w:type="character" w:customStyle="1" w:styleId="97">
    <w:name w:val="页眉 Char"/>
    <w:basedOn w:val="48"/>
    <w:qFormat/>
    <w:uiPriority w:val="99"/>
    <w:rPr>
      <w:rFonts w:ascii="Times New Roman" w:hAnsi="Times New Roman" w:eastAsia="宋体" w:cs="Times New Roman"/>
      <w:sz w:val="18"/>
      <w:szCs w:val="18"/>
    </w:rPr>
  </w:style>
  <w:style w:type="character" w:customStyle="1" w:styleId="98">
    <w:name w:val="正文文本缩进 3 Char1"/>
    <w:basedOn w:val="48"/>
    <w:link w:val="36"/>
    <w:qFormat/>
    <w:uiPriority w:val="0"/>
    <w:rPr>
      <w:rFonts w:ascii="Times New Roman" w:hAnsi="Times New Roman" w:eastAsia="宋体" w:cs="Times New Roman"/>
      <w:sz w:val="16"/>
      <w:szCs w:val="16"/>
    </w:rPr>
  </w:style>
  <w:style w:type="character" w:customStyle="1" w:styleId="99">
    <w:name w:val="正文文本缩进 3 Char"/>
    <w:basedOn w:val="48"/>
    <w:qFormat/>
    <w:uiPriority w:val="0"/>
    <w:rPr>
      <w:rFonts w:ascii="Times New Roman" w:hAnsi="Times New Roman" w:eastAsia="宋体" w:cs="Times New Roman"/>
      <w:sz w:val="16"/>
      <w:szCs w:val="16"/>
    </w:rPr>
  </w:style>
  <w:style w:type="character" w:customStyle="1" w:styleId="100">
    <w:name w:val="正文文本 2 Char"/>
    <w:basedOn w:val="48"/>
    <w:link w:val="39"/>
    <w:qFormat/>
    <w:uiPriority w:val="0"/>
    <w:rPr>
      <w:rFonts w:ascii="Times New Roman" w:hAnsi="Times New Roman" w:eastAsia="宋体" w:cs="Times New Roman"/>
      <w:szCs w:val="24"/>
    </w:rPr>
  </w:style>
  <w:style w:type="character" w:customStyle="1" w:styleId="101">
    <w:name w:val="HTML 预设格式 Char"/>
    <w:basedOn w:val="48"/>
    <w:link w:val="40"/>
    <w:qFormat/>
    <w:uiPriority w:val="0"/>
    <w:rPr>
      <w:rFonts w:ascii="Arial" w:hAnsi="Arial" w:eastAsia="宋体" w:cs="Times New Roman"/>
      <w:kern w:val="0"/>
      <w:sz w:val="24"/>
      <w:szCs w:val="24"/>
    </w:rPr>
  </w:style>
  <w:style w:type="character" w:customStyle="1" w:styleId="102">
    <w:name w:val="批注主题 Char1"/>
    <w:basedOn w:val="82"/>
    <w:link w:val="43"/>
    <w:qFormat/>
    <w:uiPriority w:val="0"/>
    <w:rPr>
      <w:rFonts w:ascii="Times New Roman" w:hAnsi="Times New Roman" w:eastAsia="宋体" w:cs="Times New Roman"/>
      <w:b/>
      <w:bCs/>
      <w:szCs w:val="24"/>
    </w:rPr>
  </w:style>
  <w:style w:type="character" w:customStyle="1" w:styleId="103">
    <w:name w:val="批注主题 Char"/>
    <w:basedOn w:val="83"/>
    <w:qFormat/>
    <w:uiPriority w:val="0"/>
    <w:rPr>
      <w:rFonts w:ascii="Times New Roman" w:hAnsi="Times New Roman" w:eastAsia="宋体" w:cs="Times New Roman"/>
      <w:b/>
      <w:bCs/>
      <w:szCs w:val="24"/>
    </w:rPr>
  </w:style>
  <w:style w:type="character" w:customStyle="1" w:styleId="104">
    <w:name w:val="正文首行缩进 Char"/>
    <w:basedOn w:val="79"/>
    <w:link w:val="44"/>
    <w:qFormat/>
    <w:uiPriority w:val="99"/>
    <w:rPr>
      <w:rFonts w:ascii="Times New Roman" w:hAnsi="Times New Roman" w:eastAsia="宋体" w:cs="Times New Roman"/>
      <w:szCs w:val="24"/>
    </w:rPr>
  </w:style>
  <w:style w:type="character" w:customStyle="1" w:styleId="105">
    <w:name w:val="正文首行缩进 2 Char"/>
    <w:basedOn w:val="86"/>
    <w:link w:val="45"/>
    <w:qFormat/>
    <w:uiPriority w:val="0"/>
    <w:rPr>
      <w:rFonts w:ascii="Times New Roman" w:hAnsi="Times New Roman" w:eastAsia="宋体" w:cs="Times New Roman"/>
      <w:szCs w:val="24"/>
    </w:rPr>
  </w:style>
  <w:style w:type="paragraph" w:customStyle="1" w:styleId="106">
    <w:name w:val="Char Char Char Char Char Char Char"/>
    <w:basedOn w:val="1"/>
    <w:qFormat/>
    <w:uiPriority w:val="0"/>
    <w:pPr>
      <w:snapToGrid w:val="0"/>
      <w:spacing w:line="360" w:lineRule="auto"/>
      <w:ind w:firstLine="200" w:firstLineChars="200"/>
    </w:pPr>
    <w:rPr>
      <w:rFonts w:eastAsia="仿宋_GB2312"/>
      <w:sz w:val="24"/>
    </w:rPr>
  </w:style>
  <w:style w:type="character" w:customStyle="1" w:styleId="107">
    <w:name w:val="qqiy03d3t5r"/>
    <w:basedOn w:val="48"/>
    <w:qFormat/>
    <w:uiPriority w:val="0"/>
    <w:rPr>
      <w:rFonts w:eastAsia="仿宋_GB2312"/>
      <w:sz w:val="24"/>
    </w:rPr>
  </w:style>
  <w:style w:type="character" w:customStyle="1" w:styleId="108">
    <w:name w:val="Char Char12"/>
    <w:qFormat/>
    <w:uiPriority w:val="0"/>
    <w:rPr>
      <w:rFonts w:ascii="Arial" w:hAnsi="Arial" w:eastAsia="黑体"/>
      <w:b/>
      <w:bCs/>
      <w:kern w:val="2"/>
      <w:sz w:val="28"/>
      <w:szCs w:val="28"/>
      <w:lang w:val="en-US" w:eastAsia="zh-CN" w:bidi="ar-SA"/>
    </w:rPr>
  </w:style>
  <w:style w:type="character" w:customStyle="1" w:styleId="109">
    <w:name w:val="Char Char16"/>
    <w:qFormat/>
    <w:uiPriority w:val="0"/>
    <w:rPr>
      <w:rFonts w:ascii="宋体" w:hAnsi="Times New Roman" w:eastAsia="宋体"/>
      <w:b/>
      <w:sz w:val="24"/>
      <w:lang w:val="en-US" w:eastAsia="zh-CN" w:bidi="ar-SA"/>
    </w:rPr>
  </w:style>
  <w:style w:type="character" w:customStyle="1" w:styleId="110">
    <w:name w:val="morelink-item"/>
    <w:qFormat/>
    <w:uiPriority w:val="0"/>
    <w:rPr>
      <w:rFonts w:ascii="Times New Roman" w:hAnsi="Times New Roman" w:eastAsia="宋体"/>
    </w:rPr>
  </w:style>
  <w:style w:type="character" w:customStyle="1" w:styleId="111">
    <w:name w:val="Font Style134"/>
    <w:unhideWhenUsed/>
    <w:qFormat/>
    <w:uiPriority w:val="0"/>
    <w:rPr>
      <w:rFonts w:hint="eastAsia" w:ascii="宋体" w:hAnsi="宋体" w:eastAsia="宋体"/>
      <w:spacing w:val="20"/>
      <w:sz w:val="22"/>
    </w:rPr>
  </w:style>
  <w:style w:type="character" w:customStyle="1" w:styleId="112">
    <w:name w:val="Font Style117"/>
    <w:unhideWhenUsed/>
    <w:qFormat/>
    <w:uiPriority w:val="0"/>
    <w:rPr>
      <w:rFonts w:hint="eastAsia" w:ascii="宋体" w:hAnsi="宋体" w:eastAsia="宋体"/>
      <w:spacing w:val="20"/>
      <w:sz w:val="24"/>
    </w:rPr>
  </w:style>
  <w:style w:type="character" w:customStyle="1" w:styleId="113">
    <w:name w:val="font51"/>
    <w:qFormat/>
    <w:uiPriority w:val="0"/>
    <w:rPr>
      <w:rFonts w:hint="eastAsia" w:ascii="宋体" w:hAnsi="宋体" w:eastAsia="宋体" w:cs="宋体"/>
      <w:b/>
      <w:color w:val="000000"/>
      <w:sz w:val="20"/>
      <w:szCs w:val="20"/>
      <w:u w:val="none"/>
    </w:rPr>
  </w:style>
  <w:style w:type="character" w:customStyle="1" w:styleId="114">
    <w:name w:val="Font Style119"/>
    <w:unhideWhenUsed/>
    <w:qFormat/>
    <w:uiPriority w:val="0"/>
    <w:rPr>
      <w:rFonts w:hint="eastAsia" w:ascii="宋体" w:hAnsi="宋体" w:eastAsia="宋体"/>
      <w:sz w:val="24"/>
    </w:rPr>
  </w:style>
  <w:style w:type="character" w:customStyle="1" w:styleId="115">
    <w:name w:val="Font Style90"/>
    <w:unhideWhenUsed/>
    <w:qFormat/>
    <w:uiPriority w:val="0"/>
    <w:rPr>
      <w:rFonts w:hint="eastAsia" w:ascii="宋体" w:hAnsi="宋体" w:eastAsia="宋体"/>
      <w:b/>
      <w:spacing w:val="-20"/>
      <w:sz w:val="40"/>
    </w:rPr>
  </w:style>
  <w:style w:type="character" w:customStyle="1" w:styleId="116">
    <w:name w:val="Font Style126"/>
    <w:unhideWhenUsed/>
    <w:qFormat/>
    <w:uiPriority w:val="0"/>
    <w:rPr>
      <w:rFonts w:hint="eastAsia" w:ascii="宋体" w:hAnsi="宋体" w:eastAsia="宋体"/>
      <w:b/>
      <w:spacing w:val="-30"/>
      <w:sz w:val="28"/>
    </w:rPr>
  </w:style>
  <w:style w:type="character" w:customStyle="1" w:styleId="117">
    <w:name w:val="Font Style131"/>
    <w:unhideWhenUsed/>
    <w:qFormat/>
    <w:uiPriority w:val="0"/>
    <w:rPr>
      <w:rFonts w:hint="eastAsia" w:ascii="Times New Roman" w:hAnsi="Times New Roman" w:eastAsia="Times New Roman"/>
      <w:sz w:val="18"/>
    </w:rPr>
  </w:style>
  <w:style w:type="character" w:customStyle="1" w:styleId="118">
    <w:name w:val="Char Char15"/>
    <w:qFormat/>
    <w:uiPriority w:val="0"/>
    <w:rPr>
      <w:b/>
      <w:bCs/>
      <w:sz w:val="24"/>
      <w:szCs w:val="24"/>
    </w:rPr>
  </w:style>
  <w:style w:type="character" w:customStyle="1" w:styleId="119">
    <w:name w:val="Char Char17"/>
    <w:qFormat/>
    <w:uiPriority w:val="0"/>
    <w:rPr>
      <w:rFonts w:ascii="宋体" w:hAnsi="Times New Roman" w:eastAsia="宋体"/>
      <w:b/>
      <w:sz w:val="28"/>
      <w:lang w:val="en-US" w:eastAsia="zh-CN" w:bidi="ar-SA"/>
    </w:rPr>
  </w:style>
  <w:style w:type="character" w:customStyle="1" w:styleId="120">
    <w:name w:val="fontstyle01"/>
    <w:qFormat/>
    <w:uiPriority w:val="0"/>
    <w:rPr>
      <w:rFonts w:hint="eastAsia" w:ascii="宋体" w:hAnsi="宋体" w:eastAsia="宋体"/>
      <w:color w:val="000000"/>
      <w:sz w:val="24"/>
      <w:szCs w:val="24"/>
    </w:rPr>
  </w:style>
  <w:style w:type="character" w:customStyle="1" w:styleId="121">
    <w:name w:val="纯文本 Char1"/>
    <w:semiHidden/>
    <w:qFormat/>
    <w:locked/>
    <w:uiPriority w:val="0"/>
    <w:rPr>
      <w:rFonts w:ascii="宋体" w:hAnsi="Courier New" w:eastAsia="宋体" w:cs="Courier New"/>
      <w:kern w:val="2"/>
      <w:sz w:val="21"/>
      <w:szCs w:val="21"/>
      <w:lang w:val="en-US" w:eastAsia="zh-CN" w:bidi="ar-SA"/>
    </w:rPr>
  </w:style>
  <w:style w:type="character" w:customStyle="1" w:styleId="122">
    <w:name w:val="样式1 Char Char"/>
    <w:link w:val="123"/>
    <w:qFormat/>
    <w:uiPriority w:val="0"/>
    <w:rPr>
      <w:rFonts w:ascii="宋体" w:hAnsi="宋体"/>
      <w:szCs w:val="21"/>
    </w:rPr>
  </w:style>
  <w:style w:type="paragraph" w:customStyle="1" w:styleId="123">
    <w:name w:val="样式1"/>
    <w:basedOn w:val="1"/>
    <w:link w:val="122"/>
    <w:qFormat/>
    <w:uiPriority w:val="0"/>
    <w:pPr>
      <w:tabs>
        <w:tab w:val="left" w:pos="360"/>
      </w:tabs>
      <w:adjustRightInd w:val="0"/>
      <w:ind w:left="360" w:hanging="360"/>
      <w:textAlignment w:val="baseline"/>
    </w:pPr>
    <w:rPr>
      <w:rFonts w:ascii="宋体" w:hAnsi="宋体" w:eastAsiaTheme="minorEastAsia" w:cstheme="minorBidi"/>
      <w:szCs w:val="21"/>
    </w:rPr>
  </w:style>
  <w:style w:type="character" w:customStyle="1" w:styleId="124">
    <w:name w:val="bds_nopic2"/>
    <w:qFormat/>
    <w:uiPriority w:val="0"/>
    <w:rPr>
      <w:rFonts w:ascii="Times New Roman" w:hAnsi="Times New Roman" w:eastAsia="宋体"/>
    </w:rPr>
  </w:style>
  <w:style w:type="character" w:customStyle="1" w:styleId="125">
    <w:name w:val="标题 Char1"/>
    <w:qFormat/>
    <w:uiPriority w:val="10"/>
    <w:rPr>
      <w:rFonts w:ascii="Cambria" w:hAnsi="Cambria" w:eastAsia="宋体" w:cs="Times New Roman"/>
      <w:b/>
      <w:bCs/>
      <w:sz w:val="32"/>
      <w:szCs w:val="32"/>
    </w:rPr>
  </w:style>
  <w:style w:type="character" w:customStyle="1" w:styleId="126">
    <w:name w:val="Font Style86"/>
    <w:unhideWhenUsed/>
    <w:qFormat/>
    <w:uiPriority w:val="0"/>
    <w:rPr>
      <w:rFonts w:hint="eastAsia" w:ascii="黑体" w:hAnsi="黑体" w:eastAsia="黑体"/>
      <w:spacing w:val="10"/>
      <w:sz w:val="30"/>
    </w:rPr>
  </w:style>
  <w:style w:type="character" w:customStyle="1" w:styleId="127">
    <w:name w:val="标题 4 Char Char"/>
    <w:qFormat/>
    <w:uiPriority w:val="0"/>
    <w:rPr>
      <w:rFonts w:ascii="Arial" w:hAnsi="Arial" w:eastAsia="宋体"/>
      <w:b/>
      <w:bCs/>
      <w:kern w:val="2"/>
      <w:sz w:val="21"/>
      <w:szCs w:val="28"/>
      <w:lang w:val="en-US" w:eastAsia="zh-CN" w:bidi="ar-SA"/>
    </w:rPr>
  </w:style>
  <w:style w:type="character" w:customStyle="1" w:styleId="128">
    <w:name w:val="fontstyle21"/>
    <w:qFormat/>
    <w:uiPriority w:val="0"/>
    <w:rPr>
      <w:rFonts w:hint="eastAsia" w:ascii="宋体" w:hAnsi="宋体" w:eastAsia="宋体"/>
      <w:color w:val="993300"/>
      <w:sz w:val="24"/>
      <w:szCs w:val="24"/>
    </w:rPr>
  </w:style>
  <w:style w:type="character" w:customStyle="1" w:styleId="129">
    <w:name w:val="font81"/>
    <w:qFormat/>
    <w:uiPriority w:val="0"/>
    <w:rPr>
      <w:rFonts w:ascii="font-weight : 700" w:hAnsi="font-weight : 700" w:eastAsia="font-weight : 700" w:cs="font-weight : 700"/>
      <w:color w:val="000000"/>
      <w:sz w:val="20"/>
      <w:szCs w:val="20"/>
      <w:u w:val="none"/>
    </w:rPr>
  </w:style>
  <w:style w:type="character" w:customStyle="1" w:styleId="130">
    <w:name w:val="Font Style104"/>
    <w:unhideWhenUsed/>
    <w:qFormat/>
    <w:uiPriority w:val="0"/>
    <w:rPr>
      <w:rFonts w:hint="eastAsia" w:ascii="宋体" w:hAnsi="宋体" w:eastAsia="宋体"/>
      <w:spacing w:val="30"/>
      <w:sz w:val="18"/>
    </w:rPr>
  </w:style>
  <w:style w:type="character" w:customStyle="1" w:styleId="131">
    <w:name w:val="plus"/>
    <w:qFormat/>
    <w:uiPriority w:val="0"/>
    <w:rPr>
      <w:rFonts w:ascii="Times New Roman" w:hAnsi="Times New Roman" w:eastAsia="宋体"/>
      <w:b/>
      <w:vanish/>
      <w:color w:val="1F8DEF"/>
      <w:sz w:val="24"/>
      <w:szCs w:val="24"/>
    </w:rPr>
  </w:style>
  <w:style w:type="character" w:customStyle="1" w:styleId="132">
    <w:name w:val="bds_nopic1"/>
    <w:qFormat/>
    <w:uiPriority w:val="0"/>
    <w:rPr>
      <w:rFonts w:ascii="Times New Roman" w:hAnsi="Times New Roman" w:eastAsia="宋体"/>
    </w:rPr>
  </w:style>
  <w:style w:type="character" w:customStyle="1" w:styleId="133">
    <w:name w:val="Font Style115"/>
    <w:unhideWhenUsed/>
    <w:qFormat/>
    <w:uiPriority w:val="0"/>
    <w:rPr>
      <w:rFonts w:hint="eastAsia" w:ascii="Times New Roman" w:hAnsi="Times New Roman" w:eastAsia="Times New Roman"/>
      <w:sz w:val="16"/>
    </w:rPr>
  </w:style>
  <w:style w:type="character" w:customStyle="1" w:styleId="134">
    <w:name w:val="Font Style124"/>
    <w:unhideWhenUsed/>
    <w:qFormat/>
    <w:uiPriority w:val="0"/>
    <w:rPr>
      <w:rFonts w:hint="eastAsia" w:ascii="宋体" w:hAnsi="宋体" w:eastAsia="宋体"/>
      <w:spacing w:val="30"/>
      <w:sz w:val="24"/>
    </w:rPr>
  </w:style>
  <w:style w:type="character" w:customStyle="1" w:styleId="135">
    <w:name w:val="Font Style105"/>
    <w:unhideWhenUsed/>
    <w:qFormat/>
    <w:uiPriority w:val="0"/>
    <w:rPr>
      <w:rFonts w:hint="eastAsia" w:ascii="Times New Roman" w:hAnsi="Times New Roman" w:eastAsia="Times New Roman"/>
      <w:w w:val="60"/>
      <w:sz w:val="26"/>
    </w:rPr>
  </w:style>
  <w:style w:type="character" w:customStyle="1" w:styleId="136">
    <w:name w:val="sort"/>
    <w:qFormat/>
    <w:uiPriority w:val="0"/>
    <w:rPr>
      <w:rFonts w:ascii="Times New Roman" w:hAnsi="Times New Roman" w:eastAsia="宋体"/>
      <w:color w:val="FFFFFF"/>
      <w:bdr w:val="single" w:color="auto" w:sz="24" w:space="0"/>
    </w:rPr>
  </w:style>
  <w:style w:type="character" w:customStyle="1" w:styleId="137">
    <w:name w:val="p0 Char Char"/>
    <w:qFormat/>
    <w:uiPriority w:val="0"/>
    <w:rPr>
      <w:rFonts w:eastAsia="宋体"/>
      <w:kern w:val="2"/>
      <w:sz w:val="21"/>
      <w:szCs w:val="21"/>
      <w:lang w:val="en-US" w:eastAsia="zh-CN" w:bidi="ar-SA"/>
    </w:rPr>
  </w:style>
  <w:style w:type="character" w:customStyle="1" w:styleId="138">
    <w:name w:val="polysemyexp"/>
    <w:qFormat/>
    <w:uiPriority w:val="0"/>
    <w:rPr>
      <w:rFonts w:ascii="Times New Roman" w:hAnsi="Times New Roman" w:eastAsia="宋体"/>
      <w:color w:val="AAAAAA"/>
      <w:sz w:val="18"/>
      <w:szCs w:val="18"/>
    </w:rPr>
  </w:style>
  <w:style w:type="character" w:customStyle="1" w:styleId="139">
    <w:name w:val="Font Style116"/>
    <w:unhideWhenUsed/>
    <w:qFormat/>
    <w:uiPriority w:val="0"/>
    <w:rPr>
      <w:rFonts w:hint="eastAsia" w:ascii="宋体" w:hAnsi="宋体" w:eastAsia="宋体"/>
      <w:spacing w:val="-20"/>
      <w:sz w:val="24"/>
    </w:rPr>
  </w:style>
  <w:style w:type="character" w:customStyle="1" w:styleId="140">
    <w:name w:val="font11"/>
    <w:qFormat/>
    <w:uiPriority w:val="0"/>
    <w:rPr>
      <w:rFonts w:hint="eastAsia" w:ascii="宋体" w:hAnsi="宋体" w:eastAsia="宋体" w:cs="宋体"/>
      <w:color w:val="000000"/>
      <w:sz w:val="28"/>
      <w:szCs w:val="28"/>
      <w:u w:val="none"/>
    </w:rPr>
  </w:style>
  <w:style w:type="character" w:customStyle="1" w:styleId="141">
    <w:name w:val="Font Style122"/>
    <w:unhideWhenUsed/>
    <w:qFormat/>
    <w:uiPriority w:val="0"/>
    <w:rPr>
      <w:rFonts w:hint="eastAsia" w:ascii="宋体" w:hAnsi="宋体" w:eastAsia="宋体"/>
      <w:spacing w:val="20"/>
      <w:sz w:val="24"/>
    </w:rPr>
  </w:style>
  <w:style w:type="character" w:customStyle="1" w:styleId="142">
    <w:name w:val="lemmatitleh12"/>
    <w:qFormat/>
    <w:uiPriority w:val="0"/>
    <w:rPr>
      <w:rFonts w:ascii="Times New Roman" w:hAnsi="Times New Roman" w:eastAsia="宋体"/>
    </w:rPr>
  </w:style>
  <w:style w:type="character" w:customStyle="1" w:styleId="143">
    <w:name w:val="polysemyred"/>
    <w:qFormat/>
    <w:uiPriority w:val="0"/>
    <w:rPr>
      <w:rFonts w:ascii="Times New Roman" w:hAnsi="Times New Roman" w:eastAsia="宋体"/>
      <w:color w:val="FF6666"/>
      <w:sz w:val="18"/>
      <w:szCs w:val="18"/>
    </w:rPr>
  </w:style>
  <w:style w:type="character" w:customStyle="1" w:styleId="144">
    <w:name w:val="Char Char14"/>
    <w:qFormat/>
    <w:uiPriority w:val="0"/>
    <w:rPr>
      <w:rFonts w:ascii="Arial" w:hAnsi="Arial" w:eastAsia="黑体"/>
      <w:b/>
      <w:bCs/>
      <w:sz w:val="28"/>
      <w:szCs w:val="28"/>
      <w:lang w:val="en-US" w:eastAsia="zh-CN" w:bidi="ar-SA"/>
    </w:rPr>
  </w:style>
  <w:style w:type="character" w:customStyle="1" w:styleId="145">
    <w:name w:val="Font Style127"/>
    <w:unhideWhenUsed/>
    <w:qFormat/>
    <w:uiPriority w:val="0"/>
    <w:rPr>
      <w:rFonts w:hint="eastAsia" w:ascii="Times New Roman" w:hAnsi="Times New Roman" w:eastAsia="Times New Roman"/>
      <w:sz w:val="20"/>
    </w:rPr>
  </w:style>
  <w:style w:type="character" w:customStyle="1" w:styleId="146">
    <w:name w:val="Font Style125"/>
    <w:unhideWhenUsed/>
    <w:qFormat/>
    <w:uiPriority w:val="0"/>
    <w:rPr>
      <w:rFonts w:hint="eastAsia" w:ascii="宋体" w:hAnsi="宋体" w:eastAsia="宋体"/>
      <w:b/>
      <w:sz w:val="26"/>
    </w:rPr>
  </w:style>
  <w:style w:type="character" w:customStyle="1" w:styleId="147">
    <w:name w:val="Font Style94"/>
    <w:unhideWhenUsed/>
    <w:qFormat/>
    <w:uiPriority w:val="0"/>
    <w:rPr>
      <w:rFonts w:hint="eastAsia" w:ascii="Times New Roman" w:hAnsi="Times New Roman" w:eastAsia="Times New Roman"/>
      <w:sz w:val="28"/>
    </w:rPr>
  </w:style>
  <w:style w:type="character" w:customStyle="1" w:styleId="148">
    <w:name w:val="NormalCharacter"/>
    <w:semiHidden/>
    <w:qFormat/>
    <w:uiPriority w:val="0"/>
  </w:style>
  <w:style w:type="character" w:customStyle="1" w:styleId="149">
    <w:name w:val="itrvzyz8a5w"/>
    <w:basedOn w:val="48"/>
    <w:qFormat/>
    <w:uiPriority w:val="0"/>
    <w:rPr>
      <w:rFonts w:eastAsia="仿宋_GB2312"/>
      <w:sz w:val="24"/>
    </w:rPr>
  </w:style>
  <w:style w:type="character" w:customStyle="1" w:styleId="150">
    <w:name w:val="font21"/>
    <w:qFormat/>
    <w:uiPriority w:val="0"/>
    <w:rPr>
      <w:rFonts w:ascii="font-weight : 400" w:hAnsi="font-weight : 400" w:eastAsia="font-weight : 400" w:cs="font-weight : 400"/>
      <w:color w:val="000000"/>
      <w:sz w:val="20"/>
      <w:szCs w:val="20"/>
      <w:u w:val="none"/>
    </w:rPr>
  </w:style>
  <w:style w:type="character" w:customStyle="1" w:styleId="151">
    <w:name w:val="fontstyle11"/>
    <w:qFormat/>
    <w:uiPriority w:val="0"/>
    <w:rPr>
      <w:rFonts w:hint="default" w:ascii="TimesNewRomanPSMT" w:hAnsi="TimesNewRomanPSMT"/>
      <w:color w:val="000000"/>
      <w:sz w:val="24"/>
      <w:szCs w:val="24"/>
    </w:rPr>
  </w:style>
  <w:style w:type="character" w:customStyle="1" w:styleId="152">
    <w:name w:val="brcsjcotd82"/>
    <w:basedOn w:val="48"/>
    <w:qFormat/>
    <w:uiPriority w:val="0"/>
    <w:rPr>
      <w:rFonts w:eastAsia="仿宋_GB2312"/>
      <w:sz w:val="24"/>
    </w:rPr>
  </w:style>
  <w:style w:type="character" w:customStyle="1" w:styleId="153">
    <w:name w:val="bds_more10"/>
    <w:qFormat/>
    <w:uiPriority w:val="0"/>
    <w:rPr>
      <w:rFonts w:ascii="Times New Roman" w:hAnsi="Times New Roman" w:eastAsia="宋体"/>
    </w:rPr>
  </w:style>
  <w:style w:type="character" w:customStyle="1" w:styleId="154">
    <w:name w:val="Char Char13"/>
    <w:qFormat/>
    <w:uiPriority w:val="0"/>
    <w:rPr>
      <w:rFonts w:eastAsia="宋体"/>
      <w:b/>
      <w:bCs/>
      <w:kern w:val="2"/>
      <w:sz w:val="24"/>
      <w:lang w:val="en-US" w:eastAsia="zh-CN" w:bidi="ar-SA"/>
    </w:rPr>
  </w:style>
  <w:style w:type="character" w:customStyle="1" w:styleId="155">
    <w:name w:val="fontstyle31"/>
    <w:qFormat/>
    <w:uiPriority w:val="0"/>
    <w:rPr>
      <w:rFonts w:hint="default" w:ascii="Arial" w:hAnsi="Arial" w:cs="Arial"/>
      <w:color w:val="993300"/>
      <w:sz w:val="24"/>
      <w:szCs w:val="24"/>
    </w:rPr>
  </w:style>
  <w:style w:type="character" w:customStyle="1" w:styleId="156">
    <w:name w:val="sort1"/>
    <w:qFormat/>
    <w:uiPriority w:val="0"/>
    <w:rPr>
      <w:rFonts w:ascii="Times New Roman" w:hAnsi="Times New Roman" w:eastAsia="宋体"/>
    </w:rPr>
  </w:style>
  <w:style w:type="character" w:customStyle="1" w:styleId="157">
    <w:name w:val="Font Style123"/>
    <w:unhideWhenUsed/>
    <w:qFormat/>
    <w:uiPriority w:val="0"/>
    <w:rPr>
      <w:rFonts w:hint="eastAsia" w:ascii="宋体" w:hAnsi="宋体" w:eastAsia="宋体"/>
      <w:b/>
      <w:sz w:val="32"/>
    </w:rPr>
  </w:style>
  <w:style w:type="character" w:customStyle="1" w:styleId="158">
    <w:name w:val="font41"/>
    <w:qFormat/>
    <w:uiPriority w:val="0"/>
    <w:rPr>
      <w:rFonts w:hint="eastAsia" w:ascii="宋体" w:hAnsi="宋体" w:eastAsia="宋体" w:cs="宋体"/>
      <w:color w:val="FF0000"/>
      <w:sz w:val="20"/>
      <w:szCs w:val="20"/>
      <w:u w:val="none"/>
    </w:rPr>
  </w:style>
  <w:style w:type="character" w:customStyle="1" w:styleId="159">
    <w:name w:val="sidecatalog-index2"/>
    <w:qFormat/>
    <w:uiPriority w:val="0"/>
    <w:rPr>
      <w:rFonts w:ascii="Arail" w:hAnsi="Arail" w:eastAsia="Arail" w:cs="Arail"/>
      <w:color w:val="999999"/>
      <w:sz w:val="21"/>
      <w:szCs w:val="21"/>
    </w:rPr>
  </w:style>
  <w:style w:type="character" w:customStyle="1" w:styleId="160">
    <w:name w:val="sidecatalog-dot1"/>
    <w:qFormat/>
    <w:uiPriority w:val="0"/>
    <w:rPr>
      <w:rFonts w:ascii="Times New Roman" w:hAnsi="Times New Roman" w:eastAsia="宋体"/>
    </w:rPr>
  </w:style>
  <w:style w:type="character" w:customStyle="1" w:styleId="161">
    <w:name w:val="bds_nopic"/>
    <w:qFormat/>
    <w:uiPriority w:val="0"/>
    <w:rPr>
      <w:rFonts w:ascii="Times New Roman" w:hAnsi="Times New Roman" w:eastAsia="宋体"/>
    </w:rPr>
  </w:style>
  <w:style w:type="character" w:customStyle="1" w:styleId="162">
    <w:name w:val="font91"/>
    <w:qFormat/>
    <w:uiPriority w:val="0"/>
    <w:rPr>
      <w:rFonts w:hint="eastAsia" w:ascii="宋体" w:hAnsi="宋体" w:eastAsia="宋体" w:cs="宋体"/>
      <w:color w:val="000000"/>
      <w:sz w:val="20"/>
      <w:szCs w:val="20"/>
      <w:u w:val="none"/>
      <w:vertAlign w:val="superscript"/>
    </w:rPr>
  </w:style>
  <w:style w:type="character" w:customStyle="1" w:styleId="163">
    <w:name w:val="Font Style128"/>
    <w:unhideWhenUsed/>
    <w:qFormat/>
    <w:uiPriority w:val="0"/>
    <w:rPr>
      <w:rFonts w:hint="eastAsia" w:ascii="Times New Roman" w:hAnsi="Times New Roman" w:eastAsia="Times New Roman"/>
      <w:sz w:val="16"/>
    </w:rPr>
  </w:style>
  <w:style w:type="character" w:customStyle="1" w:styleId="164">
    <w:name w:val="desc"/>
    <w:qFormat/>
    <w:uiPriority w:val="0"/>
    <w:rPr>
      <w:rFonts w:ascii="Times New Roman" w:hAnsi="Times New Roman" w:eastAsia="宋体"/>
      <w:color w:val="000000"/>
      <w:sz w:val="18"/>
      <w:szCs w:val="18"/>
    </w:rPr>
  </w:style>
  <w:style w:type="character" w:customStyle="1" w:styleId="165">
    <w:name w:val="p0 Char"/>
    <w:link w:val="166"/>
    <w:qFormat/>
    <w:uiPriority w:val="0"/>
    <w:rPr>
      <w:rFonts w:eastAsia="宋体"/>
      <w:szCs w:val="21"/>
    </w:rPr>
  </w:style>
  <w:style w:type="paragraph" w:customStyle="1" w:styleId="166">
    <w:name w:val="p0"/>
    <w:basedOn w:val="1"/>
    <w:link w:val="165"/>
    <w:qFormat/>
    <w:uiPriority w:val="0"/>
    <w:pPr>
      <w:widowControl/>
    </w:pPr>
    <w:rPr>
      <w:rFonts w:asciiTheme="minorHAnsi" w:hAnsiTheme="minorHAnsi" w:cstheme="minorBidi"/>
      <w:szCs w:val="21"/>
    </w:rPr>
  </w:style>
  <w:style w:type="character" w:customStyle="1" w:styleId="167">
    <w:name w:val="bds_more8"/>
    <w:qFormat/>
    <w:uiPriority w:val="0"/>
    <w:rPr>
      <w:rFonts w:ascii="Times New Roman" w:hAnsi="Times New Roman" w:eastAsia="宋体"/>
    </w:rPr>
  </w:style>
  <w:style w:type="character" w:customStyle="1" w:styleId="168">
    <w:name w:val="bds_more7"/>
    <w:qFormat/>
    <w:uiPriority w:val="0"/>
    <w:rPr>
      <w:rFonts w:ascii="Times New Roman" w:hAnsi="Times New Roman" w:eastAsia="宋体"/>
    </w:rPr>
  </w:style>
  <w:style w:type="character" w:customStyle="1" w:styleId="169">
    <w:name w:val="列出段落 Char"/>
    <w:link w:val="170"/>
    <w:qFormat/>
    <w:uiPriority w:val="0"/>
    <w:rPr>
      <w:rFonts w:ascii="Calibri" w:hAnsi="Calibri"/>
    </w:rPr>
  </w:style>
  <w:style w:type="paragraph" w:styleId="170">
    <w:name w:val="List Paragraph"/>
    <w:basedOn w:val="1"/>
    <w:link w:val="169"/>
    <w:qFormat/>
    <w:uiPriority w:val="0"/>
    <w:pPr>
      <w:ind w:firstLine="420" w:firstLineChars="200"/>
    </w:pPr>
    <w:rPr>
      <w:rFonts w:ascii="Calibri" w:hAnsi="Calibri" w:eastAsiaTheme="minorEastAsia" w:cstheme="minorBidi"/>
      <w:szCs w:val="22"/>
    </w:rPr>
  </w:style>
  <w:style w:type="character" w:customStyle="1" w:styleId="171">
    <w:name w:val="bds_more9"/>
    <w:qFormat/>
    <w:uiPriority w:val="0"/>
    <w:rPr>
      <w:rFonts w:ascii="Times New Roman" w:hAnsi="Times New Roman" w:eastAsia="宋体"/>
    </w:rPr>
  </w:style>
  <w:style w:type="character" w:customStyle="1" w:styleId="172">
    <w:name w:val="bds_more6"/>
    <w:qFormat/>
    <w:uiPriority w:val="0"/>
    <w:rPr>
      <w:rFonts w:hint="eastAsia" w:ascii="宋体" w:hAnsi="宋体" w:eastAsia="宋体" w:cs="宋体"/>
    </w:rPr>
  </w:style>
  <w:style w:type="character" w:customStyle="1" w:styleId="173">
    <w:name w:val="content_11"/>
    <w:qFormat/>
    <w:uiPriority w:val="0"/>
    <w:rPr>
      <w:sz w:val="20"/>
      <w:szCs w:val="20"/>
    </w:rPr>
  </w:style>
  <w:style w:type="character" w:customStyle="1" w:styleId="174">
    <w:name w:val="Font Style121"/>
    <w:unhideWhenUsed/>
    <w:qFormat/>
    <w:uiPriority w:val="0"/>
    <w:rPr>
      <w:rFonts w:hint="eastAsia" w:ascii="宋体" w:hAnsi="宋体" w:eastAsia="宋体"/>
      <w:spacing w:val="-10"/>
      <w:sz w:val="30"/>
    </w:rPr>
  </w:style>
  <w:style w:type="character" w:customStyle="1" w:styleId="175">
    <w:name w:val="sidecatalog-index1"/>
    <w:qFormat/>
    <w:uiPriority w:val="0"/>
    <w:rPr>
      <w:rFonts w:ascii="Arial" w:hAnsi="Arial" w:eastAsia="宋体" w:cs="Arial"/>
      <w:b/>
      <w:color w:val="999999"/>
      <w:sz w:val="21"/>
      <w:szCs w:val="21"/>
    </w:rPr>
  </w:style>
  <w:style w:type="character" w:customStyle="1" w:styleId="176">
    <w:name w:val="font31"/>
    <w:basedOn w:val="48"/>
    <w:qFormat/>
    <w:uiPriority w:val="0"/>
    <w:rPr>
      <w:rFonts w:hint="eastAsia" w:ascii="宋体" w:hAnsi="宋体" w:eastAsia="宋体" w:cs="宋体"/>
      <w:b/>
      <w:color w:val="000000"/>
      <w:sz w:val="18"/>
      <w:szCs w:val="18"/>
      <w:u w:val="none"/>
    </w:rPr>
  </w:style>
  <w:style w:type="character" w:customStyle="1" w:styleId="177">
    <w:name w:val="批注文字 Char Char"/>
    <w:qFormat/>
    <w:uiPriority w:val="0"/>
    <w:rPr>
      <w:kern w:val="2"/>
      <w:sz w:val="21"/>
      <w:szCs w:val="24"/>
      <w:lang w:bidi="ar-SA"/>
    </w:rPr>
  </w:style>
  <w:style w:type="character" w:customStyle="1" w:styleId="178">
    <w:name w:val="Font Style133"/>
    <w:unhideWhenUsed/>
    <w:qFormat/>
    <w:uiPriority w:val="0"/>
    <w:rPr>
      <w:rFonts w:hint="eastAsia" w:ascii="宋体" w:hAnsi="宋体" w:eastAsia="宋体"/>
      <w:spacing w:val="30"/>
      <w:sz w:val="24"/>
    </w:rPr>
  </w:style>
  <w:style w:type="character" w:customStyle="1" w:styleId="179">
    <w:name w:val="sidecatalog-dot"/>
    <w:qFormat/>
    <w:uiPriority w:val="0"/>
    <w:rPr>
      <w:rFonts w:ascii="Times New Roman" w:hAnsi="Times New Roman" w:eastAsia="宋体"/>
    </w:rPr>
  </w:style>
  <w:style w:type="paragraph" w:customStyle="1" w:styleId="180">
    <w:name w:val="Char1 Char Char Char"/>
    <w:basedOn w:val="1"/>
    <w:qFormat/>
    <w:uiPriority w:val="0"/>
    <w:pPr>
      <w:widowControl/>
      <w:spacing w:after="160" w:line="240" w:lineRule="exact"/>
      <w:jc w:val="left"/>
    </w:pPr>
    <w:rPr>
      <w:kern w:val="0"/>
      <w:sz w:val="24"/>
      <w:szCs w:val="20"/>
    </w:rPr>
  </w:style>
  <w:style w:type="paragraph" w:customStyle="1" w:styleId="181">
    <w:name w:val="标题2"/>
    <w:basedOn w:val="6"/>
    <w:qFormat/>
    <w:uiPriority w:val="0"/>
    <w:pPr>
      <w:spacing w:after="240"/>
      <w:jc w:val="left"/>
    </w:pPr>
    <w:rPr>
      <w:sz w:val="30"/>
    </w:rPr>
  </w:style>
  <w:style w:type="paragraph" w:customStyle="1" w:styleId="182">
    <w:name w:val="Style13"/>
    <w:basedOn w:val="1"/>
    <w:unhideWhenUsed/>
    <w:qFormat/>
    <w:uiPriority w:val="0"/>
  </w:style>
  <w:style w:type="paragraph" w:customStyle="1" w:styleId="183">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84">
    <w:name w:val="Style12"/>
    <w:basedOn w:val="1"/>
    <w:unhideWhenUsed/>
    <w:qFormat/>
    <w:uiPriority w:val="0"/>
    <w:pPr>
      <w:spacing w:line="564" w:lineRule="exact"/>
      <w:ind w:hanging="115"/>
    </w:pPr>
  </w:style>
  <w:style w:type="paragraph" w:customStyle="1" w:styleId="185">
    <w:name w:val="Style74"/>
    <w:basedOn w:val="1"/>
    <w:unhideWhenUsed/>
    <w:qFormat/>
    <w:uiPriority w:val="0"/>
    <w:pPr>
      <w:spacing w:line="437" w:lineRule="exact"/>
    </w:pPr>
  </w:style>
  <w:style w:type="paragraph" w:customStyle="1" w:styleId="186">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187">
    <w:name w:val="Style41"/>
    <w:basedOn w:val="1"/>
    <w:unhideWhenUsed/>
    <w:qFormat/>
    <w:uiPriority w:val="0"/>
    <w:pPr>
      <w:spacing w:line="542" w:lineRule="exact"/>
      <w:ind w:firstLine="125"/>
    </w:pPr>
  </w:style>
  <w:style w:type="paragraph" w:customStyle="1" w:styleId="188">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189">
    <w:name w:val="Style11"/>
    <w:basedOn w:val="1"/>
    <w:unhideWhenUsed/>
    <w:qFormat/>
    <w:uiPriority w:val="0"/>
    <w:pPr>
      <w:spacing w:line="559" w:lineRule="exact"/>
      <w:ind w:firstLine="590"/>
    </w:pPr>
  </w:style>
  <w:style w:type="paragraph" w:customStyle="1" w:styleId="190">
    <w:name w:val="Style61"/>
    <w:basedOn w:val="1"/>
    <w:unhideWhenUsed/>
    <w:qFormat/>
    <w:uiPriority w:val="0"/>
  </w:style>
  <w:style w:type="paragraph" w:customStyle="1" w:styleId="191">
    <w:name w:val="列出段落2"/>
    <w:basedOn w:val="1"/>
    <w:qFormat/>
    <w:uiPriority w:val="0"/>
    <w:pPr>
      <w:ind w:firstLine="420" w:firstLineChars="200"/>
    </w:pPr>
    <w:rPr>
      <w:rFonts w:ascii="Calibri" w:hAnsi="Calibri" w:cs="Calibri"/>
      <w:szCs w:val="21"/>
    </w:rPr>
  </w:style>
  <w:style w:type="paragraph" w:customStyle="1" w:styleId="192">
    <w:name w:val="Style15"/>
    <w:basedOn w:val="1"/>
    <w:unhideWhenUsed/>
    <w:qFormat/>
    <w:uiPriority w:val="0"/>
    <w:pPr>
      <w:spacing w:line="557" w:lineRule="exact"/>
      <w:ind w:firstLine="672"/>
    </w:pPr>
  </w:style>
  <w:style w:type="paragraph" w:customStyle="1" w:styleId="193">
    <w:name w:val="Style44"/>
    <w:basedOn w:val="1"/>
    <w:unhideWhenUsed/>
    <w:qFormat/>
    <w:uiPriority w:val="0"/>
  </w:style>
  <w:style w:type="paragraph" w:customStyle="1" w:styleId="194">
    <w:name w:val="Char Char Char"/>
    <w:basedOn w:val="1"/>
    <w:qFormat/>
    <w:uiPriority w:val="0"/>
    <w:rPr>
      <w:rFonts w:ascii="宋体" w:hAnsi="宋体"/>
      <w:b/>
      <w:sz w:val="28"/>
      <w:szCs w:val="28"/>
    </w:rPr>
  </w:style>
  <w:style w:type="paragraph" w:customStyle="1" w:styleId="195">
    <w:name w:val="TOC 标题2"/>
    <w:basedOn w:val="5"/>
    <w:next w:val="1"/>
    <w:unhideWhenUsed/>
    <w:qFormat/>
    <w:uiPriority w:val="39"/>
    <w:pPr>
      <w:keepLines/>
      <w:widowControl/>
      <w:spacing w:before="480" w:line="276" w:lineRule="auto"/>
      <w:jc w:val="left"/>
      <w:outlineLvl w:val="9"/>
    </w:pPr>
    <w:rPr>
      <w:color w:val="366091"/>
      <w:kern w:val="0"/>
      <w:sz w:val="28"/>
      <w:szCs w:val="28"/>
    </w:rPr>
  </w:style>
  <w:style w:type="paragraph" w:customStyle="1" w:styleId="196">
    <w:name w:val="Char1 Char Char Char 字元 Char Char 字元 Char 字元 Char1 Char Char Char"/>
    <w:basedOn w:val="1"/>
    <w:qFormat/>
    <w:uiPriority w:val="0"/>
    <w:rPr>
      <w:szCs w:val="20"/>
    </w:rPr>
  </w:style>
  <w:style w:type="paragraph" w:customStyle="1" w:styleId="197">
    <w:name w:val="Style5"/>
    <w:basedOn w:val="1"/>
    <w:unhideWhenUsed/>
    <w:qFormat/>
    <w:uiPriority w:val="0"/>
  </w:style>
  <w:style w:type="paragraph" w:customStyle="1" w:styleId="198">
    <w:name w:val="修订1"/>
    <w:qFormat/>
    <w:uiPriority w:val="0"/>
    <w:rPr>
      <w:rFonts w:ascii="Times New Roman" w:hAnsi="Times New Roman" w:eastAsia="宋体" w:cs="Times New Roman"/>
      <w:kern w:val="2"/>
      <w:sz w:val="21"/>
      <w:szCs w:val="24"/>
      <w:lang w:val="en-US" w:eastAsia="zh-CN" w:bidi="ar-SA"/>
    </w:rPr>
  </w:style>
  <w:style w:type="paragraph" w:customStyle="1" w:styleId="199">
    <w:name w:val="p16"/>
    <w:basedOn w:val="1"/>
    <w:qFormat/>
    <w:uiPriority w:val="0"/>
    <w:pPr>
      <w:widowControl/>
      <w:jc w:val="left"/>
    </w:pPr>
    <w:rPr>
      <w:kern w:val="0"/>
      <w:szCs w:val="21"/>
    </w:rPr>
  </w:style>
  <w:style w:type="paragraph" w:customStyle="1" w:styleId="200">
    <w:name w:val="Style54"/>
    <w:basedOn w:val="1"/>
    <w:unhideWhenUsed/>
    <w:qFormat/>
    <w:uiPriority w:val="0"/>
  </w:style>
  <w:style w:type="paragraph" w:customStyle="1" w:styleId="201">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02">
    <w:name w:val="Style60"/>
    <w:basedOn w:val="1"/>
    <w:unhideWhenUsed/>
    <w:qFormat/>
    <w:uiPriority w:val="0"/>
    <w:pPr>
      <w:spacing w:line="566" w:lineRule="exact"/>
    </w:pPr>
  </w:style>
  <w:style w:type="paragraph" w:customStyle="1" w:styleId="203">
    <w:name w:val="Style46"/>
    <w:basedOn w:val="1"/>
    <w:unhideWhenUsed/>
    <w:qFormat/>
    <w:uiPriority w:val="0"/>
    <w:pPr>
      <w:spacing w:line="672" w:lineRule="exact"/>
    </w:pPr>
  </w:style>
  <w:style w:type="paragraph" w:customStyle="1" w:styleId="204">
    <w:name w:val="Style63"/>
    <w:basedOn w:val="1"/>
    <w:unhideWhenUsed/>
    <w:qFormat/>
    <w:uiPriority w:val="0"/>
    <w:pPr>
      <w:spacing w:line="564" w:lineRule="exact"/>
      <w:ind w:firstLine="682"/>
    </w:pPr>
  </w:style>
  <w:style w:type="paragraph" w:customStyle="1" w:styleId="205">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06">
    <w:name w:val="Style42"/>
    <w:basedOn w:val="1"/>
    <w:unhideWhenUsed/>
    <w:qFormat/>
    <w:uiPriority w:val="0"/>
    <w:pPr>
      <w:spacing w:line="542" w:lineRule="exact"/>
      <w:ind w:firstLine="547"/>
    </w:pPr>
  </w:style>
  <w:style w:type="paragraph" w:customStyle="1" w:styleId="207">
    <w:name w:val="Style8"/>
    <w:basedOn w:val="1"/>
    <w:unhideWhenUsed/>
    <w:qFormat/>
    <w:uiPriority w:val="0"/>
    <w:pPr>
      <w:spacing w:line="566" w:lineRule="exact"/>
      <w:jc w:val="center"/>
    </w:pPr>
  </w:style>
  <w:style w:type="paragraph" w:customStyle="1" w:styleId="208">
    <w:name w:val="Style56"/>
    <w:basedOn w:val="1"/>
    <w:unhideWhenUsed/>
    <w:qFormat/>
    <w:uiPriority w:val="0"/>
  </w:style>
  <w:style w:type="paragraph" w:customStyle="1" w:styleId="209">
    <w:name w:val="Style65"/>
    <w:basedOn w:val="1"/>
    <w:unhideWhenUsed/>
    <w:qFormat/>
    <w:uiPriority w:val="0"/>
  </w:style>
  <w:style w:type="paragraph" w:customStyle="1" w:styleId="210">
    <w:name w:val="Style10"/>
    <w:basedOn w:val="1"/>
    <w:unhideWhenUsed/>
    <w:qFormat/>
    <w:uiPriority w:val="0"/>
    <w:pPr>
      <w:spacing w:line="538" w:lineRule="exact"/>
    </w:pPr>
  </w:style>
  <w:style w:type="paragraph" w:customStyle="1" w:styleId="211">
    <w:name w:val="Style21"/>
    <w:basedOn w:val="1"/>
    <w:unhideWhenUsed/>
    <w:qFormat/>
    <w:uiPriority w:val="0"/>
    <w:pPr>
      <w:spacing w:line="566" w:lineRule="exact"/>
      <w:ind w:firstLine="682"/>
    </w:pPr>
  </w:style>
  <w:style w:type="paragraph" w:customStyle="1" w:styleId="212">
    <w:name w:val="Style80"/>
    <w:basedOn w:val="1"/>
    <w:unhideWhenUsed/>
    <w:qFormat/>
    <w:uiPriority w:val="0"/>
  </w:style>
  <w:style w:type="paragraph" w:customStyle="1" w:styleId="213">
    <w:name w:val="Style28"/>
    <w:basedOn w:val="1"/>
    <w:unhideWhenUsed/>
    <w:qFormat/>
    <w:uiPriority w:val="0"/>
    <w:pPr>
      <w:spacing w:line="552" w:lineRule="exact"/>
      <w:ind w:firstLine="547"/>
    </w:pPr>
  </w:style>
  <w:style w:type="paragraph" w:customStyle="1" w:styleId="214">
    <w:name w:val="Style62"/>
    <w:basedOn w:val="1"/>
    <w:unhideWhenUsed/>
    <w:qFormat/>
    <w:uiPriority w:val="0"/>
  </w:style>
  <w:style w:type="paragraph" w:customStyle="1" w:styleId="215">
    <w:name w:val="Style81"/>
    <w:basedOn w:val="1"/>
    <w:unhideWhenUsed/>
    <w:qFormat/>
    <w:uiPriority w:val="0"/>
    <w:pPr>
      <w:spacing w:line="547" w:lineRule="exact"/>
    </w:pPr>
  </w:style>
  <w:style w:type="paragraph" w:customStyle="1" w:styleId="216">
    <w:name w:val="Style69"/>
    <w:basedOn w:val="1"/>
    <w:unhideWhenUsed/>
    <w:qFormat/>
    <w:uiPriority w:val="0"/>
    <w:pPr>
      <w:spacing w:line="557" w:lineRule="exact"/>
      <w:ind w:firstLine="1666"/>
    </w:pPr>
  </w:style>
  <w:style w:type="paragraph" w:customStyle="1" w:styleId="217">
    <w:name w:val="Style58"/>
    <w:basedOn w:val="1"/>
    <w:unhideWhenUsed/>
    <w:qFormat/>
    <w:uiPriority w:val="0"/>
    <w:pPr>
      <w:spacing w:line="413" w:lineRule="exact"/>
    </w:pPr>
  </w:style>
  <w:style w:type="paragraph" w:customStyle="1" w:styleId="218">
    <w:name w:val="Style71"/>
    <w:basedOn w:val="1"/>
    <w:unhideWhenUsed/>
    <w:qFormat/>
    <w:uiPriority w:val="0"/>
    <w:pPr>
      <w:spacing w:line="538" w:lineRule="exact"/>
      <w:ind w:firstLine="101"/>
    </w:pPr>
  </w:style>
  <w:style w:type="paragraph" w:customStyle="1" w:styleId="219">
    <w:name w:val="项目符号列表"/>
    <w:qFormat/>
    <w:uiPriority w:val="0"/>
    <w:pPr>
      <w:numPr>
        <w:ilvl w:val="0"/>
        <w:numId w:val="1"/>
      </w:numPr>
      <w:spacing w:beforeLines="50" w:afterLines="50"/>
    </w:pPr>
    <w:rPr>
      <w:rFonts w:ascii="Calibri" w:hAnsi="Calibri" w:eastAsia="宋体" w:cs="Times New Roman"/>
      <w:kern w:val="2"/>
      <w:sz w:val="21"/>
      <w:szCs w:val="22"/>
      <w:lang w:val="en-US" w:eastAsia="zh-CN" w:bidi="ar-SA"/>
    </w:rPr>
  </w:style>
  <w:style w:type="paragraph" w:customStyle="1" w:styleId="220">
    <w:name w:val="Style48"/>
    <w:basedOn w:val="1"/>
    <w:unhideWhenUsed/>
    <w:qFormat/>
    <w:uiPriority w:val="0"/>
    <w:pPr>
      <w:spacing w:line="542" w:lineRule="exact"/>
      <w:jc w:val="right"/>
    </w:pPr>
  </w:style>
  <w:style w:type="paragraph" w:customStyle="1" w:styleId="221">
    <w:name w:val="Heading1"/>
    <w:basedOn w:val="1"/>
    <w:next w:val="1"/>
    <w:qFormat/>
    <w:uiPriority w:val="0"/>
    <w:pPr>
      <w:keepNext/>
      <w:jc w:val="center"/>
    </w:pPr>
    <w:rPr>
      <w:b/>
      <w:bCs/>
      <w:sz w:val="24"/>
      <w:szCs w:val="20"/>
    </w:rPr>
  </w:style>
  <w:style w:type="paragraph" w:customStyle="1" w:styleId="222">
    <w:name w:val="Style9"/>
    <w:basedOn w:val="1"/>
    <w:unhideWhenUsed/>
    <w:qFormat/>
    <w:uiPriority w:val="0"/>
  </w:style>
  <w:style w:type="paragraph" w:customStyle="1" w:styleId="223">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24">
    <w:name w:val="标题 1 +"/>
    <w:basedOn w:val="5"/>
    <w:next w:val="1"/>
    <w:qFormat/>
    <w:uiPriority w:val="0"/>
    <w:pPr>
      <w:keepLines/>
      <w:spacing w:line="600" w:lineRule="auto"/>
    </w:pPr>
    <w:rPr>
      <w:rFonts w:eastAsia="黑体"/>
      <w:kern w:val="0"/>
      <w:sz w:val="32"/>
      <w:szCs w:val="32"/>
    </w:rPr>
  </w:style>
  <w:style w:type="paragraph" w:customStyle="1" w:styleId="225">
    <w:name w:val="Style59"/>
    <w:basedOn w:val="1"/>
    <w:unhideWhenUsed/>
    <w:qFormat/>
    <w:uiPriority w:val="0"/>
  </w:style>
  <w:style w:type="paragraph" w:customStyle="1" w:styleId="226">
    <w:name w:val="Style4"/>
    <w:basedOn w:val="1"/>
    <w:unhideWhenUsed/>
    <w:qFormat/>
    <w:uiPriority w:val="0"/>
  </w:style>
  <w:style w:type="paragraph" w:customStyle="1" w:styleId="227">
    <w:name w:val="正文1"/>
    <w:unhideWhenUsed/>
    <w:qFormat/>
    <w:uiPriority w:val="0"/>
    <w:pPr>
      <w:widowControl w:val="0"/>
      <w:tabs>
        <w:tab w:val="left" w:pos="567"/>
      </w:tabs>
      <w:adjustRightInd w:val="0"/>
      <w:spacing w:line="360" w:lineRule="atLeast"/>
      <w:ind w:left="567" w:hanging="567"/>
      <w:textAlignment w:val="baseline"/>
    </w:pPr>
    <w:rPr>
      <w:rFonts w:hint="eastAsia" w:ascii="宋体" w:hAnsi="Times New Roman" w:eastAsia="宋体" w:cs="Times New Roman"/>
      <w:sz w:val="24"/>
      <w:lang w:val="en-US" w:eastAsia="zh-CN" w:bidi="ar-SA"/>
    </w:rPr>
  </w:style>
  <w:style w:type="paragraph" w:customStyle="1" w:styleId="228">
    <w:name w:val="Char Char1"/>
    <w:basedOn w:val="1"/>
    <w:qFormat/>
    <w:uiPriority w:val="0"/>
    <w:rPr>
      <w:rFonts w:ascii="Tahoma" w:hAnsi="Tahoma"/>
      <w:sz w:val="24"/>
      <w:szCs w:val="20"/>
    </w:rPr>
  </w:style>
  <w:style w:type="paragraph" w:customStyle="1" w:styleId="229">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0">
    <w:name w:val="Style47"/>
    <w:basedOn w:val="1"/>
    <w:unhideWhenUsed/>
    <w:qFormat/>
    <w:uiPriority w:val="0"/>
  </w:style>
  <w:style w:type="paragraph" w:customStyle="1" w:styleId="231">
    <w:name w:val="Style64"/>
    <w:basedOn w:val="1"/>
    <w:unhideWhenUsed/>
    <w:qFormat/>
    <w:uiPriority w:val="0"/>
  </w:style>
  <w:style w:type="paragraph" w:customStyle="1" w:styleId="232">
    <w:name w:val="Char1 Char Char Char Char Char Char Char Char Char"/>
    <w:basedOn w:val="1"/>
    <w:qFormat/>
    <w:uiPriority w:val="0"/>
    <w:rPr>
      <w:szCs w:val="20"/>
    </w:rPr>
  </w:style>
  <w:style w:type="paragraph" w:customStyle="1" w:styleId="233">
    <w:name w:val="Table Paragraph"/>
    <w:basedOn w:val="1"/>
    <w:qFormat/>
    <w:uiPriority w:val="0"/>
    <w:pPr>
      <w:autoSpaceDE w:val="0"/>
      <w:autoSpaceDN w:val="0"/>
      <w:adjustRightInd w:val="0"/>
      <w:jc w:val="left"/>
    </w:pPr>
    <w:rPr>
      <w:rFonts w:ascii="Calibri" w:hAnsi="Calibri"/>
      <w:kern w:val="0"/>
      <w:sz w:val="24"/>
    </w:rPr>
  </w:style>
  <w:style w:type="paragraph" w:customStyle="1" w:styleId="234">
    <w:name w:val="样式2"/>
    <w:basedOn w:val="10"/>
    <w:next w:val="1"/>
    <w:qFormat/>
    <w:uiPriority w:val="0"/>
    <w:pPr>
      <w:tabs>
        <w:tab w:val="left" w:pos="992"/>
        <w:tab w:val="left" w:pos="1133"/>
        <w:tab w:val="left" w:pos="2268"/>
      </w:tabs>
      <w:adjustRightInd/>
      <w:spacing w:line="372" w:lineRule="auto"/>
      <w:ind w:firstLine="562" w:firstLineChars="200"/>
      <w:jc w:val="both"/>
      <w:textAlignment w:val="auto"/>
    </w:pPr>
    <w:rPr>
      <w:color w:val="FF0000"/>
      <w:sz w:val="24"/>
      <w:szCs w:val="24"/>
    </w:rPr>
  </w:style>
  <w:style w:type="paragraph" w:customStyle="1" w:styleId="235">
    <w:name w:val="Style53"/>
    <w:basedOn w:val="1"/>
    <w:unhideWhenUsed/>
    <w:qFormat/>
    <w:uiPriority w:val="0"/>
    <w:pPr>
      <w:spacing w:line="533" w:lineRule="exact"/>
      <w:ind w:firstLine="581"/>
    </w:pPr>
  </w:style>
  <w:style w:type="paragraph" w:customStyle="1" w:styleId="236">
    <w:name w:val="MessageHeader"/>
    <w:basedOn w:val="1"/>
    <w:next w:val="1"/>
    <w:qFormat/>
    <w:uiPriority w:val="0"/>
    <w:pPr>
      <w:pBdr>
        <w:top w:val="single" w:color="000000" w:sz="6" w:space="1"/>
        <w:left w:val="single" w:color="000000" w:sz="6" w:space="1"/>
        <w:bottom w:val="single" w:color="000000" w:sz="6" w:space="1"/>
        <w:right w:val="single" w:color="000000" w:sz="6" w:space="1"/>
      </w:pBdr>
      <w:ind w:left="1080" w:leftChars="500" w:hanging="1080" w:hangingChars="500"/>
      <w:textAlignment w:val="baseline"/>
    </w:pPr>
    <w:rPr>
      <w:rFonts w:ascii="Cambria" w:hAnsi="Cambria"/>
      <w:color w:val="000000"/>
      <w:sz w:val="24"/>
      <w:lang w:val="zh-CN"/>
    </w:rPr>
  </w:style>
  <w:style w:type="paragraph" w:customStyle="1" w:styleId="237">
    <w:name w:val="样式 标题 2 + Times New Roman 四号 非加粗 段前: 5 磅 段后: 0 磅 行距: 固定值 20..."/>
    <w:basedOn w:val="7"/>
    <w:qFormat/>
    <w:uiPriority w:val="0"/>
    <w:pPr>
      <w:spacing w:before="100" w:line="400" w:lineRule="exact"/>
    </w:pPr>
    <w:rPr>
      <w:rFonts w:ascii="Times New Roman" w:hAnsi="Times New Roman" w:eastAsia="黑体"/>
      <w:b w:val="0"/>
      <w:bCs w:val="0"/>
      <w:sz w:val="28"/>
      <w:szCs w:val="20"/>
    </w:rPr>
  </w:style>
  <w:style w:type="paragraph" w:customStyle="1" w:styleId="238">
    <w:name w:val="Style73"/>
    <w:basedOn w:val="1"/>
    <w:unhideWhenUsed/>
    <w:qFormat/>
    <w:uiPriority w:val="0"/>
    <w:pPr>
      <w:spacing w:line="538" w:lineRule="exact"/>
      <w:ind w:firstLine="533"/>
    </w:pPr>
  </w:style>
  <w:style w:type="paragraph" w:customStyle="1" w:styleId="239">
    <w:name w:val="NO3"/>
    <w:basedOn w:val="1"/>
    <w:qFormat/>
    <w:uiPriority w:val="0"/>
    <w:pPr>
      <w:tabs>
        <w:tab w:val="left" w:pos="907"/>
      </w:tabs>
      <w:spacing w:line="360" w:lineRule="auto"/>
    </w:pPr>
    <w:rPr>
      <w:rFonts w:ascii="宋体" w:hAnsi="宋体"/>
      <w:sz w:val="24"/>
    </w:rPr>
  </w:style>
  <w:style w:type="paragraph" w:customStyle="1" w:styleId="240">
    <w:name w:val="Style67"/>
    <w:basedOn w:val="1"/>
    <w:unhideWhenUsed/>
    <w:qFormat/>
    <w:uiPriority w:val="0"/>
    <w:pPr>
      <w:spacing w:line="566" w:lineRule="exact"/>
      <w:ind w:firstLine="552"/>
    </w:pPr>
  </w:style>
  <w:style w:type="paragraph" w:customStyle="1" w:styleId="241">
    <w:name w:val="Style76"/>
    <w:basedOn w:val="1"/>
    <w:unhideWhenUsed/>
    <w:qFormat/>
    <w:uiPriority w:val="0"/>
  </w:style>
  <w:style w:type="paragraph" w:customStyle="1" w:styleId="242">
    <w:name w:val="默认段落字体 Para Char Char Char Char Char Char Char Char Char Char Char Char Char Char Char Char Char Char Char"/>
    <w:basedOn w:val="1"/>
    <w:qFormat/>
    <w:uiPriority w:val="0"/>
  </w:style>
  <w:style w:type="paragraph" w:customStyle="1" w:styleId="243">
    <w:name w:val="Style52"/>
    <w:basedOn w:val="1"/>
    <w:unhideWhenUsed/>
    <w:qFormat/>
    <w:uiPriority w:val="0"/>
    <w:pPr>
      <w:spacing w:line="682" w:lineRule="exact"/>
      <w:ind w:firstLine="557"/>
    </w:pPr>
  </w:style>
  <w:style w:type="paragraph" w:customStyle="1" w:styleId="244">
    <w:name w:val="Style26"/>
    <w:basedOn w:val="1"/>
    <w:unhideWhenUsed/>
    <w:qFormat/>
    <w:uiPriority w:val="0"/>
  </w:style>
  <w:style w:type="paragraph" w:customStyle="1" w:styleId="245">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46">
    <w:name w:val="Style68"/>
    <w:basedOn w:val="1"/>
    <w:unhideWhenUsed/>
    <w:qFormat/>
    <w:uiPriority w:val="0"/>
    <w:pPr>
      <w:spacing w:line="547" w:lineRule="exact"/>
    </w:pPr>
  </w:style>
  <w:style w:type="paragraph" w:customStyle="1" w:styleId="247">
    <w:name w:val="样式 标题 2 + 宋体 五号 行距: 单倍行距"/>
    <w:basedOn w:val="7"/>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48">
    <w:name w:val="Char Char1 Char Char Char"/>
    <w:basedOn w:val="1"/>
    <w:qFormat/>
    <w:uiPriority w:val="0"/>
    <w:rPr>
      <w:kern w:val="0"/>
      <w:sz w:val="20"/>
      <w:szCs w:val="20"/>
    </w:rPr>
  </w:style>
  <w:style w:type="paragraph" w:customStyle="1" w:styleId="249">
    <w:name w:val="Char Char Char Char Char Char Char11"/>
    <w:basedOn w:val="1"/>
    <w:qFormat/>
    <w:uiPriority w:val="0"/>
    <w:pPr>
      <w:snapToGrid w:val="0"/>
      <w:spacing w:line="360" w:lineRule="auto"/>
      <w:ind w:firstLine="200" w:firstLineChars="200"/>
    </w:pPr>
    <w:rPr>
      <w:rFonts w:eastAsia="仿宋_GB2312"/>
      <w:sz w:val="24"/>
    </w:rPr>
  </w:style>
  <w:style w:type="paragraph" w:customStyle="1" w:styleId="250">
    <w:name w:val="正文格式"/>
    <w:basedOn w:val="1"/>
    <w:qFormat/>
    <w:uiPriority w:val="0"/>
    <w:pPr>
      <w:widowControl/>
      <w:adjustRightInd w:val="0"/>
      <w:snapToGrid w:val="0"/>
      <w:spacing w:line="400" w:lineRule="atLeast"/>
      <w:ind w:firstLine="482"/>
      <w:textAlignment w:val="baseline"/>
    </w:pPr>
    <w:rPr>
      <w:kern w:val="0"/>
      <w:sz w:val="24"/>
    </w:rPr>
  </w:style>
  <w:style w:type="paragraph" w:customStyle="1" w:styleId="251">
    <w:name w:val="Style78"/>
    <w:basedOn w:val="1"/>
    <w:unhideWhenUsed/>
    <w:qFormat/>
    <w:uiPriority w:val="0"/>
  </w:style>
  <w:style w:type="paragraph" w:customStyle="1" w:styleId="252">
    <w:name w:val="1"/>
    <w:basedOn w:val="1"/>
    <w:qFormat/>
    <w:uiPriority w:val="0"/>
    <w:pPr>
      <w:spacing w:afterLines="50" w:line="360" w:lineRule="auto"/>
    </w:pPr>
    <w:rPr>
      <w:rFonts w:ascii="宋体" w:hAnsi="宋体"/>
      <w:b/>
      <w:sz w:val="30"/>
      <w:szCs w:val="21"/>
    </w:rPr>
  </w:style>
  <w:style w:type="paragraph" w:customStyle="1" w:styleId="253">
    <w:name w:val="Char Char1 Char Char Char Char Char1 Char Char Char Char"/>
    <w:basedOn w:val="16"/>
    <w:qFormat/>
    <w:uiPriority w:val="0"/>
    <w:rPr>
      <w:rFonts w:ascii="Tahoma" w:hAnsi="Tahoma"/>
    </w:rPr>
  </w:style>
  <w:style w:type="paragraph" w:customStyle="1" w:styleId="254">
    <w:name w:val="标题3"/>
    <w:basedOn w:val="5"/>
    <w:qFormat/>
    <w:uiPriority w:val="0"/>
    <w:pPr>
      <w:spacing w:beforeLines="50" w:afterLines="50" w:line="400" w:lineRule="exact"/>
      <w:jc w:val="both"/>
    </w:pPr>
    <w:rPr>
      <w:rFonts w:ascii="宋体" w:hAnsi="宋体"/>
      <w:kern w:val="32"/>
      <w:szCs w:val="32"/>
    </w:rPr>
  </w:style>
  <w:style w:type="paragraph" w:customStyle="1" w:styleId="255">
    <w:name w:val="Style45"/>
    <w:basedOn w:val="1"/>
    <w:unhideWhenUsed/>
    <w:qFormat/>
    <w:uiPriority w:val="0"/>
  </w:style>
  <w:style w:type="paragraph" w:customStyle="1" w:styleId="256">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7">
    <w:name w:val="附录标识"/>
    <w:basedOn w:val="205"/>
    <w:qFormat/>
    <w:uiPriority w:val="0"/>
    <w:pPr>
      <w:tabs>
        <w:tab w:val="left" w:pos="6405"/>
        <w:tab w:val="clear" w:pos="360"/>
        <w:tab w:val="clear" w:pos="720"/>
      </w:tabs>
      <w:spacing w:after="200"/>
    </w:pPr>
    <w:rPr>
      <w:sz w:val="21"/>
    </w:rPr>
  </w:style>
  <w:style w:type="paragraph" w:customStyle="1" w:styleId="258">
    <w:name w:val="纯文本1"/>
    <w:qFormat/>
    <w:uiPriority w:val="0"/>
    <w:rPr>
      <w:rFonts w:ascii="宋体" w:hAnsi="Courier New" w:eastAsia="宋体" w:cs="Courier New"/>
      <w:kern w:val="2"/>
      <w:sz w:val="21"/>
      <w:szCs w:val="21"/>
      <w:lang w:val="en-US" w:eastAsia="zh-CN" w:bidi="ar-SA"/>
    </w:rPr>
  </w:style>
  <w:style w:type="paragraph" w:customStyle="1" w:styleId="259">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60">
    <w:name w:val="_Style 39"/>
    <w:basedOn w:val="229"/>
    <w:qFormat/>
    <w:uiPriority w:val="0"/>
  </w:style>
  <w:style w:type="paragraph" w:customStyle="1" w:styleId="261">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62">
    <w:name w:val="1 Char Char Char Char"/>
    <w:basedOn w:val="1"/>
    <w:qFormat/>
    <w:uiPriority w:val="0"/>
  </w:style>
  <w:style w:type="paragraph" w:customStyle="1" w:styleId="263">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4">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65">
    <w:name w:val="TOC 标题1"/>
    <w:basedOn w:val="5"/>
    <w:next w:val="1"/>
    <w:unhideWhenUsed/>
    <w:qFormat/>
    <w:uiPriority w:val="39"/>
    <w:pPr>
      <w:keepLines/>
      <w:widowControl/>
      <w:spacing w:before="480" w:line="276" w:lineRule="auto"/>
      <w:jc w:val="left"/>
      <w:outlineLvl w:val="9"/>
    </w:pPr>
    <w:rPr>
      <w:color w:val="365F91"/>
      <w:kern w:val="0"/>
      <w:sz w:val="28"/>
      <w:szCs w:val="28"/>
    </w:rPr>
  </w:style>
  <w:style w:type="paragraph" w:customStyle="1" w:styleId="266">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67">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68">
    <w:name w:val="Style77"/>
    <w:basedOn w:val="1"/>
    <w:unhideWhenUsed/>
    <w:qFormat/>
    <w:uiPriority w:val="0"/>
  </w:style>
  <w:style w:type="paragraph" w:customStyle="1" w:styleId="269">
    <w:name w:val="Char Char1 Char Char Char Char Char Char Char"/>
    <w:basedOn w:val="1"/>
    <w:qFormat/>
    <w:uiPriority w:val="0"/>
    <w:pPr>
      <w:widowControl/>
      <w:spacing w:after="160" w:line="240" w:lineRule="exact"/>
      <w:jc w:val="left"/>
    </w:pPr>
  </w:style>
  <w:style w:type="paragraph" w:customStyle="1" w:styleId="270">
    <w:name w:val="Style29"/>
    <w:basedOn w:val="1"/>
    <w:unhideWhenUsed/>
    <w:qFormat/>
    <w:uiPriority w:val="0"/>
    <w:pPr>
      <w:spacing w:line="547" w:lineRule="exact"/>
      <w:ind w:firstLine="547"/>
    </w:pPr>
  </w:style>
  <w:style w:type="paragraph" w:customStyle="1" w:styleId="271">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72">
    <w:name w:val="Char"/>
    <w:basedOn w:val="1"/>
    <w:qFormat/>
    <w:uiPriority w:val="0"/>
    <w:pPr>
      <w:tabs>
        <w:tab w:val="left" w:pos="360"/>
      </w:tabs>
      <w:ind w:left="360" w:hanging="360" w:hangingChars="200"/>
    </w:pPr>
    <w:rPr>
      <w:sz w:val="24"/>
    </w:rPr>
  </w:style>
  <w:style w:type="paragraph" w:customStyle="1" w:styleId="273">
    <w:name w:val="Style16"/>
    <w:basedOn w:val="1"/>
    <w:unhideWhenUsed/>
    <w:qFormat/>
    <w:uiPriority w:val="0"/>
    <w:pPr>
      <w:jc w:val="right"/>
    </w:pPr>
  </w:style>
  <w:style w:type="paragraph" w:customStyle="1" w:styleId="274">
    <w:name w:val="表格文字"/>
    <w:basedOn w:val="1"/>
    <w:qFormat/>
    <w:uiPriority w:val="0"/>
    <w:pPr>
      <w:spacing w:before="25" w:after="25"/>
      <w:jc w:val="left"/>
    </w:pPr>
    <w:rPr>
      <w:bCs/>
      <w:spacing w:val="10"/>
      <w:kern w:val="0"/>
      <w:sz w:val="24"/>
    </w:rPr>
  </w:style>
  <w:style w:type="paragraph" w:customStyle="1" w:styleId="275">
    <w:name w:val="Style72"/>
    <w:basedOn w:val="1"/>
    <w:unhideWhenUsed/>
    <w:qFormat/>
    <w:uiPriority w:val="0"/>
  </w:style>
  <w:style w:type="paragraph" w:customStyle="1" w:styleId="276">
    <w:name w:val="Table Text"/>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77">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78">
    <w:name w:val="Style34"/>
    <w:basedOn w:val="1"/>
    <w:unhideWhenUsed/>
    <w:qFormat/>
    <w:uiPriority w:val="0"/>
    <w:pPr>
      <w:spacing w:line="375" w:lineRule="exact"/>
    </w:pPr>
  </w:style>
  <w:style w:type="paragraph" w:customStyle="1" w:styleId="279">
    <w:name w:val="Style24"/>
    <w:basedOn w:val="1"/>
    <w:unhideWhenUsed/>
    <w:qFormat/>
    <w:uiPriority w:val="0"/>
  </w:style>
  <w:style w:type="paragraph" w:customStyle="1" w:styleId="280">
    <w:name w:val="表格内容"/>
    <w:basedOn w:val="20"/>
    <w:qFormat/>
    <w:uiPriority w:val="0"/>
    <w:pPr>
      <w:suppressLineNumbers/>
      <w:suppressAutoHyphens/>
      <w:jc w:val="left"/>
    </w:pPr>
    <w:rPr>
      <w:rFonts w:cs="Tahoma"/>
      <w:kern w:val="0"/>
      <w:sz w:val="24"/>
    </w:rPr>
  </w:style>
  <w:style w:type="paragraph" w:customStyle="1" w:styleId="281">
    <w:name w:val="Char Char Char1 Char1"/>
    <w:basedOn w:val="1"/>
    <w:qFormat/>
    <w:uiPriority w:val="0"/>
    <w:pPr>
      <w:tabs>
        <w:tab w:val="left" w:pos="360"/>
      </w:tabs>
      <w:snapToGrid w:val="0"/>
      <w:spacing w:line="360" w:lineRule="auto"/>
    </w:pPr>
    <w:rPr>
      <w:rFonts w:eastAsia="仿宋_GB2312" w:cs="宋体"/>
      <w:sz w:val="24"/>
    </w:rPr>
  </w:style>
  <w:style w:type="paragraph" w:customStyle="1" w:styleId="282">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83">
    <w:name w:val="Style36"/>
    <w:basedOn w:val="1"/>
    <w:unhideWhenUsed/>
    <w:qFormat/>
    <w:uiPriority w:val="0"/>
  </w:style>
  <w:style w:type="paragraph" w:customStyle="1" w:styleId="284">
    <w:name w:val="Style27"/>
    <w:basedOn w:val="1"/>
    <w:unhideWhenUsed/>
    <w:qFormat/>
    <w:uiPriority w:val="0"/>
  </w:style>
  <w:style w:type="paragraph" w:customStyle="1" w:styleId="285">
    <w:name w:val="文章正文"/>
    <w:basedOn w:val="1"/>
    <w:qFormat/>
    <w:uiPriority w:val="0"/>
    <w:pPr>
      <w:adjustRightInd w:val="0"/>
      <w:snapToGrid w:val="0"/>
      <w:spacing w:beforeLines="100" w:line="360" w:lineRule="auto"/>
      <w:ind w:firstLine="200" w:firstLineChars="200"/>
    </w:pPr>
    <w:rPr>
      <w:sz w:val="24"/>
      <w:szCs w:val="22"/>
    </w:rPr>
  </w:style>
  <w:style w:type="paragraph" w:customStyle="1" w:styleId="286">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287">
    <w:name w:val="Char Char Char1"/>
    <w:basedOn w:val="1"/>
    <w:qFormat/>
    <w:uiPriority w:val="0"/>
    <w:rPr>
      <w:rFonts w:ascii="宋体" w:hAnsi="宋体"/>
      <w:b/>
      <w:sz w:val="28"/>
      <w:szCs w:val="28"/>
    </w:rPr>
  </w:style>
  <w:style w:type="paragraph" w:customStyle="1" w:styleId="288">
    <w:name w:val="Style50"/>
    <w:basedOn w:val="1"/>
    <w:unhideWhenUsed/>
    <w:qFormat/>
    <w:uiPriority w:val="0"/>
  </w:style>
  <w:style w:type="paragraph" w:customStyle="1" w:styleId="289">
    <w:name w:val="标准正文"/>
    <w:basedOn w:val="1"/>
    <w:qFormat/>
    <w:uiPriority w:val="0"/>
    <w:pPr>
      <w:autoSpaceDE w:val="0"/>
      <w:autoSpaceDN w:val="0"/>
      <w:adjustRightInd w:val="0"/>
      <w:snapToGrid w:val="0"/>
      <w:spacing w:afterLines="50" w:line="480" w:lineRule="exact"/>
      <w:jc w:val="left"/>
    </w:pPr>
    <w:rPr>
      <w:rFonts w:ascii="宋体"/>
      <w:kern w:val="0"/>
      <w:szCs w:val="20"/>
      <w:lang w:val="zh-CN"/>
    </w:rPr>
  </w:style>
  <w:style w:type="paragraph" w:customStyle="1" w:styleId="290">
    <w:name w:val="Style70"/>
    <w:basedOn w:val="1"/>
    <w:unhideWhenUsed/>
    <w:qFormat/>
    <w:uiPriority w:val="0"/>
    <w:pPr>
      <w:spacing w:line="549" w:lineRule="exact"/>
      <w:ind w:firstLine="686"/>
    </w:pPr>
  </w:style>
  <w:style w:type="paragraph" w:customStyle="1" w:styleId="291">
    <w:name w:val="Style23"/>
    <w:basedOn w:val="1"/>
    <w:unhideWhenUsed/>
    <w:qFormat/>
    <w:uiPriority w:val="0"/>
  </w:style>
  <w:style w:type="character" w:customStyle="1" w:styleId="292">
    <w:name w:val="10_0"/>
    <w:basedOn w:val="48"/>
    <w:qFormat/>
    <w:uiPriority w:val="0"/>
    <w:rPr>
      <w:rFonts w:hint="default" w:ascii="Times New Roman" w:hAnsi="Times New Roman" w:cs="Times New Roman"/>
    </w:rPr>
  </w:style>
  <w:style w:type="paragraph" w:customStyle="1" w:styleId="293">
    <w:name w:val="Normal_1"/>
    <w:qFormat/>
    <w:uiPriority w:val="0"/>
    <w:rPr>
      <w:rFonts w:ascii="Times New Roman" w:hAnsi="Times New Roman" w:eastAsia="宋体" w:cs="Times New Roman"/>
      <w:sz w:val="24"/>
      <w:szCs w:val="24"/>
      <w:lang w:val="en-US" w:eastAsia="zh-CN" w:bidi="ar-SA"/>
    </w:rPr>
  </w:style>
  <w:style w:type="paragraph" w:customStyle="1" w:styleId="294">
    <w:name w:val="表格内容左对齐"/>
    <w:basedOn w:val="1"/>
    <w:qFormat/>
    <w:uiPriority w:val="0"/>
    <w:pPr>
      <w:widowControl/>
      <w:tabs>
        <w:tab w:val="left" w:pos="0"/>
        <w:tab w:val="left" w:pos="33"/>
      </w:tabs>
      <w:spacing w:line="300" w:lineRule="exact"/>
      <w:ind w:firstLine="420" w:firstLineChars="200"/>
      <w:jc w:val="left"/>
    </w:pPr>
    <w:rPr>
      <w:rFonts w:ascii="宋体" w:hAnsi="宋体" w:eastAsia="微软雅黑"/>
      <w:sz w:val="22"/>
    </w:rPr>
  </w:style>
  <w:style w:type="paragraph" w:customStyle="1" w:styleId="295">
    <w:name w:val="Normal_39"/>
    <w:unhideWhenUsed/>
    <w:qFormat/>
    <w:uiPriority w:val="0"/>
    <w:pPr>
      <w:spacing w:beforeLines="0" w:afterLines="0"/>
    </w:pPr>
    <w:rPr>
      <w:rFonts w:hint="default"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478560-9F1F-46FA-B801-54C3F7E403F9}">
  <ds:schemaRefs/>
</ds:datastoreItem>
</file>

<file path=docProps/app.xml><?xml version="1.0" encoding="utf-8"?>
<Properties xmlns="http://schemas.openxmlformats.org/officeDocument/2006/extended-properties" xmlns:vt="http://schemas.openxmlformats.org/officeDocument/2006/docPropsVTypes">
  <Template>Normal</Template>
  <Pages>104</Pages>
  <Words>10000</Words>
  <Characters>10761</Characters>
  <Lines>1</Lines>
  <Paragraphs>1</Paragraphs>
  <TotalTime>2</TotalTime>
  <ScaleCrop>false</ScaleCrop>
  <LinksUpToDate>false</LinksUpToDate>
  <CharactersWithSpaces>11009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2022-08-27T02:12:00Z</dcterms:created>
  <dc:creator>周 婷</dc:creator>
  <cp:lastModifiedBy>王慎之</cp:lastModifiedBy>
  <cp:lastPrinted>2022-09-09T07:59:00Z</cp:lastPrinted>
  <dcterms:modified xsi:type="dcterms:W3CDTF">2026-10-13T02:41:51Z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98AC47ADC95C444D84D682A19668479F_13</vt:lpwstr>
  </property>
  <property fmtid="{D5CDD505-2E9C-101B-9397-08002B2CF9AE}" pid="4" name="KSOTemplateDocerSaveRecord">
    <vt:lpwstr>eyJoZGlkIjoiN2Q0ODBhYjYyZWM0MDZiOTM5MzExYjM0NTlhNThhOTMiLCJ1c2VySWQiOiI1NjkyNzI0MzgifQ==</vt:lpwstr>
  </property>
</Properties>
</file>